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2659" w14:textId="77777777" w:rsidR="006E415B" w:rsidRPr="006E415B" w:rsidRDefault="006E415B" w:rsidP="006E415B">
      <w:pPr>
        <w:rPr>
          <w:rFonts w:ascii="Calibri" w:hAnsi="Calibri" w:cs="Calibri"/>
          <w:b/>
          <w:bCs/>
          <w:sz w:val="32"/>
          <w:szCs w:val="32"/>
        </w:rPr>
      </w:pPr>
      <w:r w:rsidRPr="006E415B">
        <w:rPr>
          <w:rFonts w:ascii="Calibri" w:hAnsi="Calibri" w:cs="Calibri"/>
          <w:b/>
          <w:bCs/>
          <w:sz w:val="32"/>
          <w:szCs w:val="32"/>
        </w:rPr>
        <w:t>Appendix: Racial Equity Program Data Readiness Assessment</w:t>
      </w:r>
    </w:p>
    <w:p w14:paraId="5B73F2C8" w14:textId="77777777" w:rsidR="006E415B" w:rsidRPr="006E415B" w:rsidRDefault="006E415B" w:rsidP="006E415B">
      <w:pPr>
        <w:rPr>
          <w:rFonts w:ascii="Calibri" w:hAnsi="Calibri" w:cs="Calibri"/>
          <w:b/>
          <w:bCs/>
          <w:sz w:val="22"/>
          <w:szCs w:val="22"/>
        </w:rPr>
      </w:pPr>
      <w:r w:rsidRPr="006E415B">
        <w:rPr>
          <w:rFonts w:ascii="Calibri" w:hAnsi="Calibri" w:cs="Calibri"/>
          <w:b/>
          <w:bCs/>
          <w:sz w:val="22"/>
          <w:szCs w:val="22"/>
        </w:rPr>
        <w:t>This appendix is part of the Racial Equity Data Road Map.</w:t>
      </w:r>
    </w:p>
    <w:p w14:paraId="0A35C351" w14:textId="77777777" w:rsidR="006E415B" w:rsidRPr="006E415B" w:rsidRDefault="006E415B" w:rsidP="006E415B">
      <w:pPr>
        <w:pStyle w:val="Heading1"/>
      </w:pPr>
      <w:r w:rsidRPr="006E415B">
        <w:t>Benchmark 1 – Data capacity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3369"/>
        <w:gridCol w:w="3936"/>
        <w:gridCol w:w="4873"/>
      </w:tblGrid>
      <w:tr w:rsidR="006E415B" w:rsidRPr="006E415B" w14:paraId="61348310" w14:textId="77777777" w:rsidTr="006E415B">
        <w:trPr>
          <w:tblHeader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4B92BA0A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Phase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6F7F3A3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Pre-foundational</w:t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14AA489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Foundational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796D9F6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Aspirational</w:t>
            </w:r>
          </w:p>
        </w:tc>
      </w:tr>
      <w:tr w:rsidR="006E415B" w:rsidRPr="006E415B" w14:paraId="6A0DC686" w14:textId="77777777" w:rsidTr="006E415B">
        <w:tc>
          <w:tcPr>
            <w:tcW w:w="854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3694FA35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Definition</w:t>
            </w:r>
          </w:p>
        </w:tc>
        <w:tc>
          <w:tcPr>
            <w:tcW w:w="1147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C4F88F1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 xml:space="preserve">Program does not have </w:t>
            </w: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capacity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or support to analyze data.</w:t>
            </w:r>
          </w:p>
        </w:tc>
        <w:tc>
          <w:tcPr>
            <w:tcW w:w="1340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245362D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has access to staff who can analyze racial equity data.</w:t>
            </w:r>
          </w:p>
        </w:tc>
        <w:tc>
          <w:tcPr>
            <w:tcW w:w="1659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43C5822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has dedicated staff that can analyze data to be used in program monitoring and decision making while centering racial equity.</w:t>
            </w:r>
          </w:p>
        </w:tc>
      </w:tr>
      <w:tr w:rsidR="006E415B" w:rsidRPr="006E415B" w14:paraId="77E6F60A" w14:textId="77777777" w:rsidTr="006E415B">
        <w:tc>
          <w:tcPr>
            <w:tcW w:w="854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2D85E908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Transition Strategy</w:t>
            </w:r>
          </w:p>
        </w:tc>
        <w:tc>
          <w:tcPr>
            <w:tcW w:w="4146" w:type="pct"/>
            <w:gridSpan w:val="3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549B665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Characteristics of Transition Strategies, by Phase</w:t>
            </w:r>
          </w:p>
        </w:tc>
      </w:tr>
      <w:tr w:rsidR="006E415B" w:rsidRPr="006E415B" w14:paraId="5D44D791" w14:textId="77777777" w:rsidTr="006E415B">
        <w:tc>
          <w:tcPr>
            <w:tcW w:w="854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7279C40F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Ensure data access &amp; use</w:t>
            </w:r>
          </w:p>
        </w:tc>
        <w:tc>
          <w:tcPr>
            <w:tcW w:w="1147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46358FA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 does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not have access or use data to inform program processes and decision-making.</w:t>
            </w:r>
          </w:p>
        </w:tc>
        <w:tc>
          <w:tcPr>
            <w:tcW w:w="1340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2594D75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uses data to inform program processes and decision-making.</w:t>
            </w:r>
          </w:p>
        </w:tc>
        <w:tc>
          <w:tcPr>
            <w:tcW w:w="1659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6FD44CB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uses data to ensure that strategies and policies it implements or supports are created while centering racial equity.</w:t>
            </w:r>
          </w:p>
        </w:tc>
      </w:tr>
      <w:tr w:rsidR="006E415B" w:rsidRPr="006E415B" w14:paraId="321A856D" w14:textId="77777777" w:rsidTr="006E415B">
        <w:tc>
          <w:tcPr>
            <w:tcW w:w="854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350EBBE1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Analyze data for racial equity</w:t>
            </w:r>
          </w:p>
        </w:tc>
        <w:tc>
          <w:tcPr>
            <w:tcW w:w="1147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14A774A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routinely analyzes aggregate race and ethnicity data.</w:t>
            </w:r>
          </w:p>
        </w:tc>
        <w:tc>
          <w:tcPr>
            <w:tcW w:w="1340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0CF0F79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routinely disaggregates and analyzes data by race and ethnicity.</w:t>
            </w:r>
          </w:p>
        </w:tc>
        <w:tc>
          <w:tcPr>
            <w:tcW w:w="1659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2917AA2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Contextual language that is explicit about structural racism is routinely included in data dissemination products.</w:t>
            </w:r>
          </w:p>
        </w:tc>
      </w:tr>
      <w:tr w:rsidR="006E415B" w:rsidRPr="006E415B" w14:paraId="45433538" w14:textId="77777777" w:rsidTr="006E415B">
        <w:tc>
          <w:tcPr>
            <w:tcW w:w="854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3E7D61A4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Analytic</w:t>
            </w:r>
            <w:proofErr w:type="gramEnd"/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staff provides support to translate data findings</w:t>
            </w:r>
          </w:p>
        </w:tc>
        <w:tc>
          <w:tcPr>
            <w:tcW w:w="1147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B17AF83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does not have analytic staff to support data analysis.</w:t>
            </w:r>
          </w:p>
        </w:tc>
        <w:tc>
          <w:tcPr>
            <w:tcW w:w="1340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6B513C1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has analytic staff to analyze and interpret data.</w:t>
            </w:r>
          </w:p>
        </w:tc>
        <w:tc>
          <w:tcPr>
            <w:tcW w:w="1659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BC37A99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Analytic staff center racial equity all aspects of data analysis, program monitoring, and decision making.</w:t>
            </w:r>
          </w:p>
        </w:tc>
      </w:tr>
      <w:tr w:rsidR="006E415B" w:rsidRPr="006E415B" w14:paraId="70027304" w14:textId="77777777" w:rsidTr="006E415B">
        <w:tc>
          <w:tcPr>
            <w:tcW w:w="854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3E5D8614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Dedicate time to </w:t>
            </w:r>
            <w:proofErr w:type="gramStart"/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explore</w:t>
            </w:r>
            <w:proofErr w:type="gramEnd"/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racial inequities using data</w:t>
            </w:r>
          </w:p>
        </w:tc>
        <w:tc>
          <w:tcPr>
            <w:tcW w:w="1147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4ED73DA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does not dedicate time to explore racial inequities using data.</w:t>
            </w:r>
          </w:p>
        </w:tc>
        <w:tc>
          <w:tcPr>
            <w:tcW w:w="1340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48229B8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 xml:space="preserve">Racial inequities are explored using </w:t>
            </w: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data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but no formal structures, processes, or dedicated time is in place to do so.</w:t>
            </w:r>
          </w:p>
        </w:tc>
        <w:tc>
          <w:tcPr>
            <w:tcW w:w="1659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087422C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 xml:space="preserve">Exploring racial inequities using data is included in analytic staff job description; staff </w:t>
            </w: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receives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supervisor support to explore racial inequities using data.</w:t>
            </w:r>
          </w:p>
        </w:tc>
      </w:tr>
    </w:tbl>
    <w:p w14:paraId="290342E9" w14:textId="77777777" w:rsidR="006E415B" w:rsidRPr="006E415B" w:rsidRDefault="006E415B" w:rsidP="006E415B">
      <w:pPr>
        <w:rPr>
          <w:rFonts w:ascii="Calibri" w:hAnsi="Calibri" w:cs="Calibri"/>
          <w:vanish/>
          <w:sz w:val="22"/>
          <w:szCs w:val="22"/>
        </w:rPr>
      </w:pPr>
    </w:p>
    <w:p w14:paraId="4171E344" w14:textId="77777777" w:rsidR="006E415B" w:rsidRPr="006E415B" w:rsidRDefault="006E415B" w:rsidP="006E415B">
      <w:pPr>
        <w:rPr>
          <w:rFonts w:ascii="Calibri" w:hAnsi="Calibri" w:cs="Calibri"/>
          <w:b/>
          <w:bCs/>
          <w:sz w:val="22"/>
          <w:szCs w:val="22"/>
        </w:rPr>
      </w:pPr>
    </w:p>
    <w:p w14:paraId="3B2F218D" w14:textId="31205BE3" w:rsidR="006E415B" w:rsidRPr="006E415B" w:rsidRDefault="006E415B" w:rsidP="006E415B">
      <w:pPr>
        <w:rPr>
          <w:rFonts w:ascii="Calibri" w:hAnsi="Calibri" w:cs="Calibri"/>
          <w:b/>
          <w:bCs/>
          <w:sz w:val="22"/>
          <w:szCs w:val="22"/>
        </w:rPr>
      </w:pPr>
      <w:r w:rsidRPr="006E415B">
        <w:rPr>
          <w:rFonts w:ascii="Calibri" w:hAnsi="Calibri" w:cs="Calibri"/>
          <w:b/>
          <w:bCs/>
          <w:sz w:val="22"/>
          <w:szCs w:val="22"/>
        </w:rPr>
        <w:t>Transition resources</w:t>
      </w:r>
    </w:p>
    <w:p w14:paraId="1A26F7C4" w14:textId="0D60B1EF" w:rsidR="006E415B" w:rsidRPr="006E415B" w:rsidRDefault="006E415B" w:rsidP="006E415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hyperlink r:id="rId5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Robert Wood Johnson – A New Way to Talk about Social Determinants of Health</w:t>
        </w:r>
      </w:hyperlink>
    </w:p>
    <w:p w14:paraId="63FBD000" w14:textId="77777777" w:rsidR="006E415B" w:rsidRPr="006E415B" w:rsidRDefault="006E415B" w:rsidP="006E415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hyperlink r:id="rId6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Counting a Diverse Nation: Disaggregating Data on Race and Ethnicity to Advance a Culture of Health</w:t>
        </w:r>
      </w:hyperlink>
    </w:p>
    <w:p w14:paraId="4E6779E0" w14:textId="77777777" w:rsidR="006E415B" w:rsidRPr="006E415B" w:rsidRDefault="006E415B" w:rsidP="006E415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hyperlink r:id="rId7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Conducting a Health Equity Data Analysis</w:t>
        </w:r>
      </w:hyperlink>
    </w:p>
    <w:p w14:paraId="72BB5319" w14:textId="77777777" w:rsidR="006E415B" w:rsidRPr="006E415B" w:rsidRDefault="006E415B" w:rsidP="006E415B">
      <w:pPr>
        <w:pStyle w:val="Heading1"/>
      </w:pPr>
      <w:r w:rsidRPr="006E415B">
        <w:t>Benchmark 2 – Performance measurement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4019"/>
        <w:gridCol w:w="3928"/>
        <w:gridCol w:w="4298"/>
      </w:tblGrid>
      <w:tr w:rsidR="006E415B" w:rsidRPr="006E415B" w14:paraId="1142FF80" w14:textId="77777777" w:rsidTr="006E415B">
        <w:trPr>
          <w:tblHeader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176FE64A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Phase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AE25044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Pre-foundational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72E2110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Foundational</w:t>
            </w: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FB72CEA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Aspirational</w:t>
            </w:r>
          </w:p>
        </w:tc>
      </w:tr>
      <w:tr w:rsidR="006E415B" w:rsidRPr="006E415B" w14:paraId="05BFE3FE" w14:textId="77777777" w:rsidTr="006E415B">
        <w:tc>
          <w:tcPr>
            <w:tcW w:w="832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525099F4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Definition</w:t>
            </w:r>
          </w:p>
        </w:tc>
        <w:tc>
          <w:tcPr>
            <w:tcW w:w="1368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92F1847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does not have performance measures (PMs).</w:t>
            </w:r>
          </w:p>
        </w:tc>
        <w:tc>
          <w:tcPr>
            <w:tcW w:w="1337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EC3588D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has PMs, but they are not timely and are not useful tools to identify areas of improvement.</w:t>
            </w:r>
          </w:p>
        </w:tc>
        <w:tc>
          <w:tcPr>
            <w:tcW w:w="1462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728DD55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reports on PMs in real time to identify areas of improvement while centering racial equity.</w:t>
            </w:r>
          </w:p>
        </w:tc>
      </w:tr>
      <w:tr w:rsidR="006E415B" w:rsidRPr="006E415B" w14:paraId="1A5A35C1" w14:textId="77777777" w:rsidTr="006E415B">
        <w:tc>
          <w:tcPr>
            <w:tcW w:w="832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2D9A4025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Transition Strategy</w:t>
            </w:r>
          </w:p>
        </w:tc>
        <w:tc>
          <w:tcPr>
            <w:tcW w:w="4168" w:type="pct"/>
            <w:gridSpan w:val="3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19BA01D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Characteristics of Transition Strategies, by Phase</w:t>
            </w:r>
          </w:p>
        </w:tc>
      </w:tr>
      <w:tr w:rsidR="006E415B" w:rsidRPr="006E415B" w14:paraId="6C26A15C" w14:textId="77777777" w:rsidTr="006E415B">
        <w:tc>
          <w:tcPr>
            <w:tcW w:w="832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11CCEFF4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Align performance measures with program goals</w:t>
            </w:r>
          </w:p>
        </w:tc>
        <w:tc>
          <w:tcPr>
            <w:tcW w:w="1368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E1E1803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 xml:space="preserve">Program does not have PMs, or program has </w:t>
            </w: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PMs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but they are not informed by program goals.</w:t>
            </w:r>
          </w:p>
        </w:tc>
        <w:tc>
          <w:tcPr>
            <w:tcW w:w="1337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38C2A04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staff understands how to align PMs with program goals; PMs reflect program goals.</w:t>
            </w:r>
          </w:p>
        </w:tc>
        <w:tc>
          <w:tcPr>
            <w:tcW w:w="1462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334D045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PMs are aligned with program goals; PMs identify areas for improvement related to program objectives; PMs explicitly address racial equity.</w:t>
            </w:r>
          </w:p>
        </w:tc>
      </w:tr>
      <w:tr w:rsidR="006E415B" w:rsidRPr="006E415B" w14:paraId="6BB73460" w14:textId="77777777" w:rsidTr="006E415B">
        <w:tc>
          <w:tcPr>
            <w:tcW w:w="832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21092C67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Ensure performance measures are SMARTIE</w:t>
            </w:r>
          </w:p>
        </w:tc>
        <w:tc>
          <w:tcPr>
            <w:tcW w:w="1368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7F92722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does not have PMs.</w:t>
            </w:r>
          </w:p>
        </w:tc>
        <w:tc>
          <w:tcPr>
            <w:tcW w:w="1337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C5F3AA4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has PMs but they are not SMARTIE (specific, measurable, achievable, realistic, time-bound, inclusive, and equitable).</w:t>
            </w:r>
          </w:p>
        </w:tc>
        <w:tc>
          <w:tcPr>
            <w:tcW w:w="1462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C595FA5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PMs are easily understood by and communicated to staff and partners; PMs are SMARTIE.</w:t>
            </w:r>
          </w:p>
        </w:tc>
      </w:tr>
      <w:tr w:rsidR="006E415B" w:rsidRPr="006E415B" w14:paraId="75E2E24C" w14:textId="77777777" w:rsidTr="006E415B">
        <w:tc>
          <w:tcPr>
            <w:tcW w:w="832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6E61353E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Set appropriate objectives for </w:t>
            </w: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performance measures</w:t>
            </w:r>
          </w:p>
        </w:tc>
        <w:tc>
          <w:tcPr>
            <w:tcW w:w="1368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2447ACB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lastRenderedPageBreak/>
              <w:t>Program does not have objectives for PMs, or objectives are inappropriate or misaligned with PMs and program goals.</w:t>
            </w:r>
          </w:p>
        </w:tc>
        <w:tc>
          <w:tcPr>
            <w:tcW w:w="1337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8278D8C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 xml:space="preserve">Program staff understands how to set appropriate objectives for PMs; </w:t>
            </w:r>
            <w:r w:rsidRPr="006E415B">
              <w:rPr>
                <w:rFonts w:ascii="Calibri" w:hAnsi="Calibri" w:cs="Calibri"/>
                <w:sz w:val="22"/>
                <w:szCs w:val="22"/>
              </w:rPr>
              <w:lastRenderedPageBreak/>
              <w:t>objectives are aligned with PMs and program goals.</w:t>
            </w:r>
          </w:p>
        </w:tc>
        <w:tc>
          <w:tcPr>
            <w:tcW w:w="1462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06DF87E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Objectives are appropriate, aligned with corresponding racial equity PMs and </w:t>
            </w:r>
            <w:r w:rsidRPr="006E415B">
              <w:rPr>
                <w:rFonts w:ascii="Calibri" w:hAnsi="Calibri" w:cs="Calibri"/>
                <w:sz w:val="22"/>
                <w:szCs w:val="22"/>
              </w:rPr>
              <w:lastRenderedPageBreak/>
              <w:t>program goals; staff know how to interpret objectives to inform improvement efforts.</w:t>
            </w:r>
          </w:p>
        </w:tc>
      </w:tr>
      <w:tr w:rsidR="006E415B" w:rsidRPr="006E415B" w14:paraId="3A5B036C" w14:textId="77777777" w:rsidTr="006E415B">
        <w:tc>
          <w:tcPr>
            <w:tcW w:w="832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1C10665D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Report on data in a timely manner and more than annually</w:t>
            </w:r>
          </w:p>
        </w:tc>
        <w:tc>
          <w:tcPr>
            <w:tcW w:w="1368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C33AEDD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 does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not have the capacity to report on data in a timely manner; program has no formal structures or processes to allow for timely data reporting.</w:t>
            </w:r>
          </w:p>
        </w:tc>
        <w:tc>
          <w:tcPr>
            <w:tcW w:w="1337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5C82D27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 xml:space="preserve">A formal structure and process for data reporting is established; data are only </w:t>
            </w: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reported on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annually; program has limited capacity for data reporting.</w:t>
            </w:r>
          </w:p>
        </w:tc>
        <w:tc>
          <w:tcPr>
            <w:tcW w:w="1462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B78F4FB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has capacity to collect and report racial equity PM data; PMs are within scope of data accessible to program; program reports on data more than annually.</w:t>
            </w:r>
          </w:p>
        </w:tc>
      </w:tr>
    </w:tbl>
    <w:p w14:paraId="509F0F97" w14:textId="77777777" w:rsidR="006E415B" w:rsidRPr="006E415B" w:rsidRDefault="006E415B" w:rsidP="006E415B">
      <w:pPr>
        <w:rPr>
          <w:rFonts w:ascii="Calibri" w:hAnsi="Calibri" w:cs="Calibri"/>
          <w:vanish/>
          <w:sz w:val="22"/>
          <w:szCs w:val="22"/>
        </w:rPr>
      </w:pPr>
    </w:p>
    <w:p w14:paraId="2ED107C5" w14:textId="77777777" w:rsidR="006E415B" w:rsidRPr="006E415B" w:rsidRDefault="006E415B" w:rsidP="006E415B">
      <w:pPr>
        <w:rPr>
          <w:rFonts w:ascii="Calibri" w:hAnsi="Calibri" w:cs="Calibri"/>
          <w:b/>
          <w:bCs/>
          <w:sz w:val="22"/>
          <w:szCs w:val="22"/>
        </w:rPr>
      </w:pPr>
    </w:p>
    <w:p w14:paraId="7CB06645" w14:textId="49286C56" w:rsidR="006E415B" w:rsidRPr="006E415B" w:rsidRDefault="006E415B" w:rsidP="006E415B">
      <w:pPr>
        <w:rPr>
          <w:rFonts w:ascii="Calibri" w:hAnsi="Calibri" w:cs="Calibri"/>
          <w:b/>
          <w:bCs/>
          <w:sz w:val="22"/>
          <w:szCs w:val="22"/>
        </w:rPr>
      </w:pPr>
      <w:r w:rsidRPr="006E415B">
        <w:rPr>
          <w:rFonts w:ascii="Calibri" w:hAnsi="Calibri" w:cs="Calibri"/>
          <w:b/>
          <w:bCs/>
          <w:sz w:val="22"/>
          <w:szCs w:val="22"/>
        </w:rPr>
        <w:t>Transition resources</w:t>
      </w:r>
    </w:p>
    <w:p w14:paraId="16505CF4" w14:textId="77777777" w:rsidR="006E415B" w:rsidRPr="006E415B" w:rsidRDefault="006E415B" w:rsidP="006E415B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E415B">
        <w:rPr>
          <w:rFonts w:ascii="Calibri" w:hAnsi="Calibri" w:cs="Calibri"/>
          <w:sz w:val="22"/>
          <w:szCs w:val="22"/>
        </w:rPr>
        <w:t>Examples of DPH Programmatic Strategic Plans: </w:t>
      </w:r>
      <w:hyperlink r:id="rId8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Strategic Plan for Asthma in Massachusetts 2022-2026</w:t>
        </w:r>
      </w:hyperlink>
      <w:r w:rsidRPr="006E415B">
        <w:rPr>
          <w:rFonts w:ascii="Calibri" w:hAnsi="Calibri" w:cs="Calibri"/>
          <w:sz w:val="22"/>
          <w:szCs w:val="22"/>
        </w:rPr>
        <w:t>; MA Bureau of Family Health and Nutrition Racial Equity and Family Engagement Strategic Plan</w:t>
      </w:r>
    </w:p>
    <w:p w14:paraId="240AC818" w14:textId="77777777" w:rsidR="006E415B" w:rsidRDefault="006E415B" w:rsidP="006E415B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hyperlink r:id="rId9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SMARTIE Goals Worksheet</w:t>
        </w:r>
      </w:hyperlink>
    </w:p>
    <w:p w14:paraId="7325F6B8" w14:textId="77777777" w:rsidR="006E415B" w:rsidRPr="006E415B" w:rsidRDefault="006E415B" w:rsidP="006E415B">
      <w:pPr>
        <w:ind w:left="720"/>
        <w:rPr>
          <w:rFonts w:ascii="Calibri" w:hAnsi="Calibri" w:cs="Calibri"/>
          <w:sz w:val="22"/>
          <w:szCs w:val="22"/>
        </w:rPr>
      </w:pPr>
    </w:p>
    <w:p w14:paraId="4CAB1730" w14:textId="77777777" w:rsidR="006E415B" w:rsidRPr="006E415B" w:rsidRDefault="006E415B" w:rsidP="006E415B">
      <w:pPr>
        <w:pStyle w:val="Heading1"/>
      </w:pPr>
      <w:r w:rsidRPr="006E415B">
        <w:t>Benchmark 3 – Program collects high quality data to inform racial equity work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3619"/>
        <w:gridCol w:w="4048"/>
        <w:gridCol w:w="4312"/>
      </w:tblGrid>
      <w:tr w:rsidR="006E415B" w:rsidRPr="006E415B" w14:paraId="217CCC9B" w14:textId="77777777" w:rsidTr="006E415B">
        <w:trPr>
          <w:tblHeader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5AA55770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Phase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4185D13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Pre-foundational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5B75F46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Foundational</w:t>
            </w: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6CEAAD6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Aspirational</w:t>
            </w:r>
          </w:p>
        </w:tc>
      </w:tr>
      <w:tr w:rsidR="006E415B" w:rsidRPr="006E415B" w14:paraId="52EE06F4" w14:textId="77777777" w:rsidTr="006E415B">
        <w:tc>
          <w:tcPr>
            <w:tcW w:w="922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4BC20942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Definition</w:t>
            </w:r>
          </w:p>
        </w:tc>
        <w:tc>
          <w:tcPr>
            <w:tcW w:w="1232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DEA1698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does not collect individual level data to inform racial equity work.</w:t>
            </w:r>
          </w:p>
        </w:tc>
        <w:tc>
          <w:tcPr>
            <w:tcW w:w="1378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871BB75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has some individual level data to inform racial equity work that is not currently aligned with DPH standards.</w:t>
            </w:r>
          </w:p>
        </w:tc>
        <w:tc>
          <w:tcPr>
            <w:tcW w:w="1468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E314342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collects and reports individual level data to inform racial equity work according to DPH standards.</w:t>
            </w:r>
          </w:p>
        </w:tc>
      </w:tr>
      <w:tr w:rsidR="006E415B" w:rsidRPr="006E415B" w14:paraId="0733F62D" w14:textId="77777777" w:rsidTr="006E415B">
        <w:tc>
          <w:tcPr>
            <w:tcW w:w="922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108D9F87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Transition Strategy</w:t>
            </w:r>
          </w:p>
        </w:tc>
        <w:tc>
          <w:tcPr>
            <w:tcW w:w="4078" w:type="pct"/>
            <w:gridSpan w:val="3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42DAC33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Characteristics of Transition Strategies, by Phase</w:t>
            </w:r>
          </w:p>
        </w:tc>
      </w:tr>
      <w:tr w:rsidR="006E415B" w:rsidRPr="006E415B" w14:paraId="56238D28" w14:textId="77777777" w:rsidTr="006E415B">
        <w:tc>
          <w:tcPr>
            <w:tcW w:w="922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6F77C10F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Train staff in how to collect high quality data in a sensitive way</w:t>
            </w:r>
          </w:p>
        </w:tc>
        <w:tc>
          <w:tcPr>
            <w:tcW w:w="1232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0365CCD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Staff have not been trained in how and the importance of collecting data to inform racial equity work.</w:t>
            </w:r>
          </w:p>
        </w:tc>
        <w:tc>
          <w:tcPr>
            <w:tcW w:w="1378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0930429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Some staff have been trained in how and the importance of collecting data to inform racial equity work.</w:t>
            </w:r>
          </w:p>
        </w:tc>
        <w:tc>
          <w:tcPr>
            <w:tcW w:w="1468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3134AA6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 xml:space="preserve">Regular </w:t>
            </w: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trainings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and coaching are in place for all staff on how and the importance of collecting data to inform racial equity work.</w:t>
            </w:r>
          </w:p>
        </w:tc>
      </w:tr>
      <w:tr w:rsidR="006E415B" w:rsidRPr="006E415B" w14:paraId="394069F9" w14:textId="77777777" w:rsidTr="006E415B">
        <w:tc>
          <w:tcPr>
            <w:tcW w:w="922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2CEB22FB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Track missing data</w:t>
            </w:r>
          </w:p>
        </w:tc>
        <w:tc>
          <w:tcPr>
            <w:tcW w:w="1232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3A9BCCB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does not regularly assess missing data.</w:t>
            </w:r>
          </w:p>
        </w:tc>
        <w:tc>
          <w:tcPr>
            <w:tcW w:w="1378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1BC87C5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has implemented focused strategies to reduce missing data.</w:t>
            </w:r>
          </w:p>
        </w:tc>
        <w:tc>
          <w:tcPr>
            <w:tcW w:w="1468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8B16A1C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has CQI process in place to reduce the amount of missing data.</w:t>
            </w:r>
          </w:p>
        </w:tc>
      </w:tr>
    </w:tbl>
    <w:p w14:paraId="772E38F7" w14:textId="77777777" w:rsidR="006E415B" w:rsidRPr="006E415B" w:rsidRDefault="006E415B" w:rsidP="006E415B">
      <w:pPr>
        <w:rPr>
          <w:rFonts w:ascii="Calibri" w:hAnsi="Calibri" w:cs="Calibri"/>
          <w:vanish/>
          <w:sz w:val="22"/>
          <w:szCs w:val="22"/>
        </w:rPr>
      </w:pPr>
    </w:p>
    <w:p w14:paraId="256C002B" w14:textId="77777777" w:rsidR="006E415B" w:rsidRPr="006E415B" w:rsidRDefault="006E415B" w:rsidP="006E415B">
      <w:pPr>
        <w:rPr>
          <w:rFonts w:ascii="Calibri" w:hAnsi="Calibri" w:cs="Calibri"/>
          <w:b/>
          <w:bCs/>
          <w:sz w:val="22"/>
          <w:szCs w:val="22"/>
        </w:rPr>
      </w:pPr>
    </w:p>
    <w:p w14:paraId="6C1DB882" w14:textId="5196E8C0" w:rsidR="006E415B" w:rsidRPr="006E415B" w:rsidRDefault="006E415B" w:rsidP="006E415B">
      <w:pPr>
        <w:rPr>
          <w:rFonts w:ascii="Calibri" w:hAnsi="Calibri" w:cs="Calibri"/>
          <w:b/>
          <w:bCs/>
          <w:sz w:val="22"/>
          <w:szCs w:val="22"/>
        </w:rPr>
      </w:pPr>
      <w:r w:rsidRPr="006E415B">
        <w:rPr>
          <w:rFonts w:ascii="Calibri" w:hAnsi="Calibri" w:cs="Calibri"/>
          <w:b/>
          <w:bCs/>
          <w:sz w:val="22"/>
          <w:szCs w:val="22"/>
        </w:rPr>
        <w:t>Transition resources</w:t>
      </w:r>
    </w:p>
    <w:p w14:paraId="4B3C4172" w14:textId="77777777" w:rsidR="006E415B" w:rsidRPr="006E415B" w:rsidRDefault="006E415B" w:rsidP="006E415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hyperlink r:id="rId10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Institute for Healthcare Improvement (IHI) Psychology of Change Framework</w:t>
        </w:r>
      </w:hyperlink>
    </w:p>
    <w:p w14:paraId="61A793BF" w14:textId="77777777" w:rsidR="006E415B" w:rsidRPr="006E415B" w:rsidRDefault="006E415B" w:rsidP="006E415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hyperlink r:id="rId11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Understanding and Managing Organizational Change: Implications for Public Health Management</w:t>
        </w:r>
      </w:hyperlink>
      <w:r w:rsidRPr="006E415B">
        <w:rPr>
          <w:rFonts w:ascii="Calibri" w:hAnsi="Calibri" w:cs="Calibri"/>
          <w:sz w:val="22"/>
          <w:szCs w:val="22"/>
        </w:rPr>
        <w:t> (article)</w:t>
      </w:r>
    </w:p>
    <w:p w14:paraId="74DBDE5A" w14:textId="77777777" w:rsidR="006E415B" w:rsidRPr="006E415B" w:rsidRDefault="006E415B" w:rsidP="006E415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E415B">
        <w:rPr>
          <w:rFonts w:ascii="Calibri" w:hAnsi="Calibri" w:cs="Calibri"/>
          <w:sz w:val="22"/>
          <w:szCs w:val="22"/>
        </w:rPr>
        <w:t>Alliance for Innovation on Maternal Health (AIM): </w:t>
      </w:r>
      <w:hyperlink r:id="rId12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Reduction of Peripartum Racial/Ethnic Disparities Bundle</w:t>
        </w:r>
      </w:hyperlink>
    </w:p>
    <w:p w14:paraId="31EE05FA" w14:textId="77777777" w:rsidR="006E415B" w:rsidRPr="006E415B" w:rsidRDefault="006E415B" w:rsidP="006E415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E415B">
        <w:rPr>
          <w:rFonts w:ascii="Calibri" w:hAnsi="Calibri" w:cs="Calibri"/>
          <w:sz w:val="22"/>
          <w:szCs w:val="22"/>
        </w:rPr>
        <w:t>Institute for Healthcare Improvement</w:t>
      </w:r>
      <w:hyperlink r:id="rId13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 Run Chart Tool</w:t>
        </w:r>
      </w:hyperlink>
      <w:r w:rsidRPr="006E415B">
        <w:rPr>
          <w:rFonts w:ascii="Calibri" w:hAnsi="Calibri" w:cs="Calibri"/>
          <w:sz w:val="22"/>
          <w:szCs w:val="22"/>
        </w:rPr>
        <w:t> (online resources)</w:t>
      </w:r>
    </w:p>
    <w:p w14:paraId="13681539" w14:textId="77777777" w:rsidR="006E415B" w:rsidRPr="006E415B" w:rsidRDefault="006E415B" w:rsidP="006E415B">
      <w:pPr>
        <w:pStyle w:val="Heading1"/>
      </w:pPr>
      <w:r w:rsidRPr="006E415B">
        <w:t>Benchmark 4 – Program contextualizes data to inform racial equity work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3346"/>
        <w:gridCol w:w="4591"/>
        <w:gridCol w:w="4480"/>
      </w:tblGrid>
      <w:tr w:rsidR="006E415B" w:rsidRPr="006E415B" w14:paraId="2509D7FF" w14:textId="77777777" w:rsidTr="006E415B">
        <w:trPr>
          <w:tblHeader/>
        </w:trPr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1B02F789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Phase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BDF15B7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Pre-foundational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850EA3F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Foundational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337216A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Aspirational</w:t>
            </w:r>
          </w:p>
        </w:tc>
      </w:tr>
      <w:tr w:rsidR="006E415B" w:rsidRPr="006E415B" w14:paraId="0A58CD23" w14:textId="77777777" w:rsidTr="006E415B">
        <w:tc>
          <w:tcPr>
            <w:tcW w:w="773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05B0081D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Definition</w:t>
            </w:r>
          </w:p>
        </w:tc>
        <w:tc>
          <w:tcPr>
            <w:tcW w:w="1139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D33F609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is not aware of what contextual data they need or where and how to access contextual data.</w:t>
            </w:r>
          </w:p>
        </w:tc>
        <w:tc>
          <w:tcPr>
            <w:tcW w:w="1563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D728545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 xml:space="preserve">Program is aware of where and how to access contextual </w:t>
            </w: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data, but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has not used them to understand and address racial equity in their work.</w:t>
            </w:r>
          </w:p>
        </w:tc>
        <w:tc>
          <w:tcPr>
            <w:tcW w:w="1524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D6F8548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contextualizes data using an upstream, structural framework to understand and improve outcomes in their program.</w:t>
            </w:r>
          </w:p>
        </w:tc>
      </w:tr>
      <w:tr w:rsidR="006E415B" w:rsidRPr="006E415B" w14:paraId="10E790B6" w14:textId="77777777" w:rsidTr="006E415B">
        <w:tc>
          <w:tcPr>
            <w:tcW w:w="773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0BC2711D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Transition Strategy</w:t>
            </w:r>
          </w:p>
        </w:tc>
        <w:tc>
          <w:tcPr>
            <w:tcW w:w="4227" w:type="pct"/>
            <w:gridSpan w:val="3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D7A1E42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Characteristics of Transition Strategies, by Phase</w:t>
            </w:r>
          </w:p>
        </w:tc>
      </w:tr>
      <w:tr w:rsidR="006E415B" w:rsidRPr="006E415B" w14:paraId="6B4D7459" w14:textId="77777777" w:rsidTr="006E415B">
        <w:tc>
          <w:tcPr>
            <w:tcW w:w="773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1EA75B94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Train staff</w:t>
            </w:r>
          </w:p>
        </w:tc>
        <w:tc>
          <w:tcPr>
            <w:tcW w:w="1139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570FEDB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staff have attended racial equity training.</w:t>
            </w:r>
          </w:p>
        </w:tc>
        <w:tc>
          <w:tcPr>
            <w:tcW w:w="1563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AEDD2FA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staff have not received additional training to contextualize data using an upstream, structural framework to understand and improve program outcomes.</w:t>
            </w:r>
          </w:p>
        </w:tc>
        <w:tc>
          <w:tcPr>
            <w:tcW w:w="1524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0C39C3D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staff receive ongoing training to continue contextualizing data using an upstream, structural framework to understand and improve program outcomes.</w:t>
            </w:r>
          </w:p>
        </w:tc>
      </w:tr>
      <w:tr w:rsidR="006E415B" w:rsidRPr="006E415B" w14:paraId="46FF7539" w14:textId="77777777" w:rsidTr="006E415B">
        <w:tc>
          <w:tcPr>
            <w:tcW w:w="773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15757046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Define the context</w:t>
            </w:r>
          </w:p>
        </w:tc>
        <w:tc>
          <w:tcPr>
            <w:tcW w:w="1139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560E8B2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is not aware of what contextual data are helpful to understand and address racial equity in their work.</w:t>
            </w:r>
          </w:p>
        </w:tc>
        <w:tc>
          <w:tcPr>
            <w:tcW w:w="1563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1CBE882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 xml:space="preserve">Program is aware of what contextual data are helpful to understand and address racial equity in their </w:t>
            </w: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work, but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has not contextualized their data.</w:t>
            </w:r>
          </w:p>
        </w:tc>
        <w:tc>
          <w:tcPr>
            <w:tcW w:w="1524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6A36FAA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continuously assesses contextualizing data to understand and address racial equity in their work.</w:t>
            </w:r>
          </w:p>
        </w:tc>
      </w:tr>
      <w:tr w:rsidR="006E415B" w:rsidRPr="006E415B" w14:paraId="2CF2DE97" w14:textId="77777777" w:rsidTr="006E415B">
        <w:tc>
          <w:tcPr>
            <w:tcW w:w="773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5140D979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Identify quantitative and qualitative data sources</w:t>
            </w:r>
          </w:p>
        </w:tc>
        <w:tc>
          <w:tcPr>
            <w:tcW w:w="1139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FE3D657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is not aware of quantitative or qualitative data sources available.</w:t>
            </w:r>
          </w:p>
        </w:tc>
        <w:tc>
          <w:tcPr>
            <w:tcW w:w="1563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2A2AA37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is aware of quantitative or qualitative data sources available.</w:t>
            </w:r>
          </w:p>
        </w:tc>
        <w:tc>
          <w:tcPr>
            <w:tcW w:w="1524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568B4F4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uses quantitative and qualitative data sources to understand and address racial equity in their work.</w:t>
            </w:r>
          </w:p>
        </w:tc>
      </w:tr>
      <w:tr w:rsidR="006E415B" w:rsidRPr="006E415B" w14:paraId="2A4681A2" w14:textId="77777777" w:rsidTr="006E415B">
        <w:tc>
          <w:tcPr>
            <w:tcW w:w="773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7C521A8C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Engage community partners</w:t>
            </w:r>
          </w:p>
        </w:tc>
        <w:tc>
          <w:tcPr>
            <w:tcW w:w="1139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4D168F0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does not engage community partners.</w:t>
            </w:r>
          </w:p>
        </w:tc>
        <w:tc>
          <w:tcPr>
            <w:tcW w:w="1563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0B3B799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 xml:space="preserve">Program collaborates </w:t>
            </w: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with  community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partners in some aspects of program implementation or monitoring (e.g. advisory boards, needs assessments)</w:t>
            </w:r>
          </w:p>
        </w:tc>
        <w:tc>
          <w:tcPr>
            <w:tcW w:w="1524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9973E87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collaborates with community partners to understand and address racial equity in their work.</w:t>
            </w:r>
          </w:p>
        </w:tc>
      </w:tr>
    </w:tbl>
    <w:p w14:paraId="6DE7ED5B" w14:textId="77777777" w:rsidR="006E415B" w:rsidRDefault="006E415B" w:rsidP="006E415B">
      <w:pPr>
        <w:rPr>
          <w:rFonts w:ascii="Calibri" w:hAnsi="Calibri" w:cs="Calibri"/>
          <w:sz w:val="22"/>
          <w:szCs w:val="22"/>
        </w:rPr>
      </w:pPr>
    </w:p>
    <w:p w14:paraId="1E57510A" w14:textId="77777777" w:rsidR="006E415B" w:rsidRPr="006E415B" w:rsidRDefault="006E415B" w:rsidP="006E415B">
      <w:pPr>
        <w:rPr>
          <w:rFonts w:ascii="Calibri" w:hAnsi="Calibri" w:cs="Calibri"/>
          <w:vanish/>
          <w:sz w:val="22"/>
          <w:szCs w:val="22"/>
        </w:rPr>
      </w:pPr>
    </w:p>
    <w:p w14:paraId="72304D0F" w14:textId="77777777" w:rsidR="006E415B" w:rsidRPr="006E415B" w:rsidRDefault="006E415B" w:rsidP="006E415B">
      <w:pPr>
        <w:rPr>
          <w:rFonts w:ascii="Calibri" w:hAnsi="Calibri" w:cs="Calibri"/>
          <w:b/>
          <w:bCs/>
          <w:sz w:val="22"/>
          <w:szCs w:val="22"/>
        </w:rPr>
      </w:pPr>
      <w:r w:rsidRPr="006E415B">
        <w:rPr>
          <w:rFonts w:ascii="Calibri" w:hAnsi="Calibri" w:cs="Calibri"/>
          <w:b/>
          <w:bCs/>
          <w:sz w:val="22"/>
          <w:szCs w:val="22"/>
        </w:rPr>
        <w:t>Transition resources</w:t>
      </w:r>
    </w:p>
    <w:p w14:paraId="4209320F" w14:textId="77777777" w:rsidR="006E415B" w:rsidRPr="006E415B" w:rsidRDefault="006E415B" w:rsidP="006E415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hyperlink r:id="rId14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Racial Equity Institute</w:t>
        </w:r>
      </w:hyperlink>
      <w:r w:rsidRPr="006E415B">
        <w:rPr>
          <w:rFonts w:ascii="Calibri" w:hAnsi="Calibri" w:cs="Calibri"/>
          <w:sz w:val="22"/>
          <w:szCs w:val="22"/>
        </w:rPr>
        <w:t> trainings</w:t>
      </w:r>
    </w:p>
    <w:p w14:paraId="75D23BCB" w14:textId="77777777" w:rsidR="006E415B" w:rsidRPr="006E415B" w:rsidRDefault="006E415B" w:rsidP="006E415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hyperlink r:id="rId15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Community Health Needs Assessment</w:t>
        </w:r>
      </w:hyperlink>
    </w:p>
    <w:p w14:paraId="1D4CCC7D" w14:textId="77777777" w:rsidR="006E415B" w:rsidRPr="006E415B" w:rsidRDefault="006E415B" w:rsidP="006E415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hyperlink r:id="rId16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Creating Healing Organizations</w:t>
        </w:r>
      </w:hyperlink>
    </w:p>
    <w:p w14:paraId="264DA710" w14:textId="77777777" w:rsidR="006E415B" w:rsidRPr="006E415B" w:rsidRDefault="006E415B" w:rsidP="006E415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hyperlink r:id="rId17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Strengthening Partnerships: A Framework for Prenatal through Young Adulthood Family Engagement in Massachusetts</w:t>
        </w:r>
      </w:hyperlink>
    </w:p>
    <w:p w14:paraId="0C0EC783" w14:textId="77777777" w:rsidR="006E415B" w:rsidRPr="006E415B" w:rsidRDefault="006E415B" w:rsidP="006E415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hyperlink r:id="rId18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Voices for Racial Justice Authentic Community Engagement: A Key to Racial Equity</w:t>
        </w:r>
      </w:hyperlink>
    </w:p>
    <w:p w14:paraId="47713271" w14:textId="77777777" w:rsidR="006E415B" w:rsidRDefault="006E415B" w:rsidP="006E415B">
      <w:pPr>
        <w:rPr>
          <w:rFonts w:ascii="Calibri" w:hAnsi="Calibri" w:cs="Calibri"/>
          <w:b/>
          <w:bCs/>
          <w:sz w:val="22"/>
          <w:szCs w:val="22"/>
        </w:rPr>
      </w:pPr>
    </w:p>
    <w:p w14:paraId="2E08B6FF" w14:textId="16CCBCBC" w:rsidR="006E415B" w:rsidRPr="006E415B" w:rsidRDefault="006E415B" w:rsidP="006E415B">
      <w:pPr>
        <w:pStyle w:val="Heading1"/>
      </w:pPr>
      <w:r w:rsidRPr="006E415B">
        <w:t>Benchmark 5 – Program implements a continuous quality improvement (CQI) process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4920"/>
        <w:gridCol w:w="2603"/>
        <w:gridCol w:w="5173"/>
      </w:tblGrid>
      <w:tr w:rsidR="006E415B" w:rsidRPr="006E415B" w14:paraId="77AE9A1C" w14:textId="77777777" w:rsidTr="006E415B">
        <w:trPr>
          <w:tblHeader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1F611647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Phase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AA059C3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Pre-foundational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4A081FB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Foundational</w:t>
            </w:r>
          </w:p>
        </w:tc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CA7427D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Aspirational</w:t>
            </w:r>
          </w:p>
        </w:tc>
      </w:tr>
      <w:tr w:rsidR="006E415B" w:rsidRPr="006E415B" w14:paraId="0009B024" w14:textId="77777777" w:rsidTr="006E415B">
        <w:tc>
          <w:tcPr>
            <w:tcW w:w="678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005B292C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Definition</w:t>
            </w:r>
          </w:p>
        </w:tc>
        <w:tc>
          <w:tcPr>
            <w:tcW w:w="1675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4474058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has no continuous quality improvement (CQI) process.</w:t>
            </w:r>
          </w:p>
        </w:tc>
        <w:tc>
          <w:tcPr>
            <w:tcW w:w="886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C7C551F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has informal or ad hoc CQI process.</w:t>
            </w:r>
          </w:p>
        </w:tc>
        <w:tc>
          <w:tcPr>
            <w:tcW w:w="1761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8DA76BB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CQI is thoroughly integrated in the program and a CQI team effectively uses improvement methods to address identified challenges.</w:t>
            </w:r>
          </w:p>
        </w:tc>
      </w:tr>
      <w:tr w:rsidR="006E415B" w:rsidRPr="006E415B" w14:paraId="4C91A938" w14:textId="77777777" w:rsidTr="006E415B">
        <w:tc>
          <w:tcPr>
            <w:tcW w:w="678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0EB6FE24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Transition Strategy</w:t>
            </w:r>
          </w:p>
        </w:tc>
        <w:tc>
          <w:tcPr>
            <w:tcW w:w="4322" w:type="pct"/>
            <w:gridSpan w:val="3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D40733D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Characteristics of Transition Strategies, by Phase</w:t>
            </w:r>
          </w:p>
        </w:tc>
      </w:tr>
      <w:tr w:rsidR="006E415B" w:rsidRPr="006E415B" w14:paraId="5739BA99" w14:textId="77777777" w:rsidTr="006E415B">
        <w:tc>
          <w:tcPr>
            <w:tcW w:w="678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0B15AA9B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Train staff</w:t>
            </w:r>
          </w:p>
        </w:tc>
        <w:tc>
          <w:tcPr>
            <w:tcW w:w="1675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93EA6F1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 xml:space="preserve">Staff </w:t>
            </w: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has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not received formal training in CQI.</w:t>
            </w:r>
          </w:p>
        </w:tc>
        <w:tc>
          <w:tcPr>
            <w:tcW w:w="886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39752F3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 xml:space="preserve">Staff </w:t>
            </w: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is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trained to identify and implement CQI activities.</w:t>
            </w:r>
          </w:p>
        </w:tc>
        <w:tc>
          <w:tcPr>
            <w:tcW w:w="1761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F562797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implements train-the-trainer and/or staff pursues ongoing training, professional development, and cultural changes for CQI practices.</w:t>
            </w:r>
          </w:p>
        </w:tc>
      </w:tr>
      <w:tr w:rsidR="006E415B" w:rsidRPr="006E415B" w14:paraId="28F8C789" w14:textId="77777777" w:rsidTr="006E415B">
        <w:tc>
          <w:tcPr>
            <w:tcW w:w="678" w:type="pct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14:paraId="5CB86B67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Implement a CQI structure and</w:t>
            </w:r>
          </w:p>
          <w:p w14:paraId="29FD36DF" w14:textId="77777777" w:rsidR="006E415B" w:rsidRPr="006E415B" w:rsidRDefault="006E415B" w:rsidP="006E4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15B">
              <w:rPr>
                <w:rFonts w:ascii="Calibri" w:hAnsi="Calibri" w:cs="Calibri"/>
                <w:b/>
                <w:bCs/>
                <w:sz w:val="22"/>
                <w:szCs w:val="22"/>
              </w:rPr>
              <w:t>process</w:t>
            </w:r>
          </w:p>
        </w:tc>
        <w:tc>
          <w:tcPr>
            <w:tcW w:w="1675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22EC46D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E415B">
              <w:rPr>
                <w:rFonts w:ascii="Calibri" w:hAnsi="Calibri" w:cs="Calibri"/>
                <w:sz w:val="22"/>
                <w:szCs w:val="22"/>
              </w:rPr>
              <w:t>Program does</w:t>
            </w:r>
            <w:proofErr w:type="gramEnd"/>
            <w:r w:rsidRPr="006E415B">
              <w:rPr>
                <w:rFonts w:ascii="Calibri" w:hAnsi="Calibri" w:cs="Calibri"/>
                <w:sz w:val="22"/>
                <w:szCs w:val="22"/>
              </w:rPr>
              <w:t xml:space="preserve"> not have a CQI process or structure; program does not have the capacity or identified resources and knowledge to do so.</w:t>
            </w:r>
          </w:p>
        </w:tc>
        <w:tc>
          <w:tcPr>
            <w:tcW w:w="886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7328B61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has a documented CQI process.</w:t>
            </w:r>
          </w:p>
        </w:tc>
        <w:tc>
          <w:tcPr>
            <w:tcW w:w="1761" w:type="pct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919AC6E" w14:textId="77777777" w:rsidR="006E415B" w:rsidRPr="006E415B" w:rsidRDefault="006E415B" w:rsidP="006E415B">
            <w:pPr>
              <w:rPr>
                <w:rFonts w:ascii="Calibri" w:hAnsi="Calibri" w:cs="Calibri"/>
                <w:sz w:val="22"/>
                <w:szCs w:val="22"/>
              </w:rPr>
            </w:pPr>
            <w:r w:rsidRPr="006E415B">
              <w:rPr>
                <w:rFonts w:ascii="Calibri" w:hAnsi="Calibri" w:cs="Calibri"/>
                <w:sz w:val="22"/>
                <w:szCs w:val="22"/>
              </w:rPr>
              <w:t>Program has an established CQI structure and formal CQI process that aligns with the program’s key strategic goals.</w:t>
            </w:r>
          </w:p>
        </w:tc>
      </w:tr>
    </w:tbl>
    <w:p w14:paraId="6B0BA8DC" w14:textId="77777777" w:rsidR="006E415B" w:rsidRPr="006E415B" w:rsidRDefault="006E415B" w:rsidP="006E415B">
      <w:pPr>
        <w:rPr>
          <w:rFonts w:ascii="Calibri" w:hAnsi="Calibri" w:cs="Calibri"/>
          <w:vanish/>
          <w:sz w:val="22"/>
          <w:szCs w:val="22"/>
        </w:rPr>
      </w:pPr>
    </w:p>
    <w:p w14:paraId="68688991" w14:textId="77777777" w:rsidR="006E415B" w:rsidRPr="006E415B" w:rsidRDefault="006E415B" w:rsidP="006E415B">
      <w:pPr>
        <w:rPr>
          <w:rFonts w:ascii="Calibri" w:hAnsi="Calibri" w:cs="Calibri"/>
          <w:b/>
          <w:bCs/>
          <w:sz w:val="22"/>
          <w:szCs w:val="22"/>
        </w:rPr>
      </w:pPr>
    </w:p>
    <w:p w14:paraId="0F36FBB5" w14:textId="3B4F331C" w:rsidR="006E415B" w:rsidRPr="006E415B" w:rsidRDefault="006E415B" w:rsidP="006E415B">
      <w:pPr>
        <w:rPr>
          <w:rFonts w:ascii="Calibri" w:hAnsi="Calibri" w:cs="Calibri"/>
          <w:b/>
          <w:bCs/>
          <w:sz w:val="22"/>
          <w:szCs w:val="22"/>
        </w:rPr>
      </w:pPr>
      <w:r w:rsidRPr="006E415B">
        <w:rPr>
          <w:rFonts w:ascii="Calibri" w:hAnsi="Calibri" w:cs="Calibri"/>
          <w:b/>
          <w:bCs/>
          <w:sz w:val="22"/>
          <w:szCs w:val="22"/>
        </w:rPr>
        <w:t>Transition resources</w:t>
      </w:r>
    </w:p>
    <w:p w14:paraId="2FAFCABD" w14:textId="77777777" w:rsidR="006E415B" w:rsidRPr="006E415B" w:rsidRDefault="006E415B" w:rsidP="006E415B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hyperlink r:id="rId19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Population Health Improvement Partners trainings and tools</w:t>
        </w:r>
      </w:hyperlink>
    </w:p>
    <w:p w14:paraId="060174A7" w14:textId="77777777" w:rsidR="006E415B" w:rsidRPr="006E415B" w:rsidRDefault="006E415B" w:rsidP="006E415B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hyperlink r:id="rId20" w:history="1">
        <w:r w:rsidRPr="006E415B">
          <w:rPr>
            <w:rStyle w:val="Hyperlink"/>
            <w:rFonts w:ascii="Calibri" w:hAnsi="Calibri" w:cs="Calibri"/>
            <w:b/>
            <w:bCs/>
            <w:sz w:val="22"/>
            <w:szCs w:val="22"/>
          </w:rPr>
          <w:t>Institute for Healthcare Improvement</w:t>
        </w:r>
      </w:hyperlink>
      <w:r w:rsidRPr="006E415B">
        <w:rPr>
          <w:rFonts w:ascii="Calibri" w:hAnsi="Calibri" w:cs="Calibri"/>
          <w:sz w:val="22"/>
          <w:szCs w:val="22"/>
        </w:rPr>
        <w:t> </w:t>
      </w:r>
    </w:p>
    <w:p w14:paraId="40B70FB6" w14:textId="77777777" w:rsidR="00B14601" w:rsidRPr="006E415B" w:rsidRDefault="00B14601">
      <w:pPr>
        <w:rPr>
          <w:rFonts w:ascii="Calibri" w:hAnsi="Calibri" w:cs="Calibri"/>
          <w:sz w:val="22"/>
          <w:szCs w:val="22"/>
        </w:rPr>
      </w:pPr>
    </w:p>
    <w:sectPr w:rsidR="00B14601" w:rsidRPr="006E415B" w:rsidSect="006E415B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524B"/>
    <w:multiLevelType w:val="multilevel"/>
    <w:tmpl w:val="8F5C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76B46"/>
    <w:multiLevelType w:val="multilevel"/>
    <w:tmpl w:val="42F4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0763E"/>
    <w:multiLevelType w:val="multilevel"/>
    <w:tmpl w:val="EB5C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92D9B"/>
    <w:multiLevelType w:val="multilevel"/>
    <w:tmpl w:val="C0F6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177E9"/>
    <w:multiLevelType w:val="multilevel"/>
    <w:tmpl w:val="0C28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082697">
    <w:abstractNumId w:val="2"/>
  </w:num>
  <w:num w:numId="2" w16cid:durableId="1929998766">
    <w:abstractNumId w:val="4"/>
  </w:num>
  <w:num w:numId="3" w16cid:durableId="682441755">
    <w:abstractNumId w:val="3"/>
  </w:num>
  <w:num w:numId="4" w16cid:durableId="1845631004">
    <w:abstractNumId w:val="1"/>
  </w:num>
  <w:num w:numId="5" w16cid:durableId="63098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5B"/>
    <w:rsid w:val="000542A9"/>
    <w:rsid w:val="000E7795"/>
    <w:rsid w:val="00262732"/>
    <w:rsid w:val="006E415B"/>
    <w:rsid w:val="00AE2E86"/>
    <w:rsid w:val="00B14601"/>
    <w:rsid w:val="00F6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9F83"/>
  <w15:chartTrackingRefBased/>
  <w15:docId w15:val="{4BCAF1E8-0D3B-4805-A854-A19517D7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1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41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1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1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93716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32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CDCDC"/>
                                    <w:left w:val="single" w:sz="12" w:space="0" w:color="DCDCDC"/>
                                    <w:bottom w:val="single" w:sz="12" w:space="0" w:color="DCDCDC"/>
                                    <w:right w:val="single" w:sz="12" w:space="0" w:color="DCDCDC"/>
                                  </w:divBdr>
                                  <w:divsChild>
                                    <w:div w:id="18248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9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5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7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CDCDC"/>
                                    <w:left w:val="single" w:sz="12" w:space="0" w:color="DCDCDC"/>
                                    <w:bottom w:val="single" w:sz="12" w:space="0" w:color="DCDCDC"/>
                                    <w:right w:val="single" w:sz="12" w:space="0" w:color="DCDCDC"/>
                                  </w:divBdr>
                                  <w:divsChild>
                                    <w:div w:id="65858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35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256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90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5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CDCDC"/>
                                    <w:left w:val="single" w:sz="12" w:space="0" w:color="DCDCDC"/>
                                    <w:bottom w:val="single" w:sz="12" w:space="0" w:color="DCDCDC"/>
                                    <w:right w:val="single" w:sz="12" w:space="0" w:color="DCDCDC"/>
                                  </w:divBdr>
                                  <w:divsChild>
                                    <w:div w:id="147660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7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1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586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CDCDC"/>
                                    <w:left w:val="single" w:sz="12" w:space="0" w:color="DCDCDC"/>
                                    <w:bottom w:val="single" w:sz="12" w:space="0" w:color="DCDCDC"/>
                                    <w:right w:val="single" w:sz="12" w:space="0" w:color="DCDCDC"/>
                                  </w:divBdr>
                                  <w:divsChild>
                                    <w:div w:id="82956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7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75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790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CDCDC"/>
                                    <w:left w:val="single" w:sz="12" w:space="0" w:color="DCDCDC"/>
                                    <w:bottom w:val="single" w:sz="12" w:space="0" w:color="DCDCDC"/>
                                    <w:right w:val="single" w:sz="12" w:space="0" w:color="DCDCDC"/>
                                  </w:divBdr>
                                  <w:divsChild>
                                    <w:div w:id="166253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2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18389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72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8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CDCDC"/>
                                    <w:left w:val="single" w:sz="12" w:space="0" w:color="DCDCDC"/>
                                    <w:bottom w:val="single" w:sz="12" w:space="0" w:color="DCDCDC"/>
                                    <w:right w:val="single" w:sz="12" w:space="0" w:color="DCDCDC"/>
                                  </w:divBdr>
                                  <w:divsChild>
                                    <w:div w:id="474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234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332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CDCDC"/>
                                    <w:left w:val="single" w:sz="12" w:space="0" w:color="DCDCDC"/>
                                    <w:bottom w:val="single" w:sz="12" w:space="0" w:color="DCDCDC"/>
                                    <w:right w:val="single" w:sz="12" w:space="0" w:color="DCDCDC"/>
                                  </w:divBdr>
                                  <w:divsChild>
                                    <w:div w:id="11670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9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52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796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7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CDCDC"/>
                                    <w:left w:val="single" w:sz="12" w:space="0" w:color="DCDCDC"/>
                                    <w:bottom w:val="single" w:sz="12" w:space="0" w:color="DCDCDC"/>
                                    <w:right w:val="single" w:sz="12" w:space="0" w:color="DCDCDC"/>
                                  </w:divBdr>
                                  <w:divsChild>
                                    <w:div w:id="326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4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62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4472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CDCDC"/>
                                    <w:left w:val="single" w:sz="12" w:space="0" w:color="DCDCDC"/>
                                    <w:bottom w:val="single" w:sz="12" w:space="0" w:color="DCDCDC"/>
                                    <w:right w:val="single" w:sz="12" w:space="0" w:color="DCDCDC"/>
                                  </w:divBdr>
                                  <w:divsChild>
                                    <w:div w:id="104205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3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24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11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CDCDC"/>
                                    <w:left w:val="single" w:sz="12" w:space="0" w:color="DCDCDC"/>
                                    <w:bottom w:val="single" w:sz="12" w:space="0" w:color="DCDCDC"/>
                                    <w:right w:val="single" w:sz="12" w:space="0" w:color="DCDCDC"/>
                                  </w:divBdr>
                                  <w:divsChild>
                                    <w:div w:id="165690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5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clearinghouse.ehs.state.ma.us/PROG-ASTH/AS931.html" TargetMode="External"/><Relationship Id="rId13" Type="http://schemas.openxmlformats.org/officeDocument/2006/relationships/hyperlink" Target="http://www.ihi.org/resources/Pages/Tools/RunChart.aspx" TargetMode="External"/><Relationship Id="rId18" Type="http://schemas.openxmlformats.org/officeDocument/2006/relationships/hyperlink" Target="https://static1.squarespace.com/static/63dacd84fb1475405e0eeaa1/t/63ef9f2d80a31b0b2c29e20a/1676648237849/VRJ-Principles-for-Authentic-Community-Engagement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health.state.mn.us/data/mchs/genstats/heda/index.html" TargetMode="External"/><Relationship Id="rId12" Type="http://schemas.openxmlformats.org/officeDocument/2006/relationships/hyperlink" Target="https://saferbirth.org/psbs/archive-reduction-peripartum-disparities/" TargetMode="External"/><Relationship Id="rId17" Type="http://schemas.openxmlformats.org/officeDocument/2006/relationships/hyperlink" Target="https://www.doe.mass.edu/sfs/family-engagement-framework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fdph.org/dph/hc/HCAgen/HCAgen2016/April%2019/traumapresentation.pdf" TargetMode="External"/><Relationship Id="rId20" Type="http://schemas.openxmlformats.org/officeDocument/2006/relationships/hyperlink" Target="https://www.ihi.org/resources/white-papers/ihi-psychology-change-framewor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olicylink.org/resources-tools/counting-a-diverse-nation" TargetMode="External"/><Relationship Id="rId11" Type="http://schemas.openxmlformats.org/officeDocument/2006/relationships/hyperlink" Target="https://journals.lww.com/jphmp/Fulltext/2010/03000/Understanding_and_Managing_Organizational_Change_.15.aspx" TargetMode="External"/><Relationship Id="rId5" Type="http://schemas.openxmlformats.org/officeDocument/2006/relationships/hyperlink" Target="https://www.rwjf.org/en/library/research/2010/01/a-new-way-to-talk-about-the-social-determinants-of-health.html" TargetMode="External"/><Relationship Id="rId15" Type="http://schemas.openxmlformats.org/officeDocument/2006/relationships/hyperlink" Target="https://www.publichealthwm.org/what-we-do/research-evaluation/reports/community-health-needs-assessments" TargetMode="External"/><Relationship Id="rId10" Type="http://schemas.openxmlformats.org/officeDocument/2006/relationships/hyperlink" Target="http://www.ihi.org/resources/Pages/IHIWhitePapers/IHI-Psychology-of-Change-Framework.aspx" TargetMode="External"/><Relationship Id="rId19" Type="http://schemas.openxmlformats.org/officeDocument/2006/relationships/hyperlink" Target="https://improvepartners.org/toolbox/toolbox-details/qi-videos-too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nagementcenter.org/resources/smartie-goals-worksheet/" TargetMode="External"/><Relationship Id="rId14" Type="http://schemas.openxmlformats.org/officeDocument/2006/relationships/hyperlink" Target="https://racialequityinstitute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1612</Words>
  <Characters>9191</Characters>
  <Application>Microsoft Office Word</Application>
  <DocSecurity>0</DocSecurity>
  <Lines>76</Lines>
  <Paragraphs>21</Paragraphs>
  <ScaleCrop>false</ScaleCrop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Manwai (DPH)</dc:creator>
  <cp:keywords/>
  <dc:description/>
  <cp:lastModifiedBy>Leung, Manwai (DPH)</cp:lastModifiedBy>
  <cp:revision>2</cp:revision>
  <dcterms:created xsi:type="dcterms:W3CDTF">2025-03-11T18:43:00Z</dcterms:created>
  <dcterms:modified xsi:type="dcterms:W3CDTF">2025-03-11T18:43:00Z</dcterms:modified>
</cp:coreProperties>
</file>