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D15" w:rsidRPr="006C154A" w:rsidRDefault="0043086D" w:rsidP="00A13D15">
      <w:pPr>
        <w:rPr>
          <w:sz w:val="22"/>
          <w:szCs w:val="22"/>
        </w:rPr>
      </w:pPr>
      <w:bookmarkStart w:id="0" w:name="_GoBack"/>
      <w:r>
        <w:rPr>
          <w:noProof/>
          <w:lang w:val="en-US" w:eastAsia="en-US"/>
        </w:rPr>
        <mc:AlternateContent>
          <mc:Choice Requires="wps">
            <w:drawing>
              <wp:anchor distT="4294967295" distB="4294967295" distL="114300" distR="114300" simplePos="0" relativeHeight="251657216" behindDoc="0" locked="0" layoutInCell="1" allowOverlap="1">
                <wp:simplePos x="0" y="0"/>
                <wp:positionH relativeFrom="column">
                  <wp:posOffset>-520065</wp:posOffset>
                </wp:positionH>
                <wp:positionV relativeFrom="paragraph">
                  <wp:posOffset>-12701</wp:posOffset>
                </wp:positionV>
                <wp:extent cx="7877810" cy="0"/>
                <wp:effectExtent l="0" t="19050" r="46990" b="38100"/>
                <wp:wrapNone/>
                <wp:docPr id="6" name="Straight Connector 2" title="line dividing header from conten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7810" cy="0"/>
                        </a:xfrm>
                        <a:prstGeom prst="line">
                          <a:avLst/>
                        </a:prstGeom>
                        <a:noFill/>
                        <a:ln w="57150" cap="flat" cmpd="sng" algn="ctr">
                          <a:solidFill>
                            <a:srgbClr val="31859C"/>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alt="Title: line dividing header from content"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95pt,-1pt" to="579.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" strokecolor="#31859c" strokeweight="4.5pt">
                <o:lock v:ext="edit" shapetype="f"/>
              </v:line>
            </w:pict>
          </mc:Fallback>
        </mc:AlternateContent>
      </w:r>
      <w:bookmarkEnd w:id="0"/>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-520065</wp:posOffset>
                </wp:positionH>
                <wp:positionV relativeFrom="paragraph">
                  <wp:posOffset>-454660</wp:posOffset>
                </wp:positionV>
                <wp:extent cx="7823835" cy="1945640"/>
                <wp:effectExtent l="0" t="0" r="5715" b="0"/>
                <wp:wrapThrough wrapText="bothSides">
                  <wp:wrapPolygon edited="0">
                    <wp:start x="0" y="0"/>
                    <wp:lineTo x="0" y="21360"/>
                    <wp:lineTo x="21563" y="21360"/>
                    <wp:lineTo x="21563" y="0"/>
                    <wp:lineTo x="0" y="0"/>
                  </wp:wrapPolygon>
                </wp:wrapThrough>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835" cy="1945640"/>
                        </a:xfrm>
                        <a:prstGeom prst="rect">
                          <a:avLst/>
                        </a:prstGeom>
                        <a:solidFill>
                          <a:srgbClr val="9BBB59">
                            <a:lumMod val="75000"/>
                          </a:srgbClr>
                        </a:solidFill>
                        <a:ln w="9525" cap="flat" cmpd="sng" algn="ctr">
                          <a:noFill/>
                          <a:prstDash val="solid"/>
                        </a:ln>
                        <a:effectLst/>
                      </wps:spPr>
                      <wps:txbx>
                        <w:txbxContent>
                          <w:p w:rsidR="00A13D15" w:rsidRDefault="00D66A2E" w:rsidP="00A13D15"/>
                          <w:p w:rsidR="00A13D15" w:rsidRPr="00E2663F" w:rsidRDefault="00DA4E2C" w:rsidP="00A13D15">
                            <w:pPr>
                              <w:pStyle w:val="MassDOHHeader"/>
                              <w:rPr>
                                <w:b/>
                                <w:sz w:val="19"/>
                                <w:szCs w:val="19"/>
                              </w:rPr>
                            </w:pPr>
                            <w:r>
                              <w:rPr>
                                <w:b/>
                                <w:sz w:val="19"/>
                              </w:rPr>
                              <w:t>Departamento de Salud Pública de Massachusetts, Oficina de Salud Ambiental</w:t>
                            </w:r>
                          </w:p>
                          <w:p w:rsidR="00A13D15" w:rsidRPr="000E2648" w:rsidRDefault="00BA2032" w:rsidP="00A13D15">
                            <w:pPr>
                              <w:pStyle w:val="Heading1"/>
                              <w:rPr>
                                <w:sz w:val="56"/>
                                <w:szCs w:val="56"/>
                              </w:rPr>
                            </w:pPr>
                            <w:r>
                              <w:rPr>
                                <w:sz w:val="56"/>
                                <w:szCs w:val="56"/>
                              </w:rPr>
                              <w:t xml:space="preserve">Hoja de información </w:t>
                            </w:r>
                            <w:r w:rsidR="00DA4E2C" w:rsidRPr="000E2648">
                              <w:rPr>
                                <w:sz w:val="56"/>
                                <w:szCs w:val="56"/>
                              </w:rPr>
                              <w:t>sobre el radón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0.95pt;margin-top:-35.8pt;width:616.05pt;height:15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" fillcolor="#77933c" stroked="f">
                <v:path arrowok="t"/>
                <v:textbox>
                  <w:txbxContent>
                    <w:p w:rsidR="00A13D15" w:rsidRDefault="00596229" w:rsidP="00A13D15"/>
                    <w:p w:rsidR="00A13D15" w:rsidRPr="00E2663F" w:rsidRDefault="00DA4E2C" w:rsidP="00A13D15">
                      <w:pPr>
                        <w:pStyle w:val="MassDOHHeader"/>
                        <w:rPr>
                          <w:b/>
                          <w:sz w:val="19"/>
                          <w:szCs w:val="19"/>
                        </w:rPr>
                      </w:pPr>
                      <w:r>
                        <w:rPr>
                          <w:b/>
                          <w:sz w:val="19"/>
                        </w:rPr>
                        <w:t>Departamento de Salud Pública de Massachusetts, Oficina de Salud Ambiental</w:t>
                      </w:r>
                    </w:p>
                    <w:p w:rsidR="00A13D15" w:rsidRPr="000E2648" w:rsidRDefault="00BA2032" w:rsidP="00A13D15">
                      <w:pPr>
                        <w:pStyle w:val="Heading1"/>
                        <w:rPr>
                          <w:sz w:val="56"/>
                          <w:szCs w:val="56"/>
                        </w:rPr>
                      </w:pPr>
                      <w:r>
                        <w:rPr>
                          <w:sz w:val="56"/>
                          <w:szCs w:val="56"/>
                        </w:rPr>
                        <w:t xml:space="preserve">Hoja de información </w:t>
                      </w:r>
                      <w:r w:rsidR="00DA4E2C" w:rsidRPr="000E2648">
                        <w:rPr>
                          <w:sz w:val="56"/>
                          <w:szCs w:val="56"/>
                        </w:rPr>
                        <w:t>sobre el radón</w:t>
                      </w:r>
                    </w:p>
                  </w:txbxContent>
                </v:textbox>
                <w10:wrap type="through"/>
              </v:rect>
            </w:pict>
          </mc:Fallback>
        </mc:AlternateContent>
      </w:r>
    </w:p>
    <w:p w:rsidR="00BD3E39" w:rsidRDefault="00BD3E39" w:rsidP="00A13D15">
      <w:pPr>
        <w:pStyle w:val="Header"/>
        <w:sectPr w:rsidR="00BD3E39" w:rsidSect="00234758">
          <w:type w:val="continuous"/>
          <w:pgSz w:w="12240" w:h="15840"/>
          <w:pgMar w:top="720" w:right="720" w:bottom="720" w:left="720" w:header="720" w:footer="444" w:gutter="0"/>
          <w:cols w:space="720"/>
        </w:sectPr>
      </w:pPr>
    </w:p>
    <w:p w:rsidR="00E119E4" w:rsidRPr="006C154A" w:rsidRDefault="0043086D">
      <w:pPr>
        <w:rPr>
          <w:rFonts w:ascii="Arial" w:hAnsi="Arial" w:cs="Arial"/>
          <w:sz w:val="22"/>
          <w:szCs w:val="22"/>
        </w:rPr>
      </w:pPr>
      <w:r>
        <w:rPr>
          <w:rFonts w:ascii="Arial" w:hAnsi="Arial"/>
          <w:noProof/>
          <w:sz w:val="22"/>
          <w:lang w:val="en-US" w:eastAsia="en-US"/>
        </w:rPr>
        <w:lastRenderedPageBreak/>
        <w:drawing>
          <wp:inline distT="0" distB="0" distL="0" distR="0">
            <wp:extent cx="2052570" cy="1828800"/>
            <wp:effectExtent l="0" t="0" r="5080" b="0"/>
            <wp:docPr id="2" name="Picture 6" descr="Radon, Rn, 86, (222)" title="Radon Periodic Table of Elements, el rad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adon, Rn, 86, (222)" title="Radon Periodic Table of Element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2320" cy="1828800"/>
                    </a:xfrm>
                    <a:prstGeom prst="rect">
                      <a:avLst/>
                    </a:prstGeom>
                  </pic:spPr>
                </pic:pic>
              </a:graphicData>
            </a:graphic>
          </wp:inline>
        </w:drawing>
      </w:r>
    </w:p>
    <w:p w:rsidR="00182639" w:rsidRPr="00F52C37" w:rsidRDefault="00D66A2E">
      <w:pPr>
        <w:rPr>
          <w:rFonts w:ascii="Arial" w:hAnsi="Arial" w:cs="Arial"/>
          <w:b/>
          <w:sz w:val="19"/>
          <w:szCs w:val="19"/>
        </w:rPr>
      </w:pPr>
    </w:p>
    <w:p w:rsidR="00E119E4" w:rsidRPr="00F52C37" w:rsidRDefault="00DA4E2C">
      <w:pPr>
        <w:rPr>
          <w:rFonts w:ascii="Arial" w:hAnsi="Arial" w:cs="Arial"/>
          <w:b/>
          <w:caps/>
          <w:sz w:val="19"/>
          <w:szCs w:val="19"/>
        </w:rPr>
      </w:pPr>
      <w:r w:rsidRPr="00F52C37">
        <w:rPr>
          <w:rFonts w:ascii="Arial" w:hAnsi="Arial"/>
          <w:b/>
          <w:caps/>
          <w:sz w:val="19"/>
          <w:szCs w:val="19"/>
        </w:rPr>
        <w:t>¿Qué es el radón?</w:t>
      </w:r>
    </w:p>
    <w:p w:rsidR="00E119E4" w:rsidRPr="00F52C37" w:rsidRDefault="00DA4E2C">
      <w:pPr>
        <w:rPr>
          <w:rFonts w:ascii="Arial" w:hAnsi="Arial" w:cs="Arial"/>
          <w:sz w:val="19"/>
          <w:szCs w:val="19"/>
        </w:rPr>
      </w:pPr>
      <w:r w:rsidRPr="00F52C37">
        <w:rPr>
          <w:rFonts w:ascii="Arial" w:hAnsi="Arial"/>
          <w:sz w:val="19"/>
          <w:szCs w:val="19"/>
        </w:rPr>
        <w:t xml:space="preserve">El radón es un gas incoloro, inodoro, insípido y radiactivo que se origina en el suelo. El radón se forma a través de un proceso natural de la desintegración radiactiva. El uranio que se encuentra en rocas y en el suelo de la tierra se descompone en radón. Debido a que es un gas, el radón se puede desplazar </w:t>
      </w:r>
      <w:r w:rsidR="00BA2032" w:rsidRPr="00F52C37">
        <w:rPr>
          <w:rFonts w:ascii="Arial" w:hAnsi="Arial"/>
          <w:sz w:val="19"/>
          <w:szCs w:val="19"/>
        </w:rPr>
        <w:t>hacía</w:t>
      </w:r>
      <w:r w:rsidRPr="00F52C37">
        <w:rPr>
          <w:rFonts w:ascii="Arial" w:hAnsi="Arial"/>
          <w:sz w:val="19"/>
          <w:szCs w:val="19"/>
        </w:rPr>
        <w:t xml:space="preserve"> en el agua o el aire.</w:t>
      </w:r>
    </w:p>
    <w:p w:rsidR="00E119E4" w:rsidRPr="00F52C37" w:rsidRDefault="00E119E4">
      <w:pPr>
        <w:rPr>
          <w:rFonts w:ascii="Arial" w:hAnsi="Arial" w:cs="Arial"/>
          <w:sz w:val="19"/>
          <w:szCs w:val="19"/>
        </w:rPr>
      </w:pPr>
    </w:p>
    <w:p w:rsidR="00D15F56" w:rsidRPr="00F52C37" w:rsidRDefault="00DA4E2C">
      <w:pPr>
        <w:rPr>
          <w:rFonts w:ascii="Arial" w:hAnsi="Arial" w:cs="Arial"/>
          <w:sz w:val="19"/>
          <w:szCs w:val="19"/>
        </w:rPr>
      </w:pPr>
      <w:r w:rsidRPr="00F52C37">
        <w:rPr>
          <w:rFonts w:ascii="Arial" w:hAnsi="Arial"/>
          <w:sz w:val="19"/>
          <w:szCs w:val="19"/>
        </w:rPr>
        <w:t>El radón está presente al aire libre y se encuentra normalmente en niveles muy bajos en el aire exterior y en el agua superficial, como ríos y lagos. Se puede encontrar en niveles más altos en el aire en casas y otros edificios, así como en el agua de origen subterráneo, como el agua en pozos privados.</w:t>
      </w:r>
    </w:p>
    <w:p w:rsidR="00D15F56" w:rsidRPr="00F52C37" w:rsidRDefault="00D66A2E">
      <w:pPr>
        <w:rPr>
          <w:rFonts w:ascii="Arial" w:hAnsi="Arial" w:cs="Arial"/>
          <w:sz w:val="19"/>
          <w:szCs w:val="19"/>
        </w:rPr>
      </w:pPr>
    </w:p>
    <w:p w:rsidR="00E119E4" w:rsidRPr="00F52C37" w:rsidRDefault="00DA4E2C">
      <w:pPr>
        <w:rPr>
          <w:rFonts w:ascii="Arial" w:hAnsi="Arial" w:cs="Arial"/>
          <w:sz w:val="19"/>
          <w:szCs w:val="19"/>
        </w:rPr>
      </w:pPr>
      <w:r w:rsidRPr="00F52C37">
        <w:rPr>
          <w:rFonts w:ascii="Arial" w:hAnsi="Arial"/>
          <w:sz w:val="19"/>
          <w:szCs w:val="19"/>
        </w:rPr>
        <w:t xml:space="preserve">El gas radón que se desplaza desde debajo de la tierra </w:t>
      </w:r>
      <w:proofErr w:type="gramStart"/>
      <w:r w:rsidRPr="00F52C37">
        <w:rPr>
          <w:rFonts w:ascii="Arial" w:hAnsi="Arial"/>
          <w:sz w:val="19"/>
          <w:szCs w:val="19"/>
        </w:rPr>
        <w:t>pueden</w:t>
      </w:r>
      <w:proofErr w:type="gramEnd"/>
      <w:r w:rsidRPr="00F52C37">
        <w:rPr>
          <w:rFonts w:ascii="Arial" w:hAnsi="Arial"/>
          <w:sz w:val="19"/>
          <w:szCs w:val="19"/>
        </w:rPr>
        <w:t xml:space="preserve"> migrar a los espacios interiores, tales como sótanos y espacios angostos. Una vez dentro de un espacio cerrado, como una casa, el radón se puede acumular. Por esta razón, los niveles de radón que se encuentran en un hogar suelen ser mayores que la concentración promedio de radón al aire libre de </w:t>
      </w:r>
      <w:r w:rsidR="00633741">
        <w:rPr>
          <w:rFonts w:ascii="Arial" w:hAnsi="Arial"/>
          <w:sz w:val="19"/>
          <w:szCs w:val="19"/>
        </w:rPr>
        <w:t>0.</w:t>
      </w:r>
      <w:r w:rsidRPr="00F52C37">
        <w:rPr>
          <w:rFonts w:ascii="Arial" w:hAnsi="Arial"/>
          <w:sz w:val="19"/>
          <w:szCs w:val="19"/>
        </w:rPr>
        <w:t>4 pCi/L (</w:t>
      </w:r>
      <w:proofErr w:type="spellStart"/>
      <w:r w:rsidRPr="00F52C37">
        <w:rPr>
          <w:rFonts w:ascii="Arial" w:hAnsi="Arial"/>
          <w:sz w:val="19"/>
          <w:szCs w:val="19"/>
        </w:rPr>
        <w:t>picocurios</w:t>
      </w:r>
      <w:proofErr w:type="spellEnd"/>
      <w:r w:rsidRPr="00F52C37">
        <w:rPr>
          <w:rFonts w:ascii="Arial" w:hAnsi="Arial"/>
          <w:sz w:val="19"/>
          <w:szCs w:val="19"/>
        </w:rPr>
        <w:t xml:space="preserve"> por litro de aire).</w:t>
      </w:r>
    </w:p>
    <w:p w:rsidR="00E119E4" w:rsidRPr="00F52C37" w:rsidRDefault="00E119E4">
      <w:pPr>
        <w:rPr>
          <w:rFonts w:ascii="Arial" w:hAnsi="Arial" w:cs="Arial"/>
          <w:sz w:val="19"/>
          <w:szCs w:val="19"/>
        </w:rPr>
      </w:pPr>
    </w:p>
    <w:p w:rsidR="00E119E4" w:rsidRPr="00F52C37" w:rsidRDefault="00DA4E2C">
      <w:pPr>
        <w:rPr>
          <w:rFonts w:ascii="Arial" w:hAnsi="Arial" w:cs="Arial"/>
          <w:b/>
          <w:caps/>
          <w:sz w:val="19"/>
          <w:szCs w:val="19"/>
        </w:rPr>
      </w:pPr>
      <w:r w:rsidRPr="00F52C37">
        <w:rPr>
          <w:rFonts w:ascii="Arial" w:hAnsi="Arial"/>
          <w:b/>
          <w:caps/>
          <w:sz w:val="19"/>
          <w:szCs w:val="19"/>
        </w:rPr>
        <w:t>¿Cómo entra el radón en los hogares?</w:t>
      </w:r>
    </w:p>
    <w:p w:rsidR="006F5BE4" w:rsidRPr="00F52C37" w:rsidRDefault="00DA4E2C">
      <w:pPr>
        <w:rPr>
          <w:rFonts w:ascii="Arial" w:hAnsi="Arial" w:cs="Arial"/>
          <w:sz w:val="19"/>
          <w:szCs w:val="19"/>
        </w:rPr>
      </w:pPr>
      <w:r w:rsidRPr="00F52C37">
        <w:rPr>
          <w:rFonts w:ascii="Arial" w:hAnsi="Arial"/>
          <w:sz w:val="19"/>
          <w:szCs w:val="19"/>
        </w:rPr>
        <w:t>El radón se encuentra en los hogares nuevos o antiguos. Se encuentra en los hogares con y sin sótanos. Se encuentra en las casas construidas en cornisas y casas const</w:t>
      </w:r>
      <w:r w:rsidR="00BA2032">
        <w:rPr>
          <w:rFonts w:ascii="Arial" w:hAnsi="Arial"/>
          <w:sz w:val="19"/>
          <w:szCs w:val="19"/>
        </w:rPr>
        <w:t xml:space="preserve">ruidas sobre las arenas de Cape </w:t>
      </w:r>
      <w:proofErr w:type="spellStart"/>
      <w:r w:rsidR="00BA2032">
        <w:rPr>
          <w:rFonts w:ascii="Arial" w:hAnsi="Arial"/>
          <w:sz w:val="19"/>
          <w:szCs w:val="19"/>
        </w:rPr>
        <w:t>Cod</w:t>
      </w:r>
      <w:proofErr w:type="spellEnd"/>
      <w:r w:rsidRPr="00F52C37">
        <w:rPr>
          <w:rFonts w:ascii="Arial" w:hAnsi="Arial"/>
          <w:sz w:val="19"/>
          <w:szCs w:val="19"/>
        </w:rPr>
        <w:t>.</w:t>
      </w:r>
    </w:p>
    <w:p w:rsidR="006F5BE4" w:rsidRPr="00F52C37" w:rsidRDefault="00D66A2E">
      <w:pPr>
        <w:rPr>
          <w:rFonts w:ascii="Arial" w:hAnsi="Arial" w:cs="Arial"/>
          <w:sz w:val="19"/>
          <w:szCs w:val="19"/>
        </w:rPr>
      </w:pPr>
    </w:p>
    <w:p w:rsidR="00635D47" w:rsidRPr="00F52C37" w:rsidRDefault="00DA4E2C">
      <w:pPr>
        <w:rPr>
          <w:rFonts w:ascii="Arial" w:hAnsi="Arial" w:cs="Arial"/>
          <w:sz w:val="19"/>
          <w:szCs w:val="19"/>
        </w:rPr>
      </w:pPr>
      <w:r w:rsidRPr="00F52C37">
        <w:rPr>
          <w:rFonts w:ascii="Arial" w:hAnsi="Arial"/>
          <w:sz w:val="19"/>
          <w:szCs w:val="19"/>
        </w:rPr>
        <w:t>El radón puede entrar en una casa de dos maneras. La vía de acceso principal para el radón en una casa es a través del sótano desde el piso.</w:t>
      </w:r>
    </w:p>
    <w:p w:rsidR="00AB11E6" w:rsidRPr="00F52C37" w:rsidRDefault="00DA4E2C" w:rsidP="005A4942">
      <w:pPr>
        <w:rPr>
          <w:rFonts w:ascii="Arial" w:hAnsi="Arial" w:cs="Arial"/>
          <w:sz w:val="19"/>
          <w:szCs w:val="19"/>
        </w:rPr>
      </w:pPr>
      <w:r w:rsidRPr="00F52C37">
        <w:rPr>
          <w:sz w:val="19"/>
          <w:szCs w:val="19"/>
        </w:rPr>
        <w:br w:type="column"/>
      </w:r>
    </w:p>
    <w:tbl>
      <w:tblPr>
        <w:tblW w:w="5328" w:type="dxa"/>
        <w:tblCellMar>
          <w:left w:w="115" w:type="dxa"/>
          <w:right w:w="115" w:type="dxa"/>
        </w:tblCellMar>
        <w:tblLook w:val="04A0" w:firstRow="1" w:lastRow="0" w:firstColumn="1" w:lastColumn="0" w:noHBand="0" w:noVBand="1"/>
      </w:tblPr>
      <w:tblGrid>
        <w:gridCol w:w="2628"/>
        <w:gridCol w:w="2700"/>
      </w:tblGrid>
      <w:tr w:rsidR="005A4942" w:rsidRPr="00F52C37" w:rsidTr="009C2909">
        <w:trPr>
          <w:cantSplit/>
        </w:trPr>
        <w:tc>
          <w:tcPr>
            <w:tcW w:w="5328" w:type="dxa"/>
            <w:gridSpan w:val="2"/>
            <w:shd w:val="clear" w:color="auto" w:fill="auto"/>
          </w:tcPr>
          <w:p w:rsidR="005A4942" w:rsidRPr="00F52C37" w:rsidRDefault="00DA4E2C" w:rsidP="009C2909">
            <w:pPr>
              <w:keepLines/>
              <w:widowControl w:val="0"/>
              <w:rPr>
                <w:rFonts w:ascii="Arial" w:hAnsi="Arial" w:cs="Arial"/>
                <w:i/>
                <w:sz w:val="19"/>
                <w:szCs w:val="19"/>
              </w:rPr>
            </w:pPr>
            <w:r w:rsidRPr="00F52C37">
              <w:rPr>
                <w:rFonts w:ascii="Arial" w:hAnsi="Arial"/>
                <w:sz w:val="19"/>
                <w:szCs w:val="19"/>
              </w:rPr>
              <w:t>El radón puede entrar en una casa de la siguiente forma:</w:t>
            </w:r>
          </w:p>
        </w:tc>
      </w:tr>
      <w:tr w:rsidR="005A4942" w:rsidRPr="00F52C37" w:rsidTr="009C2909">
        <w:trPr>
          <w:cantSplit/>
        </w:trPr>
        <w:tc>
          <w:tcPr>
            <w:tcW w:w="2628" w:type="dxa"/>
            <w:shd w:val="clear" w:color="auto" w:fill="auto"/>
          </w:tcPr>
          <w:p w:rsidR="005A4942" w:rsidRPr="00F52C37" w:rsidRDefault="00DA4E2C" w:rsidP="009C2909">
            <w:pPr>
              <w:pStyle w:val="ListParagraph"/>
              <w:keepLines/>
              <w:widowControl w:val="0"/>
              <w:numPr>
                <w:ilvl w:val="0"/>
                <w:numId w:val="4"/>
              </w:numPr>
              <w:ind w:left="180" w:hanging="180"/>
              <w:rPr>
                <w:rFonts w:ascii="Arial" w:hAnsi="Arial" w:cs="Arial"/>
                <w:sz w:val="19"/>
                <w:szCs w:val="19"/>
              </w:rPr>
            </w:pPr>
            <w:r w:rsidRPr="00F52C37">
              <w:rPr>
                <w:rFonts w:ascii="Arial" w:hAnsi="Arial"/>
                <w:sz w:val="19"/>
                <w:szCs w:val="19"/>
              </w:rPr>
              <w:t xml:space="preserve">uniones entre el piso y la pared </w:t>
            </w:r>
          </w:p>
        </w:tc>
        <w:tc>
          <w:tcPr>
            <w:tcW w:w="2700" w:type="dxa"/>
            <w:shd w:val="clear" w:color="auto" w:fill="auto"/>
          </w:tcPr>
          <w:p w:rsidR="005A4942" w:rsidRPr="00F52C37" w:rsidRDefault="00DA4E2C" w:rsidP="009C2909">
            <w:pPr>
              <w:pStyle w:val="ListParagraph"/>
              <w:keepLines/>
              <w:widowControl w:val="0"/>
              <w:numPr>
                <w:ilvl w:val="0"/>
                <w:numId w:val="4"/>
              </w:numPr>
              <w:ind w:left="180" w:hanging="180"/>
              <w:rPr>
                <w:rFonts w:ascii="Arial" w:hAnsi="Arial" w:cs="Arial"/>
                <w:sz w:val="19"/>
                <w:szCs w:val="19"/>
              </w:rPr>
            </w:pPr>
            <w:r w:rsidRPr="00F52C37">
              <w:rPr>
                <w:rFonts w:ascii="Arial" w:hAnsi="Arial"/>
                <w:sz w:val="19"/>
                <w:szCs w:val="19"/>
              </w:rPr>
              <w:t>espacios reducidos</w:t>
            </w:r>
          </w:p>
        </w:tc>
      </w:tr>
      <w:tr w:rsidR="005A4942" w:rsidRPr="00F52C37" w:rsidTr="009C2909">
        <w:trPr>
          <w:cantSplit/>
        </w:trPr>
        <w:tc>
          <w:tcPr>
            <w:tcW w:w="2628" w:type="dxa"/>
            <w:shd w:val="clear" w:color="auto" w:fill="auto"/>
          </w:tcPr>
          <w:p w:rsidR="005A4942" w:rsidRPr="00F52C37" w:rsidRDefault="00DA4E2C" w:rsidP="009C2909">
            <w:pPr>
              <w:pStyle w:val="ListParagraph"/>
              <w:keepLines/>
              <w:widowControl w:val="0"/>
              <w:numPr>
                <w:ilvl w:val="0"/>
                <w:numId w:val="4"/>
              </w:numPr>
              <w:ind w:left="180" w:hanging="180"/>
              <w:rPr>
                <w:rFonts w:ascii="Arial" w:hAnsi="Arial" w:cs="Arial"/>
                <w:sz w:val="19"/>
                <w:szCs w:val="19"/>
              </w:rPr>
            </w:pPr>
            <w:r w:rsidRPr="00F52C37">
              <w:rPr>
                <w:rFonts w:ascii="Arial" w:hAnsi="Arial"/>
                <w:sz w:val="19"/>
                <w:szCs w:val="19"/>
              </w:rPr>
              <w:t>fosas sépticas, desagües del piso</w:t>
            </w:r>
          </w:p>
        </w:tc>
        <w:tc>
          <w:tcPr>
            <w:tcW w:w="2700" w:type="dxa"/>
            <w:shd w:val="clear" w:color="auto" w:fill="auto"/>
          </w:tcPr>
          <w:p w:rsidR="005A4942" w:rsidRPr="00F52C37" w:rsidRDefault="00BA2032" w:rsidP="009C2909">
            <w:pPr>
              <w:pStyle w:val="ListParagraph"/>
              <w:keepLines/>
              <w:widowControl w:val="0"/>
              <w:numPr>
                <w:ilvl w:val="0"/>
                <w:numId w:val="4"/>
              </w:numPr>
              <w:ind w:left="180" w:hanging="180"/>
              <w:rPr>
                <w:rFonts w:ascii="Arial" w:hAnsi="Arial" w:cs="Arial"/>
                <w:sz w:val="19"/>
                <w:szCs w:val="19"/>
              </w:rPr>
            </w:pPr>
            <w:r>
              <w:rPr>
                <w:rFonts w:ascii="Arial" w:hAnsi="Arial"/>
                <w:sz w:val="19"/>
                <w:szCs w:val="19"/>
              </w:rPr>
              <w:t>bases</w:t>
            </w:r>
            <w:r w:rsidR="00DA4E2C" w:rsidRPr="00F52C37">
              <w:rPr>
                <w:rFonts w:ascii="Arial" w:hAnsi="Arial"/>
                <w:sz w:val="19"/>
                <w:szCs w:val="19"/>
              </w:rPr>
              <w:t xml:space="preserve"> de los muros de bloques</w:t>
            </w:r>
          </w:p>
        </w:tc>
      </w:tr>
      <w:tr w:rsidR="005A4942" w:rsidRPr="00F52C37" w:rsidTr="009C2909">
        <w:trPr>
          <w:cantSplit/>
        </w:trPr>
        <w:tc>
          <w:tcPr>
            <w:tcW w:w="2628" w:type="dxa"/>
            <w:shd w:val="clear" w:color="auto" w:fill="auto"/>
          </w:tcPr>
          <w:p w:rsidR="005A4942" w:rsidRPr="00F52C37" w:rsidRDefault="00DA4E2C" w:rsidP="009C2909">
            <w:pPr>
              <w:pStyle w:val="ListParagraph"/>
              <w:keepLines/>
              <w:widowControl w:val="0"/>
              <w:numPr>
                <w:ilvl w:val="0"/>
                <w:numId w:val="4"/>
              </w:numPr>
              <w:ind w:left="180" w:hanging="180"/>
              <w:rPr>
                <w:sz w:val="19"/>
                <w:szCs w:val="19"/>
              </w:rPr>
            </w:pPr>
            <w:r w:rsidRPr="00F52C37">
              <w:rPr>
                <w:rFonts w:ascii="Arial" w:hAnsi="Arial"/>
                <w:sz w:val="19"/>
                <w:szCs w:val="19"/>
              </w:rPr>
              <w:t>perforaciones para las líneas de servicios públicos</w:t>
            </w:r>
          </w:p>
        </w:tc>
        <w:tc>
          <w:tcPr>
            <w:tcW w:w="2700" w:type="dxa"/>
            <w:shd w:val="clear" w:color="auto" w:fill="auto"/>
          </w:tcPr>
          <w:p w:rsidR="005A4942" w:rsidRPr="00F52C37" w:rsidRDefault="00DA4E2C" w:rsidP="009C2909">
            <w:pPr>
              <w:pStyle w:val="ListParagraph"/>
              <w:keepLines/>
              <w:widowControl w:val="0"/>
              <w:numPr>
                <w:ilvl w:val="0"/>
                <w:numId w:val="4"/>
              </w:numPr>
              <w:ind w:left="180" w:hanging="180"/>
              <w:rPr>
                <w:sz w:val="19"/>
                <w:szCs w:val="19"/>
              </w:rPr>
            </w:pPr>
            <w:r w:rsidRPr="00F52C37">
              <w:rPr>
                <w:rFonts w:ascii="Arial" w:hAnsi="Arial"/>
                <w:sz w:val="19"/>
                <w:szCs w:val="19"/>
              </w:rPr>
              <w:t xml:space="preserve">grietas y hendiduras en pisos y paredes </w:t>
            </w:r>
          </w:p>
        </w:tc>
      </w:tr>
      <w:tr w:rsidR="005A4942" w:rsidRPr="00F52C37" w:rsidTr="009C2909">
        <w:trPr>
          <w:cantSplit/>
        </w:trPr>
        <w:tc>
          <w:tcPr>
            <w:tcW w:w="2628" w:type="dxa"/>
            <w:shd w:val="clear" w:color="auto" w:fill="auto"/>
          </w:tcPr>
          <w:p w:rsidR="005A4942" w:rsidRPr="00F52C37" w:rsidRDefault="00DA4E2C" w:rsidP="009C2909">
            <w:pPr>
              <w:pStyle w:val="ListParagraph"/>
              <w:keepLines/>
              <w:widowControl w:val="0"/>
              <w:numPr>
                <w:ilvl w:val="0"/>
                <w:numId w:val="4"/>
              </w:numPr>
              <w:ind w:left="180" w:hanging="180"/>
              <w:rPr>
                <w:rFonts w:ascii="Arial" w:hAnsi="Arial" w:cs="Arial"/>
                <w:sz w:val="19"/>
                <w:szCs w:val="19"/>
              </w:rPr>
            </w:pPr>
            <w:r w:rsidRPr="00F52C37">
              <w:rPr>
                <w:rFonts w:ascii="Arial" w:hAnsi="Arial"/>
                <w:sz w:val="19"/>
                <w:szCs w:val="19"/>
              </w:rPr>
              <w:t>pisos de tierra</w:t>
            </w:r>
          </w:p>
        </w:tc>
        <w:tc>
          <w:tcPr>
            <w:tcW w:w="2700" w:type="dxa"/>
            <w:shd w:val="clear" w:color="auto" w:fill="auto"/>
          </w:tcPr>
          <w:p w:rsidR="005A4942" w:rsidRPr="00F52C37" w:rsidRDefault="00D66A2E" w:rsidP="009C2909">
            <w:pPr>
              <w:keepLines/>
              <w:widowControl w:val="0"/>
              <w:rPr>
                <w:rFonts w:ascii="Arial" w:hAnsi="Arial" w:cs="Arial"/>
                <w:i/>
                <w:sz w:val="19"/>
                <w:szCs w:val="19"/>
              </w:rPr>
            </w:pPr>
          </w:p>
        </w:tc>
      </w:tr>
    </w:tbl>
    <w:p w:rsidR="00835AE0" w:rsidRPr="00F52C37" w:rsidRDefault="00D66A2E">
      <w:pPr>
        <w:rPr>
          <w:rFonts w:ascii="Arial" w:hAnsi="Arial" w:cs="Arial"/>
          <w:i/>
          <w:sz w:val="19"/>
          <w:szCs w:val="19"/>
        </w:rPr>
      </w:pPr>
    </w:p>
    <w:p w:rsidR="003A640E" w:rsidRPr="00F52C37" w:rsidRDefault="00DA4E2C">
      <w:pPr>
        <w:rPr>
          <w:rFonts w:ascii="Arial" w:hAnsi="Arial" w:cs="Arial"/>
          <w:sz w:val="19"/>
          <w:szCs w:val="19"/>
        </w:rPr>
      </w:pPr>
      <w:r w:rsidRPr="000C00F2">
        <w:rPr>
          <w:rFonts w:ascii="Arial" w:hAnsi="Arial"/>
          <w:i/>
          <w:iCs/>
          <w:sz w:val="19"/>
          <w:szCs w:val="19"/>
        </w:rPr>
        <w:t>La mayor parte de la exposición al radón en una casa es cuando el radón se desplaza desde el piso</w:t>
      </w:r>
      <w:r w:rsidRPr="00F52C37">
        <w:rPr>
          <w:rFonts w:ascii="Arial" w:hAnsi="Arial"/>
          <w:sz w:val="19"/>
          <w:szCs w:val="19"/>
        </w:rPr>
        <w:t xml:space="preserve">. Como resultado, las concentraciones de radón tienden a ser más </w:t>
      </w:r>
      <w:proofErr w:type="gramStart"/>
      <w:r w:rsidRPr="00F52C37">
        <w:rPr>
          <w:rFonts w:ascii="Arial" w:hAnsi="Arial"/>
          <w:sz w:val="19"/>
          <w:szCs w:val="19"/>
        </w:rPr>
        <w:t>altas</w:t>
      </w:r>
      <w:proofErr w:type="gramEnd"/>
      <w:r w:rsidRPr="00F52C37">
        <w:rPr>
          <w:rFonts w:ascii="Arial" w:hAnsi="Arial"/>
          <w:sz w:val="19"/>
          <w:szCs w:val="19"/>
        </w:rPr>
        <w:t xml:space="preserve"> en los niveles más bajos de la casa. Ya que el aire interior representa la mayor exposición al radón, debe realizar pruebas en su casa para determinar si el radón se encuentra en niveles preocupantes.</w:t>
      </w:r>
    </w:p>
    <w:p w:rsidR="00635D47" w:rsidRPr="00F52C37" w:rsidRDefault="00D66A2E">
      <w:pPr>
        <w:rPr>
          <w:rFonts w:ascii="Arial" w:hAnsi="Arial" w:cs="Arial"/>
          <w:sz w:val="19"/>
          <w:szCs w:val="19"/>
        </w:rPr>
      </w:pPr>
    </w:p>
    <w:p w:rsidR="00635D47" w:rsidRPr="00F52C37" w:rsidRDefault="00DA4E2C">
      <w:pPr>
        <w:rPr>
          <w:rFonts w:ascii="Arial" w:hAnsi="Arial" w:cs="Arial"/>
          <w:sz w:val="19"/>
          <w:szCs w:val="19"/>
        </w:rPr>
      </w:pPr>
      <w:r w:rsidRPr="00F52C37">
        <w:rPr>
          <w:rFonts w:ascii="Arial" w:hAnsi="Arial"/>
          <w:sz w:val="19"/>
          <w:szCs w:val="19"/>
        </w:rPr>
        <w:t xml:space="preserve">La segunda vía de ingreso del radón a una casa es a través del agua de pozos privados. El radón se puede disolver en el agua subterránea. Cuando se utiliza agua de pozo en el hogar, el radón en el agua puede pasar al aire. Los estudios indican que muy pocas reservas de agua subterránea públicas contienen suficiente radón para convertirse en una fuente significativa de este elemento en los hogares. Hay muy poco radón en los suministros de agua superficiales debido a que el agua está expuesta al aire exterior, lo </w:t>
      </w:r>
      <w:proofErr w:type="gramStart"/>
      <w:r w:rsidRPr="00F52C37">
        <w:rPr>
          <w:rFonts w:ascii="Arial" w:hAnsi="Arial"/>
          <w:sz w:val="19"/>
          <w:szCs w:val="19"/>
        </w:rPr>
        <w:t>que</w:t>
      </w:r>
      <w:proofErr w:type="gramEnd"/>
      <w:r w:rsidRPr="00F52C37">
        <w:rPr>
          <w:rFonts w:ascii="Arial" w:hAnsi="Arial"/>
          <w:sz w:val="19"/>
          <w:szCs w:val="19"/>
        </w:rPr>
        <w:t xml:space="preserve"> disminuye la concentración de radón en el agua. Los hogares con agua de pozo son una mayor fuente de exposición al radón que las casas que tienen otras fuentes de agua potable. Si usted cuenta con un pozo privado, usted debe realizar pruebas en su agua para comprobar la existencia de radón.</w:t>
      </w:r>
    </w:p>
    <w:p w:rsidR="009A79B7" w:rsidRPr="00F52C37" w:rsidRDefault="00D66A2E">
      <w:pPr>
        <w:rPr>
          <w:rFonts w:ascii="Arial" w:hAnsi="Arial" w:cs="Arial"/>
          <w:sz w:val="19"/>
          <w:szCs w:val="19"/>
        </w:rPr>
      </w:pPr>
    </w:p>
    <w:p w:rsidR="003A640E" w:rsidRPr="00F52C37" w:rsidRDefault="00DA4E2C">
      <w:pPr>
        <w:rPr>
          <w:rFonts w:ascii="Arial" w:hAnsi="Arial" w:cs="Arial"/>
          <w:b/>
          <w:caps/>
          <w:sz w:val="19"/>
          <w:szCs w:val="19"/>
        </w:rPr>
      </w:pPr>
      <w:r w:rsidRPr="00F52C37">
        <w:rPr>
          <w:rFonts w:ascii="Arial" w:hAnsi="Arial"/>
          <w:b/>
          <w:caps/>
          <w:sz w:val="19"/>
          <w:szCs w:val="19"/>
        </w:rPr>
        <w:t>¿La exposición al radón en interiores es dañina?</w:t>
      </w:r>
    </w:p>
    <w:p w:rsidR="00D6217C" w:rsidRPr="00F52C37" w:rsidRDefault="00DA4E2C">
      <w:pPr>
        <w:rPr>
          <w:rFonts w:ascii="Arial" w:hAnsi="Arial" w:cs="Arial"/>
          <w:sz w:val="19"/>
          <w:szCs w:val="19"/>
        </w:rPr>
      </w:pPr>
      <w:r w:rsidRPr="00F52C37">
        <w:rPr>
          <w:rFonts w:ascii="Arial" w:hAnsi="Arial"/>
          <w:sz w:val="19"/>
          <w:szCs w:val="19"/>
        </w:rPr>
        <w:t>Sí. El radón es un carcinógeno, lo que significa que se sabe que causan cáncer en los seres humanos. Si bien hay muchas fuentes de radiación, el radón sigue siendo la mayor fuente de exposición. Debido a que pasamos tanto tiempo en el interior, el radón en el hogar representa la mayor exposición y preocupación.</w:t>
      </w:r>
    </w:p>
    <w:p w:rsidR="000224BA" w:rsidRPr="00F52C37" w:rsidRDefault="00D66A2E">
      <w:pPr>
        <w:rPr>
          <w:rFonts w:ascii="Arial" w:hAnsi="Arial" w:cs="Arial"/>
          <w:sz w:val="19"/>
          <w:szCs w:val="19"/>
        </w:rPr>
      </w:pPr>
    </w:p>
    <w:p w:rsidR="000224BA" w:rsidRPr="00F52C37" w:rsidRDefault="00DA4E2C">
      <w:pPr>
        <w:rPr>
          <w:rFonts w:ascii="Arial" w:hAnsi="Arial" w:cs="Arial"/>
          <w:sz w:val="19"/>
          <w:szCs w:val="19"/>
        </w:rPr>
      </w:pPr>
      <w:r w:rsidRPr="00F52C37">
        <w:rPr>
          <w:rFonts w:ascii="Arial" w:hAnsi="Arial"/>
          <w:sz w:val="19"/>
          <w:szCs w:val="19"/>
        </w:rPr>
        <w:t xml:space="preserve">Cuando el radón se somete a descomposición radiactiva, se descompone en otros elementos radioactivos denominados derivados del radón (o progenie). Los derivados del radón son sólidos, no gases, y se adhieren a superficies tales como partículas de polvo en el aire. Las partículas de polvo que transportan derivados del radón pueden moverse </w:t>
      </w:r>
      <w:r w:rsidRPr="00F52C37">
        <w:rPr>
          <w:rFonts w:ascii="Arial" w:hAnsi="Arial"/>
          <w:sz w:val="19"/>
          <w:szCs w:val="19"/>
        </w:rPr>
        <w:lastRenderedPageBreak/>
        <w:t xml:space="preserve">con el aire. Si se inhala el polvo contaminado, estas partículas pueden adherirse a las vías respiratorias de los pulmones. A medida que estas partículas de polvo radiactivo se descomponen cada vez más, liberan pequeñas ráfagas de energía, que pueden dañar el tejido pulmonar. Con el tiempo, las células dañadas dentro de los pulmones pueden actuar de manera anormal y se puede desarrollar cáncer de pulmón. En general, el riesgo de cáncer de pulmón aumenta a medida que el nivel de radón y el tiempo de exposición </w:t>
      </w:r>
      <w:proofErr w:type="gramStart"/>
      <w:r w:rsidRPr="00F52C37">
        <w:rPr>
          <w:rFonts w:ascii="Arial" w:hAnsi="Arial"/>
          <w:sz w:val="19"/>
          <w:szCs w:val="19"/>
        </w:rPr>
        <w:t>aumenta</w:t>
      </w:r>
      <w:proofErr w:type="gramEnd"/>
      <w:r w:rsidRPr="00F52C37">
        <w:rPr>
          <w:rFonts w:ascii="Arial" w:hAnsi="Arial"/>
          <w:sz w:val="19"/>
          <w:szCs w:val="19"/>
        </w:rPr>
        <w:t>.</w:t>
      </w:r>
    </w:p>
    <w:p w:rsidR="00D6217C" w:rsidRPr="00F52C37" w:rsidRDefault="00D66A2E">
      <w:pPr>
        <w:rPr>
          <w:rFonts w:ascii="Arial" w:hAnsi="Arial" w:cs="Arial"/>
          <w:sz w:val="19"/>
          <w:szCs w:val="19"/>
        </w:rPr>
      </w:pPr>
    </w:p>
    <w:p w:rsidR="00D15F56" w:rsidRPr="00F52C37" w:rsidRDefault="00DA4E2C" w:rsidP="00A13D15">
      <w:pPr>
        <w:rPr>
          <w:rFonts w:ascii="Arial" w:hAnsi="Arial" w:cs="Arial"/>
          <w:sz w:val="19"/>
          <w:szCs w:val="19"/>
        </w:rPr>
      </w:pPr>
      <w:r w:rsidRPr="00F52C37">
        <w:rPr>
          <w:rFonts w:ascii="Arial" w:hAnsi="Arial"/>
          <w:sz w:val="19"/>
          <w:szCs w:val="19"/>
        </w:rPr>
        <w:t>El radón es la causa principal de cáncer de pulmón en personas que nunca fuman, y la segunda causa principal de cáncer de pulmón en general. Cuanto mayor sea la exposición al radón, especialmente si usted fuma cigarrillos, mayor es la probabilidad de desarrollar cáncer de pulmón.</w:t>
      </w:r>
    </w:p>
    <w:p w:rsidR="00F66902" w:rsidRPr="00F52C37" w:rsidRDefault="00D66A2E">
      <w:pPr>
        <w:rPr>
          <w:rFonts w:ascii="Arial" w:hAnsi="Arial" w:cs="Arial"/>
          <w:sz w:val="19"/>
          <w:szCs w:val="19"/>
        </w:rPr>
      </w:pPr>
    </w:p>
    <w:p w:rsidR="00F66902" w:rsidRPr="00F52C37" w:rsidRDefault="00DA4E2C">
      <w:pPr>
        <w:rPr>
          <w:rFonts w:ascii="Arial" w:hAnsi="Arial" w:cs="Arial"/>
          <w:sz w:val="19"/>
          <w:szCs w:val="19"/>
        </w:rPr>
      </w:pPr>
      <w:r w:rsidRPr="00F52C37">
        <w:rPr>
          <w:rFonts w:ascii="Arial" w:hAnsi="Arial"/>
          <w:sz w:val="19"/>
          <w:szCs w:val="19"/>
        </w:rPr>
        <w:t>La Agencia de Protección Ambiental de los Estados Unidos (EPA</w:t>
      </w:r>
      <w:r w:rsidR="00BA2032">
        <w:rPr>
          <w:rFonts w:ascii="Arial" w:hAnsi="Arial"/>
          <w:sz w:val="19"/>
          <w:szCs w:val="19"/>
        </w:rPr>
        <w:t>, por sus siglas en inglés</w:t>
      </w:r>
      <w:r w:rsidRPr="00F52C37">
        <w:rPr>
          <w:rFonts w:ascii="Arial" w:hAnsi="Arial"/>
          <w:sz w:val="19"/>
          <w:szCs w:val="19"/>
        </w:rPr>
        <w:t>) calcula que ocurren anualmente 21,000 muertes relacionadas con el radón en los Estados Unidos. Las muertes atribuidas al radón son muy superiores a las muertes anuales debidas a accidentes de tráfico, caídas, ahogamientos, e incendios.</w:t>
      </w:r>
    </w:p>
    <w:p w:rsidR="00F66902" w:rsidRPr="00F52C37" w:rsidRDefault="00D66A2E">
      <w:pPr>
        <w:rPr>
          <w:rFonts w:ascii="Arial" w:hAnsi="Arial" w:cs="Arial"/>
          <w:sz w:val="19"/>
          <w:szCs w:val="19"/>
        </w:rPr>
      </w:pPr>
    </w:p>
    <w:p w:rsidR="006F6FB8" w:rsidRPr="00F52C37" w:rsidRDefault="00DA4E2C">
      <w:pPr>
        <w:rPr>
          <w:rFonts w:ascii="Arial" w:hAnsi="Arial" w:cs="Arial"/>
          <w:sz w:val="19"/>
          <w:szCs w:val="19"/>
        </w:rPr>
      </w:pPr>
      <w:r w:rsidRPr="00F52C37">
        <w:rPr>
          <w:rFonts w:ascii="Arial" w:hAnsi="Arial"/>
          <w:sz w:val="19"/>
          <w:szCs w:val="19"/>
        </w:rPr>
        <w:t xml:space="preserve">Las muertes relacionadas con el radón en los EE.UU. se pueden prevenir. Las pruebas de aire en una casa </w:t>
      </w:r>
      <w:proofErr w:type="gramStart"/>
      <w:r w:rsidRPr="00F52C37">
        <w:rPr>
          <w:rFonts w:ascii="Arial" w:hAnsi="Arial"/>
          <w:sz w:val="19"/>
          <w:szCs w:val="19"/>
        </w:rPr>
        <w:t>puede</w:t>
      </w:r>
      <w:proofErr w:type="gramEnd"/>
      <w:r w:rsidRPr="00F52C37">
        <w:rPr>
          <w:rFonts w:ascii="Arial" w:hAnsi="Arial"/>
          <w:sz w:val="19"/>
          <w:szCs w:val="19"/>
        </w:rPr>
        <w:t xml:space="preserve"> ayudar a identificar si el radón es un problema dentro de la vivienda.</w:t>
      </w:r>
    </w:p>
    <w:p w:rsidR="006F6FB8" w:rsidRPr="00F52C37" w:rsidRDefault="00D66A2E">
      <w:pPr>
        <w:rPr>
          <w:rFonts w:ascii="Arial" w:hAnsi="Arial" w:cs="Arial"/>
          <w:sz w:val="19"/>
          <w:szCs w:val="19"/>
        </w:rPr>
      </w:pPr>
    </w:p>
    <w:p w:rsidR="00F66902" w:rsidRPr="00F52C37" w:rsidRDefault="00DA4E2C">
      <w:pPr>
        <w:rPr>
          <w:rFonts w:ascii="Arial" w:hAnsi="Arial" w:cs="Arial"/>
          <w:b/>
          <w:caps/>
          <w:sz w:val="19"/>
          <w:szCs w:val="19"/>
        </w:rPr>
      </w:pPr>
      <w:r w:rsidRPr="00F52C37">
        <w:rPr>
          <w:rFonts w:ascii="Arial" w:hAnsi="Arial"/>
          <w:b/>
          <w:caps/>
          <w:sz w:val="19"/>
          <w:szCs w:val="19"/>
        </w:rPr>
        <w:t>¿Qué significa esto para los residentes de Massachusetts?</w:t>
      </w:r>
    </w:p>
    <w:p w:rsidR="00AD0339" w:rsidRPr="00F52C37" w:rsidRDefault="00BA2032">
      <w:pPr>
        <w:rPr>
          <w:rFonts w:ascii="Arial" w:hAnsi="Arial" w:cs="Arial"/>
          <w:sz w:val="19"/>
          <w:szCs w:val="19"/>
        </w:rPr>
      </w:pPr>
      <w:r>
        <w:rPr>
          <w:rFonts w:ascii="Arial" w:hAnsi="Arial"/>
          <w:sz w:val="19"/>
          <w:szCs w:val="19"/>
        </w:rPr>
        <w:t>La EPA estima que</w:t>
      </w:r>
      <w:r w:rsidR="00DA4E2C" w:rsidRPr="00F52C37">
        <w:rPr>
          <w:rFonts w:ascii="Arial" w:hAnsi="Arial"/>
          <w:sz w:val="19"/>
          <w:szCs w:val="19"/>
        </w:rPr>
        <w:t xml:space="preserve"> anualmente</w:t>
      </w:r>
      <w:r>
        <w:rPr>
          <w:rFonts w:ascii="Arial" w:hAnsi="Arial"/>
          <w:sz w:val="19"/>
          <w:szCs w:val="19"/>
        </w:rPr>
        <w:t xml:space="preserve"> se presentan</w:t>
      </w:r>
      <w:r w:rsidR="00DA4E2C" w:rsidRPr="00F52C37">
        <w:rPr>
          <w:rFonts w:ascii="Arial" w:hAnsi="Arial"/>
          <w:sz w:val="19"/>
          <w:szCs w:val="19"/>
        </w:rPr>
        <w:t xml:space="preserve"> 628 </w:t>
      </w:r>
      <w:r>
        <w:rPr>
          <w:rFonts w:ascii="Arial" w:hAnsi="Arial"/>
          <w:sz w:val="19"/>
          <w:szCs w:val="19"/>
        </w:rPr>
        <w:t xml:space="preserve">casos de </w:t>
      </w:r>
      <w:r w:rsidR="00DA4E2C" w:rsidRPr="00F52C37">
        <w:rPr>
          <w:rFonts w:ascii="Arial" w:hAnsi="Arial"/>
          <w:sz w:val="19"/>
          <w:szCs w:val="19"/>
        </w:rPr>
        <w:t>cánceres de pulmón relacionados con el radón en Massachusetts.</w:t>
      </w:r>
    </w:p>
    <w:p w:rsidR="00B32C0A" w:rsidRPr="00F52C37" w:rsidRDefault="00D66A2E">
      <w:pPr>
        <w:rPr>
          <w:rFonts w:ascii="Arial" w:hAnsi="Arial" w:cs="Arial"/>
          <w:sz w:val="19"/>
          <w:szCs w:val="19"/>
        </w:rPr>
      </w:pPr>
    </w:p>
    <w:p w:rsidR="00167DC8" w:rsidRPr="00F52C37" w:rsidRDefault="00DA4E2C">
      <w:pPr>
        <w:rPr>
          <w:rFonts w:ascii="Arial" w:hAnsi="Arial" w:cs="Arial"/>
          <w:sz w:val="19"/>
          <w:szCs w:val="19"/>
        </w:rPr>
      </w:pPr>
      <w:r w:rsidRPr="00F52C37">
        <w:rPr>
          <w:rFonts w:ascii="Arial" w:hAnsi="Arial"/>
          <w:sz w:val="19"/>
          <w:szCs w:val="19"/>
        </w:rPr>
        <w:t>En Massachusetts, se estima que 650,000 hogares tienen niveles de radón que superan la guía de acción de la EPA de 4 pCi/L.</w:t>
      </w:r>
    </w:p>
    <w:p w:rsidR="00167DC8" w:rsidRPr="00F52C37" w:rsidRDefault="00D66A2E">
      <w:pPr>
        <w:rPr>
          <w:rFonts w:ascii="Arial" w:hAnsi="Arial" w:cs="Arial"/>
          <w:sz w:val="19"/>
          <w:szCs w:val="19"/>
        </w:rPr>
      </w:pPr>
    </w:p>
    <w:p w:rsidR="00754571" w:rsidRPr="00F52C37" w:rsidRDefault="00DA4E2C">
      <w:pPr>
        <w:rPr>
          <w:rFonts w:ascii="Arial" w:hAnsi="Arial" w:cs="Arial"/>
          <w:sz w:val="19"/>
          <w:szCs w:val="19"/>
        </w:rPr>
      </w:pPr>
      <w:r w:rsidRPr="00F52C37">
        <w:rPr>
          <w:rFonts w:ascii="Arial" w:hAnsi="Arial"/>
          <w:sz w:val="19"/>
          <w:szCs w:val="19"/>
        </w:rPr>
        <w:t>Aproximadamente 34,000 hogares en Massachusetts tienen niveles de radón que superan los 20 pCi/L.</w:t>
      </w:r>
    </w:p>
    <w:p w:rsidR="005A4942" w:rsidRPr="00F52C37" w:rsidRDefault="00D66A2E">
      <w:pPr>
        <w:rPr>
          <w:rFonts w:ascii="Arial" w:hAnsi="Arial" w:cs="Arial"/>
          <w:sz w:val="19"/>
          <w:szCs w:val="19"/>
        </w:rPr>
      </w:pPr>
    </w:p>
    <w:p w:rsidR="00A75660" w:rsidRPr="00F52C37" w:rsidRDefault="00DA4E2C">
      <w:pPr>
        <w:rPr>
          <w:rFonts w:ascii="Arial" w:hAnsi="Arial" w:cs="Arial"/>
          <w:b/>
          <w:caps/>
          <w:sz w:val="19"/>
          <w:szCs w:val="19"/>
        </w:rPr>
      </w:pPr>
      <w:r w:rsidRPr="00F52C37">
        <w:rPr>
          <w:rFonts w:ascii="Arial" w:hAnsi="Arial"/>
          <w:b/>
          <w:caps/>
          <w:sz w:val="19"/>
          <w:szCs w:val="19"/>
        </w:rPr>
        <w:t>¿Cómo puedo averiguar si mi casa tiene radón?</w:t>
      </w:r>
    </w:p>
    <w:p w:rsidR="00FA0E08" w:rsidRPr="00F52C37" w:rsidRDefault="00DA4E2C">
      <w:pPr>
        <w:rPr>
          <w:rFonts w:ascii="Arial" w:hAnsi="Arial" w:cs="Arial"/>
          <w:sz w:val="19"/>
          <w:szCs w:val="19"/>
        </w:rPr>
      </w:pPr>
      <w:r w:rsidRPr="00F52C37">
        <w:rPr>
          <w:rFonts w:ascii="Arial" w:hAnsi="Arial"/>
          <w:sz w:val="19"/>
          <w:szCs w:val="19"/>
        </w:rPr>
        <w:t xml:space="preserve">Probar la calidad del aire es la única manera de saber si su casa tiene niveles elevados de radón. Uno de </w:t>
      </w:r>
      <w:r w:rsidRPr="00F52C37">
        <w:rPr>
          <w:rFonts w:ascii="Arial" w:hAnsi="Arial"/>
          <w:sz w:val="19"/>
          <w:szCs w:val="19"/>
        </w:rPr>
        <w:lastRenderedPageBreak/>
        <w:t xml:space="preserve">cuatro hogares </w:t>
      </w:r>
      <w:proofErr w:type="gramStart"/>
      <w:r w:rsidRPr="00F52C37">
        <w:rPr>
          <w:rFonts w:ascii="Arial" w:hAnsi="Arial"/>
          <w:sz w:val="19"/>
          <w:szCs w:val="19"/>
        </w:rPr>
        <w:t>pueden</w:t>
      </w:r>
      <w:proofErr w:type="gramEnd"/>
      <w:r w:rsidRPr="00F52C37">
        <w:rPr>
          <w:rFonts w:ascii="Arial" w:hAnsi="Arial"/>
          <w:sz w:val="19"/>
          <w:szCs w:val="19"/>
        </w:rPr>
        <w:t xml:space="preserve"> tener niveles de radón que superan la guía de acción de la EPA de 4 pCi/L.</w:t>
      </w:r>
    </w:p>
    <w:p w:rsidR="006B6169" w:rsidRPr="00F52C37" w:rsidRDefault="00D66A2E">
      <w:pPr>
        <w:rPr>
          <w:rFonts w:ascii="Arial" w:hAnsi="Arial" w:cs="Arial"/>
          <w:sz w:val="19"/>
          <w:szCs w:val="19"/>
        </w:rPr>
      </w:pPr>
    </w:p>
    <w:p w:rsidR="005A4942" w:rsidRPr="00F52C37" w:rsidRDefault="0043086D">
      <w:pPr>
        <w:rPr>
          <w:rFonts w:ascii="Arial" w:hAnsi="Arial" w:cs="Arial"/>
          <w:b/>
          <w:caps/>
          <w:sz w:val="19"/>
          <w:szCs w:val="19"/>
        </w:rPr>
      </w:pPr>
      <w:r w:rsidRPr="00F52C37">
        <w:rPr>
          <w:noProof/>
          <w:sz w:val="19"/>
          <w:szCs w:val="19"/>
          <w:lang w:val="en-US" w:eastAsia="en-US"/>
        </w:rPr>
        <mc:AlternateContent>
          <mc:Choice Requires="wps">
            <w:drawing>
              <wp:inline distT="0" distB="0" distL="0" distR="0" wp14:anchorId="765C5DE8" wp14:editId="508B7A73">
                <wp:extent cx="2971800" cy="1709420"/>
                <wp:effectExtent l="0" t="0" r="19050" b="13970"/>
                <wp:docPr id="307" name="Text Box 2" descr="Pie Chart showing sources of radiation exposure in the United States: U.S. Nuclear Regulatory Commission, 2015&#10;Nuclear Medicine (e.g., x-ray) 12%, Medical Procedures 36%, Consumer Products 2%, Background Sources 13%, Radon and Thoron 37%&#10;" title="Fuentes de exposición a la radiación en los Estados Unidos:Fuente: Comisión de Regulación Nuclear de los Estados Unidos, año 20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971800" cy="1709420"/>
                        </a:xfrm>
                        <a:prstGeom prst="rect">
                          <a:avLst/>
                        </a:prstGeom>
                        <a:solidFill>
                          <a:srgbClr val="FFFFFF"/>
                        </a:solidFill>
                        <a:ln w="9525">
                          <a:solidFill>
                            <a:srgbClr val="000000"/>
                          </a:solidFill>
                          <a:miter lim="800000"/>
                          <a:headEnd/>
                          <a:tailEnd/>
                        </a:ln>
                      </wps:spPr>
                      <wps:txbx>
                        <w:txbxContent>
                          <w:p w:rsidR="005A4942" w:rsidRPr="00F52C37" w:rsidRDefault="00DA4E2C" w:rsidP="005A4942">
                            <w:pPr>
                              <w:spacing w:before="60"/>
                              <w:jc w:val="center"/>
                              <w:rPr>
                                <w:rFonts w:ascii="Arial" w:hAnsi="Arial" w:cs="Arial"/>
                                <w:b/>
                                <w:sz w:val="15"/>
                                <w:szCs w:val="15"/>
                              </w:rPr>
                            </w:pPr>
                            <w:r w:rsidRPr="00F52C37">
                              <w:rPr>
                                <w:rFonts w:ascii="Arial" w:hAnsi="Arial"/>
                                <w:b/>
                                <w:sz w:val="15"/>
                                <w:szCs w:val="15"/>
                              </w:rPr>
                              <w:t>Fuentes de exposición a la radiación en los Estados Unidos</w:t>
                            </w:r>
                          </w:p>
                          <w:p w:rsidR="005A4942" w:rsidRDefault="00D66A2E" w:rsidP="005A4942">
                            <w:pPr>
                              <w:jc w:val="center"/>
                              <w:rPr>
                                <w:rFonts w:ascii="Arial" w:hAnsi="Arial" w:cs="Arial"/>
                                <w:b/>
                                <w:sz w:val="16"/>
                                <w:szCs w:val="20"/>
                              </w:rPr>
                            </w:pPr>
                          </w:p>
                          <w:p w:rsidR="005A4942" w:rsidRDefault="0043086D" w:rsidP="005A4942">
                            <w:pPr>
                              <w:jc w:val="center"/>
                              <w:rPr>
                                <w:rFonts w:ascii="Arial" w:hAnsi="Arial" w:cs="Arial"/>
                                <w:b/>
                                <w:sz w:val="16"/>
                                <w:szCs w:val="20"/>
                              </w:rPr>
                            </w:pPr>
                            <w:r>
                              <w:rPr>
                                <w:noProof/>
                                <w:lang w:val="en-US" w:eastAsia="en-US"/>
                              </w:rPr>
                              <w:drawing>
                                <wp:inline distT="0" distB="0" distL="0" distR="0" wp14:anchorId="5760B711" wp14:editId="345BEE21">
                                  <wp:extent cx="2968625" cy="1386205"/>
                                  <wp:effectExtent l="0" t="0" r="3175" b="4445"/>
                                  <wp:docPr id="3" name="Chart 7" descr="Title: Pie Chart - Sources of Radiation Exposure in the United States - Description: Pie Chart showing sources of radiation exposure in the United States: U.S. Nuclear Regulatory Commission, 2015&#10;Nuclear Medicine (e.g., x-ray) 12%, Medical Procedures 36%, Consumer Products 2%, Background Sources 13%, Radon and Thoron 37%&#10;" title="Fuentes de exposición a la radiación en los Estados Unido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4942" w:rsidRPr="005A4942" w:rsidRDefault="00DA4E2C" w:rsidP="005A4942">
                            <w:pPr>
                              <w:rPr>
                                <w:rFonts w:ascii="Arial" w:hAnsi="Arial" w:cs="Arial"/>
                                <w:b/>
                                <w:sz w:val="12"/>
                                <w:szCs w:val="20"/>
                              </w:rPr>
                            </w:pPr>
                            <w:r>
                              <w:rPr>
                                <w:rFonts w:ascii="Arial" w:hAnsi="Arial"/>
                                <w:b/>
                                <w:sz w:val="12"/>
                              </w:rPr>
                              <w:t>Fuente: Comisión de Regulación Nuclear de los Estados Unidos, año 2015</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alt="Title: Fuentes de exposición a la radiación en los Estados Unidos:Fuente: Comisión de Regulación Nuclear de los Estados Unidos, año 2015 - Description: Pie Chart showing sources of radiation exposure in the United States: U.S. Nuclear Regulatory Commission, 2015&#10;Nuclear Medicine (e.g., x-ray) 12%, Medical Procedures 36%, Consumer Products 2%, Background Sources 13%, Radon and Thoron 37%&#10;" style="width:234pt;height:1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">
                <o:lock v:ext="edit" aspectratio="t"/>
                <v:textbox style="mso-fit-shape-to-text:t">
                  <w:txbxContent>
                    <w:p w:rsidR="005A4942" w:rsidRPr="00F52C37" w:rsidRDefault="00DA4E2C" w:rsidP="005A4942">
                      <w:pPr>
                        <w:spacing w:before="60"/>
                        <w:jc w:val="center"/>
                        <w:rPr>
                          <w:rFonts w:ascii="Arial" w:hAnsi="Arial" w:cs="Arial"/>
                          <w:b/>
                          <w:sz w:val="15"/>
                          <w:szCs w:val="15"/>
                        </w:rPr>
                      </w:pPr>
                      <w:r w:rsidRPr="00F52C37">
                        <w:rPr>
                          <w:rFonts w:ascii="Arial" w:hAnsi="Arial"/>
                          <w:b/>
                          <w:sz w:val="15"/>
                          <w:szCs w:val="15"/>
                        </w:rPr>
                        <w:t>Fuentes de exposición a la radiación en los Estados Unidos</w:t>
                      </w:r>
                    </w:p>
                    <w:p w:rsidR="005A4942" w:rsidRDefault="00D66A2E" w:rsidP="005A4942">
                      <w:pPr>
                        <w:jc w:val="center"/>
                        <w:rPr>
                          <w:rFonts w:ascii="Arial" w:hAnsi="Arial" w:cs="Arial"/>
                          <w:b/>
                          <w:sz w:val="16"/>
                          <w:szCs w:val="20"/>
                        </w:rPr>
                      </w:pPr>
                    </w:p>
                    <w:p w:rsidR="005A4942" w:rsidRDefault="0043086D" w:rsidP="005A4942">
                      <w:pPr>
                        <w:jc w:val="center"/>
                        <w:rPr>
                          <w:rFonts w:ascii="Arial" w:hAnsi="Arial" w:cs="Arial"/>
                          <w:b/>
                          <w:sz w:val="16"/>
                          <w:szCs w:val="20"/>
                        </w:rPr>
                      </w:pPr>
                      <w:r>
                        <w:rPr>
                          <w:noProof/>
                          <w:lang w:val="en-US" w:eastAsia="en-US"/>
                        </w:rPr>
                        <w:drawing>
                          <wp:inline distT="0" distB="0" distL="0" distR="0" wp14:anchorId="5760B711" wp14:editId="345BEE21">
                            <wp:extent cx="2968625" cy="1386205"/>
                            <wp:effectExtent l="0" t="0" r="3175" b="4445"/>
                            <wp:docPr id="3" name="Chart 7" descr="Title: Pie Chart - Sources of Radiation Exposure in the United States - Description: Pie Chart showing sources of radiation exposure in the United States: U.S. Nuclear Regulatory Commission, 2015&#10;Nuclear Medicine (e.g., x-ray) 12%, Medical Procedures 36%, Consumer Products 2%, Background Sources 13%, Radon and Thoron 37%&#10;" title="Fuentes de exposición a la radiación en los Estados Unido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4942" w:rsidRPr="005A4942" w:rsidRDefault="00DA4E2C" w:rsidP="005A4942">
                      <w:pPr>
                        <w:rPr>
                          <w:rFonts w:ascii="Arial" w:hAnsi="Arial" w:cs="Arial"/>
                          <w:b/>
                          <w:sz w:val="12"/>
                          <w:szCs w:val="20"/>
                        </w:rPr>
                      </w:pPr>
                      <w:r>
                        <w:rPr>
                          <w:rFonts w:ascii="Arial" w:hAnsi="Arial"/>
                          <w:b/>
                          <w:sz w:val="12"/>
                        </w:rPr>
                        <w:t>Fuente: Comisión de Regulación Nuclear de los Estados Unidos, año 2015</w:t>
                      </w:r>
                    </w:p>
                  </w:txbxContent>
                </v:textbox>
                <w10:anchorlock/>
              </v:shape>
            </w:pict>
          </mc:Fallback>
        </mc:AlternateContent>
      </w:r>
    </w:p>
    <w:p w:rsidR="005A4942" w:rsidRPr="00F52C37" w:rsidRDefault="00D66A2E">
      <w:pPr>
        <w:rPr>
          <w:rFonts w:ascii="Arial" w:hAnsi="Arial" w:cs="Arial"/>
          <w:b/>
          <w:caps/>
          <w:sz w:val="19"/>
          <w:szCs w:val="19"/>
        </w:rPr>
      </w:pPr>
    </w:p>
    <w:p w:rsidR="00FA0E08" w:rsidRPr="00F52C37" w:rsidRDefault="00DA4E2C">
      <w:pPr>
        <w:rPr>
          <w:rFonts w:ascii="Arial" w:hAnsi="Arial" w:cs="Arial"/>
          <w:b/>
          <w:caps/>
          <w:sz w:val="19"/>
          <w:szCs w:val="19"/>
        </w:rPr>
      </w:pPr>
      <w:r w:rsidRPr="00F52C37">
        <w:rPr>
          <w:rFonts w:ascii="Arial" w:hAnsi="Arial"/>
          <w:b/>
          <w:caps/>
          <w:sz w:val="19"/>
          <w:szCs w:val="19"/>
        </w:rPr>
        <w:t>Si mi casa tiene niveles elevados de radón en el aire, ¿esto se puede arreglar?</w:t>
      </w:r>
    </w:p>
    <w:p w:rsidR="00617AA4" w:rsidRPr="00F52C37" w:rsidRDefault="00DA4E2C">
      <w:pPr>
        <w:rPr>
          <w:rFonts w:ascii="Arial" w:hAnsi="Arial" w:cs="Arial"/>
          <w:sz w:val="19"/>
          <w:szCs w:val="19"/>
        </w:rPr>
      </w:pPr>
      <w:r w:rsidRPr="00F52C37">
        <w:rPr>
          <w:rFonts w:ascii="Arial" w:hAnsi="Arial"/>
          <w:sz w:val="19"/>
          <w:szCs w:val="19"/>
        </w:rPr>
        <w:t>Sí, se puede en la mayoría de los casos. Un método llamado despresurización activa del suelo se suele utilizar para corregir o mitigar un hogar con niveles elevados de radón. Este método crea una zona de baja presión por debajo de la losa, que reduce la ve</w:t>
      </w:r>
      <w:r w:rsidR="00BA2032">
        <w:rPr>
          <w:rFonts w:ascii="Arial" w:hAnsi="Arial"/>
          <w:sz w:val="19"/>
          <w:szCs w:val="19"/>
        </w:rPr>
        <w:t xml:space="preserve">locidad a la cual </w:t>
      </w:r>
      <w:r w:rsidRPr="00F52C37">
        <w:rPr>
          <w:rFonts w:ascii="Arial" w:hAnsi="Arial"/>
          <w:sz w:val="19"/>
          <w:szCs w:val="19"/>
        </w:rPr>
        <w:t>el radón</w:t>
      </w:r>
      <w:r w:rsidR="00BA2032">
        <w:rPr>
          <w:rFonts w:ascii="Arial" w:hAnsi="Arial"/>
          <w:sz w:val="19"/>
          <w:szCs w:val="19"/>
        </w:rPr>
        <w:t xml:space="preserve"> entra</w:t>
      </w:r>
      <w:r w:rsidRPr="00F52C37">
        <w:rPr>
          <w:rFonts w:ascii="Arial" w:hAnsi="Arial"/>
          <w:sz w:val="19"/>
          <w:szCs w:val="19"/>
        </w:rPr>
        <w:t xml:space="preserve"> en la casa. En la mayoría de los hogares (pero no todos), los niveles de radón pueden ser mitigados a un nivel por debajo de 2 pCi/L. Aunque la guía de acción de la EPA para el radón es de 4 pCi/L, la EPA también aconseja que tenga en cuenta el arreglar su hogar si sus niveles de radón son entre 2 y 4 pCi/L.</w:t>
      </w:r>
    </w:p>
    <w:p w:rsidR="006B6169" w:rsidRPr="00F52C37" w:rsidRDefault="00D66A2E">
      <w:pPr>
        <w:rPr>
          <w:rFonts w:ascii="Arial" w:hAnsi="Arial" w:cs="Arial"/>
          <w:sz w:val="19"/>
          <w:szCs w:val="19"/>
        </w:rPr>
      </w:pPr>
    </w:p>
    <w:p w:rsidR="006B6169" w:rsidRPr="00F52C37" w:rsidRDefault="00DA4E2C">
      <w:pPr>
        <w:rPr>
          <w:rFonts w:ascii="Arial" w:hAnsi="Arial" w:cs="Arial"/>
          <w:sz w:val="19"/>
          <w:szCs w:val="19"/>
        </w:rPr>
      </w:pPr>
      <w:r w:rsidRPr="00F52C37">
        <w:rPr>
          <w:rFonts w:ascii="Arial" w:hAnsi="Arial"/>
          <w:sz w:val="19"/>
          <w:szCs w:val="19"/>
        </w:rPr>
        <w:t>En la actualidad, Massachusetts no cuenta con regulación alguna para proteger a los propietarios de casas existentes contra la exposición al radón. Por eso es importante realizar pruebas a su casa y tomar las medidas adecuadas de mitigación si se descubre que su casa contiene niveles elevados de radón.</w:t>
      </w:r>
    </w:p>
    <w:p w:rsidR="00617AA4" w:rsidRPr="00F52C37" w:rsidRDefault="00D66A2E">
      <w:pPr>
        <w:rPr>
          <w:rFonts w:ascii="Arial" w:hAnsi="Arial" w:cs="Arial"/>
          <w:sz w:val="19"/>
          <w:szCs w:val="19"/>
        </w:rPr>
      </w:pPr>
    </w:p>
    <w:p w:rsidR="00EE70D2" w:rsidRPr="00F52C37" w:rsidRDefault="00DA4E2C">
      <w:pPr>
        <w:rPr>
          <w:rFonts w:ascii="Arial" w:hAnsi="Arial" w:cs="Arial"/>
          <w:b/>
          <w:caps/>
          <w:sz w:val="19"/>
          <w:szCs w:val="19"/>
        </w:rPr>
      </w:pPr>
      <w:r w:rsidRPr="00F52C37">
        <w:rPr>
          <w:rFonts w:ascii="Arial" w:hAnsi="Arial"/>
          <w:b/>
          <w:caps/>
          <w:sz w:val="19"/>
          <w:szCs w:val="19"/>
        </w:rPr>
        <w:t xml:space="preserve">¿Dónde puedo obtener más información? </w:t>
      </w:r>
    </w:p>
    <w:p w:rsidR="00617AA4" w:rsidRPr="00F52C37" w:rsidRDefault="00DA4E2C">
      <w:pPr>
        <w:rPr>
          <w:rFonts w:ascii="Arial" w:hAnsi="Arial" w:cs="Arial"/>
          <w:sz w:val="19"/>
          <w:szCs w:val="19"/>
        </w:rPr>
      </w:pPr>
      <w:r w:rsidRPr="00F52C37">
        <w:rPr>
          <w:rFonts w:ascii="Arial" w:hAnsi="Arial"/>
          <w:sz w:val="19"/>
          <w:szCs w:val="19"/>
        </w:rPr>
        <w:t>La Unidad de Evaluación de Radón, dependiente del Departamento de Salud Pública de Massachusetts, puede aconsejarle cómo realizar la prueba de su hogar y le puede ayudar en la interpretación de los resultados. Por favor, póngase en contacto con la Unidad de Evaluación de Radón para obtener más información.</w:t>
      </w:r>
    </w:p>
    <w:p w:rsidR="00066600" w:rsidRPr="00F52C37" w:rsidRDefault="00D66A2E">
      <w:pPr>
        <w:rPr>
          <w:rFonts w:ascii="Arial" w:hAnsi="Arial" w:cs="Arial"/>
          <w:sz w:val="19"/>
          <w:szCs w:val="19"/>
        </w:rPr>
      </w:pPr>
    </w:p>
    <w:p w:rsidR="00BD3E39" w:rsidRPr="00F52C37" w:rsidRDefault="00BD3E39">
      <w:pPr>
        <w:rPr>
          <w:sz w:val="19"/>
          <w:szCs w:val="19"/>
        </w:rPr>
        <w:sectPr w:rsidR="00BD3E39" w:rsidRPr="00F52C37" w:rsidSect="00234758">
          <w:footerReference w:type="default" r:id="rId11"/>
          <w:type w:val="continuous"/>
          <w:pgSz w:w="12240" w:h="15840"/>
          <w:pgMar w:top="1440" w:right="1080" w:bottom="1440" w:left="1080" w:header="720" w:footer="444" w:gutter="0"/>
          <w:cols w:num="2" w:space="720"/>
          <w:docGrid w:linePitch="360"/>
        </w:sectPr>
      </w:pPr>
    </w:p>
    <w:p w:rsidR="00167DC8" w:rsidRPr="00F52C37" w:rsidRDefault="0043086D" w:rsidP="00167DC8">
      <w:pPr>
        <w:rPr>
          <w:rFonts w:ascii="Arial" w:hAnsi="Arial" w:cs="Arial"/>
          <w:sz w:val="19"/>
          <w:szCs w:val="19"/>
        </w:rPr>
      </w:pPr>
      <w:r w:rsidRPr="00F52C37">
        <w:rPr>
          <w:noProof/>
          <w:sz w:val="19"/>
          <w:szCs w:val="19"/>
          <w:lang w:val="en-US" w:eastAsia="en-US"/>
        </w:rPr>
        <w:lastRenderedPageBreak/>
        <mc:AlternateContent>
          <mc:Choice Requires="wps">
            <w:drawing>
              <wp:anchor distT="0" distB="0" distL="114300" distR="114300" simplePos="0" relativeHeight="251658240" behindDoc="0" locked="0" layoutInCell="1" allowOverlap="1" wp14:anchorId="11E580A5" wp14:editId="2C84FEE0">
                <wp:simplePos x="0" y="0"/>
                <wp:positionH relativeFrom="column">
                  <wp:posOffset>-371475</wp:posOffset>
                </wp:positionH>
                <wp:positionV relativeFrom="paragraph">
                  <wp:posOffset>386080</wp:posOffset>
                </wp:positionV>
                <wp:extent cx="5172075" cy="1714500"/>
                <wp:effectExtent l="0" t="0" r="0" b="0"/>
                <wp:wrapSquare wrapText="bothSides"/>
                <wp:docPr id="1" name="Text Box 1" descr="For more information about radon and home testing, please contact:&#10;Massachusetts Department of Public Health&#10;Bureau of Environmental Health&#10;Indoor Air Quality Program/ Radon Assessment Unit&#10;23 Service Center Road&#10;Northampton, MA 01060&#10;(800)-445-1255 (toll-free in Massachusetts only)&#10;(413) 586-7525 ext. 3185&#10;TTY: (800)-769-9991&#10;" title="For More Information About Rad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2075" cy="1714500"/>
                        </a:xfrm>
                        <a:prstGeom prst="rect">
                          <a:avLst/>
                        </a:prstGeom>
                        <a:noFill/>
                        <a:ln>
                          <a:noFill/>
                        </a:ln>
                        <a:effectLst/>
                        <a:extLst>
                          <a:ext uri="{C572A759-6A51-4108-AA02-DFA0A04FC94B}"/>
                        </a:extLst>
                      </wps:spPr>
                      <wps:txbx>
                        <w:txbxContent>
                          <w:p w:rsidR="0072463F" w:rsidRPr="00596229" w:rsidRDefault="00DA4E2C" w:rsidP="00697BCE">
                            <w:pPr>
                              <w:pStyle w:val="ListBullet"/>
                              <w:jc w:val="left"/>
                              <w:rPr>
                                <w:sz w:val="18"/>
                                <w:szCs w:val="18"/>
                              </w:rPr>
                            </w:pPr>
                            <w:r w:rsidRPr="00596229">
                              <w:rPr>
                                <w:sz w:val="18"/>
                                <w:szCs w:val="18"/>
                              </w:rPr>
                              <w:t>Para obtener más información sobre el radón y sobre la realización de pruebas en el hogar, por favor, póngase en contacto con:</w:t>
                            </w:r>
                          </w:p>
                          <w:p w:rsidR="000C00F2" w:rsidRPr="00596229" w:rsidRDefault="000C00F2" w:rsidP="000C00F2">
                            <w:pPr>
                              <w:pStyle w:val="ListBullet"/>
                              <w:jc w:val="left"/>
                              <w:rPr>
                                <w:sz w:val="18"/>
                                <w:szCs w:val="18"/>
                                <w:lang w:val="en-US" w:eastAsia="en-US" w:bidi="th-TH"/>
                              </w:rPr>
                            </w:pPr>
                            <w:r w:rsidRPr="00596229">
                              <w:rPr>
                                <w:sz w:val="18"/>
                                <w:szCs w:val="18"/>
                                <w:lang w:val="en-US" w:eastAsia="en-US" w:bidi="th-TH"/>
                              </w:rPr>
                              <w:t xml:space="preserve">Massachusetts Department of Public Health </w:t>
                            </w:r>
                          </w:p>
                          <w:p w:rsidR="009F3B00" w:rsidRPr="00596229" w:rsidRDefault="000C00F2" w:rsidP="000C00F2">
                            <w:pPr>
                              <w:pStyle w:val="ListBullet"/>
                              <w:jc w:val="left"/>
                              <w:rPr>
                                <w:sz w:val="18"/>
                                <w:szCs w:val="18"/>
                                <w:lang w:val="en-US" w:eastAsia="en-US" w:bidi="th-TH"/>
                              </w:rPr>
                            </w:pPr>
                            <w:r w:rsidRPr="00596229">
                              <w:rPr>
                                <w:sz w:val="18"/>
                                <w:szCs w:val="18"/>
                                <w:lang w:val="en-US" w:eastAsia="en-US" w:bidi="th-TH"/>
                              </w:rPr>
                              <w:t xml:space="preserve">Bureau of Environmental Health </w:t>
                            </w:r>
                          </w:p>
                          <w:p w:rsidR="0072463F" w:rsidRPr="00596229" w:rsidRDefault="000C00F2" w:rsidP="000C00F2">
                            <w:pPr>
                              <w:pStyle w:val="ListBullet"/>
                              <w:jc w:val="left"/>
                              <w:rPr>
                                <w:sz w:val="18"/>
                                <w:szCs w:val="18"/>
                                <w:lang w:val="en-US" w:eastAsia="en-US" w:bidi="th-TH"/>
                              </w:rPr>
                            </w:pPr>
                            <w:r w:rsidRPr="00596229">
                              <w:rPr>
                                <w:sz w:val="18"/>
                                <w:szCs w:val="18"/>
                                <w:lang w:val="en-US" w:eastAsia="en-US" w:bidi="th-TH"/>
                              </w:rPr>
                              <w:t>Indoor Air Quality Program/Radon Assessment Unit</w:t>
                            </w:r>
                          </w:p>
                          <w:p w:rsidR="0072463F" w:rsidRPr="00596229" w:rsidRDefault="00DA4E2C" w:rsidP="00697BCE">
                            <w:pPr>
                              <w:pStyle w:val="ListBullet"/>
                              <w:jc w:val="left"/>
                              <w:rPr>
                                <w:sz w:val="18"/>
                                <w:szCs w:val="18"/>
                                <w:lang w:val="en-US"/>
                              </w:rPr>
                            </w:pPr>
                            <w:r w:rsidRPr="00596229">
                              <w:rPr>
                                <w:sz w:val="18"/>
                                <w:szCs w:val="18"/>
                                <w:lang w:val="en-US"/>
                              </w:rPr>
                              <w:t>23 Service Center Road</w:t>
                            </w:r>
                          </w:p>
                          <w:p w:rsidR="0072463F" w:rsidRPr="00596229" w:rsidRDefault="00DA4E2C" w:rsidP="00697BCE">
                            <w:pPr>
                              <w:pStyle w:val="ListBullet"/>
                              <w:jc w:val="left"/>
                              <w:rPr>
                                <w:sz w:val="18"/>
                                <w:szCs w:val="18"/>
                                <w:lang w:val="en-US"/>
                              </w:rPr>
                            </w:pPr>
                            <w:r w:rsidRPr="00596229">
                              <w:rPr>
                                <w:sz w:val="18"/>
                                <w:szCs w:val="18"/>
                                <w:lang w:val="en-US"/>
                              </w:rPr>
                              <w:t>Northampton, MA 01060</w:t>
                            </w:r>
                          </w:p>
                          <w:p w:rsidR="0072463F" w:rsidRPr="00596229" w:rsidRDefault="00DA4E2C" w:rsidP="00697BCE">
                            <w:pPr>
                              <w:pStyle w:val="ListBullet"/>
                              <w:jc w:val="left"/>
                              <w:rPr>
                                <w:sz w:val="18"/>
                                <w:szCs w:val="18"/>
                              </w:rPr>
                            </w:pPr>
                            <w:r w:rsidRPr="00596229">
                              <w:rPr>
                                <w:sz w:val="18"/>
                                <w:szCs w:val="18"/>
                              </w:rPr>
                              <w:t>(800) 723-6695 (llamada sin costo únicamente dentro de Massachusetts)</w:t>
                            </w:r>
                          </w:p>
                          <w:p w:rsidR="00481DA7" w:rsidRPr="00596229" w:rsidRDefault="00DA4E2C" w:rsidP="00697BCE">
                            <w:pPr>
                              <w:pStyle w:val="ListBullet"/>
                              <w:jc w:val="left"/>
                              <w:rPr>
                                <w:sz w:val="18"/>
                                <w:szCs w:val="18"/>
                              </w:rPr>
                            </w:pPr>
                            <w:r w:rsidRPr="00596229">
                              <w:rPr>
                                <w:sz w:val="18"/>
                                <w:szCs w:val="18"/>
                              </w:rPr>
                              <w:t>(413) 586-7525</w:t>
                            </w:r>
                          </w:p>
                          <w:p w:rsidR="0072463F" w:rsidRDefault="00DA4E2C" w:rsidP="00697BCE">
                            <w:pPr>
                              <w:pStyle w:val="ListBullet"/>
                              <w:jc w:val="left"/>
                              <w:rPr>
                                <w:rStyle w:val="Hyperlink"/>
                                <w:sz w:val="18"/>
                                <w:szCs w:val="18"/>
                                <w:u w:val="none"/>
                              </w:rPr>
                            </w:pPr>
                            <w:r w:rsidRPr="00596229">
                              <w:rPr>
                                <w:sz w:val="18"/>
                                <w:szCs w:val="18"/>
                              </w:rPr>
                              <w:t>Teléfono de texto (TTY): (800) 769-9991</w:t>
                            </w:r>
                            <w:r w:rsidRPr="00596229">
                              <w:rPr>
                                <w:sz w:val="18"/>
                                <w:szCs w:val="18"/>
                              </w:rPr>
                              <w:br/>
                            </w:r>
                            <w:hyperlink r:id="rId12" w:tooltip="Radon Fact Sheet" w:history="1">
                              <w:r w:rsidRPr="00596229">
                                <w:rPr>
                                  <w:rStyle w:val="Hyperlink"/>
                                  <w:sz w:val="18"/>
                                  <w:szCs w:val="18"/>
                                  <w:u w:val="none"/>
                                </w:rPr>
                                <w:t>http://tinyurl.com/beh-radon</w:t>
                              </w:r>
                            </w:hyperlink>
                          </w:p>
                          <w:p w:rsidR="00596229" w:rsidRPr="00596229" w:rsidRDefault="00596229" w:rsidP="00697BCE">
                            <w:pPr>
                              <w:pStyle w:val="ListBullet"/>
                              <w:jc w:val="left"/>
                              <w:rPr>
                                <w:b/>
                                <w:color w:val="auto"/>
                                <w:sz w:val="18"/>
                                <w:szCs w:val="18"/>
                              </w:rPr>
                            </w:pPr>
                            <w:proofErr w:type="spellStart"/>
                            <w:r w:rsidRPr="00596229">
                              <w:rPr>
                                <w:rStyle w:val="Hyperlink"/>
                                <w:color w:val="auto"/>
                                <w:sz w:val="18"/>
                                <w:szCs w:val="18"/>
                                <w:u w:val="none"/>
                              </w:rPr>
                              <w:t>Spanish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alt="Title: For More Information About Radon - Description: For more information about radon and home testing, please contact:&#10;Massachusetts Department of Public Health&#10;Bureau of Environmental Health&#10;Indoor Air Quality Program/ Radon Assessment Unit&#10;23 Service Center Road&#10;Northampton, MA 01060&#10;(800)-445-1255 (toll-free in Massachusetts only)&#10;(413) 586-7525 ext. 3185&#10;TTY: (800)-769-9991&#10;" style="position:absolute;margin-left:-29.25pt;margin-top:30.4pt;width:407.2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" filled="f" stroked="f">
                <v:path arrowok="t"/>
                <v:textbox>
                  <w:txbxContent>
                    <w:p w:rsidR="0072463F" w:rsidRPr="00596229" w:rsidRDefault="00DA4E2C" w:rsidP="00697BCE">
                      <w:pPr>
                        <w:pStyle w:val="ListBullet"/>
                        <w:jc w:val="left"/>
                        <w:rPr>
                          <w:sz w:val="18"/>
                          <w:szCs w:val="18"/>
                        </w:rPr>
                      </w:pPr>
                      <w:r w:rsidRPr="00596229">
                        <w:rPr>
                          <w:sz w:val="18"/>
                          <w:szCs w:val="18"/>
                        </w:rPr>
                        <w:t>Para obtener más información sobre el radón y sobre la realización de pruebas en el hogar, por favor, póngase en contacto con:</w:t>
                      </w:r>
                    </w:p>
                    <w:p w:rsidR="000C00F2" w:rsidRPr="00596229" w:rsidRDefault="000C00F2" w:rsidP="000C00F2">
                      <w:pPr>
                        <w:pStyle w:val="ListBullet"/>
                        <w:jc w:val="left"/>
                        <w:rPr>
                          <w:sz w:val="18"/>
                          <w:szCs w:val="18"/>
                          <w:lang w:val="en-US" w:eastAsia="en-US" w:bidi="th-TH"/>
                        </w:rPr>
                      </w:pPr>
                      <w:r w:rsidRPr="00596229">
                        <w:rPr>
                          <w:sz w:val="18"/>
                          <w:szCs w:val="18"/>
                          <w:lang w:val="en-US" w:eastAsia="en-US" w:bidi="th-TH"/>
                        </w:rPr>
                        <w:t xml:space="preserve">Massachusetts Department of Public Health </w:t>
                      </w:r>
                    </w:p>
                    <w:p w:rsidR="009F3B00" w:rsidRPr="00596229" w:rsidRDefault="000C00F2" w:rsidP="000C00F2">
                      <w:pPr>
                        <w:pStyle w:val="ListBullet"/>
                        <w:jc w:val="left"/>
                        <w:rPr>
                          <w:sz w:val="18"/>
                          <w:szCs w:val="18"/>
                          <w:lang w:val="en-US" w:eastAsia="en-US" w:bidi="th-TH"/>
                        </w:rPr>
                      </w:pPr>
                      <w:r w:rsidRPr="00596229">
                        <w:rPr>
                          <w:sz w:val="18"/>
                          <w:szCs w:val="18"/>
                          <w:lang w:val="en-US" w:eastAsia="en-US" w:bidi="th-TH"/>
                        </w:rPr>
                        <w:t xml:space="preserve">Bureau of Environmental Health </w:t>
                      </w:r>
                    </w:p>
                    <w:p w:rsidR="0072463F" w:rsidRPr="00596229" w:rsidRDefault="000C00F2" w:rsidP="000C00F2">
                      <w:pPr>
                        <w:pStyle w:val="ListBullet"/>
                        <w:jc w:val="left"/>
                        <w:rPr>
                          <w:sz w:val="18"/>
                          <w:szCs w:val="18"/>
                          <w:lang w:val="en-US" w:eastAsia="en-US" w:bidi="th-TH"/>
                        </w:rPr>
                      </w:pPr>
                      <w:r w:rsidRPr="00596229">
                        <w:rPr>
                          <w:sz w:val="18"/>
                          <w:szCs w:val="18"/>
                          <w:lang w:val="en-US" w:eastAsia="en-US" w:bidi="th-TH"/>
                        </w:rPr>
                        <w:t>Indoor Air Quality Program/Radon Assessment Unit</w:t>
                      </w:r>
                    </w:p>
                    <w:p w:rsidR="0072463F" w:rsidRPr="00596229" w:rsidRDefault="00DA4E2C" w:rsidP="00697BCE">
                      <w:pPr>
                        <w:pStyle w:val="ListBullet"/>
                        <w:jc w:val="left"/>
                        <w:rPr>
                          <w:sz w:val="18"/>
                          <w:szCs w:val="18"/>
                          <w:lang w:val="en-US"/>
                        </w:rPr>
                      </w:pPr>
                      <w:r w:rsidRPr="00596229">
                        <w:rPr>
                          <w:sz w:val="18"/>
                          <w:szCs w:val="18"/>
                          <w:lang w:val="en-US"/>
                        </w:rPr>
                        <w:t>23 Service Center Road</w:t>
                      </w:r>
                    </w:p>
                    <w:p w:rsidR="0072463F" w:rsidRPr="00596229" w:rsidRDefault="00DA4E2C" w:rsidP="00697BCE">
                      <w:pPr>
                        <w:pStyle w:val="ListBullet"/>
                        <w:jc w:val="left"/>
                        <w:rPr>
                          <w:sz w:val="18"/>
                          <w:szCs w:val="18"/>
                          <w:lang w:val="en-US"/>
                        </w:rPr>
                      </w:pPr>
                      <w:r w:rsidRPr="00596229">
                        <w:rPr>
                          <w:sz w:val="18"/>
                          <w:szCs w:val="18"/>
                          <w:lang w:val="en-US"/>
                        </w:rPr>
                        <w:t>Northampton, MA 01060</w:t>
                      </w:r>
                    </w:p>
                    <w:p w:rsidR="0072463F" w:rsidRPr="00596229" w:rsidRDefault="00DA4E2C" w:rsidP="00697BCE">
                      <w:pPr>
                        <w:pStyle w:val="ListBullet"/>
                        <w:jc w:val="left"/>
                        <w:rPr>
                          <w:sz w:val="18"/>
                          <w:szCs w:val="18"/>
                        </w:rPr>
                      </w:pPr>
                      <w:r w:rsidRPr="00596229">
                        <w:rPr>
                          <w:sz w:val="18"/>
                          <w:szCs w:val="18"/>
                        </w:rPr>
                        <w:t>(800) 723-6695 (llamada sin costo únicamente dentro de Massachusetts)</w:t>
                      </w:r>
                    </w:p>
                    <w:p w:rsidR="00481DA7" w:rsidRPr="00596229" w:rsidRDefault="00DA4E2C" w:rsidP="00697BCE">
                      <w:pPr>
                        <w:pStyle w:val="ListBullet"/>
                        <w:jc w:val="left"/>
                        <w:rPr>
                          <w:sz w:val="18"/>
                          <w:szCs w:val="18"/>
                        </w:rPr>
                      </w:pPr>
                      <w:r w:rsidRPr="00596229">
                        <w:rPr>
                          <w:sz w:val="18"/>
                          <w:szCs w:val="18"/>
                        </w:rPr>
                        <w:t>(413) 586-7525</w:t>
                      </w:r>
                    </w:p>
                    <w:p w:rsidR="0072463F" w:rsidRDefault="00DA4E2C" w:rsidP="00697BCE">
                      <w:pPr>
                        <w:pStyle w:val="ListBullet"/>
                        <w:jc w:val="left"/>
                        <w:rPr>
                          <w:rStyle w:val="Hyperlink"/>
                          <w:sz w:val="18"/>
                          <w:szCs w:val="18"/>
                          <w:u w:val="none"/>
                        </w:rPr>
                      </w:pPr>
                      <w:r w:rsidRPr="00596229">
                        <w:rPr>
                          <w:sz w:val="18"/>
                          <w:szCs w:val="18"/>
                        </w:rPr>
                        <w:t>Teléfono de texto (TTY): (800) 769-9991</w:t>
                      </w:r>
                      <w:r w:rsidRPr="00596229">
                        <w:rPr>
                          <w:sz w:val="18"/>
                          <w:szCs w:val="18"/>
                        </w:rPr>
                        <w:br/>
                      </w:r>
                      <w:hyperlink r:id="rId13" w:tooltip="Radon Fact Sheet" w:history="1">
                        <w:r w:rsidRPr="00596229">
                          <w:rPr>
                            <w:rStyle w:val="Hyperlink"/>
                            <w:sz w:val="18"/>
                            <w:szCs w:val="18"/>
                            <w:u w:val="none"/>
                          </w:rPr>
                          <w:t>http://tinyurl.com/beh-radon</w:t>
                        </w:r>
                      </w:hyperlink>
                    </w:p>
                    <w:p w:rsidR="00596229" w:rsidRPr="00596229" w:rsidRDefault="00596229" w:rsidP="00697BCE">
                      <w:pPr>
                        <w:pStyle w:val="ListBullet"/>
                        <w:jc w:val="left"/>
                        <w:rPr>
                          <w:b/>
                          <w:color w:val="auto"/>
                          <w:sz w:val="18"/>
                          <w:szCs w:val="18"/>
                        </w:rPr>
                      </w:pPr>
                      <w:proofErr w:type="spellStart"/>
                      <w:r w:rsidRPr="00596229">
                        <w:rPr>
                          <w:rStyle w:val="Hyperlink"/>
                          <w:color w:val="auto"/>
                          <w:sz w:val="18"/>
                          <w:szCs w:val="18"/>
                          <w:u w:val="none"/>
                        </w:rPr>
                        <w:t>Spanish</w:t>
                      </w:r>
                      <w:proofErr w:type="spellEnd"/>
                    </w:p>
                  </w:txbxContent>
                </v:textbox>
                <w10:wrap type="square"/>
              </v:shape>
            </w:pict>
          </mc:Fallback>
        </mc:AlternateContent>
      </w:r>
    </w:p>
    <w:sectPr w:rsidR="00167DC8" w:rsidRPr="00F52C37" w:rsidSect="00A13D15">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5CC" w:rsidRDefault="001305CC" w:rsidP="0072463F">
      <w:r>
        <w:separator/>
      </w:r>
    </w:p>
  </w:endnote>
  <w:endnote w:type="continuationSeparator" w:id="0">
    <w:p w:rsidR="001305CC" w:rsidRDefault="001305CC" w:rsidP="0072463F">
      <w:r>
        <w:continuationSeparator/>
      </w:r>
    </w:p>
  </w:endnote>
  <w:endnote w:type="continuationNotice" w:id="1">
    <w:p w:rsidR="001305CC" w:rsidRDefault="00130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3F" w:rsidRDefault="0043086D" w:rsidP="0072463F">
    <w:pPr>
      <w:pStyle w:val="Footer"/>
      <w:jc w:val="right"/>
    </w:pPr>
    <w:r>
      <w:rPr>
        <w:noProof/>
        <w:lang w:val="en-US" w:eastAsia="en-US"/>
      </w:rPr>
      <w:drawing>
        <wp:inline distT="0" distB="0" distL="0" distR="0" wp14:anchorId="21933A44" wp14:editId="282F0BAF">
          <wp:extent cx="890905" cy="902335"/>
          <wp:effectExtent l="0" t="0" r="4445" b="0"/>
          <wp:docPr id="4" name="Picture 3" title="State Seal of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title="State Seal of the Massachusetts Department of Public Heal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902335"/>
                  </a:xfrm>
                  <a:prstGeom prst="rect">
                    <a:avLst/>
                  </a:prstGeom>
                  <a:noFill/>
                  <a:ln>
                    <a:noFill/>
                  </a:ln>
                </pic:spPr>
              </pic:pic>
            </a:graphicData>
          </a:graphic>
        </wp:inline>
      </w:drawing>
    </w:r>
  </w:p>
  <w:p w:rsidR="0072463F" w:rsidRDefault="00D66A2E" w:rsidP="002359F9">
    <w:pPr>
      <w:pStyle w:val="ListBullet"/>
    </w:pPr>
  </w:p>
  <w:p w:rsidR="0072463F" w:rsidRPr="0072463F" w:rsidRDefault="00DA4E2C" w:rsidP="002359F9">
    <w:pPr>
      <w:pStyle w:val="ListBullet"/>
    </w:pPr>
    <w: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5CC" w:rsidRDefault="001305CC" w:rsidP="0072463F">
      <w:r>
        <w:separator/>
      </w:r>
    </w:p>
  </w:footnote>
  <w:footnote w:type="continuationSeparator" w:id="0">
    <w:p w:rsidR="001305CC" w:rsidRDefault="001305CC" w:rsidP="0072463F">
      <w:r>
        <w:continuationSeparator/>
      </w:r>
    </w:p>
  </w:footnote>
  <w:footnote w:type="continuationNotice" w:id="1">
    <w:p w:rsidR="001305CC" w:rsidRDefault="001305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0E2D"/>
    <w:multiLevelType w:val="multilevel"/>
    <w:tmpl w:val="EA32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FF471B"/>
    <w:multiLevelType w:val="hybridMultilevel"/>
    <w:tmpl w:val="4E98948C"/>
    <w:lvl w:ilvl="0" w:tplc="8B90A34E">
      <w:start w:val="1"/>
      <w:numFmt w:val="bullet"/>
      <w:lvlText w:val=""/>
      <w:lvlJc w:val="left"/>
      <w:pPr>
        <w:ind w:left="360" w:hanging="360"/>
      </w:pPr>
      <w:rPr>
        <w:rFonts w:ascii="Symbol" w:hAnsi="Symbol" w:hint="default"/>
      </w:rPr>
    </w:lvl>
    <w:lvl w:ilvl="1" w:tplc="69160F58" w:tentative="1">
      <w:start w:val="1"/>
      <w:numFmt w:val="bullet"/>
      <w:lvlText w:val="o"/>
      <w:lvlJc w:val="left"/>
      <w:pPr>
        <w:ind w:left="1080" w:hanging="360"/>
      </w:pPr>
      <w:rPr>
        <w:rFonts w:ascii="Courier New" w:hAnsi="Courier New" w:cs="Courier New" w:hint="default"/>
      </w:rPr>
    </w:lvl>
    <w:lvl w:ilvl="2" w:tplc="18BEB3C2" w:tentative="1">
      <w:start w:val="1"/>
      <w:numFmt w:val="bullet"/>
      <w:lvlText w:val=""/>
      <w:lvlJc w:val="left"/>
      <w:pPr>
        <w:ind w:left="1800" w:hanging="360"/>
      </w:pPr>
      <w:rPr>
        <w:rFonts w:ascii="Wingdings" w:hAnsi="Wingdings" w:hint="default"/>
      </w:rPr>
    </w:lvl>
    <w:lvl w:ilvl="3" w:tplc="A7F4EB76" w:tentative="1">
      <w:start w:val="1"/>
      <w:numFmt w:val="bullet"/>
      <w:lvlText w:val=""/>
      <w:lvlJc w:val="left"/>
      <w:pPr>
        <w:ind w:left="2520" w:hanging="360"/>
      </w:pPr>
      <w:rPr>
        <w:rFonts w:ascii="Symbol" w:hAnsi="Symbol" w:hint="default"/>
      </w:rPr>
    </w:lvl>
    <w:lvl w:ilvl="4" w:tplc="A6FA64AC" w:tentative="1">
      <w:start w:val="1"/>
      <w:numFmt w:val="bullet"/>
      <w:lvlText w:val="o"/>
      <w:lvlJc w:val="left"/>
      <w:pPr>
        <w:ind w:left="3240" w:hanging="360"/>
      </w:pPr>
      <w:rPr>
        <w:rFonts w:ascii="Courier New" w:hAnsi="Courier New" w:cs="Courier New" w:hint="default"/>
      </w:rPr>
    </w:lvl>
    <w:lvl w:ilvl="5" w:tplc="B5EA427A" w:tentative="1">
      <w:start w:val="1"/>
      <w:numFmt w:val="bullet"/>
      <w:lvlText w:val=""/>
      <w:lvlJc w:val="left"/>
      <w:pPr>
        <w:ind w:left="3960" w:hanging="360"/>
      </w:pPr>
      <w:rPr>
        <w:rFonts w:ascii="Wingdings" w:hAnsi="Wingdings" w:hint="default"/>
      </w:rPr>
    </w:lvl>
    <w:lvl w:ilvl="6" w:tplc="8CCACA10" w:tentative="1">
      <w:start w:val="1"/>
      <w:numFmt w:val="bullet"/>
      <w:lvlText w:val=""/>
      <w:lvlJc w:val="left"/>
      <w:pPr>
        <w:ind w:left="4680" w:hanging="360"/>
      </w:pPr>
      <w:rPr>
        <w:rFonts w:ascii="Symbol" w:hAnsi="Symbol" w:hint="default"/>
      </w:rPr>
    </w:lvl>
    <w:lvl w:ilvl="7" w:tplc="5D144CFA" w:tentative="1">
      <w:start w:val="1"/>
      <w:numFmt w:val="bullet"/>
      <w:lvlText w:val="o"/>
      <w:lvlJc w:val="left"/>
      <w:pPr>
        <w:ind w:left="5400" w:hanging="360"/>
      </w:pPr>
      <w:rPr>
        <w:rFonts w:ascii="Courier New" w:hAnsi="Courier New" w:cs="Courier New" w:hint="default"/>
      </w:rPr>
    </w:lvl>
    <w:lvl w:ilvl="8" w:tplc="9EE09DD0" w:tentative="1">
      <w:start w:val="1"/>
      <w:numFmt w:val="bullet"/>
      <w:lvlText w:val=""/>
      <w:lvlJc w:val="left"/>
      <w:pPr>
        <w:ind w:left="6120" w:hanging="360"/>
      </w:pPr>
      <w:rPr>
        <w:rFonts w:ascii="Wingdings" w:hAnsi="Wingdings" w:hint="default"/>
      </w:rPr>
    </w:lvl>
  </w:abstractNum>
  <w:abstractNum w:abstractNumId="2">
    <w:nsid w:val="446D4DF4"/>
    <w:multiLevelType w:val="hybridMultilevel"/>
    <w:tmpl w:val="8430B292"/>
    <w:lvl w:ilvl="0" w:tplc="C3AE9856">
      <w:start w:val="1"/>
      <w:numFmt w:val="bullet"/>
      <w:lvlText w:val=""/>
      <w:lvlJc w:val="left"/>
      <w:pPr>
        <w:ind w:left="720" w:hanging="360"/>
      </w:pPr>
      <w:rPr>
        <w:rFonts w:ascii="Symbol" w:hAnsi="Symbol" w:hint="default"/>
      </w:rPr>
    </w:lvl>
    <w:lvl w:ilvl="1" w:tplc="96F02498">
      <w:numFmt w:val="bullet"/>
      <w:lvlText w:val="-"/>
      <w:lvlJc w:val="left"/>
      <w:pPr>
        <w:ind w:left="1440" w:hanging="360"/>
      </w:pPr>
      <w:rPr>
        <w:rFonts w:ascii="Arial" w:eastAsia="Times New Roman" w:hAnsi="Arial" w:cs="Arial" w:hint="default"/>
      </w:rPr>
    </w:lvl>
    <w:lvl w:ilvl="2" w:tplc="2B9E9510" w:tentative="1">
      <w:start w:val="1"/>
      <w:numFmt w:val="bullet"/>
      <w:lvlText w:val=""/>
      <w:lvlJc w:val="left"/>
      <w:pPr>
        <w:ind w:left="2160" w:hanging="360"/>
      </w:pPr>
      <w:rPr>
        <w:rFonts w:ascii="Wingdings" w:hAnsi="Wingdings" w:hint="default"/>
      </w:rPr>
    </w:lvl>
    <w:lvl w:ilvl="3" w:tplc="FFA637BC" w:tentative="1">
      <w:start w:val="1"/>
      <w:numFmt w:val="bullet"/>
      <w:lvlText w:val=""/>
      <w:lvlJc w:val="left"/>
      <w:pPr>
        <w:ind w:left="2880" w:hanging="360"/>
      </w:pPr>
      <w:rPr>
        <w:rFonts w:ascii="Symbol" w:hAnsi="Symbol" w:hint="default"/>
      </w:rPr>
    </w:lvl>
    <w:lvl w:ilvl="4" w:tplc="7F7641B4" w:tentative="1">
      <w:start w:val="1"/>
      <w:numFmt w:val="bullet"/>
      <w:lvlText w:val="o"/>
      <w:lvlJc w:val="left"/>
      <w:pPr>
        <w:ind w:left="3600" w:hanging="360"/>
      </w:pPr>
      <w:rPr>
        <w:rFonts w:ascii="Courier New" w:hAnsi="Courier New" w:cs="Courier New" w:hint="default"/>
      </w:rPr>
    </w:lvl>
    <w:lvl w:ilvl="5" w:tplc="04128D22" w:tentative="1">
      <w:start w:val="1"/>
      <w:numFmt w:val="bullet"/>
      <w:lvlText w:val=""/>
      <w:lvlJc w:val="left"/>
      <w:pPr>
        <w:ind w:left="4320" w:hanging="360"/>
      </w:pPr>
      <w:rPr>
        <w:rFonts w:ascii="Wingdings" w:hAnsi="Wingdings" w:hint="default"/>
      </w:rPr>
    </w:lvl>
    <w:lvl w:ilvl="6" w:tplc="EA8213BA" w:tentative="1">
      <w:start w:val="1"/>
      <w:numFmt w:val="bullet"/>
      <w:lvlText w:val=""/>
      <w:lvlJc w:val="left"/>
      <w:pPr>
        <w:ind w:left="5040" w:hanging="360"/>
      </w:pPr>
      <w:rPr>
        <w:rFonts w:ascii="Symbol" w:hAnsi="Symbol" w:hint="default"/>
      </w:rPr>
    </w:lvl>
    <w:lvl w:ilvl="7" w:tplc="40EAAF22" w:tentative="1">
      <w:start w:val="1"/>
      <w:numFmt w:val="bullet"/>
      <w:lvlText w:val="o"/>
      <w:lvlJc w:val="left"/>
      <w:pPr>
        <w:ind w:left="5760" w:hanging="360"/>
      </w:pPr>
      <w:rPr>
        <w:rFonts w:ascii="Courier New" w:hAnsi="Courier New" w:cs="Courier New" w:hint="default"/>
      </w:rPr>
    </w:lvl>
    <w:lvl w:ilvl="8" w:tplc="392A825C" w:tentative="1">
      <w:start w:val="1"/>
      <w:numFmt w:val="bullet"/>
      <w:lvlText w:val=""/>
      <w:lvlJc w:val="left"/>
      <w:pPr>
        <w:ind w:left="6480" w:hanging="360"/>
      </w:pPr>
      <w:rPr>
        <w:rFonts w:ascii="Wingdings" w:hAnsi="Wingdings" w:hint="default"/>
      </w:rPr>
    </w:lvl>
  </w:abstractNum>
  <w:abstractNum w:abstractNumId="3">
    <w:nsid w:val="475E165F"/>
    <w:multiLevelType w:val="hybridMultilevel"/>
    <w:tmpl w:val="D060ADC8"/>
    <w:lvl w:ilvl="0" w:tplc="00E0FCEA">
      <w:start w:val="1"/>
      <w:numFmt w:val="bullet"/>
      <w:lvlText w:val=""/>
      <w:lvlJc w:val="left"/>
      <w:pPr>
        <w:ind w:left="720" w:hanging="360"/>
      </w:pPr>
      <w:rPr>
        <w:rFonts w:ascii="Symbol" w:hAnsi="Symbol" w:hint="default"/>
      </w:rPr>
    </w:lvl>
    <w:lvl w:ilvl="1" w:tplc="42B8130C" w:tentative="1">
      <w:start w:val="1"/>
      <w:numFmt w:val="bullet"/>
      <w:lvlText w:val="o"/>
      <w:lvlJc w:val="left"/>
      <w:pPr>
        <w:ind w:left="1440" w:hanging="360"/>
      </w:pPr>
      <w:rPr>
        <w:rFonts w:ascii="Courier New" w:hAnsi="Courier New" w:cs="Courier New" w:hint="default"/>
      </w:rPr>
    </w:lvl>
    <w:lvl w:ilvl="2" w:tplc="1C3CB390" w:tentative="1">
      <w:start w:val="1"/>
      <w:numFmt w:val="bullet"/>
      <w:lvlText w:val=""/>
      <w:lvlJc w:val="left"/>
      <w:pPr>
        <w:ind w:left="2160" w:hanging="360"/>
      </w:pPr>
      <w:rPr>
        <w:rFonts w:ascii="Wingdings" w:hAnsi="Wingdings" w:hint="default"/>
      </w:rPr>
    </w:lvl>
    <w:lvl w:ilvl="3" w:tplc="39EA2878" w:tentative="1">
      <w:start w:val="1"/>
      <w:numFmt w:val="bullet"/>
      <w:lvlText w:val=""/>
      <w:lvlJc w:val="left"/>
      <w:pPr>
        <w:ind w:left="2880" w:hanging="360"/>
      </w:pPr>
      <w:rPr>
        <w:rFonts w:ascii="Symbol" w:hAnsi="Symbol" w:hint="default"/>
      </w:rPr>
    </w:lvl>
    <w:lvl w:ilvl="4" w:tplc="D2BE73B6" w:tentative="1">
      <w:start w:val="1"/>
      <w:numFmt w:val="bullet"/>
      <w:lvlText w:val="o"/>
      <w:lvlJc w:val="left"/>
      <w:pPr>
        <w:ind w:left="3600" w:hanging="360"/>
      </w:pPr>
      <w:rPr>
        <w:rFonts w:ascii="Courier New" w:hAnsi="Courier New" w:cs="Courier New" w:hint="default"/>
      </w:rPr>
    </w:lvl>
    <w:lvl w:ilvl="5" w:tplc="78168034" w:tentative="1">
      <w:start w:val="1"/>
      <w:numFmt w:val="bullet"/>
      <w:lvlText w:val=""/>
      <w:lvlJc w:val="left"/>
      <w:pPr>
        <w:ind w:left="4320" w:hanging="360"/>
      </w:pPr>
      <w:rPr>
        <w:rFonts w:ascii="Wingdings" w:hAnsi="Wingdings" w:hint="default"/>
      </w:rPr>
    </w:lvl>
    <w:lvl w:ilvl="6" w:tplc="B15C9A76" w:tentative="1">
      <w:start w:val="1"/>
      <w:numFmt w:val="bullet"/>
      <w:lvlText w:val=""/>
      <w:lvlJc w:val="left"/>
      <w:pPr>
        <w:ind w:left="5040" w:hanging="360"/>
      </w:pPr>
      <w:rPr>
        <w:rFonts w:ascii="Symbol" w:hAnsi="Symbol" w:hint="default"/>
      </w:rPr>
    </w:lvl>
    <w:lvl w:ilvl="7" w:tplc="2B2C7B9C" w:tentative="1">
      <w:start w:val="1"/>
      <w:numFmt w:val="bullet"/>
      <w:lvlText w:val="o"/>
      <w:lvlJc w:val="left"/>
      <w:pPr>
        <w:ind w:left="5760" w:hanging="360"/>
      </w:pPr>
      <w:rPr>
        <w:rFonts w:ascii="Courier New" w:hAnsi="Courier New" w:cs="Courier New" w:hint="default"/>
      </w:rPr>
    </w:lvl>
    <w:lvl w:ilvl="8" w:tplc="9CBC4A56"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E4"/>
    <w:rsid w:val="00022617"/>
    <w:rsid w:val="000C00F2"/>
    <w:rsid w:val="000E2648"/>
    <w:rsid w:val="000F03CC"/>
    <w:rsid w:val="001305CC"/>
    <w:rsid w:val="002157E4"/>
    <w:rsid w:val="00290B84"/>
    <w:rsid w:val="0032356D"/>
    <w:rsid w:val="0043086D"/>
    <w:rsid w:val="004B3DBB"/>
    <w:rsid w:val="00596229"/>
    <w:rsid w:val="00633741"/>
    <w:rsid w:val="00791A3D"/>
    <w:rsid w:val="00861F2F"/>
    <w:rsid w:val="009F3B00"/>
    <w:rsid w:val="00A40823"/>
    <w:rsid w:val="00AA2FA3"/>
    <w:rsid w:val="00AC2EF0"/>
    <w:rsid w:val="00BA2032"/>
    <w:rsid w:val="00BD3E39"/>
    <w:rsid w:val="00C34FF3"/>
    <w:rsid w:val="00D66A2E"/>
    <w:rsid w:val="00DA4E2C"/>
    <w:rsid w:val="00E119E4"/>
    <w:rsid w:val="00EE0487"/>
    <w:rsid w:val="00EF5886"/>
    <w:rsid w:val="00F52C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Heading1">
    <w:name w:val="heading 1"/>
    <w:basedOn w:val="Normal"/>
    <w:next w:val="Normal"/>
    <w:link w:val="Heading1Char"/>
    <w:uiPriority w:val="9"/>
    <w:qFormat/>
    <w:rsid w:val="00A13D15"/>
    <w:pPr>
      <w:spacing w:after="100" w:afterAutospacing="1"/>
      <w:jc w:val="center"/>
      <w:outlineLvl w:val="0"/>
    </w:pPr>
    <w:rPr>
      <w:rFonts w:ascii="Georgia" w:eastAsia="SimSun" w:hAnsi="Georgia"/>
      <w:color w:val="FFFFFF"/>
      <w:spacing w:val="20"/>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6600"/>
    <w:rPr>
      <w:color w:val="0000FF"/>
      <w:u w:val="single"/>
      <w:lang w:val="es-ES" w:eastAsia="es-ES"/>
    </w:rPr>
  </w:style>
  <w:style w:type="paragraph" w:styleId="BalloonText">
    <w:name w:val="Balloon Text"/>
    <w:basedOn w:val="Normal"/>
    <w:link w:val="BalloonTextChar"/>
    <w:rsid w:val="00F47E5F"/>
    <w:rPr>
      <w:rFonts w:ascii="Tahoma" w:hAnsi="Tahoma" w:cs="Tahoma"/>
      <w:sz w:val="16"/>
      <w:szCs w:val="16"/>
    </w:rPr>
  </w:style>
  <w:style w:type="character" w:customStyle="1" w:styleId="BalloonTextChar">
    <w:name w:val="Balloon Text Char"/>
    <w:link w:val="BalloonText"/>
    <w:rsid w:val="00F47E5F"/>
    <w:rPr>
      <w:rFonts w:ascii="Tahoma" w:hAnsi="Tahoma" w:cs="Tahoma"/>
      <w:sz w:val="16"/>
      <w:szCs w:val="16"/>
      <w:lang w:val="es-ES" w:eastAsia="es-ES"/>
    </w:rPr>
  </w:style>
  <w:style w:type="paragraph" w:styleId="ListParagraph">
    <w:name w:val="List Paragraph"/>
    <w:basedOn w:val="Normal"/>
    <w:uiPriority w:val="34"/>
    <w:qFormat/>
    <w:rsid w:val="006F5BE4"/>
    <w:pPr>
      <w:ind w:left="720"/>
      <w:contextualSpacing/>
    </w:pPr>
  </w:style>
  <w:style w:type="character" w:customStyle="1" w:styleId="Heading1Char">
    <w:name w:val="Heading 1 Char"/>
    <w:link w:val="Heading1"/>
    <w:uiPriority w:val="9"/>
    <w:rsid w:val="00A13D15"/>
    <w:rPr>
      <w:rFonts w:ascii="Georgia" w:eastAsia="SimSun" w:hAnsi="Georgia"/>
      <w:color w:val="FFFFFF"/>
      <w:spacing w:val="20"/>
      <w:sz w:val="72"/>
      <w:szCs w:val="72"/>
      <w:lang w:val="es-ES" w:eastAsia="es-ES"/>
    </w:rPr>
  </w:style>
  <w:style w:type="paragraph" w:styleId="Header">
    <w:name w:val="header"/>
    <w:aliases w:val="Subhead 1"/>
    <w:basedOn w:val="Normal"/>
    <w:link w:val="HeaderChar"/>
    <w:uiPriority w:val="99"/>
    <w:unhideWhenUsed/>
    <w:rsid w:val="00A13D15"/>
    <w:pPr>
      <w:tabs>
        <w:tab w:val="center" w:pos="4320"/>
        <w:tab w:val="right" w:pos="8640"/>
      </w:tabs>
    </w:pPr>
    <w:rPr>
      <w:rFonts w:ascii="Arial" w:eastAsia="SimSun" w:hAnsi="Arial"/>
      <w:b/>
      <w:caps/>
      <w:color w:val="31849B"/>
      <w:szCs w:val="20"/>
    </w:rPr>
  </w:style>
  <w:style w:type="character" w:customStyle="1" w:styleId="HeaderChar">
    <w:name w:val="Header Char"/>
    <w:aliases w:val="Subhead 1 Char"/>
    <w:link w:val="Header"/>
    <w:uiPriority w:val="99"/>
    <w:rsid w:val="00A13D15"/>
    <w:rPr>
      <w:rFonts w:ascii="Arial" w:eastAsia="SimSun" w:hAnsi="Arial"/>
      <w:b/>
      <w:caps/>
      <w:color w:val="31849B"/>
      <w:sz w:val="24"/>
      <w:lang w:val="es-ES" w:eastAsia="es-ES"/>
    </w:rPr>
  </w:style>
  <w:style w:type="paragraph" w:customStyle="1" w:styleId="MassDOHHeader">
    <w:name w:val="MassDOH Header"/>
    <w:basedOn w:val="Normal"/>
    <w:qFormat/>
    <w:rsid w:val="00A13D15"/>
    <w:pPr>
      <w:spacing w:after="200"/>
      <w:jc w:val="center"/>
    </w:pPr>
    <w:rPr>
      <w:rFonts w:ascii="Arial" w:eastAsia="SimSun" w:hAnsi="Arial"/>
      <w:bCs/>
      <w:caps/>
      <w:color w:val="FFFFFF"/>
      <w:spacing w:val="20"/>
      <w:sz w:val="22"/>
    </w:rPr>
  </w:style>
  <w:style w:type="table" w:styleId="TableGrid">
    <w:name w:val="Table Grid"/>
    <w:basedOn w:val="TableNormal"/>
    <w:rsid w:val="0018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iPriority w:val="99"/>
    <w:unhideWhenUsed/>
    <w:qFormat/>
    <w:rsid w:val="002359F9"/>
    <w:pPr>
      <w:tabs>
        <w:tab w:val="left" w:pos="0"/>
      </w:tabs>
      <w:spacing w:after="200"/>
      <w:ind w:left="432" w:right="450"/>
      <w:contextualSpacing/>
      <w:jc w:val="right"/>
    </w:pPr>
    <w:rPr>
      <w:rFonts w:ascii="Arial" w:eastAsia="SimSun" w:hAnsi="Arial" w:cs="Arial"/>
      <w:color w:val="000000"/>
      <w:sz w:val="22"/>
      <w:szCs w:val="22"/>
    </w:rPr>
  </w:style>
  <w:style w:type="paragraph" w:styleId="Footer">
    <w:name w:val="footer"/>
    <w:basedOn w:val="Normal"/>
    <w:link w:val="FooterChar"/>
    <w:rsid w:val="0072463F"/>
    <w:pPr>
      <w:tabs>
        <w:tab w:val="center" w:pos="4680"/>
        <w:tab w:val="right" w:pos="9360"/>
      </w:tabs>
    </w:pPr>
  </w:style>
  <w:style w:type="character" w:customStyle="1" w:styleId="FooterChar">
    <w:name w:val="Footer Char"/>
    <w:link w:val="Footer"/>
    <w:rsid w:val="0072463F"/>
    <w:rPr>
      <w:sz w:val="24"/>
      <w:szCs w:val="24"/>
      <w:lang w:val="es-ES" w:eastAsia="es-ES"/>
    </w:rPr>
  </w:style>
  <w:style w:type="character" w:styleId="CommentReference">
    <w:name w:val="annotation reference"/>
    <w:rsid w:val="009A1784"/>
    <w:rPr>
      <w:sz w:val="16"/>
      <w:szCs w:val="16"/>
      <w:lang w:val="es-ES" w:eastAsia="es-ES"/>
    </w:rPr>
  </w:style>
  <w:style w:type="paragraph" w:styleId="CommentText">
    <w:name w:val="annotation text"/>
    <w:basedOn w:val="Normal"/>
    <w:link w:val="CommentTextChar"/>
    <w:rsid w:val="009A1784"/>
    <w:rPr>
      <w:sz w:val="20"/>
      <w:szCs w:val="20"/>
    </w:rPr>
  </w:style>
  <w:style w:type="character" w:customStyle="1" w:styleId="CommentTextChar">
    <w:name w:val="Comment Text Char"/>
    <w:basedOn w:val="DefaultParagraphFont"/>
    <w:link w:val="CommentText"/>
    <w:rsid w:val="009A1784"/>
  </w:style>
  <w:style w:type="paragraph" w:styleId="CommentSubject">
    <w:name w:val="annotation subject"/>
    <w:basedOn w:val="CommentText"/>
    <w:next w:val="CommentText"/>
    <w:link w:val="CommentSubjectChar"/>
    <w:rsid w:val="009A1784"/>
    <w:rPr>
      <w:b/>
      <w:bCs/>
    </w:rPr>
  </w:style>
  <w:style w:type="character" w:customStyle="1" w:styleId="CommentSubjectChar">
    <w:name w:val="Comment Subject Char"/>
    <w:link w:val="CommentSubject"/>
    <w:rsid w:val="009A1784"/>
    <w:rPr>
      <w:b/>
      <w:bCs/>
      <w:lang w:val="es-ES" w:eastAsia="es-ES"/>
    </w:rPr>
  </w:style>
  <w:style w:type="paragraph" w:styleId="Revision">
    <w:name w:val="Revision"/>
    <w:hidden/>
    <w:uiPriority w:val="99"/>
    <w:semiHidden/>
    <w:rsid w:val="009A1784"/>
    <w:rPr>
      <w:sz w:val="24"/>
      <w:szCs w:val="24"/>
      <w:lang w:val="es-ES" w:eastAsia="es-ES"/>
    </w:rPr>
  </w:style>
  <w:style w:type="character" w:styleId="FollowedHyperlink">
    <w:name w:val="FollowedHyperlink"/>
    <w:rsid w:val="00D37D23"/>
    <w:rPr>
      <w:color w:val="800080"/>
      <w:u w:val="single"/>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Heading1">
    <w:name w:val="heading 1"/>
    <w:basedOn w:val="Normal"/>
    <w:next w:val="Normal"/>
    <w:link w:val="Heading1Char"/>
    <w:uiPriority w:val="9"/>
    <w:qFormat/>
    <w:rsid w:val="00A13D15"/>
    <w:pPr>
      <w:spacing w:after="100" w:afterAutospacing="1"/>
      <w:jc w:val="center"/>
      <w:outlineLvl w:val="0"/>
    </w:pPr>
    <w:rPr>
      <w:rFonts w:ascii="Georgia" w:eastAsia="SimSun" w:hAnsi="Georgia"/>
      <w:color w:val="FFFFFF"/>
      <w:spacing w:val="20"/>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6600"/>
    <w:rPr>
      <w:color w:val="0000FF"/>
      <w:u w:val="single"/>
      <w:lang w:val="es-ES" w:eastAsia="es-ES"/>
    </w:rPr>
  </w:style>
  <w:style w:type="paragraph" w:styleId="BalloonText">
    <w:name w:val="Balloon Text"/>
    <w:basedOn w:val="Normal"/>
    <w:link w:val="BalloonTextChar"/>
    <w:rsid w:val="00F47E5F"/>
    <w:rPr>
      <w:rFonts w:ascii="Tahoma" w:hAnsi="Tahoma" w:cs="Tahoma"/>
      <w:sz w:val="16"/>
      <w:szCs w:val="16"/>
    </w:rPr>
  </w:style>
  <w:style w:type="character" w:customStyle="1" w:styleId="BalloonTextChar">
    <w:name w:val="Balloon Text Char"/>
    <w:link w:val="BalloonText"/>
    <w:rsid w:val="00F47E5F"/>
    <w:rPr>
      <w:rFonts w:ascii="Tahoma" w:hAnsi="Tahoma" w:cs="Tahoma"/>
      <w:sz w:val="16"/>
      <w:szCs w:val="16"/>
      <w:lang w:val="es-ES" w:eastAsia="es-ES"/>
    </w:rPr>
  </w:style>
  <w:style w:type="paragraph" w:styleId="ListParagraph">
    <w:name w:val="List Paragraph"/>
    <w:basedOn w:val="Normal"/>
    <w:uiPriority w:val="34"/>
    <w:qFormat/>
    <w:rsid w:val="006F5BE4"/>
    <w:pPr>
      <w:ind w:left="720"/>
      <w:contextualSpacing/>
    </w:pPr>
  </w:style>
  <w:style w:type="character" w:customStyle="1" w:styleId="Heading1Char">
    <w:name w:val="Heading 1 Char"/>
    <w:link w:val="Heading1"/>
    <w:uiPriority w:val="9"/>
    <w:rsid w:val="00A13D15"/>
    <w:rPr>
      <w:rFonts w:ascii="Georgia" w:eastAsia="SimSun" w:hAnsi="Georgia"/>
      <w:color w:val="FFFFFF"/>
      <w:spacing w:val="20"/>
      <w:sz w:val="72"/>
      <w:szCs w:val="72"/>
      <w:lang w:val="es-ES" w:eastAsia="es-ES"/>
    </w:rPr>
  </w:style>
  <w:style w:type="paragraph" w:styleId="Header">
    <w:name w:val="header"/>
    <w:aliases w:val="Subhead 1"/>
    <w:basedOn w:val="Normal"/>
    <w:link w:val="HeaderChar"/>
    <w:uiPriority w:val="99"/>
    <w:unhideWhenUsed/>
    <w:rsid w:val="00A13D15"/>
    <w:pPr>
      <w:tabs>
        <w:tab w:val="center" w:pos="4320"/>
        <w:tab w:val="right" w:pos="8640"/>
      </w:tabs>
    </w:pPr>
    <w:rPr>
      <w:rFonts w:ascii="Arial" w:eastAsia="SimSun" w:hAnsi="Arial"/>
      <w:b/>
      <w:caps/>
      <w:color w:val="31849B"/>
      <w:szCs w:val="20"/>
    </w:rPr>
  </w:style>
  <w:style w:type="character" w:customStyle="1" w:styleId="HeaderChar">
    <w:name w:val="Header Char"/>
    <w:aliases w:val="Subhead 1 Char"/>
    <w:link w:val="Header"/>
    <w:uiPriority w:val="99"/>
    <w:rsid w:val="00A13D15"/>
    <w:rPr>
      <w:rFonts w:ascii="Arial" w:eastAsia="SimSun" w:hAnsi="Arial"/>
      <w:b/>
      <w:caps/>
      <w:color w:val="31849B"/>
      <w:sz w:val="24"/>
      <w:lang w:val="es-ES" w:eastAsia="es-ES"/>
    </w:rPr>
  </w:style>
  <w:style w:type="paragraph" w:customStyle="1" w:styleId="MassDOHHeader">
    <w:name w:val="MassDOH Header"/>
    <w:basedOn w:val="Normal"/>
    <w:qFormat/>
    <w:rsid w:val="00A13D15"/>
    <w:pPr>
      <w:spacing w:after="200"/>
      <w:jc w:val="center"/>
    </w:pPr>
    <w:rPr>
      <w:rFonts w:ascii="Arial" w:eastAsia="SimSun" w:hAnsi="Arial"/>
      <w:bCs/>
      <w:caps/>
      <w:color w:val="FFFFFF"/>
      <w:spacing w:val="20"/>
      <w:sz w:val="22"/>
    </w:rPr>
  </w:style>
  <w:style w:type="table" w:styleId="TableGrid">
    <w:name w:val="Table Grid"/>
    <w:basedOn w:val="TableNormal"/>
    <w:rsid w:val="0018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iPriority w:val="99"/>
    <w:unhideWhenUsed/>
    <w:qFormat/>
    <w:rsid w:val="002359F9"/>
    <w:pPr>
      <w:tabs>
        <w:tab w:val="left" w:pos="0"/>
      </w:tabs>
      <w:spacing w:after="200"/>
      <w:ind w:left="432" w:right="450"/>
      <w:contextualSpacing/>
      <w:jc w:val="right"/>
    </w:pPr>
    <w:rPr>
      <w:rFonts w:ascii="Arial" w:eastAsia="SimSun" w:hAnsi="Arial" w:cs="Arial"/>
      <w:color w:val="000000"/>
      <w:sz w:val="22"/>
      <w:szCs w:val="22"/>
    </w:rPr>
  </w:style>
  <w:style w:type="paragraph" w:styleId="Footer">
    <w:name w:val="footer"/>
    <w:basedOn w:val="Normal"/>
    <w:link w:val="FooterChar"/>
    <w:rsid w:val="0072463F"/>
    <w:pPr>
      <w:tabs>
        <w:tab w:val="center" w:pos="4680"/>
        <w:tab w:val="right" w:pos="9360"/>
      </w:tabs>
    </w:pPr>
  </w:style>
  <w:style w:type="character" w:customStyle="1" w:styleId="FooterChar">
    <w:name w:val="Footer Char"/>
    <w:link w:val="Footer"/>
    <w:rsid w:val="0072463F"/>
    <w:rPr>
      <w:sz w:val="24"/>
      <w:szCs w:val="24"/>
      <w:lang w:val="es-ES" w:eastAsia="es-ES"/>
    </w:rPr>
  </w:style>
  <w:style w:type="character" w:styleId="CommentReference">
    <w:name w:val="annotation reference"/>
    <w:rsid w:val="009A1784"/>
    <w:rPr>
      <w:sz w:val="16"/>
      <w:szCs w:val="16"/>
      <w:lang w:val="es-ES" w:eastAsia="es-ES"/>
    </w:rPr>
  </w:style>
  <w:style w:type="paragraph" w:styleId="CommentText">
    <w:name w:val="annotation text"/>
    <w:basedOn w:val="Normal"/>
    <w:link w:val="CommentTextChar"/>
    <w:rsid w:val="009A1784"/>
    <w:rPr>
      <w:sz w:val="20"/>
      <w:szCs w:val="20"/>
    </w:rPr>
  </w:style>
  <w:style w:type="character" w:customStyle="1" w:styleId="CommentTextChar">
    <w:name w:val="Comment Text Char"/>
    <w:basedOn w:val="DefaultParagraphFont"/>
    <w:link w:val="CommentText"/>
    <w:rsid w:val="009A1784"/>
  </w:style>
  <w:style w:type="paragraph" w:styleId="CommentSubject">
    <w:name w:val="annotation subject"/>
    <w:basedOn w:val="CommentText"/>
    <w:next w:val="CommentText"/>
    <w:link w:val="CommentSubjectChar"/>
    <w:rsid w:val="009A1784"/>
    <w:rPr>
      <w:b/>
      <w:bCs/>
    </w:rPr>
  </w:style>
  <w:style w:type="character" w:customStyle="1" w:styleId="CommentSubjectChar">
    <w:name w:val="Comment Subject Char"/>
    <w:link w:val="CommentSubject"/>
    <w:rsid w:val="009A1784"/>
    <w:rPr>
      <w:b/>
      <w:bCs/>
      <w:lang w:val="es-ES" w:eastAsia="es-ES"/>
    </w:rPr>
  </w:style>
  <w:style w:type="paragraph" w:styleId="Revision">
    <w:name w:val="Revision"/>
    <w:hidden/>
    <w:uiPriority w:val="99"/>
    <w:semiHidden/>
    <w:rsid w:val="009A1784"/>
    <w:rPr>
      <w:sz w:val="24"/>
      <w:szCs w:val="24"/>
      <w:lang w:val="es-ES" w:eastAsia="es-ES"/>
    </w:rPr>
  </w:style>
  <w:style w:type="character" w:styleId="FollowedHyperlink">
    <w:name w:val="FollowedHyperlink"/>
    <w:rsid w:val="00D37D23"/>
    <w:rPr>
      <w:color w:val="800080"/>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1.xml"/>
  <Relationship Id="rId11" Type="http://schemas.openxmlformats.org/officeDocument/2006/relationships/footer" Target="footer1.xml"/>
  <Relationship Id="rId12" Type="http://schemas.openxmlformats.org/officeDocument/2006/relationships/hyperlink" TargetMode="External" Target="http://tinyurl.com/beh-radon"/>
  <Relationship Id="rId13" Type="http://schemas.openxmlformats.org/officeDocument/2006/relationships/hyperlink" TargetMode="External" Target="http://tinyurl.com/beh-radon"/>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_rels/footer1.xml.rels><?xml version="1.0" encoding="UTF-8"?>

<Relationships xmlns="http://schemas.openxmlformats.org/package/2006/relationships">
  <Relationship Id="rId1" Type="http://schemas.openxmlformats.org/officeDocument/2006/relationships/image" Target="media/image2.emf"/>
</Relationships>

</file>

<file path=word/charts/_rels/chart1.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oleObject" TargetMode="External" Target="Book2"/>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704657110168921"/>
          <c:y val="0.13819941541398234"/>
          <c:w val="0.60043416447944009"/>
          <c:h val="0.66560831166312062"/>
        </c:manualLayout>
      </c:layout>
      <c:pieChart>
        <c:varyColors val="1"/>
        <c:ser>
          <c:idx val="0"/>
          <c:order val="0"/>
          <c:spPr>
            <a:effectLst/>
          </c:spPr>
          <c:dLbls>
            <c:dLbl>
              <c:idx val="0"/>
              <c:layout/>
              <c:tx>
                <c:rich>
                  <a:bodyPr/>
                  <a:lstStyle/>
                  <a:p>
                    <a:r>
                      <a:rPr lang="en-US" sz="600" b="0" i="0" u="none" strike="noStrike" baseline="0">
                        <a:effectLst/>
                      </a:rPr>
                      <a:t>Fuentes </a:t>
                    </a:r>
                    <a:br>
                      <a:rPr lang="en-US" sz="600" b="0" i="0" u="none" strike="noStrike" baseline="0">
                        <a:effectLst/>
                      </a:rPr>
                    </a:br>
                    <a:r>
                      <a:rPr lang="en-US" sz="600" b="0" i="0" u="none" strike="noStrike" baseline="0">
                        <a:effectLst/>
                      </a:rPr>
                      <a:t>de fondo</a:t>
                    </a:r>
                    <a:r>
                      <a:rPr lang="en-US" sz="600" baseline="0"/>
                      <a:t>
13%</a:t>
                    </a:r>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2.6648832357493775E-2"/>
                  <c:y val="-1.6186804235677438E-2"/>
                </c:manualLayout>
              </c:layout>
              <c:tx>
                <c:rich>
                  <a:bodyPr/>
                  <a:lstStyle/>
                  <a:p>
                    <a:r>
                      <a:rPr lang="en-US" sz="600" b="0" i="0" u="none" strike="noStrike" baseline="0">
                        <a:effectLst/>
                      </a:rPr>
                      <a:t>Radón y torón</a:t>
                    </a:r>
                    <a:r>
                      <a:rPr lang="en-US" sz="600" baseline="0"/>
                      <a:t>
37%</a:t>
                    </a:r>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24812834224598931"/>
                  <c:y val="-2.7485472927885932E-2"/>
                </c:manualLayout>
              </c:layout>
              <c:tx>
                <c:rich>
                  <a:bodyPr/>
                  <a:lstStyle/>
                  <a:p>
                    <a:r>
                      <a:rPr lang="en-US" sz="600" b="0" i="0" u="none" strike="noStrike" baseline="0">
                        <a:effectLst/>
                      </a:rPr>
                      <a:t>Productos para el consumo</a:t>
                    </a:r>
                    <a:r>
                      <a:rPr lang="en-US" sz="600"/>
                      <a:t>
2%</a:t>
                    </a:r>
                    <a:endParaRPr 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556149732620323"/>
                      <c:h val="0.32982134677049929"/>
                    </c:manualLayout>
                  </c15:layout>
                </c:ext>
              </c:extLst>
            </c:dLbl>
            <c:dLbl>
              <c:idx val="3"/>
              <c:layout>
                <c:manualLayout>
                  <c:x val="-6.3158027706429754E-2"/>
                  <c:y val="-0.18071353082697009"/>
                </c:manualLayout>
              </c:layout>
              <c:tx>
                <c:rich>
                  <a:bodyPr/>
                  <a:lstStyle/>
                  <a:p>
                    <a:r>
                      <a:rPr lang="en-US" sz="600" b="0" i="0" u="none" strike="noStrike" baseline="0">
                        <a:effectLst/>
                      </a:rPr>
                      <a:t>Procedimientos médicos</a:t>
                    </a:r>
                    <a:r>
                      <a:rPr lang="en-US" sz="600" baseline="0"/>
                      <a:t>
36%</a:t>
                    </a:r>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847041980714975"/>
                      <c:h val="0.33953275309207515"/>
                    </c:manualLayout>
                  </c15:layout>
                </c:ext>
              </c:extLst>
            </c:dLbl>
            <c:dLbl>
              <c:idx val="4"/>
              <c:layout>
                <c:manualLayout>
                  <c:x val="-8.9839572192513373E-2"/>
                  <c:y val="2.2904260192395786E-3"/>
                </c:manualLayout>
              </c:layout>
              <c:tx>
                <c:rich>
                  <a:bodyPr/>
                  <a:lstStyle/>
                  <a:p>
                    <a:r>
                      <a:rPr lang="en-US" sz="600" b="0" i="0" u="none" strike="noStrike" baseline="0">
                        <a:effectLst/>
                      </a:rPr>
                      <a:t>Medicina nuclear </a:t>
                    </a:r>
                    <a:br>
                      <a:rPr lang="en-US" sz="600" b="0" i="0" u="none" strike="noStrike" baseline="0">
                        <a:effectLst/>
                      </a:rPr>
                    </a:br>
                    <a:r>
                      <a:rPr lang="en-US" sz="600" b="0" i="0" u="none" strike="noStrike" baseline="0">
                        <a:effectLst/>
                      </a:rPr>
                      <a:t>(p. ej., rayos X)</a:t>
                    </a:r>
                    <a:r>
                      <a:rPr lang="en-US" sz="600"/>
                      <a:t>
12%</a:t>
                    </a:r>
                    <a:endParaRPr 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5508021390374334"/>
                      <c:h val="0.30004580852038482"/>
                    </c:manualLayout>
                  </c15:layout>
                </c:ext>
              </c:extLst>
            </c:dLbl>
            <c:spPr>
              <a:noFill/>
              <a:ln>
                <a:noFill/>
              </a:ln>
              <a:effectLst/>
            </c:spPr>
            <c:txPr>
              <a:bodyPr/>
              <a:lstStyle/>
              <a:p>
                <a:pPr>
                  <a:defRPr sz="600"/>
                </a:pPr>
                <a:endParaRPr lang="en-US"/>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Sheet1!$A$2:$A$6</c:f>
              <c:strCache>
                <c:ptCount val="5"/>
                <c:pt idx="0">
                  <c:v>Background Sources</c:v>
                </c:pt>
                <c:pt idx="1">
                  <c:v>Radon and Thoron</c:v>
                </c:pt>
                <c:pt idx="2">
                  <c:v>Consumer Products</c:v>
                </c:pt>
                <c:pt idx="3">
                  <c:v>Medical Procedures</c:v>
                </c:pt>
                <c:pt idx="4">
                  <c:v>Nuclear medicine (e.g. x-ray)</c:v>
                </c:pt>
              </c:strCache>
            </c:strRef>
          </c:cat>
          <c:val>
            <c:numRef>
              <c:f>Sheet1!$B$2:$B$6</c:f>
              <c:numCache>
                <c:formatCode>General</c:formatCode>
                <c:ptCount val="5"/>
                <c:pt idx="0">
                  <c:v>13</c:v>
                </c:pt>
                <c:pt idx="1">
                  <c:v>37</c:v>
                </c:pt>
                <c:pt idx="2">
                  <c:v>2</c:v>
                </c:pt>
                <c:pt idx="3">
                  <c:v>36</c:v>
                </c:pt>
                <c:pt idx="4">
                  <c:v>12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895AD-7B53-4132-BCC1-DBA8321E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1210</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Hoja de información sobre el radón</vt:lpstr>
    </vt:vector>
  </TitlesOfParts>
  <Company>EOHHS</Company>
  <LinksUpToDate>false</LinksUpToDate>
  <CharactersWithSpaces>6923</CharactersWithSpaces>
  <SharedDoc>false</SharedDoc>
  <HLinks>
    <vt:vector size="6" baseType="variant">
      <vt:variant>
        <vt:i4>5505091</vt:i4>
      </vt:variant>
      <vt:variant>
        <vt:i4>0</vt:i4>
      </vt:variant>
      <vt:variant>
        <vt:i4>0</vt:i4>
      </vt:variant>
      <vt:variant>
        <vt:i4>5</vt:i4>
      </vt:variant>
      <vt:variant>
        <vt:lpwstr>http://tinyurl.com/beh-radon</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2016-06-17T18:00:00Z</dcterms:created>
  <dc:creator>Departamento de Salud Pública de Massachusetts, Oficina de Salud Ambiental- Indoor Air Quality Program</dc:creator>
  <keywords>radón, radon, lung cancer, carcinogen; colorless, odorless, tasteless, radioactive gas</keywords>
  <lastModifiedBy/>
  <lastPrinted>2016-01-07T20:14:00Z</lastPrinted>
  <dcterms:modified xsi:type="dcterms:W3CDTF">2016-07-19T15:49:00Z</dcterms:modified>
  <revision>8</revision>
  <dc:subject>Hoja de información sobre el radón, Radon is a colorless, odorless, tasteless, and radioactive gas that originates from the ground. Radon is formed through a naturally occurring process of radioactive decay. Uranium found in the earth’s rock and soil decays into radon. Because it is a gas, radon can move into water or air.</dc:subject>
  <dc:title>Hoja de información sobre el radón</dc:title>
</coreProperties>
</file>