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24139"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Section</w:t>
      </w:r>
    </w:p>
    <w:p w14:paraId="447CE287" w14:textId="77777777" w:rsidR="003875EB" w:rsidRPr="008B20A0" w:rsidRDefault="003875EB" w:rsidP="003875EB">
      <w:pPr>
        <w:suppressAutoHyphens/>
        <w:rPr>
          <w:rFonts w:ascii="Times New Roman" w:hAnsi="Times New Roman" w:cs="Times New Roman"/>
          <w:spacing w:val="-3"/>
          <w:sz w:val="22"/>
          <w:szCs w:val="22"/>
        </w:rPr>
      </w:pPr>
    </w:p>
    <w:p w14:paraId="060B1F1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420.01:  General Provisions</w:t>
      </w:r>
    </w:p>
    <w:p w14:paraId="73B3E10F"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420.02:  Definitions</w:t>
      </w:r>
    </w:p>
    <w:p w14:paraId="56CDEF6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420.03:  Rate Provisions </w:t>
      </w:r>
    </w:p>
    <w:p w14:paraId="35659B62"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420.04: </w:t>
      </w:r>
      <w:r w:rsidRPr="008B20A0">
        <w:rPr>
          <w:rFonts w:ascii="Times New Roman" w:hAnsi="Times New Roman" w:cs="Times New Roman"/>
          <w:spacing w:val="-3"/>
          <w:sz w:val="22"/>
          <w:szCs w:val="22"/>
        </w:rPr>
        <w:tab/>
        <w:t xml:space="preserve"> Filing and Reporting Requirements</w:t>
      </w:r>
    </w:p>
    <w:p w14:paraId="1606C017"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420.05:  Severability </w:t>
      </w:r>
    </w:p>
    <w:p w14:paraId="1C0402C2" w14:textId="77777777" w:rsidR="003875EB" w:rsidRPr="008B20A0" w:rsidRDefault="003875EB" w:rsidP="003875EB">
      <w:pPr>
        <w:suppressAutoHyphens/>
        <w:rPr>
          <w:rFonts w:ascii="Times New Roman" w:hAnsi="Times New Roman" w:cs="Times New Roman"/>
          <w:spacing w:val="-3"/>
          <w:sz w:val="22"/>
          <w:szCs w:val="22"/>
          <w:u w:val="single"/>
        </w:rPr>
      </w:pPr>
    </w:p>
    <w:p w14:paraId="60EA7C21"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420.01:  General Provisions</w:t>
      </w:r>
    </w:p>
    <w:p w14:paraId="1EA8EBE9" w14:textId="77777777" w:rsidR="003875EB" w:rsidRPr="008B20A0" w:rsidRDefault="003875EB" w:rsidP="003875EB">
      <w:pPr>
        <w:suppressAutoHyphens/>
        <w:rPr>
          <w:rFonts w:ascii="Times New Roman" w:hAnsi="Times New Roman" w:cs="Times New Roman"/>
          <w:spacing w:val="-3"/>
          <w:sz w:val="22"/>
          <w:szCs w:val="22"/>
        </w:rPr>
      </w:pPr>
    </w:p>
    <w:p w14:paraId="516F0F07" w14:textId="15A7CF02"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(1)  </w:t>
      </w:r>
      <w:r w:rsidRPr="008B20A0">
        <w:rPr>
          <w:rFonts w:ascii="Times New Roman" w:hAnsi="Times New Roman" w:cs="Times New Roman"/>
          <w:spacing w:val="-3"/>
          <w:sz w:val="22"/>
          <w:szCs w:val="22"/>
          <w:u w:val="single"/>
        </w:rPr>
        <w:t>Scope</w:t>
      </w:r>
      <w:r w:rsidRPr="008B20A0">
        <w:rPr>
          <w:rFonts w:ascii="Times New Roman" w:hAnsi="Times New Roman" w:cs="Times New Roman"/>
          <w:spacing w:val="-3"/>
          <w:sz w:val="22"/>
          <w:szCs w:val="22"/>
        </w:rPr>
        <w:t xml:space="preserve">.  101 CMR 420.00 governs the payment rates for </w:t>
      </w:r>
      <w:r w:rsidR="008C2CEB" w:rsidRPr="008B20A0">
        <w:rPr>
          <w:rFonts w:ascii="Times New Roman" w:hAnsi="Times New Roman" w:cs="Times New Roman"/>
          <w:spacing w:val="-3"/>
          <w:sz w:val="22"/>
          <w:szCs w:val="22"/>
        </w:rPr>
        <w:t>a</w:t>
      </w:r>
      <w:r w:rsidRPr="008B20A0">
        <w:rPr>
          <w:rFonts w:ascii="Times New Roman" w:hAnsi="Times New Roman" w:cs="Times New Roman"/>
          <w:spacing w:val="-3"/>
          <w:sz w:val="22"/>
          <w:szCs w:val="22"/>
        </w:rPr>
        <w:t xml:space="preserve">dult </w:t>
      </w:r>
      <w:r w:rsidR="008C2CEB" w:rsidRPr="008B20A0">
        <w:rPr>
          <w:rFonts w:ascii="Times New Roman" w:hAnsi="Times New Roman" w:cs="Times New Roman"/>
          <w:spacing w:val="-3"/>
          <w:sz w:val="22"/>
          <w:szCs w:val="22"/>
        </w:rPr>
        <w:t>l</w:t>
      </w:r>
      <w:r w:rsidRPr="008B20A0">
        <w:rPr>
          <w:rFonts w:ascii="Times New Roman" w:hAnsi="Times New Roman" w:cs="Times New Roman"/>
          <w:spacing w:val="-3"/>
          <w:sz w:val="22"/>
          <w:szCs w:val="22"/>
        </w:rPr>
        <w:t xml:space="preserve">ong-term </w:t>
      </w:r>
      <w:r w:rsidR="008C2CEB"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 xml:space="preserve">esidential (ALTR) </w:t>
      </w:r>
      <w:r w:rsidR="008C2CEB" w:rsidRPr="008B20A0">
        <w:rPr>
          <w:rFonts w:ascii="Times New Roman" w:hAnsi="Times New Roman" w:cs="Times New Roman"/>
          <w:spacing w:val="-3"/>
          <w:sz w:val="22"/>
          <w:szCs w:val="22"/>
        </w:rPr>
        <w:t>s</w:t>
      </w:r>
      <w:r w:rsidRPr="008B20A0">
        <w:rPr>
          <w:rFonts w:ascii="Times New Roman" w:hAnsi="Times New Roman" w:cs="Times New Roman"/>
          <w:spacing w:val="-3"/>
          <w:sz w:val="22"/>
          <w:szCs w:val="22"/>
        </w:rPr>
        <w:t xml:space="preserve">ervices purchased by a governmental unit including, but not limited to, the Department of Developmental Services (DDS), </w:t>
      </w:r>
      <w:r w:rsidR="00D3346A" w:rsidRPr="008B20A0">
        <w:rPr>
          <w:rFonts w:ascii="Times New Roman" w:hAnsi="Times New Roman" w:cs="Times New Roman"/>
          <w:spacing w:val="-3"/>
          <w:sz w:val="22"/>
          <w:szCs w:val="22"/>
        </w:rPr>
        <w:t xml:space="preserve">the </w:t>
      </w:r>
      <w:r w:rsidRPr="008B20A0">
        <w:rPr>
          <w:rFonts w:ascii="Times New Roman" w:hAnsi="Times New Roman" w:cs="Times New Roman"/>
          <w:spacing w:val="-3"/>
          <w:sz w:val="22"/>
          <w:szCs w:val="22"/>
        </w:rPr>
        <w:t xml:space="preserve">Massachusetts Commission for the Blind (MCB), </w:t>
      </w:r>
      <w:r w:rsidR="00862EC6" w:rsidRPr="008B20A0">
        <w:rPr>
          <w:rFonts w:ascii="Times New Roman" w:hAnsi="Times New Roman" w:cs="Times New Roman"/>
          <w:spacing w:val="-3"/>
          <w:sz w:val="22"/>
          <w:szCs w:val="22"/>
        </w:rPr>
        <w:t xml:space="preserve">and </w:t>
      </w:r>
      <w:r w:rsidR="00D3346A" w:rsidRPr="008B20A0">
        <w:rPr>
          <w:rFonts w:ascii="Times New Roman" w:hAnsi="Times New Roman" w:cs="Times New Roman"/>
          <w:spacing w:val="-3"/>
          <w:sz w:val="22"/>
          <w:szCs w:val="22"/>
        </w:rPr>
        <w:t xml:space="preserve">the </w:t>
      </w:r>
      <w:r w:rsidRPr="008B20A0">
        <w:rPr>
          <w:rFonts w:ascii="Times New Roman" w:hAnsi="Times New Roman" w:cs="Times New Roman"/>
          <w:spacing w:val="-3"/>
          <w:sz w:val="22"/>
          <w:szCs w:val="22"/>
        </w:rPr>
        <w:t>Massachusetts Rehabilitation Commission (MRC).</w:t>
      </w:r>
    </w:p>
    <w:p w14:paraId="2CA06107" w14:textId="77777777" w:rsidR="003875EB" w:rsidRPr="008B20A0" w:rsidRDefault="003875EB" w:rsidP="003875EB">
      <w:pPr>
        <w:suppressAutoHyphens/>
        <w:rPr>
          <w:rFonts w:ascii="Times New Roman" w:hAnsi="Times New Roman" w:cs="Times New Roman"/>
          <w:spacing w:val="-3"/>
          <w:sz w:val="22"/>
          <w:szCs w:val="22"/>
        </w:rPr>
      </w:pPr>
    </w:p>
    <w:p w14:paraId="1FB70916" w14:textId="20BE783C" w:rsidR="0066194C" w:rsidRPr="008B20A0" w:rsidRDefault="003875EB" w:rsidP="007C1186">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(2)</w:t>
      </w:r>
      <w:r w:rsidR="00D3346A"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 xml:space="preserve"> </w:t>
      </w:r>
      <w:r w:rsidR="00320799" w:rsidRPr="008B20A0">
        <w:rPr>
          <w:rFonts w:ascii="Times New Roman" w:hAnsi="Times New Roman" w:cs="Times New Roman"/>
          <w:spacing w:val="-3"/>
          <w:sz w:val="22"/>
          <w:szCs w:val="22"/>
          <w:u w:val="single"/>
        </w:rPr>
        <w:t xml:space="preserve">Applicable </w:t>
      </w:r>
      <w:r w:rsidRPr="008B20A0">
        <w:rPr>
          <w:rFonts w:ascii="Times New Roman" w:hAnsi="Times New Roman" w:cs="Times New Roman"/>
          <w:spacing w:val="-3"/>
          <w:sz w:val="22"/>
          <w:szCs w:val="22"/>
          <w:u w:val="single"/>
        </w:rPr>
        <w:t>Date</w:t>
      </w:r>
      <w:r w:rsidR="00320799" w:rsidRPr="008B20A0">
        <w:rPr>
          <w:rFonts w:ascii="Times New Roman" w:hAnsi="Times New Roman" w:cs="Times New Roman"/>
          <w:spacing w:val="-3"/>
          <w:sz w:val="22"/>
          <w:szCs w:val="22"/>
          <w:u w:val="single"/>
        </w:rPr>
        <w:t>s of Service</w:t>
      </w:r>
      <w:r w:rsidRPr="008B20A0">
        <w:rPr>
          <w:rFonts w:ascii="Times New Roman" w:hAnsi="Times New Roman" w:cs="Times New Roman"/>
          <w:spacing w:val="-3"/>
          <w:sz w:val="22"/>
          <w:szCs w:val="22"/>
        </w:rPr>
        <w:t xml:space="preserve">.  </w:t>
      </w:r>
      <w:r w:rsidR="0066194C" w:rsidRPr="008B20A0">
        <w:rPr>
          <w:rFonts w:ascii="Times New Roman" w:hAnsi="Times New Roman" w:cs="Times New Roman"/>
          <w:spacing w:val="-3"/>
          <w:sz w:val="22"/>
          <w:szCs w:val="22"/>
        </w:rPr>
        <w:t xml:space="preserve">Rates are </w:t>
      </w:r>
      <w:r w:rsidR="00320799" w:rsidRPr="008B20A0">
        <w:rPr>
          <w:rFonts w:ascii="Times New Roman" w:hAnsi="Times New Roman" w:cs="Times New Roman"/>
          <w:spacing w:val="-3"/>
          <w:sz w:val="22"/>
          <w:szCs w:val="22"/>
        </w:rPr>
        <w:t xml:space="preserve">applicable </w:t>
      </w:r>
      <w:r w:rsidR="0066194C" w:rsidRPr="008B20A0">
        <w:rPr>
          <w:rFonts w:ascii="Times New Roman" w:hAnsi="Times New Roman" w:cs="Times New Roman"/>
          <w:spacing w:val="-3"/>
          <w:sz w:val="22"/>
          <w:szCs w:val="22"/>
        </w:rPr>
        <w:t xml:space="preserve">for dates of service </w:t>
      </w:r>
      <w:r w:rsidR="004A51E5" w:rsidRPr="008B20A0">
        <w:rPr>
          <w:rFonts w:ascii="Times New Roman" w:hAnsi="Times New Roman" w:cs="Times New Roman"/>
          <w:spacing w:val="-3"/>
          <w:sz w:val="22"/>
          <w:szCs w:val="22"/>
        </w:rPr>
        <w:t>on and after July 1, 202</w:t>
      </w:r>
      <w:r w:rsidR="00AB51B4" w:rsidRPr="008B20A0">
        <w:rPr>
          <w:rFonts w:ascii="Times New Roman" w:hAnsi="Times New Roman" w:cs="Times New Roman"/>
          <w:spacing w:val="-3"/>
          <w:sz w:val="22"/>
          <w:szCs w:val="22"/>
        </w:rPr>
        <w:t>4</w:t>
      </w:r>
      <w:r w:rsidR="00C60B1F" w:rsidRPr="008B20A0">
        <w:rPr>
          <w:rFonts w:ascii="Times New Roman" w:hAnsi="Times New Roman" w:cs="Times New Roman"/>
          <w:spacing w:val="-3"/>
          <w:sz w:val="22"/>
          <w:szCs w:val="22"/>
        </w:rPr>
        <w:t xml:space="preserve">.  </w:t>
      </w:r>
    </w:p>
    <w:p w14:paraId="0F517F33" w14:textId="77777777" w:rsidR="003875EB" w:rsidRPr="008B20A0" w:rsidRDefault="003875EB" w:rsidP="003875EB">
      <w:pPr>
        <w:suppressAutoHyphens/>
        <w:ind w:left="720"/>
        <w:rPr>
          <w:rFonts w:ascii="Times New Roman" w:hAnsi="Times New Roman" w:cs="Times New Roman"/>
          <w:spacing w:val="-3"/>
          <w:sz w:val="22"/>
          <w:szCs w:val="22"/>
        </w:rPr>
      </w:pPr>
    </w:p>
    <w:p w14:paraId="44898558"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(3)  </w:t>
      </w:r>
      <w:r w:rsidRPr="008B20A0">
        <w:rPr>
          <w:rFonts w:ascii="Times New Roman" w:hAnsi="Times New Roman" w:cs="Times New Roman"/>
          <w:spacing w:val="-3"/>
          <w:sz w:val="22"/>
          <w:szCs w:val="22"/>
          <w:u w:val="single"/>
        </w:rPr>
        <w:t>Disclaimer of Authorization of Services</w:t>
      </w:r>
      <w:r w:rsidRPr="008B20A0">
        <w:rPr>
          <w:rFonts w:ascii="Times New Roman" w:hAnsi="Times New Roman" w:cs="Times New Roman"/>
          <w:spacing w:val="-3"/>
          <w:sz w:val="22"/>
          <w:szCs w:val="22"/>
        </w:rPr>
        <w:t>.  101 CMR 420.00 is neither authorization for nor approval of the services for which rates are determined pursuant to 101 CMR 420.00. Governmental units that purchase the services described in 101 CMR 420.00 are responsible for the definition, authorization, and approval of services extended to clients.</w:t>
      </w:r>
    </w:p>
    <w:p w14:paraId="6ACD5530" w14:textId="77777777" w:rsidR="003875EB" w:rsidRPr="008B20A0" w:rsidRDefault="003875EB" w:rsidP="003875EB">
      <w:pPr>
        <w:suppressAutoHyphens/>
        <w:rPr>
          <w:rFonts w:ascii="Times New Roman" w:hAnsi="Times New Roman" w:cs="Times New Roman"/>
          <w:spacing w:val="-3"/>
          <w:sz w:val="22"/>
          <w:szCs w:val="22"/>
        </w:rPr>
      </w:pPr>
    </w:p>
    <w:p w14:paraId="6249F292" w14:textId="46174C45"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  </w:t>
      </w:r>
      <w:r w:rsidRPr="008B20A0">
        <w:rPr>
          <w:rFonts w:ascii="Times New Roman" w:hAnsi="Times New Roman" w:cs="Times New Roman"/>
          <w:spacing w:val="-3"/>
          <w:sz w:val="22"/>
          <w:szCs w:val="22"/>
          <w:u w:val="single"/>
        </w:rPr>
        <w:t>Administrative Bulletins</w:t>
      </w:r>
      <w:r w:rsidRPr="008B20A0">
        <w:rPr>
          <w:rFonts w:ascii="Times New Roman" w:hAnsi="Times New Roman" w:cs="Times New Roman"/>
          <w:spacing w:val="-3"/>
          <w:sz w:val="22"/>
          <w:szCs w:val="22"/>
        </w:rPr>
        <w:t xml:space="preserve">.  </w:t>
      </w:r>
      <w:r w:rsidR="00236EAC">
        <w:rPr>
          <w:rFonts w:ascii="Times New Roman" w:hAnsi="Times New Roman" w:cs="Times New Roman"/>
          <w:spacing w:val="-3"/>
          <w:sz w:val="22"/>
          <w:szCs w:val="22"/>
        </w:rPr>
        <w:t>EOHHS</w:t>
      </w:r>
      <w:r w:rsidRPr="008B20A0">
        <w:rPr>
          <w:rFonts w:ascii="Times New Roman" w:hAnsi="Times New Roman" w:cs="Times New Roman"/>
          <w:spacing w:val="-3"/>
          <w:sz w:val="22"/>
          <w:szCs w:val="22"/>
        </w:rPr>
        <w:t xml:space="preserve"> may issue administrative bulletins to clarify its policy on substantive provisions of 101 CMR 420.00.</w:t>
      </w:r>
    </w:p>
    <w:p w14:paraId="49EBA6AD" w14:textId="77777777" w:rsidR="003875EB" w:rsidRPr="008B20A0" w:rsidRDefault="003875EB" w:rsidP="003875EB">
      <w:pPr>
        <w:suppressAutoHyphens/>
        <w:rPr>
          <w:rFonts w:ascii="Times New Roman" w:hAnsi="Times New Roman" w:cs="Times New Roman"/>
          <w:spacing w:val="-3"/>
          <w:sz w:val="22"/>
          <w:szCs w:val="22"/>
        </w:rPr>
      </w:pPr>
    </w:p>
    <w:p w14:paraId="70661A4E" w14:textId="77777777" w:rsidR="003875EB" w:rsidRPr="008B20A0" w:rsidRDefault="003875EB" w:rsidP="003875EB">
      <w:pPr>
        <w:suppressAutoHyphens/>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420.02:  Definitions</w:t>
      </w:r>
    </w:p>
    <w:p w14:paraId="180C0BEA" w14:textId="77777777" w:rsidR="003875EB" w:rsidRPr="008B20A0" w:rsidRDefault="003875EB" w:rsidP="003875EB">
      <w:pPr>
        <w:suppressAutoHyphens/>
        <w:rPr>
          <w:rFonts w:ascii="Times New Roman" w:hAnsi="Times New Roman" w:cs="Times New Roman"/>
          <w:spacing w:val="-3"/>
          <w:sz w:val="22"/>
          <w:szCs w:val="22"/>
          <w:u w:val="single"/>
        </w:rPr>
      </w:pPr>
    </w:p>
    <w:p w14:paraId="2131C0F0" w14:textId="08147912" w:rsidR="003875EB" w:rsidRPr="008B20A0" w:rsidRDefault="00D3346A"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As used in 101 CMR 420.00, unless the context requires otherwise, terms have the meanings in 101 CMR 420.02. </w:t>
      </w:r>
    </w:p>
    <w:p w14:paraId="551AF7E4" w14:textId="45F24E05" w:rsidR="004665F8" w:rsidRPr="008B20A0" w:rsidRDefault="004665F8" w:rsidP="003875EB">
      <w:pPr>
        <w:suppressAutoHyphens/>
        <w:ind w:left="720"/>
        <w:rPr>
          <w:rFonts w:ascii="Times New Roman" w:hAnsi="Times New Roman" w:cs="Times New Roman"/>
          <w:spacing w:val="-3"/>
          <w:sz w:val="22"/>
          <w:szCs w:val="22"/>
          <w:u w:val="single"/>
        </w:rPr>
      </w:pPr>
    </w:p>
    <w:p w14:paraId="436384F3" w14:textId="15758412"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Add-on Rate</w:t>
      </w:r>
      <w:r w:rsidRPr="008B20A0">
        <w:rPr>
          <w:rFonts w:ascii="Times New Roman" w:hAnsi="Times New Roman" w:cs="Times New Roman"/>
          <w:spacing w:val="-3"/>
          <w:sz w:val="22"/>
          <w:szCs w:val="22"/>
        </w:rPr>
        <w:t xml:space="preserve">.  A rate that is intended to provide an additional, necessary service not included in the current programmatic model, which will be instituted at the discretion of the purchasing governmental unit.  </w:t>
      </w:r>
    </w:p>
    <w:p w14:paraId="5BF04620" w14:textId="77777777" w:rsidR="003875EB" w:rsidRPr="008B20A0" w:rsidRDefault="003875EB" w:rsidP="003875EB">
      <w:pPr>
        <w:suppressAutoHyphens/>
        <w:ind w:left="720"/>
        <w:rPr>
          <w:rFonts w:ascii="Times New Roman" w:hAnsi="Times New Roman" w:cs="Times New Roman"/>
          <w:spacing w:val="-3"/>
          <w:sz w:val="22"/>
          <w:szCs w:val="22"/>
        </w:rPr>
      </w:pPr>
    </w:p>
    <w:p w14:paraId="2BBF3063" w14:textId="06D5CEEF" w:rsidR="003875EB" w:rsidRPr="008B20A0" w:rsidRDefault="003875EB" w:rsidP="003875EB">
      <w:pPr>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ALTR Services</w:t>
      </w:r>
      <w:r w:rsidRPr="008B20A0">
        <w:rPr>
          <w:rFonts w:ascii="Times New Roman" w:hAnsi="Times New Roman" w:cs="Times New Roman"/>
          <w:spacing w:val="-3"/>
          <w:sz w:val="22"/>
          <w:szCs w:val="22"/>
        </w:rPr>
        <w:t>.  Residential site</w:t>
      </w:r>
      <w:r w:rsidR="00D3346A" w:rsidRPr="008B20A0">
        <w:rPr>
          <w:rFonts w:ascii="Times New Roman" w:hAnsi="Times New Roman" w:cs="Times New Roman"/>
          <w:spacing w:val="-3"/>
          <w:sz w:val="22"/>
          <w:szCs w:val="22"/>
        </w:rPr>
        <w:t>-</w:t>
      </w:r>
      <w:r w:rsidRPr="008B20A0">
        <w:rPr>
          <w:rFonts w:ascii="Times New Roman" w:hAnsi="Times New Roman" w:cs="Times New Roman"/>
          <w:spacing w:val="-3"/>
          <w:sz w:val="22"/>
          <w:szCs w:val="22"/>
        </w:rPr>
        <w:t>specific programs that provide adult clients a place of overnight housing for an extended period in a residential facility with necessary daily living, physical, social, and clinical and/or medical support, and that are not subject to licensure under M.G.L. c. 111, § 71.</w:t>
      </w:r>
    </w:p>
    <w:p w14:paraId="60B01BFB" w14:textId="77777777" w:rsidR="003875EB" w:rsidRPr="008B20A0" w:rsidRDefault="003875EB" w:rsidP="003875EB">
      <w:pPr>
        <w:ind w:left="720"/>
        <w:rPr>
          <w:rFonts w:ascii="Times New Roman" w:hAnsi="Times New Roman" w:cs="Times New Roman"/>
          <w:spacing w:val="-3"/>
          <w:sz w:val="22"/>
          <w:szCs w:val="22"/>
        </w:rPr>
      </w:pPr>
    </w:p>
    <w:p w14:paraId="5F2E5A1A"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Basic</w:t>
      </w:r>
      <w:r w:rsidRPr="008B20A0">
        <w:rPr>
          <w:rFonts w:ascii="Times New Roman" w:hAnsi="Times New Roman" w:cs="Times New Roman"/>
          <w:spacing w:val="-3"/>
          <w:sz w:val="22"/>
          <w:szCs w:val="22"/>
        </w:rPr>
        <w:t xml:space="preserve">.  The category of ALTR service models for clients who need daily intervention, supervision, and skills training in activities of daily living, managing within a home environment, and community integration. Individuals may require some physical assistance or accommodation due to cognitive </w:t>
      </w:r>
      <w:r w:rsidRPr="008B20A0">
        <w:rPr>
          <w:rFonts w:ascii="Times New Roman" w:hAnsi="Times New Roman" w:cs="Times New Roman"/>
          <w:spacing w:val="-3"/>
          <w:sz w:val="22"/>
          <w:szCs w:val="22"/>
          <w:lang w:eastAsia="ko-KR"/>
        </w:rPr>
        <w:t>and/or intellectual disability</w:t>
      </w:r>
      <w:r w:rsidRPr="008B20A0">
        <w:rPr>
          <w:rFonts w:ascii="Times New Roman" w:hAnsi="Times New Roman" w:cs="Times New Roman"/>
          <w:spacing w:val="-3"/>
          <w:sz w:val="22"/>
          <w:szCs w:val="22"/>
        </w:rPr>
        <w:t xml:space="preserve">, including a mild-to-moderate developmental delay.  </w:t>
      </w:r>
    </w:p>
    <w:p w14:paraId="4AC8FAFD" w14:textId="77777777" w:rsidR="004967FE" w:rsidRPr="008B20A0" w:rsidRDefault="004967FE" w:rsidP="004967FE">
      <w:pPr>
        <w:ind w:left="720"/>
        <w:rPr>
          <w:rFonts w:ascii="Times New Roman" w:hAnsi="Times New Roman" w:cs="Times New Roman"/>
          <w:spacing w:val="-3"/>
          <w:sz w:val="22"/>
          <w:szCs w:val="22"/>
          <w:u w:val="single"/>
        </w:rPr>
      </w:pPr>
    </w:p>
    <w:p w14:paraId="37695A7D"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Client</w:t>
      </w:r>
      <w:r w:rsidRPr="008B20A0">
        <w:rPr>
          <w:rFonts w:ascii="Times New Roman" w:hAnsi="Times New Roman" w:cs="Times New Roman"/>
          <w:spacing w:val="-3"/>
          <w:sz w:val="22"/>
          <w:szCs w:val="22"/>
        </w:rPr>
        <w:t>.  An individual receiving ALTR services purchased by a governmental unit.</w:t>
      </w:r>
    </w:p>
    <w:p w14:paraId="5FC13B7C" w14:textId="77777777" w:rsidR="003875EB" w:rsidRPr="008B20A0" w:rsidRDefault="003875EB" w:rsidP="003875EB">
      <w:pPr>
        <w:suppressAutoHyphens/>
        <w:ind w:left="720"/>
        <w:rPr>
          <w:rFonts w:ascii="Times New Roman" w:hAnsi="Times New Roman" w:cs="Times New Roman"/>
          <w:i/>
          <w:iCs/>
          <w:spacing w:val="-3"/>
          <w:sz w:val="22"/>
          <w:szCs w:val="22"/>
          <w:u w:val="single"/>
        </w:rPr>
      </w:pPr>
    </w:p>
    <w:p w14:paraId="1313E83B" w14:textId="7AB228A4"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lastRenderedPageBreak/>
        <w:t>Cost Report</w:t>
      </w:r>
      <w:r w:rsidRPr="008B20A0">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D3346A" w:rsidRPr="008B20A0">
        <w:rPr>
          <w:rFonts w:ascii="Times New Roman" w:hAnsi="Times New Roman" w:cs="Times New Roman"/>
          <w:spacing w:val="-3"/>
          <w:sz w:val="22"/>
          <w:szCs w:val="22"/>
        </w:rPr>
        <w:t xml:space="preserve">is </w:t>
      </w:r>
      <w:r w:rsidRPr="008B20A0">
        <w:rPr>
          <w:rFonts w:ascii="Times New Roman" w:hAnsi="Times New Roman" w:cs="Times New Roman"/>
          <w:spacing w:val="-3"/>
          <w:sz w:val="22"/>
          <w:szCs w:val="22"/>
        </w:rPr>
        <w:t>used when required.</w:t>
      </w:r>
    </w:p>
    <w:p w14:paraId="7DC0CD49" w14:textId="77777777" w:rsidR="003875EB" w:rsidRPr="008B20A0" w:rsidRDefault="003875EB" w:rsidP="003875EB">
      <w:pPr>
        <w:suppressAutoHyphens/>
        <w:ind w:left="720"/>
        <w:rPr>
          <w:rFonts w:ascii="Times New Roman" w:hAnsi="Times New Roman" w:cs="Times New Roman"/>
          <w:spacing w:val="-3"/>
          <w:sz w:val="22"/>
          <w:szCs w:val="22"/>
        </w:rPr>
      </w:pPr>
    </w:p>
    <w:p w14:paraId="68907003" w14:textId="1FCE0DD9"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Direct Care (DC) Staff Intensity Level</w:t>
      </w:r>
      <w:r w:rsidRPr="008B20A0">
        <w:rPr>
          <w:rFonts w:ascii="Times New Roman" w:hAnsi="Times New Roman" w:cs="Times New Roman"/>
          <w:spacing w:val="-3"/>
          <w:sz w:val="22"/>
          <w:szCs w:val="22"/>
        </w:rPr>
        <w:t xml:space="preserve">.  The number of full-time equivalent (FTE) positions for direct care staff included in each program model. The DC staff intensity level </w:t>
      </w:r>
      <w:r w:rsidRPr="008B20A0">
        <w:rPr>
          <w:rFonts w:ascii="Times New Roman" w:hAnsi="Times New Roman" w:cs="Times New Roman"/>
          <w:spacing w:val="-3"/>
          <w:sz w:val="22"/>
          <w:szCs w:val="22"/>
          <w:lang w:eastAsia="ko-KR"/>
        </w:rPr>
        <w:t xml:space="preserve">reflects the sum of the FTEs for direct care workers, including overnight staffs. </w:t>
      </w:r>
    </w:p>
    <w:p w14:paraId="08262518"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3A69C2D1" w14:textId="77777777" w:rsidR="003875EB" w:rsidRPr="008B20A0" w:rsidRDefault="003875EB" w:rsidP="003875EB">
      <w:pPr>
        <w:suppressAutoHyphens/>
        <w:ind w:left="720"/>
        <w:rPr>
          <w:rFonts w:ascii="Times New Roman" w:hAnsi="Times New Roman" w:cs="Times New Roman"/>
          <w:sz w:val="22"/>
          <w:szCs w:val="22"/>
        </w:rPr>
      </w:pPr>
      <w:r w:rsidRPr="008B20A0">
        <w:rPr>
          <w:rFonts w:ascii="Times New Roman" w:hAnsi="Times New Roman" w:cs="Times New Roman"/>
          <w:spacing w:val="-3"/>
          <w:sz w:val="22"/>
          <w:szCs w:val="22"/>
          <w:u w:val="single"/>
        </w:rPr>
        <w:t>Emergency Stabilization Residence</w:t>
      </w:r>
      <w:r w:rsidRPr="008B20A0">
        <w:rPr>
          <w:rFonts w:ascii="Times New Roman" w:hAnsi="Times New Roman" w:cs="Times New Roman"/>
          <w:spacing w:val="-3"/>
          <w:sz w:val="22"/>
          <w:szCs w:val="22"/>
        </w:rPr>
        <w:t xml:space="preserve">.  </w:t>
      </w:r>
      <w:r w:rsidRPr="008B20A0">
        <w:rPr>
          <w:rFonts w:ascii="Times New Roman" w:hAnsi="Times New Roman" w:cs="Times New Roman"/>
          <w:sz w:val="22"/>
          <w:szCs w:val="22"/>
        </w:rPr>
        <w:t>This service provides temporary, flexible, and individualized services to adults in a facility or home-like environment. The program is designed for adults who are not able to be stabilized in their current family home or residential program</w:t>
      </w:r>
      <w:r w:rsidRPr="008B20A0">
        <w:rPr>
          <w:rFonts w:ascii="Times New Roman" w:hAnsi="Times New Roman" w:cs="Times New Roman"/>
          <w:b/>
          <w:bCs/>
          <w:sz w:val="22"/>
          <w:szCs w:val="22"/>
        </w:rPr>
        <w:t xml:space="preserve"> </w:t>
      </w:r>
      <w:r w:rsidRPr="008B20A0">
        <w:rPr>
          <w:rFonts w:ascii="Times New Roman" w:hAnsi="Times New Roman" w:cs="Times New Roman"/>
          <w:sz w:val="22"/>
          <w:szCs w:val="22"/>
        </w:rPr>
        <w:t xml:space="preserve">due to behavioral, mental health, or other care issues. The program is available 24 hours a day/seven days a week.  </w:t>
      </w:r>
      <w:r w:rsidRPr="008B20A0">
        <w:rPr>
          <w:rFonts w:ascii="Times New Roman" w:hAnsi="Times New Roman" w:cs="Times New Roman"/>
          <w:spacing w:val="-3"/>
          <w:sz w:val="22"/>
          <w:szCs w:val="22"/>
        </w:rPr>
        <w:t>Provider billing for Emergency Stabilization Residence services utilizing rates under 101 CMR 420.00 is pursuant to contract with the purchasing governmental unit and for dates of service on or after July 1, 2016.</w:t>
      </w:r>
    </w:p>
    <w:p w14:paraId="06638F24" w14:textId="77777777" w:rsidR="003875EB" w:rsidRPr="008B20A0" w:rsidRDefault="003875EB" w:rsidP="003875EB">
      <w:pPr>
        <w:suppressAutoHyphens/>
        <w:ind w:left="720"/>
        <w:rPr>
          <w:rFonts w:ascii="Times New Roman" w:hAnsi="Times New Roman" w:cs="Times New Roman"/>
          <w:sz w:val="22"/>
          <w:szCs w:val="22"/>
        </w:rPr>
      </w:pPr>
    </w:p>
    <w:p w14:paraId="347708EF"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EOHHS</w:t>
      </w:r>
      <w:r w:rsidRPr="008B20A0">
        <w:rPr>
          <w:rFonts w:ascii="Times New Roman" w:hAnsi="Times New Roman" w:cs="Times New Roman"/>
          <w:spacing w:val="-3"/>
          <w:sz w:val="22"/>
          <w:szCs w:val="22"/>
        </w:rPr>
        <w:t>.  The Executive Office of Health and Human Services established under M.G.L. c. 6A.</w:t>
      </w:r>
    </w:p>
    <w:p w14:paraId="559E7CC8" w14:textId="77777777" w:rsidR="003875EB" w:rsidRPr="008B20A0" w:rsidRDefault="003875EB" w:rsidP="003875EB">
      <w:pPr>
        <w:suppressAutoHyphens/>
        <w:ind w:left="720"/>
        <w:rPr>
          <w:rFonts w:ascii="Times New Roman" w:hAnsi="Times New Roman" w:cs="Times New Roman"/>
          <w:spacing w:val="-3"/>
          <w:sz w:val="22"/>
          <w:szCs w:val="22"/>
        </w:rPr>
      </w:pPr>
    </w:p>
    <w:p w14:paraId="3C25FB32"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Full-time Equivalent (FTE)</w:t>
      </w:r>
      <w:r w:rsidRPr="008B20A0">
        <w:rPr>
          <w:rFonts w:ascii="Times New Roman" w:hAnsi="Times New Roman" w:cs="Times New Roman"/>
          <w:spacing w:val="-3"/>
          <w:sz w:val="22"/>
          <w:szCs w:val="22"/>
        </w:rPr>
        <w:t xml:space="preserve">.  Staff position equivalent to a full-time employee. </w:t>
      </w:r>
    </w:p>
    <w:p w14:paraId="18226E48"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7BED6DB6"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Governmental Unit</w:t>
      </w:r>
      <w:r w:rsidRPr="008B20A0">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5E96C9BD" w14:textId="77777777" w:rsidR="003875EB" w:rsidRPr="008B20A0" w:rsidRDefault="003875EB" w:rsidP="003875EB">
      <w:pPr>
        <w:suppressAutoHyphens/>
        <w:ind w:left="720"/>
        <w:rPr>
          <w:rFonts w:ascii="Times New Roman" w:hAnsi="Times New Roman" w:cs="Times New Roman"/>
          <w:spacing w:val="-3"/>
          <w:sz w:val="22"/>
          <w:szCs w:val="22"/>
        </w:rPr>
      </w:pPr>
    </w:p>
    <w:p w14:paraId="59C643C8"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Intermediate</w:t>
      </w:r>
      <w:r w:rsidRPr="008B20A0">
        <w:rPr>
          <w:rFonts w:ascii="Times New Roman" w:hAnsi="Times New Roman" w:cs="Times New Roman"/>
          <w:spacing w:val="-3"/>
          <w:sz w:val="22"/>
          <w:szCs w:val="22"/>
        </w:rPr>
        <w:t>.  The category of ALTR service models designed to meet the needs of clients with support need beyond the basic level. These program models include specialized staffing, training or additional skills for staff, and/or additional operational support when compared to basic. The selection of intermediate tier programs is based on client need for behavioral supports, enhanced supervision, or interventions designed to address multiple disabilities.</w:t>
      </w:r>
    </w:p>
    <w:p w14:paraId="26232D9E" w14:textId="77777777" w:rsidR="003875EB" w:rsidRPr="008B20A0" w:rsidRDefault="003875EB" w:rsidP="003875EB">
      <w:pPr>
        <w:suppressAutoHyphens/>
        <w:ind w:left="720"/>
        <w:rPr>
          <w:rFonts w:ascii="Times New Roman" w:hAnsi="Times New Roman" w:cs="Times New Roman"/>
          <w:spacing w:val="-3"/>
          <w:sz w:val="22"/>
          <w:szCs w:val="22"/>
        </w:rPr>
      </w:pPr>
    </w:p>
    <w:p w14:paraId="2E99D7B2" w14:textId="4A79FC1B" w:rsidR="003875EB" w:rsidRPr="008B20A0" w:rsidRDefault="003875EB" w:rsidP="006171EF">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Medical/Clinical</w:t>
      </w:r>
      <w:r w:rsidRPr="008B20A0">
        <w:rPr>
          <w:rFonts w:ascii="Times New Roman" w:hAnsi="Times New Roman" w:cs="Times New Roman"/>
          <w:spacing w:val="-3"/>
          <w:sz w:val="22"/>
          <w:szCs w:val="22"/>
        </w:rPr>
        <w:t xml:space="preserve">.  The category of ALTR service models that delivers additional supports, when compared to the intermediate models, </w:t>
      </w:r>
      <w:r w:rsidR="00AA4578" w:rsidRPr="008B20A0">
        <w:rPr>
          <w:rFonts w:ascii="Times New Roman" w:hAnsi="Times New Roman" w:cs="Times New Roman"/>
          <w:spacing w:val="-3"/>
          <w:sz w:val="22"/>
          <w:szCs w:val="22"/>
        </w:rPr>
        <w:t>through the utilization of direct nursing services and highly experienced or credentialed direct care staf</w:t>
      </w:r>
      <w:r w:rsidR="002373A4" w:rsidRPr="008B20A0">
        <w:rPr>
          <w:rFonts w:ascii="Times New Roman" w:hAnsi="Times New Roman" w:cs="Times New Roman"/>
          <w:spacing w:val="-3"/>
          <w:sz w:val="22"/>
          <w:szCs w:val="22"/>
        </w:rPr>
        <w:t>f. At the discretion of the purchasing governmental unit, medical/clinical level 1 may alternatively reflect programs where specialized behavioral/clinical staff constitute a significant portion of the total staffing pattern. The intermediate models are used as the foundation for all medical models. For each intermediate model, there are three associated medical models, each reflecting the additional direct nursing resources available for the site.</w:t>
      </w:r>
    </w:p>
    <w:p w14:paraId="2E8A163D" w14:textId="77777777" w:rsidR="003875EB" w:rsidRPr="008B20A0" w:rsidRDefault="003875EB" w:rsidP="003875EB">
      <w:pPr>
        <w:suppressAutoHyphens/>
        <w:rPr>
          <w:rFonts w:ascii="Times New Roman" w:hAnsi="Times New Roman" w:cs="Times New Roman"/>
          <w:spacing w:val="-3"/>
          <w:sz w:val="22"/>
          <w:szCs w:val="22"/>
        </w:rPr>
      </w:pPr>
    </w:p>
    <w:tbl>
      <w:tblPr>
        <w:tblW w:w="7015" w:type="dxa"/>
        <w:jc w:val="center"/>
        <w:tblLook w:val="04A0" w:firstRow="1" w:lastRow="0" w:firstColumn="1" w:lastColumn="0" w:noHBand="0" w:noVBand="1"/>
      </w:tblPr>
      <w:tblGrid>
        <w:gridCol w:w="2781"/>
        <w:gridCol w:w="2162"/>
        <w:gridCol w:w="2072"/>
      </w:tblGrid>
      <w:tr w:rsidR="00862EC6" w:rsidRPr="008B20A0" w14:paraId="5D0A0149" w14:textId="77777777" w:rsidTr="006F167E">
        <w:trPr>
          <w:trHeight w:val="288"/>
          <w:jc w:val="center"/>
        </w:trPr>
        <w:tc>
          <w:tcPr>
            <w:tcW w:w="2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90E56" w14:textId="6AF18D66" w:rsidR="00862EC6" w:rsidRPr="008B20A0" w:rsidRDefault="00862EC6" w:rsidP="000A22A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Model Type</w:t>
            </w:r>
          </w:p>
        </w:tc>
        <w:tc>
          <w:tcPr>
            <w:tcW w:w="2162" w:type="dxa"/>
            <w:tcBorders>
              <w:top w:val="single" w:sz="4" w:space="0" w:color="auto"/>
              <w:left w:val="nil"/>
              <w:bottom w:val="single" w:sz="4" w:space="0" w:color="auto"/>
              <w:right w:val="single" w:sz="4" w:space="0" w:color="auto"/>
            </w:tcBorders>
            <w:shd w:val="clear" w:color="auto" w:fill="auto"/>
            <w:noWrap/>
            <w:vAlign w:val="center"/>
          </w:tcPr>
          <w:p w14:paraId="25E7BD34" w14:textId="0CDD54CF" w:rsidR="00862EC6"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Model Nursing</w:t>
            </w:r>
            <w:r w:rsidR="00862EC6" w:rsidRPr="008B20A0">
              <w:rPr>
                <w:rFonts w:ascii="Times New Roman" w:eastAsia="Times New Roman" w:hAnsi="Times New Roman" w:cs="Times New Roman"/>
                <w:b/>
                <w:bCs/>
                <w:color w:val="000000"/>
                <w:sz w:val="22"/>
                <w:szCs w:val="22"/>
              </w:rPr>
              <w:t xml:space="preserve"> %</w:t>
            </w:r>
          </w:p>
        </w:tc>
        <w:tc>
          <w:tcPr>
            <w:tcW w:w="2072" w:type="dxa"/>
            <w:tcBorders>
              <w:top w:val="single" w:sz="4" w:space="0" w:color="auto"/>
              <w:left w:val="nil"/>
              <w:bottom w:val="single" w:sz="4" w:space="0" w:color="auto"/>
              <w:right w:val="single" w:sz="4" w:space="0" w:color="auto"/>
            </w:tcBorders>
            <w:shd w:val="clear" w:color="auto" w:fill="auto"/>
            <w:noWrap/>
            <w:vAlign w:val="center"/>
          </w:tcPr>
          <w:p w14:paraId="46524410" w14:textId="5612CB23" w:rsidR="00862EC6"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 xml:space="preserve">Eligible </w:t>
            </w:r>
            <w:r w:rsidR="00862EC6" w:rsidRPr="008B20A0">
              <w:rPr>
                <w:rFonts w:ascii="Times New Roman" w:eastAsia="Times New Roman" w:hAnsi="Times New Roman" w:cs="Times New Roman"/>
                <w:b/>
                <w:bCs/>
                <w:color w:val="000000"/>
                <w:sz w:val="22"/>
                <w:szCs w:val="22"/>
              </w:rPr>
              <w:t>Nursing %</w:t>
            </w:r>
          </w:p>
        </w:tc>
      </w:tr>
      <w:tr w:rsidR="003875EB" w:rsidRPr="008B20A0" w14:paraId="14E7928A" w14:textId="77777777" w:rsidTr="006F167E">
        <w:trPr>
          <w:trHeight w:val="288"/>
          <w:jc w:val="center"/>
        </w:trPr>
        <w:tc>
          <w:tcPr>
            <w:tcW w:w="2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23DF3" w14:textId="2FBDE803"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Medical/Clinical Level 1</w:t>
            </w:r>
          </w:p>
        </w:tc>
        <w:tc>
          <w:tcPr>
            <w:tcW w:w="2162" w:type="dxa"/>
            <w:tcBorders>
              <w:top w:val="single" w:sz="4" w:space="0" w:color="auto"/>
              <w:left w:val="nil"/>
              <w:bottom w:val="single" w:sz="4" w:space="0" w:color="auto"/>
              <w:right w:val="single" w:sz="4" w:space="0" w:color="auto"/>
            </w:tcBorders>
            <w:shd w:val="clear" w:color="auto" w:fill="auto"/>
            <w:noWrap/>
            <w:vAlign w:val="center"/>
            <w:hideMark/>
          </w:tcPr>
          <w:p w14:paraId="683F54B0" w14:textId="237A8EDD"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w:t>
            </w:r>
            <w:r w:rsidR="004D2881" w:rsidRPr="008B20A0">
              <w:rPr>
                <w:rFonts w:ascii="Times New Roman" w:eastAsia="Times New Roman" w:hAnsi="Times New Roman" w:cs="Times New Roman"/>
                <w:color w:val="000000"/>
                <w:sz w:val="22"/>
                <w:szCs w:val="22"/>
              </w:rPr>
              <w:t>5</w:t>
            </w:r>
          </w:p>
        </w:tc>
        <w:tc>
          <w:tcPr>
            <w:tcW w:w="2072" w:type="dxa"/>
            <w:tcBorders>
              <w:top w:val="single" w:sz="4" w:space="0" w:color="auto"/>
              <w:left w:val="nil"/>
              <w:bottom w:val="single" w:sz="4" w:space="0" w:color="auto"/>
              <w:right w:val="single" w:sz="4" w:space="0" w:color="auto"/>
            </w:tcBorders>
            <w:shd w:val="clear" w:color="auto" w:fill="auto"/>
            <w:noWrap/>
            <w:vAlign w:val="center"/>
            <w:hideMark/>
          </w:tcPr>
          <w:p w14:paraId="60A0D3BB" w14:textId="4D3836C6"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w:t>
            </w:r>
            <w:r w:rsidR="00DA6DE2" w:rsidRPr="008B20A0">
              <w:rPr>
                <w:rFonts w:ascii="Times New Roman" w:eastAsia="Times New Roman" w:hAnsi="Times New Roman" w:cs="Times New Roman"/>
                <w:color w:val="000000"/>
                <w:sz w:val="22"/>
                <w:szCs w:val="22"/>
              </w:rPr>
              <w:t>0-29</w:t>
            </w:r>
          </w:p>
        </w:tc>
      </w:tr>
      <w:tr w:rsidR="003875EB" w:rsidRPr="008B20A0" w14:paraId="34F71548" w14:textId="77777777" w:rsidTr="006F167E">
        <w:trPr>
          <w:trHeight w:val="288"/>
          <w:jc w:val="center"/>
        </w:trPr>
        <w:tc>
          <w:tcPr>
            <w:tcW w:w="2781" w:type="dxa"/>
            <w:tcBorders>
              <w:top w:val="nil"/>
              <w:left w:val="single" w:sz="4" w:space="0" w:color="auto"/>
              <w:bottom w:val="single" w:sz="4" w:space="0" w:color="auto"/>
              <w:right w:val="single" w:sz="4" w:space="0" w:color="auto"/>
            </w:tcBorders>
            <w:shd w:val="clear" w:color="auto" w:fill="auto"/>
            <w:noWrap/>
            <w:vAlign w:val="center"/>
            <w:hideMark/>
          </w:tcPr>
          <w:p w14:paraId="12ED774D"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 Level 2</w:t>
            </w:r>
          </w:p>
        </w:tc>
        <w:tc>
          <w:tcPr>
            <w:tcW w:w="2162" w:type="dxa"/>
            <w:tcBorders>
              <w:top w:val="nil"/>
              <w:left w:val="nil"/>
              <w:bottom w:val="single" w:sz="4" w:space="0" w:color="auto"/>
              <w:right w:val="single" w:sz="4" w:space="0" w:color="auto"/>
            </w:tcBorders>
            <w:shd w:val="clear" w:color="auto" w:fill="auto"/>
            <w:noWrap/>
            <w:vAlign w:val="center"/>
            <w:hideMark/>
          </w:tcPr>
          <w:p w14:paraId="3B067D2B" w14:textId="1051B09A"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r w:rsidR="004D2881" w:rsidRPr="008B20A0">
              <w:rPr>
                <w:rFonts w:ascii="Times New Roman" w:eastAsia="Times New Roman" w:hAnsi="Times New Roman" w:cs="Times New Roman"/>
                <w:color w:val="000000"/>
                <w:sz w:val="22"/>
                <w:szCs w:val="22"/>
              </w:rPr>
              <w:t>5</w:t>
            </w:r>
          </w:p>
        </w:tc>
        <w:tc>
          <w:tcPr>
            <w:tcW w:w="2072" w:type="dxa"/>
            <w:tcBorders>
              <w:top w:val="nil"/>
              <w:left w:val="nil"/>
              <w:bottom w:val="single" w:sz="4" w:space="0" w:color="auto"/>
              <w:right w:val="single" w:sz="4" w:space="0" w:color="auto"/>
            </w:tcBorders>
            <w:shd w:val="clear" w:color="auto" w:fill="auto"/>
            <w:noWrap/>
            <w:vAlign w:val="center"/>
            <w:hideMark/>
          </w:tcPr>
          <w:p w14:paraId="02FCBD4E" w14:textId="009A275F"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r w:rsidR="00DA6DE2" w:rsidRPr="008B20A0">
              <w:rPr>
                <w:rFonts w:ascii="Times New Roman" w:eastAsia="Times New Roman" w:hAnsi="Times New Roman" w:cs="Times New Roman"/>
                <w:color w:val="000000"/>
                <w:sz w:val="22"/>
                <w:szCs w:val="22"/>
              </w:rPr>
              <w:t>0-39</w:t>
            </w:r>
          </w:p>
        </w:tc>
      </w:tr>
      <w:tr w:rsidR="003875EB" w:rsidRPr="008B20A0" w14:paraId="719D81A3" w14:textId="77777777" w:rsidTr="006F167E">
        <w:trPr>
          <w:trHeight w:val="288"/>
          <w:jc w:val="center"/>
        </w:trPr>
        <w:tc>
          <w:tcPr>
            <w:tcW w:w="2781" w:type="dxa"/>
            <w:tcBorders>
              <w:top w:val="nil"/>
              <w:left w:val="single" w:sz="4" w:space="0" w:color="auto"/>
              <w:bottom w:val="single" w:sz="4" w:space="0" w:color="auto"/>
              <w:right w:val="single" w:sz="4" w:space="0" w:color="auto"/>
            </w:tcBorders>
            <w:shd w:val="clear" w:color="auto" w:fill="auto"/>
            <w:noWrap/>
            <w:vAlign w:val="center"/>
            <w:hideMark/>
          </w:tcPr>
          <w:p w14:paraId="05F82AA0"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 Level 3</w:t>
            </w:r>
          </w:p>
        </w:tc>
        <w:tc>
          <w:tcPr>
            <w:tcW w:w="2162" w:type="dxa"/>
            <w:tcBorders>
              <w:top w:val="nil"/>
              <w:left w:val="nil"/>
              <w:bottom w:val="single" w:sz="4" w:space="0" w:color="auto"/>
              <w:right w:val="single" w:sz="4" w:space="0" w:color="auto"/>
            </w:tcBorders>
            <w:shd w:val="clear" w:color="auto" w:fill="auto"/>
            <w:noWrap/>
            <w:vAlign w:val="center"/>
            <w:hideMark/>
          </w:tcPr>
          <w:p w14:paraId="1C8800D6" w14:textId="352F821D"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r w:rsidR="004D2881" w:rsidRPr="008B20A0">
              <w:rPr>
                <w:rFonts w:ascii="Times New Roman" w:eastAsia="Times New Roman" w:hAnsi="Times New Roman" w:cs="Times New Roman"/>
                <w:color w:val="000000"/>
                <w:sz w:val="22"/>
                <w:szCs w:val="22"/>
              </w:rPr>
              <w:t>5</w:t>
            </w:r>
          </w:p>
        </w:tc>
        <w:tc>
          <w:tcPr>
            <w:tcW w:w="2072" w:type="dxa"/>
            <w:tcBorders>
              <w:top w:val="nil"/>
              <w:left w:val="nil"/>
              <w:bottom w:val="single" w:sz="4" w:space="0" w:color="auto"/>
              <w:right w:val="single" w:sz="4" w:space="0" w:color="auto"/>
            </w:tcBorders>
            <w:shd w:val="clear" w:color="auto" w:fill="auto"/>
            <w:noWrap/>
            <w:vAlign w:val="center"/>
            <w:hideMark/>
          </w:tcPr>
          <w:p w14:paraId="2894DAE0" w14:textId="1CB3F19C"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r w:rsidR="00DA6DE2" w:rsidRPr="008B20A0">
              <w:rPr>
                <w:rFonts w:ascii="Times New Roman" w:eastAsia="Times New Roman" w:hAnsi="Times New Roman" w:cs="Times New Roman"/>
                <w:color w:val="000000"/>
                <w:sz w:val="22"/>
                <w:szCs w:val="22"/>
              </w:rPr>
              <w:t>0+</w:t>
            </w:r>
          </w:p>
        </w:tc>
      </w:tr>
    </w:tbl>
    <w:p w14:paraId="11B557C3" w14:textId="77777777" w:rsidR="003875EB" w:rsidRPr="008B20A0" w:rsidRDefault="003875EB" w:rsidP="003875EB">
      <w:pPr>
        <w:suppressAutoHyphens/>
        <w:rPr>
          <w:rFonts w:ascii="Times New Roman" w:hAnsi="Times New Roman" w:cs="Times New Roman"/>
          <w:spacing w:val="-3"/>
          <w:sz w:val="22"/>
          <w:szCs w:val="22"/>
        </w:rPr>
      </w:pPr>
    </w:p>
    <w:p w14:paraId="6425FE07"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New Program/Replacement Rate</w:t>
      </w:r>
      <w:r w:rsidRPr="008B20A0">
        <w:rPr>
          <w:rFonts w:ascii="Times New Roman" w:hAnsi="Times New Roman" w:cs="Times New Roman"/>
          <w:spacing w:val="-3"/>
          <w:sz w:val="22"/>
          <w:szCs w:val="22"/>
        </w:rPr>
        <w:t xml:space="preserve">.  Rate for a new program site or replacement of an existing site.   </w:t>
      </w:r>
    </w:p>
    <w:p w14:paraId="208F36E0" w14:textId="77777777" w:rsidR="003875EB" w:rsidRPr="008B20A0" w:rsidRDefault="003875EB" w:rsidP="003875EB">
      <w:pPr>
        <w:suppressAutoHyphens/>
        <w:ind w:left="720"/>
        <w:rPr>
          <w:rFonts w:ascii="Times New Roman" w:hAnsi="Times New Roman" w:cs="Times New Roman"/>
          <w:spacing w:val="-3"/>
          <w:sz w:val="22"/>
          <w:szCs w:val="22"/>
        </w:rPr>
      </w:pPr>
    </w:p>
    <w:p w14:paraId="3138EB2B"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 xml:space="preserve">Program </w:t>
      </w:r>
      <w:r w:rsidRPr="008B20A0">
        <w:rPr>
          <w:rFonts w:ascii="Times New Roman" w:hAnsi="Times New Roman" w:cs="Times New Roman"/>
          <w:i/>
          <w:spacing w:val="-3"/>
          <w:sz w:val="22"/>
          <w:szCs w:val="22"/>
          <w:u w:val="single"/>
        </w:rPr>
        <w:t>Per Diem</w:t>
      </w:r>
      <w:r w:rsidRPr="008B20A0">
        <w:rPr>
          <w:rFonts w:ascii="Times New Roman" w:hAnsi="Times New Roman" w:cs="Times New Roman"/>
          <w:spacing w:val="-3"/>
          <w:sz w:val="22"/>
          <w:szCs w:val="22"/>
        </w:rPr>
        <w:t>.  Program service unit based on a 24-hour period of care.</w:t>
      </w:r>
      <w:r w:rsidRPr="008B20A0" w:rsidDel="00EA30C5">
        <w:rPr>
          <w:rFonts w:ascii="Times New Roman" w:hAnsi="Times New Roman" w:cs="Times New Roman"/>
          <w:spacing w:val="-3"/>
          <w:sz w:val="22"/>
          <w:szCs w:val="22"/>
        </w:rPr>
        <w:t xml:space="preserve"> </w:t>
      </w:r>
    </w:p>
    <w:p w14:paraId="6FA2A882" w14:textId="77777777" w:rsidR="003875EB" w:rsidRPr="008B20A0" w:rsidRDefault="003875EB" w:rsidP="003875EB">
      <w:pPr>
        <w:suppressAutoHyphens/>
        <w:ind w:left="720"/>
        <w:rPr>
          <w:rFonts w:ascii="Times New Roman" w:hAnsi="Times New Roman" w:cs="Times New Roman"/>
          <w:spacing w:val="-3"/>
          <w:sz w:val="22"/>
          <w:szCs w:val="22"/>
        </w:rPr>
      </w:pPr>
    </w:p>
    <w:p w14:paraId="4E2785E7" w14:textId="3E48A711" w:rsidR="003875EB"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lastRenderedPageBreak/>
        <w:t>Provider</w:t>
      </w:r>
      <w:r w:rsidRPr="008B20A0">
        <w:rPr>
          <w:rFonts w:ascii="Times New Roman" w:hAnsi="Times New Roman" w:cs="Times New Roman"/>
          <w:spacing w:val="-3"/>
          <w:sz w:val="22"/>
          <w:szCs w:val="22"/>
        </w:rPr>
        <w:t xml:space="preserve">.  Any individual, group, partnership, trust, corporation, or other legal entity that offers services for purchase by a governmental unit and that meets the conditions of purchase or licensure that have been adopted by a purchasing governmental unit. </w:t>
      </w:r>
    </w:p>
    <w:p w14:paraId="70ADA6DF" w14:textId="77777777" w:rsidR="0075354D" w:rsidRDefault="0075354D" w:rsidP="003875EB">
      <w:pPr>
        <w:suppressAutoHyphens/>
        <w:ind w:left="720"/>
        <w:rPr>
          <w:rFonts w:ascii="Times New Roman" w:hAnsi="Times New Roman" w:cs="Times New Roman"/>
          <w:spacing w:val="-3"/>
          <w:sz w:val="22"/>
          <w:szCs w:val="22"/>
        </w:rPr>
      </w:pPr>
    </w:p>
    <w:p w14:paraId="363E74BA" w14:textId="6E0F86D4" w:rsidR="0075354D" w:rsidRPr="008B20A0" w:rsidRDefault="0075354D" w:rsidP="003875EB">
      <w:pPr>
        <w:suppressAutoHyphens/>
        <w:ind w:left="720"/>
        <w:rPr>
          <w:rFonts w:ascii="Times New Roman" w:hAnsi="Times New Roman" w:cs="Times New Roman"/>
          <w:spacing w:val="-3"/>
          <w:sz w:val="22"/>
          <w:szCs w:val="22"/>
        </w:rPr>
      </w:pPr>
      <w:r w:rsidRPr="006F167E">
        <w:rPr>
          <w:rFonts w:ascii="Times New Roman" w:hAnsi="Times New Roman" w:cs="Times New Roman"/>
          <w:spacing w:val="-3"/>
          <w:sz w:val="22"/>
          <w:szCs w:val="22"/>
          <w:u w:val="single"/>
        </w:rPr>
        <w:t>Remote Direct Supports</w:t>
      </w:r>
      <w:r>
        <w:rPr>
          <w:rFonts w:ascii="Times New Roman" w:hAnsi="Times New Roman" w:cs="Times New Roman"/>
          <w:spacing w:val="-3"/>
          <w:sz w:val="22"/>
          <w:szCs w:val="22"/>
        </w:rPr>
        <w:t xml:space="preserve">.  </w:t>
      </w:r>
      <w:r w:rsidR="003E4D9F">
        <w:rPr>
          <w:rFonts w:ascii="Times New Roman" w:hAnsi="Times New Roman" w:cs="Times New Roman"/>
          <w:spacing w:val="-3"/>
          <w:sz w:val="22"/>
          <w:szCs w:val="22"/>
        </w:rPr>
        <w:t>A</w:t>
      </w:r>
      <w:r>
        <w:rPr>
          <w:rFonts w:ascii="Times New Roman" w:hAnsi="Times New Roman" w:cs="Times New Roman"/>
          <w:spacing w:val="-3"/>
          <w:sz w:val="22"/>
          <w:szCs w:val="22"/>
        </w:rPr>
        <w:t xml:space="preserve"> service </w:t>
      </w:r>
      <w:r w:rsidR="003E4D9F">
        <w:rPr>
          <w:rFonts w:ascii="Times New Roman" w:hAnsi="Times New Roman" w:cs="Times New Roman"/>
          <w:spacing w:val="-3"/>
          <w:sz w:val="22"/>
          <w:szCs w:val="22"/>
        </w:rPr>
        <w:t xml:space="preserve">that </w:t>
      </w:r>
      <w:r>
        <w:rPr>
          <w:rFonts w:ascii="Times New Roman" w:hAnsi="Times New Roman" w:cs="Times New Roman"/>
          <w:spacing w:val="-3"/>
          <w:sz w:val="22"/>
          <w:szCs w:val="22"/>
        </w:rPr>
        <w:t>provides for an off-site direct service provider t</w:t>
      </w:r>
      <w:r w:rsidR="003E4D9F">
        <w:rPr>
          <w:rFonts w:ascii="Times New Roman" w:hAnsi="Times New Roman" w:cs="Times New Roman"/>
          <w:spacing w:val="-3"/>
          <w:sz w:val="22"/>
          <w:szCs w:val="22"/>
        </w:rPr>
        <w:t>o</w:t>
      </w:r>
      <w:r>
        <w:rPr>
          <w:rFonts w:ascii="Times New Roman" w:hAnsi="Times New Roman" w:cs="Times New Roman"/>
          <w:spacing w:val="-3"/>
          <w:sz w:val="22"/>
          <w:szCs w:val="22"/>
        </w:rPr>
        <w:t xml:space="preserve"> monitor and respond to an individual’s health, safety</w:t>
      </w:r>
      <w:r w:rsidR="002F1271">
        <w:rPr>
          <w:rFonts w:ascii="Times New Roman" w:hAnsi="Times New Roman" w:cs="Times New Roman"/>
          <w:spacing w:val="-3"/>
          <w:sz w:val="22"/>
          <w:szCs w:val="22"/>
        </w:rPr>
        <w:t>, and other needs using live communication and non-invasive monitoring technologies.</w:t>
      </w:r>
    </w:p>
    <w:p w14:paraId="5D48C05D" w14:textId="77777777" w:rsidR="003875EB" w:rsidRPr="008B20A0" w:rsidRDefault="003875EB" w:rsidP="003875EB">
      <w:pPr>
        <w:suppressAutoHyphens/>
        <w:ind w:left="720"/>
        <w:rPr>
          <w:rFonts w:ascii="Times New Roman" w:hAnsi="Times New Roman" w:cs="Times New Roman"/>
          <w:spacing w:val="-3"/>
          <w:sz w:val="22"/>
          <w:szCs w:val="22"/>
        </w:rPr>
      </w:pPr>
    </w:p>
    <w:p w14:paraId="4B089AA2" w14:textId="77777777" w:rsidR="003875EB" w:rsidRPr="008B20A0" w:rsidRDefault="003875EB" w:rsidP="003875EB">
      <w:pPr>
        <w:suppressAutoHyphens/>
        <w:ind w:left="720"/>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Reporting Year</w:t>
      </w:r>
      <w:r w:rsidRPr="008B20A0">
        <w:rPr>
          <w:rFonts w:ascii="Times New Roman" w:hAnsi="Times New Roman" w:cs="Times New Roman"/>
          <w:spacing w:val="-3"/>
          <w:sz w:val="22"/>
          <w:szCs w:val="22"/>
        </w:rPr>
        <w:t xml:space="preserve">.  The provider's fiscal year for which costs incurred are reported to the Operational Services Division on the UFR.  </w:t>
      </w:r>
    </w:p>
    <w:p w14:paraId="24211371" w14:textId="77777777" w:rsidR="003875EB" w:rsidRPr="008B20A0" w:rsidRDefault="003875EB" w:rsidP="003875EB">
      <w:pPr>
        <w:suppressAutoHyphens/>
        <w:ind w:left="720"/>
        <w:rPr>
          <w:rFonts w:ascii="Times New Roman" w:hAnsi="Times New Roman" w:cs="Times New Roman"/>
          <w:spacing w:val="-3"/>
          <w:sz w:val="22"/>
          <w:szCs w:val="22"/>
          <w:highlight w:val="yellow"/>
          <w:u w:val="single"/>
        </w:rPr>
      </w:pPr>
    </w:p>
    <w:p w14:paraId="23F3A0AE" w14:textId="77777777" w:rsidR="003875EB" w:rsidRPr="008B20A0" w:rsidRDefault="003875EB" w:rsidP="003875EB">
      <w:pPr>
        <w:suppressAutoHyphens/>
        <w:ind w:left="720"/>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Service Model Rate</w:t>
      </w:r>
      <w:r w:rsidRPr="008B20A0">
        <w:rPr>
          <w:rFonts w:ascii="Times New Roman" w:hAnsi="Times New Roman" w:cs="Times New Roman"/>
          <w:spacing w:val="-3"/>
          <w:sz w:val="22"/>
          <w:szCs w:val="22"/>
        </w:rPr>
        <w:t>.  A rate that includes the programmatic resources to provide the client focused direct care and support services, including consultants, materials and supplies, and administrative services attributed to the service portion of the program. It does not include the resources for provision of the physical space associated with the program and included in the site rate.</w:t>
      </w:r>
    </w:p>
    <w:p w14:paraId="546809C1"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364B0316" w14:textId="51E226FA" w:rsidR="003875EB" w:rsidRPr="008B20A0" w:rsidRDefault="003875EB" w:rsidP="003875EB">
      <w:pPr>
        <w:suppressAutoHyphens/>
        <w:ind w:left="720"/>
        <w:rPr>
          <w:rFonts w:ascii="Times New Roman" w:hAnsi="Times New Roman" w:cs="Times New Roman"/>
          <w:spacing w:val="-3"/>
          <w:sz w:val="22"/>
          <w:szCs w:val="22"/>
          <w:highlight w:val="yellow"/>
          <w:u w:val="single"/>
        </w:rPr>
      </w:pPr>
      <w:r w:rsidRPr="008B20A0">
        <w:rPr>
          <w:rFonts w:ascii="Times New Roman" w:hAnsi="Times New Roman" w:cs="Times New Roman"/>
          <w:spacing w:val="-3"/>
          <w:sz w:val="22"/>
          <w:szCs w:val="22"/>
          <w:u w:val="single"/>
        </w:rPr>
        <w:t>Site Rate</w:t>
      </w:r>
      <w:r w:rsidRPr="008B20A0">
        <w:rPr>
          <w:rFonts w:ascii="Times New Roman" w:hAnsi="Times New Roman" w:cs="Times New Roman"/>
          <w:spacing w:val="-3"/>
          <w:sz w:val="22"/>
          <w:szCs w:val="22"/>
        </w:rPr>
        <w:t xml:space="preserve">.  </w:t>
      </w:r>
      <w:r w:rsidR="00FA023B" w:rsidRPr="008B20A0">
        <w:rPr>
          <w:rFonts w:ascii="Times New Roman" w:hAnsi="Times New Roman" w:cs="Times New Roman"/>
          <w:spacing w:val="-3"/>
          <w:sz w:val="22"/>
          <w:szCs w:val="22"/>
        </w:rPr>
        <w:t>A rate established by the purchasing governmental unit for the provision of the physical site housing the ALTR program, which may include, but is not limited to, lease or rental payments, depreciation, interest associated with long-term debt, insurance on buildings, maintenance, electricity, heat, water, and meals. Lease payments to related parties must not exceed the cost of what the provider would pay if the provider directly owned the property.</w:t>
      </w:r>
    </w:p>
    <w:p w14:paraId="76C231E3"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1300DBEF" w14:textId="043E1644" w:rsidR="003875EB"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Site Unit Cost</w:t>
      </w:r>
      <w:r w:rsidRPr="008B20A0">
        <w:rPr>
          <w:rFonts w:ascii="Times New Roman" w:hAnsi="Times New Roman" w:cs="Times New Roman"/>
          <w:spacing w:val="-3"/>
          <w:sz w:val="22"/>
          <w:szCs w:val="22"/>
        </w:rPr>
        <w:t xml:space="preserve">.  </w:t>
      </w:r>
      <w:r w:rsidR="00FA023B" w:rsidRPr="008B20A0">
        <w:rPr>
          <w:rFonts w:ascii="Times New Roman" w:hAnsi="Times New Roman" w:cs="Times New Roman"/>
          <w:spacing w:val="-3"/>
          <w:sz w:val="22"/>
          <w:szCs w:val="22"/>
        </w:rPr>
        <w:t xml:space="preserve">The result of dividing the total annualized cost of a program’s physical site for the </w:t>
      </w:r>
      <w:r w:rsidR="00307832" w:rsidRPr="008B20A0">
        <w:rPr>
          <w:rFonts w:ascii="Times New Roman" w:hAnsi="Times New Roman" w:cs="Times New Roman"/>
          <w:spacing w:val="-3"/>
          <w:sz w:val="22"/>
          <w:szCs w:val="22"/>
        </w:rPr>
        <w:t xml:space="preserve">period from </w:t>
      </w:r>
      <w:r w:rsidR="00FA023B" w:rsidRPr="008B20A0">
        <w:rPr>
          <w:rFonts w:ascii="Times New Roman" w:hAnsi="Times New Roman" w:cs="Times New Roman"/>
          <w:spacing w:val="-3"/>
          <w:sz w:val="22"/>
          <w:szCs w:val="22"/>
        </w:rPr>
        <w:t xml:space="preserve">July 1, 2011 through June 30, 2012, by the product of the capacity times 365. The purchasing governmental unit </w:t>
      </w:r>
      <w:r w:rsidR="00A72F13" w:rsidRPr="008B20A0">
        <w:rPr>
          <w:rFonts w:ascii="Times New Roman" w:hAnsi="Times New Roman" w:cs="Times New Roman"/>
          <w:spacing w:val="-3"/>
          <w:sz w:val="22"/>
          <w:szCs w:val="22"/>
        </w:rPr>
        <w:t>will</w:t>
      </w:r>
      <w:r w:rsidR="00FA023B" w:rsidRPr="008B20A0">
        <w:rPr>
          <w:rFonts w:ascii="Times New Roman" w:hAnsi="Times New Roman" w:cs="Times New Roman"/>
          <w:spacing w:val="-3"/>
          <w:sz w:val="22"/>
          <w:szCs w:val="22"/>
        </w:rPr>
        <w:t xml:space="preserve"> determine the </w:t>
      </w:r>
      <w:r w:rsidR="00A72F13" w:rsidRPr="008B20A0">
        <w:rPr>
          <w:rFonts w:ascii="Times New Roman" w:hAnsi="Times New Roman" w:cs="Times New Roman"/>
          <w:spacing w:val="-3"/>
          <w:sz w:val="22"/>
          <w:szCs w:val="22"/>
        </w:rPr>
        <w:t xml:space="preserve">total annualized </w:t>
      </w:r>
      <w:r w:rsidR="00FA023B" w:rsidRPr="008B20A0">
        <w:rPr>
          <w:rFonts w:ascii="Times New Roman" w:hAnsi="Times New Roman" w:cs="Times New Roman"/>
          <w:spacing w:val="-3"/>
          <w:sz w:val="22"/>
          <w:szCs w:val="22"/>
        </w:rPr>
        <w:t>cost</w:t>
      </w:r>
      <w:r w:rsidR="00A72F13" w:rsidRPr="008B20A0">
        <w:rPr>
          <w:rFonts w:ascii="Times New Roman" w:hAnsi="Times New Roman" w:cs="Times New Roman"/>
          <w:spacing w:val="-3"/>
          <w:sz w:val="22"/>
          <w:szCs w:val="22"/>
        </w:rPr>
        <w:t xml:space="preserve"> of a program’s physical site based on</w:t>
      </w:r>
      <w:r w:rsidR="00C14901" w:rsidRPr="008B20A0">
        <w:rPr>
          <w:rFonts w:ascii="Times New Roman" w:hAnsi="Times New Roman" w:cs="Times New Roman"/>
          <w:spacing w:val="-3"/>
          <w:sz w:val="22"/>
          <w:szCs w:val="22"/>
        </w:rPr>
        <w:t xml:space="preserve"> applicable</w:t>
      </w:r>
      <w:r w:rsidR="00A72F13" w:rsidRPr="008B20A0">
        <w:rPr>
          <w:rFonts w:ascii="Times New Roman" w:hAnsi="Times New Roman" w:cs="Times New Roman"/>
          <w:spacing w:val="-3"/>
          <w:sz w:val="22"/>
          <w:szCs w:val="22"/>
        </w:rPr>
        <w:t xml:space="preserve"> line items in the UFR </w:t>
      </w:r>
      <w:r w:rsidR="00C14901" w:rsidRPr="008B20A0">
        <w:rPr>
          <w:rFonts w:ascii="Times New Roman" w:hAnsi="Times New Roman" w:cs="Times New Roman"/>
          <w:spacing w:val="-3"/>
          <w:sz w:val="22"/>
          <w:szCs w:val="22"/>
        </w:rPr>
        <w:t>as determined</w:t>
      </w:r>
      <w:r w:rsidR="00A72F13" w:rsidRPr="008B20A0">
        <w:rPr>
          <w:rFonts w:ascii="Times New Roman" w:hAnsi="Times New Roman" w:cs="Times New Roman"/>
          <w:spacing w:val="-3"/>
          <w:sz w:val="22"/>
          <w:szCs w:val="22"/>
        </w:rPr>
        <w:t xml:space="preserve"> by the purchasing governmental unit</w:t>
      </w:r>
      <w:r w:rsidR="00FA023B" w:rsidRPr="008B20A0">
        <w:rPr>
          <w:rFonts w:ascii="Times New Roman" w:hAnsi="Times New Roman" w:cs="Times New Roman"/>
          <w:spacing w:val="-3"/>
          <w:sz w:val="22"/>
          <w:szCs w:val="22"/>
        </w:rPr>
        <w:t xml:space="preserve">, and may approve adjustments </w:t>
      </w:r>
      <w:r w:rsidR="00A72F13" w:rsidRPr="008B20A0">
        <w:rPr>
          <w:rFonts w:ascii="Times New Roman" w:hAnsi="Times New Roman" w:cs="Times New Roman"/>
          <w:spacing w:val="-3"/>
          <w:sz w:val="22"/>
          <w:szCs w:val="22"/>
        </w:rPr>
        <w:t xml:space="preserve">to the site unit cost for </w:t>
      </w:r>
      <w:r w:rsidR="00D263FF" w:rsidRPr="008B20A0">
        <w:rPr>
          <w:rFonts w:ascii="Times New Roman" w:hAnsi="Times New Roman" w:cs="Times New Roman"/>
          <w:spacing w:val="-3"/>
          <w:sz w:val="22"/>
          <w:szCs w:val="22"/>
        </w:rPr>
        <w:t>unanticipated</w:t>
      </w:r>
      <w:r w:rsidR="00A72F13" w:rsidRPr="008B20A0">
        <w:rPr>
          <w:rFonts w:ascii="Times New Roman" w:hAnsi="Times New Roman" w:cs="Times New Roman"/>
          <w:spacing w:val="-3"/>
          <w:sz w:val="22"/>
          <w:szCs w:val="22"/>
        </w:rPr>
        <w:t xml:space="preserve"> circumstances as determined by the purchasing governmental unit</w:t>
      </w:r>
      <w:r w:rsidR="00FA023B" w:rsidRPr="008B20A0">
        <w:rPr>
          <w:rFonts w:ascii="Times New Roman" w:hAnsi="Times New Roman" w:cs="Times New Roman"/>
          <w:spacing w:val="-3"/>
          <w:sz w:val="22"/>
          <w:szCs w:val="22"/>
        </w:rPr>
        <w:t xml:space="preserve">.  </w:t>
      </w:r>
    </w:p>
    <w:p w14:paraId="251469B2" w14:textId="77777777" w:rsidR="00AC784C" w:rsidRDefault="00AC784C" w:rsidP="003875EB">
      <w:pPr>
        <w:suppressAutoHyphens/>
        <w:ind w:left="720"/>
        <w:rPr>
          <w:rFonts w:ascii="Times New Roman" w:hAnsi="Times New Roman" w:cs="Times New Roman"/>
          <w:spacing w:val="-3"/>
          <w:sz w:val="22"/>
          <w:szCs w:val="22"/>
        </w:rPr>
      </w:pPr>
    </w:p>
    <w:p w14:paraId="49BC0390" w14:textId="6E5BD904" w:rsidR="00AC784C" w:rsidRPr="008B20A0" w:rsidRDefault="00AC784C" w:rsidP="003875EB">
      <w:pPr>
        <w:suppressAutoHyphens/>
        <w:ind w:left="720"/>
        <w:rPr>
          <w:rFonts w:ascii="Times New Roman" w:hAnsi="Times New Roman" w:cs="Times New Roman"/>
          <w:spacing w:val="-3"/>
          <w:sz w:val="22"/>
          <w:szCs w:val="22"/>
        </w:rPr>
      </w:pPr>
      <w:r w:rsidRPr="006F167E">
        <w:rPr>
          <w:rFonts w:ascii="Times New Roman" w:hAnsi="Times New Roman" w:cs="Times New Roman"/>
          <w:spacing w:val="-3"/>
          <w:sz w:val="22"/>
          <w:szCs w:val="22"/>
          <w:u w:val="single"/>
        </w:rPr>
        <w:t>Specialized Behavioral</w:t>
      </w:r>
      <w:r>
        <w:rPr>
          <w:rFonts w:ascii="Times New Roman" w:hAnsi="Times New Roman" w:cs="Times New Roman"/>
          <w:spacing w:val="-3"/>
          <w:sz w:val="22"/>
          <w:szCs w:val="22"/>
        </w:rPr>
        <w:t>.</w:t>
      </w:r>
      <w:r w:rsidR="001C3C37">
        <w:rPr>
          <w:rFonts w:ascii="Times New Roman" w:hAnsi="Times New Roman" w:cs="Times New Roman"/>
          <w:spacing w:val="-3"/>
          <w:sz w:val="22"/>
          <w:szCs w:val="22"/>
        </w:rPr>
        <w:t xml:space="preserve">  The category of ALTR service models that delivers additional supports</w:t>
      </w:r>
      <w:r w:rsidR="00931718">
        <w:rPr>
          <w:rFonts w:ascii="Times New Roman" w:hAnsi="Times New Roman" w:cs="Times New Roman"/>
          <w:spacing w:val="-3"/>
          <w:sz w:val="22"/>
          <w:szCs w:val="22"/>
        </w:rPr>
        <w:t>,</w:t>
      </w:r>
      <w:r w:rsidR="001C3C37">
        <w:rPr>
          <w:rFonts w:ascii="Times New Roman" w:hAnsi="Times New Roman" w:cs="Times New Roman"/>
          <w:spacing w:val="-3"/>
          <w:sz w:val="22"/>
          <w:szCs w:val="22"/>
        </w:rPr>
        <w:t xml:space="preserve"> when compared to the intermediate models</w:t>
      </w:r>
      <w:r w:rsidR="008229F3">
        <w:rPr>
          <w:rFonts w:ascii="Times New Roman" w:hAnsi="Times New Roman" w:cs="Times New Roman"/>
          <w:spacing w:val="-3"/>
          <w:sz w:val="22"/>
          <w:szCs w:val="22"/>
        </w:rPr>
        <w:t xml:space="preserve">, </w:t>
      </w:r>
      <w:r w:rsidR="002D54E0">
        <w:rPr>
          <w:rFonts w:ascii="Times New Roman" w:hAnsi="Times New Roman" w:cs="Times New Roman"/>
          <w:spacing w:val="-3"/>
          <w:sz w:val="22"/>
          <w:szCs w:val="22"/>
        </w:rPr>
        <w:t>by</w:t>
      </w:r>
      <w:r w:rsidR="008229F3">
        <w:rPr>
          <w:rFonts w:ascii="Times New Roman" w:hAnsi="Times New Roman" w:cs="Times New Roman"/>
          <w:spacing w:val="-3"/>
          <w:sz w:val="22"/>
          <w:szCs w:val="22"/>
        </w:rPr>
        <w:t xml:space="preserve"> </w:t>
      </w:r>
      <w:r w:rsidR="0001005D">
        <w:rPr>
          <w:rFonts w:ascii="Times New Roman" w:hAnsi="Times New Roman" w:cs="Times New Roman"/>
          <w:spacing w:val="-3"/>
          <w:sz w:val="22"/>
          <w:szCs w:val="22"/>
        </w:rPr>
        <w:t>us</w:t>
      </w:r>
      <w:r w:rsidR="002D54E0">
        <w:rPr>
          <w:rFonts w:ascii="Times New Roman" w:hAnsi="Times New Roman" w:cs="Times New Roman"/>
          <w:spacing w:val="-3"/>
          <w:sz w:val="22"/>
          <w:szCs w:val="22"/>
        </w:rPr>
        <w:t>ing</w:t>
      </w:r>
      <w:r w:rsidR="008229F3">
        <w:rPr>
          <w:rFonts w:ascii="Times New Roman" w:hAnsi="Times New Roman" w:cs="Times New Roman"/>
          <w:spacing w:val="-3"/>
          <w:sz w:val="22"/>
          <w:szCs w:val="22"/>
        </w:rPr>
        <w:t xml:space="preserve"> specialized behavioral staff. The selection of this program is based on client need</w:t>
      </w:r>
      <w:r w:rsidR="00931718">
        <w:rPr>
          <w:rFonts w:ascii="Times New Roman" w:hAnsi="Times New Roman" w:cs="Times New Roman"/>
          <w:spacing w:val="-3"/>
          <w:sz w:val="22"/>
          <w:szCs w:val="22"/>
        </w:rPr>
        <w:t xml:space="preserve"> for behavioral supports, enhanced supervision, or interventions designed to address multiple</w:t>
      </w:r>
      <w:r w:rsidR="0001005D">
        <w:rPr>
          <w:rFonts w:ascii="Times New Roman" w:hAnsi="Times New Roman" w:cs="Times New Roman"/>
          <w:spacing w:val="-3"/>
          <w:sz w:val="22"/>
          <w:szCs w:val="22"/>
        </w:rPr>
        <w:t>,</w:t>
      </w:r>
      <w:r w:rsidR="00931718">
        <w:rPr>
          <w:rFonts w:ascii="Times New Roman" w:hAnsi="Times New Roman" w:cs="Times New Roman"/>
          <w:spacing w:val="-3"/>
          <w:sz w:val="22"/>
          <w:szCs w:val="22"/>
        </w:rPr>
        <w:t xml:space="preserve"> complex behavioral needs </w:t>
      </w:r>
      <w:r w:rsidR="002D54E0">
        <w:rPr>
          <w:rFonts w:ascii="Times New Roman" w:hAnsi="Times New Roman" w:cs="Times New Roman"/>
          <w:spacing w:val="-3"/>
          <w:sz w:val="22"/>
          <w:szCs w:val="22"/>
        </w:rPr>
        <w:t>by</w:t>
      </w:r>
      <w:r w:rsidR="00931718">
        <w:rPr>
          <w:rFonts w:ascii="Times New Roman" w:hAnsi="Times New Roman" w:cs="Times New Roman"/>
          <w:spacing w:val="-3"/>
          <w:sz w:val="22"/>
          <w:szCs w:val="22"/>
        </w:rPr>
        <w:t xml:space="preserve"> </w:t>
      </w:r>
      <w:r w:rsidR="0001005D">
        <w:rPr>
          <w:rFonts w:ascii="Times New Roman" w:hAnsi="Times New Roman" w:cs="Times New Roman"/>
          <w:spacing w:val="-3"/>
          <w:sz w:val="22"/>
          <w:szCs w:val="22"/>
        </w:rPr>
        <w:t>us</w:t>
      </w:r>
      <w:r w:rsidR="002D54E0">
        <w:rPr>
          <w:rFonts w:ascii="Times New Roman" w:hAnsi="Times New Roman" w:cs="Times New Roman"/>
          <w:spacing w:val="-3"/>
          <w:sz w:val="22"/>
          <w:szCs w:val="22"/>
        </w:rPr>
        <w:t>ing</w:t>
      </w:r>
      <w:r w:rsidR="00931718">
        <w:rPr>
          <w:rFonts w:ascii="Times New Roman" w:hAnsi="Times New Roman" w:cs="Times New Roman"/>
          <w:spacing w:val="-3"/>
          <w:sz w:val="22"/>
          <w:szCs w:val="22"/>
        </w:rPr>
        <w:t xml:space="preserve"> highly experienced or credentialed interdisciplinary teams.</w:t>
      </w:r>
    </w:p>
    <w:p w14:paraId="23022D14" w14:textId="77777777" w:rsidR="003875EB" w:rsidRPr="008B20A0" w:rsidRDefault="003875EB" w:rsidP="003875EB">
      <w:pPr>
        <w:suppressAutoHyphens/>
        <w:rPr>
          <w:rFonts w:ascii="Times New Roman" w:hAnsi="Times New Roman" w:cs="Times New Roman"/>
          <w:spacing w:val="-3"/>
          <w:sz w:val="22"/>
          <w:szCs w:val="22"/>
          <w:u w:val="single"/>
        </w:rPr>
      </w:pPr>
    </w:p>
    <w:p w14:paraId="25881629"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420.03:  Rate Provisions</w:t>
      </w:r>
    </w:p>
    <w:p w14:paraId="70C6D7B7" w14:textId="77777777" w:rsidR="003875EB" w:rsidRPr="008B20A0" w:rsidRDefault="003875EB" w:rsidP="003875EB">
      <w:pPr>
        <w:suppressAutoHyphens/>
        <w:rPr>
          <w:rFonts w:ascii="Times New Roman" w:hAnsi="Times New Roman" w:cs="Times New Roman"/>
          <w:spacing w:val="-3"/>
          <w:sz w:val="22"/>
          <w:szCs w:val="22"/>
        </w:rPr>
      </w:pPr>
    </w:p>
    <w:p w14:paraId="174E89DC"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(1)  </w:t>
      </w:r>
      <w:r w:rsidRPr="008B20A0">
        <w:rPr>
          <w:rFonts w:ascii="Times New Roman" w:hAnsi="Times New Roman" w:cs="Times New Roman"/>
          <w:spacing w:val="-3"/>
          <w:sz w:val="22"/>
          <w:szCs w:val="22"/>
          <w:u w:val="single"/>
        </w:rPr>
        <w:t>Services Included in the Rate</w:t>
      </w:r>
      <w:r w:rsidRPr="008B20A0">
        <w:rPr>
          <w:rFonts w:ascii="Times New Roman" w:hAnsi="Times New Roman" w:cs="Times New Roman"/>
          <w:spacing w:val="-3"/>
          <w:sz w:val="22"/>
          <w:szCs w:val="22"/>
        </w:rPr>
        <w:t>.  The approved rate includes payment for all care and services that are part of the program of services of an eligible provider, as explicitly set forth in the terms of the purchase agreement between the eligible provider and the purchasing governmental unit(s).</w:t>
      </w:r>
    </w:p>
    <w:p w14:paraId="3B0B727F" w14:textId="77777777" w:rsidR="003875EB" w:rsidRPr="008B20A0" w:rsidRDefault="003875EB" w:rsidP="003875EB">
      <w:pPr>
        <w:suppressAutoHyphens/>
        <w:ind w:left="720"/>
        <w:rPr>
          <w:rFonts w:ascii="Times New Roman" w:hAnsi="Times New Roman" w:cs="Times New Roman"/>
          <w:spacing w:val="-3"/>
          <w:sz w:val="22"/>
          <w:szCs w:val="22"/>
        </w:rPr>
      </w:pPr>
    </w:p>
    <w:p w14:paraId="4134471B"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(2)  </w:t>
      </w:r>
      <w:r w:rsidRPr="008B20A0">
        <w:rPr>
          <w:rFonts w:ascii="Times New Roman" w:hAnsi="Times New Roman" w:cs="Times New Roman"/>
          <w:spacing w:val="-3"/>
          <w:sz w:val="22"/>
          <w:szCs w:val="22"/>
          <w:u w:val="single"/>
        </w:rPr>
        <w:t>Reimbursement as Full Payment</w:t>
      </w:r>
      <w:r w:rsidRPr="008B20A0">
        <w:rPr>
          <w:rFonts w:ascii="Times New Roman" w:hAnsi="Times New Roman" w:cs="Times New Roman"/>
          <w:spacing w:val="-3"/>
          <w:sz w:val="22"/>
          <w:szCs w:val="22"/>
        </w:rPr>
        <w:t>.  Each eligible provider must, as a condition of acceptance of payment made by any purchasing governmental units for services rendered, accept the approved program rate as full payment and discharge of all obligations for the services rendered. Payment from any other source will be used to offset the amount of the purchasing governmental unit's obligation for services rendered to the publicly assisted client.</w:t>
      </w:r>
    </w:p>
    <w:p w14:paraId="35A0E345"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lastRenderedPageBreak/>
        <w:t xml:space="preserve">(3)  </w:t>
      </w:r>
      <w:r w:rsidRPr="008B20A0">
        <w:rPr>
          <w:rFonts w:ascii="Times New Roman" w:hAnsi="Times New Roman" w:cs="Times New Roman"/>
          <w:spacing w:val="-3"/>
          <w:sz w:val="22"/>
          <w:szCs w:val="22"/>
          <w:u w:val="single"/>
        </w:rPr>
        <w:t>Payment Limitations</w:t>
      </w:r>
      <w:r w:rsidRPr="008B20A0">
        <w:rPr>
          <w:rFonts w:ascii="Times New Roman" w:hAnsi="Times New Roman" w:cs="Times New Roman"/>
          <w:spacing w:val="-3"/>
          <w:sz w:val="22"/>
          <w:szCs w:val="22"/>
        </w:rPr>
        <w:t>.  No purchasing governmental unit may pay less than or more than the approved program rate, except as cited in 101 CMR 420.03.</w:t>
      </w:r>
    </w:p>
    <w:p w14:paraId="69B769EB" w14:textId="77777777" w:rsidR="008D1252" w:rsidRPr="008B20A0" w:rsidRDefault="008D1252" w:rsidP="003875EB">
      <w:pPr>
        <w:suppressAutoHyphens/>
        <w:ind w:left="720"/>
        <w:rPr>
          <w:rFonts w:ascii="Times New Roman" w:hAnsi="Times New Roman" w:cs="Times New Roman"/>
          <w:spacing w:val="-3"/>
          <w:sz w:val="22"/>
          <w:szCs w:val="22"/>
        </w:rPr>
      </w:pPr>
    </w:p>
    <w:p w14:paraId="783BAA4D" w14:textId="64836F8F" w:rsidR="003875EB" w:rsidRPr="008B20A0" w:rsidRDefault="008D1252"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color="000000"/>
        </w:rPr>
        <w:t>(4)</w:t>
      </w:r>
      <w:r w:rsidR="0091768D" w:rsidRPr="008B20A0">
        <w:rPr>
          <w:rFonts w:ascii="Times New Roman" w:hAnsi="Times New Roman" w:cs="Times New Roman"/>
          <w:spacing w:val="-3"/>
          <w:sz w:val="22"/>
          <w:szCs w:val="22"/>
          <w:u w:color="000000"/>
        </w:rPr>
        <w:t xml:space="preserve"> </w:t>
      </w:r>
      <w:r w:rsidRPr="008B20A0">
        <w:rPr>
          <w:rFonts w:ascii="Times New Roman" w:hAnsi="Times New Roman" w:cs="Times New Roman"/>
          <w:spacing w:val="-3"/>
          <w:sz w:val="22"/>
          <w:szCs w:val="22"/>
          <w:u w:color="000000"/>
        </w:rPr>
        <w:t xml:space="preserve"> </w:t>
      </w:r>
      <w:r w:rsidRPr="008B20A0">
        <w:rPr>
          <w:rFonts w:ascii="Times New Roman" w:hAnsi="Times New Roman" w:cs="Times New Roman"/>
          <w:spacing w:val="-3"/>
          <w:sz w:val="22"/>
          <w:szCs w:val="22"/>
          <w:u w:val="single"/>
        </w:rPr>
        <w:t>Administrative</w:t>
      </w:r>
      <w:r w:rsidRPr="008B20A0">
        <w:rPr>
          <w:rFonts w:ascii="Times New Roman" w:hAnsi="Times New Roman" w:cs="Times New Roman"/>
          <w:spacing w:val="-12"/>
          <w:sz w:val="22"/>
          <w:szCs w:val="22"/>
          <w:u w:val="single"/>
        </w:rPr>
        <w:t xml:space="preserve"> </w:t>
      </w:r>
      <w:r w:rsidRPr="008B20A0">
        <w:rPr>
          <w:rFonts w:ascii="Times New Roman" w:hAnsi="Times New Roman" w:cs="Times New Roman"/>
          <w:spacing w:val="-3"/>
          <w:sz w:val="22"/>
          <w:szCs w:val="22"/>
          <w:u w:val="single"/>
        </w:rPr>
        <w:t>Adjustment</w:t>
      </w:r>
      <w:r w:rsidRPr="008B20A0">
        <w:rPr>
          <w:rFonts w:ascii="Times New Roman" w:hAnsi="Times New Roman" w:cs="Times New Roman"/>
          <w:spacing w:val="-12"/>
          <w:sz w:val="22"/>
          <w:szCs w:val="22"/>
          <w:u w:val="single"/>
        </w:rPr>
        <w:t xml:space="preserve"> </w:t>
      </w:r>
      <w:r w:rsidRPr="008B20A0">
        <w:rPr>
          <w:rFonts w:ascii="Times New Roman" w:hAnsi="Times New Roman" w:cs="Times New Roman"/>
          <w:spacing w:val="-2"/>
          <w:sz w:val="22"/>
          <w:szCs w:val="22"/>
          <w:u w:val="single"/>
        </w:rPr>
        <w:t>for</w:t>
      </w:r>
      <w:r w:rsidRPr="008B20A0">
        <w:rPr>
          <w:rFonts w:ascii="Times New Roman" w:hAnsi="Times New Roman" w:cs="Times New Roman"/>
          <w:spacing w:val="-13"/>
          <w:sz w:val="22"/>
          <w:szCs w:val="22"/>
          <w:u w:val="single"/>
        </w:rPr>
        <w:t xml:space="preserve"> </w:t>
      </w:r>
      <w:r w:rsidRPr="008B20A0">
        <w:rPr>
          <w:rFonts w:ascii="Times New Roman" w:hAnsi="Times New Roman" w:cs="Times New Roman"/>
          <w:spacing w:val="-3"/>
          <w:sz w:val="22"/>
          <w:szCs w:val="22"/>
          <w:u w:val="single"/>
        </w:rPr>
        <w:t>Extraordinary</w:t>
      </w:r>
      <w:r w:rsidRPr="008B20A0">
        <w:rPr>
          <w:rFonts w:ascii="Times New Roman" w:hAnsi="Times New Roman" w:cs="Times New Roman"/>
          <w:spacing w:val="-11"/>
          <w:sz w:val="22"/>
          <w:szCs w:val="22"/>
          <w:u w:val="single"/>
        </w:rPr>
        <w:t xml:space="preserve"> </w:t>
      </w:r>
      <w:r w:rsidRPr="008B20A0">
        <w:rPr>
          <w:rFonts w:ascii="Times New Roman" w:hAnsi="Times New Roman" w:cs="Times New Roman"/>
          <w:spacing w:val="-2"/>
          <w:sz w:val="22"/>
          <w:szCs w:val="22"/>
          <w:u w:val="single"/>
        </w:rPr>
        <w:t>Circumstances</w:t>
      </w:r>
      <w:r w:rsidRPr="008B20A0">
        <w:rPr>
          <w:rFonts w:ascii="Times New Roman" w:hAnsi="Times New Roman" w:cs="Times New Roman"/>
          <w:spacing w:val="-2"/>
          <w:sz w:val="22"/>
          <w:szCs w:val="22"/>
        </w:rPr>
        <w:t>.</w:t>
      </w:r>
      <w:r w:rsidRPr="006F167E">
        <w:rPr>
          <w:rFonts w:ascii="Times New Roman" w:hAnsi="Times New Roman" w:cs="Times New Roman"/>
          <w:spacing w:val="-3"/>
          <w:sz w:val="22"/>
          <w:szCs w:val="22"/>
        </w:rPr>
        <w:t xml:space="preserve">  </w:t>
      </w:r>
      <w:r w:rsidR="00DB0EF6" w:rsidRPr="008B20A0">
        <w:rPr>
          <w:rFonts w:ascii="Times New Roman" w:hAnsi="Times New Roman" w:cs="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00DB0EF6" w:rsidRPr="006F167E">
        <w:rPr>
          <w:rFonts w:ascii="Times New Roman" w:hAnsi="Times New Roman" w:cs="Times New Roman"/>
          <w:spacing w:val="-10"/>
          <w:sz w:val="22"/>
          <w:szCs w:val="22"/>
        </w:rPr>
        <w:t xml:space="preserve"> </w:t>
      </w:r>
      <w:r w:rsidR="00DB0EF6" w:rsidRPr="008B20A0">
        <w:rPr>
          <w:rFonts w:ascii="Times New Roman" w:hAnsi="Times New Roman" w:cs="Times New Roman"/>
          <w:spacing w:val="-10"/>
          <w:sz w:val="22"/>
          <w:szCs w:val="22"/>
        </w:rPr>
        <w:t xml:space="preserve">Providers must </w:t>
      </w:r>
      <w:r w:rsidR="00DB0EF6" w:rsidRPr="008B20A0">
        <w:rPr>
          <w:rFonts w:ascii="Times New Roman" w:hAnsi="Times New Roman" w:cs="Times New Roman"/>
          <w:spacing w:val="-3"/>
          <w:sz w:val="22"/>
          <w:szCs w:val="22"/>
        </w:rPr>
        <w:t>demonstrate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such</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cost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increases</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gravely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3"/>
          <w:sz w:val="22"/>
          <w:szCs w:val="22"/>
        </w:rPr>
        <w:t>threaten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the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stability</w:t>
      </w:r>
      <w:r w:rsidR="00DB0EF6" w:rsidRPr="008B20A0">
        <w:rPr>
          <w:rFonts w:ascii="Times New Roman" w:hAnsi="Times New Roman" w:cs="Times New Roman"/>
          <w:spacing w:val="-9"/>
          <w:sz w:val="22"/>
          <w:szCs w:val="22"/>
        </w:rPr>
        <w:t xml:space="preserve"> of </w:t>
      </w:r>
      <w:r w:rsidR="00DB0EF6" w:rsidRPr="008B20A0">
        <w:rPr>
          <w:rFonts w:ascii="Times New Roman" w:hAnsi="Times New Roman" w:cs="Times New Roman"/>
          <w:spacing w:val="-3"/>
          <w:sz w:val="22"/>
          <w:szCs w:val="22"/>
        </w:rPr>
        <w:t>service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provision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such</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client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or</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consumer</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access</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necessary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services</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1"/>
          <w:sz w:val="22"/>
          <w:szCs w:val="22"/>
        </w:rPr>
        <w:t>is</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at</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risk.</w:t>
      </w:r>
      <w:r w:rsidR="00DB0EF6" w:rsidRPr="008B20A0">
        <w:rPr>
          <w:rFonts w:ascii="Times New Roman" w:hAnsi="Times New Roman" w:cs="Times New Roman"/>
          <w:spacing w:val="-3"/>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34"/>
          <w:sz w:val="22"/>
          <w:szCs w:val="22"/>
        </w:rPr>
        <w:t xml:space="preserve"> </w:t>
      </w:r>
      <w:r w:rsidR="00DB0EF6" w:rsidRPr="008B20A0">
        <w:rPr>
          <w:rFonts w:ascii="Times New Roman" w:hAnsi="Times New Roman" w:cs="Times New Roman"/>
          <w:spacing w:val="-3"/>
          <w:sz w:val="22"/>
          <w:szCs w:val="22"/>
        </w:rPr>
        <w:t>purchasing</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3"/>
          <w:sz w:val="22"/>
          <w:szCs w:val="22"/>
        </w:rPr>
        <w:t>governmental</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unit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will</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evaluate</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need</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for</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administrative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adjustment, determine whether</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funding</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is</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available,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and</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convey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information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EOHHS</w:t>
      </w:r>
      <w:r w:rsidR="00DB0EF6" w:rsidRPr="008B20A0">
        <w:rPr>
          <w:rFonts w:ascii="Times New Roman" w:hAnsi="Times New Roman" w:cs="Times New Roman"/>
          <w:spacing w:val="-10"/>
          <w:sz w:val="22"/>
          <w:szCs w:val="22"/>
        </w:rPr>
        <w:t xml:space="preserve"> for </w:t>
      </w:r>
      <w:r w:rsidR="00DB0EF6" w:rsidRPr="008B20A0">
        <w:rPr>
          <w:rFonts w:ascii="Times New Roman" w:hAnsi="Times New Roman" w:cs="Times New Roman"/>
          <w:spacing w:val="-2"/>
          <w:sz w:val="22"/>
          <w:szCs w:val="22"/>
        </w:rPr>
        <w:t>review</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determine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amount</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1"/>
          <w:sz w:val="22"/>
          <w:szCs w:val="22"/>
        </w:rPr>
        <w:t>of</w:t>
      </w:r>
      <w:r w:rsidR="00DB0EF6" w:rsidRPr="008B20A0">
        <w:rPr>
          <w:rFonts w:ascii="Times New Roman" w:hAnsi="Times New Roman" w:cs="Times New Roman"/>
          <w:spacing w:val="-8"/>
          <w:sz w:val="22"/>
          <w:szCs w:val="22"/>
        </w:rPr>
        <w:t xml:space="preserve"> </w:t>
      </w:r>
      <w:r w:rsidR="00DB0EF6" w:rsidRPr="008B20A0">
        <w:rPr>
          <w:rFonts w:ascii="Times New Roman" w:hAnsi="Times New Roman" w:cs="Times New Roman"/>
          <w:spacing w:val="-2"/>
          <w:sz w:val="22"/>
          <w:szCs w:val="22"/>
        </w:rPr>
        <w:t>any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adjustment</w:t>
      </w:r>
      <w:r w:rsidR="002373A4" w:rsidRPr="008B20A0">
        <w:rPr>
          <w:rFonts w:ascii="Times New Roman" w:hAnsi="Times New Roman" w:cs="Times New Roman"/>
          <w:spacing w:val="-2"/>
          <w:sz w:val="22"/>
          <w:szCs w:val="22"/>
        </w:rPr>
        <w:t>.</w:t>
      </w:r>
      <w:r w:rsidR="003875EB" w:rsidRPr="008B20A0">
        <w:rPr>
          <w:rFonts w:ascii="Times New Roman" w:hAnsi="Times New Roman" w:cs="Times New Roman"/>
          <w:spacing w:val="-3"/>
          <w:sz w:val="22"/>
          <w:szCs w:val="22"/>
        </w:rPr>
        <w:t xml:space="preserve"> </w:t>
      </w:r>
    </w:p>
    <w:p w14:paraId="30C7AD60" w14:textId="77777777" w:rsidR="00401AF2" w:rsidRPr="008B20A0" w:rsidRDefault="00401AF2" w:rsidP="003875EB">
      <w:pPr>
        <w:suppressAutoHyphens/>
        <w:ind w:left="720"/>
        <w:rPr>
          <w:rFonts w:ascii="Times New Roman" w:hAnsi="Times New Roman" w:cs="Times New Roman"/>
          <w:sz w:val="22"/>
          <w:szCs w:val="22"/>
        </w:rPr>
      </w:pPr>
    </w:p>
    <w:p w14:paraId="24013CD1" w14:textId="7DC976DF"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z w:val="22"/>
          <w:szCs w:val="22"/>
        </w:rPr>
        <w:t>(</w:t>
      </w:r>
      <w:r w:rsidR="008D1252" w:rsidRPr="008B20A0">
        <w:rPr>
          <w:rFonts w:ascii="Times New Roman" w:hAnsi="Times New Roman" w:cs="Times New Roman"/>
          <w:sz w:val="22"/>
          <w:szCs w:val="22"/>
        </w:rPr>
        <w:t>5</w:t>
      </w:r>
      <w:r w:rsidRPr="008B20A0">
        <w:rPr>
          <w:rFonts w:ascii="Times New Roman" w:hAnsi="Times New Roman" w:cs="Times New Roman"/>
          <w:sz w:val="22"/>
          <w:szCs w:val="22"/>
        </w:rPr>
        <w:t xml:space="preserve">)  </w:t>
      </w:r>
      <w:r w:rsidR="00AA4578" w:rsidRPr="008B20A0">
        <w:rPr>
          <w:rFonts w:ascii="Times New Roman" w:hAnsi="Times New Roman" w:cs="Times New Roman"/>
          <w:sz w:val="22"/>
          <w:szCs w:val="22"/>
          <w:u w:val="single"/>
        </w:rPr>
        <w:t>Blended Contract Rate Calculation</w:t>
      </w:r>
      <w:r w:rsidR="00AA4578" w:rsidRPr="008B20A0">
        <w:rPr>
          <w:rFonts w:ascii="Times New Roman" w:hAnsi="Times New Roman" w:cs="Times New Roman"/>
          <w:sz w:val="22"/>
          <w:szCs w:val="22"/>
        </w:rPr>
        <w:t xml:space="preserve">.  Purchasing governmental units may pay a </w:t>
      </w:r>
      <w:r w:rsidR="00307832" w:rsidRPr="008B20A0">
        <w:rPr>
          <w:rFonts w:ascii="Times New Roman" w:hAnsi="Times New Roman" w:cs="Times New Roman"/>
          <w:sz w:val="22"/>
          <w:szCs w:val="22"/>
        </w:rPr>
        <w:t>b</w:t>
      </w:r>
      <w:r w:rsidR="00AA4578" w:rsidRPr="008B20A0">
        <w:rPr>
          <w:rFonts w:ascii="Times New Roman" w:hAnsi="Times New Roman" w:cs="Times New Roman"/>
          <w:sz w:val="22"/>
          <w:szCs w:val="22"/>
        </w:rPr>
        <w:t xml:space="preserve">lended </w:t>
      </w:r>
      <w:r w:rsidR="00307832" w:rsidRPr="008B20A0">
        <w:rPr>
          <w:rFonts w:ascii="Times New Roman" w:hAnsi="Times New Roman" w:cs="Times New Roman"/>
          <w:sz w:val="22"/>
          <w:szCs w:val="22"/>
        </w:rPr>
        <w:t>c</w:t>
      </w:r>
      <w:r w:rsidR="00AA4578" w:rsidRPr="008B20A0">
        <w:rPr>
          <w:rFonts w:ascii="Times New Roman" w:hAnsi="Times New Roman" w:cs="Times New Roman"/>
          <w:sz w:val="22"/>
          <w:szCs w:val="22"/>
        </w:rPr>
        <w:t xml:space="preserve">ontract </w:t>
      </w:r>
      <w:r w:rsidR="00307832" w:rsidRPr="008B20A0">
        <w:rPr>
          <w:rFonts w:ascii="Times New Roman" w:hAnsi="Times New Roman" w:cs="Times New Roman"/>
          <w:sz w:val="22"/>
          <w:szCs w:val="22"/>
        </w:rPr>
        <w:t>r</w:t>
      </w:r>
      <w:r w:rsidR="00AA4578" w:rsidRPr="008B20A0">
        <w:rPr>
          <w:rFonts w:ascii="Times New Roman" w:hAnsi="Times New Roman" w:cs="Times New Roman"/>
          <w:sz w:val="22"/>
          <w:szCs w:val="22"/>
        </w:rPr>
        <w:t xml:space="preserve">ate for </w:t>
      </w:r>
      <w:r w:rsidR="00307832" w:rsidRPr="008B20A0">
        <w:rPr>
          <w:rFonts w:ascii="Times New Roman" w:hAnsi="Times New Roman" w:cs="Times New Roman"/>
          <w:sz w:val="22"/>
          <w:szCs w:val="22"/>
        </w:rPr>
        <w:t xml:space="preserve">the </w:t>
      </w:r>
      <w:r w:rsidR="00AA4578" w:rsidRPr="008B20A0">
        <w:rPr>
          <w:rFonts w:ascii="Times New Roman" w:hAnsi="Times New Roman" w:cs="Times New Roman"/>
          <w:sz w:val="22"/>
          <w:szCs w:val="22"/>
        </w:rPr>
        <w:t>purchase of two or more ALTR programs. The blended rate will be calculated according to the following formula:  Sum of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1)*(Units purchased of Program Model 1)*(Number of clients purchased in Program 1) / (Total number of clients in Program 1)],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2)*(Units purchased of Program Model 2</w:t>
      </w:r>
      <w:r w:rsidR="00B732F0" w:rsidRPr="008B20A0">
        <w:rPr>
          <w:rFonts w:ascii="Times New Roman" w:hAnsi="Times New Roman" w:cs="Times New Roman"/>
          <w:sz w:val="22"/>
          <w:szCs w:val="22"/>
        </w:rPr>
        <w:t>)*</w:t>
      </w:r>
      <w:r w:rsidR="00AA4578" w:rsidRPr="008B20A0">
        <w:rPr>
          <w:rFonts w:ascii="Times New Roman" w:hAnsi="Times New Roman" w:cs="Times New Roman"/>
          <w:sz w:val="22"/>
          <w:szCs w:val="22"/>
        </w:rPr>
        <w:t>(Number of clients purchased in Program 2) / (Total number of clients in Program 2)],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3)*(Units purchased of Program Model 3)</w:t>
      </w:r>
      <w:r w:rsidR="00B732F0" w:rsidRPr="008B20A0">
        <w:rPr>
          <w:rFonts w:ascii="Times New Roman" w:hAnsi="Times New Roman" w:cs="Times New Roman"/>
          <w:sz w:val="22"/>
          <w:szCs w:val="22"/>
        </w:rPr>
        <w:t>*</w:t>
      </w:r>
      <w:r w:rsidR="00AA4578" w:rsidRPr="008B20A0">
        <w:rPr>
          <w:rFonts w:ascii="Times New Roman" w:hAnsi="Times New Roman" w:cs="Times New Roman"/>
          <w:sz w:val="22"/>
          <w:szCs w:val="22"/>
        </w:rPr>
        <w:t xml:space="preserve"> (Number of clients purchased in Program 3) / (Total number of clients in Program 3)],…,[Total funding for Add-</w:t>
      </w:r>
      <w:r w:rsidR="00B732F0" w:rsidRPr="008B20A0">
        <w:rPr>
          <w:rFonts w:ascii="Times New Roman" w:hAnsi="Times New Roman" w:cs="Times New Roman"/>
          <w:sz w:val="22"/>
          <w:szCs w:val="22"/>
        </w:rPr>
        <w:t>o</w:t>
      </w:r>
      <w:r w:rsidR="00AA4578" w:rsidRPr="008B20A0">
        <w:rPr>
          <w:rFonts w:ascii="Times New Roman" w:hAnsi="Times New Roman" w:cs="Times New Roman"/>
          <w:sz w:val="22"/>
          <w:szCs w:val="22"/>
        </w:rPr>
        <w:t>ns]} Divided by the [(Sum of the Units purchased)*(Count of clients)] for all programs in the contract.</w:t>
      </w:r>
    </w:p>
    <w:p w14:paraId="5E86E6AE" w14:textId="77777777" w:rsidR="003875EB" w:rsidRPr="008B20A0" w:rsidRDefault="003875EB" w:rsidP="003875EB">
      <w:pPr>
        <w:suppressAutoHyphens/>
        <w:ind w:left="720"/>
        <w:rPr>
          <w:rFonts w:ascii="Times New Roman" w:hAnsi="Times New Roman" w:cs="Times New Roman"/>
          <w:sz w:val="22"/>
          <w:szCs w:val="22"/>
        </w:rPr>
      </w:pPr>
    </w:p>
    <w:p w14:paraId="784C895C" w14:textId="77FF9914" w:rsidR="00AA4578" w:rsidRPr="008B20A0" w:rsidRDefault="00AA4578" w:rsidP="00AA4578">
      <w:pPr>
        <w:suppressAutoHyphens/>
        <w:ind w:left="720"/>
        <w:rPr>
          <w:rFonts w:ascii="Times New Roman" w:hAnsi="Times New Roman" w:cs="Times New Roman"/>
          <w:sz w:val="22"/>
          <w:szCs w:val="22"/>
        </w:rPr>
      </w:pPr>
      <w:r w:rsidRPr="008B20A0">
        <w:rPr>
          <w:rFonts w:ascii="Times New Roman" w:hAnsi="Times New Roman" w:cs="Times New Roman"/>
          <w:sz w:val="22"/>
          <w:szCs w:val="22"/>
        </w:rPr>
        <w:t>(</w:t>
      </w:r>
      <w:r w:rsidR="008D1252" w:rsidRPr="008B20A0">
        <w:rPr>
          <w:rFonts w:ascii="Times New Roman" w:hAnsi="Times New Roman" w:cs="Times New Roman"/>
          <w:sz w:val="22"/>
          <w:szCs w:val="22"/>
        </w:rPr>
        <w:t>6</w:t>
      </w:r>
      <w:r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Service Model Naming Convention</w:t>
      </w:r>
      <w:r w:rsidRPr="008B20A0">
        <w:rPr>
          <w:rFonts w:ascii="Times New Roman" w:hAnsi="Times New Roman" w:cs="Times New Roman"/>
          <w:sz w:val="22"/>
          <w:szCs w:val="22"/>
        </w:rPr>
        <w:t>.  101 CMR 420.03(</w:t>
      </w:r>
      <w:r w:rsidR="006C2F2E" w:rsidRPr="008B20A0">
        <w:rPr>
          <w:rFonts w:ascii="Times New Roman" w:hAnsi="Times New Roman" w:cs="Times New Roman"/>
          <w:sz w:val="22"/>
          <w:szCs w:val="22"/>
        </w:rPr>
        <w:t>6</w:t>
      </w:r>
      <w:r w:rsidRPr="008B20A0">
        <w:rPr>
          <w:rFonts w:ascii="Times New Roman" w:hAnsi="Times New Roman" w:cs="Times New Roman"/>
          <w:sz w:val="22"/>
          <w:szCs w:val="22"/>
        </w:rPr>
        <w:t xml:space="preserve">)(a) </w:t>
      </w:r>
      <w:r w:rsidR="008C2CEB" w:rsidRPr="008B20A0">
        <w:rPr>
          <w:rFonts w:ascii="Times New Roman" w:hAnsi="Times New Roman" w:cs="Times New Roman"/>
          <w:sz w:val="22"/>
          <w:szCs w:val="22"/>
        </w:rPr>
        <w:t>and</w:t>
      </w:r>
      <w:r w:rsidRPr="008B20A0">
        <w:rPr>
          <w:rFonts w:ascii="Times New Roman" w:hAnsi="Times New Roman" w:cs="Times New Roman"/>
          <w:sz w:val="22"/>
          <w:szCs w:val="22"/>
        </w:rPr>
        <w:t xml:space="preserve"> (</w:t>
      </w:r>
      <w:r w:rsidR="00AC4579" w:rsidRPr="008B20A0">
        <w:rPr>
          <w:rFonts w:ascii="Times New Roman" w:hAnsi="Times New Roman" w:cs="Times New Roman"/>
          <w:sz w:val="22"/>
          <w:szCs w:val="22"/>
        </w:rPr>
        <w:t>b</w:t>
      </w:r>
      <w:r w:rsidRPr="008B20A0">
        <w:rPr>
          <w:rFonts w:ascii="Times New Roman" w:hAnsi="Times New Roman" w:cs="Times New Roman"/>
          <w:sz w:val="22"/>
          <w:szCs w:val="22"/>
        </w:rPr>
        <w:t xml:space="preserve">) describe the naming convention for the service models as listed in the rate tables. </w:t>
      </w:r>
    </w:p>
    <w:p w14:paraId="2B3E7AB2" w14:textId="544D5209" w:rsidR="00AA4578" w:rsidRPr="008B20A0" w:rsidRDefault="00AA4578" w:rsidP="00AA4578">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(a)  </w:t>
      </w:r>
      <w:r w:rsidRPr="008B20A0">
        <w:rPr>
          <w:rFonts w:ascii="Times New Roman" w:hAnsi="Times New Roman" w:cs="Times New Roman"/>
          <w:sz w:val="22"/>
          <w:szCs w:val="22"/>
          <w:u w:val="single"/>
        </w:rPr>
        <w:t>Basic and Intermediate</w:t>
      </w:r>
      <w:r w:rsidRPr="008B20A0">
        <w:rPr>
          <w:rFonts w:ascii="Times New Roman" w:hAnsi="Times New Roman" w:cs="Times New Roman"/>
          <w:sz w:val="22"/>
          <w:szCs w:val="22"/>
        </w:rPr>
        <w:t xml:space="preserve">.  The name of each service model rate consists of </w:t>
      </w:r>
      <w:r w:rsidR="00AC4579" w:rsidRPr="008B20A0">
        <w:rPr>
          <w:rFonts w:ascii="Times New Roman" w:hAnsi="Times New Roman" w:cs="Times New Roman"/>
          <w:sz w:val="22"/>
          <w:szCs w:val="22"/>
        </w:rPr>
        <w:t>six</w:t>
      </w:r>
      <w:r w:rsidRPr="008B20A0">
        <w:rPr>
          <w:rFonts w:ascii="Times New Roman" w:hAnsi="Times New Roman" w:cs="Times New Roman"/>
          <w:sz w:val="22"/>
          <w:szCs w:val="22"/>
        </w:rPr>
        <w:t xml:space="preserve"> characters. The first character represents the category of the service tier, “B” for </w:t>
      </w:r>
      <w:r w:rsidR="00307832" w:rsidRPr="008B20A0">
        <w:rPr>
          <w:rFonts w:ascii="Times New Roman" w:hAnsi="Times New Roman" w:cs="Times New Roman"/>
          <w:sz w:val="22"/>
          <w:szCs w:val="22"/>
        </w:rPr>
        <w:t>b</w:t>
      </w:r>
      <w:r w:rsidRPr="008B20A0">
        <w:rPr>
          <w:rFonts w:ascii="Times New Roman" w:hAnsi="Times New Roman" w:cs="Times New Roman"/>
          <w:sz w:val="22"/>
          <w:szCs w:val="22"/>
        </w:rPr>
        <w:t xml:space="preserve">asic, and “I” for </w:t>
      </w:r>
      <w:r w:rsidR="00307832" w:rsidRPr="008B20A0">
        <w:rPr>
          <w:rFonts w:ascii="Times New Roman" w:hAnsi="Times New Roman" w:cs="Times New Roman"/>
          <w:sz w:val="22"/>
          <w:szCs w:val="22"/>
        </w:rPr>
        <w:t>i</w:t>
      </w:r>
      <w:r w:rsidRPr="008B20A0">
        <w:rPr>
          <w:rFonts w:ascii="Times New Roman" w:hAnsi="Times New Roman" w:cs="Times New Roman"/>
          <w:sz w:val="22"/>
          <w:szCs w:val="22"/>
        </w:rPr>
        <w:t>ntermediate. The second through f</w:t>
      </w:r>
      <w:r w:rsidR="00AC4579" w:rsidRPr="008B20A0">
        <w:rPr>
          <w:rFonts w:ascii="Times New Roman" w:hAnsi="Times New Roman" w:cs="Times New Roman"/>
          <w:sz w:val="22"/>
          <w:szCs w:val="22"/>
        </w:rPr>
        <w:t>ifth</w:t>
      </w:r>
      <w:r w:rsidRPr="008B20A0">
        <w:rPr>
          <w:rFonts w:ascii="Times New Roman" w:hAnsi="Times New Roman" w:cs="Times New Roman"/>
          <w:sz w:val="22"/>
          <w:szCs w:val="22"/>
        </w:rPr>
        <w:t xml:space="preserve"> characters describe the number of direct care FTEs associated with the model. The </w:t>
      </w:r>
      <w:r w:rsidR="00AC4579" w:rsidRPr="008B20A0">
        <w:rPr>
          <w:rFonts w:ascii="Times New Roman" w:hAnsi="Times New Roman" w:cs="Times New Roman"/>
          <w:sz w:val="22"/>
          <w:szCs w:val="22"/>
        </w:rPr>
        <w:t>sixth</w:t>
      </w:r>
      <w:r w:rsidRPr="008B20A0">
        <w:rPr>
          <w:rFonts w:ascii="Times New Roman" w:hAnsi="Times New Roman" w:cs="Times New Roman"/>
          <w:sz w:val="22"/>
          <w:szCs w:val="22"/>
        </w:rPr>
        <w:t xml:space="preserve"> character represents the capacity range for the model. Capacity 1 models are represented with “A</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capacity 2-3 models are represented with “B</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and capacity 4+ models are represented with “C</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xml:space="preserve">” Example:  I06.5B describes an </w:t>
      </w:r>
      <w:r w:rsidR="00307832" w:rsidRPr="008B20A0">
        <w:rPr>
          <w:rFonts w:ascii="Times New Roman" w:hAnsi="Times New Roman" w:cs="Times New Roman"/>
          <w:sz w:val="22"/>
          <w:szCs w:val="22"/>
        </w:rPr>
        <w:t>i</w:t>
      </w:r>
      <w:r w:rsidRPr="008B20A0">
        <w:rPr>
          <w:rFonts w:ascii="Times New Roman" w:hAnsi="Times New Roman" w:cs="Times New Roman"/>
          <w:sz w:val="22"/>
          <w:szCs w:val="22"/>
        </w:rPr>
        <w:t>ntermediate, 6.5 FTE program with capacity of 2 or 3.</w:t>
      </w:r>
    </w:p>
    <w:p w14:paraId="16F5C446" w14:textId="652FA858" w:rsidR="00AA4578" w:rsidRPr="008B20A0" w:rsidRDefault="00AA4578" w:rsidP="006171EF">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(b)  </w:t>
      </w:r>
      <w:r w:rsidRPr="008B20A0">
        <w:rPr>
          <w:rFonts w:ascii="Times New Roman" w:hAnsi="Times New Roman" w:cs="Times New Roman"/>
          <w:sz w:val="22"/>
          <w:szCs w:val="22"/>
          <w:u w:val="single"/>
        </w:rPr>
        <w:t>Medical/Clinical</w:t>
      </w:r>
      <w:r w:rsidRPr="008B20A0">
        <w:rPr>
          <w:rFonts w:ascii="Times New Roman" w:hAnsi="Times New Roman" w:cs="Times New Roman"/>
          <w:sz w:val="22"/>
          <w:szCs w:val="22"/>
        </w:rPr>
        <w:t xml:space="preserve">. </w:t>
      </w:r>
      <w:r w:rsidR="00BC2367">
        <w:rPr>
          <w:rFonts w:ascii="Times New Roman" w:hAnsi="Times New Roman" w:cs="Times New Roman"/>
          <w:sz w:val="22"/>
          <w:szCs w:val="22"/>
        </w:rPr>
        <w:t xml:space="preserve"> </w:t>
      </w:r>
      <w:r w:rsidRPr="008B20A0">
        <w:rPr>
          <w:rFonts w:ascii="Times New Roman" w:hAnsi="Times New Roman" w:cs="Times New Roman"/>
          <w:sz w:val="22"/>
          <w:szCs w:val="22"/>
        </w:rPr>
        <w:t>The name of each medical/clinical service model rate consists of s</w:t>
      </w:r>
      <w:r w:rsidR="00AC4579" w:rsidRPr="008B20A0">
        <w:rPr>
          <w:rFonts w:ascii="Times New Roman" w:hAnsi="Times New Roman" w:cs="Times New Roman"/>
          <w:sz w:val="22"/>
          <w:szCs w:val="22"/>
        </w:rPr>
        <w:t>even</w:t>
      </w:r>
      <w:r w:rsidRPr="008B20A0">
        <w:rPr>
          <w:rFonts w:ascii="Times New Roman" w:hAnsi="Times New Roman" w:cs="Times New Roman"/>
          <w:sz w:val="22"/>
          <w:szCs w:val="22"/>
        </w:rPr>
        <w:t xml:space="preserve"> characters. The first character, “M</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represents the medical/clinical service tier. The second through f</w:t>
      </w:r>
      <w:r w:rsidR="00AC4579" w:rsidRPr="008B20A0">
        <w:rPr>
          <w:rFonts w:ascii="Times New Roman" w:hAnsi="Times New Roman" w:cs="Times New Roman"/>
          <w:sz w:val="22"/>
          <w:szCs w:val="22"/>
        </w:rPr>
        <w:t>ifth</w:t>
      </w:r>
      <w:r w:rsidRPr="008B20A0">
        <w:rPr>
          <w:rFonts w:ascii="Times New Roman" w:hAnsi="Times New Roman" w:cs="Times New Roman"/>
          <w:sz w:val="22"/>
          <w:szCs w:val="22"/>
        </w:rPr>
        <w:t xml:space="preserve"> characters describe the number of direct care FTEs associated with the model. The </w:t>
      </w:r>
      <w:r w:rsidR="00AC4579" w:rsidRPr="008B20A0">
        <w:rPr>
          <w:rFonts w:ascii="Times New Roman" w:hAnsi="Times New Roman" w:cs="Times New Roman"/>
          <w:sz w:val="22"/>
          <w:szCs w:val="22"/>
        </w:rPr>
        <w:t>sixth</w:t>
      </w:r>
      <w:r w:rsidRPr="008B20A0">
        <w:rPr>
          <w:rFonts w:ascii="Times New Roman" w:hAnsi="Times New Roman" w:cs="Times New Roman"/>
          <w:sz w:val="22"/>
          <w:szCs w:val="22"/>
        </w:rPr>
        <w:t xml:space="preserve"> character represents the capacity range for the model. Capacity 1 models are represented with “A</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capacity 2-3 models are represented with “B</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and capacity 4+ models are represented with “C</w:t>
      </w:r>
      <w:r w:rsidR="00D3346A" w:rsidRPr="008B20A0">
        <w:rPr>
          <w:rFonts w:ascii="Times New Roman" w:hAnsi="Times New Roman" w:cs="Times New Roman"/>
          <w:sz w:val="22"/>
          <w:szCs w:val="22"/>
        </w:rPr>
        <w:t>.</w:t>
      </w:r>
      <w:r w:rsidRPr="008B20A0">
        <w:rPr>
          <w:rFonts w:ascii="Times New Roman" w:hAnsi="Times New Roman" w:cs="Times New Roman"/>
          <w:sz w:val="22"/>
          <w:szCs w:val="22"/>
        </w:rPr>
        <w:t xml:space="preserve">”  The </w:t>
      </w:r>
      <w:r w:rsidR="00AC4579" w:rsidRPr="008B20A0">
        <w:rPr>
          <w:rFonts w:ascii="Times New Roman" w:hAnsi="Times New Roman" w:cs="Times New Roman"/>
          <w:sz w:val="22"/>
          <w:szCs w:val="22"/>
        </w:rPr>
        <w:t>seventh</w:t>
      </w:r>
      <w:r w:rsidRPr="008B20A0">
        <w:rPr>
          <w:rFonts w:ascii="Times New Roman" w:hAnsi="Times New Roman" w:cs="Times New Roman"/>
          <w:sz w:val="22"/>
          <w:szCs w:val="22"/>
        </w:rPr>
        <w:t xml:space="preserve"> character represents the level of incremental resources contained in the medical/clinical service model. Example:  M10.5C2 represents a </w:t>
      </w:r>
      <w:r w:rsidR="00307832" w:rsidRPr="008B20A0">
        <w:rPr>
          <w:rFonts w:ascii="Times New Roman" w:hAnsi="Times New Roman" w:cs="Times New Roman"/>
          <w:sz w:val="22"/>
          <w:szCs w:val="22"/>
        </w:rPr>
        <w:t>m</w:t>
      </w:r>
      <w:r w:rsidRPr="008B20A0">
        <w:rPr>
          <w:rFonts w:ascii="Times New Roman" w:hAnsi="Times New Roman" w:cs="Times New Roman"/>
          <w:sz w:val="22"/>
          <w:szCs w:val="22"/>
        </w:rPr>
        <w:t xml:space="preserve">edical level 2 program with 10.5 FTEs and a capacity of </w:t>
      </w:r>
      <w:r w:rsidR="00382AE5" w:rsidRPr="008B20A0">
        <w:rPr>
          <w:rFonts w:ascii="Times New Roman" w:hAnsi="Times New Roman" w:cs="Times New Roman"/>
          <w:sz w:val="22"/>
          <w:szCs w:val="22"/>
        </w:rPr>
        <w:t xml:space="preserve">four </w:t>
      </w:r>
      <w:r w:rsidRPr="008B20A0">
        <w:rPr>
          <w:rFonts w:ascii="Times New Roman" w:hAnsi="Times New Roman" w:cs="Times New Roman"/>
          <w:sz w:val="22"/>
          <w:szCs w:val="22"/>
        </w:rPr>
        <w:t xml:space="preserve">or more.  </w:t>
      </w:r>
    </w:p>
    <w:p w14:paraId="250DF996" w14:textId="77777777" w:rsidR="003875EB" w:rsidRPr="008B20A0" w:rsidRDefault="003875EB" w:rsidP="003875EB">
      <w:pPr>
        <w:suppressAutoHyphens/>
        <w:ind w:left="720"/>
        <w:rPr>
          <w:rFonts w:ascii="Times New Roman" w:hAnsi="Times New Roman" w:cs="Times New Roman"/>
          <w:sz w:val="22"/>
          <w:szCs w:val="22"/>
        </w:rPr>
      </w:pPr>
    </w:p>
    <w:p w14:paraId="242CA358" w14:textId="1F47A1E5" w:rsidR="003875EB" w:rsidRPr="008B20A0" w:rsidRDefault="003875EB" w:rsidP="000A22A4">
      <w:pPr>
        <w:ind w:left="720"/>
        <w:rPr>
          <w:rFonts w:ascii="Times New Roman" w:hAnsi="Times New Roman" w:cs="Times New Roman"/>
          <w:sz w:val="22"/>
          <w:szCs w:val="22"/>
          <w:u w:val="single"/>
        </w:rPr>
      </w:pPr>
      <w:r w:rsidRPr="008B20A0">
        <w:rPr>
          <w:rFonts w:ascii="Times New Roman" w:hAnsi="Times New Roman" w:cs="Times New Roman"/>
          <w:sz w:val="22"/>
          <w:szCs w:val="22"/>
        </w:rPr>
        <w:t>(</w:t>
      </w:r>
      <w:r w:rsidR="008D1252" w:rsidRPr="008B20A0">
        <w:rPr>
          <w:rFonts w:ascii="Times New Roman" w:hAnsi="Times New Roman" w:cs="Times New Roman"/>
          <w:sz w:val="22"/>
          <w:szCs w:val="22"/>
        </w:rPr>
        <w:t>7</w:t>
      </w:r>
      <w:r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 xml:space="preserve">Programs Located </w:t>
      </w:r>
      <w:r w:rsidR="00B732F0" w:rsidRPr="008B20A0">
        <w:rPr>
          <w:rFonts w:ascii="Times New Roman" w:hAnsi="Times New Roman" w:cs="Times New Roman"/>
          <w:sz w:val="22"/>
          <w:szCs w:val="22"/>
          <w:u w:val="single"/>
        </w:rPr>
        <w:t>o</w:t>
      </w:r>
      <w:r w:rsidRPr="008B20A0">
        <w:rPr>
          <w:rFonts w:ascii="Times New Roman" w:hAnsi="Times New Roman" w:cs="Times New Roman"/>
          <w:sz w:val="22"/>
          <w:szCs w:val="22"/>
          <w:u w:val="single"/>
        </w:rPr>
        <w:t>utside the Commonwealth of Massachusetts</w:t>
      </w:r>
      <w:r w:rsidRPr="008B20A0">
        <w:rPr>
          <w:rFonts w:ascii="Times New Roman" w:hAnsi="Times New Roman" w:cs="Times New Roman"/>
          <w:sz w:val="22"/>
          <w:szCs w:val="22"/>
        </w:rPr>
        <w:t>.</w:t>
      </w:r>
      <w:r w:rsidRPr="008B20A0">
        <w:rPr>
          <w:rFonts w:ascii="Times New Roman" w:hAnsi="Times New Roman" w:cs="Times New Roman"/>
          <w:sz w:val="22"/>
          <w:szCs w:val="22"/>
          <w:u w:val="single"/>
        </w:rPr>
        <w:t xml:space="preserve"> </w:t>
      </w:r>
    </w:p>
    <w:p w14:paraId="5F83351E" w14:textId="77777777" w:rsidR="003875EB" w:rsidRPr="008B20A0" w:rsidRDefault="003875EB" w:rsidP="003875EB">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(a)  If an ALTR is located outside of the Commonwealth of Massachusetts in a state that has an established state rate or price setting mechanism the purchasing governmental unit will pay for the service using the rate established, authorized, or approved by the state in which the program is located, provided that the rate is the lowest charged by a provider for the </w:t>
      </w:r>
      <w:r w:rsidRPr="008B20A0">
        <w:rPr>
          <w:rFonts w:ascii="Times New Roman" w:hAnsi="Times New Roman" w:cs="Times New Roman"/>
          <w:sz w:val="22"/>
          <w:szCs w:val="22"/>
        </w:rPr>
        <w:lastRenderedPageBreak/>
        <w:t>program. If the requested rate is not the lowest charged by the provider for the program, the provider must identify and document the amount of the lowest rate charged, which will then be used by the purchasing governmental unit to pay for services. In order for the purchasing governmental unit to pay this rate, the following must be submitted to the purchasing governmental unit by the provider:</w:t>
      </w:r>
    </w:p>
    <w:p w14:paraId="4799AB0C" w14:textId="77777777" w:rsidR="003875EB" w:rsidRPr="008B20A0" w:rsidRDefault="003875EB" w:rsidP="003875EB">
      <w:pPr>
        <w:suppressAutoHyphens/>
        <w:ind w:left="1440"/>
        <w:rPr>
          <w:rFonts w:ascii="Times New Roman" w:hAnsi="Times New Roman" w:cs="Times New Roman"/>
          <w:sz w:val="22"/>
          <w:szCs w:val="22"/>
        </w:rPr>
      </w:pPr>
      <w:r w:rsidRPr="008B20A0">
        <w:rPr>
          <w:rFonts w:ascii="Times New Roman" w:hAnsi="Times New Roman" w:cs="Times New Roman"/>
          <w:sz w:val="22"/>
          <w:szCs w:val="22"/>
        </w:rPr>
        <w:t xml:space="preserve">1.  a certification from the provider that the rate requested to be authorized is the lowest charged by the provider for the program; and </w:t>
      </w:r>
    </w:p>
    <w:p w14:paraId="6D43BB75" w14:textId="77777777" w:rsidR="003875EB" w:rsidRPr="008B20A0" w:rsidRDefault="003875EB" w:rsidP="003875EB">
      <w:pPr>
        <w:suppressAutoHyphens/>
        <w:ind w:left="1440"/>
        <w:rPr>
          <w:rFonts w:ascii="Times New Roman" w:hAnsi="Times New Roman" w:cs="Times New Roman"/>
          <w:sz w:val="22"/>
          <w:szCs w:val="22"/>
        </w:rPr>
      </w:pPr>
      <w:r w:rsidRPr="008B20A0">
        <w:rPr>
          <w:rFonts w:ascii="Times New Roman" w:hAnsi="Times New Roman" w:cs="Times New Roman"/>
          <w:sz w:val="22"/>
          <w:szCs w:val="22"/>
        </w:rPr>
        <w:t xml:space="preserve">2.  a copy of the rate authorization or approval by the state in which the program is located, including the effective dates of the rate. </w:t>
      </w:r>
    </w:p>
    <w:p w14:paraId="2C2EAF43" w14:textId="06B3A5E0" w:rsidR="008D1252" w:rsidRPr="008B20A0" w:rsidRDefault="003875EB" w:rsidP="003875EB">
      <w:pPr>
        <w:suppressAutoHyphens/>
        <w:ind w:left="1080"/>
        <w:rPr>
          <w:rFonts w:ascii="Times New Roman" w:hAnsi="Times New Roman" w:cs="Times New Roman"/>
          <w:sz w:val="22"/>
          <w:szCs w:val="22"/>
        </w:rPr>
      </w:pPr>
      <w:r w:rsidRPr="008B20A0">
        <w:rPr>
          <w:rFonts w:ascii="Times New Roman" w:hAnsi="Times New Roman" w:cs="Times New Roman"/>
          <w:sz w:val="22"/>
          <w:szCs w:val="22"/>
        </w:rPr>
        <w:t>(b)  If an ALTR service is located outside the Commonwealth of Massachusetts in a state where there is no established state rate or price setting mechanism, the purchasing governmental unit will pay for the service using the rates set forth in 101</w:t>
      </w:r>
      <w:r w:rsidR="00307832" w:rsidRPr="008B20A0">
        <w:rPr>
          <w:rFonts w:ascii="Times New Roman" w:hAnsi="Times New Roman" w:cs="Times New Roman"/>
          <w:sz w:val="22"/>
          <w:szCs w:val="22"/>
        </w:rPr>
        <w:t xml:space="preserve"> </w:t>
      </w:r>
      <w:r w:rsidRPr="008B20A0">
        <w:rPr>
          <w:rFonts w:ascii="Times New Roman" w:hAnsi="Times New Roman" w:cs="Times New Roman"/>
          <w:sz w:val="22"/>
          <w:szCs w:val="22"/>
        </w:rPr>
        <w:t>CMR 420.03(</w:t>
      </w:r>
      <w:r w:rsidR="008D1252" w:rsidRPr="008B20A0">
        <w:rPr>
          <w:rFonts w:ascii="Times New Roman" w:hAnsi="Times New Roman" w:cs="Times New Roman"/>
          <w:sz w:val="22"/>
          <w:szCs w:val="22"/>
        </w:rPr>
        <w:t>8</w:t>
      </w:r>
      <w:r w:rsidRPr="008B20A0">
        <w:rPr>
          <w:rFonts w:ascii="Times New Roman" w:hAnsi="Times New Roman" w:cs="Times New Roman"/>
          <w:sz w:val="22"/>
          <w:szCs w:val="22"/>
        </w:rPr>
        <w:t xml:space="preserve">).   </w:t>
      </w:r>
    </w:p>
    <w:p w14:paraId="5A7B5803" w14:textId="1606716A" w:rsidR="003875EB" w:rsidRPr="008B20A0" w:rsidRDefault="003875EB" w:rsidP="003875EB">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 </w:t>
      </w:r>
    </w:p>
    <w:p w14:paraId="2AD8333D" w14:textId="5581F9EE" w:rsidR="003875EB" w:rsidRPr="008B20A0" w:rsidRDefault="003875EB" w:rsidP="003875EB">
      <w:pPr>
        <w:suppressAutoHyphens/>
        <w:ind w:left="720"/>
        <w:rPr>
          <w:rFonts w:ascii="Times New Roman" w:hAnsi="Times New Roman" w:cs="Times New Roman"/>
          <w:sz w:val="22"/>
          <w:szCs w:val="22"/>
        </w:rPr>
      </w:pPr>
      <w:r w:rsidRPr="008B20A0">
        <w:rPr>
          <w:rFonts w:ascii="Times New Roman" w:hAnsi="Times New Roman" w:cs="Times New Roman"/>
          <w:sz w:val="22"/>
          <w:szCs w:val="22"/>
        </w:rPr>
        <w:t>(</w:t>
      </w:r>
      <w:r w:rsidR="008D1252" w:rsidRPr="008B20A0">
        <w:rPr>
          <w:rFonts w:ascii="Times New Roman" w:hAnsi="Times New Roman" w:cs="Times New Roman"/>
          <w:sz w:val="22"/>
          <w:szCs w:val="22"/>
        </w:rPr>
        <w:t>8</w:t>
      </w:r>
      <w:r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Approved Rates</w:t>
      </w:r>
      <w:r w:rsidRPr="008B20A0">
        <w:rPr>
          <w:rFonts w:ascii="Times New Roman" w:hAnsi="Times New Roman" w:cs="Times New Roman"/>
          <w:sz w:val="22"/>
          <w:szCs w:val="22"/>
        </w:rPr>
        <w:t>.  The rates set forth in 101 CMR 420.03(</w:t>
      </w:r>
      <w:r w:rsidR="006C2F2E" w:rsidRPr="008B20A0">
        <w:rPr>
          <w:rFonts w:ascii="Times New Roman" w:hAnsi="Times New Roman" w:cs="Times New Roman"/>
          <w:sz w:val="22"/>
          <w:szCs w:val="22"/>
        </w:rPr>
        <w:t>8</w:t>
      </w:r>
      <w:r w:rsidRPr="008B20A0">
        <w:rPr>
          <w:rFonts w:ascii="Times New Roman" w:hAnsi="Times New Roman" w:cs="Times New Roman"/>
          <w:sz w:val="22"/>
          <w:szCs w:val="22"/>
        </w:rPr>
        <w:t xml:space="preserve">) govern the payment rates for services purchased by a governmental unit. The approved rate will be the lower of the provider’s charge or amount accepted as payment from another payer or the rate listed. </w:t>
      </w:r>
    </w:p>
    <w:p w14:paraId="3CF345FF" w14:textId="33CA6DF0" w:rsidR="00E47C68" w:rsidRPr="008B20A0" w:rsidRDefault="00307832" w:rsidP="003875EB">
      <w:pPr>
        <w:tabs>
          <w:tab w:val="left" w:pos="5250"/>
        </w:tabs>
        <w:ind w:left="1440"/>
        <w:rPr>
          <w:rFonts w:ascii="Times New Roman" w:hAnsi="Times New Roman" w:cs="Times New Roman"/>
          <w:spacing w:val="-3"/>
          <w:sz w:val="22"/>
          <w:szCs w:val="22"/>
        </w:rPr>
      </w:pPr>
      <w:r w:rsidRPr="008B20A0">
        <w:rPr>
          <w:rFonts w:ascii="Times New Roman" w:hAnsi="Times New Roman" w:cs="Times New Roman"/>
          <w:sz w:val="22"/>
          <w:szCs w:val="22"/>
        </w:rPr>
        <w:t>(</w:t>
      </w:r>
      <w:r w:rsidR="00C60B1F" w:rsidRPr="008B20A0">
        <w:rPr>
          <w:rFonts w:ascii="Times New Roman" w:hAnsi="Times New Roman" w:cs="Times New Roman"/>
          <w:sz w:val="22"/>
          <w:szCs w:val="22"/>
        </w:rPr>
        <w:t xml:space="preserve">a)  </w:t>
      </w:r>
      <w:r w:rsidR="00C60B1F" w:rsidRPr="008B20A0">
        <w:rPr>
          <w:rFonts w:ascii="Times New Roman" w:hAnsi="Times New Roman" w:cs="Times New Roman"/>
          <w:i/>
          <w:sz w:val="22"/>
          <w:szCs w:val="22"/>
          <w:u w:val="single"/>
        </w:rPr>
        <w:t>Per Diem</w:t>
      </w:r>
      <w:r w:rsidR="00C60B1F" w:rsidRPr="008B20A0">
        <w:rPr>
          <w:rFonts w:ascii="Times New Roman" w:hAnsi="Times New Roman" w:cs="Times New Roman"/>
          <w:sz w:val="22"/>
          <w:szCs w:val="22"/>
          <w:u w:val="single"/>
        </w:rPr>
        <w:t xml:space="preserve"> Service Model</w:t>
      </w:r>
      <w:r w:rsidR="006C2F2E" w:rsidRPr="008B20A0">
        <w:rPr>
          <w:rFonts w:ascii="Times New Roman" w:hAnsi="Times New Roman" w:cs="Times New Roman"/>
          <w:sz w:val="22"/>
          <w:szCs w:val="22"/>
          <w:u w:val="single"/>
        </w:rPr>
        <w:t xml:space="preserve"> Program Rates</w:t>
      </w:r>
      <w:r w:rsidR="004F5D9E" w:rsidRPr="008B20A0">
        <w:rPr>
          <w:rFonts w:ascii="Times New Roman" w:hAnsi="Times New Roman" w:cs="Times New Roman"/>
          <w:sz w:val="22"/>
          <w:szCs w:val="22"/>
        </w:rPr>
        <w:t>.</w:t>
      </w:r>
      <w:r w:rsidR="00C60B1F" w:rsidRPr="008B20A0">
        <w:rPr>
          <w:rFonts w:ascii="Times New Roman" w:hAnsi="Times New Roman" w:cs="Times New Roman"/>
          <w:spacing w:val="-3"/>
          <w:sz w:val="22"/>
          <w:szCs w:val="22"/>
        </w:rPr>
        <w:tab/>
      </w:r>
    </w:p>
    <w:p w14:paraId="77E86707" w14:textId="77777777" w:rsidR="00092279" w:rsidRPr="008B20A0" w:rsidRDefault="00092279" w:rsidP="003875EB">
      <w:pPr>
        <w:tabs>
          <w:tab w:val="left" w:pos="5250"/>
        </w:tabs>
        <w:ind w:left="1440"/>
        <w:rPr>
          <w:rFonts w:ascii="Times New Roman" w:hAnsi="Times New Roman" w:cs="Times New Roman"/>
          <w:sz w:val="22"/>
          <w:szCs w:val="22"/>
        </w:rPr>
      </w:pPr>
    </w:p>
    <w:tbl>
      <w:tblPr>
        <w:tblpPr w:leftFromText="180" w:rightFromText="180" w:vertAnchor="text" w:tblpX="1638" w:tblpY="1"/>
        <w:tblOverlap w:val="never"/>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90"/>
        <w:gridCol w:w="2250"/>
      </w:tblGrid>
      <w:tr w:rsidR="00AF493E" w:rsidRPr="008B20A0" w14:paraId="7DE83B6B" w14:textId="77777777" w:rsidTr="008B734F">
        <w:trPr>
          <w:trHeight w:val="300"/>
        </w:trPr>
        <w:tc>
          <w:tcPr>
            <w:tcW w:w="5508" w:type="dxa"/>
            <w:gridSpan w:val="3"/>
            <w:shd w:val="clear" w:color="auto" w:fill="auto"/>
            <w:noWrap/>
            <w:vAlign w:val="center"/>
            <w:hideMark/>
          </w:tcPr>
          <w:p w14:paraId="78D77D20" w14:textId="0A411158" w:rsidR="00AF493E" w:rsidRPr="008B20A0" w:rsidRDefault="00AF493E" w:rsidP="00AF493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1 Capacity Site</w:t>
            </w:r>
          </w:p>
        </w:tc>
      </w:tr>
      <w:tr w:rsidR="00862EC6" w:rsidRPr="008B20A0" w14:paraId="75857E57" w14:textId="77777777" w:rsidTr="006F167E">
        <w:trPr>
          <w:trHeight w:val="288"/>
        </w:trPr>
        <w:tc>
          <w:tcPr>
            <w:tcW w:w="1368" w:type="dxa"/>
            <w:shd w:val="clear" w:color="auto" w:fill="auto"/>
            <w:vAlign w:val="center"/>
            <w:hideMark/>
          </w:tcPr>
          <w:p w14:paraId="513C6F62" w14:textId="79677F69" w:rsidR="009F2C14" w:rsidRPr="008B20A0" w:rsidRDefault="00AF493E" w:rsidP="006F167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FTE</w:t>
            </w:r>
          </w:p>
        </w:tc>
        <w:tc>
          <w:tcPr>
            <w:tcW w:w="1890" w:type="dxa"/>
            <w:shd w:val="clear" w:color="auto" w:fill="auto"/>
            <w:vAlign w:val="center"/>
            <w:hideMark/>
          </w:tcPr>
          <w:p w14:paraId="1689D1A7" w14:textId="5C7ADC88" w:rsidR="009F2C14" w:rsidRPr="008B20A0" w:rsidRDefault="009F2C14"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Basic</w:t>
            </w:r>
            <w:r w:rsidR="00862EC6" w:rsidRPr="008B20A0">
              <w:rPr>
                <w:rFonts w:ascii="Times New Roman" w:eastAsia="Times New Roman" w:hAnsi="Times New Roman" w:cs="Times New Roman"/>
                <w:b/>
                <w:bCs/>
                <w:color w:val="000000"/>
                <w:sz w:val="22"/>
                <w:szCs w:val="22"/>
              </w:rPr>
              <w:t xml:space="preserve"> </w:t>
            </w:r>
            <w:r w:rsidRPr="008B20A0">
              <w:rPr>
                <w:rFonts w:ascii="Times New Roman" w:eastAsia="Times New Roman" w:hAnsi="Times New Roman" w:cs="Times New Roman"/>
                <w:b/>
                <w:bCs/>
                <w:color w:val="000000"/>
                <w:sz w:val="22"/>
                <w:szCs w:val="22"/>
              </w:rPr>
              <w:t>Level</w:t>
            </w:r>
          </w:p>
        </w:tc>
        <w:tc>
          <w:tcPr>
            <w:tcW w:w="2250" w:type="dxa"/>
            <w:shd w:val="clear" w:color="auto" w:fill="auto"/>
            <w:vAlign w:val="center"/>
            <w:hideMark/>
          </w:tcPr>
          <w:p w14:paraId="403CBF59" w14:textId="706B3002" w:rsidR="009F2C14" w:rsidRPr="008B20A0" w:rsidRDefault="009F2C14"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Intermediate</w:t>
            </w:r>
            <w:r w:rsidR="00862EC6" w:rsidRPr="008B20A0">
              <w:rPr>
                <w:rFonts w:ascii="Times New Roman" w:eastAsia="Times New Roman" w:hAnsi="Times New Roman" w:cs="Times New Roman"/>
                <w:b/>
                <w:bCs/>
                <w:color w:val="000000"/>
                <w:sz w:val="22"/>
                <w:szCs w:val="22"/>
              </w:rPr>
              <w:t xml:space="preserve"> </w:t>
            </w:r>
            <w:r w:rsidRPr="008B20A0">
              <w:rPr>
                <w:rFonts w:ascii="Times New Roman" w:eastAsia="Times New Roman" w:hAnsi="Times New Roman" w:cs="Times New Roman"/>
                <w:b/>
                <w:bCs/>
                <w:color w:val="000000"/>
                <w:sz w:val="22"/>
                <w:szCs w:val="22"/>
              </w:rPr>
              <w:t>Level</w:t>
            </w:r>
          </w:p>
        </w:tc>
      </w:tr>
      <w:tr w:rsidR="00044B94" w:rsidRPr="008B20A0" w14:paraId="396E490A" w14:textId="77777777" w:rsidTr="000A22A4">
        <w:trPr>
          <w:trHeight w:val="288"/>
        </w:trPr>
        <w:tc>
          <w:tcPr>
            <w:tcW w:w="1368" w:type="dxa"/>
            <w:shd w:val="clear" w:color="auto" w:fill="auto"/>
            <w:vAlign w:val="bottom"/>
            <w:hideMark/>
          </w:tcPr>
          <w:p w14:paraId="1D4CB49C" w14:textId="44399DC6"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3</w:t>
            </w:r>
          </w:p>
        </w:tc>
        <w:tc>
          <w:tcPr>
            <w:tcW w:w="1890" w:type="dxa"/>
            <w:shd w:val="clear" w:color="auto" w:fill="auto"/>
            <w:noWrap/>
            <w:hideMark/>
          </w:tcPr>
          <w:p w14:paraId="22B998D2" w14:textId="7166A0D3"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$767.36 </w:t>
            </w:r>
          </w:p>
        </w:tc>
        <w:tc>
          <w:tcPr>
            <w:tcW w:w="2250" w:type="dxa"/>
            <w:shd w:val="clear" w:color="auto" w:fill="auto"/>
            <w:noWrap/>
            <w:hideMark/>
          </w:tcPr>
          <w:p w14:paraId="45286317" w14:textId="0934AE13"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$775.51 </w:t>
            </w:r>
          </w:p>
        </w:tc>
      </w:tr>
      <w:tr w:rsidR="00044B94" w:rsidRPr="008B20A0" w14:paraId="14A3E74E" w14:textId="77777777" w:rsidTr="000A22A4">
        <w:trPr>
          <w:trHeight w:val="288"/>
        </w:trPr>
        <w:tc>
          <w:tcPr>
            <w:tcW w:w="1368" w:type="dxa"/>
            <w:shd w:val="clear" w:color="auto" w:fill="auto"/>
            <w:vAlign w:val="bottom"/>
            <w:hideMark/>
          </w:tcPr>
          <w:p w14:paraId="56F4DCBF" w14:textId="4506C646"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3.5</w:t>
            </w:r>
          </w:p>
        </w:tc>
        <w:tc>
          <w:tcPr>
            <w:tcW w:w="1890" w:type="dxa"/>
            <w:shd w:val="clear" w:color="auto" w:fill="auto"/>
            <w:noWrap/>
            <w:hideMark/>
          </w:tcPr>
          <w:p w14:paraId="0AC57C9B" w14:textId="57514A59" w:rsidR="00044B94" w:rsidRPr="008B20A0" w:rsidRDefault="00694C3B" w:rsidP="00044B94">
            <w:pP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w:t>
            </w:r>
          </w:p>
        </w:tc>
        <w:tc>
          <w:tcPr>
            <w:tcW w:w="2250" w:type="dxa"/>
            <w:shd w:val="clear" w:color="auto" w:fill="auto"/>
            <w:noWrap/>
            <w:hideMark/>
          </w:tcPr>
          <w:p w14:paraId="554A0B64" w14:textId="649E1A09"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$879.82 </w:t>
            </w:r>
          </w:p>
        </w:tc>
      </w:tr>
      <w:tr w:rsidR="00044B94" w:rsidRPr="008B20A0" w14:paraId="6BC81AF8" w14:textId="77777777" w:rsidTr="000A22A4">
        <w:trPr>
          <w:trHeight w:val="288"/>
        </w:trPr>
        <w:tc>
          <w:tcPr>
            <w:tcW w:w="1368" w:type="dxa"/>
            <w:shd w:val="clear" w:color="auto" w:fill="auto"/>
            <w:vAlign w:val="bottom"/>
            <w:hideMark/>
          </w:tcPr>
          <w:p w14:paraId="6EED44FE" w14:textId="2F10BBF1"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4</w:t>
            </w:r>
          </w:p>
        </w:tc>
        <w:tc>
          <w:tcPr>
            <w:tcW w:w="1890" w:type="dxa"/>
            <w:shd w:val="clear" w:color="auto" w:fill="auto"/>
            <w:noWrap/>
            <w:hideMark/>
          </w:tcPr>
          <w:p w14:paraId="1F7CC42E" w14:textId="12292E5E" w:rsidR="00044B94" w:rsidRPr="008B20A0" w:rsidRDefault="00694C3B" w:rsidP="00044B94">
            <w:pP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w:t>
            </w:r>
            <w:r w:rsidR="00044B94" w:rsidRPr="006F167E">
              <w:rPr>
                <w:rFonts w:ascii="Times New Roman" w:hAnsi="Times New Roman" w:cs="Times New Roman"/>
                <w:sz w:val="22"/>
                <w:szCs w:val="22"/>
              </w:rPr>
              <w:t xml:space="preserve"> </w:t>
            </w:r>
          </w:p>
        </w:tc>
        <w:tc>
          <w:tcPr>
            <w:tcW w:w="2250" w:type="dxa"/>
            <w:shd w:val="clear" w:color="auto" w:fill="auto"/>
            <w:noWrap/>
            <w:hideMark/>
          </w:tcPr>
          <w:p w14:paraId="107ECE96" w14:textId="50E488EA"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$984.13 </w:t>
            </w:r>
          </w:p>
        </w:tc>
      </w:tr>
      <w:tr w:rsidR="00044B94" w:rsidRPr="008B20A0" w14:paraId="3463E436" w14:textId="77777777" w:rsidTr="000A22A4">
        <w:trPr>
          <w:trHeight w:val="288"/>
        </w:trPr>
        <w:tc>
          <w:tcPr>
            <w:tcW w:w="1368" w:type="dxa"/>
            <w:shd w:val="clear" w:color="auto" w:fill="auto"/>
            <w:vAlign w:val="bottom"/>
            <w:hideMark/>
          </w:tcPr>
          <w:p w14:paraId="76BF8B0F" w14:textId="6A655EC2"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4.5</w:t>
            </w:r>
          </w:p>
        </w:tc>
        <w:tc>
          <w:tcPr>
            <w:tcW w:w="1890" w:type="dxa"/>
            <w:shd w:val="clear" w:color="auto" w:fill="auto"/>
            <w:noWrap/>
            <w:hideMark/>
          </w:tcPr>
          <w:p w14:paraId="2D46BF1A" w14:textId="382F92DE" w:rsidR="00044B94" w:rsidRPr="008B20A0" w:rsidRDefault="00694C3B" w:rsidP="00044B94">
            <w:pP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w:t>
            </w:r>
            <w:r w:rsidR="00044B94" w:rsidRPr="006F167E">
              <w:rPr>
                <w:rFonts w:ascii="Times New Roman" w:hAnsi="Times New Roman" w:cs="Times New Roman"/>
                <w:sz w:val="22"/>
                <w:szCs w:val="22"/>
              </w:rPr>
              <w:t xml:space="preserve"> </w:t>
            </w:r>
          </w:p>
        </w:tc>
        <w:tc>
          <w:tcPr>
            <w:tcW w:w="2250" w:type="dxa"/>
            <w:shd w:val="clear" w:color="auto" w:fill="auto"/>
            <w:noWrap/>
            <w:hideMark/>
          </w:tcPr>
          <w:p w14:paraId="0E1E1DA4" w14:textId="14223215"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$1,088.44 </w:t>
            </w:r>
          </w:p>
        </w:tc>
      </w:tr>
      <w:tr w:rsidR="00044B94" w:rsidRPr="008B20A0" w14:paraId="5E4EDA21" w14:textId="77777777" w:rsidTr="000A22A4">
        <w:trPr>
          <w:trHeight w:val="288"/>
        </w:trPr>
        <w:tc>
          <w:tcPr>
            <w:tcW w:w="1368" w:type="dxa"/>
            <w:shd w:val="clear" w:color="auto" w:fill="auto"/>
            <w:vAlign w:val="bottom"/>
            <w:hideMark/>
          </w:tcPr>
          <w:p w14:paraId="7736B7F7" w14:textId="26029206"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5</w:t>
            </w:r>
          </w:p>
        </w:tc>
        <w:tc>
          <w:tcPr>
            <w:tcW w:w="1890" w:type="dxa"/>
            <w:shd w:val="clear" w:color="auto" w:fill="auto"/>
            <w:noWrap/>
            <w:hideMark/>
          </w:tcPr>
          <w:p w14:paraId="093C8275" w14:textId="4BA8C812" w:rsidR="00044B94" w:rsidRPr="008B20A0" w:rsidRDefault="00694C3B" w:rsidP="00044B94">
            <w:pP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w:t>
            </w:r>
            <w:r w:rsidR="00044B94" w:rsidRPr="006F167E">
              <w:rPr>
                <w:rFonts w:ascii="Times New Roman" w:hAnsi="Times New Roman" w:cs="Times New Roman"/>
                <w:sz w:val="22"/>
                <w:szCs w:val="22"/>
              </w:rPr>
              <w:t xml:space="preserve">   </w:t>
            </w:r>
          </w:p>
        </w:tc>
        <w:tc>
          <w:tcPr>
            <w:tcW w:w="2250" w:type="dxa"/>
            <w:shd w:val="clear" w:color="auto" w:fill="auto"/>
            <w:noWrap/>
            <w:hideMark/>
          </w:tcPr>
          <w:p w14:paraId="71658291" w14:textId="251036DA"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$1,192.75 </w:t>
            </w:r>
          </w:p>
        </w:tc>
      </w:tr>
      <w:tr w:rsidR="00044B94" w:rsidRPr="008B20A0" w14:paraId="503D0B23" w14:textId="77777777" w:rsidTr="000A22A4">
        <w:trPr>
          <w:trHeight w:val="288"/>
        </w:trPr>
        <w:tc>
          <w:tcPr>
            <w:tcW w:w="1368" w:type="dxa"/>
            <w:shd w:val="clear" w:color="auto" w:fill="auto"/>
            <w:vAlign w:val="bottom"/>
            <w:hideMark/>
          </w:tcPr>
          <w:p w14:paraId="1212FBBC" w14:textId="7A151AA4"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5.5</w:t>
            </w:r>
          </w:p>
        </w:tc>
        <w:tc>
          <w:tcPr>
            <w:tcW w:w="1890" w:type="dxa"/>
            <w:shd w:val="clear" w:color="auto" w:fill="auto"/>
            <w:noWrap/>
            <w:hideMark/>
          </w:tcPr>
          <w:p w14:paraId="7D50034E" w14:textId="5D336056" w:rsidR="00044B94" w:rsidRPr="008B20A0" w:rsidRDefault="00694C3B" w:rsidP="00044B94">
            <w:pP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w:t>
            </w:r>
            <w:r w:rsidR="00044B94" w:rsidRPr="006F167E">
              <w:rPr>
                <w:rFonts w:ascii="Times New Roman" w:hAnsi="Times New Roman" w:cs="Times New Roman"/>
                <w:sz w:val="22"/>
                <w:szCs w:val="22"/>
              </w:rPr>
              <w:t xml:space="preserve">  </w:t>
            </w:r>
          </w:p>
        </w:tc>
        <w:tc>
          <w:tcPr>
            <w:tcW w:w="2250" w:type="dxa"/>
            <w:shd w:val="clear" w:color="auto" w:fill="auto"/>
            <w:noWrap/>
            <w:hideMark/>
          </w:tcPr>
          <w:p w14:paraId="019BC764" w14:textId="17039BCF"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$1,297.06 </w:t>
            </w:r>
          </w:p>
        </w:tc>
      </w:tr>
      <w:tr w:rsidR="00044B94" w:rsidRPr="008B20A0" w14:paraId="48D2A297" w14:textId="77777777" w:rsidTr="000A22A4">
        <w:trPr>
          <w:trHeight w:val="288"/>
        </w:trPr>
        <w:tc>
          <w:tcPr>
            <w:tcW w:w="1368" w:type="dxa"/>
            <w:shd w:val="clear" w:color="auto" w:fill="auto"/>
            <w:vAlign w:val="bottom"/>
            <w:hideMark/>
          </w:tcPr>
          <w:p w14:paraId="50E12651" w14:textId="5BA15B38"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6</w:t>
            </w:r>
          </w:p>
        </w:tc>
        <w:tc>
          <w:tcPr>
            <w:tcW w:w="1890" w:type="dxa"/>
            <w:shd w:val="clear" w:color="auto" w:fill="auto"/>
            <w:noWrap/>
            <w:hideMark/>
          </w:tcPr>
          <w:p w14:paraId="6887C63E" w14:textId="12ECBE09" w:rsidR="00044B94" w:rsidRPr="008B20A0" w:rsidRDefault="00694C3B" w:rsidP="00044B94">
            <w:pP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w:t>
            </w:r>
            <w:r w:rsidR="00044B94" w:rsidRPr="006F167E">
              <w:rPr>
                <w:rFonts w:ascii="Times New Roman" w:hAnsi="Times New Roman" w:cs="Times New Roman"/>
                <w:sz w:val="22"/>
                <w:szCs w:val="22"/>
              </w:rPr>
              <w:t xml:space="preserve">  </w:t>
            </w:r>
          </w:p>
        </w:tc>
        <w:tc>
          <w:tcPr>
            <w:tcW w:w="2250" w:type="dxa"/>
            <w:shd w:val="clear" w:color="auto" w:fill="auto"/>
            <w:noWrap/>
            <w:hideMark/>
          </w:tcPr>
          <w:p w14:paraId="3BCD2A0A" w14:textId="1F432841"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$1,401.37 </w:t>
            </w:r>
          </w:p>
        </w:tc>
      </w:tr>
      <w:tr w:rsidR="00044B94" w:rsidRPr="008B20A0" w14:paraId="4A22D78A" w14:textId="77777777" w:rsidTr="000A22A4">
        <w:trPr>
          <w:trHeight w:val="288"/>
        </w:trPr>
        <w:tc>
          <w:tcPr>
            <w:tcW w:w="1368" w:type="dxa"/>
            <w:shd w:val="clear" w:color="auto" w:fill="auto"/>
            <w:vAlign w:val="bottom"/>
            <w:hideMark/>
          </w:tcPr>
          <w:p w14:paraId="53B45658" w14:textId="6E6BF5F1"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6.5</w:t>
            </w:r>
          </w:p>
        </w:tc>
        <w:tc>
          <w:tcPr>
            <w:tcW w:w="1890" w:type="dxa"/>
            <w:shd w:val="clear" w:color="auto" w:fill="auto"/>
            <w:noWrap/>
            <w:hideMark/>
          </w:tcPr>
          <w:p w14:paraId="48613F7E" w14:textId="731CBB86" w:rsidR="00044B94" w:rsidRPr="008B20A0" w:rsidRDefault="00694C3B" w:rsidP="00044B94">
            <w:pP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w:t>
            </w:r>
          </w:p>
        </w:tc>
        <w:tc>
          <w:tcPr>
            <w:tcW w:w="2250" w:type="dxa"/>
            <w:shd w:val="clear" w:color="auto" w:fill="auto"/>
            <w:noWrap/>
            <w:hideMark/>
          </w:tcPr>
          <w:p w14:paraId="55CD903A" w14:textId="3052E889"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$1,505.68 </w:t>
            </w:r>
          </w:p>
        </w:tc>
      </w:tr>
      <w:tr w:rsidR="00044B94" w:rsidRPr="008B20A0" w14:paraId="2C36EA51" w14:textId="77777777" w:rsidTr="000A22A4">
        <w:trPr>
          <w:trHeight w:val="288"/>
        </w:trPr>
        <w:tc>
          <w:tcPr>
            <w:tcW w:w="1368" w:type="dxa"/>
            <w:shd w:val="clear" w:color="auto" w:fill="auto"/>
            <w:vAlign w:val="bottom"/>
            <w:hideMark/>
          </w:tcPr>
          <w:p w14:paraId="35B39423" w14:textId="261F38F8" w:rsidR="00044B94" w:rsidRPr="008B20A0" w:rsidRDefault="00044B94" w:rsidP="00044B9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7</w:t>
            </w:r>
          </w:p>
        </w:tc>
        <w:tc>
          <w:tcPr>
            <w:tcW w:w="1890" w:type="dxa"/>
            <w:shd w:val="clear" w:color="auto" w:fill="auto"/>
            <w:noWrap/>
            <w:hideMark/>
          </w:tcPr>
          <w:p w14:paraId="4546D5BC" w14:textId="2B35B6AC" w:rsidR="00044B94" w:rsidRPr="008B20A0" w:rsidRDefault="00694C3B" w:rsidP="00044B94">
            <w:pPr>
              <w:jc w:val="center"/>
              <w:rPr>
                <w:rFonts w:ascii="Times New Roman" w:eastAsia="Times New Roman" w:hAnsi="Times New Roman" w:cs="Times New Roman"/>
                <w:color w:val="000000"/>
                <w:sz w:val="22"/>
                <w:szCs w:val="22"/>
              </w:rPr>
            </w:pPr>
            <w:r>
              <w:rPr>
                <w:rFonts w:ascii="Times New Roman" w:hAnsi="Times New Roman" w:cs="Times New Roman"/>
                <w:sz w:val="22"/>
                <w:szCs w:val="22"/>
              </w:rPr>
              <w:t>--</w:t>
            </w:r>
            <w:r w:rsidR="00044B94" w:rsidRPr="006F167E">
              <w:rPr>
                <w:rFonts w:ascii="Times New Roman" w:hAnsi="Times New Roman" w:cs="Times New Roman"/>
                <w:sz w:val="22"/>
                <w:szCs w:val="22"/>
              </w:rPr>
              <w:t xml:space="preserve"> </w:t>
            </w:r>
          </w:p>
        </w:tc>
        <w:tc>
          <w:tcPr>
            <w:tcW w:w="2250" w:type="dxa"/>
            <w:shd w:val="clear" w:color="auto" w:fill="auto"/>
            <w:noWrap/>
            <w:hideMark/>
          </w:tcPr>
          <w:p w14:paraId="49827107" w14:textId="46ADA2E6" w:rsidR="00044B94" w:rsidRPr="008B20A0" w:rsidRDefault="00044B94" w:rsidP="00044B94">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 xml:space="preserve"> $1,608.20 </w:t>
            </w:r>
          </w:p>
        </w:tc>
      </w:tr>
    </w:tbl>
    <w:p w14:paraId="20673F57" w14:textId="1BAFDAE7" w:rsidR="004A2B79" w:rsidRDefault="009F2C14" w:rsidP="004A2B79">
      <w:pPr>
        <w:ind w:left="1440"/>
        <w:rPr>
          <w:rFonts w:ascii="Times New Roman" w:hAnsi="Times New Roman" w:cs="Times New Roman"/>
          <w:spacing w:val="-3"/>
          <w:sz w:val="22"/>
          <w:szCs w:val="22"/>
        </w:rPr>
      </w:pPr>
      <w:r w:rsidRPr="008B20A0">
        <w:rPr>
          <w:rFonts w:ascii="Times New Roman" w:hAnsi="Times New Roman" w:cs="Times New Roman"/>
          <w:sz w:val="22"/>
          <w:szCs w:val="22"/>
        </w:rPr>
        <w:br w:type="textWrapping" w:clear="all"/>
      </w:r>
    </w:p>
    <w:tbl>
      <w:tblPr>
        <w:tblW w:w="8099" w:type="dxa"/>
        <w:tblLook w:val="04A0" w:firstRow="1" w:lastRow="0" w:firstColumn="1" w:lastColumn="0" w:noHBand="0" w:noVBand="1"/>
      </w:tblPr>
      <w:tblGrid>
        <w:gridCol w:w="644"/>
        <w:gridCol w:w="1186"/>
        <w:gridCol w:w="1438"/>
        <w:gridCol w:w="1170"/>
        <w:gridCol w:w="1227"/>
        <w:gridCol w:w="1166"/>
        <w:gridCol w:w="1268"/>
      </w:tblGrid>
      <w:tr w:rsidR="007705E1" w:rsidRPr="00BE42EF" w14:paraId="57003057" w14:textId="77777777" w:rsidTr="006F167E">
        <w:trPr>
          <w:trHeight w:val="300"/>
          <w:tblHeader/>
        </w:trPr>
        <w:tc>
          <w:tcPr>
            <w:tcW w:w="809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3885"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2-3 Capacity Site</w:t>
            </w:r>
          </w:p>
        </w:tc>
      </w:tr>
      <w:tr w:rsidR="007705E1" w:rsidRPr="00BE42EF" w14:paraId="1F9A4EE9" w14:textId="77777777" w:rsidTr="006F167E">
        <w:trPr>
          <w:trHeight w:val="300"/>
          <w:tblHeader/>
        </w:trPr>
        <w:tc>
          <w:tcPr>
            <w:tcW w:w="644" w:type="dxa"/>
            <w:vMerge w:val="restart"/>
            <w:tcBorders>
              <w:top w:val="single" w:sz="4" w:space="0" w:color="auto"/>
              <w:left w:val="single" w:sz="4" w:space="0" w:color="auto"/>
              <w:right w:val="single" w:sz="4" w:space="0" w:color="auto"/>
            </w:tcBorders>
            <w:shd w:val="clear" w:color="auto" w:fill="auto"/>
            <w:vAlign w:val="center"/>
            <w:hideMark/>
          </w:tcPr>
          <w:p w14:paraId="3D4B5458" w14:textId="676D0A23" w:rsidR="007705E1" w:rsidRPr="00BE42EF" w:rsidRDefault="007705E1" w:rsidP="003E7CC8">
            <w:pP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FTE</w:t>
            </w:r>
          </w:p>
        </w:tc>
        <w:tc>
          <w:tcPr>
            <w:tcW w:w="1186" w:type="dxa"/>
            <w:vMerge w:val="restart"/>
            <w:tcBorders>
              <w:top w:val="nil"/>
              <w:left w:val="single" w:sz="4" w:space="0" w:color="auto"/>
              <w:bottom w:val="single" w:sz="4" w:space="0" w:color="000000"/>
              <w:right w:val="single" w:sz="4" w:space="0" w:color="auto"/>
            </w:tcBorders>
            <w:shd w:val="clear" w:color="auto" w:fill="auto"/>
            <w:vAlign w:val="center"/>
            <w:hideMark/>
          </w:tcPr>
          <w:p w14:paraId="0DEF8C8A"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Basic Level</w:t>
            </w:r>
          </w:p>
        </w:tc>
        <w:tc>
          <w:tcPr>
            <w:tcW w:w="1438" w:type="dxa"/>
            <w:vMerge w:val="restart"/>
            <w:tcBorders>
              <w:top w:val="nil"/>
              <w:left w:val="single" w:sz="4" w:space="0" w:color="auto"/>
              <w:bottom w:val="single" w:sz="4" w:space="0" w:color="000000"/>
              <w:right w:val="single" w:sz="4" w:space="0" w:color="auto"/>
            </w:tcBorders>
            <w:shd w:val="clear" w:color="auto" w:fill="auto"/>
            <w:vAlign w:val="center"/>
            <w:hideMark/>
          </w:tcPr>
          <w:p w14:paraId="39EF3212"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Intermediate Level</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60AF43"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1</w:t>
            </w:r>
          </w:p>
        </w:tc>
        <w:tc>
          <w:tcPr>
            <w:tcW w:w="12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06533"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2</w:t>
            </w: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A7106B"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3</w:t>
            </w:r>
          </w:p>
        </w:tc>
        <w:tc>
          <w:tcPr>
            <w:tcW w:w="1268" w:type="dxa"/>
            <w:vMerge w:val="restart"/>
            <w:tcBorders>
              <w:top w:val="nil"/>
              <w:left w:val="single" w:sz="4" w:space="0" w:color="auto"/>
              <w:bottom w:val="single" w:sz="4" w:space="0" w:color="auto"/>
              <w:right w:val="single" w:sz="4" w:space="0" w:color="auto"/>
            </w:tcBorders>
            <w:shd w:val="clear" w:color="auto" w:fill="auto"/>
            <w:vAlign w:val="center"/>
            <w:hideMark/>
          </w:tcPr>
          <w:p w14:paraId="532DD03B" w14:textId="7A1D657E"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Specialized Behavior</w:t>
            </w:r>
            <w:r w:rsidR="002D0974">
              <w:rPr>
                <w:rFonts w:ascii="Times New Roman" w:eastAsia="Times New Roman" w:hAnsi="Times New Roman" w:cs="Times New Roman"/>
                <w:b/>
                <w:bCs/>
                <w:color w:val="000000"/>
                <w:sz w:val="22"/>
                <w:szCs w:val="22"/>
              </w:rPr>
              <w:t>al</w:t>
            </w:r>
          </w:p>
        </w:tc>
      </w:tr>
      <w:tr w:rsidR="007705E1" w:rsidRPr="00BE42EF" w14:paraId="3BB88F55" w14:textId="77777777" w:rsidTr="006F167E">
        <w:trPr>
          <w:trHeight w:val="300"/>
        </w:trPr>
        <w:tc>
          <w:tcPr>
            <w:tcW w:w="644" w:type="dxa"/>
            <w:vMerge/>
            <w:tcBorders>
              <w:left w:val="single" w:sz="4" w:space="0" w:color="auto"/>
              <w:bottom w:val="single" w:sz="4" w:space="0" w:color="auto"/>
              <w:right w:val="single" w:sz="4" w:space="0" w:color="auto"/>
            </w:tcBorders>
            <w:shd w:val="clear" w:color="auto" w:fill="auto"/>
            <w:vAlign w:val="center"/>
            <w:hideMark/>
          </w:tcPr>
          <w:p w14:paraId="7DD21490" w14:textId="318F91D5" w:rsidR="007705E1" w:rsidRPr="00BE42EF" w:rsidRDefault="007705E1" w:rsidP="003E7CC8">
            <w:pPr>
              <w:rPr>
                <w:rFonts w:ascii="Times New Roman" w:eastAsia="Times New Roman" w:hAnsi="Times New Roman" w:cs="Times New Roman"/>
                <w:b/>
                <w:bCs/>
                <w:color w:val="000000"/>
                <w:sz w:val="22"/>
                <w:szCs w:val="22"/>
              </w:rPr>
            </w:pPr>
          </w:p>
        </w:tc>
        <w:tc>
          <w:tcPr>
            <w:tcW w:w="1186" w:type="dxa"/>
            <w:vMerge/>
            <w:tcBorders>
              <w:top w:val="nil"/>
              <w:left w:val="single" w:sz="4" w:space="0" w:color="auto"/>
              <w:bottom w:val="single" w:sz="4" w:space="0" w:color="000000"/>
              <w:right w:val="single" w:sz="4" w:space="0" w:color="auto"/>
            </w:tcBorders>
            <w:vAlign w:val="center"/>
            <w:hideMark/>
          </w:tcPr>
          <w:p w14:paraId="7F6BC2EF" w14:textId="77777777" w:rsidR="007705E1" w:rsidRPr="00BE42EF" w:rsidRDefault="007705E1" w:rsidP="003E7CC8">
            <w:pPr>
              <w:rPr>
                <w:rFonts w:ascii="Times New Roman" w:eastAsia="Times New Roman" w:hAnsi="Times New Roman" w:cs="Times New Roman"/>
                <w:b/>
                <w:bCs/>
                <w:color w:val="000000"/>
                <w:sz w:val="22"/>
                <w:szCs w:val="22"/>
              </w:rPr>
            </w:pPr>
          </w:p>
        </w:tc>
        <w:tc>
          <w:tcPr>
            <w:tcW w:w="1438" w:type="dxa"/>
            <w:vMerge/>
            <w:tcBorders>
              <w:top w:val="nil"/>
              <w:left w:val="single" w:sz="4" w:space="0" w:color="auto"/>
              <w:bottom w:val="single" w:sz="4" w:space="0" w:color="000000"/>
              <w:right w:val="single" w:sz="4" w:space="0" w:color="auto"/>
            </w:tcBorders>
            <w:vAlign w:val="center"/>
            <w:hideMark/>
          </w:tcPr>
          <w:p w14:paraId="642236F2" w14:textId="77777777" w:rsidR="007705E1" w:rsidRPr="00BE42EF" w:rsidRDefault="007705E1" w:rsidP="003E7CC8">
            <w:pPr>
              <w:rPr>
                <w:rFonts w:ascii="Times New Roman" w:eastAsia="Times New Roman" w:hAnsi="Times New Roman" w:cs="Times New Roman"/>
                <w:b/>
                <w:bCs/>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0FA2BFF4" w14:textId="77777777" w:rsidR="007705E1" w:rsidRPr="00BE42EF" w:rsidRDefault="007705E1" w:rsidP="003E7CC8">
            <w:pPr>
              <w:rPr>
                <w:rFonts w:ascii="Times New Roman" w:eastAsia="Times New Roman" w:hAnsi="Times New Roman" w:cs="Times New Roman"/>
                <w:b/>
                <w:bCs/>
                <w:color w:val="000000"/>
                <w:sz w:val="22"/>
                <w:szCs w:val="22"/>
              </w:rPr>
            </w:pPr>
          </w:p>
        </w:tc>
        <w:tc>
          <w:tcPr>
            <w:tcW w:w="1227" w:type="dxa"/>
            <w:vMerge/>
            <w:tcBorders>
              <w:top w:val="nil"/>
              <w:left w:val="single" w:sz="4" w:space="0" w:color="auto"/>
              <w:bottom w:val="single" w:sz="4" w:space="0" w:color="auto"/>
              <w:right w:val="single" w:sz="4" w:space="0" w:color="auto"/>
            </w:tcBorders>
            <w:vAlign w:val="center"/>
            <w:hideMark/>
          </w:tcPr>
          <w:p w14:paraId="71AAA58A" w14:textId="77777777" w:rsidR="007705E1" w:rsidRPr="00BE42EF" w:rsidRDefault="007705E1" w:rsidP="003E7CC8">
            <w:pPr>
              <w:rPr>
                <w:rFonts w:ascii="Times New Roman" w:eastAsia="Times New Roman" w:hAnsi="Times New Roman" w:cs="Times New Roman"/>
                <w:b/>
                <w:bCs/>
                <w:color w:val="000000"/>
                <w:sz w:val="22"/>
                <w:szCs w:val="22"/>
              </w:rPr>
            </w:pPr>
          </w:p>
        </w:tc>
        <w:tc>
          <w:tcPr>
            <w:tcW w:w="1166" w:type="dxa"/>
            <w:vMerge/>
            <w:tcBorders>
              <w:top w:val="nil"/>
              <w:left w:val="single" w:sz="4" w:space="0" w:color="auto"/>
              <w:bottom w:val="single" w:sz="4" w:space="0" w:color="auto"/>
              <w:right w:val="single" w:sz="4" w:space="0" w:color="auto"/>
            </w:tcBorders>
            <w:vAlign w:val="center"/>
            <w:hideMark/>
          </w:tcPr>
          <w:p w14:paraId="3A9D9E49" w14:textId="77777777" w:rsidR="007705E1" w:rsidRPr="00BE42EF" w:rsidRDefault="007705E1" w:rsidP="003E7CC8">
            <w:pPr>
              <w:rPr>
                <w:rFonts w:ascii="Times New Roman" w:eastAsia="Times New Roman" w:hAnsi="Times New Roman" w:cs="Times New Roman"/>
                <w:b/>
                <w:bCs/>
                <w:color w:val="000000"/>
                <w:sz w:val="22"/>
                <w:szCs w:val="22"/>
              </w:rPr>
            </w:pPr>
          </w:p>
        </w:tc>
        <w:tc>
          <w:tcPr>
            <w:tcW w:w="1268" w:type="dxa"/>
            <w:vMerge/>
            <w:tcBorders>
              <w:top w:val="nil"/>
              <w:left w:val="single" w:sz="4" w:space="0" w:color="auto"/>
              <w:bottom w:val="single" w:sz="4" w:space="0" w:color="auto"/>
              <w:right w:val="single" w:sz="4" w:space="0" w:color="auto"/>
            </w:tcBorders>
            <w:vAlign w:val="center"/>
            <w:hideMark/>
          </w:tcPr>
          <w:p w14:paraId="4BCE39CD" w14:textId="77777777" w:rsidR="007705E1" w:rsidRPr="00BE42EF" w:rsidRDefault="007705E1" w:rsidP="003E7CC8">
            <w:pPr>
              <w:rPr>
                <w:rFonts w:ascii="Times New Roman" w:eastAsia="Times New Roman" w:hAnsi="Times New Roman" w:cs="Times New Roman"/>
                <w:b/>
                <w:bCs/>
                <w:color w:val="000000"/>
                <w:sz w:val="22"/>
                <w:szCs w:val="22"/>
              </w:rPr>
            </w:pPr>
          </w:p>
        </w:tc>
      </w:tr>
      <w:tr w:rsidR="007705E1" w:rsidRPr="00BE42EF" w14:paraId="56B69194" w14:textId="77777777" w:rsidTr="006F167E">
        <w:trPr>
          <w:trHeight w:val="315"/>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325F86F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3</w:t>
            </w:r>
          </w:p>
        </w:tc>
        <w:tc>
          <w:tcPr>
            <w:tcW w:w="1186" w:type="dxa"/>
            <w:tcBorders>
              <w:top w:val="nil"/>
              <w:left w:val="nil"/>
              <w:bottom w:val="single" w:sz="4" w:space="0" w:color="auto"/>
              <w:right w:val="single" w:sz="4" w:space="0" w:color="auto"/>
            </w:tcBorders>
            <w:shd w:val="clear" w:color="auto" w:fill="auto"/>
            <w:noWrap/>
            <w:vAlign w:val="center"/>
            <w:hideMark/>
          </w:tcPr>
          <w:p w14:paraId="15C8CE4E"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438" w:type="dxa"/>
            <w:tcBorders>
              <w:top w:val="nil"/>
              <w:left w:val="nil"/>
              <w:bottom w:val="single" w:sz="4" w:space="0" w:color="auto"/>
              <w:right w:val="single" w:sz="4" w:space="0" w:color="auto"/>
            </w:tcBorders>
            <w:shd w:val="clear" w:color="auto" w:fill="auto"/>
            <w:noWrap/>
            <w:vAlign w:val="center"/>
            <w:hideMark/>
          </w:tcPr>
          <w:p w14:paraId="539F3863"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E4314B2"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227" w:type="dxa"/>
            <w:tcBorders>
              <w:top w:val="nil"/>
              <w:left w:val="nil"/>
              <w:bottom w:val="single" w:sz="4" w:space="0" w:color="auto"/>
              <w:right w:val="single" w:sz="4" w:space="0" w:color="auto"/>
            </w:tcBorders>
            <w:shd w:val="clear" w:color="auto" w:fill="auto"/>
            <w:noWrap/>
            <w:vAlign w:val="center"/>
            <w:hideMark/>
          </w:tcPr>
          <w:p w14:paraId="0E7DA544"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c>
          <w:tcPr>
            <w:tcW w:w="1166" w:type="dxa"/>
            <w:tcBorders>
              <w:top w:val="nil"/>
              <w:left w:val="nil"/>
              <w:bottom w:val="single" w:sz="4" w:space="0" w:color="auto"/>
              <w:right w:val="single" w:sz="4" w:space="0" w:color="auto"/>
            </w:tcBorders>
            <w:shd w:val="clear" w:color="auto" w:fill="auto"/>
            <w:noWrap/>
            <w:vAlign w:val="center"/>
            <w:hideMark/>
          </w:tcPr>
          <w:p w14:paraId="0539E8D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shd w:val="clear" w:color="auto" w:fill="auto"/>
            <w:noWrap/>
            <w:vAlign w:val="center"/>
            <w:hideMark/>
          </w:tcPr>
          <w:p w14:paraId="19A5358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r>
      <w:tr w:rsidR="007705E1" w:rsidRPr="00BE42EF" w14:paraId="7DDD02A6"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7EAD4613"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3.5</w:t>
            </w:r>
          </w:p>
        </w:tc>
        <w:tc>
          <w:tcPr>
            <w:tcW w:w="1186" w:type="dxa"/>
            <w:tcBorders>
              <w:top w:val="nil"/>
              <w:left w:val="nil"/>
              <w:bottom w:val="single" w:sz="4" w:space="0" w:color="auto"/>
              <w:right w:val="single" w:sz="4" w:space="0" w:color="auto"/>
            </w:tcBorders>
            <w:shd w:val="clear" w:color="auto" w:fill="auto"/>
            <w:noWrap/>
            <w:vAlign w:val="center"/>
            <w:hideMark/>
          </w:tcPr>
          <w:p w14:paraId="586651D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$1,029.16 </w:t>
            </w:r>
          </w:p>
        </w:tc>
        <w:tc>
          <w:tcPr>
            <w:tcW w:w="1438" w:type="dxa"/>
            <w:tcBorders>
              <w:top w:val="nil"/>
              <w:left w:val="nil"/>
              <w:bottom w:val="single" w:sz="4" w:space="0" w:color="auto"/>
              <w:right w:val="single" w:sz="4" w:space="0" w:color="auto"/>
            </w:tcBorders>
            <w:shd w:val="clear" w:color="auto" w:fill="auto"/>
            <w:noWrap/>
            <w:vAlign w:val="center"/>
            <w:hideMark/>
          </w:tcPr>
          <w:p w14:paraId="685DB62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$1,065.13 </w:t>
            </w:r>
          </w:p>
        </w:tc>
        <w:tc>
          <w:tcPr>
            <w:tcW w:w="1170" w:type="dxa"/>
            <w:tcBorders>
              <w:top w:val="nil"/>
              <w:left w:val="nil"/>
              <w:bottom w:val="single" w:sz="4" w:space="0" w:color="auto"/>
              <w:right w:val="single" w:sz="4" w:space="0" w:color="auto"/>
            </w:tcBorders>
            <w:shd w:val="clear" w:color="auto" w:fill="auto"/>
            <w:noWrap/>
            <w:vAlign w:val="center"/>
            <w:hideMark/>
          </w:tcPr>
          <w:p w14:paraId="6E21362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$1,146.64 </w:t>
            </w:r>
          </w:p>
        </w:tc>
        <w:tc>
          <w:tcPr>
            <w:tcW w:w="1227" w:type="dxa"/>
            <w:tcBorders>
              <w:top w:val="nil"/>
              <w:left w:val="nil"/>
              <w:bottom w:val="single" w:sz="4" w:space="0" w:color="auto"/>
              <w:right w:val="single" w:sz="4" w:space="0" w:color="auto"/>
            </w:tcBorders>
            <w:shd w:val="clear" w:color="auto" w:fill="auto"/>
            <w:noWrap/>
            <w:vAlign w:val="center"/>
            <w:hideMark/>
          </w:tcPr>
          <w:p w14:paraId="0B2857E8"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$1,178.86 </w:t>
            </w:r>
          </w:p>
        </w:tc>
        <w:tc>
          <w:tcPr>
            <w:tcW w:w="1166" w:type="dxa"/>
            <w:tcBorders>
              <w:top w:val="nil"/>
              <w:left w:val="nil"/>
              <w:bottom w:val="single" w:sz="4" w:space="0" w:color="auto"/>
              <w:right w:val="single" w:sz="4" w:space="0" w:color="auto"/>
            </w:tcBorders>
            <w:shd w:val="clear" w:color="auto" w:fill="auto"/>
            <w:noWrap/>
            <w:vAlign w:val="center"/>
            <w:hideMark/>
          </w:tcPr>
          <w:p w14:paraId="25C126F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$1,222.55 </w:t>
            </w:r>
          </w:p>
        </w:tc>
        <w:tc>
          <w:tcPr>
            <w:tcW w:w="1268" w:type="dxa"/>
            <w:tcBorders>
              <w:top w:val="nil"/>
              <w:left w:val="nil"/>
              <w:bottom w:val="single" w:sz="4" w:space="0" w:color="auto"/>
              <w:right w:val="single" w:sz="4" w:space="0" w:color="auto"/>
            </w:tcBorders>
            <w:shd w:val="clear" w:color="auto" w:fill="auto"/>
            <w:noWrap/>
            <w:vAlign w:val="center"/>
            <w:hideMark/>
          </w:tcPr>
          <w:p w14:paraId="7E018B3A"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$1,571.31 </w:t>
            </w:r>
          </w:p>
        </w:tc>
      </w:tr>
      <w:tr w:rsidR="007705E1" w:rsidRPr="00BE42EF" w14:paraId="5A6FEDFD"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0866B295"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4</w:t>
            </w:r>
          </w:p>
        </w:tc>
        <w:tc>
          <w:tcPr>
            <w:tcW w:w="1186" w:type="dxa"/>
            <w:tcBorders>
              <w:top w:val="nil"/>
              <w:left w:val="nil"/>
              <w:bottom w:val="single" w:sz="4" w:space="0" w:color="auto"/>
              <w:right w:val="single" w:sz="4" w:space="0" w:color="auto"/>
            </w:tcBorders>
            <w:shd w:val="clear" w:color="auto" w:fill="auto"/>
            <w:noWrap/>
            <w:vAlign w:val="center"/>
            <w:hideMark/>
          </w:tcPr>
          <w:p w14:paraId="66DDC56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$1,130.92 </w:t>
            </w:r>
          </w:p>
        </w:tc>
        <w:tc>
          <w:tcPr>
            <w:tcW w:w="1438" w:type="dxa"/>
            <w:tcBorders>
              <w:top w:val="nil"/>
              <w:left w:val="nil"/>
              <w:bottom w:val="single" w:sz="4" w:space="0" w:color="auto"/>
              <w:right w:val="single" w:sz="4" w:space="0" w:color="auto"/>
            </w:tcBorders>
            <w:shd w:val="clear" w:color="auto" w:fill="auto"/>
            <w:noWrap/>
            <w:vAlign w:val="center"/>
            <w:hideMark/>
          </w:tcPr>
          <w:p w14:paraId="64EA36D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$1,169.44 </w:t>
            </w:r>
          </w:p>
        </w:tc>
        <w:tc>
          <w:tcPr>
            <w:tcW w:w="1170" w:type="dxa"/>
            <w:tcBorders>
              <w:top w:val="nil"/>
              <w:left w:val="nil"/>
              <w:bottom w:val="single" w:sz="4" w:space="0" w:color="auto"/>
              <w:right w:val="single" w:sz="4" w:space="0" w:color="auto"/>
            </w:tcBorders>
            <w:shd w:val="clear" w:color="auto" w:fill="auto"/>
            <w:noWrap/>
            <w:vAlign w:val="center"/>
            <w:hideMark/>
          </w:tcPr>
          <w:p w14:paraId="0846A1B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$1,270.40 </w:t>
            </w:r>
          </w:p>
        </w:tc>
        <w:tc>
          <w:tcPr>
            <w:tcW w:w="1227" w:type="dxa"/>
            <w:tcBorders>
              <w:top w:val="nil"/>
              <w:left w:val="nil"/>
              <w:bottom w:val="single" w:sz="4" w:space="0" w:color="auto"/>
              <w:right w:val="single" w:sz="4" w:space="0" w:color="auto"/>
            </w:tcBorders>
            <w:shd w:val="clear" w:color="auto" w:fill="auto"/>
            <w:noWrap/>
            <w:vAlign w:val="center"/>
            <w:hideMark/>
          </w:tcPr>
          <w:p w14:paraId="18B68129"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$1,310.32 </w:t>
            </w:r>
          </w:p>
        </w:tc>
        <w:tc>
          <w:tcPr>
            <w:tcW w:w="1166" w:type="dxa"/>
            <w:tcBorders>
              <w:top w:val="nil"/>
              <w:left w:val="nil"/>
              <w:bottom w:val="single" w:sz="4" w:space="0" w:color="auto"/>
              <w:right w:val="single" w:sz="4" w:space="0" w:color="auto"/>
            </w:tcBorders>
            <w:shd w:val="clear" w:color="auto" w:fill="auto"/>
            <w:noWrap/>
            <w:vAlign w:val="center"/>
            <w:hideMark/>
          </w:tcPr>
          <w:p w14:paraId="2C85C4A8"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$1,364.43 </w:t>
            </w:r>
          </w:p>
        </w:tc>
        <w:tc>
          <w:tcPr>
            <w:tcW w:w="1268" w:type="dxa"/>
            <w:tcBorders>
              <w:top w:val="nil"/>
              <w:left w:val="nil"/>
              <w:bottom w:val="single" w:sz="4" w:space="0" w:color="auto"/>
              <w:right w:val="single" w:sz="4" w:space="0" w:color="auto"/>
            </w:tcBorders>
            <w:shd w:val="clear" w:color="auto" w:fill="auto"/>
            <w:noWrap/>
            <w:vAlign w:val="center"/>
            <w:hideMark/>
          </w:tcPr>
          <w:p w14:paraId="22D634C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$1,713.79 </w:t>
            </w:r>
          </w:p>
        </w:tc>
      </w:tr>
      <w:tr w:rsidR="007705E1" w:rsidRPr="00BE42EF" w14:paraId="5FC1AFCB"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51023988"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4.5</w:t>
            </w:r>
          </w:p>
        </w:tc>
        <w:tc>
          <w:tcPr>
            <w:tcW w:w="1186" w:type="dxa"/>
            <w:tcBorders>
              <w:top w:val="nil"/>
              <w:left w:val="nil"/>
              <w:bottom w:val="single" w:sz="4" w:space="0" w:color="auto"/>
              <w:right w:val="single" w:sz="4" w:space="0" w:color="auto"/>
            </w:tcBorders>
            <w:shd w:val="clear" w:color="auto" w:fill="auto"/>
            <w:noWrap/>
            <w:vAlign w:val="center"/>
            <w:hideMark/>
          </w:tcPr>
          <w:p w14:paraId="5D65F2D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$1,232.67 </w:t>
            </w:r>
          </w:p>
        </w:tc>
        <w:tc>
          <w:tcPr>
            <w:tcW w:w="1438" w:type="dxa"/>
            <w:tcBorders>
              <w:top w:val="nil"/>
              <w:left w:val="nil"/>
              <w:bottom w:val="single" w:sz="4" w:space="0" w:color="auto"/>
              <w:right w:val="single" w:sz="4" w:space="0" w:color="auto"/>
            </w:tcBorders>
            <w:shd w:val="clear" w:color="auto" w:fill="auto"/>
            <w:noWrap/>
            <w:vAlign w:val="center"/>
            <w:hideMark/>
          </w:tcPr>
          <w:p w14:paraId="2B230E09"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$1,273.75 </w:t>
            </w:r>
          </w:p>
        </w:tc>
        <w:tc>
          <w:tcPr>
            <w:tcW w:w="1170" w:type="dxa"/>
            <w:tcBorders>
              <w:top w:val="nil"/>
              <w:left w:val="nil"/>
              <w:bottom w:val="single" w:sz="4" w:space="0" w:color="auto"/>
              <w:right w:val="single" w:sz="4" w:space="0" w:color="auto"/>
            </w:tcBorders>
            <w:shd w:val="clear" w:color="auto" w:fill="auto"/>
            <w:noWrap/>
            <w:vAlign w:val="center"/>
            <w:hideMark/>
          </w:tcPr>
          <w:p w14:paraId="7ADE2B8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$1,394.16 </w:t>
            </w:r>
          </w:p>
        </w:tc>
        <w:tc>
          <w:tcPr>
            <w:tcW w:w="1227" w:type="dxa"/>
            <w:tcBorders>
              <w:top w:val="nil"/>
              <w:left w:val="nil"/>
              <w:bottom w:val="single" w:sz="4" w:space="0" w:color="auto"/>
              <w:right w:val="single" w:sz="4" w:space="0" w:color="auto"/>
            </w:tcBorders>
            <w:shd w:val="clear" w:color="auto" w:fill="auto"/>
            <w:noWrap/>
            <w:vAlign w:val="center"/>
            <w:hideMark/>
          </w:tcPr>
          <w:p w14:paraId="38381BE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$1,441.77 </w:t>
            </w:r>
          </w:p>
        </w:tc>
        <w:tc>
          <w:tcPr>
            <w:tcW w:w="1166" w:type="dxa"/>
            <w:tcBorders>
              <w:top w:val="nil"/>
              <w:left w:val="nil"/>
              <w:bottom w:val="single" w:sz="4" w:space="0" w:color="auto"/>
              <w:right w:val="single" w:sz="4" w:space="0" w:color="auto"/>
            </w:tcBorders>
            <w:shd w:val="clear" w:color="auto" w:fill="auto"/>
            <w:noWrap/>
            <w:vAlign w:val="center"/>
            <w:hideMark/>
          </w:tcPr>
          <w:p w14:paraId="5B943D1F"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$1,506.31 </w:t>
            </w:r>
          </w:p>
        </w:tc>
        <w:tc>
          <w:tcPr>
            <w:tcW w:w="1268" w:type="dxa"/>
            <w:tcBorders>
              <w:top w:val="nil"/>
              <w:left w:val="nil"/>
              <w:bottom w:val="single" w:sz="4" w:space="0" w:color="auto"/>
              <w:right w:val="single" w:sz="4" w:space="0" w:color="auto"/>
            </w:tcBorders>
            <w:shd w:val="clear" w:color="auto" w:fill="auto"/>
            <w:noWrap/>
            <w:vAlign w:val="center"/>
            <w:hideMark/>
          </w:tcPr>
          <w:p w14:paraId="60F9A8EC"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$1,856.27 </w:t>
            </w:r>
          </w:p>
        </w:tc>
      </w:tr>
      <w:tr w:rsidR="007705E1" w:rsidRPr="00BE42EF" w14:paraId="77BCBBBB"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30174657"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5</w:t>
            </w:r>
          </w:p>
        </w:tc>
        <w:tc>
          <w:tcPr>
            <w:tcW w:w="1186" w:type="dxa"/>
            <w:tcBorders>
              <w:top w:val="nil"/>
              <w:left w:val="nil"/>
              <w:bottom w:val="single" w:sz="4" w:space="0" w:color="auto"/>
              <w:right w:val="single" w:sz="4" w:space="0" w:color="auto"/>
            </w:tcBorders>
            <w:shd w:val="clear" w:color="auto" w:fill="auto"/>
            <w:noWrap/>
            <w:vAlign w:val="center"/>
            <w:hideMark/>
          </w:tcPr>
          <w:p w14:paraId="07F2431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$1,334.43 </w:t>
            </w:r>
          </w:p>
        </w:tc>
        <w:tc>
          <w:tcPr>
            <w:tcW w:w="1438" w:type="dxa"/>
            <w:tcBorders>
              <w:top w:val="nil"/>
              <w:left w:val="nil"/>
              <w:bottom w:val="single" w:sz="4" w:space="0" w:color="auto"/>
              <w:right w:val="single" w:sz="4" w:space="0" w:color="auto"/>
            </w:tcBorders>
            <w:shd w:val="clear" w:color="auto" w:fill="auto"/>
            <w:noWrap/>
            <w:vAlign w:val="center"/>
            <w:hideMark/>
          </w:tcPr>
          <w:p w14:paraId="74036CEA"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$1,378.06 </w:t>
            </w:r>
          </w:p>
        </w:tc>
        <w:tc>
          <w:tcPr>
            <w:tcW w:w="1170" w:type="dxa"/>
            <w:tcBorders>
              <w:top w:val="nil"/>
              <w:left w:val="nil"/>
              <w:bottom w:val="single" w:sz="4" w:space="0" w:color="auto"/>
              <w:right w:val="single" w:sz="4" w:space="0" w:color="auto"/>
            </w:tcBorders>
            <w:shd w:val="clear" w:color="auto" w:fill="auto"/>
            <w:noWrap/>
            <w:vAlign w:val="center"/>
            <w:hideMark/>
          </w:tcPr>
          <w:p w14:paraId="42763E6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$1,517.93 </w:t>
            </w:r>
          </w:p>
        </w:tc>
        <w:tc>
          <w:tcPr>
            <w:tcW w:w="1227" w:type="dxa"/>
            <w:tcBorders>
              <w:top w:val="nil"/>
              <w:left w:val="nil"/>
              <w:bottom w:val="single" w:sz="4" w:space="0" w:color="auto"/>
              <w:right w:val="single" w:sz="4" w:space="0" w:color="auto"/>
            </w:tcBorders>
            <w:shd w:val="clear" w:color="auto" w:fill="auto"/>
            <w:noWrap/>
            <w:vAlign w:val="center"/>
            <w:hideMark/>
          </w:tcPr>
          <w:p w14:paraId="4D43BBF8"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$1,573.23 </w:t>
            </w:r>
          </w:p>
        </w:tc>
        <w:tc>
          <w:tcPr>
            <w:tcW w:w="1166" w:type="dxa"/>
            <w:tcBorders>
              <w:top w:val="nil"/>
              <w:left w:val="nil"/>
              <w:bottom w:val="single" w:sz="4" w:space="0" w:color="auto"/>
              <w:right w:val="single" w:sz="4" w:space="0" w:color="auto"/>
            </w:tcBorders>
            <w:shd w:val="clear" w:color="auto" w:fill="auto"/>
            <w:noWrap/>
            <w:vAlign w:val="center"/>
            <w:hideMark/>
          </w:tcPr>
          <w:p w14:paraId="3A8F03C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$1,648.20 </w:t>
            </w:r>
          </w:p>
        </w:tc>
        <w:tc>
          <w:tcPr>
            <w:tcW w:w="1268" w:type="dxa"/>
            <w:tcBorders>
              <w:top w:val="nil"/>
              <w:left w:val="nil"/>
              <w:bottom w:val="single" w:sz="4" w:space="0" w:color="auto"/>
              <w:right w:val="single" w:sz="4" w:space="0" w:color="auto"/>
            </w:tcBorders>
            <w:shd w:val="clear" w:color="auto" w:fill="auto"/>
            <w:noWrap/>
            <w:vAlign w:val="center"/>
            <w:hideMark/>
          </w:tcPr>
          <w:p w14:paraId="1B914F6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$2,001.17 </w:t>
            </w:r>
          </w:p>
        </w:tc>
      </w:tr>
      <w:tr w:rsidR="007705E1" w:rsidRPr="00BE42EF" w14:paraId="1F65113F"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038416D9"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5.5</w:t>
            </w:r>
          </w:p>
        </w:tc>
        <w:tc>
          <w:tcPr>
            <w:tcW w:w="1186" w:type="dxa"/>
            <w:tcBorders>
              <w:top w:val="nil"/>
              <w:left w:val="nil"/>
              <w:bottom w:val="single" w:sz="4" w:space="0" w:color="auto"/>
              <w:right w:val="single" w:sz="4" w:space="0" w:color="auto"/>
            </w:tcBorders>
            <w:shd w:val="clear" w:color="auto" w:fill="auto"/>
            <w:noWrap/>
            <w:vAlign w:val="center"/>
            <w:hideMark/>
          </w:tcPr>
          <w:p w14:paraId="7D6D2E3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$1,436.18 </w:t>
            </w:r>
          </w:p>
        </w:tc>
        <w:tc>
          <w:tcPr>
            <w:tcW w:w="1438" w:type="dxa"/>
            <w:tcBorders>
              <w:top w:val="nil"/>
              <w:left w:val="nil"/>
              <w:bottom w:val="single" w:sz="4" w:space="0" w:color="auto"/>
              <w:right w:val="single" w:sz="4" w:space="0" w:color="auto"/>
            </w:tcBorders>
            <w:shd w:val="clear" w:color="auto" w:fill="auto"/>
            <w:noWrap/>
            <w:vAlign w:val="center"/>
            <w:hideMark/>
          </w:tcPr>
          <w:p w14:paraId="6092D45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$1,482.38 </w:t>
            </w:r>
          </w:p>
        </w:tc>
        <w:tc>
          <w:tcPr>
            <w:tcW w:w="1170" w:type="dxa"/>
            <w:tcBorders>
              <w:top w:val="nil"/>
              <w:left w:val="nil"/>
              <w:bottom w:val="single" w:sz="4" w:space="0" w:color="auto"/>
              <w:right w:val="single" w:sz="4" w:space="0" w:color="auto"/>
            </w:tcBorders>
            <w:shd w:val="clear" w:color="auto" w:fill="auto"/>
            <w:noWrap/>
            <w:vAlign w:val="center"/>
            <w:hideMark/>
          </w:tcPr>
          <w:p w14:paraId="7BE8D7D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$1,641.69 </w:t>
            </w:r>
          </w:p>
        </w:tc>
        <w:tc>
          <w:tcPr>
            <w:tcW w:w="1227" w:type="dxa"/>
            <w:tcBorders>
              <w:top w:val="nil"/>
              <w:left w:val="nil"/>
              <w:bottom w:val="single" w:sz="4" w:space="0" w:color="auto"/>
              <w:right w:val="single" w:sz="4" w:space="0" w:color="auto"/>
            </w:tcBorders>
            <w:shd w:val="clear" w:color="auto" w:fill="auto"/>
            <w:noWrap/>
            <w:vAlign w:val="center"/>
            <w:hideMark/>
          </w:tcPr>
          <w:p w14:paraId="2EADECF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$1,704.68 </w:t>
            </w:r>
          </w:p>
        </w:tc>
        <w:tc>
          <w:tcPr>
            <w:tcW w:w="1166" w:type="dxa"/>
            <w:tcBorders>
              <w:top w:val="nil"/>
              <w:left w:val="nil"/>
              <w:bottom w:val="single" w:sz="4" w:space="0" w:color="auto"/>
              <w:right w:val="single" w:sz="4" w:space="0" w:color="auto"/>
            </w:tcBorders>
            <w:shd w:val="clear" w:color="auto" w:fill="auto"/>
            <w:noWrap/>
            <w:vAlign w:val="center"/>
            <w:hideMark/>
          </w:tcPr>
          <w:p w14:paraId="6169664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$1,790.08 </w:t>
            </w:r>
          </w:p>
        </w:tc>
        <w:tc>
          <w:tcPr>
            <w:tcW w:w="1268" w:type="dxa"/>
            <w:tcBorders>
              <w:top w:val="nil"/>
              <w:left w:val="nil"/>
              <w:bottom w:val="single" w:sz="4" w:space="0" w:color="auto"/>
              <w:right w:val="single" w:sz="4" w:space="0" w:color="auto"/>
            </w:tcBorders>
            <w:shd w:val="clear" w:color="auto" w:fill="auto"/>
            <w:noWrap/>
            <w:vAlign w:val="center"/>
            <w:hideMark/>
          </w:tcPr>
          <w:p w14:paraId="23856665"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$2,143.66 </w:t>
            </w:r>
          </w:p>
        </w:tc>
      </w:tr>
      <w:tr w:rsidR="007705E1" w:rsidRPr="00BE42EF" w14:paraId="50A77A72"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243DD0F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6</w:t>
            </w:r>
          </w:p>
        </w:tc>
        <w:tc>
          <w:tcPr>
            <w:tcW w:w="1186" w:type="dxa"/>
            <w:tcBorders>
              <w:top w:val="nil"/>
              <w:left w:val="nil"/>
              <w:bottom w:val="single" w:sz="4" w:space="0" w:color="auto"/>
              <w:right w:val="single" w:sz="4" w:space="0" w:color="auto"/>
            </w:tcBorders>
            <w:shd w:val="clear" w:color="auto" w:fill="auto"/>
            <w:noWrap/>
            <w:vAlign w:val="center"/>
            <w:hideMark/>
          </w:tcPr>
          <w:p w14:paraId="72875D9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$1,537.94 </w:t>
            </w:r>
          </w:p>
        </w:tc>
        <w:tc>
          <w:tcPr>
            <w:tcW w:w="1438" w:type="dxa"/>
            <w:tcBorders>
              <w:top w:val="nil"/>
              <w:left w:val="nil"/>
              <w:bottom w:val="single" w:sz="4" w:space="0" w:color="auto"/>
              <w:right w:val="single" w:sz="4" w:space="0" w:color="auto"/>
            </w:tcBorders>
            <w:shd w:val="clear" w:color="auto" w:fill="auto"/>
            <w:noWrap/>
            <w:vAlign w:val="center"/>
            <w:hideMark/>
          </w:tcPr>
          <w:p w14:paraId="4E1D4D7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$1,586.69 </w:t>
            </w:r>
          </w:p>
        </w:tc>
        <w:tc>
          <w:tcPr>
            <w:tcW w:w="1170" w:type="dxa"/>
            <w:tcBorders>
              <w:top w:val="nil"/>
              <w:left w:val="nil"/>
              <w:bottom w:val="single" w:sz="4" w:space="0" w:color="auto"/>
              <w:right w:val="single" w:sz="4" w:space="0" w:color="auto"/>
            </w:tcBorders>
            <w:shd w:val="clear" w:color="auto" w:fill="auto"/>
            <w:noWrap/>
            <w:vAlign w:val="center"/>
            <w:hideMark/>
          </w:tcPr>
          <w:p w14:paraId="55323E6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$1,765.45 </w:t>
            </w:r>
          </w:p>
        </w:tc>
        <w:tc>
          <w:tcPr>
            <w:tcW w:w="1227" w:type="dxa"/>
            <w:tcBorders>
              <w:top w:val="nil"/>
              <w:left w:val="nil"/>
              <w:bottom w:val="single" w:sz="4" w:space="0" w:color="auto"/>
              <w:right w:val="single" w:sz="4" w:space="0" w:color="auto"/>
            </w:tcBorders>
            <w:shd w:val="clear" w:color="auto" w:fill="auto"/>
            <w:noWrap/>
            <w:vAlign w:val="center"/>
            <w:hideMark/>
          </w:tcPr>
          <w:p w14:paraId="038FC8CA"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$1,836.14 </w:t>
            </w:r>
          </w:p>
        </w:tc>
        <w:tc>
          <w:tcPr>
            <w:tcW w:w="1166" w:type="dxa"/>
            <w:tcBorders>
              <w:top w:val="nil"/>
              <w:left w:val="nil"/>
              <w:bottom w:val="single" w:sz="4" w:space="0" w:color="auto"/>
              <w:right w:val="single" w:sz="4" w:space="0" w:color="auto"/>
            </w:tcBorders>
            <w:shd w:val="clear" w:color="auto" w:fill="auto"/>
            <w:noWrap/>
            <w:vAlign w:val="center"/>
            <w:hideMark/>
          </w:tcPr>
          <w:p w14:paraId="3E168DA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$1,931.96 </w:t>
            </w:r>
          </w:p>
        </w:tc>
        <w:tc>
          <w:tcPr>
            <w:tcW w:w="1268" w:type="dxa"/>
            <w:tcBorders>
              <w:top w:val="nil"/>
              <w:left w:val="nil"/>
              <w:bottom w:val="single" w:sz="4" w:space="0" w:color="auto"/>
              <w:right w:val="single" w:sz="4" w:space="0" w:color="auto"/>
            </w:tcBorders>
            <w:shd w:val="clear" w:color="auto" w:fill="auto"/>
            <w:noWrap/>
            <w:vAlign w:val="center"/>
            <w:hideMark/>
          </w:tcPr>
          <w:p w14:paraId="02460AB5"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$2,286.14 </w:t>
            </w:r>
          </w:p>
        </w:tc>
      </w:tr>
      <w:tr w:rsidR="007705E1" w:rsidRPr="00BE42EF" w14:paraId="3CEAB6B9"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742EDED8"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6.5</w:t>
            </w:r>
          </w:p>
        </w:tc>
        <w:tc>
          <w:tcPr>
            <w:tcW w:w="1186" w:type="dxa"/>
            <w:tcBorders>
              <w:top w:val="nil"/>
              <w:left w:val="nil"/>
              <w:bottom w:val="single" w:sz="4" w:space="0" w:color="auto"/>
              <w:right w:val="single" w:sz="4" w:space="0" w:color="auto"/>
            </w:tcBorders>
            <w:shd w:val="clear" w:color="auto" w:fill="auto"/>
            <w:noWrap/>
            <w:vAlign w:val="center"/>
            <w:hideMark/>
          </w:tcPr>
          <w:p w14:paraId="452800E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$1,639.69 </w:t>
            </w:r>
          </w:p>
        </w:tc>
        <w:tc>
          <w:tcPr>
            <w:tcW w:w="1438" w:type="dxa"/>
            <w:tcBorders>
              <w:top w:val="nil"/>
              <w:left w:val="nil"/>
              <w:bottom w:val="single" w:sz="4" w:space="0" w:color="auto"/>
              <w:right w:val="single" w:sz="4" w:space="0" w:color="auto"/>
            </w:tcBorders>
            <w:shd w:val="clear" w:color="auto" w:fill="auto"/>
            <w:noWrap/>
            <w:vAlign w:val="center"/>
            <w:hideMark/>
          </w:tcPr>
          <w:p w14:paraId="2AB852B3"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$1,691.00 </w:t>
            </w:r>
          </w:p>
        </w:tc>
        <w:tc>
          <w:tcPr>
            <w:tcW w:w="1170" w:type="dxa"/>
            <w:tcBorders>
              <w:top w:val="nil"/>
              <w:left w:val="nil"/>
              <w:bottom w:val="single" w:sz="4" w:space="0" w:color="auto"/>
              <w:right w:val="single" w:sz="4" w:space="0" w:color="auto"/>
            </w:tcBorders>
            <w:shd w:val="clear" w:color="auto" w:fill="auto"/>
            <w:noWrap/>
            <w:vAlign w:val="center"/>
            <w:hideMark/>
          </w:tcPr>
          <w:p w14:paraId="7C49654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$1,889.22 </w:t>
            </w:r>
          </w:p>
        </w:tc>
        <w:tc>
          <w:tcPr>
            <w:tcW w:w="1227" w:type="dxa"/>
            <w:tcBorders>
              <w:top w:val="nil"/>
              <w:left w:val="nil"/>
              <w:bottom w:val="single" w:sz="4" w:space="0" w:color="auto"/>
              <w:right w:val="single" w:sz="4" w:space="0" w:color="auto"/>
            </w:tcBorders>
            <w:shd w:val="clear" w:color="auto" w:fill="auto"/>
            <w:noWrap/>
            <w:vAlign w:val="center"/>
            <w:hideMark/>
          </w:tcPr>
          <w:p w14:paraId="26BE72B7"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$1,967.59 </w:t>
            </w:r>
          </w:p>
        </w:tc>
        <w:tc>
          <w:tcPr>
            <w:tcW w:w="1166" w:type="dxa"/>
            <w:tcBorders>
              <w:top w:val="nil"/>
              <w:left w:val="nil"/>
              <w:bottom w:val="single" w:sz="4" w:space="0" w:color="auto"/>
              <w:right w:val="single" w:sz="4" w:space="0" w:color="auto"/>
            </w:tcBorders>
            <w:shd w:val="clear" w:color="auto" w:fill="auto"/>
            <w:noWrap/>
            <w:vAlign w:val="center"/>
            <w:hideMark/>
          </w:tcPr>
          <w:p w14:paraId="734392F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$2,073.84 </w:t>
            </w:r>
          </w:p>
        </w:tc>
        <w:tc>
          <w:tcPr>
            <w:tcW w:w="1268" w:type="dxa"/>
            <w:tcBorders>
              <w:top w:val="nil"/>
              <w:left w:val="nil"/>
              <w:bottom w:val="single" w:sz="4" w:space="0" w:color="auto"/>
              <w:right w:val="single" w:sz="4" w:space="0" w:color="auto"/>
            </w:tcBorders>
            <w:shd w:val="clear" w:color="auto" w:fill="auto"/>
            <w:noWrap/>
            <w:vAlign w:val="center"/>
            <w:hideMark/>
          </w:tcPr>
          <w:p w14:paraId="02693E29"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$2,428.62 </w:t>
            </w:r>
          </w:p>
        </w:tc>
      </w:tr>
      <w:tr w:rsidR="007705E1" w:rsidRPr="00BE42EF" w14:paraId="55F5B732"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100B61C9"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lastRenderedPageBreak/>
              <w:t>7</w:t>
            </w:r>
          </w:p>
        </w:tc>
        <w:tc>
          <w:tcPr>
            <w:tcW w:w="1186" w:type="dxa"/>
            <w:tcBorders>
              <w:top w:val="nil"/>
              <w:left w:val="nil"/>
              <w:bottom w:val="single" w:sz="4" w:space="0" w:color="auto"/>
              <w:right w:val="single" w:sz="4" w:space="0" w:color="auto"/>
            </w:tcBorders>
            <w:shd w:val="clear" w:color="auto" w:fill="auto"/>
            <w:noWrap/>
            <w:vAlign w:val="center"/>
            <w:hideMark/>
          </w:tcPr>
          <w:p w14:paraId="1FB30E4C"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$1,739.69 </w:t>
            </w:r>
          </w:p>
        </w:tc>
        <w:tc>
          <w:tcPr>
            <w:tcW w:w="1438" w:type="dxa"/>
            <w:tcBorders>
              <w:top w:val="nil"/>
              <w:left w:val="nil"/>
              <w:bottom w:val="single" w:sz="4" w:space="0" w:color="auto"/>
              <w:right w:val="single" w:sz="4" w:space="0" w:color="auto"/>
            </w:tcBorders>
            <w:shd w:val="clear" w:color="auto" w:fill="auto"/>
            <w:noWrap/>
            <w:vAlign w:val="center"/>
            <w:hideMark/>
          </w:tcPr>
          <w:p w14:paraId="33384EE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$1,793.51 </w:t>
            </w:r>
          </w:p>
        </w:tc>
        <w:tc>
          <w:tcPr>
            <w:tcW w:w="1170" w:type="dxa"/>
            <w:tcBorders>
              <w:top w:val="nil"/>
              <w:left w:val="nil"/>
              <w:bottom w:val="single" w:sz="4" w:space="0" w:color="auto"/>
              <w:right w:val="single" w:sz="4" w:space="0" w:color="auto"/>
            </w:tcBorders>
            <w:shd w:val="clear" w:color="auto" w:fill="auto"/>
            <w:noWrap/>
            <w:vAlign w:val="center"/>
            <w:hideMark/>
          </w:tcPr>
          <w:p w14:paraId="1236DC57"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$2,010.84 </w:t>
            </w:r>
          </w:p>
        </w:tc>
        <w:tc>
          <w:tcPr>
            <w:tcW w:w="1227" w:type="dxa"/>
            <w:tcBorders>
              <w:top w:val="nil"/>
              <w:left w:val="nil"/>
              <w:bottom w:val="single" w:sz="4" w:space="0" w:color="auto"/>
              <w:right w:val="single" w:sz="4" w:space="0" w:color="auto"/>
            </w:tcBorders>
            <w:shd w:val="clear" w:color="auto" w:fill="auto"/>
            <w:noWrap/>
            <w:vAlign w:val="center"/>
            <w:hideMark/>
          </w:tcPr>
          <w:p w14:paraId="5DAFBDD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$2,096.78 </w:t>
            </w:r>
          </w:p>
        </w:tc>
        <w:tc>
          <w:tcPr>
            <w:tcW w:w="1166" w:type="dxa"/>
            <w:tcBorders>
              <w:top w:val="nil"/>
              <w:left w:val="nil"/>
              <w:bottom w:val="single" w:sz="4" w:space="0" w:color="auto"/>
              <w:right w:val="single" w:sz="4" w:space="0" w:color="auto"/>
            </w:tcBorders>
            <w:shd w:val="clear" w:color="auto" w:fill="auto"/>
            <w:noWrap/>
            <w:vAlign w:val="center"/>
            <w:hideMark/>
          </w:tcPr>
          <w:p w14:paraId="3A12987A"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$2,213.28 </w:t>
            </w:r>
          </w:p>
        </w:tc>
        <w:tc>
          <w:tcPr>
            <w:tcW w:w="1268" w:type="dxa"/>
            <w:tcBorders>
              <w:top w:val="nil"/>
              <w:left w:val="nil"/>
              <w:bottom w:val="single" w:sz="4" w:space="0" w:color="auto"/>
              <w:right w:val="single" w:sz="4" w:space="0" w:color="auto"/>
            </w:tcBorders>
            <w:shd w:val="clear" w:color="auto" w:fill="auto"/>
            <w:noWrap/>
            <w:vAlign w:val="center"/>
            <w:hideMark/>
          </w:tcPr>
          <w:p w14:paraId="76706313"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$2,573.52 </w:t>
            </w:r>
          </w:p>
        </w:tc>
      </w:tr>
      <w:tr w:rsidR="007705E1" w:rsidRPr="00BE42EF" w14:paraId="0097DC9D"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31162E67"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7.5</w:t>
            </w:r>
          </w:p>
        </w:tc>
        <w:tc>
          <w:tcPr>
            <w:tcW w:w="1186" w:type="dxa"/>
            <w:tcBorders>
              <w:top w:val="nil"/>
              <w:left w:val="nil"/>
              <w:bottom w:val="single" w:sz="4" w:space="0" w:color="auto"/>
              <w:right w:val="single" w:sz="4" w:space="0" w:color="auto"/>
            </w:tcBorders>
            <w:shd w:val="clear" w:color="auto" w:fill="auto"/>
            <w:noWrap/>
            <w:vAlign w:val="center"/>
            <w:hideMark/>
          </w:tcPr>
          <w:p w14:paraId="3AFEEFF9"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$1,841.45 </w:t>
            </w:r>
          </w:p>
        </w:tc>
        <w:tc>
          <w:tcPr>
            <w:tcW w:w="1438" w:type="dxa"/>
            <w:tcBorders>
              <w:top w:val="nil"/>
              <w:left w:val="nil"/>
              <w:bottom w:val="single" w:sz="4" w:space="0" w:color="auto"/>
              <w:right w:val="single" w:sz="4" w:space="0" w:color="auto"/>
            </w:tcBorders>
            <w:shd w:val="clear" w:color="auto" w:fill="auto"/>
            <w:noWrap/>
            <w:vAlign w:val="center"/>
            <w:hideMark/>
          </w:tcPr>
          <w:p w14:paraId="6148F307"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$1,897.82 </w:t>
            </w:r>
          </w:p>
        </w:tc>
        <w:tc>
          <w:tcPr>
            <w:tcW w:w="1170" w:type="dxa"/>
            <w:tcBorders>
              <w:top w:val="nil"/>
              <w:left w:val="nil"/>
              <w:bottom w:val="single" w:sz="4" w:space="0" w:color="auto"/>
              <w:right w:val="single" w:sz="4" w:space="0" w:color="auto"/>
            </w:tcBorders>
            <w:shd w:val="clear" w:color="auto" w:fill="auto"/>
            <w:noWrap/>
            <w:vAlign w:val="center"/>
            <w:hideMark/>
          </w:tcPr>
          <w:p w14:paraId="46A0500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$2,134.61 </w:t>
            </w:r>
          </w:p>
        </w:tc>
        <w:tc>
          <w:tcPr>
            <w:tcW w:w="1227" w:type="dxa"/>
            <w:tcBorders>
              <w:top w:val="nil"/>
              <w:left w:val="nil"/>
              <w:bottom w:val="single" w:sz="4" w:space="0" w:color="auto"/>
              <w:right w:val="single" w:sz="4" w:space="0" w:color="auto"/>
            </w:tcBorders>
            <w:shd w:val="clear" w:color="auto" w:fill="auto"/>
            <w:noWrap/>
            <w:vAlign w:val="center"/>
            <w:hideMark/>
          </w:tcPr>
          <w:p w14:paraId="0F29DE87"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$2,228.24 </w:t>
            </w:r>
          </w:p>
        </w:tc>
        <w:tc>
          <w:tcPr>
            <w:tcW w:w="1166" w:type="dxa"/>
            <w:tcBorders>
              <w:top w:val="nil"/>
              <w:left w:val="nil"/>
              <w:bottom w:val="single" w:sz="4" w:space="0" w:color="auto"/>
              <w:right w:val="single" w:sz="4" w:space="0" w:color="auto"/>
            </w:tcBorders>
            <w:shd w:val="clear" w:color="auto" w:fill="auto"/>
            <w:noWrap/>
            <w:vAlign w:val="center"/>
            <w:hideMark/>
          </w:tcPr>
          <w:p w14:paraId="544AA24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$2,355.16 </w:t>
            </w:r>
          </w:p>
        </w:tc>
        <w:tc>
          <w:tcPr>
            <w:tcW w:w="1268" w:type="dxa"/>
            <w:tcBorders>
              <w:top w:val="nil"/>
              <w:left w:val="nil"/>
              <w:bottom w:val="single" w:sz="4" w:space="0" w:color="auto"/>
              <w:right w:val="single" w:sz="4" w:space="0" w:color="auto"/>
            </w:tcBorders>
            <w:shd w:val="clear" w:color="auto" w:fill="auto"/>
            <w:noWrap/>
            <w:vAlign w:val="center"/>
            <w:hideMark/>
          </w:tcPr>
          <w:p w14:paraId="4E416C3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$2,716.01 </w:t>
            </w:r>
          </w:p>
        </w:tc>
      </w:tr>
      <w:tr w:rsidR="007705E1" w:rsidRPr="00BE42EF" w14:paraId="61D70ACD"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01B3DE2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8</w:t>
            </w:r>
          </w:p>
        </w:tc>
        <w:tc>
          <w:tcPr>
            <w:tcW w:w="1186" w:type="dxa"/>
            <w:tcBorders>
              <w:top w:val="nil"/>
              <w:left w:val="nil"/>
              <w:bottom w:val="single" w:sz="4" w:space="0" w:color="auto"/>
              <w:right w:val="single" w:sz="4" w:space="0" w:color="auto"/>
            </w:tcBorders>
            <w:shd w:val="clear" w:color="auto" w:fill="auto"/>
            <w:noWrap/>
            <w:vAlign w:val="center"/>
            <w:hideMark/>
          </w:tcPr>
          <w:p w14:paraId="6C5F36E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$1,943.20 </w:t>
            </w:r>
          </w:p>
        </w:tc>
        <w:tc>
          <w:tcPr>
            <w:tcW w:w="1438" w:type="dxa"/>
            <w:tcBorders>
              <w:top w:val="nil"/>
              <w:left w:val="nil"/>
              <w:bottom w:val="single" w:sz="4" w:space="0" w:color="auto"/>
              <w:right w:val="single" w:sz="4" w:space="0" w:color="auto"/>
            </w:tcBorders>
            <w:shd w:val="clear" w:color="auto" w:fill="auto"/>
            <w:noWrap/>
            <w:vAlign w:val="center"/>
            <w:hideMark/>
          </w:tcPr>
          <w:p w14:paraId="1BCAB5A9"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$2,002.13 </w:t>
            </w:r>
          </w:p>
        </w:tc>
        <w:tc>
          <w:tcPr>
            <w:tcW w:w="1170" w:type="dxa"/>
            <w:tcBorders>
              <w:top w:val="nil"/>
              <w:left w:val="nil"/>
              <w:bottom w:val="single" w:sz="4" w:space="0" w:color="auto"/>
              <w:right w:val="single" w:sz="4" w:space="0" w:color="auto"/>
            </w:tcBorders>
            <w:shd w:val="clear" w:color="auto" w:fill="auto"/>
            <w:noWrap/>
            <w:vAlign w:val="center"/>
            <w:hideMark/>
          </w:tcPr>
          <w:p w14:paraId="4AA7C82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$2,258.37 </w:t>
            </w:r>
          </w:p>
        </w:tc>
        <w:tc>
          <w:tcPr>
            <w:tcW w:w="1227" w:type="dxa"/>
            <w:tcBorders>
              <w:top w:val="nil"/>
              <w:left w:val="nil"/>
              <w:bottom w:val="single" w:sz="4" w:space="0" w:color="auto"/>
              <w:right w:val="single" w:sz="4" w:space="0" w:color="auto"/>
            </w:tcBorders>
            <w:shd w:val="clear" w:color="auto" w:fill="auto"/>
            <w:noWrap/>
            <w:vAlign w:val="center"/>
            <w:hideMark/>
          </w:tcPr>
          <w:p w14:paraId="21B7072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$2,359.69 </w:t>
            </w:r>
          </w:p>
        </w:tc>
        <w:tc>
          <w:tcPr>
            <w:tcW w:w="1166" w:type="dxa"/>
            <w:tcBorders>
              <w:top w:val="nil"/>
              <w:left w:val="nil"/>
              <w:bottom w:val="single" w:sz="4" w:space="0" w:color="auto"/>
              <w:right w:val="single" w:sz="4" w:space="0" w:color="auto"/>
            </w:tcBorders>
            <w:shd w:val="clear" w:color="auto" w:fill="auto"/>
            <w:noWrap/>
            <w:vAlign w:val="center"/>
            <w:hideMark/>
          </w:tcPr>
          <w:p w14:paraId="059AC588"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$2,497.05 </w:t>
            </w:r>
          </w:p>
        </w:tc>
        <w:tc>
          <w:tcPr>
            <w:tcW w:w="1268" w:type="dxa"/>
            <w:tcBorders>
              <w:top w:val="nil"/>
              <w:left w:val="nil"/>
              <w:bottom w:val="single" w:sz="4" w:space="0" w:color="auto"/>
              <w:right w:val="single" w:sz="4" w:space="0" w:color="auto"/>
            </w:tcBorders>
            <w:shd w:val="clear" w:color="auto" w:fill="auto"/>
            <w:noWrap/>
            <w:vAlign w:val="center"/>
            <w:hideMark/>
          </w:tcPr>
          <w:p w14:paraId="1D989BC5"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$2,858.49 </w:t>
            </w:r>
          </w:p>
        </w:tc>
      </w:tr>
      <w:tr w:rsidR="007705E1" w:rsidRPr="00BE42EF" w14:paraId="16FDB88E"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3FC8BDA5"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8.5</w:t>
            </w:r>
          </w:p>
        </w:tc>
        <w:tc>
          <w:tcPr>
            <w:tcW w:w="1186" w:type="dxa"/>
            <w:tcBorders>
              <w:top w:val="nil"/>
              <w:left w:val="nil"/>
              <w:bottom w:val="single" w:sz="4" w:space="0" w:color="auto"/>
              <w:right w:val="single" w:sz="4" w:space="0" w:color="auto"/>
            </w:tcBorders>
            <w:shd w:val="clear" w:color="auto" w:fill="auto"/>
            <w:noWrap/>
            <w:vAlign w:val="center"/>
            <w:hideMark/>
          </w:tcPr>
          <w:p w14:paraId="13202E6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$2,044.96 </w:t>
            </w:r>
          </w:p>
        </w:tc>
        <w:tc>
          <w:tcPr>
            <w:tcW w:w="1438" w:type="dxa"/>
            <w:tcBorders>
              <w:top w:val="nil"/>
              <w:left w:val="nil"/>
              <w:bottom w:val="single" w:sz="4" w:space="0" w:color="auto"/>
              <w:right w:val="single" w:sz="4" w:space="0" w:color="auto"/>
            </w:tcBorders>
            <w:shd w:val="clear" w:color="auto" w:fill="auto"/>
            <w:noWrap/>
            <w:vAlign w:val="center"/>
            <w:hideMark/>
          </w:tcPr>
          <w:p w14:paraId="54A0AF28"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$2,106.44 </w:t>
            </w:r>
          </w:p>
        </w:tc>
        <w:tc>
          <w:tcPr>
            <w:tcW w:w="1170" w:type="dxa"/>
            <w:tcBorders>
              <w:top w:val="nil"/>
              <w:left w:val="nil"/>
              <w:bottom w:val="single" w:sz="4" w:space="0" w:color="auto"/>
              <w:right w:val="single" w:sz="4" w:space="0" w:color="auto"/>
            </w:tcBorders>
            <w:shd w:val="clear" w:color="auto" w:fill="auto"/>
            <w:noWrap/>
            <w:vAlign w:val="center"/>
            <w:hideMark/>
          </w:tcPr>
          <w:p w14:paraId="336C82E6"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$2,382.13 </w:t>
            </w:r>
          </w:p>
        </w:tc>
        <w:tc>
          <w:tcPr>
            <w:tcW w:w="1227" w:type="dxa"/>
            <w:tcBorders>
              <w:top w:val="nil"/>
              <w:left w:val="nil"/>
              <w:bottom w:val="single" w:sz="4" w:space="0" w:color="auto"/>
              <w:right w:val="single" w:sz="4" w:space="0" w:color="auto"/>
            </w:tcBorders>
            <w:shd w:val="clear" w:color="auto" w:fill="auto"/>
            <w:noWrap/>
            <w:vAlign w:val="center"/>
            <w:hideMark/>
          </w:tcPr>
          <w:p w14:paraId="64E68493"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$2,491.15 </w:t>
            </w:r>
          </w:p>
        </w:tc>
        <w:tc>
          <w:tcPr>
            <w:tcW w:w="1166" w:type="dxa"/>
            <w:tcBorders>
              <w:top w:val="nil"/>
              <w:left w:val="nil"/>
              <w:bottom w:val="single" w:sz="4" w:space="0" w:color="auto"/>
              <w:right w:val="single" w:sz="4" w:space="0" w:color="auto"/>
            </w:tcBorders>
            <w:shd w:val="clear" w:color="auto" w:fill="auto"/>
            <w:noWrap/>
            <w:vAlign w:val="center"/>
            <w:hideMark/>
          </w:tcPr>
          <w:p w14:paraId="7A78DF2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$2,638.93 </w:t>
            </w:r>
          </w:p>
        </w:tc>
        <w:tc>
          <w:tcPr>
            <w:tcW w:w="1268" w:type="dxa"/>
            <w:tcBorders>
              <w:top w:val="nil"/>
              <w:left w:val="nil"/>
              <w:bottom w:val="single" w:sz="4" w:space="0" w:color="auto"/>
              <w:right w:val="single" w:sz="4" w:space="0" w:color="auto"/>
            </w:tcBorders>
            <w:shd w:val="clear" w:color="auto" w:fill="auto"/>
            <w:noWrap/>
            <w:vAlign w:val="center"/>
            <w:hideMark/>
          </w:tcPr>
          <w:p w14:paraId="0A14EC2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$3,000.98 </w:t>
            </w:r>
          </w:p>
        </w:tc>
      </w:tr>
      <w:tr w:rsidR="007705E1" w:rsidRPr="00BE42EF" w14:paraId="053615AC"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190238C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9</w:t>
            </w:r>
          </w:p>
        </w:tc>
        <w:tc>
          <w:tcPr>
            <w:tcW w:w="1186" w:type="dxa"/>
            <w:tcBorders>
              <w:top w:val="nil"/>
              <w:left w:val="nil"/>
              <w:bottom w:val="single" w:sz="4" w:space="0" w:color="auto"/>
              <w:right w:val="single" w:sz="4" w:space="0" w:color="auto"/>
            </w:tcBorders>
            <w:shd w:val="clear" w:color="auto" w:fill="auto"/>
            <w:noWrap/>
            <w:vAlign w:val="center"/>
            <w:hideMark/>
          </w:tcPr>
          <w:p w14:paraId="054A078A"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$2,146.71 </w:t>
            </w:r>
          </w:p>
        </w:tc>
        <w:tc>
          <w:tcPr>
            <w:tcW w:w="1438" w:type="dxa"/>
            <w:tcBorders>
              <w:top w:val="nil"/>
              <w:left w:val="nil"/>
              <w:bottom w:val="single" w:sz="4" w:space="0" w:color="auto"/>
              <w:right w:val="single" w:sz="4" w:space="0" w:color="auto"/>
            </w:tcBorders>
            <w:shd w:val="clear" w:color="auto" w:fill="auto"/>
            <w:noWrap/>
            <w:vAlign w:val="center"/>
            <w:hideMark/>
          </w:tcPr>
          <w:p w14:paraId="040FDE4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$2,210.75 </w:t>
            </w:r>
          </w:p>
        </w:tc>
        <w:tc>
          <w:tcPr>
            <w:tcW w:w="1170" w:type="dxa"/>
            <w:tcBorders>
              <w:top w:val="nil"/>
              <w:left w:val="nil"/>
              <w:bottom w:val="single" w:sz="4" w:space="0" w:color="auto"/>
              <w:right w:val="single" w:sz="4" w:space="0" w:color="auto"/>
            </w:tcBorders>
            <w:shd w:val="clear" w:color="auto" w:fill="auto"/>
            <w:noWrap/>
            <w:vAlign w:val="center"/>
            <w:hideMark/>
          </w:tcPr>
          <w:p w14:paraId="6FCFE70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$2,505.90 </w:t>
            </w:r>
          </w:p>
        </w:tc>
        <w:tc>
          <w:tcPr>
            <w:tcW w:w="1227" w:type="dxa"/>
            <w:tcBorders>
              <w:top w:val="nil"/>
              <w:left w:val="nil"/>
              <w:bottom w:val="single" w:sz="4" w:space="0" w:color="auto"/>
              <w:right w:val="single" w:sz="4" w:space="0" w:color="auto"/>
            </w:tcBorders>
            <w:shd w:val="clear" w:color="auto" w:fill="auto"/>
            <w:noWrap/>
            <w:vAlign w:val="center"/>
            <w:hideMark/>
          </w:tcPr>
          <w:p w14:paraId="15DF7E3F"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$2,622.60 </w:t>
            </w:r>
          </w:p>
        </w:tc>
        <w:tc>
          <w:tcPr>
            <w:tcW w:w="1166" w:type="dxa"/>
            <w:tcBorders>
              <w:top w:val="nil"/>
              <w:left w:val="nil"/>
              <w:bottom w:val="single" w:sz="4" w:space="0" w:color="auto"/>
              <w:right w:val="single" w:sz="4" w:space="0" w:color="auto"/>
            </w:tcBorders>
            <w:shd w:val="clear" w:color="auto" w:fill="auto"/>
            <w:noWrap/>
            <w:vAlign w:val="center"/>
            <w:hideMark/>
          </w:tcPr>
          <w:p w14:paraId="39FAE41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$2,780.81 </w:t>
            </w:r>
          </w:p>
        </w:tc>
        <w:tc>
          <w:tcPr>
            <w:tcW w:w="1268" w:type="dxa"/>
            <w:tcBorders>
              <w:top w:val="nil"/>
              <w:left w:val="nil"/>
              <w:bottom w:val="single" w:sz="4" w:space="0" w:color="auto"/>
              <w:right w:val="single" w:sz="4" w:space="0" w:color="auto"/>
            </w:tcBorders>
            <w:shd w:val="clear" w:color="auto" w:fill="auto"/>
            <w:noWrap/>
            <w:vAlign w:val="center"/>
            <w:hideMark/>
          </w:tcPr>
          <w:p w14:paraId="690C4E5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$3,145.87 </w:t>
            </w:r>
          </w:p>
        </w:tc>
      </w:tr>
      <w:tr w:rsidR="007705E1" w:rsidRPr="00BE42EF" w14:paraId="54B51C8B"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6FD264A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9.5</w:t>
            </w:r>
          </w:p>
        </w:tc>
        <w:tc>
          <w:tcPr>
            <w:tcW w:w="1186" w:type="dxa"/>
            <w:tcBorders>
              <w:top w:val="nil"/>
              <w:left w:val="nil"/>
              <w:bottom w:val="single" w:sz="4" w:space="0" w:color="auto"/>
              <w:right w:val="single" w:sz="4" w:space="0" w:color="auto"/>
            </w:tcBorders>
            <w:shd w:val="clear" w:color="auto" w:fill="auto"/>
            <w:noWrap/>
            <w:vAlign w:val="center"/>
            <w:hideMark/>
          </w:tcPr>
          <w:p w14:paraId="756B4509" w14:textId="2C546938"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438" w:type="dxa"/>
            <w:tcBorders>
              <w:top w:val="nil"/>
              <w:left w:val="nil"/>
              <w:bottom w:val="single" w:sz="4" w:space="0" w:color="auto"/>
              <w:right w:val="single" w:sz="4" w:space="0" w:color="auto"/>
            </w:tcBorders>
            <w:shd w:val="clear" w:color="auto" w:fill="auto"/>
            <w:noWrap/>
            <w:vAlign w:val="center"/>
            <w:hideMark/>
          </w:tcPr>
          <w:p w14:paraId="2F444E4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$2,315.06 </w:t>
            </w:r>
          </w:p>
        </w:tc>
        <w:tc>
          <w:tcPr>
            <w:tcW w:w="1170" w:type="dxa"/>
            <w:tcBorders>
              <w:top w:val="nil"/>
              <w:left w:val="nil"/>
              <w:bottom w:val="single" w:sz="4" w:space="0" w:color="auto"/>
              <w:right w:val="single" w:sz="4" w:space="0" w:color="auto"/>
            </w:tcBorders>
            <w:shd w:val="clear" w:color="auto" w:fill="auto"/>
            <w:noWrap/>
            <w:vAlign w:val="center"/>
            <w:hideMark/>
          </w:tcPr>
          <w:p w14:paraId="6A7CA654"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$2,629.66 </w:t>
            </w:r>
          </w:p>
        </w:tc>
        <w:tc>
          <w:tcPr>
            <w:tcW w:w="1227" w:type="dxa"/>
            <w:tcBorders>
              <w:top w:val="nil"/>
              <w:left w:val="nil"/>
              <w:bottom w:val="single" w:sz="4" w:space="0" w:color="auto"/>
              <w:right w:val="single" w:sz="4" w:space="0" w:color="auto"/>
            </w:tcBorders>
            <w:shd w:val="clear" w:color="auto" w:fill="auto"/>
            <w:noWrap/>
            <w:vAlign w:val="center"/>
            <w:hideMark/>
          </w:tcPr>
          <w:p w14:paraId="4B05D3DC"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$2,754.06 </w:t>
            </w:r>
          </w:p>
        </w:tc>
        <w:tc>
          <w:tcPr>
            <w:tcW w:w="1166" w:type="dxa"/>
            <w:tcBorders>
              <w:top w:val="nil"/>
              <w:left w:val="nil"/>
              <w:bottom w:val="single" w:sz="4" w:space="0" w:color="auto"/>
              <w:right w:val="single" w:sz="4" w:space="0" w:color="auto"/>
            </w:tcBorders>
            <w:shd w:val="clear" w:color="auto" w:fill="auto"/>
            <w:noWrap/>
            <w:vAlign w:val="center"/>
            <w:hideMark/>
          </w:tcPr>
          <w:p w14:paraId="399D759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$2,922.69 </w:t>
            </w:r>
          </w:p>
        </w:tc>
        <w:tc>
          <w:tcPr>
            <w:tcW w:w="1268" w:type="dxa"/>
            <w:tcBorders>
              <w:top w:val="nil"/>
              <w:left w:val="nil"/>
              <w:bottom w:val="single" w:sz="4" w:space="0" w:color="auto"/>
              <w:right w:val="single" w:sz="4" w:space="0" w:color="auto"/>
            </w:tcBorders>
            <w:shd w:val="clear" w:color="auto" w:fill="auto"/>
            <w:noWrap/>
            <w:vAlign w:val="center"/>
            <w:hideMark/>
          </w:tcPr>
          <w:p w14:paraId="68B5E7F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$3,288.36 </w:t>
            </w:r>
          </w:p>
        </w:tc>
      </w:tr>
      <w:tr w:rsidR="007705E1" w:rsidRPr="00BE42EF" w14:paraId="314C541D"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30F70567"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10</w:t>
            </w:r>
          </w:p>
        </w:tc>
        <w:tc>
          <w:tcPr>
            <w:tcW w:w="1186" w:type="dxa"/>
            <w:tcBorders>
              <w:top w:val="nil"/>
              <w:left w:val="nil"/>
              <w:bottom w:val="single" w:sz="4" w:space="0" w:color="auto"/>
              <w:right w:val="single" w:sz="4" w:space="0" w:color="auto"/>
            </w:tcBorders>
            <w:shd w:val="clear" w:color="auto" w:fill="auto"/>
            <w:noWrap/>
            <w:vAlign w:val="center"/>
            <w:hideMark/>
          </w:tcPr>
          <w:p w14:paraId="0F96FB77" w14:textId="72CE6158" w:rsidR="007705E1" w:rsidRPr="00BE42EF" w:rsidRDefault="007705E1" w:rsidP="003E7CC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BE42EF">
              <w:rPr>
                <w:rFonts w:ascii="Times New Roman" w:eastAsia="Times New Roman" w:hAnsi="Times New Roman" w:cs="Times New Roman"/>
                <w:color w:val="000000"/>
                <w:sz w:val="22"/>
                <w:szCs w:val="22"/>
              </w:rPr>
              <w:t xml:space="preserve"> </w:t>
            </w:r>
          </w:p>
        </w:tc>
        <w:tc>
          <w:tcPr>
            <w:tcW w:w="1438" w:type="dxa"/>
            <w:tcBorders>
              <w:top w:val="nil"/>
              <w:left w:val="nil"/>
              <w:bottom w:val="single" w:sz="4" w:space="0" w:color="auto"/>
              <w:right w:val="single" w:sz="4" w:space="0" w:color="auto"/>
            </w:tcBorders>
            <w:shd w:val="clear" w:color="auto" w:fill="auto"/>
            <w:noWrap/>
            <w:vAlign w:val="center"/>
            <w:hideMark/>
          </w:tcPr>
          <w:p w14:paraId="2E39BCC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$2,419.37 </w:t>
            </w:r>
          </w:p>
        </w:tc>
        <w:tc>
          <w:tcPr>
            <w:tcW w:w="1170" w:type="dxa"/>
            <w:tcBorders>
              <w:top w:val="nil"/>
              <w:left w:val="nil"/>
              <w:bottom w:val="single" w:sz="4" w:space="0" w:color="auto"/>
              <w:right w:val="single" w:sz="4" w:space="0" w:color="auto"/>
            </w:tcBorders>
            <w:shd w:val="clear" w:color="auto" w:fill="auto"/>
            <w:noWrap/>
            <w:vAlign w:val="center"/>
            <w:hideMark/>
          </w:tcPr>
          <w:p w14:paraId="780CE3A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$2,753.42 </w:t>
            </w:r>
          </w:p>
        </w:tc>
        <w:tc>
          <w:tcPr>
            <w:tcW w:w="1227" w:type="dxa"/>
            <w:tcBorders>
              <w:top w:val="nil"/>
              <w:left w:val="nil"/>
              <w:bottom w:val="single" w:sz="4" w:space="0" w:color="auto"/>
              <w:right w:val="single" w:sz="4" w:space="0" w:color="auto"/>
            </w:tcBorders>
            <w:shd w:val="clear" w:color="auto" w:fill="auto"/>
            <w:noWrap/>
            <w:vAlign w:val="center"/>
            <w:hideMark/>
          </w:tcPr>
          <w:p w14:paraId="21858B8E"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$2,885.51 </w:t>
            </w:r>
          </w:p>
        </w:tc>
        <w:tc>
          <w:tcPr>
            <w:tcW w:w="1166" w:type="dxa"/>
            <w:tcBorders>
              <w:top w:val="nil"/>
              <w:left w:val="nil"/>
              <w:bottom w:val="single" w:sz="4" w:space="0" w:color="auto"/>
              <w:right w:val="single" w:sz="4" w:space="0" w:color="auto"/>
            </w:tcBorders>
            <w:shd w:val="clear" w:color="auto" w:fill="auto"/>
            <w:noWrap/>
            <w:vAlign w:val="center"/>
            <w:hideMark/>
          </w:tcPr>
          <w:p w14:paraId="1B47880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$3,064.57 </w:t>
            </w:r>
          </w:p>
        </w:tc>
        <w:tc>
          <w:tcPr>
            <w:tcW w:w="1268" w:type="dxa"/>
            <w:tcBorders>
              <w:top w:val="nil"/>
              <w:left w:val="nil"/>
              <w:bottom w:val="single" w:sz="4" w:space="0" w:color="auto"/>
              <w:right w:val="single" w:sz="4" w:space="0" w:color="auto"/>
            </w:tcBorders>
            <w:shd w:val="clear" w:color="auto" w:fill="auto"/>
            <w:noWrap/>
            <w:vAlign w:val="center"/>
            <w:hideMark/>
          </w:tcPr>
          <w:p w14:paraId="2239316F"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$3,430.84 </w:t>
            </w:r>
          </w:p>
        </w:tc>
      </w:tr>
      <w:tr w:rsidR="007705E1" w:rsidRPr="00BE42EF" w14:paraId="6AAC442F"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42A7E065"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10.5</w:t>
            </w:r>
          </w:p>
        </w:tc>
        <w:tc>
          <w:tcPr>
            <w:tcW w:w="1186" w:type="dxa"/>
            <w:tcBorders>
              <w:top w:val="nil"/>
              <w:left w:val="nil"/>
              <w:bottom w:val="single" w:sz="4" w:space="0" w:color="auto"/>
              <w:right w:val="single" w:sz="4" w:space="0" w:color="auto"/>
            </w:tcBorders>
            <w:shd w:val="clear" w:color="auto" w:fill="auto"/>
            <w:noWrap/>
            <w:vAlign w:val="center"/>
            <w:hideMark/>
          </w:tcPr>
          <w:p w14:paraId="3D58527E" w14:textId="3338B9E6"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438" w:type="dxa"/>
            <w:tcBorders>
              <w:top w:val="nil"/>
              <w:left w:val="nil"/>
              <w:bottom w:val="single" w:sz="4" w:space="0" w:color="auto"/>
              <w:right w:val="single" w:sz="4" w:space="0" w:color="auto"/>
            </w:tcBorders>
            <w:shd w:val="clear" w:color="auto" w:fill="auto"/>
            <w:noWrap/>
            <w:vAlign w:val="center"/>
            <w:hideMark/>
          </w:tcPr>
          <w:p w14:paraId="00617069"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$2,523.68 </w:t>
            </w:r>
          </w:p>
        </w:tc>
        <w:tc>
          <w:tcPr>
            <w:tcW w:w="1170" w:type="dxa"/>
            <w:tcBorders>
              <w:top w:val="nil"/>
              <w:left w:val="nil"/>
              <w:bottom w:val="single" w:sz="4" w:space="0" w:color="auto"/>
              <w:right w:val="single" w:sz="4" w:space="0" w:color="auto"/>
            </w:tcBorders>
            <w:shd w:val="clear" w:color="auto" w:fill="auto"/>
            <w:noWrap/>
            <w:vAlign w:val="center"/>
            <w:hideMark/>
          </w:tcPr>
          <w:p w14:paraId="35222E4F"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$2,877.19 </w:t>
            </w:r>
          </w:p>
        </w:tc>
        <w:tc>
          <w:tcPr>
            <w:tcW w:w="1227" w:type="dxa"/>
            <w:tcBorders>
              <w:top w:val="nil"/>
              <w:left w:val="nil"/>
              <w:bottom w:val="single" w:sz="4" w:space="0" w:color="auto"/>
              <w:right w:val="single" w:sz="4" w:space="0" w:color="auto"/>
            </w:tcBorders>
            <w:shd w:val="clear" w:color="auto" w:fill="auto"/>
            <w:noWrap/>
            <w:vAlign w:val="center"/>
            <w:hideMark/>
          </w:tcPr>
          <w:p w14:paraId="7B574F15"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$3,016.97 </w:t>
            </w:r>
          </w:p>
        </w:tc>
        <w:tc>
          <w:tcPr>
            <w:tcW w:w="1166" w:type="dxa"/>
            <w:tcBorders>
              <w:top w:val="nil"/>
              <w:left w:val="nil"/>
              <w:bottom w:val="single" w:sz="4" w:space="0" w:color="auto"/>
              <w:right w:val="single" w:sz="4" w:space="0" w:color="auto"/>
            </w:tcBorders>
            <w:shd w:val="clear" w:color="auto" w:fill="auto"/>
            <w:noWrap/>
            <w:vAlign w:val="center"/>
            <w:hideMark/>
          </w:tcPr>
          <w:p w14:paraId="5F81E4A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$3,206.46 </w:t>
            </w:r>
          </w:p>
        </w:tc>
        <w:tc>
          <w:tcPr>
            <w:tcW w:w="1268" w:type="dxa"/>
            <w:tcBorders>
              <w:top w:val="nil"/>
              <w:left w:val="nil"/>
              <w:bottom w:val="single" w:sz="4" w:space="0" w:color="auto"/>
              <w:right w:val="single" w:sz="4" w:space="0" w:color="auto"/>
            </w:tcBorders>
            <w:shd w:val="clear" w:color="auto" w:fill="auto"/>
            <w:noWrap/>
            <w:vAlign w:val="center"/>
            <w:hideMark/>
          </w:tcPr>
          <w:p w14:paraId="152E60B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$3,573.33 </w:t>
            </w:r>
          </w:p>
        </w:tc>
      </w:tr>
      <w:tr w:rsidR="007705E1" w:rsidRPr="00BE42EF" w14:paraId="1AAA8D87" w14:textId="77777777" w:rsidTr="006F167E">
        <w:trPr>
          <w:trHeight w:val="3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6F454418"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11</w:t>
            </w:r>
          </w:p>
        </w:tc>
        <w:tc>
          <w:tcPr>
            <w:tcW w:w="1186" w:type="dxa"/>
            <w:tcBorders>
              <w:top w:val="nil"/>
              <w:left w:val="nil"/>
              <w:bottom w:val="single" w:sz="4" w:space="0" w:color="auto"/>
              <w:right w:val="single" w:sz="4" w:space="0" w:color="auto"/>
            </w:tcBorders>
            <w:shd w:val="clear" w:color="auto" w:fill="auto"/>
            <w:noWrap/>
            <w:vAlign w:val="center"/>
            <w:hideMark/>
          </w:tcPr>
          <w:p w14:paraId="4F5240C8" w14:textId="28D5BCF7" w:rsidR="007705E1" w:rsidRPr="00BE42EF" w:rsidRDefault="007705E1" w:rsidP="003E7CC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BE42EF">
              <w:rPr>
                <w:rFonts w:ascii="Times New Roman" w:eastAsia="Times New Roman" w:hAnsi="Times New Roman" w:cs="Times New Roman"/>
                <w:color w:val="000000"/>
                <w:sz w:val="22"/>
                <w:szCs w:val="22"/>
              </w:rPr>
              <w:t xml:space="preserve"> </w:t>
            </w:r>
          </w:p>
        </w:tc>
        <w:tc>
          <w:tcPr>
            <w:tcW w:w="1438" w:type="dxa"/>
            <w:tcBorders>
              <w:top w:val="nil"/>
              <w:left w:val="nil"/>
              <w:bottom w:val="single" w:sz="4" w:space="0" w:color="auto"/>
              <w:right w:val="single" w:sz="4" w:space="0" w:color="auto"/>
            </w:tcBorders>
            <w:shd w:val="clear" w:color="auto" w:fill="auto"/>
            <w:noWrap/>
            <w:vAlign w:val="center"/>
            <w:hideMark/>
          </w:tcPr>
          <w:p w14:paraId="218C206F"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$2,627.99 </w:t>
            </w:r>
          </w:p>
        </w:tc>
        <w:tc>
          <w:tcPr>
            <w:tcW w:w="1170" w:type="dxa"/>
            <w:tcBorders>
              <w:top w:val="nil"/>
              <w:left w:val="nil"/>
              <w:bottom w:val="single" w:sz="4" w:space="0" w:color="auto"/>
              <w:right w:val="single" w:sz="4" w:space="0" w:color="auto"/>
            </w:tcBorders>
            <w:shd w:val="clear" w:color="auto" w:fill="auto"/>
            <w:noWrap/>
            <w:vAlign w:val="center"/>
            <w:hideMark/>
          </w:tcPr>
          <w:p w14:paraId="17C50BC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$3,000.95 </w:t>
            </w:r>
          </w:p>
        </w:tc>
        <w:tc>
          <w:tcPr>
            <w:tcW w:w="1227" w:type="dxa"/>
            <w:tcBorders>
              <w:top w:val="nil"/>
              <w:left w:val="nil"/>
              <w:bottom w:val="single" w:sz="4" w:space="0" w:color="auto"/>
              <w:right w:val="single" w:sz="4" w:space="0" w:color="auto"/>
            </w:tcBorders>
            <w:shd w:val="clear" w:color="auto" w:fill="auto"/>
            <w:noWrap/>
            <w:vAlign w:val="center"/>
            <w:hideMark/>
          </w:tcPr>
          <w:p w14:paraId="7D60C54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$3,148.42 </w:t>
            </w:r>
          </w:p>
        </w:tc>
        <w:tc>
          <w:tcPr>
            <w:tcW w:w="1166" w:type="dxa"/>
            <w:tcBorders>
              <w:top w:val="nil"/>
              <w:left w:val="nil"/>
              <w:bottom w:val="single" w:sz="4" w:space="0" w:color="auto"/>
              <w:right w:val="single" w:sz="4" w:space="0" w:color="auto"/>
            </w:tcBorders>
            <w:shd w:val="clear" w:color="auto" w:fill="auto"/>
            <w:noWrap/>
            <w:vAlign w:val="center"/>
            <w:hideMark/>
          </w:tcPr>
          <w:p w14:paraId="047C15CD"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$3,348.34 </w:t>
            </w:r>
          </w:p>
        </w:tc>
        <w:tc>
          <w:tcPr>
            <w:tcW w:w="1268" w:type="dxa"/>
            <w:tcBorders>
              <w:top w:val="nil"/>
              <w:left w:val="nil"/>
              <w:bottom w:val="single" w:sz="4" w:space="0" w:color="auto"/>
              <w:right w:val="single" w:sz="4" w:space="0" w:color="auto"/>
            </w:tcBorders>
            <w:shd w:val="clear" w:color="auto" w:fill="auto"/>
            <w:noWrap/>
            <w:vAlign w:val="center"/>
            <w:hideMark/>
          </w:tcPr>
          <w:p w14:paraId="275CFC2B"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$3,718.22 </w:t>
            </w:r>
          </w:p>
        </w:tc>
      </w:tr>
    </w:tbl>
    <w:p w14:paraId="7A9F26EC" w14:textId="77777777" w:rsidR="004A2B79" w:rsidRPr="008B20A0" w:rsidRDefault="004A2B79" w:rsidP="004A2B79">
      <w:pPr>
        <w:ind w:left="1440"/>
        <w:rPr>
          <w:rFonts w:ascii="Times New Roman" w:hAnsi="Times New Roman" w:cs="Times New Roman"/>
          <w:spacing w:val="-3"/>
          <w:sz w:val="22"/>
          <w:szCs w:val="22"/>
        </w:rPr>
      </w:pPr>
    </w:p>
    <w:tbl>
      <w:tblPr>
        <w:tblW w:w="8100" w:type="dxa"/>
        <w:tblInd w:w="-5" w:type="dxa"/>
        <w:tblLook w:val="04A0" w:firstRow="1" w:lastRow="0" w:firstColumn="1" w:lastColumn="0" w:noHBand="0" w:noVBand="1"/>
      </w:tblPr>
      <w:tblGrid>
        <w:gridCol w:w="738"/>
        <w:gridCol w:w="1096"/>
        <w:gridCol w:w="1440"/>
        <w:gridCol w:w="1170"/>
        <w:gridCol w:w="1202"/>
        <w:gridCol w:w="1186"/>
        <w:gridCol w:w="1268"/>
      </w:tblGrid>
      <w:tr w:rsidR="007705E1" w:rsidRPr="008B20A0" w14:paraId="677E7D1E" w14:textId="77777777" w:rsidTr="006F167E">
        <w:trPr>
          <w:trHeight w:val="300"/>
          <w:tblHeader/>
        </w:trPr>
        <w:tc>
          <w:tcPr>
            <w:tcW w:w="81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8C79B" w14:textId="238325A3" w:rsidR="007705E1" w:rsidRPr="008B20A0" w:rsidRDefault="007705E1" w:rsidP="00AF493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4+ Capacity Site</w:t>
            </w:r>
          </w:p>
        </w:tc>
      </w:tr>
      <w:tr w:rsidR="007705E1" w:rsidRPr="008B20A0" w14:paraId="3D6C9A53" w14:textId="77777777" w:rsidTr="006F167E">
        <w:trPr>
          <w:trHeight w:val="300"/>
          <w:tblHeader/>
        </w:trPr>
        <w:tc>
          <w:tcPr>
            <w:tcW w:w="738" w:type="dxa"/>
            <w:vMerge w:val="restart"/>
            <w:tcBorders>
              <w:top w:val="single" w:sz="4" w:space="0" w:color="auto"/>
              <w:left w:val="single" w:sz="4" w:space="0" w:color="auto"/>
              <w:right w:val="single" w:sz="4" w:space="0" w:color="auto"/>
            </w:tcBorders>
            <w:shd w:val="clear" w:color="auto" w:fill="auto"/>
            <w:vAlign w:val="center"/>
            <w:hideMark/>
          </w:tcPr>
          <w:p w14:paraId="7A92D2D1" w14:textId="522C6551" w:rsidR="007705E1" w:rsidRPr="008B20A0" w:rsidRDefault="007705E1" w:rsidP="00044B94">
            <w:pP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FTE</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14:paraId="6DAEA3D8"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Basic Level</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FD0827D"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Intermediate Level</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2ADA56"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1</w:t>
            </w:r>
          </w:p>
        </w:tc>
        <w:tc>
          <w:tcPr>
            <w:tcW w:w="12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0708C8"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2</w:t>
            </w:r>
          </w:p>
        </w:tc>
        <w:tc>
          <w:tcPr>
            <w:tcW w:w="11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E8BDF1"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3</w:t>
            </w:r>
          </w:p>
        </w:tc>
        <w:tc>
          <w:tcPr>
            <w:tcW w:w="1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CBA5DC" w14:textId="4F21004B"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Specialized Behavior</w:t>
            </w:r>
            <w:r w:rsidR="004010E6">
              <w:rPr>
                <w:rFonts w:ascii="Times New Roman" w:eastAsia="Times New Roman" w:hAnsi="Times New Roman" w:cs="Times New Roman"/>
                <w:b/>
                <w:bCs/>
                <w:color w:val="000000"/>
                <w:sz w:val="22"/>
                <w:szCs w:val="22"/>
              </w:rPr>
              <w:t>al</w:t>
            </w:r>
          </w:p>
        </w:tc>
      </w:tr>
      <w:tr w:rsidR="007705E1" w:rsidRPr="008B20A0" w14:paraId="05CE4C24" w14:textId="77777777" w:rsidTr="006F167E">
        <w:trPr>
          <w:trHeight w:val="300"/>
        </w:trPr>
        <w:tc>
          <w:tcPr>
            <w:tcW w:w="738" w:type="dxa"/>
            <w:vMerge/>
            <w:tcBorders>
              <w:left w:val="single" w:sz="4" w:space="0" w:color="auto"/>
              <w:bottom w:val="single" w:sz="4" w:space="0" w:color="auto"/>
              <w:right w:val="single" w:sz="4" w:space="0" w:color="auto"/>
            </w:tcBorders>
            <w:shd w:val="clear" w:color="auto" w:fill="auto"/>
            <w:vAlign w:val="center"/>
            <w:hideMark/>
          </w:tcPr>
          <w:p w14:paraId="06CF8169" w14:textId="558CB217" w:rsidR="007705E1" w:rsidRPr="008B20A0" w:rsidRDefault="007705E1" w:rsidP="00044B94">
            <w:pPr>
              <w:rPr>
                <w:rFonts w:ascii="Times New Roman" w:eastAsia="Times New Roman" w:hAnsi="Times New Roman" w:cs="Times New Roman"/>
                <w:b/>
                <w:bCs/>
                <w:color w:val="000000"/>
                <w:sz w:val="22"/>
                <w:szCs w:val="22"/>
              </w:rPr>
            </w:pPr>
          </w:p>
        </w:tc>
        <w:tc>
          <w:tcPr>
            <w:tcW w:w="1096" w:type="dxa"/>
            <w:vMerge/>
            <w:tcBorders>
              <w:top w:val="nil"/>
              <w:left w:val="single" w:sz="4" w:space="0" w:color="auto"/>
              <w:bottom w:val="single" w:sz="4" w:space="0" w:color="auto"/>
              <w:right w:val="single" w:sz="4" w:space="0" w:color="auto"/>
            </w:tcBorders>
            <w:vAlign w:val="center"/>
            <w:hideMark/>
          </w:tcPr>
          <w:p w14:paraId="61A45C5A"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40" w:type="dxa"/>
            <w:vMerge/>
            <w:tcBorders>
              <w:top w:val="nil"/>
              <w:left w:val="single" w:sz="4" w:space="0" w:color="auto"/>
              <w:bottom w:val="single" w:sz="4" w:space="0" w:color="auto"/>
              <w:right w:val="single" w:sz="4" w:space="0" w:color="auto"/>
            </w:tcBorders>
            <w:vAlign w:val="center"/>
            <w:hideMark/>
          </w:tcPr>
          <w:p w14:paraId="7977E646" w14:textId="77777777" w:rsidR="007705E1" w:rsidRPr="008B20A0" w:rsidRDefault="007705E1" w:rsidP="00044B94">
            <w:pPr>
              <w:rPr>
                <w:rFonts w:ascii="Times New Roman" w:eastAsia="Times New Roman" w:hAnsi="Times New Roman" w:cs="Times New Roman"/>
                <w:b/>
                <w:bCs/>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07C9F5C2" w14:textId="77777777" w:rsidR="007705E1" w:rsidRPr="008B20A0" w:rsidRDefault="007705E1" w:rsidP="00044B94">
            <w:pPr>
              <w:rPr>
                <w:rFonts w:ascii="Times New Roman" w:eastAsia="Times New Roman" w:hAnsi="Times New Roman" w:cs="Times New Roman"/>
                <w:b/>
                <w:bCs/>
                <w:color w:val="000000"/>
                <w:sz w:val="22"/>
                <w:szCs w:val="22"/>
              </w:rPr>
            </w:pPr>
          </w:p>
        </w:tc>
        <w:tc>
          <w:tcPr>
            <w:tcW w:w="1202" w:type="dxa"/>
            <w:vMerge/>
            <w:tcBorders>
              <w:top w:val="nil"/>
              <w:left w:val="single" w:sz="4" w:space="0" w:color="auto"/>
              <w:bottom w:val="single" w:sz="4" w:space="0" w:color="auto"/>
              <w:right w:val="single" w:sz="4" w:space="0" w:color="auto"/>
            </w:tcBorders>
            <w:vAlign w:val="center"/>
            <w:hideMark/>
          </w:tcPr>
          <w:p w14:paraId="69E5BD5C" w14:textId="77777777" w:rsidR="007705E1" w:rsidRPr="008B20A0" w:rsidRDefault="007705E1" w:rsidP="00044B94">
            <w:pPr>
              <w:rPr>
                <w:rFonts w:ascii="Times New Roman" w:eastAsia="Times New Roman" w:hAnsi="Times New Roman" w:cs="Times New Roman"/>
                <w:b/>
                <w:bCs/>
                <w:color w:val="000000"/>
                <w:sz w:val="22"/>
                <w:szCs w:val="22"/>
              </w:rPr>
            </w:pPr>
          </w:p>
        </w:tc>
        <w:tc>
          <w:tcPr>
            <w:tcW w:w="1186" w:type="dxa"/>
            <w:vMerge/>
            <w:tcBorders>
              <w:top w:val="nil"/>
              <w:left w:val="single" w:sz="4" w:space="0" w:color="auto"/>
              <w:bottom w:val="single" w:sz="4" w:space="0" w:color="auto"/>
              <w:right w:val="single" w:sz="4" w:space="0" w:color="auto"/>
            </w:tcBorders>
            <w:vAlign w:val="center"/>
            <w:hideMark/>
          </w:tcPr>
          <w:p w14:paraId="2D9E60DE" w14:textId="77777777" w:rsidR="007705E1" w:rsidRPr="008B20A0" w:rsidRDefault="007705E1" w:rsidP="00044B94">
            <w:pPr>
              <w:rPr>
                <w:rFonts w:ascii="Times New Roman" w:eastAsia="Times New Roman" w:hAnsi="Times New Roman" w:cs="Times New Roman"/>
                <w:b/>
                <w:bCs/>
                <w:color w:val="000000"/>
                <w:sz w:val="22"/>
                <w:szCs w:val="22"/>
              </w:rPr>
            </w:pPr>
          </w:p>
        </w:tc>
        <w:tc>
          <w:tcPr>
            <w:tcW w:w="1268" w:type="dxa"/>
            <w:vMerge/>
            <w:tcBorders>
              <w:top w:val="nil"/>
              <w:left w:val="single" w:sz="4" w:space="0" w:color="auto"/>
              <w:bottom w:val="single" w:sz="4" w:space="0" w:color="auto"/>
              <w:right w:val="single" w:sz="4" w:space="0" w:color="auto"/>
            </w:tcBorders>
            <w:vAlign w:val="center"/>
            <w:hideMark/>
          </w:tcPr>
          <w:p w14:paraId="2FF6F473" w14:textId="77777777" w:rsidR="007705E1" w:rsidRPr="008B20A0" w:rsidRDefault="007705E1" w:rsidP="00044B94">
            <w:pPr>
              <w:rPr>
                <w:rFonts w:ascii="Times New Roman" w:eastAsia="Times New Roman" w:hAnsi="Times New Roman" w:cs="Times New Roman"/>
                <w:b/>
                <w:bCs/>
                <w:color w:val="000000"/>
                <w:sz w:val="22"/>
                <w:szCs w:val="22"/>
              </w:rPr>
            </w:pPr>
          </w:p>
        </w:tc>
      </w:tr>
      <w:tr w:rsidR="007705E1" w:rsidRPr="008B20A0" w14:paraId="26C3397E"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FE6E0E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p>
        </w:tc>
        <w:tc>
          <w:tcPr>
            <w:tcW w:w="1096" w:type="dxa"/>
            <w:tcBorders>
              <w:top w:val="nil"/>
              <w:left w:val="nil"/>
              <w:bottom w:val="single" w:sz="4" w:space="0" w:color="auto"/>
              <w:right w:val="single" w:sz="4" w:space="0" w:color="auto"/>
            </w:tcBorders>
            <w:shd w:val="clear" w:color="auto" w:fill="auto"/>
            <w:noWrap/>
            <w:vAlign w:val="center"/>
            <w:hideMark/>
          </w:tcPr>
          <w:p w14:paraId="774DA273" w14:textId="029CACF3"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785E1501" w14:textId="28B68F3D"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4C58B1B0" w14:textId="3E5D9986"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202" w:type="dxa"/>
            <w:tcBorders>
              <w:top w:val="nil"/>
              <w:left w:val="nil"/>
              <w:bottom w:val="single" w:sz="4" w:space="0" w:color="auto"/>
              <w:right w:val="single" w:sz="4" w:space="0" w:color="auto"/>
            </w:tcBorders>
            <w:shd w:val="clear" w:color="auto" w:fill="auto"/>
            <w:noWrap/>
            <w:vAlign w:val="center"/>
            <w:hideMark/>
          </w:tcPr>
          <w:p w14:paraId="01A57D31" w14:textId="48425CB7"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186" w:type="dxa"/>
            <w:tcBorders>
              <w:top w:val="nil"/>
              <w:left w:val="nil"/>
              <w:bottom w:val="single" w:sz="4" w:space="0" w:color="auto"/>
              <w:right w:val="single" w:sz="4" w:space="0" w:color="auto"/>
            </w:tcBorders>
            <w:shd w:val="clear" w:color="auto" w:fill="auto"/>
            <w:noWrap/>
            <w:vAlign w:val="center"/>
            <w:hideMark/>
          </w:tcPr>
          <w:p w14:paraId="44C06285" w14:textId="09DC216A"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shd w:val="clear" w:color="auto" w:fill="auto"/>
            <w:noWrap/>
            <w:vAlign w:val="center"/>
            <w:hideMark/>
          </w:tcPr>
          <w:p w14:paraId="2390581E" w14:textId="4FEFDEC5"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r>
      <w:tr w:rsidR="007705E1" w:rsidRPr="008B20A0" w14:paraId="5E96F96E"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9C9B47B"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3.5</w:t>
            </w:r>
          </w:p>
        </w:tc>
        <w:tc>
          <w:tcPr>
            <w:tcW w:w="1096" w:type="dxa"/>
            <w:tcBorders>
              <w:top w:val="nil"/>
              <w:left w:val="nil"/>
              <w:bottom w:val="single" w:sz="4" w:space="0" w:color="auto"/>
              <w:right w:val="single" w:sz="4" w:space="0" w:color="auto"/>
            </w:tcBorders>
            <w:shd w:val="clear" w:color="auto" w:fill="auto"/>
            <w:noWrap/>
            <w:vAlign w:val="center"/>
            <w:hideMark/>
          </w:tcPr>
          <w:p w14:paraId="5A1DBCE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$1,212.72 </w:t>
            </w:r>
          </w:p>
        </w:tc>
        <w:tc>
          <w:tcPr>
            <w:tcW w:w="1440" w:type="dxa"/>
            <w:tcBorders>
              <w:top w:val="nil"/>
              <w:left w:val="nil"/>
              <w:bottom w:val="single" w:sz="4" w:space="0" w:color="auto"/>
              <w:right w:val="single" w:sz="4" w:space="0" w:color="auto"/>
            </w:tcBorders>
            <w:shd w:val="clear" w:color="auto" w:fill="auto"/>
            <w:noWrap/>
            <w:vAlign w:val="center"/>
            <w:hideMark/>
          </w:tcPr>
          <w:p w14:paraId="41E5E608" w14:textId="6292B12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2BB68624" w14:textId="57AAF863"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202" w:type="dxa"/>
            <w:tcBorders>
              <w:top w:val="nil"/>
              <w:left w:val="nil"/>
              <w:bottom w:val="single" w:sz="4" w:space="0" w:color="auto"/>
              <w:right w:val="single" w:sz="4" w:space="0" w:color="auto"/>
            </w:tcBorders>
            <w:shd w:val="clear" w:color="auto" w:fill="auto"/>
            <w:noWrap/>
            <w:vAlign w:val="center"/>
            <w:hideMark/>
          </w:tcPr>
          <w:p w14:paraId="1444E6A0" w14:textId="355B7940"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8B20A0">
              <w:rPr>
                <w:rFonts w:ascii="Times New Roman" w:eastAsia="Times New Roman" w:hAnsi="Times New Roman" w:cs="Times New Roman"/>
                <w:color w:val="000000"/>
                <w:sz w:val="22"/>
                <w:szCs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32504FE8" w14:textId="4A085CCF"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8B20A0">
              <w:rPr>
                <w:rFonts w:ascii="Times New Roman" w:eastAsia="Times New Roman" w:hAnsi="Times New Roman" w:cs="Times New Roman"/>
                <w:color w:val="000000"/>
                <w:sz w:val="22"/>
                <w:szCs w:val="22"/>
              </w:rPr>
              <w:t xml:space="preserve"> </w:t>
            </w:r>
          </w:p>
        </w:tc>
        <w:tc>
          <w:tcPr>
            <w:tcW w:w="1268" w:type="dxa"/>
            <w:tcBorders>
              <w:top w:val="nil"/>
              <w:left w:val="nil"/>
              <w:bottom w:val="single" w:sz="4" w:space="0" w:color="auto"/>
              <w:right w:val="single" w:sz="4" w:space="0" w:color="auto"/>
            </w:tcBorders>
            <w:shd w:val="clear" w:color="auto" w:fill="auto"/>
            <w:noWrap/>
            <w:vAlign w:val="center"/>
            <w:hideMark/>
          </w:tcPr>
          <w:p w14:paraId="4E165192" w14:textId="3F3924FA"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r>
      <w:tr w:rsidR="007705E1" w:rsidRPr="008B20A0" w14:paraId="4219ECF7"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053EA6C"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p>
        </w:tc>
        <w:tc>
          <w:tcPr>
            <w:tcW w:w="1096" w:type="dxa"/>
            <w:tcBorders>
              <w:top w:val="nil"/>
              <w:left w:val="nil"/>
              <w:bottom w:val="single" w:sz="4" w:space="0" w:color="auto"/>
              <w:right w:val="single" w:sz="4" w:space="0" w:color="auto"/>
            </w:tcBorders>
            <w:shd w:val="clear" w:color="auto" w:fill="auto"/>
            <w:noWrap/>
            <w:vAlign w:val="center"/>
            <w:hideMark/>
          </w:tcPr>
          <w:p w14:paraId="1E550E39"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$1,314.48 </w:t>
            </w:r>
          </w:p>
        </w:tc>
        <w:tc>
          <w:tcPr>
            <w:tcW w:w="1440" w:type="dxa"/>
            <w:tcBorders>
              <w:top w:val="nil"/>
              <w:left w:val="nil"/>
              <w:bottom w:val="single" w:sz="4" w:space="0" w:color="auto"/>
              <w:right w:val="single" w:sz="4" w:space="0" w:color="auto"/>
            </w:tcBorders>
            <w:shd w:val="clear" w:color="auto" w:fill="auto"/>
            <w:noWrap/>
            <w:vAlign w:val="center"/>
            <w:hideMark/>
          </w:tcPr>
          <w:p w14:paraId="400F6425"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$1,365.75 </w:t>
            </w:r>
          </w:p>
        </w:tc>
        <w:tc>
          <w:tcPr>
            <w:tcW w:w="1170" w:type="dxa"/>
            <w:tcBorders>
              <w:top w:val="nil"/>
              <w:left w:val="nil"/>
              <w:bottom w:val="single" w:sz="4" w:space="0" w:color="auto"/>
              <w:right w:val="single" w:sz="4" w:space="0" w:color="auto"/>
            </w:tcBorders>
            <w:shd w:val="clear" w:color="auto" w:fill="auto"/>
            <w:noWrap/>
            <w:vAlign w:val="center"/>
            <w:hideMark/>
          </w:tcPr>
          <w:p w14:paraId="2981A534" w14:textId="1ED13009"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202" w:type="dxa"/>
            <w:tcBorders>
              <w:top w:val="nil"/>
              <w:left w:val="nil"/>
              <w:bottom w:val="single" w:sz="4" w:space="0" w:color="auto"/>
              <w:right w:val="single" w:sz="4" w:space="0" w:color="auto"/>
            </w:tcBorders>
            <w:shd w:val="clear" w:color="auto" w:fill="auto"/>
            <w:noWrap/>
            <w:vAlign w:val="center"/>
            <w:hideMark/>
          </w:tcPr>
          <w:p w14:paraId="6DAB737C" w14:textId="2CB598BE"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186" w:type="dxa"/>
            <w:tcBorders>
              <w:top w:val="nil"/>
              <w:left w:val="nil"/>
              <w:bottom w:val="single" w:sz="4" w:space="0" w:color="auto"/>
              <w:right w:val="single" w:sz="4" w:space="0" w:color="auto"/>
            </w:tcBorders>
            <w:shd w:val="clear" w:color="auto" w:fill="auto"/>
            <w:noWrap/>
            <w:vAlign w:val="center"/>
            <w:hideMark/>
          </w:tcPr>
          <w:p w14:paraId="657A53B5" w14:textId="1A325E95"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shd w:val="clear" w:color="auto" w:fill="auto"/>
            <w:noWrap/>
            <w:vAlign w:val="center"/>
            <w:hideMark/>
          </w:tcPr>
          <w:p w14:paraId="20EA23BE" w14:textId="53C9DB03"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r>
      <w:tr w:rsidR="007705E1" w:rsidRPr="008B20A0" w14:paraId="6B13A85F"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C03C715"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4.5</w:t>
            </w:r>
          </w:p>
        </w:tc>
        <w:tc>
          <w:tcPr>
            <w:tcW w:w="1096" w:type="dxa"/>
            <w:tcBorders>
              <w:top w:val="nil"/>
              <w:left w:val="nil"/>
              <w:bottom w:val="single" w:sz="4" w:space="0" w:color="auto"/>
              <w:right w:val="single" w:sz="4" w:space="0" w:color="auto"/>
            </w:tcBorders>
            <w:shd w:val="clear" w:color="auto" w:fill="auto"/>
            <w:noWrap/>
            <w:vAlign w:val="center"/>
            <w:hideMark/>
          </w:tcPr>
          <w:p w14:paraId="67F9684A"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$1,416.23 </w:t>
            </w:r>
          </w:p>
        </w:tc>
        <w:tc>
          <w:tcPr>
            <w:tcW w:w="1440" w:type="dxa"/>
            <w:tcBorders>
              <w:top w:val="nil"/>
              <w:left w:val="nil"/>
              <w:bottom w:val="single" w:sz="4" w:space="0" w:color="auto"/>
              <w:right w:val="single" w:sz="4" w:space="0" w:color="auto"/>
            </w:tcBorders>
            <w:shd w:val="clear" w:color="auto" w:fill="auto"/>
            <w:noWrap/>
            <w:vAlign w:val="center"/>
            <w:hideMark/>
          </w:tcPr>
          <w:p w14:paraId="6622BBD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$1,470.06 </w:t>
            </w:r>
          </w:p>
        </w:tc>
        <w:tc>
          <w:tcPr>
            <w:tcW w:w="1170" w:type="dxa"/>
            <w:tcBorders>
              <w:top w:val="nil"/>
              <w:left w:val="nil"/>
              <w:bottom w:val="single" w:sz="4" w:space="0" w:color="auto"/>
              <w:right w:val="single" w:sz="4" w:space="0" w:color="auto"/>
            </w:tcBorders>
            <w:shd w:val="clear" w:color="auto" w:fill="auto"/>
            <w:noWrap/>
            <w:vAlign w:val="center"/>
            <w:hideMark/>
          </w:tcPr>
          <w:p w14:paraId="5D8E1D72" w14:textId="0FEE47FB"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8B20A0">
              <w:rPr>
                <w:rFonts w:ascii="Times New Roman" w:eastAsia="Times New Roman" w:hAnsi="Times New Roman" w:cs="Times New Roman"/>
                <w:color w:val="000000"/>
                <w:sz w:val="22"/>
                <w:szCs w:val="22"/>
              </w:rPr>
              <w:t xml:space="preserve"> </w:t>
            </w:r>
          </w:p>
        </w:tc>
        <w:tc>
          <w:tcPr>
            <w:tcW w:w="1202" w:type="dxa"/>
            <w:tcBorders>
              <w:top w:val="nil"/>
              <w:left w:val="nil"/>
              <w:bottom w:val="single" w:sz="4" w:space="0" w:color="auto"/>
              <w:right w:val="single" w:sz="4" w:space="0" w:color="auto"/>
            </w:tcBorders>
            <w:shd w:val="clear" w:color="auto" w:fill="auto"/>
            <w:noWrap/>
            <w:vAlign w:val="center"/>
            <w:hideMark/>
          </w:tcPr>
          <w:p w14:paraId="300C8A89" w14:textId="6FD7AA30"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8B20A0">
              <w:rPr>
                <w:rFonts w:ascii="Times New Roman" w:eastAsia="Times New Roman" w:hAnsi="Times New Roman" w:cs="Times New Roman"/>
                <w:color w:val="000000"/>
                <w:sz w:val="22"/>
                <w:szCs w:val="22"/>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14:paraId="6C2B87BA" w14:textId="10CC37CC"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shd w:val="clear" w:color="auto" w:fill="auto"/>
            <w:noWrap/>
            <w:vAlign w:val="center"/>
            <w:hideMark/>
          </w:tcPr>
          <w:p w14:paraId="5D02E23B" w14:textId="0001302A"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r>
      <w:tr w:rsidR="007705E1" w:rsidRPr="008B20A0" w14:paraId="39F4ECEC"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E23343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w:t>
            </w:r>
          </w:p>
        </w:tc>
        <w:tc>
          <w:tcPr>
            <w:tcW w:w="1096" w:type="dxa"/>
            <w:tcBorders>
              <w:top w:val="nil"/>
              <w:left w:val="nil"/>
              <w:bottom w:val="single" w:sz="4" w:space="0" w:color="auto"/>
              <w:right w:val="single" w:sz="4" w:space="0" w:color="auto"/>
            </w:tcBorders>
            <w:shd w:val="clear" w:color="auto" w:fill="auto"/>
            <w:noWrap/>
            <w:vAlign w:val="center"/>
            <w:hideMark/>
          </w:tcPr>
          <w:p w14:paraId="17980C9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$1,517.99 </w:t>
            </w:r>
          </w:p>
        </w:tc>
        <w:tc>
          <w:tcPr>
            <w:tcW w:w="1440" w:type="dxa"/>
            <w:tcBorders>
              <w:top w:val="nil"/>
              <w:left w:val="nil"/>
              <w:bottom w:val="single" w:sz="4" w:space="0" w:color="auto"/>
              <w:right w:val="single" w:sz="4" w:space="0" w:color="auto"/>
            </w:tcBorders>
            <w:shd w:val="clear" w:color="auto" w:fill="auto"/>
            <w:noWrap/>
            <w:vAlign w:val="center"/>
            <w:hideMark/>
          </w:tcPr>
          <w:p w14:paraId="3F26A23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$1,574.37 </w:t>
            </w:r>
          </w:p>
        </w:tc>
        <w:tc>
          <w:tcPr>
            <w:tcW w:w="1170" w:type="dxa"/>
            <w:tcBorders>
              <w:top w:val="nil"/>
              <w:left w:val="nil"/>
              <w:bottom w:val="single" w:sz="4" w:space="0" w:color="auto"/>
              <w:right w:val="single" w:sz="4" w:space="0" w:color="auto"/>
            </w:tcBorders>
            <w:shd w:val="clear" w:color="auto" w:fill="auto"/>
            <w:noWrap/>
            <w:vAlign w:val="center"/>
            <w:hideMark/>
          </w:tcPr>
          <w:p w14:paraId="4829F0C5" w14:textId="14D19161"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202" w:type="dxa"/>
            <w:tcBorders>
              <w:top w:val="nil"/>
              <w:left w:val="nil"/>
              <w:bottom w:val="single" w:sz="4" w:space="0" w:color="auto"/>
              <w:right w:val="single" w:sz="4" w:space="0" w:color="auto"/>
            </w:tcBorders>
            <w:shd w:val="clear" w:color="auto" w:fill="auto"/>
            <w:noWrap/>
            <w:vAlign w:val="center"/>
            <w:hideMark/>
          </w:tcPr>
          <w:p w14:paraId="0C0698C6" w14:textId="035A504C"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186" w:type="dxa"/>
            <w:tcBorders>
              <w:top w:val="nil"/>
              <w:left w:val="nil"/>
              <w:bottom w:val="single" w:sz="4" w:space="0" w:color="auto"/>
              <w:right w:val="single" w:sz="4" w:space="0" w:color="auto"/>
            </w:tcBorders>
            <w:shd w:val="clear" w:color="auto" w:fill="auto"/>
            <w:noWrap/>
            <w:vAlign w:val="center"/>
            <w:hideMark/>
          </w:tcPr>
          <w:p w14:paraId="741FAA49" w14:textId="47508620"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shd w:val="clear" w:color="auto" w:fill="auto"/>
            <w:noWrap/>
            <w:vAlign w:val="center"/>
            <w:hideMark/>
          </w:tcPr>
          <w:p w14:paraId="7DD4A1DC" w14:textId="093161C0"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r>
      <w:tr w:rsidR="007705E1" w:rsidRPr="008B20A0" w14:paraId="753F316B"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7ED773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5.5</w:t>
            </w:r>
          </w:p>
        </w:tc>
        <w:tc>
          <w:tcPr>
            <w:tcW w:w="1096" w:type="dxa"/>
            <w:tcBorders>
              <w:top w:val="nil"/>
              <w:left w:val="nil"/>
              <w:bottom w:val="single" w:sz="4" w:space="0" w:color="auto"/>
              <w:right w:val="single" w:sz="4" w:space="0" w:color="auto"/>
            </w:tcBorders>
            <w:shd w:val="clear" w:color="auto" w:fill="auto"/>
            <w:noWrap/>
            <w:vAlign w:val="center"/>
            <w:hideMark/>
          </w:tcPr>
          <w:p w14:paraId="1C04670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$1,619.74 </w:t>
            </w:r>
          </w:p>
        </w:tc>
        <w:tc>
          <w:tcPr>
            <w:tcW w:w="1440" w:type="dxa"/>
            <w:tcBorders>
              <w:top w:val="nil"/>
              <w:left w:val="nil"/>
              <w:bottom w:val="single" w:sz="4" w:space="0" w:color="auto"/>
              <w:right w:val="single" w:sz="4" w:space="0" w:color="auto"/>
            </w:tcBorders>
            <w:shd w:val="clear" w:color="auto" w:fill="auto"/>
            <w:noWrap/>
            <w:vAlign w:val="center"/>
            <w:hideMark/>
          </w:tcPr>
          <w:p w14:paraId="6FF07743"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$1,678.68 </w:t>
            </w:r>
          </w:p>
        </w:tc>
        <w:tc>
          <w:tcPr>
            <w:tcW w:w="1170" w:type="dxa"/>
            <w:tcBorders>
              <w:top w:val="nil"/>
              <w:left w:val="nil"/>
              <w:bottom w:val="single" w:sz="4" w:space="0" w:color="auto"/>
              <w:right w:val="single" w:sz="4" w:space="0" w:color="auto"/>
            </w:tcBorders>
            <w:shd w:val="clear" w:color="auto" w:fill="auto"/>
            <w:noWrap/>
            <w:vAlign w:val="center"/>
            <w:hideMark/>
          </w:tcPr>
          <w:p w14:paraId="771C46BD" w14:textId="4259B46B"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202" w:type="dxa"/>
            <w:tcBorders>
              <w:top w:val="nil"/>
              <w:left w:val="nil"/>
              <w:bottom w:val="single" w:sz="4" w:space="0" w:color="auto"/>
              <w:right w:val="single" w:sz="4" w:space="0" w:color="auto"/>
            </w:tcBorders>
            <w:shd w:val="clear" w:color="auto" w:fill="auto"/>
            <w:noWrap/>
            <w:vAlign w:val="center"/>
            <w:hideMark/>
          </w:tcPr>
          <w:p w14:paraId="12D2B52D" w14:textId="09600F75"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186" w:type="dxa"/>
            <w:tcBorders>
              <w:top w:val="nil"/>
              <w:left w:val="nil"/>
              <w:bottom w:val="single" w:sz="4" w:space="0" w:color="auto"/>
              <w:right w:val="single" w:sz="4" w:space="0" w:color="auto"/>
            </w:tcBorders>
            <w:shd w:val="clear" w:color="auto" w:fill="auto"/>
            <w:noWrap/>
            <w:vAlign w:val="center"/>
            <w:hideMark/>
          </w:tcPr>
          <w:p w14:paraId="387D4435" w14:textId="7E4FE04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shd w:val="clear" w:color="auto" w:fill="auto"/>
            <w:noWrap/>
            <w:vAlign w:val="center"/>
            <w:hideMark/>
          </w:tcPr>
          <w:p w14:paraId="38AE7C52" w14:textId="6A842EC3"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r>
      <w:tr w:rsidR="007705E1" w:rsidRPr="008B20A0" w14:paraId="290D206F"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BA0DF9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w:t>
            </w:r>
          </w:p>
        </w:tc>
        <w:tc>
          <w:tcPr>
            <w:tcW w:w="1096" w:type="dxa"/>
            <w:tcBorders>
              <w:top w:val="nil"/>
              <w:left w:val="nil"/>
              <w:bottom w:val="single" w:sz="4" w:space="0" w:color="auto"/>
              <w:right w:val="single" w:sz="4" w:space="0" w:color="auto"/>
            </w:tcBorders>
            <w:shd w:val="clear" w:color="auto" w:fill="auto"/>
            <w:noWrap/>
            <w:vAlign w:val="center"/>
            <w:hideMark/>
          </w:tcPr>
          <w:p w14:paraId="55AD98A3"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$1,721.50 </w:t>
            </w:r>
          </w:p>
        </w:tc>
        <w:tc>
          <w:tcPr>
            <w:tcW w:w="1440" w:type="dxa"/>
            <w:tcBorders>
              <w:top w:val="nil"/>
              <w:left w:val="nil"/>
              <w:bottom w:val="single" w:sz="4" w:space="0" w:color="auto"/>
              <w:right w:val="single" w:sz="4" w:space="0" w:color="auto"/>
            </w:tcBorders>
            <w:shd w:val="clear" w:color="auto" w:fill="auto"/>
            <w:noWrap/>
            <w:vAlign w:val="center"/>
            <w:hideMark/>
          </w:tcPr>
          <w:p w14:paraId="7FC592A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$1,782.99 </w:t>
            </w:r>
          </w:p>
        </w:tc>
        <w:tc>
          <w:tcPr>
            <w:tcW w:w="1170" w:type="dxa"/>
            <w:tcBorders>
              <w:top w:val="nil"/>
              <w:left w:val="nil"/>
              <w:bottom w:val="single" w:sz="4" w:space="0" w:color="auto"/>
              <w:right w:val="single" w:sz="4" w:space="0" w:color="auto"/>
            </w:tcBorders>
            <w:shd w:val="clear" w:color="auto" w:fill="auto"/>
            <w:noWrap/>
            <w:vAlign w:val="center"/>
            <w:hideMark/>
          </w:tcPr>
          <w:p w14:paraId="59992BE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$1,961.75 </w:t>
            </w:r>
          </w:p>
        </w:tc>
        <w:tc>
          <w:tcPr>
            <w:tcW w:w="1202" w:type="dxa"/>
            <w:tcBorders>
              <w:top w:val="nil"/>
              <w:left w:val="nil"/>
              <w:bottom w:val="single" w:sz="4" w:space="0" w:color="auto"/>
              <w:right w:val="single" w:sz="4" w:space="0" w:color="auto"/>
            </w:tcBorders>
            <w:shd w:val="clear" w:color="auto" w:fill="auto"/>
            <w:noWrap/>
            <w:vAlign w:val="center"/>
            <w:hideMark/>
          </w:tcPr>
          <w:p w14:paraId="64350438"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$2,032.44 </w:t>
            </w:r>
          </w:p>
        </w:tc>
        <w:tc>
          <w:tcPr>
            <w:tcW w:w="1186" w:type="dxa"/>
            <w:tcBorders>
              <w:top w:val="nil"/>
              <w:left w:val="nil"/>
              <w:bottom w:val="single" w:sz="4" w:space="0" w:color="auto"/>
              <w:right w:val="single" w:sz="4" w:space="0" w:color="auto"/>
            </w:tcBorders>
            <w:shd w:val="clear" w:color="auto" w:fill="auto"/>
            <w:noWrap/>
            <w:vAlign w:val="center"/>
            <w:hideMark/>
          </w:tcPr>
          <w:p w14:paraId="60EFBBF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$2,128.26 </w:t>
            </w:r>
          </w:p>
        </w:tc>
        <w:tc>
          <w:tcPr>
            <w:tcW w:w="1268" w:type="dxa"/>
            <w:tcBorders>
              <w:top w:val="nil"/>
              <w:left w:val="nil"/>
              <w:bottom w:val="single" w:sz="4" w:space="0" w:color="auto"/>
              <w:right w:val="single" w:sz="4" w:space="0" w:color="auto"/>
            </w:tcBorders>
            <w:shd w:val="clear" w:color="auto" w:fill="auto"/>
            <w:noWrap/>
            <w:vAlign w:val="center"/>
            <w:hideMark/>
          </w:tcPr>
          <w:p w14:paraId="680C15C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$2,485.65 </w:t>
            </w:r>
          </w:p>
        </w:tc>
      </w:tr>
      <w:tr w:rsidR="007705E1" w:rsidRPr="008B20A0" w14:paraId="060AF872"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E63E568"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6.5</w:t>
            </w:r>
          </w:p>
        </w:tc>
        <w:tc>
          <w:tcPr>
            <w:tcW w:w="1096" w:type="dxa"/>
            <w:tcBorders>
              <w:top w:val="nil"/>
              <w:left w:val="nil"/>
              <w:bottom w:val="single" w:sz="4" w:space="0" w:color="auto"/>
              <w:right w:val="single" w:sz="4" w:space="0" w:color="auto"/>
            </w:tcBorders>
            <w:shd w:val="clear" w:color="auto" w:fill="auto"/>
            <w:noWrap/>
            <w:vAlign w:val="center"/>
            <w:hideMark/>
          </w:tcPr>
          <w:p w14:paraId="3964AB43"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$1,823.25 </w:t>
            </w:r>
          </w:p>
        </w:tc>
        <w:tc>
          <w:tcPr>
            <w:tcW w:w="1440" w:type="dxa"/>
            <w:tcBorders>
              <w:top w:val="nil"/>
              <w:left w:val="nil"/>
              <w:bottom w:val="single" w:sz="4" w:space="0" w:color="auto"/>
              <w:right w:val="single" w:sz="4" w:space="0" w:color="auto"/>
            </w:tcBorders>
            <w:shd w:val="clear" w:color="auto" w:fill="auto"/>
            <w:noWrap/>
            <w:vAlign w:val="center"/>
            <w:hideMark/>
          </w:tcPr>
          <w:p w14:paraId="660AF31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$1,887.30 </w:t>
            </w:r>
          </w:p>
        </w:tc>
        <w:tc>
          <w:tcPr>
            <w:tcW w:w="1170" w:type="dxa"/>
            <w:tcBorders>
              <w:top w:val="nil"/>
              <w:left w:val="nil"/>
              <w:bottom w:val="single" w:sz="4" w:space="0" w:color="auto"/>
              <w:right w:val="single" w:sz="4" w:space="0" w:color="auto"/>
            </w:tcBorders>
            <w:shd w:val="clear" w:color="auto" w:fill="auto"/>
            <w:noWrap/>
            <w:vAlign w:val="center"/>
            <w:hideMark/>
          </w:tcPr>
          <w:p w14:paraId="4D1BC93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$2,085.52 </w:t>
            </w:r>
          </w:p>
        </w:tc>
        <w:tc>
          <w:tcPr>
            <w:tcW w:w="1202" w:type="dxa"/>
            <w:tcBorders>
              <w:top w:val="nil"/>
              <w:left w:val="nil"/>
              <w:bottom w:val="single" w:sz="4" w:space="0" w:color="auto"/>
              <w:right w:val="single" w:sz="4" w:space="0" w:color="auto"/>
            </w:tcBorders>
            <w:shd w:val="clear" w:color="auto" w:fill="auto"/>
            <w:noWrap/>
            <w:vAlign w:val="center"/>
            <w:hideMark/>
          </w:tcPr>
          <w:p w14:paraId="3E02138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$2,163.89 </w:t>
            </w:r>
          </w:p>
        </w:tc>
        <w:tc>
          <w:tcPr>
            <w:tcW w:w="1186" w:type="dxa"/>
            <w:tcBorders>
              <w:top w:val="nil"/>
              <w:left w:val="nil"/>
              <w:bottom w:val="single" w:sz="4" w:space="0" w:color="auto"/>
              <w:right w:val="single" w:sz="4" w:space="0" w:color="auto"/>
            </w:tcBorders>
            <w:shd w:val="clear" w:color="auto" w:fill="auto"/>
            <w:noWrap/>
            <w:vAlign w:val="center"/>
            <w:hideMark/>
          </w:tcPr>
          <w:p w14:paraId="70B2DFE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$2,270.15 </w:t>
            </w:r>
          </w:p>
        </w:tc>
        <w:tc>
          <w:tcPr>
            <w:tcW w:w="1268" w:type="dxa"/>
            <w:tcBorders>
              <w:top w:val="nil"/>
              <w:left w:val="nil"/>
              <w:bottom w:val="single" w:sz="4" w:space="0" w:color="auto"/>
              <w:right w:val="single" w:sz="4" w:space="0" w:color="auto"/>
            </w:tcBorders>
            <w:shd w:val="clear" w:color="auto" w:fill="auto"/>
            <w:noWrap/>
            <w:vAlign w:val="center"/>
            <w:hideMark/>
          </w:tcPr>
          <w:p w14:paraId="194488EC"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$2,628.13 </w:t>
            </w:r>
          </w:p>
        </w:tc>
      </w:tr>
      <w:tr w:rsidR="007705E1" w:rsidRPr="008B20A0" w14:paraId="5589B18A"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9A867D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w:t>
            </w:r>
          </w:p>
        </w:tc>
        <w:tc>
          <w:tcPr>
            <w:tcW w:w="1096" w:type="dxa"/>
            <w:tcBorders>
              <w:top w:val="nil"/>
              <w:left w:val="nil"/>
              <w:bottom w:val="single" w:sz="4" w:space="0" w:color="auto"/>
              <w:right w:val="single" w:sz="4" w:space="0" w:color="auto"/>
            </w:tcBorders>
            <w:shd w:val="clear" w:color="auto" w:fill="auto"/>
            <w:noWrap/>
            <w:vAlign w:val="center"/>
            <w:hideMark/>
          </w:tcPr>
          <w:p w14:paraId="1CA5559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$1,923.25 </w:t>
            </w:r>
          </w:p>
        </w:tc>
        <w:tc>
          <w:tcPr>
            <w:tcW w:w="1440" w:type="dxa"/>
            <w:tcBorders>
              <w:top w:val="nil"/>
              <w:left w:val="nil"/>
              <w:bottom w:val="single" w:sz="4" w:space="0" w:color="auto"/>
              <w:right w:val="single" w:sz="4" w:space="0" w:color="auto"/>
            </w:tcBorders>
            <w:shd w:val="clear" w:color="auto" w:fill="auto"/>
            <w:noWrap/>
            <w:vAlign w:val="center"/>
            <w:hideMark/>
          </w:tcPr>
          <w:p w14:paraId="0DD04BB5"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$1,989.81 </w:t>
            </w:r>
          </w:p>
        </w:tc>
        <w:tc>
          <w:tcPr>
            <w:tcW w:w="1170" w:type="dxa"/>
            <w:tcBorders>
              <w:top w:val="nil"/>
              <w:left w:val="nil"/>
              <w:bottom w:val="single" w:sz="4" w:space="0" w:color="auto"/>
              <w:right w:val="single" w:sz="4" w:space="0" w:color="auto"/>
            </w:tcBorders>
            <w:shd w:val="clear" w:color="auto" w:fill="auto"/>
            <w:noWrap/>
            <w:vAlign w:val="center"/>
            <w:hideMark/>
          </w:tcPr>
          <w:p w14:paraId="0AF522CB"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$2,207.15 </w:t>
            </w:r>
          </w:p>
        </w:tc>
        <w:tc>
          <w:tcPr>
            <w:tcW w:w="1202" w:type="dxa"/>
            <w:tcBorders>
              <w:top w:val="nil"/>
              <w:left w:val="nil"/>
              <w:bottom w:val="single" w:sz="4" w:space="0" w:color="auto"/>
              <w:right w:val="single" w:sz="4" w:space="0" w:color="auto"/>
            </w:tcBorders>
            <w:shd w:val="clear" w:color="auto" w:fill="auto"/>
            <w:noWrap/>
            <w:vAlign w:val="center"/>
            <w:hideMark/>
          </w:tcPr>
          <w:p w14:paraId="79447685"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$2,293.08 </w:t>
            </w:r>
          </w:p>
        </w:tc>
        <w:tc>
          <w:tcPr>
            <w:tcW w:w="1186" w:type="dxa"/>
            <w:tcBorders>
              <w:top w:val="nil"/>
              <w:left w:val="nil"/>
              <w:bottom w:val="single" w:sz="4" w:space="0" w:color="auto"/>
              <w:right w:val="single" w:sz="4" w:space="0" w:color="auto"/>
            </w:tcBorders>
            <w:shd w:val="clear" w:color="auto" w:fill="auto"/>
            <w:noWrap/>
            <w:vAlign w:val="center"/>
            <w:hideMark/>
          </w:tcPr>
          <w:p w14:paraId="5283D609"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$2,409.58 </w:t>
            </w:r>
          </w:p>
        </w:tc>
        <w:tc>
          <w:tcPr>
            <w:tcW w:w="1268" w:type="dxa"/>
            <w:tcBorders>
              <w:top w:val="nil"/>
              <w:left w:val="nil"/>
              <w:bottom w:val="single" w:sz="4" w:space="0" w:color="auto"/>
              <w:right w:val="single" w:sz="4" w:space="0" w:color="auto"/>
            </w:tcBorders>
            <w:shd w:val="clear" w:color="auto" w:fill="auto"/>
            <w:noWrap/>
            <w:vAlign w:val="center"/>
            <w:hideMark/>
          </w:tcPr>
          <w:p w14:paraId="26B6EBB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$2,773.03 </w:t>
            </w:r>
          </w:p>
        </w:tc>
      </w:tr>
      <w:tr w:rsidR="007705E1" w:rsidRPr="008B20A0" w14:paraId="1144A883"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0BB428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7.5</w:t>
            </w:r>
          </w:p>
        </w:tc>
        <w:tc>
          <w:tcPr>
            <w:tcW w:w="1096" w:type="dxa"/>
            <w:tcBorders>
              <w:top w:val="nil"/>
              <w:left w:val="nil"/>
              <w:bottom w:val="single" w:sz="4" w:space="0" w:color="auto"/>
              <w:right w:val="single" w:sz="4" w:space="0" w:color="auto"/>
            </w:tcBorders>
            <w:shd w:val="clear" w:color="auto" w:fill="auto"/>
            <w:noWrap/>
            <w:vAlign w:val="center"/>
            <w:hideMark/>
          </w:tcPr>
          <w:p w14:paraId="4AF4D7F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$2,025.01 </w:t>
            </w:r>
          </w:p>
        </w:tc>
        <w:tc>
          <w:tcPr>
            <w:tcW w:w="1440" w:type="dxa"/>
            <w:tcBorders>
              <w:top w:val="nil"/>
              <w:left w:val="nil"/>
              <w:bottom w:val="single" w:sz="4" w:space="0" w:color="auto"/>
              <w:right w:val="single" w:sz="4" w:space="0" w:color="auto"/>
            </w:tcBorders>
            <w:shd w:val="clear" w:color="auto" w:fill="auto"/>
            <w:noWrap/>
            <w:vAlign w:val="center"/>
            <w:hideMark/>
          </w:tcPr>
          <w:p w14:paraId="2E0EEAAA"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$2,094.12 </w:t>
            </w:r>
          </w:p>
        </w:tc>
        <w:tc>
          <w:tcPr>
            <w:tcW w:w="1170" w:type="dxa"/>
            <w:tcBorders>
              <w:top w:val="nil"/>
              <w:left w:val="nil"/>
              <w:bottom w:val="single" w:sz="4" w:space="0" w:color="auto"/>
              <w:right w:val="single" w:sz="4" w:space="0" w:color="auto"/>
            </w:tcBorders>
            <w:shd w:val="clear" w:color="auto" w:fill="auto"/>
            <w:noWrap/>
            <w:vAlign w:val="center"/>
            <w:hideMark/>
          </w:tcPr>
          <w:p w14:paraId="0D4D48D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$2,330.91 </w:t>
            </w:r>
          </w:p>
        </w:tc>
        <w:tc>
          <w:tcPr>
            <w:tcW w:w="1202" w:type="dxa"/>
            <w:tcBorders>
              <w:top w:val="nil"/>
              <w:left w:val="nil"/>
              <w:bottom w:val="single" w:sz="4" w:space="0" w:color="auto"/>
              <w:right w:val="single" w:sz="4" w:space="0" w:color="auto"/>
            </w:tcBorders>
            <w:shd w:val="clear" w:color="auto" w:fill="auto"/>
            <w:noWrap/>
            <w:vAlign w:val="center"/>
            <w:hideMark/>
          </w:tcPr>
          <w:p w14:paraId="68F0F63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$2,424.54 </w:t>
            </w:r>
          </w:p>
        </w:tc>
        <w:tc>
          <w:tcPr>
            <w:tcW w:w="1186" w:type="dxa"/>
            <w:tcBorders>
              <w:top w:val="nil"/>
              <w:left w:val="nil"/>
              <w:bottom w:val="single" w:sz="4" w:space="0" w:color="auto"/>
              <w:right w:val="single" w:sz="4" w:space="0" w:color="auto"/>
            </w:tcBorders>
            <w:shd w:val="clear" w:color="auto" w:fill="auto"/>
            <w:noWrap/>
            <w:vAlign w:val="center"/>
            <w:hideMark/>
          </w:tcPr>
          <w:p w14:paraId="7F23659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$2,551.46 </w:t>
            </w:r>
          </w:p>
        </w:tc>
        <w:tc>
          <w:tcPr>
            <w:tcW w:w="1268" w:type="dxa"/>
            <w:tcBorders>
              <w:top w:val="nil"/>
              <w:left w:val="nil"/>
              <w:bottom w:val="single" w:sz="4" w:space="0" w:color="auto"/>
              <w:right w:val="single" w:sz="4" w:space="0" w:color="auto"/>
            </w:tcBorders>
            <w:shd w:val="clear" w:color="auto" w:fill="auto"/>
            <w:noWrap/>
            <w:vAlign w:val="center"/>
            <w:hideMark/>
          </w:tcPr>
          <w:p w14:paraId="0BFD2D1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$2,915.52 </w:t>
            </w:r>
          </w:p>
        </w:tc>
      </w:tr>
      <w:tr w:rsidR="007705E1" w:rsidRPr="008B20A0" w14:paraId="2FB5F852"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32EEDB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w:t>
            </w:r>
          </w:p>
        </w:tc>
        <w:tc>
          <w:tcPr>
            <w:tcW w:w="1096" w:type="dxa"/>
            <w:tcBorders>
              <w:top w:val="nil"/>
              <w:left w:val="nil"/>
              <w:bottom w:val="single" w:sz="4" w:space="0" w:color="auto"/>
              <w:right w:val="single" w:sz="4" w:space="0" w:color="auto"/>
            </w:tcBorders>
            <w:shd w:val="clear" w:color="auto" w:fill="auto"/>
            <w:noWrap/>
            <w:vAlign w:val="center"/>
            <w:hideMark/>
          </w:tcPr>
          <w:p w14:paraId="4A62358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$2,126.76 </w:t>
            </w:r>
          </w:p>
        </w:tc>
        <w:tc>
          <w:tcPr>
            <w:tcW w:w="1440" w:type="dxa"/>
            <w:tcBorders>
              <w:top w:val="nil"/>
              <w:left w:val="nil"/>
              <w:bottom w:val="single" w:sz="4" w:space="0" w:color="auto"/>
              <w:right w:val="single" w:sz="4" w:space="0" w:color="auto"/>
            </w:tcBorders>
            <w:shd w:val="clear" w:color="auto" w:fill="auto"/>
            <w:noWrap/>
            <w:vAlign w:val="center"/>
            <w:hideMark/>
          </w:tcPr>
          <w:p w14:paraId="34ABA6A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$2,198.43 </w:t>
            </w:r>
          </w:p>
        </w:tc>
        <w:tc>
          <w:tcPr>
            <w:tcW w:w="1170" w:type="dxa"/>
            <w:tcBorders>
              <w:top w:val="nil"/>
              <w:left w:val="nil"/>
              <w:bottom w:val="single" w:sz="4" w:space="0" w:color="auto"/>
              <w:right w:val="single" w:sz="4" w:space="0" w:color="auto"/>
            </w:tcBorders>
            <w:shd w:val="clear" w:color="auto" w:fill="auto"/>
            <w:noWrap/>
            <w:vAlign w:val="center"/>
            <w:hideMark/>
          </w:tcPr>
          <w:p w14:paraId="38241F44"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$2,454.67 </w:t>
            </w:r>
          </w:p>
        </w:tc>
        <w:tc>
          <w:tcPr>
            <w:tcW w:w="1202" w:type="dxa"/>
            <w:tcBorders>
              <w:top w:val="nil"/>
              <w:left w:val="nil"/>
              <w:bottom w:val="single" w:sz="4" w:space="0" w:color="auto"/>
              <w:right w:val="single" w:sz="4" w:space="0" w:color="auto"/>
            </w:tcBorders>
            <w:shd w:val="clear" w:color="auto" w:fill="auto"/>
            <w:noWrap/>
            <w:vAlign w:val="center"/>
            <w:hideMark/>
          </w:tcPr>
          <w:p w14:paraId="5CD0570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$2,555.99 </w:t>
            </w:r>
          </w:p>
        </w:tc>
        <w:tc>
          <w:tcPr>
            <w:tcW w:w="1186" w:type="dxa"/>
            <w:tcBorders>
              <w:top w:val="nil"/>
              <w:left w:val="nil"/>
              <w:bottom w:val="single" w:sz="4" w:space="0" w:color="auto"/>
              <w:right w:val="single" w:sz="4" w:space="0" w:color="auto"/>
            </w:tcBorders>
            <w:shd w:val="clear" w:color="auto" w:fill="auto"/>
            <w:noWrap/>
            <w:vAlign w:val="center"/>
            <w:hideMark/>
          </w:tcPr>
          <w:p w14:paraId="3FA8AEB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$2,693.35 </w:t>
            </w:r>
          </w:p>
        </w:tc>
        <w:tc>
          <w:tcPr>
            <w:tcW w:w="1268" w:type="dxa"/>
            <w:tcBorders>
              <w:top w:val="nil"/>
              <w:left w:val="nil"/>
              <w:bottom w:val="single" w:sz="4" w:space="0" w:color="auto"/>
              <w:right w:val="single" w:sz="4" w:space="0" w:color="auto"/>
            </w:tcBorders>
            <w:shd w:val="clear" w:color="auto" w:fill="auto"/>
            <w:noWrap/>
            <w:vAlign w:val="center"/>
            <w:hideMark/>
          </w:tcPr>
          <w:p w14:paraId="4544962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$3,058.00 </w:t>
            </w:r>
          </w:p>
        </w:tc>
      </w:tr>
      <w:tr w:rsidR="007705E1" w:rsidRPr="008B20A0" w14:paraId="7ACDD211"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D5B03F5"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8.5</w:t>
            </w:r>
          </w:p>
        </w:tc>
        <w:tc>
          <w:tcPr>
            <w:tcW w:w="1096" w:type="dxa"/>
            <w:tcBorders>
              <w:top w:val="nil"/>
              <w:left w:val="nil"/>
              <w:bottom w:val="single" w:sz="4" w:space="0" w:color="auto"/>
              <w:right w:val="single" w:sz="4" w:space="0" w:color="auto"/>
            </w:tcBorders>
            <w:shd w:val="clear" w:color="auto" w:fill="auto"/>
            <w:noWrap/>
            <w:vAlign w:val="center"/>
            <w:hideMark/>
          </w:tcPr>
          <w:p w14:paraId="17B39E4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$2,228.52 </w:t>
            </w:r>
          </w:p>
        </w:tc>
        <w:tc>
          <w:tcPr>
            <w:tcW w:w="1440" w:type="dxa"/>
            <w:tcBorders>
              <w:top w:val="nil"/>
              <w:left w:val="nil"/>
              <w:bottom w:val="single" w:sz="4" w:space="0" w:color="auto"/>
              <w:right w:val="single" w:sz="4" w:space="0" w:color="auto"/>
            </w:tcBorders>
            <w:shd w:val="clear" w:color="auto" w:fill="auto"/>
            <w:noWrap/>
            <w:vAlign w:val="center"/>
            <w:hideMark/>
          </w:tcPr>
          <w:p w14:paraId="60CAEBB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$2,302.74 </w:t>
            </w:r>
          </w:p>
        </w:tc>
        <w:tc>
          <w:tcPr>
            <w:tcW w:w="1170" w:type="dxa"/>
            <w:tcBorders>
              <w:top w:val="nil"/>
              <w:left w:val="nil"/>
              <w:bottom w:val="single" w:sz="4" w:space="0" w:color="auto"/>
              <w:right w:val="single" w:sz="4" w:space="0" w:color="auto"/>
            </w:tcBorders>
            <w:shd w:val="clear" w:color="auto" w:fill="auto"/>
            <w:noWrap/>
            <w:vAlign w:val="center"/>
            <w:hideMark/>
          </w:tcPr>
          <w:p w14:paraId="63C0DB7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$2,578.44 </w:t>
            </w:r>
          </w:p>
        </w:tc>
        <w:tc>
          <w:tcPr>
            <w:tcW w:w="1202" w:type="dxa"/>
            <w:tcBorders>
              <w:top w:val="nil"/>
              <w:left w:val="nil"/>
              <w:bottom w:val="single" w:sz="4" w:space="0" w:color="auto"/>
              <w:right w:val="single" w:sz="4" w:space="0" w:color="auto"/>
            </w:tcBorders>
            <w:shd w:val="clear" w:color="auto" w:fill="auto"/>
            <w:noWrap/>
            <w:vAlign w:val="center"/>
            <w:hideMark/>
          </w:tcPr>
          <w:p w14:paraId="78B028D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$2,687.45 </w:t>
            </w:r>
          </w:p>
        </w:tc>
        <w:tc>
          <w:tcPr>
            <w:tcW w:w="1186" w:type="dxa"/>
            <w:tcBorders>
              <w:top w:val="nil"/>
              <w:left w:val="nil"/>
              <w:bottom w:val="single" w:sz="4" w:space="0" w:color="auto"/>
              <w:right w:val="single" w:sz="4" w:space="0" w:color="auto"/>
            </w:tcBorders>
            <w:shd w:val="clear" w:color="auto" w:fill="auto"/>
            <w:noWrap/>
            <w:vAlign w:val="center"/>
            <w:hideMark/>
          </w:tcPr>
          <w:p w14:paraId="191C8ED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$2,835.23 </w:t>
            </w:r>
          </w:p>
        </w:tc>
        <w:tc>
          <w:tcPr>
            <w:tcW w:w="1268" w:type="dxa"/>
            <w:tcBorders>
              <w:top w:val="nil"/>
              <w:left w:val="nil"/>
              <w:bottom w:val="single" w:sz="4" w:space="0" w:color="auto"/>
              <w:right w:val="single" w:sz="4" w:space="0" w:color="auto"/>
            </w:tcBorders>
            <w:shd w:val="clear" w:color="auto" w:fill="auto"/>
            <w:noWrap/>
            <w:vAlign w:val="center"/>
            <w:hideMark/>
          </w:tcPr>
          <w:p w14:paraId="779F8405"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$3,200.49 </w:t>
            </w:r>
          </w:p>
        </w:tc>
      </w:tr>
      <w:tr w:rsidR="007705E1" w:rsidRPr="008B20A0" w14:paraId="75F8EFC6"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29CBD1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w:t>
            </w:r>
          </w:p>
        </w:tc>
        <w:tc>
          <w:tcPr>
            <w:tcW w:w="1096" w:type="dxa"/>
            <w:tcBorders>
              <w:top w:val="nil"/>
              <w:left w:val="nil"/>
              <w:bottom w:val="single" w:sz="4" w:space="0" w:color="auto"/>
              <w:right w:val="single" w:sz="4" w:space="0" w:color="auto"/>
            </w:tcBorders>
            <w:shd w:val="clear" w:color="auto" w:fill="auto"/>
            <w:noWrap/>
            <w:vAlign w:val="center"/>
            <w:hideMark/>
          </w:tcPr>
          <w:p w14:paraId="120EF77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$2,330.27 </w:t>
            </w:r>
          </w:p>
        </w:tc>
        <w:tc>
          <w:tcPr>
            <w:tcW w:w="1440" w:type="dxa"/>
            <w:tcBorders>
              <w:top w:val="nil"/>
              <w:left w:val="nil"/>
              <w:bottom w:val="single" w:sz="4" w:space="0" w:color="auto"/>
              <w:right w:val="single" w:sz="4" w:space="0" w:color="auto"/>
            </w:tcBorders>
            <w:shd w:val="clear" w:color="auto" w:fill="auto"/>
            <w:noWrap/>
            <w:vAlign w:val="center"/>
            <w:hideMark/>
          </w:tcPr>
          <w:p w14:paraId="63378CF4"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$2,407.05 </w:t>
            </w:r>
          </w:p>
        </w:tc>
        <w:tc>
          <w:tcPr>
            <w:tcW w:w="1170" w:type="dxa"/>
            <w:tcBorders>
              <w:top w:val="nil"/>
              <w:left w:val="nil"/>
              <w:bottom w:val="single" w:sz="4" w:space="0" w:color="auto"/>
              <w:right w:val="single" w:sz="4" w:space="0" w:color="auto"/>
            </w:tcBorders>
            <w:shd w:val="clear" w:color="auto" w:fill="auto"/>
            <w:noWrap/>
            <w:vAlign w:val="center"/>
            <w:hideMark/>
          </w:tcPr>
          <w:p w14:paraId="652763D9"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$2,702.20 </w:t>
            </w:r>
          </w:p>
        </w:tc>
        <w:tc>
          <w:tcPr>
            <w:tcW w:w="1202" w:type="dxa"/>
            <w:tcBorders>
              <w:top w:val="nil"/>
              <w:left w:val="nil"/>
              <w:bottom w:val="single" w:sz="4" w:space="0" w:color="auto"/>
              <w:right w:val="single" w:sz="4" w:space="0" w:color="auto"/>
            </w:tcBorders>
            <w:shd w:val="clear" w:color="auto" w:fill="auto"/>
            <w:noWrap/>
            <w:vAlign w:val="center"/>
            <w:hideMark/>
          </w:tcPr>
          <w:p w14:paraId="332E7BA9"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$2,818.90 </w:t>
            </w:r>
          </w:p>
        </w:tc>
        <w:tc>
          <w:tcPr>
            <w:tcW w:w="1186" w:type="dxa"/>
            <w:tcBorders>
              <w:top w:val="nil"/>
              <w:left w:val="nil"/>
              <w:bottom w:val="single" w:sz="4" w:space="0" w:color="auto"/>
              <w:right w:val="single" w:sz="4" w:space="0" w:color="auto"/>
            </w:tcBorders>
            <w:shd w:val="clear" w:color="auto" w:fill="auto"/>
            <w:noWrap/>
            <w:vAlign w:val="center"/>
            <w:hideMark/>
          </w:tcPr>
          <w:p w14:paraId="194AD79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$2,977.11 </w:t>
            </w:r>
          </w:p>
        </w:tc>
        <w:tc>
          <w:tcPr>
            <w:tcW w:w="1268" w:type="dxa"/>
            <w:tcBorders>
              <w:top w:val="nil"/>
              <w:left w:val="nil"/>
              <w:bottom w:val="single" w:sz="4" w:space="0" w:color="auto"/>
              <w:right w:val="single" w:sz="4" w:space="0" w:color="auto"/>
            </w:tcBorders>
            <w:shd w:val="clear" w:color="auto" w:fill="auto"/>
            <w:noWrap/>
            <w:vAlign w:val="center"/>
            <w:hideMark/>
          </w:tcPr>
          <w:p w14:paraId="673D837C"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$3,345.38 </w:t>
            </w:r>
          </w:p>
        </w:tc>
      </w:tr>
      <w:tr w:rsidR="007705E1" w:rsidRPr="008B20A0" w14:paraId="343CAD8E"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F9A16C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9.5</w:t>
            </w:r>
          </w:p>
        </w:tc>
        <w:tc>
          <w:tcPr>
            <w:tcW w:w="1096" w:type="dxa"/>
            <w:tcBorders>
              <w:top w:val="nil"/>
              <w:left w:val="nil"/>
              <w:bottom w:val="single" w:sz="4" w:space="0" w:color="auto"/>
              <w:right w:val="single" w:sz="4" w:space="0" w:color="auto"/>
            </w:tcBorders>
            <w:shd w:val="clear" w:color="auto" w:fill="auto"/>
            <w:noWrap/>
            <w:vAlign w:val="center"/>
            <w:hideMark/>
          </w:tcPr>
          <w:p w14:paraId="2569B45B"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$2,432.03 </w:t>
            </w:r>
          </w:p>
        </w:tc>
        <w:tc>
          <w:tcPr>
            <w:tcW w:w="1440" w:type="dxa"/>
            <w:tcBorders>
              <w:top w:val="nil"/>
              <w:left w:val="nil"/>
              <w:bottom w:val="single" w:sz="4" w:space="0" w:color="auto"/>
              <w:right w:val="single" w:sz="4" w:space="0" w:color="auto"/>
            </w:tcBorders>
            <w:shd w:val="clear" w:color="auto" w:fill="auto"/>
            <w:noWrap/>
            <w:vAlign w:val="center"/>
            <w:hideMark/>
          </w:tcPr>
          <w:p w14:paraId="6338C08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$2,511.36 </w:t>
            </w:r>
          </w:p>
        </w:tc>
        <w:tc>
          <w:tcPr>
            <w:tcW w:w="1170" w:type="dxa"/>
            <w:tcBorders>
              <w:top w:val="nil"/>
              <w:left w:val="nil"/>
              <w:bottom w:val="single" w:sz="4" w:space="0" w:color="auto"/>
              <w:right w:val="single" w:sz="4" w:space="0" w:color="auto"/>
            </w:tcBorders>
            <w:shd w:val="clear" w:color="auto" w:fill="auto"/>
            <w:noWrap/>
            <w:vAlign w:val="center"/>
            <w:hideMark/>
          </w:tcPr>
          <w:p w14:paraId="133EE119"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$2,825.96 </w:t>
            </w:r>
          </w:p>
        </w:tc>
        <w:tc>
          <w:tcPr>
            <w:tcW w:w="1202" w:type="dxa"/>
            <w:tcBorders>
              <w:top w:val="nil"/>
              <w:left w:val="nil"/>
              <w:bottom w:val="single" w:sz="4" w:space="0" w:color="auto"/>
              <w:right w:val="single" w:sz="4" w:space="0" w:color="auto"/>
            </w:tcBorders>
            <w:shd w:val="clear" w:color="auto" w:fill="auto"/>
            <w:noWrap/>
            <w:vAlign w:val="center"/>
            <w:hideMark/>
          </w:tcPr>
          <w:p w14:paraId="6E4E3EB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$2,950.36 </w:t>
            </w:r>
          </w:p>
        </w:tc>
        <w:tc>
          <w:tcPr>
            <w:tcW w:w="1186" w:type="dxa"/>
            <w:tcBorders>
              <w:top w:val="nil"/>
              <w:left w:val="nil"/>
              <w:bottom w:val="single" w:sz="4" w:space="0" w:color="auto"/>
              <w:right w:val="single" w:sz="4" w:space="0" w:color="auto"/>
            </w:tcBorders>
            <w:shd w:val="clear" w:color="auto" w:fill="auto"/>
            <w:noWrap/>
            <w:vAlign w:val="center"/>
            <w:hideMark/>
          </w:tcPr>
          <w:p w14:paraId="4AC7F87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$3,118.99 </w:t>
            </w:r>
          </w:p>
        </w:tc>
        <w:tc>
          <w:tcPr>
            <w:tcW w:w="1268" w:type="dxa"/>
            <w:tcBorders>
              <w:top w:val="nil"/>
              <w:left w:val="nil"/>
              <w:bottom w:val="single" w:sz="4" w:space="0" w:color="auto"/>
              <w:right w:val="single" w:sz="4" w:space="0" w:color="auto"/>
            </w:tcBorders>
            <w:shd w:val="clear" w:color="auto" w:fill="auto"/>
            <w:noWrap/>
            <w:vAlign w:val="center"/>
            <w:hideMark/>
          </w:tcPr>
          <w:p w14:paraId="7495051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$3,487.87 </w:t>
            </w:r>
          </w:p>
        </w:tc>
      </w:tr>
      <w:tr w:rsidR="007705E1" w:rsidRPr="008B20A0" w14:paraId="17FDDC19"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9938B3C"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w:t>
            </w:r>
          </w:p>
        </w:tc>
        <w:tc>
          <w:tcPr>
            <w:tcW w:w="1096" w:type="dxa"/>
            <w:tcBorders>
              <w:top w:val="nil"/>
              <w:left w:val="nil"/>
              <w:bottom w:val="single" w:sz="4" w:space="0" w:color="auto"/>
              <w:right w:val="single" w:sz="4" w:space="0" w:color="auto"/>
            </w:tcBorders>
            <w:shd w:val="clear" w:color="auto" w:fill="auto"/>
            <w:noWrap/>
            <w:vAlign w:val="center"/>
            <w:hideMark/>
          </w:tcPr>
          <w:p w14:paraId="1C515058"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$2,533.78 </w:t>
            </w:r>
          </w:p>
        </w:tc>
        <w:tc>
          <w:tcPr>
            <w:tcW w:w="1440" w:type="dxa"/>
            <w:tcBorders>
              <w:top w:val="nil"/>
              <w:left w:val="nil"/>
              <w:bottom w:val="single" w:sz="4" w:space="0" w:color="auto"/>
              <w:right w:val="single" w:sz="4" w:space="0" w:color="auto"/>
            </w:tcBorders>
            <w:shd w:val="clear" w:color="auto" w:fill="auto"/>
            <w:noWrap/>
            <w:vAlign w:val="center"/>
            <w:hideMark/>
          </w:tcPr>
          <w:p w14:paraId="768407B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$2,615.67 </w:t>
            </w:r>
          </w:p>
        </w:tc>
        <w:tc>
          <w:tcPr>
            <w:tcW w:w="1170" w:type="dxa"/>
            <w:tcBorders>
              <w:top w:val="nil"/>
              <w:left w:val="nil"/>
              <w:bottom w:val="single" w:sz="4" w:space="0" w:color="auto"/>
              <w:right w:val="single" w:sz="4" w:space="0" w:color="auto"/>
            </w:tcBorders>
            <w:shd w:val="clear" w:color="auto" w:fill="auto"/>
            <w:noWrap/>
            <w:vAlign w:val="center"/>
            <w:hideMark/>
          </w:tcPr>
          <w:p w14:paraId="422A2B0A"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$2,949.73 </w:t>
            </w:r>
          </w:p>
        </w:tc>
        <w:tc>
          <w:tcPr>
            <w:tcW w:w="1202" w:type="dxa"/>
            <w:tcBorders>
              <w:top w:val="nil"/>
              <w:left w:val="nil"/>
              <w:bottom w:val="single" w:sz="4" w:space="0" w:color="auto"/>
              <w:right w:val="single" w:sz="4" w:space="0" w:color="auto"/>
            </w:tcBorders>
            <w:shd w:val="clear" w:color="auto" w:fill="auto"/>
            <w:noWrap/>
            <w:vAlign w:val="center"/>
            <w:hideMark/>
          </w:tcPr>
          <w:p w14:paraId="66C1F3D3"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$3,081.81 </w:t>
            </w:r>
          </w:p>
        </w:tc>
        <w:tc>
          <w:tcPr>
            <w:tcW w:w="1186" w:type="dxa"/>
            <w:tcBorders>
              <w:top w:val="nil"/>
              <w:left w:val="nil"/>
              <w:bottom w:val="single" w:sz="4" w:space="0" w:color="auto"/>
              <w:right w:val="single" w:sz="4" w:space="0" w:color="auto"/>
            </w:tcBorders>
            <w:shd w:val="clear" w:color="auto" w:fill="auto"/>
            <w:noWrap/>
            <w:vAlign w:val="center"/>
            <w:hideMark/>
          </w:tcPr>
          <w:p w14:paraId="39B3D3A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$3,260.88 </w:t>
            </w:r>
          </w:p>
        </w:tc>
        <w:tc>
          <w:tcPr>
            <w:tcW w:w="1268" w:type="dxa"/>
            <w:tcBorders>
              <w:top w:val="nil"/>
              <w:left w:val="nil"/>
              <w:bottom w:val="single" w:sz="4" w:space="0" w:color="auto"/>
              <w:right w:val="single" w:sz="4" w:space="0" w:color="auto"/>
            </w:tcBorders>
            <w:shd w:val="clear" w:color="auto" w:fill="auto"/>
            <w:noWrap/>
            <w:vAlign w:val="center"/>
            <w:hideMark/>
          </w:tcPr>
          <w:p w14:paraId="42CB53A8"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$3,630.35 </w:t>
            </w:r>
          </w:p>
        </w:tc>
      </w:tr>
      <w:tr w:rsidR="007705E1" w:rsidRPr="008B20A0" w14:paraId="79D565DE"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3E1A4D4"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10.5</w:t>
            </w:r>
          </w:p>
        </w:tc>
        <w:tc>
          <w:tcPr>
            <w:tcW w:w="1096" w:type="dxa"/>
            <w:tcBorders>
              <w:top w:val="nil"/>
              <w:left w:val="nil"/>
              <w:bottom w:val="single" w:sz="4" w:space="0" w:color="auto"/>
              <w:right w:val="single" w:sz="4" w:space="0" w:color="auto"/>
            </w:tcBorders>
            <w:shd w:val="clear" w:color="auto" w:fill="auto"/>
            <w:noWrap/>
            <w:vAlign w:val="center"/>
            <w:hideMark/>
          </w:tcPr>
          <w:p w14:paraId="027D127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$2,635.54 </w:t>
            </w:r>
          </w:p>
        </w:tc>
        <w:tc>
          <w:tcPr>
            <w:tcW w:w="1440" w:type="dxa"/>
            <w:tcBorders>
              <w:top w:val="nil"/>
              <w:left w:val="nil"/>
              <w:bottom w:val="single" w:sz="4" w:space="0" w:color="auto"/>
              <w:right w:val="single" w:sz="4" w:space="0" w:color="auto"/>
            </w:tcBorders>
            <w:shd w:val="clear" w:color="auto" w:fill="auto"/>
            <w:noWrap/>
            <w:vAlign w:val="center"/>
            <w:hideMark/>
          </w:tcPr>
          <w:p w14:paraId="133B051A"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$2,719.98 </w:t>
            </w:r>
          </w:p>
        </w:tc>
        <w:tc>
          <w:tcPr>
            <w:tcW w:w="1170" w:type="dxa"/>
            <w:tcBorders>
              <w:top w:val="nil"/>
              <w:left w:val="nil"/>
              <w:bottom w:val="single" w:sz="4" w:space="0" w:color="auto"/>
              <w:right w:val="single" w:sz="4" w:space="0" w:color="auto"/>
            </w:tcBorders>
            <w:shd w:val="clear" w:color="auto" w:fill="auto"/>
            <w:noWrap/>
            <w:vAlign w:val="center"/>
            <w:hideMark/>
          </w:tcPr>
          <w:p w14:paraId="5A3F790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$3,073.49 </w:t>
            </w:r>
          </w:p>
        </w:tc>
        <w:tc>
          <w:tcPr>
            <w:tcW w:w="1202" w:type="dxa"/>
            <w:tcBorders>
              <w:top w:val="nil"/>
              <w:left w:val="nil"/>
              <w:bottom w:val="single" w:sz="4" w:space="0" w:color="auto"/>
              <w:right w:val="single" w:sz="4" w:space="0" w:color="auto"/>
            </w:tcBorders>
            <w:shd w:val="clear" w:color="auto" w:fill="auto"/>
            <w:noWrap/>
            <w:vAlign w:val="center"/>
            <w:hideMark/>
          </w:tcPr>
          <w:p w14:paraId="50141149"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$3,213.27 </w:t>
            </w:r>
          </w:p>
        </w:tc>
        <w:tc>
          <w:tcPr>
            <w:tcW w:w="1186" w:type="dxa"/>
            <w:tcBorders>
              <w:top w:val="nil"/>
              <w:left w:val="nil"/>
              <w:bottom w:val="single" w:sz="4" w:space="0" w:color="auto"/>
              <w:right w:val="single" w:sz="4" w:space="0" w:color="auto"/>
            </w:tcBorders>
            <w:shd w:val="clear" w:color="auto" w:fill="auto"/>
            <w:noWrap/>
            <w:vAlign w:val="center"/>
            <w:hideMark/>
          </w:tcPr>
          <w:p w14:paraId="2CE7F96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$3,402.76 </w:t>
            </w:r>
          </w:p>
        </w:tc>
        <w:tc>
          <w:tcPr>
            <w:tcW w:w="1268" w:type="dxa"/>
            <w:tcBorders>
              <w:top w:val="nil"/>
              <w:left w:val="nil"/>
              <w:bottom w:val="single" w:sz="4" w:space="0" w:color="auto"/>
              <w:right w:val="single" w:sz="4" w:space="0" w:color="auto"/>
            </w:tcBorders>
            <w:shd w:val="clear" w:color="auto" w:fill="auto"/>
            <w:noWrap/>
            <w:vAlign w:val="center"/>
            <w:hideMark/>
          </w:tcPr>
          <w:p w14:paraId="5A56F29A"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$3,772.84 </w:t>
            </w:r>
          </w:p>
        </w:tc>
      </w:tr>
      <w:tr w:rsidR="007705E1" w:rsidRPr="008B20A0" w14:paraId="567B75BE" w14:textId="77777777" w:rsidTr="006F167E">
        <w:trPr>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1FBC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691493CC"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$2,737.29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576F424"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$2,824.29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F80ECA8"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$3,197.25 </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2003D23C"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$3,344.72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4DA4FC2C"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$3,544.64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4D6AFC8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$3,917.74 </w:t>
            </w:r>
          </w:p>
        </w:tc>
      </w:tr>
      <w:tr w:rsidR="007705E1" w:rsidRPr="008B20A0" w14:paraId="0F817D1C"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068B54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11.5</w:t>
            </w:r>
          </w:p>
        </w:tc>
        <w:tc>
          <w:tcPr>
            <w:tcW w:w="1096" w:type="dxa"/>
            <w:tcBorders>
              <w:top w:val="nil"/>
              <w:left w:val="nil"/>
              <w:bottom w:val="single" w:sz="4" w:space="0" w:color="auto"/>
              <w:right w:val="single" w:sz="4" w:space="0" w:color="auto"/>
            </w:tcBorders>
            <w:shd w:val="clear" w:color="auto" w:fill="auto"/>
            <w:noWrap/>
            <w:vAlign w:val="center"/>
            <w:hideMark/>
          </w:tcPr>
          <w:p w14:paraId="5BFF1FA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$2,839.05 </w:t>
            </w:r>
          </w:p>
        </w:tc>
        <w:tc>
          <w:tcPr>
            <w:tcW w:w="1440" w:type="dxa"/>
            <w:tcBorders>
              <w:top w:val="nil"/>
              <w:left w:val="nil"/>
              <w:bottom w:val="single" w:sz="4" w:space="0" w:color="auto"/>
              <w:right w:val="single" w:sz="4" w:space="0" w:color="auto"/>
            </w:tcBorders>
            <w:shd w:val="clear" w:color="auto" w:fill="auto"/>
            <w:noWrap/>
            <w:vAlign w:val="center"/>
            <w:hideMark/>
          </w:tcPr>
          <w:p w14:paraId="656F73E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$2,928.60 </w:t>
            </w:r>
          </w:p>
        </w:tc>
        <w:tc>
          <w:tcPr>
            <w:tcW w:w="1170" w:type="dxa"/>
            <w:tcBorders>
              <w:top w:val="nil"/>
              <w:left w:val="nil"/>
              <w:bottom w:val="single" w:sz="4" w:space="0" w:color="auto"/>
              <w:right w:val="single" w:sz="4" w:space="0" w:color="auto"/>
            </w:tcBorders>
            <w:shd w:val="clear" w:color="auto" w:fill="auto"/>
            <w:noWrap/>
            <w:vAlign w:val="center"/>
            <w:hideMark/>
          </w:tcPr>
          <w:p w14:paraId="7FBF7F39"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$3,321.02 </w:t>
            </w:r>
          </w:p>
        </w:tc>
        <w:tc>
          <w:tcPr>
            <w:tcW w:w="1202" w:type="dxa"/>
            <w:tcBorders>
              <w:top w:val="nil"/>
              <w:left w:val="nil"/>
              <w:bottom w:val="single" w:sz="4" w:space="0" w:color="auto"/>
              <w:right w:val="single" w:sz="4" w:space="0" w:color="auto"/>
            </w:tcBorders>
            <w:shd w:val="clear" w:color="auto" w:fill="auto"/>
            <w:noWrap/>
            <w:vAlign w:val="center"/>
            <w:hideMark/>
          </w:tcPr>
          <w:p w14:paraId="7080A105"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$3,476.18 </w:t>
            </w:r>
          </w:p>
        </w:tc>
        <w:tc>
          <w:tcPr>
            <w:tcW w:w="1186" w:type="dxa"/>
            <w:tcBorders>
              <w:top w:val="nil"/>
              <w:left w:val="nil"/>
              <w:bottom w:val="single" w:sz="4" w:space="0" w:color="auto"/>
              <w:right w:val="single" w:sz="4" w:space="0" w:color="auto"/>
            </w:tcBorders>
            <w:shd w:val="clear" w:color="auto" w:fill="auto"/>
            <w:noWrap/>
            <w:vAlign w:val="center"/>
            <w:hideMark/>
          </w:tcPr>
          <w:p w14:paraId="11AE2BA3"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$3,686.52 </w:t>
            </w:r>
          </w:p>
        </w:tc>
        <w:tc>
          <w:tcPr>
            <w:tcW w:w="1268" w:type="dxa"/>
            <w:tcBorders>
              <w:top w:val="nil"/>
              <w:left w:val="nil"/>
              <w:bottom w:val="single" w:sz="4" w:space="0" w:color="auto"/>
              <w:right w:val="single" w:sz="4" w:space="0" w:color="auto"/>
            </w:tcBorders>
            <w:shd w:val="clear" w:color="auto" w:fill="auto"/>
            <w:noWrap/>
            <w:vAlign w:val="center"/>
            <w:hideMark/>
          </w:tcPr>
          <w:p w14:paraId="61CCD89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$4,060.22 </w:t>
            </w:r>
          </w:p>
        </w:tc>
      </w:tr>
      <w:tr w:rsidR="007705E1" w:rsidRPr="008B20A0" w14:paraId="5BD360B5"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46CA456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w:t>
            </w:r>
          </w:p>
        </w:tc>
        <w:tc>
          <w:tcPr>
            <w:tcW w:w="1096" w:type="dxa"/>
            <w:tcBorders>
              <w:top w:val="nil"/>
              <w:left w:val="nil"/>
              <w:bottom w:val="single" w:sz="4" w:space="0" w:color="auto"/>
              <w:right w:val="single" w:sz="4" w:space="0" w:color="auto"/>
            </w:tcBorders>
            <w:shd w:val="clear" w:color="auto" w:fill="auto"/>
            <w:noWrap/>
            <w:vAlign w:val="center"/>
            <w:hideMark/>
          </w:tcPr>
          <w:p w14:paraId="58D453B5"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$2,939.05 </w:t>
            </w:r>
          </w:p>
        </w:tc>
        <w:tc>
          <w:tcPr>
            <w:tcW w:w="1440" w:type="dxa"/>
            <w:tcBorders>
              <w:top w:val="nil"/>
              <w:left w:val="nil"/>
              <w:bottom w:val="single" w:sz="4" w:space="0" w:color="auto"/>
              <w:right w:val="single" w:sz="4" w:space="0" w:color="auto"/>
            </w:tcBorders>
            <w:shd w:val="clear" w:color="auto" w:fill="auto"/>
            <w:noWrap/>
            <w:vAlign w:val="center"/>
            <w:hideMark/>
          </w:tcPr>
          <w:p w14:paraId="649C2CC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$3,031.11 </w:t>
            </w:r>
          </w:p>
        </w:tc>
        <w:tc>
          <w:tcPr>
            <w:tcW w:w="1170" w:type="dxa"/>
            <w:tcBorders>
              <w:top w:val="nil"/>
              <w:left w:val="nil"/>
              <w:bottom w:val="single" w:sz="4" w:space="0" w:color="auto"/>
              <w:right w:val="single" w:sz="4" w:space="0" w:color="auto"/>
            </w:tcBorders>
            <w:shd w:val="clear" w:color="auto" w:fill="auto"/>
            <w:noWrap/>
            <w:vAlign w:val="center"/>
            <w:hideMark/>
          </w:tcPr>
          <w:p w14:paraId="566FC3C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$3,442.64 </w:t>
            </w:r>
          </w:p>
        </w:tc>
        <w:tc>
          <w:tcPr>
            <w:tcW w:w="1202" w:type="dxa"/>
            <w:tcBorders>
              <w:top w:val="nil"/>
              <w:left w:val="nil"/>
              <w:bottom w:val="single" w:sz="4" w:space="0" w:color="auto"/>
              <w:right w:val="single" w:sz="4" w:space="0" w:color="auto"/>
            </w:tcBorders>
            <w:shd w:val="clear" w:color="auto" w:fill="auto"/>
            <w:noWrap/>
            <w:vAlign w:val="center"/>
            <w:hideMark/>
          </w:tcPr>
          <w:p w14:paraId="18B7C86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$3,605.37 </w:t>
            </w:r>
          </w:p>
        </w:tc>
        <w:tc>
          <w:tcPr>
            <w:tcW w:w="1186" w:type="dxa"/>
            <w:tcBorders>
              <w:top w:val="nil"/>
              <w:left w:val="nil"/>
              <w:bottom w:val="single" w:sz="4" w:space="0" w:color="auto"/>
              <w:right w:val="single" w:sz="4" w:space="0" w:color="auto"/>
            </w:tcBorders>
            <w:shd w:val="clear" w:color="auto" w:fill="auto"/>
            <w:noWrap/>
            <w:vAlign w:val="center"/>
            <w:hideMark/>
          </w:tcPr>
          <w:p w14:paraId="5D8FAF9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$3,825.96 </w:t>
            </w:r>
          </w:p>
        </w:tc>
        <w:tc>
          <w:tcPr>
            <w:tcW w:w="1268" w:type="dxa"/>
            <w:tcBorders>
              <w:top w:val="nil"/>
              <w:left w:val="nil"/>
              <w:bottom w:val="single" w:sz="4" w:space="0" w:color="auto"/>
              <w:right w:val="single" w:sz="4" w:space="0" w:color="auto"/>
            </w:tcBorders>
            <w:shd w:val="clear" w:color="auto" w:fill="auto"/>
            <w:noWrap/>
            <w:vAlign w:val="center"/>
            <w:hideMark/>
          </w:tcPr>
          <w:p w14:paraId="6C5133E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$4,202.70 </w:t>
            </w:r>
          </w:p>
        </w:tc>
      </w:tr>
      <w:tr w:rsidR="007705E1" w:rsidRPr="008B20A0" w14:paraId="77247D03"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7CBBC3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12.5</w:t>
            </w:r>
          </w:p>
        </w:tc>
        <w:tc>
          <w:tcPr>
            <w:tcW w:w="1096" w:type="dxa"/>
            <w:tcBorders>
              <w:top w:val="nil"/>
              <w:left w:val="nil"/>
              <w:bottom w:val="single" w:sz="4" w:space="0" w:color="auto"/>
              <w:right w:val="single" w:sz="4" w:space="0" w:color="auto"/>
            </w:tcBorders>
            <w:shd w:val="clear" w:color="auto" w:fill="auto"/>
            <w:noWrap/>
            <w:vAlign w:val="center"/>
            <w:hideMark/>
          </w:tcPr>
          <w:p w14:paraId="1E0055F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$3,040.81 </w:t>
            </w:r>
          </w:p>
        </w:tc>
        <w:tc>
          <w:tcPr>
            <w:tcW w:w="1440" w:type="dxa"/>
            <w:tcBorders>
              <w:top w:val="nil"/>
              <w:left w:val="nil"/>
              <w:bottom w:val="single" w:sz="4" w:space="0" w:color="auto"/>
              <w:right w:val="single" w:sz="4" w:space="0" w:color="auto"/>
            </w:tcBorders>
            <w:shd w:val="clear" w:color="auto" w:fill="auto"/>
            <w:noWrap/>
            <w:vAlign w:val="center"/>
            <w:hideMark/>
          </w:tcPr>
          <w:p w14:paraId="0DEE78E4"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$3,135.42 </w:t>
            </w:r>
          </w:p>
        </w:tc>
        <w:tc>
          <w:tcPr>
            <w:tcW w:w="1170" w:type="dxa"/>
            <w:tcBorders>
              <w:top w:val="nil"/>
              <w:left w:val="nil"/>
              <w:bottom w:val="single" w:sz="4" w:space="0" w:color="auto"/>
              <w:right w:val="single" w:sz="4" w:space="0" w:color="auto"/>
            </w:tcBorders>
            <w:shd w:val="clear" w:color="auto" w:fill="auto"/>
            <w:noWrap/>
            <w:vAlign w:val="center"/>
            <w:hideMark/>
          </w:tcPr>
          <w:p w14:paraId="10A070F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$3,566.41 </w:t>
            </w:r>
          </w:p>
        </w:tc>
        <w:tc>
          <w:tcPr>
            <w:tcW w:w="1202" w:type="dxa"/>
            <w:tcBorders>
              <w:top w:val="nil"/>
              <w:left w:val="nil"/>
              <w:bottom w:val="single" w:sz="4" w:space="0" w:color="auto"/>
              <w:right w:val="single" w:sz="4" w:space="0" w:color="auto"/>
            </w:tcBorders>
            <w:shd w:val="clear" w:color="auto" w:fill="auto"/>
            <w:noWrap/>
            <w:vAlign w:val="center"/>
            <w:hideMark/>
          </w:tcPr>
          <w:p w14:paraId="761B493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$3,736.82 </w:t>
            </w:r>
          </w:p>
        </w:tc>
        <w:tc>
          <w:tcPr>
            <w:tcW w:w="1186" w:type="dxa"/>
            <w:tcBorders>
              <w:top w:val="nil"/>
              <w:left w:val="nil"/>
              <w:bottom w:val="single" w:sz="4" w:space="0" w:color="auto"/>
              <w:right w:val="single" w:sz="4" w:space="0" w:color="auto"/>
            </w:tcBorders>
            <w:shd w:val="clear" w:color="auto" w:fill="auto"/>
            <w:noWrap/>
            <w:vAlign w:val="center"/>
            <w:hideMark/>
          </w:tcPr>
          <w:p w14:paraId="0FD3A7E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$3,967.84 </w:t>
            </w:r>
          </w:p>
        </w:tc>
        <w:tc>
          <w:tcPr>
            <w:tcW w:w="1268" w:type="dxa"/>
            <w:tcBorders>
              <w:top w:val="nil"/>
              <w:left w:val="nil"/>
              <w:bottom w:val="single" w:sz="4" w:space="0" w:color="auto"/>
              <w:right w:val="single" w:sz="4" w:space="0" w:color="auto"/>
            </w:tcBorders>
            <w:shd w:val="clear" w:color="auto" w:fill="auto"/>
            <w:noWrap/>
            <w:vAlign w:val="center"/>
            <w:hideMark/>
          </w:tcPr>
          <w:p w14:paraId="45DC3CE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$4,345.19 </w:t>
            </w:r>
          </w:p>
        </w:tc>
      </w:tr>
      <w:tr w:rsidR="007705E1" w:rsidRPr="008B20A0" w14:paraId="6410A7EA"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2DFB4B4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w:t>
            </w:r>
          </w:p>
        </w:tc>
        <w:tc>
          <w:tcPr>
            <w:tcW w:w="1096" w:type="dxa"/>
            <w:tcBorders>
              <w:top w:val="nil"/>
              <w:left w:val="nil"/>
              <w:bottom w:val="single" w:sz="4" w:space="0" w:color="auto"/>
              <w:right w:val="single" w:sz="4" w:space="0" w:color="auto"/>
            </w:tcBorders>
            <w:shd w:val="clear" w:color="auto" w:fill="auto"/>
            <w:noWrap/>
            <w:vAlign w:val="center"/>
            <w:hideMark/>
          </w:tcPr>
          <w:p w14:paraId="1C84AD01" w14:textId="4487D51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28EDC5A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$3,239.73 </w:t>
            </w:r>
          </w:p>
        </w:tc>
        <w:tc>
          <w:tcPr>
            <w:tcW w:w="1170" w:type="dxa"/>
            <w:tcBorders>
              <w:top w:val="nil"/>
              <w:left w:val="nil"/>
              <w:bottom w:val="single" w:sz="4" w:space="0" w:color="auto"/>
              <w:right w:val="single" w:sz="4" w:space="0" w:color="auto"/>
            </w:tcBorders>
            <w:shd w:val="clear" w:color="auto" w:fill="auto"/>
            <w:noWrap/>
            <w:vAlign w:val="center"/>
            <w:hideMark/>
          </w:tcPr>
          <w:p w14:paraId="44C4335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$3,690.17 </w:t>
            </w:r>
          </w:p>
        </w:tc>
        <w:tc>
          <w:tcPr>
            <w:tcW w:w="1202" w:type="dxa"/>
            <w:tcBorders>
              <w:top w:val="nil"/>
              <w:left w:val="nil"/>
              <w:bottom w:val="single" w:sz="4" w:space="0" w:color="auto"/>
              <w:right w:val="single" w:sz="4" w:space="0" w:color="auto"/>
            </w:tcBorders>
            <w:shd w:val="clear" w:color="auto" w:fill="auto"/>
            <w:noWrap/>
            <w:vAlign w:val="center"/>
            <w:hideMark/>
          </w:tcPr>
          <w:p w14:paraId="35F1853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$3,868.28 </w:t>
            </w:r>
          </w:p>
        </w:tc>
        <w:tc>
          <w:tcPr>
            <w:tcW w:w="1186" w:type="dxa"/>
            <w:tcBorders>
              <w:top w:val="nil"/>
              <w:left w:val="nil"/>
              <w:bottom w:val="single" w:sz="4" w:space="0" w:color="auto"/>
              <w:right w:val="single" w:sz="4" w:space="0" w:color="auto"/>
            </w:tcBorders>
            <w:shd w:val="clear" w:color="auto" w:fill="auto"/>
            <w:noWrap/>
            <w:vAlign w:val="center"/>
            <w:hideMark/>
          </w:tcPr>
          <w:p w14:paraId="0D9154B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$4,109.73 </w:t>
            </w:r>
          </w:p>
        </w:tc>
        <w:tc>
          <w:tcPr>
            <w:tcW w:w="1268" w:type="dxa"/>
            <w:tcBorders>
              <w:top w:val="nil"/>
              <w:left w:val="nil"/>
              <w:bottom w:val="single" w:sz="4" w:space="0" w:color="auto"/>
              <w:right w:val="single" w:sz="4" w:space="0" w:color="auto"/>
            </w:tcBorders>
            <w:shd w:val="clear" w:color="auto" w:fill="auto"/>
            <w:noWrap/>
            <w:vAlign w:val="center"/>
            <w:hideMark/>
          </w:tcPr>
          <w:p w14:paraId="1B6AFAD8"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$4,490.09 </w:t>
            </w:r>
          </w:p>
        </w:tc>
      </w:tr>
      <w:tr w:rsidR="007705E1" w:rsidRPr="008B20A0" w14:paraId="4B698C5F"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27EBDB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13.5</w:t>
            </w:r>
          </w:p>
        </w:tc>
        <w:tc>
          <w:tcPr>
            <w:tcW w:w="1096" w:type="dxa"/>
            <w:tcBorders>
              <w:top w:val="nil"/>
              <w:left w:val="nil"/>
              <w:bottom w:val="single" w:sz="4" w:space="0" w:color="auto"/>
              <w:right w:val="single" w:sz="4" w:space="0" w:color="auto"/>
            </w:tcBorders>
            <w:shd w:val="clear" w:color="auto" w:fill="auto"/>
            <w:noWrap/>
            <w:vAlign w:val="center"/>
            <w:hideMark/>
          </w:tcPr>
          <w:p w14:paraId="5341F4E5" w14:textId="5BD9B14A"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8B20A0">
              <w:rPr>
                <w:rFonts w:ascii="Times New Roman" w:eastAsia="Times New Roman" w:hAnsi="Times New Roman" w:cs="Times New Roman"/>
                <w:color w:val="000000"/>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245CCAF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$3,344.04 </w:t>
            </w:r>
          </w:p>
        </w:tc>
        <w:tc>
          <w:tcPr>
            <w:tcW w:w="1170" w:type="dxa"/>
            <w:tcBorders>
              <w:top w:val="nil"/>
              <w:left w:val="nil"/>
              <w:bottom w:val="single" w:sz="4" w:space="0" w:color="auto"/>
              <w:right w:val="single" w:sz="4" w:space="0" w:color="auto"/>
            </w:tcBorders>
            <w:shd w:val="clear" w:color="auto" w:fill="auto"/>
            <w:noWrap/>
            <w:vAlign w:val="center"/>
            <w:hideMark/>
          </w:tcPr>
          <w:p w14:paraId="16E4159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$3,813.93 </w:t>
            </w:r>
          </w:p>
        </w:tc>
        <w:tc>
          <w:tcPr>
            <w:tcW w:w="1202" w:type="dxa"/>
            <w:tcBorders>
              <w:top w:val="nil"/>
              <w:left w:val="nil"/>
              <w:bottom w:val="single" w:sz="4" w:space="0" w:color="auto"/>
              <w:right w:val="single" w:sz="4" w:space="0" w:color="auto"/>
            </w:tcBorders>
            <w:shd w:val="clear" w:color="auto" w:fill="auto"/>
            <w:noWrap/>
            <w:vAlign w:val="center"/>
            <w:hideMark/>
          </w:tcPr>
          <w:p w14:paraId="471C245B"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$3,999.73 </w:t>
            </w:r>
          </w:p>
        </w:tc>
        <w:tc>
          <w:tcPr>
            <w:tcW w:w="1186" w:type="dxa"/>
            <w:tcBorders>
              <w:top w:val="nil"/>
              <w:left w:val="nil"/>
              <w:bottom w:val="single" w:sz="4" w:space="0" w:color="auto"/>
              <w:right w:val="single" w:sz="4" w:space="0" w:color="auto"/>
            </w:tcBorders>
            <w:shd w:val="clear" w:color="auto" w:fill="auto"/>
            <w:noWrap/>
            <w:vAlign w:val="center"/>
            <w:hideMark/>
          </w:tcPr>
          <w:p w14:paraId="1DAB983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$4,251.61 </w:t>
            </w:r>
          </w:p>
        </w:tc>
        <w:tc>
          <w:tcPr>
            <w:tcW w:w="1268" w:type="dxa"/>
            <w:tcBorders>
              <w:top w:val="nil"/>
              <w:left w:val="nil"/>
              <w:bottom w:val="single" w:sz="4" w:space="0" w:color="auto"/>
              <w:right w:val="single" w:sz="4" w:space="0" w:color="auto"/>
            </w:tcBorders>
            <w:shd w:val="clear" w:color="auto" w:fill="auto"/>
            <w:noWrap/>
            <w:vAlign w:val="center"/>
            <w:hideMark/>
          </w:tcPr>
          <w:p w14:paraId="5AFC4C8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$4,632.57 </w:t>
            </w:r>
          </w:p>
        </w:tc>
      </w:tr>
      <w:tr w:rsidR="007705E1" w:rsidRPr="008B20A0" w14:paraId="25DCBE5B"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0A0496A3"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lastRenderedPageBreak/>
              <w:t>14</w:t>
            </w:r>
          </w:p>
        </w:tc>
        <w:tc>
          <w:tcPr>
            <w:tcW w:w="1096" w:type="dxa"/>
            <w:tcBorders>
              <w:top w:val="nil"/>
              <w:left w:val="nil"/>
              <w:bottom w:val="single" w:sz="4" w:space="0" w:color="auto"/>
              <w:right w:val="single" w:sz="4" w:space="0" w:color="auto"/>
            </w:tcBorders>
            <w:shd w:val="clear" w:color="auto" w:fill="auto"/>
            <w:noWrap/>
            <w:vAlign w:val="center"/>
            <w:hideMark/>
          </w:tcPr>
          <w:p w14:paraId="6D139ED7" w14:textId="3D0D1502"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8B20A0">
              <w:rPr>
                <w:rFonts w:ascii="Times New Roman" w:eastAsia="Times New Roman" w:hAnsi="Times New Roman" w:cs="Times New Roman"/>
                <w:color w:val="000000"/>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24C17DB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$3,448.35 </w:t>
            </w:r>
          </w:p>
        </w:tc>
        <w:tc>
          <w:tcPr>
            <w:tcW w:w="1170" w:type="dxa"/>
            <w:tcBorders>
              <w:top w:val="nil"/>
              <w:left w:val="nil"/>
              <w:bottom w:val="single" w:sz="4" w:space="0" w:color="auto"/>
              <w:right w:val="single" w:sz="4" w:space="0" w:color="auto"/>
            </w:tcBorders>
            <w:shd w:val="clear" w:color="auto" w:fill="auto"/>
            <w:noWrap/>
            <w:vAlign w:val="center"/>
            <w:hideMark/>
          </w:tcPr>
          <w:p w14:paraId="2E00A6A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$3,937.70 </w:t>
            </w:r>
          </w:p>
        </w:tc>
        <w:tc>
          <w:tcPr>
            <w:tcW w:w="1202" w:type="dxa"/>
            <w:tcBorders>
              <w:top w:val="nil"/>
              <w:left w:val="nil"/>
              <w:bottom w:val="single" w:sz="4" w:space="0" w:color="auto"/>
              <w:right w:val="single" w:sz="4" w:space="0" w:color="auto"/>
            </w:tcBorders>
            <w:shd w:val="clear" w:color="auto" w:fill="auto"/>
            <w:noWrap/>
            <w:vAlign w:val="center"/>
            <w:hideMark/>
          </w:tcPr>
          <w:p w14:paraId="6A053D7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$4,131.19 </w:t>
            </w:r>
          </w:p>
        </w:tc>
        <w:tc>
          <w:tcPr>
            <w:tcW w:w="1186" w:type="dxa"/>
            <w:tcBorders>
              <w:top w:val="nil"/>
              <w:left w:val="nil"/>
              <w:bottom w:val="single" w:sz="4" w:space="0" w:color="auto"/>
              <w:right w:val="single" w:sz="4" w:space="0" w:color="auto"/>
            </w:tcBorders>
            <w:shd w:val="clear" w:color="auto" w:fill="auto"/>
            <w:noWrap/>
            <w:vAlign w:val="center"/>
            <w:hideMark/>
          </w:tcPr>
          <w:p w14:paraId="6613C2F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$4,393.49 </w:t>
            </w:r>
          </w:p>
        </w:tc>
        <w:tc>
          <w:tcPr>
            <w:tcW w:w="1268" w:type="dxa"/>
            <w:tcBorders>
              <w:top w:val="nil"/>
              <w:left w:val="nil"/>
              <w:bottom w:val="single" w:sz="4" w:space="0" w:color="auto"/>
              <w:right w:val="single" w:sz="4" w:space="0" w:color="auto"/>
            </w:tcBorders>
            <w:shd w:val="clear" w:color="auto" w:fill="auto"/>
            <w:noWrap/>
            <w:vAlign w:val="center"/>
            <w:hideMark/>
          </w:tcPr>
          <w:p w14:paraId="1F2A60AF"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$4,775.05 </w:t>
            </w:r>
          </w:p>
        </w:tc>
      </w:tr>
      <w:tr w:rsidR="007705E1" w:rsidRPr="008B20A0" w14:paraId="303D0CC4"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6089B556"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14.5</w:t>
            </w:r>
          </w:p>
        </w:tc>
        <w:tc>
          <w:tcPr>
            <w:tcW w:w="1096" w:type="dxa"/>
            <w:tcBorders>
              <w:top w:val="nil"/>
              <w:left w:val="nil"/>
              <w:bottom w:val="single" w:sz="4" w:space="0" w:color="auto"/>
              <w:right w:val="single" w:sz="4" w:space="0" w:color="auto"/>
            </w:tcBorders>
            <w:shd w:val="clear" w:color="auto" w:fill="auto"/>
            <w:noWrap/>
            <w:vAlign w:val="center"/>
            <w:hideMark/>
          </w:tcPr>
          <w:p w14:paraId="1DFE820E" w14:textId="6419A727"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8B20A0">
              <w:rPr>
                <w:rFonts w:ascii="Times New Roman" w:eastAsia="Times New Roman" w:hAnsi="Times New Roman" w:cs="Times New Roman"/>
                <w:color w:val="000000"/>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47D0167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$3,552.66 </w:t>
            </w:r>
          </w:p>
        </w:tc>
        <w:tc>
          <w:tcPr>
            <w:tcW w:w="1170" w:type="dxa"/>
            <w:tcBorders>
              <w:top w:val="nil"/>
              <w:left w:val="nil"/>
              <w:bottom w:val="single" w:sz="4" w:space="0" w:color="auto"/>
              <w:right w:val="single" w:sz="4" w:space="0" w:color="auto"/>
            </w:tcBorders>
            <w:shd w:val="clear" w:color="auto" w:fill="auto"/>
            <w:noWrap/>
            <w:vAlign w:val="center"/>
            <w:hideMark/>
          </w:tcPr>
          <w:p w14:paraId="14F9F89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$4,061.46 </w:t>
            </w:r>
          </w:p>
        </w:tc>
        <w:tc>
          <w:tcPr>
            <w:tcW w:w="1202" w:type="dxa"/>
            <w:tcBorders>
              <w:top w:val="nil"/>
              <w:left w:val="nil"/>
              <w:bottom w:val="single" w:sz="4" w:space="0" w:color="auto"/>
              <w:right w:val="single" w:sz="4" w:space="0" w:color="auto"/>
            </w:tcBorders>
            <w:shd w:val="clear" w:color="auto" w:fill="auto"/>
            <w:noWrap/>
            <w:vAlign w:val="center"/>
            <w:hideMark/>
          </w:tcPr>
          <w:p w14:paraId="54C1B4C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$4,262.64 </w:t>
            </w:r>
          </w:p>
        </w:tc>
        <w:tc>
          <w:tcPr>
            <w:tcW w:w="1186" w:type="dxa"/>
            <w:tcBorders>
              <w:top w:val="nil"/>
              <w:left w:val="nil"/>
              <w:bottom w:val="single" w:sz="4" w:space="0" w:color="auto"/>
              <w:right w:val="single" w:sz="4" w:space="0" w:color="auto"/>
            </w:tcBorders>
            <w:shd w:val="clear" w:color="auto" w:fill="auto"/>
            <w:noWrap/>
            <w:vAlign w:val="center"/>
            <w:hideMark/>
          </w:tcPr>
          <w:p w14:paraId="26404767"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$4,535.37 </w:t>
            </w:r>
          </w:p>
        </w:tc>
        <w:tc>
          <w:tcPr>
            <w:tcW w:w="1268" w:type="dxa"/>
            <w:tcBorders>
              <w:top w:val="nil"/>
              <w:left w:val="nil"/>
              <w:bottom w:val="single" w:sz="4" w:space="0" w:color="auto"/>
              <w:right w:val="single" w:sz="4" w:space="0" w:color="auto"/>
            </w:tcBorders>
            <w:shd w:val="clear" w:color="auto" w:fill="auto"/>
            <w:noWrap/>
            <w:vAlign w:val="center"/>
            <w:hideMark/>
          </w:tcPr>
          <w:p w14:paraId="0AFFF47E"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$4,917.54 </w:t>
            </w:r>
          </w:p>
        </w:tc>
      </w:tr>
      <w:tr w:rsidR="007705E1" w:rsidRPr="008B20A0" w14:paraId="22070856"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1025AEA"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w:t>
            </w:r>
          </w:p>
        </w:tc>
        <w:tc>
          <w:tcPr>
            <w:tcW w:w="1096" w:type="dxa"/>
            <w:tcBorders>
              <w:top w:val="nil"/>
              <w:left w:val="nil"/>
              <w:bottom w:val="single" w:sz="4" w:space="0" w:color="auto"/>
              <w:right w:val="single" w:sz="4" w:space="0" w:color="auto"/>
            </w:tcBorders>
            <w:shd w:val="clear" w:color="auto" w:fill="auto"/>
            <w:noWrap/>
            <w:vAlign w:val="center"/>
            <w:hideMark/>
          </w:tcPr>
          <w:p w14:paraId="0266B221" w14:textId="24BCE374" w:rsidR="007705E1" w:rsidRPr="008B20A0" w:rsidRDefault="007705E1" w:rsidP="00044B94">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8B20A0">
              <w:rPr>
                <w:rFonts w:ascii="Times New Roman" w:eastAsia="Times New Roman" w:hAnsi="Times New Roman" w:cs="Times New Roman"/>
                <w:color w:val="000000"/>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38CC5DDA"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$3,656.97 </w:t>
            </w:r>
          </w:p>
        </w:tc>
        <w:tc>
          <w:tcPr>
            <w:tcW w:w="1170" w:type="dxa"/>
            <w:tcBorders>
              <w:top w:val="nil"/>
              <w:left w:val="nil"/>
              <w:bottom w:val="single" w:sz="4" w:space="0" w:color="auto"/>
              <w:right w:val="single" w:sz="4" w:space="0" w:color="auto"/>
            </w:tcBorders>
            <w:shd w:val="clear" w:color="auto" w:fill="auto"/>
            <w:noWrap/>
            <w:vAlign w:val="center"/>
            <w:hideMark/>
          </w:tcPr>
          <w:p w14:paraId="13394114"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$4,185.22 </w:t>
            </w:r>
          </w:p>
        </w:tc>
        <w:tc>
          <w:tcPr>
            <w:tcW w:w="1202" w:type="dxa"/>
            <w:tcBorders>
              <w:top w:val="nil"/>
              <w:left w:val="nil"/>
              <w:bottom w:val="single" w:sz="4" w:space="0" w:color="auto"/>
              <w:right w:val="single" w:sz="4" w:space="0" w:color="auto"/>
            </w:tcBorders>
            <w:shd w:val="clear" w:color="auto" w:fill="auto"/>
            <w:noWrap/>
            <w:vAlign w:val="center"/>
            <w:hideMark/>
          </w:tcPr>
          <w:p w14:paraId="16824E5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$4,394.10 </w:t>
            </w:r>
          </w:p>
        </w:tc>
        <w:tc>
          <w:tcPr>
            <w:tcW w:w="1186" w:type="dxa"/>
            <w:tcBorders>
              <w:top w:val="nil"/>
              <w:left w:val="nil"/>
              <w:bottom w:val="single" w:sz="4" w:space="0" w:color="auto"/>
              <w:right w:val="single" w:sz="4" w:space="0" w:color="auto"/>
            </w:tcBorders>
            <w:shd w:val="clear" w:color="auto" w:fill="auto"/>
            <w:noWrap/>
            <w:vAlign w:val="center"/>
            <w:hideMark/>
          </w:tcPr>
          <w:p w14:paraId="20036028"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$4,677.25 </w:t>
            </w:r>
          </w:p>
        </w:tc>
        <w:tc>
          <w:tcPr>
            <w:tcW w:w="1268" w:type="dxa"/>
            <w:tcBorders>
              <w:top w:val="nil"/>
              <w:left w:val="nil"/>
              <w:bottom w:val="single" w:sz="4" w:space="0" w:color="auto"/>
              <w:right w:val="single" w:sz="4" w:space="0" w:color="auto"/>
            </w:tcBorders>
            <w:shd w:val="clear" w:color="auto" w:fill="auto"/>
            <w:noWrap/>
            <w:vAlign w:val="center"/>
            <w:hideMark/>
          </w:tcPr>
          <w:p w14:paraId="3C8C932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$5,062.44 </w:t>
            </w:r>
          </w:p>
        </w:tc>
      </w:tr>
      <w:tr w:rsidR="007705E1" w:rsidRPr="008B20A0" w14:paraId="2FE53FF3" w14:textId="77777777" w:rsidTr="006F167E">
        <w:trPr>
          <w:trHeight w:val="3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81C58AD"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15.5</w:t>
            </w:r>
          </w:p>
        </w:tc>
        <w:tc>
          <w:tcPr>
            <w:tcW w:w="1096" w:type="dxa"/>
            <w:tcBorders>
              <w:top w:val="nil"/>
              <w:left w:val="nil"/>
              <w:bottom w:val="single" w:sz="4" w:space="0" w:color="auto"/>
              <w:right w:val="single" w:sz="4" w:space="0" w:color="auto"/>
            </w:tcBorders>
            <w:shd w:val="clear" w:color="auto" w:fill="auto"/>
            <w:noWrap/>
            <w:vAlign w:val="center"/>
            <w:hideMark/>
          </w:tcPr>
          <w:p w14:paraId="7282EEDD" w14:textId="69C94F33"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2412849B"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$3,761.28 </w:t>
            </w:r>
          </w:p>
        </w:tc>
        <w:tc>
          <w:tcPr>
            <w:tcW w:w="1170" w:type="dxa"/>
            <w:tcBorders>
              <w:top w:val="nil"/>
              <w:left w:val="nil"/>
              <w:bottom w:val="single" w:sz="4" w:space="0" w:color="auto"/>
              <w:right w:val="single" w:sz="4" w:space="0" w:color="auto"/>
            </w:tcBorders>
            <w:shd w:val="clear" w:color="auto" w:fill="auto"/>
            <w:noWrap/>
            <w:vAlign w:val="center"/>
            <w:hideMark/>
          </w:tcPr>
          <w:p w14:paraId="7575EC92"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$4,308.99 </w:t>
            </w:r>
          </w:p>
        </w:tc>
        <w:tc>
          <w:tcPr>
            <w:tcW w:w="1202" w:type="dxa"/>
            <w:tcBorders>
              <w:top w:val="nil"/>
              <w:left w:val="nil"/>
              <w:bottom w:val="single" w:sz="4" w:space="0" w:color="auto"/>
              <w:right w:val="single" w:sz="4" w:space="0" w:color="auto"/>
            </w:tcBorders>
            <w:shd w:val="clear" w:color="auto" w:fill="auto"/>
            <w:noWrap/>
            <w:vAlign w:val="center"/>
            <w:hideMark/>
          </w:tcPr>
          <w:p w14:paraId="48019B11"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$4,525.55 </w:t>
            </w:r>
          </w:p>
        </w:tc>
        <w:tc>
          <w:tcPr>
            <w:tcW w:w="1186" w:type="dxa"/>
            <w:tcBorders>
              <w:top w:val="nil"/>
              <w:left w:val="nil"/>
              <w:bottom w:val="single" w:sz="4" w:space="0" w:color="auto"/>
              <w:right w:val="single" w:sz="4" w:space="0" w:color="auto"/>
            </w:tcBorders>
            <w:shd w:val="clear" w:color="auto" w:fill="auto"/>
            <w:noWrap/>
            <w:vAlign w:val="center"/>
            <w:hideMark/>
          </w:tcPr>
          <w:p w14:paraId="00A6C91A"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$4,819.14 </w:t>
            </w:r>
          </w:p>
        </w:tc>
        <w:tc>
          <w:tcPr>
            <w:tcW w:w="1268" w:type="dxa"/>
            <w:tcBorders>
              <w:top w:val="nil"/>
              <w:left w:val="nil"/>
              <w:bottom w:val="single" w:sz="4" w:space="0" w:color="auto"/>
              <w:right w:val="single" w:sz="4" w:space="0" w:color="auto"/>
            </w:tcBorders>
            <w:shd w:val="clear" w:color="auto" w:fill="auto"/>
            <w:noWrap/>
            <w:vAlign w:val="center"/>
            <w:hideMark/>
          </w:tcPr>
          <w:p w14:paraId="197D8978"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 xml:space="preserve">$5,204.92 </w:t>
            </w:r>
          </w:p>
        </w:tc>
      </w:tr>
    </w:tbl>
    <w:p w14:paraId="5A6CAEA9" w14:textId="06755CC7" w:rsidR="00382AE5" w:rsidRPr="008B20A0" w:rsidRDefault="00382AE5">
      <w:pPr>
        <w:rPr>
          <w:rFonts w:ascii="Times New Roman" w:hAnsi="Times New Roman" w:cs="Times New Roman"/>
          <w:spacing w:val="-3"/>
          <w:sz w:val="22"/>
          <w:szCs w:val="22"/>
        </w:rPr>
      </w:pPr>
    </w:p>
    <w:p w14:paraId="44C0D83F" w14:textId="1C59FACE" w:rsidR="004A51E5" w:rsidRPr="008B20A0" w:rsidRDefault="004A51E5" w:rsidP="004A51E5">
      <w:pPr>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w:t>
      </w:r>
      <w:r w:rsidRPr="008B20A0">
        <w:rPr>
          <w:rFonts w:ascii="Times New Roman" w:hAnsi="Times New Roman" w:cs="Times New Roman"/>
          <w:spacing w:val="-3"/>
          <w:sz w:val="22"/>
          <w:szCs w:val="22"/>
          <w:u w:val="single"/>
        </w:rPr>
        <w:t>Add-on Rates</w:t>
      </w:r>
      <w:r w:rsidRPr="008B20A0">
        <w:rPr>
          <w:rFonts w:ascii="Times New Roman" w:hAnsi="Times New Roman" w:cs="Times New Roman"/>
          <w:spacing w:val="-3"/>
          <w:sz w:val="22"/>
          <w:szCs w:val="22"/>
        </w:rPr>
        <w:t>.</w:t>
      </w:r>
    </w:p>
    <w:p w14:paraId="5C57D943" w14:textId="77777777" w:rsidR="003875EB" w:rsidRPr="008B20A0" w:rsidRDefault="003875EB" w:rsidP="006171EF">
      <w:pPr>
        <w:ind w:left="1170"/>
        <w:rPr>
          <w:rFonts w:ascii="Times New Roman" w:hAnsi="Times New Roman" w:cs="Times New Roman"/>
          <w:spacing w:val="-3"/>
          <w:sz w:val="22"/>
          <w:szCs w:val="22"/>
        </w:rPr>
      </w:pPr>
    </w:p>
    <w:tbl>
      <w:tblPr>
        <w:tblW w:w="627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206"/>
        <w:gridCol w:w="1471"/>
      </w:tblGrid>
      <w:tr w:rsidR="003875EB" w:rsidRPr="008B20A0" w14:paraId="1E63ADF6" w14:textId="77777777" w:rsidTr="006F167E">
        <w:trPr>
          <w:trHeight w:val="288"/>
          <w:tblHeader/>
        </w:trPr>
        <w:tc>
          <w:tcPr>
            <w:tcW w:w="3600" w:type="dxa"/>
            <w:shd w:val="clear" w:color="auto" w:fill="auto"/>
            <w:vAlign w:val="center"/>
            <w:hideMark/>
          </w:tcPr>
          <w:p w14:paraId="3136BAD4"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Category</w:t>
            </w:r>
          </w:p>
        </w:tc>
        <w:tc>
          <w:tcPr>
            <w:tcW w:w="1206" w:type="dxa"/>
            <w:shd w:val="clear" w:color="auto" w:fill="auto"/>
            <w:noWrap/>
            <w:vAlign w:val="center"/>
            <w:hideMark/>
          </w:tcPr>
          <w:p w14:paraId="1BAA288A"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Unit</w:t>
            </w:r>
          </w:p>
        </w:tc>
        <w:tc>
          <w:tcPr>
            <w:tcW w:w="1471" w:type="dxa"/>
            <w:shd w:val="clear" w:color="auto" w:fill="auto"/>
            <w:vAlign w:val="center"/>
            <w:hideMark/>
          </w:tcPr>
          <w:p w14:paraId="69E20195"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Rate</w:t>
            </w:r>
          </w:p>
        </w:tc>
      </w:tr>
      <w:tr w:rsidR="003875EB" w:rsidRPr="008B20A0" w14:paraId="2EEB6C7D" w14:textId="77777777" w:rsidTr="006F167E">
        <w:trPr>
          <w:trHeight w:val="288"/>
        </w:trPr>
        <w:tc>
          <w:tcPr>
            <w:tcW w:w="3600" w:type="dxa"/>
            <w:shd w:val="clear" w:color="auto" w:fill="auto"/>
            <w:vAlign w:val="center"/>
            <w:hideMark/>
          </w:tcPr>
          <w:p w14:paraId="7115815E" w14:textId="557D24DD"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w:t>
            </w:r>
          </w:p>
        </w:tc>
        <w:tc>
          <w:tcPr>
            <w:tcW w:w="1206" w:type="dxa"/>
            <w:shd w:val="clear" w:color="auto" w:fill="auto"/>
            <w:noWrap/>
            <w:vAlign w:val="center"/>
            <w:hideMark/>
          </w:tcPr>
          <w:p w14:paraId="6110EC88"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471" w:type="dxa"/>
            <w:shd w:val="clear" w:color="auto" w:fill="auto"/>
            <w:noWrap/>
            <w:vAlign w:val="center"/>
            <w:hideMark/>
          </w:tcPr>
          <w:p w14:paraId="614F0122" w14:textId="5F74FDE8" w:rsidR="003875EB" w:rsidRPr="008B20A0" w:rsidRDefault="003875EB">
            <w:pPr>
              <w:jc w:val="center"/>
              <w:rPr>
                <w:rFonts w:ascii="Times New Roman" w:eastAsia="Times New Roman" w:hAnsi="Times New Roman" w:cs="Times New Roman"/>
                <w:color w:val="000000"/>
                <w:sz w:val="22"/>
                <w:szCs w:val="22"/>
                <w:highlight w:val="yellow"/>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27.85</w:t>
            </w:r>
          </w:p>
        </w:tc>
      </w:tr>
      <w:tr w:rsidR="003875EB" w:rsidRPr="008B20A0" w14:paraId="51959DFA" w14:textId="77777777" w:rsidTr="006F167E">
        <w:trPr>
          <w:trHeight w:val="288"/>
        </w:trPr>
        <w:tc>
          <w:tcPr>
            <w:tcW w:w="3600" w:type="dxa"/>
            <w:shd w:val="clear" w:color="auto" w:fill="auto"/>
            <w:vAlign w:val="center"/>
            <w:hideMark/>
          </w:tcPr>
          <w:p w14:paraId="18ADC9E9" w14:textId="3CFC25D3"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w:t>
            </w:r>
          </w:p>
        </w:tc>
        <w:tc>
          <w:tcPr>
            <w:tcW w:w="1206" w:type="dxa"/>
            <w:shd w:val="clear" w:color="auto" w:fill="auto"/>
            <w:noWrap/>
            <w:vAlign w:val="center"/>
            <w:hideMark/>
          </w:tcPr>
          <w:p w14:paraId="5E27A298" w14:textId="7277D109"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Day</w:t>
            </w:r>
          </w:p>
        </w:tc>
        <w:tc>
          <w:tcPr>
            <w:tcW w:w="1471" w:type="dxa"/>
            <w:shd w:val="clear" w:color="auto" w:fill="auto"/>
            <w:noWrap/>
            <w:vAlign w:val="center"/>
            <w:hideMark/>
          </w:tcPr>
          <w:p w14:paraId="31958ED7" w14:textId="263D8F4A"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222.80</w:t>
            </w:r>
          </w:p>
        </w:tc>
      </w:tr>
      <w:tr w:rsidR="003875EB" w:rsidRPr="008B20A0" w14:paraId="27C4E532" w14:textId="77777777" w:rsidTr="006F167E">
        <w:trPr>
          <w:trHeight w:val="288"/>
        </w:trPr>
        <w:tc>
          <w:tcPr>
            <w:tcW w:w="3600" w:type="dxa"/>
            <w:shd w:val="clear" w:color="auto" w:fill="auto"/>
            <w:vAlign w:val="center"/>
            <w:hideMark/>
          </w:tcPr>
          <w:p w14:paraId="73DA71C9" w14:textId="38E5927F"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 (Intermediate/Medical)</w:t>
            </w:r>
          </w:p>
        </w:tc>
        <w:tc>
          <w:tcPr>
            <w:tcW w:w="1206" w:type="dxa"/>
            <w:shd w:val="clear" w:color="auto" w:fill="auto"/>
            <w:noWrap/>
            <w:vAlign w:val="center"/>
            <w:hideMark/>
          </w:tcPr>
          <w:p w14:paraId="1E4C106D"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471" w:type="dxa"/>
            <w:shd w:val="clear" w:color="auto" w:fill="auto"/>
            <w:noWrap/>
            <w:vAlign w:val="center"/>
            <w:hideMark/>
          </w:tcPr>
          <w:p w14:paraId="671EE85B" w14:textId="22AED3D7" w:rsidR="003875EB" w:rsidRPr="008B20A0" w:rsidRDefault="00F17B1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28.78</w:t>
            </w:r>
          </w:p>
        </w:tc>
      </w:tr>
      <w:tr w:rsidR="003875EB" w:rsidRPr="008B20A0" w14:paraId="0BBC3083" w14:textId="77777777" w:rsidTr="006F167E">
        <w:trPr>
          <w:trHeight w:val="288"/>
        </w:trPr>
        <w:tc>
          <w:tcPr>
            <w:tcW w:w="3600" w:type="dxa"/>
            <w:shd w:val="clear" w:color="auto" w:fill="auto"/>
            <w:vAlign w:val="center"/>
            <w:hideMark/>
          </w:tcPr>
          <w:p w14:paraId="4799657D" w14:textId="5A31EDC6"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 (Intermediate/Medical)</w:t>
            </w:r>
          </w:p>
        </w:tc>
        <w:tc>
          <w:tcPr>
            <w:tcW w:w="1206" w:type="dxa"/>
            <w:shd w:val="clear" w:color="auto" w:fill="auto"/>
            <w:noWrap/>
            <w:vAlign w:val="center"/>
            <w:hideMark/>
          </w:tcPr>
          <w:p w14:paraId="62D73A55"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Day</w:t>
            </w:r>
          </w:p>
        </w:tc>
        <w:tc>
          <w:tcPr>
            <w:tcW w:w="1471" w:type="dxa"/>
            <w:shd w:val="clear" w:color="auto" w:fill="auto"/>
            <w:noWrap/>
            <w:vAlign w:val="center"/>
            <w:hideMark/>
          </w:tcPr>
          <w:p w14:paraId="75E5CB7B" w14:textId="28019D4C"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230.24</w:t>
            </w:r>
          </w:p>
        </w:tc>
      </w:tr>
      <w:tr w:rsidR="003875EB" w:rsidRPr="008B20A0" w14:paraId="5C770FF6" w14:textId="77777777" w:rsidTr="006F167E">
        <w:trPr>
          <w:trHeight w:val="288"/>
        </w:trPr>
        <w:tc>
          <w:tcPr>
            <w:tcW w:w="3600" w:type="dxa"/>
            <w:shd w:val="clear" w:color="auto" w:fill="auto"/>
            <w:vAlign w:val="center"/>
            <w:hideMark/>
          </w:tcPr>
          <w:p w14:paraId="2A0744C1"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Certified Nurse Assistant (CNA)</w:t>
            </w:r>
          </w:p>
        </w:tc>
        <w:tc>
          <w:tcPr>
            <w:tcW w:w="1206" w:type="dxa"/>
            <w:shd w:val="clear" w:color="auto" w:fill="auto"/>
            <w:noWrap/>
            <w:vAlign w:val="center"/>
            <w:hideMark/>
          </w:tcPr>
          <w:p w14:paraId="73E55A2E"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471" w:type="dxa"/>
            <w:shd w:val="clear" w:color="auto" w:fill="auto"/>
            <w:noWrap/>
            <w:vAlign w:val="center"/>
            <w:hideMark/>
          </w:tcPr>
          <w:p w14:paraId="40C18E26" w14:textId="60FC3D4E"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27.85</w:t>
            </w:r>
          </w:p>
        </w:tc>
      </w:tr>
      <w:tr w:rsidR="003875EB" w:rsidRPr="008B20A0" w14:paraId="6EF99E52" w14:textId="77777777" w:rsidTr="006F167E">
        <w:trPr>
          <w:trHeight w:val="288"/>
        </w:trPr>
        <w:tc>
          <w:tcPr>
            <w:tcW w:w="3600" w:type="dxa"/>
            <w:shd w:val="clear" w:color="auto" w:fill="auto"/>
            <w:vAlign w:val="center"/>
            <w:hideMark/>
          </w:tcPr>
          <w:p w14:paraId="5EAC2722"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Licensed Practical Nurse (LPN)</w:t>
            </w:r>
          </w:p>
        </w:tc>
        <w:tc>
          <w:tcPr>
            <w:tcW w:w="1206" w:type="dxa"/>
            <w:shd w:val="clear" w:color="auto" w:fill="auto"/>
            <w:noWrap/>
            <w:vAlign w:val="center"/>
            <w:hideMark/>
          </w:tcPr>
          <w:p w14:paraId="0D662A3B"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471" w:type="dxa"/>
            <w:shd w:val="clear" w:color="auto" w:fill="auto"/>
            <w:noWrap/>
            <w:vAlign w:val="center"/>
            <w:hideMark/>
          </w:tcPr>
          <w:p w14:paraId="236EDBF9" w14:textId="47C8CB3A"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48.76</w:t>
            </w:r>
          </w:p>
        </w:tc>
      </w:tr>
      <w:tr w:rsidR="003875EB" w:rsidRPr="008B20A0" w14:paraId="2DA300A2" w14:textId="77777777" w:rsidTr="006F167E">
        <w:trPr>
          <w:trHeight w:val="288"/>
        </w:trPr>
        <w:tc>
          <w:tcPr>
            <w:tcW w:w="3600" w:type="dxa"/>
            <w:shd w:val="clear" w:color="auto" w:fill="auto"/>
            <w:noWrap/>
            <w:vAlign w:val="center"/>
            <w:hideMark/>
          </w:tcPr>
          <w:p w14:paraId="793B98D6" w14:textId="77777777" w:rsidR="003875EB" w:rsidRPr="008B20A0" w:rsidRDefault="003875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Registered Nurse (RN)</w:t>
            </w:r>
          </w:p>
        </w:tc>
        <w:tc>
          <w:tcPr>
            <w:tcW w:w="1206" w:type="dxa"/>
            <w:shd w:val="clear" w:color="auto" w:fill="auto"/>
            <w:noWrap/>
            <w:vAlign w:val="center"/>
            <w:hideMark/>
          </w:tcPr>
          <w:p w14:paraId="7E633D0E" w14:textId="77777777" w:rsidR="003875EB" w:rsidRPr="008B20A0" w:rsidRDefault="003875EB">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471" w:type="dxa"/>
            <w:shd w:val="clear" w:color="auto" w:fill="auto"/>
            <w:noWrap/>
            <w:vAlign w:val="center"/>
            <w:hideMark/>
          </w:tcPr>
          <w:p w14:paraId="402A30E8" w14:textId="7D294D81" w:rsidR="003875EB" w:rsidRPr="008B20A0" w:rsidRDefault="003875EB">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w:t>
            </w:r>
            <w:r w:rsidR="00B168EE" w:rsidRPr="008B20A0">
              <w:rPr>
                <w:rFonts w:ascii="Times New Roman" w:eastAsia="Times New Roman" w:hAnsi="Times New Roman" w:cs="Times New Roman"/>
                <w:sz w:val="22"/>
                <w:szCs w:val="22"/>
              </w:rPr>
              <w:t>75.92</w:t>
            </w:r>
          </w:p>
        </w:tc>
      </w:tr>
      <w:tr w:rsidR="003875EB" w:rsidRPr="008B20A0" w14:paraId="0F69E097" w14:textId="77777777" w:rsidTr="006F167E">
        <w:trPr>
          <w:trHeight w:val="288"/>
        </w:trPr>
        <w:tc>
          <w:tcPr>
            <w:tcW w:w="3600" w:type="dxa"/>
            <w:shd w:val="clear" w:color="auto" w:fill="auto"/>
            <w:noWrap/>
            <w:vAlign w:val="center"/>
            <w:hideMark/>
          </w:tcPr>
          <w:p w14:paraId="615C2436" w14:textId="77777777" w:rsidR="003875EB" w:rsidRPr="008B20A0" w:rsidRDefault="003875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Clinician</w:t>
            </w:r>
            <w:r w:rsidR="00B06C4A" w:rsidRPr="008B20A0">
              <w:rPr>
                <w:rFonts w:ascii="Times New Roman" w:eastAsia="Times New Roman" w:hAnsi="Times New Roman" w:cs="Times New Roman"/>
                <w:sz w:val="22"/>
                <w:szCs w:val="22"/>
              </w:rPr>
              <w:t xml:space="preserve"> </w:t>
            </w:r>
            <w:r w:rsidR="00FD5376" w:rsidRPr="008B20A0">
              <w:rPr>
                <w:rFonts w:ascii="Times New Roman" w:eastAsia="Times New Roman" w:hAnsi="Times New Roman" w:cs="Times New Roman"/>
                <w:sz w:val="22"/>
                <w:szCs w:val="22"/>
              </w:rPr>
              <w:t>(</w:t>
            </w:r>
            <w:r w:rsidR="00B06C4A" w:rsidRPr="008B20A0">
              <w:rPr>
                <w:rFonts w:ascii="Times New Roman" w:eastAsia="Times New Roman" w:hAnsi="Times New Roman" w:cs="Times New Roman"/>
                <w:sz w:val="22"/>
                <w:szCs w:val="22"/>
              </w:rPr>
              <w:t>LICSW</w:t>
            </w:r>
            <w:r w:rsidR="00FD5376" w:rsidRPr="008B20A0">
              <w:rPr>
                <w:rFonts w:ascii="Times New Roman" w:eastAsia="Times New Roman" w:hAnsi="Times New Roman" w:cs="Times New Roman"/>
                <w:sz w:val="22"/>
                <w:szCs w:val="22"/>
              </w:rPr>
              <w:t>)</w:t>
            </w:r>
          </w:p>
        </w:tc>
        <w:tc>
          <w:tcPr>
            <w:tcW w:w="1206" w:type="dxa"/>
            <w:shd w:val="clear" w:color="auto" w:fill="auto"/>
            <w:noWrap/>
            <w:vAlign w:val="center"/>
            <w:hideMark/>
          </w:tcPr>
          <w:p w14:paraId="26E611E5" w14:textId="77777777" w:rsidR="003875EB" w:rsidRPr="008B20A0" w:rsidRDefault="003875EB">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471" w:type="dxa"/>
            <w:shd w:val="clear" w:color="auto" w:fill="auto"/>
            <w:noWrap/>
            <w:vAlign w:val="center"/>
            <w:hideMark/>
          </w:tcPr>
          <w:p w14:paraId="634955B5" w14:textId="348F3B1C" w:rsidR="003875EB" w:rsidRPr="008B20A0" w:rsidRDefault="003875EB">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w:t>
            </w:r>
            <w:r w:rsidR="00B168EE" w:rsidRPr="008B20A0">
              <w:rPr>
                <w:rFonts w:ascii="Times New Roman" w:eastAsia="Times New Roman" w:hAnsi="Times New Roman" w:cs="Times New Roman"/>
                <w:sz w:val="22"/>
                <w:szCs w:val="22"/>
              </w:rPr>
              <w:t>59.84</w:t>
            </w:r>
          </w:p>
        </w:tc>
      </w:tr>
      <w:tr w:rsidR="009F2C14" w:rsidRPr="008B20A0" w14:paraId="3DF91A2F" w14:textId="77777777" w:rsidTr="006F167E">
        <w:trPr>
          <w:trHeight w:val="288"/>
        </w:trPr>
        <w:tc>
          <w:tcPr>
            <w:tcW w:w="3600" w:type="dxa"/>
            <w:shd w:val="clear" w:color="auto" w:fill="auto"/>
            <w:noWrap/>
            <w:vAlign w:val="center"/>
          </w:tcPr>
          <w:p w14:paraId="6BD9C08B" w14:textId="6542375D" w:rsidR="009F2C14" w:rsidRPr="008B20A0" w:rsidRDefault="009F2C14">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 xml:space="preserve">Clinical </w:t>
            </w:r>
            <w:r w:rsidR="00FD5376" w:rsidRPr="008B20A0">
              <w:rPr>
                <w:rFonts w:ascii="Times New Roman" w:eastAsia="Times New Roman" w:hAnsi="Times New Roman" w:cs="Times New Roman"/>
                <w:sz w:val="22"/>
                <w:szCs w:val="22"/>
              </w:rPr>
              <w:t>P</w:t>
            </w:r>
            <w:r w:rsidR="00AC4579" w:rsidRPr="008B20A0">
              <w:rPr>
                <w:rFonts w:ascii="Times New Roman" w:eastAsia="Times New Roman" w:hAnsi="Times New Roman" w:cs="Times New Roman"/>
                <w:sz w:val="22"/>
                <w:szCs w:val="22"/>
              </w:rPr>
              <w:t>s</w:t>
            </w:r>
            <w:r w:rsidR="00FD5376" w:rsidRPr="008B20A0">
              <w:rPr>
                <w:rFonts w:ascii="Times New Roman" w:eastAsia="Times New Roman" w:hAnsi="Times New Roman" w:cs="Times New Roman"/>
                <w:sz w:val="22"/>
                <w:szCs w:val="22"/>
              </w:rPr>
              <w:t>yc</w:t>
            </w:r>
            <w:r w:rsidR="00AC4579" w:rsidRPr="008B20A0">
              <w:rPr>
                <w:rFonts w:ascii="Times New Roman" w:eastAsia="Times New Roman" w:hAnsi="Times New Roman" w:cs="Times New Roman"/>
                <w:sz w:val="22"/>
                <w:szCs w:val="22"/>
              </w:rPr>
              <w:t>h</w:t>
            </w:r>
            <w:r w:rsidR="00FD5376" w:rsidRPr="008B20A0">
              <w:rPr>
                <w:rFonts w:ascii="Times New Roman" w:eastAsia="Times New Roman" w:hAnsi="Times New Roman" w:cs="Times New Roman"/>
                <w:sz w:val="22"/>
                <w:szCs w:val="22"/>
              </w:rPr>
              <w:t>ologist</w:t>
            </w:r>
          </w:p>
        </w:tc>
        <w:tc>
          <w:tcPr>
            <w:tcW w:w="1206" w:type="dxa"/>
            <w:shd w:val="clear" w:color="auto" w:fill="auto"/>
            <w:noWrap/>
            <w:vAlign w:val="center"/>
          </w:tcPr>
          <w:p w14:paraId="1BBC7D79" w14:textId="77777777" w:rsidR="009F2C14" w:rsidRPr="008B20A0" w:rsidRDefault="009F2C1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471" w:type="dxa"/>
            <w:shd w:val="clear" w:color="auto" w:fill="auto"/>
            <w:noWrap/>
            <w:vAlign w:val="center"/>
          </w:tcPr>
          <w:p w14:paraId="292650DE" w14:textId="75DB74B7" w:rsidR="009F2C14" w:rsidRPr="008B20A0" w:rsidRDefault="009F2C14">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w:t>
            </w:r>
            <w:r w:rsidR="00B168EE" w:rsidRPr="008B20A0">
              <w:rPr>
                <w:rFonts w:ascii="Times New Roman" w:eastAsia="Times New Roman" w:hAnsi="Times New Roman" w:cs="Times New Roman"/>
                <w:sz w:val="22"/>
                <w:szCs w:val="22"/>
              </w:rPr>
              <w:t>56.45</w:t>
            </w:r>
          </w:p>
        </w:tc>
      </w:tr>
      <w:tr w:rsidR="00B06C4A" w:rsidRPr="008B20A0" w14:paraId="3C5390C0" w14:textId="77777777" w:rsidTr="006F167E">
        <w:trPr>
          <w:trHeight w:val="288"/>
        </w:trPr>
        <w:tc>
          <w:tcPr>
            <w:tcW w:w="3600" w:type="dxa"/>
            <w:shd w:val="clear" w:color="auto" w:fill="auto"/>
            <w:noWrap/>
            <w:vAlign w:val="center"/>
          </w:tcPr>
          <w:p w14:paraId="186E4622" w14:textId="02742929" w:rsidR="00B06C4A" w:rsidRPr="008B20A0" w:rsidRDefault="00B06C4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sz w:val="22"/>
                <w:szCs w:val="22"/>
              </w:rPr>
              <w:t>Psychologist/Psychiatrist (PhD Level)</w:t>
            </w:r>
          </w:p>
        </w:tc>
        <w:tc>
          <w:tcPr>
            <w:tcW w:w="1206" w:type="dxa"/>
            <w:shd w:val="clear" w:color="auto" w:fill="auto"/>
            <w:noWrap/>
            <w:vAlign w:val="center"/>
          </w:tcPr>
          <w:p w14:paraId="59853DA6" w14:textId="3D5BBA86" w:rsidR="00B06C4A" w:rsidRPr="008B20A0" w:rsidRDefault="00B06C4A">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471" w:type="dxa"/>
            <w:shd w:val="clear" w:color="auto" w:fill="auto"/>
            <w:noWrap/>
            <w:vAlign w:val="center"/>
          </w:tcPr>
          <w:p w14:paraId="679AE517" w14:textId="7F197E9F" w:rsidR="00B06C4A" w:rsidRPr="008B20A0" w:rsidRDefault="00B06C4A">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w:t>
            </w:r>
            <w:r w:rsidR="00B168EE" w:rsidRPr="008B20A0">
              <w:rPr>
                <w:rFonts w:ascii="Times New Roman" w:eastAsia="Times New Roman" w:hAnsi="Times New Roman" w:cs="Times New Roman"/>
                <w:sz w:val="22"/>
                <w:szCs w:val="22"/>
              </w:rPr>
              <w:t>145.05</w:t>
            </w:r>
          </w:p>
        </w:tc>
      </w:tr>
    </w:tbl>
    <w:p w14:paraId="7D629EA7" w14:textId="77777777" w:rsidR="003875EB" w:rsidRPr="008B20A0" w:rsidRDefault="003875EB" w:rsidP="003875EB">
      <w:pPr>
        <w:ind w:left="1170"/>
        <w:rPr>
          <w:rFonts w:ascii="Times New Roman" w:hAnsi="Times New Roman" w:cs="Times New Roman"/>
          <w:spacing w:val="-3"/>
          <w:sz w:val="22"/>
          <w:szCs w:val="22"/>
        </w:rPr>
      </w:pPr>
    </w:p>
    <w:tbl>
      <w:tblPr>
        <w:tblW w:w="6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821"/>
        <w:gridCol w:w="1866"/>
      </w:tblGrid>
      <w:tr w:rsidR="006C749E" w:rsidRPr="008B20A0" w14:paraId="231F1E7C" w14:textId="77777777" w:rsidTr="006F167E">
        <w:trPr>
          <w:trHeight w:val="302"/>
          <w:tblHeader/>
          <w:jc w:val="center"/>
        </w:trPr>
        <w:tc>
          <w:tcPr>
            <w:tcW w:w="3685" w:type="dxa"/>
            <w:shd w:val="clear" w:color="auto" w:fill="auto"/>
            <w:vAlign w:val="center"/>
            <w:hideMark/>
          </w:tcPr>
          <w:p w14:paraId="4B6D6AD9" w14:textId="77777777" w:rsidR="003875EB" w:rsidRPr="008B20A0" w:rsidRDefault="003875EB" w:rsidP="000A22A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Vehicle Add-on</w:t>
            </w:r>
          </w:p>
        </w:tc>
        <w:tc>
          <w:tcPr>
            <w:tcW w:w="785" w:type="dxa"/>
            <w:shd w:val="clear" w:color="auto" w:fill="auto"/>
            <w:noWrap/>
            <w:vAlign w:val="center"/>
            <w:hideMark/>
          </w:tcPr>
          <w:p w14:paraId="3FA8DC2D" w14:textId="1B7E7370"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Day</w:t>
            </w:r>
          </w:p>
        </w:tc>
        <w:tc>
          <w:tcPr>
            <w:tcW w:w="1866" w:type="dxa"/>
            <w:shd w:val="clear" w:color="auto" w:fill="auto"/>
            <w:noWrap/>
            <w:vAlign w:val="center"/>
            <w:hideMark/>
          </w:tcPr>
          <w:p w14:paraId="4C137FEA" w14:textId="0CF3E781"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Month</w:t>
            </w:r>
          </w:p>
        </w:tc>
      </w:tr>
      <w:tr w:rsidR="006C749E" w:rsidRPr="008B20A0" w14:paraId="0A5E8FA6" w14:textId="77777777" w:rsidTr="006F167E">
        <w:trPr>
          <w:trHeight w:val="302"/>
          <w:jc w:val="center"/>
        </w:trPr>
        <w:tc>
          <w:tcPr>
            <w:tcW w:w="3685" w:type="dxa"/>
            <w:shd w:val="clear" w:color="auto" w:fill="auto"/>
            <w:vAlign w:val="center"/>
            <w:hideMark/>
          </w:tcPr>
          <w:p w14:paraId="7BE132CA" w14:textId="77777777" w:rsidR="003875EB" w:rsidRPr="008B20A0" w:rsidRDefault="003875EB" w:rsidP="00F113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Sedan</w:t>
            </w:r>
          </w:p>
        </w:tc>
        <w:tc>
          <w:tcPr>
            <w:tcW w:w="785" w:type="dxa"/>
            <w:shd w:val="clear" w:color="auto" w:fill="auto"/>
            <w:noWrap/>
            <w:vAlign w:val="center"/>
            <w:hideMark/>
          </w:tcPr>
          <w:p w14:paraId="096674FC" w14:textId="0E056972"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37.20</w:t>
            </w:r>
            <w:r w:rsidRPr="008B20A0">
              <w:rPr>
                <w:rFonts w:ascii="Times New Roman" w:eastAsia="Times New Roman" w:hAnsi="Times New Roman" w:cs="Times New Roman"/>
                <w:color w:val="000000"/>
                <w:sz w:val="22"/>
                <w:szCs w:val="22"/>
              </w:rPr>
              <w:t xml:space="preserve"> </w:t>
            </w:r>
          </w:p>
        </w:tc>
        <w:tc>
          <w:tcPr>
            <w:tcW w:w="1866" w:type="dxa"/>
            <w:shd w:val="clear" w:color="auto" w:fill="auto"/>
            <w:noWrap/>
            <w:vAlign w:val="center"/>
            <w:hideMark/>
          </w:tcPr>
          <w:p w14:paraId="3AA295EE" w14:textId="00AAF9CF"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1,131.49</w:t>
            </w:r>
            <w:r w:rsidRPr="008B20A0">
              <w:rPr>
                <w:rFonts w:ascii="Times New Roman" w:eastAsia="Times New Roman" w:hAnsi="Times New Roman" w:cs="Times New Roman"/>
                <w:color w:val="000000"/>
                <w:sz w:val="22"/>
                <w:szCs w:val="22"/>
              </w:rPr>
              <w:t xml:space="preserve"> </w:t>
            </w:r>
          </w:p>
        </w:tc>
      </w:tr>
      <w:tr w:rsidR="006C749E" w:rsidRPr="008B20A0" w14:paraId="38A81BEC" w14:textId="77777777" w:rsidTr="006F167E">
        <w:trPr>
          <w:trHeight w:val="302"/>
          <w:jc w:val="center"/>
        </w:trPr>
        <w:tc>
          <w:tcPr>
            <w:tcW w:w="3685" w:type="dxa"/>
            <w:shd w:val="clear" w:color="auto" w:fill="auto"/>
            <w:vAlign w:val="center"/>
            <w:hideMark/>
          </w:tcPr>
          <w:p w14:paraId="68B99204" w14:textId="77777777" w:rsidR="003875EB" w:rsidRPr="008B20A0" w:rsidRDefault="003875EB" w:rsidP="00F113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Minivan</w:t>
            </w:r>
          </w:p>
        </w:tc>
        <w:tc>
          <w:tcPr>
            <w:tcW w:w="785" w:type="dxa"/>
            <w:shd w:val="clear" w:color="auto" w:fill="auto"/>
            <w:noWrap/>
            <w:vAlign w:val="center"/>
            <w:hideMark/>
          </w:tcPr>
          <w:p w14:paraId="3223A4EE" w14:textId="3A3E20F0"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50.20</w:t>
            </w:r>
            <w:r w:rsidRPr="008B20A0">
              <w:rPr>
                <w:rFonts w:ascii="Times New Roman" w:eastAsia="Times New Roman" w:hAnsi="Times New Roman" w:cs="Times New Roman"/>
                <w:color w:val="000000"/>
                <w:sz w:val="22"/>
                <w:szCs w:val="22"/>
              </w:rPr>
              <w:t xml:space="preserve"> </w:t>
            </w:r>
          </w:p>
        </w:tc>
        <w:tc>
          <w:tcPr>
            <w:tcW w:w="1866" w:type="dxa"/>
            <w:shd w:val="clear" w:color="auto" w:fill="auto"/>
            <w:noWrap/>
            <w:vAlign w:val="center"/>
            <w:hideMark/>
          </w:tcPr>
          <w:p w14:paraId="1C7B1382" w14:textId="7C826D81"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1,526.68</w:t>
            </w:r>
            <w:r w:rsidRPr="008B20A0">
              <w:rPr>
                <w:rFonts w:ascii="Times New Roman" w:eastAsia="Times New Roman" w:hAnsi="Times New Roman" w:cs="Times New Roman"/>
                <w:color w:val="000000"/>
                <w:sz w:val="22"/>
                <w:szCs w:val="22"/>
              </w:rPr>
              <w:t xml:space="preserve"> </w:t>
            </w:r>
          </w:p>
        </w:tc>
      </w:tr>
      <w:tr w:rsidR="006C749E" w:rsidRPr="008B20A0" w14:paraId="18EF4648" w14:textId="77777777" w:rsidTr="006F167E">
        <w:trPr>
          <w:trHeight w:val="302"/>
          <w:jc w:val="center"/>
        </w:trPr>
        <w:tc>
          <w:tcPr>
            <w:tcW w:w="3685" w:type="dxa"/>
            <w:shd w:val="clear" w:color="auto" w:fill="auto"/>
            <w:vAlign w:val="center"/>
            <w:hideMark/>
          </w:tcPr>
          <w:p w14:paraId="24440155" w14:textId="77777777" w:rsidR="003875EB" w:rsidRPr="008B20A0" w:rsidRDefault="003875EB" w:rsidP="00F113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Van</w:t>
            </w:r>
          </w:p>
        </w:tc>
        <w:tc>
          <w:tcPr>
            <w:tcW w:w="785" w:type="dxa"/>
            <w:shd w:val="clear" w:color="auto" w:fill="auto"/>
            <w:noWrap/>
            <w:vAlign w:val="center"/>
            <w:hideMark/>
          </w:tcPr>
          <w:p w14:paraId="5FF3D020" w14:textId="32AFDCC2"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61.97</w:t>
            </w:r>
            <w:r w:rsidRPr="008B20A0">
              <w:rPr>
                <w:rFonts w:ascii="Times New Roman" w:eastAsia="Times New Roman" w:hAnsi="Times New Roman" w:cs="Times New Roman"/>
                <w:color w:val="000000"/>
                <w:sz w:val="22"/>
                <w:szCs w:val="22"/>
              </w:rPr>
              <w:t xml:space="preserve"> </w:t>
            </w:r>
          </w:p>
        </w:tc>
        <w:tc>
          <w:tcPr>
            <w:tcW w:w="1866" w:type="dxa"/>
            <w:shd w:val="clear" w:color="auto" w:fill="auto"/>
            <w:noWrap/>
            <w:vAlign w:val="center"/>
            <w:hideMark/>
          </w:tcPr>
          <w:p w14:paraId="278448F2" w14:textId="1FB4D1B9"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1,884.92</w:t>
            </w:r>
            <w:r w:rsidRPr="008B20A0">
              <w:rPr>
                <w:rFonts w:ascii="Times New Roman" w:eastAsia="Times New Roman" w:hAnsi="Times New Roman" w:cs="Times New Roman"/>
                <w:color w:val="000000"/>
                <w:sz w:val="22"/>
                <w:szCs w:val="22"/>
              </w:rPr>
              <w:t xml:space="preserve"> </w:t>
            </w:r>
          </w:p>
        </w:tc>
      </w:tr>
      <w:tr w:rsidR="006C749E" w:rsidRPr="008B20A0" w14:paraId="1FC2CBD9" w14:textId="77777777" w:rsidTr="006F167E">
        <w:trPr>
          <w:trHeight w:val="302"/>
          <w:jc w:val="center"/>
        </w:trPr>
        <w:tc>
          <w:tcPr>
            <w:tcW w:w="3685" w:type="dxa"/>
            <w:shd w:val="clear" w:color="auto" w:fill="auto"/>
            <w:vAlign w:val="center"/>
            <w:hideMark/>
          </w:tcPr>
          <w:p w14:paraId="2E67EDE2" w14:textId="77777777" w:rsidR="003875EB" w:rsidRPr="008B20A0" w:rsidRDefault="003875EB" w:rsidP="00F113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Wheelchair Van</w:t>
            </w:r>
          </w:p>
        </w:tc>
        <w:tc>
          <w:tcPr>
            <w:tcW w:w="785" w:type="dxa"/>
            <w:shd w:val="clear" w:color="auto" w:fill="auto"/>
            <w:noWrap/>
            <w:vAlign w:val="center"/>
            <w:hideMark/>
          </w:tcPr>
          <w:p w14:paraId="641DB3A4" w14:textId="76DE787A"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82.05</w:t>
            </w:r>
            <w:r w:rsidRPr="008B20A0">
              <w:rPr>
                <w:rFonts w:ascii="Times New Roman" w:eastAsia="Times New Roman" w:hAnsi="Times New Roman" w:cs="Times New Roman"/>
                <w:color w:val="000000"/>
                <w:sz w:val="22"/>
                <w:szCs w:val="22"/>
              </w:rPr>
              <w:t xml:space="preserve"> </w:t>
            </w:r>
          </w:p>
        </w:tc>
        <w:tc>
          <w:tcPr>
            <w:tcW w:w="1866" w:type="dxa"/>
            <w:shd w:val="clear" w:color="auto" w:fill="auto"/>
            <w:noWrap/>
            <w:vAlign w:val="center"/>
            <w:hideMark/>
          </w:tcPr>
          <w:p w14:paraId="628191CA" w14:textId="4FC0CB18"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2,495.83</w:t>
            </w:r>
            <w:r w:rsidRPr="008B20A0">
              <w:rPr>
                <w:rFonts w:ascii="Times New Roman" w:eastAsia="Times New Roman" w:hAnsi="Times New Roman" w:cs="Times New Roman"/>
                <w:color w:val="000000"/>
                <w:sz w:val="22"/>
                <w:szCs w:val="22"/>
              </w:rPr>
              <w:t xml:space="preserve"> </w:t>
            </w:r>
          </w:p>
        </w:tc>
      </w:tr>
      <w:tr w:rsidR="006C749E" w:rsidRPr="008B20A0" w14:paraId="30DDCF49" w14:textId="77777777" w:rsidTr="006F167E">
        <w:trPr>
          <w:trHeight w:val="302"/>
          <w:jc w:val="center"/>
        </w:trPr>
        <w:tc>
          <w:tcPr>
            <w:tcW w:w="3685" w:type="dxa"/>
            <w:shd w:val="clear" w:color="auto" w:fill="auto"/>
            <w:vAlign w:val="center"/>
            <w:hideMark/>
          </w:tcPr>
          <w:p w14:paraId="306B933E" w14:textId="77777777" w:rsidR="003875EB" w:rsidRPr="008B20A0" w:rsidRDefault="003875EB" w:rsidP="000A22A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Vehicle Upgrade</w:t>
            </w:r>
          </w:p>
        </w:tc>
        <w:tc>
          <w:tcPr>
            <w:tcW w:w="785" w:type="dxa"/>
            <w:shd w:val="clear" w:color="auto" w:fill="auto"/>
            <w:noWrap/>
            <w:vAlign w:val="center"/>
            <w:hideMark/>
          </w:tcPr>
          <w:p w14:paraId="29FC890B" w14:textId="5A0219AF"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Day</w:t>
            </w:r>
          </w:p>
        </w:tc>
        <w:tc>
          <w:tcPr>
            <w:tcW w:w="1866" w:type="dxa"/>
            <w:shd w:val="clear" w:color="auto" w:fill="auto"/>
            <w:noWrap/>
            <w:vAlign w:val="center"/>
            <w:hideMark/>
          </w:tcPr>
          <w:p w14:paraId="58222477" w14:textId="7369CB25"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Month</w:t>
            </w:r>
          </w:p>
        </w:tc>
      </w:tr>
      <w:tr w:rsidR="006C749E" w:rsidRPr="008B20A0" w14:paraId="1285EF8B" w14:textId="77777777" w:rsidTr="006F167E">
        <w:trPr>
          <w:trHeight w:val="302"/>
          <w:jc w:val="center"/>
        </w:trPr>
        <w:tc>
          <w:tcPr>
            <w:tcW w:w="3685" w:type="dxa"/>
            <w:shd w:val="clear" w:color="auto" w:fill="auto"/>
            <w:vAlign w:val="center"/>
            <w:hideMark/>
          </w:tcPr>
          <w:p w14:paraId="4865E621" w14:textId="77777777" w:rsidR="003875EB" w:rsidRPr="008B20A0" w:rsidRDefault="003875EB" w:rsidP="00F113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Minivan</w:t>
            </w:r>
          </w:p>
        </w:tc>
        <w:tc>
          <w:tcPr>
            <w:tcW w:w="785" w:type="dxa"/>
            <w:shd w:val="clear" w:color="auto" w:fill="auto"/>
            <w:noWrap/>
            <w:vAlign w:val="center"/>
            <w:hideMark/>
          </w:tcPr>
          <w:p w14:paraId="083A6C30" w14:textId="60EB6C10"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13.00</w:t>
            </w:r>
          </w:p>
        </w:tc>
        <w:tc>
          <w:tcPr>
            <w:tcW w:w="1866" w:type="dxa"/>
            <w:shd w:val="clear" w:color="auto" w:fill="auto"/>
            <w:noWrap/>
            <w:vAlign w:val="center"/>
            <w:hideMark/>
          </w:tcPr>
          <w:p w14:paraId="44552C01" w14:textId="429D828C"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395.40</w:t>
            </w:r>
            <w:r w:rsidRPr="008B20A0">
              <w:rPr>
                <w:rFonts w:ascii="Times New Roman" w:eastAsia="Times New Roman" w:hAnsi="Times New Roman" w:cs="Times New Roman"/>
                <w:color w:val="000000"/>
                <w:sz w:val="22"/>
                <w:szCs w:val="22"/>
              </w:rPr>
              <w:t xml:space="preserve"> </w:t>
            </w:r>
          </w:p>
        </w:tc>
      </w:tr>
      <w:tr w:rsidR="006C749E" w:rsidRPr="008B20A0" w14:paraId="4881F3CA" w14:textId="77777777" w:rsidTr="006F167E">
        <w:trPr>
          <w:trHeight w:val="302"/>
          <w:jc w:val="center"/>
        </w:trPr>
        <w:tc>
          <w:tcPr>
            <w:tcW w:w="3685" w:type="dxa"/>
            <w:shd w:val="clear" w:color="auto" w:fill="auto"/>
            <w:vAlign w:val="center"/>
            <w:hideMark/>
          </w:tcPr>
          <w:p w14:paraId="37435E6B" w14:textId="77777777" w:rsidR="003875EB" w:rsidRPr="008B20A0" w:rsidRDefault="003875EB" w:rsidP="00F113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Van</w:t>
            </w:r>
          </w:p>
        </w:tc>
        <w:tc>
          <w:tcPr>
            <w:tcW w:w="785" w:type="dxa"/>
            <w:shd w:val="clear" w:color="auto" w:fill="auto"/>
            <w:noWrap/>
            <w:vAlign w:val="center"/>
            <w:hideMark/>
          </w:tcPr>
          <w:p w14:paraId="2E8A0E2E" w14:textId="0DABFBF0"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24.77</w:t>
            </w:r>
          </w:p>
        </w:tc>
        <w:tc>
          <w:tcPr>
            <w:tcW w:w="1866" w:type="dxa"/>
            <w:shd w:val="clear" w:color="auto" w:fill="auto"/>
            <w:noWrap/>
            <w:vAlign w:val="center"/>
            <w:hideMark/>
          </w:tcPr>
          <w:p w14:paraId="014ED65A" w14:textId="19ECF085"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753.44</w:t>
            </w:r>
            <w:r w:rsidRPr="008B20A0">
              <w:rPr>
                <w:rFonts w:ascii="Times New Roman" w:eastAsia="Times New Roman" w:hAnsi="Times New Roman" w:cs="Times New Roman"/>
                <w:color w:val="000000"/>
                <w:sz w:val="22"/>
                <w:szCs w:val="22"/>
              </w:rPr>
              <w:t xml:space="preserve"> </w:t>
            </w:r>
          </w:p>
        </w:tc>
      </w:tr>
      <w:tr w:rsidR="006C749E" w:rsidRPr="008B20A0" w14:paraId="6DEFD690" w14:textId="77777777" w:rsidTr="006F167E">
        <w:trPr>
          <w:trHeight w:val="302"/>
          <w:jc w:val="center"/>
        </w:trPr>
        <w:tc>
          <w:tcPr>
            <w:tcW w:w="3685" w:type="dxa"/>
            <w:shd w:val="clear" w:color="auto" w:fill="auto"/>
            <w:vAlign w:val="center"/>
            <w:hideMark/>
          </w:tcPr>
          <w:p w14:paraId="3C7275F5" w14:textId="77777777" w:rsidR="003875EB" w:rsidRPr="008B20A0" w:rsidRDefault="003875EB" w:rsidP="00F113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Wheelchair Van</w:t>
            </w:r>
          </w:p>
        </w:tc>
        <w:tc>
          <w:tcPr>
            <w:tcW w:w="785" w:type="dxa"/>
            <w:shd w:val="clear" w:color="auto" w:fill="auto"/>
            <w:noWrap/>
            <w:vAlign w:val="center"/>
            <w:hideMark/>
          </w:tcPr>
          <w:p w14:paraId="0E241AB0" w14:textId="31D3D8FD"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44.85</w:t>
            </w:r>
            <w:r w:rsidRPr="008B20A0">
              <w:rPr>
                <w:rFonts w:ascii="Times New Roman" w:eastAsia="Times New Roman" w:hAnsi="Times New Roman" w:cs="Times New Roman"/>
                <w:color w:val="000000"/>
                <w:sz w:val="22"/>
                <w:szCs w:val="22"/>
              </w:rPr>
              <w:t xml:space="preserve"> </w:t>
            </w:r>
          </w:p>
        </w:tc>
        <w:tc>
          <w:tcPr>
            <w:tcW w:w="1866" w:type="dxa"/>
            <w:shd w:val="clear" w:color="auto" w:fill="auto"/>
            <w:noWrap/>
            <w:vAlign w:val="center"/>
            <w:hideMark/>
          </w:tcPr>
          <w:p w14:paraId="1A208DE2" w14:textId="27381E01"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1,364.35</w:t>
            </w:r>
            <w:r w:rsidRPr="008B20A0">
              <w:rPr>
                <w:rFonts w:ascii="Times New Roman" w:eastAsia="Times New Roman" w:hAnsi="Times New Roman" w:cs="Times New Roman"/>
                <w:color w:val="000000"/>
                <w:sz w:val="22"/>
                <w:szCs w:val="22"/>
              </w:rPr>
              <w:t xml:space="preserve"> </w:t>
            </w:r>
          </w:p>
        </w:tc>
      </w:tr>
      <w:tr w:rsidR="006C749E" w:rsidRPr="008B20A0" w14:paraId="592DAC58" w14:textId="77777777" w:rsidTr="006F167E">
        <w:trPr>
          <w:trHeight w:val="302"/>
          <w:jc w:val="center"/>
        </w:trPr>
        <w:tc>
          <w:tcPr>
            <w:tcW w:w="3685" w:type="dxa"/>
            <w:shd w:val="clear" w:color="auto" w:fill="auto"/>
            <w:vAlign w:val="center"/>
            <w:hideMark/>
          </w:tcPr>
          <w:p w14:paraId="25074CBF" w14:textId="77777777" w:rsidR="003875EB" w:rsidRPr="008B20A0" w:rsidRDefault="003875EB" w:rsidP="00F113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Minivan to Van</w:t>
            </w:r>
          </w:p>
        </w:tc>
        <w:tc>
          <w:tcPr>
            <w:tcW w:w="785" w:type="dxa"/>
            <w:shd w:val="clear" w:color="auto" w:fill="auto"/>
            <w:noWrap/>
            <w:vAlign w:val="center"/>
            <w:hideMark/>
          </w:tcPr>
          <w:p w14:paraId="24180DBC" w14:textId="76260007"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B168EE" w:rsidRPr="008B20A0">
              <w:rPr>
                <w:rFonts w:ascii="Times New Roman" w:eastAsia="Times New Roman" w:hAnsi="Times New Roman" w:cs="Times New Roman"/>
                <w:color w:val="000000"/>
                <w:sz w:val="22"/>
                <w:szCs w:val="22"/>
              </w:rPr>
              <w:t>11.77</w:t>
            </w:r>
          </w:p>
        </w:tc>
        <w:tc>
          <w:tcPr>
            <w:tcW w:w="1866" w:type="dxa"/>
            <w:shd w:val="clear" w:color="auto" w:fill="auto"/>
            <w:noWrap/>
            <w:vAlign w:val="center"/>
            <w:hideMark/>
          </w:tcPr>
          <w:p w14:paraId="49D3B0AD" w14:textId="2ADC05DA"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358.04</w:t>
            </w:r>
            <w:r w:rsidRPr="008B20A0">
              <w:rPr>
                <w:rFonts w:ascii="Times New Roman" w:eastAsia="Times New Roman" w:hAnsi="Times New Roman" w:cs="Times New Roman"/>
                <w:color w:val="000000"/>
                <w:sz w:val="22"/>
                <w:szCs w:val="22"/>
              </w:rPr>
              <w:t xml:space="preserve"> </w:t>
            </w:r>
          </w:p>
        </w:tc>
      </w:tr>
      <w:tr w:rsidR="006C749E" w:rsidRPr="008B20A0" w14:paraId="6E732B76" w14:textId="77777777" w:rsidTr="006F167E">
        <w:trPr>
          <w:trHeight w:val="302"/>
          <w:jc w:val="center"/>
        </w:trPr>
        <w:tc>
          <w:tcPr>
            <w:tcW w:w="3685" w:type="dxa"/>
            <w:shd w:val="clear" w:color="auto" w:fill="auto"/>
            <w:vAlign w:val="center"/>
            <w:hideMark/>
          </w:tcPr>
          <w:p w14:paraId="4839A175" w14:textId="77777777" w:rsidR="003875EB" w:rsidRPr="008B20A0" w:rsidRDefault="003875EB" w:rsidP="00F113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Minivan to Wheelchair Van</w:t>
            </w:r>
          </w:p>
        </w:tc>
        <w:tc>
          <w:tcPr>
            <w:tcW w:w="785" w:type="dxa"/>
            <w:shd w:val="clear" w:color="auto" w:fill="auto"/>
            <w:noWrap/>
            <w:vAlign w:val="center"/>
            <w:hideMark/>
          </w:tcPr>
          <w:p w14:paraId="65F3D826" w14:textId="55D95908"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31.85</w:t>
            </w:r>
            <w:r w:rsidRPr="008B20A0">
              <w:rPr>
                <w:rFonts w:ascii="Times New Roman" w:eastAsia="Times New Roman" w:hAnsi="Times New Roman" w:cs="Times New Roman"/>
                <w:color w:val="000000"/>
                <w:sz w:val="22"/>
                <w:szCs w:val="22"/>
              </w:rPr>
              <w:t xml:space="preserve"> </w:t>
            </w:r>
          </w:p>
        </w:tc>
        <w:tc>
          <w:tcPr>
            <w:tcW w:w="1866" w:type="dxa"/>
            <w:shd w:val="clear" w:color="auto" w:fill="auto"/>
            <w:noWrap/>
            <w:vAlign w:val="center"/>
            <w:hideMark/>
          </w:tcPr>
          <w:p w14:paraId="56B8110E" w14:textId="0E3963C6"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968.95</w:t>
            </w:r>
            <w:r w:rsidRPr="008B20A0">
              <w:rPr>
                <w:rFonts w:ascii="Times New Roman" w:eastAsia="Times New Roman" w:hAnsi="Times New Roman" w:cs="Times New Roman"/>
                <w:color w:val="000000"/>
                <w:sz w:val="22"/>
                <w:szCs w:val="22"/>
              </w:rPr>
              <w:t xml:space="preserve"> </w:t>
            </w:r>
          </w:p>
        </w:tc>
      </w:tr>
      <w:tr w:rsidR="006C749E" w:rsidRPr="008B20A0" w14:paraId="470B4903" w14:textId="77777777" w:rsidTr="006F167E">
        <w:trPr>
          <w:trHeight w:val="302"/>
          <w:jc w:val="center"/>
        </w:trPr>
        <w:tc>
          <w:tcPr>
            <w:tcW w:w="3685" w:type="dxa"/>
            <w:shd w:val="clear" w:color="auto" w:fill="auto"/>
            <w:vAlign w:val="center"/>
            <w:hideMark/>
          </w:tcPr>
          <w:p w14:paraId="535744DA" w14:textId="77777777" w:rsidR="003875EB" w:rsidRPr="008B20A0" w:rsidRDefault="003875EB" w:rsidP="00F113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Van to Wheelchair Van</w:t>
            </w:r>
          </w:p>
        </w:tc>
        <w:tc>
          <w:tcPr>
            <w:tcW w:w="785" w:type="dxa"/>
            <w:shd w:val="clear" w:color="auto" w:fill="auto"/>
            <w:noWrap/>
            <w:vAlign w:val="center"/>
            <w:hideMark/>
          </w:tcPr>
          <w:p w14:paraId="55F94A1E" w14:textId="4AB54A91"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20.08</w:t>
            </w:r>
            <w:r w:rsidRPr="008B20A0">
              <w:rPr>
                <w:rFonts w:ascii="Times New Roman" w:eastAsia="Times New Roman" w:hAnsi="Times New Roman" w:cs="Times New Roman"/>
                <w:color w:val="000000"/>
                <w:sz w:val="22"/>
                <w:szCs w:val="22"/>
              </w:rPr>
              <w:t xml:space="preserve"> </w:t>
            </w:r>
          </w:p>
        </w:tc>
        <w:tc>
          <w:tcPr>
            <w:tcW w:w="1866" w:type="dxa"/>
            <w:shd w:val="clear" w:color="auto" w:fill="auto"/>
            <w:noWrap/>
            <w:vAlign w:val="center"/>
            <w:hideMark/>
          </w:tcPr>
          <w:p w14:paraId="579D4274" w14:textId="27FA79E3" w:rsidR="003875EB" w:rsidRPr="008B20A0" w:rsidRDefault="003875EB" w:rsidP="00516A16">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C679F" w:rsidRPr="008B20A0">
              <w:rPr>
                <w:rFonts w:ascii="Times New Roman" w:eastAsia="Times New Roman" w:hAnsi="Times New Roman" w:cs="Times New Roman"/>
                <w:color w:val="000000"/>
                <w:sz w:val="22"/>
                <w:szCs w:val="22"/>
              </w:rPr>
              <w:t>610.91</w:t>
            </w:r>
            <w:r w:rsidRPr="008B20A0">
              <w:rPr>
                <w:rFonts w:ascii="Times New Roman" w:eastAsia="Times New Roman" w:hAnsi="Times New Roman" w:cs="Times New Roman"/>
                <w:color w:val="000000"/>
                <w:sz w:val="22"/>
                <w:szCs w:val="22"/>
              </w:rPr>
              <w:t xml:space="preserve"> </w:t>
            </w:r>
          </w:p>
        </w:tc>
      </w:tr>
    </w:tbl>
    <w:p w14:paraId="42B1F4DF" w14:textId="528CD9BC" w:rsidR="003875EB" w:rsidRDefault="003875EB" w:rsidP="006F167E">
      <w:pPr>
        <w:rPr>
          <w:rFonts w:ascii="Times New Roman" w:hAnsi="Times New Roman" w:cs="Times New Roman"/>
          <w:spacing w:val="-3"/>
          <w:sz w:val="22"/>
          <w:szCs w:val="22"/>
        </w:rPr>
      </w:pPr>
    </w:p>
    <w:tbl>
      <w:tblPr>
        <w:tblW w:w="4890" w:type="dxa"/>
        <w:tblInd w:w="1495" w:type="dxa"/>
        <w:tblLook w:val="04A0" w:firstRow="1" w:lastRow="0" w:firstColumn="1" w:lastColumn="0" w:noHBand="0" w:noVBand="1"/>
      </w:tblPr>
      <w:tblGrid>
        <w:gridCol w:w="3450"/>
        <w:gridCol w:w="1440"/>
      </w:tblGrid>
      <w:tr w:rsidR="00C74DE1" w:rsidRPr="00C74DE1" w14:paraId="09A43D8C" w14:textId="77777777" w:rsidTr="0085511A">
        <w:trPr>
          <w:trHeight w:val="300"/>
        </w:trPr>
        <w:tc>
          <w:tcPr>
            <w:tcW w:w="3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3DF7F" w14:textId="15ABFDAF" w:rsidR="00C74DE1" w:rsidRPr="006F167E" w:rsidRDefault="00C74DE1" w:rsidP="00C74DE1">
            <w:pPr>
              <w:rPr>
                <w:rFonts w:ascii="Times New Roman" w:eastAsia="Times New Roman" w:hAnsi="Times New Roman" w:cs="Times New Roman"/>
                <w:b/>
                <w:bCs/>
                <w:color w:val="000000"/>
                <w:sz w:val="22"/>
                <w:szCs w:val="22"/>
              </w:rPr>
            </w:pPr>
            <w:r w:rsidRPr="006F167E">
              <w:rPr>
                <w:rFonts w:ascii="Times New Roman" w:eastAsia="Times New Roman" w:hAnsi="Times New Roman" w:cs="Times New Roman"/>
                <w:b/>
                <w:bCs/>
                <w:color w:val="000000"/>
                <w:sz w:val="22"/>
                <w:szCs w:val="22"/>
              </w:rPr>
              <w:t xml:space="preserve">Remote </w:t>
            </w:r>
            <w:r w:rsidR="00D87176">
              <w:rPr>
                <w:rFonts w:ascii="Times New Roman" w:eastAsia="Times New Roman" w:hAnsi="Times New Roman" w:cs="Times New Roman"/>
                <w:b/>
                <w:bCs/>
                <w:color w:val="000000"/>
                <w:sz w:val="22"/>
                <w:szCs w:val="22"/>
              </w:rPr>
              <w:t xml:space="preserve">Direct </w:t>
            </w:r>
            <w:r w:rsidRPr="006F167E">
              <w:rPr>
                <w:rFonts w:ascii="Times New Roman" w:eastAsia="Times New Roman" w:hAnsi="Times New Roman" w:cs="Times New Roman"/>
                <w:b/>
                <w:bCs/>
                <w:color w:val="000000"/>
                <w:sz w:val="22"/>
                <w:szCs w:val="22"/>
              </w:rPr>
              <w:t>Supports</w:t>
            </w:r>
            <w:r w:rsidRPr="0085511A">
              <w:rPr>
                <w:rFonts w:ascii="Times New Roman" w:eastAsia="Times New Roman" w:hAnsi="Times New Roman" w:cs="Times New Roman"/>
                <w:b/>
                <w:bCs/>
                <w:color w:val="000000"/>
                <w:sz w:val="22"/>
                <w:szCs w:val="22"/>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0D1BF4A" w14:textId="642E9E9C" w:rsidR="00C74DE1" w:rsidRPr="006F167E" w:rsidRDefault="00BD16F9" w:rsidP="00C74DE1">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C74DE1" w:rsidRPr="006F167E">
              <w:rPr>
                <w:rFonts w:ascii="Times New Roman" w:eastAsia="Times New Roman" w:hAnsi="Times New Roman" w:cs="Times New Roman"/>
                <w:b/>
                <w:bCs/>
                <w:color w:val="000000"/>
                <w:sz w:val="22"/>
                <w:szCs w:val="22"/>
              </w:rPr>
              <w:t>Hour</w:t>
            </w:r>
          </w:p>
        </w:tc>
      </w:tr>
      <w:tr w:rsidR="00C74DE1" w:rsidRPr="00C74DE1" w14:paraId="46C2E675" w14:textId="77777777" w:rsidTr="0085511A">
        <w:trPr>
          <w:trHeight w:val="368"/>
        </w:trPr>
        <w:tc>
          <w:tcPr>
            <w:tcW w:w="3450" w:type="dxa"/>
            <w:tcBorders>
              <w:top w:val="nil"/>
              <w:left w:val="single" w:sz="4" w:space="0" w:color="auto"/>
              <w:bottom w:val="single" w:sz="4" w:space="0" w:color="auto"/>
              <w:right w:val="single" w:sz="4" w:space="0" w:color="auto"/>
            </w:tcBorders>
            <w:shd w:val="clear" w:color="auto" w:fill="auto"/>
            <w:noWrap/>
            <w:vAlign w:val="bottom"/>
            <w:hideMark/>
          </w:tcPr>
          <w:p w14:paraId="7CD9D828" w14:textId="73FE1E8B" w:rsidR="00C74DE1" w:rsidRPr="006F167E" w:rsidRDefault="00C74DE1" w:rsidP="00C74DE1">
            <w:pPr>
              <w:rPr>
                <w:rFonts w:ascii="Times New Roman" w:eastAsia="Times New Roman" w:hAnsi="Times New Roman" w:cs="Times New Roman"/>
                <w:color w:val="000000"/>
                <w:sz w:val="22"/>
                <w:szCs w:val="22"/>
              </w:rPr>
            </w:pPr>
            <w:r w:rsidRPr="006F167E">
              <w:rPr>
                <w:rFonts w:ascii="Times New Roman" w:eastAsia="Times New Roman" w:hAnsi="Times New Roman" w:cs="Times New Roman"/>
                <w:color w:val="000000"/>
                <w:sz w:val="22"/>
                <w:szCs w:val="22"/>
              </w:rPr>
              <w:t xml:space="preserve">Remote </w:t>
            </w:r>
            <w:r w:rsidR="00D537E0">
              <w:rPr>
                <w:rFonts w:ascii="Times New Roman" w:eastAsia="Times New Roman" w:hAnsi="Times New Roman" w:cs="Times New Roman"/>
                <w:color w:val="000000"/>
                <w:sz w:val="22"/>
                <w:szCs w:val="22"/>
              </w:rPr>
              <w:t xml:space="preserve">Direct </w:t>
            </w:r>
            <w:r w:rsidRPr="006F167E">
              <w:rPr>
                <w:rFonts w:ascii="Times New Roman" w:eastAsia="Times New Roman" w:hAnsi="Times New Roman" w:cs="Times New Roman"/>
                <w:color w:val="000000"/>
                <w:sz w:val="22"/>
                <w:szCs w:val="22"/>
              </w:rPr>
              <w:t>Supports</w:t>
            </w:r>
            <w:r w:rsidRPr="0085511A">
              <w:rPr>
                <w:rFonts w:ascii="Times New Roman" w:eastAsia="Times New Roman" w:hAnsi="Times New Roman" w:cs="Times New Roman"/>
                <w:color w:val="000000"/>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4C4679FE" w14:textId="4F22D1CE" w:rsidR="00C74DE1" w:rsidRPr="006F167E" w:rsidRDefault="00C74DE1" w:rsidP="00C74DE1">
            <w:pPr>
              <w:jc w:val="center"/>
              <w:rPr>
                <w:rFonts w:ascii="Times New Roman" w:eastAsia="Times New Roman" w:hAnsi="Times New Roman" w:cs="Times New Roman"/>
                <w:color w:val="000000"/>
                <w:sz w:val="22"/>
                <w:szCs w:val="22"/>
              </w:rPr>
            </w:pPr>
            <w:r w:rsidRPr="006F167E">
              <w:rPr>
                <w:rFonts w:ascii="Times New Roman" w:eastAsia="Times New Roman" w:hAnsi="Times New Roman" w:cs="Times New Roman"/>
                <w:color w:val="000000"/>
                <w:sz w:val="22"/>
                <w:szCs w:val="22"/>
              </w:rPr>
              <w:t xml:space="preserve"> $20.15 </w:t>
            </w:r>
          </w:p>
        </w:tc>
      </w:tr>
    </w:tbl>
    <w:p w14:paraId="7BFC23DC" w14:textId="77777777" w:rsidR="00C74DE1" w:rsidRPr="008B20A0" w:rsidRDefault="00C74DE1" w:rsidP="003875EB">
      <w:pPr>
        <w:ind w:left="1080"/>
        <w:rPr>
          <w:rFonts w:ascii="Times New Roman" w:hAnsi="Times New Roman" w:cs="Times New Roman"/>
          <w:spacing w:val="-3"/>
          <w:sz w:val="22"/>
          <w:szCs w:val="22"/>
        </w:rPr>
      </w:pPr>
    </w:p>
    <w:p w14:paraId="1F444019" w14:textId="77777777" w:rsidR="00D24EEA" w:rsidRDefault="00D24EEA">
      <w:pPr>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7B9E4E2C" w14:textId="3096ABA9" w:rsidR="003875EB" w:rsidRPr="008B20A0" w:rsidRDefault="003875EB" w:rsidP="003875EB">
      <w:pPr>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lastRenderedPageBreak/>
        <w:t>(</w:t>
      </w:r>
      <w:r w:rsidR="000A759C"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u w:val="single"/>
        </w:rPr>
        <w:t>Site Rates</w:t>
      </w:r>
      <w:r w:rsidRPr="008B20A0">
        <w:rPr>
          <w:rFonts w:ascii="Times New Roman" w:hAnsi="Times New Roman" w:cs="Times New Roman"/>
          <w:spacing w:val="-3"/>
          <w:sz w:val="22"/>
          <w:szCs w:val="22"/>
        </w:rPr>
        <w:t>.</w:t>
      </w:r>
      <w:r w:rsidR="0046442E">
        <w:rPr>
          <w:rFonts w:ascii="Times New Roman" w:hAnsi="Times New Roman" w:cs="Times New Roman"/>
          <w:spacing w:val="-3"/>
          <w:sz w:val="22"/>
          <w:szCs w:val="22"/>
        </w:rPr>
        <w:tab/>
      </w:r>
    </w:p>
    <w:p w14:paraId="7BA90D7D" w14:textId="6917D72E" w:rsidR="00543CCD" w:rsidRPr="008B20A0" w:rsidRDefault="00543CCD" w:rsidP="00DB56A6">
      <w:pPr>
        <w:ind w:left="1440"/>
        <w:rPr>
          <w:rFonts w:ascii="Times New Roman" w:hAnsi="Times New Roman" w:cs="Times New Roman"/>
          <w:sz w:val="22"/>
          <w:szCs w:val="22"/>
        </w:rPr>
      </w:pPr>
      <w:r w:rsidRPr="008B20A0">
        <w:rPr>
          <w:rFonts w:ascii="Times New Roman" w:hAnsi="Times New Roman" w:cs="Times New Roman"/>
          <w:sz w:val="22"/>
          <w:szCs w:val="22"/>
        </w:rPr>
        <w:t>1.</w:t>
      </w:r>
      <w:r w:rsidR="00D3346A"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Site Rates for Programs Operating Prior to July 1, 2014</w:t>
      </w:r>
      <w:r w:rsidRPr="008B20A0">
        <w:rPr>
          <w:rFonts w:ascii="Times New Roman" w:hAnsi="Times New Roman" w:cs="Times New Roman"/>
          <w:sz w:val="22"/>
          <w:szCs w:val="22"/>
        </w:rPr>
        <w:t>.</w:t>
      </w:r>
      <w:r w:rsidR="00D3346A" w:rsidRPr="008B20A0">
        <w:rPr>
          <w:rFonts w:ascii="Times New Roman" w:hAnsi="Times New Roman" w:cs="Times New Roman"/>
          <w:sz w:val="22"/>
          <w:szCs w:val="22"/>
        </w:rPr>
        <w:t xml:space="preserve"> </w:t>
      </w:r>
      <w:r w:rsidR="00FE05C0" w:rsidRPr="008B20A0">
        <w:rPr>
          <w:rFonts w:ascii="Times New Roman" w:hAnsi="Times New Roman" w:cs="Times New Roman"/>
          <w:sz w:val="22"/>
          <w:szCs w:val="22"/>
        </w:rPr>
        <w:t xml:space="preserve"> The table in 101 CMR 420.03(8</w:t>
      </w:r>
      <w:r w:rsidRPr="008B20A0">
        <w:rPr>
          <w:rFonts w:ascii="Times New Roman" w:hAnsi="Times New Roman" w:cs="Times New Roman"/>
          <w:sz w:val="22"/>
          <w:szCs w:val="22"/>
        </w:rPr>
        <w:t>)(</w:t>
      </w:r>
      <w:r w:rsidR="000A759C" w:rsidRPr="008B20A0">
        <w:rPr>
          <w:rFonts w:ascii="Times New Roman" w:hAnsi="Times New Roman" w:cs="Times New Roman"/>
          <w:sz w:val="22"/>
          <w:szCs w:val="22"/>
        </w:rPr>
        <w:t>c</w:t>
      </w:r>
      <w:r w:rsidRPr="008B20A0">
        <w:rPr>
          <w:rFonts w:ascii="Times New Roman" w:hAnsi="Times New Roman" w:cs="Times New Roman"/>
          <w:sz w:val="22"/>
          <w:szCs w:val="22"/>
        </w:rPr>
        <w:t xml:space="preserve">) lists </w:t>
      </w:r>
      <w:r w:rsidRPr="008B20A0">
        <w:rPr>
          <w:rFonts w:ascii="Times New Roman" w:hAnsi="Times New Roman" w:cs="Times New Roman"/>
          <w:i/>
          <w:sz w:val="22"/>
          <w:szCs w:val="22"/>
        </w:rPr>
        <w:t xml:space="preserve">per diem </w:t>
      </w:r>
      <w:r w:rsidR="00D3346A" w:rsidRPr="008B20A0">
        <w:rPr>
          <w:rFonts w:ascii="Times New Roman" w:hAnsi="Times New Roman" w:cs="Times New Roman"/>
          <w:sz w:val="22"/>
          <w:szCs w:val="22"/>
        </w:rPr>
        <w:t>s</w:t>
      </w:r>
      <w:r w:rsidRPr="008B20A0">
        <w:rPr>
          <w:rFonts w:ascii="Times New Roman" w:hAnsi="Times New Roman" w:cs="Times New Roman"/>
          <w:sz w:val="22"/>
          <w:szCs w:val="22"/>
        </w:rPr>
        <w:t xml:space="preserve">ite </w:t>
      </w:r>
      <w:r w:rsidR="00D3346A" w:rsidRPr="008B20A0">
        <w:rPr>
          <w:rFonts w:ascii="Times New Roman" w:hAnsi="Times New Roman" w:cs="Times New Roman"/>
          <w:sz w:val="22"/>
          <w:szCs w:val="22"/>
        </w:rPr>
        <w:t>u</w:t>
      </w:r>
      <w:r w:rsidRPr="008B20A0">
        <w:rPr>
          <w:rFonts w:ascii="Times New Roman" w:hAnsi="Times New Roman" w:cs="Times New Roman"/>
          <w:sz w:val="22"/>
          <w:szCs w:val="22"/>
        </w:rPr>
        <w:t xml:space="preserve">nit </w:t>
      </w:r>
      <w:r w:rsidR="00D3346A" w:rsidRPr="008B20A0">
        <w:rPr>
          <w:rFonts w:ascii="Times New Roman" w:hAnsi="Times New Roman" w:cs="Times New Roman"/>
          <w:sz w:val="22"/>
          <w:szCs w:val="22"/>
        </w:rPr>
        <w:t>c</w:t>
      </w:r>
      <w:r w:rsidRPr="008B20A0">
        <w:rPr>
          <w:rFonts w:ascii="Times New Roman" w:hAnsi="Times New Roman" w:cs="Times New Roman"/>
          <w:sz w:val="22"/>
          <w:szCs w:val="22"/>
        </w:rPr>
        <w:t xml:space="preserve">ost ranges and the corresponding </w:t>
      </w:r>
      <w:r w:rsidRPr="008B20A0">
        <w:rPr>
          <w:rFonts w:ascii="Times New Roman" w:hAnsi="Times New Roman" w:cs="Times New Roman"/>
          <w:i/>
          <w:sz w:val="22"/>
          <w:szCs w:val="22"/>
        </w:rPr>
        <w:t xml:space="preserve">per diem </w:t>
      </w:r>
      <w:r w:rsidR="00D3346A" w:rsidRPr="008B20A0">
        <w:rPr>
          <w:rFonts w:ascii="Times New Roman" w:hAnsi="Times New Roman" w:cs="Times New Roman"/>
          <w:sz w:val="22"/>
          <w:szCs w:val="22"/>
        </w:rPr>
        <w:t>s</w:t>
      </w:r>
      <w:r w:rsidRPr="008B20A0">
        <w:rPr>
          <w:rFonts w:ascii="Times New Roman" w:hAnsi="Times New Roman" w:cs="Times New Roman"/>
          <w:sz w:val="22"/>
          <w:szCs w:val="22"/>
        </w:rPr>
        <w:t xml:space="preserve">ite </w:t>
      </w:r>
      <w:r w:rsidR="00D3346A" w:rsidRPr="008B20A0">
        <w:rPr>
          <w:rFonts w:ascii="Times New Roman" w:hAnsi="Times New Roman" w:cs="Times New Roman"/>
          <w:sz w:val="22"/>
          <w:szCs w:val="22"/>
        </w:rPr>
        <w:t>r</w:t>
      </w:r>
      <w:r w:rsidRPr="008B20A0">
        <w:rPr>
          <w:rFonts w:ascii="Times New Roman" w:hAnsi="Times New Roman" w:cs="Times New Roman"/>
          <w:sz w:val="22"/>
          <w:szCs w:val="22"/>
        </w:rPr>
        <w:t xml:space="preserve">ate. </w:t>
      </w:r>
    </w:p>
    <w:p w14:paraId="53FC389B" w14:textId="77777777" w:rsidR="003875EB" w:rsidRPr="008B20A0" w:rsidRDefault="003875EB" w:rsidP="003875EB">
      <w:pPr>
        <w:ind w:left="1440"/>
        <w:rPr>
          <w:rFonts w:ascii="Times New Roman" w:hAnsi="Times New Roman" w:cs="Times New Roman"/>
          <w:spacing w:val="-3"/>
          <w:sz w:val="22"/>
          <w:szCs w:val="22"/>
        </w:rPr>
      </w:pPr>
    </w:p>
    <w:tbl>
      <w:tblPr>
        <w:tblW w:w="67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250"/>
        <w:gridCol w:w="2070"/>
      </w:tblGrid>
      <w:tr w:rsidR="008B20A0" w:rsidRPr="008B20A0" w14:paraId="1AC3E6AA" w14:textId="77777777" w:rsidTr="006F167E">
        <w:trPr>
          <w:trHeight w:val="288"/>
          <w:tblHeader/>
        </w:trPr>
        <w:tc>
          <w:tcPr>
            <w:tcW w:w="2407" w:type="dxa"/>
          </w:tcPr>
          <w:p w14:paraId="21B8D7F8"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Occupancy Rate Index</w:t>
            </w:r>
          </w:p>
        </w:tc>
        <w:tc>
          <w:tcPr>
            <w:tcW w:w="2250" w:type="dxa"/>
            <w:shd w:val="clear" w:color="auto" w:fill="auto"/>
            <w:noWrap/>
            <w:vAlign w:val="center"/>
            <w:hideMark/>
          </w:tcPr>
          <w:p w14:paraId="4B4211D2"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Site Unit Cost Range</w:t>
            </w:r>
          </w:p>
        </w:tc>
        <w:tc>
          <w:tcPr>
            <w:tcW w:w="2070" w:type="dxa"/>
            <w:shd w:val="clear" w:color="auto" w:fill="auto"/>
            <w:noWrap/>
            <w:vAlign w:val="center"/>
            <w:hideMark/>
          </w:tcPr>
          <w:p w14:paraId="40B27F21"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i/>
                <w:color w:val="000000"/>
                <w:sz w:val="22"/>
                <w:szCs w:val="22"/>
              </w:rPr>
              <w:t>Per Diem</w:t>
            </w:r>
            <w:r w:rsidRPr="008B20A0">
              <w:rPr>
                <w:rFonts w:ascii="Times New Roman" w:eastAsia="Times New Roman" w:hAnsi="Times New Roman" w:cs="Times New Roman"/>
                <w:b/>
                <w:bCs/>
                <w:color w:val="000000"/>
                <w:sz w:val="22"/>
                <w:szCs w:val="22"/>
              </w:rPr>
              <w:t xml:space="preserve"> Site Rate</w:t>
            </w:r>
          </w:p>
        </w:tc>
      </w:tr>
      <w:tr w:rsidR="008B20A0" w:rsidRPr="008B20A0" w14:paraId="2165E28F" w14:textId="77777777" w:rsidTr="006F167E">
        <w:trPr>
          <w:trHeight w:val="288"/>
        </w:trPr>
        <w:tc>
          <w:tcPr>
            <w:tcW w:w="2407" w:type="dxa"/>
          </w:tcPr>
          <w:p w14:paraId="6874BAC8"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01</w:t>
            </w:r>
          </w:p>
        </w:tc>
        <w:tc>
          <w:tcPr>
            <w:tcW w:w="2250" w:type="dxa"/>
            <w:shd w:val="clear" w:color="auto" w:fill="auto"/>
            <w:noWrap/>
            <w:vAlign w:val="center"/>
            <w:hideMark/>
          </w:tcPr>
          <w:p w14:paraId="612E7F3E"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$0.01 - $3.84</w:t>
            </w:r>
          </w:p>
        </w:tc>
        <w:tc>
          <w:tcPr>
            <w:tcW w:w="2070" w:type="dxa"/>
            <w:shd w:val="clear" w:color="auto" w:fill="auto"/>
            <w:noWrap/>
            <w:hideMark/>
          </w:tcPr>
          <w:p w14:paraId="4FD45FA3"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$3.90</w:t>
            </w:r>
          </w:p>
        </w:tc>
      </w:tr>
      <w:tr w:rsidR="008B20A0" w:rsidRPr="008B20A0" w14:paraId="68ECFFC9" w14:textId="77777777" w:rsidTr="006F167E">
        <w:trPr>
          <w:trHeight w:val="288"/>
        </w:trPr>
        <w:tc>
          <w:tcPr>
            <w:tcW w:w="2407" w:type="dxa"/>
          </w:tcPr>
          <w:p w14:paraId="5CB14277"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02</w:t>
            </w:r>
          </w:p>
        </w:tc>
        <w:tc>
          <w:tcPr>
            <w:tcW w:w="2250" w:type="dxa"/>
            <w:shd w:val="clear" w:color="auto" w:fill="auto"/>
            <w:noWrap/>
            <w:vAlign w:val="center"/>
          </w:tcPr>
          <w:p w14:paraId="174FCA1E"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$3.85 - $8.30</w:t>
            </w:r>
          </w:p>
        </w:tc>
        <w:tc>
          <w:tcPr>
            <w:tcW w:w="2070" w:type="dxa"/>
            <w:shd w:val="clear" w:color="auto" w:fill="auto"/>
            <w:noWrap/>
          </w:tcPr>
          <w:p w14:paraId="6B09902D"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$8.42</w:t>
            </w:r>
          </w:p>
        </w:tc>
      </w:tr>
      <w:tr w:rsidR="008B20A0" w:rsidRPr="008B20A0" w14:paraId="67AACF99" w14:textId="77777777" w:rsidTr="006F167E">
        <w:trPr>
          <w:trHeight w:val="288"/>
        </w:trPr>
        <w:tc>
          <w:tcPr>
            <w:tcW w:w="2407" w:type="dxa"/>
          </w:tcPr>
          <w:p w14:paraId="671DC285"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03</w:t>
            </w:r>
          </w:p>
        </w:tc>
        <w:tc>
          <w:tcPr>
            <w:tcW w:w="2250" w:type="dxa"/>
            <w:shd w:val="clear" w:color="auto" w:fill="auto"/>
            <w:noWrap/>
            <w:vAlign w:val="center"/>
          </w:tcPr>
          <w:p w14:paraId="7BBC55DC"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$8.31 - $12.76</w:t>
            </w:r>
          </w:p>
        </w:tc>
        <w:tc>
          <w:tcPr>
            <w:tcW w:w="2070" w:type="dxa"/>
            <w:shd w:val="clear" w:color="auto" w:fill="auto"/>
            <w:noWrap/>
          </w:tcPr>
          <w:p w14:paraId="0336C832"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$12.72</w:t>
            </w:r>
          </w:p>
        </w:tc>
      </w:tr>
      <w:tr w:rsidR="008B20A0" w:rsidRPr="008B20A0" w14:paraId="2D213A94" w14:textId="77777777" w:rsidTr="006F167E">
        <w:trPr>
          <w:trHeight w:val="288"/>
        </w:trPr>
        <w:tc>
          <w:tcPr>
            <w:tcW w:w="2407" w:type="dxa"/>
          </w:tcPr>
          <w:p w14:paraId="1EEB0B96"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04</w:t>
            </w:r>
          </w:p>
        </w:tc>
        <w:tc>
          <w:tcPr>
            <w:tcW w:w="2250" w:type="dxa"/>
            <w:shd w:val="clear" w:color="auto" w:fill="auto"/>
            <w:noWrap/>
            <w:vAlign w:val="center"/>
            <w:hideMark/>
          </w:tcPr>
          <w:p w14:paraId="3A282C4B"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$12.77 - $17.22</w:t>
            </w:r>
          </w:p>
        </w:tc>
        <w:tc>
          <w:tcPr>
            <w:tcW w:w="2070" w:type="dxa"/>
            <w:shd w:val="clear" w:color="auto" w:fill="auto"/>
            <w:noWrap/>
            <w:hideMark/>
          </w:tcPr>
          <w:p w14:paraId="323818EE"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$17.64</w:t>
            </w:r>
          </w:p>
        </w:tc>
      </w:tr>
      <w:tr w:rsidR="008B20A0" w:rsidRPr="008B20A0" w14:paraId="276BEAD1" w14:textId="77777777" w:rsidTr="006F167E">
        <w:trPr>
          <w:trHeight w:val="288"/>
        </w:trPr>
        <w:tc>
          <w:tcPr>
            <w:tcW w:w="2407" w:type="dxa"/>
          </w:tcPr>
          <w:p w14:paraId="6ED10A9E"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05</w:t>
            </w:r>
          </w:p>
        </w:tc>
        <w:tc>
          <w:tcPr>
            <w:tcW w:w="2250" w:type="dxa"/>
            <w:shd w:val="clear" w:color="auto" w:fill="auto"/>
            <w:noWrap/>
            <w:vAlign w:val="center"/>
            <w:hideMark/>
          </w:tcPr>
          <w:p w14:paraId="64913AD8"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$17.23 - $21.68</w:t>
            </w:r>
          </w:p>
        </w:tc>
        <w:tc>
          <w:tcPr>
            <w:tcW w:w="2070" w:type="dxa"/>
            <w:shd w:val="clear" w:color="auto" w:fill="auto"/>
            <w:noWrap/>
            <w:hideMark/>
          </w:tcPr>
          <w:p w14:paraId="328B5C97"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$22.14</w:t>
            </w:r>
          </w:p>
        </w:tc>
      </w:tr>
      <w:tr w:rsidR="008B20A0" w:rsidRPr="008B20A0" w14:paraId="050B8951" w14:textId="77777777" w:rsidTr="006F167E">
        <w:trPr>
          <w:trHeight w:val="288"/>
        </w:trPr>
        <w:tc>
          <w:tcPr>
            <w:tcW w:w="2407" w:type="dxa"/>
          </w:tcPr>
          <w:p w14:paraId="721C2538"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06</w:t>
            </w:r>
          </w:p>
        </w:tc>
        <w:tc>
          <w:tcPr>
            <w:tcW w:w="2250" w:type="dxa"/>
            <w:shd w:val="clear" w:color="auto" w:fill="auto"/>
            <w:noWrap/>
            <w:vAlign w:val="center"/>
            <w:hideMark/>
          </w:tcPr>
          <w:p w14:paraId="3CCCD89E"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$21.69 - $26.15</w:t>
            </w:r>
          </w:p>
        </w:tc>
        <w:tc>
          <w:tcPr>
            <w:tcW w:w="2070" w:type="dxa"/>
            <w:shd w:val="clear" w:color="auto" w:fill="auto"/>
            <w:noWrap/>
            <w:hideMark/>
          </w:tcPr>
          <w:p w14:paraId="199F083B"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$27.12</w:t>
            </w:r>
          </w:p>
        </w:tc>
      </w:tr>
      <w:tr w:rsidR="008B20A0" w:rsidRPr="008B20A0" w14:paraId="41646940" w14:textId="77777777" w:rsidTr="006F167E">
        <w:trPr>
          <w:trHeight w:val="288"/>
        </w:trPr>
        <w:tc>
          <w:tcPr>
            <w:tcW w:w="2407" w:type="dxa"/>
          </w:tcPr>
          <w:p w14:paraId="269F9FA6"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07</w:t>
            </w:r>
          </w:p>
        </w:tc>
        <w:tc>
          <w:tcPr>
            <w:tcW w:w="2250" w:type="dxa"/>
            <w:shd w:val="clear" w:color="auto" w:fill="auto"/>
            <w:noWrap/>
            <w:vAlign w:val="center"/>
            <w:hideMark/>
          </w:tcPr>
          <w:p w14:paraId="54BC781F"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$26.16 - $30.60</w:t>
            </w:r>
          </w:p>
        </w:tc>
        <w:tc>
          <w:tcPr>
            <w:tcW w:w="2070" w:type="dxa"/>
            <w:shd w:val="clear" w:color="auto" w:fill="auto"/>
            <w:noWrap/>
            <w:hideMark/>
          </w:tcPr>
          <w:p w14:paraId="5D592EC7"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$31.92</w:t>
            </w:r>
          </w:p>
        </w:tc>
      </w:tr>
      <w:tr w:rsidR="008B20A0" w:rsidRPr="008B20A0" w14:paraId="61B40682" w14:textId="77777777" w:rsidTr="006F167E">
        <w:trPr>
          <w:trHeight w:val="288"/>
        </w:trPr>
        <w:tc>
          <w:tcPr>
            <w:tcW w:w="2407" w:type="dxa"/>
          </w:tcPr>
          <w:p w14:paraId="442697BD"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08</w:t>
            </w:r>
          </w:p>
        </w:tc>
        <w:tc>
          <w:tcPr>
            <w:tcW w:w="2250" w:type="dxa"/>
            <w:shd w:val="clear" w:color="auto" w:fill="auto"/>
            <w:noWrap/>
            <w:vAlign w:val="center"/>
            <w:hideMark/>
          </w:tcPr>
          <w:p w14:paraId="1797FF2F"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$30.61 - $35.07</w:t>
            </w:r>
          </w:p>
        </w:tc>
        <w:tc>
          <w:tcPr>
            <w:tcW w:w="2070" w:type="dxa"/>
            <w:shd w:val="clear" w:color="auto" w:fill="auto"/>
            <w:noWrap/>
            <w:hideMark/>
          </w:tcPr>
          <w:p w14:paraId="3D257987"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$36.54</w:t>
            </w:r>
          </w:p>
        </w:tc>
      </w:tr>
      <w:tr w:rsidR="008B20A0" w:rsidRPr="008B20A0" w14:paraId="0744729B" w14:textId="77777777" w:rsidTr="006F167E">
        <w:trPr>
          <w:trHeight w:val="288"/>
        </w:trPr>
        <w:tc>
          <w:tcPr>
            <w:tcW w:w="2407" w:type="dxa"/>
          </w:tcPr>
          <w:p w14:paraId="526A9A98"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09</w:t>
            </w:r>
          </w:p>
        </w:tc>
        <w:tc>
          <w:tcPr>
            <w:tcW w:w="2250" w:type="dxa"/>
            <w:shd w:val="clear" w:color="auto" w:fill="auto"/>
            <w:noWrap/>
            <w:vAlign w:val="center"/>
            <w:hideMark/>
          </w:tcPr>
          <w:p w14:paraId="5EB98C3D"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$35.08 - $39.52</w:t>
            </w:r>
          </w:p>
        </w:tc>
        <w:tc>
          <w:tcPr>
            <w:tcW w:w="2070" w:type="dxa"/>
            <w:shd w:val="clear" w:color="auto" w:fill="auto"/>
            <w:noWrap/>
            <w:hideMark/>
          </w:tcPr>
          <w:p w14:paraId="0F45E3E5"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$41.28</w:t>
            </w:r>
          </w:p>
        </w:tc>
      </w:tr>
      <w:tr w:rsidR="008B20A0" w:rsidRPr="008B20A0" w14:paraId="4DD946A7" w14:textId="77777777" w:rsidTr="006F167E">
        <w:trPr>
          <w:trHeight w:val="288"/>
        </w:trPr>
        <w:tc>
          <w:tcPr>
            <w:tcW w:w="2407" w:type="dxa"/>
          </w:tcPr>
          <w:p w14:paraId="67ED5070"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10</w:t>
            </w:r>
          </w:p>
        </w:tc>
        <w:tc>
          <w:tcPr>
            <w:tcW w:w="2250" w:type="dxa"/>
            <w:shd w:val="clear" w:color="auto" w:fill="auto"/>
            <w:noWrap/>
            <w:vAlign w:val="center"/>
            <w:hideMark/>
          </w:tcPr>
          <w:p w14:paraId="1633D85E"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$39.53 - $43.98</w:t>
            </w:r>
          </w:p>
        </w:tc>
        <w:tc>
          <w:tcPr>
            <w:tcW w:w="2070" w:type="dxa"/>
            <w:shd w:val="clear" w:color="auto" w:fill="auto"/>
            <w:noWrap/>
            <w:hideMark/>
          </w:tcPr>
          <w:p w14:paraId="5E005567"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$45.98</w:t>
            </w:r>
          </w:p>
        </w:tc>
      </w:tr>
      <w:tr w:rsidR="008B20A0" w:rsidRPr="008B20A0" w14:paraId="77FF356D" w14:textId="77777777" w:rsidTr="006F167E">
        <w:trPr>
          <w:trHeight w:val="288"/>
        </w:trPr>
        <w:tc>
          <w:tcPr>
            <w:tcW w:w="2407" w:type="dxa"/>
          </w:tcPr>
          <w:p w14:paraId="237866A3"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11</w:t>
            </w:r>
          </w:p>
        </w:tc>
        <w:tc>
          <w:tcPr>
            <w:tcW w:w="2250" w:type="dxa"/>
            <w:shd w:val="clear" w:color="auto" w:fill="auto"/>
            <w:noWrap/>
            <w:vAlign w:val="center"/>
            <w:hideMark/>
          </w:tcPr>
          <w:p w14:paraId="5D063941"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$43.99 - $48.44</w:t>
            </w:r>
          </w:p>
        </w:tc>
        <w:tc>
          <w:tcPr>
            <w:tcW w:w="2070" w:type="dxa"/>
            <w:shd w:val="clear" w:color="auto" w:fill="auto"/>
            <w:noWrap/>
            <w:hideMark/>
          </w:tcPr>
          <w:p w14:paraId="52CF5BBD"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$51.07</w:t>
            </w:r>
          </w:p>
        </w:tc>
      </w:tr>
      <w:tr w:rsidR="008B20A0" w:rsidRPr="008B20A0" w14:paraId="4E06A733" w14:textId="77777777" w:rsidTr="006F167E">
        <w:trPr>
          <w:trHeight w:val="288"/>
        </w:trPr>
        <w:tc>
          <w:tcPr>
            <w:tcW w:w="2407" w:type="dxa"/>
          </w:tcPr>
          <w:p w14:paraId="14B199A6"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12</w:t>
            </w:r>
          </w:p>
        </w:tc>
        <w:tc>
          <w:tcPr>
            <w:tcW w:w="2250" w:type="dxa"/>
            <w:shd w:val="clear" w:color="auto" w:fill="auto"/>
            <w:noWrap/>
            <w:vAlign w:val="center"/>
            <w:hideMark/>
          </w:tcPr>
          <w:p w14:paraId="7C60434D"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$48.45 - $52.90</w:t>
            </w:r>
          </w:p>
        </w:tc>
        <w:tc>
          <w:tcPr>
            <w:tcW w:w="2070" w:type="dxa"/>
            <w:shd w:val="clear" w:color="auto" w:fill="auto"/>
            <w:noWrap/>
            <w:hideMark/>
          </w:tcPr>
          <w:p w14:paraId="1402E48D"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$56.20</w:t>
            </w:r>
          </w:p>
        </w:tc>
      </w:tr>
      <w:tr w:rsidR="008B20A0" w:rsidRPr="008B20A0" w14:paraId="34F61A54" w14:textId="77777777" w:rsidTr="006F167E">
        <w:trPr>
          <w:trHeight w:val="288"/>
        </w:trPr>
        <w:tc>
          <w:tcPr>
            <w:tcW w:w="2407" w:type="dxa"/>
          </w:tcPr>
          <w:p w14:paraId="70492F48"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13</w:t>
            </w:r>
          </w:p>
        </w:tc>
        <w:tc>
          <w:tcPr>
            <w:tcW w:w="2250" w:type="dxa"/>
            <w:shd w:val="clear" w:color="auto" w:fill="auto"/>
            <w:noWrap/>
            <w:vAlign w:val="center"/>
            <w:hideMark/>
          </w:tcPr>
          <w:p w14:paraId="42A7E29B"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$52.91 - $57.36</w:t>
            </w:r>
          </w:p>
        </w:tc>
        <w:tc>
          <w:tcPr>
            <w:tcW w:w="2070" w:type="dxa"/>
            <w:shd w:val="clear" w:color="auto" w:fill="auto"/>
            <w:noWrap/>
            <w:hideMark/>
          </w:tcPr>
          <w:p w14:paraId="3DAD1B1E"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$60.82</w:t>
            </w:r>
          </w:p>
        </w:tc>
      </w:tr>
      <w:tr w:rsidR="008B20A0" w:rsidRPr="008B20A0" w14:paraId="52F133F3" w14:textId="77777777" w:rsidTr="006F167E">
        <w:trPr>
          <w:trHeight w:val="288"/>
        </w:trPr>
        <w:tc>
          <w:tcPr>
            <w:tcW w:w="2407" w:type="dxa"/>
          </w:tcPr>
          <w:p w14:paraId="605CC67B"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14</w:t>
            </w:r>
          </w:p>
        </w:tc>
        <w:tc>
          <w:tcPr>
            <w:tcW w:w="2250" w:type="dxa"/>
            <w:shd w:val="clear" w:color="auto" w:fill="auto"/>
            <w:noWrap/>
            <w:vAlign w:val="center"/>
            <w:hideMark/>
          </w:tcPr>
          <w:p w14:paraId="62373ED7"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$57.37 - $61.82</w:t>
            </w:r>
          </w:p>
        </w:tc>
        <w:tc>
          <w:tcPr>
            <w:tcW w:w="2070" w:type="dxa"/>
            <w:shd w:val="clear" w:color="auto" w:fill="auto"/>
            <w:noWrap/>
            <w:hideMark/>
          </w:tcPr>
          <w:p w14:paraId="7C7295FE"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$65.69</w:t>
            </w:r>
          </w:p>
        </w:tc>
      </w:tr>
      <w:tr w:rsidR="008B20A0" w:rsidRPr="008B20A0" w14:paraId="19218C7B" w14:textId="77777777" w:rsidTr="006F167E">
        <w:trPr>
          <w:trHeight w:val="288"/>
        </w:trPr>
        <w:tc>
          <w:tcPr>
            <w:tcW w:w="2407" w:type="dxa"/>
          </w:tcPr>
          <w:p w14:paraId="0A62C2BA"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15</w:t>
            </w:r>
          </w:p>
        </w:tc>
        <w:tc>
          <w:tcPr>
            <w:tcW w:w="2250" w:type="dxa"/>
            <w:shd w:val="clear" w:color="auto" w:fill="auto"/>
            <w:noWrap/>
            <w:vAlign w:val="center"/>
            <w:hideMark/>
          </w:tcPr>
          <w:p w14:paraId="09D51E0F"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$61.83 - $66.28</w:t>
            </w:r>
          </w:p>
        </w:tc>
        <w:tc>
          <w:tcPr>
            <w:tcW w:w="2070" w:type="dxa"/>
            <w:shd w:val="clear" w:color="auto" w:fill="auto"/>
            <w:noWrap/>
            <w:hideMark/>
          </w:tcPr>
          <w:p w14:paraId="4FEED9AC"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$69.04</w:t>
            </w:r>
          </w:p>
        </w:tc>
      </w:tr>
      <w:tr w:rsidR="008B20A0" w:rsidRPr="008B20A0" w14:paraId="36DD717B" w14:textId="77777777" w:rsidTr="006F167E">
        <w:trPr>
          <w:trHeight w:val="288"/>
        </w:trPr>
        <w:tc>
          <w:tcPr>
            <w:tcW w:w="2407" w:type="dxa"/>
          </w:tcPr>
          <w:p w14:paraId="3716FADD"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16</w:t>
            </w:r>
          </w:p>
        </w:tc>
        <w:tc>
          <w:tcPr>
            <w:tcW w:w="2250" w:type="dxa"/>
            <w:shd w:val="clear" w:color="auto" w:fill="auto"/>
            <w:noWrap/>
            <w:vAlign w:val="center"/>
            <w:hideMark/>
          </w:tcPr>
          <w:p w14:paraId="07A2C243"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$66.29 - $70.74</w:t>
            </w:r>
          </w:p>
        </w:tc>
        <w:tc>
          <w:tcPr>
            <w:tcW w:w="2070" w:type="dxa"/>
            <w:shd w:val="clear" w:color="auto" w:fill="auto"/>
            <w:noWrap/>
            <w:hideMark/>
          </w:tcPr>
          <w:p w14:paraId="0A032CE1"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$75.02</w:t>
            </w:r>
          </w:p>
        </w:tc>
      </w:tr>
      <w:tr w:rsidR="008B20A0" w:rsidRPr="008B20A0" w14:paraId="360FF53A" w14:textId="77777777" w:rsidTr="006F167E">
        <w:trPr>
          <w:trHeight w:val="288"/>
        </w:trPr>
        <w:tc>
          <w:tcPr>
            <w:tcW w:w="2407" w:type="dxa"/>
          </w:tcPr>
          <w:p w14:paraId="685748EF"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17</w:t>
            </w:r>
          </w:p>
        </w:tc>
        <w:tc>
          <w:tcPr>
            <w:tcW w:w="2250" w:type="dxa"/>
            <w:shd w:val="clear" w:color="auto" w:fill="auto"/>
            <w:noWrap/>
            <w:vAlign w:val="center"/>
            <w:hideMark/>
          </w:tcPr>
          <w:p w14:paraId="7795DD13"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$70.75 - $75.20</w:t>
            </w:r>
          </w:p>
        </w:tc>
        <w:tc>
          <w:tcPr>
            <w:tcW w:w="2070" w:type="dxa"/>
            <w:shd w:val="clear" w:color="auto" w:fill="auto"/>
            <w:noWrap/>
            <w:hideMark/>
          </w:tcPr>
          <w:p w14:paraId="4B4F2374"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$80.27</w:t>
            </w:r>
          </w:p>
        </w:tc>
      </w:tr>
      <w:tr w:rsidR="008B20A0" w:rsidRPr="008B20A0" w14:paraId="59D5E7AF" w14:textId="77777777" w:rsidTr="006F167E">
        <w:trPr>
          <w:trHeight w:val="288"/>
        </w:trPr>
        <w:tc>
          <w:tcPr>
            <w:tcW w:w="2407" w:type="dxa"/>
          </w:tcPr>
          <w:p w14:paraId="1D3F94FA"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18</w:t>
            </w:r>
          </w:p>
        </w:tc>
        <w:tc>
          <w:tcPr>
            <w:tcW w:w="2250" w:type="dxa"/>
            <w:shd w:val="clear" w:color="auto" w:fill="auto"/>
            <w:noWrap/>
            <w:vAlign w:val="center"/>
            <w:hideMark/>
          </w:tcPr>
          <w:p w14:paraId="2B430BAB"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$75.21 - $79.66</w:t>
            </w:r>
          </w:p>
        </w:tc>
        <w:tc>
          <w:tcPr>
            <w:tcW w:w="2070" w:type="dxa"/>
            <w:shd w:val="clear" w:color="auto" w:fill="auto"/>
            <w:noWrap/>
            <w:hideMark/>
          </w:tcPr>
          <w:p w14:paraId="46237896"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$84.99</w:t>
            </w:r>
          </w:p>
        </w:tc>
      </w:tr>
      <w:tr w:rsidR="008B20A0" w:rsidRPr="008B20A0" w14:paraId="1C3F2A16" w14:textId="77777777" w:rsidTr="006F167E">
        <w:trPr>
          <w:trHeight w:val="288"/>
        </w:trPr>
        <w:tc>
          <w:tcPr>
            <w:tcW w:w="2407" w:type="dxa"/>
          </w:tcPr>
          <w:p w14:paraId="7E261291"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19</w:t>
            </w:r>
          </w:p>
        </w:tc>
        <w:tc>
          <w:tcPr>
            <w:tcW w:w="2250" w:type="dxa"/>
            <w:shd w:val="clear" w:color="auto" w:fill="auto"/>
            <w:noWrap/>
            <w:vAlign w:val="center"/>
            <w:hideMark/>
          </w:tcPr>
          <w:p w14:paraId="15A33765"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$79.67 - $84.12</w:t>
            </w:r>
          </w:p>
        </w:tc>
        <w:tc>
          <w:tcPr>
            <w:tcW w:w="2070" w:type="dxa"/>
            <w:shd w:val="clear" w:color="auto" w:fill="auto"/>
            <w:noWrap/>
            <w:hideMark/>
          </w:tcPr>
          <w:p w14:paraId="3190D4C4"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$90.38</w:t>
            </w:r>
          </w:p>
        </w:tc>
      </w:tr>
      <w:tr w:rsidR="008B20A0" w:rsidRPr="008B20A0" w14:paraId="436FB966" w14:textId="77777777" w:rsidTr="006F167E">
        <w:trPr>
          <w:trHeight w:val="288"/>
        </w:trPr>
        <w:tc>
          <w:tcPr>
            <w:tcW w:w="2407" w:type="dxa"/>
          </w:tcPr>
          <w:p w14:paraId="3E3E6163"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20</w:t>
            </w:r>
          </w:p>
        </w:tc>
        <w:tc>
          <w:tcPr>
            <w:tcW w:w="2250" w:type="dxa"/>
            <w:shd w:val="clear" w:color="auto" w:fill="auto"/>
            <w:noWrap/>
            <w:vAlign w:val="center"/>
            <w:hideMark/>
          </w:tcPr>
          <w:p w14:paraId="7A2AF32B"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$84.13 - $88.58</w:t>
            </w:r>
          </w:p>
        </w:tc>
        <w:tc>
          <w:tcPr>
            <w:tcW w:w="2070" w:type="dxa"/>
            <w:shd w:val="clear" w:color="auto" w:fill="auto"/>
            <w:noWrap/>
            <w:hideMark/>
          </w:tcPr>
          <w:p w14:paraId="5CBFC183"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$95.61</w:t>
            </w:r>
          </w:p>
        </w:tc>
      </w:tr>
      <w:tr w:rsidR="008B20A0" w:rsidRPr="008B20A0" w14:paraId="0DF62CDD" w14:textId="77777777" w:rsidTr="006F167E">
        <w:trPr>
          <w:trHeight w:val="288"/>
        </w:trPr>
        <w:tc>
          <w:tcPr>
            <w:tcW w:w="2407" w:type="dxa"/>
          </w:tcPr>
          <w:p w14:paraId="30284CBB"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21</w:t>
            </w:r>
          </w:p>
        </w:tc>
        <w:tc>
          <w:tcPr>
            <w:tcW w:w="2250" w:type="dxa"/>
            <w:shd w:val="clear" w:color="auto" w:fill="auto"/>
            <w:noWrap/>
            <w:vAlign w:val="center"/>
            <w:hideMark/>
          </w:tcPr>
          <w:p w14:paraId="15147123"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$88.59 - $94.15</w:t>
            </w:r>
          </w:p>
        </w:tc>
        <w:tc>
          <w:tcPr>
            <w:tcW w:w="2070" w:type="dxa"/>
            <w:shd w:val="clear" w:color="auto" w:fill="auto"/>
            <w:noWrap/>
            <w:hideMark/>
          </w:tcPr>
          <w:p w14:paraId="4C44FEF7"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$100.89</w:t>
            </w:r>
          </w:p>
        </w:tc>
      </w:tr>
      <w:tr w:rsidR="008B20A0" w:rsidRPr="008B20A0" w14:paraId="2FBF68A6" w14:textId="77777777" w:rsidTr="006F167E">
        <w:trPr>
          <w:trHeight w:val="288"/>
        </w:trPr>
        <w:tc>
          <w:tcPr>
            <w:tcW w:w="2407" w:type="dxa"/>
          </w:tcPr>
          <w:p w14:paraId="3823D9AD"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22</w:t>
            </w:r>
          </w:p>
        </w:tc>
        <w:tc>
          <w:tcPr>
            <w:tcW w:w="2250" w:type="dxa"/>
            <w:shd w:val="clear" w:color="auto" w:fill="auto"/>
            <w:noWrap/>
            <w:vAlign w:val="center"/>
            <w:hideMark/>
          </w:tcPr>
          <w:p w14:paraId="52628EF3"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$94.16 - $99.73</w:t>
            </w:r>
          </w:p>
        </w:tc>
        <w:tc>
          <w:tcPr>
            <w:tcW w:w="2070" w:type="dxa"/>
            <w:shd w:val="clear" w:color="auto" w:fill="auto"/>
            <w:noWrap/>
            <w:hideMark/>
          </w:tcPr>
          <w:p w14:paraId="2A12D699"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$106.10</w:t>
            </w:r>
          </w:p>
        </w:tc>
      </w:tr>
      <w:tr w:rsidR="008B20A0" w:rsidRPr="008B20A0" w14:paraId="3C9BA22D" w14:textId="77777777" w:rsidTr="006F167E">
        <w:trPr>
          <w:trHeight w:val="288"/>
        </w:trPr>
        <w:tc>
          <w:tcPr>
            <w:tcW w:w="2407" w:type="dxa"/>
          </w:tcPr>
          <w:p w14:paraId="5D1E8391"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23</w:t>
            </w:r>
          </w:p>
        </w:tc>
        <w:tc>
          <w:tcPr>
            <w:tcW w:w="2250" w:type="dxa"/>
            <w:shd w:val="clear" w:color="auto" w:fill="auto"/>
            <w:noWrap/>
            <w:vAlign w:val="center"/>
            <w:hideMark/>
          </w:tcPr>
          <w:p w14:paraId="76AA34A7"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$99.74 - $103.07</w:t>
            </w:r>
          </w:p>
        </w:tc>
        <w:tc>
          <w:tcPr>
            <w:tcW w:w="2070" w:type="dxa"/>
            <w:shd w:val="clear" w:color="auto" w:fill="auto"/>
            <w:noWrap/>
            <w:hideMark/>
          </w:tcPr>
          <w:p w14:paraId="7AB2E8D8"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$109.75</w:t>
            </w:r>
          </w:p>
        </w:tc>
      </w:tr>
      <w:tr w:rsidR="008B20A0" w:rsidRPr="008B20A0" w14:paraId="7C906B2E" w14:textId="77777777" w:rsidTr="006F167E">
        <w:trPr>
          <w:trHeight w:val="288"/>
        </w:trPr>
        <w:tc>
          <w:tcPr>
            <w:tcW w:w="2407" w:type="dxa"/>
          </w:tcPr>
          <w:p w14:paraId="39A96DFE" w14:textId="77777777" w:rsidR="008B20A0" w:rsidRPr="008B20A0" w:rsidRDefault="008B20A0" w:rsidP="00520F82">
            <w:pPr>
              <w:tabs>
                <w:tab w:val="left" w:pos="1589"/>
              </w:tabs>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24</w:t>
            </w:r>
          </w:p>
        </w:tc>
        <w:tc>
          <w:tcPr>
            <w:tcW w:w="2250" w:type="dxa"/>
            <w:shd w:val="clear" w:color="auto" w:fill="auto"/>
            <w:noWrap/>
            <w:vAlign w:val="center"/>
            <w:hideMark/>
          </w:tcPr>
          <w:p w14:paraId="33ED745A" w14:textId="77777777" w:rsidR="008B20A0" w:rsidRPr="008B20A0" w:rsidRDefault="008B20A0" w:rsidP="00520F82">
            <w:pPr>
              <w:tabs>
                <w:tab w:val="left" w:pos="1589"/>
              </w:tabs>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$103.08 - $107.53</w:t>
            </w:r>
          </w:p>
        </w:tc>
        <w:tc>
          <w:tcPr>
            <w:tcW w:w="2070" w:type="dxa"/>
            <w:shd w:val="clear" w:color="auto" w:fill="auto"/>
            <w:noWrap/>
            <w:hideMark/>
          </w:tcPr>
          <w:p w14:paraId="37957AAF"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$114.69</w:t>
            </w:r>
          </w:p>
        </w:tc>
      </w:tr>
      <w:tr w:rsidR="008B20A0" w:rsidRPr="008B20A0" w14:paraId="29EBF18B" w14:textId="77777777" w:rsidTr="006F167E">
        <w:trPr>
          <w:trHeight w:val="288"/>
        </w:trPr>
        <w:tc>
          <w:tcPr>
            <w:tcW w:w="2407" w:type="dxa"/>
          </w:tcPr>
          <w:p w14:paraId="4B6CBB39"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25</w:t>
            </w:r>
          </w:p>
        </w:tc>
        <w:tc>
          <w:tcPr>
            <w:tcW w:w="2250" w:type="dxa"/>
            <w:shd w:val="clear" w:color="auto" w:fill="auto"/>
            <w:noWrap/>
            <w:vAlign w:val="center"/>
            <w:hideMark/>
          </w:tcPr>
          <w:p w14:paraId="255748C2"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$107.54 - $111.99</w:t>
            </w:r>
          </w:p>
        </w:tc>
        <w:tc>
          <w:tcPr>
            <w:tcW w:w="2070" w:type="dxa"/>
            <w:shd w:val="clear" w:color="auto" w:fill="auto"/>
            <w:noWrap/>
            <w:hideMark/>
          </w:tcPr>
          <w:p w14:paraId="208F0628"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$119.79</w:t>
            </w:r>
          </w:p>
        </w:tc>
      </w:tr>
      <w:tr w:rsidR="008B20A0" w:rsidRPr="008B20A0" w14:paraId="014BDAAE" w14:textId="77777777" w:rsidTr="006F167E">
        <w:trPr>
          <w:trHeight w:val="288"/>
        </w:trPr>
        <w:tc>
          <w:tcPr>
            <w:tcW w:w="2407" w:type="dxa"/>
          </w:tcPr>
          <w:p w14:paraId="5B9E2023"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26</w:t>
            </w:r>
          </w:p>
        </w:tc>
        <w:tc>
          <w:tcPr>
            <w:tcW w:w="2250" w:type="dxa"/>
            <w:shd w:val="clear" w:color="auto" w:fill="auto"/>
            <w:noWrap/>
            <w:vAlign w:val="center"/>
            <w:hideMark/>
          </w:tcPr>
          <w:p w14:paraId="5C43B2DC"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$112.00 - $116.45</w:t>
            </w:r>
          </w:p>
        </w:tc>
        <w:tc>
          <w:tcPr>
            <w:tcW w:w="2070" w:type="dxa"/>
            <w:shd w:val="clear" w:color="auto" w:fill="auto"/>
            <w:noWrap/>
            <w:hideMark/>
          </w:tcPr>
          <w:p w14:paraId="2C317B17"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$124.74</w:t>
            </w:r>
          </w:p>
        </w:tc>
      </w:tr>
      <w:tr w:rsidR="008B20A0" w:rsidRPr="008B20A0" w14:paraId="35B82E97" w14:textId="77777777" w:rsidTr="006F167E">
        <w:trPr>
          <w:trHeight w:val="288"/>
        </w:trPr>
        <w:tc>
          <w:tcPr>
            <w:tcW w:w="2407" w:type="dxa"/>
          </w:tcPr>
          <w:p w14:paraId="5610F6F6"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27</w:t>
            </w:r>
          </w:p>
        </w:tc>
        <w:tc>
          <w:tcPr>
            <w:tcW w:w="2250" w:type="dxa"/>
            <w:shd w:val="clear" w:color="auto" w:fill="auto"/>
            <w:noWrap/>
            <w:vAlign w:val="center"/>
            <w:hideMark/>
          </w:tcPr>
          <w:p w14:paraId="63DF2C95"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$116.46 - $120.91</w:t>
            </w:r>
          </w:p>
        </w:tc>
        <w:tc>
          <w:tcPr>
            <w:tcW w:w="2070" w:type="dxa"/>
            <w:shd w:val="clear" w:color="auto" w:fill="auto"/>
            <w:noWrap/>
            <w:hideMark/>
          </w:tcPr>
          <w:p w14:paraId="03BE470B"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$129.68</w:t>
            </w:r>
          </w:p>
        </w:tc>
      </w:tr>
      <w:tr w:rsidR="008B20A0" w:rsidRPr="008B20A0" w14:paraId="34C8574C" w14:textId="77777777" w:rsidTr="006F167E">
        <w:trPr>
          <w:trHeight w:val="288"/>
        </w:trPr>
        <w:tc>
          <w:tcPr>
            <w:tcW w:w="2407" w:type="dxa"/>
          </w:tcPr>
          <w:p w14:paraId="75E0162B"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28</w:t>
            </w:r>
          </w:p>
        </w:tc>
        <w:tc>
          <w:tcPr>
            <w:tcW w:w="2250" w:type="dxa"/>
            <w:shd w:val="clear" w:color="auto" w:fill="auto"/>
            <w:noWrap/>
            <w:vAlign w:val="center"/>
            <w:hideMark/>
          </w:tcPr>
          <w:p w14:paraId="30BF5C1E"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$120.92 - $125.37</w:t>
            </w:r>
          </w:p>
        </w:tc>
        <w:tc>
          <w:tcPr>
            <w:tcW w:w="2070" w:type="dxa"/>
            <w:shd w:val="clear" w:color="auto" w:fill="auto"/>
            <w:noWrap/>
            <w:hideMark/>
          </w:tcPr>
          <w:p w14:paraId="383DC556"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$134.64</w:t>
            </w:r>
          </w:p>
        </w:tc>
      </w:tr>
      <w:tr w:rsidR="008B20A0" w:rsidRPr="008B20A0" w14:paraId="43ADFB3B" w14:textId="77777777" w:rsidTr="006F167E">
        <w:trPr>
          <w:trHeight w:val="288"/>
        </w:trPr>
        <w:tc>
          <w:tcPr>
            <w:tcW w:w="2407" w:type="dxa"/>
          </w:tcPr>
          <w:p w14:paraId="04C9DD66"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29</w:t>
            </w:r>
          </w:p>
        </w:tc>
        <w:tc>
          <w:tcPr>
            <w:tcW w:w="2250" w:type="dxa"/>
            <w:shd w:val="clear" w:color="auto" w:fill="auto"/>
            <w:noWrap/>
            <w:vAlign w:val="center"/>
            <w:hideMark/>
          </w:tcPr>
          <w:p w14:paraId="4F3F3CEA"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$125.38 - $129.83</w:t>
            </w:r>
          </w:p>
        </w:tc>
        <w:tc>
          <w:tcPr>
            <w:tcW w:w="2070" w:type="dxa"/>
            <w:shd w:val="clear" w:color="auto" w:fill="auto"/>
            <w:noWrap/>
            <w:hideMark/>
          </w:tcPr>
          <w:p w14:paraId="4810B2F3"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$139.59</w:t>
            </w:r>
          </w:p>
        </w:tc>
      </w:tr>
      <w:tr w:rsidR="008B20A0" w:rsidRPr="008B20A0" w14:paraId="06D500C5" w14:textId="77777777" w:rsidTr="006F167E">
        <w:trPr>
          <w:trHeight w:val="288"/>
        </w:trPr>
        <w:tc>
          <w:tcPr>
            <w:tcW w:w="2407" w:type="dxa"/>
          </w:tcPr>
          <w:p w14:paraId="048BCFF1"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30</w:t>
            </w:r>
          </w:p>
        </w:tc>
        <w:tc>
          <w:tcPr>
            <w:tcW w:w="2250" w:type="dxa"/>
            <w:shd w:val="clear" w:color="auto" w:fill="auto"/>
            <w:noWrap/>
            <w:vAlign w:val="center"/>
            <w:hideMark/>
          </w:tcPr>
          <w:p w14:paraId="02B50B4C"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$129.84 - $134.29</w:t>
            </w:r>
          </w:p>
        </w:tc>
        <w:tc>
          <w:tcPr>
            <w:tcW w:w="2070" w:type="dxa"/>
            <w:shd w:val="clear" w:color="auto" w:fill="auto"/>
            <w:noWrap/>
            <w:hideMark/>
          </w:tcPr>
          <w:p w14:paraId="767F25AB"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$144.54</w:t>
            </w:r>
          </w:p>
        </w:tc>
      </w:tr>
      <w:tr w:rsidR="008B20A0" w:rsidRPr="008B20A0" w14:paraId="49166A5D" w14:textId="77777777" w:rsidTr="006F167E">
        <w:trPr>
          <w:trHeight w:val="288"/>
        </w:trPr>
        <w:tc>
          <w:tcPr>
            <w:tcW w:w="2407" w:type="dxa"/>
          </w:tcPr>
          <w:p w14:paraId="348B427C"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31</w:t>
            </w:r>
          </w:p>
        </w:tc>
        <w:tc>
          <w:tcPr>
            <w:tcW w:w="2250" w:type="dxa"/>
            <w:shd w:val="clear" w:color="auto" w:fill="auto"/>
            <w:noWrap/>
            <w:vAlign w:val="center"/>
            <w:hideMark/>
          </w:tcPr>
          <w:p w14:paraId="5D825C5F"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$134.30 - $138.75</w:t>
            </w:r>
          </w:p>
        </w:tc>
        <w:tc>
          <w:tcPr>
            <w:tcW w:w="2070" w:type="dxa"/>
            <w:shd w:val="clear" w:color="auto" w:fill="auto"/>
            <w:noWrap/>
            <w:hideMark/>
          </w:tcPr>
          <w:p w14:paraId="6D1E93BB"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$149.49</w:t>
            </w:r>
          </w:p>
        </w:tc>
      </w:tr>
      <w:tr w:rsidR="008B20A0" w:rsidRPr="008B20A0" w14:paraId="60CBBCD7" w14:textId="77777777" w:rsidTr="006F167E">
        <w:trPr>
          <w:trHeight w:val="288"/>
        </w:trPr>
        <w:tc>
          <w:tcPr>
            <w:tcW w:w="2407" w:type="dxa"/>
            <w:tcBorders>
              <w:bottom w:val="single" w:sz="4" w:space="0" w:color="auto"/>
            </w:tcBorders>
          </w:tcPr>
          <w:p w14:paraId="7BFB4E51"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32</w:t>
            </w:r>
          </w:p>
        </w:tc>
        <w:tc>
          <w:tcPr>
            <w:tcW w:w="2250" w:type="dxa"/>
            <w:tcBorders>
              <w:bottom w:val="single" w:sz="4" w:space="0" w:color="auto"/>
            </w:tcBorders>
            <w:shd w:val="clear" w:color="auto" w:fill="auto"/>
            <w:noWrap/>
            <w:vAlign w:val="center"/>
            <w:hideMark/>
          </w:tcPr>
          <w:p w14:paraId="72F88623"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$138.76 - $143.21</w:t>
            </w:r>
          </w:p>
        </w:tc>
        <w:tc>
          <w:tcPr>
            <w:tcW w:w="2070" w:type="dxa"/>
            <w:tcBorders>
              <w:bottom w:val="single" w:sz="4" w:space="0" w:color="auto"/>
            </w:tcBorders>
            <w:shd w:val="clear" w:color="auto" w:fill="auto"/>
            <w:noWrap/>
            <w:hideMark/>
          </w:tcPr>
          <w:p w14:paraId="433EF1B6"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$154.45</w:t>
            </w:r>
          </w:p>
        </w:tc>
      </w:tr>
      <w:tr w:rsidR="008B20A0" w:rsidRPr="008B20A0" w14:paraId="278586F3" w14:textId="77777777" w:rsidTr="006F167E">
        <w:trPr>
          <w:trHeight w:val="288"/>
        </w:trPr>
        <w:tc>
          <w:tcPr>
            <w:tcW w:w="2407" w:type="dxa"/>
            <w:tcBorders>
              <w:bottom w:val="single" w:sz="4" w:space="0" w:color="auto"/>
            </w:tcBorders>
          </w:tcPr>
          <w:p w14:paraId="03186943"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33</w:t>
            </w:r>
          </w:p>
        </w:tc>
        <w:tc>
          <w:tcPr>
            <w:tcW w:w="2250" w:type="dxa"/>
            <w:tcBorders>
              <w:bottom w:val="single" w:sz="4" w:space="0" w:color="auto"/>
            </w:tcBorders>
            <w:shd w:val="clear" w:color="auto" w:fill="auto"/>
            <w:noWrap/>
            <w:vAlign w:val="center"/>
            <w:hideMark/>
          </w:tcPr>
          <w:p w14:paraId="5A8AEB0E" w14:textId="77777777" w:rsidR="008B20A0" w:rsidRPr="008B20A0" w:rsidRDefault="008B20A0" w:rsidP="00520F8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$143.22 +</w:t>
            </w:r>
          </w:p>
        </w:tc>
        <w:tc>
          <w:tcPr>
            <w:tcW w:w="2070" w:type="dxa"/>
            <w:tcBorders>
              <w:bottom w:val="single" w:sz="4" w:space="0" w:color="auto"/>
            </w:tcBorders>
            <w:shd w:val="clear" w:color="auto" w:fill="auto"/>
            <w:noWrap/>
            <w:hideMark/>
          </w:tcPr>
          <w:p w14:paraId="1E686F60" w14:textId="77777777" w:rsidR="008B20A0" w:rsidRPr="008B20A0" w:rsidRDefault="008B20A0" w:rsidP="00520F82">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$160.10</w:t>
            </w:r>
          </w:p>
        </w:tc>
      </w:tr>
    </w:tbl>
    <w:p w14:paraId="13C9F782" w14:textId="77777777" w:rsidR="00AB51B4" w:rsidRPr="008B20A0" w:rsidRDefault="00AB51B4" w:rsidP="003875EB">
      <w:pPr>
        <w:ind w:left="1440"/>
        <w:rPr>
          <w:rFonts w:ascii="Times New Roman" w:hAnsi="Times New Roman" w:cs="Times New Roman"/>
          <w:spacing w:val="-3"/>
          <w:sz w:val="22"/>
          <w:szCs w:val="22"/>
        </w:rPr>
      </w:pPr>
    </w:p>
    <w:p w14:paraId="13707B0A" w14:textId="77777777" w:rsidR="00D24EEA" w:rsidRDefault="00D24EEA">
      <w:pPr>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0E146B70" w14:textId="6AD1F352" w:rsidR="003875EB" w:rsidRPr="008B20A0" w:rsidRDefault="003875EB" w:rsidP="003875EB">
      <w:pPr>
        <w:ind w:left="1440"/>
        <w:rPr>
          <w:rFonts w:ascii="Times New Roman" w:hAnsi="Times New Roman" w:cs="Times New Roman"/>
          <w:spacing w:val="-3"/>
          <w:sz w:val="22"/>
          <w:szCs w:val="22"/>
        </w:rPr>
      </w:pPr>
      <w:r w:rsidRPr="008B20A0">
        <w:rPr>
          <w:rFonts w:ascii="Times New Roman" w:hAnsi="Times New Roman" w:cs="Times New Roman"/>
          <w:spacing w:val="-3"/>
          <w:sz w:val="22"/>
          <w:szCs w:val="22"/>
        </w:rPr>
        <w:lastRenderedPageBreak/>
        <w:t xml:space="preserve">2.  </w:t>
      </w:r>
      <w:r w:rsidRPr="008B20A0">
        <w:rPr>
          <w:rFonts w:ascii="Times New Roman" w:hAnsi="Times New Roman" w:cs="Times New Roman"/>
          <w:spacing w:val="-3"/>
          <w:sz w:val="22"/>
          <w:szCs w:val="22"/>
          <w:u w:val="single"/>
        </w:rPr>
        <w:t>New Program Site or Current Site Replacement Rate</w:t>
      </w:r>
      <w:r w:rsidRPr="008B20A0">
        <w:rPr>
          <w:rFonts w:ascii="Times New Roman" w:hAnsi="Times New Roman" w:cs="Times New Roman"/>
          <w:spacing w:val="-3"/>
          <w:sz w:val="22"/>
          <w:szCs w:val="22"/>
        </w:rPr>
        <w:t xml:space="preserve">.  </w:t>
      </w:r>
    </w:p>
    <w:p w14:paraId="65EAD978" w14:textId="5B8D7A76" w:rsidR="00F17B12"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a.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 xml:space="preserve">A </w:t>
      </w:r>
      <w:r w:rsidR="00D3346A" w:rsidRPr="008B20A0">
        <w:rPr>
          <w:rFonts w:ascii="Times New Roman" w:hAnsi="Times New Roman" w:cs="Times New Roman"/>
          <w:spacing w:val="-3"/>
          <w:sz w:val="22"/>
          <w:szCs w:val="22"/>
        </w:rPr>
        <w:t>s</w:t>
      </w:r>
      <w:r w:rsidRPr="008B20A0">
        <w:rPr>
          <w:rFonts w:ascii="Times New Roman" w:hAnsi="Times New Roman" w:cs="Times New Roman"/>
          <w:spacing w:val="-3"/>
          <w:sz w:val="22"/>
          <w:szCs w:val="22"/>
        </w:rPr>
        <w:t xml:space="preserve">ite </w:t>
      </w:r>
      <w:r w:rsidR="00D3346A"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 xml:space="preserve">ate for a new or replacement residence, based on the particular needs of the individuals proposed for placement at the site, </w:t>
      </w:r>
      <w:r w:rsidR="0099267C" w:rsidRPr="008B20A0">
        <w:rPr>
          <w:rFonts w:ascii="Times New Roman" w:hAnsi="Times New Roman" w:cs="Times New Roman"/>
          <w:spacing w:val="-3"/>
          <w:sz w:val="22"/>
          <w:szCs w:val="22"/>
        </w:rPr>
        <w:t>will</w:t>
      </w:r>
      <w:r w:rsidRPr="008B20A0">
        <w:rPr>
          <w:rFonts w:ascii="Times New Roman" w:hAnsi="Times New Roman" w:cs="Times New Roman"/>
          <w:spacing w:val="-3"/>
          <w:sz w:val="22"/>
          <w:szCs w:val="22"/>
        </w:rPr>
        <w:t xml:space="preserve"> be established using the Application for New Site Occupancy, or other such process as determined by the purchasing governmental unit. The application must include the provider’s best estimates of site-specific costs and must be supported by available documentation. Costs may be subject to reasonable limits as determined by the </w:t>
      </w:r>
      <w:r w:rsidR="0099267C" w:rsidRPr="008B20A0">
        <w:rPr>
          <w:rFonts w:ascii="Times New Roman" w:hAnsi="Times New Roman" w:cs="Times New Roman"/>
          <w:spacing w:val="-3"/>
          <w:sz w:val="22"/>
          <w:szCs w:val="22"/>
        </w:rPr>
        <w:t xml:space="preserve">purchasing governmental unit. </w:t>
      </w:r>
      <w:r w:rsidRPr="008B20A0">
        <w:rPr>
          <w:rFonts w:ascii="Times New Roman" w:hAnsi="Times New Roman" w:cs="Times New Roman"/>
          <w:spacing w:val="-3"/>
          <w:sz w:val="22"/>
          <w:szCs w:val="22"/>
        </w:rPr>
        <w:t>A food allowance of $</w:t>
      </w:r>
      <w:r w:rsidR="00F301BA" w:rsidRPr="008B20A0">
        <w:rPr>
          <w:rFonts w:ascii="Times New Roman" w:hAnsi="Times New Roman" w:cs="Times New Roman"/>
          <w:spacing w:val="-3"/>
          <w:sz w:val="22"/>
          <w:szCs w:val="22"/>
        </w:rPr>
        <w:t>9.15</w:t>
      </w:r>
      <w:r w:rsidRPr="008B20A0">
        <w:rPr>
          <w:rFonts w:ascii="Times New Roman" w:hAnsi="Times New Roman" w:cs="Times New Roman"/>
          <w:spacing w:val="-3"/>
          <w:sz w:val="22"/>
          <w:szCs w:val="22"/>
        </w:rPr>
        <w:t xml:space="preserve"> per resident per day </w:t>
      </w:r>
      <w:r w:rsidR="0099267C" w:rsidRPr="008B20A0">
        <w:rPr>
          <w:rFonts w:ascii="Times New Roman" w:hAnsi="Times New Roman" w:cs="Times New Roman"/>
          <w:spacing w:val="-3"/>
          <w:sz w:val="22"/>
          <w:szCs w:val="22"/>
        </w:rPr>
        <w:t>will</w:t>
      </w:r>
      <w:r w:rsidRPr="008B20A0">
        <w:rPr>
          <w:rFonts w:ascii="Times New Roman" w:hAnsi="Times New Roman" w:cs="Times New Roman"/>
          <w:spacing w:val="-3"/>
          <w:sz w:val="22"/>
          <w:szCs w:val="22"/>
        </w:rPr>
        <w:t xml:space="preserve"> be included as an occupancy expense for each new or replacement residence. The application will be subject to audit and verification </w:t>
      </w:r>
      <w:r w:rsidR="00D263FF" w:rsidRPr="008B20A0">
        <w:rPr>
          <w:rFonts w:ascii="Times New Roman" w:hAnsi="Times New Roman" w:cs="Times New Roman"/>
          <w:spacing w:val="-3"/>
          <w:sz w:val="22"/>
          <w:szCs w:val="22"/>
        </w:rPr>
        <w:t xml:space="preserve">by the purchasing governmental unit </w:t>
      </w:r>
      <w:r w:rsidRPr="008B20A0">
        <w:rPr>
          <w:rFonts w:ascii="Times New Roman" w:hAnsi="Times New Roman" w:cs="Times New Roman"/>
          <w:spacing w:val="-3"/>
          <w:sz w:val="22"/>
          <w:szCs w:val="22"/>
        </w:rPr>
        <w:t xml:space="preserve">to ensure the application data is accurate. The purchasing governmental unit may require the provider to return any excess funding received through this provision. New site occupancy rates </w:t>
      </w:r>
      <w:r w:rsidR="00D10D8D" w:rsidRPr="008B20A0">
        <w:rPr>
          <w:rFonts w:ascii="Times New Roman" w:hAnsi="Times New Roman" w:cs="Times New Roman"/>
          <w:spacing w:val="-3"/>
          <w:sz w:val="22"/>
          <w:szCs w:val="22"/>
        </w:rPr>
        <w:t>established</w:t>
      </w:r>
      <w:r w:rsidRPr="008B20A0">
        <w:rPr>
          <w:rFonts w:ascii="Times New Roman" w:hAnsi="Times New Roman" w:cs="Times New Roman"/>
          <w:spacing w:val="-3"/>
          <w:sz w:val="22"/>
          <w:szCs w:val="22"/>
        </w:rPr>
        <w:t xml:space="preserve"> by the Executive Office of Health and Human Services and the purchasing governmental units during the period of July 1, 2014 through June 30, 202</w:t>
      </w:r>
      <w:r w:rsidR="00792448" w:rsidRPr="008B20A0">
        <w:rPr>
          <w:rFonts w:ascii="Times New Roman" w:hAnsi="Times New Roman" w:cs="Times New Roman"/>
          <w:spacing w:val="-3"/>
          <w:sz w:val="22"/>
          <w:szCs w:val="22"/>
        </w:rPr>
        <w:t>2</w:t>
      </w:r>
      <w:r w:rsidRPr="008B20A0">
        <w:rPr>
          <w:rFonts w:ascii="Times New Roman" w:hAnsi="Times New Roman" w:cs="Times New Roman"/>
          <w:spacing w:val="-3"/>
          <w:sz w:val="22"/>
          <w:szCs w:val="22"/>
        </w:rPr>
        <w:t xml:space="preserve">, will continue at the rates established by the New Site Occupancy process effective during that period, </w:t>
      </w:r>
      <w:r w:rsidR="00EA63F6" w:rsidRPr="008B20A0">
        <w:rPr>
          <w:rFonts w:ascii="Times New Roman" w:hAnsi="Times New Roman" w:cs="Times New Roman"/>
          <w:spacing w:val="-3"/>
          <w:sz w:val="22"/>
          <w:szCs w:val="22"/>
        </w:rPr>
        <w:t>but may be subject to</w:t>
      </w:r>
      <w:r w:rsidRPr="008B20A0">
        <w:rPr>
          <w:rFonts w:ascii="Times New Roman" w:hAnsi="Times New Roman" w:cs="Times New Roman"/>
          <w:spacing w:val="-3"/>
          <w:sz w:val="22"/>
          <w:szCs w:val="22"/>
        </w:rPr>
        <w:t xml:space="preserve"> adjustments for extenuating circumstances as </w:t>
      </w:r>
      <w:r w:rsidR="00EA63F6" w:rsidRPr="008B20A0">
        <w:rPr>
          <w:rFonts w:ascii="Times New Roman" w:hAnsi="Times New Roman" w:cs="Times New Roman"/>
          <w:spacing w:val="-3"/>
          <w:sz w:val="22"/>
          <w:szCs w:val="22"/>
        </w:rPr>
        <w:t>determined</w:t>
      </w:r>
      <w:r w:rsidRPr="008B20A0">
        <w:rPr>
          <w:rFonts w:ascii="Times New Roman" w:hAnsi="Times New Roman" w:cs="Times New Roman"/>
          <w:spacing w:val="-3"/>
          <w:sz w:val="22"/>
          <w:szCs w:val="22"/>
        </w:rPr>
        <w:t xml:space="preserve"> by the purchasing </w:t>
      </w:r>
      <w:r w:rsidR="009B7B9E" w:rsidRPr="008B20A0">
        <w:rPr>
          <w:rFonts w:ascii="Times New Roman" w:hAnsi="Times New Roman" w:cs="Times New Roman"/>
          <w:spacing w:val="-3"/>
          <w:sz w:val="22"/>
          <w:szCs w:val="22"/>
        </w:rPr>
        <w:t>governmental unit</w:t>
      </w:r>
      <w:r w:rsidRPr="008B20A0">
        <w:rPr>
          <w:rFonts w:ascii="Times New Roman" w:hAnsi="Times New Roman" w:cs="Times New Roman"/>
          <w:spacing w:val="-3"/>
          <w:sz w:val="22"/>
          <w:szCs w:val="22"/>
        </w:rPr>
        <w:t>.</w:t>
      </w:r>
    </w:p>
    <w:p w14:paraId="65F6352F" w14:textId="2E542AA2" w:rsidR="002E7082"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The maximum per person</w:t>
      </w:r>
      <w:r w:rsidR="00EB5C8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per month rates for new program sites or replacement sites</w:t>
      </w:r>
      <w:r w:rsidR="00BF06D6"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for each region as defined in 101 CMR 420.03(</w:t>
      </w:r>
      <w:r w:rsidR="008F2D26">
        <w:rPr>
          <w:rFonts w:ascii="Times New Roman" w:hAnsi="Times New Roman" w:cs="Times New Roman"/>
          <w:spacing w:val="-3"/>
          <w:sz w:val="22"/>
          <w:szCs w:val="22"/>
        </w:rPr>
        <w:t>9</w:t>
      </w:r>
      <w:r w:rsidRPr="008B20A0">
        <w:rPr>
          <w:rFonts w:ascii="Times New Roman" w:hAnsi="Times New Roman" w:cs="Times New Roman"/>
          <w:spacing w:val="-3"/>
          <w:sz w:val="22"/>
          <w:szCs w:val="22"/>
        </w:rPr>
        <w:t>) are as follows.</w:t>
      </w:r>
    </w:p>
    <w:p w14:paraId="31633B6B" w14:textId="77777777" w:rsidR="003875EB" w:rsidRPr="008B20A0" w:rsidRDefault="003875EB" w:rsidP="003875EB">
      <w:pPr>
        <w:ind w:left="990"/>
        <w:rPr>
          <w:rFonts w:ascii="Times New Roman" w:hAnsi="Times New Roman" w:cs="Times New Roman"/>
          <w:spacing w:val="-3"/>
          <w:sz w:val="22"/>
          <w:szCs w:val="22"/>
        </w:rPr>
      </w:pPr>
    </w:p>
    <w:tbl>
      <w:tblPr>
        <w:tblW w:w="7627"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890"/>
        <w:gridCol w:w="1809"/>
        <w:gridCol w:w="2241"/>
      </w:tblGrid>
      <w:tr w:rsidR="008B20A0" w:rsidRPr="008B20A0" w14:paraId="41D8AC7E" w14:textId="77777777" w:rsidTr="006F167E">
        <w:trPr>
          <w:trHeight w:val="288"/>
        </w:trPr>
        <w:tc>
          <w:tcPr>
            <w:tcW w:w="1687" w:type="dxa"/>
            <w:shd w:val="clear" w:color="auto" w:fill="auto"/>
            <w:noWrap/>
            <w:vAlign w:val="center"/>
            <w:hideMark/>
          </w:tcPr>
          <w:p w14:paraId="56F266F7" w14:textId="77777777" w:rsidR="000E710F" w:rsidRPr="008B20A0" w:rsidRDefault="000E710F" w:rsidP="00520F82">
            <w:pPr>
              <w:jc w:val="center"/>
              <w:rPr>
                <w:rFonts w:ascii="Times New Roman" w:eastAsia="Times New Roman" w:hAnsi="Times New Roman" w:cs="Times New Roman"/>
                <w:b/>
                <w:bCs/>
                <w:color w:val="000000"/>
                <w:sz w:val="22"/>
                <w:szCs w:val="22"/>
              </w:rPr>
            </w:pPr>
            <w:bookmarkStart w:id="0" w:name="_Hlk160522119"/>
            <w:r w:rsidRPr="008B20A0">
              <w:rPr>
                <w:rFonts w:ascii="Times New Roman" w:eastAsia="Times New Roman" w:hAnsi="Times New Roman" w:cs="Times New Roman"/>
                <w:b/>
                <w:bCs/>
                <w:color w:val="000000"/>
                <w:sz w:val="22"/>
                <w:szCs w:val="22"/>
              </w:rPr>
              <w:t>Region</w:t>
            </w:r>
          </w:p>
        </w:tc>
        <w:tc>
          <w:tcPr>
            <w:tcW w:w="1890" w:type="dxa"/>
          </w:tcPr>
          <w:p w14:paraId="2C64EAF9"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Maximum Allowable Rate Index</w:t>
            </w:r>
          </w:p>
        </w:tc>
        <w:tc>
          <w:tcPr>
            <w:tcW w:w="1809" w:type="dxa"/>
            <w:shd w:val="clear" w:color="auto" w:fill="auto"/>
            <w:noWrap/>
            <w:vAlign w:val="center"/>
            <w:hideMark/>
          </w:tcPr>
          <w:p w14:paraId="369712BF"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Maximum Allowable Monthly Rate</w:t>
            </w:r>
          </w:p>
        </w:tc>
        <w:tc>
          <w:tcPr>
            <w:tcW w:w="2241" w:type="dxa"/>
            <w:shd w:val="clear" w:color="auto" w:fill="auto"/>
            <w:noWrap/>
            <w:vAlign w:val="center"/>
            <w:hideMark/>
          </w:tcPr>
          <w:p w14:paraId="5CB6FD61"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Unit</w:t>
            </w:r>
          </w:p>
        </w:tc>
      </w:tr>
      <w:tr w:rsidR="008B20A0" w:rsidRPr="008B20A0" w14:paraId="39D862BB" w14:textId="77777777" w:rsidTr="006F167E">
        <w:trPr>
          <w:trHeight w:val="276"/>
        </w:trPr>
        <w:tc>
          <w:tcPr>
            <w:tcW w:w="1687" w:type="dxa"/>
            <w:shd w:val="clear" w:color="auto" w:fill="auto"/>
            <w:noWrap/>
            <w:vAlign w:val="center"/>
            <w:hideMark/>
          </w:tcPr>
          <w:p w14:paraId="2FB9A3F1" w14:textId="77777777" w:rsidR="000E710F" w:rsidRPr="008B20A0" w:rsidRDefault="000E710F" w:rsidP="006F167E">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Central/West</w:t>
            </w:r>
          </w:p>
        </w:tc>
        <w:tc>
          <w:tcPr>
            <w:tcW w:w="1890" w:type="dxa"/>
            <w:vAlign w:val="center"/>
          </w:tcPr>
          <w:p w14:paraId="7FD32BFD"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w:t>
            </w:r>
          </w:p>
        </w:tc>
        <w:tc>
          <w:tcPr>
            <w:tcW w:w="1809" w:type="dxa"/>
            <w:shd w:val="clear" w:color="auto" w:fill="auto"/>
            <w:noWrap/>
            <w:vAlign w:val="center"/>
            <w:hideMark/>
          </w:tcPr>
          <w:p w14:paraId="634B8823" w14:textId="3263BDE5" w:rsidR="000E710F" w:rsidRPr="006F167E" w:rsidRDefault="000E710F" w:rsidP="007C69C0">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$2,100</w:t>
            </w:r>
          </w:p>
          <w:p w14:paraId="63B29109" w14:textId="77777777" w:rsidR="000E710F" w:rsidRPr="008B20A0" w:rsidRDefault="000E710F" w:rsidP="007C69C0">
            <w:pPr>
              <w:jc w:val="center"/>
              <w:rPr>
                <w:rFonts w:ascii="Times New Roman" w:eastAsia="Times New Roman" w:hAnsi="Times New Roman" w:cs="Times New Roman"/>
                <w:color w:val="000000"/>
                <w:sz w:val="22"/>
                <w:szCs w:val="22"/>
              </w:rPr>
            </w:pPr>
          </w:p>
        </w:tc>
        <w:tc>
          <w:tcPr>
            <w:tcW w:w="2241" w:type="dxa"/>
            <w:shd w:val="clear" w:color="auto" w:fill="auto"/>
            <w:noWrap/>
            <w:vAlign w:val="center"/>
            <w:hideMark/>
          </w:tcPr>
          <w:p w14:paraId="5472FCCE"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tr w:rsidR="008B20A0" w:rsidRPr="008B20A0" w14:paraId="65738006" w14:textId="77777777" w:rsidTr="006F167E">
        <w:trPr>
          <w:trHeight w:val="276"/>
        </w:trPr>
        <w:tc>
          <w:tcPr>
            <w:tcW w:w="1687" w:type="dxa"/>
            <w:shd w:val="clear" w:color="auto" w:fill="auto"/>
            <w:noWrap/>
            <w:vAlign w:val="center"/>
            <w:hideMark/>
          </w:tcPr>
          <w:p w14:paraId="2FB79AFC" w14:textId="77777777" w:rsidR="000E710F" w:rsidRPr="008B20A0" w:rsidRDefault="000E710F" w:rsidP="006F167E">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Southeast</w:t>
            </w:r>
          </w:p>
        </w:tc>
        <w:tc>
          <w:tcPr>
            <w:tcW w:w="1890" w:type="dxa"/>
            <w:vAlign w:val="center"/>
          </w:tcPr>
          <w:p w14:paraId="31C179CF"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16</w:t>
            </w:r>
          </w:p>
        </w:tc>
        <w:tc>
          <w:tcPr>
            <w:tcW w:w="1809" w:type="dxa"/>
            <w:shd w:val="clear" w:color="auto" w:fill="auto"/>
            <w:noWrap/>
            <w:vAlign w:val="center"/>
            <w:hideMark/>
          </w:tcPr>
          <w:p w14:paraId="666ABFE1" w14:textId="77777777" w:rsidR="000E710F" w:rsidRPr="006F167E" w:rsidRDefault="000E710F" w:rsidP="007C69C0">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$2,282</w:t>
            </w:r>
          </w:p>
          <w:p w14:paraId="28501818" w14:textId="77777777" w:rsidR="000E710F" w:rsidRPr="008B20A0" w:rsidRDefault="000E710F" w:rsidP="007C69C0">
            <w:pPr>
              <w:jc w:val="center"/>
              <w:rPr>
                <w:rFonts w:ascii="Times New Roman" w:eastAsia="Times New Roman" w:hAnsi="Times New Roman" w:cs="Times New Roman"/>
                <w:color w:val="000000"/>
                <w:sz w:val="22"/>
                <w:szCs w:val="22"/>
              </w:rPr>
            </w:pPr>
          </w:p>
        </w:tc>
        <w:tc>
          <w:tcPr>
            <w:tcW w:w="2241" w:type="dxa"/>
            <w:shd w:val="clear" w:color="auto" w:fill="auto"/>
            <w:noWrap/>
            <w:vAlign w:val="center"/>
            <w:hideMark/>
          </w:tcPr>
          <w:p w14:paraId="23B92624"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tr w:rsidR="008B20A0" w:rsidRPr="008B20A0" w14:paraId="2C349352" w14:textId="77777777" w:rsidTr="006F167E">
        <w:trPr>
          <w:trHeight w:val="276"/>
        </w:trPr>
        <w:tc>
          <w:tcPr>
            <w:tcW w:w="1687" w:type="dxa"/>
            <w:shd w:val="clear" w:color="auto" w:fill="auto"/>
            <w:noWrap/>
            <w:vAlign w:val="center"/>
            <w:hideMark/>
          </w:tcPr>
          <w:p w14:paraId="3819229A" w14:textId="77777777" w:rsidR="000E710F" w:rsidRPr="008B20A0" w:rsidRDefault="000E710F" w:rsidP="006F167E">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Northeast</w:t>
            </w:r>
          </w:p>
        </w:tc>
        <w:tc>
          <w:tcPr>
            <w:tcW w:w="1890" w:type="dxa"/>
            <w:vAlign w:val="center"/>
          </w:tcPr>
          <w:p w14:paraId="37514C6E"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16</w:t>
            </w:r>
          </w:p>
        </w:tc>
        <w:tc>
          <w:tcPr>
            <w:tcW w:w="1809" w:type="dxa"/>
            <w:shd w:val="clear" w:color="auto" w:fill="auto"/>
            <w:noWrap/>
            <w:vAlign w:val="center"/>
            <w:hideMark/>
          </w:tcPr>
          <w:p w14:paraId="44EDF3AC" w14:textId="77777777" w:rsidR="000E710F" w:rsidRPr="006F167E" w:rsidRDefault="000E710F" w:rsidP="007C69C0">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$2,282</w:t>
            </w:r>
          </w:p>
          <w:p w14:paraId="77A9F3E9" w14:textId="77777777" w:rsidR="000E710F" w:rsidRPr="008B20A0" w:rsidRDefault="000E710F" w:rsidP="007C69C0">
            <w:pPr>
              <w:jc w:val="center"/>
              <w:rPr>
                <w:rFonts w:ascii="Times New Roman" w:eastAsia="Times New Roman" w:hAnsi="Times New Roman" w:cs="Times New Roman"/>
                <w:color w:val="000000"/>
                <w:sz w:val="22"/>
                <w:szCs w:val="22"/>
              </w:rPr>
            </w:pPr>
          </w:p>
        </w:tc>
        <w:tc>
          <w:tcPr>
            <w:tcW w:w="2241" w:type="dxa"/>
            <w:shd w:val="clear" w:color="auto" w:fill="auto"/>
            <w:noWrap/>
            <w:vAlign w:val="center"/>
            <w:hideMark/>
          </w:tcPr>
          <w:p w14:paraId="4DFF1719"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tr w:rsidR="008B20A0" w:rsidRPr="008B20A0" w14:paraId="7A990DDD" w14:textId="77777777" w:rsidTr="006F167E">
        <w:trPr>
          <w:trHeight w:val="276"/>
        </w:trPr>
        <w:tc>
          <w:tcPr>
            <w:tcW w:w="1687" w:type="dxa"/>
            <w:shd w:val="clear" w:color="auto" w:fill="auto"/>
            <w:noWrap/>
            <w:vAlign w:val="center"/>
            <w:hideMark/>
          </w:tcPr>
          <w:p w14:paraId="20BAFA08" w14:textId="77777777" w:rsidR="000E710F" w:rsidRPr="008B20A0" w:rsidRDefault="000E710F" w:rsidP="006F167E">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Metro Boston</w:t>
            </w:r>
          </w:p>
        </w:tc>
        <w:tc>
          <w:tcPr>
            <w:tcW w:w="1890" w:type="dxa"/>
            <w:vAlign w:val="center"/>
          </w:tcPr>
          <w:p w14:paraId="4016B83C"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17</w:t>
            </w:r>
          </w:p>
        </w:tc>
        <w:tc>
          <w:tcPr>
            <w:tcW w:w="1809" w:type="dxa"/>
            <w:shd w:val="clear" w:color="auto" w:fill="auto"/>
            <w:noWrap/>
            <w:vAlign w:val="center"/>
            <w:hideMark/>
          </w:tcPr>
          <w:p w14:paraId="42A69988" w14:textId="77777777" w:rsidR="000E710F" w:rsidRPr="006F167E" w:rsidRDefault="000E710F" w:rsidP="007C69C0">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$2,442</w:t>
            </w:r>
          </w:p>
          <w:p w14:paraId="0C5CD80B" w14:textId="77777777" w:rsidR="000E710F" w:rsidRPr="008B20A0" w:rsidRDefault="000E710F" w:rsidP="007C69C0">
            <w:pPr>
              <w:jc w:val="center"/>
              <w:rPr>
                <w:rFonts w:ascii="Times New Roman" w:eastAsia="Times New Roman" w:hAnsi="Times New Roman" w:cs="Times New Roman"/>
                <w:color w:val="000000"/>
                <w:sz w:val="22"/>
                <w:szCs w:val="22"/>
              </w:rPr>
            </w:pPr>
          </w:p>
        </w:tc>
        <w:tc>
          <w:tcPr>
            <w:tcW w:w="2241" w:type="dxa"/>
            <w:shd w:val="clear" w:color="auto" w:fill="auto"/>
            <w:noWrap/>
            <w:vAlign w:val="center"/>
            <w:hideMark/>
          </w:tcPr>
          <w:p w14:paraId="60D8C51B"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bookmarkEnd w:id="0"/>
    </w:tbl>
    <w:p w14:paraId="56404811" w14:textId="77777777" w:rsidR="003875EB" w:rsidRPr="008B20A0" w:rsidRDefault="003875EB" w:rsidP="003875EB">
      <w:pPr>
        <w:ind w:left="990"/>
        <w:rPr>
          <w:rFonts w:ascii="Times New Roman" w:hAnsi="Times New Roman" w:cs="Times New Roman"/>
          <w:spacing w:val="-3"/>
          <w:sz w:val="22"/>
          <w:szCs w:val="22"/>
        </w:rPr>
      </w:pPr>
    </w:p>
    <w:p w14:paraId="7B1988C4" w14:textId="0EE3BD3F" w:rsidR="003875EB"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c.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The maximum per person</w:t>
      </w:r>
      <w:r w:rsidR="0021733D">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per month rate for new program or replacement sites that serve individuals with acquired brain injury, or sites that are medically intensive, as determined by the purchasing governmental unit, is</w:t>
      </w:r>
      <w:r w:rsidR="00F17B12"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w:t>
      </w:r>
      <w:r w:rsidR="000E710F" w:rsidRPr="008B20A0">
        <w:rPr>
          <w:rFonts w:ascii="Times New Roman" w:hAnsi="Times New Roman" w:cs="Times New Roman"/>
          <w:spacing w:val="-3"/>
          <w:sz w:val="22"/>
          <w:szCs w:val="22"/>
        </w:rPr>
        <w:t>2,908</w:t>
      </w:r>
      <w:r w:rsidR="003875EB" w:rsidRPr="008B20A0">
        <w:rPr>
          <w:rFonts w:ascii="Times New Roman" w:hAnsi="Times New Roman" w:cs="Times New Roman"/>
          <w:spacing w:val="-3"/>
          <w:sz w:val="22"/>
          <w:szCs w:val="22"/>
        </w:rPr>
        <w:t xml:space="preserve">. </w:t>
      </w:r>
    </w:p>
    <w:p w14:paraId="2A112777" w14:textId="1356315E" w:rsidR="006B7BFD" w:rsidRPr="00B97D19" w:rsidRDefault="000E710F" w:rsidP="000E710F">
      <w:pPr>
        <w:ind w:left="1800"/>
        <w:rPr>
          <w:rFonts w:ascii="Times New Roman" w:hAnsi="Times New Roman" w:cs="Times New Roman"/>
          <w:spacing w:val="-3"/>
          <w:sz w:val="22"/>
          <w:szCs w:val="22"/>
        </w:rPr>
      </w:pPr>
      <w:r w:rsidRPr="00CA35EC">
        <w:rPr>
          <w:spacing w:val="-3"/>
          <w:sz w:val="22"/>
          <w:szCs w:val="22"/>
        </w:rPr>
        <w:t>d.  The maximum per person</w:t>
      </w:r>
      <w:r w:rsidR="00F607A6" w:rsidRPr="00CA35EC">
        <w:rPr>
          <w:spacing w:val="-3"/>
          <w:sz w:val="22"/>
          <w:szCs w:val="22"/>
        </w:rPr>
        <w:t xml:space="preserve"> </w:t>
      </w:r>
      <w:r w:rsidRPr="00CA35EC">
        <w:rPr>
          <w:spacing w:val="-3"/>
          <w:sz w:val="22"/>
          <w:szCs w:val="22"/>
        </w:rPr>
        <w:t>per month rate for new program or replacement sites that serve individuals in sites designated as behavioral</w:t>
      </w:r>
      <w:r w:rsidR="003C7556" w:rsidRPr="00CA35EC">
        <w:rPr>
          <w:spacing w:val="-3"/>
          <w:sz w:val="22"/>
          <w:szCs w:val="22"/>
        </w:rPr>
        <w:t>ly</w:t>
      </w:r>
      <w:r w:rsidR="001F6C28" w:rsidRPr="00CA35EC">
        <w:rPr>
          <w:spacing w:val="-3"/>
          <w:sz w:val="22"/>
          <w:szCs w:val="22"/>
        </w:rPr>
        <w:t xml:space="preserve"> </w:t>
      </w:r>
      <w:r w:rsidRPr="00CA35EC">
        <w:rPr>
          <w:spacing w:val="-3"/>
          <w:sz w:val="22"/>
          <w:szCs w:val="22"/>
        </w:rPr>
        <w:t>intensive, as determined by the purchasing governmental unit, is $2</w:t>
      </w:r>
      <w:r w:rsidR="00967130" w:rsidRPr="00CA35EC">
        <w:rPr>
          <w:spacing w:val="-3"/>
          <w:sz w:val="22"/>
          <w:szCs w:val="22"/>
        </w:rPr>
        <w:t>,</w:t>
      </w:r>
      <w:r w:rsidRPr="00CA35EC">
        <w:rPr>
          <w:spacing w:val="-3"/>
          <w:sz w:val="22"/>
          <w:szCs w:val="22"/>
        </w:rPr>
        <w:t xml:space="preserve">908, that is, </w:t>
      </w:r>
      <w:r w:rsidR="00EB0248" w:rsidRPr="00CA35EC">
        <w:rPr>
          <w:spacing w:val="-3"/>
          <w:sz w:val="22"/>
          <w:szCs w:val="22"/>
        </w:rPr>
        <w:t>r</w:t>
      </w:r>
      <w:r w:rsidRPr="00CA35EC">
        <w:rPr>
          <w:spacing w:val="-3"/>
          <w:sz w:val="22"/>
          <w:szCs w:val="22"/>
        </w:rPr>
        <w:t xml:space="preserve">ate </w:t>
      </w:r>
      <w:r w:rsidR="00EB0248" w:rsidRPr="00CA35EC">
        <w:rPr>
          <w:spacing w:val="-3"/>
          <w:sz w:val="22"/>
          <w:szCs w:val="22"/>
        </w:rPr>
        <w:t>i</w:t>
      </w:r>
      <w:r w:rsidRPr="00CA35EC">
        <w:rPr>
          <w:spacing w:val="-3"/>
          <w:sz w:val="22"/>
          <w:szCs w:val="22"/>
        </w:rPr>
        <w:t>ndex 20.</w:t>
      </w:r>
    </w:p>
    <w:p w14:paraId="0B0E337D" w14:textId="029B9DDC" w:rsidR="00543CCD" w:rsidRPr="008B20A0" w:rsidRDefault="000E710F" w:rsidP="000E710F">
      <w:pPr>
        <w:pStyle w:val="Default"/>
        <w:ind w:left="1800"/>
        <w:rPr>
          <w:sz w:val="22"/>
          <w:szCs w:val="22"/>
        </w:rPr>
      </w:pPr>
      <w:r w:rsidRPr="008B20A0">
        <w:rPr>
          <w:spacing w:val="-3"/>
          <w:sz w:val="22"/>
          <w:szCs w:val="22"/>
        </w:rPr>
        <w:t>e</w:t>
      </w:r>
      <w:r w:rsidR="00FA023B" w:rsidRPr="008B20A0">
        <w:rPr>
          <w:spacing w:val="-3"/>
          <w:sz w:val="22"/>
          <w:szCs w:val="22"/>
        </w:rPr>
        <w:t xml:space="preserve">. </w:t>
      </w:r>
      <w:r w:rsidR="000A759C" w:rsidRPr="008B20A0">
        <w:rPr>
          <w:spacing w:val="-3"/>
          <w:sz w:val="22"/>
          <w:szCs w:val="22"/>
        </w:rPr>
        <w:t xml:space="preserve"> </w:t>
      </w:r>
      <w:r w:rsidR="00FA023B" w:rsidRPr="008B20A0">
        <w:rPr>
          <w:spacing w:val="-3"/>
          <w:sz w:val="22"/>
          <w:szCs w:val="22"/>
        </w:rPr>
        <w:t xml:space="preserve">Exceptions to the maximum allowable rate for new program sites or replacement sites established pursuant to 101 CMR </w:t>
      </w:r>
      <w:r w:rsidR="00FA023B" w:rsidRPr="00E9568D">
        <w:rPr>
          <w:spacing w:val="-3"/>
          <w:sz w:val="22"/>
          <w:szCs w:val="22"/>
        </w:rPr>
        <w:t>420.03(</w:t>
      </w:r>
      <w:r w:rsidR="00FE05C0" w:rsidRPr="00E9568D">
        <w:rPr>
          <w:spacing w:val="-3"/>
          <w:sz w:val="22"/>
          <w:szCs w:val="22"/>
        </w:rPr>
        <w:t>8</w:t>
      </w:r>
      <w:r w:rsidR="00FA023B" w:rsidRPr="00E9568D">
        <w:rPr>
          <w:spacing w:val="-3"/>
          <w:sz w:val="22"/>
          <w:szCs w:val="22"/>
        </w:rPr>
        <w:t>)(</w:t>
      </w:r>
      <w:r w:rsidR="00836CEE" w:rsidRPr="006F167E">
        <w:rPr>
          <w:spacing w:val="-3"/>
          <w:sz w:val="22"/>
          <w:szCs w:val="22"/>
        </w:rPr>
        <w:t>c</w:t>
      </w:r>
      <w:r w:rsidR="00FA023B" w:rsidRPr="00E9568D">
        <w:rPr>
          <w:spacing w:val="-3"/>
          <w:sz w:val="22"/>
          <w:szCs w:val="22"/>
        </w:rPr>
        <w:t>)</w:t>
      </w:r>
      <w:r w:rsidR="00836CEE" w:rsidRPr="006F167E">
        <w:rPr>
          <w:spacing w:val="-3"/>
          <w:sz w:val="22"/>
          <w:szCs w:val="22"/>
        </w:rPr>
        <w:t>2</w:t>
      </w:r>
      <w:r w:rsidR="00FA023B" w:rsidRPr="00E9568D">
        <w:rPr>
          <w:spacing w:val="-3"/>
          <w:sz w:val="22"/>
          <w:szCs w:val="22"/>
        </w:rPr>
        <w:t>.b.</w:t>
      </w:r>
      <w:r w:rsidR="00FA023B" w:rsidRPr="008B20A0">
        <w:rPr>
          <w:spacing w:val="-3"/>
          <w:sz w:val="22"/>
          <w:szCs w:val="22"/>
        </w:rPr>
        <w:t xml:space="preserve"> may be granted by the purchasing governmental unit to new or replacement sites where the site developer has applied to receive Facility Consolidation Funding administered through the Community Economic Development Assistance Corporation. The purchasing governmental unit may issue guidance </w:t>
      </w:r>
      <w:r w:rsidR="006363F4">
        <w:rPr>
          <w:spacing w:val="-3"/>
          <w:sz w:val="22"/>
          <w:szCs w:val="22"/>
        </w:rPr>
        <w:t xml:space="preserve">by bulletin or other written issuance </w:t>
      </w:r>
      <w:r w:rsidR="00FA023B" w:rsidRPr="008B20A0">
        <w:rPr>
          <w:spacing w:val="-3"/>
          <w:sz w:val="22"/>
          <w:szCs w:val="22"/>
        </w:rPr>
        <w:t xml:space="preserve">to clarify its application of exceptions made in accordance with 101 CMR </w:t>
      </w:r>
      <w:r w:rsidR="00FA023B" w:rsidRPr="00E9568D">
        <w:rPr>
          <w:spacing w:val="-3"/>
          <w:sz w:val="22"/>
          <w:szCs w:val="22"/>
        </w:rPr>
        <w:t>420.03(</w:t>
      </w:r>
      <w:r w:rsidR="00FE05C0" w:rsidRPr="00E9568D">
        <w:rPr>
          <w:spacing w:val="-3"/>
          <w:sz w:val="22"/>
          <w:szCs w:val="22"/>
        </w:rPr>
        <w:t>8</w:t>
      </w:r>
      <w:r w:rsidR="00FA023B" w:rsidRPr="00E9568D">
        <w:rPr>
          <w:spacing w:val="-3"/>
          <w:sz w:val="22"/>
          <w:szCs w:val="22"/>
        </w:rPr>
        <w:t>)(</w:t>
      </w:r>
      <w:r w:rsidR="00836CEE" w:rsidRPr="006F167E">
        <w:rPr>
          <w:spacing w:val="-3"/>
          <w:sz w:val="22"/>
          <w:szCs w:val="22"/>
        </w:rPr>
        <w:t>c</w:t>
      </w:r>
      <w:r w:rsidR="00FA023B" w:rsidRPr="00E9568D">
        <w:rPr>
          <w:spacing w:val="-3"/>
          <w:sz w:val="22"/>
          <w:szCs w:val="22"/>
        </w:rPr>
        <w:t>)</w:t>
      </w:r>
      <w:r w:rsidR="00836CEE" w:rsidRPr="006F167E">
        <w:rPr>
          <w:spacing w:val="-3"/>
          <w:sz w:val="22"/>
          <w:szCs w:val="22"/>
        </w:rPr>
        <w:t>2</w:t>
      </w:r>
      <w:r w:rsidR="00FA023B" w:rsidRPr="00E9568D">
        <w:rPr>
          <w:spacing w:val="-3"/>
          <w:sz w:val="22"/>
          <w:szCs w:val="22"/>
        </w:rPr>
        <w:t>.</w:t>
      </w:r>
      <w:r w:rsidR="00836CEE" w:rsidRPr="006F167E">
        <w:rPr>
          <w:spacing w:val="-3"/>
          <w:sz w:val="22"/>
          <w:szCs w:val="22"/>
        </w:rPr>
        <w:t>e</w:t>
      </w:r>
      <w:r w:rsidR="00FA023B" w:rsidRPr="00E9568D">
        <w:rPr>
          <w:spacing w:val="-3"/>
          <w:sz w:val="22"/>
          <w:szCs w:val="22"/>
        </w:rPr>
        <w:t>.</w:t>
      </w:r>
    </w:p>
    <w:p w14:paraId="3AD9F822" w14:textId="77777777" w:rsidR="00543CCD" w:rsidRPr="008B20A0" w:rsidRDefault="00543CCD" w:rsidP="003875EB">
      <w:pPr>
        <w:pStyle w:val="Default"/>
        <w:rPr>
          <w:sz w:val="22"/>
          <w:szCs w:val="22"/>
        </w:rPr>
      </w:pPr>
    </w:p>
    <w:p w14:paraId="01A96740" w14:textId="77777777" w:rsidR="00D24EEA" w:rsidRDefault="00D24EEA">
      <w:pPr>
        <w:rPr>
          <w:rFonts w:ascii="Times New Roman" w:eastAsia="Calibri" w:hAnsi="Times New Roman" w:cs="Times New Roman"/>
          <w:color w:val="000000"/>
          <w:sz w:val="22"/>
          <w:szCs w:val="22"/>
        </w:rPr>
      </w:pPr>
      <w:r>
        <w:rPr>
          <w:sz w:val="22"/>
          <w:szCs w:val="22"/>
        </w:rPr>
        <w:br w:type="page"/>
      </w:r>
    </w:p>
    <w:p w14:paraId="1F23D999" w14:textId="32CD1B9F" w:rsidR="000E710F" w:rsidRPr="008B20A0" w:rsidRDefault="0040290A" w:rsidP="000E710F">
      <w:pPr>
        <w:pStyle w:val="Default"/>
        <w:ind w:left="720"/>
        <w:rPr>
          <w:sz w:val="22"/>
          <w:szCs w:val="22"/>
        </w:rPr>
      </w:pPr>
      <w:r>
        <w:rPr>
          <w:sz w:val="22"/>
          <w:szCs w:val="22"/>
        </w:rPr>
        <w:lastRenderedPageBreak/>
        <w:t>(</w:t>
      </w:r>
      <w:r w:rsidR="000E710F" w:rsidRPr="008B20A0">
        <w:rPr>
          <w:sz w:val="22"/>
          <w:szCs w:val="22"/>
        </w:rPr>
        <w:t xml:space="preserve">9)  </w:t>
      </w:r>
      <w:r w:rsidR="000E710F" w:rsidRPr="008B20A0">
        <w:rPr>
          <w:sz w:val="22"/>
          <w:szCs w:val="22"/>
          <w:u w:val="single"/>
        </w:rPr>
        <w:t>Geographic Regions for New Program or Current Replacement Site Rates</w:t>
      </w:r>
      <w:r w:rsidR="000E710F" w:rsidRPr="008B20A0">
        <w:rPr>
          <w:sz w:val="22"/>
          <w:szCs w:val="22"/>
        </w:rPr>
        <w:t xml:space="preserve">. </w:t>
      </w:r>
    </w:p>
    <w:p w14:paraId="3D5F7994" w14:textId="0DC9CA8F" w:rsidR="000E710F" w:rsidRPr="008B20A0" w:rsidRDefault="000E710F" w:rsidP="000E710F">
      <w:pPr>
        <w:pStyle w:val="Default"/>
        <w:ind w:left="1080"/>
        <w:rPr>
          <w:sz w:val="22"/>
          <w:szCs w:val="22"/>
        </w:rPr>
      </w:pPr>
      <w:r w:rsidRPr="008B20A0">
        <w:rPr>
          <w:sz w:val="22"/>
          <w:szCs w:val="22"/>
        </w:rPr>
        <w:t xml:space="preserve">(a)  </w:t>
      </w:r>
      <w:r w:rsidRPr="008B20A0">
        <w:rPr>
          <w:sz w:val="22"/>
          <w:szCs w:val="22"/>
          <w:u w:val="single"/>
        </w:rPr>
        <w:t>Metro Boston</w:t>
      </w:r>
      <w:r w:rsidRPr="008B20A0">
        <w:rPr>
          <w:sz w:val="22"/>
          <w:szCs w:val="22"/>
        </w:rPr>
        <w:t>:  Ashland, Belmont, Boston, Brookline, Cambridge, Canton, Chelsea, Dedham, Dover, Foxborough, Framingham, Holliston, Hopkinton, Hudson, Marlborough, Medfield, Millis, Natick, Needham, Newton, Norfolk, Northborough, Norwood, Plainville, Revere, Sharon, Sherborn, Somerville, Southborough, Sudbury, Walpole, Waltham, Watertown, Wayland, Wellesley, Westborough, Weston, Westwood, Winthrop, Wrentham</w:t>
      </w:r>
      <w:r w:rsidR="00CC402A">
        <w:rPr>
          <w:sz w:val="22"/>
          <w:szCs w:val="22"/>
        </w:rPr>
        <w:t>.</w:t>
      </w:r>
      <w:r w:rsidRPr="008B20A0" w:rsidDel="007E5C75">
        <w:rPr>
          <w:sz w:val="22"/>
          <w:szCs w:val="22"/>
        </w:rPr>
        <w:t xml:space="preserve"> </w:t>
      </w:r>
    </w:p>
    <w:p w14:paraId="12C8090C" w14:textId="1F6C904D" w:rsidR="000E710F" w:rsidRPr="008B20A0" w:rsidRDefault="000E710F" w:rsidP="000E710F">
      <w:pPr>
        <w:pStyle w:val="Default"/>
        <w:ind w:left="1080"/>
        <w:rPr>
          <w:sz w:val="22"/>
          <w:szCs w:val="22"/>
        </w:rPr>
      </w:pPr>
      <w:r w:rsidRPr="008B20A0">
        <w:rPr>
          <w:sz w:val="22"/>
          <w:szCs w:val="22"/>
        </w:rPr>
        <w:t xml:space="preserve">(b)  </w:t>
      </w:r>
      <w:r w:rsidRPr="008B20A0">
        <w:rPr>
          <w:sz w:val="22"/>
          <w:szCs w:val="22"/>
          <w:u w:val="single"/>
        </w:rPr>
        <w:t>Southeast</w:t>
      </w:r>
      <w:r w:rsidRPr="008B20A0">
        <w:rPr>
          <w:sz w:val="22"/>
          <w:szCs w:val="22"/>
        </w:rPr>
        <w:t>:  Abington, Acushnet, Aquinnah, Attleboro, Avon, Barnstable, Berkley, Bourne, Braintree, Brewster, Bridgewater, Brockton, Carver, Chatham, Chilmark, Cohasset, Dartmouth, Dennis, Dighton, Duxbury, East Bridgewater, Eastham, Easton, Edgartown, Fairhaven, Fall River, Falmouth, Freetown, Gosnold, Halifax, Hanover, Hanson, Harwich, Hingham, Holbrook, Hull, Kingston, Lakeville, Mansfield, Marion, Marshfield, Mashpee, Mattapoisett, Middleborough, Milton, Nantucket, New Bedford, North Attleborough, Norton, Norwell, Oak Bluffs, Orleans, Pembroke, Plymouth, Plympton, Provincetown, Quincy, Randolph, Raynham, Rehoboth, Rochester, Rockland, Sandwich, Scituate, Seekonk, Somerset, Stoughton, Swansea, Taunton, Tisbury, Truro, Wareham, Wellfleet, West Bridgewater, West Tisbury, Westport, Weymouth, Whitman, Yarmouth</w:t>
      </w:r>
      <w:r w:rsidR="001923A1">
        <w:rPr>
          <w:sz w:val="22"/>
          <w:szCs w:val="22"/>
        </w:rPr>
        <w:t>.</w:t>
      </w:r>
      <w:r w:rsidRPr="008B20A0" w:rsidDel="000F4916">
        <w:rPr>
          <w:sz w:val="22"/>
          <w:szCs w:val="22"/>
        </w:rPr>
        <w:t xml:space="preserve"> </w:t>
      </w:r>
    </w:p>
    <w:p w14:paraId="1F0FC284" w14:textId="2FCEC9C8" w:rsidR="000E710F" w:rsidRPr="008B20A0" w:rsidRDefault="000E710F" w:rsidP="000E710F">
      <w:pPr>
        <w:pStyle w:val="Default"/>
        <w:ind w:left="1080"/>
        <w:rPr>
          <w:sz w:val="22"/>
          <w:szCs w:val="22"/>
        </w:rPr>
      </w:pPr>
      <w:r w:rsidRPr="008B20A0">
        <w:rPr>
          <w:sz w:val="22"/>
          <w:szCs w:val="22"/>
        </w:rPr>
        <w:t xml:space="preserve">(c)  </w:t>
      </w:r>
      <w:r w:rsidRPr="008B20A0">
        <w:rPr>
          <w:sz w:val="22"/>
          <w:szCs w:val="22"/>
          <w:u w:val="single"/>
        </w:rPr>
        <w:t>Northeast</w:t>
      </w:r>
      <w:r w:rsidRPr="008B20A0">
        <w:rPr>
          <w:sz w:val="22"/>
          <w:szCs w:val="22"/>
        </w:rPr>
        <w:t>:  Acton, Amesbury, Andover, Arlington, Bedford, Beverly, Billerica, Boxborough, Boxford, Burlington, Carlisle, Chelmsford, Concord, Danvers, Dracut, Dunstable, Essex, Everett, Georgetown, Gloucester, Groveland, Hamilton, Haverhill, Ipswich, Lawrence, Lexington, Lincoln, Littleton, Lowell, Lynn, Lynnfield, Malden, Manchester by the Sea, Marblehead, Maynard, Medford, Melrose, Merrimac, Methuen, Middleton, Nahant, Newbury, Newburyport, North Andover, North Reading, Peabody, Reading, Rockport, Rowley, Salem, Salisbury, Saugus, Stoneham, Stow, Swampscott, Tewksbury, Topsfield, Tyngsborough, Wakefield, Wenham, West Newbury, Westford, Wilmington, Winchester, Woburn</w:t>
      </w:r>
      <w:r w:rsidR="001923A1">
        <w:rPr>
          <w:sz w:val="22"/>
          <w:szCs w:val="22"/>
        </w:rPr>
        <w:t>.</w:t>
      </w:r>
      <w:r w:rsidRPr="008B20A0" w:rsidDel="003F7A9A">
        <w:rPr>
          <w:sz w:val="22"/>
          <w:szCs w:val="22"/>
        </w:rPr>
        <w:t xml:space="preserve"> </w:t>
      </w:r>
    </w:p>
    <w:p w14:paraId="3AA5FB6C" w14:textId="3DCAF9DB" w:rsidR="000E710F" w:rsidRPr="008B20A0" w:rsidRDefault="000E710F" w:rsidP="000E710F">
      <w:pPr>
        <w:pStyle w:val="Default"/>
        <w:ind w:left="1080"/>
        <w:rPr>
          <w:sz w:val="22"/>
          <w:szCs w:val="22"/>
        </w:rPr>
      </w:pPr>
      <w:r w:rsidRPr="008B20A0">
        <w:rPr>
          <w:sz w:val="22"/>
          <w:szCs w:val="22"/>
        </w:rPr>
        <w:t xml:space="preserve">(d)  </w:t>
      </w:r>
      <w:r w:rsidRPr="008B20A0">
        <w:rPr>
          <w:sz w:val="22"/>
          <w:szCs w:val="22"/>
          <w:u w:val="single"/>
        </w:rPr>
        <w:t>Central/West</w:t>
      </w:r>
      <w:r w:rsidRPr="008B20A0">
        <w:rPr>
          <w:sz w:val="22"/>
          <w:szCs w:val="22"/>
        </w:rPr>
        <w:t>:  Adams, Agawam, Alford, Amherst, Ashburnham, Ashby, Ashfield, Athol, Auburn, Ayer, Barre, Becket, Belchertown, Bellingham, Berlin, Bernardston, Blackstone, Blandford, Boylston, Brimfield, Brookfield, Buckland, Charlemont, Charlton, Cheshire, Chester, Chesterfield, Chicopee, Clarksburg, Clinton, Colrain, Conway, Cummington, Dalton, Bolton, Deerfield, Douglas, Dudley, East Brookfield, East Longmeadow, Easthampton, Egremont, Erving, Fitchburg, Florida, Franklin, Gardner, Gill, Goshen, Grafton, Granby, Granville, Great Barrington, Greenfield, Groton, Hadley, Hampden, Hancock, Hardwick, Harvard, Hatfield, Hawley, Heath, Hinsdale, Holden, Holland, Holyoke, Hopedale, Hubbardston, Huntington, Lancaster, Lanesborough, Lee, Leicester, Lenox, Leominster, Leverett, Leyden, Longmeadow, Ludlow, Lunenburg, Medway, Mendon, Middlefield, Milford, Millbury, Millville, Monroe, Monson, Montague, Monterey, Montgomery, Mount Washington, New Ashford, New Braintree, New Marlborough, New Salem, North Adams, North Brookfield, Northampton, Northbridge, Northfield, Oakham, Orange, Otis, Oxford, Palmer, Paxton, Pelham, Pepperell, Peru, Petersham, Phillipston, Pittsfield, Plainfield, Princeton, Richmond, Rowe, Royalston, Russell, Rutland, Sandisfield, Savoy, Sheffield, Shelburne, Shirley, Shrewsbury, Shutesbury, South Hadley, Southampton, Southbridge, Southwick, Spencer, Springfield, Sterling, Stockbridge, Sturbridge, Sunderland, Sutton, Templeton, Tolland, Townsend, Tyringham, Upton, Uxbridge, Wales, Ware, Warren, Warwick, Washington, Webster, Wendell, West Boylston, West Brookfield, West Springfield, West Stockbridge, Westfield, Westhampton, Westminster, Whately, Wilbraham, Williamsburg, Williamstown, Winchendon, Windsor, Worcester, Worthington</w:t>
      </w:r>
      <w:r w:rsidR="006D2A75">
        <w:rPr>
          <w:sz w:val="22"/>
          <w:szCs w:val="22"/>
        </w:rPr>
        <w:t>.</w:t>
      </w:r>
      <w:r w:rsidRPr="008B20A0" w:rsidDel="000C0398">
        <w:rPr>
          <w:sz w:val="22"/>
          <w:szCs w:val="22"/>
        </w:rPr>
        <w:t xml:space="preserve"> </w:t>
      </w:r>
    </w:p>
    <w:p w14:paraId="1A83DC27"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lastRenderedPageBreak/>
        <w:t>420.04:  Filing and Reporting Requirements</w:t>
      </w:r>
    </w:p>
    <w:p w14:paraId="4FA18F05" w14:textId="77777777" w:rsidR="003875EB" w:rsidRPr="008B20A0" w:rsidRDefault="003875EB" w:rsidP="003875EB">
      <w:pPr>
        <w:suppressAutoHyphens/>
        <w:rPr>
          <w:rFonts w:ascii="Times New Roman" w:hAnsi="Times New Roman" w:cs="Times New Roman"/>
          <w:spacing w:val="-3"/>
          <w:sz w:val="22"/>
          <w:szCs w:val="22"/>
        </w:rPr>
      </w:pPr>
    </w:p>
    <w:p w14:paraId="03F89E44"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(1)  </w:t>
      </w:r>
      <w:r w:rsidRPr="008B20A0">
        <w:rPr>
          <w:rFonts w:ascii="Times New Roman" w:hAnsi="Times New Roman" w:cs="Times New Roman"/>
          <w:spacing w:val="-3"/>
          <w:sz w:val="22"/>
          <w:szCs w:val="22"/>
          <w:u w:val="single"/>
        </w:rPr>
        <w:t>General Provisions</w:t>
      </w:r>
      <w:r w:rsidRPr="008B20A0">
        <w:rPr>
          <w:rFonts w:ascii="Times New Roman" w:hAnsi="Times New Roman" w:cs="Times New Roman"/>
          <w:spacing w:val="-3"/>
          <w:sz w:val="22"/>
          <w:szCs w:val="22"/>
        </w:rPr>
        <w:t>.</w:t>
      </w:r>
    </w:p>
    <w:p w14:paraId="73DC5C4F" w14:textId="1CD38E15"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(a)  </w:t>
      </w:r>
      <w:r w:rsidRPr="008B20A0">
        <w:rPr>
          <w:rFonts w:ascii="Times New Roman" w:hAnsi="Times New Roman" w:cs="Times New Roman"/>
          <w:spacing w:val="-3"/>
          <w:sz w:val="22"/>
          <w:szCs w:val="22"/>
          <w:u w:val="single"/>
        </w:rPr>
        <w:t>Accurate Data</w:t>
      </w:r>
      <w:r w:rsidRPr="008B20A0">
        <w:rPr>
          <w:rFonts w:ascii="Times New Roman" w:hAnsi="Times New Roman" w:cs="Times New Roman"/>
          <w:spacing w:val="-3"/>
          <w:sz w:val="22"/>
          <w:szCs w:val="22"/>
        </w:rPr>
        <w:t xml:space="preserve">.  All reports, schedules, additional information, books, and records that are filed or made available to EOHHS must be certified under pains and penalties of perjury as true, correct, and accurate by the </w:t>
      </w:r>
      <w:r w:rsidR="00E840A9" w:rsidRPr="008B20A0">
        <w:rPr>
          <w:rFonts w:ascii="Times New Roman" w:hAnsi="Times New Roman" w:cs="Times New Roman"/>
          <w:spacing w:val="-3"/>
          <w:sz w:val="22"/>
          <w:szCs w:val="22"/>
        </w:rPr>
        <w:t>e</w:t>
      </w:r>
      <w:r w:rsidRPr="008B20A0">
        <w:rPr>
          <w:rFonts w:ascii="Times New Roman" w:hAnsi="Times New Roman" w:cs="Times New Roman"/>
          <w:spacing w:val="-3"/>
          <w:sz w:val="22"/>
          <w:szCs w:val="22"/>
        </w:rPr>
        <w:t xml:space="preserve">xecutive </w:t>
      </w:r>
      <w:r w:rsidR="00E840A9" w:rsidRPr="008B20A0">
        <w:rPr>
          <w:rFonts w:ascii="Times New Roman" w:hAnsi="Times New Roman" w:cs="Times New Roman"/>
          <w:spacing w:val="-3"/>
          <w:sz w:val="22"/>
          <w:szCs w:val="22"/>
        </w:rPr>
        <w:t>d</w:t>
      </w:r>
      <w:r w:rsidRPr="008B20A0">
        <w:rPr>
          <w:rFonts w:ascii="Times New Roman" w:hAnsi="Times New Roman" w:cs="Times New Roman"/>
          <w:spacing w:val="-3"/>
          <w:sz w:val="22"/>
          <w:szCs w:val="22"/>
        </w:rPr>
        <w:t xml:space="preserve">irector or </w:t>
      </w:r>
      <w:r w:rsidR="00E840A9"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hief </w:t>
      </w:r>
      <w:r w:rsidR="00E840A9" w:rsidRPr="008B20A0">
        <w:rPr>
          <w:rFonts w:ascii="Times New Roman" w:hAnsi="Times New Roman" w:cs="Times New Roman"/>
          <w:spacing w:val="-3"/>
          <w:sz w:val="22"/>
          <w:szCs w:val="22"/>
        </w:rPr>
        <w:t>f</w:t>
      </w:r>
      <w:r w:rsidRPr="008B20A0">
        <w:rPr>
          <w:rFonts w:ascii="Times New Roman" w:hAnsi="Times New Roman" w:cs="Times New Roman"/>
          <w:spacing w:val="-3"/>
          <w:sz w:val="22"/>
          <w:szCs w:val="22"/>
        </w:rPr>
        <w:t xml:space="preserve">inancial </w:t>
      </w:r>
      <w:r w:rsidR="00E840A9" w:rsidRPr="008B20A0">
        <w:rPr>
          <w:rFonts w:ascii="Times New Roman" w:hAnsi="Times New Roman" w:cs="Times New Roman"/>
          <w:spacing w:val="-3"/>
          <w:sz w:val="22"/>
          <w:szCs w:val="22"/>
        </w:rPr>
        <w:t>o</w:t>
      </w:r>
      <w:r w:rsidRPr="008B20A0">
        <w:rPr>
          <w:rFonts w:ascii="Times New Roman" w:hAnsi="Times New Roman" w:cs="Times New Roman"/>
          <w:spacing w:val="-3"/>
          <w:sz w:val="22"/>
          <w:szCs w:val="22"/>
        </w:rPr>
        <w:t xml:space="preserve">fficer of the provider. </w:t>
      </w:r>
    </w:p>
    <w:p w14:paraId="67CE3915" w14:textId="77777777"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(b)  </w:t>
      </w:r>
      <w:r w:rsidRPr="008B20A0">
        <w:rPr>
          <w:rFonts w:ascii="Times New Roman" w:hAnsi="Times New Roman" w:cs="Times New Roman"/>
          <w:spacing w:val="-3"/>
          <w:sz w:val="22"/>
          <w:szCs w:val="22"/>
          <w:u w:val="single"/>
        </w:rPr>
        <w:t>Examination of Records</w:t>
      </w:r>
      <w:r w:rsidRPr="008B20A0">
        <w:rPr>
          <w:rFonts w:ascii="Times New Roman" w:hAnsi="Times New Roman" w:cs="Times New Roman"/>
          <w:spacing w:val="-3"/>
          <w:sz w:val="22"/>
          <w:szCs w:val="22"/>
        </w:rPr>
        <w:t xml:space="preserve">.  Each provider must make available to EOHHS or purchasing governmental unit upon request all records relating to its reported costs, including costs of any entity related by common ownership or control.  </w:t>
      </w:r>
    </w:p>
    <w:p w14:paraId="5088A6F8" w14:textId="77777777" w:rsidR="009C63E4" w:rsidRDefault="009C63E4" w:rsidP="006F167E">
      <w:pPr>
        <w:suppressAutoHyphens/>
        <w:rPr>
          <w:rFonts w:ascii="Times New Roman" w:hAnsi="Times New Roman" w:cs="Times New Roman"/>
          <w:spacing w:val="-3"/>
          <w:sz w:val="22"/>
          <w:szCs w:val="22"/>
        </w:rPr>
      </w:pPr>
    </w:p>
    <w:p w14:paraId="1D7C6F92" w14:textId="4D7BC42E"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(2)  </w:t>
      </w:r>
      <w:r w:rsidRPr="008B20A0">
        <w:rPr>
          <w:rFonts w:ascii="Times New Roman" w:hAnsi="Times New Roman" w:cs="Times New Roman"/>
          <w:spacing w:val="-3"/>
          <w:sz w:val="22"/>
          <w:szCs w:val="22"/>
          <w:u w:val="single"/>
        </w:rPr>
        <w:t>Required Reports</w:t>
      </w:r>
      <w:r w:rsidRPr="008B20A0">
        <w:rPr>
          <w:rFonts w:ascii="Times New Roman" w:hAnsi="Times New Roman" w:cs="Times New Roman"/>
          <w:spacing w:val="-3"/>
          <w:sz w:val="22"/>
          <w:szCs w:val="22"/>
        </w:rPr>
        <w:t>.  Each provider must file</w:t>
      </w:r>
    </w:p>
    <w:p w14:paraId="49D0F7B3" w14:textId="6C539158"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(a)  an annual UFR completed in accordance with the filing requirements of 808 CMR 1.00:  </w:t>
      </w:r>
      <w:r w:rsidRPr="008B20A0">
        <w:rPr>
          <w:rFonts w:ascii="Times New Roman" w:hAnsi="Times New Roman" w:cs="Times New Roman"/>
          <w:i/>
          <w:spacing w:val="-3"/>
          <w:sz w:val="22"/>
          <w:szCs w:val="22"/>
        </w:rPr>
        <w:t xml:space="preserve">Compliance, </w:t>
      </w:r>
      <w:r w:rsidR="004551BF">
        <w:rPr>
          <w:rFonts w:ascii="Times New Roman" w:hAnsi="Times New Roman" w:cs="Times New Roman"/>
          <w:i/>
          <w:spacing w:val="-3"/>
          <w:sz w:val="22"/>
          <w:szCs w:val="22"/>
        </w:rPr>
        <w:t>Reporting</w:t>
      </w:r>
      <w:r w:rsidR="004551BF" w:rsidRPr="008B20A0">
        <w:rPr>
          <w:rFonts w:ascii="Times New Roman" w:hAnsi="Times New Roman" w:cs="Times New Roman"/>
          <w:i/>
          <w:spacing w:val="-3"/>
          <w:sz w:val="22"/>
          <w:szCs w:val="22"/>
        </w:rPr>
        <w:t xml:space="preserve"> </w:t>
      </w:r>
      <w:r w:rsidRPr="008B20A0">
        <w:rPr>
          <w:rFonts w:ascii="Times New Roman" w:hAnsi="Times New Roman" w:cs="Times New Roman"/>
          <w:i/>
          <w:spacing w:val="-3"/>
          <w:sz w:val="22"/>
          <w:szCs w:val="22"/>
        </w:rPr>
        <w:t>and Auditing for Human and Social Services</w:t>
      </w:r>
      <w:r w:rsidRPr="008B20A0">
        <w:rPr>
          <w:rFonts w:ascii="Times New Roman" w:hAnsi="Times New Roman" w:cs="Times New Roman"/>
          <w:spacing w:val="-3"/>
          <w:sz w:val="22"/>
          <w:szCs w:val="22"/>
        </w:rPr>
        <w:t xml:space="preserve">; </w:t>
      </w:r>
    </w:p>
    <w:p w14:paraId="70BB68B0" w14:textId="41B1DA44"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any </w:t>
      </w:r>
      <w:r w:rsidR="00D3346A"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ost </w:t>
      </w:r>
      <w:r w:rsidR="00D3346A"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eport supplemental schedule as issued by EOHHS; and</w:t>
      </w:r>
    </w:p>
    <w:p w14:paraId="60AC1FE5" w14:textId="77777777"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(c)  any additional information requested by EOHHS within 21 days of a written request. </w:t>
      </w:r>
    </w:p>
    <w:p w14:paraId="46508D0D" w14:textId="77777777" w:rsidR="003875EB" w:rsidRPr="008B20A0" w:rsidRDefault="003875EB" w:rsidP="003875EB">
      <w:pPr>
        <w:suppressAutoHyphens/>
        <w:ind w:left="720"/>
        <w:rPr>
          <w:rFonts w:ascii="Times New Roman" w:hAnsi="Times New Roman" w:cs="Times New Roman"/>
          <w:spacing w:val="-3"/>
          <w:sz w:val="22"/>
          <w:szCs w:val="22"/>
        </w:rPr>
      </w:pPr>
    </w:p>
    <w:p w14:paraId="1B40050A" w14:textId="2F8460E8" w:rsidR="003875EB" w:rsidRPr="008B20A0" w:rsidRDefault="003875EB" w:rsidP="003875EB">
      <w:pPr>
        <w:suppressAutoHyphens/>
        <w:ind w:left="720"/>
        <w:rPr>
          <w:rFonts w:ascii="Times New Roman" w:hAnsi="Times New Roman" w:cs="Times New Roman"/>
          <w:i/>
          <w:iCs/>
          <w:spacing w:val="-3"/>
          <w:sz w:val="22"/>
          <w:szCs w:val="22"/>
        </w:rPr>
      </w:pPr>
      <w:r w:rsidRPr="008B20A0">
        <w:rPr>
          <w:rFonts w:ascii="Times New Roman" w:hAnsi="Times New Roman" w:cs="Times New Roman"/>
          <w:spacing w:val="-3"/>
          <w:sz w:val="22"/>
          <w:szCs w:val="22"/>
        </w:rPr>
        <w:t>(3)  </w:t>
      </w:r>
      <w:r w:rsidRPr="008B20A0">
        <w:rPr>
          <w:rFonts w:ascii="Times New Roman" w:hAnsi="Times New Roman" w:cs="Times New Roman"/>
          <w:spacing w:val="-3"/>
          <w:sz w:val="22"/>
          <w:szCs w:val="22"/>
          <w:u w:val="single"/>
        </w:rPr>
        <w:t>Penalty for Noncompliance</w:t>
      </w:r>
      <w:r w:rsidRPr="008B20A0">
        <w:rPr>
          <w:rFonts w:ascii="Times New Roman" w:hAnsi="Times New Roman" w:cs="Times New Roman"/>
          <w:spacing w:val="-3"/>
          <w:sz w:val="22"/>
          <w:szCs w:val="22"/>
        </w:rPr>
        <w:t xml:space="preserve">.  The purchasing governmental unit may </w:t>
      </w:r>
      <w:r w:rsidR="00D3346A" w:rsidRPr="008B20A0">
        <w:rPr>
          <w:rFonts w:ascii="Times New Roman" w:hAnsi="Times New Roman" w:cs="Times New Roman"/>
          <w:spacing w:val="-3"/>
          <w:sz w:val="22"/>
          <w:szCs w:val="22"/>
        </w:rPr>
        <w:t>impose a penalty in the amount of up to</w:t>
      </w:r>
      <w:r w:rsidRPr="008B20A0">
        <w:rPr>
          <w:rFonts w:ascii="Times New Roman" w:hAnsi="Times New Roman" w:cs="Times New Roman"/>
          <w:spacing w:val="-3"/>
          <w:sz w:val="22"/>
          <w:szCs w:val="22"/>
        </w:rPr>
        <w:t xml:space="preserve"> 15% </w:t>
      </w:r>
      <w:r w:rsidR="00D3346A" w:rsidRPr="008B20A0">
        <w:rPr>
          <w:rFonts w:ascii="Times New Roman" w:hAnsi="Times New Roman" w:cs="Times New Roman"/>
          <w:spacing w:val="-3"/>
          <w:sz w:val="22"/>
          <w:szCs w:val="22"/>
        </w:rPr>
        <w:t>of its payments to</w:t>
      </w:r>
      <w:r w:rsidRPr="008B20A0">
        <w:rPr>
          <w:rFonts w:ascii="Times New Roman" w:hAnsi="Times New Roman" w:cs="Times New Roman"/>
          <w:spacing w:val="-3"/>
          <w:sz w:val="22"/>
          <w:szCs w:val="22"/>
        </w:rPr>
        <w:t xml:space="preserve"> any provider that fails to submit required information. The purchasing governmental unit will notify the provider in advance of its intention to impose a </w:t>
      </w:r>
      <w:r w:rsidR="00D3346A" w:rsidRPr="008B20A0">
        <w:rPr>
          <w:rFonts w:ascii="Times New Roman" w:hAnsi="Times New Roman" w:cs="Times New Roman"/>
          <w:spacing w:val="-3"/>
          <w:sz w:val="22"/>
          <w:szCs w:val="22"/>
        </w:rPr>
        <w:t>penalty under 101 CMR 420.04(3)</w:t>
      </w:r>
      <w:r w:rsidRPr="008B20A0">
        <w:rPr>
          <w:rFonts w:ascii="Times New Roman" w:hAnsi="Times New Roman" w:cs="Times New Roman"/>
          <w:spacing w:val="-3"/>
          <w:sz w:val="22"/>
          <w:szCs w:val="22"/>
        </w:rPr>
        <w:t xml:space="preserve">. </w:t>
      </w:r>
    </w:p>
    <w:p w14:paraId="0AFFBD6A" w14:textId="77777777" w:rsidR="00E840A9" w:rsidRPr="008B20A0" w:rsidRDefault="00E840A9" w:rsidP="003875EB">
      <w:pPr>
        <w:suppressAutoHyphens/>
        <w:rPr>
          <w:rFonts w:ascii="Times New Roman" w:hAnsi="Times New Roman" w:cs="Times New Roman"/>
          <w:spacing w:val="-3"/>
          <w:sz w:val="22"/>
          <w:szCs w:val="22"/>
          <w:u w:val="single"/>
        </w:rPr>
      </w:pPr>
    </w:p>
    <w:p w14:paraId="27EB5B57" w14:textId="495304E6" w:rsidR="00EC321B" w:rsidRDefault="003875EB" w:rsidP="00EC321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420.05:  Severability</w:t>
      </w:r>
    </w:p>
    <w:p w14:paraId="100A2BAA" w14:textId="77777777" w:rsidR="00EC321B" w:rsidRDefault="00EC321B" w:rsidP="00EC321B">
      <w:pPr>
        <w:suppressAutoHyphens/>
        <w:rPr>
          <w:rFonts w:ascii="Times New Roman" w:hAnsi="Times New Roman" w:cs="Times New Roman"/>
          <w:spacing w:val="-3"/>
          <w:sz w:val="22"/>
          <w:szCs w:val="22"/>
        </w:rPr>
      </w:pPr>
    </w:p>
    <w:p w14:paraId="6D6FFCAE" w14:textId="1E1FE4C6" w:rsidR="003875EB" w:rsidRPr="008B20A0" w:rsidRDefault="00B97D19" w:rsidP="006F167E">
      <w:pPr>
        <w:tabs>
          <w:tab w:val="left" w:pos="36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3875EB" w:rsidRPr="008B20A0">
        <w:rPr>
          <w:rFonts w:ascii="Times New Roman" w:hAnsi="Times New Roman" w:cs="Times New Roman"/>
          <w:spacing w:val="-3"/>
          <w:sz w:val="22"/>
          <w:szCs w:val="22"/>
        </w:rPr>
        <w:t xml:space="preserve">The provisions of 101 CMR 420.00 are severable. If any provision of 101 CMR 420.00 or application of </w:t>
      </w:r>
      <w:r w:rsidR="009D3387">
        <w:rPr>
          <w:rFonts w:ascii="Times New Roman" w:hAnsi="Times New Roman" w:cs="Times New Roman"/>
          <w:spacing w:val="-3"/>
          <w:sz w:val="22"/>
          <w:szCs w:val="22"/>
        </w:rPr>
        <w:t>any</w:t>
      </w:r>
      <w:r w:rsidR="009D3387"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provision to an </w:t>
      </w:r>
      <w:r w:rsidR="00300730">
        <w:rPr>
          <w:rFonts w:ascii="Times New Roman" w:hAnsi="Times New Roman" w:cs="Times New Roman"/>
          <w:spacing w:val="-3"/>
          <w:sz w:val="22"/>
          <w:szCs w:val="22"/>
        </w:rPr>
        <w:t>applicable individual, entity, or circumstance</w:t>
      </w:r>
      <w:r w:rsidR="003875EB" w:rsidRPr="008B20A0">
        <w:rPr>
          <w:rFonts w:ascii="Times New Roman" w:hAnsi="Times New Roman" w:cs="Times New Roman"/>
          <w:spacing w:val="-3"/>
          <w:sz w:val="22"/>
          <w:szCs w:val="22"/>
        </w:rPr>
        <w:t xml:space="preserve"> is held invalid or unconstitutional, </w:t>
      </w:r>
      <w:r w:rsidR="00A17339">
        <w:rPr>
          <w:rFonts w:ascii="Times New Roman" w:hAnsi="Times New Roman" w:cs="Times New Roman"/>
          <w:spacing w:val="-3"/>
          <w:sz w:val="22"/>
          <w:szCs w:val="22"/>
        </w:rPr>
        <w:t>that holding</w:t>
      </w:r>
      <w:r w:rsidR="003875EB" w:rsidRPr="008B20A0">
        <w:rPr>
          <w:rFonts w:ascii="Times New Roman" w:hAnsi="Times New Roman" w:cs="Times New Roman"/>
          <w:spacing w:val="-3"/>
          <w:sz w:val="22"/>
          <w:szCs w:val="22"/>
        </w:rPr>
        <w:t xml:space="preserve"> will not</w:t>
      </w:r>
      <w:r w:rsidR="00A17339">
        <w:rPr>
          <w:rFonts w:ascii="Times New Roman" w:hAnsi="Times New Roman" w:cs="Times New Roman"/>
          <w:spacing w:val="-3"/>
          <w:sz w:val="22"/>
          <w:szCs w:val="22"/>
        </w:rPr>
        <w:t xml:space="preserve"> be construed to</w:t>
      </w:r>
      <w:r w:rsidR="003875EB" w:rsidRPr="008B20A0">
        <w:rPr>
          <w:rFonts w:ascii="Times New Roman" w:hAnsi="Times New Roman" w:cs="Times New Roman"/>
          <w:spacing w:val="-3"/>
          <w:sz w:val="22"/>
          <w:szCs w:val="22"/>
        </w:rPr>
        <w:t xml:space="preserve"> affect the validity or constitutionality of any remaining provisions of 101 CMR 420.00 or application of </w:t>
      </w:r>
      <w:r w:rsidR="00A17339">
        <w:rPr>
          <w:rFonts w:ascii="Times New Roman" w:hAnsi="Times New Roman" w:cs="Times New Roman"/>
          <w:spacing w:val="-3"/>
          <w:sz w:val="22"/>
          <w:szCs w:val="22"/>
        </w:rPr>
        <w:t>those</w:t>
      </w:r>
      <w:r w:rsidR="00A17339"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provisions to </w:t>
      </w:r>
      <w:r w:rsidR="0040290A">
        <w:rPr>
          <w:rFonts w:ascii="Times New Roman" w:hAnsi="Times New Roman" w:cs="Times New Roman"/>
          <w:spacing w:val="-3"/>
          <w:sz w:val="22"/>
          <w:szCs w:val="22"/>
        </w:rPr>
        <w:t>applicable individuals, entities, or circumstances</w:t>
      </w:r>
      <w:r w:rsidR="003875EB" w:rsidRPr="008B20A0">
        <w:rPr>
          <w:rFonts w:ascii="Times New Roman" w:hAnsi="Times New Roman" w:cs="Times New Roman"/>
          <w:spacing w:val="-3"/>
          <w:sz w:val="22"/>
          <w:szCs w:val="22"/>
        </w:rPr>
        <w:t>.</w:t>
      </w:r>
    </w:p>
    <w:p w14:paraId="7C3D7F44" w14:textId="77777777" w:rsidR="003875EB" w:rsidRPr="008B20A0" w:rsidRDefault="003875EB" w:rsidP="003875EB">
      <w:pPr>
        <w:suppressAutoHyphens/>
        <w:rPr>
          <w:rFonts w:ascii="Times New Roman" w:hAnsi="Times New Roman" w:cs="Times New Roman"/>
          <w:spacing w:val="-3"/>
          <w:sz w:val="22"/>
          <w:szCs w:val="22"/>
        </w:rPr>
      </w:pPr>
    </w:p>
    <w:p w14:paraId="5E484ECF" w14:textId="77777777" w:rsidR="003875EB" w:rsidRPr="008B20A0" w:rsidRDefault="003875EB" w:rsidP="003875EB">
      <w:pPr>
        <w:suppressAutoHyphens/>
        <w:rPr>
          <w:rFonts w:ascii="Times New Roman" w:hAnsi="Times New Roman" w:cs="Times New Roman"/>
          <w:spacing w:val="-3"/>
          <w:sz w:val="22"/>
          <w:szCs w:val="22"/>
        </w:rPr>
      </w:pPr>
    </w:p>
    <w:p w14:paraId="170445D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REGULATORY AUTHORITY</w:t>
      </w:r>
    </w:p>
    <w:p w14:paraId="19F77557" w14:textId="77777777" w:rsidR="003875EB" w:rsidRPr="008B20A0" w:rsidRDefault="003875EB" w:rsidP="003875EB">
      <w:pPr>
        <w:suppressAutoHyphens/>
        <w:rPr>
          <w:rFonts w:ascii="Times New Roman" w:hAnsi="Times New Roman" w:cs="Times New Roman"/>
          <w:spacing w:val="-3"/>
          <w:sz w:val="22"/>
          <w:szCs w:val="22"/>
        </w:rPr>
      </w:pPr>
    </w:p>
    <w:p w14:paraId="24B64238" w14:textId="1870CA1C" w:rsidR="00F113EB" w:rsidRPr="008B20A0" w:rsidRDefault="003875EB" w:rsidP="00DB56A6">
      <w:pPr>
        <w:suppressAutoHyphens/>
        <w:ind w:left="720"/>
        <w:rPr>
          <w:rFonts w:ascii="Times New Roman" w:hAnsi="Times New Roman" w:cs="Times New Roman"/>
          <w:sz w:val="22"/>
          <w:szCs w:val="22"/>
        </w:rPr>
      </w:pPr>
      <w:r w:rsidRPr="008B20A0">
        <w:rPr>
          <w:rFonts w:ascii="Times New Roman" w:hAnsi="Times New Roman" w:cs="Times New Roman"/>
          <w:spacing w:val="-3"/>
          <w:sz w:val="22"/>
          <w:szCs w:val="22"/>
        </w:rPr>
        <w:t>101 CMR 420.00:  M.G.L. c. 118E.</w:t>
      </w:r>
    </w:p>
    <w:sectPr w:rsidR="00F113EB" w:rsidRPr="008B20A0" w:rsidSect="00442A7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47DD4" w14:textId="77777777" w:rsidR="000700DC" w:rsidRDefault="000700DC" w:rsidP="006171EF">
      <w:r>
        <w:separator/>
      </w:r>
    </w:p>
  </w:endnote>
  <w:endnote w:type="continuationSeparator" w:id="0">
    <w:p w14:paraId="5E643CB7" w14:textId="77777777" w:rsidR="000700DC" w:rsidRDefault="000700DC" w:rsidP="00516A16">
      <w:r>
        <w:continuationSeparator/>
      </w:r>
    </w:p>
  </w:endnote>
  <w:endnote w:type="continuationNotice" w:id="1">
    <w:p w14:paraId="543A642B" w14:textId="77777777" w:rsidR="000700DC" w:rsidRDefault="00070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D364" w14:textId="77777777" w:rsidR="00527AFF" w:rsidRDefault="00527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7749" w14:textId="77777777" w:rsidR="005D2C99" w:rsidRDefault="005D2C99">
    <w:pPr>
      <w:spacing w:before="140" w:line="100" w:lineRule="exact"/>
      <w:rPr>
        <w:sz w:val="10"/>
        <w:szCs w:val="10"/>
      </w:rPr>
    </w:pPr>
  </w:p>
  <w:p w14:paraId="16271432" w14:textId="77777777" w:rsidR="005D2C99" w:rsidRDefault="005D2C99">
    <w:pPr>
      <w:suppressAutoHyphens/>
      <w:jc w:val="both"/>
    </w:pPr>
  </w:p>
  <w:p w14:paraId="743E927C" w14:textId="3B629FAA" w:rsidR="005D2C99" w:rsidRDefault="005D2C99">
    <w:r>
      <w:rPr>
        <w:noProof/>
      </w:rPr>
      <mc:AlternateContent>
        <mc:Choice Requires="wps">
          <w:drawing>
            <wp:anchor distT="0" distB="0" distL="114300" distR="114300" simplePos="0" relativeHeight="251657728" behindDoc="0" locked="0" layoutInCell="0" allowOverlap="1" wp14:anchorId="034125BE" wp14:editId="7551A48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223D04" w14:textId="77777777" w:rsidR="005D2C99" w:rsidRPr="000B48C8" w:rsidRDefault="005D2C99">
                          <w:pPr>
                            <w:tabs>
                              <w:tab w:val="center" w:pos="4680"/>
                              <w:tab w:val="right" w:pos="9360"/>
                            </w:tabs>
                            <w:rPr>
                              <w:rFonts w:ascii="Times New Roman" w:hAnsi="Times New Roman"/>
                              <w:spacing w:val="-3"/>
                              <w:sz w:val="22"/>
                            </w:rPr>
                          </w:pPr>
                          <w:r>
                            <w:tab/>
                          </w:r>
                          <w:r w:rsidRPr="000B48C8">
                            <w:rPr>
                              <w:rFonts w:ascii="Times New Roman" w:hAnsi="Times New Roman"/>
                              <w:spacing w:val="-3"/>
                              <w:sz w:val="22"/>
                            </w:rPr>
                            <w:fldChar w:fldCharType="begin"/>
                          </w:r>
                          <w:r w:rsidRPr="0065116F">
                            <w:rPr>
                              <w:rFonts w:ascii="Times New Roman" w:hAnsi="Times New Roman" w:cs="Times New Roman"/>
                              <w:spacing w:val="-3"/>
                              <w:sz w:val="22"/>
                              <w:szCs w:val="22"/>
                            </w:rPr>
                            <w:instrText>page \* arabic</w:instrText>
                          </w:r>
                          <w:r w:rsidRPr="000B48C8">
                            <w:rPr>
                              <w:rFonts w:ascii="Times New Roman" w:hAnsi="Times New Roman"/>
                              <w:spacing w:val="-3"/>
                              <w:sz w:val="22"/>
                            </w:rPr>
                            <w:fldChar w:fldCharType="separate"/>
                          </w:r>
                          <w:r w:rsidR="00FC7081">
                            <w:rPr>
                              <w:rFonts w:ascii="Times New Roman" w:hAnsi="Times New Roman" w:cs="Times New Roman"/>
                              <w:noProof/>
                              <w:spacing w:val="-3"/>
                              <w:sz w:val="22"/>
                              <w:szCs w:val="22"/>
                            </w:rPr>
                            <w:t>1</w:t>
                          </w:r>
                          <w:r w:rsidRPr="000B48C8">
                            <w:rPr>
                              <w:rFonts w:ascii="Times New Roman" w:hAnsi="Times New Roman"/>
                              <w:spacing w:val="-3"/>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125B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8223D04" w14:textId="77777777" w:rsidR="005D2C99" w:rsidRPr="000B48C8" w:rsidRDefault="005D2C99">
                    <w:pPr>
                      <w:tabs>
                        <w:tab w:val="center" w:pos="4680"/>
                        <w:tab w:val="right" w:pos="9360"/>
                      </w:tabs>
                      <w:rPr>
                        <w:rFonts w:ascii="Times New Roman" w:hAnsi="Times New Roman"/>
                        <w:spacing w:val="-3"/>
                        <w:sz w:val="22"/>
                      </w:rPr>
                    </w:pPr>
                    <w:r>
                      <w:tab/>
                    </w:r>
                    <w:r w:rsidRPr="000B48C8">
                      <w:rPr>
                        <w:rFonts w:ascii="Times New Roman" w:hAnsi="Times New Roman"/>
                        <w:spacing w:val="-3"/>
                        <w:sz w:val="22"/>
                      </w:rPr>
                      <w:fldChar w:fldCharType="begin"/>
                    </w:r>
                    <w:r w:rsidRPr="0065116F">
                      <w:rPr>
                        <w:rFonts w:ascii="Times New Roman" w:hAnsi="Times New Roman" w:cs="Times New Roman"/>
                        <w:spacing w:val="-3"/>
                        <w:sz w:val="22"/>
                        <w:szCs w:val="22"/>
                      </w:rPr>
                      <w:instrText>page \* arabic</w:instrText>
                    </w:r>
                    <w:r w:rsidRPr="000B48C8">
                      <w:rPr>
                        <w:rFonts w:ascii="Times New Roman" w:hAnsi="Times New Roman"/>
                        <w:spacing w:val="-3"/>
                        <w:sz w:val="22"/>
                      </w:rPr>
                      <w:fldChar w:fldCharType="separate"/>
                    </w:r>
                    <w:r w:rsidR="00FC7081">
                      <w:rPr>
                        <w:rFonts w:ascii="Times New Roman" w:hAnsi="Times New Roman" w:cs="Times New Roman"/>
                        <w:noProof/>
                        <w:spacing w:val="-3"/>
                        <w:sz w:val="22"/>
                        <w:szCs w:val="22"/>
                      </w:rPr>
                      <w:t>1</w:t>
                    </w:r>
                    <w:r w:rsidRPr="000B48C8">
                      <w:rPr>
                        <w:rFonts w:ascii="Times New Roman" w:hAnsi="Times New Roman"/>
                        <w:spacing w:val="-3"/>
                        <w:sz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33B5" w14:textId="77777777" w:rsidR="00527AFF" w:rsidRDefault="0052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ADCCA" w14:textId="77777777" w:rsidR="000700DC" w:rsidRDefault="000700DC" w:rsidP="00516A16">
      <w:r>
        <w:separator/>
      </w:r>
    </w:p>
  </w:footnote>
  <w:footnote w:type="continuationSeparator" w:id="0">
    <w:p w14:paraId="473F67DC" w14:textId="77777777" w:rsidR="000700DC" w:rsidRDefault="000700DC" w:rsidP="00516A16">
      <w:r>
        <w:continuationSeparator/>
      </w:r>
    </w:p>
  </w:footnote>
  <w:footnote w:type="continuationNotice" w:id="1">
    <w:p w14:paraId="5F4A9630" w14:textId="77777777" w:rsidR="000700DC" w:rsidRDefault="00070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269CC" w14:textId="77777777" w:rsidR="00527AFF" w:rsidRDefault="00527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D401D" w14:textId="30648324" w:rsidR="005D2C99" w:rsidRDefault="00AD3F61" w:rsidP="00F113EB">
    <w:pPr>
      <w:pStyle w:val="Header"/>
      <w:jc w:val="right"/>
      <w:rPr>
        <w:rFonts w:ascii="Times New Roman" w:hAnsi="Times New Roman" w:cs="Times New Roman"/>
        <w:lang w:eastAsia="ko-KR"/>
      </w:rPr>
    </w:pPr>
    <w:r>
      <w:rPr>
        <w:rFonts w:ascii="Times New Roman" w:hAnsi="Times New Roman" w:cs="Times New Roman"/>
        <w:lang w:eastAsia="ko-KR"/>
      </w:rPr>
      <w:t xml:space="preserve">Final </w:t>
    </w:r>
    <w:r w:rsidR="005C3FD9">
      <w:rPr>
        <w:rFonts w:ascii="Times New Roman" w:hAnsi="Times New Roman" w:cs="Times New Roman"/>
        <w:lang w:eastAsia="ko-KR"/>
      </w:rPr>
      <w:t>Adoption</w:t>
    </w:r>
  </w:p>
  <w:p w14:paraId="0E26FCA0" w14:textId="4898417E" w:rsidR="00460B69" w:rsidRDefault="00460B69" w:rsidP="00F113EB">
    <w:pPr>
      <w:pStyle w:val="Header"/>
      <w:jc w:val="right"/>
      <w:rPr>
        <w:rFonts w:ascii="Times New Roman" w:hAnsi="Times New Roman" w:cs="Times New Roman"/>
        <w:lang w:eastAsia="ko-KR"/>
      </w:rPr>
    </w:pPr>
    <w:r>
      <w:rPr>
        <w:rFonts w:ascii="Times New Roman" w:hAnsi="Times New Roman" w:cs="Times New Roman"/>
        <w:lang w:eastAsia="ko-KR"/>
      </w:rPr>
      <w:t xml:space="preserve">Date </w:t>
    </w:r>
    <w:r w:rsidR="005C3FD9">
      <w:rPr>
        <w:rFonts w:ascii="Times New Roman" w:hAnsi="Times New Roman" w:cs="Times New Roman"/>
        <w:lang w:eastAsia="ko-KR"/>
      </w:rPr>
      <w:t xml:space="preserve">Published in Mass. </w:t>
    </w:r>
    <w:r w:rsidR="00AA49DE">
      <w:rPr>
        <w:rFonts w:ascii="Times New Roman" w:hAnsi="Times New Roman" w:cs="Times New Roman"/>
        <w:lang w:eastAsia="ko-KR"/>
      </w:rPr>
      <w:t>R</w:t>
    </w:r>
    <w:r w:rsidR="005C3FD9">
      <w:rPr>
        <w:rFonts w:ascii="Times New Roman" w:hAnsi="Times New Roman" w:cs="Times New Roman"/>
        <w:lang w:eastAsia="ko-KR"/>
      </w:rPr>
      <w:t>egister</w:t>
    </w:r>
    <w:r>
      <w:rPr>
        <w:rFonts w:ascii="Times New Roman" w:hAnsi="Times New Roman" w:cs="Times New Roman"/>
        <w:lang w:eastAsia="ko-KR"/>
      </w:rPr>
      <w:t xml:space="preserve">: </w:t>
    </w:r>
    <w:r w:rsidR="00527AFF">
      <w:rPr>
        <w:rFonts w:ascii="Times New Roman" w:hAnsi="Times New Roman" w:cs="Times New Roman"/>
        <w:lang w:eastAsia="ko-KR"/>
      </w:rPr>
      <w:t xml:space="preserve"> October 25, 2024</w:t>
    </w:r>
  </w:p>
  <w:p w14:paraId="13A8E1F8" w14:textId="77777777" w:rsidR="005D2C99" w:rsidRPr="00FC1A8D" w:rsidRDefault="005D2C99" w:rsidP="00F113EB">
    <w:pPr>
      <w:pStyle w:val="Header"/>
      <w:jc w:val="right"/>
      <w:rPr>
        <w:rFonts w:ascii="Times New Roman" w:hAnsi="Times New Roman"/>
        <w:sz w:val="22"/>
      </w:rPr>
    </w:pPr>
  </w:p>
  <w:p w14:paraId="50F1A416" w14:textId="77777777" w:rsidR="005D2C99" w:rsidRPr="00FC1A8D" w:rsidRDefault="005D2C99" w:rsidP="00F113EB">
    <w:pPr>
      <w:pStyle w:val="Header"/>
      <w:jc w:val="center"/>
      <w:rPr>
        <w:rFonts w:ascii="Times New Roman" w:hAnsi="Times New Roman"/>
        <w:sz w:val="22"/>
      </w:rPr>
    </w:pPr>
    <w:r w:rsidRPr="00FC1A8D">
      <w:rPr>
        <w:rFonts w:ascii="Times New Roman" w:hAnsi="Times New Roman"/>
        <w:sz w:val="22"/>
      </w:rPr>
      <w:t>101 CMR:  EXECUTIVE OFFICE OF HEALTH AND HUMAN SERVICES</w:t>
    </w:r>
  </w:p>
  <w:p w14:paraId="6130B449" w14:textId="77777777" w:rsidR="005D2C99" w:rsidRPr="00FC1A8D" w:rsidRDefault="005D2C99" w:rsidP="00F113EB">
    <w:pPr>
      <w:pStyle w:val="Header"/>
      <w:jc w:val="right"/>
      <w:rPr>
        <w:rFonts w:ascii="Times New Roman" w:hAnsi="Times New Roman"/>
        <w:sz w:val="22"/>
      </w:rPr>
    </w:pPr>
  </w:p>
  <w:p w14:paraId="24813B9F" w14:textId="77777777" w:rsidR="005D2C99" w:rsidRPr="00CA1522" w:rsidRDefault="005D2C99" w:rsidP="00F113EB">
    <w:pPr>
      <w:pStyle w:val="Header"/>
      <w:jc w:val="center"/>
      <w:rPr>
        <w:rFonts w:ascii="Times New Roman" w:hAnsi="Times New Roman" w:cs="Times New Roman"/>
        <w:sz w:val="22"/>
        <w:szCs w:val="22"/>
      </w:rPr>
    </w:pPr>
    <w:r w:rsidRPr="00CA1522">
      <w:rPr>
        <w:rFonts w:ascii="Times New Roman" w:hAnsi="Times New Roman" w:cs="Times New Roman"/>
        <w:sz w:val="22"/>
        <w:szCs w:val="22"/>
      </w:rPr>
      <w:t>101 CMR 420.00:  RATES FOR ADULT LONG-TERM RESIDENTIAL SERVICES</w:t>
    </w:r>
  </w:p>
  <w:p w14:paraId="0CD91A35" w14:textId="77777777" w:rsidR="005D2C99" w:rsidRPr="00DA6F00" w:rsidRDefault="005D2C99" w:rsidP="00F113E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33A5F" w14:textId="77777777" w:rsidR="00527AFF" w:rsidRDefault="00527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BD0"/>
    <w:multiLevelType w:val="hybridMultilevel"/>
    <w:tmpl w:val="D6E49852"/>
    <w:lvl w:ilvl="0" w:tplc="B2D2C62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52A5CBA"/>
    <w:multiLevelType w:val="hybridMultilevel"/>
    <w:tmpl w:val="7D42E258"/>
    <w:lvl w:ilvl="0" w:tplc="3CCAA25E">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766CB"/>
    <w:multiLevelType w:val="hybridMultilevel"/>
    <w:tmpl w:val="B11E74EC"/>
    <w:lvl w:ilvl="0" w:tplc="475CE7B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6"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161C6"/>
    <w:multiLevelType w:val="hybridMultilevel"/>
    <w:tmpl w:val="1EEA557C"/>
    <w:lvl w:ilvl="0" w:tplc="B01A519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E905BB"/>
    <w:multiLevelType w:val="hybridMultilevel"/>
    <w:tmpl w:val="CA409218"/>
    <w:lvl w:ilvl="0" w:tplc="52EEEC16">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351A7095"/>
    <w:multiLevelType w:val="hybridMultilevel"/>
    <w:tmpl w:val="17E2B524"/>
    <w:lvl w:ilvl="0" w:tplc="3A2ADDD6">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3B36575A"/>
    <w:multiLevelType w:val="hybridMultilevel"/>
    <w:tmpl w:val="78F005D4"/>
    <w:lvl w:ilvl="0" w:tplc="CAB61ED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3C0F419F"/>
    <w:multiLevelType w:val="hybridMultilevel"/>
    <w:tmpl w:val="BEBEFBEE"/>
    <w:lvl w:ilvl="0" w:tplc="66A07472">
      <w:start w:val="1"/>
      <w:numFmt w:val="lowerRoman"/>
      <w:lvlText w:val="(%1)"/>
      <w:lvlJc w:val="left"/>
      <w:pPr>
        <w:ind w:left="2415" w:hanging="975"/>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15:restartNumberingAfterBreak="0">
    <w:nsid w:val="453E18B3"/>
    <w:multiLevelType w:val="hybridMultilevel"/>
    <w:tmpl w:val="8D9E89E8"/>
    <w:lvl w:ilvl="0" w:tplc="1B620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B36995"/>
    <w:multiLevelType w:val="hybridMultilevel"/>
    <w:tmpl w:val="3178339A"/>
    <w:lvl w:ilvl="0" w:tplc="0D04CA8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609162DD"/>
    <w:multiLevelType w:val="hybridMultilevel"/>
    <w:tmpl w:val="BD784852"/>
    <w:lvl w:ilvl="0" w:tplc="F050DD06">
      <w:start w:val="1"/>
      <w:numFmt w:val="upperRoman"/>
      <w:lvlText w:val="%1."/>
      <w:lvlJc w:val="left"/>
      <w:pPr>
        <w:ind w:left="780" w:hanging="72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5" w15:restartNumberingAfterBreak="0">
    <w:nsid w:val="609753DF"/>
    <w:multiLevelType w:val="hybridMultilevel"/>
    <w:tmpl w:val="AA3C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15F9F"/>
    <w:multiLevelType w:val="multilevel"/>
    <w:tmpl w:val="04090023"/>
    <w:lvl w:ilvl="0">
      <w:start w:val="1"/>
      <w:numFmt w:val="upperRoman"/>
      <w:pStyle w:val="Heading1"/>
      <w:lvlText w:val="Article %1."/>
      <w:lvlJc w:val="left"/>
      <w:pPr>
        <w:ind w:left="720"/>
      </w:pPr>
      <w:rPr>
        <w:rFonts w:cs="Times New Roman"/>
      </w:rPr>
    </w:lvl>
    <w:lvl w:ilvl="1">
      <w:start w:val="1"/>
      <w:numFmt w:val="decimalZero"/>
      <w:pStyle w:val="Heading2"/>
      <w:isLgl/>
      <w:lvlText w:val="Section %1.%2"/>
      <w:lvlJc w:val="left"/>
      <w:pPr>
        <w:ind w:left="720"/>
      </w:pPr>
      <w:rPr>
        <w:rFonts w:cs="Times New Roman"/>
      </w:rPr>
    </w:lvl>
    <w:lvl w:ilvl="2">
      <w:start w:val="1"/>
      <w:numFmt w:val="lowerLetter"/>
      <w:pStyle w:val="Heading3"/>
      <w:lvlText w:val="(%3)"/>
      <w:lvlJc w:val="left"/>
      <w:pPr>
        <w:ind w:left="1440" w:hanging="432"/>
      </w:pPr>
      <w:rPr>
        <w:rFonts w:cs="Times New Roman"/>
      </w:rPr>
    </w:lvl>
    <w:lvl w:ilvl="3">
      <w:start w:val="1"/>
      <w:numFmt w:val="lowerRoman"/>
      <w:pStyle w:val="Heading4"/>
      <w:lvlText w:val="(%4)"/>
      <w:lvlJc w:val="right"/>
      <w:pPr>
        <w:ind w:left="1584" w:hanging="144"/>
      </w:pPr>
      <w:rPr>
        <w:rFonts w:cs="Times New Roman"/>
      </w:rPr>
    </w:lvl>
    <w:lvl w:ilvl="4">
      <w:start w:val="1"/>
      <w:numFmt w:val="decimal"/>
      <w:pStyle w:val="Heading5"/>
      <w:lvlText w:val="%5)"/>
      <w:lvlJc w:val="left"/>
      <w:pPr>
        <w:ind w:left="1728" w:hanging="432"/>
      </w:pPr>
      <w:rPr>
        <w:rFonts w:cs="Times New Roman"/>
      </w:rPr>
    </w:lvl>
    <w:lvl w:ilvl="5">
      <w:start w:val="1"/>
      <w:numFmt w:val="lowerLetter"/>
      <w:pStyle w:val="Heading6"/>
      <w:lvlText w:val="%6)"/>
      <w:lvlJc w:val="left"/>
      <w:pPr>
        <w:ind w:left="1872" w:hanging="432"/>
      </w:pPr>
      <w:rPr>
        <w:rFonts w:cs="Times New Roman"/>
      </w:rPr>
    </w:lvl>
    <w:lvl w:ilvl="6">
      <w:start w:val="1"/>
      <w:numFmt w:val="lowerRoman"/>
      <w:pStyle w:val="Heading7"/>
      <w:lvlText w:val="%7)"/>
      <w:lvlJc w:val="right"/>
      <w:pPr>
        <w:ind w:left="2016" w:hanging="288"/>
      </w:pPr>
      <w:rPr>
        <w:rFonts w:cs="Times New Roman"/>
      </w:rPr>
    </w:lvl>
    <w:lvl w:ilvl="7">
      <w:start w:val="1"/>
      <w:numFmt w:val="lowerLetter"/>
      <w:pStyle w:val="Heading8"/>
      <w:lvlText w:val="%8."/>
      <w:lvlJc w:val="left"/>
      <w:pPr>
        <w:ind w:left="2160" w:hanging="432"/>
      </w:pPr>
      <w:rPr>
        <w:rFonts w:cs="Times New Roman"/>
      </w:rPr>
    </w:lvl>
    <w:lvl w:ilvl="8">
      <w:start w:val="1"/>
      <w:numFmt w:val="lowerRoman"/>
      <w:pStyle w:val="Heading9"/>
      <w:lvlText w:val="%9."/>
      <w:lvlJc w:val="right"/>
      <w:pPr>
        <w:ind w:left="2304" w:hanging="144"/>
      </w:pPr>
      <w:rPr>
        <w:rFonts w:cs="Times New Roman"/>
      </w:rPr>
    </w:lvl>
  </w:abstractNum>
  <w:abstractNum w:abstractNumId="17" w15:restartNumberingAfterBreak="0">
    <w:nsid w:val="65D56873"/>
    <w:multiLevelType w:val="hybridMultilevel"/>
    <w:tmpl w:val="72FCAC3C"/>
    <w:lvl w:ilvl="0" w:tplc="3A0C6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15:restartNumberingAfterBreak="0">
    <w:nsid w:val="6FE61617"/>
    <w:multiLevelType w:val="hybridMultilevel"/>
    <w:tmpl w:val="2C4826D0"/>
    <w:lvl w:ilvl="0" w:tplc="EC5E955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abstractNum w:abstractNumId="24" w15:restartNumberingAfterBreak="0">
    <w:nsid w:val="7A33447E"/>
    <w:multiLevelType w:val="hybridMultilevel"/>
    <w:tmpl w:val="F282177A"/>
    <w:lvl w:ilvl="0" w:tplc="CEE6D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925520"/>
    <w:multiLevelType w:val="hybridMultilevel"/>
    <w:tmpl w:val="50C86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459392">
    <w:abstractNumId w:val="5"/>
  </w:num>
  <w:num w:numId="2" w16cid:durableId="793862162">
    <w:abstractNumId w:val="23"/>
  </w:num>
  <w:num w:numId="3" w16cid:durableId="1439788152">
    <w:abstractNumId w:val="20"/>
  </w:num>
  <w:num w:numId="4" w16cid:durableId="368189077">
    <w:abstractNumId w:val="4"/>
  </w:num>
  <w:num w:numId="5" w16cid:durableId="438185742">
    <w:abstractNumId w:val="19"/>
  </w:num>
  <w:num w:numId="6" w16cid:durableId="680476198">
    <w:abstractNumId w:val="18"/>
  </w:num>
  <w:num w:numId="7" w16cid:durableId="6336025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767217">
    <w:abstractNumId w:val="6"/>
  </w:num>
  <w:num w:numId="9" w16cid:durableId="410737001">
    <w:abstractNumId w:val="22"/>
  </w:num>
  <w:num w:numId="10" w16cid:durableId="1429814191">
    <w:abstractNumId w:val="2"/>
  </w:num>
  <w:num w:numId="11" w16cid:durableId="1541241474">
    <w:abstractNumId w:val="10"/>
  </w:num>
  <w:num w:numId="12" w16cid:durableId="1386684104">
    <w:abstractNumId w:val="14"/>
  </w:num>
  <w:num w:numId="13" w16cid:durableId="1417097590">
    <w:abstractNumId w:val="21"/>
  </w:num>
  <w:num w:numId="14" w16cid:durableId="1092508275">
    <w:abstractNumId w:val="13"/>
  </w:num>
  <w:num w:numId="15" w16cid:durableId="1936748205">
    <w:abstractNumId w:val="8"/>
  </w:num>
  <w:num w:numId="16" w16cid:durableId="707992439">
    <w:abstractNumId w:val="16"/>
  </w:num>
  <w:num w:numId="17" w16cid:durableId="1569265205">
    <w:abstractNumId w:val="7"/>
  </w:num>
  <w:num w:numId="18" w16cid:durableId="1852835235">
    <w:abstractNumId w:val="11"/>
  </w:num>
  <w:num w:numId="19" w16cid:durableId="894464058">
    <w:abstractNumId w:val="12"/>
  </w:num>
  <w:num w:numId="20" w16cid:durableId="745421323">
    <w:abstractNumId w:val="24"/>
  </w:num>
  <w:num w:numId="21" w16cid:durableId="1975983687">
    <w:abstractNumId w:val="17"/>
  </w:num>
  <w:num w:numId="22" w16cid:durableId="207499501">
    <w:abstractNumId w:val="9"/>
  </w:num>
  <w:num w:numId="23" w16cid:durableId="1562909648">
    <w:abstractNumId w:val="25"/>
  </w:num>
  <w:num w:numId="24" w16cid:durableId="1898319380">
    <w:abstractNumId w:val="1"/>
  </w:num>
  <w:num w:numId="25" w16cid:durableId="644702392">
    <w:abstractNumId w:val="0"/>
  </w:num>
  <w:num w:numId="26" w16cid:durableId="450707732">
    <w:abstractNumId w:val="15"/>
  </w:num>
  <w:num w:numId="27" w16cid:durableId="13438180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EB"/>
    <w:rsid w:val="0000238C"/>
    <w:rsid w:val="0001005D"/>
    <w:rsid w:val="00012FEC"/>
    <w:rsid w:val="00015E3E"/>
    <w:rsid w:val="00015ED2"/>
    <w:rsid w:val="00023E23"/>
    <w:rsid w:val="00025141"/>
    <w:rsid w:val="00026A57"/>
    <w:rsid w:val="00027E31"/>
    <w:rsid w:val="0003012B"/>
    <w:rsid w:val="0003101C"/>
    <w:rsid w:val="000343E2"/>
    <w:rsid w:val="00035250"/>
    <w:rsid w:val="00035C7D"/>
    <w:rsid w:val="0003607B"/>
    <w:rsid w:val="000372DE"/>
    <w:rsid w:val="00037954"/>
    <w:rsid w:val="000411F2"/>
    <w:rsid w:val="000416AB"/>
    <w:rsid w:val="00041C6F"/>
    <w:rsid w:val="00044A3E"/>
    <w:rsid w:val="00044B94"/>
    <w:rsid w:val="00047DAE"/>
    <w:rsid w:val="00055C9A"/>
    <w:rsid w:val="00056870"/>
    <w:rsid w:val="00057527"/>
    <w:rsid w:val="000600E0"/>
    <w:rsid w:val="00065823"/>
    <w:rsid w:val="000674B3"/>
    <w:rsid w:val="0006793C"/>
    <w:rsid w:val="00067E86"/>
    <w:rsid w:val="000700DC"/>
    <w:rsid w:val="000711EF"/>
    <w:rsid w:val="000727E9"/>
    <w:rsid w:val="00073DEC"/>
    <w:rsid w:val="00073E07"/>
    <w:rsid w:val="00074565"/>
    <w:rsid w:val="000746FF"/>
    <w:rsid w:val="00074B67"/>
    <w:rsid w:val="00074FD2"/>
    <w:rsid w:val="00077841"/>
    <w:rsid w:val="000824AE"/>
    <w:rsid w:val="00084079"/>
    <w:rsid w:val="00090661"/>
    <w:rsid w:val="000921AB"/>
    <w:rsid w:val="00092279"/>
    <w:rsid w:val="0009399F"/>
    <w:rsid w:val="000941CD"/>
    <w:rsid w:val="00094919"/>
    <w:rsid w:val="00095FB3"/>
    <w:rsid w:val="0009660D"/>
    <w:rsid w:val="0009703F"/>
    <w:rsid w:val="000A1923"/>
    <w:rsid w:val="000A19B8"/>
    <w:rsid w:val="000A22A4"/>
    <w:rsid w:val="000A2E46"/>
    <w:rsid w:val="000A3C62"/>
    <w:rsid w:val="000A4492"/>
    <w:rsid w:val="000A4BFE"/>
    <w:rsid w:val="000A4EDA"/>
    <w:rsid w:val="000A52CA"/>
    <w:rsid w:val="000A5867"/>
    <w:rsid w:val="000A5AB4"/>
    <w:rsid w:val="000A759C"/>
    <w:rsid w:val="000B097C"/>
    <w:rsid w:val="000B1EB1"/>
    <w:rsid w:val="000B48C8"/>
    <w:rsid w:val="000B5BA1"/>
    <w:rsid w:val="000B6317"/>
    <w:rsid w:val="000B66F5"/>
    <w:rsid w:val="000C0AB6"/>
    <w:rsid w:val="000C34EC"/>
    <w:rsid w:val="000C3690"/>
    <w:rsid w:val="000C6F0E"/>
    <w:rsid w:val="000D30B3"/>
    <w:rsid w:val="000D3D53"/>
    <w:rsid w:val="000E3B94"/>
    <w:rsid w:val="000E4285"/>
    <w:rsid w:val="000E4427"/>
    <w:rsid w:val="000E62A3"/>
    <w:rsid w:val="000E67CA"/>
    <w:rsid w:val="000E710F"/>
    <w:rsid w:val="000F097E"/>
    <w:rsid w:val="000F215C"/>
    <w:rsid w:val="000F5165"/>
    <w:rsid w:val="000F55F4"/>
    <w:rsid w:val="000F72CF"/>
    <w:rsid w:val="001018E5"/>
    <w:rsid w:val="00101F3A"/>
    <w:rsid w:val="001026A4"/>
    <w:rsid w:val="00103129"/>
    <w:rsid w:val="0010472F"/>
    <w:rsid w:val="001065D4"/>
    <w:rsid w:val="00110D0C"/>
    <w:rsid w:val="00110F62"/>
    <w:rsid w:val="00111441"/>
    <w:rsid w:val="0011165A"/>
    <w:rsid w:val="00111D5C"/>
    <w:rsid w:val="00113E38"/>
    <w:rsid w:val="00115F5B"/>
    <w:rsid w:val="001251C6"/>
    <w:rsid w:val="00132BE9"/>
    <w:rsid w:val="001358CB"/>
    <w:rsid w:val="00137D7D"/>
    <w:rsid w:val="00140DD5"/>
    <w:rsid w:val="00142E3D"/>
    <w:rsid w:val="00143B66"/>
    <w:rsid w:val="0014426E"/>
    <w:rsid w:val="00144523"/>
    <w:rsid w:val="001460ED"/>
    <w:rsid w:val="00153763"/>
    <w:rsid w:val="00154175"/>
    <w:rsid w:val="00154F1F"/>
    <w:rsid w:val="00155669"/>
    <w:rsid w:val="00160980"/>
    <w:rsid w:val="00161AD4"/>
    <w:rsid w:val="0016356D"/>
    <w:rsid w:val="0016477E"/>
    <w:rsid w:val="0016550C"/>
    <w:rsid w:val="00165CAA"/>
    <w:rsid w:val="00166429"/>
    <w:rsid w:val="001664BD"/>
    <w:rsid w:val="00166E16"/>
    <w:rsid w:val="00166F26"/>
    <w:rsid w:val="00170917"/>
    <w:rsid w:val="00170E8E"/>
    <w:rsid w:val="001728C8"/>
    <w:rsid w:val="00175E26"/>
    <w:rsid w:val="001778E4"/>
    <w:rsid w:val="001813B6"/>
    <w:rsid w:val="00184585"/>
    <w:rsid w:val="00184888"/>
    <w:rsid w:val="00185937"/>
    <w:rsid w:val="00190F4C"/>
    <w:rsid w:val="001914CE"/>
    <w:rsid w:val="00191A9C"/>
    <w:rsid w:val="001923A1"/>
    <w:rsid w:val="001954F0"/>
    <w:rsid w:val="00196051"/>
    <w:rsid w:val="00196079"/>
    <w:rsid w:val="0019623A"/>
    <w:rsid w:val="001A2D84"/>
    <w:rsid w:val="001A5705"/>
    <w:rsid w:val="001A6B77"/>
    <w:rsid w:val="001B11B9"/>
    <w:rsid w:val="001B218B"/>
    <w:rsid w:val="001B313D"/>
    <w:rsid w:val="001B72E9"/>
    <w:rsid w:val="001B740B"/>
    <w:rsid w:val="001B7415"/>
    <w:rsid w:val="001C1602"/>
    <w:rsid w:val="001C1979"/>
    <w:rsid w:val="001C1FEF"/>
    <w:rsid w:val="001C291D"/>
    <w:rsid w:val="001C39D7"/>
    <w:rsid w:val="001C3C37"/>
    <w:rsid w:val="001C5ABA"/>
    <w:rsid w:val="001D26D5"/>
    <w:rsid w:val="001D3CC9"/>
    <w:rsid w:val="001D472D"/>
    <w:rsid w:val="001D6DEB"/>
    <w:rsid w:val="001E0071"/>
    <w:rsid w:val="001E5ACD"/>
    <w:rsid w:val="001E63D5"/>
    <w:rsid w:val="001E6B03"/>
    <w:rsid w:val="001E72B3"/>
    <w:rsid w:val="001E7306"/>
    <w:rsid w:val="001F15A1"/>
    <w:rsid w:val="001F300D"/>
    <w:rsid w:val="001F4DD0"/>
    <w:rsid w:val="001F6C28"/>
    <w:rsid w:val="0020071A"/>
    <w:rsid w:val="0020279C"/>
    <w:rsid w:val="00205666"/>
    <w:rsid w:val="002067EF"/>
    <w:rsid w:val="002070E8"/>
    <w:rsid w:val="002076D5"/>
    <w:rsid w:val="002119DE"/>
    <w:rsid w:val="00215DE6"/>
    <w:rsid w:val="0021733D"/>
    <w:rsid w:val="00220DA5"/>
    <w:rsid w:val="00224B58"/>
    <w:rsid w:val="00230925"/>
    <w:rsid w:val="00230FAB"/>
    <w:rsid w:val="00233A95"/>
    <w:rsid w:val="00234E00"/>
    <w:rsid w:val="00235444"/>
    <w:rsid w:val="002357B0"/>
    <w:rsid w:val="00236EAC"/>
    <w:rsid w:val="002373A4"/>
    <w:rsid w:val="002400E6"/>
    <w:rsid w:val="002437E1"/>
    <w:rsid w:val="00246F0D"/>
    <w:rsid w:val="00247C7B"/>
    <w:rsid w:val="002545C8"/>
    <w:rsid w:val="00256D1C"/>
    <w:rsid w:val="00260468"/>
    <w:rsid w:val="00261DFD"/>
    <w:rsid w:val="00262FB7"/>
    <w:rsid w:val="002640AA"/>
    <w:rsid w:val="00264399"/>
    <w:rsid w:val="002725A2"/>
    <w:rsid w:val="00274794"/>
    <w:rsid w:val="0027486D"/>
    <w:rsid w:val="00274947"/>
    <w:rsid w:val="00275505"/>
    <w:rsid w:val="002764C2"/>
    <w:rsid w:val="00276973"/>
    <w:rsid w:val="002774E9"/>
    <w:rsid w:val="00281F94"/>
    <w:rsid w:val="00282299"/>
    <w:rsid w:val="002829B6"/>
    <w:rsid w:val="00282B1C"/>
    <w:rsid w:val="00284079"/>
    <w:rsid w:val="00284C35"/>
    <w:rsid w:val="00287510"/>
    <w:rsid w:val="00291CEA"/>
    <w:rsid w:val="00293E1E"/>
    <w:rsid w:val="00296A29"/>
    <w:rsid w:val="002970F3"/>
    <w:rsid w:val="00297303"/>
    <w:rsid w:val="002A229C"/>
    <w:rsid w:val="002A2318"/>
    <w:rsid w:val="002A37C2"/>
    <w:rsid w:val="002A595E"/>
    <w:rsid w:val="002A6566"/>
    <w:rsid w:val="002A79DE"/>
    <w:rsid w:val="002B3A59"/>
    <w:rsid w:val="002B49C9"/>
    <w:rsid w:val="002B5466"/>
    <w:rsid w:val="002B6C21"/>
    <w:rsid w:val="002C17C8"/>
    <w:rsid w:val="002C2760"/>
    <w:rsid w:val="002C3492"/>
    <w:rsid w:val="002C353F"/>
    <w:rsid w:val="002C7654"/>
    <w:rsid w:val="002D0974"/>
    <w:rsid w:val="002D0DA8"/>
    <w:rsid w:val="002D3BD8"/>
    <w:rsid w:val="002D54E0"/>
    <w:rsid w:val="002D5C73"/>
    <w:rsid w:val="002D6A1D"/>
    <w:rsid w:val="002E2B4A"/>
    <w:rsid w:val="002E31BE"/>
    <w:rsid w:val="002E356B"/>
    <w:rsid w:val="002E396D"/>
    <w:rsid w:val="002E3D4F"/>
    <w:rsid w:val="002E3D57"/>
    <w:rsid w:val="002E48B5"/>
    <w:rsid w:val="002E4A5B"/>
    <w:rsid w:val="002E7082"/>
    <w:rsid w:val="002F01EF"/>
    <w:rsid w:val="002F037D"/>
    <w:rsid w:val="002F1271"/>
    <w:rsid w:val="002F2A3D"/>
    <w:rsid w:val="002F6B56"/>
    <w:rsid w:val="002F7970"/>
    <w:rsid w:val="00300363"/>
    <w:rsid w:val="00300730"/>
    <w:rsid w:val="0030123A"/>
    <w:rsid w:val="00303596"/>
    <w:rsid w:val="00303B26"/>
    <w:rsid w:val="00307832"/>
    <w:rsid w:val="003113A0"/>
    <w:rsid w:val="00314898"/>
    <w:rsid w:val="00315CD7"/>
    <w:rsid w:val="00315CFD"/>
    <w:rsid w:val="00320799"/>
    <w:rsid w:val="00320CBD"/>
    <w:rsid w:val="00321E64"/>
    <w:rsid w:val="003221D0"/>
    <w:rsid w:val="0032242B"/>
    <w:rsid w:val="0032282D"/>
    <w:rsid w:val="00322910"/>
    <w:rsid w:val="00323EAF"/>
    <w:rsid w:val="00326201"/>
    <w:rsid w:val="00331EA5"/>
    <w:rsid w:val="00332B41"/>
    <w:rsid w:val="00332C42"/>
    <w:rsid w:val="00333A1C"/>
    <w:rsid w:val="00344407"/>
    <w:rsid w:val="00351AB7"/>
    <w:rsid w:val="0035586B"/>
    <w:rsid w:val="00357EC8"/>
    <w:rsid w:val="00361027"/>
    <w:rsid w:val="00362EF2"/>
    <w:rsid w:val="00363D43"/>
    <w:rsid w:val="00365633"/>
    <w:rsid w:val="003660DA"/>
    <w:rsid w:val="00367343"/>
    <w:rsid w:val="003678C7"/>
    <w:rsid w:val="00373423"/>
    <w:rsid w:val="00375649"/>
    <w:rsid w:val="00376C71"/>
    <w:rsid w:val="00381C42"/>
    <w:rsid w:val="00382AE5"/>
    <w:rsid w:val="0038438C"/>
    <w:rsid w:val="00386156"/>
    <w:rsid w:val="00386276"/>
    <w:rsid w:val="003875EB"/>
    <w:rsid w:val="00393F35"/>
    <w:rsid w:val="00395AD4"/>
    <w:rsid w:val="003A2E0F"/>
    <w:rsid w:val="003A3756"/>
    <w:rsid w:val="003A63B6"/>
    <w:rsid w:val="003A6BEC"/>
    <w:rsid w:val="003B3985"/>
    <w:rsid w:val="003B44F4"/>
    <w:rsid w:val="003B5F86"/>
    <w:rsid w:val="003C063F"/>
    <w:rsid w:val="003C0A44"/>
    <w:rsid w:val="003C0DDA"/>
    <w:rsid w:val="003C26A3"/>
    <w:rsid w:val="003C2FE4"/>
    <w:rsid w:val="003C3A04"/>
    <w:rsid w:val="003C621C"/>
    <w:rsid w:val="003C6890"/>
    <w:rsid w:val="003C7556"/>
    <w:rsid w:val="003C78D6"/>
    <w:rsid w:val="003D110A"/>
    <w:rsid w:val="003D43F1"/>
    <w:rsid w:val="003D4881"/>
    <w:rsid w:val="003D68D8"/>
    <w:rsid w:val="003D7719"/>
    <w:rsid w:val="003E3995"/>
    <w:rsid w:val="003E3D17"/>
    <w:rsid w:val="003E4D9F"/>
    <w:rsid w:val="003E561A"/>
    <w:rsid w:val="003F58D0"/>
    <w:rsid w:val="003F5E92"/>
    <w:rsid w:val="003F61F5"/>
    <w:rsid w:val="004010E6"/>
    <w:rsid w:val="004014F9"/>
    <w:rsid w:val="00401AF2"/>
    <w:rsid w:val="0040290A"/>
    <w:rsid w:val="004069C4"/>
    <w:rsid w:val="004074F7"/>
    <w:rsid w:val="00410ED6"/>
    <w:rsid w:val="00414AF0"/>
    <w:rsid w:val="004174BF"/>
    <w:rsid w:val="00425723"/>
    <w:rsid w:val="0042587E"/>
    <w:rsid w:val="004269D1"/>
    <w:rsid w:val="0042715F"/>
    <w:rsid w:val="00431865"/>
    <w:rsid w:val="00432FCA"/>
    <w:rsid w:val="00434B30"/>
    <w:rsid w:val="004356D4"/>
    <w:rsid w:val="00436485"/>
    <w:rsid w:val="004418CF"/>
    <w:rsid w:val="00442503"/>
    <w:rsid w:val="00442A7C"/>
    <w:rsid w:val="0044349C"/>
    <w:rsid w:val="00444883"/>
    <w:rsid w:val="0044543E"/>
    <w:rsid w:val="00450BB2"/>
    <w:rsid w:val="004551BF"/>
    <w:rsid w:val="00460B69"/>
    <w:rsid w:val="004618E5"/>
    <w:rsid w:val="0046442E"/>
    <w:rsid w:val="004659A5"/>
    <w:rsid w:val="004665F8"/>
    <w:rsid w:val="00466C33"/>
    <w:rsid w:val="00470609"/>
    <w:rsid w:val="00471DEB"/>
    <w:rsid w:val="00473DBE"/>
    <w:rsid w:val="00474036"/>
    <w:rsid w:val="00476050"/>
    <w:rsid w:val="004806B6"/>
    <w:rsid w:val="00482091"/>
    <w:rsid w:val="00482856"/>
    <w:rsid w:val="00483E67"/>
    <w:rsid w:val="004851C1"/>
    <w:rsid w:val="00485C1C"/>
    <w:rsid w:val="00487925"/>
    <w:rsid w:val="00491E56"/>
    <w:rsid w:val="00491E9E"/>
    <w:rsid w:val="00493869"/>
    <w:rsid w:val="00493C22"/>
    <w:rsid w:val="00495821"/>
    <w:rsid w:val="00495BB3"/>
    <w:rsid w:val="004967FE"/>
    <w:rsid w:val="00496E1E"/>
    <w:rsid w:val="00496E92"/>
    <w:rsid w:val="004A2B79"/>
    <w:rsid w:val="004A485C"/>
    <w:rsid w:val="004A51E5"/>
    <w:rsid w:val="004A5A07"/>
    <w:rsid w:val="004A6EC2"/>
    <w:rsid w:val="004A7608"/>
    <w:rsid w:val="004B1AC5"/>
    <w:rsid w:val="004B1B36"/>
    <w:rsid w:val="004B434A"/>
    <w:rsid w:val="004B5318"/>
    <w:rsid w:val="004C2076"/>
    <w:rsid w:val="004C2793"/>
    <w:rsid w:val="004C5BAA"/>
    <w:rsid w:val="004C6334"/>
    <w:rsid w:val="004D0C11"/>
    <w:rsid w:val="004D2881"/>
    <w:rsid w:val="004D333A"/>
    <w:rsid w:val="004D45CE"/>
    <w:rsid w:val="004D473E"/>
    <w:rsid w:val="004D6192"/>
    <w:rsid w:val="004D6812"/>
    <w:rsid w:val="004D7A1A"/>
    <w:rsid w:val="004E0176"/>
    <w:rsid w:val="004E1F78"/>
    <w:rsid w:val="004E1F8D"/>
    <w:rsid w:val="004E2CCC"/>
    <w:rsid w:val="004E7327"/>
    <w:rsid w:val="004F1E3F"/>
    <w:rsid w:val="004F5D9E"/>
    <w:rsid w:val="00500BD9"/>
    <w:rsid w:val="00502E86"/>
    <w:rsid w:val="00503B59"/>
    <w:rsid w:val="00511153"/>
    <w:rsid w:val="00511C7A"/>
    <w:rsid w:val="00512172"/>
    <w:rsid w:val="00513B37"/>
    <w:rsid w:val="005151E6"/>
    <w:rsid w:val="005161AC"/>
    <w:rsid w:val="00516A16"/>
    <w:rsid w:val="005235CB"/>
    <w:rsid w:val="00524BD8"/>
    <w:rsid w:val="00524F6D"/>
    <w:rsid w:val="00525C1F"/>
    <w:rsid w:val="00526A4C"/>
    <w:rsid w:val="00526F05"/>
    <w:rsid w:val="00527AFF"/>
    <w:rsid w:val="00530FAF"/>
    <w:rsid w:val="00534F88"/>
    <w:rsid w:val="00535664"/>
    <w:rsid w:val="00536842"/>
    <w:rsid w:val="00536D3B"/>
    <w:rsid w:val="005375D0"/>
    <w:rsid w:val="0053781B"/>
    <w:rsid w:val="005435C6"/>
    <w:rsid w:val="00543CCD"/>
    <w:rsid w:val="005471E5"/>
    <w:rsid w:val="00550183"/>
    <w:rsid w:val="00551B1D"/>
    <w:rsid w:val="00554DB4"/>
    <w:rsid w:val="00557F8D"/>
    <w:rsid w:val="0056217E"/>
    <w:rsid w:val="0056685E"/>
    <w:rsid w:val="005670A7"/>
    <w:rsid w:val="00567637"/>
    <w:rsid w:val="0057011C"/>
    <w:rsid w:val="00575BC4"/>
    <w:rsid w:val="00575CF9"/>
    <w:rsid w:val="00581F5A"/>
    <w:rsid w:val="00581F7B"/>
    <w:rsid w:val="00582436"/>
    <w:rsid w:val="00583A88"/>
    <w:rsid w:val="00587776"/>
    <w:rsid w:val="00591EA7"/>
    <w:rsid w:val="00592ACA"/>
    <w:rsid w:val="0059333F"/>
    <w:rsid w:val="00594EF2"/>
    <w:rsid w:val="00595199"/>
    <w:rsid w:val="00595A6D"/>
    <w:rsid w:val="00596190"/>
    <w:rsid w:val="0059728D"/>
    <w:rsid w:val="005977C0"/>
    <w:rsid w:val="005A16A0"/>
    <w:rsid w:val="005A5AF3"/>
    <w:rsid w:val="005B09A7"/>
    <w:rsid w:val="005B100D"/>
    <w:rsid w:val="005B138E"/>
    <w:rsid w:val="005B3673"/>
    <w:rsid w:val="005B3E57"/>
    <w:rsid w:val="005B4046"/>
    <w:rsid w:val="005B7087"/>
    <w:rsid w:val="005B7EAA"/>
    <w:rsid w:val="005B7F29"/>
    <w:rsid w:val="005C0C58"/>
    <w:rsid w:val="005C3FD9"/>
    <w:rsid w:val="005C461E"/>
    <w:rsid w:val="005C5009"/>
    <w:rsid w:val="005C5991"/>
    <w:rsid w:val="005C6F89"/>
    <w:rsid w:val="005D181C"/>
    <w:rsid w:val="005D2C99"/>
    <w:rsid w:val="005D4F93"/>
    <w:rsid w:val="005D6D95"/>
    <w:rsid w:val="005D748A"/>
    <w:rsid w:val="005E2870"/>
    <w:rsid w:val="005E4F83"/>
    <w:rsid w:val="005E5178"/>
    <w:rsid w:val="005E5D69"/>
    <w:rsid w:val="005F0472"/>
    <w:rsid w:val="005F1A3B"/>
    <w:rsid w:val="005F274E"/>
    <w:rsid w:val="005F3436"/>
    <w:rsid w:val="005F367B"/>
    <w:rsid w:val="005F3E06"/>
    <w:rsid w:val="005F467E"/>
    <w:rsid w:val="005F4F1D"/>
    <w:rsid w:val="005F715C"/>
    <w:rsid w:val="006018FE"/>
    <w:rsid w:val="00602673"/>
    <w:rsid w:val="006045F9"/>
    <w:rsid w:val="006070C1"/>
    <w:rsid w:val="0061403D"/>
    <w:rsid w:val="0061410B"/>
    <w:rsid w:val="006171EF"/>
    <w:rsid w:val="006233F8"/>
    <w:rsid w:val="00623C20"/>
    <w:rsid w:val="00624159"/>
    <w:rsid w:val="0062725D"/>
    <w:rsid w:val="00633958"/>
    <w:rsid w:val="00634079"/>
    <w:rsid w:val="006363F4"/>
    <w:rsid w:val="00640EE5"/>
    <w:rsid w:val="00645C70"/>
    <w:rsid w:val="00646A7A"/>
    <w:rsid w:val="00647084"/>
    <w:rsid w:val="0065011C"/>
    <w:rsid w:val="0065116F"/>
    <w:rsid w:val="00652CED"/>
    <w:rsid w:val="0065500F"/>
    <w:rsid w:val="00655F0F"/>
    <w:rsid w:val="006565A6"/>
    <w:rsid w:val="00657716"/>
    <w:rsid w:val="0066101F"/>
    <w:rsid w:val="00661791"/>
    <w:rsid w:val="0066194C"/>
    <w:rsid w:val="00662505"/>
    <w:rsid w:val="0066352B"/>
    <w:rsid w:val="006675CC"/>
    <w:rsid w:val="00672488"/>
    <w:rsid w:val="00675BDA"/>
    <w:rsid w:val="00676670"/>
    <w:rsid w:val="006767CE"/>
    <w:rsid w:val="006770B7"/>
    <w:rsid w:val="006770CD"/>
    <w:rsid w:val="0068039D"/>
    <w:rsid w:val="006817F6"/>
    <w:rsid w:val="00682FAD"/>
    <w:rsid w:val="006832A7"/>
    <w:rsid w:val="006853D7"/>
    <w:rsid w:val="00690B7D"/>
    <w:rsid w:val="0069319F"/>
    <w:rsid w:val="00694034"/>
    <w:rsid w:val="00694C3B"/>
    <w:rsid w:val="00695232"/>
    <w:rsid w:val="0069563D"/>
    <w:rsid w:val="006979CB"/>
    <w:rsid w:val="006A2B7D"/>
    <w:rsid w:val="006A34EF"/>
    <w:rsid w:val="006A4ABF"/>
    <w:rsid w:val="006B24C9"/>
    <w:rsid w:val="006B2DB7"/>
    <w:rsid w:val="006B6A30"/>
    <w:rsid w:val="006B7BFD"/>
    <w:rsid w:val="006C132B"/>
    <w:rsid w:val="006C2348"/>
    <w:rsid w:val="006C2F2E"/>
    <w:rsid w:val="006C57D2"/>
    <w:rsid w:val="006C5C0A"/>
    <w:rsid w:val="006C749E"/>
    <w:rsid w:val="006D04CE"/>
    <w:rsid w:val="006D2A75"/>
    <w:rsid w:val="006D7135"/>
    <w:rsid w:val="006D79E8"/>
    <w:rsid w:val="006E1FC4"/>
    <w:rsid w:val="006E294D"/>
    <w:rsid w:val="006E3F18"/>
    <w:rsid w:val="006F167E"/>
    <w:rsid w:val="006F518C"/>
    <w:rsid w:val="006F52CE"/>
    <w:rsid w:val="006F5CF8"/>
    <w:rsid w:val="006F652E"/>
    <w:rsid w:val="006F7325"/>
    <w:rsid w:val="00705317"/>
    <w:rsid w:val="00706831"/>
    <w:rsid w:val="007126E4"/>
    <w:rsid w:val="00717A8B"/>
    <w:rsid w:val="00717C4D"/>
    <w:rsid w:val="00722F83"/>
    <w:rsid w:val="00724D5A"/>
    <w:rsid w:val="00732B47"/>
    <w:rsid w:val="00734F2E"/>
    <w:rsid w:val="00735FED"/>
    <w:rsid w:val="00736694"/>
    <w:rsid w:val="00737B40"/>
    <w:rsid w:val="00740F59"/>
    <w:rsid w:val="0074153E"/>
    <w:rsid w:val="00744851"/>
    <w:rsid w:val="0074602A"/>
    <w:rsid w:val="00747AA1"/>
    <w:rsid w:val="00750356"/>
    <w:rsid w:val="00750543"/>
    <w:rsid w:val="00750805"/>
    <w:rsid w:val="0075354D"/>
    <w:rsid w:val="007542D9"/>
    <w:rsid w:val="00755532"/>
    <w:rsid w:val="00757443"/>
    <w:rsid w:val="007576D0"/>
    <w:rsid w:val="00762757"/>
    <w:rsid w:val="00763FE4"/>
    <w:rsid w:val="00764382"/>
    <w:rsid w:val="00765EFD"/>
    <w:rsid w:val="007705E1"/>
    <w:rsid w:val="00773824"/>
    <w:rsid w:val="00775833"/>
    <w:rsid w:val="007768E1"/>
    <w:rsid w:val="00777B19"/>
    <w:rsid w:val="007801DB"/>
    <w:rsid w:val="0078028F"/>
    <w:rsid w:val="00780AE1"/>
    <w:rsid w:val="0078283B"/>
    <w:rsid w:val="007843C1"/>
    <w:rsid w:val="00787211"/>
    <w:rsid w:val="00787EDE"/>
    <w:rsid w:val="00791322"/>
    <w:rsid w:val="00792014"/>
    <w:rsid w:val="0079230B"/>
    <w:rsid w:val="00792448"/>
    <w:rsid w:val="007942B9"/>
    <w:rsid w:val="00795240"/>
    <w:rsid w:val="00797833"/>
    <w:rsid w:val="00797DA2"/>
    <w:rsid w:val="007A0014"/>
    <w:rsid w:val="007A09A7"/>
    <w:rsid w:val="007A4A67"/>
    <w:rsid w:val="007A5214"/>
    <w:rsid w:val="007B53A7"/>
    <w:rsid w:val="007C1186"/>
    <w:rsid w:val="007C1FA6"/>
    <w:rsid w:val="007C69C0"/>
    <w:rsid w:val="007C7205"/>
    <w:rsid w:val="007D0BD8"/>
    <w:rsid w:val="007D15FB"/>
    <w:rsid w:val="007E059D"/>
    <w:rsid w:val="007E14BA"/>
    <w:rsid w:val="007E2E5B"/>
    <w:rsid w:val="007E54B6"/>
    <w:rsid w:val="007E5686"/>
    <w:rsid w:val="007F01C5"/>
    <w:rsid w:val="007F11DC"/>
    <w:rsid w:val="007F2E59"/>
    <w:rsid w:val="007F3B67"/>
    <w:rsid w:val="007F3C2E"/>
    <w:rsid w:val="007F5D14"/>
    <w:rsid w:val="00800A37"/>
    <w:rsid w:val="00801884"/>
    <w:rsid w:val="00811916"/>
    <w:rsid w:val="008129D6"/>
    <w:rsid w:val="00813D7C"/>
    <w:rsid w:val="0081461D"/>
    <w:rsid w:val="00820136"/>
    <w:rsid w:val="008227D3"/>
    <w:rsid w:val="008229F3"/>
    <w:rsid w:val="00822EA3"/>
    <w:rsid w:val="00824657"/>
    <w:rsid w:val="008309E3"/>
    <w:rsid w:val="00831405"/>
    <w:rsid w:val="008340C9"/>
    <w:rsid w:val="00836CEE"/>
    <w:rsid w:val="00836FD5"/>
    <w:rsid w:val="008370E5"/>
    <w:rsid w:val="0083717A"/>
    <w:rsid w:val="00837259"/>
    <w:rsid w:val="008374CE"/>
    <w:rsid w:val="00837CEB"/>
    <w:rsid w:val="008401AB"/>
    <w:rsid w:val="00841FDE"/>
    <w:rsid w:val="00845258"/>
    <w:rsid w:val="0084660F"/>
    <w:rsid w:val="00850A75"/>
    <w:rsid w:val="008516AB"/>
    <w:rsid w:val="00851EC0"/>
    <w:rsid w:val="008546AA"/>
    <w:rsid w:val="008549D5"/>
    <w:rsid w:val="0085511A"/>
    <w:rsid w:val="00855DEA"/>
    <w:rsid w:val="00855E08"/>
    <w:rsid w:val="008564A9"/>
    <w:rsid w:val="00862EC6"/>
    <w:rsid w:val="00863324"/>
    <w:rsid w:val="00864545"/>
    <w:rsid w:val="00865BE8"/>
    <w:rsid w:val="0087083A"/>
    <w:rsid w:val="00871370"/>
    <w:rsid w:val="008759DD"/>
    <w:rsid w:val="00876076"/>
    <w:rsid w:val="00876FB8"/>
    <w:rsid w:val="008824D3"/>
    <w:rsid w:val="008854A5"/>
    <w:rsid w:val="00890C30"/>
    <w:rsid w:val="00893569"/>
    <w:rsid w:val="00893585"/>
    <w:rsid w:val="00895767"/>
    <w:rsid w:val="00895831"/>
    <w:rsid w:val="008A297F"/>
    <w:rsid w:val="008A4598"/>
    <w:rsid w:val="008A48D8"/>
    <w:rsid w:val="008A6ADC"/>
    <w:rsid w:val="008A7E62"/>
    <w:rsid w:val="008B20A0"/>
    <w:rsid w:val="008B37F5"/>
    <w:rsid w:val="008B689B"/>
    <w:rsid w:val="008C1EAE"/>
    <w:rsid w:val="008C20AF"/>
    <w:rsid w:val="008C2CEB"/>
    <w:rsid w:val="008C30DE"/>
    <w:rsid w:val="008C3A0A"/>
    <w:rsid w:val="008C5B91"/>
    <w:rsid w:val="008C62A0"/>
    <w:rsid w:val="008C65A1"/>
    <w:rsid w:val="008C71FB"/>
    <w:rsid w:val="008D1252"/>
    <w:rsid w:val="008D406C"/>
    <w:rsid w:val="008D4566"/>
    <w:rsid w:val="008D6715"/>
    <w:rsid w:val="008E0064"/>
    <w:rsid w:val="008E5A3A"/>
    <w:rsid w:val="008E65BB"/>
    <w:rsid w:val="008F17E1"/>
    <w:rsid w:val="008F2D26"/>
    <w:rsid w:val="008F40BB"/>
    <w:rsid w:val="008F61A7"/>
    <w:rsid w:val="00901CB3"/>
    <w:rsid w:val="009034DE"/>
    <w:rsid w:val="009053DD"/>
    <w:rsid w:val="00905AC5"/>
    <w:rsid w:val="00907EB2"/>
    <w:rsid w:val="00907F99"/>
    <w:rsid w:val="00911AB1"/>
    <w:rsid w:val="00912063"/>
    <w:rsid w:val="00912281"/>
    <w:rsid w:val="009122C6"/>
    <w:rsid w:val="0091279D"/>
    <w:rsid w:val="00912BED"/>
    <w:rsid w:val="009151D0"/>
    <w:rsid w:val="00916835"/>
    <w:rsid w:val="0091768D"/>
    <w:rsid w:val="00917D53"/>
    <w:rsid w:val="00931718"/>
    <w:rsid w:val="00937E42"/>
    <w:rsid w:val="00937F25"/>
    <w:rsid w:val="009401EF"/>
    <w:rsid w:val="00953290"/>
    <w:rsid w:val="00954FB0"/>
    <w:rsid w:val="00955862"/>
    <w:rsid w:val="00956019"/>
    <w:rsid w:val="00960ED3"/>
    <w:rsid w:val="009628D8"/>
    <w:rsid w:val="00966436"/>
    <w:rsid w:val="00967130"/>
    <w:rsid w:val="00971FC2"/>
    <w:rsid w:val="00972CE8"/>
    <w:rsid w:val="00972D0D"/>
    <w:rsid w:val="00981424"/>
    <w:rsid w:val="00982D38"/>
    <w:rsid w:val="00985DCA"/>
    <w:rsid w:val="00985EA7"/>
    <w:rsid w:val="00986A3A"/>
    <w:rsid w:val="00986B15"/>
    <w:rsid w:val="00986ECB"/>
    <w:rsid w:val="0099077E"/>
    <w:rsid w:val="00990C64"/>
    <w:rsid w:val="0099267C"/>
    <w:rsid w:val="00995351"/>
    <w:rsid w:val="0099574A"/>
    <w:rsid w:val="00997D1E"/>
    <w:rsid w:val="009A2B3C"/>
    <w:rsid w:val="009A3683"/>
    <w:rsid w:val="009A3AA4"/>
    <w:rsid w:val="009A68EC"/>
    <w:rsid w:val="009A695F"/>
    <w:rsid w:val="009A69B0"/>
    <w:rsid w:val="009B1299"/>
    <w:rsid w:val="009B1DE9"/>
    <w:rsid w:val="009B4A82"/>
    <w:rsid w:val="009B6A5A"/>
    <w:rsid w:val="009B70B3"/>
    <w:rsid w:val="009B7382"/>
    <w:rsid w:val="009B74BF"/>
    <w:rsid w:val="009B7B9E"/>
    <w:rsid w:val="009B7F56"/>
    <w:rsid w:val="009C0FAA"/>
    <w:rsid w:val="009C123B"/>
    <w:rsid w:val="009C4928"/>
    <w:rsid w:val="009C63E4"/>
    <w:rsid w:val="009C77F5"/>
    <w:rsid w:val="009D0BEA"/>
    <w:rsid w:val="009D16F8"/>
    <w:rsid w:val="009D3387"/>
    <w:rsid w:val="009D4DB7"/>
    <w:rsid w:val="009D6317"/>
    <w:rsid w:val="009E21A6"/>
    <w:rsid w:val="009E5930"/>
    <w:rsid w:val="009E5C47"/>
    <w:rsid w:val="009E5C60"/>
    <w:rsid w:val="009E7639"/>
    <w:rsid w:val="009F038F"/>
    <w:rsid w:val="009F0B74"/>
    <w:rsid w:val="009F2C14"/>
    <w:rsid w:val="009F2FD4"/>
    <w:rsid w:val="009F6E60"/>
    <w:rsid w:val="009F7820"/>
    <w:rsid w:val="00A01A3B"/>
    <w:rsid w:val="00A02AE7"/>
    <w:rsid w:val="00A02E91"/>
    <w:rsid w:val="00A04099"/>
    <w:rsid w:val="00A061A2"/>
    <w:rsid w:val="00A06C40"/>
    <w:rsid w:val="00A0756A"/>
    <w:rsid w:val="00A12D0B"/>
    <w:rsid w:val="00A140C9"/>
    <w:rsid w:val="00A168F9"/>
    <w:rsid w:val="00A169DE"/>
    <w:rsid w:val="00A17339"/>
    <w:rsid w:val="00A200F9"/>
    <w:rsid w:val="00A26839"/>
    <w:rsid w:val="00A33565"/>
    <w:rsid w:val="00A335AC"/>
    <w:rsid w:val="00A33C1B"/>
    <w:rsid w:val="00A3494B"/>
    <w:rsid w:val="00A40919"/>
    <w:rsid w:val="00A40CB9"/>
    <w:rsid w:val="00A40E23"/>
    <w:rsid w:val="00A41FD6"/>
    <w:rsid w:val="00A45808"/>
    <w:rsid w:val="00A51A6A"/>
    <w:rsid w:val="00A51A9F"/>
    <w:rsid w:val="00A5335A"/>
    <w:rsid w:val="00A54717"/>
    <w:rsid w:val="00A5496A"/>
    <w:rsid w:val="00A5534B"/>
    <w:rsid w:val="00A56803"/>
    <w:rsid w:val="00A57D3A"/>
    <w:rsid w:val="00A6184E"/>
    <w:rsid w:val="00A61B2C"/>
    <w:rsid w:val="00A61B36"/>
    <w:rsid w:val="00A6443C"/>
    <w:rsid w:val="00A6496D"/>
    <w:rsid w:val="00A649AF"/>
    <w:rsid w:val="00A669ED"/>
    <w:rsid w:val="00A701C5"/>
    <w:rsid w:val="00A7172D"/>
    <w:rsid w:val="00A71D2D"/>
    <w:rsid w:val="00A72F13"/>
    <w:rsid w:val="00A77C55"/>
    <w:rsid w:val="00A802C9"/>
    <w:rsid w:val="00A80D85"/>
    <w:rsid w:val="00A8153C"/>
    <w:rsid w:val="00A844D3"/>
    <w:rsid w:val="00A91A8F"/>
    <w:rsid w:val="00A95DEB"/>
    <w:rsid w:val="00A97477"/>
    <w:rsid w:val="00AA3314"/>
    <w:rsid w:val="00AA33EB"/>
    <w:rsid w:val="00AA4578"/>
    <w:rsid w:val="00AA49DE"/>
    <w:rsid w:val="00AA4C08"/>
    <w:rsid w:val="00AA7B02"/>
    <w:rsid w:val="00AB4B2A"/>
    <w:rsid w:val="00AB51B4"/>
    <w:rsid w:val="00AB786C"/>
    <w:rsid w:val="00AB7FA6"/>
    <w:rsid w:val="00AC2714"/>
    <w:rsid w:val="00AC4579"/>
    <w:rsid w:val="00AC4B3E"/>
    <w:rsid w:val="00AC5150"/>
    <w:rsid w:val="00AC679F"/>
    <w:rsid w:val="00AC6C49"/>
    <w:rsid w:val="00AC7058"/>
    <w:rsid w:val="00AC784C"/>
    <w:rsid w:val="00AD1C2C"/>
    <w:rsid w:val="00AD3E48"/>
    <w:rsid w:val="00AD3F61"/>
    <w:rsid w:val="00AE0841"/>
    <w:rsid w:val="00AE2012"/>
    <w:rsid w:val="00AE3E63"/>
    <w:rsid w:val="00AE48D9"/>
    <w:rsid w:val="00AE7070"/>
    <w:rsid w:val="00AE7958"/>
    <w:rsid w:val="00AF0059"/>
    <w:rsid w:val="00AF10E4"/>
    <w:rsid w:val="00AF1184"/>
    <w:rsid w:val="00AF493E"/>
    <w:rsid w:val="00AF4ACF"/>
    <w:rsid w:val="00AF5188"/>
    <w:rsid w:val="00AF55AC"/>
    <w:rsid w:val="00AF5EA9"/>
    <w:rsid w:val="00B00223"/>
    <w:rsid w:val="00B0198E"/>
    <w:rsid w:val="00B0205C"/>
    <w:rsid w:val="00B03D8D"/>
    <w:rsid w:val="00B06C4A"/>
    <w:rsid w:val="00B11E2A"/>
    <w:rsid w:val="00B168EE"/>
    <w:rsid w:val="00B16BC5"/>
    <w:rsid w:val="00B17C02"/>
    <w:rsid w:val="00B217B0"/>
    <w:rsid w:val="00B23C27"/>
    <w:rsid w:val="00B23E68"/>
    <w:rsid w:val="00B2518C"/>
    <w:rsid w:val="00B26EE2"/>
    <w:rsid w:val="00B342EB"/>
    <w:rsid w:val="00B3698B"/>
    <w:rsid w:val="00B37515"/>
    <w:rsid w:val="00B40272"/>
    <w:rsid w:val="00B41D00"/>
    <w:rsid w:val="00B42446"/>
    <w:rsid w:val="00B46960"/>
    <w:rsid w:val="00B46F71"/>
    <w:rsid w:val="00B50D82"/>
    <w:rsid w:val="00B55F04"/>
    <w:rsid w:val="00B579F5"/>
    <w:rsid w:val="00B678B2"/>
    <w:rsid w:val="00B732F0"/>
    <w:rsid w:val="00B74B82"/>
    <w:rsid w:val="00B76D51"/>
    <w:rsid w:val="00B81EDE"/>
    <w:rsid w:val="00B90C9E"/>
    <w:rsid w:val="00B91755"/>
    <w:rsid w:val="00B927DF"/>
    <w:rsid w:val="00B9298A"/>
    <w:rsid w:val="00B93106"/>
    <w:rsid w:val="00B97BB9"/>
    <w:rsid w:val="00B97D19"/>
    <w:rsid w:val="00BA1968"/>
    <w:rsid w:val="00BA1DAD"/>
    <w:rsid w:val="00BA6E2B"/>
    <w:rsid w:val="00BA77AE"/>
    <w:rsid w:val="00BB3FC5"/>
    <w:rsid w:val="00BB5868"/>
    <w:rsid w:val="00BC1CBE"/>
    <w:rsid w:val="00BC21AB"/>
    <w:rsid w:val="00BC2367"/>
    <w:rsid w:val="00BC3248"/>
    <w:rsid w:val="00BC3E11"/>
    <w:rsid w:val="00BD095E"/>
    <w:rsid w:val="00BD11C6"/>
    <w:rsid w:val="00BD13B7"/>
    <w:rsid w:val="00BD16F9"/>
    <w:rsid w:val="00BD23EA"/>
    <w:rsid w:val="00BD2DAC"/>
    <w:rsid w:val="00BD3619"/>
    <w:rsid w:val="00BD500D"/>
    <w:rsid w:val="00BD61FC"/>
    <w:rsid w:val="00BE1918"/>
    <w:rsid w:val="00BE503D"/>
    <w:rsid w:val="00BE6028"/>
    <w:rsid w:val="00BE6880"/>
    <w:rsid w:val="00BF06D6"/>
    <w:rsid w:val="00BF0F68"/>
    <w:rsid w:val="00BF3D22"/>
    <w:rsid w:val="00BF442E"/>
    <w:rsid w:val="00BF63BB"/>
    <w:rsid w:val="00BF66AD"/>
    <w:rsid w:val="00BF790A"/>
    <w:rsid w:val="00C00930"/>
    <w:rsid w:val="00C00B22"/>
    <w:rsid w:val="00C00F31"/>
    <w:rsid w:val="00C02A9A"/>
    <w:rsid w:val="00C04DC3"/>
    <w:rsid w:val="00C128AC"/>
    <w:rsid w:val="00C1290A"/>
    <w:rsid w:val="00C130B0"/>
    <w:rsid w:val="00C13952"/>
    <w:rsid w:val="00C14901"/>
    <w:rsid w:val="00C14C2A"/>
    <w:rsid w:val="00C25999"/>
    <w:rsid w:val="00C26F65"/>
    <w:rsid w:val="00C26FF8"/>
    <w:rsid w:val="00C272A6"/>
    <w:rsid w:val="00C30A8F"/>
    <w:rsid w:val="00C37ADD"/>
    <w:rsid w:val="00C37CEA"/>
    <w:rsid w:val="00C41D6D"/>
    <w:rsid w:val="00C420C4"/>
    <w:rsid w:val="00C43943"/>
    <w:rsid w:val="00C44864"/>
    <w:rsid w:val="00C50650"/>
    <w:rsid w:val="00C50FAE"/>
    <w:rsid w:val="00C510CE"/>
    <w:rsid w:val="00C512EC"/>
    <w:rsid w:val="00C51C4E"/>
    <w:rsid w:val="00C51ED0"/>
    <w:rsid w:val="00C53E1A"/>
    <w:rsid w:val="00C57972"/>
    <w:rsid w:val="00C57C18"/>
    <w:rsid w:val="00C60B1F"/>
    <w:rsid w:val="00C63D97"/>
    <w:rsid w:val="00C6590E"/>
    <w:rsid w:val="00C67081"/>
    <w:rsid w:val="00C7282B"/>
    <w:rsid w:val="00C74DE1"/>
    <w:rsid w:val="00C74F63"/>
    <w:rsid w:val="00C7691E"/>
    <w:rsid w:val="00C76B50"/>
    <w:rsid w:val="00C854CB"/>
    <w:rsid w:val="00C873DC"/>
    <w:rsid w:val="00C93DB7"/>
    <w:rsid w:val="00C96EC6"/>
    <w:rsid w:val="00CA0078"/>
    <w:rsid w:val="00CA1522"/>
    <w:rsid w:val="00CA15BC"/>
    <w:rsid w:val="00CA2283"/>
    <w:rsid w:val="00CA25DF"/>
    <w:rsid w:val="00CA2F9E"/>
    <w:rsid w:val="00CA35EC"/>
    <w:rsid w:val="00CA64A0"/>
    <w:rsid w:val="00CA6B2B"/>
    <w:rsid w:val="00CB06D3"/>
    <w:rsid w:val="00CB29A6"/>
    <w:rsid w:val="00CB3EE7"/>
    <w:rsid w:val="00CB54EE"/>
    <w:rsid w:val="00CB69CF"/>
    <w:rsid w:val="00CC1F38"/>
    <w:rsid w:val="00CC402A"/>
    <w:rsid w:val="00CC76DD"/>
    <w:rsid w:val="00CC7BF7"/>
    <w:rsid w:val="00CD0308"/>
    <w:rsid w:val="00CD2B53"/>
    <w:rsid w:val="00CD2C1D"/>
    <w:rsid w:val="00CD3D20"/>
    <w:rsid w:val="00CD4205"/>
    <w:rsid w:val="00CD6E3D"/>
    <w:rsid w:val="00CD7635"/>
    <w:rsid w:val="00CD77F3"/>
    <w:rsid w:val="00CE0088"/>
    <w:rsid w:val="00CE263D"/>
    <w:rsid w:val="00CE2966"/>
    <w:rsid w:val="00CE3D50"/>
    <w:rsid w:val="00CF2242"/>
    <w:rsid w:val="00CF2E62"/>
    <w:rsid w:val="00CF360D"/>
    <w:rsid w:val="00CF6F75"/>
    <w:rsid w:val="00CF7B10"/>
    <w:rsid w:val="00CF7FF6"/>
    <w:rsid w:val="00D004AE"/>
    <w:rsid w:val="00D01E57"/>
    <w:rsid w:val="00D03D1B"/>
    <w:rsid w:val="00D044D4"/>
    <w:rsid w:val="00D04916"/>
    <w:rsid w:val="00D07E06"/>
    <w:rsid w:val="00D10D8D"/>
    <w:rsid w:val="00D11D66"/>
    <w:rsid w:val="00D11E1F"/>
    <w:rsid w:val="00D133A9"/>
    <w:rsid w:val="00D142C3"/>
    <w:rsid w:val="00D1795A"/>
    <w:rsid w:val="00D2050E"/>
    <w:rsid w:val="00D24091"/>
    <w:rsid w:val="00D241F9"/>
    <w:rsid w:val="00D24670"/>
    <w:rsid w:val="00D24EEA"/>
    <w:rsid w:val="00D252E0"/>
    <w:rsid w:val="00D263FF"/>
    <w:rsid w:val="00D307E1"/>
    <w:rsid w:val="00D331E5"/>
    <w:rsid w:val="00D3346A"/>
    <w:rsid w:val="00D33542"/>
    <w:rsid w:val="00D34429"/>
    <w:rsid w:val="00D3685C"/>
    <w:rsid w:val="00D36A41"/>
    <w:rsid w:val="00D40CC5"/>
    <w:rsid w:val="00D41777"/>
    <w:rsid w:val="00D418CD"/>
    <w:rsid w:val="00D46E49"/>
    <w:rsid w:val="00D4715F"/>
    <w:rsid w:val="00D47ECE"/>
    <w:rsid w:val="00D50628"/>
    <w:rsid w:val="00D506C6"/>
    <w:rsid w:val="00D522BD"/>
    <w:rsid w:val="00D537E0"/>
    <w:rsid w:val="00D551A8"/>
    <w:rsid w:val="00D56E50"/>
    <w:rsid w:val="00D573B6"/>
    <w:rsid w:val="00D5765C"/>
    <w:rsid w:val="00D61524"/>
    <w:rsid w:val="00D61AD8"/>
    <w:rsid w:val="00D62174"/>
    <w:rsid w:val="00D656F1"/>
    <w:rsid w:val="00D673C9"/>
    <w:rsid w:val="00D70B7C"/>
    <w:rsid w:val="00D72766"/>
    <w:rsid w:val="00D73704"/>
    <w:rsid w:val="00D749BE"/>
    <w:rsid w:val="00D75E03"/>
    <w:rsid w:val="00D810DA"/>
    <w:rsid w:val="00D822C8"/>
    <w:rsid w:val="00D835DA"/>
    <w:rsid w:val="00D840A7"/>
    <w:rsid w:val="00D86DF8"/>
    <w:rsid w:val="00D87176"/>
    <w:rsid w:val="00D924CF"/>
    <w:rsid w:val="00D93F12"/>
    <w:rsid w:val="00D943E9"/>
    <w:rsid w:val="00D95A1D"/>
    <w:rsid w:val="00D96495"/>
    <w:rsid w:val="00D9687D"/>
    <w:rsid w:val="00DA6DE2"/>
    <w:rsid w:val="00DA6F00"/>
    <w:rsid w:val="00DB07FE"/>
    <w:rsid w:val="00DB0EF6"/>
    <w:rsid w:val="00DB1A50"/>
    <w:rsid w:val="00DB3295"/>
    <w:rsid w:val="00DB35E6"/>
    <w:rsid w:val="00DB3822"/>
    <w:rsid w:val="00DB56A6"/>
    <w:rsid w:val="00DB6E56"/>
    <w:rsid w:val="00DC1349"/>
    <w:rsid w:val="00DC169B"/>
    <w:rsid w:val="00DC2496"/>
    <w:rsid w:val="00DC38A2"/>
    <w:rsid w:val="00DC5C12"/>
    <w:rsid w:val="00DC76C8"/>
    <w:rsid w:val="00DD11F0"/>
    <w:rsid w:val="00DD127C"/>
    <w:rsid w:val="00DD1B17"/>
    <w:rsid w:val="00DE1AAC"/>
    <w:rsid w:val="00DE211D"/>
    <w:rsid w:val="00DE40F5"/>
    <w:rsid w:val="00DE4E1D"/>
    <w:rsid w:val="00DE4FA2"/>
    <w:rsid w:val="00DE545C"/>
    <w:rsid w:val="00DE7F61"/>
    <w:rsid w:val="00DF215B"/>
    <w:rsid w:val="00DF2491"/>
    <w:rsid w:val="00DF2C73"/>
    <w:rsid w:val="00DF331A"/>
    <w:rsid w:val="00DF357A"/>
    <w:rsid w:val="00DF60E3"/>
    <w:rsid w:val="00DF6B35"/>
    <w:rsid w:val="00DF7B99"/>
    <w:rsid w:val="00E01095"/>
    <w:rsid w:val="00E01B20"/>
    <w:rsid w:val="00E05CCF"/>
    <w:rsid w:val="00E1112A"/>
    <w:rsid w:val="00E13C81"/>
    <w:rsid w:val="00E13DDD"/>
    <w:rsid w:val="00E14A39"/>
    <w:rsid w:val="00E16D58"/>
    <w:rsid w:val="00E200B1"/>
    <w:rsid w:val="00E21D1B"/>
    <w:rsid w:val="00E222BE"/>
    <w:rsid w:val="00E2374E"/>
    <w:rsid w:val="00E26312"/>
    <w:rsid w:val="00E3036A"/>
    <w:rsid w:val="00E31BEB"/>
    <w:rsid w:val="00E3360F"/>
    <w:rsid w:val="00E34A97"/>
    <w:rsid w:val="00E364D1"/>
    <w:rsid w:val="00E40C1D"/>
    <w:rsid w:val="00E418D6"/>
    <w:rsid w:val="00E42900"/>
    <w:rsid w:val="00E42AFB"/>
    <w:rsid w:val="00E439A5"/>
    <w:rsid w:val="00E44628"/>
    <w:rsid w:val="00E44D7E"/>
    <w:rsid w:val="00E46ED8"/>
    <w:rsid w:val="00E47C68"/>
    <w:rsid w:val="00E51DCE"/>
    <w:rsid w:val="00E52C58"/>
    <w:rsid w:val="00E53231"/>
    <w:rsid w:val="00E54282"/>
    <w:rsid w:val="00E55059"/>
    <w:rsid w:val="00E60438"/>
    <w:rsid w:val="00E65893"/>
    <w:rsid w:val="00E67365"/>
    <w:rsid w:val="00E7099E"/>
    <w:rsid w:val="00E70B26"/>
    <w:rsid w:val="00E7205C"/>
    <w:rsid w:val="00E74D51"/>
    <w:rsid w:val="00E802CF"/>
    <w:rsid w:val="00E8121C"/>
    <w:rsid w:val="00E815CF"/>
    <w:rsid w:val="00E834CC"/>
    <w:rsid w:val="00E836CC"/>
    <w:rsid w:val="00E840A9"/>
    <w:rsid w:val="00E87069"/>
    <w:rsid w:val="00E877F2"/>
    <w:rsid w:val="00E9568D"/>
    <w:rsid w:val="00E96E6E"/>
    <w:rsid w:val="00E975E1"/>
    <w:rsid w:val="00EA0BFF"/>
    <w:rsid w:val="00EA1480"/>
    <w:rsid w:val="00EA1842"/>
    <w:rsid w:val="00EA1D24"/>
    <w:rsid w:val="00EA23FC"/>
    <w:rsid w:val="00EA2989"/>
    <w:rsid w:val="00EA2EB7"/>
    <w:rsid w:val="00EA2EF0"/>
    <w:rsid w:val="00EA30C5"/>
    <w:rsid w:val="00EA3479"/>
    <w:rsid w:val="00EA3951"/>
    <w:rsid w:val="00EA3C06"/>
    <w:rsid w:val="00EA3C42"/>
    <w:rsid w:val="00EA63F6"/>
    <w:rsid w:val="00EA6460"/>
    <w:rsid w:val="00EB0248"/>
    <w:rsid w:val="00EB085B"/>
    <w:rsid w:val="00EB2EEE"/>
    <w:rsid w:val="00EB4FF5"/>
    <w:rsid w:val="00EB5C80"/>
    <w:rsid w:val="00EB61F7"/>
    <w:rsid w:val="00EC28BB"/>
    <w:rsid w:val="00EC321B"/>
    <w:rsid w:val="00EC3261"/>
    <w:rsid w:val="00EC67EF"/>
    <w:rsid w:val="00ED1C09"/>
    <w:rsid w:val="00ED4C79"/>
    <w:rsid w:val="00ED7729"/>
    <w:rsid w:val="00EE009C"/>
    <w:rsid w:val="00EE153A"/>
    <w:rsid w:val="00EE4CA1"/>
    <w:rsid w:val="00EE6EB4"/>
    <w:rsid w:val="00EF1904"/>
    <w:rsid w:val="00EF247F"/>
    <w:rsid w:val="00EF2546"/>
    <w:rsid w:val="00EF3206"/>
    <w:rsid w:val="00EF4245"/>
    <w:rsid w:val="00EF47AC"/>
    <w:rsid w:val="00F0058C"/>
    <w:rsid w:val="00F034AD"/>
    <w:rsid w:val="00F0373B"/>
    <w:rsid w:val="00F03ADB"/>
    <w:rsid w:val="00F0701B"/>
    <w:rsid w:val="00F113EB"/>
    <w:rsid w:val="00F16036"/>
    <w:rsid w:val="00F17803"/>
    <w:rsid w:val="00F17823"/>
    <w:rsid w:val="00F17B12"/>
    <w:rsid w:val="00F17DBF"/>
    <w:rsid w:val="00F2084A"/>
    <w:rsid w:val="00F21B9A"/>
    <w:rsid w:val="00F229B5"/>
    <w:rsid w:val="00F26D7E"/>
    <w:rsid w:val="00F301BA"/>
    <w:rsid w:val="00F31FFE"/>
    <w:rsid w:val="00F328F7"/>
    <w:rsid w:val="00F34641"/>
    <w:rsid w:val="00F348F2"/>
    <w:rsid w:val="00F36BCF"/>
    <w:rsid w:val="00F37A1E"/>
    <w:rsid w:val="00F37E29"/>
    <w:rsid w:val="00F404E6"/>
    <w:rsid w:val="00F409D7"/>
    <w:rsid w:val="00F419F3"/>
    <w:rsid w:val="00F41CB2"/>
    <w:rsid w:val="00F43028"/>
    <w:rsid w:val="00F43990"/>
    <w:rsid w:val="00F45AB4"/>
    <w:rsid w:val="00F46933"/>
    <w:rsid w:val="00F529C1"/>
    <w:rsid w:val="00F5326E"/>
    <w:rsid w:val="00F53B97"/>
    <w:rsid w:val="00F60588"/>
    <w:rsid w:val="00F607A6"/>
    <w:rsid w:val="00F655A0"/>
    <w:rsid w:val="00F65C91"/>
    <w:rsid w:val="00F65F10"/>
    <w:rsid w:val="00F660C1"/>
    <w:rsid w:val="00F667F2"/>
    <w:rsid w:val="00F7144B"/>
    <w:rsid w:val="00F7211C"/>
    <w:rsid w:val="00F73B0A"/>
    <w:rsid w:val="00F73D47"/>
    <w:rsid w:val="00F76FAF"/>
    <w:rsid w:val="00F960DC"/>
    <w:rsid w:val="00F96727"/>
    <w:rsid w:val="00F97E50"/>
    <w:rsid w:val="00FA023B"/>
    <w:rsid w:val="00FA095C"/>
    <w:rsid w:val="00FA13D2"/>
    <w:rsid w:val="00FA1856"/>
    <w:rsid w:val="00FA34AB"/>
    <w:rsid w:val="00FA6968"/>
    <w:rsid w:val="00FA7207"/>
    <w:rsid w:val="00FA7F13"/>
    <w:rsid w:val="00FB048B"/>
    <w:rsid w:val="00FB4B7C"/>
    <w:rsid w:val="00FB56CC"/>
    <w:rsid w:val="00FC06D0"/>
    <w:rsid w:val="00FC1A8D"/>
    <w:rsid w:val="00FC1F3B"/>
    <w:rsid w:val="00FC38C9"/>
    <w:rsid w:val="00FC4498"/>
    <w:rsid w:val="00FC4E82"/>
    <w:rsid w:val="00FC7081"/>
    <w:rsid w:val="00FD1328"/>
    <w:rsid w:val="00FD1759"/>
    <w:rsid w:val="00FD18A1"/>
    <w:rsid w:val="00FD1AEC"/>
    <w:rsid w:val="00FD1B51"/>
    <w:rsid w:val="00FD5376"/>
    <w:rsid w:val="00FD5606"/>
    <w:rsid w:val="00FE05C0"/>
    <w:rsid w:val="00FE1123"/>
    <w:rsid w:val="00FE2E3D"/>
    <w:rsid w:val="00FE38BF"/>
    <w:rsid w:val="00FE45FF"/>
    <w:rsid w:val="00FE5FD4"/>
    <w:rsid w:val="00FE6BEB"/>
    <w:rsid w:val="00FF34E4"/>
    <w:rsid w:val="00FF48AD"/>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1D43E"/>
  <w15:docId w15:val="{4E0DACCD-D3AB-4196-98B6-E19A10B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EB"/>
    <w:rPr>
      <w:rFonts w:ascii="Courier New" w:eastAsia="Malgun Gothic" w:hAnsi="Courier New" w:cs="Courier New"/>
      <w:sz w:val="24"/>
      <w:szCs w:val="24"/>
    </w:rPr>
  </w:style>
  <w:style w:type="paragraph" w:styleId="Heading1">
    <w:name w:val="heading 1"/>
    <w:basedOn w:val="Normal"/>
    <w:next w:val="Normal"/>
    <w:link w:val="Heading1Char"/>
    <w:qFormat/>
    <w:rsid w:val="003875EB"/>
    <w:pPr>
      <w:keepNext/>
      <w:numPr>
        <w:numId w:val="16"/>
      </w:num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qFormat/>
    <w:rsid w:val="003875EB"/>
    <w:pPr>
      <w:keepNext/>
      <w:numPr>
        <w:ilvl w:val="1"/>
        <w:numId w:val="16"/>
      </w:numPr>
      <w:spacing w:before="240" w:after="60"/>
      <w:outlineLvl w:val="1"/>
    </w:pPr>
    <w:rPr>
      <w:rFonts w:ascii="Cambria" w:hAnsi="Cambria" w:cs="Cambria"/>
      <w:b/>
      <w:bCs/>
      <w:i/>
      <w:iCs/>
      <w:sz w:val="28"/>
      <w:szCs w:val="28"/>
    </w:rPr>
  </w:style>
  <w:style w:type="paragraph" w:styleId="Heading3">
    <w:name w:val="heading 3"/>
    <w:basedOn w:val="Normal"/>
    <w:next w:val="Normal"/>
    <w:link w:val="Heading3Char"/>
    <w:qFormat/>
    <w:rsid w:val="003875EB"/>
    <w:pPr>
      <w:keepNext/>
      <w:numPr>
        <w:ilvl w:val="2"/>
        <w:numId w:val="16"/>
      </w:numPr>
      <w:spacing w:before="240" w:after="60"/>
      <w:outlineLvl w:val="2"/>
    </w:pPr>
    <w:rPr>
      <w:rFonts w:ascii="Cambria" w:hAnsi="Cambria" w:cs="Cambria"/>
      <w:b/>
      <w:bCs/>
      <w:sz w:val="26"/>
      <w:szCs w:val="26"/>
    </w:rPr>
  </w:style>
  <w:style w:type="paragraph" w:styleId="Heading4">
    <w:name w:val="heading 4"/>
    <w:basedOn w:val="Normal"/>
    <w:next w:val="Normal"/>
    <w:link w:val="Heading4Char"/>
    <w:qFormat/>
    <w:rsid w:val="003875EB"/>
    <w:pPr>
      <w:keepNext/>
      <w:numPr>
        <w:ilvl w:val="3"/>
        <w:numId w:val="16"/>
      </w:numPr>
      <w:spacing w:before="240" w:after="60"/>
      <w:outlineLvl w:val="3"/>
    </w:pPr>
    <w:rPr>
      <w:rFonts w:ascii="Calibri" w:hAnsi="Calibri" w:cs="Calibri"/>
      <w:b/>
      <w:bCs/>
      <w:sz w:val="28"/>
      <w:szCs w:val="28"/>
    </w:rPr>
  </w:style>
  <w:style w:type="paragraph" w:styleId="Heading5">
    <w:name w:val="heading 5"/>
    <w:basedOn w:val="Normal"/>
    <w:next w:val="Normal"/>
    <w:link w:val="Heading5Char"/>
    <w:qFormat/>
    <w:rsid w:val="003875EB"/>
    <w:pPr>
      <w:numPr>
        <w:ilvl w:val="4"/>
        <w:numId w:val="16"/>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qFormat/>
    <w:rsid w:val="003875EB"/>
    <w:pPr>
      <w:numPr>
        <w:ilvl w:val="5"/>
        <w:numId w:val="16"/>
      </w:numPr>
      <w:spacing w:before="240" w:after="60"/>
      <w:outlineLvl w:val="5"/>
    </w:pPr>
    <w:rPr>
      <w:rFonts w:ascii="Calibri" w:hAnsi="Calibri" w:cs="Calibri"/>
      <w:b/>
      <w:bCs/>
      <w:sz w:val="22"/>
      <w:szCs w:val="22"/>
    </w:rPr>
  </w:style>
  <w:style w:type="paragraph" w:styleId="Heading7">
    <w:name w:val="heading 7"/>
    <w:basedOn w:val="Normal"/>
    <w:next w:val="Normal"/>
    <w:link w:val="Heading7Char"/>
    <w:qFormat/>
    <w:rsid w:val="003875EB"/>
    <w:pPr>
      <w:numPr>
        <w:ilvl w:val="6"/>
        <w:numId w:val="16"/>
      </w:numPr>
      <w:spacing w:before="240" w:after="60"/>
      <w:outlineLvl w:val="6"/>
    </w:pPr>
    <w:rPr>
      <w:rFonts w:ascii="Calibri" w:hAnsi="Calibri" w:cs="Calibri"/>
    </w:rPr>
  </w:style>
  <w:style w:type="paragraph" w:styleId="Heading8">
    <w:name w:val="heading 8"/>
    <w:basedOn w:val="Normal"/>
    <w:next w:val="Normal"/>
    <w:link w:val="Heading8Char"/>
    <w:qFormat/>
    <w:rsid w:val="003875EB"/>
    <w:pPr>
      <w:numPr>
        <w:ilvl w:val="7"/>
        <w:numId w:val="16"/>
      </w:numPr>
      <w:spacing w:before="240" w:after="60"/>
      <w:outlineLvl w:val="7"/>
    </w:pPr>
    <w:rPr>
      <w:rFonts w:ascii="Calibri" w:hAnsi="Calibri" w:cs="Calibri"/>
      <w:i/>
      <w:iCs/>
    </w:rPr>
  </w:style>
  <w:style w:type="paragraph" w:styleId="Heading9">
    <w:name w:val="heading 9"/>
    <w:basedOn w:val="Normal"/>
    <w:next w:val="Normal"/>
    <w:link w:val="Heading9Char"/>
    <w:qFormat/>
    <w:rsid w:val="003875EB"/>
    <w:pPr>
      <w:numPr>
        <w:ilvl w:val="8"/>
        <w:numId w:val="16"/>
      </w:num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75EB"/>
    <w:rPr>
      <w:rFonts w:ascii="Cambria" w:eastAsia="Malgun Gothic" w:hAnsi="Cambria" w:cs="Cambria"/>
      <w:b/>
      <w:bCs/>
      <w:kern w:val="32"/>
      <w:sz w:val="32"/>
      <w:szCs w:val="32"/>
    </w:rPr>
  </w:style>
  <w:style w:type="character" w:customStyle="1" w:styleId="Heading2Char">
    <w:name w:val="Heading 2 Char"/>
    <w:link w:val="Heading2"/>
    <w:rsid w:val="003875EB"/>
    <w:rPr>
      <w:rFonts w:ascii="Cambria" w:eastAsia="Malgun Gothic" w:hAnsi="Cambria" w:cs="Cambria"/>
      <w:b/>
      <w:bCs/>
      <w:i/>
      <w:iCs/>
      <w:sz w:val="28"/>
      <w:szCs w:val="28"/>
    </w:rPr>
  </w:style>
  <w:style w:type="character" w:customStyle="1" w:styleId="Heading3Char">
    <w:name w:val="Heading 3 Char"/>
    <w:link w:val="Heading3"/>
    <w:rsid w:val="003875EB"/>
    <w:rPr>
      <w:rFonts w:ascii="Cambria" w:eastAsia="Malgun Gothic" w:hAnsi="Cambria" w:cs="Cambria"/>
      <w:b/>
      <w:bCs/>
      <w:sz w:val="26"/>
      <w:szCs w:val="26"/>
    </w:rPr>
  </w:style>
  <w:style w:type="character" w:customStyle="1" w:styleId="Heading4Char">
    <w:name w:val="Heading 4 Char"/>
    <w:link w:val="Heading4"/>
    <w:rsid w:val="003875EB"/>
    <w:rPr>
      <w:rFonts w:ascii="Calibri" w:eastAsia="Malgun Gothic" w:hAnsi="Calibri" w:cs="Calibri"/>
      <w:b/>
      <w:bCs/>
      <w:sz w:val="28"/>
      <w:szCs w:val="28"/>
    </w:rPr>
  </w:style>
  <w:style w:type="character" w:customStyle="1" w:styleId="Heading5Char">
    <w:name w:val="Heading 5 Char"/>
    <w:link w:val="Heading5"/>
    <w:rsid w:val="003875EB"/>
    <w:rPr>
      <w:rFonts w:ascii="Calibri" w:eastAsia="Malgun Gothic" w:hAnsi="Calibri" w:cs="Calibri"/>
      <w:b/>
      <w:bCs/>
      <w:i/>
      <w:iCs/>
      <w:sz w:val="26"/>
      <w:szCs w:val="26"/>
    </w:rPr>
  </w:style>
  <w:style w:type="character" w:customStyle="1" w:styleId="Heading6Char">
    <w:name w:val="Heading 6 Char"/>
    <w:link w:val="Heading6"/>
    <w:rsid w:val="003875EB"/>
    <w:rPr>
      <w:rFonts w:ascii="Calibri" w:eastAsia="Malgun Gothic" w:hAnsi="Calibri" w:cs="Calibri"/>
      <w:b/>
      <w:bCs/>
    </w:rPr>
  </w:style>
  <w:style w:type="character" w:customStyle="1" w:styleId="Heading7Char">
    <w:name w:val="Heading 7 Char"/>
    <w:link w:val="Heading7"/>
    <w:rsid w:val="003875EB"/>
    <w:rPr>
      <w:rFonts w:ascii="Calibri" w:eastAsia="Malgun Gothic" w:hAnsi="Calibri" w:cs="Calibri"/>
      <w:sz w:val="24"/>
      <w:szCs w:val="24"/>
    </w:rPr>
  </w:style>
  <w:style w:type="character" w:customStyle="1" w:styleId="Heading8Char">
    <w:name w:val="Heading 8 Char"/>
    <w:link w:val="Heading8"/>
    <w:rsid w:val="003875EB"/>
    <w:rPr>
      <w:rFonts w:ascii="Calibri" w:eastAsia="Malgun Gothic" w:hAnsi="Calibri" w:cs="Calibri"/>
      <w:i/>
      <w:iCs/>
      <w:sz w:val="24"/>
      <w:szCs w:val="24"/>
    </w:rPr>
  </w:style>
  <w:style w:type="character" w:customStyle="1" w:styleId="Heading9Char">
    <w:name w:val="Heading 9 Char"/>
    <w:link w:val="Heading9"/>
    <w:rsid w:val="003875EB"/>
    <w:rPr>
      <w:rFonts w:ascii="Cambria" w:eastAsia="Malgun Gothic" w:hAnsi="Cambria" w:cs="Cambria"/>
    </w:rPr>
  </w:style>
  <w:style w:type="paragraph" w:styleId="TOC1">
    <w:name w:val="toc 1"/>
    <w:basedOn w:val="Normal"/>
    <w:next w:val="Normal"/>
    <w:autoRedefine/>
    <w:semiHidden/>
    <w:rsid w:val="003875EB"/>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rsid w:val="003875EB"/>
    <w:pPr>
      <w:tabs>
        <w:tab w:val="left" w:leader="dot" w:pos="9000"/>
        <w:tab w:val="right" w:pos="9360"/>
      </w:tabs>
      <w:suppressAutoHyphens/>
      <w:ind w:left="1440" w:right="720" w:hanging="720"/>
    </w:pPr>
  </w:style>
  <w:style w:type="paragraph" w:styleId="TOC3">
    <w:name w:val="toc 3"/>
    <w:basedOn w:val="Normal"/>
    <w:next w:val="Normal"/>
    <w:autoRedefine/>
    <w:semiHidden/>
    <w:rsid w:val="003875EB"/>
    <w:pPr>
      <w:tabs>
        <w:tab w:val="left" w:leader="dot" w:pos="9000"/>
        <w:tab w:val="right" w:pos="9360"/>
      </w:tabs>
      <w:suppressAutoHyphens/>
      <w:ind w:left="2160" w:right="720" w:hanging="720"/>
    </w:pPr>
  </w:style>
  <w:style w:type="paragraph" w:styleId="TOC4">
    <w:name w:val="toc 4"/>
    <w:basedOn w:val="Normal"/>
    <w:next w:val="Normal"/>
    <w:autoRedefine/>
    <w:semiHidden/>
    <w:rsid w:val="003875EB"/>
    <w:pPr>
      <w:tabs>
        <w:tab w:val="left" w:leader="dot" w:pos="9000"/>
        <w:tab w:val="right" w:pos="9360"/>
      </w:tabs>
      <w:suppressAutoHyphens/>
      <w:ind w:left="2880" w:right="720" w:hanging="720"/>
    </w:pPr>
  </w:style>
  <w:style w:type="paragraph" w:styleId="TOC5">
    <w:name w:val="toc 5"/>
    <w:basedOn w:val="Normal"/>
    <w:next w:val="Normal"/>
    <w:autoRedefine/>
    <w:semiHidden/>
    <w:rsid w:val="003875EB"/>
    <w:pPr>
      <w:tabs>
        <w:tab w:val="left" w:leader="dot" w:pos="9000"/>
        <w:tab w:val="right" w:pos="9360"/>
      </w:tabs>
      <w:suppressAutoHyphens/>
      <w:ind w:left="3600" w:right="720" w:hanging="720"/>
    </w:pPr>
  </w:style>
  <w:style w:type="paragraph" w:styleId="TOC6">
    <w:name w:val="toc 6"/>
    <w:basedOn w:val="Normal"/>
    <w:next w:val="Normal"/>
    <w:autoRedefine/>
    <w:semiHidden/>
    <w:rsid w:val="003875EB"/>
    <w:pPr>
      <w:tabs>
        <w:tab w:val="left" w:pos="9000"/>
        <w:tab w:val="right" w:pos="9360"/>
      </w:tabs>
      <w:suppressAutoHyphens/>
      <w:ind w:left="720" w:hanging="720"/>
    </w:pPr>
  </w:style>
  <w:style w:type="paragraph" w:styleId="TOC7">
    <w:name w:val="toc 7"/>
    <w:basedOn w:val="Normal"/>
    <w:next w:val="Normal"/>
    <w:autoRedefine/>
    <w:semiHidden/>
    <w:rsid w:val="003875EB"/>
    <w:pPr>
      <w:suppressAutoHyphens/>
      <w:ind w:left="720" w:hanging="720"/>
    </w:pPr>
  </w:style>
  <w:style w:type="paragraph" w:styleId="TOC8">
    <w:name w:val="toc 8"/>
    <w:basedOn w:val="Normal"/>
    <w:next w:val="Normal"/>
    <w:autoRedefine/>
    <w:semiHidden/>
    <w:rsid w:val="003875EB"/>
    <w:pPr>
      <w:tabs>
        <w:tab w:val="left" w:pos="9000"/>
        <w:tab w:val="right" w:pos="9360"/>
      </w:tabs>
      <w:suppressAutoHyphens/>
      <w:ind w:left="720" w:hanging="720"/>
    </w:pPr>
  </w:style>
  <w:style w:type="paragraph" w:styleId="TOC9">
    <w:name w:val="toc 9"/>
    <w:basedOn w:val="Normal"/>
    <w:next w:val="Normal"/>
    <w:autoRedefine/>
    <w:semiHidden/>
    <w:rsid w:val="003875EB"/>
    <w:pPr>
      <w:tabs>
        <w:tab w:val="left" w:leader="dot" w:pos="9000"/>
        <w:tab w:val="right" w:pos="9360"/>
      </w:tabs>
      <w:suppressAutoHyphens/>
      <w:ind w:left="720" w:hanging="720"/>
    </w:pPr>
  </w:style>
  <w:style w:type="paragraph" w:styleId="Index1">
    <w:name w:val="index 1"/>
    <w:basedOn w:val="Normal"/>
    <w:next w:val="Normal"/>
    <w:autoRedefine/>
    <w:semiHidden/>
    <w:rsid w:val="003875EB"/>
    <w:pPr>
      <w:tabs>
        <w:tab w:val="left" w:leader="dot" w:pos="9000"/>
        <w:tab w:val="right" w:pos="9360"/>
      </w:tabs>
      <w:suppressAutoHyphens/>
      <w:ind w:left="1440" w:right="720" w:hanging="1440"/>
    </w:pPr>
  </w:style>
  <w:style w:type="paragraph" w:styleId="Index2">
    <w:name w:val="index 2"/>
    <w:basedOn w:val="Normal"/>
    <w:next w:val="Normal"/>
    <w:autoRedefine/>
    <w:semiHidden/>
    <w:rsid w:val="003875EB"/>
    <w:pPr>
      <w:tabs>
        <w:tab w:val="left" w:leader="dot" w:pos="9000"/>
        <w:tab w:val="right" w:pos="9360"/>
      </w:tabs>
      <w:suppressAutoHyphens/>
      <w:ind w:left="1440" w:right="720" w:hanging="720"/>
    </w:pPr>
  </w:style>
  <w:style w:type="paragraph" w:styleId="TOAHeading">
    <w:name w:val="toa heading"/>
    <w:basedOn w:val="Normal"/>
    <w:next w:val="Normal"/>
    <w:semiHidden/>
    <w:rsid w:val="003875EB"/>
    <w:pPr>
      <w:tabs>
        <w:tab w:val="left" w:pos="9000"/>
        <w:tab w:val="right" w:pos="9360"/>
      </w:tabs>
      <w:suppressAutoHyphens/>
    </w:pPr>
  </w:style>
  <w:style w:type="paragraph" w:styleId="Caption">
    <w:name w:val="caption"/>
    <w:basedOn w:val="Normal"/>
    <w:next w:val="Normal"/>
    <w:qFormat/>
    <w:rsid w:val="003875EB"/>
  </w:style>
  <w:style w:type="character" w:customStyle="1" w:styleId="EquationCaption">
    <w:name w:val="_Equation Caption"/>
    <w:rsid w:val="003875EB"/>
  </w:style>
  <w:style w:type="paragraph" w:styleId="BalloonText">
    <w:name w:val="Balloon Text"/>
    <w:basedOn w:val="Normal"/>
    <w:link w:val="BalloonTextChar"/>
    <w:semiHidden/>
    <w:rsid w:val="003875EB"/>
    <w:rPr>
      <w:rFonts w:ascii="Tahoma" w:hAnsi="Tahoma" w:cs="Tahoma"/>
      <w:sz w:val="16"/>
      <w:szCs w:val="16"/>
    </w:rPr>
  </w:style>
  <w:style w:type="character" w:customStyle="1" w:styleId="BalloonTextChar">
    <w:name w:val="Balloon Text Char"/>
    <w:link w:val="BalloonText"/>
    <w:semiHidden/>
    <w:rsid w:val="003875EB"/>
    <w:rPr>
      <w:rFonts w:ascii="Tahoma" w:eastAsia="Malgun Gothic" w:hAnsi="Tahoma" w:cs="Tahoma"/>
      <w:sz w:val="16"/>
      <w:szCs w:val="16"/>
    </w:rPr>
  </w:style>
  <w:style w:type="paragraph" w:styleId="Header">
    <w:name w:val="header"/>
    <w:basedOn w:val="Normal"/>
    <w:link w:val="HeaderChar"/>
    <w:rsid w:val="003875EB"/>
    <w:pPr>
      <w:tabs>
        <w:tab w:val="center" w:pos="4320"/>
        <w:tab w:val="right" w:pos="8640"/>
      </w:tabs>
    </w:pPr>
  </w:style>
  <w:style w:type="character" w:customStyle="1" w:styleId="HeaderChar">
    <w:name w:val="Header Char"/>
    <w:link w:val="Header"/>
    <w:rsid w:val="003875EB"/>
    <w:rPr>
      <w:rFonts w:ascii="Courier New" w:eastAsia="Malgun Gothic" w:hAnsi="Courier New" w:cs="Courier New"/>
      <w:sz w:val="24"/>
      <w:szCs w:val="24"/>
    </w:rPr>
  </w:style>
  <w:style w:type="paragraph" w:styleId="Footer">
    <w:name w:val="footer"/>
    <w:basedOn w:val="Normal"/>
    <w:link w:val="FooterChar"/>
    <w:rsid w:val="003875EB"/>
    <w:pPr>
      <w:tabs>
        <w:tab w:val="center" w:pos="4320"/>
        <w:tab w:val="right" w:pos="8640"/>
      </w:tabs>
    </w:pPr>
  </w:style>
  <w:style w:type="character" w:customStyle="1" w:styleId="FooterChar">
    <w:name w:val="Footer Char"/>
    <w:link w:val="Footer"/>
    <w:rsid w:val="003875EB"/>
    <w:rPr>
      <w:rFonts w:ascii="Courier New" w:eastAsia="Malgun Gothic" w:hAnsi="Courier New" w:cs="Courier New"/>
      <w:sz w:val="24"/>
      <w:szCs w:val="24"/>
    </w:rPr>
  </w:style>
  <w:style w:type="character" w:styleId="CommentReference">
    <w:name w:val="annotation reference"/>
    <w:semiHidden/>
    <w:rsid w:val="003875EB"/>
    <w:rPr>
      <w:rFonts w:cs="Times New Roman"/>
      <w:sz w:val="16"/>
      <w:szCs w:val="16"/>
    </w:rPr>
  </w:style>
  <w:style w:type="paragraph" w:styleId="CommentText">
    <w:name w:val="annotation text"/>
    <w:basedOn w:val="Normal"/>
    <w:link w:val="CommentTextChar"/>
    <w:semiHidden/>
    <w:rsid w:val="003875EB"/>
    <w:rPr>
      <w:sz w:val="20"/>
      <w:szCs w:val="20"/>
    </w:rPr>
  </w:style>
  <w:style w:type="character" w:customStyle="1" w:styleId="CommentTextChar">
    <w:name w:val="Comment Text Char"/>
    <w:link w:val="CommentText"/>
    <w:semiHidden/>
    <w:rsid w:val="003875EB"/>
    <w:rPr>
      <w:rFonts w:ascii="Courier New" w:eastAsia="Malgun Gothic" w:hAnsi="Courier New" w:cs="Courier New"/>
      <w:sz w:val="20"/>
      <w:szCs w:val="20"/>
    </w:rPr>
  </w:style>
  <w:style w:type="paragraph" w:styleId="CommentSubject">
    <w:name w:val="annotation subject"/>
    <w:basedOn w:val="CommentText"/>
    <w:next w:val="CommentText"/>
    <w:link w:val="CommentSubjectChar"/>
    <w:semiHidden/>
    <w:rsid w:val="003875EB"/>
    <w:rPr>
      <w:b/>
      <w:bCs/>
    </w:rPr>
  </w:style>
  <w:style w:type="character" w:customStyle="1" w:styleId="CommentSubjectChar">
    <w:name w:val="Comment Subject Char"/>
    <w:link w:val="CommentSubject"/>
    <w:semiHidden/>
    <w:rsid w:val="003875EB"/>
    <w:rPr>
      <w:rFonts w:ascii="Courier New" w:eastAsia="Malgun Gothic" w:hAnsi="Courier New" w:cs="Courier New"/>
      <w:b/>
      <w:bCs/>
      <w:sz w:val="20"/>
      <w:szCs w:val="20"/>
    </w:rPr>
  </w:style>
  <w:style w:type="table" w:styleId="TableGrid">
    <w:name w:val="Table Grid"/>
    <w:basedOn w:val="TableNormal"/>
    <w:rsid w:val="003875EB"/>
    <w:rPr>
      <w:rFonts w:ascii="Courier New" w:eastAsia="Malgun Gothic"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75EB"/>
    <w:pPr>
      <w:tabs>
        <w:tab w:val="left" w:pos="720"/>
      </w:tabs>
    </w:pPr>
    <w:rPr>
      <w:rFonts w:cs="Times New Roman"/>
    </w:rPr>
  </w:style>
  <w:style w:type="character" w:customStyle="1" w:styleId="BodyTextChar">
    <w:name w:val="Body Text Char"/>
    <w:link w:val="BodyText"/>
    <w:rsid w:val="003875EB"/>
    <w:rPr>
      <w:rFonts w:ascii="Courier New" w:eastAsia="Malgun Gothic" w:hAnsi="Courier New" w:cs="Times New Roman"/>
      <w:sz w:val="24"/>
      <w:szCs w:val="24"/>
    </w:rPr>
  </w:style>
  <w:style w:type="paragraph" w:styleId="ListParagraph">
    <w:name w:val="List Paragraph"/>
    <w:basedOn w:val="Normal"/>
    <w:qFormat/>
    <w:rsid w:val="003875EB"/>
    <w:pPr>
      <w:ind w:left="720"/>
    </w:pPr>
  </w:style>
  <w:style w:type="character" w:styleId="Hyperlink">
    <w:name w:val="Hyperlink"/>
    <w:uiPriority w:val="99"/>
    <w:unhideWhenUsed/>
    <w:rsid w:val="003875EB"/>
    <w:rPr>
      <w:color w:val="0000FF"/>
      <w:u w:val="single"/>
    </w:rPr>
  </w:style>
  <w:style w:type="character" w:styleId="FollowedHyperlink">
    <w:name w:val="FollowedHyperlink"/>
    <w:uiPriority w:val="99"/>
    <w:unhideWhenUsed/>
    <w:rsid w:val="003875EB"/>
    <w:rPr>
      <w:color w:val="800080"/>
      <w:u w:val="single"/>
    </w:rPr>
  </w:style>
  <w:style w:type="paragraph" w:styleId="Revision">
    <w:name w:val="Revision"/>
    <w:hidden/>
    <w:uiPriority w:val="99"/>
    <w:semiHidden/>
    <w:rsid w:val="003875EB"/>
    <w:rPr>
      <w:rFonts w:ascii="Courier New" w:eastAsia="Malgun Gothic" w:hAnsi="Courier New" w:cs="Courier New"/>
      <w:sz w:val="24"/>
      <w:szCs w:val="24"/>
    </w:rPr>
  </w:style>
  <w:style w:type="paragraph" w:customStyle="1" w:styleId="font5">
    <w:name w:val="font5"/>
    <w:basedOn w:val="Normal"/>
    <w:rsid w:val="003875EB"/>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6">
    <w:name w:val="font6"/>
    <w:basedOn w:val="Normal"/>
    <w:rsid w:val="003875EB"/>
    <w:pPr>
      <w:spacing w:before="100" w:beforeAutospacing="1" w:after="100" w:afterAutospacing="1"/>
    </w:pPr>
    <w:rPr>
      <w:rFonts w:ascii="Times New Roman" w:eastAsia="Times New Roman" w:hAnsi="Times New Roman" w:cs="Times New Roman"/>
      <w:b/>
      <w:bCs/>
      <w:color w:val="000000"/>
      <w:sz w:val="22"/>
      <w:szCs w:val="22"/>
      <w:u w:val="single"/>
    </w:rPr>
  </w:style>
  <w:style w:type="paragraph" w:customStyle="1" w:styleId="font7">
    <w:name w:val="font7"/>
    <w:basedOn w:val="Normal"/>
    <w:rsid w:val="003875EB"/>
    <w:pPr>
      <w:spacing w:before="100" w:beforeAutospacing="1" w:after="100" w:afterAutospacing="1"/>
    </w:pPr>
    <w:rPr>
      <w:rFonts w:ascii="Times New Roman" w:eastAsia="Times New Roman" w:hAnsi="Times New Roman" w:cs="Times New Roman"/>
      <w:color w:val="000000"/>
      <w:sz w:val="22"/>
      <w:szCs w:val="22"/>
      <w:u w:val="single"/>
    </w:rPr>
  </w:style>
  <w:style w:type="paragraph" w:customStyle="1" w:styleId="xl118">
    <w:name w:val="xl118"/>
    <w:basedOn w:val="Normal"/>
    <w:rsid w:val="003875EB"/>
    <w:pPr>
      <w:spacing w:before="100" w:beforeAutospacing="1" w:after="100" w:afterAutospacing="1"/>
    </w:pPr>
    <w:rPr>
      <w:rFonts w:ascii="Times New Roman" w:eastAsia="Times New Roman" w:hAnsi="Times New Roman" w:cs="Times New Roman"/>
    </w:rPr>
  </w:style>
  <w:style w:type="paragraph" w:customStyle="1" w:styleId="xl119">
    <w:name w:val="xl119"/>
    <w:basedOn w:val="Normal"/>
    <w:rsid w:val="003875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20">
    <w:name w:val="xl120"/>
    <w:basedOn w:val="Normal"/>
    <w:rsid w:val="003875EB"/>
    <w:pP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u w:val="single"/>
    </w:rPr>
  </w:style>
  <w:style w:type="paragraph" w:customStyle="1" w:styleId="xl122">
    <w:name w:val="xl122"/>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000000"/>
      <w:u w:val="single"/>
    </w:rPr>
  </w:style>
  <w:style w:type="paragraph" w:customStyle="1" w:styleId="xl123">
    <w:name w:val="xl123"/>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4">
    <w:name w:val="xl124"/>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5">
    <w:name w:val="xl125"/>
    <w:basedOn w:val="Normal"/>
    <w:rsid w:val="003875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26">
    <w:name w:val="xl126"/>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7">
    <w:name w:val="xl127"/>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Default">
    <w:name w:val="Default"/>
    <w:rsid w:val="003875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8458409">
      <w:bodyDiv w:val="1"/>
      <w:marLeft w:val="0"/>
      <w:marRight w:val="0"/>
      <w:marTop w:val="0"/>
      <w:marBottom w:val="0"/>
      <w:divBdr>
        <w:top w:val="none" w:sz="0" w:space="0" w:color="auto"/>
        <w:left w:val="none" w:sz="0" w:space="0" w:color="auto"/>
        <w:bottom w:val="none" w:sz="0" w:space="0" w:color="auto"/>
        <w:right w:val="none" w:sz="0" w:space="0" w:color="auto"/>
      </w:divBdr>
    </w:div>
    <w:div w:id="49811621">
      <w:bodyDiv w:val="1"/>
      <w:marLeft w:val="0"/>
      <w:marRight w:val="0"/>
      <w:marTop w:val="0"/>
      <w:marBottom w:val="0"/>
      <w:divBdr>
        <w:top w:val="none" w:sz="0" w:space="0" w:color="auto"/>
        <w:left w:val="none" w:sz="0" w:space="0" w:color="auto"/>
        <w:bottom w:val="none" w:sz="0" w:space="0" w:color="auto"/>
        <w:right w:val="none" w:sz="0" w:space="0" w:color="auto"/>
      </w:divBdr>
    </w:div>
    <w:div w:id="70086142">
      <w:bodyDiv w:val="1"/>
      <w:marLeft w:val="0"/>
      <w:marRight w:val="0"/>
      <w:marTop w:val="0"/>
      <w:marBottom w:val="0"/>
      <w:divBdr>
        <w:top w:val="none" w:sz="0" w:space="0" w:color="auto"/>
        <w:left w:val="none" w:sz="0" w:space="0" w:color="auto"/>
        <w:bottom w:val="none" w:sz="0" w:space="0" w:color="auto"/>
        <w:right w:val="none" w:sz="0" w:space="0" w:color="auto"/>
      </w:divBdr>
    </w:div>
    <w:div w:id="132993006">
      <w:bodyDiv w:val="1"/>
      <w:marLeft w:val="0"/>
      <w:marRight w:val="0"/>
      <w:marTop w:val="0"/>
      <w:marBottom w:val="0"/>
      <w:divBdr>
        <w:top w:val="none" w:sz="0" w:space="0" w:color="auto"/>
        <w:left w:val="none" w:sz="0" w:space="0" w:color="auto"/>
        <w:bottom w:val="none" w:sz="0" w:space="0" w:color="auto"/>
        <w:right w:val="none" w:sz="0" w:space="0" w:color="auto"/>
      </w:divBdr>
    </w:div>
    <w:div w:id="186453524">
      <w:bodyDiv w:val="1"/>
      <w:marLeft w:val="0"/>
      <w:marRight w:val="0"/>
      <w:marTop w:val="0"/>
      <w:marBottom w:val="0"/>
      <w:divBdr>
        <w:top w:val="none" w:sz="0" w:space="0" w:color="auto"/>
        <w:left w:val="none" w:sz="0" w:space="0" w:color="auto"/>
        <w:bottom w:val="none" w:sz="0" w:space="0" w:color="auto"/>
        <w:right w:val="none" w:sz="0" w:space="0" w:color="auto"/>
      </w:divBdr>
    </w:div>
    <w:div w:id="197358955">
      <w:bodyDiv w:val="1"/>
      <w:marLeft w:val="0"/>
      <w:marRight w:val="0"/>
      <w:marTop w:val="0"/>
      <w:marBottom w:val="0"/>
      <w:divBdr>
        <w:top w:val="none" w:sz="0" w:space="0" w:color="auto"/>
        <w:left w:val="none" w:sz="0" w:space="0" w:color="auto"/>
        <w:bottom w:val="none" w:sz="0" w:space="0" w:color="auto"/>
        <w:right w:val="none" w:sz="0" w:space="0" w:color="auto"/>
      </w:divBdr>
    </w:div>
    <w:div w:id="232592298">
      <w:bodyDiv w:val="1"/>
      <w:marLeft w:val="0"/>
      <w:marRight w:val="0"/>
      <w:marTop w:val="0"/>
      <w:marBottom w:val="0"/>
      <w:divBdr>
        <w:top w:val="none" w:sz="0" w:space="0" w:color="auto"/>
        <w:left w:val="none" w:sz="0" w:space="0" w:color="auto"/>
        <w:bottom w:val="none" w:sz="0" w:space="0" w:color="auto"/>
        <w:right w:val="none" w:sz="0" w:space="0" w:color="auto"/>
      </w:divBdr>
    </w:div>
    <w:div w:id="243802883">
      <w:bodyDiv w:val="1"/>
      <w:marLeft w:val="0"/>
      <w:marRight w:val="0"/>
      <w:marTop w:val="0"/>
      <w:marBottom w:val="0"/>
      <w:divBdr>
        <w:top w:val="none" w:sz="0" w:space="0" w:color="auto"/>
        <w:left w:val="none" w:sz="0" w:space="0" w:color="auto"/>
        <w:bottom w:val="none" w:sz="0" w:space="0" w:color="auto"/>
        <w:right w:val="none" w:sz="0" w:space="0" w:color="auto"/>
      </w:divBdr>
    </w:div>
    <w:div w:id="277688130">
      <w:bodyDiv w:val="1"/>
      <w:marLeft w:val="0"/>
      <w:marRight w:val="0"/>
      <w:marTop w:val="0"/>
      <w:marBottom w:val="0"/>
      <w:divBdr>
        <w:top w:val="none" w:sz="0" w:space="0" w:color="auto"/>
        <w:left w:val="none" w:sz="0" w:space="0" w:color="auto"/>
        <w:bottom w:val="none" w:sz="0" w:space="0" w:color="auto"/>
        <w:right w:val="none" w:sz="0" w:space="0" w:color="auto"/>
      </w:divBdr>
    </w:div>
    <w:div w:id="374502788">
      <w:bodyDiv w:val="1"/>
      <w:marLeft w:val="0"/>
      <w:marRight w:val="0"/>
      <w:marTop w:val="0"/>
      <w:marBottom w:val="0"/>
      <w:divBdr>
        <w:top w:val="none" w:sz="0" w:space="0" w:color="auto"/>
        <w:left w:val="none" w:sz="0" w:space="0" w:color="auto"/>
        <w:bottom w:val="none" w:sz="0" w:space="0" w:color="auto"/>
        <w:right w:val="none" w:sz="0" w:space="0" w:color="auto"/>
      </w:divBdr>
    </w:div>
    <w:div w:id="384721026">
      <w:bodyDiv w:val="1"/>
      <w:marLeft w:val="0"/>
      <w:marRight w:val="0"/>
      <w:marTop w:val="0"/>
      <w:marBottom w:val="0"/>
      <w:divBdr>
        <w:top w:val="none" w:sz="0" w:space="0" w:color="auto"/>
        <w:left w:val="none" w:sz="0" w:space="0" w:color="auto"/>
        <w:bottom w:val="none" w:sz="0" w:space="0" w:color="auto"/>
        <w:right w:val="none" w:sz="0" w:space="0" w:color="auto"/>
      </w:divBdr>
    </w:div>
    <w:div w:id="394667130">
      <w:bodyDiv w:val="1"/>
      <w:marLeft w:val="0"/>
      <w:marRight w:val="0"/>
      <w:marTop w:val="0"/>
      <w:marBottom w:val="0"/>
      <w:divBdr>
        <w:top w:val="none" w:sz="0" w:space="0" w:color="auto"/>
        <w:left w:val="none" w:sz="0" w:space="0" w:color="auto"/>
        <w:bottom w:val="none" w:sz="0" w:space="0" w:color="auto"/>
        <w:right w:val="none" w:sz="0" w:space="0" w:color="auto"/>
      </w:divBdr>
    </w:div>
    <w:div w:id="395516622">
      <w:bodyDiv w:val="1"/>
      <w:marLeft w:val="0"/>
      <w:marRight w:val="0"/>
      <w:marTop w:val="0"/>
      <w:marBottom w:val="0"/>
      <w:divBdr>
        <w:top w:val="none" w:sz="0" w:space="0" w:color="auto"/>
        <w:left w:val="none" w:sz="0" w:space="0" w:color="auto"/>
        <w:bottom w:val="none" w:sz="0" w:space="0" w:color="auto"/>
        <w:right w:val="none" w:sz="0" w:space="0" w:color="auto"/>
      </w:divBdr>
    </w:div>
    <w:div w:id="397167752">
      <w:bodyDiv w:val="1"/>
      <w:marLeft w:val="0"/>
      <w:marRight w:val="0"/>
      <w:marTop w:val="0"/>
      <w:marBottom w:val="0"/>
      <w:divBdr>
        <w:top w:val="none" w:sz="0" w:space="0" w:color="auto"/>
        <w:left w:val="none" w:sz="0" w:space="0" w:color="auto"/>
        <w:bottom w:val="none" w:sz="0" w:space="0" w:color="auto"/>
        <w:right w:val="none" w:sz="0" w:space="0" w:color="auto"/>
      </w:divBdr>
    </w:div>
    <w:div w:id="514004756">
      <w:bodyDiv w:val="1"/>
      <w:marLeft w:val="0"/>
      <w:marRight w:val="0"/>
      <w:marTop w:val="0"/>
      <w:marBottom w:val="0"/>
      <w:divBdr>
        <w:top w:val="none" w:sz="0" w:space="0" w:color="auto"/>
        <w:left w:val="none" w:sz="0" w:space="0" w:color="auto"/>
        <w:bottom w:val="none" w:sz="0" w:space="0" w:color="auto"/>
        <w:right w:val="none" w:sz="0" w:space="0" w:color="auto"/>
      </w:divBdr>
    </w:div>
    <w:div w:id="568612593">
      <w:bodyDiv w:val="1"/>
      <w:marLeft w:val="0"/>
      <w:marRight w:val="0"/>
      <w:marTop w:val="0"/>
      <w:marBottom w:val="0"/>
      <w:divBdr>
        <w:top w:val="none" w:sz="0" w:space="0" w:color="auto"/>
        <w:left w:val="none" w:sz="0" w:space="0" w:color="auto"/>
        <w:bottom w:val="none" w:sz="0" w:space="0" w:color="auto"/>
        <w:right w:val="none" w:sz="0" w:space="0" w:color="auto"/>
      </w:divBdr>
    </w:div>
    <w:div w:id="569733376">
      <w:bodyDiv w:val="1"/>
      <w:marLeft w:val="0"/>
      <w:marRight w:val="0"/>
      <w:marTop w:val="0"/>
      <w:marBottom w:val="0"/>
      <w:divBdr>
        <w:top w:val="none" w:sz="0" w:space="0" w:color="auto"/>
        <w:left w:val="none" w:sz="0" w:space="0" w:color="auto"/>
        <w:bottom w:val="none" w:sz="0" w:space="0" w:color="auto"/>
        <w:right w:val="none" w:sz="0" w:space="0" w:color="auto"/>
      </w:divBdr>
    </w:div>
    <w:div w:id="593906632">
      <w:bodyDiv w:val="1"/>
      <w:marLeft w:val="0"/>
      <w:marRight w:val="0"/>
      <w:marTop w:val="0"/>
      <w:marBottom w:val="0"/>
      <w:divBdr>
        <w:top w:val="none" w:sz="0" w:space="0" w:color="auto"/>
        <w:left w:val="none" w:sz="0" w:space="0" w:color="auto"/>
        <w:bottom w:val="none" w:sz="0" w:space="0" w:color="auto"/>
        <w:right w:val="none" w:sz="0" w:space="0" w:color="auto"/>
      </w:divBdr>
    </w:div>
    <w:div w:id="606078515">
      <w:bodyDiv w:val="1"/>
      <w:marLeft w:val="0"/>
      <w:marRight w:val="0"/>
      <w:marTop w:val="0"/>
      <w:marBottom w:val="0"/>
      <w:divBdr>
        <w:top w:val="none" w:sz="0" w:space="0" w:color="auto"/>
        <w:left w:val="none" w:sz="0" w:space="0" w:color="auto"/>
        <w:bottom w:val="none" w:sz="0" w:space="0" w:color="auto"/>
        <w:right w:val="none" w:sz="0" w:space="0" w:color="auto"/>
      </w:divBdr>
    </w:div>
    <w:div w:id="609774944">
      <w:bodyDiv w:val="1"/>
      <w:marLeft w:val="0"/>
      <w:marRight w:val="0"/>
      <w:marTop w:val="0"/>
      <w:marBottom w:val="0"/>
      <w:divBdr>
        <w:top w:val="none" w:sz="0" w:space="0" w:color="auto"/>
        <w:left w:val="none" w:sz="0" w:space="0" w:color="auto"/>
        <w:bottom w:val="none" w:sz="0" w:space="0" w:color="auto"/>
        <w:right w:val="none" w:sz="0" w:space="0" w:color="auto"/>
      </w:divBdr>
    </w:div>
    <w:div w:id="617489761">
      <w:bodyDiv w:val="1"/>
      <w:marLeft w:val="0"/>
      <w:marRight w:val="0"/>
      <w:marTop w:val="0"/>
      <w:marBottom w:val="0"/>
      <w:divBdr>
        <w:top w:val="none" w:sz="0" w:space="0" w:color="auto"/>
        <w:left w:val="none" w:sz="0" w:space="0" w:color="auto"/>
        <w:bottom w:val="none" w:sz="0" w:space="0" w:color="auto"/>
        <w:right w:val="none" w:sz="0" w:space="0" w:color="auto"/>
      </w:divBdr>
    </w:div>
    <w:div w:id="632250020">
      <w:bodyDiv w:val="1"/>
      <w:marLeft w:val="0"/>
      <w:marRight w:val="0"/>
      <w:marTop w:val="0"/>
      <w:marBottom w:val="0"/>
      <w:divBdr>
        <w:top w:val="none" w:sz="0" w:space="0" w:color="auto"/>
        <w:left w:val="none" w:sz="0" w:space="0" w:color="auto"/>
        <w:bottom w:val="none" w:sz="0" w:space="0" w:color="auto"/>
        <w:right w:val="none" w:sz="0" w:space="0" w:color="auto"/>
      </w:divBdr>
    </w:div>
    <w:div w:id="687415032">
      <w:bodyDiv w:val="1"/>
      <w:marLeft w:val="0"/>
      <w:marRight w:val="0"/>
      <w:marTop w:val="0"/>
      <w:marBottom w:val="0"/>
      <w:divBdr>
        <w:top w:val="none" w:sz="0" w:space="0" w:color="auto"/>
        <w:left w:val="none" w:sz="0" w:space="0" w:color="auto"/>
        <w:bottom w:val="none" w:sz="0" w:space="0" w:color="auto"/>
        <w:right w:val="none" w:sz="0" w:space="0" w:color="auto"/>
      </w:divBdr>
    </w:div>
    <w:div w:id="828061396">
      <w:bodyDiv w:val="1"/>
      <w:marLeft w:val="0"/>
      <w:marRight w:val="0"/>
      <w:marTop w:val="0"/>
      <w:marBottom w:val="0"/>
      <w:divBdr>
        <w:top w:val="none" w:sz="0" w:space="0" w:color="auto"/>
        <w:left w:val="none" w:sz="0" w:space="0" w:color="auto"/>
        <w:bottom w:val="none" w:sz="0" w:space="0" w:color="auto"/>
        <w:right w:val="none" w:sz="0" w:space="0" w:color="auto"/>
      </w:divBdr>
    </w:div>
    <w:div w:id="849685328">
      <w:bodyDiv w:val="1"/>
      <w:marLeft w:val="0"/>
      <w:marRight w:val="0"/>
      <w:marTop w:val="0"/>
      <w:marBottom w:val="0"/>
      <w:divBdr>
        <w:top w:val="none" w:sz="0" w:space="0" w:color="auto"/>
        <w:left w:val="none" w:sz="0" w:space="0" w:color="auto"/>
        <w:bottom w:val="none" w:sz="0" w:space="0" w:color="auto"/>
        <w:right w:val="none" w:sz="0" w:space="0" w:color="auto"/>
      </w:divBdr>
    </w:div>
    <w:div w:id="854736409">
      <w:bodyDiv w:val="1"/>
      <w:marLeft w:val="0"/>
      <w:marRight w:val="0"/>
      <w:marTop w:val="0"/>
      <w:marBottom w:val="0"/>
      <w:divBdr>
        <w:top w:val="none" w:sz="0" w:space="0" w:color="auto"/>
        <w:left w:val="none" w:sz="0" w:space="0" w:color="auto"/>
        <w:bottom w:val="none" w:sz="0" w:space="0" w:color="auto"/>
        <w:right w:val="none" w:sz="0" w:space="0" w:color="auto"/>
      </w:divBdr>
    </w:div>
    <w:div w:id="863252232">
      <w:bodyDiv w:val="1"/>
      <w:marLeft w:val="0"/>
      <w:marRight w:val="0"/>
      <w:marTop w:val="0"/>
      <w:marBottom w:val="0"/>
      <w:divBdr>
        <w:top w:val="none" w:sz="0" w:space="0" w:color="auto"/>
        <w:left w:val="none" w:sz="0" w:space="0" w:color="auto"/>
        <w:bottom w:val="none" w:sz="0" w:space="0" w:color="auto"/>
        <w:right w:val="none" w:sz="0" w:space="0" w:color="auto"/>
      </w:divBdr>
    </w:div>
    <w:div w:id="895629599">
      <w:bodyDiv w:val="1"/>
      <w:marLeft w:val="0"/>
      <w:marRight w:val="0"/>
      <w:marTop w:val="0"/>
      <w:marBottom w:val="0"/>
      <w:divBdr>
        <w:top w:val="none" w:sz="0" w:space="0" w:color="auto"/>
        <w:left w:val="none" w:sz="0" w:space="0" w:color="auto"/>
        <w:bottom w:val="none" w:sz="0" w:space="0" w:color="auto"/>
        <w:right w:val="none" w:sz="0" w:space="0" w:color="auto"/>
      </w:divBdr>
    </w:div>
    <w:div w:id="915285460">
      <w:bodyDiv w:val="1"/>
      <w:marLeft w:val="0"/>
      <w:marRight w:val="0"/>
      <w:marTop w:val="0"/>
      <w:marBottom w:val="0"/>
      <w:divBdr>
        <w:top w:val="none" w:sz="0" w:space="0" w:color="auto"/>
        <w:left w:val="none" w:sz="0" w:space="0" w:color="auto"/>
        <w:bottom w:val="none" w:sz="0" w:space="0" w:color="auto"/>
        <w:right w:val="none" w:sz="0" w:space="0" w:color="auto"/>
      </w:divBdr>
    </w:div>
    <w:div w:id="927956696">
      <w:bodyDiv w:val="1"/>
      <w:marLeft w:val="0"/>
      <w:marRight w:val="0"/>
      <w:marTop w:val="0"/>
      <w:marBottom w:val="0"/>
      <w:divBdr>
        <w:top w:val="none" w:sz="0" w:space="0" w:color="auto"/>
        <w:left w:val="none" w:sz="0" w:space="0" w:color="auto"/>
        <w:bottom w:val="none" w:sz="0" w:space="0" w:color="auto"/>
        <w:right w:val="none" w:sz="0" w:space="0" w:color="auto"/>
      </w:divBdr>
    </w:div>
    <w:div w:id="963655480">
      <w:bodyDiv w:val="1"/>
      <w:marLeft w:val="0"/>
      <w:marRight w:val="0"/>
      <w:marTop w:val="0"/>
      <w:marBottom w:val="0"/>
      <w:divBdr>
        <w:top w:val="none" w:sz="0" w:space="0" w:color="auto"/>
        <w:left w:val="none" w:sz="0" w:space="0" w:color="auto"/>
        <w:bottom w:val="none" w:sz="0" w:space="0" w:color="auto"/>
        <w:right w:val="none" w:sz="0" w:space="0" w:color="auto"/>
      </w:divBdr>
    </w:div>
    <w:div w:id="976031252">
      <w:bodyDiv w:val="1"/>
      <w:marLeft w:val="0"/>
      <w:marRight w:val="0"/>
      <w:marTop w:val="0"/>
      <w:marBottom w:val="0"/>
      <w:divBdr>
        <w:top w:val="none" w:sz="0" w:space="0" w:color="auto"/>
        <w:left w:val="none" w:sz="0" w:space="0" w:color="auto"/>
        <w:bottom w:val="none" w:sz="0" w:space="0" w:color="auto"/>
        <w:right w:val="none" w:sz="0" w:space="0" w:color="auto"/>
      </w:divBdr>
    </w:div>
    <w:div w:id="977877834">
      <w:bodyDiv w:val="1"/>
      <w:marLeft w:val="0"/>
      <w:marRight w:val="0"/>
      <w:marTop w:val="0"/>
      <w:marBottom w:val="0"/>
      <w:divBdr>
        <w:top w:val="none" w:sz="0" w:space="0" w:color="auto"/>
        <w:left w:val="none" w:sz="0" w:space="0" w:color="auto"/>
        <w:bottom w:val="none" w:sz="0" w:space="0" w:color="auto"/>
        <w:right w:val="none" w:sz="0" w:space="0" w:color="auto"/>
      </w:divBdr>
    </w:div>
    <w:div w:id="992875687">
      <w:bodyDiv w:val="1"/>
      <w:marLeft w:val="0"/>
      <w:marRight w:val="0"/>
      <w:marTop w:val="0"/>
      <w:marBottom w:val="0"/>
      <w:divBdr>
        <w:top w:val="none" w:sz="0" w:space="0" w:color="auto"/>
        <w:left w:val="none" w:sz="0" w:space="0" w:color="auto"/>
        <w:bottom w:val="none" w:sz="0" w:space="0" w:color="auto"/>
        <w:right w:val="none" w:sz="0" w:space="0" w:color="auto"/>
      </w:divBdr>
    </w:div>
    <w:div w:id="1037465433">
      <w:bodyDiv w:val="1"/>
      <w:marLeft w:val="0"/>
      <w:marRight w:val="0"/>
      <w:marTop w:val="0"/>
      <w:marBottom w:val="0"/>
      <w:divBdr>
        <w:top w:val="none" w:sz="0" w:space="0" w:color="auto"/>
        <w:left w:val="none" w:sz="0" w:space="0" w:color="auto"/>
        <w:bottom w:val="none" w:sz="0" w:space="0" w:color="auto"/>
        <w:right w:val="none" w:sz="0" w:space="0" w:color="auto"/>
      </w:divBdr>
    </w:div>
    <w:div w:id="1061055083">
      <w:bodyDiv w:val="1"/>
      <w:marLeft w:val="0"/>
      <w:marRight w:val="0"/>
      <w:marTop w:val="0"/>
      <w:marBottom w:val="0"/>
      <w:divBdr>
        <w:top w:val="none" w:sz="0" w:space="0" w:color="auto"/>
        <w:left w:val="none" w:sz="0" w:space="0" w:color="auto"/>
        <w:bottom w:val="none" w:sz="0" w:space="0" w:color="auto"/>
        <w:right w:val="none" w:sz="0" w:space="0" w:color="auto"/>
      </w:divBdr>
    </w:div>
    <w:div w:id="1066805480">
      <w:bodyDiv w:val="1"/>
      <w:marLeft w:val="0"/>
      <w:marRight w:val="0"/>
      <w:marTop w:val="0"/>
      <w:marBottom w:val="0"/>
      <w:divBdr>
        <w:top w:val="none" w:sz="0" w:space="0" w:color="auto"/>
        <w:left w:val="none" w:sz="0" w:space="0" w:color="auto"/>
        <w:bottom w:val="none" w:sz="0" w:space="0" w:color="auto"/>
        <w:right w:val="none" w:sz="0" w:space="0" w:color="auto"/>
      </w:divBdr>
    </w:div>
    <w:div w:id="1098257284">
      <w:bodyDiv w:val="1"/>
      <w:marLeft w:val="0"/>
      <w:marRight w:val="0"/>
      <w:marTop w:val="0"/>
      <w:marBottom w:val="0"/>
      <w:divBdr>
        <w:top w:val="none" w:sz="0" w:space="0" w:color="auto"/>
        <w:left w:val="none" w:sz="0" w:space="0" w:color="auto"/>
        <w:bottom w:val="none" w:sz="0" w:space="0" w:color="auto"/>
        <w:right w:val="none" w:sz="0" w:space="0" w:color="auto"/>
      </w:divBdr>
    </w:div>
    <w:div w:id="1103376771">
      <w:bodyDiv w:val="1"/>
      <w:marLeft w:val="0"/>
      <w:marRight w:val="0"/>
      <w:marTop w:val="0"/>
      <w:marBottom w:val="0"/>
      <w:divBdr>
        <w:top w:val="none" w:sz="0" w:space="0" w:color="auto"/>
        <w:left w:val="none" w:sz="0" w:space="0" w:color="auto"/>
        <w:bottom w:val="none" w:sz="0" w:space="0" w:color="auto"/>
        <w:right w:val="none" w:sz="0" w:space="0" w:color="auto"/>
      </w:divBdr>
    </w:div>
    <w:div w:id="1105660971">
      <w:bodyDiv w:val="1"/>
      <w:marLeft w:val="0"/>
      <w:marRight w:val="0"/>
      <w:marTop w:val="0"/>
      <w:marBottom w:val="0"/>
      <w:divBdr>
        <w:top w:val="none" w:sz="0" w:space="0" w:color="auto"/>
        <w:left w:val="none" w:sz="0" w:space="0" w:color="auto"/>
        <w:bottom w:val="none" w:sz="0" w:space="0" w:color="auto"/>
        <w:right w:val="none" w:sz="0" w:space="0" w:color="auto"/>
      </w:divBdr>
    </w:div>
    <w:div w:id="1119446090">
      <w:bodyDiv w:val="1"/>
      <w:marLeft w:val="0"/>
      <w:marRight w:val="0"/>
      <w:marTop w:val="0"/>
      <w:marBottom w:val="0"/>
      <w:divBdr>
        <w:top w:val="none" w:sz="0" w:space="0" w:color="auto"/>
        <w:left w:val="none" w:sz="0" w:space="0" w:color="auto"/>
        <w:bottom w:val="none" w:sz="0" w:space="0" w:color="auto"/>
        <w:right w:val="none" w:sz="0" w:space="0" w:color="auto"/>
      </w:divBdr>
    </w:div>
    <w:div w:id="1155682889">
      <w:bodyDiv w:val="1"/>
      <w:marLeft w:val="0"/>
      <w:marRight w:val="0"/>
      <w:marTop w:val="0"/>
      <w:marBottom w:val="0"/>
      <w:divBdr>
        <w:top w:val="none" w:sz="0" w:space="0" w:color="auto"/>
        <w:left w:val="none" w:sz="0" w:space="0" w:color="auto"/>
        <w:bottom w:val="none" w:sz="0" w:space="0" w:color="auto"/>
        <w:right w:val="none" w:sz="0" w:space="0" w:color="auto"/>
      </w:divBdr>
    </w:div>
    <w:div w:id="1203639695">
      <w:bodyDiv w:val="1"/>
      <w:marLeft w:val="0"/>
      <w:marRight w:val="0"/>
      <w:marTop w:val="0"/>
      <w:marBottom w:val="0"/>
      <w:divBdr>
        <w:top w:val="none" w:sz="0" w:space="0" w:color="auto"/>
        <w:left w:val="none" w:sz="0" w:space="0" w:color="auto"/>
        <w:bottom w:val="none" w:sz="0" w:space="0" w:color="auto"/>
        <w:right w:val="none" w:sz="0" w:space="0" w:color="auto"/>
      </w:divBdr>
    </w:div>
    <w:div w:id="1285114392">
      <w:bodyDiv w:val="1"/>
      <w:marLeft w:val="0"/>
      <w:marRight w:val="0"/>
      <w:marTop w:val="0"/>
      <w:marBottom w:val="0"/>
      <w:divBdr>
        <w:top w:val="none" w:sz="0" w:space="0" w:color="auto"/>
        <w:left w:val="none" w:sz="0" w:space="0" w:color="auto"/>
        <w:bottom w:val="none" w:sz="0" w:space="0" w:color="auto"/>
        <w:right w:val="none" w:sz="0" w:space="0" w:color="auto"/>
      </w:divBdr>
    </w:div>
    <w:div w:id="1319920018">
      <w:bodyDiv w:val="1"/>
      <w:marLeft w:val="0"/>
      <w:marRight w:val="0"/>
      <w:marTop w:val="0"/>
      <w:marBottom w:val="0"/>
      <w:divBdr>
        <w:top w:val="none" w:sz="0" w:space="0" w:color="auto"/>
        <w:left w:val="none" w:sz="0" w:space="0" w:color="auto"/>
        <w:bottom w:val="none" w:sz="0" w:space="0" w:color="auto"/>
        <w:right w:val="none" w:sz="0" w:space="0" w:color="auto"/>
      </w:divBdr>
    </w:div>
    <w:div w:id="1411467241">
      <w:bodyDiv w:val="1"/>
      <w:marLeft w:val="0"/>
      <w:marRight w:val="0"/>
      <w:marTop w:val="0"/>
      <w:marBottom w:val="0"/>
      <w:divBdr>
        <w:top w:val="none" w:sz="0" w:space="0" w:color="auto"/>
        <w:left w:val="none" w:sz="0" w:space="0" w:color="auto"/>
        <w:bottom w:val="none" w:sz="0" w:space="0" w:color="auto"/>
        <w:right w:val="none" w:sz="0" w:space="0" w:color="auto"/>
      </w:divBdr>
    </w:div>
    <w:div w:id="1452941691">
      <w:bodyDiv w:val="1"/>
      <w:marLeft w:val="0"/>
      <w:marRight w:val="0"/>
      <w:marTop w:val="0"/>
      <w:marBottom w:val="0"/>
      <w:divBdr>
        <w:top w:val="none" w:sz="0" w:space="0" w:color="auto"/>
        <w:left w:val="none" w:sz="0" w:space="0" w:color="auto"/>
        <w:bottom w:val="none" w:sz="0" w:space="0" w:color="auto"/>
        <w:right w:val="none" w:sz="0" w:space="0" w:color="auto"/>
      </w:divBdr>
    </w:div>
    <w:div w:id="1509977555">
      <w:bodyDiv w:val="1"/>
      <w:marLeft w:val="0"/>
      <w:marRight w:val="0"/>
      <w:marTop w:val="0"/>
      <w:marBottom w:val="0"/>
      <w:divBdr>
        <w:top w:val="none" w:sz="0" w:space="0" w:color="auto"/>
        <w:left w:val="none" w:sz="0" w:space="0" w:color="auto"/>
        <w:bottom w:val="none" w:sz="0" w:space="0" w:color="auto"/>
        <w:right w:val="none" w:sz="0" w:space="0" w:color="auto"/>
      </w:divBdr>
    </w:div>
    <w:div w:id="1522622126">
      <w:bodyDiv w:val="1"/>
      <w:marLeft w:val="0"/>
      <w:marRight w:val="0"/>
      <w:marTop w:val="0"/>
      <w:marBottom w:val="0"/>
      <w:divBdr>
        <w:top w:val="none" w:sz="0" w:space="0" w:color="auto"/>
        <w:left w:val="none" w:sz="0" w:space="0" w:color="auto"/>
        <w:bottom w:val="none" w:sz="0" w:space="0" w:color="auto"/>
        <w:right w:val="none" w:sz="0" w:space="0" w:color="auto"/>
      </w:divBdr>
    </w:div>
    <w:div w:id="1602761250">
      <w:bodyDiv w:val="1"/>
      <w:marLeft w:val="0"/>
      <w:marRight w:val="0"/>
      <w:marTop w:val="0"/>
      <w:marBottom w:val="0"/>
      <w:divBdr>
        <w:top w:val="none" w:sz="0" w:space="0" w:color="auto"/>
        <w:left w:val="none" w:sz="0" w:space="0" w:color="auto"/>
        <w:bottom w:val="none" w:sz="0" w:space="0" w:color="auto"/>
        <w:right w:val="none" w:sz="0" w:space="0" w:color="auto"/>
      </w:divBdr>
    </w:div>
    <w:div w:id="1604848073">
      <w:bodyDiv w:val="1"/>
      <w:marLeft w:val="0"/>
      <w:marRight w:val="0"/>
      <w:marTop w:val="0"/>
      <w:marBottom w:val="0"/>
      <w:divBdr>
        <w:top w:val="none" w:sz="0" w:space="0" w:color="auto"/>
        <w:left w:val="none" w:sz="0" w:space="0" w:color="auto"/>
        <w:bottom w:val="none" w:sz="0" w:space="0" w:color="auto"/>
        <w:right w:val="none" w:sz="0" w:space="0" w:color="auto"/>
      </w:divBdr>
    </w:div>
    <w:div w:id="1653411000">
      <w:bodyDiv w:val="1"/>
      <w:marLeft w:val="0"/>
      <w:marRight w:val="0"/>
      <w:marTop w:val="0"/>
      <w:marBottom w:val="0"/>
      <w:divBdr>
        <w:top w:val="none" w:sz="0" w:space="0" w:color="auto"/>
        <w:left w:val="none" w:sz="0" w:space="0" w:color="auto"/>
        <w:bottom w:val="none" w:sz="0" w:space="0" w:color="auto"/>
        <w:right w:val="none" w:sz="0" w:space="0" w:color="auto"/>
      </w:divBdr>
    </w:div>
    <w:div w:id="1693141612">
      <w:bodyDiv w:val="1"/>
      <w:marLeft w:val="0"/>
      <w:marRight w:val="0"/>
      <w:marTop w:val="0"/>
      <w:marBottom w:val="0"/>
      <w:divBdr>
        <w:top w:val="none" w:sz="0" w:space="0" w:color="auto"/>
        <w:left w:val="none" w:sz="0" w:space="0" w:color="auto"/>
        <w:bottom w:val="none" w:sz="0" w:space="0" w:color="auto"/>
        <w:right w:val="none" w:sz="0" w:space="0" w:color="auto"/>
      </w:divBdr>
    </w:div>
    <w:div w:id="1737050332">
      <w:bodyDiv w:val="1"/>
      <w:marLeft w:val="0"/>
      <w:marRight w:val="0"/>
      <w:marTop w:val="0"/>
      <w:marBottom w:val="0"/>
      <w:divBdr>
        <w:top w:val="none" w:sz="0" w:space="0" w:color="auto"/>
        <w:left w:val="none" w:sz="0" w:space="0" w:color="auto"/>
        <w:bottom w:val="none" w:sz="0" w:space="0" w:color="auto"/>
        <w:right w:val="none" w:sz="0" w:space="0" w:color="auto"/>
      </w:divBdr>
    </w:div>
    <w:div w:id="1754887925">
      <w:bodyDiv w:val="1"/>
      <w:marLeft w:val="0"/>
      <w:marRight w:val="0"/>
      <w:marTop w:val="0"/>
      <w:marBottom w:val="0"/>
      <w:divBdr>
        <w:top w:val="none" w:sz="0" w:space="0" w:color="auto"/>
        <w:left w:val="none" w:sz="0" w:space="0" w:color="auto"/>
        <w:bottom w:val="none" w:sz="0" w:space="0" w:color="auto"/>
        <w:right w:val="none" w:sz="0" w:space="0" w:color="auto"/>
      </w:divBdr>
    </w:div>
    <w:div w:id="1773474893">
      <w:bodyDiv w:val="1"/>
      <w:marLeft w:val="0"/>
      <w:marRight w:val="0"/>
      <w:marTop w:val="0"/>
      <w:marBottom w:val="0"/>
      <w:divBdr>
        <w:top w:val="none" w:sz="0" w:space="0" w:color="auto"/>
        <w:left w:val="none" w:sz="0" w:space="0" w:color="auto"/>
        <w:bottom w:val="none" w:sz="0" w:space="0" w:color="auto"/>
        <w:right w:val="none" w:sz="0" w:space="0" w:color="auto"/>
      </w:divBdr>
    </w:div>
    <w:div w:id="1785416438">
      <w:bodyDiv w:val="1"/>
      <w:marLeft w:val="0"/>
      <w:marRight w:val="0"/>
      <w:marTop w:val="0"/>
      <w:marBottom w:val="0"/>
      <w:divBdr>
        <w:top w:val="none" w:sz="0" w:space="0" w:color="auto"/>
        <w:left w:val="none" w:sz="0" w:space="0" w:color="auto"/>
        <w:bottom w:val="none" w:sz="0" w:space="0" w:color="auto"/>
        <w:right w:val="none" w:sz="0" w:space="0" w:color="auto"/>
      </w:divBdr>
    </w:div>
    <w:div w:id="1798182403">
      <w:bodyDiv w:val="1"/>
      <w:marLeft w:val="0"/>
      <w:marRight w:val="0"/>
      <w:marTop w:val="0"/>
      <w:marBottom w:val="0"/>
      <w:divBdr>
        <w:top w:val="none" w:sz="0" w:space="0" w:color="auto"/>
        <w:left w:val="none" w:sz="0" w:space="0" w:color="auto"/>
        <w:bottom w:val="none" w:sz="0" w:space="0" w:color="auto"/>
        <w:right w:val="none" w:sz="0" w:space="0" w:color="auto"/>
      </w:divBdr>
    </w:div>
    <w:div w:id="1800344743">
      <w:bodyDiv w:val="1"/>
      <w:marLeft w:val="0"/>
      <w:marRight w:val="0"/>
      <w:marTop w:val="0"/>
      <w:marBottom w:val="0"/>
      <w:divBdr>
        <w:top w:val="none" w:sz="0" w:space="0" w:color="auto"/>
        <w:left w:val="none" w:sz="0" w:space="0" w:color="auto"/>
        <w:bottom w:val="none" w:sz="0" w:space="0" w:color="auto"/>
        <w:right w:val="none" w:sz="0" w:space="0" w:color="auto"/>
      </w:divBdr>
    </w:div>
    <w:div w:id="1810855539">
      <w:bodyDiv w:val="1"/>
      <w:marLeft w:val="0"/>
      <w:marRight w:val="0"/>
      <w:marTop w:val="0"/>
      <w:marBottom w:val="0"/>
      <w:divBdr>
        <w:top w:val="none" w:sz="0" w:space="0" w:color="auto"/>
        <w:left w:val="none" w:sz="0" w:space="0" w:color="auto"/>
        <w:bottom w:val="none" w:sz="0" w:space="0" w:color="auto"/>
        <w:right w:val="none" w:sz="0" w:space="0" w:color="auto"/>
      </w:divBdr>
    </w:div>
    <w:div w:id="1818183488">
      <w:bodyDiv w:val="1"/>
      <w:marLeft w:val="0"/>
      <w:marRight w:val="0"/>
      <w:marTop w:val="0"/>
      <w:marBottom w:val="0"/>
      <w:divBdr>
        <w:top w:val="none" w:sz="0" w:space="0" w:color="auto"/>
        <w:left w:val="none" w:sz="0" w:space="0" w:color="auto"/>
        <w:bottom w:val="none" w:sz="0" w:space="0" w:color="auto"/>
        <w:right w:val="none" w:sz="0" w:space="0" w:color="auto"/>
      </w:divBdr>
    </w:div>
    <w:div w:id="1832091537">
      <w:bodyDiv w:val="1"/>
      <w:marLeft w:val="0"/>
      <w:marRight w:val="0"/>
      <w:marTop w:val="0"/>
      <w:marBottom w:val="0"/>
      <w:divBdr>
        <w:top w:val="none" w:sz="0" w:space="0" w:color="auto"/>
        <w:left w:val="none" w:sz="0" w:space="0" w:color="auto"/>
        <w:bottom w:val="none" w:sz="0" w:space="0" w:color="auto"/>
        <w:right w:val="none" w:sz="0" w:space="0" w:color="auto"/>
      </w:divBdr>
    </w:div>
    <w:div w:id="1832521601">
      <w:bodyDiv w:val="1"/>
      <w:marLeft w:val="0"/>
      <w:marRight w:val="0"/>
      <w:marTop w:val="0"/>
      <w:marBottom w:val="0"/>
      <w:divBdr>
        <w:top w:val="none" w:sz="0" w:space="0" w:color="auto"/>
        <w:left w:val="none" w:sz="0" w:space="0" w:color="auto"/>
        <w:bottom w:val="none" w:sz="0" w:space="0" w:color="auto"/>
        <w:right w:val="none" w:sz="0" w:space="0" w:color="auto"/>
      </w:divBdr>
    </w:div>
    <w:div w:id="1866822672">
      <w:bodyDiv w:val="1"/>
      <w:marLeft w:val="0"/>
      <w:marRight w:val="0"/>
      <w:marTop w:val="0"/>
      <w:marBottom w:val="0"/>
      <w:divBdr>
        <w:top w:val="none" w:sz="0" w:space="0" w:color="auto"/>
        <w:left w:val="none" w:sz="0" w:space="0" w:color="auto"/>
        <w:bottom w:val="none" w:sz="0" w:space="0" w:color="auto"/>
        <w:right w:val="none" w:sz="0" w:space="0" w:color="auto"/>
      </w:divBdr>
    </w:div>
    <w:div w:id="1897079838">
      <w:bodyDiv w:val="1"/>
      <w:marLeft w:val="0"/>
      <w:marRight w:val="0"/>
      <w:marTop w:val="0"/>
      <w:marBottom w:val="0"/>
      <w:divBdr>
        <w:top w:val="none" w:sz="0" w:space="0" w:color="auto"/>
        <w:left w:val="none" w:sz="0" w:space="0" w:color="auto"/>
        <w:bottom w:val="none" w:sz="0" w:space="0" w:color="auto"/>
        <w:right w:val="none" w:sz="0" w:space="0" w:color="auto"/>
      </w:divBdr>
    </w:div>
    <w:div w:id="1911502395">
      <w:bodyDiv w:val="1"/>
      <w:marLeft w:val="0"/>
      <w:marRight w:val="0"/>
      <w:marTop w:val="0"/>
      <w:marBottom w:val="0"/>
      <w:divBdr>
        <w:top w:val="none" w:sz="0" w:space="0" w:color="auto"/>
        <w:left w:val="none" w:sz="0" w:space="0" w:color="auto"/>
        <w:bottom w:val="none" w:sz="0" w:space="0" w:color="auto"/>
        <w:right w:val="none" w:sz="0" w:space="0" w:color="auto"/>
      </w:divBdr>
    </w:div>
    <w:div w:id="1940988779">
      <w:bodyDiv w:val="1"/>
      <w:marLeft w:val="0"/>
      <w:marRight w:val="0"/>
      <w:marTop w:val="0"/>
      <w:marBottom w:val="0"/>
      <w:divBdr>
        <w:top w:val="none" w:sz="0" w:space="0" w:color="auto"/>
        <w:left w:val="none" w:sz="0" w:space="0" w:color="auto"/>
        <w:bottom w:val="none" w:sz="0" w:space="0" w:color="auto"/>
        <w:right w:val="none" w:sz="0" w:space="0" w:color="auto"/>
      </w:divBdr>
    </w:div>
    <w:div w:id="1942519630">
      <w:bodyDiv w:val="1"/>
      <w:marLeft w:val="0"/>
      <w:marRight w:val="0"/>
      <w:marTop w:val="0"/>
      <w:marBottom w:val="0"/>
      <w:divBdr>
        <w:top w:val="none" w:sz="0" w:space="0" w:color="auto"/>
        <w:left w:val="none" w:sz="0" w:space="0" w:color="auto"/>
        <w:bottom w:val="none" w:sz="0" w:space="0" w:color="auto"/>
        <w:right w:val="none" w:sz="0" w:space="0" w:color="auto"/>
      </w:divBdr>
    </w:div>
    <w:div w:id="1986158532">
      <w:bodyDiv w:val="1"/>
      <w:marLeft w:val="0"/>
      <w:marRight w:val="0"/>
      <w:marTop w:val="0"/>
      <w:marBottom w:val="0"/>
      <w:divBdr>
        <w:top w:val="none" w:sz="0" w:space="0" w:color="auto"/>
        <w:left w:val="none" w:sz="0" w:space="0" w:color="auto"/>
        <w:bottom w:val="none" w:sz="0" w:space="0" w:color="auto"/>
        <w:right w:val="none" w:sz="0" w:space="0" w:color="auto"/>
      </w:divBdr>
    </w:div>
    <w:div w:id="2010710671">
      <w:bodyDiv w:val="1"/>
      <w:marLeft w:val="0"/>
      <w:marRight w:val="0"/>
      <w:marTop w:val="0"/>
      <w:marBottom w:val="0"/>
      <w:divBdr>
        <w:top w:val="none" w:sz="0" w:space="0" w:color="auto"/>
        <w:left w:val="none" w:sz="0" w:space="0" w:color="auto"/>
        <w:bottom w:val="none" w:sz="0" w:space="0" w:color="auto"/>
        <w:right w:val="none" w:sz="0" w:space="0" w:color="auto"/>
      </w:divBdr>
    </w:div>
    <w:div w:id="2039161849">
      <w:bodyDiv w:val="1"/>
      <w:marLeft w:val="0"/>
      <w:marRight w:val="0"/>
      <w:marTop w:val="0"/>
      <w:marBottom w:val="0"/>
      <w:divBdr>
        <w:top w:val="none" w:sz="0" w:space="0" w:color="auto"/>
        <w:left w:val="none" w:sz="0" w:space="0" w:color="auto"/>
        <w:bottom w:val="none" w:sz="0" w:space="0" w:color="auto"/>
        <w:right w:val="none" w:sz="0" w:space="0" w:color="auto"/>
      </w:divBdr>
    </w:div>
    <w:div w:id="2050912498">
      <w:bodyDiv w:val="1"/>
      <w:marLeft w:val="0"/>
      <w:marRight w:val="0"/>
      <w:marTop w:val="0"/>
      <w:marBottom w:val="0"/>
      <w:divBdr>
        <w:top w:val="none" w:sz="0" w:space="0" w:color="auto"/>
        <w:left w:val="none" w:sz="0" w:space="0" w:color="auto"/>
        <w:bottom w:val="none" w:sz="0" w:space="0" w:color="auto"/>
        <w:right w:val="none" w:sz="0" w:space="0" w:color="auto"/>
      </w:divBdr>
    </w:div>
    <w:div w:id="2102220570">
      <w:bodyDiv w:val="1"/>
      <w:marLeft w:val="0"/>
      <w:marRight w:val="0"/>
      <w:marTop w:val="0"/>
      <w:marBottom w:val="0"/>
      <w:divBdr>
        <w:top w:val="none" w:sz="0" w:space="0" w:color="auto"/>
        <w:left w:val="none" w:sz="0" w:space="0" w:color="auto"/>
        <w:bottom w:val="none" w:sz="0" w:space="0" w:color="auto"/>
        <w:right w:val="none" w:sz="0" w:space="0" w:color="auto"/>
      </w:divBdr>
    </w:div>
    <w:div w:id="212029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0C59DB-7F06-4DD8-BBFD-EA852ED0F49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3995</Words>
  <Characters>22776</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EHS</dc:creator>
  <cp:lastModifiedBy>Sousa, Pam (EHS)</cp:lastModifiedBy>
  <cp:revision>2</cp:revision>
  <cp:lastPrinted>2022-06-01T18:00:00Z</cp:lastPrinted>
  <dcterms:created xsi:type="dcterms:W3CDTF">2024-10-09T13:56:00Z</dcterms:created>
  <dcterms:modified xsi:type="dcterms:W3CDTF">2024-10-09T13:56:00Z</dcterms:modified>
</cp:coreProperties>
</file>