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A67" w14:textId="77777777" w:rsidR="00442503" w:rsidRPr="001D5BA2" w:rsidRDefault="000B5BA1">
      <w:pPr>
        <w:suppressAutoHyphens/>
        <w:rPr>
          <w:rFonts w:ascii="Times New Roman" w:hAnsi="Times New Roman"/>
          <w:spacing w:val="-3"/>
          <w:sz w:val="22"/>
          <w:szCs w:val="22"/>
        </w:rPr>
      </w:pPr>
      <w:r w:rsidRPr="001D5BA2">
        <w:rPr>
          <w:rFonts w:ascii="Times New Roman" w:hAnsi="Times New Roman"/>
          <w:spacing w:val="-3"/>
          <w:sz w:val="22"/>
          <w:szCs w:val="22"/>
        </w:rPr>
        <w:t>S</w:t>
      </w:r>
      <w:r w:rsidR="00442503" w:rsidRPr="001D5BA2">
        <w:rPr>
          <w:rFonts w:ascii="Times New Roman" w:hAnsi="Times New Roman"/>
          <w:spacing w:val="-3"/>
          <w:sz w:val="22"/>
          <w:szCs w:val="22"/>
        </w:rPr>
        <w:t>ection</w:t>
      </w:r>
    </w:p>
    <w:p w14:paraId="0DA07BAD" w14:textId="77777777" w:rsidR="00442503" w:rsidRPr="001D5BA2" w:rsidRDefault="00442503">
      <w:pPr>
        <w:suppressAutoHyphens/>
        <w:rPr>
          <w:rFonts w:ascii="Times New Roman" w:hAnsi="Times New Roman"/>
          <w:spacing w:val="-3"/>
          <w:sz w:val="22"/>
          <w:szCs w:val="22"/>
        </w:rPr>
      </w:pPr>
    </w:p>
    <w:p w14:paraId="60B54F8C" w14:textId="77777777" w:rsidR="00442503" w:rsidRPr="001D5BA2" w:rsidRDefault="00534722">
      <w:pPr>
        <w:suppressAutoHyphens/>
        <w:rPr>
          <w:rFonts w:ascii="Times New Roman" w:hAnsi="Times New Roman"/>
          <w:spacing w:val="-3"/>
          <w:sz w:val="22"/>
          <w:szCs w:val="22"/>
        </w:rPr>
      </w:pPr>
      <w:r>
        <w:rPr>
          <w:rFonts w:ascii="Times New Roman" w:hAnsi="Times New Roman"/>
          <w:spacing w:val="-3"/>
          <w:sz w:val="22"/>
          <w:szCs w:val="22"/>
        </w:rPr>
        <w:t>429</w:t>
      </w:r>
      <w:r w:rsidR="00442503" w:rsidRPr="001D5BA2">
        <w:rPr>
          <w:rFonts w:ascii="Times New Roman" w:hAnsi="Times New Roman"/>
          <w:spacing w:val="-3"/>
          <w:sz w:val="22"/>
          <w:szCs w:val="22"/>
        </w:rPr>
        <w:t>.01:</w:t>
      </w:r>
      <w:r w:rsidR="00F220EE" w:rsidRPr="001D5BA2">
        <w:rPr>
          <w:rFonts w:ascii="Times New Roman" w:hAnsi="Times New Roman"/>
          <w:spacing w:val="-3"/>
          <w:sz w:val="22"/>
          <w:szCs w:val="22"/>
        </w:rPr>
        <w:t xml:space="preserve">  </w:t>
      </w:r>
      <w:r w:rsidR="00442503" w:rsidRPr="001D5BA2">
        <w:rPr>
          <w:rFonts w:ascii="Times New Roman" w:hAnsi="Times New Roman"/>
          <w:spacing w:val="-3"/>
          <w:sz w:val="22"/>
          <w:szCs w:val="22"/>
        </w:rPr>
        <w:t>General Provisions</w:t>
      </w:r>
    </w:p>
    <w:p w14:paraId="26B99470" w14:textId="77777777" w:rsidR="00442503" w:rsidRPr="001D5BA2" w:rsidRDefault="00534722">
      <w:pPr>
        <w:suppressAutoHyphens/>
        <w:rPr>
          <w:rFonts w:ascii="Times New Roman" w:hAnsi="Times New Roman"/>
          <w:spacing w:val="-3"/>
          <w:sz w:val="22"/>
          <w:szCs w:val="22"/>
        </w:rPr>
      </w:pPr>
      <w:r>
        <w:rPr>
          <w:rFonts w:ascii="Times New Roman" w:hAnsi="Times New Roman"/>
          <w:spacing w:val="-3"/>
          <w:sz w:val="22"/>
          <w:szCs w:val="22"/>
        </w:rPr>
        <w:t>429</w:t>
      </w:r>
      <w:r w:rsidR="00442503" w:rsidRPr="001D5BA2">
        <w:rPr>
          <w:rFonts w:ascii="Times New Roman" w:hAnsi="Times New Roman"/>
          <w:spacing w:val="-3"/>
          <w:sz w:val="22"/>
          <w:szCs w:val="22"/>
        </w:rPr>
        <w:t>.02:</w:t>
      </w:r>
      <w:r w:rsidR="00F220EE" w:rsidRPr="001D5BA2">
        <w:rPr>
          <w:rFonts w:ascii="Times New Roman" w:hAnsi="Times New Roman"/>
          <w:spacing w:val="-3"/>
          <w:sz w:val="22"/>
          <w:szCs w:val="22"/>
        </w:rPr>
        <w:t xml:space="preserve">  </w:t>
      </w:r>
      <w:r w:rsidR="00442503" w:rsidRPr="001D5BA2">
        <w:rPr>
          <w:rFonts w:ascii="Times New Roman" w:hAnsi="Times New Roman"/>
          <w:spacing w:val="-3"/>
          <w:sz w:val="22"/>
          <w:szCs w:val="22"/>
        </w:rPr>
        <w:t>Definitions</w:t>
      </w:r>
    </w:p>
    <w:p w14:paraId="388059B7" w14:textId="77777777" w:rsidR="006C2348" w:rsidRPr="001D5BA2" w:rsidRDefault="00534722">
      <w:pPr>
        <w:suppressAutoHyphens/>
        <w:rPr>
          <w:rFonts w:ascii="Times New Roman" w:hAnsi="Times New Roman"/>
          <w:spacing w:val="-3"/>
          <w:sz w:val="22"/>
          <w:szCs w:val="22"/>
        </w:rPr>
      </w:pPr>
      <w:r>
        <w:rPr>
          <w:rFonts w:ascii="Times New Roman" w:hAnsi="Times New Roman"/>
          <w:spacing w:val="-3"/>
          <w:sz w:val="22"/>
          <w:szCs w:val="22"/>
        </w:rPr>
        <w:t>429</w:t>
      </w:r>
      <w:r w:rsidR="00442503" w:rsidRPr="001D5BA2">
        <w:rPr>
          <w:rFonts w:ascii="Times New Roman" w:hAnsi="Times New Roman"/>
          <w:spacing w:val="-3"/>
          <w:sz w:val="22"/>
          <w:szCs w:val="22"/>
        </w:rPr>
        <w:t>.0</w:t>
      </w:r>
      <w:r w:rsidR="006C2348" w:rsidRPr="001D5BA2">
        <w:rPr>
          <w:rFonts w:ascii="Times New Roman" w:hAnsi="Times New Roman"/>
          <w:spacing w:val="-3"/>
          <w:sz w:val="22"/>
          <w:szCs w:val="22"/>
        </w:rPr>
        <w:t>3</w:t>
      </w:r>
      <w:r w:rsidR="00442503" w:rsidRPr="001D5BA2">
        <w:rPr>
          <w:rFonts w:ascii="Times New Roman" w:hAnsi="Times New Roman"/>
          <w:spacing w:val="-3"/>
          <w:sz w:val="22"/>
          <w:szCs w:val="22"/>
        </w:rPr>
        <w:t>:</w:t>
      </w:r>
      <w:r w:rsidR="00F220EE" w:rsidRPr="001D5BA2">
        <w:rPr>
          <w:rFonts w:ascii="Times New Roman" w:hAnsi="Times New Roman"/>
          <w:spacing w:val="-3"/>
          <w:sz w:val="22"/>
          <w:szCs w:val="22"/>
        </w:rPr>
        <w:t xml:space="preserve">  </w:t>
      </w:r>
      <w:r w:rsidR="006C2348" w:rsidRPr="001D5BA2">
        <w:rPr>
          <w:rFonts w:ascii="Times New Roman" w:hAnsi="Times New Roman"/>
          <w:spacing w:val="-3"/>
          <w:sz w:val="22"/>
          <w:szCs w:val="22"/>
        </w:rPr>
        <w:t xml:space="preserve">Rate Provisions </w:t>
      </w:r>
    </w:p>
    <w:p w14:paraId="2EFE90D5" w14:textId="77777777" w:rsidR="00442503" w:rsidRPr="001D5BA2" w:rsidRDefault="00534722">
      <w:pPr>
        <w:suppressAutoHyphens/>
        <w:rPr>
          <w:rFonts w:ascii="Times New Roman" w:hAnsi="Times New Roman"/>
          <w:spacing w:val="-3"/>
          <w:sz w:val="22"/>
          <w:szCs w:val="22"/>
        </w:rPr>
      </w:pPr>
      <w:r>
        <w:rPr>
          <w:rFonts w:ascii="Times New Roman" w:hAnsi="Times New Roman"/>
          <w:spacing w:val="-3"/>
          <w:sz w:val="22"/>
          <w:szCs w:val="22"/>
        </w:rPr>
        <w:t>429</w:t>
      </w:r>
      <w:r w:rsidR="006C2348" w:rsidRPr="001D5BA2">
        <w:rPr>
          <w:rFonts w:ascii="Times New Roman" w:hAnsi="Times New Roman"/>
          <w:spacing w:val="-3"/>
          <w:sz w:val="22"/>
          <w:szCs w:val="22"/>
        </w:rPr>
        <w:t>.04:</w:t>
      </w:r>
      <w:r w:rsidR="00B73322" w:rsidRPr="001D5BA2">
        <w:rPr>
          <w:rFonts w:ascii="Times New Roman" w:hAnsi="Times New Roman"/>
          <w:spacing w:val="-3"/>
          <w:sz w:val="22"/>
          <w:szCs w:val="22"/>
        </w:rPr>
        <w:t xml:space="preserve"> </w:t>
      </w:r>
      <w:r w:rsidR="007D45AE" w:rsidRPr="001D5BA2">
        <w:rPr>
          <w:rFonts w:ascii="Times New Roman" w:hAnsi="Times New Roman"/>
          <w:spacing w:val="-3"/>
          <w:sz w:val="22"/>
          <w:szCs w:val="22"/>
        </w:rPr>
        <w:t xml:space="preserve"> </w:t>
      </w:r>
      <w:r w:rsidR="006C2348" w:rsidRPr="001D5BA2">
        <w:rPr>
          <w:rFonts w:ascii="Times New Roman" w:hAnsi="Times New Roman"/>
          <w:spacing w:val="-3"/>
          <w:sz w:val="22"/>
          <w:szCs w:val="22"/>
        </w:rPr>
        <w:t>Fi</w:t>
      </w:r>
      <w:r w:rsidR="00442503" w:rsidRPr="001D5BA2">
        <w:rPr>
          <w:rFonts w:ascii="Times New Roman" w:hAnsi="Times New Roman"/>
          <w:spacing w:val="-3"/>
          <w:sz w:val="22"/>
          <w:szCs w:val="22"/>
        </w:rPr>
        <w:t>ling and Reporting Requirements</w:t>
      </w:r>
    </w:p>
    <w:p w14:paraId="7706FC90" w14:textId="77777777" w:rsidR="00442503" w:rsidRPr="001D5BA2" w:rsidRDefault="00534722">
      <w:pPr>
        <w:suppressAutoHyphens/>
        <w:rPr>
          <w:rFonts w:ascii="Times New Roman" w:hAnsi="Times New Roman"/>
          <w:spacing w:val="-3"/>
          <w:sz w:val="22"/>
          <w:szCs w:val="22"/>
        </w:rPr>
      </w:pPr>
      <w:r>
        <w:rPr>
          <w:rFonts w:ascii="Times New Roman" w:hAnsi="Times New Roman"/>
          <w:spacing w:val="-3"/>
          <w:sz w:val="22"/>
          <w:szCs w:val="22"/>
        </w:rPr>
        <w:t>429</w:t>
      </w:r>
      <w:r w:rsidR="00442503" w:rsidRPr="001D5BA2">
        <w:rPr>
          <w:rFonts w:ascii="Times New Roman" w:hAnsi="Times New Roman"/>
          <w:spacing w:val="-3"/>
          <w:sz w:val="22"/>
          <w:szCs w:val="22"/>
        </w:rPr>
        <w:t>.05:</w:t>
      </w:r>
      <w:r w:rsidR="00F220EE" w:rsidRPr="001D5BA2">
        <w:rPr>
          <w:rFonts w:ascii="Times New Roman" w:hAnsi="Times New Roman"/>
          <w:spacing w:val="-3"/>
          <w:sz w:val="22"/>
          <w:szCs w:val="22"/>
        </w:rPr>
        <w:t xml:space="preserve">  </w:t>
      </w:r>
      <w:r w:rsidR="00442503" w:rsidRPr="001D5BA2">
        <w:rPr>
          <w:rFonts w:ascii="Times New Roman" w:hAnsi="Times New Roman"/>
          <w:spacing w:val="-3"/>
          <w:sz w:val="22"/>
          <w:szCs w:val="22"/>
        </w:rPr>
        <w:t xml:space="preserve">Severability </w:t>
      </w:r>
    </w:p>
    <w:p w14:paraId="62142190" w14:textId="77777777" w:rsidR="006C2348" w:rsidRPr="001D5BA2" w:rsidRDefault="006C2348">
      <w:pPr>
        <w:suppressAutoHyphens/>
        <w:rPr>
          <w:rFonts w:ascii="Times New Roman" w:hAnsi="Times New Roman"/>
          <w:spacing w:val="-3"/>
          <w:sz w:val="22"/>
          <w:szCs w:val="22"/>
          <w:u w:val="single"/>
        </w:rPr>
      </w:pPr>
    </w:p>
    <w:p w14:paraId="395877E4" w14:textId="77777777" w:rsidR="00442503" w:rsidRPr="001D5BA2" w:rsidRDefault="00534722">
      <w:pPr>
        <w:suppressAutoHyphens/>
        <w:rPr>
          <w:rFonts w:ascii="Times New Roman" w:hAnsi="Times New Roman"/>
          <w:spacing w:val="-3"/>
          <w:sz w:val="22"/>
          <w:szCs w:val="22"/>
        </w:rPr>
      </w:pPr>
      <w:r>
        <w:rPr>
          <w:rFonts w:ascii="Times New Roman" w:hAnsi="Times New Roman"/>
          <w:spacing w:val="-3"/>
          <w:sz w:val="22"/>
          <w:szCs w:val="22"/>
          <w:u w:val="single"/>
        </w:rPr>
        <w:t>429</w:t>
      </w:r>
      <w:r w:rsidR="00442503" w:rsidRPr="001D5BA2">
        <w:rPr>
          <w:rFonts w:ascii="Times New Roman" w:hAnsi="Times New Roman"/>
          <w:spacing w:val="-3"/>
          <w:sz w:val="22"/>
          <w:szCs w:val="22"/>
          <w:u w:val="single"/>
        </w:rPr>
        <w:t>.01</w:t>
      </w:r>
      <w:r w:rsidR="0074602A" w:rsidRPr="001D5BA2">
        <w:rPr>
          <w:rFonts w:ascii="Times New Roman" w:hAnsi="Times New Roman"/>
          <w:spacing w:val="-3"/>
          <w:sz w:val="22"/>
          <w:szCs w:val="22"/>
          <w:u w:val="single"/>
        </w:rPr>
        <w:t>:</w:t>
      </w:r>
      <w:r w:rsidR="00F220EE" w:rsidRPr="001D5BA2">
        <w:rPr>
          <w:rFonts w:ascii="Times New Roman" w:hAnsi="Times New Roman"/>
          <w:spacing w:val="-3"/>
          <w:sz w:val="22"/>
          <w:szCs w:val="22"/>
          <w:u w:val="single"/>
        </w:rPr>
        <w:t xml:space="preserve">  </w:t>
      </w:r>
      <w:r w:rsidR="00442503" w:rsidRPr="001D5BA2">
        <w:rPr>
          <w:rFonts w:ascii="Times New Roman" w:hAnsi="Times New Roman"/>
          <w:spacing w:val="-3"/>
          <w:sz w:val="22"/>
          <w:szCs w:val="22"/>
          <w:u w:val="single"/>
        </w:rPr>
        <w:t>General Provisions</w:t>
      </w:r>
    </w:p>
    <w:p w14:paraId="11FC32DC" w14:textId="77777777" w:rsidR="00442503" w:rsidRPr="001D5BA2" w:rsidRDefault="00442503">
      <w:pPr>
        <w:suppressAutoHyphens/>
        <w:rPr>
          <w:rFonts w:ascii="Times New Roman" w:hAnsi="Times New Roman"/>
          <w:spacing w:val="-3"/>
          <w:sz w:val="22"/>
          <w:szCs w:val="22"/>
        </w:rPr>
      </w:pPr>
    </w:p>
    <w:p w14:paraId="1337CAE9" w14:textId="2BB818D2" w:rsidR="00442503" w:rsidRPr="00CE24F2" w:rsidRDefault="00442503" w:rsidP="00213DA3">
      <w:pPr>
        <w:suppressAutoHyphens/>
        <w:ind w:left="720"/>
        <w:rPr>
          <w:rFonts w:ascii="Times New Roman" w:hAnsi="Times New Roman"/>
          <w:spacing w:val="-3"/>
          <w:sz w:val="22"/>
          <w:szCs w:val="22"/>
        </w:rPr>
      </w:pPr>
      <w:r w:rsidRPr="001D5BA2">
        <w:rPr>
          <w:rFonts w:ascii="Times New Roman" w:hAnsi="Times New Roman"/>
          <w:spacing w:val="-3"/>
          <w:sz w:val="22"/>
          <w:szCs w:val="22"/>
        </w:rPr>
        <w:t>(1)</w:t>
      </w:r>
      <w:r w:rsidR="00F220EE" w:rsidRPr="001D5BA2">
        <w:rPr>
          <w:rFonts w:ascii="Times New Roman" w:hAnsi="Times New Roman"/>
          <w:spacing w:val="-3"/>
          <w:sz w:val="22"/>
          <w:szCs w:val="22"/>
        </w:rPr>
        <w:t xml:space="preserve">  </w:t>
      </w:r>
      <w:r w:rsidRPr="001D5BA2">
        <w:rPr>
          <w:rFonts w:ascii="Times New Roman" w:hAnsi="Times New Roman"/>
          <w:spacing w:val="-3"/>
          <w:sz w:val="22"/>
          <w:szCs w:val="22"/>
          <w:u w:val="single"/>
        </w:rPr>
        <w:t>Scope</w:t>
      </w:r>
      <w:r w:rsidRPr="001D5BA2">
        <w:rPr>
          <w:rFonts w:ascii="Times New Roman" w:hAnsi="Times New Roman"/>
          <w:spacing w:val="-3"/>
          <w:sz w:val="22"/>
          <w:szCs w:val="22"/>
        </w:rPr>
        <w:t xml:space="preserve">. </w:t>
      </w:r>
      <w:r w:rsidR="00F220EE" w:rsidRPr="001D5BA2">
        <w:rPr>
          <w:rFonts w:ascii="Times New Roman" w:hAnsi="Times New Roman"/>
          <w:spacing w:val="-3"/>
          <w:sz w:val="22"/>
          <w:szCs w:val="22"/>
        </w:rPr>
        <w:t xml:space="preserve"> </w:t>
      </w:r>
      <w:r w:rsidR="00535664" w:rsidRPr="001D5BA2">
        <w:rPr>
          <w:rFonts w:ascii="Times New Roman" w:hAnsi="Times New Roman"/>
          <w:spacing w:val="-3"/>
          <w:sz w:val="22"/>
          <w:szCs w:val="22"/>
        </w:rPr>
        <w:t>1</w:t>
      </w:r>
      <w:r w:rsidR="00066302" w:rsidRPr="001D5BA2">
        <w:rPr>
          <w:rFonts w:ascii="Times New Roman" w:hAnsi="Times New Roman"/>
          <w:spacing w:val="-3"/>
          <w:sz w:val="22"/>
          <w:szCs w:val="22"/>
        </w:rPr>
        <w:t>0</w:t>
      </w:r>
      <w:r w:rsidR="00535664" w:rsidRPr="001D5BA2">
        <w:rPr>
          <w:rFonts w:ascii="Times New Roman" w:hAnsi="Times New Roman"/>
          <w:spacing w:val="-3"/>
          <w:sz w:val="22"/>
          <w:szCs w:val="22"/>
        </w:rPr>
        <w:t xml:space="preserve">1 CMR </w:t>
      </w:r>
      <w:r w:rsidR="00534722">
        <w:rPr>
          <w:rFonts w:ascii="Times New Roman" w:hAnsi="Times New Roman"/>
          <w:spacing w:val="-3"/>
          <w:sz w:val="22"/>
          <w:szCs w:val="22"/>
        </w:rPr>
        <w:t>429</w:t>
      </w:r>
      <w:r w:rsidR="00535664" w:rsidRPr="001D5BA2">
        <w:rPr>
          <w:rFonts w:ascii="Times New Roman" w:hAnsi="Times New Roman"/>
          <w:spacing w:val="-3"/>
          <w:sz w:val="22"/>
          <w:szCs w:val="22"/>
        </w:rPr>
        <w:t>.00</w:t>
      </w:r>
      <w:r w:rsidRPr="001D5BA2">
        <w:rPr>
          <w:rFonts w:ascii="Times New Roman" w:hAnsi="Times New Roman"/>
          <w:spacing w:val="-3"/>
          <w:sz w:val="22"/>
          <w:szCs w:val="22"/>
        </w:rPr>
        <w:t xml:space="preserve"> governs </w:t>
      </w:r>
      <w:r w:rsidR="006B24C9" w:rsidRPr="001D5BA2">
        <w:rPr>
          <w:rFonts w:ascii="Times New Roman" w:hAnsi="Times New Roman"/>
          <w:spacing w:val="-3"/>
          <w:sz w:val="22"/>
          <w:szCs w:val="22"/>
        </w:rPr>
        <w:t>the payment rates</w:t>
      </w:r>
      <w:r w:rsidR="00233A95" w:rsidRPr="00CE24F2">
        <w:rPr>
          <w:rFonts w:ascii="Times New Roman" w:hAnsi="Times New Roman"/>
          <w:spacing w:val="-3"/>
          <w:sz w:val="22"/>
          <w:szCs w:val="22"/>
        </w:rPr>
        <w:t xml:space="preserve"> for</w:t>
      </w:r>
      <w:r w:rsidR="00A91A8F" w:rsidRPr="00CE24F2">
        <w:rPr>
          <w:rFonts w:ascii="Times New Roman" w:hAnsi="Times New Roman"/>
          <w:spacing w:val="-3"/>
          <w:sz w:val="22"/>
          <w:szCs w:val="22"/>
        </w:rPr>
        <w:t xml:space="preserve"> </w:t>
      </w:r>
      <w:r w:rsidR="00954207">
        <w:rPr>
          <w:rFonts w:ascii="Times New Roman" w:hAnsi="Times New Roman"/>
          <w:spacing w:val="-3"/>
          <w:sz w:val="22"/>
          <w:szCs w:val="22"/>
        </w:rPr>
        <w:t>c</w:t>
      </w:r>
      <w:r w:rsidR="00534722">
        <w:rPr>
          <w:rFonts w:ascii="Times New Roman" w:hAnsi="Times New Roman"/>
          <w:spacing w:val="-3"/>
          <w:sz w:val="22"/>
          <w:szCs w:val="22"/>
        </w:rPr>
        <w:t xml:space="preserve">ertain </w:t>
      </w:r>
      <w:r w:rsidR="00954207">
        <w:rPr>
          <w:rFonts w:ascii="Times New Roman" w:hAnsi="Times New Roman"/>
          <w:spacing w:val="-3"/>
          <w:sz w:val="22"/>
          <w:szCs w:val="22"/>
        </w:rPr>
        <w:t>s</w:t>
      </w:r>
      <w:r w:rsidR="00534722">
        <w:rPr>
          <w:rFonts w:ascii="Times New Roman" w:hAnsi="Times New Roman"/>
          <w:spacing w:val="-3"/>
          <w:sz w:val="22"/>
          <w:szCs w:val="22"/>
        </w:rPr>
        <w:t xml:space="preserve">exual and </w:t>
      </w:r>
      <w:r w:rsidR="00954207">
        <w:rPr>
          <w:rFonts w:ascii="Times New Roman" w:hAnsi="Times New Roman"/>
          <w:spacing w:val="-3"/>
          <w:sz w:val="22"/>
          <w:szCs w:val="22"/>
        </w:rPr>
        <w:t>d</w:t>
      </w:r>
      <w:r w:rsidR="00534722">
        <w:rPr>
          <w:rFonts w:ascii="Times New Roman" w:hAnsi="Times New Roman"/>
          <w:spacing w:val="-3"/>
          <w:sz w:val="22"/>
          <w:szCs w:val="22"/>
        </w:rPr>
        <w:t xml:space="preserve">omestic </w:t>
      </w:r>
      <w:r w:rsidR="00954207">
        <w:rPr>
          <w:rFonts w:ascii="Times New Roman" w:hAnsi="Times New Roman"/>
          <w:spacing w:val="-3"/>
          <w:sz w:val="22"/>
          <w:szCs w:val="22"/>
        </w:rPr>
        <w:t>v</w:t>
      </w:r>
      <w:r w:rsidR="00534722">
        <w:rPr>
          <w:rFonts w:ascii="Times New Roman" w:hAnsi="Times New Roman"/>
          <w:spacing w:val="-3"/>
          <w:sz w:val="22"/>
          <w:szCs w:val="22"/>
        </w:rPr>
        <w:t xml:space="preserve">iolence </w:t>
      </w:r>
      <w:r w:rsidR="00954207">
        <w:rPr>
          <w:rFonts w:ascii="Times New Roman" w:hAnsi="Times New Roman"/>
          <w:spacing w:val="-3"/>
          <w:sz w:val="22"/>
          <w:szCs w:val="22"/>
        </w:rPr>
        <w:t>s</w:t>
      </w:r>
      <w:r w:rsidR="00534722">
        <w:rPr>
          <w:rFonts w:ascii="Times New Roman" w:hAnsi="Times New Roman"/>
          <w:spacing w:val="-3"/>
          <w:sz w:val="22"/>
          <w:szCs w:val="22"/>
        </w:rPr>
        <w:t>ervices</w:t>
      </w:r>
      <w:r w:rsidR="004D6812" w:rsidRPr="00CE24F2">
        <w:rPr>
          <w:rFonts w:ascii="Times New Roman" w:hAnsi="Times New Roman"/>
          <w:spacing w:val="-3"/>
          <w:sz w:val="22"/>
          <w:szCs w:val="22"/>
        </w:rPr>
        <w:t xml:space="preserve"> </w:t>
      </w:r>
      <w:r w:rsidR="000727E9" w:rsidRPr="00CE24F2">
        <w:rPr>
          <w:rFonts w:ascii="Times New Roman" w:hAnsi="Times New Roman"/>
          <w:spacing w:val="-3"/>
          <w:sz w:val="22"/>
          <w:szCs w:val="22"/>
        </w:rPr>
        <w:t>p</w:t>
      </w:r>
      <w:r w:rsidR="00596190" w:rsidRPr="00CE24F2">
        <w:rPr>
          <w:rFonts w:ascii="Times New Roman" w:hAnsi="Times New Roman"/>
          <w:spacing w:val="-3"/>
          <w:sz w:val="22"/>
          <w:szCs w:val="22"/>
        </w:rPr>
        <w:t xml:space="preserve">urchased by a </w:t>
      </w:r>
      <w:r w:rsidR="00DA2A63" w:rsidRPr="00CE24F2">
        <w:rPr>
          <w:rFonts w:ascii="Times New Roman" w:hAnsi="Times New Roman"/>
          <w:spacing w:val="-3"/>
          <w:sz w:val="22"/>
          <w:szCs w:val="22"/>
        </w:rPr>
        <w:t>g</w:t>
      </w:r>
      <w:r w:rsidR="00596190"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596190" w:rsidRPr="00CE24F2">
        <w:rPr>
          <w:rFonts w:ascii="Times New Roman" w:hAnsi="Times New Roman"/>
          <w:spacing w:val="-3"/>
          <w:sz w:val="22"/>
          <w:szCs w:val="22"/>
        </w:rPr>
        <w:t>nit.</w:t>
      </w:r>
    </w:p>
    <w:p w14:paraId="5E700DD5" w14:textId="77777777" w:rsidR="00442503" w:rsidRPr="00CE24F2" w:rsidRDefault="00442503" w:rsidP="00213DA3">
      <w:pPr>
        <w:suppressAutoHyphens/>
        <w:ind w:left="720"/>
        <w:rPr>
          <w:rFonts w:ascii="Times New Roman" w:hAnsi="Times New Roman"/>
          <w:spacing w:val="-3"/>
          <w:sz w:val="22"/>
          <w:szCs w:val="22"/>
        </w:rPr>
      </w:pPr>
    </w:p>
    <w:p w14:paraId="0BCF7F45" w14:textId="3334E8B0" w:rsidR="00B11C54" w:rsidRPr="00CE24F2" w:rsidRDefault="00B11C54" w:rsidP="00213DA3">
      <w:pPr>
        <w:suppressAutoHyphens/>
        <w:ind w:left="720"/>
        <w:rPr>
          <w:rFonts w:ascii="Times New Roman" w:hAnsi="Times New Roman"/>
          <w:spacing w:val="-3"/>
          <w:sz w:val="22"/>
          <w:szCs w:val="22"/>
        </w:rPr>
      </w:pPr>
      <w:r w:rsidRPr="00CE24F2">
        <w:rPr>
          <w:rFonts w:ascii="Times New Roman" w:hAnsi="Times New Roman"/>
          <w:spacing w:val="-3"/>
          <w:sz w:val="22"/>
          <w:szCs w:val="22"/>
        </w:rPr>
        <w:t xml:space="preserve">(2) </w:t>
      </w:r>
      <w:r w:rsidR="00362E18">
        <w:rPr>
          <w:rFonts w:ascii="Times New Roman" w:hAnsi="Times New Roman"/>
          <w:spacing w:val="-3"/>
          <w:sz w:val="22"/>
          <w:szCs w:val="22"/>
        </w:rPr>
        <w:t xml:space="preserve"> </w:t>
      </w:r>
      <w:r w:rsidR="00213DA3">
        <w:rPr>
          <w:rFonts w:ascii="Times New Roman" w:hAnsi="Times New Roman"/>
          <w:spacing w:val="-3"/>
          <w:sz w:val="22"/>
          <w:szCs w:val="22"/>
          <w:u w:val="single"/>
        </w:rPr>
        <w:t>Applicable</w:t>
      </w:r>
      <w:r w:rsidR="00213DA3" w:rsidRPr="00CE24F2">
        <w:rPr>
          <w:rFonts w:ascii="Times New Roman" w:hAnsi="Times New Roman"/>
          <w:spacing w:val="-3"/>
          <w:sz w:val="22"/>
          <w:szCs w:val="22"/>
          <w:u w:val="single"/>
        </w:rPr>
        <w:t xml:space="preserve"> </w:t>
      </w:r>
      <w:r w:rsidRPr="00CE24F2">
        <w:rPr>
          <w:rFonts w:ascii="Times New Roman" w:hAnsi="Times New Roman"/>
          <w:spacing w:val="-3"/>
          <w:sz w:val="22"/>
          <w:szCs w:val="22"/>
          <w:u w:val="single"/>
        </w:rPr>
        <w:t>Date</w:t>
      </w:r>
      <w:r w:rsidR="00213DA3">
        <w:rPr>
          <w:rFonts w:ascii="Times New Roman" w:hAnsi="Times New Roman"/>
          <w:spacing w:val="-3"/>
          <w:sz w:val="22"/>
          <w:szCs w:val="22"/>
          <w:u w:val="single"/>
        </w:rPr>
        <w:t>s of Service</w:t>
      </w:r>
      <w:r w:rsidRPr="00CE24F2">
        <w:rPr>
          <w:rFonts w:ascii="Times New Roman" w:hAnsi="Times New Roman"/>
          <w:spacing w:val="-3"/>
          <w:sz w:val="22"/>
          <w:szCs w:val="22"/>
        </w:rPr>
        <w:t xml:space="preserve">. </w:t>
      </w:r>
      <w:r w:rsidR="009F53E6">
        <w:rPr>
          <w:rFonts w:ascii="Times New Roman" w:hAnsi="Times New Roman"/>
          <w:spacing w:val="-3"/>
          <w:sz w:val="22"/>
          <w:szCs w:val="22"/>
        </w:rPr>
        <w:t xml:space="preserve"> </w:t>
      </w:r>
      <w:r w:rsidRPr="00CE24F2">
        <w:rPr>
          <w:rFonts w:ascii="Times New Roman" w:hAnsi="Times New Roman"/>
          <w:spacing w:val="-3"/>
          <w:sz w:val="22"/>
          <w:szCs w:val="22"/>
        </w:rPr>
        <w:t xml:space="preserve">Rates </w:t>
      </w:r>
      <w:r w:rsidR="00213DA3">
        <w:rPr>
          <w:rFonts w:ascii="Times New Roman" w:hAnsi="Times New Roman"/>
          <w:spacing w:val="-3"/>
          <w:sz w:val="22"/>
          <w:szCs w:val="22"/>
        </w:rPr>
        <w:t>contained in 101 CMR 429.00 apply</w:t>
      </w:r>
      <w:r w:rsidRPr="00CE24F2">
        <w:rPr>
          <w:rFonts w:ascii="Times New Roman" w:hAnsi="Times New Roman"/>
          <w:spacing w:val="-3"/>
          <w:sz w:val="22"/>
          <w:szCs w:val="22"/>
        </w:rPr>
        <w:t xml:space="preserve"> for dates of service provided on or after </w:t>
      </w:r>
      <w:r w:rsidR="00534722">
        <w:rPr>
          <w:rFonts w:ascii="Times New Roman" w:hAnsi="Times New Roman"/>
          <w:spacing w:val="-3"/>
          <w:sz w:val="22"/>
          <w:szCs w:val="22"/>
        </w:rPr>
        <w:t xml:space="preserve">July 1, </w:t>
      </w:r>
      <w:r w:rsidR="00A51696">
        <w:rPr>
          <w:rFonts w:ascii="Times New Roman" w:hAnsi="Times New Roman"/>
          <w:spacing w:val="-3"/>
          <w:sz w:val="22"/>
          <w:szCs w:val="22"/>
        </w:rPr>
        <w:t>202</w:t>
      </w:r>
      <w:r w:rsidR="007A3B35">
        <w:rPr>
          <w:rFonts w:ascii="Times New Roman" w:hAnsi="Times New Roman"/>
          <w:spacing w:val="-3"/>
          <w:sz w:val="22"/>
          <w:szCs w:val="22"/>
        </w:rPr>
        <w:t>5</w:t>
      </w:r>
      <w:r w:rsidRPr="00CE24F2">
        <w:rPr>
          <w:rFonts w:ascii="Times New Roman" w:hAnsi="Times New Roman"/>
          <w:spacing w:val="-3"/>
          <w:sz w:val="22"/>
          <w:szCs w:val="22"/>
        </w:rPr>
        <w:t>.</w:t>
      </w:r>
    </w:p>
    <w:p w14:paraId="32523A35" w14:textId="77777777" w:rsidR="00B11C54" w:rsidRPr="00CE24F2" w:rsidRDefault="00B11C54" w:rsidP="00213DA3">
      <w:pPr>
        <w:suppressAutoHyphens/>
        <w:ind w:left="720"/>
        <w:rPr>
          <w:rFonts w:ascii="Times New Roman" w:hAnsi="Times New Roman"/>
          <w:spacing w:val="-3"/>
          <w:sz w:val="22"/>
          <w:szCs w:val="22"/>
        </w:rPr>
      </w:pPr>
    </w:p>
    <w:p w14:paraId="178FC951" w14:textId="77777777" w:rsidR="00442503" w:rsidRPr="00CE24F2" w:rsidRDefault="00442503" w:rsidP="00213DA3">
      <w:pPr>
        <w:suppressAutoHyphens/>
        <w:ind w:left="720"/>
        <w:rPr>
          <w:rFonts w:ascii="Times New Roman" w:hAnsi="Times New Roman"/>
          <w:spacing w:val="-3"/>
          <w:sz w:val="22"/>
          <w:szCs w:val="22"/>
        </w:rPr>
      </w:pPr>
      <w:r w:rsidRPr="00CE24F2">
        <w:rPr>
          <w:rFonts w:ascii="Times New Roman" w:hAnsi="Times New Roman"/>
          <w:spacing w:val="-3"/>
          <w:sz w:val="22"/>
          <w:szCs w:val="22"/>
        </w:rPr>
        <w:t>(</w:t>
      </w:r>
      <w:r w:rsidR="00B11C54" w:rsidRPr="00CE24F2">
        <w:rPr>
          <w:rFonts w:ascii="Times New Roman" w:hAnsi="Times New Roman"/>
          <w:spacing w:val="-3"/>
          <w:sz w:val="22"/>
          <w:szCs w:val="22"/>
        </w:rPr>
        <w:t>3</w:t>
      </w:r>
      <w:r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Disclaimer of Authorization of Services</w:t>
      </w:r>
      <w:r w:rsidRPr="00CE24F2">
        <w:rPr>
          <w:rFonts w:ascii="Times New Roman" w:hAnsi="Times New Roman"/>
          <w:spacing w:val="-3"/>
          <w:sz w:val="22"/>
          <w:szCs w:val="22"/>
        </w:rPr>
        <w:t xml:space="preserve">.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534722">
        <w:rPr>
          <w:rFonts w:ascii="Times New Roman" w:hAnsi="Times New Roman"/>
          <w:spacing w:val="-3"/>
          <w:sz w:val="22"/>
          <w:szCs w:val="22"/>
        </w:rPr>
        <w:t>429</w:t>
      </w:r>
      <w:r w:rsidR="008401AB" w:rsidRPr="00CE24F2">
        <w:rPr>
          <w:rFonts w:ascii="Times New Roman" w:hAnsi="Times New Roman"/>
          <w:spacing w:val="-3"/>
          <w:sz w:val="22"/>
          <w:szCs w:val="22"/>
        </w:rPr>
        <w:t>.00</w:t>
      </w:r>
      <w:r w:rsidRPr="00CE24F2">
        <w:rPr>
          <w:rFonts w:ascii="Times New Roman" w:hAnsi="Times New Roman"/>
          <w:spacing w:val="-3"/>
          <w:sz w:val="22"/>
          <w:szCs w:val="22"/>
        </w:rPr>
        <w:t xml:space="preserve"> is neither authorization for nor approval of the </w:t>
      </w:r>
      <w:r w:rsidR="0074602A" w:rsidRPr="00CE24F2">
        <w:rPr>
          <w:rFonts w:ascii="Times New Roman" w:hAnsi="Times New Roman"/>
          <w:spacing w:val="-3"/>
          <w:sz w:val="22"/>
          <w:szCs w:val="22"/>
        </w:rPr>
        <w:t>s</w:t>
      </w:r>
      <w:r w:rsidR="002C2760" w:rsidRPr="00CE24F2">
        <w:rPr>
          <w:rFonts w:ascii="Times New Roman" w:hAnsi="Times New Roman"/>
          <w:spacing w:val="-3"/>
          <w:sz w:val="22"/>
          <w:szCs w:val="22"/>
        </w:rPr>
        <w:t>ervices</w:t>
      </w:r>
      <w:r w:rsidRPr="00CE24F2">
        <w:rPr>
          <w:rFonts w:ascii="Times New Roman" w:hAnsi="Times New Roman"/>
          <w:spacing w:val="-3"/>
          <w:sz w:val="22"/>
          <w:szCs w:val="22"/>
        </w:rPr>
        <w:t xml:space="preserve"> for which rates are determined pursuant to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534722">
        <w:rPr>
          <w:rFonts w:ascii="Times New Roman" w:hAnsi="Times New Roman"/>
          <w:spacing w:val="-3"/>
          <w:sz w:val="22"/>
          <w:szCs w:val="22"/>
        </w:rPr>
        <w:t>429</w:t>
      </w:r>
      <w:r w:rsidR="008401AB" w:rsidRPr="00CE24F2">
        <w:rPr>
          <w:rFonts w:ascii="Times New Roman" w:hAnsi="Times New Roman"/>
          <w:spacing w:val="-3"/>
          <w:sz w:val="22"/>
          <w:szCs w:val="22"/>
        </w:rPr>
        <w:t>.00</w:t>
      </w:r>
      <w:r w:rsidR="00233A95" w:rsidRPr="00CE24F2">
        <w:rPr>
          <w:rFonts w:ascii="Times New Roman" w:hAnsi="Times New Roman"/>
          <w:spacing w:val="-3"/>
          <w:sz w:val="22"/>
          <w:szCs w:val="22"/>
        </w:rPr>
        <w:t>.</w:t>
      </w:r>
      <w:r w:rsidRPr="00CE24F2">
        <w:rPr>
          <w:rFonts w:ascii="Times New Roman" w:hAnsi="Times New Roman"/>
          <w:spacing w:val="-3"/>
          <w:sz w:val="22"/>
          <w:szCs w:val="22"/>
        </w:rPr>
        <w:t xml:space="preserve"> Governmental units </w:t>
      </w:r>
      <w:r w:rsidR="00233A95" w:rsidRPr="00CE24F2">
        <w:rPr>
          <w:rFonts w:ascii="Times New Roman" w:hAnsi="Times New Roman"/>
          <w:spacing w:val="-3"/>
          <w:sz w:val="22"/>
          <w:szCs w:val="22"/>
        </w:rPr>
        <w:t>that</w:t>
      </w:r>
      <w:r w:rsidRPr="00CE24F2">
        <w:rPr>
          <w:rFonts w:ascii="Times New Roman" w:hAnsi="Times New Roman"/>
          <w:spacing w:val="-3"/>
          <w:sz w:val="22"/>
          <w:szCs w:val="22"/>
        </w:rPr>
        <w:t xml:space="preserve"> purchase </w:t>
      </w:r>
      <w:r w:rsidR="008E6B0E" w:rsidRPr="00CE24F2">
        <w:rPr>
          <w:rFonts w:ascii="Times New Roman" w:hAnsi="Times New Roman"/>
          <w:spacing w:val="-3"/>
          <w:sz w:val="22"/>
          <w:szCs w:val="22"/>
        </w:rPr>
        <w:t xml:space="preserve">the services described in 101 CMR </w:t>
      </w:r>
      <w:r w:rsidR="00534722">
        <w:rPr>
          <w:rFonts w:ascii="Times New Roman" w:hAnsi="Times New Roman"/>
          <w:spacing w:val="-3"/>
          <w:sz w:val="22"/>
          <w:szCs w:val="22"/>
        </w:rPr>
        <w:t>429</w:t>
      </w:r>
      <w:r w:rsidR="008E6B0E" w:rsidRPr="00CE24F2">
        <w:rPr>
          <w:rFonts w:ascii="Times New Roman" w:hAnsi="Times New Roman"/>
          <w:spacing w:val="-3"/>
          <w:sz w:val="22"/>
          <w:szCs w:val="22"/>
        </w:rPr>
        <w:t>.00</w:t>
      </w:r>
      <w:r w:rsidR="00485C1C" w:rsidRPr="00CE24F2">
        <w:rPr>
          <w:rFonts w:ascii="Times New Roman" w:hAnsi="Times New Roman"/>
          <w:spacing w:val="-3"/>
          <w:sz w:val="22"/>
          <w:szCs w:val="22"/>
        </w:rPr>
        <w:t xml:space="preserve"> </w:t>
      </w:r>
      <w:r w:rsidRPr="00CE24F2">
        <w:rPr>
          <w:rFonts w:ascii="Times New Roman" w:hAnsi="Times New Roman"/>
          <w:spacing w:val="-3"/>
          <w:sz w:val="22"/>
          <w:szCs w:val="22"/>
        </w:rPr>
        <w:t xml:space="preserve">are responsible for the definition, authorization, and approval of services extended to </w:t>
      </w:r>
      <w:r w:rsidR="00DA2A63" w:rsidRPr="00CE24F2">
        <w:rPr>
          <w:rFonts w:ascii="Times New Roman" w:hAnsi="Times New Roman"/>
          <w:spacing w:val="-3"/>
          <w:sz w:val="22"/>
          <w:szCs w:val="22"/>
        </w:rPr>
        <w:t>c</w:t>
      </w:r>
      <w:r w:rsidRPr="00CE24F2">
        <w:rPr>
          <w:rFonts w:ascii="Times New Roman" w:hAnsi="Times New Roman"/>
          <w:spacing w:val="-3"/>
          <w:sz w:val="22"/>
          <w:szCs w:val="22"/>
        </w:rPr>
        <w:t>lients.</w:t>
      </w:r>
    </w:p>
    <w:p w14:paraId="022AD589" w14:textId="77777777" w:rsidR="00442503" w:rsidRPr="00CE24F2" w:rsidRDefault="00442503" w:rsidP="00213DA3">
      <w:pPr>
        <w:suppressAutoHyphens/>
        <w:ind w:left="720"/>
        <w:rPr>
          <w:rFonts w:ascii="Times New Roman" w:hAnsi="Times New Roman"/>
          <w:spacing w:val="-3"/>
          <w:sz w:val="22"/>
          <w:szCs w:val="22"/>
        </w:rPr>
      </w:pPr>
    </w:p>
    <w:p w14:paraId="404EA995" w14:textId="77777777" w:rsidR="00442503" w:rsidRPr="00CE24F2" w:rsidRDefault="00442503" w:rsidP="00213DA3">
      <w:pPr>
        <w:suppressAutoHyphens/>
        <w:ind w:left="720"/>
        <w:rPr>
          <w:rFonts w:ascii="Times New Roman" w:hAnsi="Times New Roman"/>
          <w:spacing w:val="-3"/>
          <w:sz w:val="22"/>
          <w:szCs w:val="22"/>
        </w:rPr>
      </w:pPr>
      <w:r w:rsidRPr="00CE24F2">
        <w:rPr>
          <w:rFonts w:ascii="Times New Roman" w:hAnsi="Times New Roman"/>
          <w:spacing w:val="-3"/>
          <w:sz w:val="22"/>
          <w:szCs w:val="22"/>
        </w:rPr>
        <w:t>(</w:t>
      </w:r>
      <w:r w:rsidR="00B11C54" w:rsidRPr="00CE24F2">
        <w:rPr>
          <w:rFonts w:ascii="Times New Roman" w:hAnsi="Times New Roman"/>
          <w:spacing w:val="-3"/>
          <w:sz w:val="22"/>
          <w:szCs w:val="22"/>
        </w:rPr>
        <w:t>4</w:t>
      </w:r>
      <w:r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Administrative Bulletins</w:t>
      </w:r>
      <w:r w:rsidRPr="00CE24F2">
        <w:rPr>
          <w:rFonts w:ascii="Times New Roman" w:hAnsi="Times New Roman"/>
          <w:spacing w:val="-3"/>
          <w:sz w:val="22"/>
          <w:szCs w:val="22"/>
        </w:rPr>
        <w:t xml:space="preserve">.  </w:t>
      </w:r>
      <w:r w:rsidR="00B979BA" w:rsidRPr="00CE24F2">
        <w:rPr>
          <w:rFonts w:ascii="Times New Roman" w:hAnsi="Times New Roman"/>
          <w:spacing w:val="-3"/>
          <w:sz w:val="22"/>
          <w:szCs w:val="22"/>
        </w:rPr>
        <w:t>EOHHS</w:t>
      </w:r>
      <w:r w:rsidRPr="00CE24F2">
        <w:rPr>
          <w:rFonts w:ascii="Times New Roman" w:hAnsi="Times New Roman"/>
          <w:spacing w:val="-3"/>
          <w:sz w:val="22"/>
          <w:szCs w:val="22"/>
        </w:rPr>
        <w:t xml:space="preserve"> may issue administrative bulletins to clarify its policy on </w:t>
      </w:r>
      <w:r w:rsidR="00A91A8F" w:rsidRPr="00CE24F2">
        <w:rPr>
          <w:rFonts w:ascii="Times New Roman" w:hAnsi="Times New Roman"/>
          <w:spacing w:val="-3"/>
          <w:sz w:val="22"/>
          <w:szCs w:val="22"/>
        </w:rPr>
        <w:t>s</w:t>
      </w:r>
      <w:r w:rsidRPr="00CE24F2">
        <w:rPr>
          <w:rFonts w:ascii="Times New Roman" w:hAnsi="Times New Roman"/>
          <w:spacing w:val="-3"/>
          <w:sz w:val="22"/>
          <w:szCs w:val="22"/>
        </w:rPr>
        <w:t xml:space="preserve">ubstantive provisions of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534722">
        <w:rPr>
          <w:rFonts w:ascii="Times New Roman" w:hAnsi="Times New Roman"/>
          <w:spacing w:val="-3"/>
          <w:sz w:val="22"/>
          <w:szCs w:val="22"/>
        </w:rPr>
        <w:t>429</w:t>
      </w:r>
      <w:r w:rsidR="008401AB" w:rsidRPr="00CE24F2">
        <w:rPr>
          <w:rFonts w:ascii="Times New Roman" w:hAnsi="Times New Roman"/>
          <w:spacing w:val="-3"/>
          <w:sz w:val="22"/>
          <w:szCs w:val="22"/>
        </w:rPr>
        <w:t>.00</w:t>
      </w:r>
      <w:r w:rsidRPr="00CE24F2">
        <w:rPr>
          <w:rFonts w:ascii="Times New Roman" w:hAnsi="Times New Roman"/>
          <w:spacing w:val="-3"/>
          <w:sz w:val="22"/>
          <w:szCs w:val="22"/>
        </w:rPr>
        <w:t>.</w:t>
      </w:r>
    </w:p>
    <w:p w14:paraId="24CC978B" w14:textId="77777777" w:rsidR="00442503" w:rsidRPr="00CE24F2" w:rsidRDefault="00442503">
      <w:pPr>
        <w:suppressAutoHyphens/>
        <w:rPr>
          <w:rFonts w:ascii="Times New Roman" w:hAnsi="Times New Roman"/>
          <w:spacing w:val="-3"/>
          <w:sz w:val="22"/>
          <w:szCs w:val="22"/>
        </w:rPr>
      </w:pPr>
    </w:p>
    <w:p w14:paraId="57DE74E1" w14:textId="77777777" w:rsidR="00442503" w:rsidRPr="00CE24F2" w:rsidRDefault="00534722">
      <w:pPr>
        <w:suppressAutoHyphens/>
        <w:rPr>
          <w:rFonts w:ascii="Times New Roman" w:hAnsi="Times New Roman"/>
          <w:spacing w:val="-3"/>
          <w:sz w:val="22"/>
          <w:szCs w:val="22"/>
          <w:u w:val="single"/>
        </w:rPr>
      </w:pPr>
      <w:r>
        <w:rPr>
          <w:rFonts w:ascii="Times New Roman" w:hAnsi="Times New Roman"/>
          <w:spacing w:val="-3"/>
          <w:sz w:val="22"/>
          <w:szCs w:val="22"/>
          <w:u w:val="single"/>
        </w:rPr>
        <w:t>429</w:t>
      </w:r>
      <w:r w:rsidR="00442503" w:rsidRPr="00CE24F2">
        <w:rPr>
          <w:rFonts w:ascii="Times New Roman" w:hAnsi="Times New Roman"/>
          <w:spacing w:val="-3"/>
          <w:sz w:val="22"/>
          <w:szCs w:val="22"/>
          <w:u w:val="single"/>
        </w:rPr>
        <w:t>.02:</w:t>
      </w:r>
      <w:r w:rsidR="00F220EE" w:rsidRPr="00CE24F2">
        <w:rPr>
          <w:rFonts w:ascii="Times New Roman" w:hAnsi="Times New Roman"/>
          <w:spacing w:val="-3"/>
          <w:sz w:val="22"/>
          <w:szCs w:val="22"/>
          <w:u w:val="single"/>
        </w:rPr>
        <w:t xml:space="preserve">  </w:t>
      </w:r>
      <w:r w:rsidR="00442503" w:rsidRPr="00CE24F2">
        <w:rPr>
          <w:rFonts w:ascii="Times New Roman" w:hAnsi="Times New Roman"/>
          <w:spacing w:val="-3"/>
          <w:sz w:val="22"/>
          <w:szCs w:val="22"/>
          <w:u w:val="single"/>
        </w:rPr>
        <w:t>Definitions</w:t>
      </w:r>
    </w:p>
    <w:p w14:paraId="0C36BD39" w14:textId="77777777" w:rsidR="001D5BA2" w:rsidRPr="00CE24F2" w:rsidRDefault="001D5BA2">
      <w:pPr>
        <w:suppressAutoHyphens/>
        <w:rPr>
          <w:rFonts w:ascii="Times New Roman" w:hAnsi="Times New Roman"/>
          <w:spacing w:val="-3"/>
          <w:sz w:val="22"/>
          <w:szCs w:val="22"/>
          <w:u w:val="single"/>
        </w:rPr>
      </w:pPr>
    </w:p>
    <w:p w14:paraId="2B05F33F" w14:textId="253A8725" w:rsidR="001D5BA2" w:rsidRPr="00CE24F2" w:rsidRDefault="00954207"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CE24F2">
        <w:rPr>
          <w:rFonts w:ascii="Times New Roman" w:hAnsi="Times New Roman"/>
          <w:spacing w:val="-3"/>
          <w:sz w:val="22"/>
          <w:szCs w:val="22"/>
        </w:rPr>
        <w:t xml:space="preserve">As used in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01</w:t>
      </w:r>
      <w:r w:rsidR="008401AB" w:rsidRPr="00CE24F2">
        <w:rPr>
          <w:rFonts w:ascii="Times New Roman" w:hAnsi="Times New Roman"/>
          <w:spacing w:val="-3"/>
          <w:sz w:val="22"/>
          <w:szCs w:val="22"/>
        </w:rPr>
        <w:t xml:space="preserve"> CMR </w:t>
      </w:r>
      <w:r w:rsidR="00534722">
        <w:rPr>
          <w:rFonts w:ascii="Times New Roman" w:hAnsi="Times New Roman"/>
          <w:spacing w:val="-3"/>
          <w:sz w:val="22"/>
          <w:szCs w:val="22"/>
        </w:rPr>
        <w:t>429</w:t>
      </w:r>
      <w:r w:rsidR="008401A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unless the context requires otherwise, terms have the meanings in </w:t>
      </w:r>
      <w:r w:rsidR="007D15FB" w:rsidRPr="00CE24F2">
        <w:rPr>
          <w:rFonts w:ascii="Times New Roman" w:hAnsi="Times New Roman"/>
          <w:spacing w:val="-3"/>
          <w:sz w:val="22"/>
          <w:szCs w:val="22"/>
        </w:rPr>
        <w:t>1</w:t>
      </w:r>
      <w:r w:rsidR="00B979BA"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534722">
        <w:rPr>
          <w:rFonts w:ascii="Times New Roman" w:hAnsi="Times New Roman"/>
          <w:spacing w:val="-3"/>
          <w:sz w:val="22"/>
          <w:szCs w:val="22"/>
        </w:rPr>
        <w:t>429</w:t>
      </w:r>
      <w:r w:rsidR="008401AB" w:rsidRPr="00CE24F2">
        <w:rPr>
          <w:rFonts w:ascii="Times New Roman" w:hAnsi="Times New Roman"/>
          <w:spacing w:val="-3"/>
          <w:sz w:val="22"/>
          <w:szCs w:val="22"/>
        </w:rPr>
        <w:t>.02</w:t>
      </w:r>
      <w:r w:rsidR="00442503" w:rsidRPr="00CE24F2">
        <w:rPr>
          <w:rFonts w:ascii="Times New Roman" w:hAnsi="Times New Roman"/>
          <w:spacing w:val="-3"/>
          <w:sz w:val="22"/>
          <w:szCs w:val="22"/>
        </w:rPr>
        <w:t>.</w:t>
      </w:r>
    </w:p>
    <w:p w14:paraId="1E5192ED" w14:textId="77777777" w:rsidR="000C0AB6" w:rsidRPr="00CE24F2" w:rsidRDefault="000C0AB6" w:rsidP="00F220EE">
      <w:pPr>
        <w:suppressAutoHyphens/>
        <w:ind w:left="720"/>
        <w:rPr>
          <w:rFonts w:ascii="Times New Roman" w:hAnsi="Times New Roman"/>
          <w:spacing w:val="-3"/>
          <w:sz w:val="22"/>
          <w:szCs w:val="22"/>
          <w:u w:val="single"/>
        </w:rPr>
      </w:pPr>
    </w:p>
    <w:p w14:paraId="3A7E5C2C" w14:textId="77777777" w:rsidR="004D6812" w:rsidRPr="00CE24F2" w:rsidRDefault="005D6D95"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Client</w:t>
      </w:r>
      <w:r w:rsidRPr="00CE24F2">
        <w:rPr>
          <w:rFonts w:ascii="Times New Roman" w:hAnsi="Times New Roman"/>
          <w:spacing w:val="-3"/>
          <w:sz w:val="22"/>
          <w:szCs w:val="22"/>
        </w:rPr>
        <w:t xml:space="preserve">.  </w:t>
      </w:r>
      <w:r w:rsidR="009B7F56" w:rsidRPr="00CE24F2">
        <w:rPr>
          <w:rFonts w:ascii="Times New Roman" w:hAnsi="Times New Roman"/>
          <w:spacing w:val="-3"/>
          <w:sz w:val="22"/>
          <w:szCs w:val="22"/>
        </w:rPr>
        <w:t>A</w:t>
      </w:r>
      <w:r w:rsidR="00534722">
        <w:rPr>
          <w:rFonts w:ascii="Times New Roman" w:hAnsi="Times New Roman"/>
          <w:spacing w:val="-3"/>
          <w:sz w:val="22"/>
          <w:szCs w:val="22"/>
        </w:rPr>
        <w:t>n</w:t>
      </w:r>
      <w:r w:rsidR="00524BD8" w:rsidRPr="00CE24F2">
        <w:rPr>
          <w:rFonts w:ascii="Times New Roman" w:hAnsi="Times New Roman"/>
          <w:spacing w:val="-3"/>
          <w:sz w:val="22"/>
          <w:szCs w:val="22"/>
        </w:rPr>
        <w:t xml:space="preserve"> </w:t>
      </w:r>
      <w:r w:rsidR="00534722">
        <w:rPr>
          <w:rFonts w:ascii="Times New Roman" w:hAnsi="Times New Roman"/>
          <w:spacing w:val="-3"/>
          <w:sz w:val="22"/>
          <w:szCs w:val="22"/>
        </w:rPr>
        <w:t>individual</w:t>
      </w:r>
      <w:r w:rsidR="009B7F56" w:rsidRPr="00CE24F2">
        <w:rPr>
          <w:rFonts w:ascii="Times New Roman" w:hAnsi="Times New Roman"/>
          <w:spacing w:val="-3"/>
          <w:sz w:val="22"/>
          <w:szCs w:val="22"/>
        </w:rPr>
        <w:t xml:space="preserve"> that receives </w:t>
      </w:r>
      <w:r w:rsidR="00534722">
        <w:rPr>
          <w:rFonts w:ascii="Times New Roman" w:hAnsi="Times New Roman"/>
          <w:spacing w:val="-3"/>
          <w:sz w:val="22"/>
          <w:szCs w:val="22"/>
        </w:rPr>
        <w:t xml:space="preserve">certain sexual and domestic violence </w:t>
      </w:r>
      <w:r w:rsidR="00524BD8" w:rsidRPr="00CE24F2">
        <w:rPr>
          <w:rFonts w:ascii="Times New Roman" w:hAnsi="Times New Roman"/>
          <w:spacing w:val="-3"/>
          <w:sz w:val="22"/>
          <w:szCs w:val="22"/>
        </w:rPr>
        <w:t xml:space="preserve">services </w:t>
      </w:r>
      <w:r w:rsidR="009B7F56" w:rsidRPr="00CE24F2">
        <w:rPr>
          <w:rFonts w:ascii="Times New Roman" w:hAnsi="Times New Roman"/>
          <w:spacing w:val="-3"/>
          <w:sz w:val="22"/>
          <w:szCs w:val="22"/>
        </w:rPr>
        <w:t xml:space="preserve">purchased by </w:t>
      </w:r>
      <w:r w:rsidR="00DE211D" w:rsidRPr="00CE24F2">
        <w:rPr>
          <w:rFonts w:ascii="Times New Roman" w:hAnsi="Times New Roman"/>
          <w:spacing w:val="-3"/>
          <w:sz w:val="22"/>
          <w:szCs w:val="22"/>
        </w:rPr>
        <w:t>a governmental unit.</w:t>
      </w:r>
    </w:p>
    <w:p w14:paraId="1CA2E82A" w14:textId="77777777" w:rsidR="00D551A8" w:rsidRDefault="00D551A8" w:rsidP="00F220EE">
      <w:pPr>
        <w:suppressAutoHyphens/>
        <w:ind w:left="720"/>
        <w:rPr>
          <w:rFonts w:ascii="Times New Roman" w:hAnsi="Times New Roman"/>
          <w:i/>
          <w:spacing w:val="-3"/>
          <w:sz w:val="22"/>
          <w:szCs w:val="22"/>
          <w:u w:val="single"/>
        </w:rPr>
      </w:pPr>
    </w:p>
    <w:p w14:paraId="30B1677A" w14:textId="515F5395" w:rsidR="0011165A" w:rsidRPr="00CE24F2" w:rsidRDefault="0011165A"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Cost Report</w:t>
      </w:r>
      <w:r w:rsidRPr="00CE24F2">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174160">
        <w:rPr>
          <w:rFonts w:ascii="Times New Roman" w:hAnsi="Times New Roman"/>
          <w:spacing w:val="-3"/>
          <w:sz w:val="22"/>
          <w:szCs w:val="22"/>
        </w:rPr>
        <w:t>is</w:t>
      </w:r>
      <w:r w:rsidRPr="00CE24F2">
        <w:rPr>
          <w:rFonts w:ascii="Times New Roman" w:hAnsi="Times New Roman"/>
          <w:spacing w:val="-3"/>
          <w:sz w:val="22"/>
          <w:szCs w:val="22"/>
        </w:rPr>
        <w:t xml:space="preserve"> used when required.</w:t>
      </w:r>
    </w:p>
    <w:p w14:paraId="20DB9375" w14:textId="77777777" w:rsidR="0011165A" w:rsidRPr="00470F68" w:rsidRDefault="0011165A" w:rsidP="00F220EE">
      <w:pPr>
        <w:suppressAutoHyphens/>
        <w:ind w:left="720"/>
        <w:rPr>
          <w:rFonts w:ascii="Times New Roman" w:hAnsi="Times New Roman"/>
          <w:spacing w:val="-3"/>
          <w:sz w:val="22"/>
          <w:szCs w:val="22"/>
        </w:rPr>
      </w:pPr>
    </w:p>
    <w:p w14:paraId="22B4A4B5" w14:textId="37FD8D9F" w:rsidR="00470F68" w:rsidRPr="00DB61BE" w:rsidRDefault="00BB10A6" w:rsidP="00156207">
      <w:pPr>
        <w:autoSpaceDE w:val="0"/>
        <w:autoSpaceDN w:val="0"/>
        <w:adjustRightInd w:val="0"/>
        <w:ind w:left="720"/>
        <w:rPr>
          <w:rFonts w:ascii="Times New Roman" w:hAnsi="Times New Roman"/>
          <w:sz w:val="22"/>
          <w:szCs w:val="22"/>
        </w:rPr>
      </w:pPr>
      <w:r w:rsidRPr="00DB61BE">
        <w:rPr>
          <w:rFonts w:ascii="Times New Roman" w:hAnsi="Times New Roman"/>
          <w:spacing w:val="-3"/>
          <w:sz w:val="22"/>
          <w:szCs w:val="22"/>
          <w:u w:val="single"/>
        </w:rPr>
        <w:t>Domestic Violence Community-</w:t>
      </w:r>
      <w:r w:rsidR="00174160">
        <w:rPr>
          <w:rFonts w:ascii="Times New Roman" w:hAnsi="Times New Roman"/>
          <w:spacing w:val="-3"/>
          <w:sz w:val="22"/>
          <w:szCs w:val="22"/>
          <w:u w:val="single"/>
        </w:rPr>
        <w:t>b</w:t>
      </w:r>
      <w:r w:rsidRPr="00DB61BE">
        <w:rPr>
          <w:rFonts w:ascii="Times New Roman" w:hAnsi="Times New Roman"/>
          <w:spacing w:val="-3"/>
          <w:sz w:val="22"/>
          <w:szCs w:val="22"/>
          <w:u w:val="single"/>
        </w:rPr>
        <w:t>ased Services</w:t>
      </w:r>
      <w:r w:rsidRPr="009F53E6">
        <w:rPr>
          <w:rFonts w:ascii="Times New Roman" w:hAnsi="Times New Roman"/>
          <w:spacing w:val="-3"/>
          <w:sz w:val="22"/>
          <w:szCs w:val="22"/>
        </w:rPr>
        <w:t>.</w:t>
      </w:r>
      <w:r w:rsidRPr="00DB61BE">
        <w:rPr>
          <w:rFonts w:ascii="Times New Roman" w:hAnsi="Times New Roman"/>
          <w:sz w:val="22"/>
          <w:szCs w:val="22"/>
        </w:rPr>
        <w:t xml:space="preserve"> </w:t>
      </w:r>
      <w:r w:rsidR="00470F68" w:rsidRPr="00DB61BE">
        <w:rPr>
          <w:rFonts w:ascii="Times New Roman" w:hAnsi="Times New Roman"/>
          <w:sz w:val="22"/>
          <w:szCs w:val="22"/>
        </w:rPr>
        <w:t xml:space="preserve">The Domestic Violence (DV) programs, which include </w:t>
      </w:r>
      <w:r w:rsidR="00E42D1E">
        <w:rPr>
          <w:rFonts w:ascii="Times New Roman" w:hAnsi="Times New Roman"/>
          <w:sz w:val="22"/>
          <w:szCs w:val="22"/>
        </w:rPr>
        <w:t>s</w:t>
      </w:r>
      <w:r w:rsidR="00470F68" w:rsidRPr="00DB61BE">
        <w:rPr>
          <w:rFonts w:ascii="Times New Roman" w:hAnsi="Times New Roman"/>
          <w:sz w:val="22"/>
          <w:szCs w:val="22"/>
        </w:rPr>
        <w:t xml:space="preserve">upervised </w:t>
      </w:r>
      <w:r w:rsidR="00E42D1E">
        <w:rPr>
          <w:rFonts w:ascii="Times New Roman" w:hAnsi="Times New Roman"/>
          <w:sz w:val="22"/>
          <w:szCs w:val="22"/>
        </w:rPr>
        <w:t>v</w:t>
      </w:r>
      <w:r w:rsidR="00470F68" w:rsidRPr="00DB61BE">
        <w:rPr>
          <w:rFonts w:ascii="Times New Roman" w:hAnsi="Times New Roman"/>
          <w:sz w:val="22"/>
          <w:szCs w:val="22"/>
        </w:rPr>
        <w:t xml:space="preserve">isitation and Child Witness to Violence, offer an array of services to survivors of domestic violence and their families. Domestic violence providers help victims of verbal abuse, financial abuse, emotional, sexual, and physical abuse by delivering specialized direct services and access to community resources.  </w:t>
      </w:r>
    </w:p>
    <w:p w14:paraId="071F65E2" w14:textId="77777777" w:rsidR="00BB10A6" w:rsidRPr="00DB61BE" w:rsidRDefault="00BB10A6" w:rsidP="00F220EE">
      <w:pPr>
        <w:suppressAutoHyphens/>
        <w:ind w:left="720"/>
        <w:rPr>
          <w:rFonts w:ascii="Times New Roman" w:hAnsi="Times New Roman"/>
          <w:spacing w:val="-3"/>
          <w:sz w:val="22"/>
          <w:szCs w:val="22"/>
        </w:rPr>
      </w:pPr>
    </w:p>
    <w:p w14:paraId="5A94566F" w14:textId="77777777" w:rsidR="0011165A" w:rsidRPr="00DB61BE" w:rsidRDefault="00B979BA" w:rsidP="00F220EE">
      <w:pPr>
        <w:suppressAutoHyphens/>
        <w:ind w:left="720"/>
        <w:rPr>
          <w:rFonts w:ascii="Times New Roman" w:hAnsi="Times New Roman"/>
          <w:spacing w:val="-3"/>
          <w:sz w:val="22"/>
          <w:szCs w:val="22"/>
        </w:rPr>
      </w:pPr>
      <w:r w:rsidRPr="00DB61BE">
        <w:rPr>
          <w:rFonts w:ascii="Times New Roman" w:hAnsi="Times New Roman"/>
          <w:spacing w:val="-3"/>
          <w:sz w:val="22"/>
          <w:szCs w:val="22"/>
          <w:u w:val="single"/>
        </w:rPr>
        <w:t>EOHHS</w:t>
      </w:r>
      <w:r w:rsidR="0011165A" w:rsidRPr="00DB61BE">
        <w:rPr>
          <w:rFonts w:ascii="Times New Roman" w:hAnsi="Times New Roman"/>
          <w:spacing w:val="-3"/>
          <w:sz w:val="22"/>
          <w:szCs w:val="22"/>
        </w:rPr>
        <w:t xml:space="preserve">. </w:t>
      </w:r>
      <w:r w:rsidR="00F220EE" w:rsidRPr="00DB61BE">
        <w:rPr>
          <w:rFonts w:ascii="Times New Roman" w:hAnsi="Times New Roman"/>
          <w:spacing w:val="-3"/>
          <w:sz w:val="22"/>
          <w:szCs w:val="22"/>
        </w:rPr>
        <w:t xml:space="preserve"> </w:t>
      </w:r>
      <w:r w:rsidR="0011165A" w:rsidRPr="00DB61BE">
        <w:rPr>
          <w:rFonts w:ascii="Times New Roman" w:hAnsi="Times New Roman"/>
          <w:spacing w:val="-3"/>
          <w:sz w:val="22"/>
          <w:szCs w:val="22"/>
        </w:rPr>
        <w:t xml:space="preserve">The </w:t>
      </w:r>
      <w:r w:rsidRPr="00DB61BE">
        <w:rPr>
          <w:rFonts w:ascii="Times New Roman" w:hAnsi="Times New Roman"/>
          <w:spacing w:val="-3"/>
          <w:sz w:val="22"/>
          <w:szCs w:val="22"/>
        </w:rPr>
        <w:t>Executive Office of Health and Human Services</w:t>
      </w:r>
      <w:r w:rsidR="0011165A" w:rsidRPr="00DB61BE">
        <w:rPr>
          <w:rFonts w:ascii="Times New Roman" w:hAnsi="Times New Roman"/>
          <w:spacing w:val="-3"/>
          <w:sz w:val="22"/>
          <w:szCs w:val="22"/>
        </w:rPr>
        <w:t xml:space="preserve"> established under M.G.L. c. </w:t>
      </w:r>
      <w:r w:rsidRPr="00DB61BE">
        <w:rPr>
          <w:rFonts w:ascii="Times New Roman" w:hAnsi="Times New Roman"/>
          <w:spacing w:val="-3"/>
          <w:sz w:val="22"/>
          <w:szCs w:val="22"/>
        </w:rPr>
        <w:t>6A.</w:t>
      </w:r>
      <w:r w:rsidR="008401AB" w:rsidRPr="00DB61BE">
        <w:rPr>
          <w:rFonts w:ascii="Times New Roman" w:hAnsi="Times New Roman"/>
          <w:spacing w:val="-3"/>
          <w:sz w:val="22"/>
          <w:szCs w:val="22"/>
        </w:rPr>
        <w:t xml:space="preserve"> </w:t>
      </w:r>
    </w:p>
    <w:p w14:paraId="07C4B72B" w14:textId="77777777" w:rsidR="0011165A" w:rsidRPr="00DB61BE" w:rsidRDefault="0011165A" w:rsidP="00F220EE">
      <w:pPr>
        <w:suppressAutoHyphens/>
        <w:ind w:left="720"/>
        <w:rPr>
          <w:rFonts w:ascii="Times New Roman" w:hAnsi="Times New Roman"/>
          <w:spacing w:val="-3"/>
          <w:sz w:val="22"/>
          <w:szCs w:val="22"/>
          <w:u w:val="single"/>
        </w:rPr>
      </w:pPr>
    </w:p>
    <w:p w14:paraId="40DABA3F" w14:textId="5E1FBF07" w:rsidR="00D31DB5" w:rsidRPr="00DB61BE" w:rsidRDefault="00D31DB5" w:rsidP="00470F68">
      <w:pPr>
        <w:suppressAutoHyphens/>
        <w:ind w:left="720"/>
        <w:rPr>
          <w:rFonts w:ascii="Times New Roman" w:hAnsi="Times New Roman"/>
          <w:spacing w:val="-3"/>
          <w:sz w:val="22"/>
          <w:szCs w:val="22"/>
        </w:rPr>
      </w:pPr>
      <w:r w:rsidRPr="00DB61BE">
        <w:rPr>
          <w:rFonts w:ascii="Times New Roman" w:hAnsi="Times New Roman"/>
          <w:spacing w:val="-3"/>
          <w:sz w:val="22"/>
          <w:szCs w:val="22"/>
          <w:u w:val="single"/>
        </w:rPr>
        <w:t>Extraordinary Circumstances/Flex Funding</w:t>
      </w:r>
      <w:r w:rsidRPr="00156207">
        <w:rPr>
          <w:rFonts w:ascii="Times New Roman" w:hAnsi="Times New Roman"/>
          <w:spacing w:val="-3"/>
          <w:sz w:val="22"/>
          <w:szCs w:val="22"/>
        </w:rPr>
        <w:t xml:space="preserve">.  </w:t>
      </w:r>
      <w:r w:rsidRPr="00DB61BE">
        <w:rPr>
          <w:rFonts w:ascii="Times New Roman" w:hAnsi="Times New Roman"/>
          <w:spacing w:val="-3"/>
          <w:sz w:val="22"/>
          <w:szCs w:val="22"/>
        </w:rPr>
        <w:t>A method whereby, subject to availability, a purchasing governmental unit may provide resource allocations to a client and/or provider across the state. Flexible funding may be provided through a number of means including</w:t>
      </w:r>
      <w:r w:rsidR="00174160">
        <w:rPr>
          <w:rFonts w:ascii="Times New Roman" w:hAnsi="Times New Roman"/>
          <w:spacing w:val="-3"/>
          <w:sz w:val="22"/>
          <w:szCs w:val="22"/>
        </w:rPr>
        <w:t>,</w:t>
      </w:r>
      <w:r w:rsidRPr="00DB61BE">
        <w:rPr>
          <w:rFonts w:ascii="Times New Roman" w:hAnsi="Times New Roman"/>
          <w:spacing w:val="-3"/>
          <w:sz w:val="22"/>
          <w:szCs w:val="22"/>
        </w:rPr>
        <w:t xml:space="preserve"> but not limited to, </w:t>
      </w:r>
      <w:r w:rsidRPr="00DB61BE">
        <w:rPr>
          <w:rFonts w:ascii="Times New Roman" w:hAnsi="Times New Roman"/>
          <w:spacing w:val="-3"/>
          <w:sz w:val="22"/>
          <w:szCs w:val="22"/>
        </w:rPr>
        <w:lastRenderedPageBreak/>
        <w:t>reimbursement to client for specific support services or funds directed to a qualified provider for extraordinary circumstances.</w:t>
      </w:r>
    </w:p>
    <w:p w14:paraId="29112E3A" w14:textId="77777777" w:rsidR="00470F68" w:rsidRPr="00DB61BE" w:rsidRDefault="00470F68" w:rsidP="00F220EE">
      <w:pPr>
        <w:suppressAutoHyphens/>
        <w:ind w:left="720"/>
        <w:rPr>
          <w:rFonts w:ascii="Times New Roman" w:hAnsi="Times New Roman"/>
          <w:spacing w:val="-3"/>
          <w:sz w:val="22"/>
          <w:szCs w:val="22"/>
          <w:u w:val="single"/>
        </w:rPr>
      </w:pPr>
    </w:p>
    <w:p w14:paraId="13272650" w14:textId="77777777" w:rsidR="0011165A" w:rsidRPr="00DB61BE" w:rsidRDefault="0011165A" w:rsidP="00F220EE">
      <w:pPr>
        <w:suppressAutoHyphens/>
        <w:ind w:left="720"/>
        <w:rPr>
          <w:rFonts w:ascii="Times New Roman" w:hAnsi="Times New Roman"/>
          <w:spacing w:val="-3"/>
          <w:sz w:val="22"/>
          <w:szCs w:val="22"/>
        </w:rPr>
      </w:pPr>
      <w:r w:rsidRPr="00DB61BE">
        <w:rPr>
          <w:rFonts w:ascii="Times New Roman" w:hAnsi="Times New Roman"/>
          <w:spacing w:val="-3"/>
          <w:sz w:val="22"/>
          <w:szCs w:val="22"/>
          <w:u w:val="single"/>
        </w:rPr>
        <w:t>Governmental Unit</w:t>
      </w:r>
      <w:r w:rsidRPr="00DB61BE">
        <w:rPr>
          <w:rFonts w:ascii="Times New Roman" w:hAnsi="Times New Roman"/>
          <w:spacing w:val="-3"/>
          <w:sz w:val="22"/>
          <w:szCs w:val="22"/>
        </w:rPr>
        <w:t>.  The Commonwealth, any board, commission, department, division, or agency of the Commonwealth and any political subdivision of the Commonwealth.</w:t>
      </w:r>
    </w:p>
    <w:p w14:paraId="5FF58A3A" w14:textId="77777777" w:rsidR="00BB10A6" w:rsidRPr="00DB61BE" w:rsidRDefault="00BB10A6" w:rsidP="00F220EE">
      <w:pPr>
        <w:suppressAutoHyphens/>
        <w:ind w:left="720"/>
        <w:rPr>
          <w:rFonts w:ascii="Times New Roman" w:hAnsi="Times New Roman"/>
          <w:spacing w:val="-3"/>
          <w:sz w:val="22"/>
          <w:szCs w:val="22"/>
          <w:u w:val="single"/>
        </w:rPr>
      </w:pPr>
    </w:p>
    <w:p w14:paraId="69C4B1A1" w14:textId="77777777" w:rsidR="00BB10A6" w:rsidRPr="00BB10A6" w:rsidRDefault="00BB10A6" w:rsidP="00BB10A6">
      <w:pPr>
        <w:overflowPunct w:val="0"/>
        <w:autoSpaceDE w:val="0"/>
        <w:autoSpaceDN w:val="0"/>
        <w:ind w:left="720"/>
        <w:rPr>
          <w:rFonts w:ascii="Times New Roman" w:hAnsi="Times New Roman"/>
          <w:sz w:val="22"/>
          <w:szCs w:val="22"/>
          <w:u w:val="single"/>
        </w:rPr>
      </w:pPr>
      <w:r w:rsidRPr="00DB61BE">
        <w:rPr>
          <w:rFonts w:ascii="Times New Roman" w:hAnsi="Times New Roman"/>
          <w:spacing w:val="-3"/>
          <w:sz w:val="22"/>
          <w:szCs w:val="22"/>
          <w:u w:val="single"/>
        </w:rPr>
        <w:t>Housing Stabilization Flexible Funding</w:t>
      </w:r>
      <w:r w:rsidRPr="00DB61BE">
        <w:rPr>
          <w:rFonts w:ascii="Times New Roman" w:hAnsi="Times New Roman"/>
          <w:spacing w:val="-3"/>
          <w:sz w:val="22"/>
          <w:szCs w:val="22"/>
        </w:rPr>
        <w:t xml:space="preserve">. </w:t>
      </w:r>
      <w:r w:rsidRPr="00DB61BE">
        <w:rPr>
          <w:rFonts w:ascii="Times New Roman" w:hAnsi="Times New Roman"/>
          <w:sz w:val="22"/>
          <w:szCs w:val="22"/>
        </w:rPr>
        <w:t xml:space="preserve"> </w:t>
      </w:r>
      <w:r w:rsidR="00470F68" w:rsidRPr="00DB61BE">
        <w:rPr>
          <w:rFonts w:ascii="Times New Roman" w:hAnsi="Times New Roman"/>
          <w:sz w:val="22"/>
          <w:szCs w:val="22"/>
        </w:rPr>
        <w:t>An additional support to</w:t>
      </w:r>
      <w:r w:rsidRPr="00DB61BE">
        <w:rPr>
          <w:rFonts w:ascii="Times New Roman" w:hAnsi="Times New Roman"/>
          <w:sz w:val="22"/>
          <w:szCs w:val="22"/>
        </w:rPr>
        <w:t xml:space="preserve"> survivors of domestic violence who are not eligible for other assistance and/or have exhausted other assistance available to them for the stabilization of current housing and/or securing more permanent housing.</w:t>
      </w:r>
      <w:r w:rsidRPr="00BB10A6">
        <w:rPr>
          <w:rFonts w:ascii="Times New Roman" w:hAnsi="Times New Roman"/>
          <w:sz w:val="22"/>
          <w:szCs w:val="22"/>
        </w:rPr>
        <w:t xml:space="preserve">  </w:t>
      </w:r>
    </w:p>
    <w:p w14:paraId="39DF502B" w14:textId="77777777" w:rsidR="00BB10A6" w:rsidRDefault="00BB10A6" w:rsidP="00F220EE">
      <w:pPr>
        <w:suppressAutoHyphens/>
        <w:ind w:left="720"/>
        <w:rPr>
          <w:rFonts w:ascii="Times New Roman" w:hAnsi="Times New Roman"/>
          <w:spacing w:val="-3"/>
          <w:sz w:val="22"/>
          <w:szCs w:val="22"/>
          <w:u w:val="single"/>
        </w:rPr>
      </w:pPr>
    </w:p>
    <w:p w14:paraId="471363ED" w14:textId="46189314" w:rsidR="001909D8" w:rsidRPr="009A070E" w:rsidRDefault="001909D8" w:rsidP="001909D8">
      <w:pPr>
        <w:overflowPunct w:val="0"/>
        <w:autoSpaceDE w:val="0"/>
        <w:autoSpaceDN w:val="0"/>
        <w:ind w:left="720"/>
        <w:rPr>
          <w:rFonts w:ascii="Times New Roman" w:hAnsi="Times New Roman"/>
          <w:spacing w:val="-3"/>
          <w:sz w:val="22"/>
          <w:szCs w:val="22"/>
          <w:u w:val="single"/>
        </w:rPr>
      </w:pPr>
      <w:r w:rsidRPr="00814510">
        <w:rPr>
          <w:rFonts w:ascii="Times New Roman" w:hAnsi="Times New Roman"/>
          <w:sz w:val="22"/>
          <w:szCs w:val="22"/>
          <w:u w:val="single"/>
        </w:rPr>
        <w:t>Individual</w:t>
      </w:r>
      <w:r w:rsidRPr="00775875">
        <w:rPr>
          <w:rFonts w:ascii="Times New Roman" w:hAnsi="Times New Roman"/>
          <w:sz w:val="22"/>
          <w:szCs w:val="22"/>
          <w:u w:val="single"/>
        </w:rPr>
        <w:t xml:space="preserve"> Consideration (IC)</w:t>
      </w:r>
      <w:r w:rsidRPr="00775875">
        <w:rPr>
          <w:rFonts w:ascii="Times New Roman" w:hAnsi="Times New Roman"/>
          <w:sz w:val="22"/>
          <w:szCs w:val="22"/>
        </w:rPr>
        <w:t xml:space="preserve">.  Payment rates for certain services are designated as </w:t>
      </w:r>
      <w:r>
        <w:rPr>
          <w:rFonts w:ascii="Times New Roman" w:hAnsi="Times New Roman"/>
          <w:sz w:val="22"/>
          <w:szCs w:val="22"/>
        </w:rPr>
        <w:t>i</w:t>
      </w:r>
      <w:r w:rsidRPr="00775875">
        <w:rPr>
          <w:rFonts w:ascii="Times New Roman" w:hAnsi="Times New Roman"/>
          <w:sz w:val="22"/>
          <w:szCs w:val="22"/>
        </w:rPr>
        <w:t xml:space="preserve">ndividual </w:t>
      </w:r>
      <w:r>
        <w:rPr>
          <w:rFonts w:ascii="Times New Roman" w:hAnsi="Times New Roman"/>
          <w:sz w:val="22"/>
          <w:szCs w:val="22"/>
        </w:rPr>
        <w:t>c</w:t>
      </w:r>
      <w:r w:rsidRPr="00775875">
        <w:rPr>
          <w:rFonts w:ascii="Times New Roman" w:hAnsi="Times New Roman"/>
          <w:sz w:val="22"/>
          <w:szCs w:val="22"/>
        </w:rPr>
        <w:t>onsideration (IC). Where IC rates are designated, the purchasing governmental unit will determine the appropriate payment as</w:t>
      </w:r>
      <w:r w:rsidRPr="00775875">
        <w:rPr>
          <w:rFonts w:ascii="Times New Roman" w:hAnsi="Times New Roman"/>
          <w:color w:val="000000"/>
          <w:sz w:val="22"/>
          <w:szCs w:val="22"/>
        </w:rPr>
        <w:t xml:space="preserve"> the actual cost of the item or service as evidenced by invoice, published tuition amount</w:t>
      </w:r>
      <w:r>
        <w:rPr>
          <w:rFonts w:ascii="Times New Roman" w:hAnsi="Times New Roman"/>
          <w:color w:val="000000"/>
          <w:sz w:val="22"/>
          <w:szCs w:val="22"/>
        </w:rPr>
        <w:t>,</w:t>
      </w:r>
      <w:r w:rsidRPr="00775875">
        <w:rPr>
          <w:rFonts w:ascii="Times New Roman" w:hAnsi="Times New Roman"/>
          <w:color w:val="000000"/>
          <w:sz w:val="22"/>
          <w:szCs w:val="22"/>
        </w:rPr>
        <w:t xml:space="preserve"> or other price reasonably obtained by a competitive market for the product or service.</w:t>
      </w:r>
    </w:p>
    <w:p w14:paraId="4DED60ED" w14:textId="77777777" w:rsidR="001909D8" w:rsidRDefault="001909D8" w:rsidP="00F220EE">
      <w:pPr>
        <w:suppressAutoHyphens/>
        <w:ind w:left="720"/>
        <w:rPr>
          <w:rFonts w:ascii="Times New Roman" w:hAnsi="Times New Roman"/>
          <w:spacing w:val="-3"/>
          <w:sz w:val="22"/>
          <w:szCs w:val="22"/>
          <w:u w:val="single"/>
        </w:rPr>
      </w:pPr>
    </w:p>
    <w:p w14:paraId="26AC382B" w14:textId="4B672DAA" w:rsidR="004026CF" w:rsidRPr="004026CF" w:rsidRDefault="004026CF" w:rsidP="004026CF">
      <w:pPr>
        <w:pStyle w:val="PlainText"/>
        <w:ind w:left="720"/>
        <w:rPr>
          <w:rFonts w:ascii="Times New Roman" w:hAnsi="Times New Roman"/>
        </w:rPr>
      </w:pPr>
      <w:r w:rsidRPr="00684572">
        <w:rPr>
          <w:rFonts w:ascii="Times New Roman" w:hAnsi="Times New Roman"/>
          <w:u w:val="single"/>
        </w:rPr>
        <w:t>Intimate Partner Abuse Education Program</w:t>
      </w:r>
      <w:r w:rsidRPr="00684572">
        <w:rPr>
          <w:rFonts w:ascii="Times New Roman" w:hAnsi="Times New Roman"/>
        </w:rPr>
        <w:t>.  The Massachusetts Department of Public Health</w:t>
      </w:r>
      <w:r w:rsidR="00286C09">
        <w:rPr>
          <w:rFonts w:ascii="Times New Roman" w:hAnsi="Times New Roman"/>
        </w:rPr>
        <w:t xml:space="preserve"> (DPH)</w:t>
      </w:r>
      <w:r w:rsidRPr="00684572">
        <w:rPr>
          <w:rFonts w:ascii="Times New Roman" w:hAnsi="Times New Roman"/>
        </w:rPr>
        <w:t xml:space="preserve"> certified Intimate Partner Abuse Education Programs (IPAEP</w:t>
      </w:r>
      <w:r w:rsidR="00954207">
        <w:rPr>
          <w:rFonts w:ascii="Times New Roman" w:hAnsi="Times New Roman"/>
        </w:rPr>
        <w:t>s</w:t>
      </w:r>
      <w:r w:rsidRPr="00684572">
        <w:rPr>
          <w:rFonts w:ascii="Times New Roman" w:hAnsi="Times New Roman"/>
        </w:rPr>
        <w:t>) work to increase the safety of domestic violence victims and survivors by holding their intimate partners accountable for abusing them. These 80-hour educational programs help abusers to develop respectful and non-abusive attitudes and behaviors toward their partners and children. IPAEP</w:t>
      </w:r>
      <w:r w:rsidR="00954207">
        <w:rPr>
          <w:rFonts w:ascii="Times New Roman" w:hAnsi="Times New Roman"/>
        </w:rPr>
        <w:t>s</w:t>
      </w:r>
      <w:r w:rsidRPr="00684572">
        <w:rPr>
          <w:rFonts w:ascii="Times New Roman" w:hAnsi="Times New Roman"/>
        </w:rPr>
        <w:t xml:space="preserve"> contact victims and survivors to help them to plan for their safety, to refer them to support services like domestic violence service agencies and child witness to violence programs, and to ask about their abuser’s behavior at home.</w:t>
      </w:r>
    </w:p>
    <w:p w14:paraId="37F39BD1" w14:textId="77777777" w:rsidR="004026CF" w:rsidRDefault="004026CF" w:rsidP="00F220EE">
      <w:pPr>
        <w:suppressAutoHyphens/>
        <w:ind w:left="720"/>
        <w:rPr>
          <w:rFonts w:ascii="Times New Roman" w:hAnsi="Times New Roman"/>
          <w:spacing w:val="-3"/>
          <w:sz w:val="22"/>
          <w:szCs w:val="22"/>
          <w:u w:val="single"/>
        </w:rPr>
      </w:pPr>
    </w:p>
    <w:p w14:paraId="17AD84BC" w14:textId="77777777" w:rsidR="0022302D" w:rsidRPr="0022302D" w:rsidRDefault="0022302D" w:rsidP="0022302D">
      <w:pPr>
        <w:pStyle w:val="NoSpacing"/>
        <w:ind w:left="720"/>
        <w:rPr>
          <w:rFonts w:ascii="Times New Roman" w:hAnsi="Times New Roman"/>
          <w:spacing w:val="-3"/>
        </w:rPr>
      </w:pPr>
      <w:r w:rsidRPr="0022302D">
        <w:rPr>
          <w:rFonts w:ascii="Times New Roman" w:hAnsi="Times New Roman"/>
          <w:spacing w:val="-3"/>
          <w:u w:val="single"/>
        </w:rPr>
        <w:t xml:space="preserve">New </w:t>
      </w:r>
      <w:r w:rsidR="009F53E6">
        <w:rPr>
          <w:rFonts w:ascii="Times New Roman" w:hAnsi="Times New Roman"/>
          <w:spacing w:val="-3"/>
          <w:u w:val="single"/>
        </w:rPr>
        <w:t>Sexual Assault Nurse Examiner (</w:t>
      </w:r>
      <w:r w:rsidRPr="0022302D">
        <w:rPr>
          <w:rFonts w:ascii="Times New Roman" w:hAnsi="Times New Roman"/>
          <w:spacing w:val="-3"/>
          <w:u w:val="single"/>
        </w:rPr>
        <w:t>SANE</w:t>
      </w:r>
      <w:r w:rsidR="009F53E6">
        <w:rPr>
          <w:rFonts w:ascii="Times New Roman" w:hAnsi="Times New Roman"/>
          <w:spacing w:val="-3"/>
          <w:u w:val="single"/>
        </w:rPr>
        <w:t>)</w:t>
      </w:r>
      <w:r w:rsidRPr="0022302D">
        <w:rPr>
          <w:rFonts w:ascii="Times New Roman" w:hAnsi="Times New Roman"/>
          <w:spacing w:val="-3"/>
          <w:u w:val="single"/>
        </w:rPr>
        <w:t xml:space="preserve"> Site Development</w:t>
      </w:r>
      <w:r w:rsidRPr="00156207">
        <w:rPr>
          <w:rFonts w:ascii="Times New Roman" w:hAnsi="Times New Roman"/>
          <w:spacing w:val="-3"/>
        </w:rPr>
        <w:t>.</w:t>
      </w:r>
      <w:r w:rsidRPr="0022302D">
        <w:rPr>
          <w:rFonts w:ascii="Times New Roman" w:hAnsi="Times New Roman"/>
          <w:spacing w:val="-3"/>
        </w:rPr>
        <w:t xml:space="preserve">  One-time rate for start-up costs associated with a new MA SANE-designated hospital site or MA SANE-designated telemedicine hospital site within a rape crisis center’s DPH-established service area.</w:t>
      </w:r>
    </w:p>
    <w:p w14:paraId="76C9D1AC" w14:textId="77777777" w:rsidR="0022302D" w:rsidRDefault="0022302D" w:rsidP="00F220EE">
      <w:pPr>
        <w:suppressAutoHyphens/>
        <w:ind w:left="720"/>
        <w:rPr>
          <w:rFonts w:ascii="Times New Roman" w:hAnsi="Times New Roman"/>
          <w:spacing w:val="-3"/>
          <w:sz w:val="22"/>
          <w:szCs w:val="22"/>
          <w:u w:val="single"/>
        </w:rPr>
      </w:pPr>
    </w:p>
    <w:p w14:paraId="377DA839" w14:textId="77777777" w:rsidR="00442503" w:rsidRDefault="00EB085B"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Provider</w:t>
      </w:r>
      <w:r w:rsidRPr="00CE24F2">
        <w:rPr>
          <w:rFonts w:ascii="Times New Roman" w:hAnsi="Times New Roman"/>
          <w:spacing w:val="-3"/>
          <w:sz w:val="22"/>
          <w:szCs w:val="22"/>
        </w:rPr>
        <w:t>.  Any individual, group, partnership, trust, corporation</w:t>
      </w:r>
      <w:r w:rsidR="00F220EE" w:rsidRPr="00CE24F2">
        <w:rPr>
          <w:rFonts w:ascii="Times New Roman" w:hAnsi="Times New Roman"/>
          <w:spacing w:val="-3"/>
          <w:sz w:val="22"/>
          <w:szCs w:val="22"/>
        </w:rPr>
        <w:t>,</w:t>
      </w:r>
      <w:r w:rsidRPr="00CE24F2">
        <w:rPr>
          <w:rFonts w:ascii="Times New Roman" w:hAnsi="Times New Roman"/>
          <w:spacing w:val="-3"/>
          <w:sz w:val="22"/>
          <w:szCs w:val="22"/>
        </w:rPr>
        <w:t xml:space="preserve"> or other legal entity that offers services for purchase by a </w:t>
      </w:r>
      <w:r w:rsidR="00DA2A63" w:rsidRPr="00CE24F2">
        <w:rPr>
          <w:rFonts w:ascii="Times New Roman" w:hAnsi="Times New Roman"/>
          <w:spacing w:val="-3"/>
          <w:sz w:val="22"/>
          <w:szCs w:val="22"/>
        </w:rPr>
        <w:t>g</w:t>
      </w:r>
      <w:r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Pr="00CE24F2">
        <w:rPr>
          <w:rFonts w:ascii="Times New Roman" w:hAnsi="Times New Roman"/>
          <w:spacing w:val="-3"/>
          <w:sz w:val="22"/>
          <w:szCs w:val="22"/>
        </w:rPr>
        <w:t xml:space="preserve">nit and that meets the conditions of purchase or licensure that have been adopted by a purchasing </w:t>
      </w:r>
      <w:r w:rsidR="00DA2A63" w:rsidRPr="00CE24F2">
        <w:rPr>
          <w:rFonts w:ascii="Times New Roman" w:hAnsi="Times New Roman"/>
          <w:spacing w:val="-3"/>
          <w:sz w:val="22"/>
          <w:szCs w:val="22"/>
        </w:rPr>
        <w:t>g</w:t>
      </w:r>
      <w:r w:rsidR="0079230B"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79230B" w:rsidRPr="00CE24F2">
        <w:rPr>
          <w:rFonts w:ascii="Times New Roman" w:hAnsi="Times New Roman"/>
          <w:spacing w:val="-3"/>
          <w:sz w:val="22"/>
          <w:szCs w:val="22"/>
        </w:rPr>
        <w:t>nit</w:t>
      </w:r>
      <w:r w:rsidR="00596190" w:rsidRPr="00CE24F2">
        <w:rPr>
          <w:rFonts w:ascii="Times New Roman" w:hAnsi="Times New Roman"/>
          <w:spacing w:val="-3"/>
          <w:sz w:val="22"/>
          <w:szCs w:val="22"/>
        </w:rPr>
        <w:t xml:space="preserve">. </w:t>
      </w:r>
    </w:p>
    <w:p w14:paraId="6AAB6C8B" w14:textId="77777777" w:rsidR="00B24412" w:rsidRDefault="00B24412" w:rsidP="00F220EE">
      <w:pPr>
        <w:suppressAutoHyphens/>
        <w:ind w:left="720"/>
        <w:rPr>
          <w:rFonts w:ascii="Times New Roman" w:hAnsi="Times New Roman"/>
          <w:spacing w:val="-3"/>
          <w:sz w:val="22"/>
          <w:szCs w:val="22"/>
        </w:rPr>
      </w:pPr>
    </w:p>
    <w:p w14:paraId="5FB7BA55" w14:textId="43E9CCC3" w:rsidR="00BB10A6" w:rsidRPr="00DB61BE" w:rsidRDefault="00BB10A6" w:rsidP="009F53E6">
      <w:pPr>
        <w:autoSpaceDE w:val="0"/>
        <w:autoSpaceDN w:val="0"/>
        <w:adjustRightInd w:val="0"/>
        <w:ind w:left="720"/>
        <w:rPr>
          <w:rFonts w:ascii="Times New Roman" w:hAnsi="Times New Roman"/>
          <w:sz w:val="22"/>
          <w:szCs w:val="22"/>
        </w:rPr>
      </w:pPr>
      <w:r w:rsidRPr="00DB61BE">
        <w:rPr>
          <w:rFonts w:ascii="Times New Roman" w:hAnsi="Times New Roman"/>
          <w:spacing w:val="-3"/>
          <w:sz w:val="22"/>
          <w:szCs w:val="22"/>
          <w:u w:val="single"/>
        </w:rPr>
        <w:t>Rape Crisis Center Services</w:t>
      </w:r>
      <w:r w:rsidRPr="00DB61BE">
        <w:rPr>
          <w:rFonts w:ascii="Times New Roman" w:hAnsi="Times New Roman"/>
          <w:spacing w:val="-3"/>
          <w:sz w:val="22"/>
          <w:szCs w:val="22"/>
        </w:rPr>
        <w:t xml:space="preserve">. </w:t>
      </w:r>
      <w:r w:rsidR="006E4EE1">
        <w:rPr>
          <w:rFonts w:ascii="Times New Roman" w:hAnsi="Times New Roman"/>
          <w:spacing w:val="-3"/>
          <w:sz w:val="22"/>
          <w:szCs w:val="22"/>
        </w:rPr>
        <w:t xml:space="preserve"> </w:t>
      </w:r>
      <w:r w:rsidRPr="00DB61BE">
        <w:rPr>
          <w:rFonts w:ascii="Times New Roman" w:hAnsi="Times New Roman"/>
          <w:sz w:val="22"/>
          <w:szCs w:val="22"/>
        </w:rPr>
        <w:t xml:space="preserve">The Rape Crisis Centers (RCC), part of the Sexual Assault Prevention and Survivor Services (SAPSS), serve as a vital community resource for survivors of </w:t>
      </w:r>
      <w:r w:rsidR="0022302D" w:rsidRPr="00DB61BE">
        <w:rPr>
          <w:rFonts w:ascii="Times New Roman" w:hAnsi="Times New Roman"/>
          <w:sz w:val="22"/>
          <w:szCs w:val="22"/>
        </w:rPr>
        <w:t xml:space="preserve">sexual violence. Services are </w:t>
      </w:r>
      <w:r w:rsidRPr="00DB61BE">
        <w:rPr>
          <w:rFonts w:ascii="Times New Roman" w:hAnsi="Times New Roman"/>
          <w:sz w:val="22"/>
          <w:szCs w:val="22"/>
        </w:rPr>
        <w:t>focused on the needs of the survivor and help with the short- and long-term community and health needs. Specific services include</w:t>
      </w:r>
      <w:r w:rsidR="00174160">
        <w:rPr>
          <w:rFonts w:ascii="Times New Roman" w:hAnsi="Times New Roman"/>
          <w:sz w:val="22"/>
          <w:szCs w:val="22"/>
        </w:rPr>
        <w:t>,</w:t>
      </w:r>
      <w:r w:rsidRPr="00DB61BE">
        <w:rPr>
          <w:rFonts w:ascii="Times New Roman" w:hAnsi="Times New Roman"/>
          <w:sz w:val="22"/>
          <w:szCs w:val="22"/>
        </w:rPr>
        <w:t xml:space="preserve"> but are not limited to</w:t>
      </w:r>
      <w:r w:rsidR="00174160">
        <w:rPr>
          <w:rFonts w:ascii="Times New Roman" w:hAnsi="Times New Roman"/>
          <w:sz w:val="22"/>
          <w:szCs w:val="22"/>
        </w:rPr>
        <w:t>,</w:t>
      </w:r>
      <w:r w:rsidRPr="00DB61BE">
        <w:rPr>
          <w:rFonts w:ascii="Times New Roman" w:hAnsi="Times New Roman"/>
          <w:sz w:val="22"/>
          <w:szCs w:val="22"/>
        </w:rPr>
        <w:t xml:space="preserve"> 24/7 hotline services</w:t>
      </w:r>
      <w:r w:rsidR="00E93C5A">
        <w:rPr>
          <w:rFonts w:ascii="Times New Roman" w:hAnsi="Times New Roman"/>
          <w:sz w:val="22"/>
          <w:szCs w:val="22"/>
        </w:rPr>
        <w:t>;</w:t>
      </w:r>
      <w:r w:rsidRPr="00DB61BE">
        <w:rPr>
          <w:rFonts w:ascii="Times New Roman" w:hAnsi="Times New Roman"/>
          <w:sz w:val="22"/>
          <w:szCs w:val="22"/>
        </w:rPr>
        <w:t xml:space="preserve"> accompaniment to hospitals</w:t>
      </w:r>
      <w:r w:rsidR="0022302D" w:rsidRPr="00DB61BE">
        <w:rPr>
          <w:rFonts w:ascii="Times New Roman" w:hAnsi="Times New Roman"/>
          <w:sz w:val="22"/>
          <w:szCs w:val="22"/>
        </w:rPr>
        <w:t>, police stations</w:t>
      </w:r>
      <w:r w:rsidR="00E93C5A">
        <w:rPr>
          <w:rFonts w:ascii="Times New Roman" w:hAnsi="Times New Roman"/>
          <w:sz w:val="22"/>
          <w:szCs w:val="22"/>
        </w:rPr>
        <w:t>,</w:t>
      </w:r>
      <w:r w:rsidRPr="00DB61BE">
        <w:rPr>
          <w:rFonts w:ascii="Times New Roman" w:hAnsi="Times New Roman"/>
          <w:sz w:val="22"/>
          <w:szCs w:val="22"/>
        </w:rPr>
        <w:t xml:space="preserve"> and </w:t>
      </w:r>
      <w:r w:rsidR="0022302D" w:rsidRPr="00DB61BE">
        <w:rPr>
          <w:rFonts w:ascii="Times New Roman" w:hAnsi="Times New Roman"/>
          <w:sz w:val="22"/>
          <w:szCs w:val="22"/>
        </w:rPr>
        <w:t>court</w:t>
      </w:r>
      <w:r w:rsidRPr="00DB61BE">
        <w:rPr>
          <w:rFonts w:ascii="Times New Roman" w:hAnsi="Times New Roman"/>
          <w:sz w:val="22"/>
          <w:szCs w:val="22"/>
        </w:rPr>
        <w:t xml:space="preserve"> appointments</w:t>
      </w:r>
      <w:r w:rsidR="00E93C5A">
        <w:rPr>
          <w:rFonts w:ascii="Times New Roman" w:hAnsi="Times New Roman"/>
          <w:sz w:val="22"/>
          <w:szCs w:val="22"/>
        </w:rPr>
        <w:t>;</w:t>
      </w:r>
      <w:r w:rsidRPr="00DB61BE">
        <w:rPr>
          <w:rFonts w:ascii="Times New Roman" w:hAnsi="Times New Roman"/>
          <w:sz w:val="22"/>
          <w:szCs w:val="22"/>
        </w:rPr>
        <w:t xml:space="preserve"> and individual and group </w:t>
      </w:r>
      <w:r w:rsidR="0022302D" w:rsidRPr="00DB61BE">
        <w:rPr>
          <w:rFonts w:ascii="Times New Roman" w:hAnsi="Times New Roman"/>
          <w:sz w:val="22"/>
          <w:szCs w:val="22"/>
        </w:rPr>
        <w:t>counseling</w:t>
      </w:r>
      <w:r w:rsidRPr="00DB61BE">
        <w:rPr>
          <w:rFonts w:ascii="Times New Roman" w:hAnsi="Times New Roman"/>
          <w:sz w:val="22"/>
          <w:szCs w:val="22"/>
        </w:rPr>
        <w:t xml:space="preserve">.  </w:t>
      </w:r>
    </w:p>
    <w:p w14:paraId="537E61EB" w14:textId="77777777" w:rsidR="00BB10A6" w:rsidRPr="00DB61BE" w:rsidRDefault="00BB10A6" w:rsidP="00F220EE">
      <w:pPr>
        <w:suppressAutoHyphens/>
        <w:ind w:left="720"/>
        <w:rPr>
          <w:rFonts w:ascii="Times New Roman" w:hAnsi="Times New Roman"/>
          <w:spacing w:val="-3"/>
          <w:sz w:val="22"/>
          <w:szCs w:val="22"/>
        </w:rPr>
      </w:pPr>
    </w:p>
    <w:p w14:paraId="33E54D75" w14:textId="7B6139FD" w:rsidR="00564765" w:rsidRPr="00C35D1D" w:rsidRDefault="00DD679A" w:rsidP="00567E02">
      <w:pPr>
        <w:autoSpaceDE w:val="0"/>
        <w:autoSpaceDN w:val="0"/>
        <w:adjustRightInd w:val="0"/>
        <w:ind w:left="720"/>
        <w:rPr>
          <w:rFonts w:ascii="Times New Roman" w:hAnsi="Times New Roman"/>
          <w:color w:val="212121"/>
          <w:sz w:val="22"/>
          <w:szCs w:val="22"/>
        </w:rPr>
      </w:pPr>
      <w:r w:rsidRPr="00C35D1D">
        <w:rPr>
          <w:rFonts w:ascii="Times New Roman" w:hAnsi="Times New Roman"/>
          <w:spacing w:val="-3"/>
          <w:sz w:val="22"/>
          <w:szCs w:val="22"/>
          <w:u w:val="single"/>
        </w:rPr>
        <w:t>Rape Crisis Center Statewide Specialized Hotline</w:t>
      </w:r>
      <w:r w:rsidRPr="00C35D1D">
        <w:rPr>
          <w:rFonts w:ascii="Times New Roman" w:hAnsi="Times New Roman"/>
          <w:spacing w:val="-3"/>
          <w:sz w:val="22"/>
          <w:szCs w:val="22"/>
        </w:rPr>
        <w:t>.</w:t>
      </w:r>
      <w:r w:rsidRPr="00C35D1D">
        <w:rPr>
          <w:rFonts w:ascii="Times New Roman" w:hAnsi="Times New Roman"/>
          <w:sz w:val="22"/>
          <w:szCs w:val="22"/>
        </w:rPr>
        <w:t xml:space="preserve">  </w:t>
      </w:r>
      <w:r w:rsidRPr="00C35D1D">
        <w:rPr>
          <w:rFonts w:ascii="Times New Roman" w:hAnsi="Times New Roman"/>
          <w:color w:val="000000"/>
          <w:sz w:val="22"/>
          <w:szCs w:val="22"/>
        </w:rPr>
        <w:t>A statewide hotline created to support primary and secondary survivors of sexual violence who are from a specific population at high-risk of experiencing sexual violence or who experience specific barriers to accessing resources including</w:t>
      </w:r>
      <w:r w:rsidR="00E93C5A" w:rsidRPr="00C35D1D">
        <w:rPr>
          <w:rFonts w:ascii="Times New Roman" w:hAnsi="Times New Roman"/>
          <w:color w:val="000000"/>
          <w:sz w:val="22"/>
          <w:szCs w:val="22"/>
        </w:rPr>
        <w:t>,</w:t>
      </w:r>
      <w:r w:rsidRPr="00C35D1D">
        <w:rPr>
          <w:rFonts w:ascii="Times New Roman" w:hAnsi="Times New Roman"/>
          <w:color w:val="000000"/>
          <w:sz w:val="22"/>
          <w:szCs w:val="22"/>
        </w:rPr>
        <w:t xml:space="preserve"> but not limited to</w:t>
      </w:r>
      <w:r w:rsidR="00E93C5A" w:rsidRPr="00C35D1D">
        <w:rPr>
          <w:rFonts w:ascii="Times New Roman" w:hAnsi="Times New Roman"/>
          <w:color w:val="000000"/>
          <w:sz w:val="22"/>
          <w:szCs w:val="22"/>
        </w:rPr>
        <w:t>,</w:t>
      </w:r>
      <w:r w:rsidRPr="00C35D1D">
        <w:rPr>
          <w:rFonts w:ascii="Times New Roman" w:hAnsi="Times New Roman"/>
          <w:color w:val="000000"/>
          <w:sz w:val="22"/>
          <w:szCs w:val="22"/>
        </w:rPr>
        <w:t xml:space="preserve"> language barriers. Any such hotline will </w:t>
      </w:r>
      <w:r w:rsidRPr="00C35D1D">
        <w:rPr>
          <w:rFonts w:ascii="Times New Roman" w:hAnsi="Times New Roman"/>
          <w:color w:val="212121"/>
          <w:sz w:val="22"/>
          <w:szCs w:val="22"/>
        </w:rPr>
        <w:t>provide these services under the supervision of a DPH-funded rape crisis center. Hours of service and other service provision conditions will be negotiated with DPH.</w:t>
      </w:r>
    </w:p>
    <w:p w14:paraId="7044F6A9" w14:textId="77777777" w:rsidR="00564765" w:rsidRDefault="00564765" w:rsidP="00564765">
      <w:pPr>
        <w:autoSpaceDE w:val="0"/>
        <w:autoSpaceDN w:val="0"/>
        <w:adjustRightInd w:val="0"/>
        <w:ind w:left="720"/>
        <w:jc w:val="both"/>
        <w:rPr>
          <w:rFonts w:ascii="Times New Roman" w:hAnsi="Times New Roman"/>
          <w:spacing w:val="-3"/>
          <w:u w:val="single"/>
        </w:rPr>
      </w:pPr>
    </w:p>
    <w:p w14:paraId="1184EF84" w14:textId="77777777" w:rsidR="00564765" w:rsidRPr="00DB61BE" w:rsidRDefault="00564765" w:rsidP="00564765">
      <w:pPr>
        <w:autoSpaceDE w:val="0"/>
        <w:autoSpaceDN w:val="0"/>
        <w:adjustRightInd w:val="0"/>
        <w:ind w:left="720"/>
        <w:jc w:val="both"/>
        <w:rPr>
          <w:rFonts w:ascii="Times New Roman" w:hAnsi="Times New Roman"/>
          <w:sz w:val="22"/>
          <w:szCs w:val="22"/>
        </w:rPr>
      </w:pPr>
      <w:r w:rsidRPr="00DB61BE">
        <w:rPr>
          <w:rFonts w:ascii="Times New Roman" w:hAnsi="Times New Roman"/>
          <w:spacing w:val="-3"/>
          <w:sz w:val="22"/>
          <w:szCs w:val="22"/>
          <w:u w:val="single"/>
        </w:rPr>
        <w:t>Rape Crisis Satellite Center</w:t>
      </w:r>
      <w:r w:rsidRPr="00DB61BE">
        <w:rPr>
          <w:rFonts w:ascii="Times New Roman" w:hAnsi="Times New Roman"/>
          <w:spacing w:val="-3"/>
          <w:sz w:val="22"/>
          <w:szCs w:val="22"/>
        </w:rPr>
        <w:t xml:space="preserve">. </w:t>
      </w:r>
      <w:r w:rsidRPr="00DB61BE">
        <w:rPr>
          <w:rFonts w:ascii="Times New Roman" w:hAnsi="Times New Roman"/>
          <w:sz w:val="22"/>
          <w:szCs w:val="22"/>
        </w:rPr>
        <w:t xml:space="preserve"> An additional physical point of access to clients with established and maintained office hours in locations external to the main RCC site. </w:t>
      </w:r>
    </w:p>
    <w:p w14:paraId="581C2878" w14:textId="77777777" w:rsidR="00442503" w:rsidRPr="00CE24F2" w:rsidRDefault="00442503" w:rsidP="00F220EE">
      <w:pPr>
        <w:suppressAutoHyphens/>
        <w:ind w:left="720"/>
        <w:rPr>
          <w:rFonts w:ascii="Times New Roman" w:hAnsi="Times New Roman"/>
          <w:spacing w:val="-3"/>
          <w:sz w:val="22"/>
          <w:szCs w:val="22"/>
        </w:rPr>
      </w:pPr>
    </w:p>
    <w:p w14:paraId="4B497509" w14:textId="77777777" w:rsidR="00442503" w:rsidRPr="00CE24F2" w:rsidRDefault="00442503" w:rsidP="00F220EE">
      <w:pPr>
        <w:suppressAutoHyphens/>
        <w:ind w:left="720"/>
        <w:rPr>
          <w:rFonts w:ascii="Times New Roman" w:hAnsi="Times New Roman"/>
          <w:spacing w:val="-3"/>
          <w:sz w:val="22"/>
          <w:szCs w:val="22"/>
          <w:u w:val="single"/>
        </w:rPr>
      </w:pPr>
      <w:r w:rsidRPr="00CE24F2">
        <w:rPr>
          <w:rFonts w:ascii="Times New Roman" w:hAnsi="Times New Roman"/>
          <w:spacing w:val="-3"/>
          <w:sz w:val="22"/>
          <w:szCs w:val="22"/>
          <w:u w:val="single"/>
        </w:rPr>
        <w:t>Reporting Year</w:t>
      </w:r>
      <w:r w:rsidRPr="00CE24F2">
        <w:rPr>
          <w:rFonts w:ascii="Times New Roman" w:hAnsi="Times New Roman"/>
          <w:spacing w:val="-3"/>
          <w:sz w:val="22"/>
          <w:szCs w:val="22"/>
        </w:rPr>
        <w:t xml:space="preserve">.  The </w:t>
      </w:r>
      <w:r w:rsidR="00DA2A63" w:rsidRPr="00CE24F2">
        <w:rPr>
          <w:rFonts w:ascii="Times New Roman" w:hAnsi="Times New Roman"/>
          <w:spacing w:val="-3"/>
          <w:sz w:val="22"/>
          <w:szCs w:val="22"/>
        </w:rPr>
        <w:t>p</w:t>
      </w:r>
      <w:r w:rsidR="008854A5" w:rsidRPr="00CE24F2">
        <w:rPr>
          <w:rFonts w:ascii="Times New Roman" w:hAnsi="Times New Roman"/>
          <w:spacing w:val="-3"/>
          <w:sz w:val="22"/>
          <w:szCs w:val="22"/>
        </w:rPr>
        <w:t xml:space="preserve">rovider's </w:t>
      </w:r>
      <w:r w:rsidRPr="00CE24F2">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sidRPr="00CE24F2">
        <w:rPr>
          <w:rFonts w:ascii="Times New Roman" w:hAnsi="Times New Roman"/>
          <w:spacing w:val="-3"/>
          <w:sz w:val="22"/>
          <w:szCs w:val="22"/>
        </w:rPr>
        <w:t xml:space="preserve">.  </w:t>
      </w:r>
    </w:p>
    <w:p w14:paraId="5C1BB442" w14:textId="77777777" w:rsidR="007D15FB" w:rsidRDefault="007D15FB" w:rsidP="00F220EE">
      <w:pPr>
        <w:suppressAutoHyphens/>
        <w:ind w:left="720"/>
        <w:rPr>
          <w:rFonts w:ascii="Times New Roman" w:hAnsi="Times New Roman"/>
          <w:spacing w:val="-3"/>
          <w:sz w:val="22"/>
          <w:szCs w:val="22"/>
          <w:u w:val="single"/>
        </w:rPr>
      </w:pPr>
    </w:p>
    <w:p w14:paraId="2DDF2796" w14:textId="4CEB698F" w:rsidR="009724FB" w:rsidRPr="00DB61BE" w:rsidRDefault="009724FB" w:rsidP="009724FB">
      <w:pPr>
        <w:pStyle w:val="PlainText"/>
        <w:ind w:left="720"/>
        <w:rPr>
          <w:rFonts w:ascii="Times New Roman" w:hAnsi="Times New Roman"/>
        </w:rPr>
      </w:pPr>
      <w:r w:rsidRPr="00DB61BE">
        <w:rPr>
          <w:rFonts w:ascii="Times New Roman" w:hAnsi="Times New Roman"/>
          <w:spacing w:val="-3"/>
          <w:u w:val="single"/>
        </w:rPr>
        <w:t xml:space="preserve">Sexual and Domestic Violence </w:t>
      </w:r>
      <w:r w:rsidR="00A34B26" w:rsidRPr="00DB61BE">
        <w:rPr>
          <w:rFonts w:ascii="Times New Roman" w:hAnsi="Times New Roman"/>
          <w:spacing w:val="-3"/>
          <w:u w:val="single"/>
        </w:rPr>
        <w:t>Equity Services</w:t>
      </w:r>
      <w:r w:rsidRPr="00DB61BE">
        <w:rPr>
          <w:rFonts w:ascii="Times New Roman" w:hAnsi="Times New Roman"/>
          <w:spacing w:val="-3"/>
        </w:rPr>
        <w:t xml:space="preserve">.  </w:t>
      </w:r>
      <w:r w:rsidRPr="00DB61BE">
        <w:rPr>
          <w:rFonts w:ascii="Times New Roman" w:hAnsi="Times New Roman"/>
        </w:rPr>
        <w:t>Sexual and domestic violence (SDV) affects some groups of people at disproportionate levels as seen in higher prevalence, poorer access to services</w:t>
      </w:r>
      <w:r w:rsidR="00E93C5A">
        <w:rPr>
          <w:rFonts w:ascii="Times New Roman" w:hAnsi="Times New Roman"/>
        </w:rPr>
        <w:t>,</w:t>
      </w:r>
      <w:r w:rsidRPr="00DB61BE">
        <w:rPr>
          <w:rFonts w:ascii="Times New Roman" w:hAnsi="Times New Roman"/>
        </w:rPr>
        <w:t xml:space="preserve"> and/or worse outcomes from SDV. Research on disparities has identified some of these groups as Black women, LGBTQ, immigrants, people with disabilities, </w:t>
      </w:r>
      <w:r w:rsidR="00174160">
        <w:rPr>
          <w:rFonts w:ascii="Times New Roman" w:hAnsi="Times New Roman"/>
        </w:rPr>
        <w:t xml:space="preserve">people who are </w:t>
      </w:r>
      <w:r w:rsidRPr="00DB61BE">
        <w:rPr>
          <w:rFonts w:ascii="Times New Roman" w:hAnsi="Times New Roman"/>
        </w:rPr>
        <w:t xml:space="preserve">deaf </w:t>
      </w:r>
      <w:r w:rsidR="00174160">
        <w:rPr>
          <w:rFonts w:ascii="Times New Roman" w:hAnsi="Times New Roman"/>
        </w:rPr>
        <w:t>or</w:t>
      </w:r>
      <w:r w:rsidRPr="00DB61BE">
        <w:rPr>
          <w:rFonts w:ascii="Times New Roman" w:hAnsi="Times New Roman"/>
        </w:rPr>
        <w:t xml:space="preserve"> </w:t>
      </w:r>
      <w:r w:rsidR="00174160">
        <w:rPr>
          <w:rFonts w:ascii="Times New Roman" w:hAnsi="Times New Roman"/>
        </w:rPr>
        <w:t>h</w:t>
      </w:r>
      <w:r w:rsidRPr="00DB61BE">
        <w:rPr>
          <w:rFonts w:ascii="Times New Roman" w:hAnsi="Times New Roman"/>
        </w:rPr>
        <w:t xml:space="preserve">ard of </w:t>
      </w:r>
      <w:r w:rsidR="00174160">
        <w:rPr>
          <w:rFonts w:ascii="Times New Roman" w:hAnsi="Times New Roman"/>
        </w:rPr>
        <w:t>h</w:t>
      </w:r>
      <w:r w:rsidRPr="00DB61BE">
        <w:rPr>
          <w:rFonts w:ascii="Times New Roman" w:hAnsi="Times New Roman"/>
        </w:rPr>
        <w:t>earing,</w:t>
      </w:r>
      <w:r w:rsidR="00174160">
        <w:rPr>
          <w:rFonts w:ascii="Times New Roman" w:hAnsi="Times New Roman"/>
        </w:rPr>
        <w:t xml:space="preserve"> and</w:t>
      </w:r>
      <w:r w:rsidRPr="00DB61BE">
        <w:rPr>
          <w:rFonts w:ascii="Times New Roman" w:hAnsi="Times New Roman"/>
        </w:rPr>
        <w:t xml:space="preserve"> people in rural areas. </w:t>
      </w:r>
      <w:r w:rsidR="00A34B26" w:rsidRPr="00DB61BE">
        <w:rPr>
          <w:rFonts w:ascii="Times New Roman" w:hAnsi="Times New Roman"/>
        </w:rPr>
        <w:t>The service offers, but is not limited to,</w:t>
      </w:r>
      <w:r w:rsidRPr="00DB61BE">
        <w:rPr>
          <w:rFonts w:ascii="Times New Roman" w:hAnsi="Times New Roman"/>
        </w:rPr>
        <w:t xml:space="preserve"> supports services, outreach, education, </w:t>
      </w:r>
      <w:r w:rsidR="0022302D" w:rsidRPr="00DB61BE">
        <w:rPr>
          <w:rFonts w:ascii="Times New Roman" w:hAnsi="Times New Roman"/>
        </w:rPr>
        <w:t xml:space="preserve">and </w:t>
      </w:r>
      <w:r w:rsidRPr="00DB61BE">
        <w:rPr>
          <w:rFonts w:ascii="Times New Roman" w:hAnsi="Times New Roman"/>
        </w:rPr>
        <w:t xml:space="preserve">community engagement with groups and individuals who are disproportionately adversely affected. </w:t>
      </w:r>
    </w:p>
    <w:p w14:paraId="64FE76A3" w14:textId="77777777" w:rsidR="00A34B26" w:rsidRPr="00DB61BE" w:rsidRDefault="00A34B26" w:rsidP="009724FB">
      <w:pPr>
        <w:pStyle w:val="PlainText"/>
        <w:ind w:left="720"/>
        <w:rPr>
          <w:rFonts w:ascii="Times New Roman" w:hAnsi="Times New Roman"/>
        </w:rPr>
      </w:pPr>
    </w:p>
    <w:p w14:paraId="111A408E" w14:textId="4D76B641" w:rsidR="00A34B26" w:rsidRDefault="00A34B26" w:rsidP="00A34B26">
      <w:pPr>
        <w:pStyle w:val="PlainText"/>
        <w:ind w:left="720"/>
      </w:pPr>
      <w:r w:rsidRPr="00DB61BE">
        <w:rPr>
          <w:rFonts w:ascii="Times New Roman" w:hAnsi="Times New Roman"/>
          <w:spacing w:val="-3"/>
          <w:u w:val="single"/>
        </w:rPr>
        <w:t>Sexual and Domestic Violence Equity Legal Services</w:t>
      </w:r>
      <w:r w:rsidRPr="00156207">
        <w:rPr>
          <w:rFonts w:ascii="Times New Roman" w:hAnsi="Times New Roman"/>
          <w:spacing w:val="-3"/>
        </w:rPr>
        <w:t>.</w:t>
      </w:r>
      <w:r w:rsidRPr="00DB61BE">
        <w:t xml:space="preserve"> </w:t>
      </w:r>
      <w:r w:rsidR="00BB10A6" w:rsidRPr="00DB61BE">
        <w:t xml:space="preserve"> </w:t>
      </w:r>
      <w:r w:rsidRPr="00DB61BE">
        <w:rPr>
          <w:rFonts w:ascii="Times New Roman" w:hAnsi="Times New Roman"/>
        </w:rPr>
        <w:t>Services for the relief/amelioration of immigration or humanitarian cris</w:t>
      </w:r>
      <w:r w:rsidR="00213DA3">
        <w:rPr>
          <w:rFonts w:ascii="Times New Roman" w:hAnsi="Times New Roman"/>
        </w:rPr>
        <w:t>e</w:t>
      </w:r>
      <w:r w:rsidRPr="00DB61BE">
        <w:rPr>
          <w:rFonts w:ascii="Times New Roman" w:hAnsi="Times New Roman"/>
        </w:rPr>
        <w:t xml:space="preserve">s encountered by refugees and immigrants, such as legal representation and humanitarian relief following </w:t>
      </w:r>
      <w:r w:rsidR="00575382">
        <w:rPr>
          <w:rFonts w:ascii="Times New Roman" w:hAnsi="Times New Roman"/>
        </w:rPr>
        <w:t>events</w:t>
      </w:r>
      <w:r w:rsidR="00433BA9">
        <w:rPr>
          <w:rFonts w:ascii="Times New Roman" w:hAnsi="Times New Roman"/>
        </w:rPr>
        <w:t xml:space="preserve"> that include, but are not limited to, </w:t>
      </w:r>
      <w:r w:rsidRPr="00DB61BE">
        <w:rPr>
          <w:rFonts w:ascii="Times New Roman" w:hAnsi="Times New Roman"/>
        </w:rPr>
        <w:t>natural disasters</w:t>
      </w:r>
      <w:r w:rsidR="00433BA9">
        <w:rPr>
          <w:rFonts w:ascii="Times New Roman" w:hAnsi="Times New Roman"/>
        </w:rPr>
        <w:t xml:space="preserve"> and</w:t>
      </w:r>
      <w:r w:rsidRPr="00DB61BE">
        <w:rPr>
          <w:rFonts w:ascii="Times New Roman" w:hAnsi="Times New Roman"/>
        </w:rPr>
        <w:t xml:space="preserve"> immigration raids.</w:t>
      </w:r>
      <w:r>
        <w:t xml:space="preserve"> </w:t>
      </w:r>
    </w:p>
    <w:p w14:paraId="372B4C4C" w14:textId="77777777" w:rsidR="00B73322" w:rsidRPr="00CE24F2" w:rsidRDefault="00B73322" w:rsidP="00EA2EB7">
      <w:pPr>
        <w:suppressAutoHyphens/>
        <w:rPr>
          <w:rFonts w:ascii="Times New Roman" w:hAnsi="Times New Roman"/>
          <w:spacing w:val="-3"/>
          <w:sz w:val="22"/>
          <w:szCs w:val="22"/>
          <w:u w:val="single"/>
        </w:rPr>
      </w:pPr>
    </w:p>
    <w:p w14:paraId="131AC8BE" w14:textId="77777777" w:rsidR="00EA2EB7" w:rsidRPr="00CE24F2" w:rsidRDefault="002C3948" w:rsidP="00EA2EB7">
      <w:pPr>
        <w:suppressAutoHyphens/>
        <w:rPr>
          <w:rFonts w:ascii="Times New Roman" w:hAnsi="Times New Roman"/>
          <w:spacing w:val="-3"/>
          <w:sz w:val="22"/>
          <w:szCs w:val="22"/>
        </w:rPr>
      </w:pPr>
      <w:r>
        <w:rPr>
          <w:rFonts w:ascii="Times New Roman" w:hAnsi="Times New Roman"/>
          <w:spacing w:val="-3"/>
          <w:sz w:val="22"/>
          <w:szCs w:val="22"/>
          <w:u w:val="single"/>
        </w:rPr>
        <w:t>429</w:t>
      </w:r>
      <w:r w:rsidR="00EA2EB7" w:rsidRPr="00CE24F2">
        <w:rPr>
          <w:rFonts w:ascii="Times New Roman" w:hAnsi="Times New Roman"/>
          <w:spacing w:val="-3"/>
          <w:sz w:val="22"/>
          <w:szCs w:val="22"/>
          <w:u w:val="single"/>
        </w:rPr>
        <w:t>.03:</w:t>
      </w:r>
      <w:r w:rsidR="00F220EE" w:rsidRPr="00CE24F2">
        <w:rPr>
          <w:rFonts w:ascii="Times New Roman" w:hAnsi="Times New Roman"/>
          <w:spacing w:val="-3"/>
          <w:sz w:val="22"/>
          <w:szCs w:val="22"/>
          <w:u w:val="single"/>
        </w:rPr>
        <w:t xml:space="preserve">  </w:t>
      </w:r>
      <w:r w:rsidR="00EA2EB7" w:rsidRPr="00CE24F2">
        <w:rPr>
          <w:rFonts w:ascii="Times New Roman" w:hAnsi="Times New Roman"/>
          <w:spacing w:val="-3"/>
          <w:sz w:val="22"/>
          <w:szCs w:val="22"/>
          <w:u w:val="single"/>
        </w:rPr>
        <w:t>Rate Provisions</w:t>
      </w:r>
    </w:p>
    <w:p w14:paraId="0593DF4B" w14:textId="77777777" w:rsidR="00EA2EB7" w:rsidRPr="00CE24F2" w:rsidRDefault="00EA2EB7" w:rsidP="00EA2EB7">
      <w:pPr>
        <w:suppressAutoHyphens/>
        <w:rPr>
          <w:rFonts w:ascii="Times New Roman" w:hAnsi="Times New Roman"/>
          <w:spacing w:val="-3"/>
          <w:sz w:val="22"/>
          <w:szCs w:val="22"/>
        </w:rPr>
      </w:pPr>
    </w:p>
    <w:p w14:paraId="14E9F18D" w14:textId="77777777" w:rsidR="00EA2EB7" w:rsidRPr="00CE24F2" w:rsidRDefault="00EA2EB7" w:rsidP="00EA2EB7">
      <w:pPr>
        <w:suppressAutoHyphens/>
        <w:ind w:left="720"/>
        <w:rPr>
          <w:rFonts w:ascii="Times New Roman" w:hAnsi="Times New Roman"/>
          <w:spacing w:val="-3"/>
          <w:sz w:val="22"/>
          <w:szCs w:val="22"/>
        </w:rPr>
      </w:pPr>
      <w:r w:rsidRPr="00CE24F2">
        <w:rPr>
          <w:rFonts w:ascii="Times New Roman" w:hAnsi="Times New Roman"/>
          <w:spacing w:val="-3"/>
          <w:sz w:val="22"/>
          <w:szCs w:val="22"/>
        </w:rPr>
        <w:t>(1)</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 xml:space="preserve">Services </w:t>
      </w:r>
      <w:r w:rsidR="007D45AE" w:rsidRPr="00CE24F2">
        <w:rPr>
          <w:rFonts w:ascii="Times New Roman" w:hAnsi="Times New Roman"/>
          <w:spacing w:val="-3"/>
          <w:sz w:val="22"/>
          <w:szCs w:val="22"/>
          <w:u w:val="single"/>
        </w:rPr>
        <w:t>I</w:t>
      </w:r>
      <w:r w:rsidRPr="00CE24F2">
        <w:rPr>
          <w:rFonts w:ascii="Times New Roman" w:hAnsi="Times New Roman"/>
          <w:spacing w:val="-3"/>
          <w:sz w:val="22"/>
          <w:szCs w:val="22"/>
          <w:u w:val="single"/>
        </w:rPr>
        <w:t>ncluded in the Rate</w:t>
      </w:r>
      <w:r w:rsidRPr="00CE24F2">
        <w:rPr>
          <w:rFonts w:ascii="Times New Roman" w:hAnsi="Times New Roman"/>
          <w:spacing w:val="-3"/>
          <w:sz w:val="22"/>
          <w:szCs w:val="22"/>
        </w:rPr>
        <w:t>.  The approved rate include</w:t>
      </w:r>
      <w:r w:rsidR="007D45AE" w:rsidRPr="00CE24F2">
        <w:rPr>
          <w:rFonts w:ascii="Times New Roman" w:hAnsi="Times New Roman"/>
          <w:spacing w:val="-3"/>
          <w:sz w:val="22"/>
          <w:szCs w:val="22"/>
        </w:rPr>
        <w:t>s</w:t>
      </w:r>
      <w:r w:rsidRPr="00CE24F2">
        <w:rPr>
          <w:rFonts w:ascii="Times New Roman" w:hAnsi="Times New Roman"/>
          <w:spacing w:val="-3"/>
          <w:sz w:val="22"/>
          <w:szCs w:val="22"/>
        </w:rPr>
        <w:t xml:space="preserve"> payment for all care and services that are part of the program of services of an eligible provider, </w:t>
      </w:r>
      <w:r w:rsidR="00D551A8" w:rsidRPr="00CE24F2">
        <w:rPr>
          <w:rFonts w:ascii="Times New Roman" w:hAnsi="Times New Roman"/>
          <w:spacing w:val="-3"/>
          <w:sz w:val="22"/>
          <w:szCs w:val="22"/>
        </w:rPr>
        <w:t xml:space="preserve">as explicitly set forth in </w:t>
      </w:r>
      <w:r w:rsidRPr="00CE24F2">
        <w:rPr>
          <w:rFonts w:ascii="Times New Roman" w:hAnsi="Times New Roman"/>
          <w:spacing w:val="-3"/>
          <w:sz w:val="22"/>
          <w:szCs w:val="22"/>
        </w:rPr>
        <w:t>the terms of the purchase agreement between the eligible provider and the purchasing governmental unit(s).</w:t>
      </w:r>
    </w:p>
    <w:p w14:paraId="6DE475A0" w14:textId="77777777" w:rsidR="00EA2EB7" w:rsidRPr="00CE24F2" w:rsidRDefault="00EA2EB7" w:rsidP="00EA2EB7">
      <w:pPr>
        <w:suppressAutoHyphens/>
        <w:ind w:left="720"/>
        <w:rPr>
          <w:rFonts w:ascii="Times New Roman" w:hAnsi="Times New Roman"/>
          <w:spacing w:val="-3"/>
          <w:sz w:val="22"/>
          <w:szCs w:val="22"/>
        </w:rPr>
      </w:pPr>
    </w:p>
    <w:p w14:paraId="70817F4C" w14:textId="77777777" w:rsidR="00EA2EB7" w:rsidRPr="00CE24F2" w:rsidRDefault="00EA2EB7" w:rsidP="00EA2EB7">
      <w:pPr>
        <w:suppressAutoHyphens/>
        <w:ind w:left="720"/>
        <w:rPr>
          <w:rFonts w:ascii="Times New Roman" w:hAnsi="Times New Roman"/>
          <w:spacing w:val="-3"/>
          <w:sz w:val="22"/>
          <w:szCs w:val="22"/>
        </w:rPr>
      </w:pPr>
      <w:r w:rsidRPr="00CE24F2">
        <w:rPr>
          <w:rFonts w:ascii="Times New Roman" w:hAnsi="Times New Roman"/>
          <w:spacing w:val="-3"/>
          <w:sz w:val="22"/>
          <w:szCs w:val="22"/>
        </w:rPr>
        <w:t>(2)</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Reimbursement as Full Payment</w:t>
      </w:r>
      <w:r w:rsidRPr="00CE24F2">
        <w:rPr>
          <w:rFonts w:ascii="Times New Roman" w:hAnsi="Times New Roman"/>
          <w:spacing w:val="-3"/>
          <w:sz w:val="22"/>
          <w:szCs w:val="22"/>
        </w:rPr>
        <w:t xml:space="preserve">.  Each eligible provider </w:t>
      </w:r>
      <w:r w:rsidR="00F220EE" w:rsidRPr="00CE24F2">
        <w:rPr>
          <w:rFonts w:ascii="Times New Roman" w:hAnsi="Times New Roman"/>
          <w:spacing w:val="-3"/>
          <w:sz w:val="22"/>
          <w:szCs w:val="22"/>
        </w:rPr>
        <w:t>must</w:t>
      </w:r>
      <w:r w:rsidRPr="00CE24F2">
        <w:rPr>
          <w:rFonts w:ascii="Times New Roman" w:hAnsi="Times New Roman"/>
          <w:spacing w:val="-3"/>
          <w:sz w:val="22"/>
          <w:szCs w:val="22"/>
        </w:rPr>
        <w:t xml:space="preserve">, as a condition of acceptance of payment made by </w:t>
      </w:r>
      <w:r w:rsidR="00D551A8" w:rsidRPr="00CE24F2">
        <w:rPr>
          <w:rFonts w:ascii="Times New Roman" w:hAnsi="Times New Roman"/>
          <w:spacing w:val="-3"/>
          <w:sz w:val="22"/>
          <w:szCs w:val="22"/>
        </w:rPr>
        <w:t>any</w:t>
      </w:r>
      <w:r w:rsidRPr="00CE24F2">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CE24F2">
        <w:rPr>
          <w:rFonts w:ascii="Times New Roman" w:hAnsi="Times New Roman"/>
          <w:spacing w:val="-3"/>
          <w:sz w:val="22"/>
          <w:szCs w:val="22"/>
        </w:rPr>
        <w:t>P</w:t>
      </w:r>
      <w:r w:rsidRPr="00CE24F2">
        <w:rPr>
          <w:rFonts w:ascii="Times New Roman" w:hAnsi="Times New Roman"/>
          <w:spacing w:val="-3"/>
          <w:sz w:val="22"/>
          <w:szCs w:val="22"/>
        </w:rPr>
        <w:t>ayment</w:t>
      </w:r>
      <w:r w:rsidR="00D551A8" w:rsidRPr="00CE24F2">
        <w:rPr>
          <w:rFonts w:ascii="Times New Roman" w:hAnsi="Times New Roman"/>
          <w:spacing w:val="-3"/>
          <w:sz w:val="22"/>
          <w:szCs w:val="22"/>
        </w:rPr>
        <w:t xml:space="preserve"> from any other source </w:t>
      </w:r>
      <w:r w:rsidR="00DA2A63" w:rsidRPr="00CE24F2">
        <w:rPr>
          <w:rFonts w:ascii="Times New Roman" w:hAnsi="Times New Roman"/>
          <w:spacing w:val="-3"/>
          <w:sz w:val="22"/>
          <w:szCs w:val="22"/>
        </w:rPr>
        <w:t xml:space="preserve">will </w:t>
      </w:r>
      <w:r w:rsidR="00D551A8" w:rsidRPr="00CE24F2">
        <w:rPr>
          <w:rFonts w:ascii="Times New Roman" w:hAnsi="Times New Roman"/>
          <w:spacing w:val="-3"/>
          <w:sz w:val="22"/>
          <w:szCs w:val="22"/>
        </w:rPr>
        <w:t xml:space="preserve">be used to offset </w:t>
      </w:r>
      <w:r w:rsidRPr="00CE24F2">
        <w:rPr>
          <w:rFonts w:ascii="Times New Roman" w:hAnsi="Times New Roman"/>
          <w:spacing w:val="-3"/>
          <w:sz w:val="22"/>
          <w:szCs w:val="22"/>
        </w:rPr>
        <w:t>the amount of the purchasing governmental unit's obligation for services rendered to the publicly assisted client.</w:t>
      </w:r>
    </w:p>
    <w:p w14:paraId="32FD7056" w14:textId="77777777" w:rsidR="00EA2EB7" w:rsidRPr="00CE24F2" w:rsidRDefault="00EA2EB7" w:rsidP="00EA2EB7">
      <w:pPr>
        <w:suppressAutoHyphens/>
        <w:ind w:left="720"/>
        <w:rPr>
          <w:rFonts w:ascii="Times New Roman" w:hAnsi="Times New Roman"/>
          <w:spacing w:val="-3"/>
          <w:sz w:val="22"/>
          <w:szCs w:val="22"/>
        </w:rPr>
      </w:pPr>
    </w:p>
    <w:p w14:paraId="3FCB521B" w14:textId="77777777" w:rsidR="00EA2EB7" w:rsidRPr="00CE24F2" w:rsidRDefault="00EA2EB7" w:rsidP="00EA2EB7">
      <w:pPr>
        <w:suppressAutoHyphens/>
        <w:ind w:left="720"/>
        <w:rPr>
          <w:rFonts w:ascii="Times New Roman" w:hAnsi="Times New Roman"/>
          <w:spacing w:val="-3"/>
          <w:sz w:val="22"/>
          <w:szCs w:val="22"/>
        </w:rPr>
      </w:pPr>
      <w:r w:rsidRPr="00CE24F2">
        <w:rPr>
          <w:rFonts w:ascii="Times New Roman" w:hAnsi="Times New Roman"/>
          <w:spacing w:val="-3"/>
          <w:sz w:val="22"/>
          <w:szCs w:val="22"/>
        </w:rPr>
        <w:t>(3)</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Payment Limitations</w:t>
      </w:r>
      <w:r w:rsidRPr="00CE24F2">
        <w:rPr>
          <w:rFonts w:ascii="Times New Roman" w:hAnsi="Times New Roman"/>
          <w:spacing w:val="-3"/>
          <w:sz w:val="22"/>
          <w:szCs w:val="22"/>
        </w:rPr>
        <w:t xml:space="preserve">.  </w:t>
      </w:r>
      <w:r w:rsidR="00D551A8" w:rsidRPr="00CE24F2">
        <w:rPr>
          <w:rFonts w:ascii="Times New Roman" w:hAnsi="Times New Roman"/>
          <w:spacing w:val="-3"/>
          <w:sz w:val="22"/>
          <w:szCs w:val="22"/>
        </w:rPr>
        <w:t>N</w:t>
      </w:r>
      <w:r w:rsidRPr="00CE24F2">
        <w:rPr>
          <w:rFonts w:ascii="Times New Roman" w:hAnsi="Times New Roman"/>
          <w:spacing w:val="-3"/>
          <w:sz w:val="22"/>
          <w:szCs w:val="22"/>
        </w:rPr>
        <w:t>o purchasing governmental unit may pay less than or more than the approved program rate.</w:t>
      </w:r>
    </w:p>
    <w:p w14:paraId="7619BEDB" w14:textId="77777777" w:rsidR="00442503" w:rsidRPr="00CE24F2" w:rsidRDefault="00EA2EB7" w:rsidP="008401AB">
      <w:pPr>
        <w:suppressAutoHyphens/>
        <w:rPr>
          <w:rFonts w:ascii="Times New Roman" w:hAnsi="Times New Roman"/>
          <w:spacing w:val="-3"/>
          <w:sz w:val="22"/>
          <w:szCs w:val="22"/>
        </w:rPr>
      </w:pPr>
      <w:r w:rsidRPr="00CE24F2" w:rsidDel="00EA2EB7">
        <w:rPr>
          <w:rFonts w:ascii="Times New Roman" w:hAnsi="Times New Roman"/>
          <w:spacing w:val="-3"/>
          <w:sz w:val="22"/>
          <w:szCs w:val="22"/>
        </w:rPr>
        <w:t xml:space="preserve"> </w:t>
      </w:r>
    </w:p>
    <w:p w14:paraId="2DDB431A" w14:textId="6327E5C9" w:rsidR="0020791C" w:rsidRDefault="00042B8B" w:rsidP="0020791C">
      <w:pPr>
        <w:suppressAutoHyphens/>
        <w:ind w:left="720"/>
        <w:rPr>
          <w:rFonts w:ascii="Times New Roman" w:hAnsi="Times New Roman"/>
          <w:spacing w:val="-3"/>
          <w:sz w:val="22"/>
          <w:szCs w:val="22"/>
        </w:rPr>
      </w:pPr>
      <w:r w:rsidRPr="006E4EE1">
        <w:rPr>
          <w:rFonts w:ascii="Times New Roman" w:hAnsi="Times New Roman"/>
          <w:spacing w:val="-3"/>
          <w:sz w:val="22"/>
          <w:szCs w:val="22"/>
        </w:rPr>
        <w:t xml:space="preserve">(4)  </w:t>
      </w:r>
      <w:r w:rsidR="000C4141">
        <w:rPr>
          <w:rFonts w:ascii="Times New Roman" w:hAnsi="Times New Roman"/>
          <w:spacing w:val="-3"/>
          <w:sz w:val="22"/>
          <w:szCs w:val="22"/>
          <w:u w:val="single"/>
        </w:rPr>
        <w:t>Certain Unit Contract Payment Rates for Certain Sexual and Domestic Violence Services</w:t>
      </w:r>
      <w:r w:rsidR="000C4141">
        <w:rPr>
          <w:rFonts w:ascii="Times New Roman" w:hAnsi="Times New Roman"/>
          <w:spacing w:val="-3"/>
          <w:sz w:val="22"/>
          <w:szCs w:val="22"/>
        </w:rPr>
        <w:t xml:space="preserve">.  The payment rate for </w:t>
      </w:r>
      <w:r w:rsidR="00213DA3">
        <w:rPr>
          <w:rFonts w:ascii="Times New Roman" w:hAnsi="Times New Roman"/>
          <w:spacing w:val="-3"/>
          <w:sz w:val="22"/>
          <w:szCs w:val="22"/>
        </w:rPr>
        <w:t>c</w:t>
      </w:r>
      <w:r w:rsidR="000C4141">
        <w:rPr>
          <w:rFonts w:ascii="Times New Roman" w:hAnsi="Times New Roman"/>
          <w:spacing w:val="-3"/>
          <w:sz w:val="22"/>
          <w:szCs w:val="22"/>
        </w:rPr>
        <w:t xml:space="preserve">ertain </w:t>
      </w:r>
      <w:r w:rsidR="00213DA3">
        <w:rPr>
          <w:rFonts w:ascii="Times New Roman" w:hAnsi="Times New Roman"/>
          <w:spacing w:val="-3"/>
          <w:sz w:val="22"/>
          <w:szCs w:val="22"/>
        </w:rPr>
        <w:t>s</w:t>
      </w:r>
      <w:r w:rsidR="000C4141">
        <w:rPr>
          <w:rFonts w:ascii="Times New Roman" w:hAnsi="Times New Roman"/>
          <w:spacing w:val="-3"/>
          <w:sz w:val="22"/>
          <w:szCs w:val="22"/>
        </w:rPr>
        <w:t xml:space="preserve">exual and </w:t>
      </w:r>
      <w:r w:rsidR="00213DA3">
        <w:rPr>
          <w:rFonts w:ascii="Times New Roman" w:hAnsi="Times New Roman"/>
          <w:spacing w:val="-3"/>
          <w:sz w:val="22"/>
          <w:szCs w:val="22"/>
        </w:rPr>
        <w:t>d</w:t>
      </w:r>
      <w:r w:rsidR="000C4141">
        <w:rPr>
          <w:rFonts w:ascii="Times New Roman" w:hAnsi="Times New Roman"/>
          <w:spacing w:val="-3"/>
          <w:sz w:val="22"/>
          <w:szCs w:val="22"/>
        </w:rPr>
        <w:t xml:space="preserve">omestic </w:t>
      </w:r>
      <w:r w:rsidR="00213DA3">
        <w:rPr>
          <w:rFonts w:ascii="Times New Roman" w:hAnsi="Times New Roman"/>
          <w:spacing w:val="-3"/>
          <w:sz w:val="22"/>
          <w:szCs w:val="22"/>
        </w:rPr>
        <w:t>v</w:t>
      </w:r>
      <w:r w:rsidR="000C4141">
        <w:rPr>
          <w:rFonts w:ascii="Times New Roman" w:hAnsi="Times New Roman"/>
          <w:spacing w:val="-3"/>
          <w:sz w:val="22"/>
          <w:szCs w:val="22"/>
        </w:rPr>
        <w:t xml:space="preserve">iolence </w:t>
      </w:r>
      <w:r w:rsidR="00213DA3">
        <w:rPr>
          <w:rFonts w:ascii="Times New Roman" w:hAnsi="Times New Roman"/>
          <w:spacing w:val="-3"/>
          <w:sz w:val="22"/>
          <w:szCs w:val="22"/>
        </w:rPr>
        <w:t>s</w:t>
      </w:r>
      <w:r w:rsidR="000C4141">
        <w:rPr>
          <w:rFonts w:ascii="Times New Roman" w:hAnsi="Times New Roman"/>
          <w:spacing w:val="-3"/>
          <w:sz w:val="22"/>
          <w:szCs w:val="22"/>
        </w:rPr>
        <w:t>ervices established in 101 CMR 429.03(</w:t>
      </w:r>
      <w:r w:rsidR="00AC1B8A">
        <w:rPr>
          <w:rFonts w:ascii="Times New Roman" w:hAnsi="Times New Roman"/>
          <w:spacing w:val="-3"/>
          <w:sz w:val="22"/>
          <w:szCs w:val="22"/>
        </w:rPr>
        <w:t>6</w:t>
      </w:r>
      <w:r w:rsidR="000C4141">
        <w:rPr>
          <w:rFonts w:ascii="Times New Roman" w:hAnsi="Times New Roman"/>
          <w:spacing w:val="-3"/>
          <w:sz w:val="22"/>
          <w:szCs w:val="22"/>
        </w:rPr>
        <w:t>)(a)</w:t>
      </w:r>
      <w:r w:rsidR="00E93C5A">
        <w:rPr>
          <w:rFonts w:ascii="Times New Roman" w:hAnsi="Times New Roman"/>
          <w:spacing w:val="-3"/>
          <w:sz w:val="22"/>
          <w:szCs w:val="22"/>
        </w:rPr>
        <w:t>,</w:t>
      </w:r>
      <w:r w:rsidR="000C4141">
        <w:rPr>
          <w:rFonts w:ascii="Times New Roman" w:hAnsi="Times New Roman"/>
          <w:spacing w:val="-3"/>
          <w:sz w:val="22"/>
          <w:szCs w:val="22"/>
        </w:rPr>
        <w:t xml:space="preserve"> provided pursuant to contracts purchasing only one unit </w:t>
      </w:r>
      <w:r w:rsidR="000C4141" w:rsidRPr="00156207">
        <w:rPr>
          <w:rFonts w:ascii="Times New Roman" w:hAnsi="Times New Roman"/>
          <w:spacing w:val="-3"/>
          <w:sz w:val="22"/>
          <w:szCs w:val="22"/>
        </w:rPr>
        <w:t>in total</w:t>
      </w:r>
      <w:r w:rsidR="00E93C5A">
        <w:rPr>
          <w:rFonts w:ascii="Times New Roman" w:hAnsi="Times New Roman"/>
          <w:spacing w:val="-3"/>
          <w:sz w:val="22"/>
          <w:szCs w:val="22"/>
        </w:rPr>
        <w:t>,</w:t>
      </w:r>
      <w:r w:rsidR="000C4141" w:rsidRPr="00156207">
        <w:rPr>
          <w:rFonts w:ascii="Times New Roman" w:hAnsi="Times New Roman"/>
          <w:spacing w:val="-3"/>
          <w:sz w:val="22"/>
          <w:szCs w:val="22"/>
        </w:rPr>
        <w:t xml:space="preserve"> </w:t>
      </w:r>
      <w:r w:rsidR="000C4141">
        <w:rPr>
          <w:rFonts w:ascii="Times New Roman" w:hAnsi="Times New Roman"/>
          <w:spacing w:val="-3"/>
          <w:sz w:val="22"/>
          <w:szCs w:val="22"/>
        </w:rPr>
        <w:t>is at the rate established in 101 CMR 429.03(</w:t>
      </w:r>
      <w:r w:rsidR="00AC1B8A">
        <w:rPr>
          <w:rFonts w:ascii="Times New Roman" w:hAnsi="Times New Roman"/>
          <w:spacing w:val="-3"/>
          <w:sz w:val="22"/>
          <w:szCs w:val="22"/>
        </w:rPr>
        <w:t>6</w:t>
      </w:r>
      <w:r w:rsidR="000C4141">
        <w:rPr>
          <w:rFonts w:ascii="Times New Roman" w:hAnsi="Times New Roman"/>
          <w:spacing w:val="-3"/>
          <w:sz w:val="22"/>
          <w:szCs w:val="22"/>
        </w:rPr>
        <w:t xml:space="preserve">)(a) times a factor of 1.18. The payment rate for </w:t>
      </w:r>
      <w:r w:rsidR="00213DA3">
        <w:rPr>
          <w:rFonts w:ascii="Times New Roman" w:hAnsi="Times New Roman"/>
          <w:spacing w:val="-3"/>
          <w:sz w:val="22"/>
          <w:szCs w:val="22"/>
        </w:rPr>
        <w:t>c</w:t>
      </w:r>
      <w:r w:rsidR="000C4141">
        <w:rPr>
          <w:rFonts w:ascii="Times New Roman" w:hAnsi="Times New Roman"/>
          <w:spacing w:val="-3"/>
          <w:sz w:val="22"/>
          <w:szCs w:val="22"/>
        </w:rPr>
        <w:t xml:space="preserve">ertain </w:t>
      </w:r>
      <w:r w:rsidR="00213DA3">
        <w:rPr>
          <w:rFonts w:ascii="Times New Roman" w:hAnsi="Times New Roman"/>
          <w:spacing w:val="-3"/>
          <w:sz w:val="22"/>
          <w:szCs w:val="22"/>
        </w:rPr>
        <w:t>s</w:t>
      </w:r>
      <w:r w:rsidR="000C4141">
        <w:rPr>
          <w:rFonts w:ascii="Times New Roman" w:hAnsi="Times New Roman"/>
          <w:spacing w:val="-3"/>
          <w:sz w:val="22"/>
          <w:szCs w:val="22"/>
        </w:rPr>
        <w:t xml:space="preserve">exual and </w:t>
      </w:r>
      <w:r w:rsidR="00213DA3">
        <w:rPr>
          <w:rFonts w:ascii="Times New Roman" w:hAnsi="Times New Roman"/>
          <w:spacing w:val="-3"/>
          <w:sz w:val="22"/>
          <w:szCs w:val="22"/>
        </w:rPr>
        <w:t>d</w:t>
      </w:r>
      <w:r w:rsidR="000C4141">
        <w:rPr>
          <w:rFonts w:ascii="Times New Roman" w:hAnsi="Times New Roman"/>
          <w:spacing w:val="-3"/>
          <w:sz w:val="22"/>
          <w:szCs w:val="22"/>
        </w:rPr>
        <w:t xml:space="preserve">omestic </w:t>
      </w:r>
      <w:r w:rsidR="00213DA3">
        <w:rPr>
          <w:rFonts w:ascii="Times New Roman" w:hAnsi="Times New Roman"/>
          <w:spacing w:val="-3"/>
          <w:sz w:val="22"/>
          <w:szCs w:val="22"/>
        </w:rPr>
        <w:t>v</w:t>
      </w:r>
      <w:r w:rsidR="000C4141">
        <w:rPr>
          <w:rFonts w:ascii="Times New Roman" w:hAnsi="Times New Roman"/>
          <w:spacing w:val="-3"/>
          <w:sz w:val="22"/>
          <w:szCs w:val="22"/>
        </w:rPr>
        <w:t xml:space="preserve">iolence </w:t>
      </w:r>
      <w:r w:rsidR="00213DA3">
        <w:rPr>
          <w:rFonts w:ascii="Times New Roman" w:hAnsi="Times New Roman"/>
          <w:spacing w:val="-3"/>
          <w:sz w:val="22"/>
          <w:szCs w:val="22"/>
        </w:rPr>
        <w:t>s</w:t>
      </w:r>
      <w:r w:rsidR="000C4141">
        <w:rPr>
          <w:rFonts w:ascii="Times New Roman" w:hAnsi="Times New Roman"/>
          <w:spacing w:val="-3"/>
          <w:sz w:val="22"/>
          <w:szCs w:val="22"/>
        </w:rPr>
        <w:t>ervices established in 101 CMR 429.03(</w:t>
      </w:r>
      <w:r w:rsidR="00AC1B8A">
        <w:rPr>
          <w:rFonts w:ascii="Times New Roman" w:hAnsi="Times New Roman"/>
          <w:spacing w:val="-3"/>
          <w:sz w:val="22"/>
          <w:szCs w:val="22"/>
        </w:rPr>
        <w:t>6</w:t>
      </w:r>
      <w:r w:rsidR="000C4141">
        <w:rPr>
          <w:rFonts w:ascii="Times New Roman" w:hAnsi="Times New Roman"/>
          <w:spacing w:val="-3"/>
          <w:sz w:val="22"/>
          <w:szCs w:val="22"/>
        </w:rPr>
        <w:t>)(a)</w:t>
      </w:r>
      <w:r w:rsidR="00E93C5A">
        <w:rPr>
          <w:rFonts w:ascii="Times New Roman" w:hAnsi="Times New Roman"/>
          <w:spacing w:val="-3"/>
          <w:sz w:val="22"/>
          <w:szCs w:val="22"/>
        </w:rPr>
        <w:t>,</w:t>
      </w:r>
      <w:r w:rsidR="000C4141">
        <w:rPr>
          <w:rFonts w:ascii="Times New Roman" w:hAnsi="Times New Roman"/>
          <w:spacing w:val="-3"/>
          <w:sz w:val="22"/>
          <w:szCs w:val="22"/>
        </w:rPr>
        <w:t xml:space="preserve"> provided pursuant to contracts purchasing only two units </w:t>
      </w:r>
      <w:r w:rsidR="000C4141" w:rsidRPr="00156207">
        <w:rPr>
          <w:rFonts w:ascii="Times New Roman" w:hAnsi="Times New Roman"/>
          <w:spacing w:val="-3"/>
          <w:sz w:val="22"/>
          <w:szCs w:val="22"/>
        </w:rPr>
        <w:t>in total</w:t>
      </w:r>
      <w:r w:rsidR="00E93C5A">
        <w:rPr>
          <w:rFonts w:ascii="Times New Roman" w:hAnsi="Times New Roman"/>
          <w:spacing w:val="-3"/>
          <w:sz w:val="22"/>
          <w:szCs w:val="22"/>
        </w:rPr>
        <w:t>,</w:t>
      </w:r>
      <w:r w:rsidR="000C4141" w:rsidRPr="00156207">
        <w:rPr>
          <w:rFonts w:ascii="Times New Roman" w:hAnsi="Times New Roman"/>
          <w:spacing w:val="-3"/>
          <w:sz w:val="22"/>
          <w:szCs w:val="22"/>
        </w:rPr>
        <w:t xml:space="preserve"> </w:t>
      </w:r>
      <w:r w:rsidR="000C4141">
        <w:rPr>
          <w:rFonts w:ascii="Times New Roman" w:hAnsi="Times New Roman"/>
          <w:spacing w:val="-3"/>
          <w:sz w:val="22"/>
          <w:szCs w:val="22"/>
        </w:rPr>
        <w:t>is at the rate established in 101 CMR 429.03(</w:t>
      </w:r>
      <w:r w:rsidR="00AC1B8A">
        <w:rPr>
          <w:rFonts w:ascii="Times New Roman" w:hAnsi="Times New Roman"/>
          <w:spacing w:val="-3"/>
          <w:sz w:val="22"/>
          <w:szCs w:val="22"/>
        </w:rPr>
        <w:t>6</w:t>
      </w:r>
      <w:r w:rsidR="000C4141">
        <w:rPr>
          <w:rFonts w:ascii="Times New Roman" w:hAnsi="Times New Roman"/>
          <w:spacing w:val="-3"/>
          <w:sz w:val="22"/>
          <w:szCs w:val="22"/>
        </w:rPr>
        <w:t>)</w:t>
      </w:r>
      <w:r w:rsidR="00874333">
        <w:rPr>
          <w:rFonts w:ascii="Times New Roman" w:hAnsi="Times New Roman"/>
          <w:spacing w:val="-3"/>
          <w:sz w:val="22"/>
          <w:szCs w:val="22"/>
        </w:rPr>
        <w:t>(a)</w:t>
      </w:r>
      <w:r w:rsidR="000C4141">
        <w:rPr>
          <w:rFonts w:ascii="Times New Roman" w:hAnsi="Times New Roman"/>
          <w:spacing w:val="-3"/>
          <w:sz w:val="22"/>
          <w:szCs w:val="22"/>
        </w:rPr>
        <w:t xml:space="preserve"> times a factor of 1.06.</w:t>
      </w:r>
    </w:p>
    <w:p w14:paraId="020CDF45" w14:textId="6F913B15" w:rsidR="00042B8B" w:rsidRDefault="00042B8B" w:rsidP="00156207">
      <w:pPr>
        <w:ind w:left="720"/>
        <w:rPr>
          <w:rFonts w:ascii="Times New Roman" w:hAnsi="Times New Roman"/>
          <w:sz w:val="22"/>
          <w:szCs w:val="22"/>
        </w:rPr>
      </w:pPr>
    </w:p>
    <w:p w14:paraId="281F2F2B" w14:textId="01FBA63D" w:rsidR="00A51696" w:rsidRPr="00510ED0" w:rsidRDefault="00A51696" w:rsidP="00A51696">
      <w:pPr>
        <w:suppressAutoHyphens/>
        <w:ind w:left="720"/>
        <w:rPr>
          <w:rFonts w:ascii="Times New Roman" w:hAnsi="Times New Roman"/>
          <w:sz w:val="22"/>
          <w:szCs w:val="22"/>
        </w:rPr>
      </w:pPr>
      <w:r w:rsidRPr="00567E02">
        <w:rPr>
          <w:rFonts w:ascii="Times New Roman" w:hAnsi="Times New Roman"/>
          <w:spacing w:val="-3"/>
          <w:sz w:val="22"/>
          <w:szCs w:val="22"/>
        </w:rPr>
        <w:t xml:space="preserve">(5) </w:t>
      </w:r>
      <w:r w:rsidR="00B65150" w:rsidRPr="00567E02">
        <w:rPr>
          <w:rFonts w:ascii="Times New Roman" w:hAnsi="Times New Roman"/>
          <w:spacing w:val="-3"/>
          <w:sz w:val="22"/>
          <w:szCs w:val="22"/>
        </w:rPr>
        <w:t xml:space="preserve"> </w:t>
      </w:r>
      <w:r w:rsidRPr="00E667B1">
        <w:rPr>
          <w:rFonts w:ascii="Times New Roman" w:hAnsi="Times New Roman"/>
          <w:spacing w:val="-3"/>
          <w:sz w:val="22"/>
          <w:szCs w:val="22"/>
          <w:u w:val="single"/>
        </w:rPr>
        <w:t>Administrative</w:t>
      </w:r>
      <w:r w:rsidRPr="00567E02">
        <w:rPr>
          <w:rFonts w:ascii="Times New Roman" w:hAnsi="Times New Roman"/>
          <w:spacing w:val="-3"/>
          <w:sz w:val="22"/>
          <w:szCs w:val="22"/>
          <w:u w:val="single"/>
        </w:rPr>
        <w:t xml:space="preserve"> </w:t>
      </w:r>
      <w:r w:rsidRPr="00E667B1">
        <w:rPr>
          <w:rFonts w:ascii="Times New Roman" w:hAnsi="Times New Roman"/>
          <w:spacing w:val="-3"/>
          <w:sz w:val="22"/>
          <w:szCs w:val="22"/>
          <w:u w:val="single"/>
        </w:rPr>
        <w:t>Adjustment</w:t>
      </w:r>
      <w:r w:rsidRPr="00567E02">
        <w:rPr>
          <w:rFonts w:ascii="Times New Roman" w:hAnsi="Times New Roman"/>
          <w:spacing w:val="-3"/>
          <w:sz w:val="22"/>
          <w:szCs w:val="22"/>
          <w:u w:val="single"/>
        </w:rPr>
        <w:t xml:space="preserve"> for </w:t>
      </w:r>
      <w:r w:rsidRPr="00E667B1">
        <w:rPr>
          <w:rFonts w:ascii="Times New Roman" w:hAnsi="Times New Roman"/>
          <w:spacing w:val="-3"/>
          <w:sz w:val="22"/>
          <w:szCs w:val="22"/>
          <w:u w:val="single"/>
        </w:rPr>
        <w:t>Extraordinary</w:t>
      </w:r>
      <w:r w:rsidRPr="00567E02">
        <w:rPr>
          <w:rFonts w:ascii="Times New Roman" w:hAnsi="Times New Roman"/>
          <w:spacing w:val="-3"/>
          <w:sz w:val="22"/>
          <w:szCs w:val="22"/>
          <w:u w:val="single"/>
        </w:rPr>
        <w:t xml:space="preserve"> Circumstances</w:t>
      </w:r>
      <w:r w:rsidRPr="00567E02">
        <w:rPr>
          <w:rFonts w:ascii="Times New Roman" w:hAnsi="Times New Roman"/>
          <w:spacing w:val="-3"/>
          <w:sz w:val="22"/>
          <w:szCs w:val="22"/>
        </w:rPr>
        <w:t xml:space="preserve">.  </w:t>
      </w:r>
      <w:r w:rsidRPr="00C35D1D">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567E02">
        <w:rPr>
          <w:rFonts w:ascii="Times New Roman" w:hAnsi="Times New Roman"/>
          <w:spacing w:val="-3"/>
          <w:sz w:val="22"/>
          <w:szCs w:val="22"/>
        </w:rPr>
        <w:t xml:space="preserve"> It must be</w:t>
      </w:r>
      <w:r w:rsidRPr="00C35D1D">
        <w:rPr>
          <w:rFonts w:ascii="Times New Roman" w:hAnsi="Times New Roman"/>
          <w:spacing w:val="-10"/>
          <w:sz w:val="22"/>
          <w:szCs w:val="22"/>
        </w:rPr>
        <w:t xml:space="preserve"> </w:t>
      </w:r>
      <w:r w:rsidRPr="00567E02">
        <w:rPr>
          <w:rFonts w:ascii="Times New Roman" w:hAnsi="Times New Roman"/>
          <w:sz w:val="22"/>
          <w:szCs w:val="22"/>
        </w:rPr>
        <w:lastRenderedPageBreak/>
        <w:t>demonstrated</w:t>
      </w:r>
      <w:r w:rsidRPr="007D272F">
        <w:rPr>
          <w:rFonts w:ascii="Times New Roman" w:hAnsi="Times New Roman"/>
          <w:spacing w:val="-11"/>
          <w:sz w:val="22"/>
          <w:szCs w:val="22"/>
        </w:rPr>
        <w:t xml:space="preserve"> </w:t>
      </w:r>
      <w:r w:rsidRPr="007D272F">
        <w:rPr>
          <w:rFonts w:ascii="Times New Roman" w:hAnsi="Times New Roman"/>
          <w:spacing w:val="-2"/>
          <w:sz w:val="22"/>
          <w:szCs w:val="22"/>
        </w:rPr>
        <w:t>that</w:t>
      </w:r>
      <w:r w:rsidRPr="007D272F">
        <w:rPr>
          <w:rFonts w:ascii="Times New Roman" w:hAnsi="Times New Roman"/>
          <w:spacing w:val="-10"/>
          <w:sz w:val="22"/>
          <w:szCs w:val="22"/>
        </w:rPr>
        <w:t xml:space="preserve"> </w:t>
      </w:r>
      <w:r w:rsidRPr="007D272F">
        <w:rPr>
          <w:rFonts w:ascii="Times New Roman" w:hAnsi="Times New Roman"/>
          <w:spacing w:val="-3"/>
          <w:sz w:val="22"/>
          <w:szCs w:val="22"/>
        </w:rPr>
        <w:t>such</w:t>
      </w:r>
      <w:r w:rsidRPr="007D272F">
        <w:rPr>
          <w:rFonts w:ascii="Times New Roman" w:hAnsi="Times New Roman"/>
          <w:spacing w:val="-9"/>
          <w:sz w:val="22"/>
          <w:szCs w:val="22"/>
        </w:rPr>
        <w:t xml:space="preserve"> </w:t>
      </w:r>
      <w:r w:rsidRPr="007D272F">
        <w:rPr>
          <w:rFonts w:ascii="Times New Roman" w:hAnsi="Times New Roman"/>
          <w:spacing w:val="-2"/>
          <w:sz w:val="22"/>
          <w:szCs w:val="22"/>
        </w:rPr>
        <w:t>cost</w:t>
      </w:r>
      <w:r w:rsidRPr="007D272F">
        <w:rPr>
          <w:rFonts w:ascii="Times New Roman" w:hAnsi="Times New Roman"/>
          <w:spacing w:val="-10"/>
          <w:sz w:val="22"/>
          <w:szCs w:val="22"/>
        </w:rPr>
        <w:t xml:space="preserve"> </w:t>
      </w:r>
      <w:r w:rsidRPr="007D272F">
        <w:rPr>
          <w:rFonts w:ascii="Times New Roman" w:hAnsi="Times New Roman"/>
          <w:spacing w:val="-2"/>
          <w:sz w:val="22"/>
          <w:szCs w:val="22"/>
        </w:rPr>
        <w:t>increases</w:t>
      </w:r>
      <w:r w:rsidRPr="007D272F">
        <w:rPr>
          <w:rFonts w:ascii="Times New Roman" w:hAnsi="Times New Roman"/>
          <w:spacing w:val="-11"/>
          <w:sz w:val="22"/>
          <w:szCs w:val="22"/>
        </w:rPr>
        <w:t xml:space="preserve"> </w:t>
      </w:r>
      <w:r w:rsidRPr="007D272F">
        <w:rPr>
          <w:rFonts w:ascii="Times New Roman" w:hAnsi="Times New Roman"/>
          <w:spacing w:val="-3"/>
          <w:sz w:val="22"/>
          <w:szCs w:val="22"/>
        </w:rPr>
        <w:t>gravely</w:t>
      </w:r>
      <w:r w:rsidRPr="007D272F">
        <w:rPr>
          <w:rFonts w:ascii="Times New Roman" w:hAnsi="Times New Roman"/>
          <w:spacing w:val="-9"/>
          <w:sz w:val="22"/>
          <w:szCs w:val="22"/>
        </w:rPr>
        <w:t xml:space="preserve"> </w:t>
      </w:r>
      <w:r w:rsidRPr="007D272F">
        <w:rPr>
          <w:rFonts w:ascii="Times New Roman" w:hAnsi="Times New Roman"/>
          <w:spacing w:val="-3"/>
          <w:sz w:val="22"/>
          <w:szCs w:val="22"/>
        </w:rPr>
        <w:t>threaten</w:t>
      </w:r>
      <w:r w:rsidRPr="007D272F">
        <w:rPr>
          <w:rFonts w:ascii="Times New Roman" w:hAnsi="Times New Roman"/>
          <w:spacing w:val="-10"/>
          <w:sz w:val="22"/>
          <w:szCs w:val="22"/>
        </w:rPr>
        <w:t xml:space="preserve"> </w:t>
      </w:r>
      <w:r w:rsidRPr="007D272F">
        <w:rPr>
          <w:rFonts w:ascii="Times New Roman" w:hAnsi="Times New Roman"/>
          <w:spacing w:val="-1"/>
          <w:sz w:val="22"/>
          <w:szCs w:val="22"/>
        </w:rPr>
        <w:t>the</w:t>
      </w:r>
      <w:r w:rsidRPr="007D272F">
        <w:rPr>
          <w:rFonts w:ascii="Times New Roman" w:hAnsi="Times New Roman"/>
          <w:spacing w:val="-10"/>
          <w:sz w:val="22"/>
          <w:szCs w:val="22"/>
        </w:rPr>
        <w:t xml:space="preserve"> </w:t>
      </w:r>
      <w:r w:rsidRPr="007D272F">
        <w:rPr>
          <w:rFonts w:ascii="Times New Roman" w:hAnsi="Times New Roman"/>
          <w:spacing w:val="-3"/>
          <w:sz w:val="22"/>
          <w:szCs w:val="22"/>
        </w:rPr>
        <w:t>stability</w:t>
      </w:r>
      <w:r w:rsidRPr="007D272F">
        <w:rPr>
          <w:rFonts w:ascii="Times New Roman" w:hAnsi="Times New Roman"/>
          <w:spacing w:val="-9"/>
          <w:sz w:val="22"/>
          <w:szCs w:val="22"/>
        </w:rPr>
        <w:t xml:space="preserve"> of </w:t>
      </w:r>
      <w:r w:rsidRPr="007D272F">
        <w:rPr>
          <w:rFonts w:ascii="Times New Roman" w:hAnsi="Times New Roman"/>
          <w:spacing w:val="-3"/>
          <w:sz w:val="22"/>
          <w:szCs w:val="22"/>
        </w:rPr>
        <w:t>service</w:t>
      </w:r>
      <w:r w:rsidRPr="007D272F">
        <w:rPr>
          <w:rFonts w:ascii="Times New Roman" w:hAnsi="Times New Roman"/>
          <w:spacing w:val="-10"/>
          <w:sz w:val="22"/>
          <w:szCs w:val="22"/>
        </w:rPr>
        <w:t xml:space="preserve"> </w:t>
      </w:r>
      <w:r w:rsidRPr="007D272F">
        <w:rPr>
          <w:rFonts w:ascii="Times New Roman" w:hAnsi="Times New Roman"/>
          <w:spacing w:val="-2"/>
          <w:sz w:val="22"/>
          <w:szCs w:val="22"/>
        </w:rPr>
        <w:t>provision</w:t>
      </w:r>
      <w:r w:rsidRPr="007D272F">
        <w:rPr>
          <w:rFonts w:ascii="Times New Roman" w:hAnsi="Times New Roman"/>
          <w:spacing w:val="-10"/>
          <w:sz w:val="22"/>
          <w:szCs w:val="22"/>
        </w:rPr>
        <w:t xml:space="preserve"> </w:t>
      </w:r>
      <w:r w:rsidRPr="007D272F">
        <w:rPr>
          <w:rFonts w:ascii="Times New Roman" w:hAnsi="Times New Roman"/>
          <w:spacing w:val="-2"/>
          <w:sz w:val="22"/>
          <w:szCs w:val="22"/>
        </w:rPr>
        <w:t>such</w:t>
      </w:r>
      <w:r w:rsidRPr="007D272F">
        <w:rPr>
          <w:rFonts w:ascii="Times New Roman" w:hAnsi="Times New Roman"/>
          <w:spacing w:val="-9"/>
          <w:sz w:val="22"/>
          <w:szCs w:val="22"/>
        </w:rPr>
        <w:t xml:space="preserve"> </w:t>
      </w:r>
      <w:r w:rsidRPr="007D272F">
        <w:rPr>
          <w:rFonts w:ascii="Times New Roman" w:hAnsi="Times New Roman"/>
          <w:spacing w:val="-2"/>
          <w:sz w:val="22"/>
          <w:szCs w:val="22"/>
        </w:rPr>
        <w:t>that</w:t>
      </w:r>
      <w:r w:rsidRPr="007D272F">
        <w:rPr>
          <w:rFonts w:ascii="Times New Roman" w:hAnsi="Times New Roman"/>
          <w:spacing w:val="-9"/>
          <w:sz w:val="22"/>
          <w:szCs w:val="22"/>
        </w:rPr>
        <w:t xml:space="preserve"> </w:t>
      </w:r>
      <w:r w:rsidRPr="007D272F">
        <w:rPr>
          <w:rFonts w:ascii="Times New Roman" w:hAnsi="Times New Roman"/>
          <w:spacing w:val="-2"/>
          <w:sz w:val="22"/>
          <w:szCs w:val="22"/>
        </w:rPr>
        <w:t>client</w:t>
      </w:r>
      <w:r w:rsidRPr="007D272F">
        <w:rPr>
          <w:rFonts w:ascii="Times New Roman" w:hAnsi="Times New Roman"/>
          <w:spacing w:val="-10"/>
          <w:sz w:val="22"/>
          <w:szCs w:val="22"/>
        </w:rPr>
        <w:t xml:space="preserve"> </w:t>
      </w:r>
      <w:r w:rsidRPr="007D272F">
        <w:rPr>
          <w:rFonts w:ascii="Times New Roman" w:hAnsi="Times New Roman"/>
          <w:spacing w:val="-1"/>
          <w:sz w:val="22"/>
          <w:szCs w:val="22"/>
        </w:rPr>
        <w:t>or</w:t>
      </w:r>
      <w:r w:rsidRPr="007D272F">
        <w:rPr>
          <w:rFonts w:ascii="Times New Roman" w:hAnsi="Times New Roman"/>
          <w:spacing w:val="-9"/>
          <w:sz w:val="22"/>
          <w:szCs w:val="22"/>
        </w:rPr>
        <w:t xml:space="preserve"> </w:t>
      </w:r>
      <w:r w:rsidRPr="007D272F">
        <w:rPr>
          <w:rFonts w:ascii="Times New Roman" w:hAnsi="Times New Roman"/>
          <w:spacing w:val="-2"/>
          <w:sz w:val="22"/>
          <w:szCs w:val="22"/>
        </w:rPr>
        <w:t>consumer</w:t>
      </w:r>
      <w:r w:rsidRPr="007D272F">
        <w:rPr>
          <w:rFonts w:ascii="Times New Roman" w:hAnsi="Times New Roman"/>
          <w:spacing w:val="-11"/>
          <w:sz w:val="22"/>
          <w:szCs w:val="22"/>
        </w:rPr>
        <w:t xml:space="preserve"> </w:t>
      </w:r>
      <w:r w:rsidRPr="007D272F">
        <w:rPr>
          <w:rFonts w:ascii="Times New Roman" w:hAnsi="Times New Roman"/>
          <w:spacing w:val="-2"/>
          <w:sz w:val="22"/>
          <w:szCs w:val="22"/>
        </w:rPr>
        <w:t>access</w:t>
      </w:r>
      <w:r w:rsidRPr="007D272F">
        <w:rPr>
          <w:rFonts w:ascii="Times New Roman" w:hAnsi="Times New Roman"/>
          <w:spacing w:val="-9"/>
          <w:sz w:val="22"/>
          <w:szCs w:val="22"/>
        </w:rPr>
        <w:t xml:space="preserve"> </w:t>
      </w:r>
      <w:r w:rsidRPr="007D272F">
        <w:rPr>
          <w:rFonts w:ascii="Times New Roman" w:hAnsi="Times New Roman"/>
          <w:spacing w:val="-1"/>
          <w:sz w:val="22"/>
          <w:szCs w:val="22"/>
        </w:rPr>
        <w:t>to</w:t>
      </w:r>
      <w:r w:rsidRPr="007D272F">
        <w:rPr>
          <w:rFonts w:ascii="Times New Roman" w:hAnsi="Times New Roman"/>
          <w:spacing w:val="-9"/>
          <w:sz w:val="22"/>
          <w:szCs w:val="22"/>
        </w:rPr>
        <w:t xml:space="preserve"> </w:t>
      </w:r>
      <w:r w:rsidRPr="007D272F">
        <w:rPr>
          <w:rFonts w:ascii="Times New Roman" w:hAnsi="Times New Roman"/>
          <w:spacing w:val="-2"/>
          <w:sz w:val="22"/>
          <w:szCs w:val="22"/>
        </w:rPr>
        <w:t>necessary</w:t>
      </w:r>
      <w:r w:rsidRPr="007D272F">
        <w:rPr>
          <w:rFonts w:ascii="Times New Roman" w:hAnsi="Times New Roman"/>
          <w:spacing w:val="-9"/>
          <w:sz w:val="22"/>
          <w:szCs w:val="22"/>
        </w:rPr>
        <w:t xml:space="preserve"> </w:t>
      </w:r>
      <w:r w:rsidRPr="007D272F">
        <w:rPr>
          <w:rFonts w:ascii="Times New Roman" w:hAnsi="Times New Roman"/>
          <w:spacing w:val="-2"/>
          <w:sz w:val="22"/>
          <w:szCs w:val="22"/>
        </w:rPr>
        <w:t>services</w:t>
      </w:r>
      <w:r w:rsidRPr="007D272F">
        <w:rPr>
          <w:rFonts w:ascii="Times New Roman" w:hAnsi="Times New Roman"/>
          <w:spacing w:val="-9"/>
          <w:sz w:val="22"/>
          <w:szCs w:val="22"/>
        </w:rPr>
        <w:t xml:space="preserve"> </w:t>
      </w:r>
      <w:r w:rsidRPr="007D272F">
        <w:rPr>
          <w:rFonts w:ascii="Times New Roman" w:hAnsi="Times New Roman"/>
          <w:spacing w:val="-1"/>
          <w:sz w:val="22"/>
          <w:szCs w:val="22"/>
        </w:rPr>
        <w:t>is</w:t>
      </w:r>
      <w:r w:rsidRPr="007D272F">
        <w:rPr>
          <w:rFonts w:ascii="Times New Roman" w:hAnsi="Times New Roman"/>
          <w:spacing w:val="-10"/>
          <w:sz w:val="22"/>
          <w:szCs w:val="22"/>
        </w:rPr>
        <w:t xml:space="preserve"> </w:t>
      </w:r>
      <w:r w:rsidRPr="007D272F">
        <w:rPr>
          <w:rFonts w:ascii="Times New Roman" w:hAnsi="Times New Roman"/>
          <w:spacing w:val="-1"/>
          <w:sz w:val="22"/>
          <w:szCs w:val="22"/>
        </w:rPr>
        <w:t>at</w:t>
      </w:r>
      <w:r w:rsidRPr="007D272F">
        <w:rPr>
          <w:rFonts w:ascii="Times New Roman" w:hAnsi="Times New Roman"/>
          <w:spacing w:val="-9"/>
          <w:sz w:val="22"/>
          <w:szCs w:val="22"/>
        </w:rPr>
        <w:t xml:space="preserve"> </w:t>
      </w:r>
      <w:r w:rsidRPr="007D272F">
        <w:rPr>
          <w:rFonts w:ascii="Times New Roman" w:hAnsi="Times New Roman"/>
          <w:spacing w:val="-2"/>
          <w:sz w:val="22"/>
          <w:szCs w:val="22"/>
        </w:rPr>
        <w:t>risk.</w:t>
      </w:r>
      <w:r w:rsidRPr="007D272F">
        <w:rPr>
          <w:rFonts w:ascii="Times New Roman" w:hAnsi="Times New Roman"/>
          <w:spacing w:val="-3"/>
          <w:sz w:val="22"/>
          <w:szCs w:val="22"/>
        </w:rPr>
        <w:t xml:space="preserve"> </w:t>
      </w:r>
      <w:r w:rsidRPr="007D272F">
        <w:rPr>
          <w:rFonts w:ascii="Times New Roman" w:hAnsi="Times New Roman"/>
          <w:spacing w:val="-2"/>
          <w:sz w:val="22"/>
          <w:szCs w:val="22"/>
        </w:rPr>
        <w:t>The</w:t>
      </w:r>
      <w:r w:rsidRPr="007D272F">
        <w:rPr>
          <w:rFonts w:ascii="Times New Roman" w:hAnsi="Times New Roman"/>
          <w:spacing w:val="34"/>
          <w:sz w:val="22"/>
          <w:szCs w:val="22"/>
        </w:rPr>
        <w:t xml:space="preserve"> </w:t>
      </w:r>
      <w:r w:rsidRPr="007D272F">
        <w:rPr>
          <w:rFonts w:ascii="Times New Roman" w:hAnsi="Times New Roman"/>
          <w:spacing w:val="-3"/>
          <w:sz w:val="22"/>
          <w:szCs w:val="22"/>
        </w:rPr>
        <w:t>purchasing</w:t>
      </w:r>
      <w:r w:rsidRPr="007D272F">
        <w:rPr>
          <w:rFonts w:ascii="Times New Roman" w:hAnsi="Times New Roman"/>
          <w:spacing w:val="-12"/>
          <w:sz w:val="22"/>
          <w:szCs w:val="22"/>
        </w:rPr>
        <w:t xml:space="preserve"> </w:t>
      </w:r>
      <w:r w:rsidRPr="007D272F">
        <w:rPr>
          <w:rFonts w:ascii="Times New Roman" w:hAnsi="Times New Roman"/>
          <w:spacing w:val="-3"/>
          <w:sz w:val="22"/>
          <w:szCs w:val="22"/>
        </w:rPr>
        <w:t>governmental</w:t>
      </w:r>
      <w:r w:rsidRPr="007D272F">
        <w:rPr>
          <w:rFonts w:ascii="Times New Roman" w:hAnsi="Times New Roman"/>
          <w:spacing w:val="-11"/>
          <w:sz w:val="22"/>
          <w:szCs w:val="22"/>
        </w:rPr>
        <w:t xml:space="preserve"> </w:t>
      </w:r>
      <w:r w:rsidRPr="007D272F">
        <w:rPr>
          <w:rFonts w:ascii="Times New Roman" w:hAnsi="Times New Roman"/>
          <w:spacing w:val="-3"/>
          <w:sz w:val="22"/>
          <w:szCs w:val="22"/>
        </w:rPr>
        <w:t>unit</w:t>
      </w:r>
      <w:r w:rsidRPr="007D272F">
        <w:rPr>
          <w:rFonts w:ascii="Times New Roman" w:hAnsi="Times New Roman"/>
          <w:spacing w:val="-10"/>
          <w:sz w:val="22"/>
          <w:szCs w:val="22"/>
        </w:rPr>
        <w:t xml:space="preserve"> </w:t>
      </w:r>
      <w:r w:rsidRPr="007D272F">
        <w:rPr>
          <w:rFonts w:ascii="Times New Roman" w:hAnsi="Times New Roman"/>
          <w:spacing w:val="-2"/>
          <w:sz w:val="22"/>
          <w:szCs w:val="22"/>
        </w:rPr>
        <w:t>will</w:t>
      </w:r>
      <w:r w:rsidRPr="007D272F">
        <w:rPr>
          <w:rFonts w:ascii="Times New Roman" w:hAnsi="Times New Roman"/>
          <w:spacing w:val="-11"/>
          <w:sz w:val="22"/>
          <w:szCs w:val="22"/>
        </w:rPr>
        <w:t xml:space="preserve"> </w:t>
      </w:r>
      <w:r w:rsidRPr="007D272F">
        <w:rPr>
          <w:rFonts w:ascii="Times New Roman" w:hAnsi="Times New Roman"/>
          <w:spacing w:val="-2"/>
          <w:sz w:val="22"/>
          <w:szCs w:val="22"/>
        </w:rPr>
        <w:t>evaluate</w:t>
      </w:r>
      <w:r w:rsidRPr="007D272F">
        <w:rPr>
          <w:rFonts w:ascii="Times New Roman" w:hAnsi="Times New Roman"/>
          <w:spacing w:val="-12"/>
          <w:sz w:val="22"/>
          <w:szCs w:val="22"/>
        </w:rPr>
        <w:t xml:space="preserve"> </w:t>
      </w:r>
      <w:r w:rsidRPr="007D272F">
        <w:rPr>
          <w:rFonts w:ascii="Times New Roman" w:hAnsi="Times New Roman"/>
          <w:spacing w:val="-2"/>
          <w:sz w:val="22"/>
          <w:szCs w:val="22"/>
        </w:rPr>
        <w:t>the</w:t>
      </w:r>
      <w:r w:rsidRPr="007D272F">
        <w:rPr>
          <w:rFonts w:ascii="Times New Roman" w:hAnsi="Times New Roman"/>
          <w:spacing w:val="-12"/>
          <w:sz w:val="22"/>
          <w:szCs w:val="22"/>
        </w:rPr>
        <w:t xml:space="preserve"> </w:t>
      </w:r>
      <w:r w:rsidRPr="007D272F">
        <w:rPr>
          <w:rFonts w:ascii="Times New Roman" w:hAnsi="Times New Roman"/>
          <w:spacing w:val="-2"/>
          <w:sz w:val="22"/>
          <w:szCs w:val="22"/>
        </w:rPr>
        <w:t>need</w:t>
      </w:r>
      <w:r w:rsidRPr="007D272F">
        <w:rPr>
          <w:rFonts w:ascii="Times New Roman" w:hAnsi="Times New Roman"/>
          <w:spacing w:val="-10"/>
          <w:sz w:val="22"/>
          <w:szCs w:val="22"/>
        </w:rPr>
        <w:t xml:space="preserve"> </w:t>
      </w:r>
      <w:r w:rsidRPr="007D272F">
        <w:rPr>
          <w:rFonts w:ascii="Times New Roman" w:hAnsi="Times New Roman"/>
          <w:spacing w:val="-2"/>
          <w:sz w:val="22"/>
          <w:szCs w:val="22"/>
        </w:rPr>
        <w:t>for</w:t>
      </w:r>
      <w:r w:rsidRPr="007D272F">
        <w:rPr>
          <w:rFonts w:ascii="Times New Roman" w:hAnsi="Times New Roman"/>
          <w:spacing w:val="-12"/>
          <w:sz w:val="22"/>
          <w:szCs w:val="22"/>
        </w:rPr>
        <w:t xml:space="preserve"> </w:t>
      </w:r>
      <w:r w:rsidRPr="007D272F">
        <w:rPr>
          <w:rFonts w:ascii="Times New Roman" w:hAnsi="Times New Roman"/>
          <w:spacing w:val="-2"/>
          <w:sz w:val="22"/>
          <w:szCs w:val="22"/>
        </w:rPr>
        <w:t>the</w:t>
      </w:r>
      <w:r w:rsidRPr="007D272F">
        <w:rPr>
          <w:rFonts w:ascii="Times New Roman" w:hAnsi="Times New Roman"/>
          <w:spacing w:val="-11"/>
          <w:sz w:val="22"/>
          <w:szCs w:val="22"/>
        </w:rPr>
        <w:t xml:space="preserve"> </w:t>
      </w:r>
      <w:r w:rsidRPr="007D272F">
        <w:rPr>
          <w:rFonts w:ascii="Times New Roman" w:hAnsi="Times New Roman"/>
          <w:spacing w:val="-3"/>
          <w:sz w:val="22"/>
          <w:szCs w:val="22"/>
        </w:rPr>
        <w:t>administrative</w:t>
      </w:r>
      <w:r w:rsidRPr="007D272F">
        <w:rPr>
          <w:rFonts w:ascii="Times New Roman" w:hAnsi="Times New Roman"/>
          <w:spacing w:val="-11"/>
          <w:sz w:val="22"/>
          <w:szCs w:val="22"/>
        </w:rPr>
        <w:t xml:space="preserve"> </w:t>
      </w:r>
      <w:r w:rsidRPr="007D272F">
        <w:rPr>
          <w:rFonts w:ascii="Times New Roman" w:hAnsi="Times New Roman"/>
          <w:spacing w:val="-3"/>
          <w:sz w:val="22"/>
          <w:szCs w:val="22"/>
        </w:rPr>
        <w:t>adjustment, determine whether</w:t>
      </w:r>
      <w:r w:rsidRPr="007D272F">
        <w:rPr>
          <w:rFonts w:ascii="Times New Roman" w:hAnsi="Times New Roman"/>
          <w:spacing w:val="-10"/>
          <w:sz w:val="22"/>
          <w:szCs w:val="22"/>
        </w:rPr>
        <w:t xml:space="preserve"> </w:t>
      </w:r>
      <w:r w:rsidRPr="007D272F">
        <w:rPr>
          <w:rFonts w:ascii="Times New Roman" w:hAnsi="Times New Roman"/>
          <w:spacing w:val="-3"/>
          <w:sz w:val="22"/>
          <w:szCs w:val="22"/>
        </w:rPr>
        <w:t>funding</w:t>
      </w:r>
      <w:r w:rsidRPr="007D272F">
        <w:rPr>
          <w:rFonts w:ascii="Times New Roman" w:hAnsi="Times New Roman"/>
          <w:spacing w:val="-10"/>
          <w:sz w:val="22"/>
          <w:szCs w:val="22"/>
        </w:rPr>
        <w:t xml:space="preserve"> </w:t>
      </w:r>
      <w:r w:rsidRPr="007D272F">
        <w:rPr>
          <w:rFonts w:ascii="Times New Roman" w:hAnsi="Times New Roman"/>
          <w:spacing w:val="-2"/>
          <w:sz w:val="22"/>
          <w:szCs w:val="22"/>
        </w:rPr>
        <w:t>is</w:t>
      </w:r>
      <w:r w:rsidRPr="007D272F">
        <w:rPr>
          <w:rFonts w:ascii="Times New Roman" w:hAnsi="Times New Roman"/>
          <w:spacing w:val="-10"/>
          <w:sz w:val="22"/>
          <w:szCs w:val="22"/>
        </w:rPr>
        <w:t xml:space="preserve"> </w:t>
      </w:r>
      <w:r w:rsidRPr="007D272F">
        <w:rPr>
          <w:rFonts w:ascii="Times New Roman" w:hAnsi="Times New Roman"/>
          <w:spacing w:val="-3"/>
          <w:sz w:val="22"/>
          <w:szCs w:val="22"/>
        </w:rPr>
        <w:t>available,</w:t>
      </w:r>
      <w:r w:rsidRPr="007D272F">
        <w:rPr>
          <w:rFonts w:ascii="Times New Roman" w:hAnsi="Times New Roman"/>
          <w:spacing w:val="-10"/>
          <w:sz w:val="22"/>
          <w:szCs w:val="22"/>
        </w:rPr>
        <w:t xml:space="preserve"> </w:t>
      </w:r>
      <w:r w:rsidRPr="007D272F">
        <w:rPr>
          <w:rFonts w:ascii="Times New Roman" w:hAnsi="Times New Roman"/>
          <w:spacing w:val="-2"/>
          <w:sz w:val="22"/>
          <w:szCs w:val="22"/>
        </w:rPr>
        <w:t>and</w:t>
      </w:r>
      <w:r w:rsidRPr="007D272F">
        <w:rPr>
          <w:rFonts w:ascii="Times New Roman" w:hAnsi="Times New Roman"/>
          <w:spacing w:val="-11"/>
          <w:sz w:val="22"/>
          <w:szCs w:val="22"/>
        </w:rPr>
        <w:t xml:space="preserve"> </w:t>
      </w:r>
      <w:r w:rsidRPr="007D272F">
        <w:rPr>
          <w:rFonts w:ascii="Times New Roman" w:hAnsi="Times New Roman"/>
          <w:spacing w:val="-2"/>
          <w:sz w:val="22"/>
          <w:szCs w:val="22"/>
        </w:rPr>
        <w:t>convey</w:t>
      </w:r>
      <w:r w:rsidRPr="007D272F">
        <w:rPr>
          <w:rFonts w:ascii="Times New Roman" w:hAnsi="Times New Roman"/>
          <w:spacing w:val="-9"/>
          <w:sz w:val="22"/>
          <w:szCs w:val="22"/>
        </w:rPr>
        <w:t xml:space="preserve"> </w:t>
      </w:r>
      <w:r w:rsidRPr="007D272F">
        <w:rPr>
          <w:rFonts w:ascii="Times New Roman" w:hAnsi="Times New Roman"/>
          <w:spacing w:val="-2"/>
          <w:sz w:val="22"/>
          <w:szCs w:val="22"/>
        </w:rPr>
        <w:t>that</w:t>
      </w:r>
      <w:r w:rsidRPr="007D272F">
        <w:rPr>
          <w:rFonts w:ascii="Times New Roman" w:hAnsi="Times New Roman"/>
          <w:spacing w:val="-11"/>
          <w:sz w:val="22"/>
          <w:szCs w:val="22"/>
        </w:rPr>
        <w:t xml:space="preserve"> </w:t>
      </w:r>
      <w:r w:rsidRPr="007D272F">
        <w:rPr>
          <w:rFonts w:ascii="Times New Roman" w:hAnsi="Times New Roman"/>
          <w:spacing w:val="-2"/>
          <w:sz w:val="22"/>
          <w:szCs w:val="22"/>
        </w:rPr>
        <w:t>information</w:t>
      </w:r>
      <w:r w:rsidRPr="007D272F">
        <w:rPr>
          <w:rFonts w:ascii="Times New Roman" w:hAnsi="Times New Roman"/>
          <w:spacing w:val="-10"/>
          <w:sz w:val="22"/>
          <w:szCs w:val="22"/>
        </w:rPr>
        <w:t xml:space="preserve"> </w:t>
      </w:r>
      <w:r w:rsidRPr="007D272F">
        <w:rPr>
          <w:rFonts w:ascii="Times New Roman" w:hAnsi="Times New Roman"/>
          <w:spacing w:val="-1"/>
          <w:sz w:val="22"/>
          <w:szCs w:val="22"/>
        </w:rPr>
        <w:t>to</w:t>
      </w:r>
      <w:r w:rsidRPr="007D272F">
        <w:rPr>
          <w:rFonts w:ascii="Times New Roman" w:hAnsi="Times New Roman"/>
          <w:spacing w:val="-11"/>
          <w:sz w:val="22"/>
          <w:szCs w:val="22"/>
        </w:rPr>
        <w:t xml:space="preserve"> </w:t>
      </w:r>
      <w:r w:rsidRPr="007D272F">
        <w:rPr>
          <w:rFonts w:ascii="Times New Roman" w:hAnsi="Times New Roman"/>
          <w:spacing w:val="-2"/>
          <w:sz w:val="22"/>
          <w:szCs w:val="22"/>
        </w:rPr>
        <w:t>EOHHS</w:t>
      </w:r>
      <w:r w:rsidRPr="007D272F">
        <w:rPr>
          <w:rFonts w:ascii="Times New Roman" w:hAnsi="Times New Roman"/>
          <w:spacing w:val="-10"/>
          <w:sz w:val="22"/>
          <w:szCs w:val="22"/>
        </w:rPr>
        <w:t xml:space="preserve"> for </w:t>
      </w:r>
      <w:r w:rsidRPr="007D272F">
        <w:rPr>
          <w:rFonts w:ascii="Times New Roman" w:hAnsi="Times New Roman"/>
          <w:spacing w:val="-2"/>
          <w:sz w:val="22"/>
          <w:szCs w:val="22"/>
        </w:rPr>
        <w:t>review</w:t>
      </w:r>
      <w:r w:rsidRPr="007D272F">
        <w:rPr>
          <w:rFonts w:ascii="Times New Roman" w:hAnsi="Times New Roman"/>
          <w:spacing w:val="-10"/>
          <w:sz w:val="22"/>
          <w:szCs w:val="22"/>
        </w:rPr>
        <w:t xml:space="preserve"> </w:t>
      </w:r>
      <w:r w:rsidRPr="007D272F">
        <w:rPr>
          <w:rFonts w:ascii="Times New Roman" w:hAnsi="Times New Roman"/>
          <w:spacing w:val="-1"/>
          <w:sz w:val="22"/>
          <w:szCs w:val="22"/>
        </w:rPr>
        <w:t>to</w:t>
      </w:r>
      <w:r w:rsidRPr="007D272F">
        <w:rPr>
          <w:rFonts w:ascii="Times New Roman" w:hAnsi="Times New Roman"/>
          <w:spacing w:val="-11"/>
          <w:sz w:val="22"/>
          <w:szCs w:val="22"/>
        </w:rPr>
        <w:t xml:space="preserve"> </w:t>
      </w:r>
      <w:r w:rsidRPr="007D272F">
        <w:rPr>
          <w:rFonts w:ascii="Times New Roman" w:hAnsi="Times New Roman"/>
          <w:spacing w:val="-2"/>
          <w:sz w:val="22"/>
          <w:szCs w:val="22"/>
        </w:rPr>
        <w:t>determine</w:t>
      </w:r>
      <w:r w:rsidRPr="007D272F">
        <w:rPr>
          <w:rFonts w:ascii="Times New Roman" w:hAnsi="Times New Roman"/>
          <w:spacing w:val="-10"/>
          <w:sz w:val="22"/>
          <w:szCs w:val="22"/>
        </w:rPr>
        <w:t xml:space="preserve"> </w:t>
      </w:r>
      <w:r w:rsidRPr="007D272F">
        <w:rPr>
          <w:rFonts w:ascii="Times New Roman" w:hAnsi="Times New Roman"/>
          <w:spacing w:val="-2"/>
          <w:sz w:val="22"/>
          <w:szCs w:val="22"/>
        </w:rPr>
        <w:t>the</w:t>
      </w:r>
      <w:r w:rsidRPr="007D272F">
        <w:rPr>
          <w:rFonts w:ascii="Times New Roman" w:hAnsi="Times New Roman"/>
          <w:spacing w:val="-11"/>
          <w:sz w:val="22"/>
          <w:szCs w:val="22"/>
        </w:rPr>
        <w:t xml:space="preserve"> </w:t>
      </w:r>
      <w:r w:rsidRPr="007D272F">
        <w:rPr>
          <w:rFonts w:ascii="Times New Roman" w:hAnsi="Times New Roman"/>
          <w:spacing w:val="-2"/>
          <w:sz w:val="22"/>
          <w:szCs w:val="22"/>
        </w:rPr>
        <w:t>amount</w:t>
      </w:r>
      <w:r w:rsidRPr="007D272F">
        <w:rPr>
          <w:rFonts w:ascii="Times New Roman" w:hAnsi="Times New Roman"/>
          <w:spacing w:val="-11"/>
          <w:sz w:val="22"/>
          <w:szCs w:val="22"/>
        </w:rPr>
        <w:t xml:space="preserve"> </w:t>
      </w:r>
      <w:r w:rsidRPr="007D272F">
        <w:rPr>
          <w:rFonts w:ascii="Times New Roman" w:hAnsi="Times New Roman"/>
          <w:spacing w:val="-1"/>
          <w:sz w:val="22"/>
          <w:szCs w:val="22"/>
        </w:rPr>
        <w:t>of</w:t>
      </w:r>
      <w:r w:rsidRPr="007D272F">
        <w:rPr>
          <w:rFonts w:ascii="Times New Roman" w:hAnsi="Times New Roman"/>
          <w:spacing w:val="-8"/>
          <w:sz w:val="22"/>
          <w:szCs w:val="22"/>
        </w:rPr>
        <w:t xml:space="preserve"> </w:t>
      </w:r>
      <w:r w:rsidRPr="007D272F">
        <w:rPr>
          <w:rFonts w:ascii="Times New Roman" w:hAnsi="Times New Roman"/>
          <w:spacing w:val="-2"/>
          <w:sz w:val="22"/>
          <w:szCs w:val="22"/>
        </w:rPr>
        <w:t>any</w:t>
      </w:r>
      <w:r w:rsidRPr="007D272F">
        <w:rPr>
          <w:rFonts w:ascii="Times New Roman" w:hAnsi="Times New Roman"/>
          <w:spacing w:val="-9"/>
          <w:sz w:val="22"/>
          <w:szCs w:val="22"/>
        </w:rPr>
        <w:t xml:space="preserve"> </w:t>
      </w:r>
      <w:r w:rsidRPr="007D272F">
        <w:rPr>
          <w:rFonts w:ascii="Times New Roman" w:hAnsi="Times New Roman"/>
          <w:spacing w:val="-2"/>
          <w:sz w:val="22"/>
          <w:szCs w:val="22"/>
        </w:rPr>
        <w:t>adjustment</w:t>
      </w:r>
      <w:r w:rsidRPr="00567E02">
        <w:rPr>
          <w:rFonts w:ascii="Times New Roman" w:hAnsi="Times New Roman"/>
          <w:sz w:val="22"/>
          <w:szCs w:val="22"/>
        </w:rPr>
        <w:t>.</w:t>
      </w:r>
    </w:p>
    <w:p w14:paraId="31947A28" w14:textId="77777777" w:rsidR="00A51696" w:rsidRDefault="00A51696" w:rsidP="00156207">
      <w:pPr>
        <w:ind w:left="720"/>
        <w:rPr>
          <w:rFonts w:ascii="Times New Roman" w:hAnsi="Times New Roman"/>
          <w:sz w:val="22"/>
          <w:szCs w:val="22"/>
        </w:rPr>
      </w:pPr>
    </w:p>
    <w:p w14:paraId="54BBCAB9" w14:textId="0CA72CDC" w:rsidR="00DE211D" w:rsidRDefault="00DA6F00" w:rsidP="00DE211D">
      <w:pPr>
        <w:suppressAutoHyphens/>
        <w:ind w:left="720"/>
        <w:rPr>
          <w:rFonts w:ascii="Times New Roman" w:hAnsi="Times New Roman"/>
          <w:sz w:val="22"/>
          <w:szCs w:val="22"/>
        </w:rPr>
      </w:pPr>
      <w:r w:rsidRPr="00CE24F2">
        <w:rPr>
          <w:rFonts w:ascii="Times New Roman" w:hAnsi="Times New Roman"/>
          <w:sz w:val="22"/>
          <w:szCs w:val="22"/>
        </w:rPr>
        <w:t>(</w:t>
      </w:r>
      <w:r w:rsidR="00A51696">
        <w:rPr>
          <w:rFonts w:ascii="Times New Roman" w:hAnsi="Times New Roman"/>
          <w:sz w:val="22"/>
          <w:szCs w:val="22"/>
        </w:rPr>
        <w:t>6</w:t>
      </w:r>
      <w:r w:rsidRPr="00CE24F2">
        <w:rPr>
          <w:rFonts w:ascii="Times New Roman" w:hAnsi="Times New Roman"/>
          <w:sz w:val="22"/>
          <w:szCs w:val="22"/>
        </w:rPr>
        <w:t xml:space="preserve">) </w:t>
      </w:r>
      <w:r w:rsidR="00F220EE" w:rsidRPr="00CE24F2">
        <w:rPr>
          <w:rFonts w:ascii="Times New Roman" w:hAnsi="Times New Roman"/>
          <w:sz w:val="22"/>
          <w:szCs w:val="22"/>
        </w:rPr>
        <w:t xml:space="preserve"> </w:t>
      </w:r>
      <w:r w:rsidRPr="00CE24F2">
        <w:rPr>
          <w:rFonts w:ascii="Times New Roman" w:hAnsi="Times New Roman"/>
          <w:sz w:val="22"/>
          <w:szCs w:val="22"/>
          <w:u w:val="single"/>
        </w:rPr>
        <w:t>Approved Rates</w:t>
      </w:r>
      <w:r w:rsidRPr="00CE24F2">
        <w:rPr>
          <w:rFonts w:ascii="Times New Roman" w:hAnsi="Times New Roman"/>
          <w:sz w:val="22"/>
          <w:szCs w:val="22"/>
        </w:rPr>
        <w:t>.</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DE211D" w:rsidRPr="00CE24F2">
        <w:rPr>
          <w:rFonts w:ascii="Times New Roman" w:hAnsi="Times New Roman"/>
          <w:sz w:val="22"/>
          <w:szCs w:val="22"/>
        </w:rPr>
        <w:t xml:space="preserve">The approved rate </w:t>
      </w:r>
      <w:r w:rsidR="008C51D3" w:rsidRPr="00CE24F2">
        <w:rPr>
          <w:rFonts w:ascii="Times New Roman" w:hAnsi="Times New Roman"/>
          <w:sz w:val="22"/>
          <w:szCs w:val="22"/>
        </w:rPr>
        <w:t>is</w:t>
      </w:r>
      <w:r w:rsidR="009460AA" w:rsidRPr="00CE24F2">
        <w:rPr>
          <w:rFonts w:ascii="Times New Roman" w:hAnsi="Times New Roman"/>
          <w:sz w:val="22"/>
          <w:szCs w:val="22"/>
        </w:rPr>
        <w:t xml:space="preserve"> </w:t>
      </w:r>
      <w:r w:rsidR="00DE211D" w:rsidRPr="00CE24F2">
        <w:rPr>
          <w:rFonts w:ascii="Times New Roman" w:hAnsi="Times New Roman"/>
          <w:sz w:val="22"/>
          <w:szCs w:val="22"/>
        </w:rPr>
        <w:t xml:space="preserve">the lower of the provider’s charge or amount accepted as payment from another payer or the rate listed </w:t>
      </w:r>
      <w:r w:rsidR="008C51D3" w:rsidRPr="00CE24F2">
        <w:rPr>
          <w:rFonts w:ascii="Times New Roman" w:hAnsi="Times New Roman"/>
          <w:sz w:val="22"/>
          <w:szCs w:val="22"/>
        </w:rPr>
        <w:t xml:space="preserve">in 101 CMR </w:t>
      </w:r>
      <w:r w:rsidR="002C3948">
        <w:rPr>
          <w:rFonts w:ascii="Times New Roman" w:hAnsi="Times New Roman"/>
          <w:sz w:val="22"/>
          <w:szCs w:val="22"/>
        </w:rPr>
        <w:t>429</w:t>
      </w:r>
      <w:r w:rsidR="008C51D3" w:rsidRPr="00CE24F2">
        <w:rPr>
          <w:rFonts w:ascii="Times New Roman" w:hAnsi="Times New Roman"/>
          <w:sz w:val="22"/>
          <w:szCs w:val="22"/>
        </w:rPr>
        <w:t>.03.</w:t>
      </w:r>
      <w:r w:rsidR="00DE211D" w:rsidRPr="00CE24F2">
        <w:rPr>
          <w:rFonts w:ascii="Times New Roman" w:hAnsi="Times New Roman"/>
          <w:sz w:val="22"/>
          <w:szCs w:val="22"/>
        </w:rPr>
        <w:t xml:space="preserve"> </w:t>
      </w:r>
    </w:p>
    <w:p w14:paraId="46C7A692" w14:textId="5E3AB227" w:rsidR="000C4141" w:rsidRPr="00156207" w:rsidRDefault="006E4EE1" w:rsidP="00156207">
      <w:pPr>
        <w:ind w:left="1080"/>
        <w:rPr>
          <w:rFonts w:ascii="Times New Roman" w:hAnsi="Times New Roman"/>
          <w:sz w:val="22"/>
          <w:szCs w:val="22"/>
        </w:rPr>
      </w:pPr>
      <w:r w:rsidRPr="006E4EE1">
        <w:rPr>
          <w:rFonts w:ascii="Times New Roman" w:hAnsi="Times New Roman"/>
          <w:sz w:val="22"/>
          <w:szCs w:val="22"/>
        </w:rPr>
        <w:t>(a)</w:t>
      </w:r>
      <w:r w:rsidR="000C4141" w:rsidRPr="00156207">
        <w:rPr>
          <w:rFonts w:ascii="Times New Roman" w:hAnsi="Times New Roman"/>
          <w:sz w:val="22"/>
          <w:szCs w:val="22"/>
        </w:rPr>
        <w:t xml:space="preserve"> </w:t>
      </w:r>
      <w:r>
        <w:rPr>
          <w:rFonts w:ascii="Times New Roman" w:hAnsi="Times New Roman"/>
          <w:sz w:val="22"/>
          <w:szCs w:val="22"/>
        </w:rPr>
        <w:t xml:space="preserve"> </w:t>
      </w:r>
      <w:r w:rsidR="000C4141" w:rsidRPr="00156207">
        <w:rPr>
          <w:rFonts w:ascii="Times New Roman" w:hAnsi="Times New Roman"/>
          <w:sz w:val="22"/>
          <w:szCs w:val="22"/>
          <w:u w:val="single"/>
        </w:rPr>
        <w:t>Rates for Certain Sexual and Domestic Violence Services</w:t>
      </w:r>
      <w:r w:rsidR="000C4141" w:rsidRPr="00156207">
        <w:rPr>
          <w:rFonts w:ascii="Times New Roman" w:hAnsi="Times New Roman"/>
          <w:sz w:val="22"/>
          <w:szCs w:val="22"/>
        </w:rPr>
        <w:t>.</w:t>
      </w:r>
    </w:p>
    <w:p w14:paraId="6889B104" w14:textId="77777777" w:rsidR="00CF42E2" w:rsidRPr="00CE24F2" w:rsidRDefault="000C0AB6" w:rsidP="000C0AB6">
      <w:pPr>
        <w:pStyle w:val="BodyText"/>
        <w:ind w:left="2160"/>
        <w:rPr>
          <w:sz w:val="22"/>
          <w:szCs w:val="22"/>
        </w:rPr>
      </w:pPr>
      <w:r w:rsidRPr="00CE24F2">
        <w:tab/>
      </w:r>
    </w:p>
    <w:tbl>
      <w:tblPr>
        <w:tblW w:w="9245" w:type="dxa"/>
        <w:tblInd w:w="110" w:type="dxa"/>
        <w:tblLook w:val="04A0" w:firstRow="1" w:lastRow="0" w:firstColumn="1" w:lastColumn="0" w:noHBand="0" w:noVBand="1"/>
      </w:tblPr>
      <w:tblGrid>
        <w:gridCol w:w="4671"/>
        <w:gridCol w:w="2144"/>
        <w:gridCol w:w="990"/>
        <w:gridCol w:w="1440"/>
      </w:tblGrid>
      <w:tr w:rsidR="00ED5252" w:rsidRPr="00FA705A" w14:paraId="107EA231"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A455" w14:textId="3CFBC86A" w:rsidR="00ED5252" w:rsidRPr="00156207" w:rsidRDefault="00ED5252" w:rsidP="00567E02">
            <w:pPr>
              <w:jc w:val="center"/>
              <w:rPr>
                <w:rFonts w:ascii="Times New Roman" w:hAnsi="Times New Roman"/>
                <w:color w:val="000000"/>
                <w:sz w:val="22"/>
                <w:szCs w:val="22"/>
              </w:rPr>
            </w:pPr>
            <w:r w:rsidRPr="00156207">
              <w:rPr>
                <w:rFonts w:ascii="Times New Roman" w:hAnsi="Times New Roman"/>
                <w:b/>
                <w:bCs/>
                <w:color w:val="000000"/>
                <w:sz w:val="22"/>
                <w:szCs w:val="22"/>
              </w:rPr>
              <w:t>Program</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8252D" w14:textId="2841586B" w:rsidR="00ED5252" w:rsidRPr="00156207" w:rsidRDefault="00ED5252" w:rsidP="00567E02">
            <w:pPr>
              <w:jc w:val="center"/>
              <w:rPr>
                <w:rFonts w:ascii="Times New Roman" w:hAnsi="Times New Roman"/>
                <w:color w:val="000000"/>
                <w:sz w:val="22"/>
                <w:szCs w:val="22"/>
              </w:rPr>
            </w:pPr>
            <w:r w:rsidRPr="00156207">
              <w:rPr>
                <w:rFonts w:ascii="Times New Roman" w:hAnsi="Times New Roman"/>
                <w:b/>
                <w:bCs/>
                <w:color w:val="000000"/>
                <w:sz w:val="22"/>
                <w:szCs w:val="22"/>
              </w:rPr>
              <w:t>Unit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F015" w14:textId="4345AA32" w:rsidR="00ED5252" w:rsidRPr="00567E02" w:rsidRDefault="00ED5252" w:rsidP="006C3B82">
            <w:pPr>
              <w:jc w:val="center"/>
              <w:rPr>
                <w:rFonts w:ascii="Times New Roman" w:hAnsi="Times New Roman"/>
                <w:b/>
                <w:bCs/>
                <w:sz w:val="22"/>
                <w:szCs w:val="22"/>
              </w:rPr>
            </w:pPr>
            <w:r w:rsidRPr="00567E02">
              <w:rPr>
                <w:rFonts w:ascii="Times New Roman" w:hAnsi="Times New Roman"/>
                <w:b/>
                <w:bCs/>
                <w:sz w:val="22"/>
                <w:szCs w:val="22"/>
              </w:rPr>
              <w:t>Rate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5536E" w14:textId="7505734A" w:rsidR="00ED5252" w:rsidRPr="00567E02" w:rsidRDefault="00ED5252" w:rsidP="006C3B82">
            <w:pPr>
              <w:jc w:val="center"/>
              <w:rPr>
                <w:rFonts w:ascii="Times New Roman" w:hAnsi="Times New Roman"/>
                <w:b/>
                <w:bCs/>
                <w:color w:val="000000"/>
                <w:sz w:val="22"/>
                <w:szCs w:val="22"/>
              </w:rPr>
            </w:pPr>
            <w:r w:rsidRPr="00567E02">
              <w:rPr>
                <w:rFonts w:ascii="Times New Roman" w:hAnsi="Times New Roman"/>
                <w:b/>
                <w:bCs/>
                <w:color w:val="000000"/>
                <w:sz w:val="22"/>
                <w:szCs w:val="22"/>
              </w:rPr>
              <w:t>Frequency</w:t>
            </w:r>
          </w:p>
        </w:tc>
      </w:tr>
      <w:tr w:rsidR="007A3B35" w:rsidRPr="00FA705A" w14:paraId="026B933F"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D6AF" w14:textId="03981BCC" w:rsidR="007A3B35" w:rsidRPr="00156207" w:rsidRDefault="007A3B35" w:rsidP="00F87BA0">
            <w:pPr>
              <w:rPr>
                <w:rFonts w:ascii="Times New Roman" w:hAnsi="Times New Roman"/>
                <w:color w:val="000000"/>
                <w:sz w:val="22"/>
                <w:szCs w:val="22"/>
              </w:rPr>
            </w:pPr>
            <w:r w:rsidRPr="00156207">
              <w:rPr>
                <w:rFonts w:ascii="Times New Roman" w:hAnsi="Times New Roman"/>
                <w:color w:val="000000"/>
                <w:sz w:val="22"/>
                <w:szCs w:val="22"/>
              </w:rPr>
              <w:t>Domestic Violence Community-</w:t>
            </w:r>
            <w:r>
              <w:rPr>
                <w:rFonts w:ascii="Times New Roman" w:hAnsi="Times New Roman"/>
                <w:color w:val="000000"/>
                <w:sz w:val="22"/>
                <w:szCs w:val="22"/>
              </w:rPr>
              <w:t>b</w:t>
            </w:r>
            <w:r w:rsidRPr="00156207">
              <w:rPr>
                <w:rFonts w:ascii="Times New Roman" w:hAnsi="Times New Roman"/>
                <w:color w:val="000000"/>
                <w:sz w:val="22"/>
                <w:szCs w:val="22"/>
              </w:rPr>
              <w:t>ased Services</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EC5CC" w14:textId="77777777" w:rsidR="007A3B35" w:rsidRPr="00156207" w:rsidRDefault="007A3B35" w:rsidP="00567E02">
            <w:pPr>
              <w:jc w:val="center"/>
              <w:rPr>
                <w:rFonts w:ascii="Times New Roman" w:hAnsi="Times New Roman"/>
                <w:color w:val="000000"/>
                <w:sz w:val="22"/>
                <w:szCs w:val="22"/>
              </w:rPr>
            </w:pPr>
            <w:r w:rsidRPr="00156207">
              <w:rPr>
                <w:rFonts w:ascii="Times New Roman" w:hAnsi="Times New Roman"/>
                <w:color w:val="000000"/>
                <w:sz w:val="22"/>
                <w:szCs w:val="22"/>
              </w:rPr>
              <w:t>.25 Direct Care FTE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153B" w14:textId="35BF2F50"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$2,462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61E0C"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2789C1DC"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860A" w14:textId="77777777" w:rsidR="007A3B35" w:rsidRPr="00156207" w:rsidRDefault="007A3B35" w:rsidP="00F87BA0">
            <w:pPr>
              <w:rPr>
                <w:rFonts w:ascii="Times New Roman" w:hAnsi="Times New Roman"/>
                <w:color w:val="000000"/>
                <w:sz w:val="22"/>
                <w:szCs w:val="22"/>
              </w:rPr>
            </w:pPr>
            <w:r w:rsidRPr="00156207">
              <w:rPr>
                <w:rFonts w:ascii="Times New Roman" w:hAnsi="Times New Roman"/>
                <w:color w:val="000000"/>
                <w:sz w:val="22"/>
                <w:szCs w:val="22"/>
              </w:rPr>
              <w:t>Child Exposed to Domestic Violence Services</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F29A4" w14:textId="77777777" w:rsidR="007A3B35" w:rsidRPr="00156207" w:rsidRDefault="007A3B35" w:rsidP="00567E02">
            <w:pPr>
              <w:jc w:val="center"/>
              <w:rPr>
                <w:rFonts w:ascii="Times New Roman" w:hAnsi="Times New Roman"/>
                <w:color w:val="000000"/>
                <w:sz w:val="22"/>
                <w:szCs w:val="22"/>
              </w:rPr>
            </w:pPr>
            <w:r w:rsidRPr="00156207">
              <w:rPr>
                <w:rFonts w:ascii="Times New Roman" w:hAnsi="Times New Roman"/>
                <w:color w:val="000000"/>
                <w:sz w:val="22"/>
                <w:szCs w:val="22"/>
              </w:rPr>
              <w:t>.25 Direct Care FTE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D5AAA" w14:textId="0286DAC5"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$2,591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BD651"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7B09AC9D"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EE5FE" w14:textId="77777777" w:rsidR="007A3B35" w:rsidRPr="00156207" w:rsidRDefault="007A3B35" w:rsidP="00F87BA0">
            <w:pPr>
              <w:rPr>
                <w:rFonts w:ascii="Times New Roman" w:hAnsi="Times New Roman"/>
                <w:color w:val="000000"/>
                <w:sz w:val="22"/>
                <w:szCs w:val="22"/>
              </w:rPr>
            </w:pPr>
            <w:r w:rsidRPr="00156207">
              <w:rPr>
                <w:rFonts w:ascii="Times New Roman" w:hAnsi="Times New Roman"/>
                <w:color w:val="000000"/>
                <w:sz w:val="22"/>
                <w:szCs w:val="22"/>
              </w:rPr>
              <w:t>Supervised Visitation Services</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2FA6" w14:textId="77777777" w:rsidR="007A3B35" w:rsidRPr="00156207" w:rsidRDefault="007A3B35" w:rsidP="00567E02">
            <w:pPr>
              <w:jc w:val="center"/>
              <w:rPr>
                <w:rFonts w:ascii="Times New Roman" w:hAnsi="Times New Roman"/>
                <w:color w:val="000000"/>
                <w:sz w:val="22"/>
                <w:szCs w:val="22"/>
              </w:rPr>
            </w:pPr>
            <w:r w:rsidRPr="00156207">
              <w:rPr>
                <w:rFonts w:ascii="Times New Roman" w:hAnsi="Times New Roman"/>
                <w:color w:val="000000"/>
                <w:sz w:val="22"/>
                <w:szCs w:val="22"/>
              </w:rPr>
              <w:t>.25 Direct Care FTE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295D8" w14:textId="0A836EB8"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$2,456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B758F"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61F8EB31"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FEFAF" w14:textId="7D6F0D17" w:rsidR="007A3B35" w:rsidRPr="00156207" w:rsidRDefault="007A3B35" w:rsidP="00F87BA0">
            <w:pPr>
              <w:rPr>
                <w:rFonts w:ascii="Times New Roman" w:hAnsi="Times New Roman"/>
                <w:color w:val="000000"/>
                <w:sz w:val="22"/>
                <w:szCs w:val="22"/>
              </w:rPr>
            </w:pPr>
            <w:r w:rsidRPr="00156207">
              <w:rPr>
                <w:rFonts w:ascii="Times New Roman" w:hAnsi="Times New Roman"/>
                <w:color w:val="000000"/>
                <w:sz w:val="22"/>
                <w:szCs w:val="22"/>
              </w:rPr>
              <w:t xml:space="preserve">Sexual </w:t>
            </w:r>
            <w:r>
              <w:rPr>
                <w:rFonts w:ascii="Times New Roman" w:hAnsi="Times New Roman"/>
                <w:color w:val="000000"/>
                <w:sz w:val="22"/>
                <w:szCs w:val="22"/>
              </w:rPr>
              <w:t>and</w:t>
            </w:r>
            <w:r w:rsidRPr="00156207">
              <w:rPr>
                <w:rFonts w:ascii="Times New Roman" w:hAnsi="Times New Roman"/>
                <w:color w:val="000000"/>
                <w:sz w:val="22"/>
                <w:szCs w:val="22"/>
              </w:rPr>
              <w:t xml:space="preserve"> Domestic Violence Equity Services</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ACE95" w14:textId="77777777" w:rsidR="007A3B35" w:rsidRPr="00156207" w:rsidRDefault="007A3B35" w:rsidP="00567E02">
            <w:pPr>
              <w:jc w:val="center"/>
              <w:rPr>
                <w:rFonts w:ascii="Times New Roman" w:hAnsi="Times New Roman"/>
                <w:color w:val="000000"/>
                <w:sz w:val="22"/>
                <w:szCs w:val="22"/>
              </w:rPr>
            </w:pPr>
            <w:r w:rsidRPr="00156207">
              <w:rPr>
                <w:rFonts w:ascii="Times New Roman" w:hAnsi="Times New Roman"/>
                <w:color w:val="000000"/>
                <w:sz w:val="22"/>
                <w:szCs w:val="22"/>
              </w:rPr>
              <w:t>.25 Direct Care FTE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42B4F" w14:textId="6F3B3055"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$2,462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E2EDF"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62DDD47D"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39566" w14:textId="28561D19" w:rsidR="007A3B35" w:rsidRPr="00156207" w:rsidRDefault="007A3B35" w:rsidP="00F87BA0">
            <w:pPr>
              <w:rPr>
                <w:rFonts w:ascii="Times New Roman" w:hAnsi="Times New Roman"/>
                <w:color w:val="000000"/>
                <w:sz w:val="22"/>
                <w:szCs w:val="22"/>
              </w:rPr>
            </w:pPr>
            <w:r w:rsidRPr="00156207">
              <w:rPr>
                <w:rFonts w:ascii="Times New Roman" w:hAnsi="Times New Roman"/>
                <w:color w:val="000000"/>
                <w:sz w:val="22"/>
                <w:szCs w:val="22"/>
              </w:rPr>
              <w:t xml:space="preserve">Sexual </w:t>
            </w:r>
            <w:r>
              <w:rPr>
                <w:rFonts w:ascii="Times New Roman" w:hAnsi="Times New Roman"/>
                <w:color w:val="000000"/>
                <w:sz w:val="22"/>
                <w:szCs w:val="22"/>
              </w:rPr>
              <w:t>and</w:t>
            </w:r>
            <w:r w:rsidRPr="00156207">
              <w:rPr>
                <w:rFonts w:ascii="Times New Roman" w:hAnsi="Times New Roman"/>
                <w:color w:val="000000"/>
                <w:sz w:val="22"/>
                <w:szCs w:val="22"/>
              </w:rPr>
              <w:t xml:space="preserve"> Domestic Violence Equity Legal Services</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73D12" w14:textId="77777777" w:rsidR="007A3B35" w:rsidRPr="00156207" w:rsidRDefault="007A3B35" w:rsidP="00567E02">
            <w:pPr>
              <w:jc w:val="center"/>
              <w:rPr>
                <w:rFonts w:ascii="Times New Roman" w:hAnsi="Times New Roman"/>
                <w:color w:val="000000"/>
                <w:sz w:val="22"/>
                <w:szCs w:val="22"/>
              </w:rPr>
            </w:pPr>
            <w:r w:rsidRPr="00156207">
              <w:rPr>
                <w:rFonts w:ascii="Times New Roman" w:hAnsi="Times New Roman"/>
                <w:color w:val="000000"/>
                <w:sz w:val="22"/>
                <w:szCs w:val="22"/>
              </w:rPr>
              <w:t>.25 Direct Care FTE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E5A2" w14:textId="4CBA1325"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$3,634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C48B4"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6FF1BFFE" w14:textId="77777777" w:rsidTr="00567E02">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DBAF7" w14:textId="77777777" w:rsidR="007A3B35" w:rsidRPr="00156207" w:rsidRDefault="007A3B35" w:rsidP="00F87BA0">
            <w:pPr>
              <w:rPr>
                <w:rFonts w:ascii="Times New Roman" w:hAnsi="Times New Roman"/>
                <w:color w:val="000000"/>
                <w:sz w:val="22"/>
                <w:szCs w:val="22"/>
              </w:rPr>
            </w:pPr>
            <w:r w:rsidRPr="00156207">
              <w:rPr>
                <w:rFonts w:ascii="Times New Roman" w:hAnsi="Times New Roman"/>
                <w:color w:val="000000"/>
                <w:sz w:val="22"/>
                <w:szCs w:val="22"/>
              </w:rPr>
              <w:t>Intimate Partner Abuse Education Services</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A83BA" w14:textId="1A46358C" w:rsidR="007A3B35" w:rsidRPr="00156207" w:rsidRDefault="007A3B35" w:rsidP="00567E02">
            <w:pPr>
              <w:jc w:val="center"/>
              <w:rPr>
                <w:rFonts w:ascii="Times New Roman" w:hAnsi="Times New Roman"/>
                <w:color w:val="000000"/>
                <w:sz w:val="22"/>
                <w:szCs w:val="22"/>
              </w:rPr>
            </w:pPr>
            <w:r>
              <w:rPr>
                <w:rFonts w:ascii="Times New Roman" w:hAnsi="Times New Roman"/>
                <w:color w:val="000000"/>
                <w:sz w:val="22"/>
                <w:szCs w:val="22"/>
              </w:rPr>
              <w:t>Per cohort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C42EC" w14:textId="197D611D"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$3,319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3518"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bl>
    <w:p w14:paraId="0EC420D6" w14:textId="77777777" w:rsidR="00214084" w:rsidRDefault="00214084" w:rsidP="00214084">
      <w:pPr>
        <w:rPr>
          <w:rFonts w:ascii="Times New Roman" w:hAnsi="Times New Roman"/>
          <w:spacing w:val="-3"/>
          <w:sz w:val="22"/>
          <w:szCs w:val="22"/>
        </w:rPr>
      </w:pPr>
    </w:p>
    <w:p w14:paraId="04881374" w14:textId="7A0353DF" w:rsidR="000C4141" w:rsidRPr="00B35225" w:rsidRDefault="006E4EE1" w:rsidP="00156207">
      <w:pPr>
        <w:pStyle w:val="ListParagraph"/>
        <w:suppressAutoHyphens/>
        <w:ind w:left="1080"/>
        <w:rPr>
          <w:rFonts w:ascii="Times New Roman" w:hAnsi="Times New Roman"/>
          <w:sz w:val="22"/>
          <w:szCs w:val="22"/>
        </w:rPr>
      </w:pPr>
      <w:r>
        <w:rPr>
          <w:rFonts w:ascii="Times New Roman" w:hAnsi="Times New Roman"/>
          <w:spacing w:val="-3"/>
          <w:sz w:val="22"/>
          <w:szCs w:val="22"/>
        </w:rPr>
        <w:t xml:space="preserve">(b)  </w:t>
      </w:r>
      <w:r w:rsidR="000C4141" w:rsidRPr="00B35225">
        <w:rPr>
          <w:rFonts w:ascii="Times New Roman" w:hAnsi="Times New Roman"/>
          <w:sz w:val="22"/>
          <w:szCs w:val="22"/>
          <w:u w:val="single"/>
        </w:rPr>
        <w:t xml:space="preserve">Rates for </w:t>
      </w:r>
      <w:r w:rsidR="00E6411B">
        <w:rPr>
          <w:rFonts w:ascii="Times New Roman" w:hAnsi="Times New Roman"/>
          <w:sz w:val="22"/>
          <w:szCs w:val="22"/>
          <w:u w:val="single"/>
        </w:rPr>
        <w:t xml:space="preserve">Rape Crisis Centers </w:t>
      </w:r>
      <w:r w:rsidR="00213DA3">
        <w:rPr>
          <w:rFonts w:ascii="Times New Roman" w:hAnsi="Times New Roman"/>
          <w:sz w:val="22"/>
          <w:szCs w:val="22"/>
          <w:u w:val="single"/>
        </w:rPr>
        <w:t xml:space="preserve">and </w:t>
      </w:r>
      <w:r w:rsidR="00E6411B">
        <w:rPr>
          <w:rFonts w:ascii="Times New Roman" w:hAnsi="Times New Roman"/>
          <w:sz w:val="22"/>
          <w:szCs w:val="22"/>
          <w:u w:val="single"/>
        </w:rPr>
        <w:t>for Certain Sexual and Domestic Violence Service Add-ons</w:t>
      </w:r>
      <w:r w:rsidR="000C4141">
        <w:rPr>
          <w:rFonts w:ascii="Times New Roman" w:hAnsi="Times New Roman"/>
          <w:sz w:val="22"/>
          <w:szCs w:val="22"/>
        </w:rPr>
        <w:t>.</w:t>
      </w:r>
    </w:p>
    <w:p w14:paraId="7AAD5AD8" w14:textId="317830C9" w:rsidR="00EC3D9A" w:rsidRDefault="00EC3D9A">
      <w:pPr>
        <w:rPr>
          <w:rFonts w:ascii="Times New Roman" w:hAnsi="Times New Roman"/>
          <w:spacing w:val="-3"/>
          <w:sz w:val="22"/>
          <w:szCs w:val="22"/>
        </w:rPr>
      </w:pPr>
    </w:p>
    <w:tbl>
      <w:tblPr>
        <w:tblW w:w="9826" w:type="dxa"/>
        <w:tblInd w:w="110" w:type="dxa"/>
        <w:tblLook w:val="04A0" w:firstRow="1" w:lastRow="0" w:firstColumn="1" w:lastColumn="0" w:noHBand="0" w:noVBand="1"/>
      </w:tblPr>
      <w:tblGrid>
        <w:gridCol w:w="4671"/>
        <w:gridCol w:w="2400"/>
        <w:gridCol w:w="1536"/>
        <w:gridCol w:w="1219"/>
      </w:tblGrid>
      <w:tr w:rsidR="00C20748" w:rsidRPr="00FA705A" w14:paraId="6C65CBB5" w14:textId="77777777" w:rsidTr="00567E02">
        <w:trPr>
          <w:trHeight w:val="300"/>
          <w:tblHeader/>
        </w:trPr>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A2BBE" w14:textId="77777777" w:rsidR="00C20748" w:rsidRPr="00156207" w:rsidRDefault="00C20748" w:rsidP="006C3B82">
            <w:pPr>
              <w:jc w:val="center"/>
              <w:rPr>
                <w:rFonts w:ascii="Times New Roman" w:hAnsi="Times New Roman"/>
                <w:color w:val="000000"/>
                <w:sz w:val="22"/>
                <w:szCs w:val="22"/>
              </w:rPr>
            </w:pPr>
            <w:r w:rsidRPr="00156207">
              <w:rPr>
                <w:rFonts w:ascii="Times New Roman" w:hAnsi="Times New Roman"/>
                <w:b/>
                <w:bCs/>
                <w:color w:val="000000"/>
                <w:sz w:val="22"/>
                <w:szCs w:val="22"/>
              </w:rPr>
              <w:t>Program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30EF9BF9" w14:textId="7BF043E9" w:rsidR="00C20748" w:rsidRPr="00156207" w:rsidRDefault="00C20748" w:rsidP="006C3B82">
            <w:pPr>
              <w:jc w:val="center"/>
              <w:rPr>
                <w:rFonts w:ascii="Times New Roman" w:hAnsi="Times New Roman"/>
                <w:color w:val="000000"/>
                <w:sz w:val="22"/>
                <w:szCs w:val="22"/>
              </w:rPr>
            </w:pPr>
            <w:r w:rsidRPr="00156207">
              <w:rPr>
                <w:rFonts w:ascii="Times New Roman" w:hAnsi="Times New Roman"/>
                <w:b/>
                <w:bCs/>
                <w:color w:val="000000"/>
                <w:sz w:val="22"/>
                <w:szCs w:val="22"/>
              </w:rPr>
              <w:t>Unit</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1AE8752" w14:textId="5AEF7F33" w:rsidR="00C20748" w:rsidRPr="00156207" w:rsidRDefault="00C20748" w:rsidP="006C3B82">
            <w:pPr>
              <w:jc w:val="center"/>
              <w:rPr>
                <w:rFonts w:ascii="Times New Roman" w:hAnsi="Times New Roman"/>
                <w:color w:val="000000"/>
                <w:sz w:val="22"/>
                <w:szCs w:val="22"/>
              </w:rPr>
            </w:pPr>
            <w:r w:rsidRPr="00156207">
              <w:rPr>
                <w:rFonts w:ascii="Times New Roman" w:hAnsi="Times New Roman"/>
                <w:b/>
                <w:bCs/>
                <w:color w:val="000000"/>
                <w:sz w:val="22"/>
                <w:szCs w:val="22"/>
              </w:rPr>
              <w:t>Rate</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D9947D7" w14:textId="43B4946A" w:rsidR="00C20748" w:rsidRPr="00156207" w:rsidRDefault="00C20748" w:rsidP="006C3B82">
            <w:pPr>
              <w:jc w:val="center"/>
              <w:rPr>
                <w:rFonts w:ascii="Times New Roman" w:hAnsi="Times New Roman"/>
                <w:color w:val="000000"/>
                <w:sz w:val="22"/>
                <w:szCs w:val="22"/>
              </w:rPr>
            </w:pPr>
            <w:r w:rsidRPr="00156207">
              <w:rPr>
                <w:rFonts w:ascii="Times New Roman" w:hAnsi="Times New Roman"/>
                <w:b/>
                <w:bCs/>
                <w:color w:val="000000"/>
                <w:sz w:val="22"/>
                <w:szCs w:val="22"/>
              </w:rPr>
              <w:t>Frequency</w:t>
            </w:r>
          </w:p>
        </w:tc>
      </w:tr>
      <w:tr w:rsidR="007A3B35" w:rsidRPr="00FA705A" w14:paraId="18871C91" w14:textId="77777777" w:rsidTr="00567E02">
        <w:trPr>
          <w:trHeight w:val="300"/>
        </w:trPr>
        <w:tc>
          <w:tcPr>
            <w:tcW w:w="4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4DF5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Rape Crisis Centers – Dual Agency</w:t>
            </w: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88E08"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1</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8DB2" w14:textId="6CB59702"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$83,403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18F66"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78B5888D"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125F985B"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49EF1"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2</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2731E" w14:textId="0D6F1174"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$71,879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73191"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7806A6AA"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6744733E" w14:textId="0B7AECFF"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612A0"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3</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55CB1" w14:textId="78FD4E01"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$61,896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1C099"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3021F02E"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3234B5FA"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61927"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4</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FC522" w14:textId="28A6656A"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$51,914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A8CA2"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58FD3B7E"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2107D992"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28D1B"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5</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2132" w14:textId="128D6076"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$41,931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25394"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5B08E268"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05E02BBE"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AB8C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6</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F1F81" w14:textId="54BA573F"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$31,948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6BB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7F405677"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7EE29FF2"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03E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7</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54121" w14:textId="0BB1F790"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$21,966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8022"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6A62F4FC"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62420352"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656CE"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8</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CD388" w14:textId="45730376"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$11,983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BF92C"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42E4D371" w14:textId="77777777" w:rsidTr="00567E02">
        <w:trPr>
          <w:trHeight w:val="300"/>
        </w:trPr>
        <w:tc>
          <w:tcPr>
            <w:tcW w:w="4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D45E1"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Rape Crisis Centers – Stand-alone Agency</w:t>
            </w: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BCE1"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1</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CC32" w14:textId="6858AFE3"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$84,687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6671"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499E5063"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5F908073"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C92EB"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2</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24BA" w14:textId="2D60987E"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$74,359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6C7DD"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0CA2BBF2"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597EBD68"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17A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3</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8FF1E" w14:textId="6DC6EB5E"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$64,031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FE43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18D97D35"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5A10DB99"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56E9F"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4</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1B522" w14:textId="03406DF0"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$53,702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EBE5C"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7AD32F1E"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6AA50D0E"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2B1C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5</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AAAE" w14:textId="59C63C2B"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$43,374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2C66D"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537083C2"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12C384D7"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F828"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6</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FE62" w14:textId="24FF2F5E"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$33,046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C627"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76E50720"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1E7B8F28"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FB7AB"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7</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5CF33" w14:textId="6CC8E949"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$22,718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A9437"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3C35E5EA" w14:textId="77777777" w:rsidTr="00567E02">
        <w:trPr>
          <w:trHeight w:val="300"/>
        </w:trPr>
        <w:tc>
          <w:tcPr>
            <w:tcW w:w="4671" w:type="dxa"/>
            <w:vMerge/>
            <w:tcBorders>
              <w:top w:val="single" w:sz="4" w:space="0" w:color="auto"/>
              <w:left w:val="single" w:sz="4" w:space="0" w:color="auto"/>
              <w:bottom w:val="single" w:sz="4" w:space="0" w:color="auto"/>
              <w:right w:val="single" w:sz="4" w:space="0" w:color="auto"/>
            </w:tcBorders>
            <w:vAlign w:val="center"/>
            <w:hideMark/>
          </w:tcPr>
          <w:p w14:paraId="4B4F4E49" w14:textId="77777777" w:rsidR="007A3B35" w:rsidRPr="00156207" w:rsidRDefault="007A3B35" w:rsidP="007A3B35">
            <w:pPr>
              <w:rPr>
                <w:rFonts w:ascii="Times New Roman" w:hAnsi="Times New Roman"/>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2382"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Tier 8</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DF5A9" w14:textId="72AA81F0" w:rsidR="007A3B35" w:rsidRPr="007A3B35" w:rsidRDefault="007A3B35" w:rsidP="000B5D86">
            <w:pPr>
              <w:jc w:val="center"/>
              <w:rPr>
                <w:rFonts w:ascii="Times New Roman" w:hAnsi="Times New Roman"/>
                <w:color w:val="000000"/>
                <w:sz w:val="22"/>
                <w:szCs w:val="22"/>
              </w:rPr>
            </w:pPr>
            <w:r w:rsidRPr="00567E02">
              <w:rPr>
                <w:rFonts w:ascii="Times New Roman" w:hAnsi="Times New Roman"/>
                <w:sz w:val="22"/>
                <w:szCs w:val="22"/>
              </w:rPr>
              <w:t xml:space="preserve">$12,389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4084"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bl>
    <w:p w14:paraId="41E9AF6D" w14:textId="77777777" w:rsidR="00FF67D0" w:rsidRDefault="00FF67D0"/>
    <w:tbl>
      <w:tblPr>
        <w:tblW w:w="9515" w:type="dxa"/>
        <w:tblInd w:w="110" w:type="dxa"/>
        <w:tblLook w:val="04A0" w:firstRow="1" w:lastRow="0" w:firstColumn="1" w:lastColumn="0" w:noHBand="0" w:noVBand="1"/>
      </w:tblPr>
      <w:tblGrid>
        <w:gridCol w:w="6815"/>
        <w:gridCol w:w="1350"/>
        <w:gridCol w:w="1350"/>
      </w:tblGrid>
      <w:tr w:rsidR="002454A7" w:rsidRPr="00FA705A" w14:paraId="0AC9EA6E" w14:textId="77777777" w:rsidTr="00E24868">
        <w:trPr>
          <w:trHeight w:val="300"/>
          <w:tblHeader/>
        </w:trPr>
        <w:tc>
          <w:tcPr>
            <w:tcW w:w="9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914F" w14:textId="6872959E" w:rsidR="002454A7" w:rsidRPr="000C4FED" w:rsidRDefault="002454A7" w:rsidP="002454A7">
            <w:pPr>
              <w:jc w:val="center"/>
              <w:rPr>
                <w:rFonts w:ascii="Times New Roman" w:hAnsi="Times New Roman"/>
                <w:b/>
                <w:color w:val="000000"/>
                <w:sz w:val="22"/>
                <w:szCs w:val="22"/>
              </w:rPr>
            </w:pPr>
            <w:r>
              <w:rPr>
                <w:rFonts w:ascii="Times New Roman" w:hAnsi="Times New Roman"/>
                <w:b/>
                <w:bCs/>
                <w:color w:val="000000"/>
                <w:sz w:val="22"/>
                <w:szCs w:val="22"/>
              </w:rPr>
              <w:lastRenderedPageBreak/>
              <w:t>Add-on Rates</w:t>
            </w:r>
          </w:p>
          <w:p w14:paraId="209EE528" w14:textId="0EE2C8AF" w:rsidR="002454A7" w:rsidRPr="000C4FED" w:rsidRDefault="002454A7" w:rsidP="000C4FED">
            <w:pPr>
              <w:jc w:val="center"/>
              <w:rPr>
                <w:rFonts w:ascii="Times New Roman" w:hAnsi="Times New Roman"/>
                <w:b/>
                <w:color w:val="000000"/>
                <w:sz w:val="22"/>
                <w:szCs w:val="22"/>
              </w:rPr>
            </w:pPr>
          </w:p>
        </w:tc>
      </w:tr>
      <w:tr w:rsidR="0086786E" w:rsidRPr="00FA705A" w14:paraId="60D407D1"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FB515" w14:textId="770219D2" w:rsidR="0086786E" w:rsidRPr="00567E02" w:rsidRDefault="002454A7" w:rsidP="00567E02">
            <w:pPr>
              <w:jc w:val="center"/>
              <w:rPr>
                <w:rFonts w:ascii="Times New Roman" w:hAnsi="Times New Roman"/>
                <w:b/>
                <w:bCs/>
                <w:color w:val="000000"/>
                <w:sz w:val="22"/>
                <w:szCs w:val="22"/>
              </w:rPr>
            </w:pPr>
            <w:r w:rsidRPr="00567E02">
              <w:rPr>
                <w:rFonts w:ascii="Times New Roman" w:hAnsi="Times New Roman"/>
                <w:b/>
                <w:bCs/>
                <w:color w:val="000000"/>
                <w:sz w:val="22"/>
                <w:szCs w:val="22"/>
              </w:rPr>
              <w:t>Service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2AB6B" w14:textId="20A26303" w:rsidR="0086786E" w:rsidRPr="00567E02" w:rsidRDefault="0086786E" w:rsidP="006C3B82">
            <w:pPr>
              <w:jc w:val="center"/>
              <w:rPr>
                <w:rFonts w:ascii="Times New Roman" w:hAnsi="Times New Roman"/>
                <w:b/>
                <w:bCs/>
                <w:sz w:val="22"/>
                <w:szCs w:val="22"/>
              </w:rPr>
            </w:pPr>
            <w:r w:rsidRPr="00567E02">
              <w:rPr>
                <w:rFonts w:ascii="Times New Roman" w:hAnsi="Times New Roman"/>
                <w:b/>
                <w:bCs/>
                <w:sz w:val="22"/>
                <w:szCs w:val="22"/>
              </w:rPr>
              <w:t>Rate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6D19B" w14:textId="6DAD7DC1" w:rsidR="0086786E" w:rsidRPr="00567E02" w:rsidRDefault="0086786E" w:rsidP="006C3B82">
            <w:pPr>
              <w:jc w:val="center"/>
              <w:rPr>
                <w:rFonts w:ascii="Times New Roman" w:hAnsi="Times New Roman"/>
                <w:b/>
                <w:bCs/>
                <w:color w:val="000000"/>
                <w:sz w:val="22"/>
                <w:szCs w:val="22"/>
              </w:rPr>
            </w:pPr>
            <w:r w:rsidRPr="00567E02">
              <w:rPr>
                <w:rFonts w:ascii="Times New Roman" w:hAnsi="Times New Roman"/>
                <w:b/>
                <w:bCs/>
                <w:color w:val="000000"/>
                <w:sz w:val="22"/>
                <w:szCs w:val="22"/>
              </w:rPr>
              <w:t>Frequency</w:t>
            </w:r>
          </w:p>
        </w:tc>
      </w:tr>
      <w:tr w:rsidR="007A3B35" w:rsidRPr="00FA705A" w14:paraId="4AEFBADC"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32897" w14:textId="77777777" w:rsidR="007A3B35" w:rsidRPr="00156207" w:rsidRDefault="007A3B35" w:rsidP="007A3B35">
            <w:pPr>
              <w:rPr>
                <w:rFonts w:ascii="Times New Roman" w:hAnsi="Times New Roman"/>
                <w:color w:val="000000"/>
                <w:sz w:val="22"/>
                <w:szCs w:val="22"/>
              </w:rPr>
            </w:pPr>
            <w:r w:rsidRPr="00156207">
              <w:rPr>
                <w:rFonts w:ascii="Times New Roman" w:hAnsi="Times New Roman"/>
                <w:color w:val="000000"/>
                <w:sz w:val="22"/>
                <w:szCs w:val="22"/>
              </w:rPr>
              <w:t>Rape Crisis Satellite Center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9369E" w14:textId="2D39A5D6"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$49.52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13EB7"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Hourly</w:t>
            </w:r>
          </w:p>
        </w:tc>
      </w:tr>
      <w:tr w:rsidR="007A3B35" w:rsidRPr="00FA705A" w14:paraId="242B16AB"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07597" w14:textId="09CE6D28" w:rsidR="007A3B35" w:rsidRPr="00156207" w:rsidRDefault="007A3B35" w:rsidP="007A3B35">
            <w:pPr>
              <w:rPr>
                <w:rFonts w:ascii="Times New Roman" w:hAnsi="Times New Roman"/>
                <w:color w:val="000000"/>
                <w:sz w:val="22"/>
                <w:szCs w:val="22"/>
              </w:rPr>
            </w:pPr>
            <w:r w:rsidRPr="00156207">
              <w:rPr>
                <w:rFonts w:ascii="Times New Roman" w:hAnsi="Times New Roman"/>
                <w:color w:val="000000"/>
                <w:sz w:val="22"/>
                <w:szCs w:val="22"/>
              </w:rPr>
              <w:t xml:space="preserve">Rape Crisis </w:t>
            </w:r>
            <w:r>
              <w:rPr>
                <w:rFonts w:ascii="Times New Roman" w:hAnsi="Times New Roman"/>
                <w:color w:val="000000"/>
                <w:sz w:val="22"/>
                <w:szCs w:val="22"/>
              </w:rPr>
              <w:t>Statewide Specialized</w:t>
            </w:r>
            <w:r w:rsidRPr="00156207">
              <w:rPr>
                <w:rFonts w:ascii="Times New Roman" w:hAnsi="Times New Roman"/>
                <w:color w:val="000000"/>
                <w:sz w:val="22"/>
                <w:szCs w:val="22"/>
              </w:rPr>
              <w:t xml:space="preserve"> Hotline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C22BB" w14:textId="179BC86E"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$2,003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D49F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r w:rsidR="007A3B35" w:rsidRPr="00FA705A" w14:paraId="5CC38081"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66625" w14:textId="5AE43837" w:rsidR="007A3B35" w:rsidRPr="00E17F2D" w:rsidRDefault="007A3B35" w:rsidP="007A3B35">
            <w:pPr>
              <w:rPr>
                <w:rFonts w:ascii="Times New Roman" w:hAnsi="Times New Roman"/>
                <w:color w:val="000000"/>
                <w:sz w:val="22"/>
                <w:szCs w:val="22"/>
              </w:rPr>
            </w:pPr>
            <w:r w:rsidRPr="00E17F2D">
              <w:rPr>
                <w:rFonts w:ascii="Times New Roman" w:hAnsi="Times New Roman"/>
                <w:color w:val="000000"/>
                <w:sz w:val="22"/>
                <w:szCs w:val="22"/>
              </w:rPr>
              <w:t>Rape Crisis Direct Care .25</w:t>
            </w:r>
            <w:r>
              <w:rPr>
                <w:rFonts w:ascii="Times New Roman" w:hAnsi="Times New Roman"/>
                <w:color w:val="000000"/>
                <w:sz w:val="22"/>
                <w:szCs w:val="22"/>
              </w:rPr>
              <w:t xml:space="preserve"> </w:t>
            </w:r>
            <w:r w:rsidRPr="00E17F2D">
              <w:rPr>
                <w:rFonts w:ascii="Times New Roman" w:hAnsi="Times New Roman"/>
                <w:color w:val="000000"/>
                <w:sz w:val="22"/>
                <w:szCs w:val="22"/>
              </w:rPr>
              <w:t>FTE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980EA" w14:textId="4E64D497"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$2,455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38B4B" w14:textId="2EF743DB" w:rsidR="007A3B35" w:rsidRPr="00E17F2D" w:rsidRDefault="007A3B35" w:rsidP="007A3B35">
            <w:pPr>
              <w:jc w:val="center"/>
              <w:rPr>
                <w:rFonts w:ascii="Times New Roman" w:hAnsi="Times New Roman"/>
                <w:color w:val="000000"/>
                <w:sz w:val="22"/>
                <w:szCs w:val="22"/>
              </w:rPr>
            </w:pPr>
            <w:r w:rsidRPr="00E17F2D">
              <w:rPr>
                <w:rFonts w:ascii="Times New Roman" w:hAnsi="Times New Roman"/>
                <w:color w:val="000000"/>
                <w:sz w:val="22"/>
                <w:szCs w:val="22"/>
              </w:rPr>
              <w:t>Monthly</w:t>
            </w:r>
          </w:p>
        </w:tc>
      </w:tr>
      <w:tr w:rsidR="007A3B35" w:rsidRPr="00FA705A" w14:paraId="2D344D1A"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16FB8" w14:textId="77777777" w:rsidR="007A3B35" w:rsidRPr="00156207" w:rsidRDefault="007A3B35" w:rsidP="007A3B35">
            <w:pPr>
              <w:rPr>
                <w:rFonts w:ascii="Times New Roman" w:hAnsi="Times New Roman"/>
                <w:color w:val="000000"/>
                <w:sz w:val="22"/>
                <w:szCs w:val="22"/>
              </w:rPr>
            </w:pPr>
            <w:r w:rsidRPr="00156207">
              <w:rPr>
                <w:rFonts w:ascii="Times New Roman" w:hAnsi="Times New Roman"/>
                <w:color w:val="000000"/>
                <w:sz w:val="22"/>
                <w:szCs w:val="22"/>
              </w:rPr>
              <w:t>Housing Stabilization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7B844" w14:textId="7A710914"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IC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DB0C"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N/A</w:t>
            </w:r>
          </w:p>
        </w:tc>
      </w:tr>
      <w:tr w:rsidR="007A3B35" w:rsidRPr="00FA705A" w14:paraId="5A404186"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EAE18" w14:textId="62EAA9A2" w:rsidR="007A3B35" w:rsidRPr="00156207" w:rsidRDefault="007A3B35" w:rsidP="007A3B35">
            <w:pPr>
              <w:rPr>
                <w:rFonts w:ascii="Times New Roman" w:hAnsi="Times New Roman"/>
                <w:color w:val="000000"/>
                <w:sz w:val="22"/>
                <w:szCs w:val="22"/>
              </w:rPr>
            </w:pPr>
            <w:r w:rsidRPr="00156207">
              <w:rPr>
                <w:rFonts w:ascii="Times New Roman" w:hAnsi="Times New Roman"/>
                <w:color w:val="000000"/>
                <w:sz w:val="22"/>
                <w:szCs w:val="22"/>
              </w:rPr>
              <w:t>Extraordinary Circumstances/Flex Funding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ABC7" w14:textId="2AD56C30"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IC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FE210"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N/A</w:t>
            </w:r>
          </w:p>
        </w:tc>
      </w:tr>
      <w:tr w:rsidR="007A3B35" w:rsidRPr="00FA705A" w14:paraId="0D03AC18"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E96FB" w14:textId="77777777" w:rsidR="007A3B35" w:rsidRPr="00156207" w:rsidRDefault="007A3B35" w:rsidP="007A3B35">
            <w:pPr>
              <w:rPr>
                <w:rFonts w:ascii="Times New Roman" w:hAnsi="Times New Roman"/>
                <w:color w:val="000000"/>
                <w:sz w:val="22"/>
                <w:szCs w:val="22"/>
              </w:rPr>
            </w:pPr>
            <w:r w:rsidRPr="00156207">
              <w:rPr>
                <w:rFonts w:ascii="Times New Roman" w:hAnsi="Times New Roman"/>
                <w:color w:val="000000"/>
                <w:sz w:val="22"/>
                <w:szCs w:val="22"/>
              </w:rPr>
              <w:t>New SANE or SANE Telemedicine Site Development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0B34" w14:textId="4F1683AB"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IC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92A5"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N/A</w:t>
            </w:r>
          </w:p>
        </w:tc>
      </w:tr>
      <w:tr w:rsidR="007A3B35" w:rsidRPr="00FA705A" w14:paraId="3EEEA032"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55C3F" w14:textId="70CFB38E" w:rsidR="007A3B35" w:rsidRPr="00156207" w:rsidRDefault="007A3B35" w:rsidP="007A3B35">
            <w:pPr>
              <w:rPr>
                <w:rFonts w:ascii="Times New Roman" w:hAnsi="Times New Roman"/>
                <w:color w:val="000000"/>
                <w:sz w:val="22"/>
                <w:szCs w:val="22"/>
              </w:rPr>
            </w:pPr>
            <w:r>
              <w:rPr>
                <w:rFonts w:ascii="Times New Roman" w:hAnsi="Times New Roman"/>
                <w:color w:val="000000"/>
                <w:sz w:val="22"/>
                <w:szCs w:val="22"/>
              </w:rPr>
              <w:t>Supervised Visitation Security Add-on per Site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095FC" w14:textId="2DC60473"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$978.73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6A7C2" w14:textId="78C6CD27" w:rsidR="007A3B35" w:rsidRPr="00156207" w:rsidRDefault="007A3B35" w:rsidP="007A3B35">
            <w:pPr>
              <w:jc w:val="center"/>
              <w:rPr>
                <w:rFonts w:ascii="Times New Roman" w:hAnsi="Times New Roman"/>
                <w:color w:val="000000"/>
                <w:sz w:val="22"/>
                <w:szCs w:val="22"/>
              </w:rPr>
            </w:pPr>
            <w:r>
              <w:rPr>
                <w:rFonts w:ascii="Times New Roman" w:hAnsi="Times New Roman"/>
                <w:color w:val="000000"/>
                <w:sz w:val="22"/>
                <w:szCs w:val="22"/>
              </w:rPr>
              <w:t>Monthly</w:t>
            </w:r>
          </w:p>
        </w:tc>
      </w:tr>
      <w:tr w:rsidR="007A3B35" w:rsidRPr="00FA705A" w14:paraId="00688C71" w14:textId="77777777" w:rsidTr="00567E02">
        <w:trPr>
          <w:trHeight w:val="300"/>
        </w:trPr>
        <w:tc>
          <w:tcPr>
            <w:tcW w:w="6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18108" w14:textId="2EC9EC4D" w:rsidR="007A3B35" w:rsidRPr="00156207" w:rsidRDefault="007A3B35" w:rsidP="007A3B35">
            <w:pPr>
              <w:rPr>
                <w:rFonts w:ascii="Times New Roman" w:hAnsi="Times New Roman"/>
                <w:color w:val="000000"/>
                <w:sz w:val="22"/>
                <w:szCs w:val="22"/>
              </w:rPr>
            </w:pPr>
            <w:r w:rsidRPr="00156207">
              <w:rPr>
                <w:rFonts w:ascii="Times New Roman" w:hAnsi="Times New Roman"/>
                <w:color w:val="000000"/>
                <w:sz w:val="22"/>
                <w:szCs w:val="22"/>
              </w:rPr>
              <w:t xml:space="preserve">Intimate Partner Abuse Education Services - Outreach </w:t>
            </w:r>
            <w:r>
              <w:rPr>
                <w:rFonts w:ascii="Times New Roman" w:hAnsi="Times New Roman"/>
                <w:color w:val="000000"/>
                <w:sz w:val="22"/>
                <w:szCs w:val="22"/>
              </w:rPr>
              <w:t>and</w:t>
            </w:r>
            <w:r w:rsidRPr="00156207">
              <w:rPr>
                <w:rFonts w:ascii="Times New Roman" w:hAnsi="Times New Roman"/>
                <w:color w:val="000000"/>
                <w:sz w:val="22"/>
                <w:szCs w:val="22"/>
              </w:rPr>
              <w:t xml:space="preserve"> Development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D418" w14:textId="20A574A4" w:rsidR="007A3B35" w:rsidRPr="007A3B35" w:rsidRDefault="007A3B35" w:rsidP="00476C61">
            <w:pPr>
              <w:jc w:val="center"/>
              <w:rPr>
                <w:rFonts w:ascii="Times New Roman" w:hAnsi="Times New Roman"/>
                <w:color w:val="000000"/>
                <w:sz w:val="22"/>
                <w:szCs w:val="22"/>
              </w:rPr>
            </w:pPr>
            <w:r w:rsidRPr="00567E02">
              <w:rPr>
                <w:rFonts w:ascii="Times New Roman" w:hAnsi="Times New Roman"/>
                <w:sz w:val="22"/>
                <w:szCs w:val="22"/>
              </w:rPr>
              <w:t xml:space="preserve">$547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85B6E" w14:textId="77777777" w:rsidR="007A3B35" w:rsidRPr="00156207" w:rsidRDefault="007A3B35" w:rsidP="007A3B35">
            <w:pPr>
              <w:jc w:val="center"/>
              <w:rPr>
                <w:rFonts w:ascii="Times New Roman" w:hAnsi="Times New Roman"/>
                <w:color w:val="000000"/>
                <w:sz w:val="22"/>
                <w:szCs w:val="22"/>
              </w:rPr>
            </w:pPr>
            <w:r w:rsidRPr="00156207">
              <w:rPr>
                <w:rFonts w:ascii="Times New Roman" w:hAnsi="Times New Roman"/>
                <w:color w:val="000000"/>
                <w:sz w:val="22"/>
                <w:szCs w:val="22"/>
              </w:rPr>
              <w:t>Monthly</w:t>
            </w:r>
          </w:p>
        </w:tc>
      </w:tr>
    </w:tbl>
    <w:p w14:paraId="66AAD263" w14:textId="77777777" w:rsidR="00E6411B" w:rsidRDefault="00E6411B">
      <w:pPr>
        <w:rPr>
          <w:rFonts w:ascii="Times New Roman" w:hAnsi="Times New Roman"/>
          <w:spacing w:val="-3"/>
          <w:sz w:val="22"/>
          <w:szCs w:val="22"/>
        </w:rPr>
      </w:pPr>
    </w:p>
    <w:p w14:paraId="2ECA5ED2" w14:textId="77777777" w:rsidR="00315CFD" w:rsidRPr="00CE24F2" w:rsidRDefault="002C3948" w:rsidP="00315CFD">
      <w:pPr>
        <w:suppressAutoHyphens/>
        <w:rPr>
          <w:rFonts w:ascii="Times New Roman" w:hAnsi="Times New Roman"/>
          <w:spacing w:val="-3"/>
          <w:sz w:val="22"/>
          <w:szCs w:val="22"/>
        </w:rPr>
      </w:pPr>
      <w:r>
        <w:rPr>
          <w:rFonts w:ascii="Times New Roman" w:hAnsi="Times New Roman"/>
          <w:spacing w:val="-3"/>
          <w:sz w:val="22"/>
          <w:szCs w:val="22"/>
          <w:u w:val="single"/>
        </w:rPr>
        <w:t>429</w:t>
      </w:r>
      <w:r w:rsidR="00315CFD" w:rsidRPr="00CE24F2">
        <w:rPr>
          <w:rFonts w:ascii="Times New Roman" w:hAnsi="Times New Roman"/>
          <w:spacing w:val="-3"/>
          <w:sz w:val="22"/>
          <w:szCs w:val="22"/>
          <w:u w:val="single"/>
        </w:rPr>
        <w:t>.04:</w:t>
      </w:r>
      <w:r w:rsidR="00F220EE" w:rsidRPr="00CE24F2">
        <w:rPr>
          <w:rFonts w:ascii="Times New Roman" w:hAnsi="Times New Roman"/>
          <w:spacing w:val="-3"/>
          <w:sz w:val="22"/>
          <w:szCs w:val="22"/>
          <w:u w:val="single"/>
        </w:rPr>
        <w:t xml:space="preserve">  </w:t>
      </w:r>
      <w:r w:rsidR="00315CFD" w:rsidRPr="00CE24F2">
        <w:rPr>
          <w:rFonts w:ascii="Times New Roman" w:hAnsi="Times New Roman"/>
          <w:spacing w:val="-3"/>
          <w:sz w:val="22"/>
          <w:szCs w:val="22"/>
          <w:u w:val="single"/>
        </w:rPr>
        <w:t>Filing and Reporting Requirements</w:t>
      </w:r>
    </w:p>
    <w:p w14:paraId="24A46AA5" w14:textId="77777777" w:rsidR="00315CFD" w:rsidRPr="00CE24F2" w:rsidRDefault="00315CFD" w:rsidP="00315CFD">
      <w:pPr>
        <w:suppressAutoHyphens/>
        <w:rPr>
          <w:rFonts w:ascii="Times New Roman" w:hAnsi="Times New Roman"/>
          <w:spacing w:val="-3"/>
          <w:sz w:val="22"/>
          <w:szCs w:val="22"/>
        </w:rPr>
      </w:pPr>
    </w:p>
    <w:p w14:paraId="529BFE71" w14:textId="77777777" w:rsidR="00B74B82" w:rsidRPr="00CE24F2" w:rsidRDefault="00B74B82" w:rsidP="00B74B82">
      <w:pPr>
        <w:suppressAutoHyphens/>
        <w:ind w:left="720"/>
        <w:rPr>
          <w:rFonts w:ascii="Times New Roman" w:hAnsi="Times New Roman"/>
          <w:spacing w:val="-3"/>
          <w:sz w:val="22"/>
          <w:szCs w:val="22"/>
        </w:rPr>
      </w:pPr>
      <w:r w:rsidRPr="00CE24F2">
        <w:rPr>
          <w:rFonts w:ascii="Times New Roman" w:hAnsi="Times New Roman"/>
          <w:spacing w:val="-3"/>
          <w:sz w:val="22"/>
          <w:szCs w:val="22"/>
        </w:rPr>
        <w:t>(1)</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General Provisions</w:t>
      </w:r>
      <w:r w:rsidRPr="00CE24F2">
        <w:rPr>
          <w:rFonts w:ascii="Times New Roman" w:hAnsi="Times New Roman"/>
          <w:spacing w:val="-3"/>
          <w:sz w:val="22"/>
          <w:szCs w:val="22"/>
        </w:rPr>
        <w:t>.</w:t>
      </w:r>
    </w:p>
    <w:p w14:paraId="457D039D" w14:textId="194C4B9B" w:rsidR="00B74B82" w:rsidRPr="00CE24F2" w:rsidRDefault="00B74B82"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(a)</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Accurate Data</w:t>
      </w:r>
      <w:r w:rsidRPr="00CE24F2">
        <w:rPr>
          <w:rFonts w:ascii="Times New Roman" w:hAnsi="Times New Roman"/>
          <w:spacing w:val="-3"/>
          <w:sz w:val="22"/>
          <w:szCs w:val="22"/>
        </w:rPr>
        <w:t xml:space="preserve">.  All reports, schedules, additional information, books, and records that are filed or made available to </w:t>
      </w:r>
      <w:r w:rsidR="00B979BA" w:rsidRPr="00CE24F2">
        <w:rPr>
          <w:rFonts w:ascii="Times New Roman" w:hAnsi="Times New Roman"/>
          <w:spacing w:val="-3"/>
          <w:sz w:val="22"/>
          <w:szCs w:val="22"/>
        </w:rPr>
        <w:t>EOHHS</w:t>
      </w:r>
      <w:r w:rsidRPr="00CE24F2">
        <w:rPr>
          <w:rFonts w:ascii="Times New Roman" w:hAnsi="Times New Roman"/>
          <w:spacing w:val="-3"/>
          <w:sz w:val="22"/>
          <w:szCs w:val="22"/>
        </w:rPr>
        <w:t xml:space="preserve"> </w:t>
      </w:r>
      <w:r w:rsidR="00F220EE" w:rsidRPr="00CE24F2">
        <w:rPr>
          <w:rFonts w:ascii="Times New Roman" w:hAnsi="Times New Roman"/>
          <w:spacing w:val="-3"/>
          <w:sz w:val="22"/>
          <w:szCs w:val="22"/>
        </w:rPr>
        <w:t xml:space="preserve">must </w:t>
      </w:r>
      <w:r w:rsidRPr="00CE24F2">
        <w:rPr>
          <w:rFonts w:ascii="Times New Roman" w:hAnsi="Times New Roman"/>
          <w:spacing w:val="-3"/>
          <w:sz w:val="22"/>
          <w:szCs w:val="22"/>
        </w:rPr>
        <w:t>be certified under pains and penalties of perjury as true, correct</w:t>
      </w:r>
      <w:r w:rsidR="00F220EE" w:rsidRPr="00CE24F2">
        <w:rPr>
          <w:rFonts w:ascii="Times New Roman" w:hAnsi="Times New Roman"/>
          <w:spacing w:val="-3"/>
          <w:sz w:val="22"/>
          <w:szCs w:val="22"/>
        </w:rPr>
        <w:t>,</w:t>
      </w:r>
      <w:r w:rsidRPr="00CE24F2">
        <w:rPr>
          <w:rFonts w:ascii="Times New Roman" w:hAnsi="Times New Roman"/>
          <w:spacing w:val="-3"/>
          <w:sz w:val="22"/>
          <w:szCs w:val="22"/>
        </w:rPr>
        <w:t xml:space="preserve"> and accurate by the </w:t>
      </w:r>
      <w:r w:rsidR="00664304">
        <w:rPr>
          <w:rFonts w:ascii="Times New Roman" w:hAnsi="Times New Roman"/>
          <w:spacing w:val="-3"/>
          <w:sz w:val="22"/>
          <w:szCs w:val="22"/>
        </w:rPr>
        <w:t>e</w:t>
      </w:r>
      <w:r w:rsidRPr="00CE24F2">
        <w:rPr>
          <w:rFonts w:ascii="Times New Roman" w:hAnsi="Times New Roman"/>
          <w:spacing w:val="-3"/>
          <w:sz w:val="22"/>
          <w:szCs w:val="22"/>
        </w:rPr>
        <w:t xml:space="preserve">xecutive </w:t>
      </w:r>
      <w:r w:rsidR="00664304">
        <w:rPr>
          <w:rFonts w:ascii="Times New Roman" w:hAnsi="Times New Roman"/>
          <w:spacing w:val="-3"/>
          <w:sz w:val="22"/>
          <w:szCs w:val="22"/>
        </w:rPr>
        <w:t>d</w:t>
      </w:r>
      <w:r w:rsidRPr="00CE24F2">
        <w:rPr>
          <w:rFonts w:ascii="Times New Roman" w:hAnsi="Times New Roman"/>
          <w:spacing w:val="-3"/>
          <w:sz w:val="22"/>
          <w:szCs w:val="22"/>
        </w:rPr>
        <w:t xml:space="preserve">irector or </w:t>
      </w:r>
      <w:r w:rsidR="00664304">
        <w:rPr>
          <w:rFonts w:ascii="Times New Roman" w:hAnsi="Times New Roman"/>
          <w:spacing w:val="-3"/>
          <w:sz w:val="22"/>
          <w:szCs w:val="22"/>
        </w:rPr>
        <w:t>c</w:t>
      </w:r>
      <w:r w:rsidRPr="00CE24F2">
        <w:rPr>
          <w:rFonts w:ascii="Times New Roman" w:hAnsi="Times New Roman"/>
          <w:spacing w:val="-3"/>
          <w:sz w:val="22"/>
          <w:szCs w:val="22"/>
        </w:rPr>
        <w:t xml:space="preserve">hief </w:t>
      </w:r>
      <w:r w:rsidR="00664304">
        <w:rPr>
          <w:rFonts w:ascii="Times New Roman" w:hAnsi="Times New Roman"/>
          <w:spacing w:val="-3"/>
          <w:sz w:val="22"/>
          <w:szCs w:val="22"/>
        </w:rPr>
        <w:t>f</w:t>
      </w:r>
      <w:r w:rsidRPr="00CE24F2">
        <w:rPr>
          <w:rFonts w:ascii="Times New Roman" w:hAnsi="Times New Roman"/>
          <w:spacing w:val="-3"/>
          <w:sz w:val="22"/>
          <w:szCs w:val="22"/>
        </w:rPr>
        <w:t xml:space="preserve">inancial </w:t>
      </w:r>
      <w:r w:rsidR="00664304">
        <w:rPr>
          <w:rFonts w:ascii="Times New Roman" w:hAnsi="Times New Roman"/>
          <w:spacing w:val="-3"/>
          <w:sz w:val="22"/>
          <w:szCs w:val="22"/>
        </w:rPr>
        <w:t>o</w:t>
      </w:r>
      <w:r w:rsidRPr="00CE24F2">
        <w:rPr>
          <w:rFonts w:ascii="Times New Roman" w:hAnsi="Times New Roman"/>
          <w:spacing w:val="-3"/>
          <w:sz w:val="22"/>
          <w:szCs w:val="22"/>
        </w:rPr>
        <w:t xml:space="preserve">fficer of the </w:t>
      </w:r>
      <w:r w:rsidR="00DA2A63" w:rsidRPr="00CE24F2">
        <w:rPr>
          <w:rFonts w:ascii="Times New Roman" w:hAnsi="Times New Roman"/>
          <w:spacing w:val="-3"/>
          <w:sz w:val="22"/>
          <w:szCs w:val="22"/>
        </w:rPr>
        <w:t>p</w:t>
      </w:r>
      <w:r w:rsidR="00824657" w:rsidRPr="00CE24F2">
        <w:rPr>
          <w:rFonts w:ascii="Times New Roman" w:hAnsi="Times New Roman"/>
          <w:spacing w:val="-3"/>
          <w:sz w:val="22"/>
          <w:szCs w:val="22"/>
        </w:rPr>
        <w:t xml:space="preserve">rovider. </w:t>
      </w:r>
    </w:p>
    <w:p w14:paraId="68007600" w14:textId="77777777" w:rsidR="00B74B82" w:rsidRPr="00CE24F2" w:rsidRDefault="00B74B82"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(b)</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Examination of Records</w:t>
      </w:r>
      <w:r w:rsidRPr="00CE24F2">
        <w:rPr>
          <w:rFonts w:ascii="Times New Roman" w:hAnsi="Times New Roman"/>
          <w:spacing w:val="-3"/>
          <w:sz w:val="22"/>
          <w:szCs w:val="22"/>
        </w:rPr>
        <w:t xml:space="preserve">.  Each </w:t>
      </w:r>
      <w:r w:rsidR="00DA2A63" w:rsidRPr="00CE24F2">
        <w:rPr>
          <w:rFonts w:ascii="Times New Roman" w:hAnsi="Times New Roman"/>
          <w:spacing w:val="-3"/>
          <w:sz w:val="22"/>
          <w:szCs w:val="22"/>
        </w:rPr>
        <w:t>p</w:t>
      </w:r>
      <w:r w:rsidRPr="00CE24F2">
        <w:rPr>
          <w:rFonts w:ascii="Times New Roman" w:hAnsi="Times New Roman"/>
          <w:spacing w:val="-3"/>
          <w:sz w:val="22"/>
          <w:szCs w:val="22"/>
        </w:rPr>
        <w:t xml:space="preserve">rovider </w:t>
      </w:r>
      <w:r w:rsidR="008C51D3" w:rsidRPr="00CE24F2">
        <w:rPr>
          <w:rFonts w:ascii="Times New Roman" w:hAnsi="Times New Roman"/>
          <w:spacing w:val="-3"/>
          <w:sz w:val="22"/>
          <w:szCs w:val="22"/>
        </w:rPr>
        <w:t xml:space="preserve">must </w:t>
      </w:r>
      <w:r w:rsidRPr="00CE24F2">
        <w:rPr>
          <w:rFonts w:ascii="Times New Roman" w:hAnsi="Times New Roman"/>
          <w:spacing w:val="-3"/>
          <w:sz w:val="22"/>
          <w:szCs w:val="22"/>
        </w:rPr>
        <w:t xml:space="preserve">make available to </w:t>
      </w:r>
      <w:r w:rsidR="00B979BA" w:rsidRPr="00CE24F2">
        <w:rPr>
          <w:rFonts w:ascii="Times New Roman" w:hAnsi="Times New Roman"/>
          <w:spacing w:val="-3"/>
          <w:sz w:val="22"/>
          <w:szCs w:val="22"/>
        </w:rPr>
        <w:t>EOHHS</w:t>
      </w:r>
      <w:r w:rsidRPr="00CE24F2">
        <w:rPr>
          <w:rFonts w:ascii="Times New Roman" w:hAnsi="Times New Roman"/>
          <w:spacing w:val="-3"/>
          <w:sz w:val="22"/>
          <w:szCs w:val="22"/>
        </w:rPr>
        <w:t xml:space="preserve"> or </w:t>
      </w:r>
      <w:r w:rsidR="001D5BA2" w:rsidRPr="00CE24F2">
        <w:rPr>
          <w:rFonts w:ascii="Times New Roman" w:hAnsi="Times New Roman"/>
          <w:spacing w:val="-3"/>
          <w:sz w:val="22"/>
          <w:szCs w:val="22"/>
        </w:rPr>
        <w:t xml:space="preserve">the </w:t>
      </w:r>
      <w:r w:rsidRPr="00CE24F2">
        <w:rPr>
          <w:rFonts w:ascii="Times New Roman" w:hAnsi="Times New Roman"/>
          <w:spacing w:val="-3"/>
          <w:sz w:val="22"/>
          <w:szCs w:val="22"/>
        </w:rPr>
        <w:t xml:space="preserve">purchasing </w:t>
      </w:r>
      <w:r w:rsidR="00DA2A63" w:rsidRPr="00CE24F2">
        <w:rPr>
          <w:rFonts w:ascii="Times New Roman" w:hAnsi="Times New Roman"/>
          <w:spacing w:val="-3"/>
          <w:sz w:val="22"/>
          <w:szCs w:val="22"/>
        </w:rPr>
        <w:t>g</w:t>
      </w:r>
      <w:r w:rsidR="00235444" w:rsidRPr="00CE24F2">
        <w:rPr>
          <w:rFonts w:ascii="Times New Roman" w:hAnsi="Times New Roman"/>
          <w:spacing w:val="-3"/>
          <w:sz w:val="22"/>
          <w:szCs w:val="22"/>
        </w:rPr>
        <w:t>overnmental</w:t>
      </w:r>
      <w:r w:rsidR="0079230B" w:rsidRPr="00CE24F2">
        <w:rPr>
          <w:rFonts w:ascii="Times New Roman" w:hAnsi="Times New Roman"/>
          <w:spacing w:val="-3"/>
          <w:sz w:val="22"/>
          <w:szCs w:val="22"/>
        </w:rPr>
        <w:t xml:space="preserve"> </w:t>
      </w:r>
      <w:r w:rsidR="00DA2A63" w:rsidRPr="00CE24F2">
        <w:rPr>
          <w:rFonts w:ascii="Times New Roman" w:hAnsi="Times New Roman"/>
          <w:spacing w:val="-3"/>
          <w:sz w:val="22"/>
          <w:szCs w:val="22"/>
        </w:rPr>
        <w:t>u</w:t>
      </w:r>
      <w:r w:rsidR="0079230B" w:rsidRPr="00CE24F2">
        <w:rPr>
          <w:rFonts w:ascii="Times New Roman" w:hAnsi="Times New Roman"/>
          <w:spacing w:val="-3"/>
          <w:sz w:val="22"/>
          <w:szCs w:val="22"/>
        </w:rPr>
        <w:t>nit</w:t>
      </w:r>
      <w:r w:rsidRPr="00CE24F2">
        <w:rPr>
          <w:rFonts w:ascii="Times New Roman" w:hAnsi="Times New Roman"/>
          <w:spacing w:val="-3"/>
          <w:sz w:val="22"/>
          <w:szCs w:val="22"/>
        </w:rPr>
        <w:t xml:space="preserve"> upon request all records relating to its reported costs, including costs of any entity related by common ownership or control.  </w:t>
      </w:r>
    </w:p>
    <w:p w14:paraId="74BBC147" w14:textId="77777777" w:rsidR="00B74B82" w:rsidRPr="00CE24F2" w:rsidRDefault="00B74B82" w:rsidP="00B74B82">
      <w:pPr>
        <w:suppressAutoHyphens/>
        <w:ind w:left="720"/>
        <w:rPr>
          <w:rFonts w:ascii="Times New Roman" w:hAnsi="Times New Roman"/>
          <w:spacing w:val="-3"/>
          <w:sz w:val="22"/>
          <w:szCs w:val="22"/>
        </w:rPr>
      </w:pPr>
      <w:r w:rsidRPr="00CE24F2">
        <w:rPr>
          <w:rFonts w:ascii="Times New Roman" w:hAnsi="Times New Roman"/>
          <w:spacing w:val="-3"/>
          <w:sz w:val="22"/>
          <w:szCs w:val="22"/>
        </w:rPr>
        <w:t xml:space="preserve"> </w:t>
      </w:r>
    </w:p>
    <w:p w14:paraId="61F2B47B" w14:textId="77777777" w:rsidR="000F72CF" w:rsidRPr="00CE24F2" w:rsidRDefault="00315CFD" w:rsidP="00B74B82">
      <w:pPr>
        <w:suppressAutoHyphens/>
        <w:ind w:left="720"/>
        <w:rPr>
          <w:rFonts w:ascii="Times New Roman" w:hAnsi="Times New Roman"/>
          <w:spacing w:val="-3"/>
          <w:sz w:val="22"/>
          <w:szCs w:val="22"/>
        </w:rPr>
      </w:pPr>
      <w:r w:rsidRPr="00CE24F2">
        <w:rPr>
          <w:rFonts w:ascii="Times New Roman" w:hAnsi="Times New Roman"/>
          <w:spacing w:val="-3"/>
          <w:sz w:val="22"/>
          <w:szCs w:val="22"/>
        </w:rPr>
        <w:t>(</w:t>
      </w:r>
      <w:r w:rsidR="00B74B82" w:rsidRPr="00CE24F2">
        <w:rPr>
          <w:rFonts w:ascii="Times New Roman" w:hAnsi="Times New Roman"/>
          <w:spacing w:val="-3"/>
          <w:sz w:val="22"/>
          <w:szCs w:val="22"/>
        </w:rPr>
        <w:t>2</w:t>
      </w:r>
      <w:r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00B74B82" w:rsidRPr="00CE24F2">
        <w:rPr>
          <w:rFonts w:ascii="Times New Roman" w:hAnsi="Times New Roman"/>
          <w:spacing w:val="-3"/>
          <w:sz w:val="22"/>
          <w:szCs w:val="22"/>
          <w:u w:val="single"/>
        </w:rPr>
        <w:t>Required Reports</w:t>
      </w:r>
      <w:r w:rsidR="00F220EE" w:rsidRPr="00CE24F2">
        <w:rPr>
          <w:rFonts w:ascii="Times New Roman" w:hAnsi="Times New Roman"/>
          <w:spacing w:val="-3"/>
          <w:sz w:val="22"/>
          <w:szCs w:val="22"/>
        </w:rPr>
        <w:t xml:space="preserve">.  </w:t>
      </w:r>
      <w:r w:rsidR="009A68EC" w:rsidRPr="00CE24F2">
        <w:rPr>
          <w:rFonts w:ascii="Times New Roman" w:hAnsi="Times New Roman"/>
          <w:spacing w:val="-3"/>
          <w:sz w:val="22"/>
          <w:szCs w:val="22"/>
        </w:rPr>
        <w:t xml:space="preserve">Each </w:t>
      </w:r>
      <w:r w:rsidR="00DA2A63" w:rsidRPr="00CE24F2">
        <w:rPr>
          <w:rFonts w:ascii="Times New Roman" w:hAnsi="Times New Roman"/>
          <w:spacing w:val="-3"/>
          <w:sz w:val="22"/>
          <w:szCs w:val="22"/>
        </w:rPr>
        <w:t>p</w:t>
      </w:r>
      <w:r w:rsidR="009A68EC" w:rsidRPr="00CE24F2">
        <w:rPr>
          <w:rFonts w:ascii="Times New Roman" w:hAnsi="Times New Roman"/>
          <w:spacing w:val="-3"/>
          <w:sz w:val="22"/>
          <w:szCs w:val="22"/>
        </w:rPr>
        <w:t>rovider must file</w:t>
      </w:r>
    </w:p>
    <w:p w14:paraId="3702BDE8" w14:textId="7183CE24" w:rsidR="00315CFD" w:rsidRPr="00CE24F2" w:rsidRDefault="000F72CF"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 xml:space="preserve">(a)  an </w:t>
      </w:r>
      <w:r w:rsidR="00CB29A6" w:rsidRPr="00CE24F2">
        <w:rPr>
          <w:rFonts w:ascii="Times New Roman" w:hAnsi="Times New Roman"/>
          <w:spacing w:val="-3"/>
          <w:sz w:val="22"/>
          <w:szCs w:val="22"/>
        </w:rPr>
        <w:t xml:space="preserve">annual </w:t>
      </w:r>
      <w:r w:rsidR="00315CFD" w:rsidRPr="00CE24F2">
        <w:rPr>
          <w:rFonts w:ascii="Times New Roman" w:hAnsi="Times New Roman"/>
          <w:spacing w:val="-3"/>
          <w:sz w:val="22"/>
          <w:szCs w:val="22"/>
        </w:rPr>
        <w:t>Uniform Financial Statement</w:t>
      </w:r>
      <w:r w:rsidR="006E4EE1">
        <w:rPr>
          <w:rFonts w:ascii="Times New Roman" w:hAnsi="Times New Roman"/>
          <w:spacing w:val="-3"/>
          <w:sz w:val="22"/>
          <w:szCs w:val="22"/>
        </w:rPr>
        <w:t>s</w:t>
      </w:r>
      <w:r w:rsidR="00315CFD" w:rsidRPr="00CE24F2">
        <w:rPr>
          <w:rFonts w:ascii="Times New Roman" w:hAnsi="Times New Roman"/>
          <w:spacing w:val="-3"/>
          <w:sz w:val="22"/>
          <w:szCs w:val="22"/>
        </w:rPr>
        <w:t xml:space="preserve"> and Independent Auditor's </w:t>
      </w:r>
      <w:r w:rsidR="00E17F2D">
        <w:rPr>
          <w:rFonts w:ascii="Times New Roman" w:hAnsi="Times New Roman"/>
          <w:spacing w:val="-3"/>
          <w:sz w:val="22"/>
          <w:szCs w:val="22"/>
        </w:rPr>
        <w:t>R</w:t>
      </w:r>
      <w:r w:rsidR="00315CFD" w:rsidRPr="00CE24F2">
        <w:rPr>
          <w:rFonts w:ascii="Times New Roman" w:hAnsi="Times New Roman"/>
          <w:spacing w:val="-3"/>
          <w:sz w:val="22"/>
          <w:szCs w:val="22"/>
        </w:rPr>
        <w:t xml:space="preserve">eport </w:t>
      </w:r>
      <w:r w:rsidR="00D551A8" w:rsidRPr="00CE24F2">
        <w:rPr>
          <w:rFonts w:ascii="Times New Roman" w:hAnsi="Times New Roman"/>
          <w:spacing w:val="-3"/>
          <w:sz w:val="22"/>
          <w:szCs w:val="22"/>
        </w:rPr>
        <w:t>completed</w:t>
      </w:r>
      <w:r w:rsidR="002E356B" w:rsidRPr="00CE24F2">
        <w:rPr>
          <w:rFonts w:ascii="Times New Roman" w:hAnsi="Times New Roman"/>
          <w:spacing w:val="-3"/>
          <w:sz w:val="22"/>
          <w:szCs w:val="22"/>
        </w:rPr>
        <w:t xml:space="preserve"> in </w:t>
      </w:r>
      <w:r w:rsidR="00315CFD" w:rsidRPr="00CE24F2">
        <w:rPr>
          <w:rFonts w:ascii="Times New Roman" w:hAnsi="Times New Roman"/>
          <w:spacing w:val="-3"/>
          <w:sz w:val="22"/>
          <w:szCs w:val="22"/>
        </w:rPr>
        <w:t xml:space="preserve">accordance with the filing requirements of </w:t>
      </w:r>
      <w:r w:rsidR="00CB29A6" w:rsidRPr="00CE24F2">
        <w:rPr>
          <w:rFonts w:ascii="Times New Roman" w:hAnsi="Times New Roman"/>
          <w:spacing w:val="-3"/>
          <w:sz w:val="22"/>
          <w:szCs w:val="22"/>
        </w:rPr>
        <w:t>808 CMR 1.00</w:t>
      </w:r>
      <w:r w:rsidR="00BE671D" w:rsidRPr="00CE24F2">
        <w:rPr>
          <w:rFonts w:ascii="Times New Roman" w:hAnsi="Times New Roman"/>
          <w:spacing w:val="-3"/>
          <w:sz w:val="22"/>
          <w:szCs w:val="22"/>
        </w:rPr>
        <w:t xml:space="preserve">:  </w:t>
      </w:r>
      <w:r w:rsidR="009460AA" w:rsidRPr="00CE24F2">
        <w:rPr>
          <w:rFonts w:ascii="Times New Roman" w:hAnsi="Times New Roman"/>
          <w:i/>
          <w:spacing w:val="-3"/>
          <w:sz w:val="22"/>
          <w:szCs w:val="22"/>
        </w:rPr>
        <w:t>Compliance, Reporting</w:t>
      </w:r>
      <w:r w:rsidR="009B679A" w:rsidRPr="00CE24F2">
        <w:rPr>
          <w:rFonts w:ascii="Times New Roman" w:hAnsi="Times New Roman"/>
          <w:i/>
          <w:spacing w:val="-3"/>
          <w:sz w:val="22"/>
          <w:szCs w:val="22"/>
        </w:rPr>
        <w:t xml:space="preserve"> and Auditing for Human and Social Services</w:t>
      </w:r>
      <w:r w:rsidR="00CB29A6" w:rsidRPr="00CE24F2">
        <w:rPr>
          <w:rFonts w:ascii="Times New Roman" w:hAnsi="Times New Roman"/>
          <w:spacing w:val="-3"/>
          <w:sz w:val="22"/>
          <w:szCs w:val="22"/>
        </w:rPr>
        <w:t xml:space="preserve">; </w:t>
      </w:r>
    </w:p>
    <w:p w14:paraId="7F3C4458" w14:textId="77777777" w:rsidR="00CB29A6" w:rsidRPr="00CE24F2" w:rsidRDefault="00315CFD"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(b)</w:t>
      </w:r>
      <w:r w:rsidR="00F220EE" w:rsidRPr="00CE24F2">
        <w:rPr>
          <w:rFonts w:ascii="Times New Roman" w:hAnsi="Times New Roman"/>
          <w:spacing w:val="-3"/>
          <w:sz w:val="22"/>
          <w:szCs w:val="22"/>
        </w:rPr>
        <w:t xml:space="preserve">  </w:t>
      </w:r>
      <w:r w:rsidR="00CB29A6" w:rsidRPr="00CE24F2">
        <w:rPr>
          <w:rFonts w:ascii="Times New Roman" w:hAnsi="Times New Roman"/>
          <w:spacing w:val="-3"/>
          <w:sz w:val="22"/>
          <w:szCs w:val="22"/>
        </w:rPr>
        <w:t xml:space="preserve">any </w:t>
      </w:r>
      <w:r w:rsidR="009F53E6">
        <w:rPr>
          <w:rFonts w:ascii="Times New Roman" w:hAnsi="Times New Roman"/>
          <w:spacing w:val="-3"/>
          <w:sz w:val="22"/>
          <w:szCs w:val="22"/>
        </w:rPr>
        <w:t>c</w:t>
      </w:r>
      <w:r w:rsidR="00CB29A6" w:rsidRPr="00CE24F2">
        <w:rPr>
          <w:rFonts w:ascii="Times New Roman" w:hAnsi="Times New Roman"/>
          <w:spacing w:val="-3"/>
          <w:sz w:val="22"/>
          <w:szCs w:val="22"/>
        </w:rPr>
        <w:t xml:space="preserve">ost </w:t>
      </w:r>
      <w:r w:rsidR="009F53E6">
        <w:rPr>
          <w:rFonts w:ascii="Times New Roman" w:hAnsi="Times New Roman"/>
          <w:spacing w:val="-3"/>
          <w:sz w:val="22"/>
          <w:szCs w:val="22"/>
        </w:rPr>
        <w:t>r</w:t>
      </w:r>
      <w:r w:rsidR="00CB29A6" w:rsidRPr="00CE24F2">
        <w:rPr>
          <w:rFonts w:ascii="Times New Roman" w:hAnsi="Times New Roman"/>
          <w:spacing w:val="-3"/>
          <w:sz w:val="22"/>
          <w:szCs w:val="22"/>
        </w:rPr>
        <w:t xml:space="preserve">eport supplemental schedule </w:t>
      </w:r>
      <w:r w:rsidR="00220DA5" w:rsidRPr="00CE24F2">
        <w:rPr>
          <w:rFonts w:ascii="Times New Roman" w:hAnsi="Times New Roman"/>
          <w:spacing w:val="-3"/>
          <w:sz w:val="22"/>
          <w:szCs w:val="22"/>
        </w:rPr>
        <w:t xml:space="preserve">as issued by </w:t>
      </w:r>
      <w:r w:rsidR="00B979BA" w:rsidRPr="00CE24F2">
        <w:rPr>
          <w:rFonts w:ascii="Times New Roman" w:hAnsi="Times New Roman"/>
          <w:spacing w:val="-3"/>
          <w:sz w:val="22"/>
          <w:szCs w:val="22"/>
        </w:rPr>
        <w:t>EOHHS</w:t>
      </w:r>
      <w:r w:rsidR="00CB29A6" w:rsidRPr="00CE24F2">
        <w:rPr>
          <w:rFonts w:ascii="Times New Roman" w:hAnsi="Times New Roman"/>
          <w:spacing w:val="-3"/>
          <w:sz w:val="22"/>
          <w:szCs w:val="22"/>
        </w:rPr>
        <w:t>; and</w:t>
      </w:r>
    </w:p>
    <w:p w14:paraId="4616E6B8" w14:textId="77777777" w:rsidR="00CB29A6" w:rsidRPr="00CE24F2" w:rsidRDefault="00CB29A6"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 xml:space="preserve">(c) </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rPr>
        <w:t>any additional inform</w:t>
      </w:r>
      <w:r w:rsidR="00B74B82" w:rsidRPr="00CE24F2">
        <w:rPr>
          <w:rFonts w:ascii="Times New Roman" w:hAnsi="Times New Roman"/>
          <w:spacing w:val="-3"/>
          <w:sz w:val="22"/>
          <w:szCs w:val="22"/>
        </w:rPr>
        <w:t xml:space="preserve">ation requested by </w:t>
      </w:r>
      <w:r w:rsidR="00B979BA" w:rsidRPr="00CE24F2">
        <w:rPr>
          <w:rFonts w:ascii="Times New Roman" w:hAnsi="Times New Roman"/>
          <w:spacing w:val="-3"/>
          <w:sz w:val="22"/>
          <w:szCs w:val="22"/>
        </w:rPr>
        <w:t>EOHHS</w:t>
      </w:r>
      <w:r w:rsidR="00220DA5" w:rsidRPr="00CE24F2">
        <w:rPr>
          <w:rFonts w:ascii="Times New Roman" w:hAnsi="Times New Roman"/>
          <w:spacing w:val="-3"/>
          <w:sz w:val="22"/>
          <w:szCs w:val="22"/>
        </w:rPr>
        <w:t xml:space="preserve"> </w:t>
      </w:r>
      <w:r w:rsidR="00B74B82" w:rsidRPr="00CE24F2">
        <w:rPr>
          <w:rFonts w:ascii="Times New Roman" w:hAnsi="Times New Roman"/>
          <w:spacing w:val="-3"/>
          <w:sz w:val="22"/>
          <w:szCs w:val="22"/>
        </w:rPr>
        <w:t xml:space="preserve">within 21 days of a written request. </w:t>
      </w:r>
    </w:p>
    <w:p w14:paraId="779DF955" w14:textId="77777777" w:rsidR="00315CFD" w:rsidRPr="00CE24F2" w:rsidRDefault="00315CFD" w:rsidP="00FF34E4">
      <w:pPr>
        <w:suppressAutoHyphens/>
        <w:ind w:left="720"/>
        <w:rPr>
          <w:rFonts w:ascii="Times New Roman" w:hAnsi="Times New Roman"/>
          <w:spacing w:val="-3"/>
          <w:sz w:val="22"/>
          <w:szCs w:val="22"/>
        </w:rPr>
      </w:pPr>
    </w:p>
    <w:p w14:paraId="02731F94" w14:textId="190F0266" w:rsidR="00B979BA" w:rsidRPr="00CE24F2" w:rsidRDefault="00315CFD" w:rsidP="00B979BA">
      <w:pPr>
        <w:suppressAutoHyphens/>
        <w:ind w:left="720"/>
        <w:rPr>
          <w:rFonts w:ascii="Times New Roman" w:hAnsi="Times New Roman"/>
          <w:i/>
          <w:spacing w:val="-3"/>
          <w:sz w:val="22"/>
          <w:szCs w:val="22"/>
        </w:rPr>
      </w:pPr>
      <w:r w:rsidRPr="00CE24F2">
        <w:rPr>
          <w:rFonts w:ascii="Times New Roman" w:hAnsi="Times New Roman"/>
          <w:spacing w:val="-3"/>
          <w:sz w:val="22"/>
          <w:szCs w:val="22"/>
        </w:rPr>
        <w:t>(</w:t>
      </w:r>
      <w:r w:rsidR="00B74B82" w:rsidRPr="00CE24F2">
        <w:rPr>
          <w:rFonts w:ascii="Times New Roman" w:hAnsi="Times New Roman"/>
          <w:spacing w:val="-3"/>
          <w:sz w:val="22"/>
          <w:szCs w:val="22"/>
        </w:rPr>
        <w:t>3</w:t>
      </w:r>
      <w:r w:rsidRPr="00CE24F2">
        <w:rPr>
          <w:rFonts w:ascii="Times New Roman" w:hAnsi="Times New Roman"/>
          <w:spacing w:val="-3"/>
          <w:sz w:val="22"/>
          <w:szCs w:val="22"/>
        </w:rPr>
        <w:t>)</w:t>
      </w:r>
      <w:r w:rsidR="00BE671D" w:rsidRPr="00CE24F2">
        <w:rPr>
          <w:rFonts w:ascii="Times New Roman" w:hAnsi="Times New Roman"/>
          <w:spacing w:val="-3"/>
          <w:sz w:val="22"/>
          <w:szCs w:val="22"/>
        </w:rPr>
        <w:t xml:space="preserve">  </w:t>
      </w:r>
      <w:r w:rsidR="00B74B82" w:rsidRPr="00CE24F2">
        <w:rPr>
          <w:rFonts w:ascii="Times New Roman" w:hAnsi="Times New Roman"/>
          <w:spacing w:val="-3"/>
          <w:sz w:val="22"/>
          <w:szCs w:val="22"/>
          <w:u w:val="single"/>
        </w:rPr>
        <w:t>Penalt</w:t>
      </w:r>
      <w:r w:rsidR="00B11C54" w:rsidRPr="00CE24F2">
        <w:rPr>
          <w:rFonts w:ascii="Times New Roman" w:hAnsi="Times New Roman"/>
          <w:spacing w:val="-3"/>
          <w:sz w:val="22"/>
          <w:szCs w:val="22"/>
          <w:u w:val="single"/>
        </w:rPr>
        <w:t>y for Noncompliance</w:t>
      </w:r>
      <w:r w:rsidR="00B74B82" w:rsidRPr="00CE24F2">
        <w:rPr>
          <w:rFonts w:ascii="Times New Roman" w:hAnsi="Times New Roman"/>
          <w:spacing w:val="-3"/>
          <w:sz w:val="22"/>
          <w:szCs w:val="22"/>
        </w:rPr>
        <w:t xml:space="preserve">. </w:t>
      </w:r>
      <w:r w:rsidR="00BE671D" w:rsidRPr="00CE24F2">
        <w:rPr>
          <w:rFonts w:ascii="Times New Roman" w:hAnsi="Times New Roman"/>
          <w:spacing w:val="-3"/>
          <w:sz w:val="22"/>
          <w:szCs w:val="22"/>
        </w:rPr>
        <w:t xml:space="preserve"> </w:t>
      </w:r>
      <w:r w:rsidR="00B979BA" w:rsidRPr="00CE24F2">
        <w:rPr>
          <w:rFonts w:ascii="Times New Roman" w:hAnsi="Times New Roman"/>
          <w:spacing w:val="-3"/>
          <w:sz w:val="22"/>
          <w:szCs w:val="22"/>
        </w:rPr>
        <w:t xml:space="preserve">The purchasing </w:t>
      </w:r>
      <w:r w:rsidR="00DA2A63" w:rsidRPr="00CE24F2">
        <w:rPr>
          <w:rFonts w:ascii="Times New Roman" w:hAnsi="Times New Roman"/>
          <w:spacing w:val="-3"/>
          <w:sz w:val="22"/>
          <w:szCs w:val="22"/>
        </w:rPr>
        <w:t>g</w:t>
      </w:r>
      <w:r w:rsidR="00B979BA"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B979BA" w:rsidRPr="00CE24F2">
        <w:rPr>
          <w:rFonts w:ascii="Times New Roman" w:hAnsi="Times New Roman"/>
          <w:spacing w:val="-3"/>
          <w:sz w:val="22"/>
          <w:szCs w:val="22"/>
        </w:rPr>
        <w:t xml:space="preserve">nit may </w:t>
      </w:r>
      <w:r w:rsidR="00792E2E">
        <w:rPr>
          <w:rFonts w:ascii="Times New Roman" w:hAnsi="Times New Roman"/>
          <w:spacing w:val="-3"/>
          <w:sz w:val="22"/>
          <w:szCs w:val="22"/>
        </w:rPr>
        <w:t>impose a penalty in the amount of up to</w:t>
      </w:r>
      <w:r w:rsidR="00B979BA" w:rsidRPr="00CE24F2">
        <w:rPr>
          <w:rFonts w:ascii="Times New Roman" w:hAnsi="Times New Roman"/>
          <w:spacing w:val="-3"/>
          <w:sz w:val="22"/>
          <w:szCs w:val="22"/>
        </w:rPr>
        <w:t xml:space="preserve"> 15% </w:t>
      </w:r>
      <w:r w:rsidR="00792E2E">
        <w:rPr>
          <w:rFonts w:ascii="Times New Roman" w:hAnsi="Times New Roman"/>
          <w:spacing w:val="-3"/>
          <w:sz w:val="22"/>
          <w:szCs w:val="22"/>
        </w:rPr>
        <w:t>of its payments to</w:t>
      </w:r>
      <w:r w:rsidR="00B979BA" w:rsidRPr="00CE24F2">
        <w:rPr>
          <w:rFonts w:ascii="Times New Roman" w:hAnsi="Times New Roman"/>
          <w:spacing w:val="-3"/>
          <w:sz w:val="22"/>
          <w:szCs w:val="22"/>
        </w:rPr>
        <w:t xml:space="preserve"> any </w:t>
      </w:r>
      <w:r w:rsidR="00DA2A63" w:rsidRPr="00CE24F2">
        <w:rPr>
          <w:rFonts w:ascii="Times New Roman" w:hAnsi="Times New Roman"/>
          <w:spacing w:val="-3"/>
          <w:sz w:val="22"/>
          <w:szCs w:val="22"/>
        </w:rPr>
        <w:t>p</w:t>
      </w:r>
      <w:r w:rsidR="00B979BA" w:rsidRPr="00CE24F2">
        <w:rPr>
          <w:rFonts w:ascii="Times New Roman" w:hAnsi="Times New Roman"/>
          <w:spacing w:val="-3"/>
          <w:sz w:val="22"/>
          <w:szCs w:val="22"/>
        </w:rPr>
        <w:t xml:space="preserve">rovider that fails to submit required information. The purchasing </w:t>
      </w:r>
      <w:r w:rsidR="00DA2A63" w:rsidRPr="00CE24F2">
        <w:rPr>
          <w:rFonts w:ascii="Times New Roman" w:hAnsi="Times New Roman"/>
          <w:spacing w:val="-3"/>
          <w:sz w:val="22"/>
          <w:szCs w:val="22"/>
        </w:rPr>
        <w:t>g</w:t>
      </w:r>
      <w:r w:rsidR="00B979BA"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B979BA" w:rsidRPr="00CE24F2">
        <w:rPr>
          <w:rFonts w:ascii="Times New Roman" w:hAnsi="Times New Roman"/>
          <w:spacing w:val="-3"/>
          <w:sz w:val="22"/>
          <w:szCs w:val="22"/>
        </w:rPr>
        <w:t xml:space="preserve">nit will notify the </w:t>
      </w:r>
      <w:r w:rsidR="00DA2A63" w:rsidRPr="00CE24F2">
        <w:rPr>
          <w:rFonts w:ascii="Times New Roman" w:hAnsi="Times New Roman"/>
          <w:spacing w:val="-3"/>
          <w:sz w:val="22"/>
          <w:szCs w:val="22"/>
        </w:rPr>
        <w:t>p</w:t>
      </w:r>
      <w:r w:rsidR="00B979BA" w:rsidRPr="00CE24F2">
        <w:rPr>
          <w:rFonts w:ascii="Times New Roman" w:hAnsi="Times New Roman"/>
          <w:spacing w:val="-3"/>
          <w:sz w:val="22"/>
          <w:szCs w:val="22"/>
        </w:rPr>
        <w:t xml:space="preserve">rovider in advance of its intention to impose a </w:t>
      </w:r>
      <w:r w:rsidR="00792E2E">
        <w:rPr>
          <w:rFonts w:ascii="Times New Roman" w:hAnsi="Times New Roman"/>
          <w:spacing w:val="-3"/>
          <w:sz w:val="22"/>
          <w:szCs w:val="22"/>
        </w:rPr>
        <w:t xml:space="preserve">penalty under </w:t>
      </w:r>
      <w:r w:rsidR="00346CDF">
        <w:rPr>
          <w:rFonts w:ascii="Times New Roman" w:hAnsi="Times New Roman"/>
          <w:spacing w:val="-3"/>
          <w:sz w:val="22"/>
          <w:szCs w:val="22"/>
        </w:rPr>
        <w:t>101 CMR 429.04(3)</w:t>
      </w:r>
      <w:r w:rsidR="00B979BA" w:rsidRPr="00CE24F2">
        <w:rPr>
          <w:rFonts w:ascii="Times New Roman" w:hAnsi="Times New Roman"/>
          <w:spacing w:val="-3"/>
          <w:sz w:val="22"/>
          <w:szCs w:val="22"/>
        </w:rPr>
        <w:t xml:space="preserve">. </w:t>
      </w:r>
    </w:p>
    <w:p w14:paraId="158F213F" w14:textId="77777777" w:rsidR="00B979BA" w:rsidRPr="00CE24F2" w:rsidRDefault="00B979BA">
      <w:pPr>
        <w:suppressAutoHyphens/>
        <w:rPr>
          <w:rFonts w:ascii="Times New Roman" w:hAnsi="Times New Roman"/>
          <w:spacing w:val="-3"/>
          <w:sz w:val="22"/>
          <w:szCs w:val="22"/>
          <w:u w:val="single"/>
        </w:rPr>
      </w:pPr>
    </w:p>
    <w:p w14:paraId="24599B87" w14:textId="77777777" w:rsidR="00FF07C8" w:rsidRDefault="00FF07C8">
      <w:pPr>
        <w:rPr>
          <w:rFonts w:ascii="Times New Roman" w:hAnsi="Times New Roman"/>
          <w:spacing w:val="-3"/>
          <w:sz w:val="22"/>
          <w:szCs w:val="22"/>
          <w:u w:val="single"/>
        </w:rPr>
      </w:pPr>
      <w:r>
        <w:rPr>
          <w:rFonts w:ascii="Times New Roman" w:hAnsi="Times New Roman"/>
          <w:spacing w:val="-3"/>
          <w:sz w:val="22"/>
          <w:szCs w:val="22"/>
          <w:u w:val="single"/>
        </w:rPr>
        <w:br w:type="page"/>
      </w:r>
    </w:p>
    <w:p w14:paraId="2EFB355F" w14:textId="1FC003AC" w:rsidR="00442503" w:rsidRPr="00CE24F2" w:rsidRDefault="002C3948">
      <w:pPr>
        <w:suppressAutoHyphens/>
        <w:rPr>
          <w:rFonts w:ascii="Times New Roman" w:hAnsi="Times New Roman"/>
          <w:spacing w:val="-3"/>
          <w:sz w:val="22"/>
          <w:szCs w:val="22"/>
        </w:rPr>
      </w:pPr>
      <w:r>
        <w:rPr>
          <w:rFonts w:ascii="Times New Roman" w:hAnsi="Times New Roman"/>
          <w:spacing w:val="-3"/>
          <w:sz w:val="22"/>
          <w:szCs w:val="22"/>
          <w:u w:val="single"/>
        </w:rPr>
        <w:lastRenderedPageBreak/>
        <w:t>429</w:t>
      </w:r>
      <w:r w:rsidR="00442503" w:rsidRPr="00CE24F2">
        <w:rPr>
          <w:rFonts w:ascii="Times New Roman" w:hAnsi="Times New Roman"/>
          <w:spacing w:val="-3"/>
          <w:sz w:val="22"/>
          <w:szCs w:val="22"/>
          <w:u w:val="single"/>
        </w:rPr>
        <w:t>.05:</w:t>
      </w:r>
      <w:r w:rsidR="00BE671D" w:rsidRPr="00CE24F2">
        <w:rPr>
          <w:rFonts w:ascii="Times New Roman" w:hAnsi="Times New Roman"/>
          <w:spacing w:val="-3"/>
          <w:sz w:val="22"/>
          <w:szCs w:val="22"/>
          <w:u w:val="single"/>
        </w:rPr>
        <w:t xml:space="preserve">  </w:t>
      </w:r>
      <w:r w:rsidR="00442503" w:rsidRPr="00CE24F2">
        <w:rPr>
          <w:rFonts w:ascii="Times New Roman" w:hAnsi="Times New Roman"/>
          <w:spacing w:val="-3"/>
          <w:sz w:val="22"/>
          <w:szCs w:val="22"/>
          <w:u w:val="single"/>
        </w:rPr>
        <w:t xml:space="preserve">Severability </w:t>
      </w:r>
    </w:p>
    <w:p w14:paraId="763B52ED" w14:textId="77777777" w:rsidR="00442503" w:rsidRPr="00CE24F2" w:rsidRDefault="00442503">
      <w:pPr>
        <w:suppressAutoHyphens/>
        <w:rPr>
          <w:rFonts w:ascii="Times New Roman" w:hAnsi="Times New Roman"/>
          <w:spacing w:val="-3"/>
          <w:sz w:val="22"/>
          <w:szCs w:val="22"/>
        </w:rPr>
      </w:pPr>
    </w:p>
    <w:p w14:paraId="5CE950FF" w14:textId="2431AD94" w:rsidR="00442503" w:rsidRPr="00CE24F2" w:rsidRDefault="00BE671D" w:rsidP="00B73322">
      <w:pPr>
        <w:suppressAutoHyphens/>
        <w:ind w:left="720"/>
        <w:rPr>
          <w:rFonts w:ascii="Times New Roman" w:hAnsi="Times New Roman"/>
          <w:spacing w:val="-3"/>
          <w:sz w:val="22"/>
          <w:szCs w:val="22"/>
        </w:rPr>
      </w:pPr>
      <w:r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The provisions of 1</w:t>
      </w:r>
      <w:r w:rsidR="00B979BA" w:rsidRPr="00CE24F2">
        <w:rPr>
          <w:rFonts w:ascii="Times New Roman" w:hAnsi="Times New Roman"/>
          <w:spacing w:val="-3"/>
          <w:sz w:val="22"/>
          <w:szCs w:val="22"/>
        </w:rPr>
        <w:t>0</w:t>
      </w:r>
      <w:r w:rsidR="00442503" w:rsidRPr="00CE24F2">
        <w:rPr>
          <w:rFonts w:ascii="Times New Roman" w:hAnsi="Times New Roman"/>
          <w:spacing w:val="-3"/>
          <w:sz w:val="22"/>
          <w:szCs w:val="22"/>
        </w:rPr>
        <w:t xml:space="preserve">1 CMR </w:t>
      </w:r>
      <w:r w:rsidR="002C3948">
        <w:rPr>
          <w:rFonts w:ascii="Times New Roman" w:hAnsi="Times New Roman"/>
          <w:spacing w:val="-3"/>
          <w:sz w:val="22"/>
          <w:szCs w:val="22"/>
        </w:rPr>
        <w:t>429</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are severable. If any provision of 1</w:t>
      </w:r>
      <w:r w:rsidR="00B979BA" w:rsidRPr="00CE24F2">
        <w:rPr>
          <w:rFonts w:ascii="Times New Roman" w:hAnsi="Times New Roman"/>
          <w:spacing w:val="-3"/>
          <w:sz w:val="22"/>
          <w:szCs w:val="22"/>
        </w:rPr>
        <w:t>0</w:t>
      </w:r>
      <w:r w:rsidR="00442503" w:rsidRPr="00CE24F2">
        <w:rPr>
          <w:rFonts w:ascii="Times New Roman" w:hAnsi="Times New Roman"/>
          <w:spacing w:val="-3"/>
          <w:sz w:val="22"/>
          <w:szCs w:val="22"/>
        </w:rPr>
        <w:t xml:space="preserve">1 CMR </w:t>
      </w:r>
      <w:r w:rsidR="002C3948">
        <w:rPr>
          <w:rFonts w:ascii="Times New Roman" w:hAnsi="Times New Roman"/>
          <w:spacing w:val="-3"/>
          <w:sz w:val="22"/>
          <w:szCs w:val="22"/>
        </w:rPr>
        <w:t>429</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or application of </w:t>
      </w:r>
      <w:r w:rsidR="00D42342">
        <w:rPr>
          <w:rFonts w:ascii="Times New Roman" w:hAnsi="Times New Roman"/>
          <w:spacing w:val="-3"/>
          <w:sz w:val="22"/>
          <w:szCs w:val="22"/>
        </w:rPr>
        <w:t>any</w:t>
      </w:r>
      <w:r w:rsidR="00D42342"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provision to an</w:t>
      </w:r>
      <w:r w:rsidR="00D55E8F">
        <w:rPr>
          <w:rFonts w:ascii="Times New Roman" w:hAnsi="Times New Roman"/>
          <w:spacing w:val="-3"/>
          <w:sz w:val="22"/>
          <w:szCs w:val="22"/>
        </w:rPr>
        <w:t xml:space="preserve"> applicable individual, entity, or circumstance</w:t>
      </w:r>
      <w:r w:rsidR="00442503" w:rsidRPr="00CE24F2">
        <w:rPr>
          <w:rFonts w:ascii="Times New Roman" w:hAnsi="Times New Roman"/>
          <w:spacing w:val="-3"/>
          <w:sz w:val="22"/>
          <w:szCs w:val="22"/>
        </w:rPr>
        <w:t xml:space="preserve"> is held invalid or unconstitutional, </w:t>
      </w:r>
      <w:r w:rsidR="00D55E8F">
        <w:rPr>
          <w:rFonts w:ascii="Times New Roman" w:hAnsi="Times New Roman"/>
          <w:spacing w:val="-3"/>
          <w:sz w:val="22"/>
          <w:szCs w:val="22"/>
        </w:rPr>
        <w:t>that holding</w:t>
      </w:r>
      <w:r w:rsidR="00442503" w:rsidRPr="00CE24F2">
        <w:rPr>
          <w:rFonts w:ascii="Times New Roman" w:hAnsi="Times New Roman"/>
          <w:spacing w:val="-3"/>
          <w:sz w:val="22"/>
          <w:szCs w:val="22"/>
        </w:rPr>
        <w:t xml:space="preserve"> will</w:t>
      </w:r>
      <w:r w:rsidR="00581F5A" w:rsidRPr="00CE24F2">
        <w:rPr>
          <w:rFonts w:ascii="Times New Roman" w:hAnsi="Times New Roman"/>
          <w:spacing w:val="-3"/>
          <w:sz w:val="22"/>
          <w:szCs w:val="22"/>
        </w:rPr>
        <w:t xml:space="preserve"> not</w:t>
      </w:r>
      <w:r w:rsidR="00442503" w:rsidRPr="00CE24F2">
        <w:rPr>
          <w:rFonts w:ascii="Times New Roman" w:hAnsi="Times New Roman"/>
          <w:spacing w:val="-3"/>
          <w:sz w:val="22"/>
          <w:szCs w:val="22"/>
        </w:rPr>
        <w:t xml:space="preserve"> </w:t>
      </w:r>
      <w:r w:rsidR="00D55E8F">
        <w:rPr>
          <w:rFonts w:ascii="Times New Roman" w:hAnsi="Times New Roman"/>
          <w:spacing w:val="-3"/>
          <w:sz w:val="22"/>
          <w:szCs w:val="22"/>
        </w:rPr>
        <w:t xml:space="preserve">be construed to </w:t>
      </w:r>
      <w:r w:rsidR="00442503" w:rsidRPr="00CE24F2">
        <w:rPr>
          <w:rFonts w:ascii="Times New Roman" w:hAnsi="Times New Roman"/>
          <w:spacing w:val="-3"/>
          <w:sz w:val="22"/>
          <w:szCs w:val="22"/>
        </w:rPr>
        <w:t>affect the validity or constitutionality of any remaining provisions of 1</w:t>
      </w:r>
      <w:r w:rsidR="00B979BA" w:rsidRPr="00CE24F2">
        <w:rPr>
          <w:rFonts w:ascii="Times New Roman" w:hAnsi="Times New Roman"/>
          <w:spacing w:val="-3"/>
          <w:sz w:val="22"/>
          <w:szCs w:val="22"/>
        </w:rPr>
        <w:t>0</w:t>
      </w:r>
      <w:r w:rsidR="00442503" w:rsidRPr="00CE24F2">
        <w:rPr>
          <w:rFonts w:ascii="Times New Roman" w:hAnsi="Times New Roman"/>
          <w:spacing w:val="-3"/>
          <w:sz w:val="22"/>
          <w:szCs w:val="22"/>
        </w:rPr>
        <w:t xml:space="preserve">1 CMR </w:t>
      </w:r>
      <w:r w:rsidR="002C3948">
        <w:rPr>
          <w:rFonts w:ascii="Times New Roman" w:hAnsi="Times New Roman"/>
          <w:spacing w:val="-3"/>
          <w:sz w:val="22"/>
          <w:szCs w:val="22"/>
        </w:rPr>
        <w:t>429</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or application of </w:t>
      </w:r>
      <w:r w:rsidR="00A54206">
        <w:rPr>
          <w:rFonts w:ascii="Times New Roman" w:hAnsi="Times New Roman"/>
          <w:spacing w:val="-3"/>
          <w:sz w:val="22"/>
          <w:szCs w:val="22"/>
        </w:rPr>
        <w:t>those</w:t>
      </w:r>
      <w:r w:rsidR="00A54206"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 xml:space="preserve">provisions to </w:t>
      </w:r>
      <w:r w:rsidR="00A54206">
        <w:rPr>
          <w:rFonts w:ascii="Times New Roman" w:hAnsi="Times New Roman"/>
          <w:spacing w:val="-3"/>
          <w:sz w:val="22"/>
          <w:szCs w:val="22"/>
        </w:rPr>
        <w:t>applicable individuals, entities, or circumstances</w:t>
      </w:r>
      <w:r w:rsidR="00442503" w:rsidRPr="00CE24F2">
        <w:rPr>
          <w:rFonts w:ascii="Times New Roman" w:hAnsi="Times New Roman"/>
          <w:spacing w:val="-3"/>
          <w:sz w:val="22"/>
          <w:szCs w:val="22"/>
        </w:rPr>
        <w:t>.</w:t>
      </w:r>
    </w:p>
    <w:p w14:paraId="7DD52D0F" w14:textId="77777777" w:rsidR="00442503" w:rsidRPr="00CE24F2" w:rsidRDefault="00442503">
      <w:pPr>
        <w:suppressAutoHyphens/>
        <w:rPr>
          <w:rFonts w:ascii="Times New Roman" w:hAnsi="Times New Roman"/>
          <w:spacing w:val="-3"/>
          <w:sz w:val="22"/>
          <w:szCs w:val="22"/>
        </w:rPr>
      </w:pPr>
    </w:p>
    <w:p w14:paraId="762EA443" w14:textId="77777777" w:rsidR="008C51D3" w:rsidRPr="00CE24F2" w:rsidRDefault="008C51D3">
      <w:pPr>
        <w:suppressAutoHyphens/>
        <w:rPr>
          <w:rFonts w:ascii="Times New Roman" w:hAnsi="Times New Roman"/>
          <w:spacing w:val="-3"/>
          <w:sz w:val="22"/>
          <w:szCs w:val="22"/>
        </w:rPr>
      </w:pPr>
    </w:p>
    <w:p w14:paraId="76609C71" w14:textId="77777777" w:rsidR="00442503" w:rsidRPr="00CE24F2" w:rsidRDefault="00442503" w:rsidP="00B73322">
      <w:pPr>
        <w:suppressAutoHyphens/>
        <w:rPr>
          <w:rFonts w:ascii="Times New Roman" w:hAnsi="Times New Roman"/>
          <w:spacing w:val="-3"/>
          <w:sz w:val="22"/>
          <w:szCs w:val="22"/>
        </w:rPr>
      </w:pPr>
      <w:r w:rsidRPr="00CE24F2">
        <w:rPr>
          <w:rFonts w:ascii="Times New Roman" w:hAnsi="Times New Roman"/>
          <w:spacing w:val="-3"/>
          <w:sz w:val="22"/>
          <w:szCs w:val="22"/>
        </w:rPr>
        <w:t>REGULATORY AUTHORITY</w:t>
      </w:r>
    </w:p>
    <w:p w14:paraId="735E8FDC" w14:textId="77777777" w:rsidR="00442503" w:rsidRPr="00CE24F2" w:rsidRDefault="00442503" w:rsidP="00BE671D">
      <w:pPr>
        <w:suppressAutoHyphens/>
        <w:ind w:left="720"/>
        <w:rPr>
          <w:rFonts w:ascii="Times New Roman" w:hAnsi="Times New Roman"/>
          <w:spacing w:val="-3"/>
          <w:sz w:val="22"/>
          <w:szCs w:val="22"/>
        </w:rPr>
      </w:pPr>
    </w:p>
    <w:p w14:paraId="0DC1F205" w14:textId="77777777" w:rsidR="00442503" w:rsidRPr="000727E9" w:rsidRDefault="00B979BA" w:rsidP="00BE671D">
      <w:pPr>
        <w:suppressAutoHyphens/>
        <w:ind w:left="720"/>
        <w:rPr>
          <w:rFonts w:ascii="Times New Roman" w:hAnsi="Times New Roman"/>
          <w:spacing w:val="-3"/>
          <w:sz w:val="22"/>
          <w:szCs w:val="22"/>
        </w:rPr>
      </w:pPr>
      <w:r w:rsidRPr="00CE24F2">
        <w:rPr>
          <w:rFonts w:ascii="Times New Roman" w:hAnsi="Times New Roman"/>
          <w:spacing w:val="-3"/>
          <w:sz w:val="22"/>
          <w:szCs w:val="22"/>
        </w:rPr>
        <w:t>101</w:t>
      </w:r>
      <w:r w:rsidR="00442503" w:rsidRPr="00CE24F2">
        <w:rPr>
          <w:rFonts w:ascii="Times New Roman" w:hAnsi="Times New Roman"/>
          <w:spacing w:val="-3"/>
          <w:sz w:val="22"/>
          <w:szCs w:val="22"/>
        </w:rPr>
        <w:t xml:space="preserve"> CMR </w:t>
      </w:r>
      <w:r w:rsidR="002C3948">
        <w:rPr>
          <w:rFonts w:ascii="Times New Roman" w:hAnsi="Times New Roman"/>
          <w:spacing w:val="-3"/>
          <w:sz w:val="22"/>
          <w:szCs w:val="22"/>
        </w:rPr>
        <w:t>429</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w:t>
      </w:r>
      <w:r w:rsidR="00BE671D"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M.G.L. c</w:t>
      </w:r>
      <w:r w:rsidR="00956B2A" w:rsidRPr="00CE24F2">
        <w:rPr>
          <w:rFonts w:ascii="Times New Roman" w:hAnsi="Times New Roman"/>
          <w:spacing w:val="-3"/>
          <w:sz w:val="22"/>
          <w:szCs w:val="22"/>
        </w:rPr>
        <w:t>.</w:t>
      </w:r>
      <w:r w:rsidR="00442503" w:rsidRPr="00CE24F2">
        <w:rPr>
          <w:rFonts w:ascii="Times New Roman" w:hAnsi="Times New Roman"/>
          <w:spacing w:val="-3"/>
          <w:sz w:val="22"/>
          <w:szCs w:val="22"/>
        </w:rPr>
        <w:t xml:space="preserve"> 118</w:t>
      </w:r>
      <w:r w:rsidRPr="00CE24F2">
        <w:rPr>
          <w:rFonts w:ascii="Times New Roman" w:hAnsi="Times New Roman"/>
          <w:spacing w:val="-3"/>
          <w:sz w:val="22"/>
          <w:szCs w:val="22"/>
        </w:rPr>
        <w:t>E</w:t>
      </w:r>
      <w:r w:rsidR="00BE671D" w:rsidRPr="00CE24F2">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B73322">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DD80" w14:textId="77777777" w:rsidR="00432F08" w:rsidRDefault="00432F08">
      <w:pPr>
        <w:spacing w:line="20" w:lineRule="exact"/>
      </w:pPr>
    </w:p>
  </w:endnote>
  <w:endnote w:type="continuationSeparator" w:id="0">
    <w:p w14:paraId="42DDB0E3" w14:textId="77777777" w:rsidR="00432F08" w:rsidRDefault="00432F08">
      <w:r>
        <w:t xml:space="preserve"> </w:t>
      </w:r>
    </w:p>
  </w:endnote>
  <w:endnote w:type="continuationNotice" w:id="1">
    <w:p w14:paraId="6B8552D5" w14:textId="77777777" w:rsidR="00432F08" w:rsidRDefault="00432F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8635" w14:textId="77777777" w:rsidR="009E66B8" w:rsidRDefault="009E6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C0DA" w14:textId="77777777" w:rsidR="006E4EE1" w:rsidRDefault="006E4EE1">
    <w:pPr>
      <w:spacing w:before="140" w:line="100" w:lineRule="exact"/>
      <w:rPr>
        <w:sz w:val="10"/>
      </w:rPr>
    </w:pPr>
  </w:p>
  <w:p w14:paraId="06813621" w14:textId="77777777" w:rsidR="006E4EE1" w:rsidRDefault="006E4EE1">
    <w:pPr>
      <w:suppressAutoHyphens/>
      <w:jc w:val="both"/>
    </w:pPr>
  </w:p>
  <w:p w14:paraId="260635AE" w14:textId="77777777" w:rsidR="006E4EE1" w:rsidRDefault="006E4EE1">
    <w:r>
      <w:rPr>
        <w:rFonts w:ascii="Times New Roman" w:hAnsi="Times New Roman"/>
        <w:noProof/>
        <w:sz w:val="20"/>
      </w:rPr>
      <mc:AlternateContent>
        <mc:Choice Requires="wps">
          <w:drawing>
            <wp:anchor distT="0" distB="0" distL="114300" distR="114300" simplePos="0" relativeHeight="251657728" behindDoc="0" locked="0" layoutInCell="0" allowOverlap="1" wp14:anchorId="2480AF2B" wp14:editId="1CFE57AC">
              <wp:simplePos x="0" y="0"/>
              <wp:positionH relativeFrom="page">
                <wp:posOffset>914400</wp:posOffset>
              </wp:positionH>
              <wp:positionV relativeFrom="paragraph">
                <wp:posOffset>152400</wp:posOffset>
              </wp:positionV>
              <wp:extent cx="5943600" cy="1524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6E7079" w14:textId="77777777" w:rsidR="006E4EE1" w:rsidRPr="00CE24F2" w:rsidRDefault="006E4EE1">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EE3B75">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0AF2B" id="Rectangle 1" o:spid="_x0000_s1026" alt="&quot;&quot;"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646E7079" w14:textId="77777777" w:rsidR="006E4EE1" w:rsidRPr="00CE24F2" w:rsidRDefault="006E4EE1">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EE3B75">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A114" w14:textId="77777777" w:rsidR="009E66B8" w:rsidRDefault="009E6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ED6E" w14:textId="77777777" w:rsidR="00432F08" w:rsidRDefault="00432F08">
      <w:r>
        <w:separator/>
      </w:r>
    </w:p>
  </w:footnote>
  <w:footnote w:type="continuationSeparator" w:id="0">
    <w:p w14:paraId="23A4DC48" w14:textId="77777777" w:rsidR="00432F08" w:rsidRDefault="00432F08">
      <w:r>
        <w:continuationSeparator/>
      </w:r>
    </w:p>
  </w:footnote>
  <w:footnote w:type="continuationNotice" w:id="1">
    <w:p w14:paraId="4B81BF30" w14:textId="77777777" w:rsidR="00432F08" w:rsidRDefault="00432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910B" w14:textId="77777777" w:rsidR="009E66B8" w:rsidRDefault="009E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E442" w14:textId="605481EF" w:rsidR="006E4EE1" w:rsidRDefault="00F10E7B" w:rsidP="000B5BA1">
    <w:pPr>
      <w:pStyle w:val="Header"/>
      <w:jc w:val="right"/>
      <w:rPr>
        <w:rFonts w:ascii="Times New Roman" w:hAnsi="Times New Roman"/>
      </w:rPr>
    </w:pPr>
    <w:r>
      <w:rPr>
        <w:rFonts w:ascii="Times New Roman" w:hAnsi="Times New Roman"/>
      </w:rPr>
      <w:t xml:space="preserve">Final </w:t>
    </w:r>
    <w:r w:rsidR="00E60E40">
      <w:rPr>
        <w:rFonts w:ascii="Times New Roman" w:hAnsi="Times New Roman"/>
      </w:rPr>
      <w:t>Adoption</w:t>
    </w:r>
  </w:p>
  <w:p w14:paraId="2C8EB961" w14:textId="01D43EF1" w:rsidR="006E4EE1" w:rsidRDefault="00C35D1D" w:rsidP="000B5BA1">
    <w:pPr>
      <w:pStyle w:val="Header"/>
      <w:jc w:val="right"/>
      <w:rPr>
        <w:rFonts w:ascii="Times New Roman" w:hAnsi="Times New Roman"/>
      </w:rPr>
    </w:pPr>
    <w:r>
      <w:rPr>
        <w:rFonts w:ascii="Times New Roman" w:hAnsi="Times New Roman"/>
      </w:rPr>
      <w:t xml:space="preserve">Date </w:t>
    </w:r>
    <w:r w:rsidR="00E60E40">
      <w:rPr>
        <w:rFonts w:ascii="Times New Roman" w:hAnsi="Times New Roman"/>
      </w:rPr>
      <w:t>Published in Mass. Register</w:t>
    </w:r>
    <w:r>
      <w:rPr>
        <w:rFonts w:ascii="Times New Roman" w:hAnsi="Times New Roman"/>
      </w:rPr>
      <w:t xml:space="preserve">: </w:t>
    </w:r>
    <w:r w:rsidR="00114A8B">
      <w:rPr>
        <w:rFonts w:ascii="Times New Roman" w:hAnsi="Times New Roman"/>
      </w:rPr>
      <w:t xml:space="preserve">September </w:t>
    </w:r>
    <w:r w:rsidR="0031009D">
      <w:rPr>
        <w:rFonts w:ascii="Times New Roman" w:hAnsi="Times New Roman"/>
      </w:rPr>
      <w:t>26</w:t>
    </w:r>
    <w:r w:rsidR="00114A8B">
      <w:rPr>
        <w:rFonts w:ascii="Times New Roman" w:hAnsi="Times New Roman"/>
      </w:rPr>
      <w:t>, 2025</w:t>
    </w:r>
  </w:p>
  <w:p w14:paraId="7A6A8C63" w14:textId="77777777" w:rsidR="006E4EE1" w:rsidRDefault="006E4EE1" w:rsidP="000B5BA1">
    <w:pPr>
      <w:pStyle w:val="Header"/>
      <w:jc w:val="right"/>
      <w:rPr>
        <w:rFonts w:ascii="Times New Roman" w:hAnsi="Times New Roman"/>
      </w:rPr>
    </w:pPr>
  </w:p>
  <w:p w14:paraId="64989D1C" w14:textId="77777777" w:rsidR="006E4EE1" w:rsidRPr="00CE24F2" w:rsidRDefault="006E4EE1" w:rsidP="000B5BA1">
    <w:pPr>
      <w:pStyle w:val="Header"/>
      <w:jc w:val="center"/>
      <w:rPr>
        <w:rFonts w:ascii="Times New Roman" w:hAnsi="Times New Roman"/>
        <w:sz w:val="22"/>
        <w:szCs w:val="22"/>
      </w:rPr>
    </w:pPr>
    <w:r w:rsidRPr="00CE24F2">
      <w:rPr>
        <w:rFonts w:ascii="Times New Roman" w:hAnsi="Times New Roman"/>
        <w:sz w:val="22"/>
        <w:szCs w:val="22"/>
      </w:rPr>
      <w:t>101 CMR:  EXECUTIVE OFFICE OF HEALTH AND HUMAN SERVICES</w:t>
    </w:r>
  </w:p>
  <w:p w14:paraId="4DD031C8" w14:textId="77777777" w:rsidR="006E4EE1" w:rsidRPr="00CE24F2" w:rsidRDefault="006E4EE1" w:rsidP="000B5BA1">
    <w:pPr>
      <w:pStyle w:val="Header"/>
      <w:jc w:val="center"/>
      <w:rPr>
        <w:rFonts w:ascii="Times New Roman" w:hAnsi="Times New Roman"/>
        <w:sz w:val="22"/>
        <w:szCs w:val="22"/>
      </w:rPr>
    </w:pPr>
  </w:p>
  <w:p w14:paraId="4712B41A" w14:textId="77777777" w:rsidR="006E4EE1" w:rsidRDefault="006E4EE1" w:rsidP="000B5BA1">
    <w:pPr>
      <w:pStyle w:val="Header"/>
      <w:jc w:val="center"/>
      <w:rPr>
        <w:rFonts w:ascii="Times New Roman" w:hAnsi="Times New Roman"/>
        <w:sz w:val="22"/>
        <w:szCs w:val="22"/>
      </w:rPr>
    </w:pPr>
    <w:r w:rsidRPr="00CE24F2">
      <w:rPr>
        <w:rFonts w:ascii="Times New Roman" w:hAnsi="Times New Roman"/>
        <w:sz w:val="22"/>
        <w:szCs w:val="22"/>
      </w:rPr>
      <w:t xml:space="preserve">101 CMR </w:t>
    </w:r>
    <w:r>
      <w:rPr>
        <w:rFonts w:ascii="Times New Roman" w:hAnsi="Times New Roman"/>
        <w:sz w:val="22"/>
        <w:szCs w:val="22"/>
      </w:rPr>
      <w:t>429</w:t>
    </w:r>
    <w:r w:rsidRPr="00CE24F2">
      <w:rPr>
        <w:rFonts w:ascii="Times New Roman" w:hAnsi="Times New Roman"/>
        <w:sz w:val="22"/>
        <w:szCs w:val="22"/>
      </w:rPr>
      <w:t xml:space="preserve">.00:  RATES FOR </w:t>
    </w:r>
    <w:r>
      <w:rPr>
        <w:rFonts w:ascii="Times New Roman" w:hAnsi="Times New Roman"/>
        <w:sz w:val="22"/>
        <w:szCs w:val="22"/>
      </w:rPr>
      <w:t>CERTAIN SEXUAL AND DOMESTIC VIOLENCE SERVICES</w:t>
    </w:r>
  </w:p>
  <w:p w14:paraId="3394193F" w14:textId="77777777" w:rsidR="006E4EE1" w:rsidRPr="00DA6F00" w:rsidRDefault="006E4EE1" w:rsidP="000B5B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4F06" w14:textId="77777777" w:rsidR="009E66B8" w:rsidRDefault="009E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A66"/>
    <w:multiLevelType w:val="hybridMultilevel"/>
    <w:tmpl w:val="CA6076A4"/>
    <w:lvl w:ilvl="0" w:tplc="2D0CA7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4"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5E1D02"/>
    <w:multiLevelType w:val="hybridMultilevel"/>
    <w:tmpl w:val="840C4CDE"/>
    <w:lvl w:ilvl="0" w:tplc="185E48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729570855">
    <w:abstractNumId w:val="3"/>
  </w:num>
  <w:num w:numId="2" w16cid:durableId="315719036">
    <w:abstractNumId w:val="11"/>
  </w:num>
  <w:num w:numId="3" w16cid:durableId="520126107">
    <w:abstractNumId w:val="8"/>
  </w:num>
  <w:num w:numId="4" w16cid:durableId="2119400880">
    <w:abstractNumId w:val="2"/>
  </w:num>
  <w:num w:numId="5" w16cid:durableId="18354555">
    <w:abstractNumId w:val="7"/>
  </w:num>
  <w:num w:numId="6" w16cid:durableId="1444305516">
    <w:abstractNumId w:val="6"/>
  </w:num>
  <w:num w:numId="7" w16cid:durableId="15223579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7704457">
    <w:abstractNumId w:val="4"/>
  </w:num>
  <w:num w:numId="9" w16cid:durableId="1234658380">
    <w:abstractNumId w:val="9"/>
  </w:num>
  <w:num w:numId="10" w16cid:durableId="628050194">
    <w:abstractNumId w:val="0"/>
  </w:num>
  <w:num w:numId="11" w16cid:durableId="627394396">
    <w:abstractNumId w:val="10"/>
  </w:num>
  <w:num w:numId="12" w16cid:durableId="363674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7FB9"/>
    <w:rsid w:val="00012CF0"/>
    <w:rsid w:val="00015FF5"/>
    <w:rsid w:val="00033B9A"/>
    <w:rsid w:val="00042B8B"/>
    <w:rsid w:val="00054C44"/>
    <w:rsid w:val="00056870"/>
    <w:rsid w:val="00066302"/>
    <w:rsid w:val="000674B3"/>
    <w:rsid w:val="000727E9"/>
    <w:rsid w:val="00073DEC"/>
    <w:rsid w:val="000746FF"/>
    <w:rsid w:val="00074F0C"/>
    <w:rsid w:val="00094919"/>
    <w:rsid w:val="000A1923"/>
    <w:rsid w:val="000A19A9"/>
    <w:rsid w:val="000A1A48"/>
    <w:rsid w:val="000A4EDA"/>
    <w:rsid w:val="000A5867"/>
    <w:rsid w:val="000B2B06"/>
    <w:rsid w:val="000B5072"/>
    <w:rsid w:val="000B5BA1"/>
    <w:rsid w:val="000B5D86"/>
    <w:rsid w:val="000C0AB6"/>
    <w:rsid w:val="000C3690"/>
    <w:rsid w:val="000C4141"/>
    <w:rsid w:val="000C4FED"/>
    <w:rsid w:val="000D5558"/>
    <w:rsid w:val="000E731E"/>
    <w:rsid w:val="000F215C"/>
    <w:rsid w:val="000F72CF"/>
    <w:rsid w:val="001065D4"/>
    <w:rsid w:val="00110D0C"/>
    <w:rsid w:val="00110F62"/>
    <w:rsid w:val="0011165A"/>
    <w:rsid w:val="00111D5C"/>
    <w:rsid w:val="00113CAF"/>
    <w:rsid w:val="00114A8B"/>
    <w:rsid w:val="00115F5B"/>
    <w:rsid w:val="00120D5A"/>
    <w:rsid w:val="001251C6"/>
    <w:rsid w:val="00126F2E"/>
    <w:rsid w:val="00127329"/>
    <w:rsid w:val="00132FEE"/>
    <w:rsid w:val="001358CB"/>
    <w:rsid w:val="001375C7"/>
    <w:rsid w:val="00137D7D"/>
    <w:rsid w:val="00140DD5"/>
    <w:rsid w:val="00142935"/>
    <w:rsid w:val="00143B66"/>
    <w:rsid w:val="00144523"/>
    <w:rsid w:val="001460ED"/>
    <w:rsid w:val="00156207"/>
    <w:rsid w:val="001610A4"/>
    <w:rsid w:val="0016170A"/>
    <w:rsid w:val="0016477E"/>
    <w:rsid w:val="00174160"/>
    <w:rsid w:val="001909D8"/>
    <w:rsid w:val="00190F4C"/>
    <w:rsid w:val="00191A9C"/>
    <w:rsid w:val="00196051"/>
    <w:rsid w:val="001A2D84"/>
    <w:rsid w:val="001C1FEF"/>
    <w:rsid w:val="001C291D"/>
    <w:rsid w:val="001D401E"/>
    <w:rsid w:val="001D5BA2"/>
    <w:rsid w:val="001E72B3"/>
    <w:rsid w:val="001F1F5C"/>
    <w:rsid w:val="002076D5"/>
    <w:rsid w:val="0020791C"/>
    <w:rsid w:val="00213DA3"/>
    <w:rsid w:val="00214084"/>
    <w:rsid w:val="00215DE6"/>
    <w:rsid w:val="00220DA5"/>
    <w:rsid w:val="0022302D"/>
    <w:rsid w:val="00230925"/>
    <w:rsid w:val="00233A95"/>
    <w:rsid w:val="00235444"/>
    <w:rsid w:val="002367FE"/>
    <w:rsid w:val="002454A7"/>
    <w:rsid w:val="002704AA"/>
    <w:rsid w:val="002721DB"/>
    <w:rsid w:val="00273376"/>
    <w:rsid w:val="002764C2"/>
    <w:rsid w:val="00284B70"/>
    <w:rsid w:val="00284C35"/>
    <w:rsid w:val="00286C09"/>
    <w:rsid w:val="002877F9"/>
    <w:rsid w:val="00287D8C"/>
    <w:rsid w:val="00291CEA"/>
    <w:rsid w:val="00293E1E"/>
    <w:rsid w:val="00296A29"/>
    <w:rsid w:val="002A6492"/>
    <w:rsid w:val="002B6FAC"/>
    <w:rsid w:val="002C17C8"/>
    <w:rsid w:val="002C2760"/>
    <w:rsid w:val="002C3492"/>
    <w:rsid w:val="002C3948"/>
    <w:rsid w:val="002C5F74"/>
    <w:rsid w:val="002D6A1D"/>
    <w:rsid w:val="002E07FC"/>
    <w:rsid w:val="002E31BE"/>
    <w:rsid w:val="002E356B"/>
    <w:rsid w:val="002E396D"/>
    <w:rsid w:val="002E3D57"/>
    <w:rsid w:val="002E70FD"/>
    <w:rsid w:val="002F0202"/>
    <w:rsid w:val="002F3740"/>
    <w:rsid w:val="00301FBB"/>
    <w:rsid w:val="00302EE7"/>
    <w:rsid w:val="00306B22"/>
    <w:rsid w:val="0031009D"/>
    <w:rsid w:val="00315CD7"/>
    <w:rsid w:val="00315CFD"/>
    <w:rsid w:val="0032242B"/>
    <w:rsid w:val="00332B41"/>
    <w:rsid w:val="003452E1"/>
    <w:rsid w:val="00346CDF"/>
    <w:rsid w:val="00357EC8"/>
    <w:rsid w:val="00362E18"/>
    <w:rsid w:val="00381C42"/>
    <w:rsid w:val="00391A83"/>
    <w:rsid w:val="00397D3F"/>
    <w:rsid w:val="003A0ACE"/>
    <w:rsid w:val="003A3756"/>
    <w:rsid w:val="003A3BF6"/>
    <w:rsid w:val="003B44F4"/>
    <w:rsid w:val="003B5F86"/>
    <w:rsid w:val="003C0A44"/>
    <w:rsid w:val="003C26A3"/>
    <w:rsid w:val="003C78D6"/>
    <w:rsid w:val="003D43F1"/>
    <w:rsid w:val="003E3BAC"/>
    <w:rsid w:val="003E3D17"/>
    <w:rsid w:val="003F5E92"/>
    <w:rsid w:val="003F61F5"/>
    <w:rsid w:val="003F7964"/>
    <w:rsid w:val="004026CF"/>
    <w:rsid w:val="00425723"/>
    <w:rsid w:val="00431865"/>
    <w:rsid w:val="00432F08"/>
    <w:rsid w:val="00433BA9"/>
    <w:rsid w:val="00436CA6"/>
    <w:rsid w:val="00436FAF"/>
    <w:rsid w:val="00442503"/>
    <w:rsid w:val="00446027"/>
    <w:rsid w:val="004659A5"/>
    <w:rsid w:val="00470F68"/>
    <w:rsid w:val="00473DBE"/>
    <w:rsid w:val="00476004"/>
    <w:rsid w:val="00476C61"/>
    <w:rsid w:val="00480242"/>
    <w:rsid w:val="00483424"/>
    <w:rsid w:val="00485C1C"/>
    <w:rsid w:val="00487925"/>
    <w:rsid w:val="00491E56"/>
    <w:rsid w:val="00495BB3"/>
    <w:rsid w:val="004B26D9"/>
    <w:rsid w:val="004D473E"/>
    <w:rsid w:val="004D6812"/>
    <w:rsid w:val="004E0176"/>
    <w:rsid w:val="004E7E62"/>
    <w:rsid w:val="004F6EF9"/>
    <w:rsid w:val="00503B59"/>
    <w:rsid w:val="00510ED0"/>
    <w:rsid w:val="00511153"/>
    <w:rsid w:val="00512B9A"/>
    <w:rsid w:val="005151E6"/>
    <w:rsid w:val="005161AC"/>
    <w:rsid w:val="00524BD8"/>
    <w:rsid w:val="00525C1F"/>
    <w:rsid w:val="00526A4C"/>
    <w:rsid w:val="00534722"/>
    <w:rsid w:val="00534F88"/>
    <w:rsid w:val="00535664"/>
    <w:rsid w:val="005471E5"/>
    <w:rsid w:val="00550183"/>
    <w:rsid w:val="0056217E"/>
    <w:rsid w:val="00564765"/>
    <w:rsid w:val="00567E02"/>
    <w:rsid w:val="00575382"/>
    <w:rsid w:val="00581F5A"/>
    <w:rsid w:val="00583A88"/>
    <w:rsid w:val="0059333F"/>
    <w:rsid w:val="00594EF2"/>
    <w:rsid w:val="00595A6D"/>
    <w:rsid w:val="00596190"/>
    <w:rsid w:val="0059728D"/>
    <w:rsid w:val="005B3673"/>
    <w:rsid w:val="005B7087"/>
    <w:rsid w:val="005B7E09"/>
    <w:rsid w:val="005C0C58"/>
    <w:rsid w:val="005C5009"/>
    <w:rsid w:val="005D6D95"/>
    <w:rsid w:val="005D748A"/>
    <w:rsid w:val="005E3B68"/>
    <w:rsid w:val="005E5178"/>
    <w:rsid w:val="005E569C"/>
    <w:rsid w:val="005F274E"/>
    <w:rsid w:val="005F3E06"/>
    <w:rsid w:val="005F4F1D"/>
    <w:rsid w:val="00602673"/>
    <w:rsid w:val="0062103B"/>
    <w:rsid w:val="00661791"/>
    <w:rsid w:val="0066352B"/>
    <w:rsid w:val="00664304"/>
    <w:rsid w:val="00672488"/>
    <w:rsid w:val="00673FC5"/>
    <w:rsid w:val="00674E5D"/>
    <w:rsid w:val="00676670"/>
    <w:rsid w:val="006770CD"/>
    <w:rsid w:val="006803CE"/>
    <w:rsid w:val="00684572"/>
    <w:rsid w:val="006871C1"/>
    <w:rsid w:val="00694034"/>
    <w:rsid w:val="00696060"/>
    <w:rsid w:val="006964A2"/>
    <w:rsid w:val="006A7260"/>
    <w:rsid w:val="006B0D5A"/>
    <w:rsid w:val="006B24C9"/>
    <w:rsid w:val="006C132B"/>
    <w:rsid w:val="006C2348"/>
    <w:rsid w:val="006C3B82"/>
    <w:rsid w:val="006C3CE7"/>
    <w:rsid w:val="006C5669"/>
    <w:rsid w:val="006C70F6"/>
    <w:rsid w:val="006E4EE1"/>
    <w:rsid w:val="006E7B29"/>
    <w:rsid w:val="006F3DEB"/>
    <w:rsid w:val="00700591"/>
    <w:rsid w:val="007111EA"/>
    <w:rsid w:val="007126E4"/>
    <w:rsid w:val="00732B47"/>
    <w:rsid w:val="00733512"/>
    <w:rsid w:val="00736694"/>
    <w:rsid w:val="00741498"/>
    <w:rsid w:val="00743706"/>
    <w:rsid w:val="0074602A"/>
    <w:rsid w:val="00746C4F"/>
    <w:rsid w:val="00747AA1"/>
    <w:rsid w:val="00750356"/>
    <w:rsid w:val="00754EB1"/>
    <w:rsid w:val="00762757"/>
    <w:rsid w:val="0078283B"/>
    <w:rsid w:val="00787EDE"/>
    <w:rsid w:val="0079230B"/>
    <w:rsid w:val="00792E2E"/>
    <w:rsid w:val="0079520D"/>
    <w:rsid w:val="00797833"/>
    <w:rsid w:val="007A09A7"/>
    <w:rsid w:val="007A3B35"/>
    <w:rsid w:val="007A42C3"/>
    <w:rsid w:val="007A55A0"/>
    <w:rsid w:val="007B53A7"/>
    <w:rsid w:val="007C3CED"/>
    <w:rsid w:val="007C7205"/>
    <w:rsid w:val="007D15FB"/>
    <w:rsid w:val="007D272F"/>
    <w:rsid w:val="007D45AE"/>
    <w:rsid w:val="007E14BA"/>
    <w:rsid w:val="007F2E59"/>
    <w:rsid w:val="00800A37"/>
    <w:rsid w:val="0080159A"/>
    <w:rsid w:val="00820136"/>
    <w:rsid w:val="00824657"/>
    <w:rsid w:val="00831405"/>
    <w:rsid w:val="0083292E"/>
    <w:rsid w:val="008401AB"/>
    <w:rsid w:val="008441B3"/>
    <w:rsid w:val="00845AF4"/>
    <w:rsid w:val="0084622E"/>
    <w:rsid w:val="0084660F"/>
    <w:rsid w:val="00851EC0"/>
    <w:rsid w:val="008546AA"/>
    <w:rsid w:val="0085614E"/>
    <w:rsid w:val="008564A9"/>
    <w:rsid w:val="00863324"/>
    <w:rsid w:val="0086786E"/>
    <w:rsid w:val="00871370"/>
    <w:rsid w:val="00874333"/>
    <w:rsid w:val="00876FB8"/>
    <w:rsid w:val="0088243F"/>
    <w:rsid w:val="008854A5"/>
    <w:rsid w:val="008921B9"/>
    <w:rsid w:val="00894712"/>
    <w:rsid w:val="00895831"/>
    <w:rsid w:val="008A18AB"/>
    <w:rsid w:val="008B689B"/>
    <w:rsid w:val="008C30DE"/>
    <w:rsid w:val="008C3A0A"/>
    <w:rsid w:val="008C51D3"/>
    <w:rsid w:val="008C62A0"/>
    <w:rsid w:val="008D0AEA"/>
    <w:rsid w:val="008D286C"/>
    <w:rsid w:val="008D3D51"/>
    <w:rsid w:val="008D6715"/>
    <w:rsid w:val="008E6B0E"/>
    <w:rsid w:val="008E6BC2"/>
    <w:rsid w:val="00907843"/>
    <w:rsid w:val="00912063"/>
    <w:rsid w:val="009122C6"/>
    <w:rsid w:val="00924D34"/>
    <w:rsid w:val="00932752"/>
    <w:rsid w:val="009460AA"/>
    <w:rsid w:val="00954207"/>
    <w:rsid w:val="00954880"/>
    <w:rsid w:val="00956B2A"/>
    <w:rsid w:val="009628D8"/>
    <w:rsid w:val="00966436"/>
    <w:rsid w:val="00971FC2"/>
    <w:rsid w:val="009724FB"/>
    <w:rsid w:val="00981424"/>
    <w:rsid w:val="009827D1"/>
    <w:rsid w:val="00982D38"/>
    <w:rsid w:val="00985EA7"/>
    <w:rsid w:val="00997D1E"/>
    <w:rsid w:val="009A33B0"/>
    <w:rsid w:val="009A3683"/>
    <w:rsid w:val="009A68EC"/>
    <w:rsid w:val="009B0169"/>
    <w:rsid w:val="009B4A82"/>
    <w:rsid w:val="009B679A"/>
    <w:rsid w:val="009B7F56"/>
    <w:rsid w:val="009C123B"/>
    <w:rsid w:val="009E1986"/>
    <w:rsid w:val="009E5DAA"/>
    <w:rsid w:val="009E66B8"/>
    <w:rsid w:val="009E7639"/>
    <w:rsid w:val="009F038F"/>
    <w:rsid w:val="009F53E6"/>
    <w:rsid w:val="00A010A5"/>
    <w:rsid w:val="00A01AFD"/>
    <w:rsid w:val="00A02AE7"/>
    <w:rsid w:val="00A03739"/>
    <w:rsid w:val="00A0756A"/>
    <w:rsid w:val="00A12D0B"/>
    <w:rsid w:val="00A200F9"/>
    <w:rsid w:val="00A215B8"/>
    <w:rsid w:val="00A33C1B"/>
    <w:rsid w:val="00A3484B"/>
    <w:rsid w:val="00A34B26"/>
    <w:rsid w:val="00A51696"/>
    <w:rsid w:val="00A51A6A"/>
    <w:rsid w:val="00A54206"/>
    <w:rsid w:val="00A563B6"/>
    <w:rsid w:val="00A61B36"/>
    <w:rsid w:val="00A6496D"/>
    <w:rsid w:val="00A649AF"/>
    <w:rsid w:val="00A71D2D"/>
    <w:rsid w:val="00A91A8F"/>
    <w:rsid w:val="00A92E49"/>
    <w:rsid w:val="00AA3314"/>
    <w:rsid w:val="00AA33EB"/>
    <w:rsid w:val="00AA4EA7"/>
    <w:rsid w:val="00AB4379"/>
    <w:rsid w:val="00AB4B2A"/>
    <w:rsid w:val="00AC1B8A"/>
    <w:rsid w:val="00AD1C2C"/>
    <w:rsid w:val="00AD57D7"/>
    <w:rsid w:val="00AE0841"/>
    <w:rsid w:val="00AE3E63"/>
    <w:rsid w:val="00AF1184"/>
    <w:rsid w:val="00AF5188"/>
    <w:rsid w:val="00B026E4"/>
    <w:rsid w:val="00B03AE5"/>
    <w:rsid w:val="00B11C54"/>
    <w:rsid w:val="00B16AD6"/>
    <w:rsid w:val="00B217B0"/>
    <w:rsid w:val="00B23E68"/>
    <w:rsid w:val="00B24412"/>
    <w:rsid w:val="00B3536F"/>
    <w:rsid w:val="00B65150"/>
    <w:rsid w:val="00B73322"/>
    <w:rsid w:val="00B74B82"/>
    <w:rsid w:val="00B86877"/>
    <w:rsid w:val="00B9659B"/>
    <w:rsid w:val="00B9706E"/>
    <w:rsid w:val="00B979BA"/>
    <w:rsid w:val="00BA1632"/>
    <w:rsid w:val="00BB10A6"/>
    <w:rsid w:val="00BD095E"/>
    <w:rsid w:val="00BD3619"/>
    <w:rsid w:val="00BE503D"/>
    <w:rsid w:val="00BE671D"/>
    <w:rsid w:val="00BF0F68"/>
    <w:rsid w:val="00BF3D22"/>
    <w:rsid w:val="00C00B22"/>
    <w:rsid w:val="00C03709"/>
    <w:rsid w:val="00C130B0"/>
    <w:rsid w:val="00C14C2A"/>
    <w:rsid w:val="00C20748"/>
    <w:rsid w:val="00C20F69"/>
    <w:rsid w:val="00C26F65"/>
    <w:rsid w:val="00C30A8F"/>
    <w:rsid w:val="00C31E0C"/>
    <w:rsid w:val="00C33511"/>
    <w:rsid w:val="00C35D1D"/>
    <w:rsid w:val="00C3670F"/>
    <w:rsid w:val="00C41D6D"/>
    <w:rsid w:val="00C44864"/>
    <w:rsid w:val="00C45D62"/>
    <w:rsid w:val="00C50FAE"/>
    <w:rsid w:val="00C510CE"/>
    <w:rsid w:val="00C51ED0"/>
    <w:rsid w:val="00C565FE"/>
    <w:rsid w:val="00C63D97"/>
    <w:rsid w:val="00C65C93"/>
    <w:rsid w:val="00C67081"/>
    <w:rsid w:val="00C74F63"/>
    <w:rsid w:val="00C7691E"/>
    <w:rsid w:val="00C82B32"/>
    <w:rsid w:val="00C93DB7"/>
    <w:rsid w:val="00CA15BC"/>
    <w:rsid w:val="00CA2283"/>
    <w:rsid w:val="00CB29A6"/>
    <w:rsid w:val="00CB31D6"/>
    <w:rsid w:val="00CC7BF7"/>
    <w:rsid w:val="00CD2B53"/>
    <w:rsid w:val="00CE24F2"/>
    <w:rsid w:val="00CE3D50"/>
    <w:rsid w:val="00CE66EA"/>
    <w:rsid w:val="00CF2242"/>
    <w:rsid w:val="00CF2E62"/>
    <w:rsid w:val="00CF360D"/>
    <w:rsid w:val="00CF42E2"/>
    <w:rsid w:val="00CF470F"/>
    <w:rsid w:val="00CF7FF6"/>
    <w:rsid w:val="00D07273"/>
    <w:rsid w:val="00D11D66"/>
    <w:rsid w:val="00D142C3"/>
    <w:rsid w:val="00D31DB5"/>
    <w:rsid w:val="00D34429"/>
    <w:rsid w:val="00D41777"/>
    <w:rsid w:val="00D42342"/>
    <w:rsid w:val="00D47C94"/>
    <w:rsid w:val="00D506C6"/>
    <w:rsid w:val="00D522BD"/>
    <w:rsid w:val="00D551A8"/>
    <w:rsid w:val="00D557F1"/>
    <w:rsid w:val="00D55E8F"/>
    <w:rsid w:val="00D61026"/>
    <w:rsid w:val="00D61AD8"/>
    <w:rsid w:val="00D650F4"/>
    <w:rsid w:val="00D656F1"/>
    <w:rsid w:val="00D749BE"/>
    <w:rsid w:val="00D75D81"/>
    <w:rsid w:val="00D75E03"/>
    <w:rsid w:val="00D80448"/>
    <w:rsid w:val="00D840A7"/>
    <w:rsid w:val="00D943E9"/>
    <w:rsid w:val="00D96495"/>
    <w:rsid w:val="00DA066C"/>
    <w:rsid w:val="00DA2A63"/>
    <w:rsid w:val="00DA5AEA"/>
    <w:rsid w:val="00DA6F00"/>
    <w:rsid w:val="00DB07FE"/>
    <w:rsid w:val="00DB2CAA"/>
    <w:rsid w:val="00DB61BE"/>
    <w:rsid w:val="00DB6854"/>
    <w:rsid w:val="00DB6E56"/>
    <w:rsid w:val="00DC2496"/>
    <w:rsid w:val="00DC7ABC"/>
    <w:rsid w:val="00DD679A"/>
    <w:rsid w:val="00DE1AAC"/>
    <w:rsid w:val="00DE211D"/>
    <w:rsid w:val="00DE40F5"/>
    <w:rsid w:val="00DE4E1D"/>
    <w:rsid w:val="00DF2491"/>
    <w:rsid w:val="00DF357A"/>
    <w:rsid w:val="00DF35AC"/>
    <w:rsid w:val="00DF7B99"/>
    <w:rsid w:val="00E07371"/>
    <w:rsid w:val="00E17F2D"/>
    <w:rsid w:val="00E21D1B"/>
    <w:rsid w:val="00E276F6"/>
    <w:rsid w:val="00E36B7A"/>
    <w:rsid w:val="00E42900"/>
    <w:rsid w:val="00E42D1E"/>
    <w:rsid w:val="00E439D4"/>
    <w:rsid w:val="00E45E1B"/>
    <w:rsid w:val="00E46ED8"/>
    <w:rsid w:val="00E53231"/>
    <w:rsid w:val="00E60034"/>
    <w:rsid w:val="00E60E40"/>
    <w:rsid w:val="00E6411B"/>
    <w:rsid w:val="00E65893"/>
    <w:rsid w:val="00E667B1"/>
    <w:rsid w:val="00E865DA"/>
    <w:rsid w:val="00E93C5A"/>
    <w:rsid w:val="00EA1842"/>
    <w:rsid w:val="00EA1EE6"/>
    <w:rsid w:val="00EA2D2C"/>
    <w:rsid w:val="00EA2EB7"/>
    <w:rsid w:val="00EB085B"/>
    <w:rsid w:val="00EB61F7"/>
    <w:rsid w:val="00EC271F"/>
    <w:rsid w:val="00EC3707"/>
    <w:rsid w:val="00EC3D9A"/>
    <w:rsid w:val="00ED1C09"/>
    <w:rsid w:val="00ED5252"/>
    <w:rsid w:val="00ED58AE"/>
    <w:rsid w:val="00EE3B75"/>
    <w:rsid w:val="00EE7DD9"/>
    <w:rsid w:val="00EF1904"/>
    <w:rsid w:val="00EF6652"/>
    <w:rsid w:val="00F0373B"/>
    <w:rsid w:val="00F0701B"/>
    <w:rsid w:val="00F10E7B"/>
    <w:rsid w:val="00F16036"/>
    <w:rsid w:val="00F220EE"/>
    <w:rsid w:val="00F26424"/>
    <w:rsid w:val="00F37E29"/>
    <w:rsid w:val="00F404E6"/>
    <w:rsid w:val="00F419F3"/>
    <w:rsid w:val="00F45AB4"/>
    <w:rsid w:val="00F45C45"/>
    <w:rsid w:val="00F529C1"/>
    <w:rsid w:val="00F65299"/>
    <w:rsid w:val="00F6576E"/>
    <w:rsid w:val="00F7211C"/>
    <w:rsid w:val="00F76FAF"/>
    <w:rsid w:val="00F82B2B"/>
    <w:rsid w:val="00F87BA0"/>
    <w:rsid w:val="00F93CA8"/>
    <w:rsid w:val="00F97CF0"/>
    <w:rsid w:val="00FA095C"/>
    <w:rsid w:val="00FA13D2"/>
    <w:rsid w:val="00FA6968"/>
    <w:rsid w:val="00FA705A"/>
    <w:rsid w:val="00FD1B51"/>
    <w:rsid w:val="00FE24AF"/>
    <w:rsid w:val="00FE2E3D"/>
    <w:rsid w:val="00FE45FF"/>
    <w:rsid w:val="00FF07C8"/>
    <w:rsid w:val="00FF34E4"/>
    <w:rsid w:val="00FF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409D6"/>
  <w15:docId w15:val="{E270E12B-7555-4547-9BC6-E425FF31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 w:type="paragraph" w:styleId="PlainText">
    <w:name w:val="Plain Text"/>
    <w:basedOn w:val="Normal"/>
    <w:link w:val="PlainTextChar"/>
    <w:uiPriority w:val="99"/>
    <w:unhideWhenUsed/>
    <w:rsid w:val="009724FB"/>
    <w:rPr>
      <w:rFonts w:ascii="Calibri" w:eastAsiaTheme="minorHAnsi" w:hAnsi="Calibri"/>
      <w:sz w:val="22"/>
      <w:szCs w:val="22"/>
    </w:rPr>
  </w:style>
  <w:style w:type="character" w:customStyle="1" w:styleId="PlainTextChar">
    <w:name w:val="Plain Text Char"/>
    <w:basedOn w:val="DefaultParagraphFont"/>
    <w:link w:val="PlainText"/>
    <w:uiPriority w:val="99"/>
    <w:rsid w:val="009724FB"/>
    <w:rPr>
      <w:rFonts w:ascii="Calibri" w:eastAsiaTheme="minorHAnsi" w:hAnsi="Calibri"/>
      <w:sz w:val="22"/>
      <w:szCs w:val="22"/>
    </w:rPr>
  </w:style>
  <w:style w:type="paragraph" w:styleId="NoSpacing">
    <w:name w:val="No Spacing"/>
    <w:basedOn w:val="Normal"/>
    <w:uiPriority w:val="1"/>
    <w:qFormat/>
    <w:rsid w:val="00BB10A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0132">
      <w:bodyDiv w:val="1"/>
      <w:marLeft w:val="0"/>
      <w:marRight w:val="0"/>
      <w:marTop w:val="0"/>
      <w:marBottom w:val="0"/>
      <w:divBdr>
        <w:top w:val="none" w:sz="0" w:space="0" w:color="auto"/>
        <w:left w:val="none" w:sz="0" w:space="0" w:color="auto"/>
        <w:bottom w:val="none" w:sz="0" w:space="0" w:color="auto"/>
        <w:right w:val="none" w:sz="0" w:space="0" w:color="auto"/>
      </w:divBdr>
    </w:div>
    <w:div w:id="139930164">
      <w:bodyDiv w:val="1"/>
      <w:marLeft w:val="0"/>
      <w:marRight w:val="0"/>
      <w:marTop w:val="0"/>
      <w:marBottom w:val="0"/>
      <w:divBdr>
        <w:top w:val="none" w:sz="0" w:space="0" w:color="auto"/>
        <w:left w:val="none" w:sz="0" w:space="0" w:color="auto"/>
        <w:bottom w:val="none" w:sz="0" w:space="0" w:color="auto"/>
        <w:right w:val="none" w:sz="0" w:space="0" w:color="auto"/>
      </w:divBdr>
    </w:div>
    <w:div w:id="392434949">
      <w:bodyDiv w:val="1"/>
      <w:marLeft w:val="0"/>
      <w:marRight w:val="0"/>
      <w:marTop w:val="0"/>
      <w:marBottom w:val="0"/>
      <w:divBdr>
        <w:top w:val="none" w:sz="0" w:space="0" w:color="auto"/>
        <w:left w:val="none" w:sz="0" w:space="0" w:color="auto"/>
        <w:bottom w:val="none" w:sz="0" w:space="0" w:color="auto"/>
        <w:right w:val="none" w:sz="0" w:space="0" w:color="auto"/>
      </w:divBdr>
    </w:div>
    <w:div w:id="425073829">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46648076">
      <w:bodyDiv w:val="1"/>
      <w:marLeft w:val="0"/>
      <w:marRight w:val="0"/>
      <w:marTop w:val="0"/>
      <w:marBottom w:val="0"/>
      <w:divBdr>
        <w:top w:val="none" w:sz="0" w:space="0" w:color="auto"/>
        <w:left w:val="none" w:sz="0" w:space="0" w:color="auto"/>
        <w:bottom w:val="none" w:sz="0" w:space="0" w:color="auto"/>
        <w:right w:val="none" w:sz="0" w:space="0" w:color="auto"/>
      </w:divBdr>
    </w:div>
    <w:div w:id="709648985">
      <w:bodyDiv w:val="1"/>
      <w:marLeft w:val="0"/>
      <w:marRight w:val="0"/>
      <w:marTop w:val="0"/>
      <w:marBottom w:val="0"/>
      <w:divBdr>
        <w:top w:val="none" w:sz="0" w:space="0" w:color="auto"/>
        <w:left w:val="none" w:sz="0" w:space="0" w:color="auto"/>
        <w:bottom w:val="none" w:sz="0" w:space="0" w:color="auto"/>
        <w:right w:val="none" w:sz="0" w:space="0" w:color="auto"/>
      </w:divBdr>
    </w:div>
    <w:div w:id="737940522">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94328760">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1105271543">
      <w:bodyDiv w:val="1"/>
      <w:marLeft w:val="0"/>
      <w:marRight w:val="0"/>
      <w:marTop w:val="0"/>
      <w:marBottom w:val="0"/>
      <w:divBdr>
        <w:top w:val="none" w:sz="0" w:space="0" w:color="auto"/>
        <w:left w:val="none" w:sz="0" w:space="0" w:color="auto"/>
        <w:bottom w:val="none" w:sz="0" w:space="0" w:color="auto"/>
        <w:right w:val="none" w:sz="0" w:space="0" w:color="auto"/>
      </w:divBdr>
    </w:div>
    <w:div w:id="1108429175">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21328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4930-DA18-4AB6-81BE-0B169F370F9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5</cp:revision>
  <cp:lastPrinted>2018-11-09T14:07:00Z</cp:lastPrinted>
  <dcterms:created xsi:type="dcterms:W3CDTF">2025-08-21T16:25:00Z</dcterms:created>
  <dcterms:modified xsi:type="dcterms:W3CDTF">2025-09-10T18:54:00Z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