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7C88" w14:textId="77777777" w:rsidR="00265E00" w:rsidRPr="00EC191B" w:rsidRDefault="00265E00">
      <w:pPr>
        <w:pStyle w:val="PlainText"/>
        <w:rPr>
          <w:rFonts w:ascii="Times New Roman" w:hAnsi="Times New Roman"/>
          <w:sz w:val="22"/>
          <w:szCs w:val="22"/>
        </w:rPr>
      </w:pPr>
      <w:r w:rsidRPr="140957F5">
        <w:rPr>
          <w:rFonts w:ascii="Times New Roman" w:hAnsi="Times New Roman"/>
          <w:sz w:val="22"/>
          <w:szCs w:val="22"/>
        </w:rPr>
        <w:t>Section</w:t>
      </w:r>
    </w:p>
    <w:p w14:paraId="762749F1" w14:textId="77777777" w:rsidR="00265E00" w:rsidRPr="00EC191B" w:rsidRDefault="00265E00">
      <w:pPr>
        <w:pStyle w:val="PlainText"/>
        <w:rPr>
          <w:rFonts w:ascii="Times New Roman" w:hAnsi="Times New Roman"/>
          <w:sz w:val="22"/>
          <w:szCs w:val="22"/>
        </w:rPr>
      </w:pPr>
    </w:p>
    <w:p w14:paraId="5C4C88E7" w14:textId="70704DA5" w:rsidR="00265E00" w:rsidRPr="00EC191B" w:rsidRDefault="004A43F2">
      <w:pPr>
        <w:pStyle w:val="PlainText"/>
        <w:rPr>
          <w:rFonts w:ascii="Times New Roman" w:hAnsi="Times New Roman"/>
          <w:sz w:val="22"/>
          <w:szCs w:val="22"/>
        </w:rPr>
      </w:pPr>
      <w:r w:rsidRPr="00EC191B">
        <w:rPr>
          <w:rFonts w:ascii="Times New Roman" w:hAnsi="Times New Roman"/>
          <w:sz w:val="22"/>
          <w:szCs w:val="22"/>
        </w:rPr>
        <w:t>3</w:t>
      </w:r>
      <w:r w:rsidR="00265E00" w:rsidRPr="00EC191B">
        <w:rPr>
          <w:rFonts w:ascii="Times New Roman" w:hAnsi="Times New Roman"/>
          <w:sz w:val="22"/>
          <w:szCs w:val="22"/>
        </w:rPr>
        <w:t>12.01:  General Provisions</w:t>
      </w:r>
    </w:p>
    <w:p w14:paraId="7F2CE48D" w14:textId="1F5F9374" w:rsidR="00265E00" w:rsidRPr="00EC191B" w:rsidRDefault="004A43F2">
      <w:pPr>
        <w:pStyle w:val="PlainText"/>
        <w:rPr>
          <w:rFonts w:ascii="Times New Roman" w:hAnsi="Times New Roman"/>
          <w:sz w:val="22"/>
          <w:szCs w:val="22"/>
        </w:rPr>
      </w:pPr>
      <w:r w:rsidRPr="00EC191B">
        <w:rPr>
          <w:rFonts w:ascii="Times New Roman" w:hAnsi="Times New Roman"/>
          <w:sz w:val="22"/>
          <w:szCs w:val="22"/>
        </w:rPr>
        <w:t>3</w:t>
      </w:r>
      <w:r w:rsidR="00265E00" w:rsidRPr="00EC191B">
        <w:rPr>
          <w:rFonts w:ascii="Times New Roman" w:hAnsi="Times New Roman"/>
          <w:sz w:val="22"/>
          <w:szCs w:val="22"/>
        </w:rPr>
        <w:t>12.02:  General Definitions</w:t>
      </w:r>
    </w:p>
    <w:p w14:paraId="7848DEDE" w14:textId="30A87AD2" w:rsidR="00265E00" w:rsidRPr="00EC191B" w:rsidRDefault="004A43F2">
      <w:pPr>
        <w:pStyle w:val="PlainText"/>
        <w:rPr>
          <w:rFonts w:ascii="Times New Roman" w:hAnsi="Times New Roman"/>
          <w:sz w:val="22"/>
          <w:szCs w:val="22"/>
        </w:rPr>
      </w:pPr>
      <w:r w:rsidRPr="00EC191B">
        <w:rPr>
          <w:rFonts w:ascii="Times New Roman" w:hAnsi="Times New Roman"/>
          <w:sz w:val="22"/>
          <w:szCs w:val="22"/>
        </w:rPr>
        <w:t>3</w:t>
      </w:r>
      <w:r w:rsidR="00265E00" w:rsidRPr="00EC191B">
        <w:rPr>
          <w:rFonts w:ascii="Times New Roman" w:hAnsi="Times New Roman"/>
          <w:sz w:val="22"/>
          <w:szCs w:val="22"/>
        </w:rPr>
        <w:t>12.03:  General Rate Provisions</w:t>
      </w:r>
    </w:p>
    <w:p w14:paraId="1E9AEF59" w14:textId="4A7C8E2C" w:rsidR="00A448C2" w:rsidRPr="00EC191B" w:rsidRDefault="004A43F2">
      <w:pPr>
        <w:pStyle w:val="PlainText"/>
        <w:rPr>
          <w:rFonts w:ascii="Times New Roman" w:hAnsi="Times New Roman"/>
          <w:sz w:val="22"/>
          <w:szCs w:val="22"/>
        </w:rPr>
      </w:pPr>
      <w:r w:rsidRPr="00EC191B">
        <w:rPr>
          <w:rFonts w:ascii="Times New Roman" w:hAnsi="Times New Roman"/>
          <w:sz w:val="22"/>
          <w:szCs w:val="22"/>
        </w:rPr>
        <w:t>3</w:t>
      </w:r>
      <w:r w:rsidR="00A448C2" w:rsidRPr="00EC191B">
        <w:rPr>
          <w:rFonts w:ascii="Times New Roman" w:hAnsi="Times New Roman"/>
          <w:sz w:val="22"/>
          <w:szCs w:val="22"/>
        </w:rPr>
        <w:t>12.04:  Reporting Requirements</w:t>
      </w:r>
    </w:p>
    <w:p w14:paraId="38DCF72F" w14:textId="27671D8E" w:rsidR="00A448C2" w:rsidRPr="00EC191B" w:rsidRDefault="004A43F2">
      <w:pPr>
        <w:pStyle w:val="PlainText"/>
        <w:rPr>
          <w:rFonts w:ascii="Times New Roman" w:hAnsi="Times New Roman"/>
          <w:sz w:val="22"/>
          <w:szCs w:val="22"/>
        </w:rPr>
      </w:pPr>
      <w:r w:rsidRPr="00EC191B">
        <w:rPr>
          <w:rFonts w:ascii="Times New Roman" w:hAnsi="Times New Roman"/>
          <w:sz w:val="22"/>
          <w:szCs w:val="22"/>
        </w:rPr>
        <w:t>3</w:t>
      </w:r>
      <w:r w:rsidR="00A448C2" w:rsidRPr="00EC191B">
        <w:rPr>
          <w:rFonts w:ascii="Times New Roman" w:hAnsi="Times New Roman"/>
          <w:sz w:val="22"/>
          <w:szCs w:val="22"/>
        </w:rPr>
        <w:t xml:space="preserve">12.05:  Severability </w:t>
      </w:r>
    </w:p>
    <w:p w14:paraId="1003955A" w14:textId="77777777" w:rsidR="00265E00" w:rsidRPr="00EC191B" w:rsidRDefault="00265E00">
      <w:pPr>
        <w:pStyle w:val="PlainText"/>
        <w:rPr>
          <w:rFonts w:ascii="Times New Roman" w:hAnsi="Times New Roman"/>
          <w:sz w:val="22"/>
          <w:szCs w:val="22"/>
        </w:rPr>
      </w:pPr>
    </w:p>
    <w:p w14:paraId="748557E9" w14:textId="4C46733C" w:rsidR="00265E00" w:rsidRPr="00EC191B" w:rsidRDefault="004A43F2">
      <w:pPr>
        <w:pStyle w:val="PlainText"/>
        <w:rPr>
          <w:rFonts w:ascii="Times New Roman" w:hAnsi="Times New Roman"/>
          <w:sz w:val="22"/>
          <w:szCs w:val="22"/>
          <w:u w:val="single"/>
        </w:rPr>
      </w:pPr>
      <w:r w:rsidRPr="00EC191B">
        <w:rPr>
          <w:rFonts w:ascii="Times New Roman" w:hAnsi="Times New Roman"/>
          <w:sz w:val="22"/>
          <w:szCs w:val="22"/>
          <w:u w:val="single"/>
        </w:rPr>
        <w:t>3</w:t>
      </w:r>
      <w:r w:rsidR="00265E00" w:rsidRPr="00EC191B">
        <w:rPr>
          <w:rFonts w:ascii="Times New Roman" w:hAnsi="Times New Roman"/>
          <w:sz w:val="22"/>
          <w:szCs w:val="22"/>
          <w:u w:val="single"/>
        </w:rPr>
        <w:t>12.01:  General Provisions</w:t>
      </w:r>
    </w:p>
    <w:p w14:paraId="3A8A8B04" w14:textId="77777777" w:rsidR="00105C57" w:rsidRPr="00EC191B" w:rsidRDefault="00105C57">
      <w:pPr>
        <w:pStyle w:val="PlainText"/>
        <w:rPr>
          <w:rFonts w:ascii="Times New Roman" w:hAnsi="Times New Roman"/>
          <w:sz w:val="22"/>
          <w:szCs w:val="22"/>
        </w:rPr>
      </w:pPr>
    </w:p>
    <w:p w14:paraId="7003FE94" w14:textId="4069CBBC"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rPr>
        <w:t xml:space="preserve">(1)  </w:t>
      </w:r>
      <w:r w:rsidRPr="00EC191B">
        <w:rPr>
          <w:rFonts w:ascii="Times New Roman" w:hAnsi="Times New Roman"/>
          <w:sz w:val="22"/>
          <w:szCs w:val="22"/>
          <w:u w:val="single"/>
        </w:rPr>
        <w:t>Scope</w:t>
      </w:r>
      <w:r w:rsidR="00A151B8">
        <w:rPr>
          <w:rFonts w:ascii="Times New Roman" w:hAnsi="Times New Roman"/>
          <w:sz w:val="22"/>
          <w:szCs w:val="22"/>
          <w:u w:val="single"/>
        </w:rPr>
        <w:t xml:space="preserve"> and</w:t>
      </w:r>
      <w:r w:rsidR="009D1A0F" w:rsidRPr="00EC191B">
        <w:rPr>
          <w:rFonts w:ascii="Times New Roman" w:hAnsi="Times New Roman"/>
          <w:sz w:val="22"/>
          <w:szCs w:val="22"/>
          <w:u w:val="single"/>
        </w:rPr>
        <w:t xml:space="preserve"> Purpose</w:t>
      </w:r>
      <w:r w:rsidRPr="00EC191B">
        <w:rPr>
          <w:rFonts w:ascii="Times New Roman" w:hAnsi="Times New Roman"/>
          <w:sz w:val="22"/>
          <w:szCs w:val="22"/>
        </w:rPr>
        <w:t>.  1</w:t>
      </w:r>
      <w:r w:rsidR="004A43F2" w:rsidRPr="00EC191B">
        <w:rPr>
          <w:rFonts w:ascii="Times New Roman" w:hAnsi="Times New Roman"/>
          <w:sz w:val="22"/>
          <w:szCs w:val="22"/>
        </w:rPr>
        <w:t>0</w:t>
      </w:r>
      <w:r w:rsidRPr="00EC191B">
        <w:rPr>
          <w:rFonts w:ascii="Times New Roman" w:hAnsi="Times New Roman"/>
          <w:sz w:val="22"/>
          <w:szCs w:val="22"/>
        </w:rPr>
        <w:t xml:space="preserve">1 CMR </w:t>
      </w:r>
      <w:r w:rsidR="004A43F2" w:rsidRPr="00EC191B">
        <w:rPr>
          <w:rFonts w:ascii="Times New Roman" w:hAnsi="Times New Roman"/>
          <w:sz w:val="22"/>
          <w:szCs w:val="22"/>
        </w:rPr>
        <w:t>3</w:t>
      </w:r>
      <w:r w:rsidRPr="00EC191B">
        <w:rPr>
          <w:rFonts w:ascii="Times New Roman" w:hAnsi="Times New Roman"/>
          <w:sz w:val="22"/>
          <w:szCs w:val="22"/>
        </w:rPr>
        <w:t>12.00 govern</w:t>
      </w:r>
      <w:r w:rsidR="007270B4" w:rsidRPr="00EC191B">
        <w:rPr>
          <w:rFonts w:ascii="Times New Roman" w:hAnsi="Times New Roman"/>
          <w:sz w:val="22"/>
          <w:szCs w:val="22"/>
        </w:rPr>
        <w:t>s</w:t>
      </w:r>
      <w:r w:rsidRPr="00EC191B">
        <w:rPr>
          <w:rFonts w:ascii="Times New Roman" w:hAnsi="Times New Roman"/>
          <w:sz w:val="22"/>
          <w:szCs w:val="22"/>
        </w:rPr>
        <w:t xml:space="preserve"> the rates of payment </w:t>
      </w:r>
      <w:r w:rsidR="007270B4" w:rsidRPr="00EC191B">
        <w:rPr>
          <w:rFonts w:ascii="Times New Roman" w:hAnsi="Times New Roman"/>
          <w:sz w:val="22"/>
          <w:szCs w:val="22"/>
        </w:rPr>
        <w:t xml:space="preserve">used </w:t>
      </w:r>
      <w:r w:rsidRPr="00EC191B">
        <w:rPr>
          <w:rFonts w:ascii="Times New Roman" w:hAnsi="Times New Roman"/>
          <w:sz w:val="22"/>
          <w:szCs w:val="22"/>
        </w:rPr>
        <w:t xml:space="preserve">by all governmental units to </w:t>
      </w:r>
      <w:r w:rsidR="00BA4822" w:rsidRPr="00EC191B">
        <w:rPr>
          <w:rFonts w:ascii="Times New Roman" w:hAnsi="Times New Roman"/>
          <w:sz w:val="22"/>
          <w:szCs w:val="22"/>
        </w:rPr>
        <w:t xml:space="preserve">pay </w:t>
      </w:r>
      <w:r w:rsidRPr="00EC191B">
        <w:rPr>
          <w:rFonts w:ascii="Times New Roman" w:hAnsi="Times New Roman"/>
          <w:sz w:val="22"/>
          <w:szCs w:val="22"/>
        </w:rPr>
        <w:t>eligible providers which provide family planning services to publicly</w:t>
      </w:r>
      <w:r w:rsidR="009C719C" w:rsidRPr="00EC191B">
        <w:rPr>
          <w:rFonts w:ascii="Times New Roman" w:hAnsi="Times New Roman"/>
          <w:sz w:val="22"/>
          <w:szCs w:val="22"/>
        </w:rPr>
        <w:t xml:space="preserve"> </w:t>
      </w:r>
      <w:r w:rsidRPr="00EC191B">
        <w:rPr>
          <w:rFonts w:ascii="Times New Roman" w:hAnsi="Times New Roman"/>
          <w:sz w:val="22"/>
          <w:szCs w:val="22"/>
        </w:rPr>
        <w:t xml:space="preserve">aided </w:t>
      </w:r>
      <w:r w:rsidR="009D1A0F" w:rsidRPr="00EC191B">
        <w:rPr>
          <w:rFonts w:ascii="Times New Roman" w:hAnsi="Times New Roman"/>
          <w:sz w:val="22"/>
          <w:szCs w:val="22"/>
        </w:rPr>
        <w:t>individuals</w:t>
      </w:r>
      <w:r w:rsidR="007270B4" w:rsidRPr="00EC191B">
        <w:rPr>
          <w:rFonts w:ascii="Times New Roman" w:hAnsi="Times New Roman"/>
          <w:sz w:val="22"/>
          <w:szCs w:val="22"/>
        </w:rPr>
        <w:t>.</w:t>
      </w:r>
      <w:r w:rsidR="009D1A0F" w:rsidRPr="00EC191B">
        <w:rPr>
          <w:rFonts w:ascii="Times New Roman" w:hAnsi="Times New Roman"/>
          <w:sz w:val="22"/>
          <w:szCs w:val="22"/>
        </w:rPr>
        <w:t xml:space="preserve"> </w:t>
      </w:r>
    </w:p>
    <w:p w14:paraId="644A63B5" w14:textId="77777777" w:rsidR="00265E00" w:rsidRPr="00EC191B" w:rsidRDefault="00265E00">
      <w:pPr>
        <w:pStyle w:val="PlainText"/>
        <w:rPr>
          <w:rFonts w:ascii="Times New Roman" w:hAnsi="Times New Roman"/>
          <w:sz w:val="22"/>
          <w:szCs w:val="22"/>
        </w:rPr>
      </w:pPr>
    </w:p>
    <w:p w14:paraId="14DFFEFB" w14:textId="38A91332" w:rsidR="000D465A" w:rsidRPr="00EC191B" w:rsidRDefault="009D1A0F" w:rsidP="003B5582">
      <w:pPr>
        <w:suppressAutoHyphens/>
        <w:ind w:left="720"/>
        <w:rPr>
          <w:spacing w:val="-3"/>
          <w:sz w:val="22"/>
          <w:szCs w:val="22"/>
        </w:rPr>
      </w:pPr>
      <w:r w:rsidRPr="00EC191B">
        <w:rPr>
          <w:spacing w:val="-3"/>
          <w:sz w:val="22"/>
          <w:szCs w:val="22"/>
        </w:rPr>
        <w:t>(2)</w:t>
      </w:r>
      <w:r w:rsidR="00921FF6" w:rsidRPr="00EC191B">
        <w:rPr>
          <w:spacing w:val="-3"/>
          <w:sz w:val="22"/>
          <w:szCs w:val="22"/>
        </w:rPr>
        <w:t xml:space="preserve"> </w:t>
      </w:r>
      <w:r w:rsidRPr="00EC191B">
        <w:rPr>
          <w:spacing w:val="-3"/>
          <w:sz w:val="22"/>
          <w:szCs w:val="22"/>
        </w:rPr>
        <w:t xml:space="preserve"> </w:t>
      </w:r>
      <w:r w:rsidR="000D465A" w:rsidRPr="00EC191B">
        <w:rPr>
          <w:spacing w:val="-3"/>
          <w:sz w:val="22"/>
          <w:szCs w:val="22"/>
          <w:u w:val="single"/>
        </w:rPr>
        <w:t>Applicable Dates of Service</w:t>
      </w:r>
      <w:r w:rsidR="000D465A" w:rsidRPr="00EC191B">
        <w:rPr>
          <w:spacing w:val="-3"/>
          <w:sz w:val="22"/>
          <w:szCs w:val="22"/>
        </w:rPr>
        <w:t xml:space="preserve">.  Rates in 101 CMR 312.00 apply for dates of service provided on or after </w:t>
      </w:r>
      <w:r w:rsidR="004B37D5">
        <w:rPr>
          <w:spacing w:val="-3"/>
          <w:sz w:val="22"/>
          <w:szCs w:val="22"/>
        </w:rPr>
        <w:t>May 1, 2025</w:t>
      </w:r>
      <w:r w:rsidR="005D47EB">
        <w:rPr>
          <w:spacing w:val="-3"/>
          <w:sz w:val="22"/>
          <w:szCs w:val="22"/>
        </w:rPr>
        <w:t xml:space="preserve"> </w:t>
      </w:r>
      <w:r w:rsidR="000D465A" w:rsidRPr="00EC191B">
        <w:rPr>
          <w:spacing w:val="-3"/>
          <w:sz w:val="22"/>
          <w:szCs w:val="22"/>
        </w:rPr>
        <w:t>, unless otherwise indicated.</w:t>
      </w:r>
    </w:p>
    <w:p w14:paraId="7045B00F" w14:textId="77777777" w:rsidR="000D465A" w:rsidRPr="00EC191B" w:rsidRDefault="000D465A" w:rsidP="003B5582">
      <w:pPr>
        <w:suppressAutoHyphens/>
        <w:ind w:left="720"/>
        <w:rPr>
          <w:spacing w:val="-3"/>
          <w:sz w:val="22"/>
          <w:szCs w:val="22"/>
        </w:rPr>
      </w:pPr>
    </w:p>
    <w:p w14:paraId="3C80173A" w14:textId="2CA91586" w:rsidR="009D1A0F" w:rsidRPr="00EC191B" w:rsidRDefault="000D465A" w:rsidP="003B5582">
      <w:pPr>
        <w:suppressAutoHyphens/>
        <w:ind w:left="720"/>
        <w:rPr>
          <w:spacing w:val="-3"/>
          <w:sz w:val="22"/>
          <w:szCs w:val="22"/>
        </w:rPr>
      </w:pPr>
      <w:r w:rsidRPr="00EC191B">
        <w:rPr>
          <w:spacing w:val="-3"/>
          <w:sz w:val="22"/>
          <w:szCs w:val="22"/>
        </w:rPr>
        <w:t xml:space="preserve">(3)  </w:t>
      </w:r>
      <w:r w:rsidR="009D1A0F" w:rsidRPr="00EC191B">
        <w:rPr>
          <w:spacing w:val="-3"/>
          <w:sz w:val="22"/>
          <w:szCs w:val="22"/>
          <w:u w:val="single"/>
        </w:rPr>
        <w:t>Coverage</w:t>
      </w:r>
      <w:r w:rsidR="009D1A0F" w:rsidRPr="00EC191B">
        <w:rPr>
          <w:spacing w:val="-3"/>
          <w:sz w:val="22"/>
          <w:szCs w:val="22"/>
        </w:rPr>
        <w:t>.  1</w:t>
      </w:r>
      <w:r w:rsidR="004A43F2" w:rsidRPr="00EC191B">
        <w:rPr>
          <w:spacing w:val="-3"/>
          <w:sz w:val="22"/>
          <w:szCs w:val="22"/>
        </w:rPr>
        <w:t>0</w:t>
      </w:r>
      <w:r w:rsidR="009D1A0F" w:rsidRPr="00EC191B">
        <w:rPr>
          <w:spacing w:val="-3"/>
          <w:sz w:val="22"/>
          <w:szCs w:val="22"/>
        </w:rPr>
        <w:t>1</w:t>
      </w:r>
      <w:r w:rsidR="004D552E" w:rsidRPr="00EC191B">
        <w:rPr>
          <w:spacing w:val="-3"/>
          <w:sz w:val="22"/>
          <w:szCs w:val="22"/>
        </w:rPr>
        <w:t xml:space="preserve"> </w:t>
      </w:r>
      <w:r w:rsidR="009D1A0F" w:rsidRPr="00EC191B">
        <w:rPr>
          <w:spacing w:val="-3"/>
          <w:sz w:val="22"/>
          <w:szCs w:val="22"/>
        </w:rPr>
        <w:t xml:space="preserve">CMR </w:t>
      </w:r>
      <w:r w:rsidR="004A43F2" w:rsidRPr="00EC191B">
        <w:rPr>
          <w:spacing w:val="-3"/>
          <w:sz w:val="22"/>
          <w:szCs w:val="22"/>
        </w:rPr>
        <w:t>3</w:t>
      </w:r>
      <w:r w:rsidR="009D1A0F" w:rsidRPr="00EC191B">
        <w:rPr>
          <w:spacing w:val="-3"/>
          <w:sz w:val="22"/>
          <w:szCs w:val="22"/>
        </w:rPr>
        <w:t xml:space="preserve">12.00 and the rates of payment </w:t>
      </w:r>
      <w:r w:rsidR="007270B4" w:rsidRPr="00EC191B">
        <w:rPr>
          <w:spacing w:val="-3"/>
          <w:sz w:val="22"/>
          <w:szCs w:val="22"/>
        </w:rPr>
        <w:t>in 101 CMR 312.00</w:t>
      </w:r>
      <w:r w:rsidR="009D1A0F" w:rsidRPr="00EC191B">
        <w:rPr>
          <w:spacing w:val="-3"/>
          <w:sz w:val="22"/>
          <w:szCs w:val="22"/>
        </w:rPr>
        <w:t xml:space="preserve"> apply to family planning services rendered by eligible providers at a family planning agency setting. The rates of payment under 1</w:t>
      </w:r>
      <w:r w:rsidR="004A43F2" w:rsidRPr="00EC191B">
        <w:rPr>
          <w:spacing w:val="-3"/>
          <w:sz w:val="22"/>
          <w:szCs w:val="22"/>
        </w:rPr>
        <w:t>0</w:t>
      </w:r>
      <w:r w:rsidR="009D1A0F" w:rsidRPr="00EC191B">
        <w:rPr>
          <w:spacing w:val="-3"/>
          <w:sz w:val="22"/>
          <w:szCs w:val="22"/>
        </w:rPr>
        <w:t>1</w:t>
      </w:r>
      <w:r w:rsidR="005A6CC7" w:rsidRPr="00EC191B">
        <w:rPr>
          <w:spacing w:val="-3"/>
          <w:sz w:val="22"/>
          <w:szCs w:val="22"/>
        </w:rPr>
        <w:t xml:space="preserve"> </w:t>
      </w:r>
      <w:r w:rsidR="009D1A0F" w:rsidRPr="00EC191B">
        <w:rPr>
          <w:spacing w:val="-3"/>
          <w:sz w:val="22"/>
          <w:szCs w:val="22"/>
        </w:rPr>
        <w:t xml:space="preserve">CMR </w:t>
      </w:r>
      <w:r w:rsidR="004A43F2" w:rsidRPr="00EC191B">
        <w:rPr>
          <w:spacing w:val="-3"/>
          <w:sz w:val="22"/>
          <w:szCs w:val="22"/>
        </w:rPr>
        <w:t>3</w:t>
      </w:r>
      <w:r w:rsidR="009D1A0F" w:rsidRPr="00EC191B">
        <w:rPr>
          <w:spacing w:val="-3"/>
          <w:sz w:val="22"/>
          <w:szCs w:val="22"/>
        </w:rPr>
        <w:t>12.00 are full compensation for all services rendered.</w:t>
      </w:r>
    </w:p>
    <w:p w14:paraId="1907D594" w14:textId="77777777" w:rsidR="009D1A0F" w:rsidRPr="00EC191B" w:rsidRDefault="009D1A0F" w:rsidP="003B5582">
      <w:pPr>
        <w:pStyle w:val="PlainText"/>
        <w:ind w:left="720"/>
        <w:rPr>
          <w:rFonts w:ascii="Times New Roman" w:hAnsi="Times New Roman"/>
          <w:sz w:val="22"/>
          <w:szCs w:val="22"/>
        </w:rPr>
      </w:pPr>
    </w:p>
    <w:p w14:paraId="5C994982" w14:textId="6DAB8FF7" w:rsidR="00265E00" w:rsidRPr="00EC191B" w:rsidRDefault="00265E00" w:rsidP="002E54D2">
      <w:pPr>
        <w:pStyle w:val="PlainText"/>
        <w:ind w:left="720"/>
        <w:rPr>
          <w:rFonts w:ascii="Times New Roman" w:hAnsi="Times New Roman"/>
          <w:sz w:val="22"/>
          <w:szCs w:val="22"/>
        </w:rPr>
      </w:pPr>
      <w:r w:rsidRPr="00EC191B">
        <w:rPr>
          <w:rFonts w:ascii="Times New Roman" w:hAnsi="Times New Roman"/>
          <w:sz w:val="22"/>
          <w:szCs w:val="22"/>
        </w:rPr>
        <w:t>(</w:t>
      </w:r>
      <w:r w:rsidR="000D465A" w:rsidRPr="00EC191B">
        <w:rPr>
          <w:rFonts w:ascii="Times New Roman" w:hAnsi="Times New Roman"/>
          <w:sz w:val="22"/>
          <w:szCs w:val="22"/>
        </w:rPr>
        <w:t>4</w:t>
      </w:r>
      <w:r w:rsidRPr="00EC191B">
        <w:rPr>
          <w:rFonts w:ascii="Times New Roman" w:hAnsi="Times New Roman"/>
          <w:sz w:val="22"/>
          <w:szCs w:val="22"/>
        </w:rPr>
        <w:t xml:space="preserve">)  </w:t>
      </w:r>
      <w:r w:rsidRPr="00EC191B">
        <w:rPr>
          <w:rFonts w:ascii="Times New Roman" w:hAnsi="Times New Roman"/>
          <w:sz w:val="22"/>
          <w:szCs w:val="22"/>
          <w:u w:val="single"/>
        </w:rPr>
        <w:t>Disclaimer of Authorization of Services</w:t>
      </w:r>
      <w:r w:rsidRPr="00EC191B">
        <w:rPr>
          <w:rFonts w:ascii="Times New Roman" w:hAnsi="Times New Roman"/>
          <w:sz w:val="22"/>
          <w:szCs w:val="22"/>
        </w:rPr>
        <w:t>.  1</w:t>
      </w:r>
      <w:r w:rsidR="004A43F2" w:rsidRPr="00EC191B">
        <w:rPr>
          <w:rFonts w:ascii="Times New Roman" w:hAnsi="Times New Roman"/>
          <w:sz w:val="22"/>
          <w:szCs w:val="22"/>
        </w:rPr>
        <w:t>0</w:t>
      </w:r>
      <w:r w:rsidRPr="00EC191B">
        <w:rPr>
          <w:rFonts w:ascii="Times New Roman" w:hAnsi="Times New Roman"/>
          <w:sz w:val="22"/>
          <w:szCs w:val="22"/>
        </w:rPr>
        <w:t xml:space="preserve">1 CMR </w:t>
      </w:r>
      <w:r w:rsidR="004A43F2" w:rsidRPr="00EC191B">
        <w:rPr>
          <w:rFonts w:ascii="Times New Roman" w:hAnsi="Times New Roman"/>
          <w:sz w:val="22"/>
          <w:szCs w:val="22"/>
        </w:rPr>
        <w:t>3</w:t>
      </w:r>
      <w:r w:rsidRPr="00EC191B">
        <w:rPr>
          <w:rFonts w:ascii="Times New Roman" w:hAnsi="Times New Roman"/>
          <w:sz w:val="22"/>
          <w:szCs w:val="22"/>
        </w:rPr>
        <w:t xml:space="preserve">12.00 is not </w:t>
      </w:r>
      <w:proofErr w:type="gramStart"/>
      <w:r w:rsidRPr="00EC191B">
        <w:rPr>
          <w:rFonts w:ascii="Times New Roman" w:hAnsi="Times New Roman"/>
          <w:sz w:val="22"/>
          <w:szCs w:val="22"/>
        </w:rPr>
        <w:t>authorization</w:t>
      </w:r>
      <w:proofErr w:type="gramEnd"/>
      <w:r w:rsidRPr="00EC191B">
        <w:rPr>
          <w:rFonts w:ascii="Times New Roman" w:hAnsi="Times New Roman"/>
          <w:sz w:val="22"/>
          <w:szCs w:val="22"/>
        </w:rPr>
        <w:t xml:space="preserve"> for or approval of the procedures for which rates are determined pursuant to 1</w:t>
      </w:r>
      <w:r w:rsidR="004A43F2" w:rsidRPr="00EC191B">
        <w:rPr>
          <w:rFonts w:ascii="Times New Roman" w:hAnsi="Times New Roman"/>
          <w:sz w:val="22"/>
          <w:szCs w:val="22"/>
        </w:rPr>
        <w:t>0</w:t>
      </w:r>
      <w:r w:rsidRPr="00EC191B">
        <w:rPr>
          <w:rFonts w:ascii="Times New Roman" w:hAnsi="Times New Roman"/>
          <w:sz w:val="22"/>
          <w:szCs w:val="22"/>
        </w:rPr>
        <w:t xml:space="preserve">1 CMR </w:t>
      </w:r>
      <w:r w:rsidR="004A43F2" w:rsidRPr="00EC191B">
        <w:rPr>
          <w:rFonts w:ascii="Times New Roman" w:hAnsi="Times New Roman"/>
          <w:sz w:val="22"/>
          <w:szCs w:val="22"/>
        </w:rPr>
        <w:t>3</w:t>
      </w:r>
      <w:r w:rsidRPr="00EC191B">
        <w:rPr>
          <w:rFonts w:ascii="Times New Roman" w:hAnsi="Times New Roman"/>
          <w:sz w:val="22"/>
          <w:szCs w:val="22"/>
        </w:rPr>
        <w:t xml:space="preserve">12.00. Governmental units that purchase care are responsible for the definition, authorization, </w:t>
      </w:r>
      <w:r w:rsidR="007270B4" w:rsidRPr="00EC191B">
        <w:rPr>
          <w:rFonts w:ascii="Times New Roman" w:hAnsi="Times New Roman"/>
          <w:sz w:val="22"/>
          <w:szCs w:val="22"/>
        </w:rPr>
        <w:t xml:space="preserve">coverage policies, </w:t>
      </w:r>
      <w:r w:rsidRPr="00EC191B">
        <w:rPr>
          <w:rFonts w:ascii="Times New Roman" w:hAnsi="Times New Roman"/>
          <w:sz w:val="22"/>
          <w:szCs w:val="22"/>
        </w:rPr>
        <w:t xml:space="preserve">and approval of </w:t>
      </w:r>
      <w:r w:rsidR="007270B4" w:rsidRPr="00EC191B">
        <w:rPr>
          <w:rFonts w:ascii="Times New Roman" w:hAnsi="Times New Roman"/>
          <w:sz w:val="22"/>
          <w:szCs w:val="22"/>
        </w:rPr>
        <w:t xml:space="preserve">the </w:t>
      </w:r>
      <w:r w:rsidRPr="00EC191B">
        <w:rPr>
          <w:rFonts w:ascii="Times New Roman" w:hAnsi="Times New Roman"/>
          <w:sz w:val="22"/>
          <w:szCs w:val="22"/>
        </w:rPr>
        <w:t>care and services extended to publicly</w:t>
      </w:r>
      <w:r w:rsidR="00864C1B" w:rsidRPr="00EC191B">
        <w:rPr>
          <w:rFonts w:ascii="Times New Roman" w:hAnsi="Times New Roman"/>
          <w:sz w:val="22"/>
          <w:szCs w:val="22"/>
        </w:rPr>
        <w:t xml:space="preserve"> </w:t>
      </w:r>
      <w:r w:rsidRPr="00EC191B">
        <w:rPr>
          <w:rFonts w:ascii="Times New Roman" w:hAnsi="Times New Roman"/>
          <w:sz w:val="22"/>
          <w:szCs w:val="22"/>
        </w:rPr>
        <w:t xml:space="preserve">aided </w:t>
      </w:r>
      <w:r w:rsidR="007270B4" w:rsidRPr="00EC191B">
        <w:rPr>
          <w:rFonts w:ascii="Times New Roman" w:hAnsi="Times New Roman"/>
          <w:sz w:val="22"/>
          <w:szCs w:val="22"/>
        </w:rPr>
        <w:t>individuals</w:t>
      </w:r>
      <w:r w:rsidRPr="00EC191B">
        <w:rPr>
          <w:rFonts w:ascii="Times New Roman" w:hAnsi="Times New Roman"/>
          <w:sz w:val="22"/>
          <w:szCs w:val="22"/>
        </w:rPr>
        <w:t>.</w:t>
      </w:r>
    </w:p>
    <w:p w14:paraId="7FA5E9A6" w14:textId="77777777" w:rsidR="009D1A0F" w:rsidRPr="00EC191B" w:rsidRDefault="009D1A0F" w:rsidP="00891D88">
      <w:pPr>
        <w:pStyle w:val="PlainText"/>
        <w:ind w:left="720"/>
        <w:rPr>
          <w:rFonts w:ascii="Times New Roman" w:hAnsi="Times New Roman"/>
          <w:sz w:val="22"/>
          <w:szCs w:val="22"/>
        </w:rPr>
      </w:pPr>
    </w:p>
    <w:p w14:paraId="1B0174F3" w14:textId="1D0FD26B" w:rsidR="00265E00" w:rsidRPr="00EC191B" w:rsidRDefault="00265E00" w:rsidP="00FF04B8">
      <w:pPr>
        <w:tabs>
          <w:tab w:val="left" w:pos="0"/>
          <w:tab w:val="left" w:pos="1080"/>
        </w:tabs>
        <w:suppressAutoHyphens/>
        <w:ind w:left="720"/>
        <w:jc w:val="both"/>
        <w:rPr>
          <w:snapToGrid w:val="0"/>
          <w:spacing w:val="-3"/>
          <w:sz w:val="22"/>
          <w:szCs w:val="22"/>
        </w:rPr>
      </w:pPr>
      <w:r w:rsidRPr="00EC191B">
        <w:rPr>
          <w:snapToGrid w:val="0"/>
          <w:spacing w:val="-3"/>
          <w:sz w:val="22"/>
          <w:szCs w:val="22"/>
        </w:rPr>
        <w:t>(</w:t>
      </w:r>
      <w:r w:rsidR="000D465A" w:rsidRPr="00EC191B">
        <w:rPr>
          <w:snapToGrid w:val="0"/>
          <w:spacing w:val="-3"/>
          <w:sz w:val="22"/>
          <w:szCs w:val="22"/>
        </w:rPr>
        <w:t>5</w:t>
      </w:r>
      <w:r w:rsidRPr="00EC191B">
        <w:rPr>
          <w:snapToGrid w:val="0"/>
          <w:spacing w:val="-3"/>
          <w:sz w:val="22"/>
          <w:szCs w:val="22"/>
        </w:rPr>
        <w:t xml:space="preserve">)  </w:t>
      </w:r>
      <w:r w:rsidRPr="00EC191B">
        <w:rPr>
          <w:snapToGrid w:val="0"/>
          <w:spacing w:val="-3"/>
          <w:sz w:val="22"/>
          <w:szCs w:val="22"/>
          <w:u w:val="single"/>
        </w:rPr>
        <w:t>Coding Updates and Corrections</w:t>
      </w:r>
      <w:r w:rsidRPr="00EC191B">
        <w:rPr>
          <w:snapToGrid w:val="0"/>
          <w:spacing w:val="-3"/>
          <w:sz w:val="22"/>
          <w:szCs w:val="22"/>
        </w:rPr>
        <w:t>.</w:t>
      </w:r>
      <w:r w:rsidR="00EF0AFE" w:rsidRPr="00EC191B">
        <w:rPr>
          <w:snapToGrid w:val="0"/>
          <w:spacing w:val="-3"/>
          <w:sz w:val="22"/>
          <w:szCs w:val="22"/>
        </w:rPr>
        <w:t xml:space="preserve"> </w:t>
      </w:r>
      <w:r w:rsidR="009C719C" w:rsidRPr="00EC191B">
        <w:rPr>
          <w:snapToGrid w:val="0"/>
          <w:spacing w:val="-3"/>
          <w:sz w:val="22"/>
          <w:szCs w:val="22"/>
        </w:rPr>
        <w:t xml:space="preserve"> </w:t>
      </w:r>
      <w:r w:rsidR="00D213B1" w:rsidRPr="00EC191B">
        <w:rPr>
          <w:snapToGrid w:val="0"/>
          <w:spacing w:val="-3"/>
          <w:sz w:val="22"/>
          <w:szCs w:val="22"/>
        </w:rPr>
        <w:t>E</w:t>
      </w:r>
      <w:r w:rsidR="009614D8" w:rsidRPr="00EC191B">
        <w:rPr>
          <w:snapToGrid w:val="0"/>
          <w:spacing w:val="-3"/>
          <w:sz w:val="22"/>
          <w:szCs w:val="22"/>
        </w:rPr>
        <w:t>OH</w:t>
      </w:r>
      <w:r w:rsidR="00D213B1" w:rsidRPr="00EC191B">
        <w:rPr>
          <w:snapToGrid w:val="0"/>
          <w:spacing w:val="-3"/>
          <w:sz w:val="22"/>
          <w:szCs w:val="22"/>
        </w:rPr>
        <w:t xml:space="preserve">HS </w:t>
      </w:r>
      <w:r w:rsidRPr="00EC191B">
        <w:rPr>
          <w:snapToGrid w:val="0"/>
          <w:spacing w:val="-3"/>
          <w:sz w:val="22"/>
          <w:szCs w:val="22"/>
        </w:rPr>
        <w:t xml:space="preserve">may publish procedure code updates and corrections in the form of </w:t>
      </w:r>
      <w:r w:rsidR="00B65669" w:rsidRPr="00EC191B">
        <w:rPr>
          <w:snapToGrid w:val="0"/>
          <w:spacing w:val="-3"/>
          <w:sz w:val="22"/>
          <w:szCs w:val="22"/>
        </w:rPr>
        <w:t>an a</w:t>
      </w:r>
      <w:r w:rsidRPr="00EC191B">
        <w:rPr>
          <w:snapToGrid w:val="0"/>
          <w:spacing w:val="-3"/>
          <w:sz w:val="22"/>
          <w:szCs w:val="22"/>
        </w:rPr>
        <w:t xml:space="preserve">dministrative </w:t>
      </w:r>
      <w:r w:rsidR="00DD36DA" w:rsidRPr="00EC191B">
        <w:rPr>
          <w:snapToGrid w:val="0"/>
          <w:spacing w:val="-3"/>
          <w:sz w:val="22"/>
          <w:szCs w:val="22"/>
        </w:rPr>
        <w:t>b</w:t>
      </w:r>
      <w:r w:rsidRPr="00EC191B">
        <w:rPr>
          <w:snapToGrid w:val="0"/>
          <w:spacing w:val="-3"/>
          <w:sz w:val="22"/>
          <w:szCs w:val="22"/>
        </w:rPr>
        <w:t>ulletin. Updates may reference coding systems including</w:t>
      </w:r>
      <w:r w:rsidR="00DD36DA" w:rsidRPr="00EC191B">
        <w:rPr>
          <w:snapToGrid w:val="0"/>
          <w:spacing w:val="-3"/>
          <w:sz w:val="22"/>
          <w:szCs w:val="22"/>
        </w:rPr>
        <w:t>,</w:t>
      </w:r>
      <w:r w:rsidRPr="00EC191B">
        <w:rPr>
          <w:snapToGrid w:val="0"/>
          <w:spacing w:val="-3"/>
          <w:sz w:val="22"/>
          <w:szCs w:val="22"/>
        </w:rPr>
        <w:t xml:space="preserve"> but not limited</w:t>
      </w:r>
      <w:r w:rsidR="00DD36DA" w:rsidRPr="00EC191B">
        <w:rPr>
          <w:snapToGrid w:val="0"/>
          <w:spacing w:val="-3"/>
          <w:sz w:val="22"/>
          <w:szCs w:val="22"/>
        </w:rPr>
        <w:t>,</w:t>
      </w:r>
      <w:r w:rsidRPr="00EC191B">
        <w:rPr>
          <w:snapToGrid w:val="0"/>
          <w:spacing w:val="-3"/>
          <w:sz w:val="22"/>
          <w:szCs w:val="22"/>
        </w:rPr>
        <w:t xml:space="preserve"> to the American Medical Association’s </w:t>
      </w:r>
      <w:r w:rsidRPr="00EC191B">
        <w:rPr>
          <w:i/>
          <w:snapToGrid w:val="0"/>
          <w:spacing w:val="-3"/>
          <w:sz w:val="22"/>
          <w:szCs w:val="22"/>
        </w:rPr>
        <w:t>Current Procedural Terminology</w:t>
      </w:r>
      <w:r w:rsidRPr="00EC191B">
        <w:rPr>
          <w:snapToGrid w:val="0"/>
          <w:spacing w:val="-3"/>
          <w:sz w:val="22"/>
          <w:szCs w:val="22"/>
        </w:rPr>
        <w:t xml:space="preserve"> (CPT)</w:t>
      </w:r>
      <w:r w:rsidR="00CF2C8A" w:rsidRPr="00EC191B">
        <w:rPr>
          <w:snapToGrid w:val="0"/>
          <w:spacing w:val="-3"/>
          <w:sz w:val="22"/>
          <w:szCs w:val="22"/>
        </w:rPr>
        <w:t xml:space="preserve"> and/or the Healthcare Common Procedure Coding System (HCPCS)</w:t>
      </w:r>
      <w:r w:rsidRPr="00EC191B">
        <w:rPr>
          <w:snapToGrid w:val="0"/>
          <w:spacing w:val="-3"/>
          <w:sz w:val="22"/>
          <w:szCs w:val="22"/>
        </w:rPr>
        <w:t>. The publication of such updates and corrections will list:</w:t>
      </w:r>
    </w:p>
    <w:p w14:paraId="21F05AA2" w14:textId="66611092" w:rsidR="00265E00" w:rsidRPr="00EC191B" w:rsidRDefault="003B5582" w:rsidP="00700978">
      <w:pPr>
        <w:tabs>
          <w:tab w:val="left" w:pos="0"/>
          <w:tab w:val="left" w:pos="1800"/>
        </w:tabs>
        <w:suppressAutoHyphens/>
        <w:ind w:left="1080"/>
        <w:rPr>
          <w:snapToGrid w:val="0"/>
          <w:spacing w:val="-3"/>
          <w:sz w:val="22"/>
          <w:szCs w:val="22"/>
        </w:rPr>
      </w:pPr>
      <w:r w:rsidRPr="00EC191B">
        <w:rPr>
          <w:snapToGrid w:val="0"/>
          <w:spacing w:val="-3"/>
          <w:sz w:val="22"/>
          <w:szCs w:val="22"/>
        </w:rPr>
        <w:t xml:space="preserve">(a) </w:t>
      </w:r>
      <w:r w:rsidR="00921FF6" w:rsidRPr="00EC191B">
        <w:rPr>
          <w:snapToGrid w:val="0"/>
          <w:spacing w:val="-3"/>
          <w:sz w:val="22"/>
          <w:szCs w:val="22"/>
        </w:rPr>
        <w:t xml:space="preserve"> </w:t>
      </w:r>
      <w:r w:rsidR="00265E00" w:rsidRPr="00EC191B">
        <w:rPr>
          <w:snapToGrid w:val="0"/>
          <w:spacing w:val="-3"/>
          <w:sz w:val="22"/>
          <w:szCs w:val="22"/>
        </w:rPr>
        <w:t>codes for which the code numbers change, with the corresponding cross</w:t>
      </w:r>
      <w:r w:rsidR="00DD36DA" w:rsidRPr="00EC191B">
        <w:rPr>
          <w:snapToGrid w:val="0"/>
          <w:spacing w:val="-3"/>
          <w:sz w:val="22"/>
          <w:szCs w:val="22"/>
        </w:rPr>
        <w:t>-</w:t>
      </w:r>
      <w:r w:rsidR="00265E00" w:rsidRPr="00EC191B">
        <w:rPr>
          <w:snapToGrid w:val="0"/>
          <w:spacing w:val="-3"/>
          <w:sz w:val="22"/>
          <w:szCs w:val="22"/>
        </w:rPr>
        <w:t>references between new codes</w:t>
      </w:r>
      <w:r w:rsidR="007270B4" w:rsidRPr="00EC191B">
        <w:rPr>
          <w:snapToGrid w:val="0"/>
          <w:spacing w:val="-3"/>
          <w:sz w:val="22"/>
          <w:szCs w:val="22"/>
        </w:rPr>
        <w:t xml:space="preserve"> and the codes being replaced. Rates for such new codes are set at the rate of the code that is being replaced</w:t>
      </w:r>
      <w:r w:rsidR="00265E00" w:rsidRPr="00EC191B">
        <w:rPr>
          <w:snapToGrid w:val="0"/>
          <w:spacing w:val="-3"/>
          <w:sz w:val="22"/>
          <w:szCs w:val="22"/>
        </w:rPr>
        <w:t>;</w:t>
      </w:r>
    </w:p>
    <w:p w14:paraId="59CE49D1" w14:textId="574036B8" w:rsidR="00DD36DA" w:rsidRPr="00EC191B" w:rsidRDefault="003B5582" w:rsidP="00700978">
      <w:pPr>
        <w:tabs>
          <w:tab w:val="left" w:pos="0"/>
        </w:tabs>
        <w:suppressAutoHyphens/>
        <w:ind w:left="1080"/>
        <w:rPr>
          <w:snapToGrid w:val="0"/>
          <w:spacing w:val="-3"/>
          <w:sz w:val="22"/>
          <w:szCs w:val="22"/>
        </w:rPr>
      </w:pPr>
      <w:r w:rsidRPr="00EC191B">
        <w:rPr>
          <w:snapToGrid w:val="0"/>
          <w:spacing w:val="-3"/>
          <w:sz w:val="22"/>
          <w:szCs w:val="22"/>
        </w:rPr>
        <w:t xml:space="preserve">(b) </w:t>
      </w:r>
      <w:r w:rsidR="00921FF6" w:rsidRPr="00EC191B">
        <w:rPr>
          <w:snapToGrid w:val="0"/>
          <w:spacing w:val="-3"/>
          <w:sz w:val="22"/>
          <w:szCs w:val="22"/>
        </w:rPr>
        <w:t xml:space="preserve"> </w:t>
      </w:r>
      <w:r w:rsidR="00DD36DA" w:rsidRPr="00EC191B">
        <w:rPr>
          <w:snapToGrid w:val="0"/>
          <w:spacing w:val="-3"/>
          <w:sz w:val="22"/>
          <w:szCs w:val="22"/>
        </w:rPr>
        <w:t>codes for which the code number remains the same, but the description has changed;</w:t>
      </w:r>
    </w:p>
    <w:p w14:paraId="1CD1AFDA" w14:textId="7E65C319" w:rsidR="00FC61DC" w:rsidRPr="00EC191B" w:rsidRDefault="00DD36DA" w:rsidP="00700978">
      <w:pPr>
        <w:tabs>
          <w:tab w:val="left" w:pos="0"/>
        </w:tabs>
        <w:suppressAutoHyphens/>
        <w:ind w:left="1080"/>
        <w:rPr>
          <w:snapToGrid w:val="0"/>
          <w:spacing w:val="-3"/>
          <w:sz w:val="22"/>
          <w:szCs w:val="22"/>
        </w:rPr>
      </w:pPr>
      <w:r w:rsidRPr="00EC191B">
        <w:rPr>
          <w:snapToGrid w:val="0"/>
          <w:spacing w:val="-3"/>
          <w:sz w:val="22"/>
          <w:szCs w:val="22"/>
        </w:rPr>
        <w:t>(c)</w:t>
      </w:r>
      <w:r w:rsidR="00C93DA4" w:rsidRPr="00EC191B">
        <w:rPr>
          <w:snapToGrid w:val="0"/>
          <w:spacing w:val="-3"/>
          <w:sz w:val="22"/>
          <w:szCs w:val="22"/>
        </w:rPr>
        <w:t xml:space="preserve"> </w:t>
      </w:r>
      <w:r w:rsidRPr="00EC191B">
        <w:rPr>
          <w:snapToGrid w:val="0"/>
          <w:spacing w:val="-3"/>
          <w:sz w:val="22"/>
          <w:szCs w:val="22"/>
        </w:rPr>
        <w:t xml:space="preserve"> </w:t>
      </w:r>
      <w:r w:rsidR="00265E00" w:rsidRPr="00EC191B">
        <w:rPr>
          <w:snapToGrid w:val="0"/>
          <w:spacing w:val="-3"/>
          <w:sz w:val="22"/>
          <w:szCs w:val="22"/>
        </w:rPr>
        <w:t>deleted codes for which there are no corresponding new codes; and</w:t>
      </w:r>
    </w:p>
    <w:p w14:paraId="3353FE1C" w14:textId="49523603" w:rsidR="00265E00" w:rsidRPr="00EC191B" w:rsidRDefault="003B5582" w:rsidP="00700978">
      <w:pPr>
        <w:tabs>
          <w:tab w:val="left" w:pos="0"/>
        </w:tabs>
        <w:suppressAutoHyphens/>
        <w:ind w:left="1080"/>
        <w:rPr>
          <w:snapToGrid w:val="0"/>
          <w:spacing w:val="-3"/>
          <w:sz w:val="22"/>
          <w:szCs w:val="22"/>
        </w:rPr>
      </w:pPr>
      <w:r w:rsidRPr="00EC191B">
        <w:rPr>
          <w:snapToGrid w:val="0"/>
          <w:spacing w:val="-3"/>
          <w:sz w:val="22"/>
          <w:szCs w:val="22"/>
        </w:rPr>
        <w:t>(</w:t>
      </w:r>
      <w:r w:rsidR="00DD36DA" w:rsidRPr="00EC191B">
        <w:rPr>
          <w:snapToGrid w:val="0"/>
          <w:spacing w:val="-3"/>
          <w:sz w:val="22"/>
          <w:szCs w:val="22"/>
        </w:rPr>
        <w:t>d</w:t>
      </w:r>
      <w:r w:rsidRPr="00EC191B">
        <w:rPr>
          <w:snapToGrid w:val="0"/>
          <w:spacing w:val="-3"/>
          <w:sz w:val="22"/>
          <w:szCs w:val="22"/>
        </w:rPr>
        <w:t xml:space="preserve">) </w:t>
      </w:r>
      <w:r w:rsidR="00921FF6" w:rsidRPr="00EC191B">
        <w:rPr>
          <w:snapToGrid w:val="0"/>
          <w:spacing w:val="-3"/>
          <w:sz w:val="22"/>
          <w:szCs w:val="22"/>
        </w:rPr>
        <w:t xml:space="preserve"> </w:t>
      </w:r>
      <w:r w:rsidR="00265E00" w:rsidRPr="00EC191B">
        <w:rPr>
          <w:snapToGrid w:val="0"/>
          <w:spacing w:val="-3"/>
          <w:sz w:val="22"/>
          <w:szCs w:val="22"/>
        </w:rPr>
        <w:t xml:space="preserve">codes for entirely new </w:t>
      </w:r>
      <w:r w:rsidR="007308FB" w:rsidRPr="00EC191B">
        <w:rPr>
          <w:snapToGrid w:val="0"/>
          <w:spacing w:val="-3"/>
          <w:sz w:val="22"/>
          <w:szCs w:val="22"/>
        </w:rPr>
        <w:t xml:space="preserve">services that require pricing. </w:t>
      </w:r>
      <w:r w:rsidR="00D213B1" w:rsidRPr="00EC191B">
        <w:rPr>
          <w:snapToGrid w:val="0"/>
          <w:spacing w:val="-3"/>
          <w:sz w:val="22"/>
          <w:szCs w:val="22"/>
        </w:rPr>
        <w:t>E</w:t>
      </w:r>
      <w:r w:rsidR="009614D8" w:rsidRPr="00EC191B">
        <w:rPr>
          <w:snapToGrid w:val="0"/>
          <w:spacing w:val="-3"/>
          <w:sz w:val="22"/>
          <w:szCs w:val="22"/>
        </w:rPr>
        <w:t>OH</w:t>
      </w:r>
      <w:r w:rsidR="00D213B1" w:rsidRPr="00EC191B">
        <w:rPr>
          <w:snapToGrid w:val="0"/>
          <w:spacing w:val="-3"/>
          <w:sz w:val="22"/>
          <w:szCs w:val="22"/>
        </w:rPr>
        <w:t xml:space="preserve">HS </w:t>
      </w:r>
      <w:r w:rsidR="00265E00" w:rsidRPr="00EC191B">
        <w:rPr>
          <w:snapToGrid w:val="0"/>
          <w:spacing w:val="-3"/>
          <w:sz w:val="22"/>
          <w:szCs w:val="22"/>
        </w:rPr>
        <w:t>will list these codes and apply individual consideration (</w:t>
      </w:r>
      <w:r w:rsidR="00097C8F">
        <w:rPr>
          <w:snapToGrid w:val="0"/>
          <w:spacing w:val="-3"/>
          <w:sz w:val="22"/>
          <w:szCs w:val="22"/>
        </w:rPr>
        <w:t>IC</w:t>
      </w:r>
      <w:r w:rsidR="00265E00" w:rsidRPr="00EC191B">
        <w:rPr>
          <w:snapToGrid w:val="0"/>
          <w:spacing w:val="-3"/>
          <w:sz w:val="22"/>
          <w:szCs w:val="22"/>
        </w:rPr>
        <w:t xml:space="preserve">) </w:t>
      </w:r>
      <w:r w:rsidR="00DD36DA" w:rsidRPr="00EC191B">
        <w:rPr>
          <w:snapToGrid w:val="0"/>
          <w:spacing w:val="-3"/>
          <w:sz w:val="22"/>
          <w:szCs w:val="22"/>
        </w:rPr>
        <w:t>payment</w:t>
      </w:r>
      <w:r w:rsidR="00265E00" w:rsidRPr="00EC191B">
        <w:rPr>
          <w:snapToGrid w:val="0"/>
          <w:spacing w:val="-3"/>
          <w:sz w:val="22"/>
          <w:szCs w:val="22"/>
        </w:rPr>
        <w:t xml:space="preserve"> for these codes until appropriate rates can be developed.</w:t>
      </w:r>
    </w:p>
    <w:p w14:paraId="38484FB0" w14:textId="77777777" w:rsidR="007E3650" w:rsidRPr="00EC191B" w:rsidRDefault="007E3650" w:rsidP="00BD3C24">
      <w:pPr>
        <w:tabs>
          <w:tab w:val="left" w:pos="0"/>
        </w:tabs>
        <w:suppressAutoHyphens/>
        <w:jc w:val="both"/>
        <w:rPr>
          <w:sz w:val="22"/>
          <w:szCs w:val="22"/>
        </w:rPr>
      </w:pPr>
    </w:p>
    <w:p w14:paraId="4925F2C5" w14:textId="5AECABAC" w:rsidR="005D3253" w:rsidRPr="00EC191B" w:rsidRDefault="007270B4" w:rsidP="00CF6796">
      <w:pPr>
        <w:tabs>
          <w:tab w:val="left" w:pos="0"/>
          <w:tab w:val="left" w:pos="1800"/>
        </w:tabs>
        <w:suppressAutoHyphens/>
        <w:ind w:left="720"/>
        <w:rPr>
          <w:sz w:val="22"/>
          <w:szCs w:val="22"/>
        </w:rPr>
      </w:pPr>
      <w:r w:rsidRPr="00EC191B">
        <w:rPr>
          <w:snapToGrid w:val="0"/>
          <w:spacing w:val="-3"/>
          <w:sz w:val="22"/>
          <w:szCs w:val="22"/>
        </w:rPr>
        <w:t>(</w:t>
      </w:r>
      <w:r w:rsidR="000D465A" w:rsidRPr="00EC191B">
        <w:rPr>
          <w:snapToGrid w:val="0"/>
          <w:spacing w:val="-3"/>
          <w:sz w:val="22"/>
          <w:szCs w:val="22"/>
        </w:rPr>
        <w:t>6</w:t>
      </w:r>
      <w:r w:rsidRPr="00EC191B">
        <w:rPr>
          <w:snapToGrid w:val="0"/>
          <w:spacing w:val="-3"/>
          <w:sz w:val="22"/>
          <w:szCs w:val="22"/>
        </w:rPr>
        <w:t>)</w:t>
      </w:r>
      <w:r w:rsidR="005A6CC7" w:rsidRPr="00EC191B">
        <w:rPr>
          <w:snapToGrid w:val="0"/>
          <w:spacing w:val="-3"/>
          <w:sz w:val="22"/>
          <w:szCs w:val="22"/>
        </w:rPr>
        <w:t xml:space="preserve">  </w:t>
      </w:r>
      <w:r w:rsidRPr="00EC191B">
        <w:rPr>
          <w:snapToGrid w:val="0"/>
          <w:spacing w:val="-3"/>
          <w:sz w:val="22"/>
          <w:szCs w:val="22"/>
          <w:u w:val="single"/>
        </w:rPr>
        <w:t>Administrative Bulletins</w:t>
      </w:r>
      <w:r w:rsidRPr="00EC191B">
        <w:rPr>
          <w:snapToGrid w:val="0"/>
          <w:spacing w:val="-3"/>
          <w:sz w:val="22"/>
          <w:szCs w:val="22"/>
        </w:rPr>
        <w:t xml:space="preserve">.  </w:t>
      </w:r>
      <w:r w:rsidRPr="00EC191B">
        <w:rPr>
          <w:sz w:val="22"/>
          <w:szCs w:val="22"/>
        </w:rPr>
        <w:t>EOHHS may issue administrative bulletins to add, delete, or otherwise update codes or modifiers, to clarify its policy on and understanding of substantive provisions of 101 CMR 312.00, and as otherwise specified in 101 CMR 312.00</w:t>
      </w:r>
      <w:r w:rsidR="00A50C9F" w:rsidRPr="00EC191B">
        <w:rPr>
          <w:sz w:val="22"/>
          <w:szCs w:val="22"/>
        </w:rPr>
        <w:t>.</w:t>
      </w:r>
    </w:p>
    <w:p w14:paraId="4FDF559E" w14:textId="4482CEC2" w:rsidR="00265E00" w:rsidRPr="00EC191B" w:rsidRDefault="005D3253" w:rsidP="005D3253">
      <w:pPr>
        <w:tabs>
          <w:tab w:val="left" w:pos="0"/>
        </w:tabs>
        <w:suppressAutoHyphens/>
        <w:jc w:val="both"/>
        <w:rPr>
          <w:sz w:val="22"/>
          <w:szCs w:val="22"/>
          <w:u w:val="single"/>
        </w:rPr>
      </w:pPr>
      <w:r w:rsidRPr="00EC191B">
        <w:rPr>
          <w:sz w:val="22"/>
          <w:szCs w:val="22"/>
        </w:rPr>
        <w:br w:type="page"/>
      </w:r>
      <w:r w:rsidR="004A43F2" w:rsidRPr="00EC191B">
        <w:rPr>
          <w:sz w:val="22"/>
          <w:szCs w:val="22"/>
          <w:u w:val="single"/>
        </w:rPr>
        <w:lastRenderedPageBreak/>
        <w:t>3</w:t>
      </w:r>
      <w:r w:rsidR="00265E00" w:rsidRPr="00EC191B">
        <w:rPr>
          <w:sz w:val="22"/>
          <w:szCs w:val="22"/>
          <w:u w:val="single"/>
        </w:rPr>
        <w:t>12.02:  General Definitions</w:t>
      </w:r>
    </w:p>
    <w:p w14:paraId="45E4775F" w14:textId="77777777" w:rsidR="0074342F" w:rsidRPr="00EC191B" w:rsidRDefault="0074342F">
      <w:pPr>
        <w:pStyle w:val="PlainText"/>
        <w:rPr>
          <w:sz w:val="22"/>
          <w:szCs w:val="22"/>
        </w:rPr>
      </w:pPr>
    </w:p>
    <w:p w14:paraId="68C463B5" w14:textId="75A91EC7" w:rsidR="00265E00" w:rsidRPr="00EC191B" w:rsidRDefault="00265E00" w:rsidP="00630666">
      <w:pPr>
        <w:pStyle w:val="PlainText"/>
        <w:ind w:left="720" w:firstLine="360"/>
        <w:rPr>
          <w:rFonts w:ascii="Times New Roman" w:hAnsi="Times New Roman"/>
          <w:sz w:val="22"/>
          <w:szCs w:val="22"/>
        </w:rPr>
      </w:pPr>
      <w:r w:rsidRPr="00EC191B">
        <w:rPr>
          <w:rFonts w:ascii="Times New Roman" w:hAnsi="Times New Roman"/>
          <w:sz w:val="22"/>
          <w:szCs w:val="22"/>
        </w:rPr>
        <w:t>As used in 1</w:t>
      </w:r>
      <w:r w:rsidR="00C17004" w:rsidRPr="00EC191B">
        <w:rPr>
          <w:rFonts w:ascii="Times New Roman" w:hAnsi="Times New Roman"/>
          <w:sz w:val="22"/>
          <w:szCs w:val="22"/>
        </w:rPr>
        <w:t>0</w:t>
      </w:r>
      <w:r w:rsidRPr="00EC191B">
        <w:rPr>
          <w:rFonts w:ascii="Times New Roman" w:hAnsi="Times New Roman"/>
          <w:sz w:val="22"/>
          <w:szCs w:val="22"/>
        </w:rPr>
        <w:t xml:space="preserve">1 CMR </w:t>
      </w:r>
      <w:r w:rsidR="00C17004" w:rsidRPr="00EC191B">
        <w:rPr>
          <w:rFonts w:ascii="Times New Roman" w:hAnsi="Times New Roman"/>
          <w:sz w:val="22"/>
          <w:szCs w:val="22"/>
        </w:rPr>
        <w:t>3</w:t>
      </w:r>
      <w:r w:rsidRPr="00EC191B">
        <w:rPr>
          <w:rFonts w:ascii="Times New Roman" w:hAnsi="Times New Roman"/>
          <w:sz w:val="22"/>
          <w:szCs w:val="22"/>
        </w:rPr>
        <w:t>12.00, unless the context clearly otherwise requires, the following terms have the meanings</w:t>
      </w:r>
      <w:r w:rsidR="00E42ABD">
        <w:rPr>
          <w:rFonts w:ascii="Times New Roman" w:hAnsi="Times New Roman"/>
          <w:sz w:val="22"/>
          <w:szCs w:val="22"/>
        </w:rPr>
        <w:t xml:space="preserve"> in </w:t>
      </w:r>
      <w:r w:rsidR="00E42ABD" w:rsidRPr="00E42ABD">
        <w:rPr>
          <w:rFonts w:ascii="Times New Roman" w:hAnsi="Times New Roman"/>
          <w:sz w:val="22"/>
          <w:szCs w:val="22"/>
        </w:rPr>
        <w:t xml:space="preserve">101 CMR </w:t>
      </w:r>
      <w:r w:rsidR="00E42ABD">
        <w:rPr>
          <w:rFonts w:ascii="Times New Roman" w:hAnsi="Times New Roman"/>
          <w:sz w:val="22"/>
          <w:szCs w:val="22"/>
        </w:rPr>
        <w:t>312</w:t>
      </w:r>
      <w:r w:rsidR="00E42ABD" w:rsidRPr="00E42ABD">
        <w:rPr>
          <w:rFonts w:ascii="Times New Roman" w:hAnsi="Times New Roman"/>
          <w:sz w:val="22"/>
          <w:szCs w:val="22"/>
        </w:rPr>
        <w:t>.02</w:t>
      </w:r>
      <w:r w:rsidR="00E42ABD">
        <w:rPr>
          <w:rFonts w:ascii="Times New Roman" w:hAnsi="Times New Roman"/>
          <w:sz w:val="22"/>
          <w:szCs w:val="22"/>
        </w:rPr>
        <w:t>.</w:t>
      </w:r>
    </w:p>
    <w:p w14:paraId="5131FBAE" w14:textId="77777777" w:rsidR="009614D8" w:rsidRPr="00EC191B" w:rsidRDefault="009614D8">
      <w:pPr>
        <w:pStyle w:val="PlainText"/>
        <w:rPr>
          <w:rFonts w:ascii="Times New Roman" w:hAnsi="Times New Roman"/>
          <w:sz w:val="22"/>
          <w:szCs w:val="22"/>
        </w:rPr>
      </w:pPr>
    </w:p>
    <w:p w14:paraId="059135C1" w14:textId="77777777" w:rsidR="0074342F" w:rsidRPr="00EC191B" w:rsidRDefault="0074342F" w:rsidP="003B5582">
      <w:pPr>
        <w:pStyle w:val="PlainText"/>
        <w:ind w:left="720"/>
        <w:rPr>
          <w:rFonts w:ascii="Times New Roman" w:hAnsi="Times New Roman"/>
          <w:sz w:val="22"/>
          <w:szCs w:val="22"/>
          <w:u w:val="single"/>
        </w:rPr>
      </w:pPr>
      <w:r w:rsidRPr="00EC191B">
        <w:rPr>
          <w:rFonts w:ascii="Times New Roman" w:hAnsi="Times New Roman"/>
          <w:spacing w:val="-3"/>
          <w:sz w:val="22"/>
          <w:szCs w:val="22"/>
          <w:u w:val="single"/>
        </w:rPr>
        <w:t>Center</w:t>
      </w:r>
      <w:r w:rsidRPr="00EC191B">
        <w:rPr>
          <w:rFonts w:ascii="Times New Roman" w:hAnsi="Times New Roman"/>
          <w:spacing w:val="-3"/>
          <w:sz w:val="22"/>
          <w:szCs w:val="22"/>
        </w:rPr>
        <w:t>.  The Center for Health Information and Analysis established under M.G.L. c. 12C.</w:t>
      </w:r>
    </w:p>
    <w:p w14:paraId="2EC7E409" w14:textId="77777777" w:rsidR="0074342F" w:rsidRPr="00EC191B" w:rsidRDefault="0074342F" w:rsidP="003B5582">
      <w:pPr>
        <w:pStyle w:val="PlainText"/>
        <w:ind w:left="720"/>
        <w:rPr>
          <w:rFonts w:ascii="Times New Roman" w:hAnsi="Times New Roman"/>
          <w:sz w:val="22"/>
          <w:szCs w:val="22"/>
          <w:u w:val="single"/>
        </w:rPr>
      </w:pPr>
    </w:p>
    <w:p w14:paraId="45840C94" w14:textId="32977A6C"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Comprehensive Family Planning Agency</w:t>
      </w:r>
      <w:r w:rsidRPr="00EC191B">
        <w:rPr>
          <w:rFonts w:ascii="Times New Roman" w:hAnsi="Times New Roman"/>
          <w:sz w:val="22"/>
          <w:szCs w:val="22"/>
        </w:rPr>
        <w:t xml:space="preserve">.  A public or private agency </w:t>
      </w:r>
      <w:r w:rsidR="00CF2C8A" w:rsidRPr="00EC191B">
        <w:rPr>
          <w:rFonts w:ascii="Times New Roman" w:hAnsi="Times New Roman"/>
          <w:sz w:val="22"/>
          <w:szCs w:val="22"/>
        </w:rPr>
        <w:t xml:space="preserve">that </w:t>
      </w:r>
      <w:r w:rsidRPr="00EC191B">
        <w:rPr>
          <w:rFonts w:ascii="Times New Roman" w:hAnsi="Times New Roman"/>
          <w:sz w:val="22"/>
          <w:szCs w:val="22"/>
        </w:rPr>
        <w:t>demonstrates the capability of providing family planning medical services, family planning counseling services, follow-up health care, outreach</w:t>
      </w:r>
      <w:r w:rsidR="009E5784" w:rsidRPr="00EC191B">
        <w:rPr>
          <w:rFonts w:ascii="Times New Roman" w:hAnsi="Times New Roman"/>
          <w:sz w:val="22"/>
          <w:szCs w:val="22"/>
        </w:rPr>
        <w:t>,</w:t>
      </w:r>
      <w:r w:rsidRPr="00EC191B">
        <w:rPr>
          <w:rFonts w:ascii="Times New Roman" w:hAnsi="Times New Roman"/>
          <w:sz w:val="22"/>
          <w:szCs w:val="22"/>
        </w:rPr>
        <w:t xml:space="preserve"> and community education.</w:t>
      </w:r>
    </w:p>
    <w:p w14:paraId="75E36566" w14:textId="77777777" w:rsidR="00265E00" w:rsidRPr="00EC191B" w:rsidRDefault="00265E00" w:rsidP="003B5582">
      <w:pPr>
        <w:pStyle w:val="PlainText"/>
        <w:ind w:left="720"/>
        <w:rPr>
          <w:rFonts w:ascii="Times New Roman" w:hAnsi="Times New Roman"/>
          <w:sz w:val="22"/>
          <w:szCs w:val="22"/>
        </w:rPr>
      </w:pPr>
    </w:p>
    <w:p w14:paraId="2FB5FFE1" w14:textId="77777777"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Eligible Provider</w:t>
      </w:r>
      <w:r w:rsidRPr="00EC191B">
        <w:rPr>
          <w:rFonts w:ascii="Times New Roman" w:hAnsi="Times New Roman"/>
          <w:sz w:val="22"/>
          <w:szCs w:val="22"/>
        </w:rPr>
        <w:t xml:space="preserve">.  A </w:t>
      </w:r>
      <w:r w:rsidR="007270B4" w:rsidRPr="00EC191B">
        <w:rPr>
          <w:rFonts w:ascii="Times New Roman" w:hAnsi="Times New Roman"/>
          <w:sz w:val="22"/>
          <w:szCs w:val="22"/>
        </w:rPr>
        <w:t xml:space="preserve">comprehensive </w:t>
      </w:r>
      <w:r w:rsidRPr="00EC191B">
        <w:rPr>
          <w:rFonts w:ascii="Times New Roman" w:hAnsi="Times New Roman"/>
          <w:sz w:val="22"/>
          <w:szCs w:val="22"/>
        </w:rPr>
        <w:t xml:space="preserve">family planning agency </w:t>
      </w:r>
      <w:r w:rsidR="00C940B4" w:rsidRPr="00EC191B">
        <w:rPr>
          <w:rFonts w:ascii="Times New Roman" w:hAnsi="Times New Roman"/>
          <w:sz w:val="22"/>
          <w:szCs w:val="22"/>
        </w:rPr>
        <w:t>which</w:t>
      </w:r>
      <w:r w:rsidRPr="00EC191B">
        <w:rPr>
          <w:rFonts w:ascii="Times New Roman" w:hAnsi="Times New Roman"/>
          <w:sz w:val="22"/>
          <w:szCs w:val="22"/>
        </w:rPr>
        <w:t xml:space="preserve"> meets </w:t>
      </w:r>
      <w:r w:rsidR="00C940B4" w:rsidRPr="00EC191B">
        <w:rPr>
          <w:rFonts w:ascii="Times New Roman" w:hAnsi="Times New Roman"/>
          <w:sz w:val="22"/>
          <w:szCs w:val="22"/>
        </w:rPr>
        <w:t>such</w:t>
      </w:r>
      <w:r w:rsidRPr="00EC191B">
        <w:rPr>
          <w:rFonts w:ascii="Times New Roman" w:hAnsi="Times New Roman"/>
          <w:sz w:val="22"/>
          <w:szCs w:val="22"/>
        </w:rPr>
        <w:t xml:space="preserve"> </w:t>
      </w:r>
      <w:r w:rsidR="00C940B4" w:rsidRPr="00EC191B">
        <w:rPr>
          <w:rFonts w:ascii="Times New Roman" w:hAnsi="Times New Roman"/>
          <w:sz w:val="22"/>
          <w:szCs w:val="22"/>
        </w:rPr>
        <w:t>c</w:t>
      </w:r>
      <w:r w:rsidRPr="00EC191B">
        <w:rPr>
          <w:rFonts w:ascii="Times New Roman" w:hAnsi="Times New Roman"/>
          <w:sz w:val="22"/>
          <w:szCs w:val="22"/>
        </w:rPr>
        <w:t xml:space="preserve">onditions of </w:t>
      </w:r>
      <w:r w:rsidR="00C940B4" w:rsidRPr="00EC191B">
        <w:rPr>
          <w:rFonts w:ascii="Times New Roman" w:hAnsi="Times New Roman"/>
          <w:sz w:val="22"/>
          <w:szCs w:val="22"/>
        </w:rPr>
        <w:t>p</w:t>
      </w:r>
      <w:r w:rsidRPr="00EC191B">
        <w:rPr>
          <w:rFonts w:ascii="Times New Roman" w:hAnsi="Times New Roman"/>
          <w:sz w:val="22"/>
          <w:szCs w:val="22"/>
        </w:rPr>
        <w:t xml:space="preserve">articipation </w:t>
      </w:r>
      <w:r w:rsidR="00C940B4" w:rsidRPr="00EC191B">
        <w:rPr>
          <w:rFonts w:ascii="Times New Roman" w:hAnsi="Times New Roman"/>
          <w:sz w:val="22"/>
          <w:szCs w:val="22"/>
        </w:rPr>
        <w:t>as may be required by a governmental unit purchasing such services</w:t>
      </w:r>
      <w:r w:rsidRPr="00EC191B">
        <w:rPr>
          <w:rFonts w:ascii="Times New Roman" w:hAnsi="Times New Roman"/>
          <w:sz w:val="22"/>
          <w:szCs w:val="22"/>
        </w:rPr>
        <w:t>.</w:t>
      </w:r>
    </w:p>
    <w:p w14:paraId="74261E19" w14:textId="77777777" w:rsidR="00265E00" w:rsidRPr="00EC191B" w:rsidRDefault="00265E00" w:rsidP="003B5582">
      <w:pPr>
        <w:pStyle w:val="PlainText"/>
        <w:ind w:left="720"/>
        <w:rPr>
          <w:rFonts w:ascii="Times New Roman" w:hAnsi="Times New Roman"/>
          <w:sz w:val="22"/>
          <w:szCs w:val="22"/>
        </w:rPr>
      </w:pPr>
    </w:p>
    <w:p w14:paraId="755D8A3B" w14:textId="77777777" w:rsidR="009614D8" w:rsidRPr="00EC191B" w:rsidRDefault="009614D8" w:rsidP="003B5582">
      <w:pPr>
        <w:pStyle w:val="PlainText"/>
        <w:ind w:left="720"/>
        <w:rPr>
          <w:rFonts w:ascii="Times New Roman" w:hAnsi="Times New Roman"/>
          <w:sz w:val="22"/>
          <w:szCs w:val="22"/>
        </w:rPr>
      </w:pPr>
      <w:r w:rsidRPr="00EC191B">
        <w:rPr>
          <w:rFonts w:ascii="Times New Roman" w:hAnsi="Times New Roman"/>
          <w:sz w:val="22"/>
          <w:szCs w:val="22"/>
          <w:u w:val="single"/>
        </w:rPr>
        <w:t>EOHHS</w:t>
      </w:r>
      <w:r w:rsidRPr="00EC191B">
        <w:rPr>
          <w:rFonts w:ascii="Times New Roman" w:hAnsi="Times New Roman"/>
          <w:sz w:val="22"/>
          <w:szCs w:val="22"/>
        </w:rPr>
        <w:t>.  The Executive Office of Health and Human Services established under M.G.L. c. 6A.</w:t>
      </w:r>
    </w:p>
    <w:p w14:paraId="208D0208" w14:textId="77777777" w:rsidR="0074319F" w:rsidRPr="00EC191B" w:rsidRDefault="0074319F" w:rsidP="003B5582">
      <w:pPr>
        <w:pStyle w:val="PlainText"/>
        <w:ind w:left="720"/>
        <w:rPr>
          <w:rFonts w:ascii="Times New Roman" w:hAnsi="Times New Roman"/>
          <w:sz w:val="22"/>
          <w:szCs w:val="22"/>
          <w:u w:val="single"/>
        </w:rPr>
      </w:pPr>
    </w:p>
    <w:p w14:paraId="5C93A57A" w14:textId="77777777"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Established Patient</w:t>
      </w:r>
      <w:r w:rsidRPr="00EC191B">
        <w:rPr>
          <w:rFonts w:ascii="Times New Roman" w:hAnsi="Times New Roman"/>
          <w:sz w:val="22"/>
          <w:szCs w:val="22"/>
        </w:rPr>
        <w:t>.  A patient who has received professional services from the provider within the past three years.</w:t>
      </w:r>
    </w:p>
    <w:p w14:paraId="2740187B" w14:textId="77777777" w:rsidR="00D213B1" w:rsidRPr="00EC191B" w:rsidRDefault="00D213B1" w:rsidP="003B5582">
      <w:pPr>
        <w:pStyle w:val="PlainText"/>
        <w:ind w:left="720"/>
        <w:rPr>
          <w:rFonts w:ascii="Times New Roman" w:hAnsi="Times New Roman"/>
          <w:sz w:val="22"/>
          <w:szCs w:val="22"/>
        </w:rPr>
      </w:pPr>
    </w:p>
    <w:p w14:paraId="60F7F462" w14:textId="21906E20"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Governmental Unit</w:t>
      </w:r>
      <w:r w:rsidRPr="00EC191B">
        <w:rPr>
          <w:rFonts w:ascii="Times New Roman" w:hAnsi="Times New Roman"/>
          <w:sz w:val="22"/>
          <w:szCs w:val="22"/>
        </w:rPr>
        <w:t>.  The Commonwealth, any department, agency, board</w:t>
      </w:r>
      <w:r w:rsidR="00AD3B76">
        <w:rPr>
          <w:rFonts w:ascii="Times New Roman" w:hAnsi="Times New Roman"/>
          <w:sz w:val="22"/>
          <w:szCs w:val="22"/>
        </w:rPr>
        <w:t>,</w:t>
      </w:r>
      <w:r w:rsidRPr="00EC191B">
        <w:rPr>
          <w:rFonts w:ascii="Times New Roman" w:hAnsi="Times New Roman"/>
          <w:sz w:val="22"/>
          <w:szCs w:val="22"/>
        </w:rPr>
        <w:t xml:space="preserve"> or commission of the Commonwealth and any political subdivision of the Commonwealth.</w:t>
      </w:r>
    </w:p>
    <w:p w14:paraId="23673B4E" w14:textId="77777777" w:rsidR="00265E00" w:rsidRPr="00EC191B" w:rsidRDefault="00265E00" w:rsidP="003B5582">
      <w:pPr>
        <w:pStyle w:val="PlainText"/>
        <w:ind w:left="720"/>
        <w:rPr>
          <w:rFonts w:ascii="Times New Roman" w:hAnsi="Times New Roman"/>
          <w:sz w:val="22"/>
          <w:szCs w:val="22"/>
        </w:rPr>
      </w:pPr>
    </w:p>
    <w:p w14:paraId="4A5AE1CC" w14:textId="6F6C86D8" w:rsidR="00265E00" w:rsidRPr="00EC191B" w:rsidRDefault="00265E00" w:rsidP="007270B4">
      <w:pPr>
        <w:autoSpaceDE w:val="0"/>
        <w:autoSpaceDN w:val="0"/>
        <w:adjustRightInd w:val="0"/>
        <w:ind w:left="720"/>
        <w:rPr>
          <w:sz w:val="22"/>
          <w:szCs w:val="22"/>
        </w:rPr>
      </w:pPr>
      <w:r w:rsidRPr="00EC191B">
        <w:rPr>
          <w:sz w:val="22"/>
          <w:szCs w:val="22"/>
          <w:u w:val="single"/>
        </w:rPr>
        <w:t>Individual Consideration</w:t>
      </w:r>
      <w:r w:rsidR="007270B4" w:rsidRPr="00EC191B">
        <w:rPr>
          <w:sz w:val="22"/>
          <w:szCs w:val="22"/>
          <w:u w:val="single"/>
        </w:rPr>
        <w:t xml:space="preserve"> (IC)</w:t>
      </w:r>
      <w:r w:rsidRPr="00EC191B">
        <w:rPr>
          <w:sz w:val="22"/>
          <w:szCs w:val="22"/>
        </w:rPr>
        <w:t xml:space="preserve">.  </w:t>
      </w:r>
      <w:r w:rsidR="007270B4" w:rsidRPr="00EC191B">
        <w:rPr>
          <w:sz w:val="22"/>
          <w:szCs w:val="22"/>
        </w:rPr>
        <w:t xml:space="preserve">For </w:t>
      </w:r>
      <w:r w:rsidRPr="00EC191B">
        <w:rPr>
          <w:sz w:val="22"/>
          <w:szCs w:val="22"/>
        </w:rPr>
        <w:t xml:space="preserve">specified </w:t>
      </w:r>
      <w:r w:rsidR="007270B4" w:rsidRPr="00EC191B">
        <w:rPr>
          <w:sz w:val="22"/>
          <w:szCs w:val="22"/>
        </w:rPr>
        <w:t>drugs, injectables/vaccines</w:t>
      </w:r>
      <w:r w:rsidR="009E5784" w:rsidRPr="00EC191B">
        <w:rPr>
          <w:sz w:val="22"/>
          <w:szCs w:val="22"/>
        </w:rPr>
        <w:t>,</w:t>
      </w:r>
      <w:r w:rsidR="007270B4" w:rsidRPr="00EC191B">
        <w:rPr>
          <w:sz w:val="22"/>
          <w:szCs w:val="22"/>
        </w:rPr>
        <w:t xml:space="preserve"> and medical and related supplies that are listed in 101 CMR 312.03(4) with IC, payment will be </w:t>
      </w:r>
      <w:r w:rsidRPr="00EC191B">
        <w:rPr>
          <w:sz w:val="22"/>
          <w:szCs w:val="22"/>
        </w:rPr>
        <w:t>at cost</w:t>
      </w:r>
      <w:r w:rsidR="007270B4" w:rsidRPr="00EC191B">
        <w:rPr>
          <w:sz w:val="22"/>
          <w:szCs w:val="22"/>
        </w:rPr>
        <w:t>, subject to any documentation requirements of the governmental unit.</w:t>
      </w:r>
    </w:p>
    <w:p w14:paraId="1B952D5F" w14:textId="77777777" w:rsidR="0074319F" w:rsidRPr="00EC191B" w:rsidRDefault="0074319F" w:rsidP="00357112">
      <w:pPr>
        <w:pStyle w:val="PlainText"/>
        <w:rPr>
          <w:rFonts w:ascii="Times New Roman" w:hAnsi="Times New Roman"/>
          <w:sz w:val="22"/>
          <w:szCs w:val="22"/>
        </w:rPr>
      </w:pPr>
    </w:p>
    <w:p w14:paraId="44FA5C52" w14:textId="77777777"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New Patient</w:t>
      </w:r>
      <w:r w:rsidRPr="00EC191B">
        <w:rPr>
          <w:rFonts w:ascii="Times New Roman" w:hAnsi="Times New Roman"/>
          <w:sz w:val="22"/>
          <w:szCs w:val="22"/>
        </w:rPr>
        <w:t>.  A patient who has not received any professional services from the provider within the past three years.</w:t>
      </w:r>
    </w:p>
    <w:p w14:paraId="53B48237" w14:textId="77777777" w:rsidR="00265E00" w:rsidRPr="00EC191B" w:rsidRDefault="00265E00" w:rsidP="003B5582">
      <w:pPr>
        <w:pStyle w:val="PlainText"/>
        <w:ind w:left="720"/>
        <w:rPr>
          <w:rFonts w:ascii="Times New Roman" w:hAnsi="Times New Roman"/>
          <w:sz w:val="22"/>
          <w:szCs w:val="22"/>
        </w:rPr>
      </w:pPr>
    </w:p>
    <w:p w14:paraId="4EF45C4F" w14:textId="0F0559FF"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u w:val="single"/>
        </w:rPr>
        <w:t>Publicly</w:t>
      </w:r>
      <w:r w:rsidR="009E5784" w:rsidRPr="00EC191B">
        <w:rPr>
          <w:rFonts w:ascii="Times New Roman" w:hAnsi="Times New Roman"/>
          <w:sz w:val="22"/>
          <w:szCs w:val="22"/>
          <w:u w:val="single"/>
        </w:rPr>
        <w:t xml:space="preserve"> A</w:t>
      </w:r>
      <w:r w:rsidR="007270B4" w:rsidRPr="00EC191B">
        <w:rPr>
          <w:rFonts w:ascii="Times New Roman" w:hAnsi="Times New Roman"/>
          <w:sz w:val="22"/>
          <w:szCs w:val="22"/>
          <w:u w:val="single"/>
        </w:rPr>
        <w:t xml:space="preserve">ided </w:t>
      </w:r>
      <w:r w:rsidRPr="00EC191B">
        <w:rPr>
          <w:rFonts w:ascii="Times New Roman" w:hAnsi="Times New Roman"/>
          <w:sz w:val="22"/>
          <w:szCs w:val="22"/>
          <w:u w:val="single"/>
        </w:rPr>
        <w:t>Individual</w:t>
      </w:r>
      <w:r w:rsidRPr="00EC191B">
        <w:rPr>
          <w:rFonts w:ascii="Times New Roman" w:hAnsi="Times New Roman"/>
          <w:sz w:val="22"/>
          <w:szCs w:val="22"/>
        </w:rPr>
        <w:t>.  A person for whose medical and other services a governmental unit is in whole or in part liable under a statutory program.</w:t>
      </w:r>
    </w:p>
    <w:p w14:paraId="0F8624DC" w14:textId="77777777" w:rsidR="00265E00" w:rsidRPr="00EC191B" w:rsidRDefault="00265E00" w:rsidP="003B5582">
      <w:pPr>
        <w:pStyle w:val="PlainText"/>
        <w:ind w:left="720"/>
        <w:rPr>
          <w:rFonts w:ascii="Times New Roman" w:hAnsi="Times New Roman"/>
          <w:sz w:val="22"/>
          <w:szCs w:val="22"/>
        </w:rPr>
      </w:pPr>
    </w:p>
    <w:p w14:paraId="55EC60CD" w14:textId="70C717C6" w:rsidR="007270B4" w:rsidRPr="00EC191B" w:rsidRDefault="00265E00" w:rsidP="00283C74">
      <w:pPr>
        <w:pStyle w:val="PlainText"/>
        <w:ind w:left="720"/>
        <w:rPr>
          <w:rFonts w:ascii="Times New Roman" w:hAnsi="Times New Roman"/>
          <w:sz w:val="22"/>
          <w:szCs w:val="22"/>
        </w:rPr>
      </w:pPr>
      <w:r w:rsidRPr="00EC191B">
        <w:rPr>
          <w:rFonts w:ascii="Times New Roman" w:hAnsi="Times New Roman"/>
          <w:sz w:val="22"/>
          <w:szCs w:val="22"/>
          <w:u w:val="single"/>
        </w:rPr>
        <w:t>Separate Procedure</w:t>
      </w:r>
      <w:r w:rsidRPr="00EC191B">
        <w:rPr>
          <w:rFonts w:ascii="Times New Roman" w:hAnsi="Times New Roman"/>
          <w:sz w:val="22"/>
          <w:szCs w:val="22"/>
        </w:rPr>
        <w:t xml:space="preserve">.  Some of the listed procedures are commonly </w:t>
      </w:r>
      <w:r w:rsidR="00CF2C8A" w:rsidRPr="00EC191B">
        <w:rPr>
          <w:rFonts w:ascii="Times New Roman" w:hAnsi="Times New Roman"/>
          <w:sz w:val="22"/>
          <w:szCs w:val="22"/>
        </w:rPr>
        <w:t>performed</w:t>
      </w:r>
      <w:r w:rsidRPr="00EC191B">
        <w:rPr>
          <w:rFonts w:ascii="Times New Roman" w:hAnsi="Times New Roman"/>
          <w:sz w:val="22"/>
          <w:szCs w:val="22"/>
        </w:rPr>
        <w:t xml:space="preserve"> as an integral part of a total service and</w:t>
      </w:r>
      <w:r w:rsidR="00D213B1" w:rsidRPr="00EC191B">
        <w:rPr>
          <w:rFonts w:ascii="Times New Roman" w:hAnsi="Times New Roman"/>
          <w:sz w:val="22"/>
          <w:szCs w:val="22"/>
        </w:rPr>
        <w:t>,</w:t>
      </w:r>
      <w:r w:rsidRPr="00EC191B">
        <w:rPr>
          <w:rFonts w:ascii="Times New Roman" w:hAnsi="Times New Roman"/>
          <w:sz w:val="22"/>
          <w:szCs w:val="22"/>
        </w:rPr>
        <w:t xml:space="preserve"> as</w:t>
      </w:r>
      <w:r w:rsidR="00D213B1" w:rsidRPr="00EC191B">
        <w:rPr>
          <w:rFonts w:ascii="Times New Roman" w:hAnsi="Times New Roman"/>
          <w:sz w:val="22"/>
          <w:szCs w:val="22"/>
        </w:rPr>
        <w:t xml:space="preserve"> </w:t>
      </w:r>
      <w:r w:rsidRPr="00EC191B">
        <w:rPr>
          <w:rFonts w:ascii="Times New Roman" w:hAnsi="Times New Roman"/>
          <w:sz w:val="22"/>
          <w:szCs w:val="22"/>
        </w:rPr>
        <w:t>such</w:t>
      </w:r>
      <w:r w:rsidR="00D213B1" w:rsidRPr="00EC191B">
        <w:rPr>
          <w:rFonts w:ascii="Times New Roman" w:hAnsi="Times New Roman"/>
          <w:sz w:val="22"/>
          <w:szCs w:val="22"/>
        </w:rPr>
        <w:t>,</w:t>
      </w:r>
      <w:r w:rsidRPr="00EC191B">
        <w:rPr>
          <w:rFonts w:ascii="Times New Roman" w:hAnsi="Times New Roman"/>
          <w:sz w:val="22"/>
          <w:szCs w:val="22"/>
        </w:rPr>
        <w:t xml:space="preserve"> do not </w:t>
      </w:r>
      <w:proofErr w:type="gramStart"/>
      <w:r w:rsidRPr="00EC191B">
        <w:rPr>
          <w:rFonts w:ascii="Times New Roman" w:hAnsi="Times New Roman"/>
          <w:sz w:val="22"/>
          <w:szCs w:val="22"/>
        </w:rPr>
        <w:t>warrant</w:t>
      </w:r>
      <w:proofErr w:type="gramEnd"/>
      <w:r w:rsidRPr="00EC191B">
        <w:rPr>
          <w:rFonts w:ascii="Times New Roman" w:hAnsi="Times New Roman"/>
          <w:sz w:val="22"/>
          <w:szCs w:val="22"/>
        </w:rPr>
        <w:t xml:space="preserve"> a separate identification </w:t>
      </w:r>
      <w:r w:rsidR="00CF2C8A" w:rsidRPr="00EC191B">
        <w:rPr>
          <w:rFonts w:ascii="Times New Roman" w:hAnsi="Times New Roman"/>
          <w:sz w:val="22"/>
          <w:szCs w:val="22"/>
        </w:rPr>
        <w:t xml:space="preserve">or </w:t>
      </w:r>
      <w:r w:rsidRPr="00EC191B">
        <w:rPr>
          <w:rFonts w:ascii="Times New Roman" w:hAnsi="Times New Roman"/>
          <w:sz w:val="22"/>
          <w:szCs w:val="22"/>
        </w:rPr>
        <w:t xml:space="preserve">payment. When, however, such a procedure is performed independently of, and is not immediately related to other services, it may be listed </w:t>
      </w:r>
      <w:r w:rsidR="00CF2C8A" w:rsidRPr="00EC191B">
        <w:rPr>
          <w:rFonts w:ascii="Times New Roman" w:hAnsi="Times New Roman"/>
          <w:sz w:val="22"/>
          <w:szCs w:val="22"/>
        </w:rPr>
        <w:t>separately</w:t>
      </w:r>
      <w:r w:rsidRPr="00EC191B">
        <w:rPr>
          <w:rFonts w:ascii="Times New Roman" w:hAnsi="Times New Roman"/>
          <w:sz w:val="22"/>
          <w:szCs w:val="22"/>
        </w:rPr>
        <w:t xml:space="preserve"> in the procedure description. Thus, when a</w:t>
      </w:r>
      <w:r w:rsidR="00CF2C8A" w:rsidRPr="00EC191B">
        <w:rPr>
          <w:rFonts w:ascii="Times New Roman" w:hAnsi="Times New Roman"/>
          <w:sz w:val="22"/>
          <w:szCs w:val="22"/>
        </w:rPr>
        <w:t xml:space="preserve"> procedure that is ordinarily a component of a larger procedure is performed alone for a specific purp</w:t>
      </w:r>
      <w:r w:rsidR="00BB1334" w:rsidRPr="00EC191B">
        <w:rPr>
          <w:rFonts w:ascii="Times New Roman" w:hAnsi="Times New Roman"/>
          <w:sz w:val="22"/>
          <w:szCs w:val="22"/>
        </w:rPr>
        <w:t xml:space="preserve">ose, it may be considered </w:t>
      </w:r>
      <w:r w:rsidR="00CF2C8A" w:rsidRPr="00EC191B">
        <w:rPr>
          <w:rFonts w:ascii="Times New Roman" w:hAnsi="Times New Roman"/>
          <w:sz w:val="22"/>
          <w:szCs w:val="22"/>
        </w:rPr>
        <w:t>a separate procedure.</w:t>
      </w:r>
      <w:r w:rsidR="00F50B98">
        <w:rPr>
          <w:rFonts w:ascii="Times New Roman" w:hAnsi="Times New Roman"/>
          <w:sz w:val="22"/>
          <w:szCs w:val="22"/>
        </w:rPr>
        <w:t xml:space="preserve"> </w:t>
      </w:r>
      <w:r w:rsidR="00CF2C8A" w:rsidRPr="00EC191B">
        <w:rPr>
          <w:rFonts w:ascii="Times New Roman" w:hAnsi="Times New Roman"/>
          <w:sz w:val="22"/>
          <w:szCs w:val="22"/>
        </w:rPr>
        <w:t>There are certain procedures designated as "(SP)" which are in addition to those procedures designated "separate procedure" by the AMA-CPT coding structure. These "(SP)" procedures were designated "Independent Procedures" (IP) in the former six-digit coding structure.</w:t>
      </w:r>
    </w:p>
    <w:p w14:paraId="684A8351" w14:textId="77777777" w:rsidR="0074342F" w:rsidRPr="00EC191B" w:rsidRDefault="007270B4" w:rsidP="007270B4">
      <w:pPr>
        <w:pStyle w:val="PlainText"/>
        <w:ind w:left="720"/>
        <w:rPr>
          <w:rFonts w:ascii="Times New Roman" w:hAnsi="Times New Roman"/>
          <w:sz w:val="22"/>
          <w:szCs w:val="22"/>
          <w:u w:val="single"/>
        </w:rPr>
      </w:pPr>
      <w:r w:rsidRPr="00EC191B">
        <w:rPr>
          <w:rFonts w:ascii="Times New Roman" w:hAnsi="Times New Roman"/>
          <w:sz w:val="22"/>
          <w:szCs w:val="22"/>
          <w:u w:val="single"/>
        </w:rPr>
        <w:t xml:space="preserve"> </w:t>
      </w:r>
    </w:p>
    <w:p w14:paraId="0D9CBB61" w14:textId="2CDCC72C" w:rsidR="00265E00" w:rsidRPr="00EC191B" w:rsidRDefault="005D3253">
      <w:pPr>
        <w:pStyle w:val="PlainText"/>
        <w:rPr>
          <w:rFonts w:ascii="Times New Roman" w:hAnsi="Times New Roman"/>
          <w:sz w:val="22"/>
          <w:szCs w:val="22"/>
          <w:u w:val="single"/>
        </w:rPr>
      </w:pPr>
      <w:r w:rsidRPr="00EC191B">
        <w:rPr>
          <w:rFonts w:ascii="Times New Roman" w:hAnsi="Times New Roman"/>
          <w:sz w:val="22"/>
          <w:szCs w:val="22"/>
          <w:u w:val="single"/>
        </w:rPr>
        <w:br w:type="page"/>
      </w:r>
      <w:r w:rsidR="004A43F2" w:rsidRPr="00EC191B">
        <w:rPr>
          <w:rFonts w:ascii="Times New Roman" w:hAnsi="Times New Roman"/>
          <w:sz w:val="22"/>
          <w:szCs w:val="22"/>
          <w:u w:val="single"/>
        </w:rPr>
        <w:lastRenderedPageBreak/>
        <w:t>3</w:t>
      </w:r>
      <w:r w:rsidR="00265E00" w:rsidRPr="00EC191B">
        <w:rPr>
          <w:rFonts w:ascii="Times New Roman" w:hAnsi="Times New Roman"/>
          <w:sz w:val="22"/>
          <w:szCs w:val="22"/>
          <w:u w:val="single"/>
        </w:rPr>
        <w:t>12.03:  General Rate Provisions</w:t>
      </w:r>
    </w:p>
    <w:p w14:paraId="50CD42DE" w14:textId="77777777" w:rsidR="0074342F" w:rsidRPr="00EC191B" w:rsidRDefault="0074342F">
      <w:pPr>
        <w:pStyle w:val="PlainText"/>
        <w:rPr>
          <w:rFonts w:ascii="Times New Roman" w:hAnsi="Times New Roman"/>
          <w:sz w:val="22"/>
          <w:szCs w:val="22"/>
          <w:u w:val="single"/>
        </w:rPr>
      </w:pPr>
    </w:p>
    <w:p w14:paraId="6D8B1530" w14:textId="503E9223" w:rsidR="00265E00"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rPr>
        <w:t xml:space="preserve">(1)  </w:t>
      </w:r>
      <w:r w:rsidRPr="00EC191B">
        <w:rPr>
          <w:rFonts w:ascii="Times New Roman" w:hAnsi="Times New Roman"/>
          <w:sz w:val="22"/>
          <w:szCs w:val="22"/>
          <w:u w:val="single"/>
        </w:rPr>
        <w:t>Reimbursement as Full Payment</w:t>
      </w:r>
      <w:r w:rsidR="00DB7FA4" w:rsidRPr="00EC191B">
        <w:rPr>
          <w:rFonts w:ascii="Times New Roman" w:hAnsi="Times New Roman"/>
          <w:sz w:val="22"/>
          <w:szCs w:val="22"/>
        </w:rPr>
        <w:t xml:space="preserve">. </w:t>
      </w:r>
      <w:r w:rsidR="009E5784" w:rsidRPr="00EC191B">
        <w:rPr>
          <w:rFonts w:ascii="Times New Roman" w:hAnsi="Times New Roman"/>
          <w:sz w:val="22"/>
          <w:szCs w:val="22"/>
        </w:rPr>
        <w:t xml:space="preserve"> </w:t>
      </w:r>
      <w:r w:rsidRPr="00EC191B">
        <w:rPr>
          <w:rFonts w:ascii="Times New Roman" w:hAnsi="Times New Roman"/>
          <w:sz w:val="22"/>
          <w:szCs w:val="22"/>
        </w:rPr>
        <w:t xml:space="preserve">Each eligible provider </w:t>
      </w:r>
      <w:r w:rsidR="007270B4" w:rsidRPr="00EC191B">
        <w:rPr>
          <w:rFonts w:ascii="Times New Roman" w:hAnsi="Times New Roman"/>
          <w:sz w:val="22"/>
          <w:szCs w:val="22"/>
        </w:rPr>
        <w:t>must</w:t>
      </w:r>
      <w:r w:rsidRPr="00EC191B">
        <w:rPr>
          <w:rFonts w:ascii="Times New Roman" w:hAnsi="Times New Roman"/>
          <w:sz w:val="22"/>
          <w:szCs w:val="22"/>
        </w:rPr>
        <w:t xml:space="preserve">, as a condition of payment made by </w:t>
      </w:r>
      <w:proofErr w:type="gramStart"/>
      <w:r w:rsidRPr="00EC191B">
        <w:rPr>
          <w:rFonts w:ascii="Times New Roman" w:hAnsi="Times New Roman"/>
          <w:sz w:val="22"/>
          <w:szCs w:val="22"/>
        </w:rPr>
        <w:t>the purchasing</w:t>
      </w:r>
      <w:proofErr w:type="gramEnd"/>
      <w:r w:rsidRPr="00EC191B">
        <w:rPr>
          <w:rFonts w:ascii="Times New Roman" w:hAnsi="Times New Roman"/>
          <w:sz w:val="22"/>
          <w:szCs w:val="22"/>
        </w:rPr>
        <w:t xml:space="preserve"> </w:t>
      </w:r>
      <w:proofErr w:type="gramStart"/>
      <w:r w:rsidRPr="00EC191B">
        <w:rPr>
          <w:rFonts w:ascii="Times New Roman" w:hAnsi="Times New Roman"/>
          <w:sz w:val="22"/>
          <w:szCs w:val="22"/>
        </w:rPr>
        <w:t>governmental</w:t>
      </w:r>
      <w:proofErr w:type="gramEnd"/>
      <w:r w:rsidRPr="00EC191B">
        <w:rPr>
          <w:rFonts w:ascii="Times New Roman" w:hAnsi="Times New Roman"/>
          <w:sz w:val="22"/>
          <w:szCs w:val="22"/>
        </w:rPr>
        <w:t xml:space="preserve"> unit for services rendered, accept the approved program rate as full payment and discharge of all obligations for the services rendered. Any third</w:t>
      </w:r>
      <w:r w:rsidR="00934960" w:rsidRPr="00EC191B">
        <w:rPr>
          <w:rFonts w:ascii="Times New Roman" w:hAnsi="Times New Roman"/>
          <w:sz w:val="22"/>
          <w:szCs w:val="22"/>
        </w:rPr>
        <w:t>-</w:t>
      </w:r>
      <w:r w:rsidRPr="00EC191B">
        <w:rPr>
          <w:rFonts w:ascii="Times New Roman" w:hAnsi="Times New Roman"/>
          <w:sz w:val="22"/>
          <w:szCs w:val="22"/>
        </w:rPr>
        <w:t>party payments or sliding fees received on behalf of a publicly</w:t>
      </w:r>
      <w:r w:rsidR="009E5784" w:rsidRPr="00EC191B">
        <w:rPr>
          <w:rFonts w:ascii="Times New Roman" w:hAnsi="Times New Roman"/>
          <w:sz w:val="22"/>
          <w:szCs w:val="22"/>
        </w:rPr>
        <w:t xml:space="preserve"> </w:t>
      </w:r>
      <w:r w:rsidR="007270B4" w:rsidRPr="00EC191B">
        <w:rPr>
          <w:rFonts w:ascii="Times New Roman" w:hAnsi="Times New Roman"/>
          <w:sz w:val="22"/>
          <w:szCs w:val="22"/>
        </w:rPr>
        <w:t>aided individual</w:t>
      </w:r>
      <w:r w:rsidRPr="00EC191B">
        <w:rPr>
          <w:rFonts w:ascii="Times New Roman" w:hAnsi="Times New Roman"/>
          <w:sz w:val="22"/>
          <w:szCs w:val="22"/>
        </w:rPr>
        <w:t xml:space="preserve"> reduce</w:t>
      </w:r>
      <w:r w:rsidR="007270B4" w:rsidRPr="00EC191B">
        <w:rPr>
          <w:rFonts w:ascii="Times New Roman" w:hAnsi="Times New Roman"/>
          <w:sz w:val="22"/>
          <w:szCs w:val="22"/>
        </w:rPr>
        <w:t>s</w:t>
      </w:r>
      <w:r w:rsidRPr="00EC191B">
        <w:rPr>
          <w:rFonts w:ascii="Times New Roman" w:hAnsi="Times New Roman"/>
          <w:sz w:val="22"/>
          <w:szCs w:val="22"/>
        </w:rPr>
        <w:t xml:space="preserve">, by that amount, the purchasing governmental unit's </w:t>
      </w:r>
      <w:r w:rsidR="004264C4" w:rsidRPr="00EC191B">
        <w:rPr>
          <w:rFonts w:ascii="Times New Roman" w:hAnsi="Times New Roman"/>
          <w:sz w:val="22"/>
          <w:szCs w:val="22"/>
        </w:rPr>
        <w:t xml:space="preserve">payment </w:t>
      </w:r>
      <w:r w:rsidRPr="00EC191B">
        <w:rPr>
          <w:rFonts w:ascii="Times New Roman" w:hAnsi="Times New Roman"/>
          <w:sz w:val="22"/>
          <w:szCs w:val="22"/>
        </w:rPr>
        <w:t>for services rendered to the publicly</w:t>
      </w:r>
      <w:r w:rsidR="009E5784" w:rsidRPr="00EC191B">
        <w:rPr>
          <w:rFonts w:ascii="Times New Roman" w:hAnsi="Times New Roman"/>
          <w:sz w:val="22"/>
          <w:szCs w:val="22"/>
        </w:rPr>
        <w:t xml:space="preserve"> </w:t>
      </w:r>
      <w:r w:rsidR="007270B4" w:rsidRPr="00EC191B">
        <w:rPr>
          <w:rFonts w:ascii="Times New Roman" w:hAnsi="Times New Roman"/>
          <w:sz w:val="22"/>
          <w:szCs w:val="22"/>
        </w:rPr>
        <w:t>aided individual</w:t>
      </w:r>
      <w:r w:rsidRPr="00EC191B">
        <w:rPr>
          <w:rFonts w:ascii="Times New Roman" w:hAnsi="Times New Roman"/>
          <w:sz w:val="22"/>
          <w:szCs w:val="22"/>
        </w:rPr>
        <w:t>.</w:t>
      </w:r>
    </w:p>
    <w:p w14:paraId="0BB8CAC7" w14:textId="77777777" w:rsidR="00265E00" w:rsidRPr="00EC191B" w:rsidRDefault="00265E00" w:rsidP="003B5582">
      <w:pPr>
        <w:pStyle w:val="PlainText"/>
        <w:ind w:left="720"/>
        <w:rPr>
          <w:rFonts w:ascii="Times New Roman" w:hAnsi="Times New Roman"/>
          <w:sz w:val="22"/>
          <w:szCs w:val="22"/>
        </w:rPr>
      </w:pPr>
    </w:p>
    <w:p w14:paraId="4B47DCFB" w14:textId="317E0A0D" w:rsidR="003B5582" w:rsidRPr="00EC191B" w:rsidRDefault="00265E00" w:rsidP="003B5582">
      <w:pPr>
        <w:pStyle w:val="PlainText"/>
        <w:ind w:left="720"/>
        <w:rPr>
          <w:rFonts w:ascii="Times New Roman" w:hAnsi="Times New Roman"/>
          <w:sz w:val="22"/>
          <w:szCs w:val="22"/>
        </w:rPr>
      </w:pPr>
      <w:r w:rsidRPr="00EC191B">
        <w:rPr>
          <w:rFonts w:ascii="Times New Roman" w:hAnsi="Times New Roman"/>
          <w:sz w:val="22"/>
          <w:szCs w:val="22"/>
        </w:rPr>
        <w:t>(2)</w:t>
      </w:r>
      <w:r w:rsidR="003B5582" w:rsidRPr="00EC191B">
        <w:rPr>
          <w:rFonts w:ascii="Times New Roman" w:hAnsi="Times New Roman"/>
          <w:sz w:val="22"/>
          <w:szCs w:val="22"/>
        </w:rPr>
        <w:t xml:space="preserve">  </w:t>
      </w:r>
      <w:r w:rsidRPr="00EC191B">
        <w:rPr>
          <w:rFonts w:ascii="Times New Roman" w:hAnsi="Times New Roman"/>
          <w:sz w:val="22"/>
          <w:szCs w:val="22"/>
          <w:u w:val="single"/>
        </w:rPr>
        <w:t>Rates</w:t>
      </w:r>
      <w:r w:rsidR="00DB7FA4" w:rsidRPr="00EC191B">
        <w:rPr>
          <w:rFonts w:ascii="Times New Roman" w:hAnsi="Times New Roman"/>
          <w:sz w:val="22"/>
          <w:szCs w:val="22"/>
        </w:rPr>
        <w:t xml:space="preserve">. </w:t>
      </w:r>
      <w:r w:rsidR="009E5784" w:rsidRPr="00EC191B">
        <w:rPr>
          <w:rFonts w:ascii="Times New Roman" w:hAnsi="Times New Roman"/>
          <w:sz w:val="22"/>
          <w:szCs w:val="22"/>
        </w:rPr>
        <w:t xml:space="preserve"> </w:t>
      </w:r>
      <w:r w:rsidRPr="00EC191B">
        <w:rPr>
          <w:rFonts w:ascii="Times New Roman" w:hAnsi="Times New Roman"/>
          <w:sz w:val="22"/>
          <w:szCs w:val="22"/>
        </w:rPr>
        <w:t xml:space="preserve">Subject to the conditions listed herein, rates of payment for authorized family planning services </w:t>
      </w:r>
      <w:r w:rsidR="007270B4" w:rsidRPr="00EC191B">
        <w:rPr>
          <w:rFonts w:ascii="Times New Roman" w:hAnsi="Times New Roman"/>
          <w:sz w:val="22"/>
          <w:szCs w:val="22"/>
        </w:rPr>
        <w:t xml:space="preserve">for which 101 CMR 312.00 applies </w:t>
      </w:r>
      <w:r w:rsidR="00764835" w:rsidRPr="00EC191B">
        <w:rPr>
          <w:rFonts w:ascii="Times New Roman" w:hAnsi="Times New Roman"/>
          <w:sz w:val="22"/>
          <w:szCs w:val="22"/>
        </w:rPr>
        <w:t>are</w:t>
      </w:r>
      <w:r w:rsidRPr="00EC191B">
        <w:rPr>
          <w:rFonts w:ascii="Times New Roman" w:hAnsi="Times New Roman"/>
          <w:sz w:val="22"/>
          <w:szCs w:val="22"/>
        </w:rPr>
        <w:t xml:space="preserve"> the </w:t>
      </w:r>
      <w:r w:rsidR="006B53E3" w:rsidRPr="00EC191B">
        <w:rPr>
          <w:rFonts w:ascii="Times New Roman" w:hAnsi="Times New Roman"/>
          <w:sz w:val="22"/>
          <w:szCs w:val="22"/>
        </w:rPr>
        <w:t xml:space="preserve">lowest </w:t>
      </w:r>
      <w:r w:rsidRPr="00EC191B">
        <w:rPr>
          <w:rFonts w:ascii="Times New Roman" w:hAnsi="Times New Roman"/>
          <w:sz w:val="22"/>
          <w:szCs w:val="22"/>
        </w:rPr>
        <w:t>of</w:t>
      </w:r>
    </w:p>
    <w:p w14:paraId="1EF554DD" w14:textId="77777777" w:rsidR="003B5582" w:rsidRPr="00EC191B" w:rsidRDefault="00265E00" w:rsidP="003B5582">
      <w:pPr>
        <w:pStyle w:val="PlainText"/>
        <w:ind w:left="1080"/>
        <w:rPr>
          <w:rFonts w:ascii="Times New Roman" w:hAnsi="Times New Roman"/>
          <w:sz w:val="22"/>
          <w:szCs w:val="22"/>
        </w:rPr>
      </w:pPr>
      <w:r w:rsidRPr="00EC191B">
        <w:rPr>
          <w:rFonts w:ascii="Times New Roman" w:hAnsi="Times New Roman"/>
          <w:sz w:val="22"/>
          <w:szCs w:val="22"/>
        </w:rPr>
        <w:t>(a</w:t>
      </w:r>
      <w:proofErr w:type="gramStart"/>
      <w:r w:rsidRPr="00EC191B">
        <w:rPr>
          <w:rFonts w:ascii="Times New Roman" w:hAnsi="Times New Roman"/>
          <w:sz w:val="22"/>
          <w:szCs w:val="22"/>
        </w:rPr>
        <w:t>)  the</w:t>
      </w:r>
      <w:proofErr w:type="gramEnd"/>
      <w:r w:rsidRPr="00EC191B">
        <w:rPr>
          <w:rFonts w:ascii="Times New Roman" w:hAnsi="Times New Roman"/>
          <w:sz w:val="22"/>
          <w:szCs w:val="22"/>
        </w:rPr>
        <w:t xml:space="preserve"> eligible provider's usual fee to the general </w:t>
      </w:r>
      <w:proofErr w:type="gramStart"/>
      <w:r w:rsidRPr="00EC191B">
        <w:rPr>
          <w:rFonts w:ascii="Times New Roman" w:hAnsi="Times New Roman"/>
          <w:sz w:val="22"/>
          <w:szCs w:val="22"/>
        </w:rPr>
        <w:t>public</w:t>
      </w:r>
      <w:r w:rsidR="00AD390F" w:rsidRPr="00EC191B">
        <w:rPr>
          <w:rFonts w:ascii="Times New Roman" w:hAnsi="Times New Roman"/>
          <w:sz w:val="22"/>
          <w:szCs w:val="22"/>
        </w:rPr>
        <w:t>;</w:t>
      </w:r>
      <w:proofErr w:type="gramEnd"/>
    </w:p>
    <w:p w14:paraId="44C5674B" w14:textId="77777777" w:rsidR="006B53E3" w:rsidRPr="00EC191B" w:rsidRDefault="006B53E3" w:rsidP="003B5582">
      <w:pPr>
        <w:pStyle w:val="PlainText"/>
        <w:ind w:left="1080"/>
        <w:rPr>
          <w:rFonts w:ascii="Times New Roman" w:hAnsi="Times New Roman"/>
          <w:sz w:val="22"/>
          <w:szCs w:val="22"/>
        </w:rPr>
      </w:pPr>
      <w:r w:rsidRPr="00EC191B">
        <w:rPr>
          <w:rFonts w:ascii="Times New Roman" w:hAnsi="Times New Roman"/>
          <w:sz w:val="22"/>
          <w:szCs w:val="22"/>
        </w:rPr>
        <w:t xml:space="preserve">(b) </w:t>
      </w:r>
      <w:r w:rsidR="00630666" w:rsidRPr="00EC191B">
        <w:rPr>
          <w:rFonts w:ascii="Times New Roman" w:hAnsi="Times New Roman"/>
          <w:sz w:val="22"/>
          <w:szCs w:val="22"/>
        </w:rPr>
        <w:t xml:space="preserve"> </w:t>
      </w:r>
      <w:r w:rsidRPr="00EC191B">
        <w:rPr>
          <w:rFonts w:ascii="Times New Roman" w:hAnsi="Times New Roman"/>
          <w:sz w:val="22"/>
          <w:szCs w:val="22"/>
        </w:rPr>
        <w:t>the eligible provider’s actual charge submitted; and</w:t>
      </w:r>
    </w:p>
    <w:p w14:paraId="64188D3F" w14:textId="77777777" w:rsidR="009E251B" w:rsidRPr="00EC191B" w:rsidRDefault="00265E00" w:rsidP="00FC61DC">
      <w:pPr>
        <w:pStyle w:val="PlainText"/>
        <w:ind w:left="1080"/>
        <w:rPr>
          <w:rFonts w:ascii="Times New Roman" w:hAnsi="Times New Roman"/>
          <w:sz w:val="22"/>
          <w:szCs w:val="22"/>
        </w:rPr>
      </w:pPr>
      <w:r w:rsidRPr="00EC191B">
        <w:rPr>
          <w:rFonts w:ascii="Times New Roman" w:hAnsi="Times New Roman"/>
          <w:sz w:val="22"/>
          <w:szCs w:val="22"/>
        </w:rPr>
        <w:t>(</w:t>
      </w:r>
      <w:r w:rsidR="00972A2E" w:rsidRPr="00EC191B">
        <w:rPr>
          <w:rFonts w:ascii="Times New Roman" w:hAnsi="Times New Roman"/>
          <w:sz w:val="22"/>
          <w:szCs w:val="22"/>
        </w:rPr>
        <w:t>c</w:t>
      </w:r>
      <w:r w:rsidRPr="00EC191B">
        <w:rPr>
          <w:rFonts w:ascii="Times New Roman" w:hAnsi="Times New Roman"/>
          <w:sz w:val="22"/>
          <w:szCs w:val="22"/>
        </w:rPr>
        <w:t>)  the schedule of allowable fees listed below</w:t>
      </w:r>
      <w:r w:rsidR="007270B4" w:rsidRPr="00EC191B">
        <w:rPr>
          <w:rFonts w:ascii="Times New Roman" w:hAnsi="Times New Roman"/>
          <w:sz w:val="22"/>
          <w:szCs w:val="22"/>
        </w:rPr>
        <w:t xml:space="preserve"> in 101 CMR 312.03(4)</w:t>
      </w:r>
      <w:r w:rsidR="00573F52" w:rsidRPr="00EC191B">
        <w:rPr>
          <w:rFonts w:ascii="Times New Roman" w:hAnsi="Times New Roman"/>
          <w:sz w:val="22"/>
          <w:szCs w:val="22"/>
        </w:rPr>
        <w:t>.</w:t>
      </w:r>
    </w:p>
    <w:p w14:paraId="1CEFA466" w14:textId="77777777" w:rsidR="007270B4" w:rsidRPr="00EC191B" w:rsidRDefault="007270B4" w:rsidP="00FC61DC">
      <w:pPr>
        <w:pStyle w:val="PlainText"/>
        <w:ind w:left="1080"/>
        <w:rPr>
          <w:rFonts w:ascii="Times New Roman" w:hAnsi="Times New Roman"/>
          <w:sz w:val="22"/>
          <w:szCs w:val="22"/>
        </w:rPr>
      </w:pPr>
    </w:p>
    <w:p w14:paraId="30828FDB" w14:textId="77777777" w:rsidR="007270B4" w:rsidRPr="00EC191B" w:rsidRDefault="007270B4" w:rsidP="005D3253">
      <w:pPr>
        <w:pStyle w:val="PlainText"/>
        <w:ind w:left="720"/>
        <w:rPr>
          <w:rFonts w:ascii="Times New Roman" w:hAnsi="Times New Roman"/>
          <w:sz w:val="22"/>
          <w:szCs w:val="22"/>
          <w:u w:val="single"/>
        </w:rPr>
      </w:pPr>
      <w:r w:rsidRPr="00EC191B">
        <w:rPr>
          <w:rFonts w:ascii="Times New Roman" w:hAnsi="Times New Roman"/>
          <w:sz w:val="22"/>
          <w:szCs w:val="22"/>
        </w:rPr>
        <w:t xml:space="preserve">(3)  </w:t>
      </w:r>
      <w:r w:rsidRPr="00EC191B">
        <w:rPr>
          <w:rFonts w:ascii="Times New Roman" w:hAnsi="Times New Roman"/>
          <w:sz w:val="22"/>
          <w:szCs w:val="22"/>
          <w:u w:val="single"/>
        </w:rPr>
        <w:t>Modifiers</w:t>
      </w:r>
      <w:r w:rsidRPr="00EC191B">
        <w:rPr>
          <w:rFonts w:ascii="Times New Roman" w:hAnsi="Times New Roman"/>
          <w:sz w:val="22"/>
          <w:szCs w:val="22"/>
        </w:rPr>
        <w:t>.</w:t>
      </w:r>
    </w:p>
    <w:p w14:paraId="1BD5A43F" w14:textId="77777777" w:rsidR="007270B4" w:rsidRPr="00EC191B" w:rsidRDefault="005D3253" w:rsidP="005D3253">
      <w:pPr>
        <w:pStyle w:val="PlainText"/>
        <w:ind w:left="1080"/>
        <w:rPr>
          <w:rFonts w:ascii="Times New Roman" w:hAnsi="Times New Roman"/>
          <w:sz w:val="22"/>
          <w:szCs w:val="22"/>
        </w:rPr>
      </w:pPr>
      <w:r w:rsidRPr="00EC191B">
        <w:rPr>
          <w:rFonts w:ascii="Times New Roman" w:hAnsi="Times New Roman"/>
          <w:sz w:val="22"/>
          <w:szCs w:val="22"/>
        </w:rPr>
        <w:t>(a)</w:t>
      </w:r>
      <w:r w:rsidR="00921FF6" w:rsidRPr="00EC191B">
        <w:rPr>
          <w:rFonts w:ascii="Times New Roman" w:hAnsi="Times New Roman"/>
          <w:sz w:val="22"/>
          <w:szCs w:val="22"/>
        </w:rPr>
        <w:t xml:space="preserve"> </w:t>
      </w:r>
      <w:r w:rsidRPr="00EC191B">
        <w:rPr>
          <w:rFonts w:ascii="Times New Roman" w:hAnsi="Times New Roman"/>
          <w:sz w:val="22"/>
          <w:szCs w:val="22"/>
        </w:rPr>
        <w:t xml:space="preserve"> </w:t>
      </w:r>
      <w:r w:rsidR="007270B4" w:rsidRPr="00EC191B">
        <w:rPr>
          <w:rFonts w:ascii="Times New Roman" w:hAnsi="Times New Roman"/>
          <w:sz w:val="22"/>
          <w:szCs w:val="22"/>
        </w:rPr>
        <w:t xml:space="preserve">24 – Unrelated evaluation and management service by the same physician or other qualified health care professional during a postoperative period.  </w:t>
      </w:r>
    </w:p>
    <w:p w14:paraId="6E0AB6A3" w14:textId="77777777" w:rsidR="007270B4" w:rsidRPr="00EC191B" w:rsidRDefault="005D3253" w:rsidP="005D3253">
      <w:pPr>
        <w:pStyle w:val="PlainText"/>
        <w:ind w:left="1080"/>
        <w:rPr>
          <w:rFonts w:ascii="Times New Roman" w:hAnsi="Times New Roman"/>
          <w:sz w:val="22"/>
          <w:szCs w:val="22"/>
        </w:rPr>
      </w:pPr>
      <w:r w:rsidRPr="00EC191B">
        <w:rPr>
          <w:rFonts w:ascii="Times New Roman" w:hAnsi="Times New Roman"/>
          <w:sz w:val="22"/>
          <w:szCs w:val="22"/>
        </w:rPr>
        <w:t xml:space="preserve">(b) </w:t>
      </w:r>
      <w:r w:rsidR="00921FF6" w:rsidRPr="00EC191B">
        <w:rPr>
          <w:rFonts w:ascii="Times New Roman" w:hAnsi="Times New Roman"/>
          <w:sz w:val="22"/>
          <w:szCs w:val="22"/>
        </w:rPr>
        <w:t xml:space="preserve"> </w:t>
      </w:r>
      <w:r w:rsidR="007270B4" w:rsidRPr="00EC191B">
        <w:rPr>
          <w:rFonts w:ascii="Times New Roman" w:hAnsi="Times New Roman"/>
          <w:sz w:val="22"/>
          <w:szCs w:val="22"/>
        </w:rPr>
        <w:t>25 –</w:t>
      </w:r>
      <w:r w:rsidRPr="00EC191B">
        <w:rPr>
          <w:rFonts w:ascii="Times New Roman" w:hAnsi="Times New Roman"/>
          <w:sz w:val="22"/>
          <w:szCs w:val="22"/>
        </w:rPr>
        <w:t xml:space="preserve"> </w:t>
      </w:r>
      <w:r w:rsidR="007270B4" w:rsidRPr="00EC191B">
        <w:rPr>
          <w:rFonts w:ascii="Times New Roman" w:hAnsi="Times New Roman"/>
          <w:sz w:val="22"/>
          <w:szCs w:val="22"/>
        </w:rPr>
        <w:t>Significant, separately identifiable evaluation and management service by the same physician or other qualified health care professional on the same day of the procedure or other service.</w:t>
      </w:r>
    </w:p>
    <w:p w14:paraId="2C0D7C6F" w14:textId="77777777" w:rsidR="007270B4" w:rsidRPr="00EC191B" w:rsidRDefault="007270B4" w:rsidP="005D3253">
      <w:pPr>
        <w:pStyle w:val="PlainText"/>
        <w:ind w:left="1080"/>
        <w:rPr>
          <w:rFonts w:ascii="Times New Roman" w:hAnsi="Times New Roman"/>
          <w:sz w:val="22"/>
          <w:szCs w:val="22"/>
          <w:u w:val="single"/>
        </w:rPr>
      </w:pPr>
      <w:r w:rsidRPr="00EC191B">
        <w:rPr>
          <w:rFonts w:ascii="Times New Roman" w:hAnsi="Times New Roman"/>
          <w:sz w:val="22"/>
          <w:szCs w:val="22"/>
        </w:rPr>
        <w:t xml:space="preserve">(c) </w:t>
      </w:r>
      <w:r w:rsidR="00921FF6" w:rsidRPr="00EC191B">
        <w:rPr>
          <w:rFonts w:ascii="Times New Roman" w:hAnsi="Times New Roman"/>
          <w:sz w:val="22"/>
          <w:szCs w:val="22"/>
        </w:rPr>
        <w:t xml:space="preserve"> </w:t>
      </w:r>
      <w:r w:rsidRPr="00EC191B">
        <w:rPr>
          <w:rFonts w:ascii="Times New Roman" w:hAnsi="Times New Roman"/>
          <w:sz w:val="22"/>
          <w:szCs w:val="22"/>
        </w:rPr>
        <w:t>59</w:t>
      </w:r>
      <w:r w:rsidRPr="00D07EF2">
        <w:rPr>
          <w:rFonts w:ascii="Times New Roman" w:hAnsi="Times New Roman"/>
          <w:sz w:val="22"/>
          <w:szCs w:val="22"/>
        </w:rPr>
        <w:t xml:space="preserve"> </w:t>
      </w:r>
      <w:r w:rsidRPr="00EC191B">
        <w:rPr>
          <w:rFonts w:ascii="Times New Roman" w:hAnsi="Times New Roman"/>
          <w:sz w:val="22"/>
          <w:szCs w:val="22"/>
        </w:rPr>
        <w:t>–</w:t>
      </w:r>
      <w:r w:rsidR="005D3253" w:rsidRPr="00EC191B">
        <w:rPr>
          <w:rFonts w:ascii="Times New Roman" w:hAnsi="Times New Roman"/>
          <w:sz w:val="22"/>
          <w:szCs w:val="22"/>
        </w:rPr>
        <w:t xml:space="preserve"> </w:t>
      </w:r>
      <w:r w:rsidRPr="00EC191B">
        <w:rPr>
          <w:rFonts w:ascii="Times New Roman" w:hAnsi="Times New Roman"/>
          <w:sz w:val="22"/>
          <w:szCs w:val="22"/>
        </w:rPr>
        <w:t>Distinct procedural service</w:t>
      </w:r>
      <w:r w:rsidR="00A539A8" w:rsidRPr="00EC191B">
        <w:rPr>
          <w:rFonts w:ascii="Times New Roman" w:hAnsi="Times New Roman"/>
          <w:sz w:val="22"/>
          <w:szCs w:val="22"/>
        </w:rPr>
        <w:t>.</w:t>
      </w:r>
    </w:p>
    <w:p w14:paraId="1C6B737C" w14:textId="77777777" w:rsidR="007270B4" w:rsidRPr="00EC191B" w:rsidRDefault="007270B4" w:rsidP="005D3253">
      <w:pPr>
        <w:pStyle w:val="PlainText"/>
        <w:ind w:left="1080"/>
        <w:rPr>
          <w:rFonts w:ascii="Times New Roman" w:hAnsi="Times New Roman"/>
          <w:sz w:val="22"/>
          <w:szCs w:val="22"/>
          <w:u w:val="single"/>
        </w:rPr>
      </w:pPr>
      <w:r w:rsidRPr="00EC191B">
        <w:rPr>
          <w:rFonts w:ascii="Times New Roman" w:hAnsi="Times New Roman"/>
          <w:sz w:val="22"/>
          <w:szCs w:val="22"/>
        </w:rPr>
        <w:t xml:space="preserve">(d) </w:t>
      </w:r>
      <w:r w:rsidR="00921FF6" w:rsidRPr="00EC191B">
        <w:rPr>
          <w:rFonts w:ascii="Times New Roman" w:hAnsi="Times New Roman"/>
          <w:sz w:val="22"/>
          <w:szCs w:val="22"/>
        </w:rPr>
        <w:t xml:space="preserve"> </w:t>
      </w:r>
      <w:r w:rsidRPr="00EC191B">
        <w:rPr>
          <w:rFonts w:ascii="Times New Roman" w:hAnsi="Times New Roman"/>
          <w:sz w:val="22"/>
          <w:szCs w:val="22"/>
        </w:rPr>
        <w:t>LT – Left side (used to identify procedures performed on the left side of the body)</w:t>
      </w:r>
      <w:r w:rsidR="00A539A8" w:rsidRPr="00EC191B">
        <w:rPr>
          <w:rFonts w:ascii="Times New Roman" w:hAnsi="Times New Roman"/>
          <w:sz w:val="22"/>
          <w:szCs w:val="22"/>
        </w:rPr>
        <w:t>.</w:t>
      </w:r>
    </w:p>
    <w:p w14:paraId="613A289F" w14:textId="77777777" w:rsidR="007270B4" w:rsidRPr="00EC191B" w:rsidRDefault="007270B4" w:rsidP="005D3253">
      <w:pPr>
        <w:pStyle w:val="PlainText"/>
        <w:ind w:left="1080"/>
        <w:rPr>
          <w:rFonts w:ascii="Times New Roman" w:hAnsi="Times New Roman"/>
          <w:sz w:val="22"/>
          <w:szCs w:val="22"/>
          <w:u w:val="single"/>
        </w:rPr>
      </w:pPr>
      <w:r w:rsidRPr="00EC191B">
        <w:rPr>
          <w:rFonts w:ascii="Times New Roman" w:hAnsi="Times New Roman"/>
          <w:sz w:val="22"/>
          <w:szCs w:val="22"/>
        </w:rPr>
        <w:t xml:space="preserve">(e) </w:t>
      </w:r>
      <w:r w:rsidR="00921FF6" w:rsidRPr="00EC191B">
        <w:rPr>
          <w:rFonts w:ascii="Times New Roman" w:hAnsi="Times New Roman"/>
          <w:sz w:val="22"/>
          <w:szCs w:val="22"/>
        </w:rPr>
        <w:t xml:space="preserve"> </w:t>
      </w:r>
      <w:r w:rsidRPr="00EC191B">
        <w:rPr>
          <w:rFonts w:ascii="Times New Roman" w:hAnsi="Times New Roman"/>
          <w:sz w:val="22"/>
          <w:szCs w:val="22"/>
        </w:rPr>
        <w:t>RT – Right side (used to identify procedures performed on the right side of the body)</w:t>
      </w:r>
      <w:r w:rsidR="00A539A8" w:rsidRPr="00EC191B">
        <w:rPr>
          <w:rFonts w:ascii="Times New Roman" w:hAnsi="Times New Roman"/>
          <w:sz w:val="22"/>
          <w:szCs w:val="22"/>
        </w:rPr>
        <w:t>.</w:t>
      </w:r>
    </w:p>
    <w:p w14:paraId="0F354E08" w14:textId="4B5458AF" w:rsidR="007270B4" w:rsidRPr="00EC191B" w:rsidRDefault="007270B4" w:rsidP="005D3253">
      <w:pPr>
        <w:pStyle w:val="PlainText"/>
        <w:ind w:left="1080"/>
        <w:rPr>
          <w:rFonts w:ascii="Times New Roman" w:hAnsi="Times New Roman"/>
          <w:sz w:val="22"/>
          <w:szCs w:val="22"/>
        </w:rPr>
      </w:pPr>
      <w:r w:rsidRPr="00EC191B">
        <w:rPr>
          <w:rFonts w:ascii="Times New Roman" w:hAnsi="Times New Roman"/>
          <w:sz w:val="22"/>
          <w:szCs w:val="22"/>
        </w:rPr>
        <w:t>(f</w:t>
      </w:r>
      <w:proofErr w:type="gramStart"/>
      <w:r w:rsidRPr="00EC191B">
        <w:rPr>
          <w:rFonts w:ascii="Times New Roman" w:hAnsi="Times New Roman"/>
          <w:sz w:val="22"/>
          <w:szCs w:val="22"/>
        </w:rPr>
        <w:t xml:space="preserve">)  </w:t>
      </w:r>
      <w:r w:rsidRPr="00EC191B">
        <w:rPr>
          <w:rFonts w:ascii="Times New Roman" w:hAnsi="Times New Roman"/>
          <w:sz w:val="22"/>
          <w:szCs w:val="22"/>
          <w:u w:val="single"/>
        </w:rPr>
        <w:t>Modifiers</w:t>
      </w:r>
      <w:proofErr w:type="gramEnd"/>
      <w:r w:rsidRPr="00EC191B">
        <w:rPr>
          <w:rFonts w:ascii="Times New Roman" w:hAnsi="Times New Roman"/>
          <w:sz w:val="22"/>
          <w:szCs w:val="22"/>
          <w:u w:val="single"/>
        </w:rPr>
        <w:t xml:space="preserve"> </w:t>
      </w:r>
      <w:proofErr w:type="gramStart"/>
      <w:r w:rsidRPr="00EC191B">
        <w:rPr>
          <w:rFonts w:ascii="Times New Roman" w:hAnsi="Times New Roman"/>
          <w:sz w:val="22"/>
          <w:szCs w:val="22"/>
          <w:u w:val="single"/>
        </w:rPr>
        <w:t>for Provider</w:t>
      </w:r>
      <w:proofErr w:type="gramEnd"/>
      <w:r w:rsidRPr="00EC191B">
        <w:rPr>
          <w:rFonts w:ascii="Times New Roman" w:hAnsi="Times New Roman"/>
          <w:sz w:val="22"/>
          <w:szCs w:val="22"/>
          <w:u w:val="single"/>
        </w:rPr>
        <w:t xml:space="preserve"> Preventable Conditions</w:t>
      </w:r>
      <w:r w:rsidRPr="00EC191B">
        <w:rPr>
          <w:rFonts w:ascii="Times New Roman" w:hAnsi="Times New Roman"/>
          <w:sz w:val="22"/>
          <w:szCs w:val="22"/>
        </w:rPr>
        <w:t>.  Below are modifiers for reporting “provider preventable conditions” that are National Coverage Determinations, in accordance with 42 CFR 447.26.</w:t>
      </w:r>
    </w:p>
    <w:p w14:paraId="0AFF3C76" w14:textId="77777777" w:rsidR="007270B4" w:rsidRPr="00EC191B" w:rsidRDefault="007270B4" w:rsidP="007270B4">
      <w:pPr>
        <w:ind w:left="1080"/>
        <w:contextualSpacing/>
        <w:rPr>
          <w:sz w:val="22"/>
          <w:szCs w:val="22"/>
        </w:rPr>
      </w:pPr>
    </w:p>
    <w:tbl>
      <w:tblPr>
        <w:tblW w:w="82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0A0" w:firstRow="1" w:lastRow="0" w:firstColumn="1" w:lastColumn="0" w:noHBand="0" w:noVBand="0"/>
      </w:tblPr>
      <w:tblGrid>
        <w:gridCol w:w="1620"/>
        <w:gridCol w:w="6660"/>
      </w:tblGrid>
      <w:tr w:rsidR="007270B4" w:rsidRPr="00EC191B" w14:paraId="546849DE" w14:textId="77777777" w:rsidTr="00593AC9">
        <w:tc>
          <w:tcPr>
            <w:tcW w:w="1620" w:type="dxa"/>
          </w:tcPr>
          <w:p w14:paraId="7CBF2D24" w14:textId="77777777" w:rsidR="007270B4" w:rsidRPr="00EC191B" w:rsidRDefault="007270B4" w:rsidP="00290B9C">
            <w:pPr>
              <w:contextualSpacing/>
              <w:jc w:val="center"/>
              <w:rPr>
                <w:b/>
                <w:sz w:val="22"/>
                <w:szCs w:val="22"/>
              </w:rPr>
            </w:pPr>
            <w:r w:rsidRPr="00EC191B">
              <w:rPr>
                <w:b/>
                <w:sz w:val="22"/>
                <w:szCs w:val="22"/>
              </w:rPr>
              <w:t>Modifier Name</w:t>
            </w:r>
          </w:p>
        </w:tc>
        <w:tc>
          <w:tcPr>
            <w:tcW w:w="6660" w:type="dxa"/>
          </w:tcPr>
          <w:p w14:paraId="4D33B9B6" w14:textId="77777777" w:rsidR="007270B4" w:rsidRPr="00EC191B" w:rsidRDefault="007270B4" w:rsidP="00290B9C">
            <w:pPr>
              <w:contextualSpacing/>
              <w:jc w:val="center"/>
              <w:rPr>
                <w:b/>
                <w:sz w:val="22"/>
                <w:szCs w:val="22"/>
              </w:rPr>
            </w:pPr>
            <w:r w:rsidRPr="00EC191B">
              <w:rPr>
                <w:b/>
                <w:sz w:val="22"/>
                <w:szCs w:val="22"/>
              </w:rPr>
              <w:t xml:space="preserve">Description </w:t>
            </w:r>
          </w:p>
        </w:tc>
      </w:tr>
      <w:tr w:rsidR="007270B4" w:rsidRPr="00EC191B" w14:paraId="1866EE61" w14:textId="77777777" w:rsidTr="00593AC9">
        <w:tc>
          <w:tcPr>
            <w:tcW w:w="1620" w:type="dxa"/>
          </w:tcPr>
          <w:p w14:paraId="3FE69FD1" w14:textId="07DAEBE7" w:rsidR="007270B4" w:rsidRPr="00EC191B" w:rsidRDefault="006546A2" w:rsidP="00290B9C">
            <w:pPr>
              <w:contextualSpacing/>
              <w:jc w:val="center"/>
              <w:rPr>
                <w:sz w:val="22"/>
                <w:szCs w:val="22"/>
              </w:rPr>
            </w:pPr>
            <w:r>
              <w:rPr>
                <w:sz w:val="22"/>
                <w:szCs w:val="22"/>
              </w:rPr>
              <w:t>-</w:t>
            </w:r>
            <w:r w:rsidR="007270B4" w:rsidRPr="00EC191B">
              <w:rPr>
                <w:sz w:val="22"/>
                <w:szCs w:val="22"/>
              </w:rPr>
              <w:t>PA</w:t>
            </w:r>
          </w:p>
        </w:tc>
        <w:tc>
          <w:tcPr>
            <w:tcW w:w="6660" w:type="dxa"/>
          </w:tcPr>
          <w:p w14:paraId="0D8DEA6C" w14:textId="77777777" w:rsidR="007270B4" w:rsidRPr="00EC191B" w:rsidRDefault="007270B4" w:rsidP="0008440A">
            <w:pPr>
              <w:contextualSpacing/>
              <w:rPr>
                <w:sz w:val="22"/>
                <w:szCs w:val="22"/>
              </w:rPr>
            </w:pPr>
            <w:r w:rsidRPr="00EC191B">
              <w:rPr>
                <w:sz w:val="22"/>
                <w:szCs w:val="22"/>
              </w:rPr>
              <w:t>Surgical or other invasive procedure on wrong body part</w:t>
            </w:r>
          </w:p>
        </w:tc>
      </w:tr>
      <w:tr w:rsidR="007270B4" w:rsidRPr="00EC191B" w14:paraId="66544D4F" w14:textId="77777777" w:rsidTr="00593AC9">
        <w:tc>
          <w:tcPr>
            <w:tcW w:w="1620" w:type="dxa"/>
          </w:tcPr>
          <w:p w14:paraId="3FD3BB1B" w14:textId="7F0013E2" w:rsidR="007270B4" w:rsidRPr="00EC191B" w:rsidRDefault="006546A2" w:rsidP="00290B9C">
            <w:pPr>
              <w:contextualSpacing/>
              <w:jc w:val="center"/>
              <w:rPr>
                <w:sz w:val="22"/>
                <w:szCs w:val="22"/>
              </w:rPr>
            </w:pPr>
            <w:r>
              <w:rPr>
                <w:sz w:val="22"/>
                <w:szCs w:val="22"/>
              </w:rPr>
              <w:t>-</w:t>
            </w:r>
            <w:r w:rsidR="007270B4" w:rsidRPr="00EC191B">
              <w:rPr>
                <w:sz w:val="22"/>
                <w:szCs w:val="22"/>
              </w:rPr>
              <w:t>PB</w:t>
            </w:r>
          </w:p>
        </w:tc>
        <w:tc>
          <w:tcPr>
            <w:tcW w:w="6660" w:type="dxa"/>
          </w:tcPr>
          <w:p w14:paraId="38BDD9AB" w14:textId="77777777" w:rsidR="007270B4" w:rsidRPr="00EC191B" w:rsidRDefault="007270B4" w:rsidP="0008440A">
            <w:pPr>
              <w:contextualSpacing/>
              <w:rPr>
                <w:sz w:val="22"/>
                <w:szCs w:val="22"/>
              </w:rPr>
            </w:pPr>
            <w:r w:rsidRPr="00EC191B">
              <w:rPr>
                <w:sz w:val="22"/>
                <w:szCs w:val="22"/>
              </w:rPr>
              <w:t>Surgical or other invasive procedure on wrong patient</w:t>
            </w:r>
          </w:p>
        </w:tc>
      </w:tr>
      <w:tr w:rsidR="007270B4" w:rsidRPr="00EC191B" w14:paraId="07B611F3" w14:textId="77777777" w:rsidTr="00593AC9">
        <w:tc>
          <w:tcPr>
            <w:tcW w:w="1620" w:type="dxa"/>
          </w:tcPr>
          <w:p w14:paraId="4B26C7E2" w14:textId="5B737BF4" w:rsidR="007270B4" w:rsidRPr="00EC191B" w:rsidRDefault="006546A2" w:rsidP="00290B9C">
            <w:pPr>
              <w:contextualSpacing/>
              <w:jc w:val="center"/>
              <w:rPr>
                <w:sz w:val="22"/>
                <w:szCs w:val="22"/>
              </w:rPr>
            </w:pPr>
            <w:r>
              <w:rPr>
                <w:sz w:val="22"/>
                <w:szCs w:val="22"/>
              </w:rPr>
              <w:t>-</w:t>
            </w:r>
            <w:r w:rsidR="007270B4" w:rsidRPr="00EC191B">
              <w:rPr>
                <w:sz w:val="22"/>
                <w:szCs w:val="22"/>
              </w:rPr>
              <w:t>PC</w:t>
            </w:r>
          </w:p>
        </w:tc>
        <w:tc>
          <w:tcPr>
            <w:tcW w:w="6660" w:type="dxa"/>
          </w:tcPr>
          <w:p w14:paraId="29CF106E" w14:textId="77777777" w:rsidR="007270B4" w:rsidRPr="00EC191B" w:rsidRDefault="007270B4" w:rsidP="0008440A">
            <w:pPr>
              <w:contextualSpacing/>
              <w:rPr>
                <w:sz w:val="22"/>
                <w:szCs w:val="22"/>
              </w:rPr>
            </w:pPr>
            <w:r w:rsidRPr="00EC191B">
              <w:rPr>
                <w:sz w:val="22"/>
                <w:szCs w:val="22"/>
              </w:rPr>
              <w:t>Wrong surg</w:t>
            </w:r>
            <w:r w:rsidR="0008440A" w:rsidRPr="00EC191B">
              <w:rPr>
                <w:sz w:val="22"/>
                <w:szCs w:val="22"/>
              </w:rPr>
              <w:t>ery</w:t>
            </w:r>
            <w:r w:rsidRPr="00EC191B">
              <w:rPr>
                <w:sz w:val="22"/>
                <w:szCs w:val="22"/>
              </w:rPr>
              <w:t xml:space="preserve"> or other invasive procedure on patient</w:t>
            </w:r>
          </w:p>
        </w:tc>
      </w:tr>
    </w:tbl>
    <w:p w14:paraId="6EDB3D6A" w14:textId="77777777" w:rsidR="007270B4" w:rsidRPr="00EC191B" w:rsidRDefault="007270B4" w:rsidP="00FC61DC">
      <w:pPr>
        <w:pStyle w:val="PlainText"/>
        <w:ind w:left="1080"/>
        <w:rPr>
          <w:rFonts w:ascii="Times New Roman" w:hAnsi="Times New Roman"/>
          <w:sz w:val="22"/>
          <w:szCs w:val="22"/>
        </w:rPr>
      </w:pPr>
    </w:p>
    <w:p w14:paraId="6BCFF6CE" w14:textId="77777777" w:rsidR="00121B52" w:rsidRDefault="00630666" w:rsidP="00593AC9">
      <w:pPr>
        <w:pStyle w:val="PlainText"/>
        <w:ind w:left="720"/>
        <w:rPr>
          <w:rFonts w:ascii="Times New Roman" w:hAnsi="Times New Roman"/>
          <w:sz w:val="22"/>
          <w:szCs w:val="22"/>
        </w:rPr>
      </w:pPr>
      <w:r w:rsidRPr="00EC191B">
        <w:rPr>
          <w:rFonts w:ascii="Times New Roman" w:hAnsi="Times New Roman"/>
          <w:sz w:val="22"/>
          <w:szCs w:val="22"/>
        </w:rPr>
        <w:br w:type="page"/>
      </w:r>
      <w:r w:rsidR="007F49EF" w:rsidRPr="00EC191B">
        <w:rPr>
          <w:rFonts w:ascii="Times New Roman" w:hAnsi="Times New Roman"/>
          <w:sz w:val="22"/>
          <w:szCs w:val="22"/>
        </w:rPr>
        <w:lastRenderedPageBreak/>
        <w:t>(</w:t>
      </w:r>
      <w:r w:rsidR="007270B4" w:rsidRPr="00EC191B">
        <w:rPr>
          <w:rFonts w:ascii="Times New Roman" w:hAnsi="Times New Roman"/>
          <w:sz w:val="22"/>
          <w:szCs w:val="22"/>
        </w:rPr>
        <w:t>4</w:t>
      </w:r>
      <w:r w:rsidR="007F49EF" w:rsidRPr="00EC191B">
        <w:rPr>
          <w:rFonts w:ascii="Times New Roman" w:hAnsi="Times New Roman"/>
          <w:sz w:val="22"/>
          <w:szCs w:val="22"/>
        </w:rPr>
        <w:t>)</w:t>
      </w:r>
      <w:r w:rsidR="003B5582" w:rsidRPr="00EC191B">
        <w:rPr>
          <w:rFonts w:ascii="Times New Roman" w:hAnsi="Times New Roman"/>
          <w:sz w:val="22"/>
          <w:szCs w:val="22"/>
        </w:rPr>
        <w:t xml:space="preserve">  </w:t>
      </w:r>
      <w:r w:rsidR="00F00B77" w:rsidRPr="00EC191B">
        <w:rPr>
          <w:rFonts w:ascii="Times New Roman" w:hAnsi="Times New Roman"/>
          <w:sz w:val="22"/>
          <w:szCs w:val="22"/>
          <w:u w:val="single"/>
        </w:rPr>
        <w:t>Schedule of Allowable Fees</w:t>
      </w:r>
      <w:r w:rsidR="007F49EF" w:rsidRPr="00EC191B">
        <w:rPr>
          <w:rFonts w:ascii="Times New Roman" w:hAnsi="Times New Roman"/>
          <w:sz w:val="22"/>
          <w:szCs w:val="22"/>
        </w:rPr>
        <w:t>.</w:t>
      </w:r>
    </w:p>
    <w:p w14:paraId="602D5C2C" w14:textId="77777777" w:rsidR="006F4DBC" w:rsidRDefault="006F4DBC" w:rsidP="00593AC9">
      <w:pPr>
        <w:pStyle w:val="PlainText"/>
        <w:ind w:left="720"/>
        <w:rPr>
          <w:rFonts w:ascii="Times New Roman" w:hAnsi="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267"/>
        <w:gridCol w:w="1901"/>
        <w:gridCol w:w="6192"/>
      </w:tblGrid>
      <w:tr w:rsidR="006F4DBC" w:rsidRPr="007E6562" w14:paraId="32EAA4CD" w14:textId="77777777" w:rsidTr="009F4DE4">
        <w:trPr>
          <w:cantSplit/>
          <w:trHeight w:val="555"/>
          <w:tblHeader/>
        </w:trPr>
        <w:tc>
          <w:tcPr>
            <w:tcW w:w="1267" w:type="dxa"/>
            <w:shd w:val="clear" w:color="auto" w:fill="auto"/>
            <w:vAlign w:val="center"/>
          </w:tcPr>
          <w:p w14:paraId="4825F76E" w14:textId="77777777" w:rsidR="006F4DBC" w:rsidRPr="007E6562" w:rsidRDefault="006F4DBC" w:rsidP="009F4DE4">
            <w:pPr>
              <w:pStyle w:val="PlainText"/>
              <w:jc w:val="center"/>
              <w:rPr>
                <w:rFonts w:ascii="Times New Roman" w:hAnsi="Times New Roman"/>
                <w:b/>
                <w:sz w:val="22"/>
                <w:szCs w:val="22"/>
              </w:rPr>
            </w:pPr>
            <w:r w:rsidRPr="007E6562">
              <w:rPr>
                <w:rFonts w:ascii="Times New Roman" w:hAnsi="Times New Roman"/>
                <w:b/>
                <w:sz w:val="22"/>
                <w:szCs w:val="22"/>
              </w:rPr>
              <w:t>Code</w:t>
            </w:r>
          </w:p>
        </w:tc>
        <w:tc>
          <w:tcPr>
            <w:tcW w:w="1901" w:type="dxa"/>
            <w:shd w:val="clear" w:color="auto" w:fill="auto"/>
            <w:vAlign w:val="center"/>
          </w:tcPr>
          <w:p w14:paraId="73920F73" w14:textId="77777777" w:rsidR="006F4DBC" w:rsidRPr="007E6562" w:rsidRDefault="006F4DBC" w:rsidP="009F4DE4">
            <w:pPr>
              <w:pStyle w:val="PlainText"/>
              <w:jc w:val="center"/>
              <w:rPr>
                <w:rFonts w:ascii="Times New Roman" w:hAnsi="Times New Roman"/>
                <w:b/>
                <w:sz w:val="22"/>
                <w:szCs w:val="22"/>
              </w:rPr>
            </w:pPr>
            <w:r w:rsidRPr="007E6562">
              <w:rPr>
                <w:rFonts w:ascii="Times New Roman" w:hAnsi="Times New Roman"/>
                <w:b/>
                <w:sz w:val="22"/>
                <w:szCs w:val="22"/>
              </w:rPr>
              <w:t>Allowable Fee</w:t>
            </w:r>
          </w:p>
        </w:tc>
        <w:tc>
          <w:tcPr>
            <w:tcW w:w="6192" w:type="dxa"/>
            <w:shd w:val="clear" w:color="auto" w:fill="auto"/>
            <w:vAlign w:val="center"/>
          </w:tcPr>
          <w:p w14:paraId="45679C79" w14:textId="77777777" w:rsidR="006F4DBC" w:rsidRPr="007E6562" w:rsidRDefault="006F4DBC" w:rsidP="009F4DE4">
            <w:pPr>
              <w:pStyle w:val="PlainText"/>
              <w:jc w:val="center"/>
              <w:rPr>
                <w:rFonts w:ascii="Times New Roman" w:hAnsi="Times New Roman"/>
                <w:b/>
                <w:sz w:val="22"/>
                <w:szCs w:val="22"/>
              </w:rPr>
            </w:pPr>
            <w:r w:rsidRPr="007E6562">
              <w:rPr>
                <w:rFonts w:ascii="Times New Roman" w:hAnsi="Times New Roman"/>
                <w:b/>
                <w:sz w:val="22"/>
                <w:szCs w:val="22"/>
              </w:rPr>
              <w:t>Description</w:t>
            </w:r>
          </w:p>
        </w:tc>
      </w:tr>
      <w:tr w:rsidR="006F4DBC" w:rsidRPr="007E6562" w14:paraId="11CB995C" w14:textId="77777777" w:rsidTr="009F4DE4">
        <w:trPr>
          <w:cantSplit/>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6EC113F4"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90651</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275C6C" w14:textId="4790F6E1"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IC</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1115A8E" w14:textId="77777777" w:rsidR="006F4DBC" w:rsidRPr="007E6562" w:rsidRDefault="006F4DBC" w:rsidP="009F4DE4">
            <w:pPr>
              <w:rPr>
                <w:color w:val="000000"/>
                <w:sz w:val="22"/>
                <w:szCs w:val="22"/>
              </w:rPr>
            </w:pPr>
            <w:r w:rsidRPr="007E6562">
              <w:rPr>
                <w:color w:val="000000"/>
                <w:sz w:val="22"/>
                <w:szCs w:val="22"/>
              </w:rPr>
              <w:t xml:space="preserve">Human Papillomavirus vaccine types 6, 11, 16, 18, 31, 33, 45, 52, 58, </w:t>
            </w:r>
            <w:proofErr w:type="spellStart"/>
            <w:r w:rsidRPr="007E6562">
              <w:rPr>
                <w:color w:val="000000"/>
                <w:sz w:val="22"/>
                <w:szCs w:val="22"/>
              </w:rPr>
              <w:t>nonavalent</w:t>
            </w:r>
            <w:proofErr w:type="spellEnd"/>
            <w:r w:rsidRPr="007E6562">
              <w:rPr>
                <w:color w:val="000000"/>
                <w:sz w:val="22"/>
                <w:szCs w:val="22"/>
              </w:rPr>
              <w:t xml:space="preserve"> (9vHPV), 2 or 3 dose </w:t>
            </w:r>
            <w:proofErr w:type="gramStart"/>
            <w:r w:rsidRPr="007E6562">
              <w:rPr>
                <w:color w:val="000000"/>
                <w:sz w:val="22"/>
                <w:szCs w:val="22"/>
              </w:rPr>
              <w:t>schedule</w:t>
            </w:r>
            <w:proofErr w:type="gramEnd"/>
            <w:r w:rsidRPr="007E6562">
              <w:rPr>
                <w:color w:val="000000"/>
                <w:sz w:val="22"/>
                <w:szCs w:val="22"/>
              </w:rPr>
              <w:t>, for intramuscular use</w:t>
            </w:r>
          </w:p>
        </w:tc>
      </w:tr>
      <w:tr w:rsidR="006F4DBC" w:rsidRPr="007E6562" w14:paraId="5444DDE2" w14:textId="77777777" w:rsidTr="009F4DE4">
        <w:trPr>
          <w:cantSplit/>
        </w:trPr>
        <w:tc>
          <w:tcPr>
            <w:tcW w:w="9360" w:type="dxa"/>
            <w:gridSpan w:val="3"/>
            <w:shd w:val="clear" w:color="auto" w:fill="auto"/>
          </w:tcPr>
          <w:p w14:paraId="4AC720DF" w14:textId="77777777" w:rsidR="006F4DBC" w:rsidRPr="007E6562" w:rsidRDefault="006F4DBC" w:rsidP="009F4DE4">
            <w:pPr>
              <w:pStyle w:val="PlainText"/>
              <w:rPr>
                <w:rFonts w:ascii="Times New Roman" w:hAnsi="Times New Roman"/>
                <w:b/>
                <w:sz w:val="22"/>
                <w:szCs w:val="22"/>
              </w:rPr>
            </w:pPr>
            <w:r w:rsidRPr="007E6562">
              <w:rPr>
                <w:rFonts w:ascii="Times New Roman" w:hAnsi="Times New Roman"/>
                <w:b/>
                <w:sz w:val="22"/>
                <w:szCs w:val="22"/>
              </w:rPr>
              <w:t>New Patient</w:t>
            </w:r>
          </w:p>
        </w:tc>
      </w:tr>
      <w:tr w:rsidR="006F4DBC" w:rsidRPr="007E6562" w14:paraId="12399CAE" w14:textId="77777777" w:rsidTr="009F4DE4">
        <w:trPr>
          <w:cantSplit/>
        </w:trPr>
        <w:tc>
          <w:tcPr>
            <w:tcW w:w="1267" w:type="dxa"/>
            <w:shd w:val="clear" w:color="auto" w:fill="auto"/>
          </w:tcPr>
          <w:p w14:paraId="7100FCE4"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99202</w:t>
            </w:r>
          </w:p>
        </w:tc>
        <w:tc>
          <w:tcPr>
            <w:tcW w:w="1901" w:type="dxa"/>
            <w:shd w:val="clear" w:color="auto" w:fill="auto"/>
          </w:tcPr>
          <w:p w14:paraId="4DF2B63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$95.14</w:t>
            </w:r>
          </w:p>
        </w:tc>
        <w:tc>
          <w:tcPr>
            <w:tcW w:w="6192" w:type="dxa"/>
            <w:shd w:val="clear" w:color="auto" w:fill="auto"/>
          </w:tcPr>
          <w:p w14:paraId="7344E0FF"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p w14:paraId="34789D5C"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5CB5467E" w14:textId="77777777" w:rsidTr="009F4DE4">
        <w:trPr>
          <w:cantSplit/>
        </w:trPr>
        <w:tc>
          <w:tcPr>
            <w:tcW w:w="1267" w:type="dxa"/>
            <w:shd w:val="clear" w:color="auto" w:fill="auto"/>
          </w:tcPr>
          <w:p w14:paraId="473C72E9"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 xml:space="preserve">99203 </w:t>
            </w:r>
          </w:p>
        </w:tc>
        <w:tc>
          <w:tcPr>
            <w:tcW w:w="1901" w:type="dxa"/>
            <w:shd w:val="clear" w:color="auto" w:fill="auto"/>
          </w:tcPr>
          <w:p w14:paraId="75113B3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$144.55</w:t>
            </w:r>
          </w:p>
        </w:tc>
        <w:tc>
          <w:tcPr>
            <w:tcW w:w="6192" w:type="dxa"/>
            <w:shd w:val="clear" w:color="auto" w:fill="auto"/>
          </w:tcPr>
          <w:p w14:paraId="3119C6BC"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 new patient, which requires a medically appropriate history and/or examination and low level of medical decision making. When using total time on the date of the encounter for code selection, 30 minutes must be met or exceeded.</w:t>
            </w:r>
          </w:p>
          <w:p w14:paraId="44E9E9A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67DE3A0A" w14:textId="77777777" w:rsidTr="009F4DE4">
        <w:trPr>
          <w:cantSplit/>
        </w:trPr>
        <w:tc>
          <w:tcPr>
            <w:tcW w:w="1267" w:type="dxa"/>
            <w:shd w:val="clear" w:color="auto" w:fill="auto"/>
          </w:tcPr>
          <w:p w14:paraId="315E2AAA"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99204</w:t>
            </w:r>
          </w:p>
        </w:tc>
        <w:tc>
          <w:tcPr>
            <w:tcW w:w="1901" w:type="dxa"/>
            <w:shd w:val="clear" w:color="auto" w:fill="auto"/>
          </w:tcPr>
          <w:p w14:paraId="04977BE6"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$210.21</w:t>
            </w:r>
          </w:p>
        </w:tc>
        <w:tc>
          <w:tcPr>
            <w:tcW w:w="6192" w:type="dxa"/>
            <w:shd w:val="clear" w:color="auto" w:fill="auto"/>
          </w:tcPr>
          <w:p w14:paraId="4278EC9D"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 new patient, which requires a medically appropriate history and/or examination and moderate level of medical decision making. When using total time on the date of the encounter for code selection, 45 minutes must be met or exceeded.</w:t>
            </w:r>
          </w:p>
          <w:p w14:paraId="341A1682"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1C57CCBC" w14:textId="77777777" w:rsidTr="009F4DE4">
        <w:trPr>
          <w:cantSplit/>
        </w:trPr>
        <w:tc>
          <w:tcPr>
            <w:tcW w:w="1267" w:type="dxa"/>
            <w:shd w:val="clear" w:color="auto" w:fill="auto"/>
          </w:tcPr>
          <w:p w14:paraId="5365700B"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99205</w:t>
            </w:r>
          </w:p>
        </w:tc>
        <w:tc>
          <w:tcPr>
            <w:tcW w:w="1901" w:type="dxa"/>
            <w:shd w:val="clear" w:color="auto" w:fill="auto"/>
          </w:tcPr>
          <w:p w14:paraId="75882ABD"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$265.12</w:t>
            </w:r>
          </w:p>
        </w:tc>
        <w:tc>
          <w:tcPr>
            <w:tcW w:w="6192" w:type="dxa"/>
            <w:shd w:val="clear" w:color="auto" w:fill="auto"/>
          </w:tcPr>
          <w:p w14:paraId="03DC7F36"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 new patient, which requires a medically appropriate history and/or examination and high level of medical decision making. When using total time on the date of the encounter for code selection, 60 minutes must be met or exceeded.</w:t>
            </w:r>
          </w:p>
          <w:p w14:paraId="01658BA9" w14:textId="77777777" w:rsidR="006F4DBC" w:rsidRDefault="006F4DBC" w:rsidP="009F4DE4">
            <w:pPr>
              <w:pStyle w:val="PlainText"/>
              <w:tabs>
                <w:tab w:val="left" w:pos="3330"/>
              </w:tabs>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p w14:paraId="7298474D" w14:textId="77777777" w:rsidR="008B253F" w:rsidRDefault="008B253F" w:rsidP="009F4DE4">
            <w:pPr>
              <w:pStyle w:val="PlainText"/>
              <w:tabs>
                <w:tab w:val="left" w:pos="3330"/>
              </w:tabs>
              <w:rPr>
                <w:rFonts w:ascii="Times New Roman" w:hAnsi="Times New Roman"/>
                <w:sz w:val="22"/>
                <w:szCs w:val="22"/>
              </w:rPr>
            </w:pPr>
          </w:p>
          <w:p w14:paraId="2C5E1431" w14:textId="77777777" w:rsidR="008B253F" w:rsidRDefault="008B253F" w:rsidP="009F4DE4">
            <w:pPr>
              <w:pStyle w:val="PlainText"/>
              <w:tabs>
                <w:tab w:val="left" w:pos="3330"/>
              </w:tabs>
              <w:rPr>
                <w:rFonts w:ascii="Times New Roman" w:hAnsi="Times New Roman"/>
                <w:sz w:val="22"/>
                <w:szCs w:val="22"/>
              </w:rPr>
            </w:pPr>
          </w:p>
          <w:p w14:paraId="3D08F97C" w14:textId="77777777" w:rsidR="008B253F" w:rsidRPr="007E6562" w:rsidRDefault="008B253F" w:rsidP="009F4DE4">
            <w:pPr>
              <w:pStyle w:val="PlainText"/>
              <w:tabs>
                <w:tab w:val="left" w:pos="3330"/>
              </w:tabs>
              <w:rPr>
                <w:rFonts w:ascii="Times New Roman" w:hAnsi="Times New Roman"/>
                <w:sz w:val="22"/>
                <w:szCs w:val="22"/>
              </w:rPr>
            </w:pPr>
          </w:p>
        </w:tc>
      </w:tr>
      <w:tr w:rsidR="006F4DBC" w:rsidRPr="00EC191B" w14:paraId="547440E3" w14:textId="77777777" w:rsidTr="009F4DE4">
        <w:trPr>
          <w:cantSplit/>
        </w:trPr>
        <w:tc>
          <w:tcPr>
            <w:tcW w:w="9360" w:type="dxa"/>
            <w:gridSpan w:val="3"/>
            <w:shd w:val="clear" w:color="auto" w:fill="auto"/>
          </w:tcPr>
          <w:p w14:paraId="6F561519" w14:textId="77777777" w:rsidR="006F4DBC" w:rsidRPr="00EC191B" w:rsidRDefault="006F4DBC" w:rsidP="009F4DE4">
            <w:pPr>
              <w:pStyle w:val="PlainText"/>
              <w:rPr>
                <w:rFonts w:ascii="Times New Roman" w:hAnsi="Times New Roman"/>
                <w:b/>
                <w:sz w:val="22"/>
                <w:szCs w:val="22"/>
              </w:rPr>
            </w:pPr>
            <w:r w:rsidRPr="00EC191B">
              <w:rPr>
                <w:rFonts w:ascii="Times New Roman" w:hAnsi="Times New Roman"/>
                <w:b/>
                <w:sz w:val="22"/>
                <w:szCs w:val="22"/>
              </w:rPr>
              <w:lastRenderedPageBreak/>
              <w:t>Established Patient</w:t>
            </w:r>
          </w:p>
        </w:tc>
      </w:tr>
      <w:tr w:rsidR="006F4DBC" w:rsidRPr="007E6562" w14:paraId="7F0D32C9" w14:textId="77777777" w:rsidTr="009F4DE4">
        <w:trPr>
          <w:cantSplit/>
        </w:trPr>
        <w:tc>
          <w:tcPr>
            <w:tcW w:w="1267" w:type="dxa"/>
            <w:shd w:val="clear" w:color="auto" w:fill="auto"/>
          </w:tcPr>
          <w:p w14:paraId="0AEA3862"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99211</w:t>
            </w:r>
          </w:p>
        </w:tc>
        <w:tc>
          <w:tcPr>
            <w:tcW w:w="1901" w:type="dxa"/>
            <w:shd w:val="clear" w:color="auto" w:fill="auto"/>
          </w:tcPr>
          <w:p w14:paraId="5681BB0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$37.74</w:t>
            </w:r>
          </w:p>
        </w:tc>
        <w:tc>
          <w:tcPr>
            <w:tcW w:w="6192" w:type="dxa"/>
            <w:shd w:val="clear" w:color="auto" w:fill="auto"/>
          </w:tcPr>
          <w:p w14:paraId="49EFE011"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an established patient that may not require the presence of a physician or other qualified health care professional</w:t>
            </w:r>
          </w:p>
          <w:p w14:paraId="1273C9B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2FAA069D" w14:textId="77777777" w:rsidTr="009F4DE4">
        <w:trPr>
          <w:cantSplit/>
        </w:trPr>
        <w:tc>
          <w:tcPr>
            <w:tcW w:w="1267" w:type="dxa"/>
            <w:shd w:val="clear" w:color="auto" w:fill="auto"/>
          </w:tcPr>
          <w:p w14:paraId="38623EA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99212</w:t>
            </w:r>
          </w:p>
        </w:tc>
        <w:tc>
          <w:tcPr>
            <w:tcW w:w="1901" w:type="dxa"/>
            <w:shd w:val="clear" w:color="auto" w:fill="auto"/>
          </w:tcPr>
          <w:p w14:paraId="2C0A93C4"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$68.06</w:t>
            </w:r>
          </w:p>
        </w:tc>
        <w:tc>
          <w:tcPr>
            <w:tcW w:w="6192" w:type="dxa"/>
            <w:shd w:val="clear" w:color="auto" w:fill="auto"/>
          </w:tcPr>
          <w:p w14:paraId="2CD38CC9"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p w14:paraId="4ACCD8E8" w14:textId="77777777" w:rsidR="006F4DBC" w:rsidRPr="007E6562" w:rsidRDefault="006F4DBC" w:rsidP="009F4DE4">
            <w:pPr>
              <w:pStyle w:val="PlainText"/>
              <w:tabs>
                <w:tab w:val="left" w:pos="1440"/>
                <w:tab w:val="left" w:pos="3330"/>
              </w:tabs>
              <w:ind w:right="-40"/>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43731A12" w14:textId="77777777" w:rsidTr="009F4DE4">
        <w:trPr>
          <w:cantSplit/>
        </w:trPr>
        <w:tc>
          <w:tcPr>
            <w:tcW w:w="1267" w:type="dxa"/>
            <w:shd w:val="clear" w:color="auto" w:fill="auto"/>
          </w:tcPr>
          <w:p w14:paraId="28CC6FB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99213</w:t>
            </w:r>
          </w:p>
        </w:tc>
        <w:tc>
          <w:tcPr>
            <w:tcW w:w="1901" w:type="dxa"/>
            <w:shd w:val="clear" w:color="auto" w:fill="auto"/>
          </w:tcPr>
          <w:p w14:paraId="45E62ED9"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$104.23</w:t>
            </w:r>
          </w:p>
        </w:tc>
        <w:tc>
          <w:tcPr>
            <w:tcW w:w="6192" w:type="dxa"/>
            <w:shd w:val="clear" w:color="auto" w:fill="auto"/>
          </w:tcPr>
          <w:p w14:paraId="2AA0083C"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p w14:paraId="5868B1A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7548D247" w14:textId="77777777" w:rsidTr="009F4DE4">
        <w:trPr>
          <w:cantSplit/>
        </w:trPr>
        <w:tc>
          <w:tcPr>
            <w:tcW w:w="1267" w:type="dxa"/>
            <w:shd w:val="clear" w:color="auto" w:fill="auto"/>
          </w:tcPr>
          <w:p w14:paraId="31BC014D"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99214</w:t>
            </w:r>
          </w:p>
        </w:tc>
        <w:tc>
          <w:tcPr>
            <w:tcW w:w="1901" w:type="dxa"/>
            <w:shd w:val="clear" w:color="auto" w:fill="auto"/>
          </w:tcPr>
          <w:p w14:paraId="148ABBDF"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$150.82</w:t>
            </w:r>
          </w:p>
        </w:tc>
        <w:tc>
          <w:tcPr>
            <w:tcW w:w="6192" w:type="dxa"/>
            <w:shd w:val="clear" w:color="auto" w:fill="auto"/>
          </w:tcPr>
          <w:p w14:paraId="295605C6"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p w14:paraId="64283367" w14:textId="77777777" w:rsidR="006F4DBC" w:rsidRPr="007E6562" w:rsidRDefault="006F4DBC" w:rsidP="009F4DE4">
            <w:pPr>
              <w:pStyle w:val="PlainText"/>
              <w:tabs>
                <w:tab w:val="left" w:pos="1440"/>
                <w:tab w:val="left" w:pos="1530"/>
                <w:tab w:val="left" w:pos="3330"/>
              </w:tabs>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tc>
      </w:tr>
      <w:tr w:rsidR="006F4DBC" w:rsidRPr="007E6562" w14:paraId="5FA698C8" w14:textId="77777777" w:rsidTr="009F4DE4">
        <w:trPr>
          <w:cantSplit/>
        </w:trPr>
        <w:tc>
          <w:tcPr>
            <w:tcW w:w="1267" w:type="dxa"/>
            <w:shd w:val="clear" w:color="auto" w:fill="auto"/>
          </w:tcPr>
          <w:p w14:paraId="05B7E229"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99215</w:t>
            </w:r>
          </w:p>
        </w:tc>
        <w:tc>
          <w:tcPr>
            <w:tcW w:w="1901" w:type="dxa"/>
            <w:shd w:val="clear" w:color="auto" w:fill="auto"/>
          </w:tcPr>
          <w:p w14:paraId="7A6BF5D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$201.78</w:t>
            </w:r>
          </w:p>
        </w:tc>
        <w:tc>
          <w:tcPr>
            <w:tcW w:w="6192" w:type="dxa"/>
            <w:shd w:val="clear" w:color="auto" w:fill="auto"/>
          </w:tcPr>
          <w:p w14:paraId="1AC2323D" w14:textId="77777777" w:rsidR="006F4DBC" w:rsidRPr="007E6562" w:rsidRDefault="006F4DBC" w:rsidP="009F4DE4">
            <w:pPr>
              <w:rPr>
                <w:color w:val="000000"/>
                <w:sz w:val="22"/>
                <w:szCs w:val="22"/>
              </w:rPr>
            </w:pPr>
            <w:r w:rsidRPr="007E6562">
              <w:rPr>
                <w:color w:val="000000"/>
                <w:sz w:val="22"/>
                <w:szCs w:val="22"/>
              </w:rPr>
              <w:t>Office or other outpatient visit for the evaluation and management of an established patient, which requires a medically appropriate history and/or examination and high level of medical decision making. When using total time on the date of the encounter for code selection, 40 minutes must be met or exceeded.</w:t>
            </w:r>
          </w:p>
          <w:p w14:paraId="14862196" w14:textId="77777777" w:rsidR="006F4DBC" w:rsidRDefault="006F4DBC" w:rsidP="009F4DE4">
            <w:pPr>
              <w:pStyle w:val="PlainText"/>
              <w:rPr>
                <w:rFonts w:ascii="Times New Roman" w:hAnsi="Times New Roman"/>
                <w:sz w:val="22"/>
                <w:szCs w:val="22"/>
              </w:rPr>
            </w:pPr>
            <w:r w:rsidRPr="007E6562">
              <w:rPr>
                <w:rFonts w:ascii="Times New Roman" w:hAnsi="Times New Roman"/>
                <w:sz w:val="22"/>
                <w:szCs w:val="22"/>
              </w:rPr>
              <w:t>(In addition, visit includes counseling, anticipatory guidance, risk factor reduction, interventions, and the ordering of appropriate laboratory and diagnostic procedures.)</w:t>
            </w:r>
          </w:p>
          <w:p w14:paraId="04B9F830" w14:textId="77777777" w:rsidR="008B253F" w:rsidRDefault="008B253F" w:rsidP="009F4DE4">
            <w:pPr>
              <w:pStyle w:val="PlainText"/>
              <w:rPr>
                <w:rFonts w:ascii="Times New Roman" w:hAnsi="Times New Roman"/>
                <w:sz w:val="22"/>
                <w:szCs w:val="22"/>
              </w:rPr>
            </w:pPr>
          </w:p>
          <w:p w14:paraId="270E0370" w14:textId="77777777" w:rsidR="008B253F" w:rsidRPr="007E6562" w:rsidRDefault="008B253F" w:rsidP="009F4DE4">
            <w:pPr>
              <w:pStyle w:val="PlainText"/>
              <w:rPr>
                <w:rFonts w:ascii="Times New Roman" w:hAnsi="Times New Roman"/>
                <w:sz w:val="22"/>
                <w:szCs w:val="22"/>
              </w:rPr>
            </w:pPr>
          </w:p>
        </w:tc>
      </w:tr>
      <w:tr w:rsidR="006F4DBC" w:rsidRPr="007E6562" w14:paraId="573B20A6" w14:textId="77777777" w:rsidTr="009F4DE4">
        <w:trPr>
          <w:cantSplit/>
        </w:trPr>
        <w:tc>
          <w:tcPr>
            <w:tcW w:w="9360" w:type="dxa"/>
            <w:gridSpan w:val="3"/>
            <w:shd w:val="clear" w:color="auto" w:fill="auto"/>
          </w:tcPr>
          <w:p w14:paraId="15401A3C" w14:textId="77777777" w:rsidR="006F4DBC" w:rsidRPr="007E6562" w:rsidDel="00950B17" w:rsidRDefault="006F4DBC" w:rsidP="009F4DE4">
            <w:pPr>
              <w:rPr>
                <w:b/>
                <w:sz w:val="22"/>
                <w:szCs w:val="22"/>
              </w:rPr>
            </w:pPr>
            <w:r w:rsidRPr="007E6562">
              <w:rPr>
                <w:b/>
                <w:sz w:val="22"/>
                <w:szCs w:val="22"/>
              </w:rPr>
              <w:lastRenderedPageBreak/>
              <w:t>Preventive Medicine Services</w:t>
            </w:r>
          </w:p>
        </w:tc>
      </w:tr>
      <w:tr w:rsidR="006F4DBC" w:rsidRPr="007E6562" w14:paraId="568FD2EE" w14:textId="77777777" w:rsidTr="009F4DE4">
        <w:trPr>
          <w:cantSplit/>
        </w:trPr>
        <w:tc>
          <w:tcPr>
            <w:tcW w:w="1267" w:type="dxa"/>
            <w:shd w:val="clear" w:color="auto" w:fill="auto"/>
          </w:tcPr>
          <w:p w14:paraId="12606AA2"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99384</w:t>
            </w:r>
          </w:p>
        </w:tc>
        <w:tc>
          <w:tcPr>
            <w:tcW w:w="1901" w:type="dxa"/>
            <w:shd w:val="clear" w:color="auto" w:fill="auto"/>
          </w:tcPr>
          <w:p w14:paraId="17E772AA"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$110.46</w:t>
            </w:r>
          </w:p>
        </w:tc>
        <w:tc>
          <w:tcPr>
            <w:tcW w:w="6192" w:type="dxa"/>
            <w:shd w:val="clear" w:color="auto" w:fill="auto"/>
          </w:tcPr>
          <w:p w14:paraId="2526A4DF" w14:textId="77777777" w:rsidR="006F4DBC" w:rsidRPr="007E6562" w:rsidDel="00950B17" w:rsidRDefault="006F4DBC" w:rsidP="009F4DE4">
            <w:pPr>
              <w:rPr>
                <w:color w:val="000000"/>
                <w:sz w:val="22"/>
                <w:szCs w:val="22"/>
              </w:rPr>
            </w:pPr>
            <w:r w:rsidRPr="007E6562">
              <w:rPr>
                <w:color w:val="000000"/>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tc>
      </w:tr>
      <w:tr w:rsidR="006F4DBC" w:rsidRPr="007E6562" w14:paraId="18A19887" w14:textId="77777777" w:rsidTr="009F4DE4">
        <w:trPr>
          <w:cantSplit/>
        </w:trPr>
        <w:tc>
          <w:tcPr>
            <w:tcW w:w="1267" w:type="dxa"/>
            <w:shd w:val="clear" w:color="auto" w:fill="auto"/>
          </w:tcPr>
          <w:p w14:paraId="669BDF1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99385</w:t>
            </w:r>
          </w:p>
        </w:tc>
        <w:tc>
          <w:tcPr>
            <w:tcW w:w="1901" w:type="dxa"/>
            <w:shd w:val="clear" w:color="auto" w:fill="auto"/>
          </w:tcPr>
          <w:p w14:paraId="04CA14AE"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$110.46</w:t>
            </w:r>
          </w:p>
        </w:tc>
        <w:tc>
          <w:tcPr>
            <w:tcW w:w="6192" w:type="dxa"/>
            <w:shd w:val="clear" w:color="auto" w:fill="auto"/>
          </w:tcPr>
          <w:p w14:paraId="578807D7" w14:textId="77777777" w:rsidR="006F4DBC" w:rsidRPr="007E6562" w:rsidRDefault="006F4DBC" w:rsidP="009F4DE4">
            <w:pPr>
              <w:rPr>
                <w:color w:val="000000"/>
                <w:sz w:val="22"/>
                <w:szCs w:val="22"/>
              </w:rPr>
            </w:pPr>
            <w:r w:rsidRPr="007E6562">
              <w:rPr>
                <w:color w:val="000000"/>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18-39 years</w:t>
            </w:r>
          </w:p>
        </w:tc>
      </w:tr>
      <w:tr w:rsidR="006F4DBC" w:rsidRPr="007E6562" w14:paraId="02992B80" w14:textId="77777777" w:rsidTr="009F4DE4">
        <w:trPr>
          <w:cantSplit/>
        </w:trPr>
        <w:tc>
          <w:tcPr>
            <w:tcW w:w="1267" w:type="dxa"/>
            <w:shd w:val="clear" w:color="auto" w:fill="auto"/>
          </w:tcPr>
          <w:p w14:paraId="0A65293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99386</w:t>
            </w:r>
          </w:p>
        </w:tc>
        <w:tc>
          <w:tcPr>
            <w:tcW w:w="1901" w:type="dxa"/>
            <w:shd w:val="clear" w:color="auto" w:fill="auto"/>
          </w:tcPr>
          <w:p w14:paraId="65EB095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$123.75</w:t>
            </w:r>
          </w:p>
        </w:tc>
        <w:tc>
          <w:tcPr>
            <w:tcW w:w="6192" w:type="dxa"/>
            <w:shd w:val="clear" w:color="auto" w:fill="auto"/>
          </w:tcPr>
          <w:p w14:paraId="04D1E05E" w14:textId="77777777" w:rsidR="006F4DBC" w:rsidRPr="007E6562" w:rsidRDefault="006F4DBC" w:rsidP="009F4DE4">
            <w:pPr>
              <w:rPr>
                <w:color w:val="000000"/>
                <w:sz w:val="22"/>
                <w:szCs w:val="22"/>
              </w:rPr>
            </w:pPr>
            <w:r w:rsidRPr="007E6562">
              <w:rPr>
                <w:color w:val="000000"/>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40-64 years</w:t>
            </w:r>
          </w:p>
        </w:tc>
      </w:tr>
      <w:tr w:rsidR="006F4DBC" w:rsidRPr="007E6562" w14:paraId="0C462AD9" w14:textId="77777777" w:rsidTr="009F4DE4">
        <w:trPr>
          <w:cantSplit/>
        </w:trPr>
        <w:tc>
          <w:tcPr>
            <w:tcW w:w="1267" w:type="dxa"/>
            <w:shd w:val="clear" w:color="auto" w:fill="auto"/>
          </w:tcPr>
          <w:p w14:paraId="49268D9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99394</w:t>
            </w:r>
          </w:p>
        </w:tc>
        <w:tc>
          <w:tcPr>
            <w:tcW w:w="1901" w:type="dxa"/>
            <w:shd w:val="clear" w:color="auto" w:fill="auto"/>
          </w:tcPr>
          <w:p w14:paraId="6711B2C4"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$95.86</w:t>
            </w:r>
          </w:p>
        </w:tc>
        <w:tc>
          <w:tcPr>
            <w:tcW w:w="6192" w:type="dxa"/>
            <w:shd w:val="clear" w:color="auto" w:fill="auto"/>
          </w:tcPr>
          <w:p w14:paraId="2D03F7CC" w14:textId="77777777" w:rsidR="006F4DBC" w:rsidRPr="007E6562" w:rsidRDefault="006F4DBC" w:rsidP="009F4DE4">
            <w:pPr>
              <w:rPr>
                <w:color w:val="000000"/>
                <w:sz w:val="22"/>
                <w:szCs w:val="22"/>
              </w:rPr>
            </w:pPr>
            <w:r w:rsidRPr="007E6562">
              <w:rPr>
                <w:color w:val="000000"/>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06F4DBC" w:rsidRPr="007E6562" w14:paraId="57D47F37" w14:textId="77777777" w:rsidTr="009F4DE4">
        <w:trPr>
          <w:cantSplit/>
        </w:trPr>
        <w:tc>
          <w:tcPr>
            <w:tcW w:w="1267" w:type="dxa"/>
            <w:shd w:val="clear" w:color="auto" w:fill="auto"/>
          </w:tcPr>
          <w:p w14:paraId="7AE68339"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99395</w:t>
            </w:r>
          </w:p>
        </w:tc>
        <w:tc>
          <w:tcPr>
            <w:tcW w:w="1901" w:type="dxa"/>
            <w:shd w:val="clear" w:color="auto" w:fill="auto"/>
          </w:tcPr>
          <w:p w14:paraId="78450AFA"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$96.34</w:t>
            </w:r>
          </w:p>
        </w:tc>
        <w:tc>
          <w:tcPr>
            <w:tcW w:w="6192" w:type="dxa"/>
            <w:shd w:val="clear" w:color="auto" w:fill="auto"/>
          </w:tcPr>
          <w:p w14:paraId="0BC320F8" w14:textId="77777777" w:rsidR="006F4DBC" w:rsidRPr="007E6562" w:rsidRDefault="006F4DBC" w:rsidP="009F4DE4">
            <w:pPr>
              <w:rPr>
                <w:color w:val="000000"/>
                <w:sz w:val="22"/>
                <w:szCs w:val="22"/>
              </w:rPr>
            </w:pPr>
            <w:r w:rsidRPr="007E6562">
              <w:rPr>
                <w:color w:val="000000"/>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18-39 years</w:t>
            </w:r>
          </w:p>
        </w:tc>
      </w:tr>
      <w:tr w:rsidR="006F4DBC" w:rsidRPr="007E6562" w14:paraId="10671304" w14:textId="77777777" w:rsidTr="009F4DE4">
        <w:trPr>
          <w:cantSplit/>
        </w:trPr>
        <w:tc>
          <w:tcPr>
            <w:tcW w:w="1267" w:type="dxa"/>
            <w:shd w:val="clear" w:color="auto" w:fill="auto"/>
          </w:tcPr>
          <w:p w14:paraId="0E2158DE"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99396</w:t>
            </w:r>
          </w:p>
        </w:tc>
        <w:tc>
          <w:tcPr>
            <w:tcW w:w="1901" w:type="dxa"/>
            <w:shd w:val="clear" w:color="auto" w:fill="auto"/>
          </w:tcPr>
          <w:p w14:paraId="305B081A"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$102.56</w:t>
            </w:r>
          </w:p>
        </w:tc>
        <w:tc>
          <w:tcPr>
            <w:tcW w:w="6192" w:type="dxa"/>
            <w:shd w:val="clear" w:color="auto" w:fill="auto"/>
          </w:tcPr>
          <w:p w14:paraId="2F52A3EA" w14:textId="77777777" w:rsidR="006F4DBC" w:rsidRPr="007E6562" w:rsidRDefault="006F4DBC" w:rsidP="009F4DE4">
            <w:pPr>
              <w:rPr>
                <w:color w:val="000000"/>
                <w:sz w:val="22"/>
                <w:szCs w:val="22"/>
              </w:rPr>
            </w:pPr>
            <w:r w:rsidRPr="007E6562">
              <w:rPr>
                <w:color w:val="000000"/>
                <w:sz w:val="22"/>
                <w:szCs w:val="22"/>
              </w:rPr>
              <w:t xml:space="preserve">Periodic comprehensive preventive medicine reevaluation and management of an individual including an </w:t>
            </w:r>
            <w:proofErr w:type="gramStart"/>
            <w:r w:rsidRPr="007E6562">
              <w:rPr>
                <w:color w:val="000000"/>
                <w:sz w:val="22"/>
                <w:szCs w:val="22"/>
              </w:rPr>
              <w:t>age and gender appropriate</w:t>
            </w:r>
            <w:proofErr w:type="gramEnd"/>
            <w:r w:rsidRPr="007E6562">
              <w:rPr>
                <w:color w:val="000000"/>
                <w:sz w:val="22"/>
                <w:szCs w:val="22"/>
              </w:rPr>
              <w:t xml:space="preserve"> history, examination, counseling/anticipatory guidance/risk factor reduction interventions, and the ordering of laboratory/diagnostic procedures, established patient; 40-64 years</w:t>
            </w:r>
          </w:p>
        </w:tc>
      </w:tr>
      <w:tr w:rsidR="006F4DBC" w:rsidRPr="007E6562" w14:paraId="625EACCC" w14:textId="77777777" w:rsidTr="009F4DE4">
        <w:trPr>
          <w:cantSplit/>
        </w:trPr>
        <w:tc>
          <w:tcPr>
            <w:tcW w:w="1267" w:type="dxa"/>
            <w:shd w:val="clear" w:color="auto" w:fill="auto"/>
          </w:tcPr>
          <w:p w14:paraId="5D512D1C"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99402</w:t>
            </w:r>
          </w:p>
        </w:tc>
        <w:tc>
          <w:tcPr>
            <w:tcW w:w="1901" w:type="dxa"/>
            <w:shd w:val="clear" w:color="auto" w:fill="auto"/>
          </w:tcPr>
          <w:p w14:paraId="0E3C6EE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$71.15</w:t>
            </w:r>
          </w:p>
        </w:tc>
        <w:tc>
          <w:tcPr>
            <w:tcW w:w="6192" w:type="dxa"/>
            <w:shd w:val="clear" w:color="auto" w:fill="auto"/>
          </w:tcPr>
          <w:p w14:paraId="3F7764B1" w14:textId="77777777" w:rsidR="006F4DBC" w:rsidRPr="007E6562" w:rsidRDefault="006F4DBC" w:rsidP="009F4DE4">
            <w:pPr>
              <w:rPr>
                <w:color w:val="000000"/>
                <w:sz w:val="22"/>
                <w:szCs w:val="22"/>
              </w:rPr>
            </w:pPr>
            <w:r w:rsidRPr="007E6562">
              <w:rPr>
                <w:color w:val="000000"/>
                <w:sz w:val="22"/>
                <w:szCs w:val="22"/>
              </w:rPr>
              <w:t>Preventive medicine counseling and/or risk factor reduction intervention(s) provided to an individual (separate procedure); approximately 30 minutes</w:t>
            </w:r>
          </w:p>
        </w:tc>
      </w:tr>
      <w:tr w:rsidR="006F4DBC" w:rsidRPr="007E6562" w14:paraId="611607DA" w14:textId="77777777" w:rsidTr="009F4DE4">
        <w:trPr>
          <w:cantSplit/>
        </w:trPr>
        <w:tc>
          <w:tcPr>
            <w:tcW w:w="9360" w:type="dxa"/>
            <w:gridSpan w:val="3"/>
            <w:shd w:val="clear" w:color="auto" w:fill="auto"/>
          </w:tcPr>
          <w:p w14:paraId="6517E76C" w14:textId="77777777" w:rsidR="006F4DBC" w:rsidRPr="007E6562" w:rsidRDefault="006F4DBC" w:rsidP="009F4DE4">
            <w:pPr>
              <w:pStyle w:val="PlainText"/>
              <w:rPr>
                <w:rFonts w:ascii="Times New Roman" w:hAnsi="Times New Roman"/>
                <w:b/>
                <w:sz w:val="22"/>
                <w:szCs w:val="22"/>
              </w:rPr>
            </w:pPr>
            <w:r w:rsidRPr="007E6562">
              <w:rPr>
                <w:rFonts w:ascii="Times New Roman" w:hAnsi="Times New Roman"/>
                <w:b/>
                <w:sz w:val="22"/>
                <w:szCs w:val="22"/>
              </w:rPr>
              <w:t>Allowable Medical and Related Supplies</w:t>
            </w:r>
          </w:p>
        </w:tc>
      </w:tr>
      <w:tr w:rsidR="006F4DBC" w:rsidRPr="007E6562" w14:paraId="3F4BDDE5" w14:textId="77777777" w:rsidTr="009F4DE4">
        <w:trPr>
          <w:cantSplit/>
        </w:trPr>
        <w:tc>
          <w:tcPr>
            <w:tcW w:w="1267" w:type="dxa"/>
            <w:shd w:val="clear" w:color="auto" w:fill="auto"/>
          </w:tcPr>
          <w:p w14:paraId="25382C6F" w14:textId="77777777" w:rsidR="006F4DBC" w:rsidRPr="007E6562" w:rsidRDefault="006F4DBC" w:rsidP="009F4DE4">
            <w:pPr>
              <w:pStyle w:val="PlainText"/>
              <w:rPr>
                <w:rFonts w:ascii="Times New Roman" w:hAnsi="Times New Roman"/>
                <w:snapToGrid w:val="0"/>
                <w:sz w:val="22"/>
                <w:szCs w:val="22"/>
              </w:rPr>
            </w:pPr>
            <w:r w:rsidRPr="007E6562">
              <w:rPr>
                <w:rFonts w:ascii="Times New Roman" w:hAnsi="Times New Roman"/>
                <w:snapToGrid w:val="0"/>
                <w:sz w:val="22"/>
                <w:szCs w:val="22"/>
              </w:rPr>
              <w:t>S4993</w:t>
            </w:r>
          </w:p>
          <w:p w14:paraId="770D69ED" w14:textId="77777777" w:rsidR="006F4DBC" w:rsidRPr="007E6562" w:rsidRDefault="006F4DBC" w:rsidP="009F4DE4">
            <w:pPr>
              <w:pStyle w:val="PlainText"/>
              <w:rPr>
                <w:rFonts w:ascii="Times New Roman" w:hAnsi="Times New Roman"/>
                <w:sz w:val="22"/>
                <w:szCs w:val="22"/>
              </w:rPr>
            </w:pPr>
          </w:p>
        </w:tc>
        <w:tc>
          <w:tcPr>
            <w:tcW w:w="1901" w:type="dxa"/>
            <w:shd w:val="clear" w:color="auto" w:fill="auto"/>
          </w:tcPr>
          <w:p w14:paraId="58A58D8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$11.33</w:t>
            </w:r>
          </w:p>
        </w:tc>
        <w:tc>
          <w:tcPr>
            <w:tcW w:w="6192" w:type="dxa"/>
            <w:shd w:val="clear" w:color="auto" w:fill="auto"/>
          </w:tcPr>
          <w:p w14:paraId="49AC0839" w14:textId="77777777" w:rsidR="006F4DBC" w:rsidRDefault="006F4DBC" w:rsidP="009F4DE4">
            <w:pPr>
              <w:rPr>
                <w:color w:val="000000"/>
                <w:sz w:val="22"/>
                <w:szCs w:val="22"/>
              </w:rPr>
            </w:pPr>
            <w:r w:rsidRPr="007E6562">
              <w:rPr>
                <w:color w:val="000000"/>
                <w:sz w:val="22"/>
                <w:szCs w:val="22"/>
              </w:rPr>
              <w:t>Contraceptive pills for birth control</w:t>
            </w:r>
          </w:p>
          <w:p w14:paraId="6C507AC9" w14:textId="77777777" w:rsidR="00F50B98" w:rsidRDefault="00F50B98" w:rsidP="009F4DE4">
            <w:pPr>
              <w:rPr>
                <w:color w:val="000000"/>
                <w:sz w:val="22"/>
                <w:szCs w:val="22"/>
              </w:rPr>
            </w:pPr>
          </w:p>
          <w:p w14:paraId="6232509F" w14:textId="77777777" w:rsidR="00F50B98" w:rsidRPr="007E6562" w:rsidRDefault="00F50B98" w:rsidP="009F4DE4">
            <w:pPr>
              <w:rPr>
                <w:color w:val="000000"/>
                <w:sz w:val="22"/>
                <w:szCs w:val="22"/>
              </w:rPr>
            </w:pPr>
          </w:p>
        </w:tc>
      </w:tr>
      <w:tr w:rsidR="006F4DBC" w:rsidRPr="007E6562" w14:paraId="13B963AB" w14:textId="77777777" w:rsidTr="009F4DE4">
        <w:trPr>
          <w:cantSplit/>
        </w:trPr>
        <w:tc>
          <w:tcPr>
            <w:tcW w:w="9360" w:type="dxa"/>
            <w:gridSpan w:val="3"/>
            <w:shd w:val="clear" w:color="auto" w:fill="auto"/>
          </w:tcPr>
          <w:p w14:paraId="5C8C76E0" w14:textId="77777777" w:rsidR="006F4DBC" w:rsidRPr="007E6562" w:rsidRDefault="006F4DBC" w:rsidP="009F4DE4">
            <w:pPr>
              <w:pStyle w:val="PlainText"/>
              <w:rPr>
                <w:rFonts w:ascii="Times New Roman" w:hAnsi="Times New Roman"/>
                <w:b/>
                <w:bCs/>
                <w:sz w:val="22"/>
                <w:szCs w:val="22"/>
              </w:rPr>
            </w:pPr>
            <w:r w:rsidRPr="007E6562">
              <w:rPr>
                <w:rFonts w:ascii="Times New Roman" w:hAnsi="Times New Roman"/>
                <w:b/>
                <w:bCs/>
                <w:sz w:val="22"/>
                <w:szCs w:val="22"/>
              </w:rPr>
              <w:lastRenderedPageBreak/>
              <w:t>All Other Medical and Related Supplies</w:t>
            </w:r>
          </w:p>
        </w:tc>
      </w:tr>
      <w:tr w:rsidR="006F4DBC" w:rsidRPr="007E6562" w14:paraId="55372EDB" w14:textId="77777777" w:rsidTr="009F4DE4">
        <w:trPr>
          <w:cantSplit/>
        </w:trPr>
        <w:tc>
          <w:tcPr>
            <w:tcW w:w="1267" w:type="dxa"/>
            <w:shd w:val="clear" w:color="auto" w:fill="auto"/>
          </w:tcPr>
          <w:p w14:paraId="4A31470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S4989</w:t>
            </w:r>
          </w:p>
        </w:tc>
        <w:tc>
          <w:tcPr>
            <w:tcW w:w="1901" w:type="dxa"/>
            <w:shd w:val="clear" w:color="auto" w:fill="auto"/>
          </w:tcPr>
          <w:p w14:paraId="5F7DA776" w14:textId="47EE0BBB"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IC</w:t>
            </w:r>
          </w:p>
        </w:tc>
        <w:tc>
          <w:tcPr>
            <w:tcW w:w="6192" w:type="dxa"/>
            <w:shd w:val="clear" w:color="auto" w:fill="auto"/>
          </w:tcPr>
          <w:p w14:paraId="728E3940" w14:textId="77777777" w:rsidR="006F4DBC" w:rsidRPr="007E6562" w:rsidRDefault="006F4DBC" w:rsidP="009F4DE4">
            <w:pPr>
              <w:rPr>
                <w:color w:val="000000"/>
                <w:sz w:val="22"/>
                <w:szCs w:val="22"/>
              </w:rPr>
            </w:pPr>
            <w:r w:rsidRPr="007E6562">
              <w:rPr>
                <w:color w:val="000000"/>
                <w:sz w:val="22"/>
                <w:szCs w:val="22"/>
              </w:rPr>
              <w:t xml:space="preserve">Contraceptive intrauterine device (e.g., </w:t>
            </w:r>
            <w:proofErr w:type="spellStart"/>
            <w:r w:rsidRPr="007E6562">
              <w:rPr>
                <w:color w:val="000000"/>
                <w:sz w:val="22"/>
                <w:szCs w:val="22"/>
              </w:rPr>
              <w:t>Progestasert</w:t>
            </w:r>
            <w:proofErr w:type="spellEnd"/>
            <w:r w:rsidRPr="007E6562">
              <w:rPr>
                <w:color w:val="000000"/>
                <w:sz w:val="22"/>
                <w:szCs w:val="22"/>
              </w:rPr>
              <w:t xml:space="preserve"> IUD), including implants and supplies</w:t>
            </w:r>
          </w:p>
        </w:tc>
      </w:tr>
      <w:tr w:rsidR="006F4DBC" w:rsidRPr="007E6562" w14:paraId="609016A5" w14:textId="77777777" w:rsidTr="009F4DE4">
        <w:trPr>
          <w:cantSplit/>
        </w:trPr>
        <w:tc>
          <w:tcPr>
            <w:tcW w:w="1267" w:type="dxa"/>
            <w:shd w:val="clear" w:color="auto" w:fill="auto"/>
          </w:tcPr>
          <w:p w14:paraId="410D62E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A4261</w:t>
            </w:r>
          </w:p>
        </w:tc>
        <w:tc>
          <w:tcPr>
            <w:tcW w:w="1901" w:type="dxa"/>
            <w:shd w:val="clear" w:color="auto" w:fill="auto"/>
          </w:tcPr>
          <w:p w14:paraId="3997D524" w14:textId="75A0A07A"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IC</w:t>
            </w:r>
          </w:p>
        </w:tc>
        <w:tc>
          <w:tcPr>
            <w:tcW w:w="6192" w:type="dxa"/>
            <w:shd w:val="clear" w:color="auto" w:fill="auto"/>
          </w:tcPr>
          <w:p w14:paraId="10D899C7"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Cervical cap for contraceptive use</w:t>
            </w:r>
          </w:p>
        </w:tc>
      </w:tr>
      <w:tr w:rsidR="006F4DBC" w:rsidRPr="007E6562" w14:paraId="3751273C" w14:textId="77777777" w:rsidTr="009F4DE4">
        <w:trPr>
          <w:cantSplit/>
        </w:trPr>
        <w:tc>
          <w:tcPr>
            <w:tcW w:w="1267" w:type="dxa"/>
            <w:shd w:val="clear" w:color="auto" w:fill="auto"/>
          </w:tcPr>
          <w:p w14:paraId="12C1B05B"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A4266</w:t>
            </w:r>
            <w:r w:rsidRPr="007E6562">
              <w:rPr>
                <w:rFonts w:ascii="Times New Roman" w:hAnsi="Times New Roman"/>
                <w:snapToGrid w:val="0"/>
                <w:sz w:val="22"/>
                <w:szCs w:val="22"/>
              </w:rPr>
              <w:tab/>
            </w:r>
          </w:p>
        </w:tc>
        <w:tc>
          <w:tcPr>
            <w:tcW w:w="1901" w:type="dxa"/>
            <w:shd w:val="clear" w:color="auto" w:fill="auto"/>
          </w:tcPr>
          <w:p w14:paraId="2B974291"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$9.77</w:t>
            </w:r>
          </w:p>
        </w:tc>
        <w:tc>
          <w:tcPr>
            <w:tcW w:w="6192" w:type="dxa"/>
            <w:shd w:val="clear" w:color="auto" w:fill="auto"/>
          </w:tcPr>
          <w:p w14:paraId="64E16E4B"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Diaphragm for contraceptive use (includes applicator and contraceptive cream or jelly)</w:t>
            </w:r>
          </w:p>
        </w:tc>
      </w:tr>
      <w:tr w:rsidR="006F4DBC" w:rsidRPr="007E6562" w14:paraId="475E70B8" w14:textId="77777777" w:rsidTr="009F4DE4">
        <w:trPr>
          <w:cantSplit/>
        </w:trPr>
        <w:tc>
          <w:tcPr>
            <w:tcW w:w="1267" w:type="dxa"/>
            <w:shd w:val="clear" w:color="auto" w:fill="auto"/>
          </w:tcPr>
          <w:p w14:paraId="3F5B098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A4267</w:t>
            </w:r>
          </w:p>
        </w:tc>
        <w:tc>
          <w:tcPr>
            <w:tcW w:w="1901" w:type="dxa"/>
            <w:shd w:val="clear" w:color="auto" w:fill="auto"/>
          </w:tcPr>
          <w:p w14:paraId="0D2703CC" w14:textId="14B5165B" w:rsidR="006F4DBC" w:rsidRPr="007E6562" w:rsidRDefault="006F4DBC" w:rsidP="00097C8F">
            <w:pPr>
              <w:pStyle w:val="PlainText"/>
              <w:rPr>
                <w:rFonts w:ascii="Times New Roman" w:hAnsi="Times New Roman"/>
                <w:sz w:val="22"/>
                <w:szCs w:val="22"/>
              </w:rPr>
            </w:pPr>
            <w:r w:rsidRPr="007E6562">
              <w:rPr>
                <w:rFonts w:ascii="Times New Roman" w:hAnsi="Times New Roman"/>
                <w:sz w:val="22"/>
                <w:szCs w:val="22"/>
              </w:rPr>
              <w:t>$0.19</w:t>
            </w:r>
          </w:p>
        </w:tc>
        <w:tc>
          <w:tcPr>
            <w:tcW w:w="6192" w:type="dxa"/>
            <w:shd w:val="clear" w:color="auto" w:fill="auto"/>
          </w:tcPr>
          <w:p w14:paraId="2CC97371"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Contraceptive supply, condom, male, each</w:t>
            </w:r>
          </w:p>
        </w:tc>
      </w:tr>
      <w:tr w:rsidR="006F4DBC" w:rsidRPr="007E6562" w14:paraId="798E8A55" w14:textId="77777777" w:rsidTr="009F4DE4">
        <w:trPr>
          <w:cantSplit/>
        </w:trPr>
        <w:tc>
          <w:tcPr>
            <w:tcW w:w="1267" w:type="dxa"/>
            <w:shd w:val="clear" w:color="auto" w:fill="auto"/>
          </w:tcPr>
          <w:p w14:paraId="0D17254E"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A4268</w:t>
            </w:r>
          </w:p>
        </w:tc>
        <w:tc>
          <w:tcPr>
            <w:tcW w:w="1901" w:type="dxa"/>
            <w:shd w:val="clear" w:color="auto" w:fill="auto"/>
          </w:tcPr>
          <w:p w14:paraId="4BFEC86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$2.14</w:t>
            </w:r>
          </w:p>
        </w:tc>
        <w:tc>
          <w:tcPr>
            <w:tcW w:w="6192" w:type="dxa"/>
            <w:shd w:val="clear" w:color="auto" w:fill="auto"/>
          </w:tcPr>
          <w:p w14:paraId="0859D6B5"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Contraceptive supply, condom, female, each</w:t>
            </w:r>
          </w:p>
        </w:tc>
      </w:tr>
      <w:tr w:rsidR="006F4DBC" w:rsidRPr="007E6562" w14:paraId="01C9EA93" w14:textId="77777777" w:rsidTr="009F4DE4">
        <w:trPr>
          <w:cantSplit/>
        </w:trPr>
        <w:tc>
          <w:tcPr>
            <w:tcW w:w="1267" w:type="dxa"/>
            <w:shd w:val="clear" w:color="auto" w:fill="auto"/>
          </w:tcPr>
          <w:p w14:paraId="6C5DE20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A4269</w:t>
            </w:r>
          </w:p>
        </w:tc>
        <w:tc>
          <w:tcPr>
            <w:tcW w:w="1901" w:type="dxa"/>
            <w:shd w:val="clear" w:color="auto" w:fill="auto"/>
          </w:tcPr>
          <w:p w14:paraId="68B4156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$4.10</w:t>
            </w:r>
          </w:p>
        </w:tc>
        <w:tc>
          <w:tcPr>
            <w:tcW w:w="6192" w:type="dxa"/>
            <w:shd w:val="clear" w:color="auto" w:fill="auto"/>
          </w:tcPr>
          <w:p w14:paraId="5FA616EA"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napToGrid w:val="0"/>
                <w:sz w:val="22"/>
                <w:szCs w:val="22"/>
              </w:rPr>
              <w:t>Contraceptive supply, spermicide (</w:t>
            </w:r>
            <w:r w:rsidRPr="007E6562">
              <w:rPr>
                <w:rFonts w:ascii="Times New Roman" w:hAnsi="Times New Roman"/>
                <w:i/>
                <w:iCs/>
                <w:sz w:val="22"/>
                <w:szCs w:val="22"/>
              </w:rPr>
              <w:t>e.g.</w:t>
            </w:r>
            <w:r w:rsidRPr="007E6562">
              <w:rPr>
                <w:rFonts w:ascii="Times New Roman" w:hAnsi="Times New Roman"/>
                <w:snapToGrid w:val="0"/>
                <w:sz w:val="22"/>
                <w:szCs w:val="22"/>
              </w:rPr>
              <w:t>, foam, gel), each (per tube or package) (includes contraceptive sponges)</w:t>
            </w:r>
          </w:p>
        </w:tc>
      </w:tr>
      <w:tr w:rsidR="006F4DBC" w:rsidRPr="007E6562" w14:paraId="4E6088A4" w14:textId="77777777" w:rsidTr="009F4DE4">
        <w:trPr>
          <w:cantSplit/>
        </w:trPr>
        <w:tc>
          <w:tcPr>
            <w:tcW w:w="1267" w:type="dxa"/>
            <w:shd w:val="clear" w:color="auto" w:fill="auto"/>
          </w:tcPr>
          <w:p w14:paraId="3A38BB88"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J1050</w:t>
            </w:r>
          </w:p>
        </w:tc>
        <w:tc>
          <w:tcPr>
            <w:tcW w:w="1901" w:type="dxa"/>
            <w:shd w:val="clear" w:color="auto" w:fill="auto"/>
          </w:tcPr>
          <w:p w14:paraId="2D7F17BE" w14:textId="72DF5456" w:rsidR="006F4DBC" w:rsidRPr="007E6562" w:rsidRDefault="00097C8F" w:rsidP="009F4DE4">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7FBE9B80" w14:textId="77777777" w:rsidR="006F4DBC" w:rsidRPr="007E6562" w:rsidRDefault="006F4DBC" w:rsidP="009F4DE4">
            <w:pPr>
              <w:pStyle w:val="PlainText"/>
              <w:rPr>
                <w:rFonts w:ascii="Times New Roman" w:hAnsi="Times New Roman"/>
                <w:sz w:val="22"/>
                <w:szCs w:val="22"/>
              </w:rPr>
            </w:pPr>
            <w:r w:rsidRPr="007E6562">
              <w:rPr>
                <w:rFonts w:ascii="Times New Roman" w:hAnsi="Times New Roman"/>
                <w:sz w:val="22"/>
                <w:szCs w:val="22"/>
              </w:rPr>
              <w:t>Injection, medroxyprogesterone acetate, 1 mg</w:t>
            </w:r>
          </w:p>
        </w:tc>
      </w:tr>
      <w:tr w:rsidR="00D07EF2" w:rsidRPr="007E6562" w14:paraId="4E001680" w14:textId="77777777" w:rsidTr="009F4DE4">
        <w:trPr>
          <w:cantSplit/>
        </w:trPr>
        <w:tc>
          <w:tcPr>
            <w:tcW w:w="1267" w:type="dxa"/>
            <w:shd w:val="clear" w:color="auto" w:fill="auto"/>
          </w:tcPr>
          <w:p w14:paraId="70FE10F5" w14:textId="0307B6C0"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J3490-FP</w:t>
            </w:r>
          </w:p>
        </w:tc>
        <w:tc>
          <w:tcPr>
            <w:tcW w:w="1901" w:type="dxa"/>
            <w:shd w:val="clear" w:color="auto" w:fill="auto"/>
          </w:tcPr>
          <w:p w14:paraId="5DDD8315" w14:textId="5E64C34B" w:rsidR="00D07EF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15FAB50B" w14:textId="21DC11EB"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Unclassified Drugs (service provided as part of a Medicaid family planning program) (may be used by other governmental purchasers of family planning services)</w:t>
            </w:r>
          </w:p>
        </w:tc>
      </w:tr>
      <w:tr w:rsidR="00D07EF2" w:rsidRPr="007E6562" w14:paraId="2B357EBB" w14:textId="77777777" w:rsidTr="009F4DE4">
        <w:trPr>
          <w:cantSplit/>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6866E141"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J7296</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DDC671C" w14:textId="37CCF2B9"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1B6C779D" w14:textId="77777777" w:rsidR="00D07EF2" w:rsidRPr="007E6562" w:rsidRDefault="00D07EF2" w:rsidP="00D07EF2">
            <w:pPr>
              <w:rPr>
                <w:color w:val="000000"/>
                <w:sz w:val="22"/>
                <w:szCs w:val="22"/>
              </w:rPr>
            </w:pPr>
            <w:r w:rsidRPr="007E6562">
              <w:rPr>
                <w:color w:val="000000"/>
                <w:sz w:val="22"/>
                <w:szCs w:val="22"/>
              </w:rPr>
              <w:t>Levonorgestrel-releasing intrauterine contraceptive system, (Kyleena), 19.5 mg</w:t>
            </w:r>
          </w:p>
        </w:tc>
      </w:tr>
      <w:tr w:rsidR="00D07EF2" w:rsidRPr="007E6562" w14:paraId="52686E1C" w14:textId="77777777" w:rsidTr="009F4DE4">
        <w:trPr>
          <w:cantSplit/>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3E4B845B"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J7297</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2216847" w14:textId="572B3F44"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6AA681A" w14:textId="77777777" w:rsidR="00D07EF2" w:rsidRPr="007E6562" w:rsidRDefault="00D07EF2" w:rsidP="00D07EF2">
            <w:pPr>
              <w:rPr>
                <w:color w:val="000000"/>
                <w:sz w:val="22"/>
                <w:szCs w:val="22"/>
              </w:rPr>
            </w:pPr>
            <w:r w:rsidRPr="007E6562">
              <w:rPr>
                <w:color w:val="000000"/>
                <w:sz w:val="22"/>
                <w:szCs w:val="22"/>
              </w:rPr>
              <w:t>Levonorgestrel-releasing intrauterine contraceptive system (</w:t>
            </w:r>
            <w:proofErr w:type="spellStart"/>
            <w:r w:rsidRPr="007E6562">
              <w:rPr>
                <w:color w:val="000000"/>
                <w:sz w:val="22"/>
                <w:szCs w:val="22"/>
              </w:rPr>
              <w:t>Liletta</w:t>
            </w:r>
            <w:proofErr w:type="spellEnd"/>
            <w:r w:rsidRPr="007E6562">
              <w:rPr>
                <w:color w:val="000000"/>
                <w:sz w:val="22"/>
                <w:szCs w:val="22"/>
              </w:rPr>
              <w:t>), 52 mg</w:t>
            </w:r>
          </w:p>
        </w:tc>
      </w:tr>
      <w:tr w:rsidR="00D07EF2" w:rsidRPr="007E6562" w14:paraId="289E7451" w14:textId="77777777" w:rsidTr="009F4DE4">
        <w:trPr>
          <w:cantSplit/>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0B54F8A6"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J7298</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D3AEED" w14:textId="33D90528"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4EAA3E6" w14:textId="77777777" w:rsidR="00D07EF2" w:rsidRPr="007E6562" w:rsidRDefault="00D07EF2" w:rsidP="00D07EF2">
            <w:pPr>
              <w:rPr>
                <w:color w:val="000000"/>
                <w:sz w:val="22"/>
                <w:szCs w:val="22"/>
              </w:rPr>
            </w:pPr>
            <w:r w:rsidRPr="007E6562">
              <w:rPr>
                <w:color w:val="000000"/>
                <w:sz w:val="22"/>
                <w:szCs w:val="22"/>
              </w:rPr>
              <w:t>Levonorgestrel-releasing intrauterine contraceptive system (Mirena), 52 mg</w:t>
            </w:r>
          </w:p>
        </w:tc>
      </w:tr>
      <w:tr w:rsidR="00D07EF2" w:rsidRPr="007E6562" w14:paraId="61B31212" w14:textId="77777777" w:rsidTr="009F4DE4">
        <w:trPr>
          <w:cantSplit/>
        </w:trPr>
        <w:tc>
          <w:tcPr>
            <w:tcW w:w="1267" w:type="dxa"/>
            <w:shd w:val="clear" w:color="auto" w:fill="auto"/>
          </w:tcPr>
          <w:p w14:paraId="72E25B94"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J7300</w:t>
            </w:r>
          </w:p>
        </w:tc>
        <w:tc>
          <w:tcPr>
            <w:tcW w:w="1901" w:type="dxa"/>
            <w:shd w:val="clear" w:color="auto" w:fill="auto"/>
          </w:tcPr>
          <w:p w14:paraId="70E040B6" w14:textId="33F92957"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661F815F"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Intrauterine copper contraceptive</w:t>
            </w:r>
          </w:p>
        </w:tc>
      </w:tr>
      <w:tr w:rsidR="00D07EF2" w:rsidRPr="007E6562" w14:paraId="092F1E77" w14:textId="77777777" w:rsidTr="009F4DE4">
        <w:trPr>
          <w:cantSplit/>
        </w:trPr>
        <w:tc>
          <w:tcPr>
            <w:tcW w:w="1267" w:type="dxa"/>
            <w:shd w:val="clear" w:color="auto" w:fill="auto"/>
          </w:tcPr>
          <w:p w14:paraId="2DC92058"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J7301</w:t>
            </w:r>
          </w:p>
        </w:tc>
        <w:tc>
          <w:tcPr>
            <w:tcW w:w="1901" w:type="dxa"/>
            <w:shd w:val="clear" w:color="auto" w:fill="auto"/>
          </w:tcPr>
          <w:p w14:paraId="17EAA7B6" w14:textId="30F7E0DE"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2030BF7F"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Levonorgestrel-releasing intrauterine contraceptive system (Skyla), 13.5 mg</w:t>
            </w:r>
          </w:p>
        </w:tc>
      </w:tr>
      <w:tr w:rsidR="00D07EF2" w:rsidRPr="007E6562" w14:paraId="61FEA901" w14:textId="77777777" w:rsidTr="009F4DE4">
        <w:trPr>
          <w:cantSplit/>
        </w:trPr>
        <w:tc>
          <w:tcPr>
            <w:tcW w:w="1267" w:type="dxa"/>
            <w:shd w:val="clear" w:color="auto" w:fill="auto"/>
          </w:tcPr>
          <w:p w14:paraId="6FB07EF7"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J7303</w:t>
            </w:r>
          </w:p>
        </w:tc>
        <w:tc>
          <w:tcPr>
            <w:tcW w:w="1901" w:type="dxa"/>
            <w:shd w:val="clear" w:color="auto" w:fill="auto"/>
          </w:tcPr>
          <w:p w14:paraId="6103AB5C" w14:textId="5BB7BB1A"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64D1DC56"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Contraceptive supply, hormone containing vaginal ring, each</w:t>
            </w:r>
          </w:p>
        </w:tc>
      </w:tr>
      <w:tr w:rsidR="00D07EF2" w:rsidRPr="007E6562" w14:paraId="35C30017" w14:textId="77777777" w:rsidTr="009F4DE4">
        <w:trPr>
          <w:cantSplit/>
        </w:trPr>
        <w:tc>
          <w:tcPr>
            <w:tcW w:w="1267" w:type="dxa"/>
            <w:shd w:val="clear" w:color="auto" w:fill="auto"/>
          </w:tcPr>
          <w:p w14:paraId="01A67C6F"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J7304</w:t>
            </w:r>
          </w:p>
        </w:tc>
        <w:tc>
          <w:tcPr>
            <w:tcW w:w="1901" w:type="dxa"/>
            <w:shd w:val="clear" w:color="auto" w:fill="auto"/>
          </w:tcPr>
          <w:p w14:paraId="6B006578" w14:textId="3AFE4FE4"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0941A0D0"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Contraceptive supply, hormone containing patch, each</w:t>
            </w:r>
          </w:p>
        </w:tc>
      </w:tr>
      <w:tr w:rsidR="00D07EF2" w:rsidRPr="007E6562" w14:paraId="2C2F5308" w14:textId="77777777" w:rsidTr="009F4DE4">
        <w:trPr>
          <w:cantSplit/>
        </w:trPr>
        <w:tc>
          <w:tcPr>
            <w:tcW w:w="1267" w:type="dxa"/>
            <w:shd w:val="clear" w:color="auto" w:fill="auto"/>
          </w:tcPr>
          <w:p w14:paraId="14E7327F"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J7307</w:t>
            </w:r>
          </w:p>
        </w:tc>
        <w:tc>
          <w:tcPr>
            <w:tcW w:w="1901" w:type="dxa"/>
            <w:shd w:val="clear" w:color="auto" w:fill="auto"/>
          </w:tcPr>
          <w:p w14:paraId="0488F833" w14:textId="515E58A5" w:rsidR="00D07EF2" w:rsidRPr="007E6562" w:rsidRDefault="00D07EF2" w:rsidP="00D07EF2">
            <w:pPr>
              <w:pStyle w:val="PlainText"/>
              <w:rPr>
                <w:rFonts w:ascii="Times New Roman" w:hAnsi="Times New Roman"/>
                <w:sz w:val="22"/>
                <w:szCs w:val="22"/>
              </w:rPr>
            </w:pPr>
            <w:r>
              <w:rPr>
                <w:rFonts w:ascii="Times New Roman" w:hAnsi="Times New Roman"/>
                <w:sz w:val="22"/>
                <w:szCs w:val="22"/>
              </w:rPr>
              <w:t>IC</w:t>
            </w:r>
          </w:p>
        </w:tc>
        <w:tc>
          <w:tcPr>
            <w:tcW w:w="6192" w:type="dxa"/>
            <w:shd w:val="clear" w:color="auto" w:fill="auto"/>
          </w:tcPr>
          <w:p w14:paraId="15A669A3"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Etonogestrel (contraceptive) implant system, including implant and supplies</w:t>
            </w:r>
          </w:p>
        </w:tc>
      </w:tr>
      <w:tr w:rsidR="00D07EF2" w:rsidRPr="007E6562" w14:paraId="0E6A9263" w14:textId="77777777" w:rsidTr="009F4DE4">
        <w:trPr>
          <w:cantSplit/>
        </w:trPr>
        <w:tc>
          <w:tcPr>
            <w:tcW w:w="9360" w:type="dxa"/>
            <w:gridSpan w:val="3"/>
            <w:shd w:val="clear" w:color="auto" w:fill="auto"/>
          </w:tcPr>
          <w:p w14:paraId="2E9111F4" w14:textId="77777777" w:rsidR="00D07EF2" w:rsidRPr="007E6562" w:rsidRDefault="00D07EF2" w:rsidP="00D07EF2">
            <w:pPr>
              <w:pStyle w:val="PlainText"/>
              <w:rPr>
                <w:rFonts w:ascii="Times New Roman" w:hAnsi="Times New Roman"/>
                <w:b/>
                <w:sz w:val="22"/>
                <w:szCs w:val="22"/>
              </w:rPr>
            </w:pPr>
            <w:r w:rsidRPr="007E6562">
              <w:rPr>
                <w:rFonts w:ascii="Times New Roman" w:hAnsi="Times New Roman"/>
                <w:b/>
                <w:sz w:val="22"/>
                <w:szCs w:val="22"/>
              </w:rPr>
              <w:t>Medical and Surgical Procedures</w:t>
            </w:r>
          </w:p>
        </w:tc>
      </w:tr>
      <w:tr w:rsidR="00D07EF2" w:rsidRPr="007E6562" w14:paraId="3A734206" w14:textId="77777777" w:rsidTr="009F4DE4">
        <w:trPr>
          <w:cantSplit/>
        </w:trPr>
        <w:tc>
          <w:tcPr>
            <w:tcW w:w="1267" w:type="dxa"/>
            <w:shd w:val="clear" w:color="auto" w:fill="auto"/>
          </w:tcPr>
          <w:p w14:paraId="297EA427"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napToGrid w:val="0"/>
                <w:sz w:val="22"/>
                <w:szCs w:val="22"/>
              </w:rPr>
              <w:t>11976</w:t>
            </w:r>
          </w:p>
        </w:tc>
        <w:tc>
          <w:tcPr>
            <w:tcW w:w="1901" w:type="dxa"/>
            <w:shd w:val="clear" w:color="auto" w:fill="auto"/>
          </w:tcPr>
          <w:p w14:paraId="7A6C2AE1"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$158.16</w:t>
            </w:r>
          </w:p>
        </w:tc>
        <w:tc>
          <w:tcPr>
            <w:tcW w:w="6192" w:type="dxa"/>
            <w:shd w:val="clear" w:color="auto" w:fill="auto"/>
          </w:tcPr>
          <w:p w14:paraId="22B5FB37"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Removal, implantable contraceptive capsules</w:t>
            </w:r>
          </w:p>
        </w:tc>
      </w:tr>
      <w:tr w:rsidR="00D07EF2" w:rsidRPr="007E6562" w14:paraId="04FCA667" w14:textId="77777777" w:rsidTr="009F4DE4">
        <w:trPr>
          <w:cantSplit/>
        </w:trPr>
        <w:tc>
          <w:tcPr>
            <w:tcW w:w="1267" w:type="dxa"/>
            <w:shd w:val="clear" w:color="auto" w:fill="auto"/>
          </w:tcPr>
          <w:p w14:paraId="72B8C03C" w14:textId="77777777" w:rsidR="00D07EF2" w:rsidRPr="007E6562" w:rsidRDefault="00D07EF2" w:rsidP="00D07EF2">
            <w:pPr>
              <w:pStyle w:val="PlainText"/>
              <w:rPr>
                <w:rFonts w:ascii="Times New Roman" w:hAnsi="Times New Roman"/>
                <w:snapToGrid w:val="0"/>
                <w:sz w:val="22"/>
                <w:szCs w:val="22"/>
              </w:rPr>
            </w:pPr>
            <w:r w:rsidRPr="007E6562">
              <w:rPr>
                <w:rFonts w:ascii="Times New Roman" w:hAnsi="Times New Roman"/>
                <w:snapToGrid w:val="0"/>
                <w:sz w:val="22"/>
                <w:szCs w:val="22"/>
              </w:rPr>
              <w:t>11981</w:t>
            </w:r>
          </w:p>
        </w:tc>
        <w:tc>
          <w:tcPr>
            <w:tcW w:w="1901" w:type="dxa"/>
            <w:shd w:val="clear" w:color="auto" w:fill="auto"/>
          </w:tcPr>
          <w:p w14:paraId="34B3B8C1" w14:textId="77777777" w:rsidR="00D07EF2" w:rsidRPr="007E6562" w:rsidRDefault="00D07EF2" w:rsidP="00D07EF2">
            <w:pPr>
              <w:pStyle w:val="PlainText"/>
              <w:rPr>
                <w:rFonts w:ascii="Times New Roman" w:hAnsi="Times New Roman"/>
                <w:sz w:val="22"/>
                <w:szCs w:val="22"/>
              </w:rPr>
            </w:pPr>
            <w:r w:rsidRPr="007E6562">
              <w:rPr>
                <w:rFonts w:ascii="Times New Roman" w:hAnsi="Times New Roman"/>
                <w:sz w:val="22"/>
                <w:szCs w:val="22"/>
              </w:rPr>
              <w:t>$261.55</w:t>
            </w:r>
          </w:p>
        </w:tc>
        <w:tc>
          <w:tcPr>
            <w:tcW w:w="6192" w:type="dxa"/>
            <w:shd w:val="clear" w:color="auto" w:fill="auto"/>
          </w:tcPr>
          <w:p w14:paraId="6DC3A0CC" w14:textId="77777777" w:rsidR="00D07EF2" w:rsidRPr="007E6562" w:rsidRDefault="00D07EF2" w:rsidP="00D07EF2">
            <w:pPr>
              <w:rPr>
                <w:color w:val="000000"/>
                <w:sz w:val="22"/>
                <w:szCs w:val="22"/>
              </w:rPr>
            </w:pPr>
            <w:r w:rsidRPr="007E6562">
              <w:rPr>
                <w:color w:val="000000"/>
                <w:sz w:val="22"/>
                <w:szCs w:val="22"/>
              </w:rPr>
              <w:t>Insertion, drug-delivery implant (</w:t>
            </w:r>
            <w:proofErr w:type="spellStart"/>
            <w:r w:rsidRPr="007E6562">
              <w:rPr>
                <w:color w:val="000000"/>
                <w:sz w:val="22"/>
                <w:szCs w:val="22"/>
              </w:rPr>
              <w:t>ie</w:t>
            </w:r>
            <w:proofErr w:type="spellEnd"/>
            <w:r w:rsidRPr="007E6562">
              <w:rPr>
                <w:color w:val="000000"/>
                <w:sz w:val="22"/>
                <w:szCs w:val="22"/>
              </w:rPr>
              <w:t>, bioresorbable, biodegradable, non-biodegradable)</w:t>
            </w:r>
          </w:p>
        </w:tc>
      </w:tr>
    </w:tbl>
    <w:p w14:paraId="56318CF0" w14:textId="77777777" w:rsidR="006F4DBC" w:rsidRPr="00EC191B" w:rsidRDefault="006F4DBC" w:rsidP="00593AC9">
      <w:pPr>
        <w:pStyle w:val="PlainText"/>
        <w:ind w:left="720"/>
        <w:rPr>
          <w:rFonts w:ascii="Times New Roman" w:hAnsi="Times New Roman"/>
          <w:sz w:val="22"/>
          <w:szCs w:val="22"/>
        </w:rPr>
      </w:pPr>
    </w:p>
    <w:p w14:paraId="298EFEF4" w14:textId="0CC3790C" w:rsidR="00403144" w:rsidRPr="00EC191B" w:rsidRDefault="007F49EF" w:rsidP="0035739C">
      <w:pPr>
        <w:pStyle w:val="PlainText"/>
        <w:ind w:left="720"/>
        <w:rPr>
          <w:rFonts w:ascii="Times New Roman" w:hAnsi="Times New Roman"/>
          <w:sz w:val="22"/>
          <w:szCs w:val="22"/>
        </w:rPr>
      </w:pPr>
      <w:r w:rsidRPr="00EC191B">
        <w:rPr>
          <w:rFonts w:ascii="Times New Roman" w:hAnsi="Times New Roman"/>
          <w:sz w:val="22"/>
          <w:szCs w:val="22"/>
        </w:rPr>
        <w:t>(</w:t>
      </w:r>
      <w:r w:rsidR="005546E4" w:rsidRPr="00EC191B">
        <w:rPr>
          <w:rFonts w:ascii="Times New Roman" w:hAnsi="Times New Roman"/>
          <w:sz w:val="22"/>
          <w:szCs w:val="22"/>
        </w:rPr>
        <w:t>5</w:t>
      </w:r>
      <w:r w:rsidR="009614D8" w:rsidRPr="00EC191B">
        <w:rPr>
          <w:rFonts w:ascii="Times New Roman" w:hAnsi="Times New Roman"/>
          <w:sz w:val="22"/>
          <w:szCs w:val="22"/>
        </w:rPr>
        <w:t xml:space="preserve">)  </w:t>
      </w:r>
      <w:r w:rsidR="00265E00" w:rsidRPr="00EC191B">
        <w:rPr>
          <w:rFonts w:ascii="Times New Roman" w:hAnsi="Times New Roman"/>
          <w:sz w:val="22"/>
          <w:szCs w:val="22"/>
          <w:u w:val="single"/>
        </w:rPr>
        <w:t>Other Family Planning Services</w:t>
      </w:r>
      <w:r w:rsidR="00265E00" w:rsidRPr="00EC191B">
        <w:rPr>
          <w:rFonts w:ascii="Times New Roman" w:hAnsi="Times New Roman"/>
          <w:sz w:val="22"/>
          <w:szCs w:val="22"/>
        </w:rPr>
        <w:t>.  The rates of payment for other family planning services</w:t>
      </w:r>
      <w:r w:rsidR="005546E4" w:rsidRPr="00EC191B">
        <w:t xml:space="preserve"> </w:t>
      </w:r>
      <w:r w:rsidR="005546E4" w:rsidRPr="00EC191B">
        <w:rPr>
          <w:rFonts w:ascii="Times New Roman" w:hAnsi="Times New Roman"/>
          <w:sz w:val="22"/>
          <w:szCs w:val="22"/>
        </w:rPr>
        <w:t xml:space="preserve">not listed in 101 CMR 312.03(4) </w:t>
      </w:r>
      <w:r w:rsidR="00CF2C8A" w:rsidRPr="00EC191B">
        <w:rPr>
          <w:rFonts w:ascii="Times New Roman" w:hAnsi="Times New Roman"/>
          <w:sz w:val="22"/>
          <w:szCs w:val="22"/>
        </w:rPr>
        <w:t xml:space="preserve">that </w:t>
      </w:r>
      <w:r w:rsidR="00265E00" w:rsidRPr="00EC191B">
        <w:rPr>
          <w:rFonts w:ascii="Times New Roman" w:hAnsi="Times New Roman"/>
          <w:sz w:val="22"/>
          <w:szCs w:val="22"/>
        </w:rPr>
        <w:t xml:space="preserve">are authorized by the purchasing governmental unit </w:t>
      </w:r>
      <w:r w:rsidR="005546E4" w:rsidRPr="00EC191B">
        <w:rPr>
          <w:rFonts w:ascii="Times New Roman" w:hAnsi="Times New Roman"/>
          <w:sz w:val="22"/>
          <w:szCs w:val="22"/>
        </w:rPr>
        <w:t>will be</w:t>
      </w:r>
      <w:r w:rsidR="00A50C9F" w:rsidRPr="00EC191B">
        <w:rPr>
          <w:rFonts w:ascii="Times New Roman" w:hAnsi="Times New Roman"/>
          <w:sz w:val="22"/>
          <w:szCs w:val="22"/>
        </w:rPr>
        <w:t xml:space="preserve"> </w:t>
      </w:r>
      <w:r w:rsidR="005546E4" w:rsidRPr="00EC191B">
        <w:rPr>
          <w:rFonts w:ascii="Times New Roman" w:hAnsi="Times New Roman"/>
          <w:sz w:val="22"/>
          <w:szCs w:val="22"/>
        </w:rPr>
        <w:t>based on the applicable EOHHS regulation</w:t>
      </w:r>
      <w:r w:rsidR="0035739C" w:rsidRPr="00EC191B">
        <w:rPr>
          <w:rFonts w:ascii="Times New Roman" w:hAnsi="Times New Roman"/>
          <w:sz w:val="22"/>
          <w:szCs w:val="22"/>
        </w:rPr>
        <w:t>s</w:t>
      </w:r>
      <w:r w:rsidR="005546E4" w:rsidRPr="00EC191B">
        <w:rPr>
          <w:rFonts w:ascii="Times New Roman" w:hAnsi="Times New Roman"/>
          <w:sz w:val="22"/>
          <w:szCs w:val="22"/>
        </w:rPr>
        <w:t xml:space="preserve"> </w:t>
      </w:r>
      <w:r w:rsidR="00265E00" w:rsidRPr="00EC191B">
        <w:rPr>
          <w:rFonts w:ascii="Times New Roman" w:hAnsi="Times New Roman"/>
          <w:sz w:val="22"/>
          <w:szCs w:val="22"/>
        </w:rPr>
        <w:t xml:space="preserve">such as </w:t>
      </w:r>
      <w:r w:rsidR="005546E4" w:rsidRPr="00EC191B">
        <w:rPr>
          <w:rFonts w:ascii="Times New Roman" w:hAnsi="Times New Roman"/>
          <w:sz w:val="22"/>
          <w:szCs w:val="22"/>
        </w:rPr>
        <w:t xml:space="preserve">101 CMR 313.00: </w:t>
      </w:r>
      <w:r w:rsidR="005546E4" w:rsidRPr="00EC191B">
        <w:rPr>
          <w:rFonts w:ascii="Times New Roman" w:hAnsi="Times New Roman"/>
          <w:i/>
          <w:sz w:val="22"/>
          <w:szCs w:val="22"/>
        </w:rPr>
        <w:t>Rates for Freestanding Clinics Providing Abortion and Sterilization Services</w:t>
      </w:r>
      <w:r w:rsidR="005546E4" w:rsidRPr="00EC191B">
        <w:rPr>
          <w:rFonts w:ascii="Times New Roman" w:hAnsi="Times New Roman"/>
          <w:sz w:val="22"/>
          <w:szCs w:val="22"/>
        </w:rPr>
        <w:t xml:space="preserve">; 101 CMR 316.00: </w:t>
      </w:r>
      <w:r w:rsidR="0035739C" w:rsidRPr="00EC191B">
        <w:rPr>
          <w:rFonts w:ascii="Times New Roman" w:hAnsi="Times New Roman"/>
          <w:i/>
          <w:iCs/>
          <w:sz w:val="22"/>
          <w:szCs w:val="22"/>
        </w:rPr>
        <w:t>Rates for</w:t>
      </w:r>
      <w:r w:rsidR="0035739C" w:rsidRPr="00EC191B">
        <w:rPr>
          <w:rFonts w:ascii="Times New Roman" w:hAnsi="Times New Roman"/>
          <w:sz w:val="22"/>
          <w:szCs w:val="22"/>
        </w:rPr>
        <w:t xml:space="preserve"> </w:t>
      </w:r>
      <w:r w:rsidR="005546E4" w:rsidRPr="00EC191B">
        <w:rPr>
          <w:rFonts w:ascii="Times New Roman" w:hAnsi="Times New Roman"/>
          <w:i/>
          <w:sz w:val="22"/>
          <w:szCs w:val="22"/>
        </w:rPr>
        <w:t xml:space="preserve">Surgery </w:t>
      </w:r>
      <w:r w:rsidR="00265E00" w:rsidRPr="00EC191B">
        <w:rPr>
          <w:rFonts w:ascii="Times New Roman" w:hAnsi="Times New Roman"/>
          <w:i/>
          <w:sz w:val="22"/>
          <w:szCs w:val="22"/>
        </w:rPr>
        <w:t xml:space="preserve">and </w:t>
      </w:r>
      <w:r w:rsidR="005546E4" w:rsidRPr="00EC191B">
        <w:rPr>
          <w:rFonts w:ascii="Times New Roman" w:hAnsi="Times New Roman"/>
          <w:i/>
          <w:sz w:val="22"/>
          <w:szCs w:val="22"/>
        </w:rPr>
        <w:lastRenderedPageBreak/>
        <w:t>Anesthesia</w:t>
      </w:r>
      <w:r w:rsidR="0035739C" w:rsidRPr="00EC191B">
        <w:rPr>
          <w:rFonts w:ascii="Times New Roman" w:hAnsi="Times New Roman"/>
          <w:i/>
          <w:sz w:val="22"/>
          <w:szCs w:val="22"/>
        </w:rPr>
        <w:t xml:space="preserve"> Services</w:t>
      </w:r>
      <w:r w:rsidR="005546E4" w:rsidRPr="00EC191B">
        <w:rPr>
          <w:rFonts w:ascii="Times New Roman" w:hAnsi="Times New Roman"/>
          <w:sz w:val="22"/>
          <w:szCs w:val="22"/>
        </w:rPr>
        <w:t>;</w:t>
      </w:r>
      <w:r w:rsidR="0035739C" w:rsidRPr="00EC191B">
        <w:rPr>
          <w:rFonts w:ascii="Times New Roman" w:hAnsi="Times New Roman"/>
          <w:sz w:val="22"/>
          <w:szCs w:val="22"/>
        </w:rPr>
        <w:t xml:space="preserve"> </w:t>
      </w:r>
      <w:r w:rsidR="00C3501C" w:rsidRPr="00EC191B">
        <w:rPr>
          <w:rFonts w:ascii="Times New Roman" w:hAnsi="Times New Roman"/>
          <w:sz w:val="22"/>
          <w:szCs w:val="22"/>
        </w:rPr>
        <w:t xml:space="preserve">101 CMR 317.00: </w:t>
      </w:r>
      <w:r w:rsidR="0035739C" w:rsidRPr="00EC191B">
        <w:rPr>
          <w:rFonts w:ascii="Times New Roman" w:hAnsi="Times New Roman"/>
          <w:i/>
          <w:iCs/>
          <w:sz w:val="22"/>
          <w:szCs w:val="22"/>
        </w:rPr>
        <w:t>Rates for</w:t>
      </w:r>
      <w:r w:rsidR="0035739C" w:rsidRPr="00EC191B">
        <w:rPr>
          <w:rFonts w:ascii="Times New Roman" w:hAnsi="Times New Roman"/>
          <w:sz w:val="22"/>
          <w:szCs w:val="22"/>
        </w:rPr>
        <w:t xml:space="preserve"> </w:t>
      </w:r>
      <w:r w:rsidR="00C3501C" w:rsidRPr="00EC191B">
        <w:rPr>
          <w:rFonts w:ascii="Times New Roman" w:hAnsi="Times New Roman"/>
          <w:i/>
          <w:sz w:val="22"/>
          <w:szCs w:val="22"/>
        </w:rPr>
        <w:t>Medicine</w:t>
      </w:r>
      <w:r w:rsidR="0035739C" w:rsidRPr="00EC191B">
        <w:rPr>
          <w:rFonts w:ascii="Times New Roman" w:hAnsi="Times New Roman"/>
          <w:i/>
          <w:sz w:val="22"/>
          <w:szCs w:val="22"/>
        </w:rPr>
        <w:t xml:space="preserve"> Services</w:t>
      </w:r>
      <w:r w:rsidR="00C3501C" w:rsidRPr="00EC191B">
        <w:rPr>
          <w:rFonts w:ascii="Times New Roman" w:hAnsi="Times New Roman"/>
          <w:sz w:val="22"/>
          <w:szCs w:val="22"/>
        </w:rPr>
        <w:t xml:space="preserve">; 101 CMR 318.00: </w:t>
      </w:r>
      <w:r w:rsidR="0035739C" w:rsidRPr="00EC191B">
        <w:rPr>
          <w:rFonts w:ascii="Times New Roman" w:hAnsi="Times New Roman"/>
          <w:i/>
          <w:iCs/>
          <w:sz w:val="22"/>
          <w:szCs w:val="22"/>
        </w:rPr>
        <w:t>Rates for</w:t>
      </w:r>
      <w:r w:rsidR="0035739C" w:rsidRPr="00EC191B">
        <w:rPr>
          <w:rFonts w:ascii="Times New Roman" w:hAnsi="Times New Roman"/>
          <w:sz w:val="22"/>
          <w:szCs w:val="22"/>
        </w:rPr>
        <w:t xml:space="preserve"> </w:t>
      </w:r>
      <w:r w:rsidR="00C3501C" w:rsidRPr="00EC191B">
        <w:rPr>
          <w:rFonts w:ascii="Times New Roman" w:hAnsi="Times New Roman"/>
          <w:i/>
          <w:sz w:val="22"/>
          <w:szCs w:val="22"/>
        </w:rPr>
        <w:t>Radiology</w:t>
      </w:r>
      <w:r w:rsidR="0035739C" w:rsidRPr="00EC191B">
        <w:rPr>
          <w:rFonts w:ascii="Times New Roman" w:hAnsi="Times New Roman"/>
          <w:i/>
          <w:sz w:val="22"/>
          <w:szCs w:val="22"/>
        </w:rPr>
        <w:t xml:space="preserve"> Services</w:t>
      </w:r>
      <w:r w:rsidR="003B5A44" w:rsidRPr="00EC191B">
        <w:rPr>
          <w:rFonts w:ascii="Times New Roman" w:hAnsi="Times New Roman"/>
          <w:i/>
          <w:sz w:val="22"/>
          <w:szCs w:val="22"/>
        </w:rPr>
        <w:t>;</w:t>
      </w:r>
      <w:r w:rsidR="005546E4" w:rsidRPr="00EC191B">
        <w:rPr>
          <w:rFonts w:ascii="Times New Roman" w:hAnsi="Times New Roman"/>
          <w:sz w:val="22"/>
          <w:szCs w:val="22"/>
        </w:rPr>
        <w:t xml:space="preserve"> and</w:t>
      </w:r>
      <w:r w:rsidR="00265E00" w:rsidRPr="00EC191B">
        <w:rPr>
          <w:rFonts w:ascii="Times New Roman" w:hAnsi="Times New Roman"/>
          <w:sz w:val="22"/>
          <w:szCs w:val="22"/>
        </w:rPr>
        <w:t xml:space="preserve"> </w:t>
      </w:r>
      <w:r w:rsidR="005546E4" w:rsidRPr="00EC191B">
        <w:rPr>
          <w:rFonts w:ascii="Times New Roman" w:hAnsi="Times New Roman"/>
          <w:sz w:val="22"/>
          <w:szCs w:val="22"/>
        </w:rPr>
        <w:t xml:space="preserve">101 CMR 320.00: </w:t>
      </w:r>
      <w:r w:rsidR="0035739C" w:rsidRPr="00EC191B">
        <w:rPr>
          <w:rFonts w:ascii="Times New Roman" w:hAnsi="Times New Roman"/>
          <w:i/>
          <w:iCs/>
          <w:sz w:val="22"/>
          <w:szCs w:val="22"/>
        </w:rPr>
        <w:t xml:space="preserve">Rates for </w:t>
      </w:r>
      <w:r w:rsidR="005546E4" w:rsidRPr="00EC191B">
        <w:rPr>
          <w:rFonts w:ascii="Times New Roman" w:hAnsi="Times New Roman"/>
          <w:i/>
          <w:sz w:val="22"/>
          <w:szCs w:val="22"/>
        </w:rPr>
        <w:t>Clinical Laboratory Services</w:t>
      </w:r>
      <w:r w:rsidR="005546E4" w:rsidRPr="00EC191B">
        <w:rPr>
          <w:rFonts w:ascii="Times New Roman" w:hAnsi="Times New Roman"/>
          <w:sz w:val="22"/>
          <w:szCs w:val="22"/>
        </w:rPr>
        <w:t>.</w:t>
      </w:r>
    </w:p>
    <w:p w14:paraId="6DD79A99" w14:textId="77777777" w:rsidR="007E3650" w:rsidRPr="00EC191B" w:rsidRDefault="007E3650" w:rsidP="005546E4">
      <w:pPr>
        <w:pStyle w:val="PlainText"/>
        <w:rPr>
          <w:rFonts w:ascii="Times New Roman" w:hAnsi="Times New Roman"/>
          <w:sz w:val="22"/>
          <w:szCs w:val="22"/>
        </w:rPr>
      </w:pPr>
    </w:p>
    <w:p w14:paraId="0352D61F" w14:textId="00ADE81E" w:rsidR="001A6D48" w:rsidRPr="00EC191B" w:rsidRDefault="004A43F2" w:rsidP="001A6D48">
      <w:pPr>
        <w:pStyle w:val="PlainText"/>
        <w:rPr>
          <w:rFonts w:ascii="Times New Roman" w:hAnsi="Times New Roman"/>
          <w:sz w:val="22"/>
          <w:szCs w:val="22"/>
          <w:u w:val="single"/>
        </w:rPr>
      </w:pPr>
      <w:r w:rsidRPr="00EC191B">
        <w:rPr>
          <w:rFonts w:ascii="Times New Roman" w:hAnsi="Times New Roman"/>
          <w:sz w:val="22"/>
          <w:szCs w:val="22"/>
          <w:u w:val="single"/>
        </w:rPr>
        <w:t>3</w:t>
      </w:r>
      <w:r w:rsidR="007F49EF" w:rsidRPr="00EC191B">
        <w:rPr>
          <w:rFonts w:ascii="Times New Roman" w:hAnsi="Times New Roman"/>
          <w:sz w:val="22"/>
          <w:szCs w:val="22"/>
          <w:u w:val="single"/>
        </w:rPr>
        <w:t xml:space="preserve">12.04: </w:t>
      </w:r>
      <w:r w:rsidR="00C70FD6" w:rsidRPr="00EC191B">
        <w:rPr>
          <w:rFonts w:ascii="Times New Roman" w:hAnsi="Times New Roman"/>
          <w:sz w:val="22"/>
          <w:szCs w:val="22"/>
          <w:u w:val="single"/>
        </w:rPr>
        <w:t xml:space="preserve"> </w:t>
      </w:r>
      <w:r w:rsidR="007F49EF" w:rsidRPr="00EC191B">
        <w:rPr>
          <w:rFonts w:ascii="Times New Roman" w:hAnsi="Times New Roman"/>
          <w:sz w:val="22"/>
          <w:szCs w:val="22"/>
          <w:u w:val="single"/>
        </w:rPr>
        <w:t>Reporting Requirements</w:t>
      </w:r>
    </w:p>
    <w:p w14:paraId="1BED2487" w14:textId="77777777" w:rsidR="001A6D48" w:rsidRPr="00EC191B" w:rsidRDefault="001A6D48" w:rsidP="001A6D48">
      <w:pPr>
        <w:pStyle w:val="PlainText"/>
        <w:rPr>
          <w:rFonts w:ascii="Times New Roman" w:hAnsi="Times New Roman"/>
          <w:sz w:val="22"/>
          <w:szCs w:val="22"/>
          <w:u w:val="single"/>
        </w:rPr>
      </w:pPr>
    </w:p>
    <w:p w14:paraId="739F0A89" w14:textId="2D1F9159" w:rsidR="001A6D48" w:rsidRPr="00EC191B" w:rsidRDefault="001A6D48" w:rsidP="004E52C6">
      <w:pPr>
        <w:pStyle w:val="PlainText"/>
        <w:ind w:left="720"/>
        <w:rPr>
          <w:rFonts w:ascii="Times New Roman" w:hAnsi="Times New Roman"/>
          <w:spacing w:val="-3"/>
          <w:sz w:val="22"/>
          <w:szCs w:val="22"/>
        </w:rPr>
      </w:pPr>
      <w:r w:rsidRPr="00EC191B">
        <w:rPr>
          <w:rFonts w:ascii="Times New Roman" w:hAnsi="Times New Roman"/>
          <w:spacing w:val="-3"/>
          <w:sz w:val="22"/>
          <w:szCs w:val="22"/>
        </w:rPr>
        <w:t xml:space="preserve">(1) </w:t>
      </w:r>
      <w:r w:rsidR="00EB52F9" w:rsidRPr="00EC191B">
        <w:rPr>
          <w:rFonts w:ascii="Times New Roman" w:hAnsi="Times New Roman"/>
          <w:spacing w:val="-3"/>
          <w:sz w:val="22"/>
          <w:szCs w:val="22"/>
        </w:rPr>
        <w:t xml:space="preserve"> </w:t>
      </w:r>
      <w:r w:rsidRPr="00EC191B">
        <w:rPr>
          <w:rFonts w:ascii="Times New Roman" w:hAnsi="Times New Roman"/>
          <w:spacing w:val="-3"/>
          <w:sz w:val="22"/>
          <w:szCs w:val="22"/>
          <w:u w:val="single"/>
        </w:rPr>
        <w:t>Required Reports</w:t>
      </w:r>
      <w:r w:rsidRPr="00EC191B">
        <w:rPr>
          <w:rFonts w:ascii="Times New Roman" w:hAnsi="Times New Roman"/>
          <w:spacing w:val="-3"/>
          <w:sz w:val="22"/>
          <w:szCs w:val="22"/>
        </w:rPr>
        <w:t xml:space="preserve">. </w:t>
      </w:r>
      <w:r w:rsidR="00EB52F9" w:rsidRPr="00EC191B">
        <w:rPr>
          <w:rFonts w:ascii="Times New Roman" w:hAnsi="Times New Roman"/>
          <w:spacing w:val="-3"/>
          <w:sz w:val="22"/>
          <w:szCs w:val="22"/>
        </w:rPr>
        <w:t xml:space="preserve"> </w:t>
      </w:r>
      <w:r w:rsidRPr="00EC191B">
        <w:rPr>
          <w:rFonts w:ascii="Times New Roman" w:hAnsi="Times New Roman"/>
          <w:spacing w:val="-3"/>
          <w:sz w:val="22"/>
          <w:szCs w:val="22"/>
        </w:rPr>
        <w:t xml:space="preserve">Reporting requirements are governed by 957 CMR 6.00: </w:t>
      </w:r>
      <w:r w:rsidR="00DC2331">
        <w:rPr>
          <w:rFonts w:ascii="Times New Roman" w:hAnsi="Times New Roman"/>
          <w:spacing w:val="-3"/>
          <w:sz w:val="22"/>
          <w:szCs w:val="22"/>
        </w:rPr>
        <w:t xml:space="preserve"> </w:t>
      </w:r>
      <w:r w:rsidRPr="00EC191B">
        <w:rPr>
          <w:rFonts w:ascii="Times New Roman" w:hAnsi="Times New Roman"/>
          <w:i/>
          <w:spacing w:val="-3"/>
          <w:sz w:val="22"/>
          <w:szCs w:val="22"/>
        </w:rPr>
        <w:t>Cost Reporting Requirements</w:t>
      </w:r>
      <w:r w:rsidRPr="00EC191B">
        <w:rPr>
          <w:rFonts w:ascii="Times New Roman" w:hAnsi="Times New Roman"/>
          <w:spacing w:val="-3"/>
          <w:sz w:val="22"/>
          <w:szCs w:val="22"/>
        </w:rPr>
        <w:t xml:space="preserve">.  </w:t>
      </w:r>
    </w:p>
    <w:p w14:paraId="37642327" w14:textId="77777777" w:rsidR="001A6D48" w:rsidRPr="00EC191B" w:rsidRDefault="001A6D48" w:rsidP="001A6D48">
      <w:pPr>
        <w:pStyle w:val="PlainText"/>
        <w:rPr>
          <w:rFonts w:ascii="Times New Roman" w:hAnsi="Times New Roman"/>
          <w:spacing w:val="-3"/>
          <w:sz w:val="22"/>
          <w:szCs w:val="22"/>
        </w:rPr>
      </w:pPr>
    </w:p>
    <w:p w14:paraId="17A572E6" w14:textId="01CDE02B" w:rsidR="001A6D48" w:rsidRPr="00EC191B" w:rsidRDefault="001A6D48" w:rsidP="004E52C6">
      <w:pPr>
        <w:pStyle w:val="PlainText"/>
        <w:ind w:left="720"/>
        <w:rPr>
          <w:rFonts w:ascii="Times New Roman" w:hAnsi="Times New Roman"/>
          <w:sz w:val="22"/>
          <w:szCs w:val="22"/>
          <w:u w:val="single"/>
        </w:rPr>
      </w:pPr>
      <w:r w:rsidRPr="00EC191B">
        <w:rPr>
          <w:rFonts w:ascii="Times New Roman" w:hAnsi="Times New Roman"/>
          <w:sz w:val="22"/>
          <w:szCs w:val="22"/>
        </w:rPr>
        <w:t xml:space="preserve">(2) </w:t>
      </w:r>
      <w:r w:rsidR="00EB52F9" w:rsidRPr="00EC191B">
        <w:rPr>
          <w:rFonts w:ascii="Times New Roman" w:hAnsi="Times New Roman"/>
          <w:sz w:val="22"/>
          <w:szCs w:val="22"/>
        </w:rPr>
        <w:t xml:space="preserve"> </w:t>
      </w:r>
      <w:r w:rsidRPr="00EC191B">
        <w:rPr>
          <w:rFonts w:ascii="Times New Roman" w:hAnsi="Times New Roman"/>
          <w:sz w:val="22"/>
          <w:szCs w:val="22"/>
          <w:u w:val="single"/>
        </w:rPr>
        <w:t>Penalty for Noncompliance</w:t>
      </w:r>
      <w:r w:rsidRPr="00EC191B">
        <w:rPr>
          <w:rFonts w:ascii="Times New Roman" w:hAnsi="Times New Roman"/>
          <w:sz w:val="22"/>
          <w:szCs w:val="22"/>
        </w:rPr>
        <w:t xml:space="preserve">. </w:t>
      </w:r>
      <w:r w:rsidR="00EB52F9" w:rsidRPr="00EC191B">
        <w:rPr>
          <w:rFonts w:ascii="Times New Roman" w:hAnsi="Times New Roman"/>
          <w:sz w:val="22"/>
          <w:szCs w:val="22"/>
        </w:rPr>
        <w:t xml:space="preserve"> </w:t>
      </w:r>
      <w:r w:rsidR="00B944BE" w:rsidRPr="00EC191B">
        <w:rPr>
          <w:rFonts w:ascii="Times New Roman" w:hAnsi="Times New Roman"/>
          <w:sz w:val="22"/>
          <w:szCs w:val="22"/>
        </w:rPr>
        <w:t>The</w:t>
      </w:r>
      <w:r w:rsidRPr="00EC191B">
        <w:rPr>
          <w:rFonts w:ascii="Times New Roman" w:hAnsi="Times New Roman"/>
          <w:sz w:val="22"/>
          <w:szCs w:val="22"/>
        </w:rPr>
        <w:t xml:space="preserve"> purchasing governmental unit may </w:t>
      </w:r>
      <w:r w:rsidR="00B944BE" w:rsidRPr="00EC191B">
        <w:rPr>
          <w:rFonts w:ascii="Times New Roman" w:hAnsi="Times New Roman"/>
          <w:sz w:val="22"/>
          <w:szCs w:val="22"/>
        </w:rPr>
        <w:t xml:space="preserve">impose a penalty in the amount up to 15% of its payments to any provider that fails to submit </w:t>
      </w:r>
      <w:proofErr w:type="gramStart"/>
      <w:r w:rsidR="00B944BE" w:rsidRPr="00EC191B">
        <w:rPr>
          <w:rFonts w:ascii="Times New Roman" w:hAnsi="Times New Roman"/>
          <w:sz w:val="22"/>
          <w:szCs w:val="22"/>
        </w:rPr>
        <w:t>required</w:t>
      </w:r>
      <w:proofErr w:type="gramEnd"/>
      <w:r w:rsidR="00B944BE" w:rsidRPr="00EC191B">
        <w:rPr>
          <w:rFonts w:ascii="Times New Roman" w:hAnsi="Times New Roman"/>
          <w:sz w:val="22"/>
          <w:szCs w:val="22"/>
        </w:rPr>
        <w:t xml:space="preserve"> information. </w:t>
      </w:r>
      <w:r w:rsidRPr="00EC191B">
        <w:rPr>
          <w:rFonts w:ascii="Times New Roman" w:hAnsi="Times New Roman"/>
          <w:sz w:val="22"/>
          <w:szCs w:val="22"/>
        </w:rPr>
        <w:t>The purchasing governmental unit will notify the provider</w:t>
      </w:r>
      <w:r w:rsidR="00B944BE" w:rsidRPr="00EC191B">
        <w:rPr>
          <w:rFonts w:ascii="Times New Roman" w:hAnsi="Times New Roman"/>
          <w:sz w:val="22"/>
          <w:szCs w:val="22"/>
        </w:rPr>
        <w:t xml:space="preserve"> in advance of its intention to </w:t>
      </w:r>
      <w:r w:rsidRPr="00EC191B">
        <w:rPr>
          <w:rFonts w:ascii="Times New Roman" w:hAnsi="Times New Roman"/>
          <w:sz w:val="22"/>
          <w:szCs w:val="22"/>
        </w:rPr>
        <w:t>impos</w:t>
      </w:r>
      <w:r w:rsidR="00B944BE" w:rsidRPr="00EC191B">
        <w:rPr>
          <w:rFonts w:ascii="Times New Roman" w:hAnsi="Times New Roman"/>
          <w:sz w:val="22"/>
          <w:szCs w:val="22"/>
        </w:rPr>
        <w:t>e</w:t>
      </w:r>
      <w:r w:rsidRPr="00EC191B">
        <w:rPr>
          <w:rFonts w:ascii="Times New Roman" w:hAnsi="Times New Roman"/>
          <w:sz w:val="22"/>
          <w:szCs w:val="22"/>
        </w:rPr>
        <w:t xml:space="preserve"> a penalty </w:t>
      </w:r>
      <w:r w:rsidR="00B944BE" w:rsidRPr="00EC191B">
        <w:rPr>
          <w:rFonts w:ascii="Times New Roman" w:hAnsi="Times New Roman"/>
          <w:sz w:val="22"/>
          <w:szCs w:val="22"/>
        </w:rPr>
        <w:t xml:space="preserve">under </w:t>
      </w:r>
      <w:r w:rsidR="00502757">
        <w:rPr>
          <w:rFonts w:ascii="Times New Roman" w:hAnsi="Times New Roman"/>
          <w:sz w:val="22"/>
          <w:szCs w:val="22"/>
        </w:rPr>
        <w:t>101 CMR 312.04(2)</w:t>
      </w:r>
      <w:r w:rsidRPr="00EC191B">
        <w:rPr>
          <w:rFonts w:ascii="Times New Roman" w:hAnsi="Times New Roman"/>
          <w:sz w:val="22"/>
          <w:szCs w:val="22"/>
        </w:rPr>
        <w:t>.</w:t>
      </w:r>
    </w:p>
    <w:p w14:paraId="4135B254" w14:textId="77777777" w:rsidR="00265E00" w:rsidRPr="00EC191B" w:rsidRDefault="00265E00">
      <w:pPr>
        <w:pStyle w:val="PlainText"/>
        <w:rPr>
          <w:rFonts w:ascii="Times New Roman" w:hAnsi="Times New Roman"/>
          <w:sz w:val="22"/>
          <w:szCs w:val="22"/>
          <w:u w:val="single"/>
        </w:rPr>
      </w:pPr>
    </w:p>
    <w:p w14:paraId="44071303" w14:textId="3B931395" w:rsidR="00265E00" w:rsidRPr="00EC191B" w:rsidRDefault="004A43F2">
      <w:pPr>
        <w:rPr>
          <w:sz w:val="22"/>
          <w:szCs w:val="22"/>
          <w:u w:val="single"/>
        </w:rPr>
      </w:pPr>
      <w:r w:rsidRPr="00EC191B">
        <w:rPr>
          <w:sz w:val="22"/>
          <w:szCs w:val="22"/>
          <w:u w:val="single"/>
        </w:rPr>
        <w:t>3</w:t>
      </w:r>
      <w:r w:rsidR="00265E00" w:rsidRPr="00EC191B">
        <w:rPr>
          <w:sz w:val="22"/>
          <w:szCs w:val="22"/>
          <w:u w:val="single"/>
        </w:rPr>
        <w:t>12.0</w:t>
      </w:r>
      <w:r w:rsidR="007F49EF" w:rsidRPr="00EC191B">
        <w:rPr>
          <w:sz w:val="22"/>
          <w:szCs w:val="22"/>
          <w:u w:val="single"/>
        </w:rPr>
        <w:t>5</w:t>
      </w:r>
      <w:r w:rsidR="00265E00" w:rsidRPr="00EC191B">
        <w:rPr>
          <w:sz w:val="22"/>
          <w:szCs w:val="22"/>
          <w:u w:val="single"/>
        </w:rPr>
        <w:t>:</w:t>
      </w:r>
      <w:r w:rsidR="00C70FD6" w:rsidRPr="00EC191B">
        <w:rPr>
          <w:sz w:val="22"/>
          <w:szCs w:val="22"/>
          <w:u w:val="single"/>
        </w:rPr>
        <w:t xml:space="preserve">  </w:t>
      </w:r>
      <w:r w:rsidR="00265E00" w:rsidRPr="00EC191B">
        <w:rPr>
          <w:sz w:val="22"/>
          <w:szCs w:val="22"/>
          <w:u w:val="single"/>
        </w:rPr>
        <w:t xml:space="preserve">Severability </w:t>
      </w:r>
    </w:p>
    <w:p w14:paraId="5E713367" w14:textId="77777777" w:rsidR="007F49EF" w:rsidRPr="00EC191B" w:rsidRDefault="007F49EF">
      <w:pPr>
        <w:rPr>
          <w:sz w:val="22"/>
          <w:szCs w:val="22"/>
        </w:rPr>
      </w:pPr>
    </w:p>
    <w:p w14:paraId="37CDE40A" w14:textId="029386DB" w:rsidR="00265E00" w:rsidRPr="00EC191B" w:rsidRDefault="00265E00" w:rsidP="00630666">
      <w:pPr>
        <w:ind w:left="720" w:firstLine="360"/>
        <w:rPr>
          <w:sz w:val="22"/>
          <w:szCs w:val="22"/>
        </w:rPr>
      </w:pPr>
      <w:r w:rsidRPr="00EC191B">
        <w:rPr>
          <w:sz w:val="22"/>
          <w:szCs w:val="22"/>
        </w:rPr>
        <w:t>The provisions of 1</w:t>
      </w:r>
      <w:r w:rsidR="004A43F2" w:rsidRPr="00EC191B">
        <w:rPr>
          <w:sz w:val="22"/>
          <w:szCs w:val="22"/>
        </w:rPr>
        <w:t>0</w:t>
      </w:r>
      <w:r w:rsidRPr="00EC191B">
        <w:rPr>
          <w:sz w:val="22"/>
          <w:szCs w:val="22"/>
        </w:rPr>
        <w:t>1</w:t>
      </w:r>
      <w:r w:rsidR="00C70FD6" w:rsidRPr="00EC191B">
        <w:rPr>
          <w:sz w:val="22"/>
          <w:szCs w:val="22"/>
        </w:rPr>
        <w:t xml:space="preserve"> </w:t>
      </w:r>
      <w:r w:rsidRPr="00EC191B">
        <w:rPr>
          <w:sz w:val="22"/>
          <w:szCs w:val="22"/>
        </w:rPr>
        <w:t xml:space="preserve">CMR </w:t>
      </w:r>
      <w:r w:rsidR="004A43F2" w:rsidRPr="00EC191B">
        <w:rPr>
          <w:sz w:val="22"/>
          <w:szCs w:val="22"/>
        </w:rPr>
        <w:t>3</w:t>
      </w:r>
      <w:r w:rsidRPr="00EC191B">
        <w:rPr>
          <w:sz w:val="22"/>
          <w:szCs w:val="22"/>
        </w:rPr>
        <w:t>12.00 are severable</w:t>
      </w:r>
      <w:r w:rsidR="00097C8F">
        <w:rPr>
          <w:sz w:val="22"/>
          <w:szCs w:val="22"/>
        </w:rPr>
        <w:t>.</w:t>
      </w:r>
      <w:r w:rsidRPr="00EC191B">
        <w:rPr>
          <w:sz w:val="22"/>
          <w:szCs w:val="22"/>
        </w:rPr>
        <w:t xml:space="preserve"> </w:t>
      </w:r>
      <w:r w:rsidR="00097C8F">
        <w:rPr>
          <w:sz w:val="22"/>
          <w:szCs w:val="22"/>
        </w:rPr>
        <w:t>I</w:t>
      </w:r>
      <w:r w:rsidRPr="00EC191B">
        <w:rPr>
          <w:sz w:val="22"/>
          <w:szCs w:val="22"/>
        </w:rPr>
        <w:t xml:space="preserve">f any provision </w:t>
      </w:r>
      <w:r w:rsidR="00B57A71" w:rsidRPr="00EC191B">
        <w:rPr>
          <w:sz w:val="22"/>
          <w:szCs w:val="22"/>
        </w:rPr>
        <w:t xml:space="preserve">of 101 CMR 312.00 </w:t>
      </w:r>
      <w:r w:rsidRPr="00EC191B">
        <w:rPr>
          <w:sz w:val="22"/>
          <w:szCs w:val="22"/>
        </w:rPr>
        <w:t xml:space="preserve">or application of </w:t>
      </w:r>
      <w:r w:rsidR="00097C8F">
        <w:rPr>
          <w:sz w:val="22"/>
          <w:szCs w:val="22"/>
        </w:rPr>
        <w:t>any</w:t>
      </w:r>
      <w:r w:rsidRPr="00EC191B">
        <w:rPr>
          <w:sz w:val="22"/>
          <w:szCs w:val="22"/>
        </w:rPr>
        <w:t xml:space="preserve"> provision to an</w:t>
      </w:r>
      <w:r w:rsidR="00097C8F">
        <w:rPr>
          <w:sz w:val="22"/>
          <w:szCs w:val="22"/>
        </w:rPr>
        <w:t xml:space="preserve"> applicable individual, entity, </w:t>
      </w:r>
      <w:r w:rsidRPr="00EC191B">
        <w:rPr>
          <w:sz w:val="22"/>
          <w:szCs w:val="22"/>
        </w:rPr>
        <w:t xml:space="preserve">or circumstance </w:t>
      </w:r>
      <w:r w:rsidR="00B57A71" w:rsidRPr="00EC191B">
        <w:rPr>
          <w:sz w:val="22"/>
          <w:szCs w:val="22"/>
        </w:rPr>
        <w:t>is</w:t>
      </w:r>
      <w:r w:rsidRPr="00EC191B">
        <w:rPr>
          <w:sz w:val="22"/>
          <w:szCs w:val="22"/>
        </w:rPr>
        <w:t xml:space="preserve"> held invalid or unconstitutional, </w:t>
      </w:r>
      <w:r w:rsidR="00097C8F">
        <w:rPr>
          <w:sz w:val="22"/>
          <w:szCs w:val="22"/>
        </w:rPr>
        <w:t xml:space="preserve">that holding </w:t>
      </w:r>
      <w:r w:rsidR="00EB52F9" w:rsidRPr="00EC191B">
        <w:rPr>
          <w:sz w:val="22"/>
          <w:szCs w:val="22"/>
        </w:rPr>
        <w:t xml:space="preserve">will </w:t>
      </w:r>
      <w:r w:rsidRPr="00EC191B">
        <w:rPr>
          <w:sz w:val="22"/>
          <w:szCs w:val="22"/>
        </w:rPr>
        <w:t xml:space="preserve">not be construed to affect the validity or constitutionality of any remaining provisions </w:t>
      </w:r>
      <w:r w:rsidR="00097C8F">
        <w:rPr>
          <w:sz w:val="22"/>
          <w:szCs w:val="22"/>
        </w:rPr>
        <w:t xml:space="preserve">of 101 CMR 312.00 or application of those provisions to applicable individuals, entities, </w:t>
      </w:r>
      <w:r w:rsidRPr="00EC191B">
        <w:rPr>
          <w:sz w:val="22"/>
          <w:szCs w:val="22"/>
        </w:rPr>
        <w:t>or circumstances.</w:t>
      </w:r>
    </w:p>
    <w:p w14:paraId="7C5EC3A6" w14:textId="77777777" w:rsidR="00B57A71" w:rsidRPr="00EC191B" w:rsidRDefault="00B57A71">
      <w:pPr>
        <w:pStyle w:val="PlainText"/>
        <w:rPr>
          <w:rFonts w:ascii="Times New Roman" w:hAnsi="Times New Roman"/>
          <w:sz w:val="22"/>
          <w:szCs w:val="22"/>
        </w:rPr>
      </w:pPr>
    </w:p>
    <w:p w14:paraId="25E8FD6D" w14:textId="77777777" w:rsidR="0035739C" w:rsidRPr="00EC191B" w:rsidRDefault="0035739C">
      <w:pPr>
        <w:pStyle w:val="PlainText"/>
        <w:rPr>
          <w:rFonts w:ascii="Times New Roman" w:hAnsi="Times New Roman"/>
          <w:sz w:val="22"/>
          <w:szCs w:val="22"/>
        </w:rPr>
      </w:pPr>
    </w:p>
    <w:p w14:paraId="7D08FDD3" w14:textId="71E98039" w:rsidR="00265E00" w:rsidRPr="00EC191B" w:rsidRDefault="00265E00">
      <w:pPr>
        <w:pStyle w:val="PlainText"/>
        <w:rPr>
          <w:rFonts w:ascii="Times New Roman" w:hAnsi="Times New Roman"/>
          <w:sz w:val="22"/>
          <w:szCs w:val="22"/>
        </w:rPr>
      </w:pPr>
      <w:r w:rsidRPr="00EC191B">
        <w:rPr>
          <w:rFonts w:ascii="Times New Roman" w:hAnsi="Times New Roman"/>
          <w:sz w:val="22"/>
          <w:szCs w:val="22"/>
        </w:rPr>
        <w:t>REGULATORY AUTHORITY</w:t>
      </w:r>
    </w:p>
    <w:p w14:paraId="5CFE927E" w14:textId="77777777" w:rsidR="00265E00" w:rsidRPr="00EC191B" w:rsidRDefault="00265E00">
      <w:pPr>
        <w:pStyle w:val="PlainText"/>
        <w:rPr>
          <w:rFonts w:ascii="Times New Roman" w:hAnsi="Times New Roman"/>
          <w:sz w:val="22"/>
          <w:szCs w:val="22"/>
        </w:rPr>
      </w:pPr>
    </w:p>
    <w:p w14:paraId="2D46DBF1" w14:textId="026AEF2B" w:rsidR="00265E00" w:rsidRDefault="00265E00" w:rsidP="00630666">
      <w:pPr>
        <w:pStyle w:val="PlainText"/>
        <w:ind w:left="720"/>
        <w:rPr>
          <w:rFonts w:ascii="Times New Roman" w:hAnsi="Times New Roman"/>
          <w:sz w:val="24"/>
        </w:rPr>
      </w:pPr>
      <w:r w:rsidRPr="00EC191B">
        <w:rPr>
          <w:rFonts w:ascii="Times New Roman" w:hAnsi="Times New Roman"/>
          <w:sz w:val="22"/>
          <w:szCs w:val="22"/>
        </w:rPr>
        <w:t>1</w:t>
      </w:r>
      <w:r w:rsidR="004A43F2" w:rsidRPr="00EC191B">
        <w:rPr>
          <w:rFonts w:ascii="Times New Roman" w:hAnsi="Times New Roman"/>
          <w:sz w:val="22"/>
          <w:szCs w:val="22"/>
        </w:rPr>
        <w:t>0</w:t>
      </w:r>
      <w:r w:rsidRPr="00EC191B">
        <w:rPr>
          <w:rFonts w:ascii="Times New Roman" w:hAnsi="Times New Roman"/>
          <w:sz w:val="22"/>
          <w:szCs w:val="22"/>
        </w:rPr>
        <w:t xml:space="preserve">1 CMR </w:t>
      </w:r>
      <w:r w:rsidR="004A43F2" w:rsidRPr="00EC191B">
        <w:rPr>
          <w:rFonts w:ascii="Times New Roman" w:hAnsi="Times New Roman"/>
          <w:sz w:val="22"/>
          <w:szCs w:val="22"/>
        </w:rPr>
        <w:t>3</w:t>
      </w:r>
      <w:r w:rsidRPr="00EC191B">
        <w:rPr>
          <w:rFonts w:ascii="Times New Roman" w:hAnsi="Times New Roman"/>
          <w:sz w:val="22"/>
          <w:szCs w:val="22"/>
        </w:rPr>
        <w:t>12.00:  M.G.L. c.118</w:t>
      </w:r>
      <w:r w:rsidR="009614D8" w:rsidRPr="00EC191B">
        <w:rPr>
          <w:rFonts w:ascii="Times New Roman" w:hAnsi="Times New Roman"/>
          <w:sz w:val="22"/>
          <w:szCs w:val="22"/>
        </w:rPr>
        <w:t>E</w:t>
      </w:r>
      <w:r w:rsidR="00AD29F4">
        <w:rPr>
          <w:rFonts w:ascii="Times New Roman" w:hAnsi="Times New Roman"/>
          <w:sz w:val="22"/>
          <w:szCs w:val="22"/>
        </w:rPr>
        <w:t>.</w:t>
      </w:r>
    </w:p>
    <w:sectPr w:rsidR="00265E00" w:rsidSect="003B5582">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3DE3" w14:textId="77777777" w:rsidR="00CB5883" w:rsidRDefault="00CB5883">
      <w:r>
        <w:separator/>
      </w:r>
    </w:p>
  </w:endnote>
  <w:endnote w:type="continuationSeparator" w:id="0">
    <w:p w14:paraId="6CBEFE94" w14:textId="77777777" w:rsidR="00CB5883" w:rsidRDefault="00CB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960" w14:textId="19810D55" w:rsidR="005D3253" w:rsidRDefault="005D3253" w:rsidP="00881F90">
    <w:pPr>
      <w:pStyle w:val="Footer"/>
      <w:jc w:val="center"/>
    </w:pPr>
    <w:r>
      <w:fldChar w:fldCharType="begin"/>
    </w:r>
    <w:r>
      <w:instrText xml:space="preserve"> PAGE   \* MERGEFORMAT </w:instrText>
    </w:r>
    <w:r>
      <w:fldChar w:fldCharType="separate"/>
    </w:r>
    <w:r w:rsidR="000C21C9">
      <w:rPr>
        <w:noProof/>
      </w:rPr>
      <w:t>12</w:t>
    </w:r>
    <w:r>
      <w:rPr>
        <w:noProof/>
      </w:rPr>
      <w:fldChar w:fldCharType="end"/>
    </w:r>
  </w:p>
  <w:p w14:paraId="44083E0B" w14:textId="77777777" w:rsidR="005D3253" w:rsidRDefault="005D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7E73" w14:textId="77777777" w:rsidR="00CB5883" w:rsidRDefault="00CB5883">
      <w:r>
        <w:separator/>
      </w:r>
    </w:p>
  </w:footnote>
  <w:footnote w:type="continuationSeparator" w:id="0">
    <w:p w14:paraId="348075D1" w14:textId="77777777" w:rsidR="00CB5883" w:rsidRDefault="00CB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8A3F" w14:textId="77777777" w:rsidR="009D3F96" w:rsidRDefault="009D3F96" w:rsidP="000D465A">
    <w:pPr>
      <w:pStyle w:val="Header"/>
      <w:jc w:val="right"/>
      <w:rPr>
        <w:sz w:val="22"/>
        <w:szCs w:val="22"/>
      </w:rPr>
    </w:pPr>
    <w:r w:rsidRPr="009D3F96">
      <w:rPr>
        <w:color w:val="000000" w:themeColor="text1"/>
        <w:sz w:val="22"/>
        <w:szCs w:val="22"/>
      </w:rPr>
      <w:t>Final Adoption</w:t>
    </w:r>
    <w:r w:rsidDel="009D3F96">
      <w:rPr>
        <w:sz w:val="22"/>
        <w:szCs w:val="22"/>
      </w:rPr>
      <w:t xml:space="preserve"> </w:t>
    </w:r>
  </w:p>
  <w:p w14:paraId="1ACD3B3B" w14:textId="519FBB8A" w:rsidR="000D465A" w:rsidRPr="007D7DF2" w:rsidRDefault="00614026" w:rsidP="000D465A">
    <w:pPr>
      <w:pStyle w:val="Header"/>
      <w:jc w:val="right"/>
      <w:rPr>
        <w:sz w:val="22"/>
        <w:szCs w:val="22"/>
      </w:rPr>
    </w:pPr>
    <w:r>
      <w:rPr>
        <w:sz w:val="22"/>
        <w:szCs w:val="22"/>
      </w:rPr>
      <w:t xml:space="preserve">Date </w:t>
    </w:r>
    <w:r w:rsidR="008D03D3">
      <w:rPr>
        <w:sz w:val="22"/>
        <w:szCs w:val="22"/>
      </w:rPr>
      <w:t>Published in Mass Register</w:t>
    </w:r>
    <w:r w:rsidR="00EF48A6">
      <w:rPr>
        <w:sz w:val="22"/>
        <w:szCs w:val="22"/>
      </w:rPr>
      <w:t xml:space="preserve">: </w:t>
    </w:r>
    <w:r w:rsidR="00382653">
      <w:rPr>
        <w:sz w:val="22"/>
        <w:szCs w:val="22"/>
      </w:rPr>
      <w:t>April 25, 2025</w:t>
    </w:r>
  </w:p>
  <w:p w14:paraId="1D9BFB88" w14:textId="77777777" w:rsidR="00411D46" w:rsidRPr="007D7DF2" w:rsidRDefault="00411D46" w:rsidP="00411D46">
    <w:pPr>
      <w:pStyle w:val="Header"/>
      <w:jc w:val="center"/>
      <w:rPr>
        <w:sz w:val="22"/>
        <w:szCs w:val="22"/>
      </w:rPr>
    </w:pPr>
  </w:p>
  <w:p w14:paraId="64D64FD9" w14:textId="7A935B53" w:rsidR="00411D46" w:rsidRDefault="00411D46" w:rsidP="00411D46">
    <w:pPr>
      <w:pStyle w:val="Header"/>
      <w:jc w:val="center"/>
      <w:rPr>
        <w:sz w:val="22"/>
        <w:szCs w:val="22"/>
      </w:rPr>
    </w:pPr>
    <w:r w:rsidRPr="007D7DF2">
      <w:rPr>
        <w:sz w:val="22"/>
        <w:szCs w:val="22"/>
      </w:rPr>
      <w:t>101 CMR:  EXECUTIVE OFFICE OF HEALTH AND HUMAN SERVICES</w:t>
    </w:r>
  </w:p>
  <w:p w14:paraId="0223697B" w14:textId="77777777" w:rsidR="00840ADA" w:rsidRDefault="00840ADA" w:rsidP="00411D46">
    <w:pPr>
      <w:pStyle w:val="Header"/>
      <w:jc w:val="center"/>
      <w:rPr>
        <w:sz w:val="22"/>
        <w:szCs w:val="22"/>
      </w:rPr>
    </w:pPr>
  </w:p>
  <w:p w14:paraId="2511F3FD" w14:textId="6F676E40" w:rsidR="00411D46" w:rsidRPr="007D7DF2" w:rsidRDefault="00411D46" w:rsidP="007D7DF2">
    <w:pPr>
      <w:pStyle w:val="Header"/>
      <w:jc w:val="center"/>
      <w:rPr>
        <w:sz w:val="22"/>
        <w:szCs w:val="22"/>
      </w:rPr>
    </w:pPr>
    <w:r w:rsidRPr="00411D46">
      <w:rPr>
        <w:sz w:val="22"/>
        <w:szCs w:val="22"/>
      </w:rPr>
      <w:t>101 CMR 312.00:</w:t>
    </w:r>
    <w:r>
      <w:rPr>
        <w:sz w:val="22"/>
        <w:szCs w:val="22"/>
      </w:rPr>
      <w:t xml:space="preserve">  RATES FOR </w:t>
    </w:r>
    <w:r w:rsidRPr="00411D46">
      <w:rPr>
        <w:sz w:val="22"/>
        <w:szCs w:val="22"/>
      </w:rPr>
      <w:t>FAMILY PLANNING SERVICES</w:t>
    </w:r>
  </w:p>
  <w:p w14:paraId="4E6619AE" w14:textId="77777777" w:rsidR="00C17004" w:rsidRPr="007D7DF2" w:rsidRDefault="00C17004" w:rsidP="00D213B1">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04B"/>
    <w:multiLevelType w:val="hybridMultilevel"/>
    <w:tmpl w:val="3F7254E0"/>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 w15:restartNumberingAfterBreak="0">
    <w:nsid w:val="0AD718B5"/>
    <w:multiLevelType w:val="hybridMultilevel"/>
    <w:tmpl w:val="60423D4E"/>
    <w:lvl w:ilvl="0" w:tplc="3F701CD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EE5916"/>
    <w:multiLevelType w:val="hybridMultilevel"/>
    <w:tmpl w:val="BE3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248"/>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1B9D1AC5"/>
    <w:multiLevelType w:val="hybridMultilevel"/>
    <w:tmpl w:val="689C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F5025"/>
    <w:multiLevelType w:val="hybridMultilevel"/>
    <w:tmpl w:val="C6E82E6A"/>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6" w15:restartNumberingAfterBreak="0">
    <w:nsid w:val="27ED5920"/>
    <w:multiLevelType w:val="singleLevel"/>
    <w:tmpl w:val="0CFEE1B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BF1745"/>
    <w:multiLevelType w:val="hybridMultilevel"/>
    <w:tmpl w:val="BA8E6AB0"/>
    <w:lvl w:ilvl="0" w:tplc="0409000F">
      <w:start w:val="1"/>
      <w:numFmt w:val="decimal"/>
      <w:lvlText w:val="%1."/>
      <w:lvlJc w:val="left"/>
      <w:pPr>
        <w:ind w:left="610" w:hanging="360"/>
      </w:p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8" w15:restartNumberingAfterBreak="0">
    <w:nsid w:val="2F877EAF"/>
    <w:multiLevelType w:val="hybridMultilevel"/>
    <w:tmpl w:val="EF2AC9F0"/>
    <w:lvl w:ilvl="0" w:tplc="54A80C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87334"/>
    <w:multiLevelType w:val="hybridMultilevel"/>
    <w:tmpl w:val="C9B82620"/>
    <w:lvl w:ilvl="0" w:tplc="04090001">
      <w:start w:val="1"/>
      <w:numFmt w:val="bullet"/>
      <w:lvlText w:val=""/>
      <w:lvlJc w:val="left"/>
      <w:pPr>
        <w:ind w:left="610" w:hanging="360"/>
      </w:pPr>
      <w:rPr>
        <w:rFonts w:ascii="Symbol" w:hAnsi="Symbol"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0"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hint="default"/>
      </w:rPr>
    </w:lvl>
  </w:abstractNum>
  <w:abstractNum w:abstractNumId="11" w15:restartNumberingAfterBreak="0">
    <w:nsid w:val="3DDD77D3"/>
    <w:multiLevelType w:val="hybridMultilevel"/>
    <w:tmpl w:val="6BF8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674EA"/>
    <w:multiLevelType w:val="hybridMultilevel"/>
    <w:tmpl w:val="84763958"/>
    <w:lvl w:ilvl="0" w:tplc="9F64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53767"/>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4D9879AE"/>
    <w:multiLevelType w:val="hybridMultilevel"/>
    <w:tmpl w:val="C212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76B3C"/>
    <w:multiLevelType w:val="singleLevel"/>
    <w:tmpl w:val="649AE5BE"/>
    <w:lvl w:ilvl="0">
      <w:start w:val="2"/>
      <w:numFmt w:val="decimal"/>
      <w:lvlText w:val="(%1)"/>
      <w:lvlJc w:val="left"/>
      <w:pPr>
        <w:tabs>
          <w:tab w:val="num" w:pos="450"/>
        </w:tabs>
        <w:ind w:left="450" w:hanging="450"/>
      </w:pPr>
      <w:rPr>
        <w:rFonts w:hint="default"/>
      </w:rPr>
    </w:lvl>
  </w:abstractNum>
  <w:abstractNum w:abstractNumId="16" w15:restartNumberingAfterBreak="0">
    <w:nsid w:val="544A5768"/>
    <w:multiLevelType w:val="hybridMultilevel"/>
    <w:tmpl w:val="071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906E0"/>
    <w:multiLevelType w:val="hybridMultilevel"/>
    <w:tmpl w:val="C018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D7261"/>
    <w:multiLevelType w:val="singleLevel"/>
    <w:tmpl w:val="CC96317A"/>
    <w:lvl w:ilvl="0">
      <w:start w:val="1"/>
      <w:numFmt w:val="lowerLetter"/>
      <w:lvlText w:val="(%1)"/>
      <w:legacy w:legacy="1" w:legacySpace="0" w:legacyIndent="1800"/>
      <w:lvlJc w:val="left"/>
      <w:rPr>
        <w:rFonts w:ascii="Times New Roman" w:hAnsi="Times New Roman" w:hint="default"/>
      </w:rPr>
    </w:lvl>
  </w:abstractNum>
  <w:abstractNum w:abstractNumId="19" w15:restartNumberingAfterBreak="0">
    <w:nsid w:val="5B4351AE"/>
    <w:multiLevelType w:val="singleLevel"/>
    <w:tmpl w:val="0CFEE1B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782F93"/>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601261C3"/>
    <w:multiLevelType w:val="hybridMultilevel"/>
    <w:tmpl w:val="8D6C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448079">
    <w:abstractNumId w:val="15"/>
  </w:num>
  <w:num w:numId="2" w16cid:durableId="1253128498">
    <w:abstractNumId w:val="10"/>
  </w:num>
  <w:num w:numId="3" w16cid:durableId="1210192620">
    <w:abstractNumId w:val="18"/>
  </w:num>
  <w:num w:numId="4" w16cid:durableId="9065293">
    <w:abstractNumId w:val="6"/>
  </w:num>
  <w:num w:numId="5" w16cid:durableId="2034762112">
    <w:abstractNumId w:val="20"/>
  </w:num>
  <w:num w:numId="6" w16cid:durableId="1475949768">
    <w:abstractNumId w:val="19"/>
  </w:num>
  <w:num w:numId="7" w16cid:durableId="775907840">
    <w:abstractNumId w:val="13"/>
  </w:num>
  <w:num w:numId="8" w16cid:durableId="371615307">
    <w:abstractNumId w:val="3"/>
  </w:num>
  <w:num w:numId="9" w16cid:durableId="1362046244">
    <w:abstractNumId w:val="8"/>
  </w:num>
  <w:num w:numId="10" w16cid:durableId="741173877">
    <w:abstractNumId w:val="14"/>
  </w:num>
  <w:num w:numId="11" w16cid:durableId="1482651513">
    <w:abstractNumId w:val="5"/>
  </w:num>
  <w:num w:numId="12" w16cid:durableId="1259024140">
    <w:abstractNumId w:val="7"/>
  </w:num>
  <w:num w:numId="13" w16cid:durableId="765922936">
    <w:abstractNumId w:val="9"/>
  </w:num>
  <w:num w:numId="14" w16cid:durableId="1446581187">
    <w:abstractNumId w:val="0"/>
  </w:num>
  <w:num w:numId="15" w16cid:durableId="1624850205">
    <w:abstractNumId w:val="4"/>
  </w:num>
  <w:num w:numId="16" w16cid:durableId="183255102">
    <w:abstractNumId w:val="17"/>
  </w:num>
  <w:num w:numId="17" w16cid:durableId="1178695969">
    <w:abstractNumId w:val="21"/>
  </w:num>
  <w:num w:numId="18" w16cid:durableId="945383091">
    <w:abstractNumId w:val="11"/>
  </w:num>
  <w:num w:numId="19" w16cid:durableId="1442528060">
    <w:abstractNumId w:val="16"/>
  </w:num>
  <w:num w:numId="20" w16cid:durableId="1987975767">
    <w:abstractNumId w:val="2"/>
  </w:num>
  <w:num w:numId="21" w16cid:durableId="1865364909">
    <w:abstractNumId w:val="12"/>
  </w:num>
  <w:num w:numId="22" w16cid:durableId="14806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49"/>
    <w:rsid w:val="0001334E"/>
    <w:rsid w:val="0001705F"/>
    <w:rsid w:val="00017E94"/>
    <w:rsid w:val="0002303A"/>
    <w:rsid w:val="000244A2"/>
    <w:rsid w:val="00030518"/>
    <w:rsid w:val="000307BE"/>
    <w:rsid w:val="00034F7E"/>
    <w:rsid w:val="000516E3"/>
    <w:rsid w:val="00052B62"/>
    <w:rsid w:val="0005506E"/>
    <w:rsid w:val="0005563C"/>
    <w:rsid w:val="00055973"/>
    <w:rsid w:val="00057C65"/>
    <w:rsid w:val="00067A68"/>
    <w:rsid w:val="00074DB3"/>
    <w:rsid w:val="00075002"/>
    <w:rsid w:val="0008440A"/>
    <w:rsid w:val="00084FDF"/>
    <w:rsid w:val="000876CA"/>
    <w:rsid w:val="00087B72"/>
    <w:rsid w:val="00096442"/>
    <w:rsid w:val="000973BB"/>
    <w:rsid w:val="00097C8F"/>
    <w:rsid w:val="000A1E9A"/>
    <w:rsid w:val="000A6915"/>
    <w:rsid w:val="000A6EF7"/>
    <w:rsid w:val="000B48B8"/>
    <w:rsid w:val="000B4EFE"/>
    <w:rsid w:val="000B5F4E"/>
    <w:rsid w:val="000C1174"/>
    <w:rsid w:val="000C21C9"/>
    <w:rsid w:val="000C29B1"/>
    <w:rsid w:val="000C4B6D"/>
    <w:rsid w:val="000C6C95"/>
    <w:rsid w:val="000D2ECC"/>
    <w:rsid w:val="000D2F93"/>
    <w:rsid w:val="000D3E7D"/>
    <w:rsid w:val="000D465A"/>
    <w:rsid w:val="000D4E0D"/>
    <w:rsid w:val="000D7D5D"/>
    <w:rsid w:val="000E13DB"/>
    <w:rsid w:val="000E3869"/>
    <w:rsid w:val="000E4D1B"/>
    <w:rsid w:val="000E5B52"/>
    <w:rsid w:val="000F23D8"/>
    <w:rsid w:val="000F5919"/>
    <w:rsid w:val="000F7C55"/>
    <w:rsid w:val="00100450"/>
    <w:rsid w:val="00100DEB"/>
    <w:rsid w:val="00105C57"/>
    <w:rsid w:val="00114D71"/>
    <w:rsid w:val="00115526"/>
    <w:rsid w:val="00116081"/>
    <w:rsid w:val="00116341"/>
    <w:rsid w:val="00117ADE"/>
    <w:rsid w:val="00121B52"/>
    <w:rsid w:val="00131525"/>
    <w:rsid w:val="00136040"/>
    <w:rsid w:val="00146201"/>
    <w:rsid w:val="001472C8"/>
    <w:rsid w:val="00150218"/>
    <w:rsid w:val="00155F4D"/>
    <w:rsid w:val="001612D1"/>
    <w:rsid w:val="001625F8"/>
    <w:rsid w:val="001703FC"/>
    <w:rsid w:val="00173369"/>
    <w:rsid w:val="00177C87"/>
    <w:rsid w:val="001853B1"/>
    <w:rsid w:val="00185D4B"/>
    <w:rsid w:val="00196CF7"/>
    <w:rsid w:val="00197E7A"/>
    <w:rsid w:val="001A0BA7"/>
    <w:rsid w:val="001A1003"/>
    <w:rsid w:val="001A11C1"/>
    <w:rsid w:val="001A470A"/>
    <w:rsid w:val="001A5239"/>
    <w:rsid w:val="001A6D48"/>
    <w:rsid w:val="001B01E3"/>
    <w:rsid w:val="001B1766"/>
    <w:rsid w:val="001B58F8"/>
    <w:rsid w:val="001C217E"/>
    <w:rsid w:val="001C458F"/>
    <w:rsid w:val="001C7346"/>
    <w:rsid w:val="001D2661"/>
    <w:rsid w:val="001D2EA8"/>
    <w:rsid w:val="001D709F"/>
    <w:rsid w:val="001E03B2"/>
    <w:rsid w:val="001E05D8"/>
    <w:rsid w:val="001E3089"/>
    <w:rsid w:val="001F3AAF"/>
    <w:rsid w:val="001F4113"/>
    <w:rsid w:val="00207545"/>
    <w:rsid w:val="0020795E"/>
    <w:rsid w:val="0021209D"/>
    <w:rsid w:val="00213451"/>
    <w:rsid w:val="002135D6"/>
    <w:rsid w:val="00213C1C"/>
    <w:rsid w:val="00213C74"/>
    <w:rsid w:val="00215CEC"/>
    <w:rsid w:val="0022201F"/>
    <w:rsid w:val="002276B1"/>
    <w:rsid w:val="00230A31"/>
    <w:rsid w:val="0023185B"/>
    <w:rsid w:val="00241059"/>
    <w:rsid w:val="00241291"/>
    <w:rsid w:val="00244AAD"/>
    <w:rsid w:val="00246E5D"/>
    <w:rsid w:val="00254E38"/>
    <w:rsid w:val="00262EE5"/>
    <w:rsid w:val="00263E7F"/>
    <w:rsid w:val="00263FFC"/>
    <w:rsid w:val="0026555E"/>
    <w:rsid w:val="00265E00"/>
    <w:rsid w:val="00271AB6"/>
    <w:rsid w:val="00280827"/>
    <w:rsid w:val="002815F4"/>
    <w:rsid w:val="00281A0E"/>
    <w:rsid w:val="00283C74"/>
    <w:rsid w:val="00284A47"/>
    <w:rsid w:val="00290B9C"/>
    <w:rsid w:val="002A40B8"/>
    <w:rsid w:val="002A5F0E"/>
    <w:rsid w:val="002C3468"/>
    <w:rsid w:val="002D0B54"/>
    <w:rsid w:val="002D1DCB"/>
    <w:rsid w:val="002D2D9C"/>
    <w:rsid w:val="002D4437"/>
    <w:rsid w:val="002D50F1"/>
    <w:rsid w:val="002D51CE"/>
    <w:rsid w:val="002D7533"/>
    <w:rsid w:val="002D7911"/>
    <w:rsid w:val="002E0B07"/>
    <w:rsid w:val="002E2078"/>
    <w:rsid w:val="002E4175"/>
    <w:rsid w:val="002E5138"/>
    <w:rsid w:val="002E54D2"/>
    <w:rsid w:val="002E7DCB"/>
    <w:rsid w:val="002F0470"/>
    <w:rsid w:val="00302C79"/>
    <w:rsid w:val="00305DDE"/>
    <w:rsid w:val="00306359"/>
    <w:rsid w:val="00324533"/>
    <w:rsid w:val="0032654B"/>
    <w:rsid w:val="0032704B"/>
    <w:rsid w:val="00330BB9"/>
    <w:rsid w:val="00334686"/>
    <w:rsid w:val="00334B01"/>
    <w:rsid w:val="0033503A"/>
    <w:rsid w:val="003363F1"/>
    <w:rsid w:val="00337194"/>
    <w:rsid w:val="00340119"/>
    <w:rsid w:val="00340352"/>
    <w:rsid w:val="00343C47"/>
    <w:rsid w:val="00345FED"/>
    <w:rsid w:val="0034606C"/>
    <w:rsid w:val="00350AFA"/>
    <w:rsid w:val="003558E8"/>
    <w:rsid w:val="00357112"/>
    <w:rsid w:val="0035739C"/>
    <w:rsid w:val="003643E7"/>
    <w:rsid w:val="003715A1"/>
    <w:rsid w:val="0037498A"/>
    <w:rsid w:val="00382653"/>
    <w:rsid w:val="00383D2C"/>
    <w:rsid w:val="003858EB"/>
    <w:rsid w:val="003A0310"/>
    <w:rsid w:val="003A3AF3"/>
    <w:rsid w:val="003B0F1E"/>
    <w:rsid w:val="003B5582"/>
    <w:rsid w:val="003B5A44"/>
    <w:rsid w:val="003C2FE8"/>
    <w:rsid w:val="003D1A41"/>
    <w:rsid w:val="003D42A4"/>
    <w:rsid w:val="003D5188"/>
    <w:rsid w:val="003E02F6"/>
    <w:rsid w:val="003E0863"/>
    <w:rsid w:val="003F00C6"/>
    <w:rsid w:val="003F3977"/>
    <w:rsid w:val="003F660E"/>
    <w:rsid w:val="00403144"/>
    <w:rsid w:val="00405369"/>
    <w:rsid w:val="0040743F"/>
    <w:rsid w:val="00407A3A"/>
    <w:rsid w:val="00407B95"/>
    <w:rsid w:val="00411D46"/>
    <w:rsid w:val="004129DB"/>
    <w:rsid w:val="004156E8"/>
    <w:rsid w:val="004166AD"/>
    <w:rsid w:val="00416A86"/>
    <w:rsid w:val="00421CAF"/>
    <w:rsid w:val="0042271D"/>
    <w:rsid w:val="004264C4"/>
    <w:rsid w:val="00451D1E"/>
    <w:rsid w:val="004561AD"/>
    <w:rsid w:val="00464BDF"/>
    <w:rsid w:val="0046567B"/>
    <w:rsid w:val="004700ED"/>
    <w:rsid w:val="004744BD"/>
    <w:rsid w:val="00476298"/>
    <w:rsid w:val="004801A0"/>
    <w:rsid w:val="00481C09"/>
    <w:rsid w:val="00490499"/>
    <w:rsid w:val="00491A03"/>
    <w:rsid w:val="00494FBD"/>
    <w:rsid w:val="00496715"/>
    <w:rsid w:val="004A1136"/>
    <w:rsid w:val="004A113F"/>
    <w:rsid w:val="004A43F2"/>
    <w:rsid w:val="004A57C1"/>
    <w:rsid w:val="004A75B1"/>
    <w:rsid w:val="004B1B4B"/>
    <w:rsid w:val="004B37D5"/>
    <w:rsid w:val="004B3DBD"/>
    <w:rsid w:val="004B4B98"/>
    <w:rsid w:val="004C19E2"/>
    <w:rsid w:val="004D2A9D"/>
    <w:rsid w:val="004D3F88"/>
    <w:rsid w:val="004D552E"/>
    <w:rsid w:val="004E260D"/>
    <w:rsid w:val="004E2693"/>
    <w:rsid w:val="004E374C"/>
    <w:rsid w:val="004E52C6"/>
    <w:rsid w:val="004E5B94"/>
    <w:rsid w:val="004F1993"/>
    <w:rsid w:val="004F63B2"/>
    <w:rsid w:val="00500747"/>
    <w:rsid w:val="00502757"/>
    <w:rsid w:val="00503304"/>
    <w:rsid w:val="0050576D"/>
    <w:rsid w:val="00512432"/>
    <w:rsid w:val="00512737"/>
    <w:rsid w:val="00513875"/>
    <w:rsid w:val="00520229"/>
    <w:rsid w:val="00527D2D"/>
    <w:rsid w:val="005362A8"/>
    <w:rsid w:val="005413E9"/>
    <w:rsid w:val="005463A8"/>
    <w:rsid w:val="0054711B"/>
    <w:rsid w:val="00552066"/>
    <w:rsid w:val="00553F4E"/>
    <w:rsid w:val="005546E4"/>
    <w:rsid w:val="0056148D"/>
    <w:rsid w:val="00573F52"/>
    <w:rsid w:val="005762B3"/>
    <w:rsid w:val="00584928"/>
    <w:rsid w:val="00586092"/>
    <w:rsid w:val="00593AC9"/>
    <w:rsid w:val="00595D0A"/>
    <w:rsid w:val="00596EC2"/>
    <w:rsid w:val="005A1B2F"/>
    <w:rsid w:val="005A25B6"/>
    <w:rsid w:val="005A328A"/>
    <w:rsid w:val="005A3CC2"/>
    <w:rsid w:val="005A453D"/>
    <w:rsid w:val="005A495E"/>
    <w:rsid w:val="005A6CC7"/>
    <w:rsid w:val="005B1069"/>
    <w:rsid w:val="005B1C1E"/>
    <w:rsid w:val="005B6CDC"/>
    <w:rsid w:val="005B6FAF"/>
    <w:rsid w:val="005C650D"/>
    <w:rsid w:val="005D0ED5"/>
    <w:rsid w:val="005D3253"/>
    <w:rsid w:val="005D3C8B"/>
    <w:rsid w:val="005D47EB"/>
    <w:rsid w:val="005D699A"/>
    <w:rsid w:val="005E374C"/>
    <w:rsid w:val="005E4493"/>
    <w:rsid w:val="005F6694"/>
    <w:rsid w:val="00600F82"/>
    <w:rsid w:val="006010FA"/>
    <w:rsid w:val="006051E9"/>
    <w:rsid w:val="00605AA4"/>
    <w:rsid w:val="00612FA4"/>
    <w:rsid w:val="00614026"/>
    <w:rsid w:val="0061753E"/>
    <w:rsid w:val="00623EC0"/>
    <w:rsid w:val="006245D9"/>
    <w:rsid w:val="00630666"/>
    <w:rsid w:val="00632A94"/>
    <w:rsid w:val="00633246"/>
    <w:rsid w:val="00633B82"/>
    <w:rsid w:val="006546A2"/>
    <w:rsid w:val="0065560E"/>
    <w:rsid w:val="006608B0"/>
    <w:rsid w:val="0066523B"/>
    <w:rsid w:val="00665F3E"/>
    <w:rsid w:val="00674F9F"/>
    <w:rsid w:val="006801D1"/>
    <w:rsid w:val="00686F93"/>
    <w:rsid w:val="00691014"/>
    <w:rsid w:val="0069460B"/>
    <w:rsid w:val="006961E0"/>
    <w:rsid w:val="006A0FC8"/>
    <w:rsid w:val="006A210E"/>
    <w:rsid w:val="006A580D"/>
    <w:rsid w:val="006B4D01"/>
    <w:rsid w:val="006B4EFB"/>
    <w:rsid w:val="006B53E3"/>
    <w:rsid w:val="006B614F"/>
    <w:rsid w:val="006B7D19"/>
    <w:rsid w:val="006C43A2"/>
    <w:rsid w:val="006C675D"/>
    <w:rsid w:val="006D198D"/>
    <w:rsid w:val="006E253D"/>
    <w:rsid w:val="006E62A6"/>
    <w:rsid w:val="006E6908"/>
    <w:rsid w:val="006F0BE7"/>
    <w:rsid w:val="006F3820"/>
    <w:rsid w:val="006F4DBC"/>
    <w:rsid w:val="006F5EF4"/>
    <w:rsid w:val="006F6083"/>
    <w:rsid w:val="00700978"/>
    <w:rsid w:val="00714D5F"/>
    <w:rsid w:val="00715FCD"/>
    <w:rsid w:val="00723DE8"/>
    <w:rsid w:val="0072490B"/>
    <w:rsid w:val="00725040"/>
    <w:rsid w:val="007270B4"/>
    <w:rsid w:val="0072736E"/>
    <w:rsid w:val="007308FB"/>
    <w:rsid w:val="00731CD9"/>
    <w:rsid w:val="00737416"/>
    <w:rsid w:val="00741F4A"/>
    <w:rsid w:val="00742089"/>
    <w:rsid w:val="0074319F"/>
    <w:rsid w:val="0074342F"/>
    <w:rsid w:val="00743C1F"/>
    <w:rsid w:val="00752AE9"/>
    <w:rsid w:val="00757DA0"/>
    <w:rsid w:val="00761CBE"/>
    <w:rsid w:val="007627D8"/>
    <w:rsid w:val="00764835"/>
    <w:rsid w:val="007727F8"/>
    <w:rsid w:val="0077475D"/>
    <w:rsid w:val="0077488A"/>
    <w:rsid w:val="00781427"/>
    <w:rsid w:val="00785729"/>
    <w:rsid w:val="00791457"/>
    <w:rsid w:val="007918AF"/>
    <w:rsid w:val="00791E63"/>
    <w:rsid w:val="00796E72"/>
    <w:rsid w:val="007A3FA3"/>
    <w:rsid w:val="007A6C63"/>
    <w:rsid w:val="007B0C5D"/>
    <w:rsid w:val="007C4F36"/>
    <w:rsid w:val="007C6B55"/>
    <w:rsid w:val="007D293E"/>
    <w:rsid w:val="007D683F"/>
    <w:rsid w:val="007D7DF2"/>
    <w:rsid w:val="007E1883"/>
    <w:rsid w:val="007E3650"/>
    <w:rsid w:val="007E366D"/>
    <w:rsid w:val="007E373C"/>
    <w:rsid w:val="007E3C23"/>
    <w:rsid w:val="007E499D"/>
    <w:rsid w:val="007E7FF0"/>
    <w:rsid w:val="007F17CF"/>
    <w:rsid w:val="007F2EFF"/>
    <w:rsid w:val="007F370C"/>
    <w:rsid w:val="007F49EF"/>
    <w:rsid w:val="007F72F5"/>
    <w:rsid w:val="00800F39"/>
    <w:rsid w:val="00803AFD"/>
    <w:rsid w:val="008145CC"/>
    <w:rsid w:val="008168A4"/>
    <w:rsid w:val="00817BFA"/>
    <w:rsid w:val="0082375A"/>
    <w:rsid w:val="00824A98"/>
    <w:rsid w:val="0082692D"/>
    <w:rsid w:val="00827593"/>
    <w:rsid w:val="00834178"/>
    <w:rsid w:val="00836C5C"/>
    <w:rsid w:val="00840ADA"/>
    <w:rsid w:val="00851C87"/>
    <w:rsid w:val="00852A2B"/>
    <w:rsid w:val="00854DCF"/>
    <w:rsid w:val="00854FBE"/>
    <w:rsid w:val="00855DD3"/>
    <w:rsid w:val="00864C1B"/>
    <w:rsid w:val="00865A18"/>
    <w:rsid w:val="00872BAE"/>
    <w:rsid w:val="0088054D"/>
    <w:rsid w:val="00881F90"/>
    <w:rsid w:val="00891D88"/>
    <w:rsid w:val="008956D0"/>
    <w:rsid w:val="008A0758"/>
    <w:rsid w:val="008A1C3F"/>
    <w:rsid w:val="008B0553"/>
    <w:rsid w:val="008B253F"/>
    <w:rsid w:val="008C59D1"/>
    <w:rsid w:val="008D03D3"/>
    <w:rsid w:val="008D56F5"/>
    <w:rsid w:val="008E1387"/>
    <w:rsid w:val="008E4C87"/>
    <w:rsid w:val="008E74C0"/>
    <w:rsid w:val="008F5747"/>
    <w:rsid w:val="009017DC"/>
    <w:rsid w:val="0090700B"/>
    <w:rsid w:val="00912FDC"/>
    <w:rsid w:val="0091509E"/>
    <w:rsid w:val="009170AD"/>
    <w:rsid w:val="009179FA"/>
    <w:rsid w:val="00921FF6"/>
    <w:rsid w:val="009254BF"/>
    <w:rsid w:val="00926161"/>
    <w:rsid w:val="00934960"/>
    <w:rsid w:val="009400F0"/>
    <w:rsid w:val="0094220E"/>
    <w:rsid w:val="00944BE0"/>
    <w:rsid w:val="00950B17"/>
    <w:rsid w:val="00957546"/>
    <w:rsid w:val="009614D8"/>
    <w:rsid w:val="009624E3"/>
    <w:rsid w:val="00962DC9"/>
    <w:rsid w:val="00967843"/>
    <w:rsid w:val="00971185"/>
    <w:rsid w:val="00972A2E"/>
    <w:rsid w:val="009746AB"/>
    <w:rsid w:val="00976715"/>
    <w:rsid w:val="00984429"/>
    <w:rsid w:val="00994A93"/>
    <w:rsid w:val="009967F4"/>
    <w:rsid w:val="009A14BF"/>
    <w:rsid w:val="009A616A"/>
    <w:rsid w:val="009A7C7D"/>
    <w:rsid w:val="009B2AFD"/>
    <w:rsid w:val="009B4EC2"/>
    <w:rsid w:val="009B5857"/>
    <w:rsid w:val="009C719C"/>
    <w:rsid w:val="009D12C5"/>
    <w:rsid w:val="009D1A0F"/>
    <w:rsid w:val="009D3F96"/>
    <w:rsid w:val="009D467D"/>
    <w:rsid w:val="009D604B"/>
    <w:rsid w:val="009E251B"/>
    <w:rsid w:val="009E3729"/>
    <w:rsid w:val="009E5784"/>
    <w:rsid w:val="009E7D16"/>
    <w:rsid w:val="009F3B2F"/>
    <w:rsid w:val="009F3F22"/>
    <w:rsid w:val="009F60A4"/>
    <w:rsid w:val="00A06624"/>
    <w:rsid w:val="00A06959"/>
    <w:rsid w:val="00A10DFB"/>
    <w:rsid w:val="00A13F7F"/>
    <w:rsid w:val="00A147F7"/>
    <w:rsid w:val="00A151B8"/>
    <w:rsid w:val="00A160E7"/>
    <w:rsid w:val="00A17635"/>
    <w:rsid w:val="00A17752"/>
    <w:rsid w:val="00A23402"/>
    <w:rsid w:val="00A263FC"/>
    <w:rsid w:val="00A26C9F"/>
    <w:rsid w:val="00A34777"/>
    <w:rsid w:val="00A363CB"/>
    <w:rsid w:val="00A41336"/>
    <w:rsid w:val="00A448C2"/>
    <w:rsid w:val="00A44D11"/>
    <w:rsid w:val="00A453F2"/>
    <w:rsid w:val="00A458AF"/>
    <w:rsid w:val="00A50C9F"/>
    <w:rsid w:val="00A51363"/>
    <w:rsid w:val="00A51F7F"/>
    <w:rsid w:val="00A53008"/>
    <w:rsid w:val="00A539A8"/>
    <w:rsid w:val="00A74831"/>
    <w:rsid w:val="00A74E97"/>
    <w:rsid w:val="00A75CE5"/>
    <w:rsid w:val="00A81F6C"/>
    <w:rsid w:val="00A87F96"/>
    <w:rsid w:val="00AA2D16"/>
    <w:rsid w:val="00AA2FD9"/>
    <w:rsid w:val="00AA4C36"/>
    <w:rsid w:val="00AA5ED5"/>
    <w:rsid w:val="00AB4C39"/>
    <w:rsid w:val="00AC2563"/>
    <w:rsid w:val="00AC2F61"/>
    <w:rsid w:val="00AC3CC0"/>
    <w:rsid w:val="00AD299A"/>
    <w:rsid w:val="00AD29F4"/>
    <w:rsid w:val="00AD36A9"/>
    <w:rsid w:val="00AD390F"/>
    <w:rsid w:val="00AD3B76"/>
    <w:rsid w:val="00AE2236"/>
    <w:rsid w:val="00AF52FA"/>
    <w:rsid w:val="00B07BCA"/>
    <w:rsid w:val="00B126A3"/>
    <w:rsid w:val="00B149DE"/>
    <w:rsid w:val="00B16EBA"/>
    <w:rsid w:val="00B17D88"/>
    <w:rsid w:val="00B23330"/>
    <w:rsid w:val="00B27B22"/>
    <w:rsid w:val="00B3629F"/>
    <w:rsid w:val="00B40492"/>
    <w:rsid w:val="00B41B86"/>
    <w:rsid w:val="00B4621C"/>
    <w:rsid w:val="00B50B59"/>
    <w:rsid w:val="00B54A88"/>
    <w:rsid w:val="00B57A71"/>
    <w:rsid w:val="00B65669"/>
    <w:rsid w:val="00B73A30"/>
    <w:rsid w:val="00B73C81"/>
    <w:rsid w:val="00B73DF5"/>
    <w:rsid w:val="00B80FF3"/>
    <w:rsid w:val="00B87784"/>
    <w:rsid w:val="00B9299B"/>
    <w:rsid w:val="00B93992"/>
    <w:rsid w:val="00B944BE"/>
    <w:rsid w:val="00B96F81"/>
    <w:rsid w:val="00BA0A17"/>
    <w:rsid w:val="00BA182A"/>
    <w:rsid w:val="00BA2327"/>
    <w:rsid w:val="00BA35E6"/>
    <w:rsid w:val="00BA4822"/>
    <w:rsid w:val="00BA7D89"/>
    <w:rsid w:val="00BB1334"/>
    <w:rsid w:val="00BB4831"/>
    <w:rsid w:val="00BC2370"/>
    <w:rsid w:val="00BC5930"/>
    <w:rsid w:val="00BC6AD8"/>
    <w:rsid w:val="00BD1422"/>
    <w:rsid w:val="00BD3C24"/>
    <w:rsid w:val="00BD4BB4"/>
    <w:rsid w:val="00BD51A5"/>
    <w:rsid w:val="00BE47A6"/>
    <w:rsid w:val="00BF1772"/>
    <w:rsid w:val="00BF5C5D"/>
    <w:rsid w:val="00C00CC9"/>
    <w:rsid w:val="00C03766"/>
    <w:rsid w:val="00C04F03"/>
    <w:rsid w:val="00C15CEC"/>
    <w:rsid w:val="00C17004"/>
    <w:rsid w:val="00C20037"/>
    <w:rsid w:val="00C22E23"/>
    <w:rsid w:val="00C25669"/>
    <w:rsid w:val="00C301B1"/>
    <w:rsid w:val="00C311B2"/>
    <w:rsid w:val="00C332C8"/>
    <w:rsid w:val="00C3501C"/>
    <w:rsid w:val="00C35082"/>
    <w:rsid w:val="00C36DA8"/>
    <w:rsid w:val="00C4400D"/>
    <w:rsid w:val="00C45439"/>
    <w:rsid w:val="00C45517"/>
    <w:rsid w:val="00C45F6D"/>
    <w:rsid w:val="00C53695"/>
    <w:rsid w:val="00C661B5"/>
    <w:rsid w:val="00C7038C"/>
    <w:rsid w:val="00C70FD6"/>
    <w:rsid w:val="00C74065"/>
    <w:rsid w:val="00C86EB4"/>
    <w:rsid w:val="00C875EF"/>
    <w:rsid w:val="00C92B31"/>
    <w:rsid w:val="00C93DA4"/>
    <w:rsid w:val="00C93FF3"/>
    <w:rsid w:val="00C940B4"/>
    <w:rsid w:val="00C9651B"/>
    <w:rsid w:val="00C97287"/>
    <w:rsid w:val="00C97461"/>
    <w:rsid w:val="00CA3716"/>
    <w:rsid w:val="00CB129F"/>
    <w:rsid w:val="00CB535E"/>
    <w:rsid w:val="00CB5883"/>
    <w:rsid w:val="00CC1A01"/>
    <w:rsid w:val="00CC326B"/>
    <w:rsid w:val="00CC33D0"/>
    <w:rsid w:val="00CC67C5"/>
    <w:rsid w:val="00CD0ADE"/>
    <w:rsid w:val="00CD1B16"/>
    <w:rsid w:val="00CD6E63"/>
    <w:rsid w:val="00CE4175"/>
    <w:rsid w:val="00CE5292"/>
    <w:rsid w:val="00CF16A0"/>
    <w:rsid w:val="00CF2C8A"/>
    <w:rsid w:val="00CF6796"/>
    <w:rsid w:val="00D018A2"/>
    <w:rsid w:val="00D07C74"/>
    <w:rsid w:val="00D07EF2"/>
    <w:rsid w:val="00D16CA7"/>
    <w:rsid w:val="00D17418"/>
    <w:rsid w:val="00D213B1"/>
    <w:rsid w:val="00D22A85"/>
    <w:rsid w:val="00D23DB8"/>
    <w:rsid w:val="00D2720E"/>
    <w:rsid w:val="00D33DC9"/>
    <w:rsid w:val="00D36050"/>
    <w:rsid w:val="00D4008D"/>
    <w:rsid w:val="00D4753F"/>
    <w:rsid w:val="00D53615"/>
    <w:rsid w:val="00D64816"/>
    <w:rsid w:val="00D727AB"/>
    <w:rsid w:val="00D857B7"/>
    <w:rsid w:val="00D86E09"/>
    <w:rsid w:val="00D90859"/>
    <w:rsid w:val="00D91345"/>
    <w:rsid w:val="00D92162"/>
    <w:rsid w:val="00DA2148"/>
    <w:rsid w:val="00DA3E76"/>
    <w:rsid w:val="00DA4628"/>
    <w:rsid w:val="00DA50C7"/>
    <w:rsid w:val="00DB0580"/>
    <w:rsid w:val="00DB082B"/>
    <w:rsid w:val="00DB0851"/>
    <w:rsid w:val="00DB2113"/>
    <w:rsid w:val="00DB37C3"/>
    <w:rsid w:val="00DB70E7"/>
    <w:rsid w:val="00DB7FA4"/>
    <w:rsid w:val="00DC2331"/>
    <w:rsid w:val="00DD0E7A"/>
    <w:rsid w:val="00DD36DA"/>
    <w:rsid w:val="00DD4440"/>
    <w:rsid w:val="00DE1CEB"/>
    <w:rsid w:val="00DE4C61"/>
    <w:rsid w:val="00DE4CA6"/>
    <w:rsid w:val="00E01812"/>
    <w:rsid w:val="00E11F3A"/>
    <w:rsid w:val="00E15AC3"/>
    <w:rsid w:val="00E1638F"/>
    <w:rsid w:val="00E17E28"/>
    <w:rsid w:val="00E17F16"/>
    <w:rsid w:val="00E20321"/>
    <w:rsid w:val="00E21B3F"/>
    <w:rsid w:val="00E27B8E"/>
    <w:rsid w:val="00E31BDA"/>
    <w:rsid w:val="00E37CB4"/>
    <w:rsid w:val="00E41089"/>
    <w:rsid w:val="00E42ABD"/>
    <w:rsid w:val="00E51550"/>
    <w:rsid w:val="00E67B29"/>
    <w:rsid w:val="00E75F20"/>
    <w:rsid w:val="00E76F03"/>
    <w:rsid w:val="00E82D29"/>
    <w:rsid w:val="00E83457"/>
    <w:rsid w:val="00E83E20"/>
    <w:rsid w:val="00E84376"/>
    <w:rsid w:val="00E846B6"/>
    <w:rsid w:val="00E8778D"/>
    <w:rsid w:val="00E90B4E"/>
    <w:rsid w:val="00E97E8C"/>
    <w:rsid w:val="00EA1A69"/>
    <w:rsid w:val="00EA296E"/>
    <w:rsid w:val="00EA38E9"/>
    <w:rsid w:val="00EA5632"/>
    <w:rsid w:val="00EB41EE"/>
    <w:rsid w:val="00EB44A9"/>
    <w:rsid w:val="00EB52F9"/>
    <w:rsid w:val="00EC191B"/>
    <w:rsid w:val="00EC3C5B"/>
    <w:rsid w:val="00ED0A8A"/>
    <w:rsid w:val="00ED154E"/>
    <w:rsid w:val="00ED2E52"/>
    <w:rsid w:val="00ED60A9"/>
    <w:rsid w:val="00EE0235"/>
    <w:rsid w:val="00EE30F8"/>
    <w:rsid w:val="00EE4757"/>
    <w:rsid w:val="00EF0AFE"/>
    <w:rsid w:val="00EF48A6"/>
    <w:rsid w:val="00EF5FA6"/>
    <w:rsid w:val="00EF6A49"/>
    <w:rsid w:val="00F00B77"/>
    <w:rsid w:val="00F02BD7"/>
    <w:rsid w:val="00F06FCC"/>
    <w:rsid w:val="00F12D7C"/>
    <w:rsid w:val="00F154BA"/>
    <w:rsid w:val="00F1571F"/>
    <w:rsid w:val="00F16FBA"/>
    <w:rsid w:val="00F25F45"/>
    <w:rsid w:val="00F30413"/>
    <w:rsid w:val="00F337AA"/>
    <w:rsid w:val="00F3750B"/>
    <w:rsid w:val="00F37EDC"/>
    <w:rsid w:val="00F4301E"/>
    <w:rsid w:val="00F50B98"/>
    <w:rsid w:val="00F563ED"/>
    <w:rsid w:val="00F612AF"/>
    <w:rsid w:val="00F63A7E"/>
    <w:rsid w:val="00F63DF2"/>
    <w:rsid w:val="00F66ABF"/>
    <w:rsid w:val="00F67FA9"/>
    <w:rsid w:val="00F713A0"/>
    <w:rsid w:val="00F7364B"/>
    <w:rsid w:val="00F74675"/>
    <w:rsid w:val="00F75629"/>
    <w:rsid w:val="00F80C7C"/>
    <w:rsid w:val="00F85E21"/>
    <w:rsid w:val="00F90B48"/>
    <w:rsid w:val="00F91592"/>
    <w:rsid w:val="00F9385C"/>
    <w:rsid w:val="00F974CB"/>
    <w:rsid w:val="00FA18B5"/>
    <w:rsid w:val="00FB06A6"/>
    <w:rsid w:val="00FC61DC"/>
    <w:rsid w:val="00FD0787"/>
    <w:rsid w:val="00FD3B25"/>
    <w:rsid w:val="00FD6403"/>
    <w:rsid w:val="00FE0E5C"/>
    <w:rsid w:val="00FE29E9"/>
    <w:rsid w:val="00FE3C4F"/>
    <w:rsid w:val="00FE5AAD"/>
    <w:rsid w:val="00FF04B8"/>
    <w:rsid w:val="00FF0CC0"/>
    <w:rsid w:val="1409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95D04"/>
  <w15:docId w15:val="{9692491F-E96C-4A77-92F2-3DC1BA76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s>
      <w:ind w:left="3600" w:hanging="3600"/>
    </w:pPr>
    <w:rPr>
      <w:snapToGrid w:val="0"/>
    </w:rPr>
  </w:style>
  <w:style w:type="paragraph" w:styleId="BalloonText">
    <w:name w:val="Balloon Text"/>
    <w:basedOn w:val="Normal"/>
    <w:semiHidden/>
    <w:rsid w:val="001A0BA7"/>
    <w:rPr>
      <w:rFonts w:ascii="Tahoma" w:hAnsi="Tahoma" w:cs="Tahoma"/>
      <w:sz w:val="16"/>
      <w:szCs w:val="16"/>
    </w:rPr>
  </w:style>
  <w:style w:type="table" w:styleId="TableGrid">
    <w:name w:val="Table Grid"/>
    <w:basedOn w:val="TableNormal"/>
    <w:rsid w:val="004E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5ED5"/>
  </w:style>
  <w:style w:type="character" w:customStyle="1" w:styleId="HeaderChar">
    <w:name w:val="Header Char"/>
    <w:link w:val="Header"/>
    <w:uiPriority w:val="99"/>
    <w:rsid w:val="00D213B1"/>
    <w:rPr>
      <w:sz w:val="24"/>
    </w:rPr>
  </w:style>
  <w:style w:type="character" w:customStyle="1" w:styleId="Document8">
    <w:name w:val="Document 8"/>
    <w:basedOn w:val="DefaultParagraphFont"/>
    <w:rsid w:val="007F49EF"/>
  </w:style>
  <w:style w:type="character" w:styleId="CommentReference">
    <w:name w:val="annotation reference"/>
    <w:uiPriority w:val="99"/>
    <w:rsid w:val="00686F93"/>
    <w:rPr>
      <w:sz w:val="16"/>
      <w:szCs w:val="16"/>
    </w:rPr>
  </w:style>
  <w:style w:type="paragraph" w:styleId="CommentText">
    <w:name w:val="annotation text"/>
    <w:basedOn w:val="Normal"/>
    <w:link w:val="CommentTextChar"/>
    <w:uiPriority w:val="99"/>
    <w:rsid w:val="00686F93"/>
    <w:rPr>
      <w:sz w:val="20"/>
    </w:rPr>
  </w:style>
  <w:style w:type="character" w:customStyle="1" w:styleId="CommentTextChar">
    <w:name w:val="Comment Text Char"/>
    <w:basedOn w:val="DefaultParagraphFont"/>
    <w:link w:val="CommentText"/>
    <w:uiPriority w:val="99"/>
    <w:rsid w:val="00686F93"/>
  </w:style>
  <w:style w:type="paragraph" w:styleId="CommentSubject">
    <w:name w:val="annotation subject"/>
    <w:basedOn w:val="CommentText"/>
    <w:next w:val="CommentText"/>
    <w:link w:val="CommentSubjectChar"/>
    <w:rsid w:val="009017DC"/>
    <w:rPr>
      <w:b/>
      <w:bCs/>
    </w:rPr>
  </w:style>
  <w:style w:type="character" w:customStyle="1" w:styleId="CommentSubjectChar">
    <w:name w:val="Comment Subject Char"/>
    <w:link w:val="CommentSubject"/>
    <w:rsid w:val="009017DC"/>
    <w:rPr>
      <w:b/>
      <w:bCs/>
    </w:rPr>
  </w:style>
  <w:style w:type="paragraph" w:styleId="Revision">
    <w:name w:val="Revision"/>
    <w:hidden/>
    <w:uiPriority w:val="99"/>
    <w:semiHidden/>
    <w:rsid w:val="002D2D9C"/>
    <w:rPr>
      <w:sz w:val="24"/>
    </w:rPr>
  </w:style>
  <w:style w:type="paragraph" w:styleId="ListParagraph">
    <w:name w:val="List Paragraph"/>
    <w:basedOn w:val="Normal"/>
    <w:uiPriority w:val="34"/>
    <w:qFormat/>
    <w:rsid w:val="004744BD"/>
    <w:pPr>
      <w:ind w:left="720"/>
    </w:pPr>
  </w:style>
  <w:style w:type="character" w:customStyle="1" w:styleId="PlainTextChar">
    <w:name w:val="Plain Text Char"/>
    <w:link w:val="PlainText"/>
    <w:rsid w:val="00994A93"/>
    <w:rPr>
      <w:rFonts w:ascii="Courier New" w:hAnsi="Courier New"/>
    </w:rPr>
  </w:style>
  <w:style w:type="character" w:styleId="Emphasis">
    <w:name w:val="Emphasis"/>
    <w:uiPriority w:val="20"/>
    <w:qFormat/>
    <w:rsid w:val="00B944BE"/>
    <w:rPr>
      <w:i/>
      <w:iCs/>
    </w:rPr>
  </w:style>
  <w:style w:type="character" w:customStyle="1" w:styleId="FooterChar">
    <w:name w:val="Footer Char"/>
    <w:link w:val="Footer"/>
    <w:uiPriority w:val="99"/>
    <w:rsid w:val="005D32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274">
      <w:bodyDiv w:val="1"/>
      <w:marLeft w:val="0"/>
      <w:marRight w:val="0"/>
      <w:marTop w:val="0"/>
      <w:marBottom w:val="0"/>
      <w:divBdr>
        <w:top w:val="none" w:sz="0" w:space="0" w:color="auto"/>
        <w:left w:val="none" w:sz="0" w:space="0" w:color="auto"/>
        <w:bottom w:val="none" w:sz="0" w:space="0" w:color="auto"/>
        <w:right w:val="none" w:sz="0" w:space="0" w:color="auto"/>
      </w:divBdr>
    </w:div>
    <w:div w:id="62802807">
      <w:bodyDiv w:val="1"/>
      <w:marLeft w:val="0"/>
      <w:marRight w:val="0"/>
      <w:marTop w:val="0"/>
      <w:marBottom w:val="0"/>
      <w:divBdr>
        <w:top w:val="none" w:sz="0" w:space="0" w:color="auto"/>
        <w:left w:val="none" w:sz="0" w:space="0" w:color="auto"/>
        <w:bottom w:val="none" w:sz="0" w:space="0" w:color="auto"/>
        <w:right w:val="none" w:sz="0" w:space="0" w:color="auto"/>
      </w:divBdr>
    </w:div>
    <w:div w:id="87313782">
      <w:bodyDiv w:val="1"/>
      <w:marLeft w:val="0"/>
      <w:marRight w:val="0"/>
      <w:marTop w:val="0"/>
      <w:marBottom w:val="0"/>
      <w:divBdr>
        <w:top w:val="none" w:sz="0" w:space="0" w:color="auto"/>
        <w:left w:val="none" w:sz="0" w:space="0" w:color="auto"/>
        <w:bottom w:val="none" w:sz="0" w:space="0" w:color="auto"/>
        <w:right w:val="none" w:sz="0" w:space="0" w:color="auto"/>
      </w:divBdr>
    </w:div>
    <w:div w:id="97482976">
      <w:bodyDiv w:val="1"/>
      <w:marLeft w:val="0"/>
      <w:marRight w:val="0"/>
      <w:marTop w:val="0"/>
      <w:marBottom w:val="0"/>
      <w:divBdr>
        <w:top w:val="none" w:sz="0" w:space="0" w:color="auto"/>
        <w:left w:val="none" w:sz="0" w:space="0" w:color="auto"/>
        <w:bottom w:val="none" w:sz="0" w:space="0" w:color="auto"/>
        <w:right w:val="none" w:sz="0" w:space="0" w:color="auto"/>
      </w:divBdr>
    </w:div>
    <w:div w:id="117847199">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196084532">
      <w:bodyDiv w:val="1"/>
      <w:marLeft w:val="0"/>
      <w:marRight w:val="0"/>
      <w:marTop w:val="0"/>
      <w:marBottom w:val="0"/>
      <w:divBdr>
        <w:top w:val="none" w:sz="0" w:space="0" w:color="auto"/>
        <w:left w:val="none" w:sz="0" w:space="0" w:color="auto"/>
        <w:bottom w:val="none" w:sz="0" w:space="0" w:color="auto"/>
        <w:right w:val="none" w:sz="0" w:space="0" w:color="auto"/>
      </w:divBdr>
    </w:div>
    <w:div w:id="232008527">
      <w:bodyDiv w:val="1"/>
      <w:marLeft w:val="0"/>
      <w:marRight w:val="0"/>
      <w:marTop w:val="0"/>
      <w:marBottom w:val="0"/>
      <w:divBdr>
        <w:top w:val="none" w:sz="0" w:space="0" w:color="auto"/>
        <w:left w:val="none" w:sz="0" w:space="0" w:color="auto"/>
        <w:bottom w:val="none" w:sz="0" w:space="0" w:color="auto"/>
        <w:right w:val="none" w:sz="0" w:space="0" w:color="auto"/>
      </w:divBdr>
    </w:div>
    <w:div w:id="247932633">
      <w:bodyDiv w:val="1"/>
      <w:marLeft w:val="0"/>
      <w:marRight w:val="0"/>
      <w:marTop w:val="0"/>
      <w:marBottom w:val="0"/>
      <w:divBdr>
        <w:top w:val="none" w:sz="0" w:space="0" w:color="auto"/>
        <w:left w:val="none" w:sz="0" w:space="0" w:color="auto"/>
        <w:bottom w:val="none" w:sz="0" w:space="0" w:color="auto"/>
        <w:right w:val="none" w:sz="0" w:space="0" w:color="auto"/>
      </w:divBdr>
    </w:div>
    <w:div w:id="256913449">
      <w:bodyDiv w:val="1"/>
      <w:marLeft w:val="0"/>
      <w:marRight w:val="0"/>
      <w:marTop w:val="0"/>
      <w:marBottom w:val="0"/>
      <w:divBdr>
        <w:top w:val="none" w:sz="0" w:space="0" w:color="auto"/>
        <w:left w:val="none" w:sz="0" w:space="0" w:color="auto"/>
        <w:bottom w:val="none" w:sz="0" w:space="0" w:color="auto"/>
        <w:right w:val="none" w:sz="0" w:space="0" w:color="auto"/>
      </w:divBdr>
    </w:div>
    <w:div w:id="273443838">
      <w:bodyDiv w:val="1"/>
      <w:marLeft w:val="0"/>
      <w:marRight w:val="0"/>
      <w:marTop w:val="0"/>
      <w:marBottom w:val="0"/>
      <w:divBdr>
        <w:top w:val="none" w:sz="0" w:space="0" w:color="auto"/>
        <w:left w:val="none" w:sz="0" w:space="0" w:color="auto"/>
        <w:bottom w:val="none" w:sz="0" w:space="0" w:color="auto"/>
        <w:right w:val="none" w:sz="0" w:space="0" w:color="auto"/>
      </w:divBdr>
    </w:div>
    <w:div w:id="278999922">
      <w:bodyDiv w:val="1"/>
      <w:marLeft w:val="0"/>
      <w:marRight w:val="0"/>
      <w:marTop w:val="0"/>
      <w:marBottom w:val="0"/>
      <w:divBdr>
        <w:top w:val="none" w:sz="0" w:space="0" w:color="auto"/>
        <w:left w:val="none" w:sz="0" w:space="0" w:color="auto"/>
        <w:bottom w:val="none" w:sz="0" w:space="0" w:color="auto"/>
        <w:right w:val="none" w:sz="0" w:space="0" w:color="auto"/>
      </w:divBdr>
    </w:div>
    <w:div w:id="315763921">
      <w:bodyDiv w:val="1"/>
      <w:marLeft w:val="0"/>
      <w:marRight w:val="0"/>
      <w:marTop w:val="0"/>
      <w:marBottom w:val="0"/>
      <w:divBdr>
        <w:top w:val="none" w:sz="0" w:space="0" w:color="auto"/>
        <w:left w:val="none" w:sz="0" w:space="0" w:color="auto"/>
        <w:bottom w:val="none" w:sz="0" w:space="0" w:color="auto"/>
        <w:right w:val="none" w:sz="0" w:space="0" w:color="auto"/>
      </w:divBdr>
    </w:div>
    <w:div w:id="333266844">
      <w:bodyDiv w:val="1"/>
      <w:marLeft w:val="0"/>
      <w:marRight w:val="0"/>
      <w:marTop w:val="0"/>
      <w:marBottom w:val="0"/>
      <w:divBdr>
        <w:top w:val="none" w:sz="0" w:space="0" w:color="auto"/>
        <w:left w:val="none" w:sz="0" w:space="0" w:color="auto"/>
        <w:bottom w:val="none" w:sz="0" w:space="0" w:color="auto"/>
        <w:right w:val="none" w:sz="0" w:space="0" w:color="auto"/>
      </w:divBdr>
    </w:div>
    <w:div w:id="342435531">
      <w:bodyDiv w:val="1"/>
      <w:marLeft w:val="0"/>
      <w:marRight w:val="0"/>
      <w:marTop w:val="0"/>
      <w:marBottom w:val="0"/>
      <w:divBdr>
        <w:top w:val="none" w:sz="0" w:space="0" w:color="auto"/>
        <w:left w:val="none" w:sz="0" w:space="0" w:color="auto"/>
        <w:bottom w:val="none" w:sz="0" w:space="0" w:color="auto"/>
        <w:right w:val="none" w:sz="0" w:space="0" w:color="auto"/>
      </w:divBdr>
    </w:div>
    <w:div w:id="352809113">
      <w:bodyDiv w:val="1"/>
      <w:marLeft w:val="0"/>
      <w:marRight w:val="0"/>
      <w:marTop w:val="0"/>
      <w:marBottom w:val="0"/>
      <w:divBdr>
        <w:top w:val="none" w:sz="0" w:space="0" w:color="auto"/>
        <w:left w:val="none" w:sz="0" w:space="0" w:color="auto"/>
        <w:bottom w:val="none" w:sz="0" w:space="0" w:color="auto"/>
        <w:right w:val="none" w:sz="0" w:space="0" w:color="auto"/>
      </w:divBdr>
    </w:div>
    <w:div w:id="427045902">
      <w:bodyDiv w:val="1"/>
      <w:marLeft w:val="0"/>
      <w:marRight w:val="0"/>
      <w:marTop w:val="0"/>
      <w:marBottom w:val="0"/>
      <w:divBdr>
        <w:top w:val="none" w:sz="0" w:space="0" w:color="auto"/>
        <w:left w:val="none" w:sz="0" w:space="0" w:color="auto"/>
        <w:bottom w:val="none" w:sz="0" w:space="0" w:color="auto"/>
        <w:right w:val="none" w:sz="0" w:space="0" w:color="auto"/>
      </w:divBdr>
    </w:div>
    <w:div w:id="491258658">
      <w:bodyDiv w:val="1"/>
      <w:marLeft w:val="0"/>
      <w:marRight w:val="0"/>
      <w:marTop w:val="0"/>
      <w:marBottom w:val="0"/>
      <w:divBdr>
        <w:top w:val="none" w:sz="0" w:space="0" w:color="auto"/>
        <w:left w:val="none" w:sz="0" w:space="0" w:color="auto"/>
        <w:bottom w:val="none" w:sz="0" w:space="0" w:color="auto"/>
        <w:right w:val="none" w:sz="0" w:space="0" w:color="auto"/>
      </w:divBdr>
    </w:div>
    <w:div w:id="557326508">
      <w:bodyDiv w:val="1"/>
      <w:marLeft w:val="0"/>
      <w:marRight w:val="0"/>
      <w:marTop w:val="0"/>
      <w:marBottom w:val="0"/>
      <w:divBdr>
        <w:top w:val="none" w:sz="0" w:space="0" w:color="auto"/>
        <w:left w:val="none" w:sz="0" w:space="0" w:color="auto"/>
        <w:bottom w:val="none" w:sz="0" w:space="0" w:color="auto"/>
        <w:right w:val="none" w:sz="0" w:space="0" w:color="auto"/>
      </w:divBdr>
    </w:div>
    <w:div w:id="574827986">
      <w:bodyDiv w:val="1"/>
      <w:marLeft w:val="0"/>
      <w:marRight w:val="0"/>
      <w:marTop w:val="0"/>
      <w:marBottom w:val="0"/>
      <w:divBdr>
        <w:top w:val="none" w:sz="0" w:space="0" w:color="auto"/>
        <w:left w:val="none" w:sz="0" w:space="0" w:color="auto"/>
        <w:bottom w:val="none" w:sz="0" w:space="0" w:color="auto"/>
        <w:right w:val="none" w:sz="0" w:space="0" w:color="auto"/>
      </w:divBdr>
    </w:div>
    <w:div w:id="616982450">
      <w:bodyDiv w:val="1"/>
      <w:marLeft w:val="0"/>
      <w:marRight w:val="0"/>
      <w:marTop w:val="0"/>
      <w:marBottom w:val="0"/>
      <w:divBdr>
        <w:top w:val="none" w:sz="0" w:space="0" w:color="auto"/>
        <w:left w:val="none" w:sz="0" w:space="0" w:color="auto"/>
        <w:bottom w:val="none" w:sz="0" w:space="0" w:color="auto"/>
        <w:right w:val="none" w:sz="0" w:space="0" w:color="auto"/>
      </w:divBdr>
    </w:div>
    <w:div w:id="707876104">
      <w:bodyDiv w:val="1"/>
      <w:marLeft w:val="0"/>
      <w:marRight w:val="0"/>
      <w:marTop w:val="0"/>
      <w:marBottom w:val="0"/>
      <w:divBdr>
        <w:top w:val="none" w:sz="0" w:space="0" w:color="auto"/>
        <w:left w:val="none" w:sz="0" w:space="0" w:color="auto"/>
        <w:bottom w:val="none" w:sz="0" w:space="0" w:color="auto"/>
        <w:right w:val="none" w:sz="0" w:space="0" w:color="auto"/>
      </w:divBdr>
    </w:div>
    <w:div w:id="732310022">
      <w:bodyDiv w:val="1"/>
      <w:marLeft w:val="0"/>
      <w:marRight w:val="0"/>
      <w:marTop w:val="0"/>
      <w:marBottom w:val="0"/>
      <w:divBdr>
        <w:top w:val="none" w:sz="0" w:space="0" w:color="auto"/>
        <w:left w:val="none" w:sz="0" w:space="0" w:color="auto"/>
        <w:bottom w:val="none" w:sz="0" w:space="0" w:color="auto"/>
        <w:right w:val="none" w:sz="0" w:space="0" w:color="auto"/>
      </w:divBdr>
    </w:div>
    <w:div w:id="818955649">
      <w:bodyDiv w:val="1"/>
      <w:marLeft w:val="0"/>
      <w:marRight w:val="0"/>
      <w:marTop w:val="0"/>
      <w:marBottom w:val="0"/>
      <w:divBdr>
        <w:top w:val="none" w:sz="0" w:space="0" w:color="auto"/>
        <w:left w:val="none" w:sz="0" w:space="0" w:color="auto"/>
        <w:bottom w:val="none" w:sz="0" w:space="0" w:color="auto"/>
        <w:right w:val="none" w:sz="0" w:space="0" w:color="auto"/>
      </w:divBdr>
    </w:div>
    <w:div w:id="874385203">
      <w:bodyDiv w:val="1"/>
      <w:marLeft w:val="0"/>
      <w:marRight w:val="0"/>
      <w:marTop w:val="0"/>
      <w:marBottom w:val="0"/>
      <w:divBdr>
        <w:top w:val="none" w:sz="0" w:space="0" w:color="auto"/>
        <w:left w:val="none" w:sz="0" w:space="0" w:color="auto"/>
        <w:bottom w:val="none" w:sz="0" w:space="0" w:color="auto"/>
        <w:right w:val="none" w:sz="0" w:space="0" w:color="auto"/>
      </w:divBdr>
    </w:div>
    <w:div w:id="879904313">
      <w:bodyDiv w:val="1"/>
      <w:marLeft w:val="0"/>
      <w:marRight w:val="0"/>
      <w:marTop w:val="0"/>
      <w:marBottom w:val="0"/>
      <w:divBdr>
        <w:top w:val="none" w:sz="0" w:space="0" w:color="auto"/>
        <w:left w:val="none" w:sz="0" w:space="0" w:color="auto"/>
        <w:bottom w:val="none" w:sz="0" w:space="0" w:color="auto"/>
        <w:right w:val="none" w:sz="0" w:space="0" w:color="auto"/>
      </w:divBdr>
    </w:div>
    <w:div w:id="887716630">
      <w:bodyDiv w:val="1"/>
      <w:marLeft w:val="0"/>
      <w:marRight w:val="0"/>
      <w:marTop w:val="0"/>
      <w:marBottom w:val="0"/>
      <w:divBdr>
        <w:top w:val="none" w:sz="0" w:space="0" w:color="auto"/>
        <w:left w:val="none" w:sz="0" w:space="0" w:color="auto"/>
        <w:bottom w:val="none" w:sz="0" w:space="0" w:color="auto"/>
        <w:right w:val="none" w:sz="0" w:space="0" w:color="auto"/>
      </w:divBdr>
    </w:div>
    <w:div w:id="888568915">
      <w:bodyDiv w:val="1"/>
      <w:marLeft w:val="0"/>
      <w:marRight w:val="0"/>
      <w:marTop w:val="0"/>
      <w:marBottom w:val="0"/>
      <w:divBdr>
        <w:top w:val="none" w:sz="0" w:space="0" w:color="auto"/>
        <w:left w:val="none" w:sz="0" w:space="0" w:color="auto"/>
        <w:bottom w:val="none" w:sz="0" w:space="0" w:color="auto"/>
        <w:right w:val="none" w:sz="0" w:space="0" w:color="auto"/>
      </w:divBdr>
    </w:div>
    <w:div w:id="925112940">
      <w:bodyDiv w:val="1"/>
      <w:marLeft w:val="0"/>
      <w:marRight w:val="0"/>
      <w:marTop w:val="0"/>
      <w:marBottom w:val="0"/>
      <w:divBdr>
        <w:top w:val="none" w:sz="0" w:space="0" w:color="auto"/>
        <w:left w:val="none" w:sz="0" w:space="0" w:color="auto"/>
        <w:bottom w:val="none" w:sz="0" w:space="0" w:color="auto"/>
        <w:right w:val="none" w:sz="0" w:space="0" w:color="auto"/>
      </w:divBdr>
    </w:div>
    <w:div w:id="944921229">
      <w:bodyDiv w:val="1"/>
      <w:marLeft w:val="0"/>
      <w:marRight w:val="0"/>
      <w:marTop w:val="0"/>
      <w:marBottom w:val="0"/>
      <w:divBdr>
        <w:top w:val="none" w:sz="0" w:space="0" w:color="auto"/>
        <w:left w:val="none" w:sz="0" w:space="0" w:color="auto"/>
        <w:bottom w:val="none" w:sz="0" w:space="0" w:color="auto"/>
        <w:right w:val="none" w:sz="0" w:space="0" w:color="auto"/>
      </w:divBdr>
    </w:div>
    <w:div w:id="945383375">
      <w:bodyDiv w:val="1"/>
      <w:marLeft w:val="0"/>
      <w:marRight w:val="0"/>
      <w:marTop w:val="0"/>
      <w:marBottom w:val="0"/>
      <w:divBdr>
        <w:top w:val="none" w:sz="0" w:space="0" w:color="auto"/>
        <w:left w:val="none" w:sz="0" w:space="0" w:color="auto"/>
        <w:bottom w:val="none" w:sz="0" w:space="0" w:color="auto"/>
        <w:right w:val="none" w:sz="0" w:space="0" w:color="auto"/>
      </w:divBdr>
    </w:div>
    <w:div w:id="972758371">
      <w:bodyDiv w:val="1"/>
      <w:marLeft w:val="0"/>
      <w:marRight w:val="0"/>
      <w:marTop w:val="0"/>
      <w:marBottom w:val="0"/>
      <w:divBdr>
        <w:top w:val="none" w:sz="0" w:space="0" w:color="auto"/>
        <w:left w:val="none" w:sz="0" w:space="0" w:color="auto"/>
        <w:bottom w:val="none" w:sz="0" w:space="0" w:color="auto"/>
        <w:right w:val="none" w:sz="0" w:space="0" w:color="auto"/>
      </w:divBdr>
    </w:div>
    <w:div w:id="988366880">
      <w:bodyDiv w:val="1"/>
      <w:marLeft w:val="0"/>
      <w:marRight w:val="0"/>
      <w:marTop w:val="0"/>
      <w:marBottom w:val="0"/>
      <w:divBdr>
        <w:top w:val="none" w:sz="0" w:space="0" w:color="auto"/>
        <w:left w:val="none" w:sz="0" w:space="0" w:color="auto"/>
        <w:bottom w:val="none" w:sz="0" w:space="0" w:color="auto"/>
        <w:right w:val="none" w:sz="0" w:space="0" w:color="auto"/>
      </w:divBdr>
    </w:div>
    <w:div w:id="1009598248">
      <w:bodyDiv w:val="1"/>
      <w:marLeft w:val="0"/>
      <w:marRight w:val="0"/>
      <w:marTop w:val="0"/>
      <w:marBottom w:val="0"/>
      <w:divBdr>
        <w:top w:val="none" w:sz="0" w:space="0" w:color="auto"/>
        <w:left w:val="none" w:sz="0" w:space="0" w:color="auto"/>
        <w:bottom w:val="none" w:sz="0" w:space="0" w:color="auto"/>
        <w:right w:val="none" w:sz="0" w:space="0" w:color="auto"/>
      </w:divBdr>
    </w:div>
    <w:div w:id="1062213590">
      <w:bodyDiv w:val="1"/>
      <w:marLeft w:val="0"/>
      <w:marRight w:val="0"/>
      <w:marTop w:val="0"/>
      <w:marBottom w:val="0"/>
      <w:divBdr>
        <w:top w:val="none" w:sz="0" w:space="0" w:color="auto"/>
        <w:left w:val="none" w:sz="0" w:space="0" w:color="auto"/>
        <w:bottom w:val="none" w:sz="0" w:space="0" w:color="auto"/>
        <w:right w:val="none" w:sz="0" w:space="0" w:color="auto"/>
      </w:divBdr>
    </w:div>
    <w:div w:id="1068263087">
      <w:bodyDiv w:val="1"/>
      <w:marLeft w:val="0"/>
      <w:marRight w:val="0"/>
      <w:marTop w:val="0"/>
      <w:marBottom w:val="0"/>
      <w:divBdr>
        <w:top w:val="none" w:sz="0" w:space="0" w:color="auto"/>
        <w:left w:val="none" w:sz="0" w:space="0" w:color="auto"/>
        <w:bottom w:val="none" w:sz="0" w:space="0" w:color="auto"/>
        <w:right w:val="none" w:sz="0" w:space="0" w:color="auto"/>
      </w:divBdr>
    </w:div>
    <w:div w:id="1083334165">
      <w:bodyDiv w:val="1"/>
      <w:marLeft w:val="0"/>
      <w:marRight w:val="0"/>
      <w:marTop w:val="0"/>
      <w:marBottom w:val="0"/>
      <w:divBdr>
        <w:top w:val="none" w:sz="0" w:space="0" w:color="auto"/>
        <w:left w:val="none" w:sz="0" w:space="0" w:color="auto"/>
        <w:bottom w:val="none" w:sz="0" w:space="0" w:color="auto"/>
        <w:right w:val="none" w:sz="0" w:space="0" w:color="auto"/>
      </w:divBdr>
    </w:div>
    <w:div w:id="1100488865">
      <w:bodyDiv w:val="1"/>
      <w:marLeft w:val="0"/>
      <w:marRight w:val="0"/>
      <w:marTop w:val="0"/>
      <w:marBottom w:val="0"/>
      <w:divBdr>
        <w:top w:val="none" w:sz="0" w:space="0" w:color="auto"/>
        <w:left w:val="none" w:sz="0" w:space="0" w:color="auto"/>
        <w:bottom w:val="none" w:sz="0" w:space="0" w:color="auto"/>
        <w:right w:val="none" w:sz="0" w:space="0" w:color="auto"/>
      </w:divBdr>
    </w:div>
    <w:div w:id="1172913531">
      <w:bodyDiv w:val="1"/>
      <w:marLeft w:val="0"/>
      <w:marRight w:val="0"/>
      <w:marTop w:val="0"/>
      <w:marBottom w:val="0"/>
      <w:divBdr>
        <w:top w:val="none" w:sz="0" w:space="0" w:color="auto"/>
        <w:left w:val="none" w:sz="0" w:space="0" w:color="auto"/>
        <w:bottom w:val="none" w:sz="0" w:space="0" w:color="auto"/>
        <w:right w:val="none" w:sz="0" w:space="0" w:color="auto"/>
      </w:divBdr>
    </w:div>
    <w:div w:id="1173298474">
      <w:bodyDiv w:val="1"/>
      <w:marLeft w:val="0"/>
      <w:marRight w:val="0"/>
      <w:marTop w:val="0"/>
      <w:marBottom w:val="0"/>
      <w:divBdr>
        <w:top w:val="none" w:sz="0" w:space="0" w:color="auto"/>
        <w:left w:val="none" w:sz="0" w:space="0" w:color="auto"/>
        <w:bottom w:val="none" w:sz="0" w:space="0" w:color="auto"/>
        <w:right w:val="none" w:sz="0" w:space="0" w:color="auto"/>
      </w:divBdr>
    </w:div>
    <w:div w:id="1210067212">
      <w:bodyDiv w:val="1"/>
      <w:marLeft w:val="0"/>
      <w:marRight w:val="0"/>
      <w:marTop w:val="0"/>
      <w:marBottom w:val="0"/>
      <w:divBdr>
        <w:top w:val="none" w:sz="0" w:space="0" w:color="auto"/>
        <w:left w:val="none" w:sz="0" w:space="0" w:color="auto"/>
        <w:bottom w:val="none" w:sz="0" w:space="0" w:color="auto"/>
        <w:right w:val="none" w:sz="0" w:space="0" w:color="auto"/>
      </w:divBdr>
    </w:div>
    <w:div w:id="1257789175">
      <w:bodyDiv w:val="1"/>
      <w:marLeft w:val="0"/>
      <w:marRight w:val="0"/>
      <w:marTop w:val="0"/>
      <w:marBottom w:val="0"/>
      <w:divBdr>
        <w:top w:val="none" w:sz="0" w:space="0" w:color="auto"/>
        <w:left w:val="none" w:sz="0" w:space="0" w:color="auto"/>
        <w:bottom w:val="none" w:sz="0" w:space="0" w:color="auto"/>
        <w:right w:val="none" w:sz="0" w:space="0" w:color="auto"/>
      </w:divBdr>
    </w:div>
    <w:div w:id="1285960230">
      <w:bodyDiv w:val="1"/>
      <w:marLeft w:val="0"/>
      <w:marRight w:val="0"/>
      <w:marTop w:val="0"/>
      <w:marBottom w:val="0"/>
      <w:divBdr>
        <w:top w:val="none" w:sz="0" w:space="0" w:color="auto"/>
        <w:left w:val="none" w:sz="0" w:space="0" w:color="auto"/>
        <w:bottom w:val="none" w:sz="0" w:space="0" w:color="auto"/>
        <w:right w:val="none" w:sz="0" w:space="0" w:color="auto"/>
      </w:divBdr>
    </w:div>
    <w:div w:id="1314868045">
      <w:bodyDiv w:val="1"/>
      <w:marLeft w:val="0"/>
      <w:marRight w:val="0"/>
      <w:marTop w:val="0"/>
      <w:marBottom w:val="0"/>
      <w:divBdr>
        <w:top w:val="none" w:sz="0" w:space="0" w:color="auto"/>
        <w:left w:val="none" w:sz="0" w:space="0" w:color="auto"/>
        <w:bottom w:val="none" w:sz="0" w:space="0" w:color="auto"/>
        <w:right w:val="none" w:sz="0" w:space="0" w:color="auto"/>
      </w:divBdr>
    </w:div>
    <w:div w:id="1382511352">
      <w:bodyDiv w:val="1"/>
      <w:marLeft w:val="0"/>
      <w:marRight w:val="0"/>
      <w:marTop w:val="0"/>
      <w:marBottom w:val="0"/>
      <w:divBdr>
        <w:top w:val="none" w:sz="0" w:space="0" w:color="auto"/>
        <w:left w:val="none" w:sz="0" w:space="0" w:color="auto"/>
        <w:bottom w:val="none" w:sz="0" w:space="0" w:color="auto"/>
        <w:right w:val="none" w:sz="0" w:space="0" w:color="auto"/>
      </w:divBdr>
    </w:div>
    <w:div w:id="1451783871">
      <w:bodyDiv w:val="1"/>
      <w:marLeft w:val="0"/>
      <w:marRight w:val="0"/>
      <w:marTop w:val="0"/>
      <w:marBottom w:val="0"/>
      <w:divBdr>
        <w:top w:val="none" w:sz="0" w:space="0" w:color="auto"/>
        <w:left w:val="none" w:sz="0" w:space="0" w:color="auto"/>
        <w:bottom w:val="none" w:sz="0" w:space="0" w:color="auto"/>
        <w:right w:val="none" w:sz="0" w:space="0" w:color="auto"/>
      </w:divBdr>
    </w:div>
    <w:div w:id="1466006676">
      <w:bodyDiv w:val="1"/>
      <w:marLeft w:val="0"/>
      <w:marRight w:val="0"/>
      <w:marTop w:val="0"/>
      <w:marBottom w:val="0"/>
      <w:divBdr>
        <w:top w:val="none" w:sz="0" w:space="0" w:color="auto"/>
        <w:left w:val="none" w:sz="0" w:space="0" w:color="auto"/>
        <w:bottom w:val="none" w:sz="0" w:space="0" w:color="auto"/>
        <w:right w:val="none" w:sz="0" w:space="0" w:color="auto"/>
      </w:divBdr>
    </w:div>
    <w:div w:id="1516994544">
      <w:bodyDiv w:val="1"/>
      <w:marLeft w:val="0"/>
      <w:marRight w:val="0"/>
      <w:marTop w:val="0"/>
      <w:marBottom w:val="0"/>
      <w:divBdr>
        <w:top w:val="none" w:sz="0" w:space="0" w:color="auto"/>
        <w:left w:val="none" w:sz="0" w:space="0" w:color="auto"/>
        <w:bottom w:val="none" w:sz="0" w:space="0" w:color="auto"/>
        <w:right w:val="none" w:sz="0" w:space="0" w:color="auto"/>
      </w:divBdr>
    </w:div>
    <w:div w:id="1547061981">
      <w:bodyDiv w:val="1"/>
      <w:marLeft w:val="0"/>
      <w:marRight w:val="0"/>
      <w:marTop w:val="0"/>
      <w:marBottom w:val="0"/>
      <w:divBdr>
        <w:top w:val="none" w:sz="0" w:space="0" w:color="auto"/>
        <w:left w:val="none" w:sz="0" w:space="0" w:color="auto"/>
        <w:bottom w:val="none" w:sz="0" w:space="0" w:color="auto"/>
        <w:right w:val="none" w:sz="0" w:space="0" w:color="auto"/>
      </w:divBdr>
    </w:div>
    <w:div w:id="1558930783">
      <w:bodyDiv w:val="1"/>
      <w:marLeft w:val="0"/>
      <w:marRight w:val="0"/>
      <w:marTop w:val="0"/>
      <w:marBottom w:val="0"/>
      <w:divBdr>
        <w:top w:val="none" w:sz="0" w:space="0" w:color="auto"/>
        <w:left w:val="none" w:sz="0" w:space="0" w:color="auto"/>
        <w:bottom w:val="none" w:sz="0" w:space="0" w:color="auto"/>
        <w:right w:val="none" w:sz="0" w:space="0" w:color="auto"/>
      </w:divBdr>
    </w:div>
    <w:div w:id="1570575830">
      <w:bodyDiv w:val="1"/>
      <w:marLeft w:val="0"/>
      <w:marRight w:val="0"/>
      <w:marTop w:val="0"/>
      <w:marBottom w:val="0"/>
      <w:divBdr>
        <w:top w:val="none" w:sz="0" w:space="0" w:color="auto"/>
        <w:left w:val="none" w:sz="0" w:space="0" w:color="auto"/>
        <w:bottom w:val="none" w:sz="0" w:space="0" w:color="auto"/>
        <w:right w:val="none" w:sz="0" w:space="0" w:color="auto"/>
      </w:divBdr>
    </w:div>
    <w:div w:id="1571188740">
      <w:bodyDiv w:val="1"/>
      <w:marLeft w:val="0"/>
      <w:marRight w:val="0"/>
      <w:marTop w:val="0"/>
      <w:marBottom w:val="0"/>
      <w:divBdr>
        <w:top w:val="none" w:sz="0" w:space="0" w:color="auto"/>
        <w:left w:val="none" w:sz="0" w:space="0" w:color="auto"/>
        <w:bottom w:val="none" w:sz="0" w:space="0" w:color="auto"/>
        <w:right w:val="none" w:sz="0" w:space="0" w:color="auto"/>
      </w:divBdr>
    </w:div>
    <w:div w:id="1623804650">
      <w:bodyDiv w:val="1"/>
      <w:marLeft w:val="0"/>
      <w:marRight w:val="0"/>
      <w:marTop w:val="0"/>
      <w:marBottom w:val="0"/>
      <w:divBdr>
        <w:top w:val="none" w:sz="0" w:space="0" w:color="auto"/>
        <w:left w:val="none" w:sz="0" w:space="0" w:color="auto"/>
        <w:bottom w:val="none" w:sz="0" w:space="0" w:color="auto"/>
        <w:right w:val="none" w:sz="0" w:space="0" w:color="auto"/>
      </w:divBdr>
    </w:div>
    <w:div w:id="1688217993">
      <w:bodyDiv w:val="1"/>
      <w:marLeft w:val="0"/>
      <w:marRight w:val="0"/>
      <w:marTop w:val="0"/>
      <w:marBottom w:val="0"/>
      <w:divBdr>
        <w:top w:val="none" w:sz="0" w:space="0" w:color="auto"/>
        <w:left w:val="none" w:sz="0" w:space="0" w:color="auto"/>
        <w:bottom w:val="none" w:sz="0" w:space="0" w:color="auto"/>
        <w:right w:val="none" w:sz="0" w:space="0" w:color="auto"/>
      </w:divBdr>
    </w:div>
    <w:div w:id="1723795885">
      <w:bodyDiv w:val="1"/>
      <w:marLeft w:val="0"/>
      <w:marRight w:val="0"/>
      <w:marTop w:val="0"/>
      <w:marBottom w:val="0"/>
      <w:divBdr>
        <w:top w:val="none" w:sz="0" w:space="0" w:color="auto"/>
        <w:left w:val="none" w:sz="0" w:space="0" w:color="auto"/>
        <w:bottom w:val="none" w:sz="0" w:space="0" w:color="auto"/>
        <w:right w:val="none" w:sz="0" w:space="0" w:color="auto"/>
      </w:divBdr>
    </w:div>
    <w:div w:id="1725060094">
      <w:bodyDiv w:val="1"/>
      <w:marLeft w:val="0"/>
      <w:marRight w:val="0"/>
      <w:marTop w:val="0"/>
      <w:marBottom w:val="0"/>
      <w:divBdr>
        <w:top w:val="none" w:sz="0" w:space="0" w:color="auto"/>
        <w:left w:val="none" w:sz="0" w:space="0" w:color="auto"/>
        <w:bottom w:val="none" w:sz="0" w:space="0" w:color="auto"/>
        <w:right w:val="none" w:sz="0" w:space="0" w:color="auto"/>
      </w:divBdr>
    </w:div>
    <w:div w:id="1736733852">
      <w:bodyDiv w:val="1"/>
      <w:marLeft w:val="0"/>
      <w:marRight w:val="0"/>
      <w:marTop w:val="0"/>
      <w:marBottom w:val="0"/>
      <w:divBdr>
        <w:top w:val="none" w:sz="0" w:space="0" w:color="auto"/>
        <w:left w:val="none" w:sz="0" w:space="0" w:color="auto"/>
        <w:bottom w:val="none" w:sz="0" w:space="0" w:color="auto"/>
        <w:right w:val="none" w:sz="0" w:space="0" w:color="auto"/>
      </w:divBdr>
    </w:div>
    <w:div w:id="1805270525">
      <w:bodyDiv w:val="1"/>
      <w:marLeft w:val="0"/>
      <w:marRight w:val="0"/>
      <w:marTop w:val="0"/>
      <w:marBottom w:val="0"/>
      <w:divBdr>
        <w:top w:val="none" w:sz="0" w:space="0" w:color="auto"/>
        <w:left w:val="none" w:sz="0" w:space="0" w:color="auto"/>
        <w:bottom w:val="none" w:sz="0" w:space="0" w:color="auto"/>
        <w:right w:val="none" w:sz="0" w:space="0" w:color="auto"/>
      </w:divBdr>
    </w:div>
    <w:div w:id="1819153699">
      <w:bodyDiv w:val="1"/>
      <w:marLeft w:val="0"/>
      <w:marRight w:val="0"/>
      <w:marTop w:val="0"/>
      <w:marBottom w:val="0"/>
      <w:divBdr>
        <w:top w:val="none" w:sz="0" w:space="0" w:color="auto"/>
        <w:left w:val="none" w:sz="0" w:space="0" w:color="auto"/>
        <w:bottom w:val="none" w:sz="0" w:space="0" w:color="auto"/>
        <w:right w:val="none" w:sz="0" w:space="0" w:color="auto"/>
      </w:divBdr>
    </w:div>
    <w:div w:id="1845242108">
      <w:bodyDiv w:val="1"/>
      <w:marLeft w:val="0"/>
      <w:marRight w:val="0"/>
      <w:marTop w:val="0"/>
      <w:marBottom w:val="0"/>
      <w:divBdr>
        <w:top w:val="none" w:sz="0" w:space="0" w:color="auto"/>
        <w:left w:val="none" w:sz="0" w:space="0" w:color="auto"/>
        <w:bottom w:val="none" w:sz="0" w:space="0" w:color="auto"/>
        <w:right w:val="none" w:sz="0" w:space="0" w:color="auto"/>
      </w:divBdr>
    </w:div>
    <w:div w:id="1863207329">
      <w:bodyDiv w:val="1"/>
      <w:marLeft w:val="0"/>
      <w:marRight w:val="0"/>
      <w:marTop w:val="0"/>
      <w:marBottom w:val="0"/>
      <w:divBdr>
        <w:top w:val="none" w:sz="0" w:space="0" w:color="auto"/>
        <w:left w:val="none" w:sz="0" w:space="0" w:color="auto"/>
        <w:bottom w:val="none" w:sz="0" w:space="0" w:color="auto"/>
        <w:right w:val="none" w:sz="0" w:space="0" w:color="auto"/>
      </w:divBdr>
    </w:div>
    <w:div w:id="1890074475">
      <w:bodyDiv w:val="1"/>
      <w:marLeft w:val="0"/>
      <w:marRight w:val="0"/>
      <w:marTop w:val="0"/>
      <w:marBottom w:val="0"/>
      <w:divBdr>
        <w:top w:val="none" w:sz="0" w:space="0" w:color="auto"/>
        <w:left w:val="none" w:sz="0" w:space="0" w:color="auto"/>
        <w:bottom w:val="none" w:sz="0" w:space="0" w:color="auto"/>
        <w:right w:val="none" w:sz="0" w:space="0" w:color="auto"/>
      </w:divBdr>
    </w:div>
    <w:div w:id="1912496827">
      <w:bodyDiv w:val="1"/>
      <w:marLeft w:val="0"/>
      <w:marRight w:val="0"/>
      <w:marTop w:val="0"/>
      <w:marBottom w:val="0"/>
      <w:divBdr>
        <w:top w:val="none" w:sz="0" w:space="0" w:color="auto"/>
        <w:left w:val="none" w:sz="0" w:space="0" w:color="auto"/>
        <w:bottom w:val="none" w:sz="0" w:space="0" w:color="auto"/>
        <w:right w:val="none" w:sz="0" w:space="0" w:color="auto"/>
      </w:divBdr>
    </w:div>
    <w:div w:id="1997494789">
      <w:bodyDiv w:val="1"/>
      <w:marLeft w:val="0"/>
      <w:marRight w:val="0"/>
      <w:marTop w:val="0"/>
      <w:marBottom w:val="0"/>
      <w:divBdr>
        <w:top w:val="none" w:sz="0" w:space="0" w:color="auto"/>
        <w:left w:val="none" w:sz="0" w:space="0" w:color="auto"/>
        <w:bottom w:val="none" w:sz="0" w:space="0" w:color="auto"/>
        <w:right w:val="none" w:sz="0" w:space="0" w:color="auto"/>
      </w:divBdr>
    </w:div>
    <w:div w:id="2001619614">
      <w:bodyDiv w:val="1"/>
      <w:marLeft w:val="0"/>
      <w:marRight w:val="0"/>
      <w:marTop w:val="0"/>
      <w:marBottom w:val="0"/>
      <w:divBdr>
        <w:top w:val="none" w:sz="0" w:space="0" w:color="auto"/>
        <w:left w:val="none" w:sz="0" w:space="0" w:color="auto"/>
        <w:bottom w:val="none" w:sz="0" w:space="0" w:color="auto"/>
        <w:right w:val="none" w:sz="0" w:space="0" w:color="auto"/>
      </w:divBdr>
    </w:div>
    <w:div w:id="2087798522">
      <w:bodyDiv w:val="1"/>
      <w:marLeft w:val="0"/>
      <w:marRight w:val="0"/>
      <w:marTop w:val="0"/>
      <w:marBottom w:val="0"/>
      <w:divBdr>
        <w:top w:val="none" w:sz="0" w:space="0" w:color="auto"/>
        <w:left w:val="none" w:sz="0" w:space="0" w:color="auto"/>
        <w:bottom w:val="none" w:sz="0" w:space="0" w:color="auto"/>
        <w:right w:val="none" w:sz="0" w:space="0" w:color="auto"/>
      </w:divBdr>
    </w:div>
    <w:div w:id="20995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0139ED-0D48-4D2D-893F-7E1CDD8B3724}">
  <ds:schemaRefs>
    <ds:schemaRef ds:uri="http://schemas.microsoft.com/sharepoint/v3/contenttype/forms"/>
  </ds:schemaRefs>
</ds:datastoreItem>
</file>

<file path=customXml/itemProps2.xml><?xml version="1.0" encoding="utf-8"?>
<ds:datastoreItem xmlns:ds="http://schemas.openxmlformats.org/officeDocument/2006/customXml" ds:itemID="{96079A6E-4BB2-45CC-8CA3-0BA4AD810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F84C6-B5D0-47F6-AB5F-471D045C0487}">
  <ds:schemaRefs>
    <ds:schemaRef ds:uri="http://schemas.openxmlformats.org/officeDocument/2006/bibliography"/>
  </ds:schemaRefs>
</ds:datastoreItem>
</file>

<file path=customXml/itemProps4.xml><?xml version="1.0" encoding="utf-8"?>
<ds:datastoreItem xmlns:ds="http://schemas.openxmlformats.org/officeDocument/2006/customXml" ds:itemID="{BC400D75-BCA3-4777-AA0B-1EB24F1637F7}">
  <ds:schemaRefs>
    <ds:schemaRef ds:uri="http://schemas.microsoft.com/office/2006/metadata/properties"/>
    <ds:schemaRef ds:uri="http://schemas.microsoft.com/office/infopath/2007/PartnerControls"/>
    <ds:schemaRef ds:uri="0772689b-326b-46a5-b84c-c726c57fbc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14179</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Paulson, Heidi (EHS)</dc:creator>
  <cp:lastModifiedBy>Sousa, Pam (EHS)</cp:lastModifiedBy>
  <cp:revision>2</cp:revision>
  <cp:lastPrinted>2025-06-25T17:21:00Z</cp:lastPrinted>
  <dcterms:created xsi:type="dcterms:W3CDTF">2025-06-25T18:01:00Z</dcterms:created>
  <dcterms:modified xsi:type="dcterms:W3CDTF">2025-06-25T18:01:00Z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