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B4E" w:rsidRPr="009B4767" w:rsidRDefault="00796B5A" w:rsidP="000F0533">
      <w:pPr>
        <w:pStyle w:val="Title"/>
        <w:rPr>
          <w:kern w:val="28"/>
        </w:rPr>
      </w:pPr>
      <w:bookmarkStart w:id="0" w:name="_GoBack"/>
      <w:bookmarkEnd w:id="0"/>
      <w:r>
        <w:t>Rationale for MA</w:t>
      </w:r>
      <w:r w:rsidR="00D02B4E" w:rsidRPr="009B4767">
        <w:t xml:space="preserve"> QRIS </w:t>
      </w:r>
      <w:r>
        <w:t>Draft Standards</w:t>
      </w:r>
      <w:r w:rsidR="00D02B4E" w:rsidRPr="009B4767">
        <w:t xml:space="preserve">, </w:t>
      </w:r>
      <w:r>
        <w:t>August</w:t>
      </w:r>
      <w:r w:rsidR="00D02B4E" w:rsidRPr="009B4767">
        <w:t xml:space="preserve"> 2017</w:t>
      </w:r>
    </w:p>
    <w:p w:rsidR="007D3A90" w:rsidRDefault="00924DEC" w:rsidP="007D3A90">
      <w:pPr>
        <w:pStyle w:val="Title"/>
      </w:pPr>
      <w:r>
        <w:t>Afterschool</w:t>
      </w:r>
      <w:r w:rsidR="00085EA5">
        <w:t xml:space="preserve"> </w:t>
      </w:r>
      <w:r>
        <w:t>/</w:t>
      </w:r>
      <w:r w:rsidR="00085EA5">
        <w:t xml:space="preserve"> </w:t>
      </w:r>
      <w:r>
        <w:t>Out-of-School Time</w:t>
      </w:r>
      <w:r w:rsidR="00D02B4E" w:rsidRPr="007F4BE7">
        <w:t xml:space="preserve"> Programs</w:t>
      </w:r>
    </w:p>
    <w:p w:rsidR="007D3A90" w:rsidRPr="007D3A90" w:rsidRDefault="007D3A90" w:rsidP="007D3A90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762"/>
        <w:gridCol w:w="5421"/>
        <w:gridCol w:w="7184"/>
      </w:tblGrid>
      <w:tr w:rsidR="00A65B30" w:rsidTr="007633B8">
        <w:trPr>
          <w:trHeight w:val="499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B30" w:rsidRDefault="00A65B30" w:rsidP="007633B8">
            <w:pPr>
              <w:pStyle w:val="Heading2"/>
              <w:rPr>
                <w:rFonts w:eastAsia="Times New Roman"/>
              </w:rPr>
            </w:pPr>
            <w:r>
              <w:t>STANDARD 1: CURRICULUM, ASSESSMENT, AND INSTRUCTIONAL PRACTICE</w:t>
            </w:r>
          </w:p>
        </w:tc>
      </w:tr>
      <w:tr w:rsidR="00A65B30" w:rsidTr="007633B8">
        <w:trPr>
          <w:trHeight w:val="499"/>
        </w:trPr>
        <w:tc>
          <w:tcPr>
            <w:tcW w:w="2501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B30" w:rsidRDefault="00A65B30" w:rsidP="00E77216">
            <w:pPr>
              <w:pStyle w:val="Heading2"/>
            </w:pPr>
            <w:r>
              <w:t>Criterion</w:t>
            </w:r>
          </w:p>
        </w:tc>
        <w:tc>
          <w:tcPr>
            <w:tcW w:w="2499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B30" w:rsidRDefault="00A65B30" w:rsidP="00E77216">
            <w:pPr>
              <w:pStyle w:val="Heading2"/>
            </w:pPr>
            <w:r>
              <w:t>Rationale</w:t>
            </w:r>
          </w:p>
        </w:tc>
      </w:tr>
      <w:tr w:rsidR="00A65B30" w:rsidTr="007633B8">
        <w:trPr>
          <w:trHeight w:val="1200"/>
        </w:trPr>
        <w:tc>
          <w:tcPr>
            <w:tcW w:w="2501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B30" w:rsidRPr="00E77216" w:rsidRDefault="00A65B30" w:rsidP="00E77216">
            <w:pPr>
              <w:pStyle w:val="Heading3"/>
            </w:pPr>
            <w:r w:rsidRPr="00E77216">
              <w:t>1A. Curriculum: Program uses a developmentally appropriate curriculum that supports children in all learning domains.</w:t>
            </w:r>
          </w:p>
        </w:tc>
        <w:tc>
          <w:tcPr>
            <w:tcW w:w="249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597" w:rsidRDefault="00A65B30" w:rsidP="003A07B3">
            <w:pPr>
              <w:spacing w:before="60" w:after="60"/>
              <w:ind w:left="103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Afterschool and youth development professionals provide critical supports for children, youth, and families by fostering positive growth through social interactions, stimulating physical environments, and enriching intellectual opportunities (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National Afterschool Association</w:t>
            </w:r>
            <w:r w:rsidR="00917597">
              <w:rPr>
                <w:rFonts w:ascii="Calibri" w:hAnsi="Calibri" w:cs="Calibri"/>
                <w:color w:val="000000"/>
                <w:sz w:val="20"/>
                <w:szCs w:val="20"/>
              </w:rPr>
              <w:t>, 2011).</w:t>
            </w:r>
          </w:p>
          <w:p w:rsidR="00917597" w:rsidRDefault="00917597" w:rsidP="003A07B3">
            <w:pPr>
              <w:spacing w:before="60" w:after="60"/>
              <w:ind w:left="103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3A07B3" w:rsidRDefault="00A65B30" w:rsidP="003A07B3">
            <w:pPr>
              <w:spacing w:before="60" w:after="60"/>
              <w:ind w:left="103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 recent review of afterschool and out-of-school-time research found that programs with appropriate content and pedagogy (relative to children’s needs and to program’s mission) that provide a variety of activities and opportunities for engagement fostered developmental outcome</w:t>
            </w:r>
            <w:r w:rsidR="00CC202A">
              <w:rPr>
                <w:rFonts w:ascii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in children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Bodilly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&amp; Beckett</w:t>
            </w:r>
            <w:r w:rsidR="003A07B3">
              <w:rPr>
                <w:rFonts w:ascii="Calibri" w:hAnsi="Calibri" w:cs="Calibri"/>
                <w:color w:val="000000"/>
                <w:sz w:val="20"/>
                <w:szCs w:val="20"/>
              </w:rPr>
              <w:t>, 2005).</w:t>
            </w:r>
          </w:p>
          <w:p w:rsidR="003A07B3" w:rsidRDefault="003A07B3" w:rsidP="003A07B3">
            <w:pPr>
              <w:spacing w:before="60" w:after="60"/>
              <w:ind w:left="103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65B30" w:rsidRDefault="00A65B30" w:rsidP="003A07B3">
            <w:pPr>
              <w:spacing w:before="60" w:after="60"/>
              <w:ind w:left="103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Durlak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Weissber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g’s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(2007) meta-a</w:t>
            </w:r>
            <w:r w:rsidR="00CC202A">
              <w:rPr>
                <w:rFonts w:ascii="Calibri" w:hAnsi="Calibri" w:cs="Calibri"/>
                <w:color w:val="000000"/>
                <w:sz w:val="20"/>
                <w:szCs w:val="20"/>
              </w:rPr>
              <w:t>nalysis of after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school and out-of- school-time research notes that afterschool and out-of-school-time programs that provide: a sequenced set of activities to achieve skill objectives; active forms of learning; a program component on developing personal or social skills; and targeted programming related to specific academic, personal, or social skills were particularly salient characteristics in promoting youth development.  </w:t>
            </w:r>
          </w:p>
        </w:tc>
      </w:tr>
      <w:tr w:rsidR="00A65B30" w:rsidTr="007633B8">
        <w:trPr>
          <w:trHeight w:val="1200"/>
        </w:trPr>
        <w:tc>
          <w:tcPr>
            <w:tcW w:w="3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B30" w:rsidRDefault="00A65B30" w:rsidP="000D3B7E">
            <w:pPr>
              <w:pStyle w:val="Heading4"/>
            </w:pPr>
            <w:r>
              <w:t>Indicator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B30" w:rsidRPr="006517D5" w:rsidRDefault="006517D5" w:rsidP="000D3B7E">
            <w:pPr>
              <w:pStyle w:val="Heading5"/>
            </w:pPr>
            <w:r w:rsidRPr="006517D5">
              <w:t xml:space="preserve">Level </w:t>
            </w:r>
            <w:r w:rsidR="00A65B30" w:rsidRPr="006517D5">
              <w:t>2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B30" w:rsidRDefault="00A65B30" w:rsidP="00175ED7">
            <w:pPr>
              <w:spacing w:before="60" w:after="60"/>
              <w:ind w:left="9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Program has planned activities every day that incorporate youth voice and choice</w:t>
            </w:r>
          </w:p>
        </w:tc>
        <w:tc>
          <w:tcPr>
            <w:tcW w:w="249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5B30" w:rsidRDefault="00A65B30" w:rsidP="00175ED7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65B30" w:rsidTr="007633B8">
        <w:trPr>
          <w:trHeight w:val="1200"/>
        </w:trPr>
        <w:tc>
          <w:tcPr>
            <w:tcW w:w="3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5B30" w:rsidRDefault="00A65B30" w:rsidP="00175ED7">
            <w:pPr>
              <w:spacing w:before="60" w:after="6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B30" w:rsidRPr="006517D5" w:rsidRDefault="006517D5" w:rsidP="000D3B7E">
            <w:pPr>
              <w:pStyle w:val="Heading5"/>
            </w:pPr>
            <w:r w:rsidRPr="006517D5">
              <w:t xml:space="preserve">Level </w:t>
            </w:r>
            <w:r w:rsidR="00A65B30" w:rsidRPr="006517D5">
              <w:t>3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B30" w:rsidRDefault="00A65B30" w:rsidP="00175ED7">
            <w:pPr>
              <w:spacing w:before="60" w:after="60"/>
              <w:ind w:left="9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Program develops an intentional curriculum plan</w:t>
            </w:r>
          </w:p>
        </w:tc>
        <w:tc>
          <w:tcPr>
            <w:tcW w:w="249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5B30" w:rsidRDefault="00A65B30" w:rsidP="00175ED7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65B30" w:rsidTr="007633B8">
        <w:trPr>
          <w:trHeight w:val="1200"/>
        </w:trPr>
        <w:tc>
          <w:tcPr>
            <w:tcW w:w="3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5B30" w:rsidRDefault="00A65B30" w:rsidP="00175ED7">
            <w:pPr>
              <w:spacing w:before="60" w:after="60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B30" w:rsidRPr="006517D5" w:rsidRDefault="006517D5" w:rsidP="000D3B7E">
            <w:pPr>
              <w:pStyle w:val="Heading5"/>
            </w:pPr>
            <w:r w:rsidRPr="006517D5">
              <w:t xml:space="preserve">Level </w:t>
            </w:r>
            <w:r w:rsidR="00A65B30" w:rsidRPr="006517D5">
              <w:t>4/5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B30" w:rsidRDefault="00A65B30" w:rsidP="00175ED7">
            <w:pPr>
              <w:spacing w:before="60" w:after="60"/>
              <w:ind w:left="9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Program develops an intentional curriculum plan that reflects understanding and use of age/grade-specific EEC and DESE standards and guidelines; Program demonstrates effective use of:  differentiated curriculum; or emergent curriculum; or specialized curriculum; or evidence-based general curriculum; or project-based learning</w:t>
            </w:r>
          </w:p>
        </w:tc>
        <w:tc>
          <w:tcPr>
            <w:tcW w:w="249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5B30" w:rsidRDefault="00A65B30" w:rsidP="00175ED7">
            <w:pPr>
              <w:spacing w:before="60" w:after="6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917597" w:rsidRDefault="00917597">
      <w:r>
        <w:br w:type="page"/>
      </w:r>
    </w:p>
    <w:tbl>
      <w:tblPr>
        <w:tblW w:w="50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762"/>
        <w:gridCol w:w="5424"/>
        <w:gridCol w:w="7187"/>
      </w:tblGrid>
      <w:tr w:rsidR="007633B8" w:rsidTr="007633B8">
        <w:trPr>
          <w:trHeight w:val="499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3B8" w:rsidRPr="000D3B7E" w:rsidRDefault="007633B8" w:rsidP="000D3B7E">
            <w:pPr>
              <w:pStyle w:val="Heading2"/>
            </w:pPr>
            <w:r w:rsidRPr="000D3B7E">
              <w:lastRenderedPageBreak/>
              <w:t>STANDARD 1: CURRICULUM, ASSESSMENT, AND INSTRUCTIONAL PRACTICE</w:t>
            </w:r>
          </w:p>
        </w:tc>
      </w:tr>
      <w:tr w:rsidR="007633B8" w:rsidTr="007633B8">
        <w:trPr>
          <w:trHeight w:val="499"/>
        </w:trPr>
        <w:tc>
          <w:tcPr>
            <w:tcW w:w="2502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3B8" w:rsidRPr="000D3B7E" w:rsidRDefault="007633B8" w:rsidP="000D3B7E">
            <w:pPr>
              <w:pStyle w:val="Heading2"/>
            </w:pPr>
            <w:r w:rsidRPr="000D3B7E">
              <w:t>Criterion</w:t>
            </w:r>
          </w:p>
        </w:tc>
        <w:tc>
          <w:tcPr>
            <w:tcW w:w="2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3B8" w:rsidRPr="000D3B7E" w:rsidRDefault="007633B8" w:rsidP="000D3B7E">
            <w:pPr>
              <w:pStyle w:val="Heading2"/>
            </w:pPr>
            <w:r w:rsidRPr="000D3B7E">
              <w:t>Rationale</w:t>
            </w:r>
          </w:p>
        </w:tc>
      </w:tr>
      <w:tr w:rsidR="00A65B30" w:rsidTr="007633B8">
        <w:trPr>
          <w:trHeight w:val="1200"/>
        </w:trPr>
        <w:tc>
          <w:tcPr>
            <w:tcW w:w="2502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B30" w:rsidRDefault="00A65B30" w:rsidP="00E77216">
            <w:pPr>
              <w:pStyle w:val="Heading3"/>
            </w:pPr>
            <w:r>
              <w:t>1B. Assessment:  Program uses observation and documentation practices to document children’s development and progress.</w:t>
            </w:r>
          </w:p>
        </w:tc>
        <w:tc>
          <w:tcPr>
            <w:tcW w:w="2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597" w:rsidRDefault="00A65B30" w:rsidP="003A07B3">
            <w:pPr>
              <w:ind w:left="103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As noted by the </w:t>
            </w:r>
            <w:r w:rsidR="00CC202A" w:rsidRPr="00CC202A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National School-Age Care Alliance (</w:t>
            </w:r>
            <w:r w:rsidRPr="00CC20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NSACA</w:t>
            </w:r>
            <w:r w:rsidR="00CC202A" w:rsidRPr="00CC202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, a core competency for after school includes child/youth assessment.  Specifically, the</w:t>
            </w:r>
            <w:r w:rsidR="00CC202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NSACA notes the need for afters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chool and out-of-school-time educators to be able to understand and apply observation and assessment techniques and tools to the meet the needs of ind</w:t>
            </w:r>
            <w:r w:rsidR="00917597">
              <w:rPr>
                <w:rFonts w:ascii="Calibri" w:hAnsi="Calibri" w:cs="Calibri"/>
                <w:color w:val="000000"/>
                <w:sz w:val="20"/>
                <w:szCs w:val="20"/>
              </w:rPr>
              <w:t>ividual children in their care.</w:t>
            </w:r>
          </w:p>
          <w:p w:rsidR="00917597" w:rsidRDefault="00917597" w:rsidP="003A07B3">
            <w:pPr>
              <w:ind w:left="103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65B30" w:rsidRDefault="00A65B30" w:rsidP="003A07B3">
            <w:pPr>
              <w:ind w:left="103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As the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National Afterschool Association Core Knowledge and Competencies for Afterschool and Youth Development Professional</w:t>
            </w:r>
            <w:r w:rsidR="00CC202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(2011) indicates:  “S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ystematic observations, documentation and other effective and appropriate assessment strategies in partnership wit</w:t>
            </w:r>
            <w:r w:rsidR="00917597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h families and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other professional serving the same children—positively impact the development and learning of children and youth.”  </w:t>
            </w:r>
          </w:p>
        </w:tc>
      </w:tr>
      <w:tr w:rsidR="00A65B30" w:rsidTr="007633B8">
        <w:trPr>
          <w:trHeight w:val="1200"/>
        </w:trPr>
        <w:tc>
          <w:tcPr>
            <w:tcW w:w="3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B30" w:rsidRDefault="00A65B30" w:rsidP="000D3B7E">
            <w:pPr>
              <w:pStyle w:val="Heading4"/>
            </w:pPr>
            <w:r>
              <w:t>Indicator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B30" w:rsidRPr="006517D5" w:rsidRDefault="006517D5" w:rsidP="000D3B7E">
            <w:pPr>
              <w:pStyle w:val="Heading5"/>
            </w:pPr>
            <w:r w:rsidRPr="006517D5">
              <w:t xml:space="preserve">Level </w:t>
            </w:r>
            <w:r w:rsidR="00A65B30" w:rsidRPr="006517D5">
              <w:t>2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B30" w:rsidRDefault="00A65B30" w:rsidP="00917597">
            <w:pPr>
              <w:ind w:left="9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Program uses observation practices to develop semi-annual progress notes for children</w:t>
            </w:r>
          </w:p>
        </w:tc>
        <w:tc>
          <w:tcPr>
            <w:tcW w:w="2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30" w:rsidRDefault="00A65B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65B30" w:rsidTr="007633B8">
        <w:trPr>
          <w:trHeight w:val="1200"/>
        </w:trPr>
        <w:tc>
          <w:tcPr>
            <w:tcW w:w="3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5B30" w:rsidRDefault="00A65B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B30" w:rsidRPr="006517D5" w:rsidRDefault="006517D5" w:rsidP="000D3B7E">
            <w:pPr>
              <w:pStyle w:val="Heading5"/>
            </w:pPr>
            <w:r w:rsidRPr="006517D5">
              <w:t xml:space="preserve">Level </w:t>
            </w:r>
            <w:r w:rsidR="00A65B30" w:rsidRPr="006517D5">
              <w:t>3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B30" w:rsidRDefault="00A65B30" w:rsidP="00917597">
            <w:pPr>
              <w:ind w:left="9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Program has a plan to regularly observe and document children’s progress according to program’s specialized focus</w:t>
            </w:r>
          </w:p>
        </w:tc>
        <w:tc>
          <w:tcPr>
            <w:tcW w:w="2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30" w:rsidRDefault="00A65B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65B30" w:rsidTr="007633B8">
        <w:trPr>
          <w:trHeight w:val="1200"/>
        </w:trPr>
        <w:tc>
          <w:tcPr>
            <w:tcW w:w="3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5B30" w:rsidRDefault="00A65B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B30" w:rsidRPr="00E77216" w:rsidRDefault="006517D5" w:rsidP="000D3B7E">
            <w:pPr>
              <w:pStyle w:val="Heading5"/>
            </w:pPr>
            <w:r w:rsidRPr="00E77216">
              <w:t xml:space="preserve">Level </w:t>
            </w:r>
            <w:r w:rsidR="00A65B30" w:rsidRPr="00E77216">
              <w:t>4/5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B30" w:rsidRDefault="00A65B30" w:rsidP="00917597">
            <w:pPr>
              <w:ind w:left="9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Program uses valid, reliable assessment tools to document children’s progress according to program’s mission and philosophy; Program shares assessment data with families</w:t>
            </w:r>
          </w:p>
        </w:tc>
        <w:tc>
          <w:tcPr>
            <w:tcW w:w="24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30" w:rsidRDefault="00A65B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7633B8" w:rsidRDefault="007633B8">
      <w:r>
        <w:rPr>
          <w:b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3"/>
        <w:gridCol w:w="762"/>
        <w:gridCol w:w="5421"/>
        <w:gridCol w:w="7184"/>
      </w:tblGrid>
      <w:tr w:rsidR="007633B8" w:rsidTr="007F7B29">
        <w:trPr>
          <w:trHeight w:val="499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3B8" w:rsidRPr="000D3B7E" w:rsidRDefault="007633B8" w:rsidP="000D3B7E">
            <w:pPr>
              <w:pStyle w:val="Heading2"/>
            </w:pPr>
            <w:r w:rsidRPr="000D3B7E">
              <w:lastRenderedPageBreak/>
              <w:t>STANDARD 1: CURRICULUM, ASSESSMENT, AND INSTRUCTIONAL PRACTICE</w:t>
            </w:r>
          </w:p>
        </w:tc>
      </w:tr>
      <w:tr w:rsidR="007633B8" w:rsidTr="007633B8">
        <w:trPr>
          <w:trHeight w:val="499"/>
        </w:trPr>
        <w:tc>
          <w:tcPr>
            <w:tcW w:w="2502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3B8" w:rsidRPr="000D3B7E" w:rsidRDefault="007633B8" w:rsidP="000D3B7E">
            <w:pPr>
              <w:pStyle w:val="Heading2"/>
            </w:pPr>
            <w:r w:rsidRPr="000D3B7E">
              <w:t>Criterion</w:t>
            </w:r>
          </w:p>
        </w:tc>
        <w:tc>
          <w:tcPr>
            <w:tcW w:w="249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633B8" w:rsidRPr="000D3B7E" w:rsidRDefault="007633B8" w:rsidP="000D3B7E">
            <w:pPr>
              <w:pStyle w:val="Heading2"/>
            </w:pPr>
            <w:r w:rsidRPr="000D3B7E">
              <w:t>Rationale</w:t>
            </w:r>
          </w:p>
        </w:tc>
      </w:tr>
      <w:tr w:rsidR="00A65B30" w:rsidTr="007633B8">
        <w:trPr>
          <w:trHeight w:val="1200"/>
        </w:trPr>
        <w:tc>
          <w:tcPr>
            <w:tcW w:w="2502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B30" w:rsidRDefault="00A65B30" w:rsidP="00E77216">
            <w:pPr>
              <w:pStyle w:val="Heading3"/>
            </w:pPr>
            <w:r>
              <w:t>1C. Instructional Practice: Program uses strategies to engage and meet goals for diverse learners.</w:t>
            </w:r>
          </w:p>
        </w:tc>
        <w:tc>
          <w:tcPr>
            <w:tcW w:w="2498" w:type="pct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17597" w:rsidRDefault="00A65B30" w:rsidP="003A07B3">
            <w:pPr>
              <w:ind w:left="103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Research indicates that focused and intentional instructional strategies are important to fosteri</w:t>
            </w:r>
            <w:r w:rsidR="00CC202A">
              <w:rPr>
                <w:rFonts w:ascii="Calibri" w:hAnsi="Calibri" w:cs="Calibri"/>
                <w:color w:val="000000"/>
                <w:sz w:val="20"/>
                <w:szCs w:val="20"/>
              </w:rPr>
              <w:t>ng children’s outcomes in after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school and out-of-school-time programming (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Goldsmith &amp;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Abreton</w:t>
            </w:r>
            <w:proofErr w:type="spellEnd"/>
            <w:r w:rsidR="00917597">
              <w:rPr>
                <w:rFonts w:ascii="Calibri" w:hAnsi="Calibri" w:cs="Calibri"/>
                <w:color w:val="000000"/>
                <w:sz w:val="20"/>
                <w:szCs w:val="20"/>
              </w:rPr>
              <w:t>, 2008).</w:t>
            </w:r>
          </w:p>
          <w:p w:rsidR="00917597" w:rsidRDefault="00917597" w:rsidP="003A07B3">
            <w:pPr>
              <w:ind w:left="103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917597" w:rsidRDefault="00A65B30" w:rsidP="003A07B3">
            <w:pPr>
              <w:ind w:left="103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It is also noted in the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NSACA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accreditation process that educator and programs should provide programming and interaction to meet t</w:t>
            </w:r>
            <w:r w:rsidR="00917597">
              <w:rPr>
                <w:rFonts w:ascii="Calibri" w:hAnsi="Calibri" w:cs="Calibri"/>
                <w:color w:val="000000"/>
                <w:sz w:val="20"/>
                <w:szCs w:val="20"/>
              </w:rPr>
              <w:t>he needs of children and youth.</w:t>
            </w:r>
          </w:p>
          <w:p w:rsidR="00917597" w:rsidRDefault="00917597" w:rsidP="003A07B3">
            <w:pPr>
              <w:ind w:left="103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65B30" w:rsidRDefault="00A65B30" w:rsidP="003A07B3">
            <w:pPr>
              <w:ind w:left="103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Additionally</w:t>
            </w:r>
            <w:r w:rsidR="00CC202A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research has documented the importance of programming content and approaches to meet the needs of children in order to effectively foster children’s outcomes (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Bodily &amp; Becket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, 2005).</w:t>
            </w:r>
          </w:p>
        </w:tc>
      </w:tr>
      <w:tr w:rsidR="00A65B30" w:rsidTr="007633B8">
        <w:trPr>
          <w:trHeight w:val="1200"/>
        </w:trPr>
        <w:tc>
          <w:tcPr>
            <w:tcW w:w="352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B30" w:rsidRDefault="00A65B30" w:rsidP="000D3B7E">
            <w:pPr>
              <w:pStyle w:val="Heading4"/>
            </w:pPr>
            <w:r>
              <w:t>Indicator</w:t>
            </w: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B30" w:rsidRPr="006517D5" w:rsidRDefault="006517D5" w:rsidP="000D3B7E">
            <w:pPr>
              <w:pStyle w:val="Heading5"/>
            </w:pPr>
            <w:r w:rsidRPr="006517D5">
              <w:t xml:space="preserve">Level </w:t>
            </w:r>
            <w:r w:rsidR="00A65B30" w:rsidRPr="006517D5">
              <w:t>2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B30" w:rsidRDefault="00A65B30" w:rsidP="00917597">
            <w:pPr>
              <w:ind w:left="9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Program uses observation practices to identify domains of children’s growth</w:t>
            </w:r>
          </w:p>
        </w:tc>
        <w:tc>
          <w:tcPr>
            <w:tcW w:w="2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5B30" w:rsidRDefault="00A65B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65B30" w:rsidTr="007633B8">
        <w:trPr>
          <w:trHeight w:val="1200"/>
        </w:trPr>
        <w:tc>
          <w:tcPr>
            <w:tcW w:w="3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5B30" w:rsidRDefault="00A65B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B30" w:rsidRPr="006517D5" w:rsidRDefault="006517D5" w:rsidP="000D3B7E">
            <w:pPr>
              <w:pStyle w:val="Heading5"/>
            </w:pPr>
            <w:r w:rsidRPr="006517D5">
              <w:t xml:space="preserve">Level </w:t>
            </w:r>
            <w:r w:rsidR="00A65B30" w:rsidRPr="006517D5">
              <w:t>3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B30" w:rsidRDefault="00A65B30" w:rsidP="00917597">
            <w:pPr>
              <w:ind w:left="9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Program uses observations practices to set challenging, achievable learning goals for children</w:t>
            </w:r>
          </w:p>
        </w:tc>
        <w:tc>
          <w:tcPr>
            <w:tcW w:w="2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5B30" w:rsidRDefault="00A65B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65B30" w:rsidTr="007633B8">
        <w:trPr>
          <w:trHeight w:val="1200"/>
        </w:trPr>
        <w:tc>
          <w:tcPr>
            <w:tcW w:w="352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5B30" w:rsidRDefault="00A65B30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B30" w:rsidRPr="006517D5" w:rsidRDefault="006517D5" w:rsidP="000D3B7E">
            <w:pPr>
              <w:pStyle w:val="Heading5"/>
            </w:pPr>
            <w:r w:rsidRPr="006517D5">
              <w:t xml:space="preserve">Level </w:t>
            </w:r>
            <w:r w:rsidR="00A65B30" w:rsidRPr="006517D5">
              <w:t>4/5</w:t>
            </w:r>
          </w:p>
        </w:tc>
        <w:tc>
          <w:tcPr>
            <w:tcW w:w="188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65B30" w:rsidRDefault="00A65B30" w:rsidP="00917597">
            <w:pPr>
              <w:ind w:left="94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Program has continuous individual learning plans for children; Program differentiates instruction</w:t>
            </w:r>
          </w:p>
        </w:tc>
        <w:tc>
          <w:tcPr>
            <w:tcW w:w="249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5B30" w:rsidRDefault="00A65B3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A65B30" w:rsidRDefault="00A65B30" w:rsidP="00E379D5">
      <w:pPr>
        <w:pStyle w:val="Heading1"/>
      </w:pPr>
    </w:p>
    <w:p w:rsidR="00A65B30" w:rsidRDefault="00A65B30">
      <w:pPr>
        <w:spacing w:after="160" w:line="259" w:lineRule="auto"/>
        <w:rPr>
          <w:rFonts w:asciiTheme="majorHAnsi" w:eastAsiaTheme="majorEastAsia" w:hAnsiTheme="majorHAnsi" w:cstheme="majorBidi"/>
          <w:b/>
          <w:sz w:val="36"/>
          <w:szCs w:val="32"/>
        </w:rPr>
      </w:pPr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79"/>
        <w:gridCol w:w="768"/>
        <w:gridCol w:w="5505"/>
        <w:gridCol w:w="6928"/>
      </w:tblGrid>
      <w:tr w:rsidR="00917597" w:rsidRPr="00A65B30" w:rsidTr="007633B8">
        <w:trPr>
          <w:trHeight w:val="499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17597" w:rsidRPr="000D3B7E" w:rsidRDefault="00917597" w:rsidP="000D3B7E">
            <w:pPr>
              <w:pStyle w:val="Heading2"/>
            </w:pPr>
            <w:r w:rsidRPr="000D3B7E">
              <w:lastRenderedPageBreak/>
              <w:t>STANDARD 2: LEARNING ENVIRONMENT AND INTERACTIONS</w:t>
            </w:r>
          </w:p>
        </w:tc>
      </w:tr>
      <w:tr w:rsidR="00A65B30" w:rsidRPr="00A65B30" w:rsidTr="007633B8">
        <w:trPr>
          <w:trHeight w:val="499"/>
        </w:trPr>
        <w:tc>
          <w:tcPr>
            <w:tcW w:w="2591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30" w:rsidRPr="000D3B7E" w:rsidRDefault="00A65B30" w:rsidP="000D3B7E">
            <w:pPr>
              <w:pStyle w:val="Heading2"/>
            </w:pPr>
            <w:r w:rsidRPr="000D3B7E">
              <w:t>Criterion</w:t>
            </w:r>
          </w:p>
        </w:tc>
        <w:tc>
          <w:tcPr>
            <w:tcW w:w="240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B30" w:rsidRPr="000D3B7E" w:rsidRDefault="00A65B30" w:rsidP="000D3B7E">
            <w:pPr>
              <w:pStyle w:val="Heading2"/>
            </w:pPr>
            <w:r w:rsidRPr="000D3B7E">
              <w:t>Rationale</w:t>
            </w:r>
          </w:p>
        </w:tc>
      </w:tr>
      <w:tr w:rsidR="00A65B30" w:rsidRPr="00A65B30" w:rsidTr="007633B8">
        <w:trPr>
          <w:trHeight w:val="1200"/>
        </w:trPr>
        <w:tc>
          <w:tcPr>
            <w:tcW w:w="2591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5B30" w:rsidRPr="00A65B30" w:rsidRDefault="00A65B30" w:rsidP="00E77216">
            <w:pPr>
              <w:pStyle w:val="Heading3"/>
              <w:rPr>
                <w:rFonts w:eastAsia="Times New Roman"/>
              </w:rPr>
            </w:pPr>
            <w:r w:rsidRPr="00A65B30">
              <w:rPr>
                <w:rFonts w:eastAsia="Times New Roman"/>
              </w:rPr>
              <w:t>2A. Learning Environment: Program demonstrates a safe and healthy environment that fosters learning, exploration, and play.</w:t>
            </w:r>
          </w:p>
        </w:tc>
        <w:tc>
          <w:tcPr>
            <w:tcW w:w="240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917597" w:rsidRDefault="00A65B30" w:rsidP="0091759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Importantly, there is a growing body of research ind</w:t>
            </w:r>
            <w:r w:rsidR="00CC2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icating that high quality after</w:t>
            </w: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school programming is associated with better grades, work habits, task persistence</w:t>
            </w:r>
            <w:r w:rsidR="00CC2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</w:t>
            </w: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and social skills (</w:t>
            </w:r>
            <w:proofErr w:type="spellStart"/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Vandell</w:t>
            </w:r>
            <w:proofErr w:type="spellEnd"/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et al</w:t>
            </w:r>
            <w:r w:rsidR="009175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., 2006).</w:t>
            </w:r>
          </w:p>
          <w:p w:rsidR="00917597" w:rsidRDefault="00917597" w:rsidP="0091759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917597" w:rsidRDefault="00A65B30" w:rsidP="0091759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Recent reviews of research have also noted significant associations between high quality after school programs and youth’s feelings of self-esteem, attitudes towards school, school grades</w:t>
            </w:r>
            <w:r w:rsidR="00CC2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</w:t>
            </w: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and school behavior (</w:t>
            </w:r>
            <w:proofErr w:type="spellStart"/>
            <w:r w:rsidRPr="00A65B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Durlak</w:t>
            </w:r>
            <w:proofErr w:type="spellEnd"/>
            <w:r w:rsidRPr="00A65B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&amp; Weisberg</w:t>
            </w:r>
            <w:r w:rsidR="009175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2007).</w:t>
            </w:r>
          </w:p>
          <w:p w:rsidR="00917597" w:rsidRDefault="00917597" w:rsidP="0091759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917597" w:rsidRDefault="00A65B30" w:rsidP="0091759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S</w:t>
            </w:r>
            <w:r w:rsidR="00CC2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chool </w:t>
            </w: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="00CC2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ge </w:t>
            </w: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</w:t>
            </w:r>
            <w:r w:rsidR="00CC2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are </w:t>
            </w: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</w:t>
            </w:r>
            <w:r w:rsidR="00CC2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nvironment </w:t>
            </w: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</w:t>
            </w:r>
            <w:r w:rsidR="00CC2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ating </w:t>
            </w: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</w:t>
            </w:r>
            <w:r w:rsidR="00CC2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cale (SACERS)</w:t>
            </w: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and </w:t>
            </w:r>
            <w:r w:rsidR="00CC2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Assessment of Program Practices Tool (</w:t>
            </w: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APT</w:t>
            </w:r>
            <w:r w:rsidR="00CC2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 are observation measures</w:t>
            </w: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grounded in extensive  research on best practices in the field for afterschool and out-of-school-time care (</w:t>
            </w:r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Albrecht, </w:t>
            </w:r>
            <w:r w:rsidRPr="00CC202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1991</w:t>
            </w:r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Betsalel</w:t>
            </w:r>
            <w:proofErr w:type="spellEnd"/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-Presser &amp; Jacobs, </w:t>
            </w:r>
            <w:r w:rsidRPr="00CC202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1994</w:t>
            </w:r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; Jacobs, et al, </w:t>
            </w:r>
            <w:r w:rsidRPr="00CC202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1991</w:t>
            </w:r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Vandell</w:t>
            </w:r>
            <w:proofErr w:type="spellEnd"/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Henderson &amp; Wilson, </w:t>
            </w:r>
            <w:r w:rsidRPr="00CC202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1998</w:t>
            </w:r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Seligson</w:t>
            </w:r>
            <w:proofErr w:type="spellEnd"/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&amp;</w:t>
            </w:r>
            <w:proofErr w:type="spellStart"/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Allenson</w:t>
            </w:r>
            <w:proofErr w:type="spellEnd"/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CC202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1993</w:t>
            </w: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 and have been field tested and validated measures of quality (</w:t>
            </w:r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Harms, Jacobs, White,</w:t>
            </w:r>
            <w:r w:rsidR="00CC202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C202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2014</w:t>
            </w:r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; Tracy, </w:t>
            </w:r>
            <w:proofErr w:type="spellStart"/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Surr</w:t>
            </w:r>
            <w:proofErr w:type="spellEnd"/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Richer, </w:t>
            </w:r>
            <w:r w:rsidRPr="00CC202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2012</w:t>
            </w:r>
            <w:r w:rsidR="009175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).</w:t>
            </w:r>
          </w:p>
          <w:p w:rsidR="00917597" w:rsidRDefault="00917597" w:rsidP="0091759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A65B30" w:rsidRPr="00A65B30" w:rsidRDefault="00A65B30" w:rsidP="0091759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Similarly to QRIS measures, the </w:t>
            </w:r>
            <w:r w:rsidRPr="00A65B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NSACA</w:t>
            </w: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and </w:t>
            </w:r>
            <w:r w:rsidR="00CC202A" w:rsidRPr="00CC202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National Afterschool Association (</w:t>
            </w:r>
            <w:r w:rsidRPr="00CC202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NAA</w:t>
            </w:r>
            <w:r w:rsidR="00CC202A" w:rsidRPr="00CC202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)</w:t>
            </w: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accreditation calls for program policies and procedures to protect t</w:t>
            </w:r>
            <w:r w:rsidR="00CC2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he safety of children and youth</w:t>
            </w: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and program policies that protect and enhance the health o</w:t>
            </w:r>
            <w:r w:rsidR="00CC2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 all children and youth.  A</w:t>
            </w: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ccreditation process</w:t>
            </w:r>
            <w:r w:rsidR="00CC2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es also call</w:t>
            </w: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for an indoor play space that meets the needs of children an</w:t>
            </w:r>
            <w:r w:rsidR="00CC2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 allows for children to take</w:t>
            </w: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in</w:t>
            </w:r>
            <w:r w:rsidR="00CC2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itiative and explore interests, </w:t>
            </w: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 an outdoor play</w:t>
            </w:r>
            <w:r w:rsidR="00CC2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space </w:t>
            </w: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that meets children’s needs and allows for independent outdoor play.</w:t>
            </w:r>
          </w:p>
        </w:tc>
      </w:tr>
      <w:tr w:rsidR="00A65B30" w:rsidRPr="00A65B30" w:rsidTr="007633B8">
        <w:trPr>
          <w:trHeight w:val="1200"/>
        </w:trPr>
        <w:tc>
          <w:tcPr>
            <w:tcW w:w="4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30" w:rsidRPr="00A65B30" w:rsidRDefault="00A65B30" w:rsidP="000D3B7E">
            <w:pPr>
              <w:pStyle w:val="Heading4"/>
              <w:rPr>
                <w:rFonts w:eastAsia="Times New Roman"/>
              </w:rPr>
            </w:pPr>
            <w:r w:rsidRPr="00A65B30">
              <w:rPr>
                <w:rFonts w:eastAsia="Times New Roman"/>
              </w:rPr>
              <w:t>Indicator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30" w:rsidRPr="00A65B30" w:rsidRDefault="006517D5" w:rsidP="000D3B7E">
            <w:pPr>
              <w:pStyle w:val="Heading5"/>
              <w:rPr>
                <w:rFonts w:eastAsia="Times New Roman"/>
              </w:rPr>
            </w:pPr>
            <w:r w:rsidRPr="006517D5">
              <w:t>Level</w:t>
            </w:r>
            <w:r w:rsidRPr="006517D5">
              <w:rPr>
                <w:rFonts w:eastAsia="Times New Roman"/>
              </w:rPr>
              <w:t xml:space="preserve"> </w:t>
            </w:r>
            <w:r w:rsidR="00A65B30" w:rsidRPr="00A65B30">
              <w:rPr>
                <w:rFonts w:eastAsia="Times New Roman"/>
              </w:rPr>
              <w:t>2</w:t>
            </w:r>
          </w:p>
        </w:tc>
        <w:tc>
          <w:tcPr>
            <w:tcW w:w="1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School Age Care Environment Rating Scale (SACERS) technical assistance consultation</w:t>
            </w:r>
          </w:p>
        </w:tc>
        <w:tc>
          <w:tcPr>
            <w:tcW w:w="240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65B30" w:rsidRPr="00A65B30" w:rsidTr="007633B8">
        <w:trPr>
          <w:trHeight w:val="1200"/>
        </w:trPr>
        <w:tc>
          <w:tcPr>
            <w:tcW w:w="4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30" w:rsidRPr="00A65B30" w:rsidRDefault="006517D5" w:rsidP="000D3B7E">
            <w:pPr>
              <w:pStyle w:val="Heading5"/>
              <w:rPr>
                <w:rFonts w:eastAsia="Times New Roman"/>
              </w:rPr>
            </w:pPr>
            <w:r w:rsidRPr="006517D5">
              <w:t>Level</w:t>
            </w:r>
            <w:r w:rsidRPr="006517D5">
              <w:rPr>
                <w:rFonts w:eastAsia="Times New Roman"/>
              </w:rPr>
              <w:t xml:space="preserve"> </w:t>
            </w:r>
            <w:r w:rsidR="00A65B30" w:rsidRPr="00A65B30">
              <w:rPr>
                <w:rFonts w:eastAsia="Times New Roman"/>
              </w:rPr>
              <w:t>3</w:t>
            </w:r>
          </w:p>
        </w:tc>
        <w:tc>
          <w:tcPr>
            <w:tcW w:w="1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SACERS reliable rater visit and Assessment of Program Practices Tool (APT) technical assistance consultation</w:t>
            </w:r>
          </w:p>
        </w:tc>
        <w:tc>
          <w:tcPr>
            <w:tcW w:w="240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65B30" w:rsidRPr="00A65B30" w:rsidTr="007633B8">
        <w:trPr>
          <w:trHeight w:val="1200"/>
        </w:trPr>
        <w:tc>
          <w:tcPr>
            <w:tcW w:w="4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30" w:rsidRPr="00A65B30" w:rsidRDefault="006517D5" w:rsidP="000D3B7E">
            <w:pPr>
              <w:pStyle w:val="Heading5"/>
              <w:rPr>
                <w:rFonts w:eastAsia="Times New Roman"/>
              </w:rPr>
            </w:pPr>
            <w:r w:rsidRPr="006517D5">
              <w:t>Level</w:t>
            </w:r>
            <w:r w:rsidRPr="006517D5">
              <w:rPr>
                <w:rFonts w:eastAsia="Times New Roman"/>
              </w:rPr>
              <w:t xml:space="preserve"> 4/</w:t>
            </w:r>
            <w:r w:rsidR="00A65B30" w:rsidRPr="00A65B30">
              <w:rPr>
                <w:rFonts w:eastAsia="Times New Roman"/>
              </w:rPr>
              <w:t>5</w:t>
            </w:r>
          </w:p>
        </w:tc>
        <w:tc>
          <w:tcPr>
            <w:tcW w:w="19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SACERS reliable rater visit and APT observation</w:t>
            </w:r>
          </w:p>
        </w:tc>
        <w:tc>
          <w:tcPr>
            <w:tcW w:w="240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CB2F31" w:rsidRDefault="00CB2F31">
      <w:r>
        <w:br w:type="page"/>
      </w:r>
    </w:p>
    <w:tbl>
      <w:tblPr>
        <w:tblW w:w="5002" w:type="pct"/>
        <w:tblLook w:val="04A0" w:firstRow="1" w:lastRow="0" w:firstColumn="1" w:lastColumn="0" w:noHBand="0" w:noVBand="1"/>
      </w:tblPr>
      <w:tblGrid>
        <w:gridCol w:w="1180"/>
        <w:gridCol w:w="768"/>
        <w:gridCol w:w="5507"/>
        <w:gridCol w:w="6931"/>
      </w:tblGrid>
      <w:tr w:rsidR="007633B8" w:rsidRPr="00A65B30" w:rsidTr="007633B8">
        <w:trPr>
          <w:trHeight w:val="499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633B8" w:rsidRPr="000D3B7E" w:rsidRDefault="007633B8" w:rsidP="000D3B7E">
            <w:pPr>
              <w:pStyle w:val="Heading2"/>
            </w:pPr>
            <w:r w:rsidRPr="000D3B7E">
              <w:lastRenderedPageBreak/>
              <w:t>STANDARD 2: LEARNING ENVIRONMENT AND INTERACTIONS</w:t>
            </w:r>
          </w:p>
        </w:tc>
      </w:tr>
      <w:tr w:rsidR="007633B8" w:rsidRPr="00A65B30" w:rsidTr="007633B8">
        <w:trPr>
          <w:trHeight w:val="499"/>
        </w:trPr>
        <w:tc>
          <w:tcPr>
            <w:tcW w:w="2591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B8" w:rsidRPr="000D3B7E" w:rsidRDefault="007633B8" w:rsidP="000D3B7E">
            <w:pPr>
              <w:pStyle w:val="Heading2"/>
            </w:pPr>
            <w:r w:rsidRPr="000D3B7E">
              <w:t>Criterion</w:t>
            </w:r>
          </w:p>
        </w:tc>
        <w:tc>
          <w:tcPr>
            <w:tcW w:w="2409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3B8" w:rsidRPr="000D3B7E" w:rsidRDefault="007633B8" w:rsidP="000D3B7E">
            <w:pPr>
              <w:pStyle w:val="Heading2"/>
            </w:pPr>
            <w:r w:rsidRPr="000D3B7E">
              <w:t>Rationale</w:t>
            </w:r>
          </w:p>
        </w:tc>
      </w:tr>
      <w:tr w:rsidR="00A65B30" w:rsidRPr="00A65B30" w:rsidTr="007633B8">
        <w:trPr>
          <w:trHeight w:val="1200"/>
        </w:trPr>
        <w:tc>
          <w:tcPr>
            <w:tcW w:w="2591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5B30" w:rsidRPr="00A65B30" w:rsidRDefault="00A65B30" w:rsidP="00E77216">
            <w:pPr>
              <w:pStyle w:val="Heading3"/>
              <w:rPr>
                <w:rFonts w:eastAsia="Times New Roman"/>
              </w:rPr>
            </w:pPr>
            <w:r w:rsidRPr="00A65B30">
              <w:rPr>
                <w:rFonts w:eastAsia="Times New Roman"/>
              </w:rPr>
              <w:t>2B. Interactions: Program implements strategies that promote high-quality interactions.</w:t>
            </w:r>
          </w:p>
        </w:tc>
        <w:tc>
          <w:tcPr>
            <w:tcW w:w="2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17597" w:rsidRDefault="00A65B30" w:rsidP="0091759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Importantly, there is a growing body of research ind</w:t>
            </w:r>
            <w:r w:rsidR="00CC2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icating that high quality after</w:t>
            </w: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school programming is associated with better grades, work habits, task persistence and social skills (</w:t>
            </w:r>
            <w:proofErr w:type="spellStart"/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Vandell</w:t>
            </w:r>
            <w:proofErr w:type="spellEnd"/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et al</w:t>
            </w:r>
            <w:r w:rsidR="009175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., 2006).</w:t>
            </w:r>
          </w:p>
          <w:p w:rsidR="00917597" w:rsidRDefault="00917597" w:rsidP="0091759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917597" w:rsidRDefault="00A65B30" w:rsidP="0091759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Recent reviews of research have also noted significant associations between high quality after school programs and youth’s feelings of self-esteem, attitudes towards school, school grades</w:t>
            </w:r>
            <w:r w:rsidR="00CC2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</w:t>
            </w: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and school behavior (</w:t>
            </w:r>
            <w:proofErr w:type="spellStart"/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Durlak</w:t>
            </w:r>
            <w:proofErr w:type="spellEnd"/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&amp; Weisberg</w:t>
            </w:r>
            <w:r w:rsidR="0091759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2007).</w:t>
            </w:r>
          </w:p>
          <w:p w:rsidR="00917597" w:rsidRDefault="00917597" w:rsidP="0091759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917597" w:rsidRDefault="00A65B30" w:rsidP="0091759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SACERS-R and APT are observation measures are grounded in extensive  research on best practices in the field for afterschool and out-of-school-time care (</w:t>
            </w:r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Albrecht, </w:t>
            </w:r>
            <w:r w:rsidRPr="00CC202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1991</w:t>
            </w:r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Betsalel</w:t>
            </w:r>
            <w:proofErr w:type="spellEnd"/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-Presser &amp; Jacobs, </w:t>
            </w:r>
            <w:r w:rsidRPr="00CC202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1994</w:t>
            </w:r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; Jacobs, et al, </w:t>
            </w:r>
            <w:r w:rsidRPr="00CC202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1991</w:t>
            </w:r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Vandell</w:t>
            </w:r>
            <w:proofErr w:type="spellEnd"/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Henderson &amp; Wilson, </w:t>
            </w:r>
            <w:r w:rsidRPr="00CC202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1998</w:t>
            </w:r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Seligson</w:t>
            </w:r>
            <w:proofErr w:type="spellEnd"/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Allenson</w:t>
            </w:r>
            <w:proofErr w:type="spellEnd"/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CC202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1993</w:t>
            </w: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 and have been field tested and validated measures of quality (</w:t>
            </w:r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Harms, Jacobs, White,</w:t>
            </w:r>
            <w:r w:rsidR="00E7721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C202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2014</w:t>
            </w:r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; Tracy, </w:t>
            </w:r>
            <w:proofErr w:type="spellStart"/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Surr</w:t>
            </w:r>
            <w:proofErr w:type="spellEnd"/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Richer, </w:t>
            </w:r>
            <w:r w:rsidRPr="00CC202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2012</w:t>
            </w: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).</w:t>
            </w:r>
          </w:p>
          <w:p w:rsidR="00917597" w:rsidRDefault="00917597" w:rsidP="0091759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A65B30" w:rsidRPr="00A65B30" w:rsidRDefault="00A65B30" w:rsidP="0091759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The </w:t>
            </w:r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NSACA</w:t>
            </w: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and </w:t>
            </w:r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NAA</w:t>
            </w: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accreditation process has standards for interaction that parallel standards captured in the SACER-R and APT. These include: educators responding to children in a positive manner; educators promoting learning through interactions; educators using positive techniques to guide behavior and youth; and children being offered activity choices from a wide range of activity options.  </w:t>
            </w:r>
          </w:p>
        </w:tc>
      </w:tr>
      <w:tr w:rsidR="00A65B30" w:rsidRPr="00A65B30" w:rsidTr="007633B8">
        <w:trPr>
          <w:trHeight w:val="1200"/>
        </w:trPr>
        <w:tc>
          <w:tcPr>
            <w:tcW w:w="410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30" w:rsidRPr="00A65B30" w:rsidRDefault="00A65B30" w:rsidP="000D3B7E">
            <w:pPr>
              <w:pStyle w:val="Heading4"/>
              <w:rPr>
                <w:rFonts w:eastAsia="Times New Roman"/>
              </w:rPr>
            </w:pPr>
            <w:r w:rsidRPr="00A65B30">
              <w:rPr>
                <w:rFonts w:eastAsia="Times New Roman"/>
              </w:rPr>
              <w:t>Indicator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30" w:rsidRPr="00A65B30" w:rsidRDefault="006517D5" w:rsidP="000D3B7E">
            <w:pPr>
              <w:pStyle w:val="Heading5"/>
              <w:rPr>
                <w:rFonts w:eastAsia="Times New Roman"/>
              </w:rPr>
            </w:pPr>
            <w:r w:rsidRPr="006517D5">
              <w:t>Level</w:t>
            </w:r>
            <w:r w:rsidRPr="006517D5">
              <w:rPr>
                <w:rFonts w:eastAsia="Times New Roman"/>
              </w:rPr>
              <w:t xml:space="preserve"> </w:t>
            </w:r>
            <w:r w:rsidR="00A65B30" w:rsidRPr="00A65B30">
              <w:rPr>
                <w:rFonts w:eastAsia="Times New Roman"/>
              </w:rPr>
              <w:t>2</w:t>
            </w:r>
          </w:p>
        </w:tc>
        <w:tc>
          <w:tcPr>
            <w:tcW w:w="1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SACERS technical assistance consultation</w:t>
            </w:r>
          </w:p>
        </w:tc>
        <w:tc>
          <w:tcPr>
            <w:tcW w:w="2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65B30" w:rsidRPr="00A65B30" w:rsidTr="007633B8">
        <w:trPr>
          <w:trHeight w:val="1200"/>
        </w:trPr>
        <w:tc>
          <w:tcPr>
            <w:tcW w:w="4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30" w:rsidRPr="00A65B30" w:rsidRDefault="006517D5" w:rsidP="000D3B7E">
            <w:pPr>
              <w:pStyle w:val="Heading5"/>
              <w:rPr>
                <w:rFonts w:eastAsia="Times New Roman"/>
              </w:rPr>
            </w:pPr>
            <w:r w:rsidRPr="006517D5">
              <w:t>Level</w:t>
            </w:r>
            <w:r w:rsidRPr="006517D5">
              <w:rPr>
                <w:rFonts w:eastAsia="Times New Roman"/>
              </w:rPr>
              <w:t xml:space="preserve"> </w:t>
            </w:r>
            <w:r w:rsidR="00A65B30" w:rsidRPr="00A65B30">
              <w:rPr>
                <w:rFonts w:eastAsia="Times New Roman"/>
              </w:rPr>
              <w:t>3</w:t>
            </w:r>
          </w:p>
        </w:tc>
        <w:tc>
          <w:tcPr>
            <w:tcW w:w="19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SACERS reliable rater visit and APT technical assistance consultation</w:t>
            </w:r>
          </w:p>
        </w:tc>
        <w:tc>
          <w:tcPr>
            <w:tcW w:w="2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65B30" w:rsidRPr="00A65B30" w:rsidTr="007633B8">
        <w:trPr>
          <w:trHeight w:val="1200"/>
        </w:trPr>
        <w:tc>
          <w:tcPr>
            <w:tcW w:w="410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30" w:rsidRPr="00A65B30" w:rsidRDefault="006517D5" w:rsidP="000D3B7E">
            <w:pPr>
              <w:pStyle w:val="Heading5"/>
              <w:rPr>
                <w:rFonts w:eastAsia="Times New Roman"/>
              </w:rPr>
            </w:pPr>
            <w:r w:rsidRPr="006517D5">
              <w:t>Level</w:t>
            </w:r>
            <w:r w:rsidRPr="006517D5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4/</w:t>
            </w:r>
            <w:r w:rsidR="00A65B30" w:rsidRPr="00A65B30">
              <w:rPr>
                <w:rFonts w:eastAsia="Times New Roman"/>
              </w:rPr>
              <w:t>5</w:t>
            </w:r>
          </w:p>
        </w:tc>
        <w:tc>
          <w:tcPr>
            <w:tcW w:w="19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SACERS reliable rater visit and APT observation</w:t>
            </w:r>
          </w:p>
        </w:tc>
        <w:tc>
          <w:tcPr>
            <w:tcW w:w="2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A65B30" w:rsidRDefault="00A65B30">
      <w:pPr>
        <w:spacing w:after="160" w:line="259" w:lineRule="auto"/>
        <w:rPr>
          <w:rFonts w:asciiTheme="majorHAnsi" w:eastAsiaTheme="majorEastAsia" w:hAnsiTheme="majorHAnsi" w:cstheme="majorBidi"/>
          <w:b/>
          <w:sz w:val="36"/>
          <w:szCs w:val="32"/>
        </w:rPr>
      </w:pPr>
    </w:p>
    <w:p w:rsidR="00A65B30" w:rsidRDefault="00A65B30">
      <w:pPr>
        <w:spacing w:after="160" w:line="259" w:lineRule="auto"/>
        <w:rPr>
          <w:rFonts w:asciiTheme="majorHAnsi" w:eastAsiaTheme="majorEastAsia" w:hAnsiTheme="majorHAnsi" w:cstheme="majorBidi"/>
          <w:b/>
          <w:sz w:val="36"/>
          <w:szCs w:val="32"/>
        </w:rPr>
      </w:pPr>
      <w:r>
        <w:rPr>
          <w:rFonts w:asciiTheme="majorHAnsi" w:eastAsiaTheme="majorEastAsia" w:hAnsiTheme="majorHAnsi" w:cstheme="majorBidi"/>
          <w:b/>
          <w:sz w:val="36"/>
          <w:szCs w:val="32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82"/>
        <w:gridCol w:w="771"/>
        <w:gridCol w:w="6520"/>
        <w:gridCol w:w="5907"/>
      </w:tblGrid>
      <w:tr w:rsidR="00A65B30" w:rsidRPr="00A65B30" w:rsidTr="007633B8">
        <w:trPr>
          <w:trHeight w:val="499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30" w:rsidRPr="000D3B7E" w:rsidRDefault="00A65B30" w:rsidP="000D3B7E">
            <w:pPr>
              <w:pStyle w:val="Heading2"/>
            </w:pPr>
            <w:r w:rsidRPr="000D3B7E">
              <w:lastRenderedPageBreak/>
              <w:t>STANDARD 3: FAMILY AND COMMUNITY ENGAGEMENT</w:t>
            </w:r>
          </w:p>
        </w:tc>
      </w:tr>
      <w:tr w:rsidR="00A65B30" w:rsidRPr="00A65B30" w:rsidTr="007633B8">
        <w:trPr>
          <w:trHeight w:val="499"/>
        </w:trPr>
        <w:tc>
          <w:tcPr>
            <w:tcW w:w="294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30" w:rsidRPr="000D3B7E" w:rsidRDefault="00A65B30" w:rsidP="000D3B7E">
            <w:pPr>
              <w:pStyle w:val="Heading2"/>
            </w:pPr>
            <w:r w:rsidRPr="000D3B7E">
              <w:t>Criterion</w:t>
            </w:r>
          </w:p>
        </w:tc>
        <w:tc>
          <w:tcPr>
            <w:tcW w:w="20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B30" w:rsidRPr="000D3B7E" w:rsidRDefault="00A65B30" w:rsidP="000D3B7E">
            <w:pPr>
              <w:pStyle w:val="Heading2"/>
            </w:pPr>
            <w:r w:rsidRPr="000D3B7E">
              <w:t>Rationale</w:t>
            </w:r>
          </w:p>
        </w:tc>
      </w:tr>
      <w:tr w:rsidR="00A65B30" w:rsidRPr="00A65B30" w:rsidTr="007633B8">
        <w:trPr>
          <w:trHeight w:val="1200"/>
        </w:trPr>
        <w:tc>
          <w:tcPr>
            <w:tcW w:w="2946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5B30" w:rsidRPr="00A65B30" w:rsidRDefault="00A65B30" w:rsidP="00E77216">
            <w:pPr>
              <w:pStyle w:val="Heading3"/>
              <w:rPr>
                <w:rFonts w:eastAsia="Times New Roman"/>
              </w:rPr>
            </w:pPr>
            <w:r w:rsidRPr="00A65B30">
              <w:rPr>
                <w:rFonts w:eastAsia="Times New Roman"/>
              </w:rPr>
              <w:t>3A. Family Engagement: Program communicates and partners with families.</w:t>
            </w:r>
          </w:p>
        </w:tc>
        <w:tc>
          <w:tcPr>
            <w:tcW w:w="205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505DC" w:rsidRDefault="00A65B30" w:rsidP="00B505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Research has documented family engagement and supports as key c</w:t>
            </w:r>
            <w:r w:rsidR="00CC2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omponents to high quality after</w:t>
            </w: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school programs that foster children’s outcomes (</w:t>
            </w:r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Metz, Goldsmith &amp; </w:t>
            </w:r>
            <w:proofErr w:type="spellStart"/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Arbreton</w:t>
            </w:r>
            <w:proofErr w:type="spellEnd"/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CC202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2008</w:t>
            </w:r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; Beckett, Hawken &amp; </w:t>
            </w:r>
            <w:proofErr w:type="spellStart"/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Jacknowitz</w:t>
            </w:r>
            <w:proofErr w:type="spellEnd"/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CC202A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2001</w:t>
            </w: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). </w:t>
            </w:r>
          </w:p>
          <w:p w:rsidR="00B505DC" w:rsidRDefault="00B505DC" w:rsidP="00B505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A65B30" w:rsidRPr="00A65B30" w:rsidRDefault="00A65B30" w:rsidP="00B505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According to </w:t>
            </w:r>
            <w:r w:rsidR="00B313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the </w:t>
            </w:r>
            <w:r w:rsidRPr="00A65B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National Association of Afterschool </w:t>
            </w:r>
            <w:r w:rsidR="00B313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Pr="00B313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ccreditation</w:t>
            </w: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process, educators should support families’ involvement in the program including: allowing family members to visit, </w:t>
            </w:r>
            <w:r w:rsidR="00B313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providing </w:t>
            </w:r>
            <w:r w:rsidR="00CC2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 orientation for new families,</w:t>
            </w: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and encouraging families to provide input and to get involved in program events.  Additionally, educators should share information with families to sup</w:t>
            </w:r>
            <w:r w:rsidR="00CC2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port the well-being of children</w:t>
            </w: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and work with families as a te</w:t>
            </w:r>
            <w:r w:rsidR="00B505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 to set goals for each child.</w:t>
            </w:r>
          </w:p>
        </w:tc>
      </w:tr>
      <w:tr w:rsidR="00A65B30" w:rsidRPr="00A65B30" w:rsidTr="007633B8">
        <w:trPr>
          <w:trHeight w:val="1200"/>
        </w:trPr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30" w:rsidRPr="00A65B30" w:rsidRDefault="00A65B30" w:rsidP="000D3B7E">
            <w:pPr>
              <w:pStyle w:val="Heading4"/>
              <w:rPr>
                <w:rFonts w:eastAsia="Times New Roman"/>
              </w:rPr>
            </w:pPr>
            <w:r w:rsidRPr="00A65B30">
              <w:rPr>
                <w:rFonts w:eastAsia="Times New Roman"/>
              </w:rPr>
              <w:t>Indicator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30" w:rsidRPr="00A65B30" w:rsidRDefault="006517D5" w:rsidP="000D3B7E">
            <w:pPr>
              <w:pStyle w:val="Heading5"/>
              <w:rPr>
                <w:rFonts w:eastAsia="Times New Roman"/>
              </w:rPr>
            </w:pPr>
            <w:r w:rsidRPr="006517D5">
              <w:t>Level</w:t>
            </w:r>
            <w:r w:rsidRPr="006517D5">
              <w:rPr>
                <w:rFonts w:eastAsia="Times New Roman"/>
              </w:rPr>
              <w:t xml:space="preserve"> </w:t>
            </w:r>
            <w:r w:rsidR="00A65B30" w:rsidRPr="00A65B30">
              <w:rPr>
                <w:rFonts w:eastAsia="Times New Roman"/>
              </w:rPr>
              <w:t>2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Program communicates monthly with families regarding program activities </w:t>
            </w:r>
          </w:p>
        </w:tc>
        <w:tc>
          <w:tcPr>
            <w:tcW w:w="205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65B30" w:rsidRPr="00A65B30" w:rsidTr="007633B8">
        <w:trPr>
          <w:trHeight w:val="1200"/>
        </w:trPr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30" w:rsidRPr="00A65B30" w:rsidRDefault="006517D5" w:rsidP="000D3B7E">
            <w:pPr>
              <w:pStyle w:val="Heading5"/>
              <w:rPr>
                <w:rFonts w:eastAsia="Times New Roman"/>
              </w:rPr>
            </w:pPr>
            <w:r w:rsidRPr="006517D5">
              <w:t>Level</w:t>
            </w:r>
            <w:r w:rsidRPr="006517D5">
              <w:rPr>
                <w:rFonts w:eastAsia="Times New Roman"/>
              </w:rPr>
              <w:t xml:space="preserve"> </w:t>
            </w:r>
            <w:r w:rsidR="00A65B30" w:rsidRPr="00A65B30">
              <w:rPr>
                <w:rFonts w:eastAsia="Times New Roman"/>
              </w:rPr>
              <w:t>3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Program implements survey to determine how program can better support families</w:t>
            </w:r>
          </w:p>
        </w:tc>
        <w:tc>
          <w:tcPr>
            <w:tcW w:w="205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65B30" w:rsidRPr="00A65B30" w:rsidTr="007633B8">
        <w:trPr>
          <w:trHeight w:val="1200"/>
        </w:trPr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30" w:rsidRPr="00A65B30" w:rsidRDefault="006517D5" w:rsidP="000D3B7E">
            <w:pPr>
              <w:pStyle w:val="Heading5"/>
              <w:rPr>
                <w:rFonts w:eastAsia="Times New Roman"/>
              </w:rPr>
            </w:pPr>
            <w:r w:rsidRPr="006517D5">
              <w:t>Level</w:t>
            </w:r>
            <w:r w:rsidRPr="006517D5">
              <w:rPr>
                <w:rFonts w:eastAsia="Times New Roman"/>
              </w:rPr>
              <w:t xml:space="preserve"> </w:t>
            </w:r>
            <w:r w:rsidR="00A65B30" w:rsidRPr="00A65B30">
              <w:rPr>
                <w:rFonts w:eastAsia="Times New Roman"/>
              </w:rPr>
              <w:t>4/5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Program implements evidence-based family engagement assessment; Program encourages families to engage in enrichment activities that connect program activities to home; Program invites family participation in program decision-making</w:t>
            </w:r>
          </w:p>
        </w:tc>
        <w:tc>
          <w:tcPr>
            <w:tcW w:w="205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CB2F31" w:rsidRDefault="00CB2F31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82"/>
        <w:gridCol w:w="771"/>
        <w:gridCol w:w="6520"/>
        <w:gridCol w:w="5907"/>
      </w:tblGrid>
      <w:tr w:rsidR="007633B8" w:rsidRPr="00A65B30" w:rsidTr="007633B8">
        <w:trPr>
          <w:trHeight w:val="499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33B8" w:rsidRPr="000D3B7E" w:rsidRDefault="007633B8" w:rsidP="000D3B7E">
            <w:pPr>
              <w:pStyle w:val="Heading2"/>
            </w:pPr>
            <w:r w:rsidRPr="000D3B7E">
              <w:lastRenderedPageBreak/>
              <w:t>STANDARD 3: FAMILY AND COMMUNITY ENGAGEMENT</w:t>
            </w:r>
          </w:p>
        </w:tc>
      </w:tr>
      <w:tr w:rsidR="007633B8" w:rsidRPr="00A65B30" w:rsidTr="007633B8">
        <w:trPr>
          <w:trHeight w:val="499"/>
        </w:trPr>
        <w:tc>
          <w:tcPr>
            <w:tcW w:w="294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3B8" w:rsidRPr="000D3B7E" w:rsidRDefault="007633B8" w:rsidP="000D3B7E">
            <w:pPr>
              <w:pStyle w:val="Heading2"/>
            </w:pPr>
            <w:r w:rsidRPr="000D3B7E">
              <w:t>Criterion</w:t>
            </w:r>
          </w:p>
        </w:tc>
        <w:tc>
          <w:tcPr>
            <w:tcW w:w="205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33B8" w:rsidRPr="000D3B7E" w:rsidRDefault="007633B8" w:rsidP="000D3B7E">
            <w:pPr>
              <w:pStyle w:val="Heading2"/>
            </w:pPr>
            <w:r w:rsidRPr="000D3B7E">
              <w:t>Rationale</w:t>
            </w:r>
          </w:p>
        </w:tc>
      </w:tr>
      <w:tr w:rsidR="00A65B30" w:rsidRPr="00A65B30" w:rsidTr="007633B8">
        <w:trPr>
          <w:trHeight w:val="1200"/>
        </w:trPr>
        <w:tc>
          <w:tcPr>
            <w:tcW w:w="2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65B30" w:rsidRPr="00A65B30" w:rsidRDefault="00A65B30" w:rsidP="00E77216">
            <w:pPr>
              <w:pStyle w:val="Heading3"/>
              <w:rPr>
                <w:rFonts w:eastAsia="Times New Roman"/>
              </w:rPr>
            </w:pPr>
            <w:r w:rsidRPr="00A65B30">
              <w:rPr>
                <w:rFonts w:eastAsia="Times New Roman"/>
              </w:rPr>
              <w:t>3B. Community Engagement: Program collaborates with community organizations to support children and families.</w:t>
            </w:r>
          </w:p>
        </w:tc>
        <w:tc>
          <w:tcPr>
            <w:tcW w:w="2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505DC" w:rsidRDefault="00A65B30" w:rsidP="00B505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In a </w:t>
            </w:r>
            <w:r w:rsidR="00504E82"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meta-analysis</w:t>
            </w: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of program practices associated with positive youth outcome, </w:t>
            </w:r>
            <w:r w:rsidR="00CC2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“</w:t>
            </w: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partnerships with community organizations and community contacts</w:t>
            </w:r>
            <w:r w:rsidR="00CC202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”</w:t>
            </w: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was identified as a practice that supports outcomes (</w:t>
            </w:r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Beckett et al</w:t>
            </w: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2001). </w:t>
            </w:r>
          </w:p>
          <w:p w:rsidR="00B505DC" w:rsidRDefault="00B505DC" w:rsidP="00B505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B505DC" w:rsidRDefault="00A65B30" w:rsidP="00B505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Bodilly</w:t>
            </w:r>
            <w:proofErr w:type="spellEnd"/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&amp; Beckett</w:t>
            </w: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(2005) conducted a study of literature on afterschool program quality and developed a list of nine afterschool quality domains that includes: integrated fam</w:t>
            </w:r>
            <w:r w:rsidR="00B505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ily and community partnerships.</w:t>
            </w:r>
          </w:p>
          <w:p w:rsidR="00B505DC" w:rsidRDefault="00B505DC" w:rsidP="00B505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A65B30" w:rsidRPr="00A65B30" w:rsidRDefault="00A65B30" w:rsidP="00B505DC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According to the </w:t>
            </w:r>
            <w:r w:rsidRPr="00A65B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Natio</w:t>
            </w:r>
            <w:r w:rsidR="00B3135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nal Association of Afterschool </w:t>
            </w:r>
            <w:r w:rsidR="00B3135B" w:rsidRPr="00B313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</w:t>
            </w:r>
            <w:r w:rsidRPr="00B313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ccreditation</w:t>
            </w:r>
            <w:r w:rsidRPr="00A65B3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process, pro</w:t>
            </w:r>
            <w:r w:rsidR="00B505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grams a</w:t>
            </w: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 required to create links to the commun</w:t>
            </w:r>
            <w:r w:rsidR="00B505D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ity.  Additionally, programs</w:t>
            </w: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B505DC"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should</w:t>
            </w: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provide information about community resources to meet the needs</w:t>
            </w:r>
            <w:r w:rsidR="00B313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of children and their families</w:t>
            </w: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and develop lists of community resources for reference.</w:t>
            </w:r>
          </w:p>
        </w:tc>
      </w:tr>
      <w:tr w:rsidR="00A65B30" w:rsidRPr="00A65B30" w:rsidTr="007633B8">
        <w:trPr>
          <w:trHeight w:val="1200"/>
        </w:trPr>
        <w:tc>
          <w:tcPr>
            <w:tcW w:w="411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30" w:rsidRPr="00A65B30" w:rsidRDefault="00A65B30" w:rsidP="000D3B7E">
            <w:pPr>
              <w:pStyle w:val="Heading4"/>
              <w:rPr>
                <w:rFonts w:eastAsia="Times New Roman"/>
              </w:rPr>
            </w:pPr>
            <w:r w:rsidRPr="00A65B30">
              <w:rPr>
                <w:rFonts w:eastAsia="Times New Roman"/>
              </w:rPr>
              <w:t>Indicator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30" w:rsidRPr="00A65B30" w:rsidRDefault="006517D5" w:rsidP="000D3B7E">
            <w:pPr>
              <w:pStyle w:val="Heading5"/>
              <w:rPr>
                <w:rFonts w:eastAsia="Times New Roman"/>
              </w:rPr>
            </w:pPr>
            <w:r w:rsidRPr="006517D5">
              <w:t>Level</w:t>
            </w:r>
            <w:r w:rsidRPr="006517D5">
              <w:rPr>
                <w:rFonts w:eastAsia="Times New Roman"/>
              </w:rPr>
              <w:t xml:space="preserve"> </w:t>
            </w:r>
            <w:r w:rsidR="00A65B30" w:rsidRPr="00A65B30">
              <w:rPr>
                <w:rFonts w:eastAsia="Times New Roman"/>
              </w:rPr>
              <w:t>2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Program provides information about community-based resources for children and families </w:t>
            </w:r>
          </w:p>
        </w:tc>
        <w:tc>
          <w:tcPr>
            <w:tcW w:w="20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65B30" w:rsidRPr="00A65B30" w:rsidTr="007633B8">
        <w:trPr>
          <w:trHeight w:val="1200"/>
        </w:trPr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30" w:rsidRPr="00A65B30" w:rsidRDefault="006517D5" w:rsidP="000D3B7E">
            <w:pPr>
              <w:pStyle w:val="Heading5"/>
              <w:rPr>
                <w:rFonts w:eastAsia="Times New Roman"/>
              </w:rPr>
            </w:pPr>
            <w:r w:rsidRPr="006517D5">
              <w:t>Level</w:t>
            </w:r>
            <w:r w:rsidRPr="006517D5">
              <w:rPr>
                <w:rFonts w:eastAsia="Times New Roman"/>
              </w:rPr>
              <w:t xml:space="preserve"> </w:t>
            </w:r>
            <w:r w:rsidR="00A65B30" w:rsidRPr="00A65B30">
              <w:rPr>
                <w:rFonts w:eastAsia="Times New Roman"/>
              </w:rPr>
              <w:t>3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Program provides individualized referrals based on family survey for community-based resources to families and provides informal follow-up with families</w:t>
            </w:r>
          </w:p>
        </w:tc>
        <w:tc>
          <w:tcPr>
            <w:tcW w:w="20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65B30" w:rsidRPr="00A65B30" w:rsidTr="007633B8">
        <w:trPr>
          <w:trHeight w:val="1200"/>
        </w:trPr>
        <w:tc>
          <w:tcPr>
            <w:tcW w:w="411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30" w:rsidRPr="00A65B30" w:rsidRDefault="006517D5" w:rsidP="000D3B7E">
            <w:pPr>
              <w:pStyle w:val="Heading5"/>
              <w:rPr>
                <w:rFonts w:eastAsia="Times New Roman"/>
              </w:rPr>
            </w:pPr>
            <w:r w:rsidRPr="006517D5">
              <w:t>Level</w:t>
            </w:r>
            <w:r w:rsidRPr="006517D5">
              <w:rPr>
                <w:rFonts w:eastAsia="Times New Roman"/>
              </w:rPr>
              <w:t xml:space="preserve"> </w:t>
            </w:r>
            <w:r w:rsidR="00A65B30" w:rsidRPr="00A65B30">
              <w:rPr>
                <w:rFonts w:eastAsia="Times New Roman"/>
              </w:rPr>
              <w:t>4/5</w:t>
            </w:r>
          </w:p>
        </w:tc>
        <w:tc>
          <w:tcPr>
            <w:tcW w:w="22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Program uses community-based resources to enrich programming; Program collaborates with public schools</w:t>
            </w:r>
          </w:p>
        </w:tc>
        <w:tc>
          <w:tcPr>
            <w:tcW w:w="20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A65B30" w:rsidRDefault="00A65B30">
      <w:pPr>
        <w:spacing w:after="160" w:line="259" w:lineRule="auto"/>
        <w:rPr>
          <w:rFonts w:asciiTheme="majorHAnsi" w:eastAsiaTheme="majorEastAsia" w:hAnsiTheme="majorHAnsi" w:cstheme="majorBidi"/>
          <w:b/>
          <w:sz w:val="36"/>
          <w:szCs w:val="32"/>
        </w:rPr>
      </w:pPr>
    </w:p>
    <w:p w:rsidR="00A65B30" w:rsidRDefault="00A65B30">
      <w:pPr>
        <w:spacing w:after="160" w:line="259" w:lineRule="auto"/>
        <w:rPr>
          <w:rFonts w:asciiTheme="majorHAnsi" w:eastAsiaTheme="majorEastAsia" w:hAnsiTheme="majorHAnsi" w:cstheme="majorBidi"/>
          <w:b/>
          <w:sz w:val="36"/>
          <w:szCs w:val="32"/>
        </w:rPr>
      </w:pPr>
      <w:r>
        <w:rPr>
          <w:rFonts w:asciiTheme="majorHAnsi" w:eastAsiaTheme="majorEastAsia" w:hAnsiTheme="majorHAnsi" w:cstheme="majorBidi"/>
          <w:b/>
          <w:sz w:val="36"/>
          <w:szCs w:val="32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79"/>
        <w:gridCol w:w="768"/>
        <w:gridCol w:w="6324"/>
        <w:gridCol w:w="6109"/>
      </w:tblGrid>
      <w:tr w:rsidR="00A65B30" w:rsidRPr="00A65B30" w:rsidTr="007633B8">
        <w:trPr>
          <w:trHeight w:val="499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5B30" w:rsidRPr="00A65B30" w:rsidRDefault="00A65B30" w:rsidP="007633B8">
            <w:pPr>
              <w:pStyle w:val="Heading2"/>
              <w:rPr>
                <w:rFonts w:eastAsia="Times New Roman"/>
              </w:rPr>
            </w:pPr>
            <w:r w:rsidRPr="00A65B30">
              <w:rPr>
                <w:rFonts w:eastAsia="Times New Roman"/>
              </w:rPr>
              <w:lastRenderedPageBreak/>
              <w:t>STANDARD 4: PROFESSIONAL CULTURE, PROFESSIONAL DEVELOPMENT, AND REFLECTIVE PRACTICE</w:t>
            </w:r>
          </w:p>
        </w:tc>
      </w:tr>
      <w:tr w:rsidR="00A65B30" w:rsidRPr="00A65B30" w:rsidTr="007633B8">
        <w:trPr>
          <w:trHeight w:val="499"/>
        </w:trPr>
        <w:tc>
          <w:tcPr>
            <w:tcW w:w="287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30" w:rsidRPr="00A65B30" w:rsidRDefault="00A65B30" w:rsidP="00E77216">
            <w:pPr>
              <w:pStyle w:val="Heading2"/>
              <w:rPr>
                <w:rFonts w:eastAsia="Times New Roman"/>
              </w:rPr>
            </w:pPr>
            <w:r w:rsidRPr="00A65B30">
              <w:rPr>
                <w:rFonts w:eastAsia="Times New Roman"/>
              </w:rPr>
              <w:t>Criterion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B30" w:rsidRPr="00A65B30" w:rsidRDefault="00A65B30" w:rsidP="00E77216">
            <w:pPr>
              <w:pStyle w:val="Heading2"/>
              <w:rPr>
                <w:rFonts w:eastAsia="Times New Roman"/>
              </w:rPr>
            </w:pPr>
            <w:r w:rsidRPr="00A65B30">
              <w:rPr>
                <w:rFonts w:eastAsia="Times New Roman"/>
              </w:rPr>
              <w:t>Rationale</w:t>
            </w:r>
          </w:p>
        </w:tc>
      </w:tr>
      <w:tr w:rsidR="00A65B30" w:rsidRPr="00A65B30" w:rsidTr="007633B8">
        <w:trPr>
          <w:trHeight w:val="1200"/>
        </w:trPr>
        <w:tc>
          <w:tcPr>
            <w:tcW w:w="287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A65B30" w:rsidRPr="00A65B30" w:rsidRDefault="00A65B30" w:rsidP="00E77216">
            <w:pPr>
              <w:pStyle w:val="Heading3"/>
              <w:rPr>
                <w:rFonts w:eastAsia="Times New Roman"/>
              </w:rPr>
            </w:pPr>
            <w:r w:rsidRPr="00A65B30">
              <w:rPr>
                <w:rFonts w:eastAsia="Times New Roman"/>
              </w:rPr>
              <w:t>4A. Professional Culture: Program policies encourage a professional work environment and program sustainability.</w:t>
            </w:r>
          </w:p>
        </w:tc>
        <w:tc>
          <w:tcPr>
            <w:tcW w:w="212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B2F31" w:rsidRDefault="00A65B30" w:rsidP="00CB2F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According to </w:t>
            </w:r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NAA</w:t>
            </w: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accreditation standards, staff (paid, volunteer, and substitute) should be given: an orientation to the job before working with children and youth; written personnel policies that are reviewed with staff; and written program policies and procedures, including emergency procedures and confidentiality policies that</w:t>
            </w:r>
            <w:r w:rsidR="00CB2F3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are also reviewed with staff.</w:t>
            </w:r>
          </w:p>
          <w:p w:rsidR="00CB2F31" w:rsidRDefault="00CB2F31" w:rsidP="00CB2F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CB2F31" w:rsidRDefault="00A65B30" w:rsidP="00CB2F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Additionally, staff should be given ample time to discuss their c</w:t>
            </w:r>
            <w:r w:rsidR="00CB2F3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oncerns regarding the program.</w:t>
            </w:r>
          </w:p>
          <w:p w:rsidR="00CB2F31" w:rsidRDefault="00CB2F31" w:rsidP="00CB2F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A65B30" w:rsidRPr="00A65B30" w:rsidRDefault="00A65B30" w:rsidP="00CB2F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Additionally, NAA requires appropriate financial management of program supports the program’s goals; the management of recruitment and retention of program staff; and the involvement of staff, the program's board and families in planning. </w:t>
            </w:r>
          </w:p>
        </w:tc>
      </w:tr>
      <w:tr w:rsidR="00A65B30" w:rsidRPr="00A65B30" w:rsidTr="007633B8">
        <w:trPr>
          <w:trHeight w:val="1200"/>
        </w:trPr>
        <w:tc>
          <w:tcPr>
            <w:tcW w:w="41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30" w:rsidRPr="00A65B30" w:rsidRDefault="00A65B30" w:rsidP="000D3B7E">
            <w:pPr>
              <w:pStyle w:val="Heading4"/>
              <w:rPr>
                <w:rFonts w:eastAsia="Times New Roman"/>
              </w:rPr>
            </w:pPr>
            <w:r w:rsidRPr="00A65B30">
              <w:rPr>
                <w:rFonts w:eastAsia="Times New Roman"/>
              </w:rPr>
              <w:t>Indicator</w:t>
            </w:r>
          </w:p>
        </w:tc>
        <w:tc>
          <w:tcPr>
            <w:tcW w:w="2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30" w:rsidRPr="00A65B30" w:rsidRDefault="006517D5" w:rsidP="000D3B7E">
            <w:pPr>
              <w:pStyle w:val="Heading5"/>
              <w:rPr>
                <w:rFonts w:eastAsia="Times New Roman"/>
              </w:rPr>
            </w:pPr>
            <w:r w:rsidRPr="006517D5">
              <w:t>Level</w:t>
            </w:r>
            <w:r w:rsidRPr="006517D5">
              <w:rPr>
                <w:rFonts w:eastAsia="Times New Roman"/>
              </w:rPr>
              <w:t xml:space="preserve"> </w:t>
            </w:r>
            <w:r w:rsidR="00A65B30" w:rsidRPr="00A65B30">
              <w:rPr>
                <w:rFonts w:eastAsia="Times New Roman"/>
              </w:rPr>
              <w:t>2</w:t>
            </w:r>
          </w:p>
        </w:tc>
        <w:tc>
          <w:tcPr>
            <w:tcW w:w="2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Program implements formal staff orientation that includes staff handbook, defined process of accountability, and clear outline of organizational structures, resources, and supervision</w:t>
            </w:r>
          </w:p>
        </w:tc>
        <w:tc>
          <w:tcPr>
            <w:tcW w:w="21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65B30" w:rsidRPr="00A65B30" w:rsidTr="007633B8">
        <w:trPr>
          <w:trHeight w:val="1200"/>
        </w:trPr>
        <w:tc>
          <w:tcPr>
            <w:tcW w:w="410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30" w:rsidRPr="00A65B30" w:rsidRDefault="006517D5" w:rsidP="000D3B7E">
            <w:pPr>
              <w:pStyle w:val="Heading5"/>
              <w:rPr>
                <w:rFonts w:eastAsia="Times New Roman"/>
              </w:rPr>
            </w:pPr>
            <w:r w:rsidRPr="006517D5">
              <w:t>Level</w:t>
            </w:r>
            <w:r w:rsidRPr="006517D5">
              <w:rPr>
                <w:rFonts w:eastAsia="Times New Roman"/>
              </w:rPr>
              <w:t xml:space="preserve"> </w:t>
            </w:r>
            <w:r w:rsidR="00A65B30" w:rsidRPr="00A65B30">
              <w:rPr>
                <w:rFonts w:eastAsia="Times New Roman"/>
              </w:rPr>
              <w:t>3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Program regularly conducts staff survey to gather feedback regarding job satisfaction, needed supports, monthly staff meeting, and orientation procedures</w:t>
            </w:r>
          </w:p>
        </w:tc>
        <w:tc>
          <w:tcPr>
            <w:tcW w:w="212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65B30" w:rsidRPr="00A65B30" w:rsidTr="007633B8">
        <w:trPr>
          <w:trHeight w:val="1200"/>
        </w:trPr>
        <w:tc>
          <w:tcPr>
            <w:tcW w:w="410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B30" w:rsidRPr="00A65B30" w:rsidRDefault="006517D5" w:rsidP="000D3B7E">
            <w:pPr>
              <w:pStyle w:val="Heading5"/>
              <w:rPr>
                <w:rFonts w:eastAsia="Times New Roman"/>
              </w:rPr>
            </w:pPr>
            <w:r w:rsidRPr="006517D5">
              <w:t>Level</w:t>
            </w:r>
            <w:r w:rsidRPr="006517D5">
              <w:rPr>
                <w:rFonts w:eastAsia="Times New Roman"/>
              </w:rPr>
              <w:t xml:space="preserve"> </w:t>
            </w:r>
            <w:r w:rsidR="00A65B30" w:rsidRPr="00A65B30">
              <w:rPr>
                <w:rFonts w:eastAsia="Times New Roman"/>
              </w:rPr>
              <w:t>4/5</w:t>
            </w:r>
          </w:p>
        </w:tc>
        <w:tc>
          <w:tcPr>
            <w:tcW w:w="21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Program staff and administrators ensure program sustainability through regular examination of organizational practices and protocols</w:t>
            </w:r>
          </w:p>
        </w:tc>
        <w:tc>
          <w:tcPr>
            <w:tcW w:w="21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CB2F31" w:rsidRDefault="00CB2F31">
      <w:r>
        <w:br w:type="page"/>
      </w:r>
    </w:p>
    <w:tbl>
      <w:tblPr>
        <w:tblW w:w="500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1"/>
        <w:gridCol w:w="769"/>
        <w:gridCol w:w="6334"/>
        <w:gridCol w:w="6118"/>
      </w:tblGrid>
      <w:tr w:rsidR="007633B8" w:rsidRPr="00A65B30" w:rsidTr="007633B8">
        <w:trPr>
          <w:trHeight w:val="499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7633B8" w:rsidRPr="00A65B30" w:rsidRDefault="007633B8" w:rsidP="007F7B29">
            <w:pPr>
              <w:pStyle w:val="Heading2"/>
              <w:rPr>
                <w:rFonts w:eastAsia="Times New Roman"/>
              </w:rPr>
            </w:pPr>
            <w:r w:rsidRPr="00A65B30">
              <w:rPr>
                <w:rFonts w:eastAsia="Times New Roman"/>
              </w:rPr>
              <w:lastRenderedPageBreak/>
              <w:t>STANDARD 4: PROFESSIONAL CULTURE, PROFESSIONAL DEVELOPMENT, AND REFLECTIVE PRACTICE</w:t>
            </w:r>
          </w:p>
        </w:tc>
      </w:tr>
      <w:tr w:rsidR="007633B8" w:rsidRPr="00A65B30" w:rsidTr="007633B8">
        <w:trPr>
          <w:trHeight w:val="499"/>
        </w:trPr>
        <w:tc>
          <w:tcPr>
            <w:tcW w:w="2876" w:type="pct"/>
            <w:gridSpan w:val="3"/>
            <w:shd w:val="clear" w:color="auto" w:fill="auto"/>
            <w:vAlign w:val="center"/>
            <w:hideMark/>
          </w:tcPr>
          <w:p w:rsidR="007633B8" w:rsidRPr="00A65B30" w:rsidRDefault="007633B8" w:rsidP="007F7B29">
            <w:pPr>
              <w:pStyle w:val="Heading2"/>
              <w:rPr>
                <w:rFonts w:eastAsia="Times New Roman"/>
              </w:rPr>
            </w:pPr>
            <w:r w:rsidRPr="00A65B30">
              <w:rPr>
                <w:rFonts w:eastAsia="Times New Roman"/>
              </w:rPr>
              <w:t>Criterion</w:t>
            </w:r>
          </w:p>
        </w:tc>
        <w:tc>
          <w:tcPr>
            <w:tcW w:w="2124" w:type="pct"/>
            <w:shd w:val="clear" w:color="auto" w:fill="auto"/>
            <w:vAlign w:val="center"/>
            <w:hideMark/>
          </w:tcPr>
          <w:p w:rsidR="007633B8" w:rsidRPr="00A65B30" w:rsidRDefault="007633B8" w:rsidP="007F7B29">
            <w:pPr>
              <w:pStyle w:val="Heading2"/>
              <w:rPr>
                <w:rFonts w:eastAsia="Times New Roman"/>
              </w:rPr>
            </w:pPr>
            <w:r w:rsidRPr="00A65B30">
              <w:rPr>
                <w:rFonts w:eastAsia="Times New Roman"/>
              </w:rPr>
              <w:t>Rationale</w:t>
            </w:r>
          </w:p>
        </w:tc>
      </w:tr>
      <w:tr w:rsidR="00A65B30" w:rsidRPr="00A65B30" w:rsidTr="007633B8">
        <w:trPr>
          <w:trHeight w:val="1200"/>
        </w:trPr>
        <w:tc>
          <w:tcPr>
            <w:tcW w:w="2876" w:type="pct"/>
            <w:gridSpan w:val="3"/>
            <w:shd w:val="clear" w:color="000000" w:fill="D9D9D9"/>
            <w:vAlign w:val="center"/>
            <w:hideMark/>
          </w:tcPr>
          <w:p w:rsidR="00A65B30" w:rsidRPr="00A65B30" w:rsidRDefault="00A65B30" w:rsidP="00E77216">
            <w:pPr>
              <w:pStyle w:val="Heading3"/>
              <w:rPr>
                <w:rFonts w:eastAsia="Times New Roman"/>
              </w:rPr>
            </w:pPr>
            <w:r w:rsidRPr="00A65B30">
              <w:rPr>
                <w:rFonts w:eastAsia="Times New Roman"/>
              </w:rPr>
              <w:t>4B. Professional Development: Program uses quality supports and professional development to increase knowledge and competency.</w:t>
            </w:r>
          </w:p>
        </w:tc>
        <w:tc>
          <w:tcPr>
            <w:tcW w:w="2124" w:type="pct"/>
            <w:vMerge w:val="restart"/>
            <w:shd w:val="clear" w:color="000000" w:fill="D9D9D9"/>
            <w:vAlign w:val="center"/>
            <w:hideMark/>
          </w:tcPr>
          <w:p w:rsidR="00CB2F31" w:rsidRDefault="00A65B30" w:rsidP="00CB2F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Research has noted that stable</w:t>
            </w:r>
            <w:r w:rsidR="00B313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</w:t>
            </w: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well-trained staff are important components of program quality (</w:t>
            </w:r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Bodily &amp; Beckett, </w:t>
            </w:r>
            <w:r w:rsidRPr="00B3135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2005</w:t>
            </w:r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; Becket et al, </w:t>
            </w:r>
            <w:r w:rsidRPr="00B3135B">
              <w:rPr>
                <w:rFonts w:ascii="Calibri" w:eastAsia="Times New Roman" w:hAnsi="Calibri" w:cs="Calibri"/>
                <w:bCs/>
                <w:color w:val="000000"/>
                <w:sz w:val="20"/>
                <w:szCs w:val="20"/>
              </w:rPr>
              <w:t>2001</w:t>
            </w:r>
            <w:r w:rsidR="00CB2F3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).</w:t>
            </w:r>
          </w:p>
          <w:p w:rsidR="00CB2F31" w:rsidRDefault="00CB2F31" w:rsidP="00CB2F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CB2F31" w:rsidRDefault="00A65B30" w:rsidP="00CB2F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According to </w:t>
            </w:r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NAA</w:t>
            </w: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accreditation, the training needs o</w:t>
            </w:r>
            <w:r w:rsidR="00B313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f the staff should be assessed </w:t>
            </w: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 training provided by programs should be relevant to the needs and responsibilities of each staff member.  Specifically, s</w:t>
            </w:r>
            <w:r w:rsidR="00B313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taff should receive training on: </w:t>
            </w: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how to work with families; how to promote the safety, health, and nutrition of children; and how to set up program space and design activi</w:t>
            </w:r>
            <w:r w:rsidR="00CB2F3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ties to support program goals.</w:t>
            </w:r>
          </w:p>
          <w:p w:rsidR="00CB2F31" w:rsidRDefault="00CB2F31" w:rsidP="00CB2F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A65B30" w:rsidRPr="00A65B30" w:rsidRDefault="00A65B30" w:rsidP="00CB2F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Additionally</w:t>
            </w:r>
            <w:r w:rsidR="00B313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</w:t>
            </w: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B3135B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NAA</w:t>
            </w: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notes that program directors and administrators should receive training </w:t>
            </w:r>
            <w:r w:rsidR="00B313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</w:t>
            </w: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 program management and staff supervision.</w:t>
            </w:r>
          </w:p>
        </w:tc>
      </w:tr>
      <w:tr w:rsidR="00CB2F31" w:rsidRPr="00A65B30" w:rsidTr="007633B8">
        <w:trPr>
          <w:trHeight w:val="1200"/>
        </w:trPr>
        <w:tc>
          <w:tcPr>
            <w:tcW w:w="410" w:type="pct"/>
            <w:vMerge w:val="restart"/>
            <w:shd w:val="clear" w:color="auto" w:fill="auto"/>
            <w:vAlign w:val="center"/>
            <w:hideMark/>
          </w:tcPr>
          <w:p w:rsidR="00A65B30" w:rsidRPr="00A65B30" w:rsidRDefault="00A65B30" w:rsidP="000D3B7E">
            <w:pPr>
              <w:pStyle w:val="Heading4"/>
              <w:rPr>
                <w:rFonts w:eastAsia="Times New Roman"/>
              </w:rPr>
            </w:pPr>
            <w:r w:rsidRPr="00A65B30">
              <w:rPr>
                <w:rFonts w:eastAsia="Times New Roman"/>
              </w:rPr>
              <w:t>Indicator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65B30" w:rsidRPr="007633B8" w:rsidRDefault="006517D5" w:rsidP="000D3B7E">
            <w:pPr>
              <w:pStyle w:val="Heading5"/>
            </w:pPr>
            <w:r w:rsidRPr="007633B8">
              <w:t xml:space="preserve">Level </w:t>
            </w:r>
            <w:r w:rsidR="00A65B30" w:rsidRPr="007633B8">
              <w:t>2a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Program administrator provides staff observation and guidance to promote practice and foster Career Lattice advancement</w:t>
            </w:r>
          </w:p>
        </w:tc>
        <w:tc>
          <w:tcPr>
            <w:tcW w:w="2124" w:type="pct"/>
            <w:vMerge/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2F31" w:rsidRPr="00A65B30" w:rsidTr="007633B8">
        <w:trPr>
          <w:trHeight w:val="1200"/>
        </w:trPr>
        <w:tc>
          <w:tcPr>
            <w:tcW w:w="410" w:type="pct"/>
            <w:vMerge/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65B30" w:rsidRPr="007633B8" w:rsidRDefault="006517D5" w:rsidP="000D3B7E">
            <w:pPr>
              <w:pStyle w:val="Heading5"/>
            </w:pPr>
            <w:r w:rsidRPr="007633B8">
              <w:t xml:space="preserve">Level </w:t>
            </w:r>
            <w:r w:rsidR="00A65B30" w:rsidRPr="007633B8">
              <w:t>2b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Program uses quality supports and professional development opportunities in response to ERS technical assistance consultation and internal observations</w:t>
            </w:r>
          </w:p>
        </w:tc>
        <w:tc>
          <w:tcPr>
            <w:tcW w:w="2124" w:type="pct"/>
            <w:vMerge/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65B30" w:rsidRPr="00A65B30" w:rsidTr="007633B8">
        <w:trPr>
          <w:trHeight w:val="1200"/>
        </w:trPr>
        <w:tc>
          <w:tcPr>
            <w:tcW w:w="410" w:type="pct"/>
            <w:vMerge/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65B30" w:rsidRPr="007633B8" w:rsidRDefault="006517D5" w:rsidP="000D3B7E">
            <w:pPr>
              <w:pStyle w:val="Heading5"/>
            </w:pPr>
            <w:r w:rsidRPr="007633B8">
              <w:t xml:space="preserve">Level </w:t>
            </w:r>
            <w:r w:rsidR="00A65B30" w:rsidRPr="007633B8">
              <w:t>3a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Program administrator provides regular feedback to staff based on observation of practice and staff Career Lattice goals</w:t>
            </w:r>
          </w:p>
        </w:tc>
        <w:tc>
          <w:tcPr>
            <w:tcW w:w="2124" w:type="pct"/>
            <w:vMerge/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65B30" w:rsidRPr="00A65B30" w:rsidTr="007633B8">
        <w:trPr>
          <w:trHeight w:val="1200"/>
        </w:trPr>
        <w:tc>
          <w:tcPr>
            <w:tcW w:w="410" w:type="pct"/>
            <w:vMerge/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65B30" w:rsidRPr="007633B8" w:rsidRDefault="006517D5" w:rsidP="000D3B7E">
            <w:pPr>
              <w:pStyle w:val="Heading5"/>
            </w:pPr>
            <w:r w:rsidRPr="007633B8">
              <w:t xml:space="preserve">Level </w:t>
            </w:r>
            <w:r w:rsidR="00A65B30" w:rsidRPr="007633B8">
              <w:t>3b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Program uses quality supports and professional development opportunities in response to ERS reliable rater visit, APT technical assistance consultation, and internal observations</w:t>
            </w:r>
          </w:p>
        </w:tc>
        <w:tc>
          <w:tcPr>
            <w:tcW w:w="2124" w:type="pct"/>
            <w:vMerge/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65B30" w:rsidRPr="00A65B30" w:rsidTr="007633B8">
        <w:trPr>
          <w:trHeight w:val="1200"/>
        </w:trPr>
        <w:tc>
          <w:tcPr>
            <w:tcW w:w="410" w:type="pct"/>
            <w:vMerge/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65B30" w:rsidRPr="007633B8" w:rsidRDefault="006517D5" w:rsidP="000D3B7E">
            <w:pPr>
              <w:pStyle w:val="Heading5"/>
            </w:pPr>
            <w:r w:rsidRPr="007633B8">
              <w:t xml:space="preserve">Level </w:t>
            </w:r>
            <w:r w:rsidR="00A65B30" w:rsidRPr="007633B8">
              <w:t>4a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Program administrator develops program-wide professional development plan to assist staff in advancing in the Career Lattice</w:t>
            </w:r>
          </w:p>
        </w:tc>
        <w:tc>
          <w:tcPr>
            <w:tcW w:w="2124" w:type="pct"/>
            <w:vMerge/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2F31" w:rsidRPr="00A65B30" w:rsidTr="007633B8">
        <w:trPr>
          <w:trHeight w:val="1200"/>
        </w:trPr>
        <w:tc>
          <w:tcPr>
            <w:tcW w:w="410" w:type="pct"/>
            <w:vMerge/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65B30" w:rsidRPr="007633B8" w:rsidRDefault="006517D5" w:rsidP="000D3B7E">
            <w:pPr>
              <w:pStyle w:val="Heading5"/>
            </w:pPr>
            <w:r w:rsidRPr="007633B8">
              <w:t xml:space="preserve">Level </w:t>
            </w:r>
            <w:r w:rsidR="00A65B30" w:rsidRPr="007633B8">
              <w:t>4b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Program uses quality supports and professional development opportunities in response to feedback from ERS/APT reliable rater visits and internal observations</w:t>
            </w:r>
          </w:p>
        </w:tc>
        <w:tc>
          <w:tcPr>
            <w:tcW w:w="2124" w:type="pct"/>
            <w:vMerge/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CB2F31" w:rsidRPr="00A65B30" w:rsidTr="007633B8">
        <w:trPr>
          <w:trHeight w:val="1200"/>
        </w:trPr>
        <w:tc>
          <w:tcPr>
            <w:tcW w:w="410" w:type="pct"/>
            <w:vMerge/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65B30" w:rsidRPr="007633B8" w:rsidRDefault="006517D5" w:rsidP="000D3B7E">
            <w:pPr>
              <w:pStyle w:val="Heading5"/>
            </w:pPr>
            <w:r w:rsidRPr="007633B8">
              <w:t xml:space="preserve">Level </w:t>
            </w:r>
            <w:r w:rsidR="00A65B30" w:rsidRPr="007633B8">
              <w:t>5</w:t>
            </w:r>
          </w:p>
        </w:tc>
        <w:tc>
          <w:tcPr>
            <w:tcW w:w="2199" w:type="pct"/>
            <w:shd w:val="clear" w:color="auto" w:fill="auto"/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Program gives quality support and professional development to programs at Levels 1-4 to promote their advancement in the QRIS</w:t>
            </w:r>
          </w:p>
        </w:tc>
        <w:tc>
          <w:tcPr>
            <w:tcW w:w="2124" w:type="pct"/>
            <w:vMerge/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CB2F31" w:rsidRDefault="00CB2F31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768"/>
        <w:gridCol w:w="6323"/>
        <w:gridCol w:w="6107"/>
        <w:gridCol w:w="6"/>
      </w:tblGrid>
      <w:tr w:rsidR="007633B8" w:rsidRPr="00A65B30" w:rsidTr="007633B8">
        <w:trPr>
          <w:trHeight w:val="499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7633B8" w:rsidRPr="00A65B30" w:rsidRDefault="007633B8" w:rsidP="007F7B29">
            <w:pPr>
              <w:pStyle w:val="Heading2"/>
              <w:rPr>
                <w:rFonts w:eastAsia="Times New Roman"/>
              </w:rPr>
            </w:pPr>
            <w:r w:rsidRPr="00A65B30">
              <w:rPr>
                <w:rFonts w:eastAsia="Times New Roman"/>
              </w:rPr>
              <w:lastRenderedPageBreak/>
              <w:t>STANDARD 4: PROFESSIONAL CULTURE, PROFESSIONAL DEVELOPMENT, AND REFLECTIVE PRACTICE</w:t>
            </w:r>
          </w:p>
        </w:tc>
      </w:tr>
      <w:tr w:rsidR="007633B8" w:rsidRPr="00A65B30" w:rsidTr="007633B8">
        <w:trPr>
          <w:trHeight w:val="499"/>
        </w:trPr>
        <w:tc>
          <w:tcPr>
            <w:tcW w:w="2876" w:type="pct"/>
            <w:gridSpan w:val="3"/>
            <w:shd w:val="clear" w:color="auto" w:fill="auto"/>
            <w:vAlign w:val="center"/>
            <w:hideMark/>
          </w:tcPr>
          <w:p w:rsidR="007633B8" w:rsidRPr="00A65B30" w:rsidRDefault="007633B8" w:rsidP="007F7B29">
            <w:pPr>
              <w:pStyle w:val="Heading2"/>
              <w:rPr>
                <w:rFonts w:eastAsia="Times New Roman"/>
              </w:rPr>
            </w:pPr>
            <w:r w:rsidRPr="00A65B30">
              <w:rPr>
                <w:rFonts w:eastAsia="Times New Roman"/>
              </w:rPr>
              <w:t>Criterion</w:t>
            </w:r>
          </w:p>
        </w:tc>
        <w:tc>
          <w:tcPr>
            <w:tcW w:w="2124" w:type="pct"/>
            <w:gridSpan w:val="2"/>
            <w:shd w:val="clear" w:color="auto" w:fill="auto"/>
            <w:vAlign w:val="center"/>
            <w:hideMark/>
          </w:tcPr>
          <w:p w:rsidR="007633B8" w:rsidRPr="00A65B30" w:rsidRDefault="007633B8" w:rsidP="007F7B29">
            <w:pPr>
              <w:pStyle w:val="Heading2"/>
              <w:rPr>
                <w:rFonts w:eastAsia="Times New Roman"/>
              </w:rPr>
            </w:pPr>
            <w:r w:rsidRPr="00A65B30">
              <w:rPr>
                <w:rFonts w:eastAsia="Times New Roman"/>
              </w:rPr>
              <w:t>Rationale</w:t>
            </w:r>
          </w:p>
        </w:tc>
      </w:tr>
      <w:tr w:rsidR="00A65B30" w:rsidRPr="00A65B30" w:rsidTr="007633B8">
        <w:trPr>
          <w:gridAfter w:val="1"/>
          <w:wAfter w:w="2" w:type="pct"/>
          <w:trHeight w:val="1200"/>
        </w:trPr>
        <w:tc>
          <w:tcPr>
            <w:tcW w:w="2876" w:type="pct"/>
            <w:gridSpan w:val="3"/>
            <w:shd w:val="clear" w:color="000000" w:fill="D9D9D9"/>
            <w:vAlign w:val="center"/>
            <w:hideMark/>
          </w:tcPr>
          <w:p w:rsidR="00A65B30" w:rsidRPr="00A65B30" w:rsidRDefault="00A65B30" w:rsidP="00E77216">
            <w:pPr>
              <w:pStyle w:val="Heading3"/>
              <w:rPr>
                <w:rFonts w:eastAsia="Times New Roman"/>
              </w:rPr>
            </w:pPr>
            <w:r w:rsidRPr="00A65B30">
              <w:rPr>
                <w:rFonts w:eastAsia="Times New Roman"/>
              </w:rPr>
              <w:t>4C. Reflective Practice: Program engages in process of continuous quality improvement.</w:t>
            </w:r>
          </w:p>
        </w:tc>
        <w:tc>
          <w:tcPr>
            <w:tcW w:w="2122" w:type="pct"/>
            <w:vMerge w:val="restart"/>
            <w:shd w:val="clear" w:color="000000" w:fill="D9D9D9"/>
            <w:vAlign w:val="center"/>
            <w:hideMark/>
          </w:tcPr>
          <w:p w:rsidR="00CB2F31" w:rsidRDefault="00A65B30" w:rsidP="00CB2F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primary benefit of reflective practice for teachers is a deeper understanding of their own teaching style</w:t>
            </w:r>
            <w:r w:rsidR="00B313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</w:t>
            </w: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and ultimately, greater effectiveness as a teacher (</w:t>
            </w:r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Ferraro</w:t>
            </w: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2000). </w:t>
            </w:r>
          </w:p>
          <w:p w:rsidR="00CB2F31" w:rsidRDefault="00CB2F31" w:rsidP="00CB2F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CB2F31" w:rsidRDefault="00A65B30" w:rsidP="00CB2F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Continuous Quality Improvement </w:t>
            </w:r>
            <w:r w:rsidR="00B313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(CQI) </w:t>
            </w: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is a process to ensure programs are systematically and intentionally improving services and increasing positive outcomes for the children and families they serve. CQI is </w:t>
            </w:r>
            <w:r w:rsidR="00CB2F3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 cyclical, data-driven process.</w:t>
            </w: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 CQI environment is one in which data is collected and used to makes positive changes – even when things are going well – rather than waiting for something to go wrong and then fixing it. (</w:t>
            </w:r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BUILD</w:t>
            </w:r>
            <w:r w:rsidR="00CB2F3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2013).</w:t>
            </w:r>
          </w:p>
          <w:p w:rsidR="00CB2F31" w:rsidRDefault="00CB2F31" w:rsidP="00CB2F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CB2F31" w:rsidRDefault="00A65B30" w:rsidP="00CB2F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The work of</w:t>
            </w:r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Becket et al</w:t>
            </w: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., (2001) noted the importance of frequent progra</w:t>
            </w:r>
            <w:r w:rsidR="00B3135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 assessments, clear program goals,</w:t>
            </w: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and the on-going evaluation of program progress in promoting progra</w:t>
            </w:r>
            <w:r w:rsidR="00CB2F3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 quality and student outcomes.</w:t>
            </w:r>
          </w:p>
          <w:p w:rsidR="00CB2F31" w:rsidRDefault="00CB2F31" w:rsidP="00CB2F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:rsidR="00A65B30" w:rsidRPr="00A65B30" w:rsidRDefault="00A65B30" w:rsidP="00CB2F31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Metz, Goldsmith &amp; </w:t>
            </w:r>
            <w:proofErr w:type="spellStart"/>
            <w:r w:rsidRPr="00A65B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Aberton</w:t>
            </w:r>
            <w:proofErr w:type="spellEnd"/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(2008) also noted continuous quality improvement as an important dimension of quality, based on outcome research related to afterschool programs.  Additionally, the NSACA calls for extensive self-study as part of a self-reflection process and continued use of data for program improvement in both the short and long term. </w:t>
            </w:r>
          </w:p>
        </w:tc>
      </w:tr>
      <w:tr w:rsidR="00A65B30" w:rsidRPr="00A65B30" w:rsidTr="007633B8">
        <w:trPr>
          <w:gridAfter w:val="1"/>
          <w:wAfter w:w="2" w:type="pct"/>
          <w:trHeight w:val="1200"/>
        </w:trPr>
        <w:tc>
          <w:tcPr>
            <w:tcW w:w="412" w:type="pct"/>
            <w:vMerge w:val="restart"/>
            <w:shd w:val="clear" w:color="auto" w:fill="auto"/>
            <w:vAlign w:val="center"/>
            <w:hideMark/>
          </w:tcPr>
          <w:p w:rsidR="00A65B30" w:rsidRPr="00A65B30" w:rsidRDefault="00A65B30" w:rsidP="000D3B7E">
            <w:pPr>
              <w:pStyle w:val="Heading4"/>
              <w:rPr>
                <w:rFonts w:eastAsia="Times New Roman"/>
              </w:rPr>
            </w:pPr>
            <w:r w:rsidRPr="00A65B30">
              <w:rPr>
                <w:rFonts w:eastAsia="Times New Roman"/>
              </w:rPr>
              <w:t>Indicator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65B30" w:rsidRPr="00A65B30" w:rsidRDefault="006517D5" w:rsidP="000D3B7E">
            <w:pPr>
              <w:pStyle w:val="Heading5"/>
              <w:rPr>
                <w:rFonts w:eastAsia="Times New Roman"/>
              </w:rPr>
            </w:pPr>
            <w:r w:rsidRPr="006517D5">
              <w:t>Level</w:t>
            </w:r>
            <w:r w:rsidRPr="006517D5">
              <w:rPr>
                <w:rFonts w:eastAsia="Times New Roman"/>
              </w:rPr>
              <w:t xml:space="preserve"> </w:t>
            </w:r>
            <w:r w:rsidR="00A65B30" w:rsidRPr="00A65B30">
              <w:rPr>
                <w:rFonts w:eastAsia="Times New Roman"/>
              </w:rPr>
              <w:t>2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Program staff collaborate to develop Level 2 Continuous Quality Improvement Plan </w:t>
            </w:r>
          </w:p>
        </w:tc>
        <w:tc>
          <w:tcPr>
            <w:tcW w:w="2122" w:type="pct"/>
            <w:vMerge/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65B30" w:rsidRPr="00A65B30" w:rsidTr="007633B8">
        <w:trPr>
          <w:gridAfter w:val="1"/>
          <w:wAfter w:w="2" w:type="pct"/>
          <w:trHeight w:val="1200"/>
        </w:trPr>
        <w:tc>
          <w:tcPr>
            <w:tcW w:w="412" w:type="pct"/>
            <w:vMerge/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65B30" w:rsidRPr="00A65B30" w:rsidRDefault="006517D5" w:rsidP="000D3B7E">
            <w:pPr>
              <w:pStyle w:val="Heading5"/>
              <w:rPr>
                <w:rFonts w:eastAsia="Times New Roman"/>
              </w:rPr>
            </w:pPr>
            <w:r w:rsidRPr="006517D5">
              <w:t>Level</w:t>
            </w:r>
            <w:r w:rsidRPr="006517D5">
              <w:rPr>
                <w:rFonts w:eastAsia="Times New Roman"/>
              </w:rPr>
              <w:t xml:space="preserve"> </w:t>
            </w:r>
            <w:r w:rsidR="00A65B30" w:rsidRPr="00A65B30">
              <w:rPr>
                <w:rFonts w:eastAsia="Times New Roman"/>
              </w:rPr>
              <w:t>3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Program staff collaborate to develop Level 3 Continuous Quality Improvement Plan </w:t>
            </w:r>
          </w:p>
        </w:tc>
        <w:tc>
          <w:tcPr>
            <w:tcW w:w="2122" w:type="pct"/>
            <w:vMerge/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A65B30" w:rsidRPr="00A65B30" w:rsidTr="007633B8">
        <w:trPr>
          <w:gridAfter w:val="1"/>
          <w:wAfter w:w="2" w:type="pct"/>
          <w:trHeight w:val="1200"/>
        </w:trPr>
        <w:tc>
          <w:tcPr>
            <w:tcW w:w="412" w:type="pct"/>
            <w:vMerge/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A65B30" w:rsidRPr="00A65B30" w:rsidRDefault="006517D5" w:rsidP="000D3B7E">
            <w:pPr>
              <w:pStyle w:val="Heading5"/>
              <w:rPr>
                <w:rFonts w:eastAsia="Times New Roman"/>
              </w:rPr>
            </w:pPr>
            <w:r w:rsidRPr="006517D5">
              <w:t>Level</w:t>
            </w:r>
            <w:r w:rsidRPr="006517D5">
              <w:rPr>
                <w:rFonts w:eastAsia="Times New Roman"/>
              </w:rPr>
              <w:t xml:space="preserve"> </w:t>
            </w:r>
            <w:r w:rsidR="00A65B30" w:rsidRPr="00A65B30">
              <w:rPr>
                <w:rFonts w:eastAsia="Times New Roman"/>
              </w:rPr>
              <w:t>4/5</w:t>
            </w:r>
          </w:p>
        </w:tc>
        <w:tc>
          <w:tcPr>
            <w:tcW w:w="2197" w:type="pct"/>
            <w:shd w:val="clear" w:color="auto" w:fill="auto"/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65B3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Program staff collaborate to develop Level 4/5 Continuous Quality Improvement Plan</w:t>
            </w:r>
          </w:p>
        </w:tc>
        <w:tc>
          <w:tcPr>
            <w:tcW w:w="2122" w:type="pct"/>
            <w:vMerge/>
            <w:vAlign w:val="center"/>
            <w:hideMark/>
          </w:tcPr>
          <w:p w:rsidR="00A65B30" w:rsidRPr="00A65B30" w:rsidRDefault="00A65B30" w:rsidP="00A65B3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:rsidR="00A65B30" w:rsidRDefault="00A65B30">
      <w:pPr>
        <w:spacing w:after="160" w:line="259" w:lineRule="auto"/>
        <w:rPr>
          <w:rFonts w:asciiTheme="majorHAnsi" w:eastAsiaTheme="majorEastAsia" w:hAnsiTheme="majorHAnsi" w:cstheme="majorBidi"/>
          <w:b/>
          <w:sz w:val="36"/>
          <w:szCs w:val="32"/>
        </w:rPr>
      </w:pPr>
    </w:p>
    <w:p w:rsidR="00A65B30" w:rsidRDefault="00A65B30">
      <w:pPr>
        <w:spacing w:after="160" w:line="259" w:lineRule="auto"/>
        <w:rPr>
          <w:rFonts w:asciiTheme="majorHAnsi" w:eastAsiaTheme="majorEastAsia" w:hAnsiTheme="majorHAnsi" w:cstheme="majorBidi"/>
          <w:b/>
          <w:sz w:val="36"/>
          <w:szCs w:val="32"/>
        </w:rPr>
      </w:pPr>
      <w:r>
        <w:rPr>
          <w:rFonts w:asciiTheme="majorHAnsi" w:eastAsiaTheme="majorEastAsia" w:hAnsiTheme="majorHAnsi" w:cstheme="majorBidi"/>
          <w:b/>
          <w:sz w:val="36"/>
          <w:szCs w:val="32"/>
        </w:rPr>
        <w:br w:type="page"/>
      </w:r>
    </w:p>
    <w:p w:rsidR="00E379D5" w:rsidRDefault="00A65B30" w:rsidP="00E379D5">
      <w:pPr>
        <w:pStyle w:val="Heading1"/>
      </w:pPr>
      <w:r>
        <w:lastRenderedPageBreak/>
        <w:t xml:space="preserve"> </w:t>
      </w:r>
      <w:r w:rsidR="00E379D5">
        <w:t>References</w:t>
      </w:r>
    </w:p>
    <w:p w:rsidR="00E77216" w:rsidRPr="00E77216" w:rsidRDefault="00E77216" w:rsidP="00E77216">
      <w:pPr>
        <w:pStyle w:val="ListParagraph"/>
        <w:numPr>
          <w:ilvl w:val="0"/>
          <w:numId w:val="1"/>
        </w:numPr>
        <w:spacing w:before="60" w:after="60"/>
        <w:contextualSpacing w:val="0"/>
        <w:rPr>
          <w:rFonts w:ascii="Calibri" w:hAnsi="Calibri" w:cs="Calibri"/>
        </w:rPr>
      </w:pPr>
      <w:r w:rsidRPr="00E77216">
        <w:rPr>
          <w:rFonts w:ascii="Calibri" w:hAnsi="Calibri" w:cs="Calibri"/>
        </w:rPr>
        <w:t>Albrecht, K. (1991). Quality criteria for school-age child care programs. Alexandria, VA: Project Home Safe.</w:t>
      </w:r>
    </w:p>
    <w:p w:rsidR="00E77216" w:rsidRPr="00E77216" w:rsidRDefault="00E77216" w:rsidP="00E77216">
      <w:pPr>
        <w:pStyle w:val="ListParagraph"/>
        <w:numPr>
          <w:ilvl w:val="0"/>
          <w:numId w:val="1"/>
        </w:numPr>
        <w:spacing w:before="60" w:after="60"/>
        <w:contextualSpacing w:val="0"/>
        <w:rPr>
          <w:rFonts w:ascii="Calibri" w:hAnsi="Calibri" w:cs="Calibri"/>
        </w:rPr>
      </w:pPr>
      <w:r w:rsidRPr="00E77216">
        <w:rPr>
          <w:rFonts w:ascii="Calibri" w:hAnsi="Calibri" w:cs="Calibri"/>
        </w:rPr>
        <w:t xml:space="preserve">Beckett, M., Hawken, A., &amp; </w:t>
      </w:r>
      <w:proofErr w:type="spellStart"/>
      <w:r w:rsidRPr="00E77216">
        <w:rPr>
          <w:rFonts w:ascii="Calibri" w:hAnsi="Calibri" w:cs="Calibri"/>
        </w:rPr>
        <w:t>Jacknowitz</w:t>
      </w:r>
      <w:proofErr w:type="spellEnd"/>
      <w:r w:rsidRPr="00E77216">
        <w:rPr>
          <w:rFonts w:ascii="Calibri" w:hAnsi="Calibri" w:cs="Calibri"/>
        </w:rPr>
        <w:t>, A. (2001). Accountability for after-school care: Devising standards and measuring the adherence to them. Santa Monica, CA: RAND Corporation. Retrieved March 28, 2008, from http://www.rand.org/pubs/monograph_reports/2007/M R1411.pdf.</w:t>
      </w:r>
    </w:p>
    <w:p w:rsidR="00E77216" w:rsidRPr="00E77216" w:rsidRDefault="00E77216" w:rsidP="00E77216">
      <w:pPr>
        <w:pStyle w:val="ListParagraph"/>
        <w:numPr>
          <w:ilvl w:val="0"/>
          <w:numId w:val="1"/>
        </w:numPr>
        <w:spacing w:before="60" w:after="60"/>
        <w:contextualSpacing w:val="0"/>
        <w:rPr>
          <w:rFonts w:ascii="Calibri" w:hAnsi="Calibri" w:cs="Calibri"/>
        </w:rPr>
      </w:pPr>
      <w:proofErr w:type="spellStart"/>
      <w:r w:rsidRPr="00E77216">
        <w:rPr>
          <w:rFonts w:ascii="Calibri" w:hAnsi="Calibri" w:cs="Calibri"/>
        </w:rPr>
        <w:t>Bodilly</w:t>
      </w:r>
      <w:proofErr w:type="spellEnd"/>
      <w:r w:rsidRPr="00E77216">
        <w:rPr>
          <w:rFonts w:ascii="Calibri" w:hAnsi="Calibri" w:cs="Calibri"/>
        </w:rPr>
        <w:t>, S., &amp; Beckett, M. K. (2005). Making out-of</w:t>
      </w:r>
      <w:r w:rsidR="00C170D7">
        <w:rPr>
          <w:rFonts w:ascii="Calibri" w:hAnsi="Calibri" w:cs="Calibri"/>
        </w:rPr>
        <w:t>-</w:t>
      </w:r>
      <w:r w:rsidRPr="00E77216">
        <w:rPr>
          <w:rFonts w:ascii="Calibri" w:hAnsi="Calibri" w:cs="Calibri"/>
        </w:rPr>
        <w:t>school time matter: Evidence for an action agenda. Santa Monica, CA: RAND Corporation. Retrieved May 20, 2008, from www.rand.org/pubs/monographs/2005/ RAND_MG242.pdf.</w:t>
      </w:r>
    </w:p>
    <w:p w:rsidR="00E77216" w:rsidRPr="00E77216" w:rsidRDefault="00E77216" w:rsidP="00E77216">
      <w:pPr>
        <w:pStyle w:val="ListParagraph"/>
        <w:numPr>
          <w:ilvl w:val="0"/>
          <w:numId w:val="1"/>
        </w:numPr>
        <w:spacing w:before="60" w:after="60"/>
        <w:contextualSpacing w:val="0"/>
        <w:rPr>
          <w:rFonts w:ascii="Calibri" w:hAnsi="Calibri" w:cs="Calibri"/>
        </w:rPr>
      </w:pPr>
      <w:proofErr w:type="spellStart"/>
      <w:r w:rsidRPr="00E77216">
        <w:rPr>
          <w:rFonts w:ascii="Calibri" w:hAnsi="Calibri" w:cs="Calibri"/>
        </w:rPr>
        <w:t>Durlak</w:t>
      </w:r>
      <w:proofErr w:type="spellEnd"/>
      <w:r w:rsidRPr="00E77216">
        <w:rPr>
          <w:rFonts w:ascii="Calibri" w:hAnsi="Calibri" w:cs="Calibri"/>
        </w:rPr>
        <w:t xml:space="preserve">, J. A., &amp; </w:t>
      </w:r>
      <w:proofErr w:type="spellStart"/>
      <w:r w:rsidRPr="00E77216">
        <w:rPr>
          <w:rFonts w:ascii="Calibri" w:hAnsi="Calibri" w:cs="Calibri"/>
        </w:rPr>
        <w:t>Weissberg</w:t>
      </w:r>
      <w:proofErr w:type="spellEnd"/>
      <w:r w:rsidRPr="00E77216">
        <w:rPr>
          <w:rFonts w:ascii="Calibri" w:hAnsi="Calibri" w:cs="Calibri"/>
        </w:rPr>
        <w:t>, R. P. (2007). The impact of after-school programs that promote personal and social skills. Chicago: Collaborative for Academic, Social, and Emotional Learning. Retrieved March 28, 2008, from www.casel.org/downloads/ASP-Full.pdf.</w:t>
      </w:r>
    </w:p>
    <w:p w:rsidR="00E77216" w:rsidRPr="00E77216" w:rsidRDefault="00E77216" w:rsidP="00E77216">
      <w:pPr>
        <w:pStyle w:val="ListParagraph"/>
        <w:numPr>
          <w:ilvl w:val="0"/>
          <w:numId w:val="1"/>
        </w:numPr>
        <w:spacing w:before="60" w:after="60"/>
        <w:contextualSpacing w:val="0"/>
        <w:rPr>
          <w:rFonts w:ascii="Calibri" w:hAnsi="Calibri" w:cs="Calibri"/>
        </w:rPr>
      </w:pPr>
      <w:r w:rsidRPr="00E77216">
        <w:rPr>
          <w:rFonts w:ascii="Calibri" w:hAnsi="Calibri" w:cs="Calibri"/>
        </w:rPr>
        <w:t>Ferraro, J. M. (2000). Reflective Practice and Professional Development. ERIC Clearinghouse on Teaching and Teacher Education (ED449120): Washington DC. http://files.eric.ed.gov/fulltext/ED449120.pdf</w:t>
      </w:r>
      <w:r w:rsidR="00FF71C1">
        <w:rPr>
          <w:rFonts w:ascii="Calibri" w:hAnsi="Calibri" w:cs="Calibri"/>
        </w:rPr>
        <w:t>.</w:t>
      </w:r>
    </w:p>
    <w:p w:rsidR="00E77216" w:rsidRPr="00E77216" w:rsidRDefault="00E77216" w:rsidP="00E77216">
      <w:pPr>
        <w:pStyle w:val="ListParagraph"/>
        <w:numPr>
          <w:ilvl w:val="0"/>
          <w:numId w:val="1"/>
        </w:numPr>
        <w:spacing w:before="60" w:after="60"/>
        <w:contextualSpacing w:val="0"/>
        <w:rPr>
          <w:rFonts w:ascii="Calibri" w:hAnsi="Calibri" w:cs="Calibri"/>
        </w:rPr>
      </w:pPr>
      <w:r w:rsidRPr="00E77216">
        <w:rPr>
          <w:rFonts w:ascii="Calibri" w:hAnsi="Calibri" w:cs="Calibri"/>
        </w:rPr>
        <w:t>Harms, T., Jacobs, E.V., &amp; White, D.R. (2014). School-age Care Environment Rating Scale-Updated. Teachers College Press: New York.</w:t>
      </w:r>
    </w:p>
    <w:p w:rsidR="00E77216" w:rsidRPr="00E77216" w:rsidRDefault="00E77216" w:rsidP="00E77216">
      <w:pPr>
        <w:pStyle w:val="ListParagraph"/>
        <w:numPr>
          <w:ilvl w:val="0"/>
          <w:numId w:val="1"/>
        </w:numPr>
        <w:spacing w:before="60" w:after="60"/>
        <w:contextualSpacing w:val="0"/>
        <w:rPr>
          <w:rFonts w:ascii="Calibri" w:hAnsi="Calibri" w:cs="Calibri"/>
        </w:rPr>
      </w:pPr>
      <w:r w:rsidRPr="00E77216">
        <w:rPr>
          <w:rFonts w:ascii="Calibri" w:hAnsi="Calibri" w:cs="Calibri"/>
        </w:rPr>
        <w:t xml:space="preserve">Jacobs, E.V., White, D. R., </w:t>
      </w:r>
      <w:proofErr w:type="spellStart"/>
      <w:r w:rsidRPr="00E77216">
        <w:rPr>
          <w:rFonts w:ascii="Calibri" w:hAnsi="Calibri" w:cs="Calibri"/>
        </w:rPr>
        <w:t>Baillargeon</w:t>
      </w:r>
      <w:proofErr w:type="spellEnd"/>
      <w:r w:rsidRPr="00E77216">
        <w:rPr>
          <w:rFonts w:ascii="Calibri" w:hAnsi="Calibri" w:cs="Calibri"/>
        </w:rPr>
        <w:t xml:space="preserve">, M., &amp; </w:t>
      </w:r>
      <w:proofErr w:type="spellStart"/>
      <w:r w:rsidRPr="00E77216">
        <w:rPr>
          <w:rFonts w:ascii="Calibri" w:hAnsi="Calibri" w:cs="Calibri"/>
        </w:rPr>
        <w:t>Betsalet</w:t>
      </w:r>
      <w:proofErr w:type="spellEnd"/>
      <w:r w:rsidRPr="00E77216">
        <w:rPr>
          <w:rFonts w:ascii="Calibri" w:hAnsi="Calibri" w:cs="Calibri"/>
        </w:rPr>
        <w:t>-Presser, R. (1991). School-age child care: A preliminary report. Proceedings of the Child Care Policy and Research Symposium. Occasional Paper #2: Child Care Resource and Research Unit.</w:t>
      </w:r>
    </w:p>
    <w:p w:rsidR="00E77216" w:rsidRPr="00E77216" w:rsidRDefault="00E77216" w:rsidP="00E77216">
      <w:pPr>
        <w:pStyle w:val="ListParagraph"/>
        <w:numPr>
          <w:ilvl w:val="0"/>
          <w:numId w:val="1"/>
        </w:numPr>
        <w:spacing w:before="60" w:after="60"/>
        <w:contextualSpacing w:val="0"/>
        <w:rPr>
          <w:rFonts w:ascii="Calibri" w:hAnsi="Calibri" w:cs="Calibri"/>
        </w:rPr>
      </w:pPr>
      <w:r w:rsidRPr="00E77216">
        <w:rPr>
          <w:rFonts w:ascii="Calibri" w:hAnsi="Calibri" w:cs="Calibri"/>
        </w:rPr>
        <w:t xml:space="preserve">Metz, R. A., Goldsmith, J., &amp; </w:t>
      </w:r>
      <w:proofErr w:type="spellStart"/>
      <w:r w:rsidRPr="00E77216">
        <w:rPr>
          <w:rFonts w:ascii="Calibri" w:hAnsi="Calibri" w:cs="Calibri"/>
        </w:rPr>
        <w:t>Arbreton</w:t>
      </w:r>
      <w:proofErr w:type="spellEnd"/>
      <w:r w:rsidRPr="00E77216">
        <w:rPr>
          <w:rFonts w:ascii="Calibri" w:hAnsi="Calibri" w:cs="Calibri"/>
        </w:rPr>
        <w:t>, A. J. A. (2008). Putting it all together: Guiding principles for quality after-school programs serving preteens. Philadelphia: Public/Private Ventures. Retrieved July 20, 2008, from http://www.ppv.org/ppv/publications/assets/234_ publication.pdf.</w:t>
      </w:r>
    </w:p>
    <w:p w:rsidR="00E77216" w:rsidRPr="00E77216" w:rsidRDefault="00E77216" w:rsidP="00E77216">
      <w:pPr>
        <w:pStyle w:val="ListParagraph"/>
        <w:numPr>
          <w:ilvl w:val="0"/>
          <w:numId w:val="1"/>
        </w:numPr>
        <w:spacing w:before="60" w:after="60"/>
        <w:contextualSpacing w:val="0"/>
        <w:rPr>
          <w:rFonts w:ascii="Calibri" w:hAnsi="Calibri" w:cs="Calibri"/>
        </w:rPr>
      </w:pPr>
      <w:r w:rsidRPr="00E77216">
        <w:rPr>
          <w:rFonts w:ascii="Calibri" w:hAnsi="Calibri" w:cs="Calibri"/>
        </w:rPr>
        <w:t>National Afterschool Association (2011). Core Knowledge an</w:t>
      </w:r>
      <w:r>
        <w:rPr>
          <w:rFonts w:ascii="Calibri" w:hAnsi="Calibri" w:cs="Calibri"/>
        </w:rPr>
        <w:t xml:space="preserve">d Competencies for Afterschool </w:t>
      </w:r>
      <w:r w:rsidRPr="00E77216">
        <w:rPr>
          <w:rFonts w:ascii="Calibri" w:hAnsi="Calibri" w:cs="Calibri"/>
        </w:rPr>
        <w:t>and Youth Development Professionals. National Afterschool Association. https://naaweb.org/resources/core-competencies</w:t>
      </w:r>
      <w:r w:rsidR="00FF71C1">
        <w:rPr>
          <w:rFonts w:ascii="Calibri" w:hAnsi="Calibri" w:cs="Calibri"/>
        </w:rPr>
        <w:t>.</w:t>
      </w:r>
    </w:p>
    <w:p w:rsidR="00E77216" w:rsidRPr="00E77216" w:rsidRDefault="00E77216" w:rsidP="00E77216">
      <w:pPr>
        <w:pStyle w:val="ListParagraph"/>
        <w:numPr>
          <w:ilvl w:val="0"/>
          <w:numId w:val="1"/>
        </w:numPr>
        <w:spacing w:before="60" w:after="60"/>
        <w:contextualSpacing w:val="0"/>
        <w:rPr>
          <w:rFonts w:ascii="Calibri" w:hAnsi="Calibri" w:cs="Calibri"/>
        </w:rPr>
      </w:pPr>
      <w:proofErr w:type="spellStart"/>
      <w:r w:rsidRPr="00E77216">
        <w:rPr>
          <w:rFonts w:ascii="Calibri" w:hAnsi="Calibri" w:cs="Calibri"/>
        </w:rPr>
        <w:t>Seligson</w:t>
      </w:r>
      <w:proofErr w:type="spellEnd"/>
      <w:r w:rsidRPr="00E77216">
        <w:rPr>
          <w:rFonts w:ascii="Calibri" w:hAnsi="Calibri" w:cs="Calibri"/>
        </w:rPr>
        <w:t xml:space="preserve">, M. &amp; </w:t>
      </w:r>
      <w:proofErr w:type="spellStart"/>
      <w:r w:rsidRPr="00E77216">
        <w:rPr>
          <w:rFonts w:ascii="Calibri" w:hAnsi="Calibri" w:cs="Calibri"/>
        </w:rPr>
        <w:t>Allenson</w:t>
      </w:r>
      <w:proofErr w:type="spellEnd"/>
      <w:r w:rsidRPr="00E77216">
        <w:rPr>
          <w:rFonts w:ascii="Calibri" w:hAnsi="Calibri" w:cs="Calibri"/>
        </w:rPr>
        <w:t>, M. (1993). School age child care: An action manual for the 90’s and beyond. Westport, CT: Auburn House.</w:t>
      </w:r>
    </w:p>
    <w:p w:rsidR="00E77216" w:rsidRPr="00E77216" w:rsidRDefault="00E77216" w:rsidP="00E77216">
      <w:pPr>
        <w:pStyle w:val="ListParagraph"/>
        <w:numPr>
          <w:ilvl w:val="0"/>
          <w:numId w:val="1"/>
        </w:numPr>
        <w:spacing w:before="60" w:after="60"/>
        <w:contextualSpacing w:val="0"/>
        <w:rPr>
          <w:rFonts w:ascii="Calibri" w:hAnsi="Calibri" w:cs="Calibri"/>
        </w:rPr>
      </w:pPr>
      <w:r w:rsidRPr="00E77216">
        <w:rPr>
          <w:rFonts w:ascii="Calibri" w:hAnsi="Calibri" w:cs="Calibri"/>
        </w:rPr>
        <w:t xml:space="preserve">Tracy, A., </w:t>
      </w:r>
      <w:proofErr w:type="spellStart"/>
      <w:r w:rsidRPr="00E77216">
        <w:rPr>
          <w:rFonts w:ascii="Calibri" w:hAnsi="Calibri" w:cs="Calibri"/>
        </w:rPr>
        <w:t>Surr</w:t>
      </w:r>
      <w:proofErr w:type="spellEnd"/>
      <w:r w:rsidRPr="00E77216">
        <w:rPr>
          <w:rFonts w:ascii="Calibri" w:hAnsi="Calibri" w:cs="Calibri"/>
        </w:rPr>
        <w:t xml:space="preserve">, W., Richer, A. (2012). The Assessment of Afterschool Program Practices Tool (APT): Findings from the APT Validation Study Executive Summary. National </w:t>
      </w:r>
      <w:r w:rsidR="00FF71C1">
        <w:rPr>
          <w:rFonts w:ascii="Calibri" w:hAnsi="Calibri" w:cs="Calibri"/>
        </w:rPr>
        <w:t>Institute of Out of School Time.</w:t>
      </w:r>
    </w:p>
    <w:p w:rsidR="002C08AE" w:rsidRPr="007073C7" w:rsidRDefault="00E77216" w:rsidP="00E77216">
      <w:pPr>
        <w:pStyle w:val="ListParagraph"/>
        <w:numPr>
          <w:ilvl w:val="0"/>
          <w:numId w:val="1"/>
        </w:numPr>
        <w:spacing w:before="60" w:after="60"/>
        <w:contextualSpacing w:val="0"/>
        <w:rPr>
          <w:rFonts w:ascii="Calibri" w:hAnsi="Calibri" w:cs="Calibri"/>
        </w:rPr>
      </w:pPr>
      <w:proofErr w:type="spellStart"/>
      <w:r w:rsidRPr="00E77216">
        <w:rPr>
          <w:rFonts w:ascii="Calibri" w:hAnsi="Calibri" w:cs="Calibri"/>
        </w:rPr>
        <w:t>Vandell</w:t>
      </w:r>
      <w:proofErr w:type="spellEnd"/>
      <w:r w:rsidRPr="00E77216">
        <w:rPr>
          <w:rFonts w:ascii="Calibri" w:hAnsi="Calibri" w:cs="Calibri"/>
        </w:rPr>
        <w:t xml:space="preserve">, D. L., </w:t>
      </w:r>
      <w:proofErr w:type="spellStart"/>
      <w:r w:rsidRPr="00E77216">
        <w:rPr>
          <w:rFonts w:ascii="Calibri" w:hAnsi="Calibri" w:cs="Calibri"/>
        </w:rPr>
        <w:t>Reisner</w:t>
      </w:r>
      <w:proofErr w:type="spellEnd"/>
      <w:r w:rsidRPr="00E77216">
        <w:rPr>
          <w:rFonts w:ascii="Calibri" w:hAnsi="Calibri" w:cs="Calibri"/>
        </w:rPr>
        <w:t>, E. R., &amp; Pierce, K. M. (2007). Outcomes linked to high-quality afterschool programs: Longitudinal findings from the Study of Promising Afterschool Programs. Washington, DC: Policy Study Associates, Inc. Retrieved October 24, 2007, from http://www. policystudies.com/studies/youth/Promising%20 Programs%2</w:t>
      </w:r>
      <w:r>
        <w:rPr>
          <w:rFonts w:ascii="Calibri" w:hAnsi="Calibri" w:cs="Calibri"/>
        </w:rPr>
        <w:t>.</w:t>
      </w:r>
    </w:p>
    <w:sectPr w:rsidR="002C08AE" w:rsidRPr="007073C7" w:rsidSect="007633B8">
      <w:foot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9D5" w:rsidRDefault="00E379D5" w:rsidP="00E379D5">
      <w:r>
        <w:separator/>
      </w:r>
    </w:p>
  </w:endnote>
  <w:endnote w:type="continuationSeparator" w:id="0">
    <w:p w:rsidR="00E379D5" w:rsidRDefault="00E379D5" w:rsidP="00E37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92502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379D5" w:rsidRDefault="00E379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14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79D5" w:rsidRDefault="00327697">
    <w:pPr>
      <w:pStyle w:val="Footer"/>
    </w:pPr>
    <w:r w:rsidRPr="00BA3B10">
      <w:rPr>
        <w:noProof/>
      </w:rPr>
      <w:drawing>
        <wp:inline distT="0" distB="0" distL="0" distR="0" wp14:anchorId="553D51F2" wp14:editId="2C7DA3B5">
          <wp:extent cx="1608701" cy="351516"/>
          <wp:effectExtent l="0" t="0" r="0" b="0"/>
          <wp:docPr id="3" name="Picture 1" descr="Massachusetts Department of Early Education and 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c_final_outline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0677" cy="3716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9D5" w:rsidRDefault="00E379D5" w:rsidP="00E379D5">
      <w:r>
        <w:separator/>
      </w:r>
    </w:p>
  </w:footnote>
  <w:footnote w:type="continuationSeparator" w:id="0">
    <w:p w:rsidR="00E379D5" w:rsidRDefault="00E379D5" w:rsidP="00E37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D4C72"/>
    <w:multiLevelType w:val="hybridMultilevel"/>
    <w:tmpl w:val="FC54C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4E"/>
    <w:rsid w:val="00085EA5"/>
    <w:rsid w:val="000C3F7E"/>
    <w:rsid w:val="000D3B7E"/>
    <w:rsid w:val="000F0533"/>
    <w:rsid w:val="0016143F"/>
    <w:rsid w:val="00175ED7"/>
    <w:rsid w:val="001E2E51"/>
    <w:rsid w:val="00244A6D"/>
    <w:rsid w:val="002C08AE"/>
    <w:rsid w:val="002E151A"/>
    <w:rsid w:val="00327697"/>
    <w:rsid w:val="00372DD2"/>
    <w:rsid w:val="00382745"/>
    <w:rsid w:val="003A07B3"/>
    <w:rsid w:val="004D55D0"/>
    <w:rsid w:val="004E6CAF"/>
    <w:rsid w:val="00504E82"/>
    <w:rsid w:val="00600F20"/>
    <w:rsid w:val="006517D5"/>
    <w:rsid w:val="006C6D10"/>
    <w:rsid w:val="007073C7"/>
    <w:rsid w:val="007633B8"/>
    <w:rsid w:val="00796B5A"/>
    <w:rsid w:val="007D3A90"/>
    <w:rsid w:val="00917597"/>
    <w:rsid w:val="00924DEC"/>
    <w:rsid w:val="00A65B30"/>
    <w:rsid w:val="00B3135B"/>
    <w:rsid w:val="00B505DC"/>
    <w:rsid w:val="00B97A21"/>
    <w:rsid w:val="00C170D7"/>
    <w:rsid w:val="00C8395E"/>
    <w:rsid w:val="00CB2F31"/>
    <w:rsid w:val="00CC202A"/>
    <w:rsid w:val="00D02B4E"/>
    <w:rsid w:val="00D17FF8"/>
    <w:rsid w:val="00E379D5"/>
    <w:rsid w:val="00E77216"/>
    <w:rsid w:val="00ED3C72"/>
    <w:rsid w:val="00F4646B"/>
    <w:rsid w:val="00F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169358F6-9DAE-4E53-A84B-98F69E97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7B3"/>
    <w:pPr>
      <w:spacing w:after="0" w:line="240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5ED7"/>
    <w:pPr>
      <w:keepNext/>
      <w:keepLines/>
      <w:spacing w:before="60" w:after="60"/>
      <w:jc w:val="center"/>
      <w:outlineLvl w:val="0"/>
    </w:pPr>
    <w:rPr>
      <w:rFonts w:ascii="Calibri" w:eastAsiaTheme="majorEastAsia" w:hAnsi="Calibri" w:cstheme="majorBidi"/>
      <w:b/>
      <w:cap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7216"/>
    <w:pPr>
      <w:keepNext/>
      <w:keepLines/>
      <w:spacing w:before="40"/>
      <w:jc w:val="center"/>
      <w:outlineLvl w:val="1"/>
    </w:pPr>
    <w:rPr>
      <w:rFonts w:ascii="Calibri" w:eastAsiaTheme="majorEastAsia" w:hAnsi="Calibr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77216"/>
    <w:pPr>
      <w:keepNext/>
      <w:keepLines/>
      <w:spacing w:before="40"/>
      <w:jc w:val="center"/>
      <w:outlineLvl w:val="2"/>
    </w:pPr>
    <w:rPr>
      <w:rFonts w:ascii="Calibri" w:eastAsiaTheme="majorEastAsia" w:hAnsi="Calibri" w:cstheme="majorBidi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D3B7E"/>
    <w:pPr>
      <w:keepNext/>
      <w:keepLines/>
      <w:jc w:val="center"/>
      <w:outlineLvl w:val="3"/>
    </w:pPr>
    <w:rPr>
      <w:rFonts w:ascii="Calibri" w:eastAsiaTheme="majorEastAsia" w:hAnsi="Calibr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D3B7E"/>
    <w:pPr>
      <w:keepNext/>
      <w:keepLines/>
      <w:spacing w:before="40"/>
      <w:jc w:val="center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diumShading1-Accent11">
    <w:name w:val="Medium Shading 1 - Accent 11"/>
    <w:basedOn w:val="TableNormal"/>
    <w:uiPriority w:val="63"/>
    <w:rsid w:val="00D17FF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bidi="en-US"/>
    </w:rPr>
    <w:tblPr>
      <w:tblStyleRowBandSize w:val="1"/>
      <w:tblStyleCol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D02B4E"/>
    <w:pPr>
      <w:jc w:val="center"/>
    </w:pPr>
    <w:rPr>
      <w:rFonts w:eastAsiaTheme="majorEastAsia" w:cstheme="majorBidi"/>
      <w:b/>
      <w:caps/>
      <w:color w:val="404040" w:themeColor="text1" w:themeTint="BF"/>
      <w:spacing w:val="-10"/>
      <w:sz w:val="36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02B4E"/>
    <w:rPr>
      <w:rFonts w:eastAsiaTheme="majorEastAsia" w:cstheme="majorBidi"/>
      <w:b/>
      <w:caps/>
      <w:color w:val="404040" w:themeColor="text1" w:themeTint="BF"/>
      <w:spacing w:val="-10"/>
      <w:sz w:val="36"/>
      <w:szCs w:val="72"/>
    </w:rPr>
  </w:style>
  <w:style w:type="paragraph" w:styleId="Header">
    <w:name w:val="header"/>
    <w:basedOn w:val="Normal"/>
    <w:link w:val="HeaderChar"/>
    <w:uiPriority w:val="99"/>
    <w:unhideWhenUsed/>
    <w:rsid w:val="00E379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9D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379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9D5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379D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75ED7"/>
    <w:rPr>
      <w:rFonts w:ascii="Calibri" w:eastAsiaTheme="majorEastAsia" w:hAnsi="Calibri" w:cstheme="majorBidi"/>
      <w:b/>
      <w:caps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77216"/>
    <w:rPr>
      <w:rFonts w:ascii="Calibri" w:eastAsiaTheme="majorEastAsia" w:hAnsi="Calibri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77216"/>
    <w:rPr>
      <w:rFonts w:ascii="Calibri" w:eastAsiaTheme="majorEastAsia" w:hAnsi="Calibri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D3B7E"/>
    <w:rPr>
      <w:rFonts w:ascii="Calibri" w:eastAsiaTheme="majorEastAsia" w:hAnsi="Calibri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0D3B7E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7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_rels/footer1.xml.rels><?xml version="1.0" encoding="UTF-8"?>

<Relationships xmlns="http://schemas.openxmlformats.org/package/2006/relationships">
  <Relationship Id="rId1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2706</Words>
  <Characters>15429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Executive Office of Education</Company>
  <LinksUpToDate>false</LinksUpToDate>
  <CharactersWithSpaces>18099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2017-08-24T14:43:00Z</dcterms:created>
  <dc:creator>Steigman, Philip (EEC)</dc:creator>
  <lastModifiedBy>Steigman, Philip (EEC)</lastModifiedBy>
  <dcterms:modified xsi:type="dcterms:W3CDTF">2017-08-24T15:04:00Z</dcterms:modified>
  <revision>7</revision>
</coreProperties>
</file>