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4E" w:rsidRPr="009B4767" w:rsidRDefault="00796B5A" w:rsidP="00D84DDB">
      <w:pPr>
        <w:pStyle w:val="Title"/>
        <w:rPr>
          <w:kern w:val="28"/>
        </w:rPr>
      </w:pPr>
      <w:bookmarkStart w:id="0" w:name="_GoBack"/>
      <w:bookmarkEnd w:id="0"/>
      <w:r>
        <w:t>Rationale for MA</w:t>
      </w:r>
      <w:r w:rsidR="00D02B4E" w:rsidRPr="009B4767">
        <w:t xml:space="preserve"> QRIS </w:t>
      </w:r>
      <w:r>
        <w:t>Draft Standards</w:t>
      </w:r>
      <w:r w:rsidR="00D02B4E" w:rsidRPr="009B4767">
        <w:t xml:space="preserve">, </w:t>
      </w:r>
      <w:r>
        <w:t>August</w:t>
      </w:r>
      <w:r w:rsidR="00D02B4E" w:rsidRPr="009B4767">
        <w:t xml:space="preserve"> 2017</w:t>
      </w:r>
    </w:p>
    <w:p w:rsidR="007D3A90" w:rsidRDefault="00B266F6" w:rsidP="007D3A90">
      <w:pPr>
        <w:pStyle w:val="Title"/>
      </w:pPr>
      <w:r>
        <w:t>Family Child CAre</w:t>
      </w:r>
    </w:p>
    <w:p w:rsidR="00F36E87" w:rsidRDefault="00F36E87" w:rsidP="00F36E87"/>
    <w:tbl>
      <w:tblPr>
        <w:tblW w:w="5000" w:type="pct"/>
        <w:tblLook w:val="04A0" w:firstRow="1" w:lastRow="0" w:firstColumn="1" w:lastColumn="0" w:noHBand="0" w:noVBand="1"/>
      </w:tblPr>
      <w:tblGrid>
        <w:gridCol w:w="1363"/>
        <w:gridCol w:w="797"/>
        <w:gridCol w:w="4872"/>
        <w:gridCol w:w="7348"/>
      </w:tblGrid>
      <w:tr w:rsidR="00F36E87" w:rsidRPr="00F36E87" w:rsidTr="003F232A">
        <w:trPr>
          <w:trHeight w:val="499"/>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36E87" w:rsidRPr="00F36E87" w:rsidRDefault="00F36E87" w:rsidP="005F1CE0">
            <w:pPr>
              <w:pStyle w:val="Heading2"/>
              <w:rPr>
                <w:rFonts w:eastAsia="Times New Roman"/>
              </w:rPr>
            </w:pPr>
            <w:r w:rsidRPr="00F36E87">
              <w:rPr>
                <w:rFonts w:eastAsia="Times New Roman"/>
              </w:rPr>
              <w:t>STANDARD 1: CURRICULUM, ASSESSMENT, AND INSTRUCTIONAL PRACTICE</w:t>
            </w:r>
          </w:p>
        </w:tc>
      </w:tr>
      <w:tr w:rsidR="00F36E87" w:rsidRPr="00F36E87" w:rsidTr="003F232A">
        <w:trPr>
          <w:trHeight w:val="499"/>
        </w:trPr>
        <w:tc>
          <w:tcPr>
            <w:tcW w:w="2444" w:type="pct"/>
            <w:gridSpan w:val="3"/>
            <w:tcBorders>
              <w:top w:val="single" w:sz="8" w:space="0" w:color="auto"/>
              <w:left w:val="single" w:sz="8" w:space="0" w:color="auto"/>
              <w:bottom w:val="nil"/>
              <w:right w:val="single" w:sz="4" w:space="0" w:color="auto"/>
            </w:tcBorders>
            <w:shd w:val="clear" w:color="auto" w:fill="auto"/>
            <w:vAlign w:val="center"/>
            <w:hideMark/>
          </w:tcPr>
          <w:p w:rsidR="00F36E87" w:rsidRPr="00F36E87" w:rsidRDefault="00F36E87" w:rsidP="005F1CE0">
            <w:pPr>
              <w:pStyle w:val="Heading2"/>
              <w:rPr>
                <w:rFonts w:eastAsia="Times New Roman"/>
              </w:rPr>
            </w:pPr>
            <w:r w:rsidRPr="00F36E87">
              <w:rPr>
                <w:rFonts w:eastAsia="Times New Roman"/>
              </w:rPr>
              <w:t>Criterion</w:t>
            </w:r>
          </w:p>
        </w:tc>
        <w:tc>
          <w:tcPr>
            <w:tcW w:w="2556" w:type="pct"/>
            <w:tcBorders>
              <w:top w:val="nil"/>
              <w:left w:val="nil"/>
              <w:bottom w:val="nil"/>
              <w:right w:val="single" w:sz="8" w:space="0" w:color="auto"/>
            </w:tcBorders>
            <w:shd w:val="clear" w:color="auto" w:fill="auto"/>
            <w:vAlign w:val="center"/>
            <w:hideMark/>
          </w:tcPr>
          <w:p w:rsidR="00F36E87" w:rsidRPr="00F36E87" w:rsidRDefault="00F36E87" w:rsidP="005F1CE0">
            <w:pPr>
              <w:pStyle w:val="Heading2"/>
              <w:rPr>
                <w:rFonts w:eastAsia="Times New Roman"/>
              </w:rPr>
            </w:pPr>
            <w:r w:rsidRPr="00F36E87">
              <w:rPr>
                <w:rFonts w:eastAsia="Times New Roman"/>
              </w:rPr>
              <w:t>Rationale</w:t>
            </w:r>
          </w:p>
        </w:tc>
      </w:tr>
      <w:tr w:rsidR="00F36E87" w:rsidRPr="00F36E87" w:rsidTr="003F232A">
        <w:trPr>
          <w:trHeight w:val="1200"/>
        </w:trPr>
        <w:tc>
          <w:tcPr>
            <w:tcW w:w="2444"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rsidR="00F36E87" w:rsidRPr="00E7272E" w:rsidRDefault="00F36E87" w:rsidP="00E7272E">
            <w:pPr>
              <w:pStyle w:val="Heading3"/>
            </w:pPr>
            <w:r w:rsidRPr="00E7272E">
              <w:t>1A. Curriculum: Program uses a developmentally appropriate curriculum that supports children in all learning domains.</w:t>
            </w:r>
          </w:p>
        </w:tc>
        <w:tc>
          <w:tcPr>
            <w:tcW w:w="2556" w:type="pct"/>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294D85" w:rsidRDefault="004378E1" w:rsidP="00294D85">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According </w:t>
            </w:r>
            <w:r w:rsidR="00F36E87" w:rsidRPr="00F36E87">
              <w:rPr>
                <w:rFonts w:ascii="Calibri" w:eastAsia="Times New Roman" w:hAnsi="Calibri" w:cs="Calibri"/>
                <w:color w:val="000000"/>
                <w:sz w:val="20"/>
                <w:szCs w:val="20"/>
              </w:rPr>
              <w:t xml:space="preserve">to the </w:t>
            </w:r>
            <w:r w:rsidR="00F36E87" w:rsidRPr="00F36E87">
              <w:rPr>
                <w:rFonts w:ascii="Calibri" w:eastAsia="Times New Roman" w:hAnsi="Calibri" w:cs="Calibri"/>
                <w:b/>
                <w:bCs/>
                <w:color w:val="000000"/>
                <w:sz w:val="20"/>
                <w:szCs w:val="20"/>
              </w:rPr>
              <w:t>N</w:t>
            </w:r>
            <w:r w:rsidR="001A7FE3">
              <w:rPr>
                <w:rFonts w:ascii="Calibri" w:eastAsia="Times New Roman" w:hAnsi="Calibri" w:cs="Calibri"/>
                <w:b/>
                <w:bCs/>
                <w:color w:val="000000"/>
                <w:sz w:val="20"/>
                <w:szCs w:val="20"/>
              </w:rPr>
              <w:t xml:space="preserve">ational </w:t>
            </w:r>
            <w:r w:rsidR="00F36E87" w:rsidRPr="00F36E87">
              <w:rPr>
                <w:rFonts w:ascii="Calibri" w:eastAsia="Times New Roman" w:hAnsi="Calibri" w:cs="Calibri"/>
                <w:b/>
                <w:bCs/>
                <w:color w:val="000000"/>
                <w:sz w:val="20"/>
                <w:szCs w:val="20"/>
              </w:rPr>
              <w:t>A</w:t>
            </w:r>
            <w:r w:rsidR="001A7FE3">
              <w:rPr>
                <w:rFonts w:ascii="Calibri" w:eastAsia="Times New Roman" w:hAnsi="Calibri" w:cs="Calibri"/>
                <w:b/>
                <w:bCs/>
                <w:color w:val="000000"/>
                <w:sz w:val="20"/>
                <w:szCs w:val="20"/>
              </w:rPr>
              <w:t xml:space="preserve">ssociation for </w:t>
            </w:r>
            <w:r w:rsidR="00F36E87" w:rsidRPr="00F36E87">
              <w:rPr>
                <w:rFonts w:ascii="Calibri" w:eastAsia="Times New Roman" w:hAnsi="Calibri" w:cs="Calibri"/>
                <w:b/>
                <w:bCs/>
                <w:color w:val="000000"/>
                <w:sz w:val="20"/>
                <w:szCs w:val="20"/>
              </w:rPr>
              <w:t>F</w:t>
            </w:r>
            <w:r w:rsidR="001A7FE3">
              <w:rPr>
                <w:rFonts w:ascii="Calibri" w:eastAsia="Times New Roman" w:hAnsi="Calibri" w:cs="Calibri"/>
                <w:b/>
                <w:bCs/>
                <w:color w:val="000000"/>
                <w:sz w:val="20"/>
                <w:szCs w:val="20"/>
              </w:rPr>
              <w:t xml:space="preserve">amily </w:t>
            </w:r>
            <w:r w:rsidR="00F36E87" w:rsidRPr="00F36E87">
              <w:rPr>
                <w:rFonts w:ascii="Calibri" w:eastAsia="Times New Roman" w:hAnsi="Calibri" w:cs="Calibri"/>
                <w:b/>
                <w:bCs/>
                <w:color w:val="000000"/>
                <w:sz w:val="20"/>
                <w:szCs w:val="20"/>
              </w:rPr>
              <w:t>C</w:t>
            </w:r>
            <w:r w:rsidR="001A7FE3">
              <w:rPr>
                <w:rFonts w:ascii="Calibri" w:eastAsia="Times New Roman" w:hAnsi="Calibri" w:cs="Calibri"/>
                <w:b/>
                <w:bCs/>
                <w:color w:val="000000"/>
                <w:sz w:val="20"/>
                <w:szCs w:val="20"/>
              </w:rPr>
              <w:t xml:space="preserve">hild </w:t>
            </w:r>
            <w:r w:rsidR="00F36E87" w:rsidRPr="00F36E87">
              <w:rPr>
                <w:rFonts w:ascii="Calibri" w:eastAsia="Times New Roman" w:hAnsi="Calibri" w:cs="Calibri"/>
                <w:b/>
                <w:bCs/>
                <w:color w:val="000000"/>
                <w:sz w:val="20"/>
                <w:szCs w:val="20"/>
              </w:rPr>
              <w:t>C</w:t>
            </w:r>
            <w:r w:rsidR="001A7FE3">
              <w:rPr>
                <w:rFonts w:ascii="Calibri" w:eastAsia="Times New Roman" w:hAnsi="Calibri" w:cs="Calibri"/>
                <w:b/>
                <w:bCs/>
                <w:color w:val="000000"/>
                <w:sz w:val="20"/>
                <w:szCs w:val="20"/>
              </w:rPr>
              <w:t>are (NAFCC)</w:t>
            </w:r>
            <w:r w:rsidR="00294D85">
              <w:rPr>
                <w:rFonts w:ascii="Calibri" w:eastAsia="Times New Roman" w:hAnsi="Calibri" w:cs="Calibri"/>
                <w:color w:val="000000"/>
                <w:sz w:val="20"/>
                <w:szCs w:val="20"/>
              </w:rPr>
              <w:t xml:space="preserve">, programs should provide a </w:t>
            </w:r>
            <w:r w:rsidR="00F36E87" w:rsidRPr="00F36E87">
              <w:rPr>
                <w:rFonts w:ascii="Calibri" w:eastAsia="Times New Roman" w:hAnsi="Calibri" w:cs="Calibri"/>
                <w:color w:val="000000"/>
                <w:sz w:val="20"/>
                <w:szCs w:val="20"/>
              </w:rPr>
              <w:t>developmentally appropriate learning environment that addresses: social emotional growth, physical growth, cognitive and language development, math and science developm</w:t>
            </w:r>
            <w:r w:rsidR="00294D85">
              <w:rPr>
                <w:rFonts w:ascii="Calibri" w:eastAsia="Times New Roman" w:hAnsi="Calibri" w:cs="Calibri"/>
                <w:color w:val="000000"/>
                <w:sz w:val="20"/>
                <w:szCs w:val="20"/>
              </w:rPr>
              <w:t>ent</w:t>
            </w:r>
            <w:r w:rsidR="001A7FE3">
              <w:rPr>
                <w:rFonts w:ascii="Calibri" w:eastAsia="Times New Roman" w:hAnsi="Calibri" w:cs="Calibri"/>
                <w:color w:val="000000"/>
                <w:sz w:val="20"/>
                <w:szCs w:val="20"/>
              </w:rPr>
              <w:t>,</w:t>
            </w:r>
            <w:r w:rsidR="00294D85">
              <w:rPr>
                <w:rFonts w:ascii="Calibri" w:eastAsia="Times New Roman" w:hAnsi="Calibri" w:cs="Calibri"/>
                <w:color w:val="000000"/>
                <w:sz w:val="20"/>
                <w:szCs w:val="20"/>
              </w:rPr>
              <w:t xml:space="preserve"> and creative development.</w:t>
            </w:r>
          </w:p>
          <w:p w:rsidR="00294D85" w:rsidRDefault="00294D85" w:rsidP="00294D85">
            <w:pPr>
              <w:rPr>
                <w:rFonts w:ascii="Calibri" w:eastAsia="Times New Roman" w:hAnsi="Calibri" w:cs="Calibri"/>
                <w:color w:val="000000"/>
                <w:sz w:val="20"/>
                <w:szCs w:val="20"/>
              </w:rPr>
            </w:pPr>
          </w:p>
          <w:p w:rsidR="00F36E87" w:rsidRPr="00F36E87" w:rsidRDefault="00294D85" w:rsidP="00294D85">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Additionally</w:t>
            </w:r>
            <w:r w:rsidR="00F36E87" w:rsidRPr="00F36E87">
              <w:rPr>
                <w:rFonts w:ascii="Calibri" w:eastAsia="Times New Roman" w:hAnsi="Calibri" w:cs="Calibri"/>
                <w:color w:val="000000"/>
                <w:sz w:val="20"/>
                <w:szCs w:val="20"/>
              </w:rPr>
              <w:t xml:space="preserve">, most of the children’s activities should promote many kinds of development simultaneously – as </w:t>
            </w:r>
            <w:r w:rsidR="00E7272E">
              <w:rPr>
                <w:rFonts w:ascii="Calibri" w:eastAsia="Times New Roman" w:hAnsi="Calibri" w:cs="Calibri"/>
                <w:color w:val="000000"/>
                <w:sz w:val="20"/>
                <w:szCs w:val="20"/>
              </w:rPr>
              <w:t xml:space="preserve">such, the curriculum should be </w:t>
            </w:r>
            <w:r w:rsidR="00F36E87" w:rsidRPr="00F36E87">
              <w:rPr>
                <w:rFonts w:ascii="Calibri" w:eastAsia="Times New Roman" w:hAnsi="Calibri" w:cs="Calibri"/>
                <w:color w:val="000000"/>
                <w:sz w:val="20"/>
                <w:szCs w:val="20"/>
              </w:rPr>
              <w:t xml:space="preserve">integrated and holistic rather than focused on one area of development at a time. In the updated 2017 NAFCC accreditation process, Updated Training Requirement Core Competencies for educators includes: Learning Environments and Curriculum which is defined by  Curriculum </w:t>
            </w:r>
            <w:r w:rsidR="00B52278">
              <w:rPr>
                <w:rFonts w:ascii="Calibri" w:eastAsia="Times New Roman" w:hAnsi="Calibri" w:cs="Calibri"/>
                <w:color w:val="000000"/>
                <w:sz w:val="20"/>
                <w:szCs w:val="20"/>
              </w:rPr>
              <w:t xml:space="preserve">and curriculum planning; </w:t>
            </w:r>
            <w:r w:rsidR="00F36E87" w:rsidRPr="00F36E87">
              <w:rPr>
                <w:rFonts w:ascii="Calibri" w:eastAsia="Times New Roman" w:hAnsi="Calibri" w:cs="Calibri"/>
                <w:color w:val="000000"/>
                <w:sz w:val="20"/>
                <w:szCs w:val="20"/>
              </w:rPr>
              <w:t>Language and literacy, mathematics, science, technology, engine</w:t>
            </w:r>
            <w:r w:rsidR="00B52278">
              <w:rPr>
                <w:rFonts w:ascii="Calibri" w:eastAsia="Times New Roman" w:hAnsi="Calibri" w:cs="Calibri"/>
                <w:color w:val="000000"/>
                <w:sz w:val="20"/>
                <w:szCs w:val="20"/>
              </w:rPr>
              <w:t>ering, the arts, social studies</w:t>
            </w:r>
            <w:r w:rsidR="00F36E87" w:rsidRPr="00F36E87">
              <w:rPr>
                <w:rFonts w:ascii="Calibri" w:eastAsia="Times New Roman" w:hAnsi="Calibri" w:cs="Calibri"/>
                <w:color w:val="000000"/>
                <w:sz w:val="20"/>
                <w:szCs w:val="20"/>
              </w:rPr>
              <w:t>; Culture, diversity, and equity inclusiven</w:t>
            </w:r>
            <w:r w:rsidR="00B52278">
              <w:rPr>
                <w:rFonts w:ascii="Calibri" w:eastAsia="Times New Roman" w:hAnsi="Calibri" w:cs="Calibri"/>
                <w:color w:val="000000"/>
                <w:sz w:val="20"/>
                <w:szCs w:val="20"/>
              </w:rPr>
              <w:t>ess; Dual language learners</w:t>
            </w:r>
            <w:r w:rsidR="004B6C67">
              <w:rPr>
                <w:rFonts w:ascii="Calibri" w:eastAsia="Times New Roman" w:hAnsi="Calibri" w:cs="Calibri"/>
                <w:color w:val="000000"/>
                <w:sz w:val="20"/>
                <w:szCs w:val="20"/>
              </w:rPr>
              <w:t>; S</w:t>
            </w:r>
            <w:r w:rsidR="00F36E87" w:rsidRPr="00F36E87">
              <w:rPr>
                <w:rFonts w:ascii="Calibri" w:eastAsia="Times New Roman" w:hAnsi="Calibri" w:cs="Calibri"/>
                <w:color w:val="000000"/>
                <w:sz w:val="20"/>
                <w:szCs w:val="20"/>
              </w:rPr>
              <w:t>pace, mat</w:t>
            </w:r>
            <w:r w:rsidR="00E7272E">
              <w:rPr>
                <w:rFonts w:ascii="Calibri" w:eastAsia="Times New Roman" w:hAnsi="Calibri" w:cs="Calibri"/>
                <w:color w:val="000000"/>
                <w:sz w:val="20"/>
                <w:szCs w:val="20"/>
              </w:rPr>
              <w:t>erials, activities, transitions</w:t>
            </w:r>
            <w:r w:rsidR="00F36E87" w:rsidRPr="00F36E87">
              <w:rPr>
                <w:rFonts w:ascii="Calibri" w:eastAsia="Times New Roman" w:hAnsi="Calibri" w:cs="Calibri"/>
                <w:color w:val="000000"/>
                <w:sz w:val="20"/>
                <w:szCs w:val="20"/>
              </w:rPr>
              <w:t>; and Schedule</w:t>
            </w:r>
            <w:r w:rsidR="00E7272E">
              <w:rPr>
                <w:rFonts w:ascii="Calibri" w:eastAsia="Times New Roman" w:hAnsi="Calibri" w:cs="Calibri"/>
                <w:color w:val="000000"/>
                <w:sz w:val="20"/>
                <w:szCs w:val="20"/>
              </w:rPr>
              <w:t>s and routines.</w:t>
            </w:r>
            <w:r w:rsidR="00F36E87" w:rsidRPr="00F36E87">
              <w:rPr>
                <w:rFonts w:ascii="Calibri" w:eastAsia="Times New Roman" w:hAnsi="Calibri" w:cs="Calibri"/>
                <w:color w:val="000000"/>
                <w:sz w:val="20"/>
                <w:szCs w:val="20"/>
              </w:rPr>
              <w:t xml:space="preserve"> </w:t>
            </w:r>
          </w:p>
        </w:tc>
      </w:tr>
      <w:tr w:rsidR="003B48B7" w:rsidRPr="00F36E87" w:rsidTr="003F232A">
        <w:trPr>
          <w:trHeight w:val="1200"/>
        </w:trPr>
        <w:tc>
          <w:tcPr>
            <w:tcW w:w="474" w:type="pct"/>
            <w:vMerge w:val="restart"/>
            <w:tcBorders>
              <w:top w:val="nil"/>
              <w:left w:val="single" w:sz="8" w:space="0" w:color="auto"/>
              <w:bottom w:val="single" w:sz="8" w:space="0" w:color="000000"/>
              <w:right w:val="single" w:sz="4" w:space="0" w:color="auto"/>
            </w:tcBorders>
            <w:shd w:val="clear" w:color="auto" w:fill="auto"/>
            <w:vAlign w:val="center"/>
            <w:hideMark/>
          </w:tcPr>
          <w:p w:rsidR="00F36E87" w:rsidRPr="00F36E87" w:rsidRDefault="00F36E87" w:rsidP="005F1CE0">
            <w:pPr>
              <w:pStyle w:val="Heading4"/>
              <w:rPr>
                <w:rFonts w:eastAsia="Times New Roman"/>
              </w:rPr>
            </w:pPr>
            <w:r w:rsidRPr="00F36E87">
              <w:rPr>
                <w:rFonts w:eastAsia="Times New Roman"/>
              </w:rPr>
              <w:t>Indicator</w:t>
            </w:r>
          </w:p>
        </w:tc>
        <w:tc>
          <w:tcPr>
            <w:tcW w:w="277" w:type="pct"/>
            <w:tcBorders>
              <w:top w:val="nil"/>
              <w:left w:val="nil"/>
              <w:bottom w:val="single" w:sz="4" w:space="0" w:color="auto"/>
              <w:right w:val="single" w:sz="4" w:space="0" w:color="auto"/>
            </w:tcBorders>
            <w:shd w:val="clear" w:color="auto" w:fill="auto"/>
            <w:vAlign w:val="center"/>
            <w:hideMark/>
          </w:tcPr>
          <w:p w:rsidR="00F36E87" w:rsidRPr="00824EAB" w:rsidRDefault="003B48B7" w:rsidP="005F1CE0">
            <w:pPr>
              <w:pStyle w:val="Heading5"/>
            </w:pPr>
            <w:r w:rsidRPr="00824EAB">
              <w:t xml:space="preserve">Level </w:t>
            </w:r>
            <w:r w:rsidR="00F36E87" w:rsidRPr="00824EAB">
              <w:t>2</w:t>
            </w:r>
          </w:p>
        </w:tc>
        <w:tc>
          <w:tcPr>
            <w:tcW w:w="1694" w:type="pct"/>
            <w:tcBorders>
              <w:top w:val="nil"/>
              <w:left w:val="nil"/>
              <w:bottom w:val="single" w:sz="4" w:space="0" w:color="auto"/>
              <w:right w:val="single" w:sz="4" w:space="0" w:color="auto"/>
            </w:tcBorders>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uses an intentional, documented curriculum that reflects developmentally appropriate practices across the mixed-age group</w:t>
            </w:r>
          </w:p>
        </w:tc>
        <w:tc>
          <w:tcPr>
            <w:tcW w:w="2556" w:type="pct"/>
            <w:vMerge/>
            <w:tcBorders>
              <w:top w:val="single" w:sz="8" w:space="0" w:color="auto"/>
              <w:left w:val="single" w:sz="4" w:space="0" w:color="auto"/>
              <w:bottom w:val="single" w:sz="8" w:space="0" w:color="000000"/>
              <w:right w:val="single" w:sz="8" w:space="0" w:color="auto"/>
            </w:tcBorders>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rPr>
          <w:trHeight w:val="1200"/>
        </w:trPr>
        <w:tc>
          <w:tcPr>
            <w:tcW w:w="474" w:type="pct"/>
            <w:vMerge/>
            <w:tcBorders>
              <w:top w:val="nil"/>
              <w:left w:val="single" w:sz="8" w:space="0" w:color="auto"/>
              <w:bottom w:val="single" w:sz="8" w:space="0" w:color="000000"/>
              <w:right w:val="single" w:sz="4" w:space="0" w:color="auto"/>
            </w:tcBorders>
            <w:vAlign w:val="center"/>
            <w:hideMark/>
          </w:tcPr>
          <w:p w:rsidR="00F36E87" w:rsidRPr="00F36E87" w:rsidRDefault="00F36E87" w:rsidP="00F36E87">
            <w:pPr>
              <w:rPr>
                <w:rFonts w:ascii="Calibri" w:eastAsia="Times New Roman" w:hAnsi="Calibri" w:cs="Calibri"/>
                <w:b/>
                <w:bCs/>
                <w:color w:val="000000"/>
              </w:rPr>
            </w:pPr>
          </w:p>
        </w:tc>
        <w:tc>
          <w:tcPr>
            <w:tcW w:w="277" w:type="pct"/>
            <w:tcBorders>
              <w:top w:val="nil"/>
              <w:left w:val="nil"/>
              <w:bottom w:val="single" w:sz="4" w:space="0" w:color="auto"/>
              <w:right w:val="single" w:sz="4" w:space="0" w:color="auto"/>
            </w:tcBorders>
            <w:shd w:val="clear" w:color="auto" w:fill="auto"/>
            <w:vAlign w:val="center"/>
            <w:hideMark/>
          </w:tcPr>
          <w:p w:rsidR="00F36E87" w:rsidRPr="00824EAB" w:rsidRDefault="003B48B7" w:rsidP="005F1CE0">
            <w:pPr>
              <w:pStyle w:val="Heading5"/>
            </w:pPr>
            <w:r w:rsidRPr="00824EAB">
              <w:t xml:space="preserve">Level </w:t>
            </w:r>
            <w:r w:rsidR="00F36E87" w:rsidRPr="00824EAB">
              <w:t>3</w:t>
            </w:r>
          </w:p>
        </w:tc>
        <w:tc>
          <w:tcPr>
            <w:tcW w:w="1694" w:type="pct"/>
            <w:tcBorders>
              <w:top w:val="nil"/>
              <w:left w:val="nil"/>
              <w:bottom w:val="single" w:sz="4" w:space="0" w:color="auto"/>
              <w:right w:val="single" w:sz="4" w:space="0" w:color="auto"/>
            </w:tcBorders>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uses an intentional, documented curriculum that reflects understanding and use of EEC standards and guidelines across the mixed-age group</w:t>
            </w:r>
          </w:p>
        </w:tc>
        <w:tc>
          <w:tcPr>
            <w:tcW w:w="2556" w:type="pct"/>
            <w:vMerge/>
            <w:tcBorders>
              <w:top w:val="single" w:sz="8" w:space="0" w:color="auto"/>
              <w:left w:val="single" w:sz="4" w:space="0" w:color="auto"/>
              <w:bottom w:val="single" w:sz="8" w:space="0" w:color="000000"/>
              <w:right w:val="single" w:sz="8" w:space="0" w:color="auto"/>
            </w:tcBorders>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rPr>
          <w:trHeight w:val="1200"/>
        </w:trPr>
        <w:tc>
          <w:tcPr>
            <w:tcW w:w="474" w:type="pct"/>
            <w:vMerge/>
            <w:tcBorders>
              <w:top w:val="nil"/>
              <w:left w:val="single" w:sz="8" w:space="0" w:color="auto"/>
              <w:bottom w:val="single" w:sz="8" w:space="0" w:color="000000"/>
              <w:right w:val="single" w:sz="4" w:space="0" w:color="auto"/>
            </w:tcBorders>
            <w:vAlign w:val="center"/>
            <w:hideMark/>
          </w:tcPr>
          <w:p w:rsidR="00F36E87" w:rsidRPr="00F36E87" w:rsidRDefault="00F36E87" w:rsidP="00F36E87">
            <w:pPr>
              <w:rPr>
                <w:rFonts w:ascii="Calibri" w:eastAsia="Times New Roman" w:hAnsi="Calibri" w:cs="Calibri"/>
                <w:b/>
                <w:bCs/>
                <w:color w:val="000000"/>
              </w:rPr>
            </w:pPr>
          </w:p>
        </w:tc>
        <w:tc>
          <w:tcPr>
            <w:tcW w:w="277" w:type="pct"/>
            <w:tcBorders>
              <w:top w:val="nil"/>
              <w:left w:val="nil"/>
              <w:bottom w:val="single" w:sz="8" w:space="0" w:color="auto"/>
              <w:right w:val="single" w:sz="4" w:space="0" w:color="auto"/>
            </w:tcBorders>
            <w:shd w:val="clear" w:color="auto" w:fill="auto"/>
            <w:vAlign w:val="center"/>
            <w:hideMark/>
          </w:tcPr>
          <w:p w:rsidR="00F36E87" w:rsidRPr="00824EAB" w:rsidRDefault="003B48B7" w:rsidP="005F1CE0">
            <w:pPr>
              <w:pStyle w:val="Heading5"/>
            </w:pPr>
            <w:r w:rsidRPr="00824EAB">
              <w:t xml:space="preserve">Level </w:t>
            </w:r>
            <w:r w:rsidR="00F36E87" w:rsidRPr="00824EAB">
              <w:t>4/5</w:t>
            </w:r>
          </w:p>
        </w:tc>
        <w:tc>
          <w:tcPr>
            <w:tcW w:w="1694" w:type="pct"/>
            <w:tcBorders>
              <w:top w:val="nil"/>
              <w:left w:val="nil"/>
              <w:bottom w:val="single" w:sz="8" w:space="0" w:color="auto"/>
              <w:right w:val="single" w:sz="4" w:space="0" w:color="auto"/>
            </w:tcBorders>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effectively and consistently implements:  differentiated curriculum; or emergent curriculum; or specialized curriculum; or evidence-based general curriculum</w:t>
            </w:r>
          </w:p>
        </w:tc>
        <w:tc>
          <w:tcPr>
            <w:tcW w:w="2556" w:type="pct"/>
            <w:vMerge/>
            <w:tcBorders>
              <w:top w:val="single" w:sz="8" w:space="0" w:color="auto"/>
              <w:left w:val="single" w:sz="4" w:space="0" w:color="auto"/>
              <w:bottom w:val="single" w:sz="8" w:space="0" w:color="000000"/>
              <w:right w:val="single" w:sz="8" w:space="0" w:color="auto"/>
            </w:tcBorders>
            <w:vAlign w:val="center"/>
            <w:hideMark/>
          </w:tcPr>
          <w:p w:rsidR="00F36E87" w:rsidRPr="00F36E87" w:rsidRDefault="00F36E87" w:rsidP="00F36E87">
            <w:pPr>
              <w:rPr>
                <w:rFonts w:ascii="Calibri" w:eastAsia="Times New Roman" w:hAnsi="Calibri" w:cs="Calibri"/>
                <w:color w:val="000000"/>
                <w:sz w:val="20"/>
                <w:szCs w:val="20"/>
              </w:rPr>
            </w:pPr>
          </w:p>
        </w:tc>
      </w:tr>
    </w:tbl>
    <w:p w:rsidR="003B48B7" w:rsidRDefault="003B48B7">
      <w:r>
        <w:br w:type="page"/>
      </w:r>
    </w:p>
    <w:p w:rsidR="003F232A" w:rsidRDefault="003F232A"/>
    <w:tbl>
      <w:tblPr>
        <w:tblW w:w="5000" w:type="pct"/>
        <w:tblLook w:val="04A0" w:firstRow="1" w:lastRow="0" w:firstColumn="1" w:lastColumn="0" w:noHBand="0" w:noVBand="1"/>
      </w:tblPr>
      <w:tblGrid>
        <w:gridCol w:w="1340"/>
        <w:gridCol w:w="791"/>
        <w:gridCol w:w="4895"/>
        <w:gridCol w:w="7354"/>
      </w:tblGrid>
      <w:tr w:rsidR="003F232A" w:rsidRPr="00F36E87" w:rsidTr="003F232A">
        <w:trPr>
          <w:trHeight w:val="499"/>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STANDARD 1: CURRICULUM, ASSESSMENT, AND INSTRUCTIONAL PRACTICE</w:t>
            </w:r>
          </w:p>
        </w:tc>
      </w:tr>
      <w:tr w:rsidR="003F232A" w:rsidRPr="00F36E87" w:rsidTr="003F232A">
        <w:trPr>
          <w:trHeight w:val="499"/>
        </w:trPr>
        <w:tc>
          <w:tcPr>
            <w:tcW w:w="2443" w:type="pct"/>
            <w:gridSpan w:val="3"/>
            <w:tcBorders>
              <w:top w:val="single" w:sz="8" w:space="0" w:color="auto"/>
              <w:left w:val="single" w:sz="8" w:space="0" w:color="auto"/>
              <w:bottom w:val="nil"/>
              <w:right w:val="single" w:sz="4"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Criterion</w:t>
            </w:r>
          </w:p>
        </w:tc>
        <w:tc>
          <w:tcPr>
            <w:tcW w:w="2557" w:type="pct"/>
            <w:tcBorders>
              <w:top w:val="nil"/>
              <w:left w:val="nil"/>
              <w:bottom w:val="nil"/>
              <w:right w:val="single" w:sz="8"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Rationale</w:t>
            </w:r>
          </w:p>
        </w:tc>
      </w:tr>
      <w:tr w:rsidR="00F36E8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443" w:type="pct"/>
            <w:gridSpan w:val="3"/>
            <w:shd w:val="clear" w:color="000000" w:fill="D9D9D9"/>
            <w:vAlign w:val="center"/>
            <w:hideMark/>
          </w:tcPr>
          <w:p w:rsidR="00F36E87" w:rsidRPr="00F36E87" w:rsidRDefault="00F36E87" w:rsidP="00E7272E">
            <w:pPr>
              <w:pStyle w:val="Heading3"/>
              <w:rPr>
                <w:rFonts w:eastAsia="Times New Roman"/>
              </w:rPr>
            </w:pPr>
            <w:r w:rsidRPr="00F36E87">
              <w:rPr>
                <w:rFonts w:eastAsia="Times New Roman"/>
              </w:rPr>
              <w:t>1B. Assessment: Program uses observation and documentation practices to assess children in the program.  1B.i:  Program uses screening tools to assess all children in all developmental domains.</w:t>
            </w:r>
          </w:p>
        </w:tc>
        <w:tc>
          <w:tcPr>
            <w:tcW w:w="2557" w:type="pct"/>
            <w:vMerge w:val="restart"/>
            <w:shd w:val="clear" w:color="000000" w:fill="D9D9D9"/>
            <w:vAlign w:val="center"/>
            <w:hideMark/>
          </w:tcPr>
          <w:p w:rsidR="00E7272E"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As a brief assessment procedure, developmental screening are designed:  to identify  children who should receive more intensive diagnosis or assessment;  to help children who are at-risk for developmental problems, and school failure; and to facilitate access to intervention services as early as possible (</w:t>
            </w:r>
            <w:proofErr w:type="spellStart"/>
            <w:r w:rsidRPr="00F36E87">
              <w:rPr>
                <w:rFonts w:ascii="Calibri" w:eastAsia="Times New Roman" w:hAnsi="Calibri" w:cs="Calibri"/>
                <w:b/>
                <w:bCs/>
                <w:color w:val="000000"/>
                <w:sz w:val="20"/>
                <w:szCs w:val="20"/>
              </w:rPr>
              <w:t>Meisels</w:t>
            </w:r>
            <w:proofErr w:type="spellEnd"/>
            <w:r w:rsidRPr="00F36E87">
              <w:rPr>
                <w:rFonts w:ascii="Calibri" w:eastAsia="Times New Roman" w:hAnsi="Calibri" w:cs="Calibri"/>
                <w:color w:val="000000"/>
                <w:sz w:val="20"/>
                <w:szCs w:val="20"/>
              </w:rPr>
              <w:t>, 1988).</w:t>
            </w:r>
          </w:p>
          <w:p w:rsidR="00E7272E" w:rsidRDefault="00E7272E" w:rsidP="00E7272E">
            <w:pPr>
              <w:rPr>
                <w:rFonts w:ascii="Calibri" w:eastAsia="Times New Roman" w:hAnsi="Calibri" w:cs="Calibri"/>
                <w:color w:val="000000"/>
                <w:sz w:val="20"/>
                <w:szCs w:val="20"/>
              </w:rPr>
            </w:pPr>
          </w:p>
          <w:p w:rsidR="00E7272E" w:rsidRDefault="00E7272E" w:rsidP="00E7272E">
            <w:pPr>
              <w:rPr>
                <w:rFonts w:ascii="Calibri" w:eastAsia="Times New Roman" w:hAnsi="Calibri" w:cs="Calibri"/>
                <w:color w:val="000000"/>
                <w:sz w:val="20"/>
                <w:szCs w:val="20"/>
              </w:rPr>
            </w:pPr>
          </w:p>
          <w:p w:rsidR="00F36E87" w:rsidRPr="00F36E87"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 xml:space="preserve">Current </w:t>
            </w:r>
            <w:r w:rsidRPr="00F36E87">
              <w:rPr>
                <w:rFonts w:ascii="Calibri" w:eastAsia="Times New Roman" w:hAnsi="Calibri" w:cs="Calibri"/>
                <w:b/>
                <w:bCs/>
                <w:color w:val="000000"/>
                <w:sz w:val="20"/>
                <w:szCs w:val="20"/>
              </w:rPr>
              <w:t>NAFCC</w:t>
            </w:r>
            <w:r w:rsidRPr="00F36E87">
              <w:rPr>
                <w:rFonts w:ascii="Calibri" w:eastAsia="Times New Roman" w:hAnsi="Calibri" w:cs="Calibri"/>
                <w:color w:val="000000"/>
                <w:sz w:val="20"/>
                <w:szCs w:val="20"/>
              </w:rPr>
              <w:t xml:space="preserve"> accreditation standards requires that FCC providers gather information about children’s interests and needs through observation and conversations wi</w:t>
            </w:r>
            <w:r w:rsidR="00A45BD3">
              <w:rPr>
                <w:rFonts w:ascii="Calibri" w:eastAsia="Times New Roman" w:hAnsi="Calibri" w:cs="Calibri"/>
                <w:color w:val="000000"/>
                <w:sz w:val="20"/>
                <w:szCs w:val="20"/>
              </w:rPr>
              <w:t>th parents; and that providers use</w:t>
            </w:r>
            <w:r w:rsidRPr="00F36E87">
              <w:rPr>
                <w:rFonts w:ascii="Calibri" w:eastAsia="Times New Roman" w:hAnsi="Calibri" w:cs="Calibri"/>
                <w:color w:val="000000"/>
                <w:sz w:val="20"/>
                <w:szCs w:val="20"/>
              </w:rPr>
              <w:t xml:space="preserve"> this informatio</w:t>
            </w:r>
            <w:r w:rsidR="00A45BD3">
              <w:rPr>
                <w:rFonts w:ascii="Calibri" w:eastAsia="Times New Roman" w:hAnsi="Calibri" w:cs="Calibri"/>
                <w:color w:val="000000"/>
                <w:sz w:val="20"/>
                <w:szCs w:val="20"/>
              </w:rPr>
              <w:t xml:space="preserve">n to set goals that support </w:t>
            </w:r>
            <w:r w:rsidRPr="00F36E87">
              <w:rPr>
                <w:rFonts w:ascii="Calibri" w:eastAsia="Times New Roman" w:hAnsi="Calibri" w:cs="Calibri"/>
                <w:color w:val="000000"/>
                <w:sz w:val="20"/>
                <w:szCs w:val="20"/>
              </w:rPr>
              <w:t xml:space="preserve">children’s development. The 2017 revised NAFCC standards include Assessment and Screening as a professional development Core Competency requirement for educators. </w:t>
            </w: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restart"/>
            <w:shd w:val="clear" w:color="auto" w:fill="auto"/>
            <w:vAlign w:val="center"/>
            <w:hideMark/>
          </w:tcPr>
          <w:p w:rsidR="00F36E87" w:rsidRPr="00F36E87" w:rsidRDefault="00F36E87" w:rsidP="005F1CE0">
            <w:pPr>
              <w:pStyle w:val="Heading4"/>
              <w:rPr>
                <w:rFonts w:eastAsia="Times New Roman"/>
              </w:rPr>
            </w:pPr>
            <w:r w:rsidRPr="00F36E87">
              <w:rPr>
                <w:rFonts w:eastAsia="Times New Roman"/>
              </w:rPr>
              <w:t>Indicator</w:t>
            </w:r>
          </w:p>
        </w:tc>
        <w:tc>
          <w:tcPr>
            <w:tcW w:w="275" w:type="pct"/>
            <w:shd w:val="clear" w:color="auto" w:fill="auto"/>
            <w:vAlign w:val="center"/>
            <w:hideMark/>
          </w:tcPr>
          <w:p w:rsidR="00F36E87" w:rsidRPr="00F36E87" w:rsidRDefault="003B48B7" w:rsidP="005F1CE0">
            <w:pPr>
              <w:pStyle w:val="Heading5"/>
              <w:rPr>
                <w:rFonts w:eastAsia="Times New Roman"/>
              </w:rPr>
            </w:pPr>
            <w:r>
              <w:rPr>
                <w:rFonts w:eastAsia="Times New Roman"/>
              </w:rPr>
              <w:t xml:space="preserve">Level </w:t>
            </w:r>
            <w:r w:rsidR="00F36E87" w:rsidRPr="00F36E87">
              <w:rPr>
                <w:rFonts w:eastAsia="Times New Roman"/>
              </w:rPr>
              <w:t>2a</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For all children, program conducts annual developmental screenings using a valid, reliable screening tool</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ign w:val="center"/>
            <w:hideMark/>
          </w:tcPr>
          <w:p w:rsidR="00F36E87" w:rsidRPr="00F36E87" w:rsidRDefault="00F36E87" w:rsidP="00F36E87">
            <w:pPr>
              <w:rPr>
                <w:rFonts w:ascii="Calibri" w:eastAsia="Times New Roman" w:hAnsi="Calibri" w:cs="Calibri"/>
                <w:b/>
                <w:bCs/>
                <w:color w:val="000000"/>
              </w:rPr>
            </w:pPr>
          </w:p>
        </w:tc>
        <w:tc>
          <w:tcPr>
            <w:tcW w:w="275" w:type="pct"/>
            <w:shd w:val="clear" w:color="auto" w:fill="auto"/>
            <w:vAlign w:val="center"/>
            <w:hideMark/>
          </w:tcPr>
          <w:p w:rsidR="00F36E87" w:rsidRPr="00F36E87" w:rsidRDefault="003B48B7" w:rsidP="005F1CE0">
            <w:pPr>
              <w:pStyle w:val="Heading5"/>
              <w:rPr>
                <w:rFonts w:eastAsia="Times New Roman"/>
              </w:rPr>
            </w:pPr>
            <w:r>
              <w:rPr>
                <w:rFonts w:eastAsia="Times New Roman"/>
              </w:rPr>
              <w:t xml:space="preserve">Level </w:t>
            </w:r>
            <w:r w:rsidR="00F36E87" w:rsidRPr="00F36E87">
              <w:rPr>
                <w:rFonts w:eastAsia="Times New Roman"/>
              </w:rPr>
              <w:t>2b</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shares screening data with families for potential follow-up or referral</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ign w:val="center"/>
            <w:hideMark/>
          </w:tcPr>
          <w:p w:rsidR="00F36E87" w:rsidRPr="00F36E87" w:rsidRDefault="00F36E87" w:rsidP="00F36E87">
            <w:pPr>
              <w:rPr>
                <w:rFonts w:ascii="Calibri" w:eastAsia="Times New Roman" w:hAnsi="Calibri" w:cs="Calibri"/>
                <w:b/>
                <w:bCs/>
                <w:color w:val="000000"/>
              </w:rPr>
            </w:pPr>
          </w:p>
        </w:tc>
        <w:tc>
          <w:tcPr>
            <w:tcW w:w="275" w:type="pct"/>
            <w:shd w:val="clear" w:color="auto" w:fill="auto"/>
            <w:vAlign w:val="center"/>
            <w:hideMark/>
          </w:tcPr>
          <w:p w:rsidR="00F36E87" w:rsidRPr="00F36E87" w:rsidRDefault="003B48B7" w:rsidP="005F1CE0">
            <w:pPr>
              <w:pStyle w:val="Heading5"/>
              <w:rPr>
                <w:rFonts w:eastAsia="Times New Roman"/>
              </w:rPr>
            </w:pPr>
            <w:r>
              <w:rPr>
                <w:rFonts w:eastAsia="Times New Roman"/>
              </w:rPr>
              <w:t xml:space="preserve">Level </w:t>
            </w:r>
            <w:r w:rsidR="00F36E87" w:rsidRPr="00F36E87">
              <w:rPr>
                <w:rFonts w:eastAsia="Times New Roman"/>
              </w:rPr>
              <w:t>3</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For all children, program documents and tracks children’s development across developmental domains using a valid, reliable screening tool and shares data with families</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ign w:val="center"/>
            <w:hideMark/>
          </w:tcPr>
          <w:p w:rsidR="00F36E87" w:rsidRPr="00F36E87" w:rsidRDefault="00F36E87" w:rsidP="00F36E87">
            <w:pPr>
              <w:rPr>
                <w:rFonts w:ascii="Calibri" w:eastAsia="Times New Roman" w:hAnsi="Calibri" w:cs="Calibri"/>
                <w:b/>
                <w:bCs/>
                <w:color w:val="000000"/>
              </w:rPr>
            </w:pPr>
          </w:p>
        </w:tc>
        <w:tc>
          <w:tcPr>
            <w:tcW w:w="275" w:type="pct"/>
            <w:shd w:val="clear" w:color="auto" w:fill="auto"/>
            <w:vAlign w:val="center"/>
            <w:hideMark/>
          </w:tcPr>
          <w:p w:rsidR="00F36E87" w:rsidRPr="00F36E87" w:rsidRDefault="003B48B7" w:rsidP="005F1CE0">
            <w:pPr>
              <w:pStyle w:val="Heading5"/>
              <w:rPr>
                <w:rFonts w:eastAsia="Times New Roman"/>
              </w:rPr>
            </w:pPr>
            <w:r>
              <w:rPr>
                <w:rFonts w:eastAsia="Times New Roman"/>
              </w:rPr>
              <w:t xml:space="preserve">Level </w:t>
            </w:r>
            <w:r w:rsidR="00F36E87" w:rsidRPr="00F36E87">
              <w:rPr>
                <w:rFonts w:eastAsia="Times New Roman"/>
              </w:rPr>
              <w:t>4/5</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shares data regarding children’s development to ensure smooth transitions between program and Early Intervention and/or public school</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bl>
    <w:p w:rsidR="003F232A" w:rsidRDefault="003F232A">
      <w:r>
        <w:rPr>
          <w:b/>
        </w:rPr>
        <w:br w:type="page"/>
      </w:r>
    </w:p>
    <w:tbl>
      <w:tblPr>
        <w:tblW w:w="5000" w:type="pct"/>
        <w:tblLook w:val="04A0" w:firstRow="1" w:lastRow="0" w:firstColumn="1" w:lastColumn="0" w:noHBand="0" w:noVBand="1"/>
      </w:tblPr>
      <w:tblGrid>
        <w:gridCol w:w="1340"/>
        <w:gridCol w:w="791"/>
        <w:gridCol w:w="4895"/>
        <w:gridCol w:w="7354"/>
      </w:tblGrid>
      <w:tr w:rsidR="003F232A" w:rsidRPr="00F36E87" w:rsidTr="003F232A">
        <w:trPr>
          <w:trHeight w:val="499"/>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lastRenderedPageBreak/>
              <w:t>STANDARD 1: CURRICULUM, ASSESSMENT, AND INSTRUCTIONAL PRACTICE</w:t>
            </w:r>
          </w:p>
        </w:tc>
      </w:tr>
      <w:tr w:rsidR="003F232A" w:rsidRPr="00F36E87" w:rsidTr="003F232A">
        <w:trPr>
          <w:trHeight w:val="499"/>
        </w:trPr>
        <w:tc>
          <w:tcPr>
            <w:tcW w:w="2443" w:type="pct"/>
            <w:gridSpan w:val="3"/>
            <w:tcBorders>
              <w:top w:val="single" w:sz="8" w:space="0" w:color="auto"/>
              <w:left w:val="single" w:sz="8" w:space="0" w:color="auto"/>
              <w:bottom w:val="nil"/>
              <w:right w:val="single" w:sz="4"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Criterion</w:t>
            </w:r>
          </w:p>
        </w:tc>
        <w:tc>
          <w:tcPr>
            <w:tcW w:w="2557" w:type="pct"/>
            <w:tcBorders>
              <w:top w:val="nil"/>
              <w:left w:val="nil"/>
              <w:bottom w:val="nil"/>
              <w:right w:val="single" w:sz="8"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Rationale</w:t>
            </w:r>
          </w:p>
        </w:tc>
      </w:tr>
      <w:tr w:rsidR="00F36E8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443" w:type="pct"/>
            <w:gridSpan w:val="3"/>
            <w:shd w:val="clear" w:color="000000" w:fill="D9D9D9"/>
            <w:vAlign w:val="center"/>
            <w:hideMark/>
          </w:tcPr>
          <w:p w:rsidR="00F36E87" w:rsidRPr="00F36E87" w:rsidRDefault="00F36E87" w:rsidP="00E7272E">
            <w:pPr>
              <w:pStyle w:val="Heading3"/>
              <w:rPr>
                <w:rFonts w:eastAsia="Times New Roman"/>
              </w:rPr>
            </w:pPr>
            <w:r w:rsidRPr="00F36E87">
              <w:rPr>
                <w:rFonts w:eastAsia="Times New Roman"/>
              </w:rPr>
              <w:t>1B. Assessment: Program uses observation and documentation practices to assess children in the program. 1B.ii:</w:t>
            </w:r>
            <w:r w:rsidR="007E35F8">
              <w:rPr>
                <w:rFonts w:eastAsia="Times New Roman"/>
              </w:rPr>
              <w:t xml:space="preserve"> </w:t>
            </w:r>
            <w:r w:rsidRPr="00F36E87">
              <w:rPr>
                <w:rFonts w:eastAsia="Times New Roman"/>
              </w:rPr>
              <w:t xml:space="preserve">Program uses </w:t>
            </w:r>
            <w:r w:rsidRPr="00F36E87">
              <w:rPr>
                <w:rFonts w:eastAsia="Times New Roman"/>
                <w:u w:val="single"/>
              </w:rPr>
              <w:t>formative assessment</w:t>
            </w:r>
            <w:r w:rsidRPr="00F36E87">
              <w:rPr>
                <w:rFonts w:eastAsia="Times New Roman"/>
              </w:rPr>
              <w:t xml:space="preserve"> with all children in all early learning domains.</w:t>
            </w:r>
          </w:p>
        </w:tc>
        <w:tc>
          <w:tcPr>
            <w:tcW w:w="2557" w:type="pct"/>
            <w:vMerge w:val="restart"/>
            <w:shd w:val="clear" w:color="000000" w:fill="D9D9D9"/>
            <w:vAlign w:val="center"/>
            <w:hideMark/>
          </w:tcPr>
          <w:p w:rsidR="00E7272E"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Research has indicated that formative assessment promotes student gains (</w:t>
            </w:r>
            <w:r w:rsidRPr="00F36E87">
              <w:rPr>
                <w:rFonts w:ascii="Calibri" w:eastAsia="Times New Roman" w:hAnsi="Calibri" w:cs="Calibri"/>
                <w:b/>
                <w:bCs/>
                <w:color w:val="000000"/>
                <w:sz w:val="20"/>
                <w:szCs w:val="20"/>
              </w:rPr>
              <w:t>Black &amp; Williams</w:t>
            </w:r>
            <w:r w:rsidR="00E7272E">
              <w:rPr>
                <w:rFonts w:ascii="Calibri" w:eastAsia="Times New Roman" w:hAnsi="Calibri" w:cs="Calibri"/>
                <w:color w:val="000000"/>
                <w:sz w:val="20"/>
                <w:szCs w:val="20"/>
              </w:rPr>
              <w:t>, 1998; 2003).</w:t>
            </w:r>
          </w:p>
          <w:p w:rsidR="00E7272E" w:rsidRDefault="00E7272E" w:rsidP="00E7272E">
            <w:pPr>
              <w:rPr>
                <w:rFonts w:ascii="Calibri" w:eastAsia="Times New Roman" w:hAnsi="Calibri" w:cs="Calibri"/>
                <w:color w:val="000000"/>
                <w:sz w:val="20"/>
                <w:szCs w:val="20"/>
              </w:rPr>
            </w:pPr>
          </w:p>
          <w:p w:rsidR="00E7272E" w:rsidRDefault="00E7272E" w:rsidP="00E7272E">
            <w:pPr>
              <w:rPr>
                <w:rFonts w:ascii="Calibri" w:eastAsia="Times New Roman" w:hAnsi="Calibri" w:cs="Calibri"/>
                <w:color w:val="000000"/>
                <w:sz w:val="20"/>
                <w:szCs w:val="20"/>
              </w:rPr>
            </w:pPr>
            <w:r>
              <w:rPr>
                <w:rFonts w:ascii="Calibri" w:eastAsia="Times New Roman" w:hAnsi="Calibri" w:cs="Calibri"/>
                <w:color w:val="000000"/>
                <w:sz w:val="20"/>
                <w:szCs w:val="20"/>
              </w:rPr>
              <w:t>F</w:t>
            </w:r>
            <w:r w:rsidR="00F36E87" w:rsidRPr="00F36E87">
              <w:rPr>
                <w:rFonts w:ascii="Calibri" w:eastAsia="Times New Roman" w:hAnsi="Calibri" w:cs="Calibri"/>
                <w:color w:val="000000"/>
                <w:sz w:val="20"/>
                <w:szCs w:val="20"/>
              </w:rPr>
              <w:t>ormative assessment can be used to support development as well as measure it through connecting the curriculum with teaching (</w:t>
            </w:r>
            <w:proofErr w:type="spellStart"/>
            <w:r w:rsidR="00F36E87" w:rsidRPr="00A45BD3">
              <w:rPr>
                <w:rFonts w:ascii="Calibri" w:eastAsia="Times New Roman" w:hAnsi="Calibri" w:cs="Calibri"/>
                <w:b/>
                <w:color w:val="000000"/>
                <w:sz w:val="20"/>
                <w:szCs w:val="20"/>
              </w:rPr>
              <w:t>Scriven</w:t>
            </w:r>
            <w:proofErr w:type="spellEnd"/>
            <w:r w:rsidR="00F36E87" w:rsidRPr="00F36E87">
              <w:rPr>
                <w:rFonts w:ascii="Calibri" w:eastAsia="Times New Roman" w:hAnsi="Calibri" w:cs="Calibri"/>
                <w:color w:val="000000"/>
                <w:sz w:val="20"/>
                <w:szCs w:val="20"/>
              </w:rPr>
              <w:t xml:space="preserve">, 1967; </w:t>
            </w:r>
            <w:r w:rsidR="00F36E87" w:rsidRPr="00A45BD3">
              <w:rPr>
                <w:rFonts w:ascii="Calibri" w:eastAsia="Times New Roman" w:hAnsi="Calibri" w:cs="Calibri"/>
                <w:b/>
                <w:color w:val="000000"/>
                <w:sz w:val="20"/>
                <w:szCs w:val="20"/>
              </w:rPr>
              <w:t xml:space="preserve">Black &amp; </w:t>
            </w:r>
            <w:proofErr w:type="spellStart"/>
            <w:r w:rsidR="00F36E87" w:rsidRPr="00A45BD3">
              <w:rPr>
                <w:rFonts w:ascii="Calibri" w:eastAsia="Times New Roman" w:hAnsi="Calibri" w:cs="Calibri"/>
                <w:b/>
                <w:color w:val="000000"/>
                <w:sz w:val="20"/>
                <w:szCs w:val="20"/>
              </w:rPr>
              <w:t>W</w:t>
            </w:r>
            <w:r w:rsidR="00A45BD3">
              <w:rPr>
                <w:rFonts w:ascii="Calibri" w:eastAsia="Times New Roman" w:hAnsi="Calibri" w:cs="Calibri"/>
                <w:b/>
                <w:color w:val="000000"/>
                <w:sz w:val="20"/>
                <w:szCs w:val="20"/>
              </w:rPr>
              <w:t>iliam</w:t>
            </w:r>
            <w:proofErr w:type="spellEnd"/>
            <w:r>
              <w:rPr>
                <w:rFonts w:ascii="Calibri" w:eastAsia="Times New Roman" w:hAnsi="Calibri" w:cs="Calibri"/>
                <w:color w:val="000000"/>
                <w:sz w:val="20"/>
                <w:szCs w:val="20"/>
              </w:rPr>
              <w:t>, 1998; 2003).</w:t>
            </w:r>
          </w:p>
          <w:p w:rsidR="00E7272E" w:rsidRDefault="00E7272E" w:rsidP="00E7272E">
            <w:pPr>
              <w:rPr>
                <w:rFonts w:ascii="Calibri" w:eastAsia="Times New Roman" w:hAnsi="Calibri" w:cs="Calibri"/>
                <w:color w:val="000000"/>
                <w:sz w:val="20"/>
                <w:szCs w:val="20"/>
              </w:rPr>
            </w:pPr>
          </w:p>
          <w:p w:rsidR="00F36E87" w:rsidRPr="00F36E87" w:rsidRDefault="00F36E87" w:rsidP="00E7272E">
            <w:pPr>
              <w:rPr>
                <w:rFonts w:ascii="Calibri" w:eastAsia="Times New Roman" w:hAnsi="Calibri" w:cs="Calibri"/>
                <w:color w:val="000000"/>
                <w:sz w:val="20"/>
                <w:szCs w:val="20"/>
              </w:rPr>
            </w:pPr>
            <w:r w:rsidRPr="00F36E87">
              <w:rPr>
                <w:rFonts w:ascii="Calibri" w:eastAsia="Times New Roman" w:hAnsi="Calibri" w:cs="Calibri"/>
                <w:b/>
                <w:bCs/>
                <w:color w:val="000000"/>
                <w:sz w:val="20"/>
                <w:szCs w:val="20"/>
              </w:rPr>
              <w:t>NAEYC and the National Association of Early Childhood Specialists in State Departments of Education</w:t>
            </w:r>
            <w:r w:rsidRPr="00F36E87">
              <w:rPr>
                <w:rFonts w:ascii="Calibri" w:eastAsia="Times New Roman" w:hAnsi="Calibri" w:cs="Calibri"/>
                <w:color w:val="000000"/>
                <w:sz w:val="20"/>
                <w:szCs w:val="20"/>
              </w:rPr>
              <w:t xml:space="preserve"> (NAECS/SDE) state that "high-quality programs are informed by ongoing systematic, formal, and informal assessment approaches to provide information on children’s learning and development. These assessments occur within the context of reciprocal communications with families and with sensitivity to the cultural contexts in which children develop.”  </w:t>
            </w: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restart"/>
            <w:shd w:val="clear" w:color="auto" w:fill="auto"/>
            <w:vAlign w:val="center"/>
            <w:hideMark/>
          </w:tcPr>
          <w:p w:rsidR="00F36E87" w:rsidRPr="00F36E87" w:rsidRDefault="00F36E87" w:rsidP="005F1CE0">
            <w:pPr>
              <w:pStyle w:val="Heading4"/>
              <w:rPr>
                <w:rFonts w:eastAsia="Times New Roman"/>
              </w:rPr>
            </w:pPr>
            <w:r w:rsidRPr="00F36E87">
              <w:rPr>
                <w:rFonts w:eastAsia="Times New Roman"/>
              </w:rPr>
              <w:t>Indicator</w:t>
            </w:r>
          </w:p>
        </w:tc>
        <w:tc>
          <w:tcPr>
            <w:tcW w:w="275" w:type="pct"/>
            <w:shd w:val="clear" w:color="auto" w:fill="auto"/>
            <w:vAlign w:val="center"/>
            <w:hideMark/>
          </w:tcPr>
          <w:p w:rsidR="00F36E87" w:rsidRPr="00824EAB" w:rsidRDefault="003B48B7" w:rsidP="005F1CE0">
            <w:pPr>
              <w:pStyle w:val="Heading5"/>
            </w:pPr>
            <w:r w:rsidRPr="00824EAB">
              <w:t xml:space="preserve">Level </w:t>
            </w:r>
            <w:r w:rsidR="00F36E87" w:rsidRPr="00824EAB">
              <w:t>2</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For all children, program conducts formative assessments</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ign w:val="center"/>
            <w:hideMark/>
          </w:tcPr>
          <w:p w:rsidR="00F36E87" w:rsidRPr="00F36E87" w:rsidRDefault="00F36E87" w:rsidP="00F36E87">
            <w:pPr>
              <w:rPr>
                <w:rFonts w:ascii="Calibri" w:eastAsia="Times New Roman" w:hAnsi="Calibri" w:cs="Calibri"/>
                <w:b/>
                <w:bCs/>
                <w:color w:val="000000"/>
              </w:rPr>
            </w:pPr>
          </w:p>
        </w:tc>
        <w:tc>
          <w:tcPr>
            <w:tcW w:w="275" w:type="pct"/>
            <w:shd w:val="clear" w:color="auto" w:fill="auto"/>
            <w:vAlign w:val="center"/>
            <w:hideMark/>
          </w:tcPr>
          <w:p w:rsidR="00F36E87" w:rsidRPr="00824EAB" w:rsidRDefault="003B48B7" w:rsidP="005F1CE0">
            <w:pPr>
              <w:pStyle w:val="Heading5"/>
            </w:pPr>
            <w:r w:rsidRPr="00824EAB">
              <w:t xml:space="preserve">Level </w:t>
            </w:r>
            <w:r w:rsidR="00F36E87" w:rsidRPr="00824EAB">
              <w:t>3</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For all children, program integrates formative assessments into daily activities</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3F2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6" w:type="pct"/>
            <w:vMerge/>
            <w:vAlign w:val="center"/>
            <w:hideMark/>
          </w:tcPr>
          <w:p w:rsidR="00F36E87" w:rsidRPr="00F36E87" w:rsidRDefault="00F36E87" w:rsidP="00F36E87">
            <w:pPr>
              <w:rPr>
                <w:rFonts w:ascii="Calibri" w:eastAsia="Times New Roman" w:hAnsi="Calibri" w:cs="Calibri"/>
                <w:b/>
                <w:bCs/>
                <w:color w:val="000000"/>
              </w:rPr>
            </w:pPr>
          </w:p>
        </w:tc>
        <w:tc>
          <w:tcPr>
            <w:tcW w:w="275" w:type="pct"/>
            <w:shd w:val="clear" w:color="auto" w:fill="auto"/>
            <w:vAlign w:val="center"/>
            <w:hideMark/>
          </w:tcPr>
          <w:p w:rsidR="00F36E87" w:rsidRPr="00824EAB" w:rsidRDefault="003B48B7" w:rsidP="005F1CE0">
            <w:pPr>
              <w:pStyle w:val="Heading5"/>
            </w:pPr>
            <w:r w:rsidRPr="00824EAB">
              <w:t xml:space="preserve">Level </w:t>
            </w:r>
            <w:r w:rsidR="00F36E87" w:rsidRPr="00824EAB">
              <w:t>4/5</w:t>
            </w:r>
          </w:p>
        </w:tc>
        <w:tc>
          <w:tcPr>
            <w:tcW w:w="1702"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documents children’s development across early learning domains</w:t>
            </w:r>
          </w:p>
        </w:tc>
        <w:tc>
          <w:tcPr>
            <w:tcW w:w="2557" w:type="pct"/>
            <w:vMerge/>
            <w:vAlign w:val="center"/>
            <w:hideMark/>
          </w:tcPr>
          <w:p w:rsidR="00F36E87" w:rsidRPr="00F36E87" w:rsidRDefault="00F36E87" w:rsidP="00F36E87">
            <w:pPr>
              <w:rPr>
                <w:rFonts w:ascii="Calibri" w:eastAsia="Times New Roman" w:hAnsi="Calibri" w:cs="Calibri"/>
                <w:color w:val="000000"/>
                <w:sz w:val="20"/>
                <w:szCs w:val="20"/>
              </w:rPr>
            </w:pPr>
          </w:p>
        </w:tc>
      </w:tr>
    </w:tbl>
    <w:p w:rsidR="005B1C6A" w:rsidRDefault="005B1C6A">
      <w:r>
        <w:rPr>
          <w:b/>
        </w:rPr>
        <w:br w:type="page"/>
      </w:r>
    </w:p>
    <w:tbl>
      <w:tblPr>
        <w:tblW w:w="5069" w:type="pct"/>
        <w:tblLook w:val="04A0" w:firstRow="1" w:lastRow="0" w:firstColumn="1" w:lastColumn="0" w:noHBand="0" w:noVBand="1"/>
      </w:tblPr>
      <w:tblGrid>
        <w:gridCol w:w="1342"/>
        <w:gridCol w:w="991"/>
        <w:gridCol w:w="4895"/>
        <w:gridCol w:w="7350"/>
      </w:tblGrid>
      <w:tr w:rsidR="003F232A" w:rsidRPr="00F36E87" w:rsidTr="00754230">
        <w:trPr>
          <w:trHeight w:val="499"/>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lastRenderedPageBreak/>
              <w:t>STANDARD 1: CURRICULUM, ASSESSMENT, AND INSTRUCTIONAL PRACTICE</w:t>
            </w:r>
          </w:p>
        </w:tc>
      </w:tr>
      <w:tr w:rsidR="003F232A" w:rsidRPr="00F36E87" w:rsidTr="00754230">
        <w:trPr>
          <w:trHeight w:val="499"/>
        </w:trPr>
        <w:tc>
          <w:tcPr>
            <w:tcW w:w="2478" w:type="pct"/>
            <w:gridSpan w:val="3"/>
            <w:tcBorders>
              <w:top w:val="single" w:sz="8" w:space="0" w:color="auto"/>
              <w:left w:val="single" w:sz="8" w:space="0" w:color="auto"/>
              <w:bottom w:val="nil"/>
              <w:right w:val="single" w:sz="4"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Criterion</w:t>
            </w:r>
          </w:p>
        </w:tc>
        <w:tc>
          <w:tcPr>
            <w:tcW w:w="2522" w:type="pct"/>
            <w:tcBorders>
              <w:top w:val="nil"/>
              <w:left w:val="nil"/>
              <w:bottom w:val="nil"/>
              <w:right w:val="single" w:sz="8" w:space="0" w:color="auto"/>
            </w:tcBorders>
            <w:shd w:val="clear" w:color="auto" w:fill="auto"/>
            <w:vAlign w:val="center"/>
            <w:hideMark/>
          </w:tcPr>
          <w:p w:rsidR="003F232A" w:rsidRPr="00F36E87" w:rsidRDefault="003F232A" w:rsidP="005F1CE0">
            <w:pPr>
              <w:pStyle w:val="Heading2"/>
              <w:rPr>
                <w:rFonts w:eastAsia="Times New Roman"/>
              </w:rPr>
            </w:pPr>
            <w:r w:rsidRPr="00F36E87">
              <w:rPr>
                <w:rFonts w:eastAsia="Times New Roman"/>
              </w:rPr>
              <w:t>Rationale</w:t>
            </w:r>
          </w:p>
        </w:tc>
      </w:tr>
      <w:tr w:rsidR="00F36E87" w:rsidRPr="00F36E87" w:rsidTr="0075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2478" w:type="pct"/>
            <w:gridSpan w:val="3"/>
            <w:shd w:val="clear" w:color="000000" w:fill="D9D9D9"/>
            <w:vAlign w:val="center"/>
            <w:hideMark/>
          </w:tcPr>
          <w:p w:rsidR="00F36E87" w:rsidRPr="00F36E87" w:rsidRDefault="00F36E87" w:rsidP="00E7272E">
            <w:pPr>
              <w:pStyle w:val="Heading3"/>
              <w:rPr>
                <w:rFonts w:eastAsia="Times New Roman"/>
              </w:rPr>
            </w:pPr>
            <w:r w:rsidRPr="00F36E87">
              <w:rPr>
                <w:rFonts w:eastAsia="Times New Roman"/>
              </w:rPr>
              <w:t>1C. Instructional Practice: Program uses strategies to engage and meet goals for diverse learners.</w:t>
            </w:r>
          </w:p>
        </w:tc>
        <w:tc>
          <w:tcPr>
            <w:tcW w:w="2522" w:type="pct"/>
            <w:vMerge w:val="restart"/>
            <w:shd w:val="clear" w:color="000000" w:fill="D9D9D9"/>
            <w:vAlign w:val="center"/>
            <w:hideMark/>
          </w:tcPr>
          <w:p w:rsidR="00E7272E" w:rsidRDefault="00F36E87" w:rsidP="00E7272E">
            <w:pPr>
              <w:rPr>
                <w:rFonts w:ascii="Calibri" w:eastAsia="Times New Roman" w:hAnsi="Calibri" w:cs="Calibri"/>
                <w:color w:val="000000"/>
                <w:sz w:val="20"/>
                <w:szCs w:val="20"/>
              </w:rPr>
            </w:pPr>
            <w:r w:rsidRPr="00F36E87">
              <w:rPr>
                <w:rFonts w:ascii="Calibri" w:eastAsia="Times New Roman" w:hAnsi="Calibri" w:cs="Calibri"/>
                <w:b/>
                <w:bCs/>
                <w:color w:val="000000"/>
                <w:sz w:val="20"/>
                <w:szCs w:val="20"/>
              </w:rPr>
              <w:t>National Center for Education Evaluation</w:t>
            </w:r>
            <w:r w:rsidRPr="00F36E87">
              <w:rPr>
                <w:rFonts w:ascii="Calibri" w:eastAsia="Times New Roman" w:hAnsi="Calibri" w:cs="Calibri"/>
                <w:color w:val="000000"/>
                <w:sz w:val="20"/>
                <w:szCs w:val="20"/>
              </w:rPr>
              <w:t xml:space="preserve"> (</w:t>
            </w:r>
            <w:r w:rsidRPr="00A45BD3">
              <w:rPr>
                <w:rFonts w:ascii="Calibri" w:eastAsia="Times New Roman" w:hAnsi="Calibri" w:cs="Calibri"/>
                <w:b/>
                <w:color w:val="000000"/>
                <w:sz w:val="20"/>
                <w:szCs w:val="20"/>
              </w:rPr>
              <w:t>Hamilton, et al.</w:t>
            </w:r>
            <w:r w:rsidRPr="00F36E87">
              <w:rPr>
                <w:rFonts w:ascii="Calibri" w:eastAsia="Times New Roman" w:hAnsi="Calibri" w:cs="Calibri"/>
                <w:color w:val="000000"/>
                <w:sz w:val="20"/>
                <w:szCs w:val="20"/>
              </w:rPr>
              <w:t xml:space="preserve">, 2009) and the </w:t>
            </w:r>
            <w:r w:rsidRPr="00A45BD3">
              <w:rPr>
                <w:rFonts w:ascii="Calibri" w:eastAsia="Times New Roman" w:hAnsi="Calibri" w:cs="Calibri"/>
                <w:b/>
                <w:color w:val="000000"/>
                <w:sz w:val="20"/>
                <w:szCs w:val="20"/>
              </w:rPr>
              <w:t xml:space="preserve">National Research Council </w:t>
            </w:r>
            <w:r w:rsidRPr="00F36E87">
              <w:rPr>
                <w:rFonts w:ascii="Calibri" w:eastAsia="Times New Roman" w:hAnsi="Calibri" w:cs="Calibri"/>
                <w:color w:val="000000"/>
                <w:sz w:val="20"/>
                <w:szCs w:val="20"/>
              </w:rPr>
              <w:t>(</w:t>
            </w:r>
            <w:r w:rsidRPr="00A45BD3">
              <w:rPr>
                <w:rFonts w:ascii="Calibri" w:eastAsia="Times New Roman" w:hAnsi="Calibri" w:cs="Calibri"/>
                <w:b/>
                <w:color w:val="000000"/>
                <w:sz w:val="20"/>
                <w:szCs w:val="20"/>
              </w:rPr>
              <w:t>Snow, et al</w:t>
            </w:r>
            <w:r w:rsidRPr="00F36E87">
              <w:rPr>
                <w:rFonts w:ascii="Calibri" w:eastAsia="Times New Roman" w:hAnsi="Calibri" w:cs="Calibri"/>
                <w:color w:val="000000"/>
                <w:sz w:val="20"/>
                <w:szCs w:val="20"/>
              </w:rPr>
              <w:t>., 2008) advocate for the use of student and program data to inform teaching and</w:t>
            </w:r>
            <w:r w:rsidR="00E7272E">
              <w:rPr>
                <w:rFonts w:ascii="Calibri" w:eastAsia="Times New Roman" w:hAnsi="Calibri" w:cs="Calibri"/>
                <w:color w:val="000000"/>
                <w:sz w:val="20"/>
                <w:szCs w:val="20"/>
              </w:rPr>
              <w:t xml:space="preserve"> practice.</w:t>
            </w:r>
          </w:p>
          <w:p w:rsidR="00E7272E" w:rsidRDefault="00E7272E" w:rsidP="00E7272E">
            <w:pPr>
              <w:rPr>
                <w:rFonts w:ascii="Calibri" w:eastAsia="Times New Roman" w:hAnsi="Calibri" w:cs="Calibri"/>
                <w:color w:val="000000"/>
                <w:sz w:val="20"/>
                <w:szCs w:val="20"/>
              </w:rPr>
            </w:pPr>
          </w:p>
          <w:p w:rsidR="00E7272E"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 xml:space="preserve">Additionally, the </w:t>
            </w:r>
            <w:r w:rsidRPr="00F36E87">
              <w:rPr>
                <w:rFonts w:ascii="Calibri" w:eastAsia="Times New Roman" w:hAnsi="Calibri" w:cs="Calibri"/>
                <w:b/>
                <w:bCs/>
                <w:color w:val="000000"/>
                <w:sz w:val="20"/>
                <w:szCs w:val="20"/>
              </w:rPr>
              <w:t xml:space="preserve">U.S. Department of Education </w:t>
            </w:r>
            <w:r w:rsidRPr="00F36E87">
              <w:rPr>
                <w:rFonts w:ascii="Calibri" w:eastAsia="Times New Roman" w:hAnsi="Calibri" w:cs="Calibri"/>
                <w:color w:val="000000"/>
                <w:sz w:val="20"/>
                <w:szCs w:val="20"/>
              </w:rPr>
              <w:t>recently called upon educational programs to use assessment data to respond to students’ academic stre</w:t>
            </w:r>
            <w:r w:rsidR="00E7272E">
              <w:rPr>
                <w:rFonts w:ascii="Calibri" w:eastAsia="Times New Roman" w:hAnsi="Calibri" w:cs="Calibri"/>
                <w:color w:val="000000"/>
                <w:sz w:val="20"/>
                <w:szCs w:val="20"/>
              </w:rPr>
              <w:t>ngths and needs (</w:t>
            </w:r>
            <w:r w:rsidR="00E7272E" w:rsidRPr="00A45BD3">
              <w:rPr>
                <w:rFonts w:ascii="Calibri" w:eastAsia="Times New Roman" w:hAnsi="Calibri" w:cs="Calibri"/>
                <w:b/>
                <w:color w:val="000000"/>
                <w:sz w:val="20"/>
                <w:szCs w:val="20"/>
              </w:rPr>
              <w:t>US DOE</w:t>
            </w:r>
            <w:r w:rsidR="00E7272E">
              <w:rPr>
                <w:rFonts w:ascii="Calibri" w:eastAsia="Times New Roman" w:hAnsi="Calibri" w:cs="Calibri"/>
                <w:color w:val="000000"/>
                <w:sz w:val="20"/>
                <w:szCs w:val="20"/>
              </w:rPr>
              <w:t>, 2009).</w:t>
            </w:r>
          </w:p>
          <w:p w:rsidR="00E7272E" w:rsidRDefault="00E7272E" w:rsidP="00E7272E">
            <w:pPr>
              <w:rPr>
                <w:rFonts w:ascii="Calibri" w:eastAsia="Times New Roman" w:hAnsi="Calibri" w:cs="Calibri"/>
                <w:color w:val="000000"/>
                <w:sz w:val="20"/>
                <w:szCs w:val="20"/>
              </w:rPr>
            </w:pPr>
          </w:p>
          <w:p w:rsidR="00E7272E"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The utilization of child assessments in early education programs is particularly important given the research on the importance of school readiness at kindergarten.  The use of data to determine children’s progress and obtain insight regarding children’s development is a logical and efficient way to monitor continuous improvement and tailor practices and activities to meet student needs (</w:t>
            </w:r>
            <w:r w:rsidRPr="00E7272E">
              <w:rPr>
                <w:rFonts w:ascii="Calibri" w:eastAsia="Times New Roman" w:hAnsi="Calibri" w:cs="Calibri"/>
                <w:b/>
                <w:color w:val="000000"/>
                <w:sz w:val="20"/>
                <w:szCs w:val="20"/>
              </w:rPr>
              <w:t>Hamilton, et al</w:t>
            </w:r>
            <w:r w:rsidR="00E7272E">
              <w:rPr>
                <w:rFonts w:ascii="Calibri" w:eastAsia="Times New Roman" w:hAnsi="Calibri" w:cs="Calibri"/>
                <w:color w:val="000000"/>
                <w:sz w:val="20"/>
                <w:szCs w:val="20"/>
              </w:rPr>
              <w:t>., 2009).</w:t>
            </w:r>
          </w:p>
          <w:p w:rsidR="00E7272E" w:rsidRDefault="00E7272E" w:rsidP="00E7272E">
            <w:pPr>
              <w:rPr>
                <w:rFonts w:ascii="Calibri" w:eastAsia="Times New Roman" w:hAnsi="Calibri" w:cs="Calibri"/>
                <w:color w:val="000000"/>
                <w:sz w:val="20"/>
                <w:szCs w:val="20"/>
              </w:rPr>
            </w:pPr>
          </w:p>
          <w:p w:rsidR="00F36E87" w:rsidRPr="00F36E87" w:rsidRDefault="00F36E87" w:rsidP="00E7272E">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Assessment data and the tools for interpreting the data can offer educators the means fo</w:t>
            </w:r>
            <w:r w:rsidR="00E7272E">
              <w:rPr>
                <w:rFonts w:ascii="Calibri" w:eastAsia="Times New Roman" w:hAnsi="Calibri" w:cs="Calibri"/>
                <w:color w:val="000000"/>
                <w:sz w:val="20"/>
                <w:szCs w:val="20"/>
              </w:rPr>
              <w:t xml:space="preserve">r improving practice such as: </w:t>
            </w:r>
            <w:r w:rsidRPr="00F36E87">
              <w:rPr>
                <w:rFonts w:ascii="Calibri" w:eastAsia="Times New Roman" w:hAnsi="Calibri" w:cs="Calibri"/>
                <w:color w:val="000000"/>
                <w:sz w:val="20"/>
                <w:szCs w:val="20"/>
              </w:rPr>
              <w:t>individualizing instruction  (</w:t>
            </w:r>
            <w:r w:rsidRPr="00A45BD3">
              <w:rPr>
                <w:rFonts w:ascii="Calibri" w:eastAsia="Times New Roman" w:hAnsi="Calibri" w:cs="Calibri"/>
                <w:b/>
                <w:color w:val="000000"/>
                <w:sz w:val="20"/>
                <w:szCs w:val="20"/>
              </w:rPr>
              <w:t>Bru</w:t>
            </w:r>
            <w:r w:rsidRPr="00E7272E">
              <w:rPr>
                <w:rFonts w:ascii="Calibri" w:eastAsia="Times New Roman" w:hAnsi="Calibri" w:cs="Calibri"/>
                <w:b/>
                <w:color w:val="000000"/>
                <w:sz w:val="20"/>
                <w:szCs w:val="20"/>
              </w:rPr>
              <w:t xml:space="preserve">nner et al, </w:t>
            </w:r>
            <w:r w:rsidRPr="00A45BD3">
              <w:rPr>
                <w:rFonts w:ascii="Calibri" w:eastAsia="Times New Roman" w:hAnsi="Calibri" w:cs="Calibri"/>
                <w:color w:val="000000"/>
                <w:sz w:val="20"/>
                <w:szCs w:val="20"/>
              </w:rPr>
              <w:t>2005</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Supovitz</w:t>
            </w:r>
            <w:proofErr w:type="spellEnd"/>
            <w:r w:rsidRPr="00E7272E">
              <w:rPr>
                <w:rFonts w:ascii="Calibri" w:eastAsia="Times New Roman" w:hAnsi="Calibri" w:cs="Calibri"/>
                <w:b/>
                <w:color w:val="000000"/>
                <w:sz w:val="20"/>
                <w:szCs w:val="20"/>
              </w:rPr>
              <w:t xml:space="preserve"> &amp; Klein, </w:t>
            </w:r>
            <w:r w:rsidRPr="00A45BD3">
              <w:rPr>
                <w:rFonts w:ascii="Calibri" w:eastAsia="Times New Roman" w:hAnsi="Calibri" w:cs="Calibri"/>
                <w:color w:val="000000"/>
                <w:sz w:val="20"/>
                <w:szCs w:val="20"/>
              </w:rPr>
              <w:t>2003</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Wayman</w:t>
            </w:r>
            <w:proofErr w:type="spellEnd"/>
            <w:r w:rsidRPr="00E7272E">
              <w:rPr>
                <w:rFonts w:ascii="Calibri" w:eastAsia="Times New Roman" w:hAnsi="Calibri" w:cs="Calibri"/>
                <w:b/>
                <w:color w:val="000000"/>
                <w:sz w:val="20"/>
                <w:szCs w:val="20"/>
              </w:rPr>
              <w:t xml:space="preserve"> &amp; </w:t>
            </w:r>
            <w:proofErr w:type="spellStart"/>
            <w:r w:rsidRPr="00E7272E">
              <w:rPr>
                <w:rFonts w:ascii="Calibri" w:eastAsia="Times New Roman" w:hAnsi="Calibri" w:cs="Calibri"/>
                <w:b/>
                <w:color w:val="000000"/>
                <w:sz w:val="20"/>
                <w:szCs w:val="20"/>
              </w:rPr>
              <w:t>Stringfield</w:t>
            </w:r>
            <w:proofErr w:type="spellEnd"/>
            <w:r w:rsidRPr="00E7272E">
              <w:rPr>
                <w:rFonts w:ascii="Calibri" w:eastAsia="Times New Roman" w:hAnsi="Calibri" w:cs="Calibri"/>
                <w:b/>
                <w:color w:val="000000"/>
                <w:sz w:val="20"/>
                <w:szCs w:val="20"/>
              </w:rPr>
              <w:t xml:space="preserve">, </w:t>
            </w:r>
            <w:r w:rsidRPr="00A45BD3">
              <w:rPr>
                <w:rFonts w:ascii="Calibri" w:eastAsia="Times New Roman" w:hAnsi="Calibri" w:cs="Calibri"/>
                <w:color w:val="000000"/>
                <w:sz w:val="20"/>
                <w:szCs w:val="20"/>
              </w:rPr>
              <w:t>2006</w:t>
            </w:r>
            <w:r w:rsidR="00E7272E">
              <w:rPr>
                <w:rFonts w:ascii="Calibri" w:eastAsia="Times New Roman" w:hAnsi="Calibri" w:cs="Calibri"/>
                <w:color w:val="000000"/>
                <w:sz w:val="20"/>
                <w:szCs w:val="20"/>
              </w:rPr>
              <w:t>); identifying individual</w:t>
            </w:r>
            <w:r w:rsidRPr="00F36E87">
              <w:rPr>
                <w:rFonts w:ascii="Calibri" w:eastAsia="Times New Roman" w:hAnsi="Calibri" w:cs="Calibri"/>
                <w:color w:val="000000"/>
                <w:sz w:val="20"/>
                <w:szCs w:val="20"/>
              </w:rPr>
              <w:t xml:space="preserve"> strengths and instructional practices that promote progress (</w:t>
            </w:r>
            <w:r w:rsidRPr="00E7272E">
              <w:rPr>
                <w:rFonts w:ascii="Calibri" w:eastAsia="Times New Roman" w:hAnsi="Calibri" w:cs="Calibri"/>
                <w:b/>
                <w:color w:val="000000"/>
                <w:sz w:val="20"/>
                <w:szCs w:val="20"/>
              </w:rPr>
              <w:t xml:space="preserve">Brunner et al., </w:t>
            </w:r>
            <w:r w:rsidRPr="00A45BD3">
              <w:rPr>
                <w:rFonts w:ascii="Calibri" w:eastAsia="Times New Roman" w:hAnsi="Calibri" w:cs="Calibri"/>
                <w:color w:val="000000"/>
                <w:sz w:val="20"/>
                <w:szCs w:val="20"/>
              </w:rPr>
              <w:t>2005</w:t>
            </w:r>
            <w:r w:rsidRPr="00E7272E">
              <w:rPr>
                <w:rFonts w:ascii="Calibri" w:eastAsia="Times New Roman" w:hAnsi="Calibri" w:cs="Calibri"/>
                <w:b/>
                <w:color w:val="000000"/>
                <w:sz w:val="20"/>
                <w:szCs w:val="20"/>
              </w:rPr>
              <w:t xml:space="preserve">; Forman, </w:t>
            </w:r>
            <w:r w:rsidRPr="00A45BD3">
              <w:rPr>
                <w:rFonts w:ascii="Calibri" w:eastAsia="Times New Roman" w:hAnsi="Calibri" w:cs="Calibri"/>
                <w:color w:val="000000"/>
                <w:sz w:val="20"/>
                <w:szCs w:val="20"/>
              </w:rPr>
              <w:t>2007</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Wayman</w:t>
            </w:r>
            <w:proofErr w:type="spellEnd"/>
            <w:r w:rsidRPr="00E7272E">
              <w:rPr>
                <w:rFonts w:ascii="Calibri" w:eastAsia="Times New Roman" w:hAnsi="Calibri" w:cs="Calibri"/>
                <w:b/>
                <w:color w:val="000000"/>
                <w:sz w:val="20"/>
                <w:szCs w:val="20"/>
              </w:rPr>
              <w:t xml:space="preserve"> &amp; </w:t>
            </w:r>
            <w:proofErr w:type="spellStart"/>
            <w:r w:rsidRPr="00E7272E">
              <w:rPr>
                <w:rFonts w:ascii="Calibri" w:eastAsia="Times New Roman" w:hAnsi="Calibri" w:cs="Calibri"/>
                <w:b/>
                <w:color w:val="000000"/>
                <w:sz w:val="20"/>
                <w:szCs w:val="20"/>
              </w:rPr>
              <w:t>Stringfield</w:t>
            </w:r>
            <w:proofErr w:type="spellEnd"/>
            <w:r w:rsidRPr="00E7272E">
              <w:rPr>
                <w:rFonts w:ascii="Calibri" w:eastAsia="Times New Roman" w:hAnsi="Calibri" w:cs="Calibri"/>
                <w:b/>
                <w:color w:val="000000"/>
                <w:sz w:val="20"/>
                <w:szCs w:val="20"/>
              </w:rPr>
              <w:t xml:space="preserve">, </w:t>
            </w:r>
            <w:r w:rsidRPr="00A45BD3">
              <w:rPr>
                <w:rFonts w:ascii="Calibri" w:eastAsia="Times New Roman" w:hAnsi="Calibri" w:cs="Calibri"/>
                <w:color w:val="000000"/>
                <w:sz w:val="20"/>
                <w:szCs w:val="20"/>
              </w:rPr>
              <w:t>2006</w:t>
            </w:r>
            <w:r w:rsidRPr="00F36E87">
              <w:rPr>
                <w:rFonts w:ascii="Calibri" w:eastAsia="Times New Roman" w:hAnsi="Calibri" w:cs="Calibri"/>
                <w:color w:val="000000"/>
                <w:sz w:val="20"/>
                <w:szCs w:val="20"/>
              </w:rPr>
              <w:t xml:space="preserve">); assessing classroom </w:t>
            </w:r>
            <w:r w:rsidR="00A45BD3">
              <w:rPr>
                <w:rFonts w:ascii="Calibri" w:eastAsia="Times New Roman" w:hAnsi="Calibri" w:cs="Calibri"/>
                <w:color w:val="000000"/>
                <w:sz w:val="20"/>
                <w:szCs w:val="20"/>
              </w:rPr>
              <w:t xml:space="preserve">effectiveness, refining lesson </w:t>
            </w:r>
            <w:r w:rsidRPr="00F36E87">
              <w:rPr>
                <w:rFonts w:ascii="Calibri" w:eastAsia="Times New Roman" w:hAnsi="Calibri" w:cs="Calibri"/>
                <w:color w:val="000000"/>
                <w:sz w:val="20"/>
                <w:szCs w:val="20"/>
              </w:rPr>
              <w:t>and practice (</w:t>
            </w:r>
            <w:r w:rsidRPr="00E7272E">
              <w:rPr>
                <w:rFonts w:ascii="Calibri" w:eastAsia="Times New Roman" w:hAnsi="Calibri" w:cs="Calibri"/>
                <w:b/>
                <w:color w:val="000000"/>
                <w:sz w:val="20"/>
                <w:szCs w:val="20"/>
              </w:rPr>
              <w:t xml:space="preserve">Halverson, Pritchett &amp; Watson, </w:t>
            </w:r>
            <w:r w:rsidRPr="00A45BD3">
              <w:rPr>
                <w:rFonts w:ascii="Calibri" w:eastAsia="Times New Roman" w:hAnsi="Calibri" w:cs="Calibri"/>
                <w:color w:val="000000"/>
                <w:sz w:val="20"/>
                <w:szCs w:val="20"/>
              </w:rPr>
              <w:t>2007</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Supovitz</w:t>
            </w:r>
            <w:proofErr w:type="spellEnd"/>
            <w:r w:rsidRPr="00E7272E">
              <w:rPr>
                <w:rFonts w:ascii="Calibri" w:eastAsia="Times New Roman" w:hAnsi="Calibri" w:cs="Calibri"/>
                <w:b/>
                <w:color w:val="000000"/>
                <w:sz w:val="20"/>
                <w:szCs w:val="20"/>
              </w:rPr>
              <w:t xml:space="preserve"> &amp; Klein, </w:t>
            </w:r>
            <w:r w:rsidRPr="00A45BD3">
              <w:rPr>
                <w:rFonts w:ascii="Calibri" w:eastAsia="Times New Roman" w:hAnsi="Calibri" w:cs="Calibri"/>
                <w:color w:val="000000"/>
                <w:sz w:val="20"/>
                <w:szCs w:val="20"/>
              </w:rPr>
              <w:t>2003</w:t>
            </w:r>
            <w:r w:rsidRPr="00E7272E">
              <w:rPr>
                <w:rFonts w:ascii="Calibri" w:eastAsia="Times New Roman" w:hAnsi="Calibri" w:cs="Calibri"/>
                <w:b/>
                <w:color w:val="000000"/>
                <w:sz w:val="20"/>
                <w:szCs w:val="20"/>
              </w:rPr>
              <w:t>; Fireman, 2007</w:t>
            </w:r>
            <w:r w:rsidR="00E7272E">
              <w:rPr>
                <w:rFonts w:ascii="Calibri" w:eastAsia="Times New Roman" w:hAnsi="Calibri" w:cs="Calibri"/>
                <w:color w:val="000000"/>
                <w:sz w:val="20"/>
                <w:szCs w:val="20"/>
              </w:rPr>
              <w:t xml:space="preserve">); </w:t>
            </w:r>
            <w:r w:rsidRPr="00F36E87">
              <w:rPr>
                <w:rFonts w:ascii="Calibri" w:eastAsia="Times New Roman" w:hAnsi="Calibri" w:cs="Calibri"/>
                <w:color w:val="000000"/>
                <w:sz w:val="20"/>
                <w:szCs w:val="20"/>
              </w:rPr>
              <w:t>and adapting the curriculum based on students’ strengths and needs  (</w:t>
            </w:r>
            <w:r w:rsidRPr="00E7272E">
              <w:rPr>
                <w:rFonts w:ascii="Calibri" w:eastAsia="Times New Roman" w:hAnsi="Calibri" w:cs="Calibri"/>
                <w:b/>
                <w:color w:val="000000"/>
                <w:sz w:val="20"/>
                <w:szCs w:val="20"/>
              </w:rPr>
              <w:t>Marsh, Pane &amp; Hamilton</w:t>
            </w:r>
            <w:r w:rsidRPr="00A45BD3">
              <w:rPr>
                <w:rFonts w:ascii="Calibri" w:eastAsia="Times New Roman" w:hAnsi="Calibri" w:cs="Calibri"/>
                <w:color w:val="000000"/>
                <w:sz w:val="20"/>
                <w:szCs w:val="20"/>
              </w:rPr>
              <w:t>, 2006</w:t>
            </w:r>
            <w:r w:rsidRPr="00E7272E">
              <w:rPr>
                <w:rFonts w:ascii="Calibri" w:eastAsia="Times New Roman" w:hAnsi="Calibri" w:cs="Calibri"/>
                <w:b/>
                <w:color w:val="000000"/>
                <w:sz w:val="20"/>
                <w:szCs w:val="20"/>
              </w:rPr>
              <w:t xml:space="preserve">; Kerr et al., </w:t>
            </w:r>
            <w:r w:rsidRPr="00A45BD3">
              <w:rPr>
                <w:rFonts w:ascii="Calibri" w:eastAsia="Times New Roman" w:hAnsi="Calibri" w:cs="Calibri"/>
                <w:color w:val="000000"/>
                <w:sz w:val="20"/>
                <w:szCs w:val="20"/>
              </w:rPr>
              <w:t>2006</w:t>
            </w:r>
            <w:r w:rsidRPr="00F36E87">
              <w:rPr>
                <w:rFonts w:ascii="Calibri" w:eastAsia="Times New Roman" w:hAnsi="Calibri" w:cs="Calibri"/>
                <w:color w:val="000000"/>
                <w:sz w:val="20"/>
                <w:szCs w:val="20"/>
              </w:rPr>
              <w:t>).</w:t>
            </w:r>
          </w:p>
        </w:tc>
      </w:tr>
      <w:tr w:rsidR="003B48B7" w:rsidRPr="00F36E87" w:rsidTr="0075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0" w:type="pct"/>
            <w:vMerge w:val="restart"/>
            <w:shd w:val="clear" w:color="auto" w:fill="auto"/>
            <w:vAlign w:val="center"/>
            <w:hideMark/>
          </w:tcPr>
          <w:p w:rsidR="00F36E87" w:rsidRPr="00F36E87" w:rsidRDefault="00F36E87" w:rsidP="005F1CE0">
            <w:pPr>
              <w:pStyle w:val="Heading4"/>
              <w:rPr>
                <w:rFonts w:eastAsia="Times New Roman"/>
              </w:rPr>
            </w:pPr>
            <w:r w:rsidRPr="00F36E87">
              <w:rPr>
                <w:rFonts w:eastAsia="Times New Roman"/>
              </w:rPr>
              <w:t>Indicator</w:t>
            </w:r>
          </w:p>
        </w:tc>
        <w:tc>
          <w:tcPr>
            <w:tcW w:w="340" w:type="pct"/>
            <w:shd w:val="clear" w:color="auto" w:fill="auto"/>
            <w:vAlign w:val="center"/>
            <w:hideMark/>
          </w:tcPr>
          <w:p w:rsidR="00F36E87" w:rsidRPr="00824EAB" w:rsidRDefault="003B48B7" w:rsidP="005F1CE0">
            <w:pPr>
              <w:pStyle w:val="Heading5"/>
            </w:pPr>
            <w:r w:rsidRPr="00824EAB">
              <w:t xml:space="preserve">Level </w:t>
            </w:r>
            <w:r w:rsidR="00F36E87" w:rsidRPr="00824EAB">
              <w:t>2</w:t>
            </w:r>
          </w:p>
        </w:tc>
        <w:tc>
          <w:tcPr>
            <w:tcW w:w="1679"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identifies patterns in assessment data for the purpose of providing diverse learning experiences across the mixed-age group</w:t>
            </w:r>
          </w:p>
        </w:tc>
        <w:tc>
          <w:tcPr>
            <w:tcW w:w="2522"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75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0" w:type="pct"/>
            <w:vMerge/>
            <w:vAlign w:val="center"/>
            <w:hideMark/>
          </w:tcPr>
          <w:p w:rsidR="00F36E87" w:rsidRPr="00F36E87" w:rsidRDefault="00F36E87" w:rsidP="00F36E87">
            <w:pPr>
              <w:rPr>
                <w:rFonts w:ascii="Calibri" w:eastAsia="Times New Roman" w:hAnsi="Calibri" w:cs="Calibri"/>
                <w:b/>
                <w:bCs/>
                <w:color w:val="000000"/>
              </w:rPr>
            </w:pPr>
          </w:p>
        </w:tc>
        <w:tc>
          <w:tcPr>
            <w:tcW w:w="340" w:type="pct"/>
            <w:shd w:val="clear" w:color="auto" w:fill="auto"/>
            <w:vAlign w:val="center"/>
            <w:hideMark/>
          </w:tcPr>
          <w:p w:rsidR="00F36E87" w:rsidRPr="00824EAB" w:rsidRDefault="003B48B7" w:rsidP="005F1CE0">
            <w:pPr>
              <w:pStyle w:val="Heading5"/>
            </w:pPr>
            <w:r w:rsidRPr="00824EAB">
              <w:t xml:space="preserve">Level </w:t>
            </w:r>
            <w:r w:rsidR="00F36E87" w:rsidRPr="00824EAB">
              <w:t>3</w:t>
            </w:r>
          </w:p>
        </w:tc>
        <w:tc>
          <w:tcPr>
            <w:tcW w:w="1679"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demonstrates use of assessment data to inform curriculum development and differentiate instruction across the mixed-age group</w:t>
            </w:r>
          </w:p>
        </w:tc>
        <w:tc>
          <w:tcPr>
            <w:tcW w:w="2522" w:type="pct"/>
            <w:vMerge/>
            <w:vAlign w:val="center"/>
            <w:hideMark/>
          </w:tcPr>
          <w:p w:rsidR="00F36E87" w:rsidRPr="00F36E87" w:rsidRDefault="00F36E87" w:rsidP="00F36E87">
            <w:pPr>
              <w:rPr>
                <w:rFonts w:ascii="Calibri" w:eastAsia="Times New Roman" w:hAnsi="Calibri" w:cs="Calibri"/>
                <w:color w:val="000000"/>
                <w:sz w:val="20"/>
                <w:szCs w:val="20"/>
              </w:rPr>
            </w:pPr>
          </w:p>
        </w:tc>
      </w:tr>
      <w:tr w:rsidR="003B48B7" w:rsidRPr="00F36E87" w:rsidTr="0075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0" w:type="pct"/>
            <w:vMerge/>
            <w:vAlign w:val="center"/>
            <w:hideMark/>
          </w:tcPr>
          <w:p w:rsidR="00F36E87" w:rsidRPr="00F36E87" w:rsidRDefault="00F36E87" w:rsidP="00F36E87">
            <w:pPr>
              <w:rPr>
                <w:rFonts w:ascii="Calibri" w:eastAsia="Times New Roman" w:hAnsi="Calibri" w:cs="Calibri"/>
                <w:b/>
                <w:bCs/>
                <w:color w:val="000000"/>
              </w:rPr>
            </w:pPr>
          </w:p>
        </w:tc>
        <w:tc>
          <w:tcPr>
            <w:tcW w:w="340" w:type="pct"/>
            <w:shd w:val="clear" w:color="auto" w:fill="auto"/>
            <w:vAlign w:val="center"/>
            <w:hideMark/>
          </w:tcPr>
          <w:p w:rsidR="00F36E87" w:rsidRPr="00824EAB" w:rsidRDefault="003B48B7" w:rsidP="005F1CE0">
            <w:pPr>
              <w:pStyle w:val="Heading5"/>
            </w:pPr>
            <w:r w:rsidRPr="00824EAB">
              <w:t xml:space="preserve">Level </w:t>
            </w:r>
            <w:r w:rsidR="00F36E87" w:rsidRPr="00824EAB">
              <w:t>4/5</w:t>
            </w:r>
          </w:p>
        </w:tc>
        <w:tc>
          <w:tcPr>
            <w:tcW w:w="1679" w:type="pct"/>
            <w:shd w:val="clear" w:color="auto" w:fill="auto"/>
            <w:vAlign w:val="center"/>
            <w:hideMark/>
          </w:tcPr>
          <w:p w:rsidR="00F36E87" w:rsidRPr="00F36E87" w:rsidRDefault="00F36E87" w:rsidP="00F36E87">
            <w:pPr>
              <w:rPr>
                <w:rFonts w:ascii="Calibri" w:eastAsia="Times New Roman" w:hAnsi="Calibri" w:cs="Calibri"/>
                <w:color w:val="000000"/>
                <w:sz w:val="20"/>
                <w:szCs w:val="20"/>
              </w:rPr>
            </w:pPr>
            <w:r w:rsidRPr="00F36E87">
              <w:rPr>
                <w:rFonts w:ascii="Calibri" w:eastAsia="Times New Roman" w:hAnsi="Calibri" w:cs="Calibri"/>
                <w:color w:val="000000"/>
                <w:sz w:val="20"/>
                <w:szCs w:val="20"/>
              </w:rPr>
              <w:t>Program develops continuous individual learning goals for all children that are informed by the formative assessment process</w:t>
            </w:r>
          </w:p>
        </w:tc>
        <w:tc>
          <w:tcPr>
            <w:tcW w:w="2522" w:type="pct"/>
            <w:vMerge/>
            <w:vAlign w:val="center"/>
            <w:hideMark/>
          </w:tcPr>
          <w:p w:rsidR="00F36E87" w:rsidRPr="00F36E87" w:rsidRDefault="00F36E87" w:rsidP="00F36E87">
            <w:pPr>
              <w:rPr>
                <w:rFonts w:ascii="Calibri" w:eastAsia="Times New Roman" w:hAnsi="Calibri" w:cs="Calibri"/>
                <w:color w:val="000000"/>
                <w:sz w:val="20"/>
                <w:szCs w:val="20"/>
              </w:rPr>
            </w:pPr>
          </w:p>
        </w:tc>
      </w:tr>
    </w:tbl>
    <w:p w:rsidR="00E7272E" w:rsidRDefault="00E7272E">
      <w:pPr>
        <w:spacing w:after="160" w:line="259" w:lineRule="auto"/>
      </w:pPr>
      <w: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41"/>
        <w:gridCol w:w="4798"/>
        <w:gridCol w:w="7220"/>
      </w:tblGrid>
      <w:tr w:rsidR="00E7272E" w:rsidRPr="00E7272E" w:rsidTr="00754230">
        <w:trPr>
          <w:trHeight w:val="499"/>
        </w:trPr>
        <w:tc>
          <w:tcPr>
            <w:tcW w:w="5000" w:type="pct"/>
            <w:gridSpan w:val="4"/>
            <w:shd w:val="clear" w:color="auto" w:fill="auto"/>
            <w:vAlign w:val="center"/>
            <w:hideMark/>
          </w:tcPr>
          <w:p w:rsidR="00E7272E" w:rsidRPr="005F1CE0" w:rsidRDefault="00E7272E" w:rsidP="005F1CE0">
            <w:pPr>
              <w:pStyle w:val="Heading2"/>
            </w:pPr>
            <w:r w:rsidRPr="005F1CE0">
              <w:lastRenderedPageBreak/>
              <w:t>STANDARD 2: LEARNING ENVIRONMENT AND INTERACTIONS</w:t>
            </w:r>
          </w:p>
        </w:tc>
      </w:tr>
      <w:tr w:rsidR="00542EFD" w:rsidRPr="00E7272E" w:rsidTr="00754230">
        <w:trPr>
          <w:trHeight w:val="499"/>
        </w:trPr>
        <w:tc>
          <w:tcPr>
            <w:tcW w:w="2469" w:type="pct"/>
            <w:gridSpan w:val="3"/>
            <w:shd w:val="clear" w:color="auto" w:fill="auto"/>
            <w:vAlign w:val="center"/>
            <w:hideMark/>
          </w:tcPr>
          <w:p w:rsidR="00E7272E" w:rsidRPr="005F1CE0" w:rsidRDefault="00E7272E" w:rsidP="005F1CE0">
            <w:pPr>
              <w:pStyle w:val="Heading2"/>
            </w:pPr>
            <w:r w:rsidRPr="005F1CE0">
              <w:t>Criterion</w:t>
            </w:r>
          </w:p>
        </w:tc>
        <w:tc>
          <w:tcPr>
            <w:tcW w:w="2531" w:type="pct"/>
            <w:shd w:val="clear" w:color="auto" w:fill="auto"/>
            <w:vAlign w:val="center"/>
            <w:hideMark/>
          </w:tcPr>
          <w:p w:rsidR="00E7272E" w:rsidRPr="005F1CE0" w:rsidRDefault="00E7272E" w:rsidP="005F1CE0">
            <w:pPr>
              <w:pStyle w:val="Heading2"/>
            </w:pPr>
            <w:r w:rsidRPr="005F1CE0">
              <w:t>Rationale</w:t>
            </w:r>
          </w:p>
        </w:tc>
      </w:tr>
      <w:tr w:rsidR="00542EFD" w:rsidRPr="00E7272E" w:rsidTr="00754230">
        <w:trPr>
          <w:trHeight w:val="1200"/>
        </w:trPr>
        <w:tc>
          <w:tcPr>
            <w:tcW w:w="2469" w:type="pct"/>
            <w:gridSpan w:val="3"/>
            <w:shd w:val="clear" w:color="000000" w:fill="D9D9D9"/>
            <w:vAlign w:val="center"/>
            <w:hideMark/>
          </w:tcPr>
          <w:p w:rsidR="00E7272E" w:rsidRPr="00E7272E" w:rsidRDefault="00E7272E" w:rsidP="00542EFD">
            <w:pPr>
              <w:pStyle w:val="Heading3"/>
              <w:rPr>
                <w:rFonts w:eastAsia="Times New Roman"/>
              </w:rPr>
            </w:pPr>
            <w:r w:rsidRPr="00E7272E">
              <w:rPr>
                <w:rFonts w:eastAsia="Times New Roman"/>
              </w:rPr>
              <w:t>2A. Learning Environment: Program demonstrates a safe and healthy environment that fosters learning, exploration, and play.</w:t>
            </w:r>
          </w:p>
        </w:tc>
        <w:tc>
          <w:tcPr>
            <w:tcW w:w="2531" w:type="pct"/>
            <w:vMerge w:val="restart"/>
            <w:shd w:val="clear" w:color="000000" w:fill="D9D9D9"/>
            <w:vAlign w:val="center"/>
            <w:hideMark/>
          </w:tcPr>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Multiple studies have documented that the FCCERS-R can be used reliably and consistently across a range of setting and cultures (</w:t>
            </w:r>
            <w:r w:rsidRPr="00E7272E">
              <w:rPr>
                <w:rFonts w:ascii="Calibri" w:eastAsia="Times New Roman" w:hAnsi="Calibri" w:cs="Calibri"/>
                <w:b/>
                <w:bCs/>
                <w:color w:val="000000"/>
                <w:sz w:val="20"/>
                <w:szCs w:val="20"/>
              </w:rPr>
              <w:t xml:space="preserve">Clifford &amp; </w:t>
            </w:r>
            <w:proofErr w:type="spellStart"/>
            <w:r w:rsidRPr="00E7272E">
              <w:rPr>
                <w:rFonts w:ascii="Calibri" w:eastAsia="Times New Roman" w:hAnsi="Calibri" w:cs="Calibri"/>
                <w:b/>
                <w:bCs/>
                <w:color w:val="000000"/>
                <w:sz w:val="20"/>
                <w:szCs w:val="20"/>
              </w:rPr>
              <w:t>Rossbac</w:t>
            </w:r>
            <w:r w:rsidR="00542EFD">
              <w:rPr>
                <w:rFonts w:ascii="Calibri" w:eastAsia="Times New Roman" w:hAnsi="Calibri" w:cs="Calibri"/>
                <w:color w:val="000000"/>
                <w:sz w:val="20"/>
                <w:szCs w:val="20"/>
              </w:rPr>
              <w:t>h</w:t>
            </w:r>
            <w:proofErr w:type="spellEnd"/>
            <w:r w:rsidR="00542EFD">
              <w:rPr>
                <w:rFonts w:ascii="Calibri" w:eastAsia="Times New Roman" w:hAnsi="Calibri" w:cs="Calibri"/>
                <w:color w:val="000000"/>
                <w:sz w:val="20"/>
                <w:szCs w:val="20"/>
              </w:rPr>
              <w:t>, 2004; 2010).</w:t>
            </w:r>
          </w:p>
          <w:p w:rsidR="00542EFD" w:rsidRDefault="00542EFD" w:rsidP="00542EFD">
            <w:pPr>
              <w:rPr>
                <w:rFonts w:ascii="Calibri" w:eastAsia="Times New Roman" w:hAnsi="Calibri" w:cs="Calibri"/>
                <w:color w:val="000000"/>
                <w:sz w:val="20"/>
                <w:szCs w:val="20"/>
              </w:rPr>
            </w:pPr>
          </w:p>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Multiple studies have also documented the relationship between E</w:t>
            </w:r>
            <w:r w:rsidR="005E7327">
              <w:rPr>
                <w:rFonts w:ascii="Calibri" w:eastAsia="Times New Roman" w:hAnsi="Calibri" w:cs="Calibri"/>
                <w:color w:val="000000"/>
                <w:sz w:val="20"/>
                <w:szCs w:val="20"/>
              </w:rPr>
              <w:t>nvironment Rating Scales (E</w:t>
            </w:r>
            <w:r w:rsidRPr="00E7272E">
              <w:rPr>
                <w:rFonts w:ascii="Calibri" w:eastAsia="Times New Roman" w:hAnsi="Calibri" w:cs="Calibri"/>
                <w:color w:val="000000"/>
                <w:sz w:val="20"/>
                <w:szCs w:val="20"/>
              </w:rPr>
              <w:t>RS</w:t>
            </w:r>
            <w:r w:rsidR="005E7327">
              <w:rPr>
                <w:rFonts w:ascii="Calibri" w:eastAsia="Times New Roman" w:hAnsi="Calibri" w:cs="Calibri"/>
                <w:color w:val="000000"/>
                <w:sz w:val="20"/>
                <w:szCs w:val="20"/>
              </w:rPr>
              <w:t>)</w:t>
            </w:r>
            <w:r w:rsidRPr="00E7272E">
              <w:rPr>
                <w:rFonts w:ascii="Calibri" w:eastAsia="Times New Roman" w:hAnsi="Calibri" w:cs="Calibri"/>
                <w:color w:val="000000"/>
                <w:sz w:val="20"/>
                <w:szCs w:val="20"/>
              </w:rPr>
              <w:t xml:space="preserve"> scores and child outcomes across a variety of settings (</w:t>
            </w:r>
            <w:proofErr w:type="spellStart"/>
            <w:r w:rsidRPr="00E7272E">
              <w:rPr>
                <w:rFonts w:ascii="Calibri" w:eastAsia="Times New Roman" w:hAnsi="Calibri" w:cs="Calibri"/>
                <w:b/>
                <w:color w:val="000000"/>
                <w:sz w:val="20"/>
                <w:szCs w:val="20"/>
              </w:rPr>
              <w:t>Burchinal</w:t>
            </w:r>
            <w:proofErr w:type="spellEnd"/>
            <w:r w:rsidRPr="00E7272E">
              <w:rPr>
                <w:rFonts w:ascii="Calibri" w:eastAsia="Times New Roman" w:hAnsi="Calibri" w:cs="Calibri"/>
                <w:b/>
                <w:color w:val="000000"/>
                <w:sz w:val="20"/>
                <w:szCs w:val="20"/>
              </w:rPr>
              <w:t xml:space="preserve"> et al, </w:t>
            </w:r>
            <w:r w:rsidRPr="00A45BD3">
              <w:rPr>
                <w:rFonts w:ascii="Calibri" w:eastAsia="Times New Roman" w:hAnsi="Calibri" w:cs="Calibri"/>
                <w:color w:val="000000"/>
                <w:sz w:val="20"/>
                <w:szCs w:val="20"/>
              </w:rPr>
              <w:t>1996</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Burchinal</w:t>
            </w:r>
            <w:proofErr w:type="spellEnd"/>
            <w:r w:rsidRPr="00E7272E">
              <w:rPr>
                <w:rFonts w:ascii="Calibri" w:eastAsia="Times New Roman" w:hAnsi="Calibri" w:cs="Calibri"/>
                <w:b/>
                <w:color w:val="000000"/>
                <w:sz w:val="20"/>
                <w:szCs w:val="20"/>
              </w:rPr>
              <w:t xml:space="preserve"> et al, </w:t>
            </w:r>
            <w:r w:rsidRPr="00A45BD3">
              <w:rPr>
                <w:rFonts w:ascii="Calibri" w:eastAsia="Times New Roman" w:hAnsi="Calibri" w:cs="Calibri"/>
                <w:color w:val="000000"/>
                <w:sz w:val="20"/>
                <w:szCs w:val="20"/>
              </w:rPr>
              <w:t>2000</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Helburn</w:t>
            </w:r>
            <w:proofErr w:type="spellEnd"/>
            <w:r w:rsidRPr="00E7272E">
              <w:rPr>
                <w:rFonts w:ascii="Calibri" w:eastAsia="Times New Roman" w:hAnsi="Calibri" w:cs="Calibri"/>
                <w:b/>
                <w:color w:val="000000"/>
                <w:sz w:val="20"/>
                <w:szCs w:val="20"/>
              </w:rPr>
              <w:t xml:space="preserve">, </w:t>
            </w:r>
            <w:r w:rsidRPr="00A45BD3">
              <w:rPr>
                <w:rFonts w:ascii="Calibri" w:eastAsia="Times New Roman" w:hAnsi="Calibri" w:cs="Calibri"/>
                <w:color w:val="000000"/>
                <w:sz w:val="20"/>
                <w:szCs w:val="20"/>
              </w:rPr>
              <w:t>1995</w:t>
            </w:r>
            <w:r w:rsidRPr="00E7272E">
              <w:rPr>
                <w:rFonts w:ascii="Calibri" w:eastAsia="Times New Roman" w:hAnsi="Calibri" w:cs="Calibri"/>
                <w:b/>
                <w:color w:val="000000"/>
                <w:sz w:val="20"/>
                <w:szCs w:val="20"/>
              </w:rPr>
              <w:t xml:space="preserve">; </w:t>
            </w:r>
            <w:proofErr w:type="spellStart"/>
            <w:r w:rsidRPr="00E7272E">
              <w:rPr>
                <w:rFonts w:ascii="Calibri" w:eastAsia="Times New Roman" w:hAnsi="Calibri" w:cs="Calibri"/>
                <w:b/>
                <w:color w:val="000000"/>
                <w:sz w:val="20"/>
                <w:szCs w:val="20"/>
              </w:rPr>
              <w:t>Peisner</w:t>
            </w:r>
            <w:proofErr w:type="spellEnd"/>
            <w:r w:rsidRPr="00E7272E">
              <w:rPr>
                <w:rFonts w:ascii="Calibri" w:eastAsia="Times New Roman" w:hAnsi="Calibri" w:cs="Calibri"/>
                <w:b/>
                <w:color w:val="000000"/>
                <w:sz w:val="20"/>
                <w:szCs w:val="20"/>
              </w:rPr>
              <w:t xml:space="preserve">-Feinberg et al, </w:t>
            </w:r>
            <w:r w:rsidRPr="00A45BD3">
              <w:rPr>
                <w:rFonts w:ascii="Calibri" w:eastAsia="Times New Roman" w:hAnsi="Calibri" w:cs="Calibri"/>
                <w:color w:val="000000"/>
                <w:sz w:val="20"/>
                <w:szCs w:val="20"/>
              </w:rPr>
              <w:t>2001</w:t>
            </w:r>
            <w:r w:rsidRPr="00E7272E">
              <w:rPr>
                <w:rFonts w:ascii="Calibri" w:eastAsia="Times New Roman" w:hAnsi="Calibri" w:cs="Calibri"/>
                <w:color w:val="000000"/>
                <w:sz w:val="20"/>
                <w:szCs w:val="20"/>
              </w:rPr>
              <w:t xml:space="preserve">). </w:t>
            </w:r>
          </w:p>
          <w:p w:rsidR="00542EFD" w:rsidRDefault="00542EFD" w:rsidP="00542EFD">
            <w:pPr>
              <w:rPr>
                <w:rFonts w:ascii="Calibri" w:eastAsia="Times New Roman" w:hAnsi="Calibri" w:cs="Calibri"/>
                <w:color w:val="000000"/>
                <w:sz w:val="20"/>
                <w:szCs w:val="20"/>
              </w:rPr>
            </w:pPr>
          </w:p>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Importantly, extensive research has</w:t>
            </w:r>
            <w:r w:rsidR="005E7327">
              <w:rPr>
                <w:rFonts w:ascii="Calibri" w:eastAsia="Times New Roman" w:hAnsi="Calibri" w:cs="Calibri"/>
                <w:color w:val="000000"/>
                <w:sz w:val="20"/>
                <w:szCs w:val="20"/>
              </w:rPr>
              <w:t xml:space="preserve"> indicated that high quality early childhood education</w:t>
            </w:r>
            <w:r w:rsidRPr="00E7272E">
              <w:rPr>
                <w:rFonts w:ascii="Calibri" w:eastAsia="Times New Roman" w:hAnsi="Calibri" w:cs="Calibri"/>
                <w:color w:val="000000"/>
                <w:sz w:val="20"/>
                <w:szCs w:val="20"/>
              </w:rPr>
              <w:t xml:space="preserve"> experiences significantly predict children’s short- and long-term academic development, particularly for children from low-income families (</w:t>
            </w:r>
            <w:r w:rsidRPr="00E7272E">
              <w:rPr>
                <w:rFonts w:ascii="Calibri" w:eastAsia="Times New Roman" w:hAnsi="Calibri" w:cs="Calibri"/>
                <w:b/>
                <w:bCs/>
                <w:color w:val="000000"/>
                <w:sz w:val="20"/>
                <w:szCs w:val="20"/>
              </w:rPr>
              <w:t xml:space="preserve">Barnett, </w:t>
            </w:r>
            <w:proofErr w:type="spellStart"/>
            <w:r w:rsidRPr="00E7272E">
              <w:rPr>
                <w:rFonts w:ascii="Calibri" w:eastAsia="Times New Roman" w:hAnsi="Calibri" w:cs="Calibri"/>
                <w:b/>
                <w:bCs/>
                <w:color w:val="000000"/>
                <w:sz w:val="20"/>
                <w:szCs w:val="20"/>
              </w:rPr>
              <w:t>Hustedt</w:t>
            </w:r>
            <w:proofErr w:type="spellEnd"/>
            <w:r w:rsidRPr="00E7272E">
              <w:rPr>
                <w:rFonts w:ascii="Calibri" w:eastAsia="Times New Roman" w:hAnsi="Calibri" w:cs="Calibri"/>
                <w:b/>
                <w:bCs/>
                <w:color w:val="000000"/>
                <w:sz w:val="20"/>
                <w:szCs w:val="20"/>
              </w:rPr>
              <w:t xml:space="preserve">, Robin, &amp; Schulman, </w:t>
            </w:r>
            <w:r w:rsidRPr="00C54A7F">
              <w:rPr>
                <w:rFonts w:ascii="Calibri" w:eastAsia="Times New Roman" w:hAnsi="Calibri" w:cs="Calibri"/>
                <w:bCs/>
                <w:color w:val="000000"/>
                <w:sz w:val="20"/>
                <w:szCs w:val="20"/>
              </w:rPr>
              <w:t>2004</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Burchinal</w:t>
            </w:r>
            <w:proofErr w:type="spellEnd"/>
            <w:r w:rsidRPr="00E7272E">
              <w:rPr>
                <w:rFonts w:ascii="Calibri" w:eastAsia="Times New Roman" w:hAnsi="Calibri" w:cs="Calibri"/>
                <w:b/>
                <w:bCs/>
                <w:color w:val="000000"/>
                <w:sz w:val="20"/>
                <w:szCs w:val="20"/>
              </w:rPr>
              <w:t xml:space="preserve">, Phillips &amp; Lowenstein, </w:t>
            </w:r>
            <w:r w:rsidRPr="00C54A7F">
              <w:rPr>
                <w:rFonts w:ascii="Calibri" w:eastAsia="Times New Roman" w:hAnsi="Calibri" w:cs="Calibri"/>
                <w:bCs/>
                <w:color w:val="000000"/>
                <w:sz w:val="20"/>
                <w:szCs w:val="20"/>
              </w:rPr>
              <w:t>2011</w:t>
            </w:r>
            <w:r w:rsidRPr="00E7272E">
              <w:rPr>
                <w:rFonts w:ascii="Calibri" w:eastAsia="Times New Roman" w:hAnsi="Calibri" w:cs="Calibri"/>
                <w:b/>
                <w:bCs/>
                <w:color w:val="000000"/>
                <w:sz w:val="20"/>
                <w:szCs w:val="20"/>
              </w:rPr>
              <w:t xml:space="preserve">; Vandergrift, </w:t>
            </w:r>
            <w:proofErr w:type="spellStart"/>
            <w:r w:rsidRPr="00E7272E">
              <w:rPr>
                <w:rFonts w:ascii="Calibri" w:eastAsia="Times New Roman" w:hAnsi="Calibri" w:cs="Calibri"/>
                <w:b/>
                <w:bCs/>
                <w:color w:val="000000"/>
                <w:sz w:val="20"/>
                <w:szCs w:val="20"/>
              </w:rPr>
              <w:t>Pianta</w:t>
            </w:r>
            <w:proofErr w:type="spellEnd"/>
            <w:r w:rsidRPr="00E7272E">
              <w:rPr>
                <w:rFonts w:ascii="Calibri" w:eastAsia="Times New Roman" w:hAnsi="Calibri" w:cs="Calibri"/>
                <w:b/>
                <w:bCs/>
                <w:color w:val="000000"/>
                <w:sz w:val="20"/>
                <w:szCs w:val="20"/>
              </w:rPr>
              <w:t xml:space="preserve">, &amp; </w:t>
            </w:r>
            <w:proofErr w:type="spellStart"/>
            <w:r w:rsidRPr="00E7272E">
              <w:rPr>
                <w:rFonts w:ascii="Calibri" w:eastAsia="Times New Roman" w:hAnsi="Calibri" w:cs="Calibri"/>
                <w:b/>
                <w:bCs/>
                <w:color w:val="000000"/>
                <w:sz w:val="20"/>
                <w:szCs w:val="20"/>
              </w:rPr>
              <w:t>Mashburn</w:t>
            </w:r>
            <w:proofErr w:type="spellEnd"/>
            <w:r w:rsidRPr="00E7272E">
              <w:rPr>
                <w:rFonts w:ascii="Calibri" w:eastAsia="Times New Roman" w:hAnsi="Calibri" w:cs="Calibri"/>
                <w:b/>
                <w:bCs/>
                <w:color w:val="000000"/>
                <w:sz w:val="20"/>
                <w:szCs w:val="20"/>
              </w:rPr>
              <w:t xml:space="preserve">, </w:t>
            </w:r>
            <w:r w:rsidRPr="00C54A7F">
              <w:rPr>
                <w:rFonts w:ascii="Calibri" w:eastAsia="Times New Roman" w:hAnsi="Calibri" w:cs="Calibri"/>
                <w:bCs/>
                <w:color w:val="000000"/>
                <w:sz w:val="20"/>
                <w:szCs w:val="20"/>
              </w:rPr>
              <w:t>2010</w:t>
            </w:r>
            <w:r w:rsidRPr="00E7272E">
              <w:rPr>
                <w:rFonts w:ascii="Calibri" w:eastAsia="Times New Roman" w:hAnsi="Calibri" w:cs="Calibri"/>
                <w:b/>
                <w:bCs/>
                <w:color w:val="000000"/>
                <w:sz w:val="20"/>
                <w:szCs w:val="20"/>
              </w:rPr>
              <w:t xml:space="preserve">; Lamb, </w:t>
            </w:r>
            <w:r w:rsidRPr="00C54A7F">
              <w:rPr>
                <w:rFonts w:ascii="Calibri" w:eastAsia="Times New Roman" w:hAnsi="Calibri" w:cs="Calibri"/>
                <w:bCs/>
                <w:color w:val="000000"/>
                <w:sz w:val="20"/>
                <w:szCs w:val="20"/>
              </w:rPr>
              <w:t>1998</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Vandell</w:t>
            </w:r>
            <w:proofErr w:type="spellEnd"/>
            <w:r w:rsidRPr="00E7272E">
              <w:rPr>
                <w:rFonts w:ascii="Calibri" w:eastAsia="Times New Roman" w:hAnsi="Calibri" w:cs="Calibri"/>
                <w:b/>
                <w:bCs/>
                <w:color w:val="000000"/>
                <w:sz w:val="20"/>
                <w:szCs w:val="20"/>
              </w:rPr>
              <w:t xml:space="preserve">, </w:t>
            </w:r>
            <w:r w:rsidRPr="00C54A7F">
              <w:rPr>
                <w:rFonts w:ascii="Calibri" w:eastAsia="Times New Roman" w:hAnsi="Calibri" w:cs="Calibri"/>
                <w:bCs/>
                <w:color w:val="000000"/>
                <w:sz w:val="20"/>
                <w:szCs w:val="20"/>
              </w:rPr>
              <w:t>2004</w:t>
            </w:r>
            <w:r w:rsidR="00542EFD">
              <w:rPr>
                <w:rFonts w:ascii="Calibri" w:eastAsia="Times New Roman" w:hAnsi="Calibri" w:cs="Calibri"/>
                <w:color w:val="000000"/>
                <w:sz w:val="20"/>
                <w:szCs w:val="20"/>
              </w:rPr>
              <w:t>).</w:t>
            </w:r>
          </w:p>
          <w:p w:rsidR="00542EFD" w:rsidRDefault="00542EFD" w:rsidP="00542EFD">
            <w:pPr>
              <w:rPr>
                <w:rFonts w:ascii="Calibri" w:eastAsia="Times New Roman" w:hAnsi="Calibri" w:cs="Calibri"/>
                <w:color w:val="000000"/>
                <w:sz w:val="20"/>
                <w:szCs w:val="20"/>
              </w:rPr>
            </w:pPr>
          </w:p>
          <w:p w:rsidR="00E7272E" w:rsidRPr="00E7272E"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 xml:space="preserve">Many of the </w:t>
            </w:r>
            <w:r w:rsidRPr="00E7272E">
              <w:rPr>
                <w:rFonts w:ascii="Calibri" w:eastAsia="Times New Roman" w:hAnsi="Calibri" w:cs="Calibri"/>
                <w:b/>
                <w:bCs/>
                <w:color w:val="000000"/>
                <w:sz w:val="20"/>
                <w:szCs w:val="20"/>
              </w:rPr>
              <w:t>NAF</w:t>
            </w:r>
            <w:r w:rsidR="00C54A7F">
              <w:rPr>
                <w:rFonts w:ascii="Calibri" w:eastAsia="Times New Roman" w:hAnsi="Calibri" w:cs="Calibri"/>
                <w:b/>
                <w:bCs/>
                <w:color w:val="000000"/>
                <w:sz w:val="20"/>
                <w:szCs w:val="20"/>
              </w:rPr>
              <w:t>CC</w:t>
            </w:r>
            <w:r w:rsidRPr="00E7272E">
              <w:rPr>
                <w:rFonts w:ascii="Calibri" w:eastAsia="Times New Roman" w:hAnsi="Calibri" w:cs="Calibri"/>
                <w:color w:val="000000"/>
                <w:sz w:val="20"/>
                <w:szCs w:val="20"/>
              </w:rPr>
              <w:t xml:space="preserve"> standards for the home environment are consistent with requirements of the </w:t>
            </w:r>
            <w:r w:rsidR="005E7327">
              <w:rPr>
                <w:rFonts w:ascii="Calibri" w:eastAsia="Times New Roman" w:hAnsi="Calibri" w:cs="Calibri"/>
                <w:color w:val="000000"/>
                <w:sz w:val="20"/>
                <w:szCs w:val="20"/>
              </w:rPr>
              <w:t>Family Child Care Environment Rating Scale (</w:t>
            </w:r>
            <w:r w:rsidRPr="00E7272E">
              <w:rPr>
                <w:rFonts w:ascii="Calibri" w:eastAsia="Times New Roman" w:hAnsi="Calibri" w:cs="Calibri"/>
                <w:color w:val="000000"/>
                <w:sz w:val="20"/>
                <w:szCs w:val="20"/>
              </w:rPr>
              <w:t>FCCERS-R</w:t>
            </w:r>
            <w:r w:rsidR="005E7327">
              <w:rPr>
                <w:rFonts w:ascii="Calibri" w:eastAsia="Times New Roman" w:hAnsi="Calibri" w:cs="Calibri"/>
                <w:color w:val="000000"/>
                <w:sz w:val="20"/>
                <w:szCs w:val="20"/>
              </w:rPr>
              <w:t>)</w:t>
            </w:r>
            <w:r w:rsidRPr="00E7272E">
              <w:rPr>
                <w:rFonts w:ascii="Calibri" w:eastAsia="Times New Roman" w:hAnsi="Calibri" w:cs="Calibri"/>
                <w:color w:val="000000"/>
                <w:sz w:val="20"/>
                <w:szCs w:val="20"/>
              </w:rPr>
              <w:t xml:space="preserve"> including but not limited to: the environment includes a comfortable and cozy place for children, as well as a place for quiet time alone; all equipment, outdoors and indoors, is safe for the ability of the children who use it; there are enough toys and materials, home-made or purchased, to engage all the children in developmentally appropriate ways; outdoors, the play area has open space for active movement, some play equipment and materials, and places for open-ended explorations; and play space, including neighborhood playground if used, is free of animal feces, broken glass, paint chips, or trash. There is no flaking or peeling paint or bare soil within 15 feet of a structure.</w:t>
            </w:r>
          </w:p>
        </w:tc>
      </w:tr>
      <w:tr w:rsidR="00E7272E" w:rsidRPr="00E7272E" w:rsidTr="00754230">
        <w:trPr>
          <w:trHeight w:val="1200"/>
        </w:trPr>
        <w:tc>
          <w:tcPr>
            <w:tcW w:w="422" w:type="pct"/>
            <w:vMerge w:val="restart"/>
            <w:shd w:val="clear" w:color="auto" w:fill="auto"/>
            <w:vAlign w:val="center"/>
            <w:hideMark/>
          </w:tcPr>
          <w:p w:rsidR="00E7272E" w:rsidRPr="00E7272E" w:rsidRDefault="00E7272E" w:rsidP="005F1CE0">
            <w:pPr>
              <w:pStyle w:val="Heading4"/>
              <w:rPr>
                <w:rFonts w:eastAsia="Times New Roman"/>
              </w:rPr>
            </w:pPr>
            <w:r w:rsidRPr="00E7272E">
              <w:rPr>
                <w:rFonts w:eastAsia="Times New Roman"/>
              </w:rPr>
              <w:t>Indicator</w:t>
            </w:r>
          </w:p>
        </w:tc>
        <w:tc>
          <w:tcPr>
            <w:tcW w:w="365" w:type="pct"/>
            <w:shd w:val="clear" w:color="auto" w:fill="auto"/>
            <w:noWrap/>
            <w:vAlign w:val="center"/>
            <w:hideMark/>
          </w:tcPr>
          <w:p w:rsidR="00E7272E" w:rsidRPr="00754230" w:rsidRDefault="00E7272E" w:rsidP="005F1CE0">
            <w:pPr>
              <w:pStyle w:val="Heading5"/>
            </w:pPr>
            <w:r w:rsidRPr="00754230">
              <w:t>Level 2</w:t>
            </w:r>
          </w:p>
        </w:tc>
        <w:tc>
          <w:tcPr>
            <w:tcW w:w="1682" w:type="pct"/>
            <w:shd w:val="clear" w:color="auto" w:fill="auto"/>
            <w:vAlign w:val="center"/>
            <w:hideMark/>
          </w:tcPr>
          <w:p w:rsidR="00E7272E" w:rsidRPr="00E7272E" w:rsidRDefault="00E7272E" w:rsidP="00E7272E">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Family Child Care Environment Rating Scale-Revised (FCCERS-R) technical assistance consultation</w:t>
            </w:r>
          </w:p>
        </w:tc>
        <w:tc>
          <w:tcPr>
            <w:tcW w:w="2531" w:type="pct"/>
            <w:vMerge/>
            <w:vAlign w:val="center"/>
            <w:hideMark/>
          </w:tcPr>
          <w:p w:rsidR="00E7272E" w:rsidRPr="00E7272E" w:rsidRDefault="00E7272E" w:rsidP="00E7272E">
            <w:pPr>
              <w:rPr>
                <w:rFonts w:ascii="Calibri" w:eastAsia="Times New Roman" w:hAnsi="Calibri" w:cs="Calibri"/>
                <w:color w:val="000000"/>
                <w:sz w:val="20"/>
                <w:szCs w:val="20"/>
              </w:rPr>
            </w:pPr>
          </w:p>
        </w:tc>
      </w:tr>
      <w:tr w:rsidR="00E7272E" w:rsidRPr="00E7272E" w:rsidTr="00754230">
        <w:trPr>
          <w:trHeight w:val="1200"/>
        </w:trPr>
        <w:tc>
          <w:tcPr>
            <w:tcW w:w="422" w:type="pct"/>
            <w:vMerge/>
            <w:vAlign w:val="center"/>
            <w:hideMark/>
          </w:tcPr>
          <w:p w:rsidR="00E7272E" w:rsidRPr="00E7272E" w:rsidRDefault="00E7272E" w:rsidP="00E7272E">
            <w:pPr>
              <w:rPr>
                <w:rFonts w:ascii="Calibri" w:eastAsia="Times New Roman" w:hAnsi="Calibri" w:cs="Calibri"/>
                <w:b/>
                <w:bCs/>
                <w:color w:val="000000"/>
              </w:rPr>
            </w:pPr>
          </w:p>
        </w:tc>
        <w:tc>
          <w:tcPr>
            <w:tcW w:w="365" w:type="pct"/>
            <w:shd w:val="clear" w:color="auto" w:fill="auto"/>
            <w:noWrap/>
            <w:vAlign w:val="center"/>
            <w:hideMark/>
          </w:tcPr>
          <w:p w:rsidR="00E7272E" w:rsidRPr="00754230" w:rsidRDefault="00E7272E" w:rsidP="005F1CE0">
            <w:pPr>
              <w:pStyle w:val="Heading5"/>
            </w:pPr>
            <w:r w:rsidRPr="00754230">
              <w:t>Level 3</w:t>
            </w:r>
          </w:p>
        </w:tc>
        <w:tc>
          <w:tcPr>
            <w:tcW w:w="1682" w:type="pct"/>
            <w:shd w:val="clear" w:color="auto" w:fill="auto"/>
            <w:vAlign w:val="center"/>
            <w:hideMark/>
          </w:tcPr>
          <w:p w:rsidR="00E7272E" w:rsidRPr="00E7272E" w:rsidRDefault="00E7272E" w:rsidP="00E7272E">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FCCERS-R reliable rater visit</w:t>
            </w:r>
          </w:p>
        </w:tc>
        <w:tc>
          <w:tcPr>
            <w:tcW w:w="2531" w:type="pct"/>
            <w:vMerge/>
            <w:vAlign w:val="center"/>
            <w:hideMark/>
          </w:tcPr>
          <w:p w:rsidR="00E7272E" w:rsidRPr="00E7272E" w:rsidRDefault="00E7272E" w:rsidP="00E7272E">
            <w:pPr>
              <w:rPr>
                <w:rFonts w:ascii="Calibri" w:eastAsia="Times New Roman" w:hAnsi="Calibri" w:cs="Calibri"/>
                <w:color w:val="000000"/>
                <w:sz w:val="20"/>
                <w:szCs w:val="20"/>
              </w:rPr>
            </w:pPr>
          </w:p>
        </w:tc>
      </w:tr>
      <w:tr w:rsidR="00E7272E" w:rsidRPr="00E7272E" w:rsidTr="00754230">
        <w:trPr>
          <w:trHeight w:val="1200"/>
        </w:trPr>
        <w:tc>
          <w:tcPr>
            <w:tcW w:w="422" w:type="pct"/>
            <w:vMerge/>
            <w:vAlign w:val="center"/>
            <w:hideMark/>
          </w:tcPr>
          <w:p w:rsidR="00E7272E" w:rsidRPr="00E7272E" w:rsidRDefault="00E7272E" w:rsidP="00E7272E">
            <w:pPr>
              <w:rPr>
                <w:rFonts w:ascii="Calibri" w:eastAsia="Times New Roman" w:hAnsi="Calibri" w:cs="Calibri"/>
                <w:b/>
                <w:bCs/>
                <w:color w:val="000000"/>
              </w:rPr>
            </w:pPr>
          </w:p>
        </w:tc>
        <w:tc>
          <w:tcPr>
            <w:tcW w:w="365" w:type="pct"/>
            <w:shd w:val="clear" w:color="auto" w:fill="auto"/>
            <w:noWrap/>
            <w:vAlign w:val="center"/>
            <w:hideMark/>
          </w:tcPr>
          <w:p w:rsidR="00E7272E" w:rsidRPr="00754230" w:rsidRDefault="00E7272E" w:rsidP="005F1CE0">
            <w:pPr>
              <w:pStyle w:val="Heading5"/>
            </w:pPr>
            <w:r w:rsidRPr="00754230">
              <w:t>Level 4/5</w:t>
            </w:r>
          </w:p>
        </w:tc>
        <w:tc>
          <w:tcPr>
            <w:tcW w:w="1682" w:type="pct"/>
            <w:shd w:val="clear" w:color="auto" w:fill="auto"/>
            <w:vAlign w:val="center"/>
            <w:hideMark/>
          </w:tcPr>
          <w:p w:rsidR="00E7272E" w:rsidRPr="00E7272E" w:rsidRDefault="00E7272E" w:rsidP="00E7272E">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FCCERS-R reliable rater visit</w:t>
            </w:r>
          </w:p>
        </w:tc>
        <w:tc>
          <w:tcPr>
            <w:tcW w:w="2531" w:type="pct"/>
            <w:vMerge/>
            <w:vAlign w:val="center"/>
            <w:hideMark/>
          </w:tcPr>
          <w:p w:rsidR="00E7272E" w:rsidRPr="00E7272E" w:rsidRDefault="00E7272E" w:rsidP="00E7272E">
            <w:pPr>
              <w:rPr>
                <w:rFonts w:ascii="Calibri" w:eastAsia="Times New Roman" w:hAnsi="Calibri" w:cs="Calibri"/>
                <w:color w:val="000000"/>
                <w:sz w:val="20"/>
                <w:szCs w:val="20"/>
              </w:rPr>
            </w:pPr>
          </w:p>
        </w:tc>
      </w:tr>
    </w:tbl>
    <w:p w:rsidR="00542EFD" w:rsidRDefault="00542EFD">
      <w:pPr>
        <w:spacing w:after="160" w:line="259" w:lineRule="auto"/>
        <w:rPr>
          <w:b/>
        </w:rPr>
      </w:pPr>
      <w:r>
        <w:rPr>
          <w:b/>
        </w:rPr>
        <w:br w:type="page"/>
      </w:r>
    </w:p>
    <w:p w:rsidR="00542EFD" w:rsidRDefault="00542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68"/>
        <w:gridCol w:w="4798"/>
        <w:gridCol w:w="7221"/>
      </w:tblGrid>
      <w:tr w:rsidR="003F232A" w:rsidRPr="00E7272E" w:rsidTr="00B7361E">
        <w:trPr>
          <w:trHeight w:val="499"/>
        </w:trPr>
        <w:tc>
          <w:tcPr>
            <w:tcW w:w="5000" w:type="pct"/>
            <w:gridSpan w:val="4"/>
            <w:shd w:val="clear" w:color="auto" w:fill="auto"/>
            <w:vAlign w:val="center"/>
            <w:hideMark/>
          </w:tcPr>
          <w:p w:rsidR="003F232A" w:rsidRPr="005F1CE0" w:rsidRDefault="003F232A" w:rsidP="005F1CE0">
            <w:pPr>
              <w:pStyle w:val="Heading2"/>
            </w:pPr>
            <w:r w:rsidRPr="005F1CE0">
              <w:t>STANDARD 2: LEARNING ENVIRONMENT AND INTERACTIONS</w:t>
            </w:r>
          </w:p>
        </w:tc>
      </w:tr>
      <w:tr w:rsidR="003F232A" w:rsidRPr="00E7272E" w:rsidTr="00B7361E">
        <w:trPr>
          <w:trHeight w:val="499"/>
        </w:trPr>
        <w:tc>
          <w:tcPr>
            <w:tcW w:w="2491" w:type="pct"/>
            <w:gridSpan w:val="3"/>
            <w:shd w:val="clear" w:color="auto" w:fill="auto"/>
            <w:vAlign w:val="center"/>
            <w:hideMark/>
          </w:tcPr>
          <w:p w:rsidR="003F232A" w:rsidRPr="005F1CE0" w:rsidRDefault="003F232A" w:rsidP="005F1CE0">
            <w:pPr>
              <w:pStyle w:val="Heading2"/>
            </w:pPr>
            <w:r w:rsidRPr="005F1CE0">
              <w:t>Criterion</w:t>
            </w:r>
          </w:p>
        </w:tc>
        <w:tc>
          <w:tcPr>
            <w:tcW w:w="2509" w:type="pct"/>
            <w:shd w:val="clear" w:color="auto" w:fill="auto"/>
            <w:vAlign w:val="center"/>
            <w:hideMark/>
          </w:tcPr>
          <w:p w:rsidR="003F232A" w:rsidRPr="005F1CE0" w:rsidRDefault="003F232A" w:rsidP="005F1CE0">
            <w:pPr>
              <w:pStyle w:val="Heading2"/>
            </w:pPr>
            <w:r w:rsidRPr="005F1CE0">
              <w:t>Rationale</w:t>
            </w:r>
          </w:p>
        </w:tc>
      </w:tr>
      <w:tr w:rsidR="00542EFD" w:rsidRPr="00E7272E" w:rsidTr="003F2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491" w:type="pct"/>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rsidR="00E7272E" w:rsidRPr="00E7272E" w:rsidRDefault="00E7272E" w:rsidP="00542EFD">
            <w:pPr>
              <w:pStyle w:val="Heading3"/>
              <w:rPr>
                <w:rFonts w:eastAsia="Times New Roman"/>
              </w:rPr>
            </w:pPr>
            <w:r w:rsidRPr="00E7272E">
              <w:rPr>
                <w:rFonts w:eastAsia="Times New Roman"/>
              </w:rPr>
              <w:t>2B. Interactions: Program implements strategies that promote high-quality interactions.</w:t>
            </w:r>
          </w:p>
        </w:tc>
        <w:tc>
          <w:tcPr>
            <w:tcW w:w="2509" w:type="pct"/>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Multiple studies have documented that the FCCERS-R can be used reliably and consistently across a range of setting and cultures (</w:t>
            </w:r>
            <w:r w:rsidRPr="00E7272E">
              <w:rPr>
                <w:rFonts w:ascii="Calibri" w:eastAsia="Times New Roman" w:hAnsi="Calibri" w:cs="Calibri"/>
                <w:b/>
                <w:bCs/>
                <w:color w:val="000000"/>
                <w:sz w:val="20"/>
                <w:szCs w:val="20"/>
              </w:rPr>
              <w:t xml:space="preserve">Clifford &amp; </w:t>
            </w:r>
            <w:proofErr w:type="spellStart"/>
            <w:r w:rsidRPr="00E7272E">
              <w:rPr>
                <w:rFonts w:ascii="Calibri" w:eastAsia="Times New Roman" w:hAnsi="Calibri" w:cs="Calibri"/>
                <w:b/>
                <w:bCs/>
                <w:color w:val="000000"/>
                <w:sz w:val="20"/>
                <w:szCs w:val="20"/>
              </w:rPr>
              <w:t>Rossbach</w:t>
            </w:r>
            <w:proofErr w:type="spellEnd"/>
            <w:r w:rsidR="00542EFD">
              <w:rPr>
                <w:rFonts w:ascii="Calibri" w:eastAsia="Times New Roman" w:hAnsi="Calibri" w:cs="Calibri"/>
                <w:color w:val="000000"/>
                <w:sz w:val="20"/>
                <w:szCs w:val="20"/>
              </w:rPr>
              <w:t>, 2004; 2010).</w:t>
            </w:r>
          </w:p>
          <w:p w:rsidR="00542EFD" w:rsidRDefault="00542EFD" w:rsidP="00542EFD">
            <w:pPr>
              <w:rPr>
                <w:rFonts w:ascii="Calibri" w:eastAsia="Times New Roman" w:hAnsi="Calibri" w:cs="Calibri"/>
                <w:color w:val="000000"/>
                <w:sz w:val="20"/>
                <w:szCs w:val="20"/>
              </w:rPr>
            </w:pPr>
          </w:p>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Multiple studies have also documented the relationship between ERS scores and child outcomes across a variety of settings (</w:t>
            </w:r>
            <w:proofErr w:type="spellStart"/>
            <w:r w:rsidRPr="00E7272E">
              <w:rPr>
                <w:rFonts w:ascii="Calibri" w:eastAsia="Times New Roman" w:hAnsi="Calibri" w:cs="Calibri"/>
                <w:b/>
                <w:bCs/>
                <w:color w:val="000000"/>
                <w:sz w:val="20"/>
                <w:szCs w:val="20"/>
              </w:rPr>
              <w:t>Burchinal</w:t>
            </w:r>
            <w:proofErr w:type="spellEnd"/>
            <w:r w:rsidRPr="00E7272E">
              <w:rPr>
                <w:rFonts w:ascii="Calibri" w:eastAsia="Times New Roman" w:hAnsi="Calibri" w:cs="Calibri"/>
                <w:b/>
                <w:bCs/>
                <w:color w:val="000000"/>
                <w:sz w:val="20"/>
                <w:szCs w:val="20"/>
              </w:rPr>
              <w:t xml:space="preserve"> et al, </w:t>
            </w:r>
            <w:r w:rsidRPr="00C54A7F">
              <w:rPr>
                <w:rFonts w:ascii="Calibri" w:eastAsia="Times New Roman" w:hAnsi="Calibri" w:cs="Calibri"/>
                <w:bCs/>
                <w:color w:val="000000"/>
                <w:sz w:val="20"/>
                <w:szCs w:val="20"/>
              </w:rPr>
              <w:t>1996</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Burchinal</w:t>
            </w:r>
            <w:proofErr w:type="spellEnd"/>
            <w:r w:rsidRPr="00E7272E">
              <w:rPr>
                <w:rFonts w:ascii="Calibri" w:eastAsia="Times New Roman" w:hAnsi="Calibri" w:cs="Calibri"/>
                <w:b/>
                <w:bCs/>
                <w:color w:val="000000"/>
                <w:sz w:val="20"/>
                <w:szCs w:val="20"/>
              </w:rPr>
              <w:t xml:space="preserve"> et al, </w:t>
            </w:r>
            <w:r w:rsidRPr="00C54A7F">
              <w:rPr>
                <w:rFonts w:ascii="Calibri" w:eastAsia="Times New Roman" w:hAnsi="Calibri" w:cs="Calibri"/>
                <w:bCs/>
                <w:color w:val="000000"/>
                <w:sz w:val="20"/>
                <w:szCs w:val="20"/>
              </w:rPr>
              <w:t>2000</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Helburn</w:t>
            </w:r>
            <w:proofErr w:type="spellEnd"/>
            <w:r w:rsidRPr="00E7272E">
              <w:rPr>
                <w:rFonts w:ascii="Calibri" w:eastAsia="Times New Roman" w:hAnsi="Calibri" w:cs="Calibri"/>
                <w:b/>
                <w:bCs/>
                <w:color w:val="000000"/>
                <w:sz w:val="20"/>
                <w:szCs w:val="20"/>
              </w:rPr>
              <w:t xml:space="preserve">, </w:t>
            </w:r>
            <w:r w:rsidRPr="00C54A7F">
              <w:rPr>
                <w:rFonts w:ascii="Calibri" w:eastAsia="Times New Roman" w:hAnsi="Calibri" w:cs="Calibri"/>
                <w:bCs/>
                <w:color w:val="000000"/>
                <w:sz w:val="20"/>
                <w:szCs w:val="20"/>
              </w:rPr>
              <w:t>1995</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Peisner</w:t>
            </w:r>
            <w:proofErr w:type="spellEnd"/>
            <w:r w:rsidRPr="00E7272E">
              <w:rPr>
                <w:rFonts w:ascii="Calibri" w:eastAsia="Times New Roman" w:hAnsi="Calibri" w:cs="Calibri"/>
                <w:b/>
                <w:bCs/>
                <w:color w:val="000000"/>
                <w:sz w:val="20"/>
                <w:szCs w:val="20"/>
              </w:rPr>
              <w:t xml:space="preserve">-Feinberg et al, </w:t>
            </w:r>
            <w:r w:rsidRPr="00C54A7F">
              <w:rPr>
                <w:rFonts w:ascii="Calibri" w:eastAsia="Times New Roman" w:hAnsi="Calibri" w:cs="Calibri"/>
                <w:bCs/>
                <w:color w:val="000000"/>
                <w:sz w:val="20"/>
                <w:szCs w:val="20"/>
              </w:rPr>
              <w:t>2001</w:t>
            </w:r>
            <w:r w:rsidRPr="00E7272E">
              <w:rPr>
                <w:rFonts w:ascii="Calibri" w:eastAsia="Times New Roman" w:hAnsi="Calibri" w:cs="Calibri"/>
                <w:color w:val="000000"/>
                <w:sz w:val="20"/>
                <w:szCs w:val="20"/>
              </w:rPr>
              <w:t xml:space="preserve">).  </w:t>
            </w:r>
          </w:p>
          <w:p w:rsidR="00542EFD" w:rsidRDefault="00542EFD" w:rsidP="00542EFD">
            <w:pPr>
              <w:rPr>
                <w:rFonts w:ascii="Calibri" w:eastAsia="Times New Roman" w:hAnsi="Calibri" w:cs="Calibri"/>
                <w:color w:val="000000"/>
                <w:sz w:val="20"/>
                <w:szCs w:val="20"/>
              </w:rPr>
            </w:pPr>
          </w:p>
          <w:p w:rsidR="00542EFD"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Importantly, extensive research has</w:t>
            </w:r>
            <w:r w:rsidR="005E7327">
              <w:rPr>
                <w:rFonts w:ascii="Calibri" w:eastAsia="Times New Roman" w:hAnsi="Calibri" w:cs="Calibri"/>
                <w:color w:val="000000"/>
                <w:sz w:val="20"/>
                <w:szCs w:val="20"/>
              </w:rPr>
              <w:t xml:space="preserve"> indicated that high quality early childhood education</w:t>
            </w:r>
            <w:r w:rsidRPr="00E7272E">
              <w:rPr>
                <w:rFonts w:ascii="Calibri" w:eastAsia="Times New Roman" w:hAnsi="Calibri" w:cs="Calibri"/>
                <w:color w:val="000000"/>
                <w:sz w:val="20"/>
                <w:szCs w:val="20"/>
              </w:rPr>
              <w:t xml:space="preserve"> experiences significantly predict children’s short- and long-term academic development, particularly for children from low-income families (B</w:t>
            </w:r>
            <w:r w:rsidRPr="00E7272E">
              <w:rPr>
                <w:rFonts w:ascii="Calibri" w:eastAsia="Times New Roman" w:hAnsi="Calibri" w:cs="Calibri"/>
                <w:b/>
                <w:bCs/>
                <w:color w:val="000000"/>
                <w:sz w:val="20"/>
                <w:szCs w:val="20"/>
              </w:rPr>
              <w:t xml:space="preserve">arnett, </w:t>
            </w:r>
            <w:proofErr w:type="spellStart"/>
            <w:r w:rsidRPr="00E7272E">
              <w:rPr>
                <w:rFonts w:ascii="Calibri" w:eastAsia="Times New Roman" w:hAnsi="Calibri" w:cs="Calibri"/>
                <w:b/>
                <w:bCs/>
                <w:color w:val="000000"/>
                <w:sz w:val="20"/>
                <w:szCs w:val="20"/>
              </w:rPr>
              <w:t>Hustedt</w:t>
            </w:r>
            <w:proofErr w:type="spellEnd"/>
            <w:r w:rsidRPr="00E7272E">
              <w:rPr>
                <w:rFonts w:ascii="Calibri" w:eastAsia="Times New Roman" w:hAnsi="Calibri" w:cs="Calibri"/>
                <w:b/>
                <w:bCs/>
                <w:color w:val="000000"/>
                <w:sz w:val="20"/>
                <w:szCs w:val="20"/>
              </w:rPr>
              <w:t xml:space="preserve">, Robin, &amp; Schulman, </w:t>
            </w:r>
            <w:r w:rsidRPr="00C54A7F">
              <w:rPr>
                <w:rFonts w:ascii="Calibri" w:eastAsia="Times New Roman" w:hAnsi="Calibri" w:cs="Calibri"/>
                <w:bCs/>
                <w:color w:val="000000"/>
                <w:sz w:val="20"/>
                <w:szCs w:val="20"/>
              </w:rPr>
              <w:t>2004</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Burchinal</w:t>
            </w:r>
            <w:proofErr w:type="spellEnd"/>
            <w:r w:rsidRPr="00E7272E">
              <w:rPr>
                <w:rFonts w:ascii="Calibri" w:eastAsia="Times New Roman" w:hAnsi="Calibri" w:cs="Calibri"/>
                <w:b/>
                <w:bCs/>
                <w:color w:val="000000"/>
                <w:sz w:val="20"/>
                <w:szCs w:val="20"/>
              </w:rPr>
              <w:t xml:space="preserve">, Phillips &amp; Lowenstein, </w:t>
            </w:r>
            <w:r w:rsidRPr="00C54A7F">
              <w:rPr>
                <w:rFonts w:ascii="Calibri" w:eastAsia="Times New Roman" w:hAnsi="Calibri" w:cs="Calibri"/>
                <w:bCs/>
                <w:color w:val="000000"/>
                <w:sz w:val="20"/>
                <w:szCs w:val="20"/>
              </w:rPr>
              <w:t>2011</w:t>
            </w:r>
            <w:r w:rsidRPr="00E7272E">
              <w:rPr>
                <w:rFonts w:ascii="Calibri" w:eastAsia="Times New Roman" w:hAnsi="Calibri" w:cs="Calibri"/>
                <w:b/>
                <w:bCs/>
                <w:color w:val="000000"/>
                <w:sz w:val="20"/>
                <w:szCs w:val="20"/>
              </w:rPr>
              <w:t xml:space="preserve">; Vandergrift, </w:t>
            </w:r>
            <w:proofErr w:type="spellStart"/>
            <w:r w:rsidRPr="00E7272E">
              <w:rPr>
                <w:rFonts w:ascii="Calibri" w:eastAsia="Times New Roman" w:hAnsi="Calibri" w:cs="Calibri"/>
                <w:b/>
                <w:bCs/>
                <w:color w:val="000000"/>
                <w:sz w:val="20"/>
                <w:szCs w:val="20"/>
              </w:rPr>
              <w:t>Pianta</w:t>
            </w:r>
            <w:proofErr w:type="spellEnd"/>
            <w:r w:rsidRPr="00E7272E">
              <w:rPr>
                <w:rFonts w:ascii="Calibri" w:eastAsia="Times New Roman" w:hAnsi="Calibri" w:cs="Calibri"/>
                <w:b/>
                <w:bCs/>
                <w:color w:val="000000"/>
                <w:sz w:val="20"/>
                <w:szCs w:val="20"/>
              </w:rPr>
              <w:t xml:space="preserve">, &amp; </w:t>
            </w:r>
            <w:proofErr w:type="spellStart"/>
            <w:r w:rsidRPr="00E7272E">
              <w:rPr>
                <w:rFonts w:ascii="Calibri" w:eastAsia="Times New Roman" w:hAnsi="Calibri" w:cs="Calibri"/>
                <w:b/>
                <w:bCs/>
                <w:color w:val="000000"/>
                <w:sz w:val="20"/>
                <w:szCs w:val="20"/>
              </w:rPr>
              <w:t>Mashburn</w:t>
            </w:r>
            <w:proofErr w:type="spellEnd"/>
            <w:r w:rsidRPr="00E7272E">
              <w:rPr>
                <w:rFonts w:ascii="Calibri" w:eastAsia="Times New Roman" w:hAnsi="Calibri" w:cs="Calibri"/>
                <w:b/>
                <w:bCs/>
                <w:color w:val="000000"/>
                <w:sz w:val="20"/>
                <w:szCs w:val="20"/>
              </w:rPr>
              <w:t xml:space="preserve">, </w:t>
            </w:r>
            <w:r w:rsidRPr="00C54A7F">
              <w:rPr>
                <w:rFonts w:ascii="Calibri" w:eastAsia="Times New Roman" w:hAnsi="Calibri" w:cs="Calibri"/>
                <w:bCs/>
                <w:color w:val="000000"/>
                <w:sz w:val="20"/>
                <w:szCs w:val="20"/>
              </w:rPr>
              <w:t>2010</w:t>
            </w:r>
            <w:r w:rsidRPr="00E7272E">
              <w:rPr>
                <w:rFonts w:ascii="Calibri" w:eastAsia="Times New Roman" w:hAnsi="Calibri" w:cs="Calibri"/>
                <w:b/>
                <w:bCs/>
                <w:color w:val="000000"/>
                <w:sz w:val="20"/>
                <w:szCs w:val="20"/>
              </w:rPr>
              <w:t xml:space="preserve">; Lamb, </w:t>
            </w:r>
            <w:r w:rsidRPr="00C54A7F">
              <w:rPr>
                <w:rFonts w:ascii="Calibri" w:eastAsia="Times New Roman" w:hAnsi="Calibri" w:cs="Calibri"/>
                <w:bCs/>
                <w:color w:val="000000"/>
                <w:sz w:val="20"/>
                <w:szCs w:val="20"/>
              </w:rPr>
              <w:t>1998</w:t>
            </w:r>
            <w:r w:rsidRPr="00E7272E">
              <w:rPr>
                <w:rFonts w:ascii="Calibri" w:eastAsia="Times New Roman" w:hAnsi="Calibri" w:cs="Calibri"/>
                <w:b/>
                <w:bCs/>
                <w:color w:val="000000"/>
                <w:sz w:val="20"/>
                <w:szCs w:val="20"/>
              </w:rPr>
              <w:t xml:space="preserve">; </w:t>
            </w:r>
            <w:proofErr w:type="spellStart"/>
            <w:r w:rsidRPr="00E7272E">
              <w:rPr>
                <w:rFonts w:ascii="Calibri" w:eastAsia="Times New Roman" w:hAnsi="Calibri" w:cs="Calibri"/>
                <w:b/>
                <w:bCs/>
                <w:color w:val="000000"/>
                <w:sz w:val="20"/>
                <w:szCs w:val="20"/>
              </w:rPr>
              <w:t>Vandell</w:t>
            </w:r>
            <w:proofErr w:type="spellEnd"/>
            <w:r w:rsidRPr="00E7272E">
              <w:rPr>
                <w:rFonts w:ascii="Calibri" w:eastAsia="Times New Roman" w:hAnsi="Calibri" w:cs="Calibri"/>
                <w:b/>
                <w:bCs/>
                <w:color w:val="000000"/>
                <w:sz w:val="20"/>
                <w:szCs w:val="20"/>
              </w:rPr>
              <w:t xml:space="preserve">, </w:t>
            </w:r>
            <w:r w:rsidRPr="00C54A7F">
              <w:rPr>
                <w:rFonts w:ascii="Calibri" w:eastAsia="Times New Roman" w:hAnsi="Calibri" w:cs="Calibri"/>
                <w:bCs/>
                <w:color w:val="000000"/>
                <w:sz w:val="20"/>
                <w:szCs w:val="20"/>
              </w:rPr>
              <w:t>2004</w:t>
            </w:r>
            <w:r w:rsidR="00542EFD">
              <w:rPr>
                <w:rFonts w:ascii="Calibri" w:eastAsia="Times New Roman" w:hAnsi="Calibri" w:cs="Calibri"/>
                <w:color w:val="000000"/>
                <w:sz w:val="20"/>
                <w:szCs w:val="20"/>
              </w:rPr>
              <w:t>).</w:t>
            </w:r>
          </w:p>
          <w:p w:rsidR="00542EFD" w:rsidRDefault="00542EFD" w:rsidP="00542EFD">
            <w:pPr>
              <w:rPr>
                <w:rFonts w:ascii="Calibri" w:eastAsia="Times New Roman" w:hAnsi="Calibri" w:cs="Calibri"/>
                <w:color w:val="000000"/>
                <w:sz w:val="20"/>
                <w:szCs w:val="20"/>
              </w:rPr>
            </w:pPr>
          </w:p>
          <w:p w:rsidR="00E7272E" w:rsidRPr="00E7272E" w:rsidRDefault="00E7272E" w:rsidP="00542EFD">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Many of the</w:t>
            </w:r>
            <w:r w:rsidRPr="00E7272E">
              <w:rPr>
                <w:rFonts w:ascii="Calibri" w:eastAsia="Times New Roman" w:hAnsi="Calibri" w:cs="Calibri"/>
                <w:b/>
                <w:color w:val="000000"/>
                <w:sz w:val="20"/>
                <w:szCs w:val="20"/>
              </w:rPr>
              <w:t xml:space="preserve"> NAFCC </w:t>
            </w:r>
            <w:r w:rsidRPr="00E7272E">
              <w:rPr>
                <w:rFonts w:ascii="Calibri" w:eastAsia="Times New Roman" w:hAnsi="Calibri" w:cs="Calibri"/>
                <w:color w:val="000000"/>
                <w:sz w:val="20"/>
                <w:szCs w:val="20"/>
              </w:rPr>
              <w:t>standards for the interactions are consistent with the FCCERS-R.  These include, but are not limited to: The provider offers opportunities to practice and explore new skills in a range of developmental areas; the provider gives children the help they need to succeed in a range of activities and to feel comfortable trying new activities; provider adjusts communication to match the understanding of each child; the provider helps children resolve conflicts and disagreements in an appropriate manner; the provider extends children’s learning by describing what they are doing and asking open-ended question;  the provider encourages children to express their thoughts and feelings and listens with interest and respect; the provider takes time every day for meaningful conversation with each child; and the provider takes an interest in and responds positively to babies' vocalizations and imitates their sounds.</w:t>
            </w:r>
          </w:p>
        </w:tc>
      </w:tr>
      <w:tr w:rsidR="00E7272E" w:rsidRPr="00E7272E" w:rsidTr="003F2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418" w:type="pct"/>
            <w:vMerge w:val="restart"/>
            <w:tcBorders>
              <w:top w:val="nil"/>
              <w:left w:val="single" w:sz="8" w:space="0" w:color="auto"/>
              <w:bottom w:val="single" w:sz="8" w:space="0" w:color="000000"/>
              <w:right w:val="single" w:sz="4" w:space="0" w:color="auto"/>
            </w:tcBorders>
            <w:shd w:val="clear" w:color="auto" w:fill="auto"/>
            <w:vAlign w:val="center"/>
            <w:hideMark/>
          </w:tcPr>
          <w:p w:rsidR="00E7272E" w:rsidRPr="00E7272E" w:rsidRDefault="00E7272E" w:rsidP="005F1CE0">
            <w:pPr>
              <w:pStyle w:val="Heading4"/>
              <w:rPr>
                <w:rFonts w:eastAsia="Times New Roman"/>
              </w:rPr>
            </w:pPr>
            <w:r w:rsidRPr="00E7272E">
              <w:rPr>
                <w:rFonts w:eastAsia="Times New Roman"/>
              </w:rPr>
              <w:t>Indicator</w:t>
            </w:r>
          </w:p>
        </w:tc>
        <w:tc>
          <w:tcPr>
            <w:tcW w:w="406" w:type="pct"/>
            <w:tcBorders>
              <w:top w:val="nil"/>
              <w:left w:val="nil"/>
              <w:bottom w:val="single" w:sz="4" w:space="0" w:color="auto"/>
              <w:right w:val="single" w:sz="4" w:space="0" w:color="auto"/>
            </w:tcBorders>
            <w:shd w:val="clear" w:color="auto" w:fill="auto"/>
            <w:noWrap/>
            <w:vAlign w:val="center"/>
            <w:hideMark/>
          </w:tcPr>
          <w:p w:rsidR="00E7272E" w:rsidRPr="00824EAB" w:rsidRDefault="00E7272E" w:rsidP="005F1CE0">
            <w:pPr>
              <w:pStyle w:val="Heading5"/>
            </w:pPr>
            <w:r w:rsidRPr="00824EAB">
              <w:t>Level 2</w:t>
            </w:r>
          </w:p>
        </w:tc>
        <w:tc>
          <w:tcPr>
            <w:tcW w:w="1667" w:type="pct"/>
            <w:tcBorders>
              <w:top w:val="nil"/>
              <w:left w:val="nil"/>
              <w:bottom w:val="single" w:sz="4" w:space="0" w:color="auto"/>
              <w:right w:val="single" w:sz="4" w:space="0" w:color="auto"/>
            </w:tcBorders>
            <w:shd w:val="clear" w:color="auto" w:fill="auto"/>
            <w:vAlign w:val="center"/>
            <w:hideMark/>
          </w:tcPr>
          <w:p w:rsidR="00E7272E" w:rsidRPr="00E7272E" w:rsidRDefault="00E7272E" w:rsidP="00E7272E">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FCCERS-R technical assistance consultation</w:t>
            </w:r>
          </w:p>
        </w:tc>
        <w:tc>
          <w:tcPr>
            <w:tcW w:w="2509" w:type="pct"/>
            <w:vMerge/>
            <w:tcBorders>
              <w:top w:val="single" w:sz="8" w:space="0" w:color="auto"/>
              <w:left w:val="single" w:sz="4" w:space="0" w:color="auto"/>
              <w:bottom w:val="single" w:sz="8" w:space="0" w:color="000000"/>
              <w:right w:val="single" w:sz="8" w:space="0" w:color="auto"/>
            </w:tcBorders>
            <w:vAlign w:val="center"/>
            <w:hideMark/>
          </w:tcPr>
          <w:p w:rsidR="00E7272E" w:rsidRPr="00E7272E" w:rsidRDefault="00E7272E" w:rsidP="00E7272E">
            <w:pPr>
              <w:rPr>
                <w:rFonts w:ascii="Calibri" w:eastAsia="Times New Roman" w:hAnsi="Calibri" w:cs="Calibri"/>
                <w:color w:val="000000"/>
                <w:sz w:val="20"/>
                <w:szCs w:val="20"/>
              </w:rPr>
            </w:pPr>
          </w:p>
        </w:tc>
      </w:tr>
      <w:tr w:rsidR="00E7272E" w:rsidRPr="00E7272E" w:rsidTr="003F2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418" w:type="pct"/>
            <w:vMerge/>
            <w:tcBorders>
              <w:top w:val="nil"/>
              <w:left w:val="single" w:sz="8" w:space="0" w:color="auto"/>
              <w:bottom w:val="single" w:sz="8" w:space="0" w:color="000000"/>
              <w:right w:val="single" w:sz="4" w:space="0" w:color="auto"/>
            </w:tcBorders>
            <w:vAlign w:val="center"/>
            <w:hideMark/>
          </w:tcPr>
          <w:p w:rsidR="00E7272E" w:rsidRPr="00E7272E" w:rsidRDefault="00E7272E" w:rsidP="00E7272E">
            <w:pPr>
              <w:rPr>
                <w:rFonts w:ascii="Calibri" w:eastAsia="Times New Roman" w:hAnsi="Calibri" w:cs="Calibri"/>
                <w:b/>
                <w:bCs/>
                <w:color w:val="000000"/>
              </w:rPr>
            </w:pPr>
          </w:p>
        </w:tc>
        <w:tc>
          <w:tcPr>
            <w:tcW w:w="406" w:type="pct"/>
            <w:tcBorders>
              <w:top w:val="nil"/>
              <w:left w:val="nil"/>
              <w:bottom w:val="single" w:sz="4" w:space="0" w:color="auto"/>
              <w:right w:val="single" w:sz="4" w:space="0" w:color="auto"/>
            </w:tcBorders>
            <w:shd w:val="clear" w:color="auto" w:fill="auto"/>
            <w:noWrap/>
            <w:vAlign w:val="center"/>
            <w:hideMark/>
          </w:tcPr>
          <w:p w:rsidR="00E7272E" w:rsidRPr="00824EAB" w:rsidRDefault="00E7272E" w:rsidP="005F1CE0">
            <w:pPr>
              <w:pStyle w:val="Heading5"/>
            </w:pPr>
            <w:r w:rsidRPr="00824EAB">
              <w:t>Level 3</w:t>
            </w:r>
          </w:p>
        </w:tc>
        <w:tc>
          <w:tcPr>
            <w:tcW w:w="1667" w:type="pct"/>
            <w:tcBorders>
              <w:top w:val="nil"/>
              <w:left w:val="nil"/>
              <w:bottom w:val="single" w:sz="4" w:space="0" w:color="auto"/>
              <w:right w:val="single" w:sz="4" w:space="0" w:color="auto"/>
            </w:tcBorders>
            <w:shd w:val="clear" w:color="auto" w:fill="auto"/>
            <w:vAlign w:val="center"/>
            <w:hideMark/>
          </w:tcPr>
          <w:p w:rsidR="00E7272E" w:rsidRPr="00E7272E" w:rsidRDefault="00E7272E" w:rsidP="00E7272E">
            <w:pPr>
              <w:rPr>
                <w:rFonts w:ascii="Calibri" w:eastAsia="Times New Roman" w:hAnsi="Calibri" w:cs="Calibri"/>
                <w:color w:val="000000"/>
                <w:sz w:val="20"/>
                <w:szCs w:val="20"/>
              </w:rPr>
            </w:pPr>
            <w:r w:rsidRPr="00E7272E">
              <w:rPr>
                <w:rFonts w:ascii="Calibri" w:eastAsia="Times New Roman" w:hAnsi="Calibri" w:cs="Calibri"/>
                <w:color w:val="000000"/>
                <w:sz w:val="20"/>
                <w:szCs w:val="20"/>
              </w:rPr>
              <w:t xml:space="preserve"> FCCERS-R reliable rater visit</w:t>
            </w:r>
          </w:p>
        </w:tc>
        <w:tc>
          <w:tcPr>
            <w:tcW w:w="2509" w:type="pct"/>
            <w:vMerge/>
            <w:tcBorders>
              <w:top w:val="single" w:sz="8" w:space="0" w:color="auto"/>
              <w:left w:val="single" w:sz="4" w:space="0" w:color="auto"/>
              <w:bottom w:val="single" w:sz="8" w:space="0" w:color="000000"/>
              <w:right w:val="single" w:sz="8" w:space="0" w:color="auto"/>
            </w:tcBorders>
            <w:vAlign w:val="center"/>
            <w:hideMark/>
          </w:tcPr>
          <w:p w:rsidR="00E7272E" w:rsidRPr="00E7272E" w:rsidRDefault="00E7272E" w:rsidP="00E7272E">
            <w:pPr>
              <w:rPr>
                <w:rFonts w:ascii="Calibri" w:eastAsia="Times New Roman" w:hAnsi="Calibri" w:cs="Calibri"/>
                <w:color w:val="000000"/>
                <w:sz w:val="20"/>
                <w:szCs w:val="20"/>
              </w:rPr>
            </w:pPr>
          </w:p>
        </w:tc>
      </w:tr>
      <w:tr w:rsidR="00E7272E" w:rsidRPr="00E7272E" w:rsidTr="003F2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418" w:type="pct"/>
            <w:vMerge/>
            <w:tcBorders>
              <w:top w:val="nil"/>
              <w:left w:val="single" w:sz="8" w:space="0" w:color="auto"/>
              <w:bottom w:val="single" w:sz="8" w:space="0" w:color="000000"/>
              <w:right w:val="single" w:sz="4" w:space="0" w:color="auto"/>
            </w:tcBorders>
            <w:vAlign w:val="center"/>
            <w:hideMark/>
          </w:tcPr>
          <w:p w:rsidR="00E7272E" w:rsidRPr="00E7272E" w:rsidRDefault="00E7272E" w:rsidP="00E7272E">
            <w:pPr>
              <w:rPr>
                <w:rFonts w:ascii="Calibri" w:eastAsia="Times New Roman" w:hAnsi="Calibri" w:cs="Calibri"/>
                <w:b/>
                <w:bCs/>
                <w:color w:val="000000"/>
              </w:rPr>
            </w:pPr>
          </w:p>
        </w:tc>
        <w:tc>
          <w:tcPr>
            <w:tcW w:w="406" w:type="pct"/>
            <w:tcBorders>
              <w:top w:val="nil"/>
              <w:left w:val="nil"/>
              <w:bottom w:val="single" w:sz="8" w:space="0" w:color="auto"/>
              <w:right w:val="single" w:sz="4" w:space="0" w:color="auto"/>
            </w:tcBorders>
            <w:shd w:val="clear" w:color="auto" w:fill="auto"/>
            <w:noWrap/>
            <w:vAlign w:val="center"/>
            <w:hideMark/>
          </w:tcPr>
          <w:p w:rsidR="00E7272E" w:rsidRPr="00824EAB" w:rsidRDefault="00E7272E" w:rsidP="005F1CE0">
            <w:pPr>
              <w:pStyle w:val="Heading5"/>
            </w:pPr>
            <w:r w:rsidRPr="00824EAB">
              <w:t>Level 4/5</w:t>
            </w:r>
          </w:p>
        </w:tc>
        <w:tc>
          <w:tcPr>
            <w:tcW w:w="1667" w:type="pct"/>
            <w:tcBorders>
              <w:top w:val="nil"/>
              <w:left w:val="nil"/>
              <w:bottom w:val="single" w:sz="8" w:space="0" w:color="auto"/>
              <w:right w:val="single" w:sz="4" w:space="0" w:color="auto"/>
            </w:tcBorders>
            <w:shd w:val="clear" w:color="auto" w:fill="auto"/>
            <w:vAlign w:val="center"/>
            <w:hideMark/>
          </w:tcPr>
          <w:p w:rsidR="00E7272E" w:rsidRPr="00E7272E" w:rsidRDefault="005B1C6A" w:rsidP="00E7272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E7272E" w:rsidRPr="00E7272E">
              <w:rPr>
                <w:rFonts w:ascii="Calibri" w:eastAsia="Times New Roman" w:hAnsi="Calibri" w:cs="Calibri"/>
                <w:color w:val="000000"/>
                <w:sz w:val="20"/>
                <w:szCs w:val="20"/>
              </w:rPr>
              <w:t>FCCERS-R reliable rater visit</w:t>
            </w:r>
          </w:p>
        </w:tc>
        <w:tc>
          <w:tcPr>
            <w:tcW w:w="2509" w:type="pct"/>
            <w:vMerge/>
            <w:tcBorders>
              <w:top w:val="single" w:sz="8" w:space="0" w:color="auto"/>
              <w:left w:val="single" w:sz="4" w:space="0" w:color="auto"/>
              <w:bottom w:val="single" w:sz="8" w:space="0" w:color="000000"/>
              <w:right w:val="single" w:sz="8" w:space="0" w:color="auto"/>
            </w:tcBorders>
            <w:vAlign w:val="center"/>
            <w:hideMark/>
          </w:tcPr>
          <w:p w:rsidR="00E7272E" w:rsidRPr="00E7272E" w:rsidRDefault="00E7272E" w:rsidP="00E7272E">
            <w:pPr>
              <w:rPr>
                <w:rFonts w:ascii="Calibri" w:eastAsia="Times New Roman" w:hAnsi="Calibri" w:cs="Calibri"/>
                <w:color w:val="000000"/>
                <w:sz w:val="20"/>
                <w:szCs w:val="20"/>
              </w:rPr>
            </w:pPr>
          </w:p>
        </w:tc>
      </w:tr>
    </w:tbl>
    <w:p w:rsidR="00E7272E" w:rsidRDefault="00E7272E"/>
    <w:p w:rsidR="00FC4AB0" w:rsidRDefault="00FC4AB0">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54"/>
        <w:gridCol w:w="5906"/>
        <w:gridCol w:w="6576"/>
      </w:tblGrid>
      <w:tr w:rsidR="00FC4AB0" w:rsidRPr="00FC4AB0" w:rsidTr="003F232A">
        <w:trPr>
          <w:trHeight w:val="499"/>
        </w:trPr>
        <w:tc>
          <w:tcPr>
            <w:tcW w:w="5000" w:type="pct"/>
            <w:gridSpan w:val="4"/>
            <w:shd w:val="clear" w:color="auto" w:fill="auto"/>
            <w:vAlign w:val="center"/>
            <w:hideMark/>
          </w:tcPr>
          <w:p w:rsidR="00FC4AB0" w:rsidRPr="005925C6" w:rsidRDefault="00FC4AB0" w:rsidP="005F1CE0">
            <w:pPr>
              <w:pStyle w:val="Heading2"/>
            </w:pPr>
            <w:r w:rsidRPr="005925C6">
              <w:lastRenderedPageBreak/>
              <w:t>STANDARD 3: FAMILY AND COMMUNITY ENGAGEMENT</w:t>
            </w:r>
          </w:p>
        </w:tc>
      </w:tr>
      <w:tr w:rsidR="00FC4AB0" w:rsidRPr="00FC4AB0" w:rsidTr="003F232A">
        <w:trPr>
          <w:trHeight w:val="499"/>
        </w:trPr>
        <w:tc>
          <w:tcPr>
            <w:tcW w:w="2715" w:type="pct"/>
            <w:gridSpan w:val="3"/>
            <w:shd w:val="clear" w:color="auto" w:fill="auto"/>
            <w:vAlign w:val="center"/>
            <w:hideMark/>
          </w:tcPr>
          <w:p w:rsidR="00FC4AB0" w:rsidRPr="00FC4AB0" w:rsidRDefault="00FC4AB0" w:rsidP="005F1CE0">
            <w:pPr>
              <w:pStyle w:val="Heading2"/>
              <w:rPr>
                <w:rFonts w:eastAsia="Times New Roman"/>
              </w:rPr>
            </w:pPr>
            <w:r w:rsidRPr="00FC4AB0">
              <w:rPr>
                <w:rFonts w:eastAsia="Times New Roman"/>
              </w:rPr>
              <w:t>Criterion</w:t>
            </w:r>
          </w:p>
        </w:tc>
        <w:tc>
          <w:tcPr>
            <w:tcW w:w="2285" w:type="pct"/>
            <w:shd w:val="clear" w:color="auto" w:fill="auto"/>
            <w:vAlign w:val="center"/>
            <w:hideMark/>
          </w:tcPr>
          <w:p w:rsidR="00FC4AB0" w:rsidRPr="00FC4AB0" w:rsidRDefault="00FC4AB0" w:rsidP="005F1CE0">
            <w:pPr>
              <w:pStyle w:val="Heading2"/>
              <w:rPr>
                <w:rFonts w:eastAsia="Times New Roman"/>
              </w:rPr>
            </w:pPr>
            <w:r w:rsidRPr="00FC4AB0">
              <w:rPr>
                <w:rFonts w:eastAsia="Times New Roman"/>
              </w:rPr>
              <w:t>Rationale</w:t>
            </w:r>
          </w:p>
        </w:tc>
      </w:tr>
      <w:tr w:rsidR="00FC4AB0" w:rsidRPr="00FC4AB0" w:rsidTr="003F232A">
        <w:trPr>
          <w:trHeight w:val="1200"/>
        </w:trPr>
        <w:tc>
          <w:tcPr>
            <w:tcW w:w="2715" w:type="pct"/>
            <w:gridSpan w:val="3"/>
            <w:shd w:val="clear" w:color="000000" w:fill="D9D9D9"/>
            <w:vAlign w:val="center"/>
            <w:hideMark/>
          </w:tcPr>
          <w:p w:rsidR="00FC4AB0" w:rsidRPr="00FC4AB0" w:rsidRDefault="00FC4AB0" w:rsidP="005925C6">
            <w:pPr>
              <w:pStyle w:val="Heading3"/>
              <w:rPr>
                <w:rFonts w:eastAsia="Times New Roman"/>
              </w:rPr>
            </w:pPr>
            <w:r w:rsidRPr="00FC4AB0">
              <w:rPr>
                <w:rFonts w:eastAsia="Times New Roman"/>
              </w:rPr>
              <w:t>3A. Family Engagement: Program communicates and partners with families.</w:t>
            </w:r>
          </w:p>
        </w:tc>
        <w:tc>
          <w:tcPr>
            <w:tcW w:w="2285" w:type="pct"/>
            <w:vMerge w:val="restart"/>
            <w:shd w:val="clear" w:color="000000" w:fill="D9D9D9"/>
            <w:vAlign w:val="center"/>
            <w:hideMark/>
          </w:tcPr>
          <w:p w:rsidR="005925C6" w:rsidRDefault="00FC4AB0" w:rsidP="005925C6">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 xml:space="preserve">The </w:t>
            </w:r>
            <w:r w:rsidRPr="00FC4AB0">
              <w:rPr>
                <w:rFonts w:ascii="Calibri" w:eastAsia="Times New Roman" w:hAnsi="Calibri" w:cs="Calibri"/>
                <w:b/>
                <w:bCs/>
                <w:color w:val="000000"/>
                <w:sz w:val="20"/>
                <w:szCs w:val="20"/>
              </w:rPr>
              <w:t>NAFCC</w:t>
            </w:r>
            <w:r w:rsidRPr="00FC4AB0">
              <w:rPr>
                <w:rFonts w:ascii="Calibri" w:eastAsia="Times New Roman" w:hAnsi="Calibri" w:cs="Calibri"/>
                <w:color w:val="000000"/>
                <w:sz w:val="20"/>
                <w:szCs w:val="20"/>
              </w:rPr>
              <w:t xml:space="preserve"> acknowledges the importance of parent communication and includes multiple elements of parent communication in the NAFCC accreditation process. According to the NAFCC, providers should maintain open and easy communication with each family. In addition to ongoing conversations, providers should have at least one conference per ye</w:t>
            </w:r>
            <w:r w:rsidR="005925C6">
              <w:rPr>
                <w:rFonts w:ascii="Calibri" w:eastAsia="Times New Roman" w:hAnsi="Calibri" w:cs="Calibri"/>
                <w:color w:val="000000"/>
                <w:sz w:val="20"/>
                <w:szCs w:val="20"/>
              </w:rPr>
              <w:t>ar with each child’s parent(s).</w:t>
            </w:r>
          </w:p>
          <w:p w:rsidR="005925C6" w:rsidRDefault="005925C6" w:rsidP="005925C6">
            <w:pPr>
              <w:rPr>
                <w:rFonts w:ascii="Calibri" w:eastAsia="Times New Roman" w:hAnsi="Calibri" w:cs="Calibri"/>
                <w:color w:val="000000"/>
                <w:sz w:val="20"/>
                <w:szCs w:val="20"/>
              </w:rPr>
            </w:pPr>
          </w:p>
          <w:p w:rsidR="005925C6" w:rsidRDefault="00FC4AB0" w:rsidP="005925C6">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 xml:space="preserve">Additionally, providers should keep parents informed, by conversation or in writing about what their children do; daily for babies and at least weekly </w:t>
            </w:r>
            <w:r w:rsidR="005925C6">
              <w:rPr>
                <w:rFonts w:ascii="Calibri" w:eastAsia="Times New Roman" w:hAnsi="Calibri" w:cs="Calibri"/>
                <w:color w:val="000000"/>
                <w:sz w:val="20"/>
                <w:szCs w:val="20"/>
              </w:rPr>
              <w:t>for older children.</w:t>
            </w:r>
          </w:p>
          <w:p w:rsidR="005925C6" w:rsidRDefault="005925C6" w:rsidP="005925C6">
            <w:pPr>
              <w:rPr>
                <w:rFonts w:ascii="Calibri" w:eastAsia="Times New Roman" w:hAnsi="Calibri" w:cs="Calibri"/>
                <w:color w:val="000000"/>
                <w:sz w:val="20"/>
                <w:szCs w:val="20"/>
              </w:rPr>
            </w:pPr>
          </w:p>
          <w:p w:rsidR="00FC4AB0" w:rsidRPr="00FC4AB0" w:rsidRDefault="00FC4AB0" w:rsidP="005925C6">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Additionally, providers should encourage parents to visit any time their children are present and offer a variety of ways for parents to participate in the program’s activities with consideration is given to the parents’ interests and time availability.</w:t>
            </w:r>
          </w:p>
        </w:tc>
      </w:tr>
      <w:tr w:rsidR="005B1C6A" w:rsidRPr="00FC4AB0" w:rsidTr="003F232A">
        <w:trPr>
          <w:trHeight w:val="1200"/>
        </w:trPr>
        <w:tc>
          <w:tcPr>
            <w:tcW w:w="401" w:type="pct"/>
            <w:vMerge w:val="restart"/>
            <w:shd w:val="clear" w:color="auto" w:fill="auto"/>
            <w:vAlign w:val="center"/>
            <w:hideMark/>
          </w:tcPr>
          <w:p w:rsidR="00FC4AB0" w:rsidRPr="00FC4AB0" w:rsidRDefault="00FC4AB0" w:rsidP="005F1CE0">
            <w:pPr>
              <w:pStyle w:val="Heading4"/>
              <w:rPr>
                <w:rFonts w:eastAsia="Times New Roman"/>
              </w:rPr>
            </w:pPr>
            <w:r w:rsidRPr="00FC4AB0">
              <w:rPr>
                <w:rFonts w:eastAsia="Times New Roman"/>
              </w:rPr>
              <w:t>Indicator</w:t>
            </w:r>
          </w:p>
        </w:tc>
        <w:tc>
          <w:tcPr>
            <w:tcW w:w="262" w:type="pct"/>
            <w:shd w:val="clear" w:color="auto" w:fill="auto"/>
            <w:vAlign w:val="center"/>
            <w:hideMark/>
          </w:tcPr>
          <w:p w:rsidR="00FC4AB0" w:rsidRPr="00754230" w:rsidRDefault="005925C6" w:rsidP="005F1CE0">
            <w:pPr>
              <w:pStyle w:val="Heading5"/>
            </w:pPr>
            <w:r w:rsidRPr="00754230">
              <w:t xml:space="preserve">Level </w:t>
            </w:r>
            <w:r w:rsidR="00FC4AB0" w:rsidRPr="00754230">
              <w:t>2a</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Program implements survey to determine how program can better support families</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754230" w:rsidRDefault="005925C6" w:rsidP="005F1CE0">
            <w:pPr>
              <w:pStyle w:val="Heading5"/>
            </w:pPr>
            <w:r w:rsidRPr="00754230">
              <w:t xml:space="preserve">Level </w:t>
            </w:r>
            <w:r w:rsidR="00FC4AB0" w:rsidRPr="00754230">
              <w:t>2b</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Business Administration Scale (BAS) score of 3 on Provider-Parent Communications Item</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754230" w:rsidRDefault="005925C6" w:rsidP="005F1CE0">
            <w:pPr>
              <w:pStyle w:val="Heading5"/>
            </w:pPr>
            <w:r w:rsidRPr="00754230">
              <w:t xml:space="preserve">Level </w:t>
            </w:r>
            <w:r w:rsidR="00FC4AB0" w:rsidRPr="00754230">
              <w:t>3a</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 xml:space="preserve"> Program implements evidence-based family engagement assessment</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754230" w:rsidRDefault="005925C6" w:rsidP="005F1CE0">
            <w:pPr>
              <w:pStyle w:val="Heading5"/>
            </w:pPr>
            <w:r w:rsidRPr="00754230">
              <w:t xml:space="preserve">Level </w:t>
            </w:r>
            <w:r w:rsidR="00FC4AB0" w:rsidRPr="00754230">
              <w:t>3b</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 xml:space="preserve">BAS score of 4 on Provider-Parent Communications Item </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754230" w:rsidRDefault="005925C6" w:rsidP="005F1CE0">
            <w:pPr>
              <w:pStyle w:val="Heading5"/>
            </w:pPr>
            <w:r w:rsidRPr="00754230">
              <w:t xml:space="preserve">Level </w:t>
            </w:r>
            <w:r w:rsidR="00FC4AB0" w:rsidRPr="00754230">
              <w:t>4/5</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BAS score of 5 on Provider-Parent Communications Item; Program demonstrates individualized family support plans; Program implements family visiting model; Program encourages families to engage in enrichment activities that connect curriculum to home; Program offers flexible programming to meet the needs of families</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3F232A" w:rsidRPr="005925C6" w:rsidTr="00B7361E">
        <w:trPr>
          <w:trHeight w:val="499"/>
        </w:trPr>
        <w:tc>
          <w:tcPr>
            <w:tcW w:w="5000" w:type="pct"/>
            <w:gridSpan w:val="4"/>
            <w:shd w:val="clear" w:color="auto" w:fill="auto"/>
            <w:vAlign w:val="center"/>
            <w:hideMark/>
          </w:tcPr>
          <w:p w:rsidR="003F232A" w:rsidRPr="005925C6" w:rsidRDefault="003F232A" w:rsidP="005F1CE0">
            <w:pPr>
              <w:pStyle w:val="Heading2"/>
            </w:pPr>
            <w:r w:rsidRPr="005925C6">
              <w:lastRenderedPageBreak/>
              <w:t>STANDARD 3: FAMILY AND COMMUNITY ENGAGEMENT</w:t>
            </w:r>
          </w:p>
        </w:tc>
      </w:tr>
      <w:tr w:rsidR="003F232A" w:rsidRPr="00FC4AB0" w:rsidTr="00B7361E">
        <w:trPr>
          <w:trHeight w:val="499"/>
        </w:trPr>
        <w:tc>
          <w:tcPr>
            <w:tcW w:w="2715" w:type="pct"/>
            <w:gridSpan w:val="3"/>
            <w:shd w:val="clear" w:color="auto" w:fill="auto"/>
            <w:vAlign w:val="center"/>
            <w:hideMark/>
          </w:tcPr>
          <w:p w:rsidR="003F232A" w:rsidRPr="00FC4AB0" w:rsidRDefault="003F232A" w:rsidP="005F1CE0">
            <w:pPr>
              <w:pStyle w:val="Heading2"/>
              <w:rPr>
                <w:rFonts w:eastAsia="Times New Roman"/>
              </w:rPr>
            </w:pPr>
            <w:r w:rsidRPr="00FC4AB0">
              <w:rPr>
                <w:rFonts w:eastAsia="Times New Roman"/>
              </w:rPr>
              <w:t>Criterion</w:t>
            </w:r>
          </w:p>
        </w:tc>
        <w:tc>
          <w:tcPr>
            <w:tcW w:w="2285" w:type="pct"/>
            <w:shd w:val="clear" w:color="auto" w:fill="auto"/>
            <w:vAlign w:val="center"/>
            <w:hideMark/>
          </w:tcPr>
          <w:p w:rsidR="003F232A" w:rsidRPr="00FC4AB0" w:rsidRDefault="003F232A" w:rsidP="005F1CE0">
            <w:pPr>
              <w:pStyle w:val="Heading2"/>
              <w:rPr>
                <w:rFonts w:eastAsia="Times New Roman"/>
              </w:rPr>
            </w:pPr>
            <w:r w:rsidRPr="00FC4AB0">
              <w:rPr>
                <w:rFonts w:eastAsia="Times New Roman"/>
              </w:rPr>
              <w:t>Rationale</w:t>
            </w:r>
          </w:p>
        </w:tc>
      </w:tr>
      <w:tr w:rsidR="00FC4AB0" w:rsidRPr="00FC4AB0" w:rsidTr="003F232A">
        <w:trPr>
          <w:trHeight w:val="1200"/>
        </w:trPr>
        <w:tc>
          <w:tcPr>
            <w:tcW w:w="2715" w:type="pct"/>
            <w:gridSpan w:val="3"/>
            <w:shd w:val="clear" w:color="000000" w:fill="D9D9D9"/>
            <w:vAlign w:val="center"/>
            <w:hideMark/>
          </w:tcPr>
          <w:p w:rsidR="00FC4AB0" w:rsidRPr="00FC4AB0" w:rsidRDefault="00FC4AB0" w:rsidP="005925C6">
            <w:pPr>
              <w:pStyle w:val="Heading3"/>
              <w:rPr>
                <w:rFonts w:eastAsia="Times New Roman"/>
              </w:rPr>
            </w:pPr>
            <w:r w:rsidRPr="00FC4AB0">
              <w:rPr>
                <w:rFonts w:eastAsia="Times New Roman"/>
              </w:rPr>
              <w:t>3B. Community Engagement: Program collaborates with community organizations to support children and families.</w:t>
            </w:r>
          </w:p>
        </w:tc>
        <w:tc>
          <w:tcPr>
            <w:tcW w:w="2285" w:type="pct"/>
            <w:vMerge w:val="restart"/>
            <w:shd w:val="clear" w:color="000000" w:fill="D9D9D9"/>
            <w:vAlign w:val="center"/>
            <w:hideMark/>
          </w:tcPr>
          <w:p w:rsidR="006114CB" w:rsidRDefault="00FC4AB0" w:rsidP="006114CB">
            <w:pPr>
              <w:rPr>
                <w:rFonts w:ascii="Calibri" w:eastAsia="Times New Roman" w:hAnsi="Calibri" w:cs="Calibri"/>
                <w:color w:val="000000"/>
                <w:sz w:val="20"/>
                <w:szCs w:val="20"/>
              </w:rPr>
            </w:pPr>
            <w:r w:rsidRPr="00FC4AB0">
              <w:rPr>
                <w:rFonts w:ascii="Calibri" w:eastAsia="Times New Roman" w:hAnsi="Calibri" w:cs="Calibri"/>
                <w:b/>
                <w:bCs/>
                <w:color w:val="000000"/>
                <w:sz w:val="20"/>
                <w:szCs w:val="20"/>
              </w:rPr>
              <w:t xml:space="preserve">Zero to Three </w:t>
            </w:r>
            <w:r w:rsidR="007F31AA">
              <w:rPr>
                <w:rFonts w:ascii="Calibri" w:eastAsia="Times New Roman" w:hAnsi="Calibri" w:cs="Calibri"/>
                <w:color w:val="000000"/>
                <w:sz w:val="20"/>
                <w:szCs w:val="20"/>
              </w:rPr>
              <w:t>defines</w:t>
            </w:r>
            <w:r w:rsidRPr="00FC4AB0">
              <w:rPr>
                <w:rFonts w:ascii="Calibri" w:eastAsia="Times New Roman" w:hAnsi="Calibri" w:cs="Calibri"/>
                <w:color w:val="000000"/>
                <w:sz w:val="20"/>
                <w:szCs w:val="20"/>
              </w:rPr>
              <w:t xml:space="preserve"> referrals as ensuring that young children and their families are connected to services that match their identified interests and needs. This involves referral and follow-up to ensure linkages to needed services, and efforts to support families if they are unable to receive additional services due to eligibility requirements or capacity issues. As research has noted</w:t>
            </w:r>
            <w:r w:rsidR="007F31AA">
              <w:rPr>
                <w:rFonts w:ascii="Calibri" w:eastAsia="Times New Roman" w:hAnsi="Calibri" w:cs="Calibri"/>
                <w:color w:val="000000"/>
                <w:sz w:val="20"/>
                <w:szCs w:val="20"/>
              </w:rPr>
              <w:t>, many parents, particularly</w:t>
            </w:r>
            <w:r w:rsidRPr="00FC4AB0">
              <w:rPr>
                <w:rFonts w:ascii="Calibri" w:eastAsia="Times New Roman" w:hAnsi="Calibri" w:cs="Calibri"/>
                <w:color w:val="000000"/>
                <w:sz w:val="20"/>
                <w:szCs w:val="20"/>
              </w:rPr>
              <w:t xml:space="preserve"> young and/or</w:t>
            </w:r>
            <w:r w:rsidR="005E7327">
              <w:rPr>
                <w:rFonts w:ascii="Calibri" w:eastAsia="Times New Roman" w:hAnsi="Calibri" w:cs="Calibri"/>
                <w:color w:val="000000"/>
                <w:sz w:val="20"/>
                <w:szCs w:val="20"/>
              </w:rPr>
              <w:t xml:space="preserve"> first time parents, look to early childhood education</w:t>
            </w:r>
            <w:r w:rsidRPr="00FC4AB0">
              <w:rPr>
                <w:rFonts w:ascii="Calibri" w:eastAsia="Times New Roman" w:hAnsi="Calibri" w:cs="Calibri"/>
                <w:color w:val="000000"/>
                <w:sz w:val="20"/>
                <w:szCs w:val="20"/>
              </w:rPr>
              <w:t xml:space="preserve"> providers for advice and guidance and additional supports, even though they may not actively se</w:t>
            </w:r>
            <w:r w:rsidR="006114CB">
              <w:rPr>
                <w:rFonts w:ascii="Calibri" w:eastAsia="Times New Roman" w:hAnsi="Calibri" w:cs="Calibri"/>
                <w:color w:val="000000"/>
                <w:sz w:val="20"/>
                <w:szCs w:val="20"/>
              </w:rPr>
              <w:t>ek them (</w:t>
            </w:r>
            <w:r w:rsidR="006114CB" w:rsidRPr="007F31AA">
              <w:rPr>
                <w:rFonts w:ascii="Calibri" w:eastAsia="Times New Roman" w:hAnsi="Calibri" w:cs="Calibri"/>
                <w:b/>
                <w:color w:val="000000"/>
                <w:sz w:val="20"/>
                <w:szCs w:val="20"/>
              </w:rPr>
              <w:t>Olson &amp; Hyson</w:t>
            </w:r>
            <w:r w:rsidR="006114CB">
              <w:rPr>
                <w:rFonts w:ascii="Calibri" w:eastAsia="Times New Roman" w:hAnsi="Calibri" w:cs="Calibri"/>
                <w:color w:val="000000"/>
                <w:sz w:val="20"/>
                <w:szCs w:val="20"/>
              </w:rPr>
              <w:t>, 2005).</w:t>
            </w:r>
          </w:p>
          <w:p w:rsidR="006114CB" w:rsidRDefault="006114CB" w:rsidP="00FC4AB0">
            <w:pPr>
              <w:jc w:val="center"/>
              <w:rPr>
                <w:rFonts w:ascii="Calibri" w:eastAsia="Times New Roman" w:hAnsi="Calibri" w:cs="Calibri"/>
                <w:color w:val="000000"/>
                <w:sz w:val="20"/>
                <w:szCs w:val="20"/>
              </w:rPr>
            </w:pPr>
          </w:p>
          <w:p w:rsidR="00FC4AB0" w:rsidRPr="00FC4AB0" w:rsidRDefault="00FC4AB0" w:rsidP="006114CB">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 xml:space="preserve">The </w:t>
            </w:r>
            <w:r w:rsidRPr="00FC4AB0">
              <w:rPr>
                <w:rFonts w:ascii="Calibri" w:eastAsia="Times New Roman" w:hAnsi="Calibri" w:cs="Calibri"/>
                <w:b/>
                <w:bCs/>
                <w:color w:val="000000"/>
                <w:sz w:val="20"/>
                <w:szCs w:val="20"/>
              </w:rPr>
              <w:t>NAFCC</w:t>
            </w:r>
            <w:r w:rsidRPr="00FC4AB0">
              <w:rPr>
                <w:rFonts w:ascii="Calibri" w:eastAsia="Times New Roman" w:hAnsi="Calibri" w:cs="Calibri"/>
                <w:color w:val="000000"/>
                <w:sz w:val="20"/>
                <w:szCs w:val="20"/>
              </w:rPr>
              <w:t xml:space="preserve"> acknowledges the importance of FCC providers as resources.  NAFCC accreditation standards require that the provider informs parents about tax credits, child care subsidies, and employer child care benefits, if available. Accreditation also requires that providers have information about community resources that offer services to parents and children. These resources may include, but not limited to health, mental health, nutrition/fitness, child care resources </w:t>
            </w:r>
            <w:r w:rsidR="006114CB">
              <w:rPr>
                <w:rFonts w:ascii="Calibri" w:eastAsia="Times New Roman" w:hAnsi="Calibri" w:cs="Calibri"/>
                <w:color w:val="000000"/>
                <w:sz w:val="20"/>
                <w:szCs w:val="20"/>
              </w:rPr>
              <w:t>and referral, special needs</w:t>
            </w:r>
            <w:r w:rsidR="007F31AA">
              <w:rPr>
                <w:rFonts w:ascii="Calibri" w:eastAsia="Times New Roman" w:hAnsi="Calibri" w:cs="Calibri"/>
                <w:color w:val="000000"/>
                <w:sz w:val="20"/>
                <w:szCs w:val="20"/>
              </w:rPr>
              <w:t>,</w:t>
            </w:r>
            <w:r w:rsidR="006114CB">
              <w:rPr>
                <w:rFonts w:ascii="Calibri" w:eastAsia="Times New Roman" w:hAnsi="Calibri" w:cs="Calibri"/>
                <w:color w:val="000000"/>
                <w:sz w:val="20"/>
                <w:szCs w:val="20"/>
              </w:rPr>
              <w:t xml:space="preserve"> and</w:t>
            </w:r>
            <w:r w:rsidRPr="00FC4AB0">
              <w:rPr>
                <w:rFonts w:ascii="Calibri" w:eastAsia="Times New Roman" w:hAnsi="Calibri" w:cs="Calibri"/>
                <w:color w:val="000000"/>
                <w:sz w:val="20"/>
                <w:szCs w:val="20"/>
              </w:rPr>
              <w:t xml:space="preserve"> care for infants.</w:t>
            </w:r>
          </w:p>
        </w:tc>
      </w:tr>
      <w:tr w:rsidR="005B1C6A" w:rsidRPr="00FC4AB0" w:rsidTr="003F232A">
        <w:trPr>
          <w:trHeight w:val="1200"/>
        </w:trPr>
        <w:tc>
          <w:tcPr>
            <w:tcW w:w="401" w:type="pct"/>
            <w:vMerge w:val="restart"/>
            <w:shd w:val="clear" w:color="auto" w:fill="auto"/>
            <w:vAlign w:val="center"/>
            <w:hideMark/>
          </w:tcPr>
          <w:p w:rsidR="00FC4AB0" w:rsidRPr="00FC4AB0" w:rsidRDefault="00FC4AB0" w:rsidP="005F1CE0">
            <w:pPr>
              <w:pStyle w:val="Heading4"/>
              <w:rPr>
                <w:rFonts w:eastAsia="Times New Roman"/>
              </w:rPr>
            </w:pPr>
            <w:r w:rsidRPr="00FC4AB0">
              <w:rPr>
                <w:rFonts w:eastAsia="Times New Roman"/>
              </w:rPr>
              <w:t>Indicator</w:t>
            </w:r>
          </w:p>
        </w:tc>
        <w:tc>
          <w:tcPr>
            <w:tcW w:w="262" w:type="pct"/>
            <w:shd w:val="clear" w:color="auto" w:fill="auto"/>
            <w:vAlign w:val="center"/>
            <w:hideMark/>
          </w:tcPr>
          <w:p w:rsidR="00FC4AB0" w:rsidRPr="00824EAB" w:rsidRDefault="005925C6" w:rsidP="005F1CE0">
            <w:pPr>
              <w:pStyle w:val="Heading5"/>
            </w:pPr>
            <w:r w:rsidRPr="00824EAB">
              <w:t xml:space="preserve">Level </w:t>
            </w:r>
            <w:r w:rsidR="00FC4AB0" w:rsidRPr="00824EAB">
              <w:t>2</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Program provides information about community-based resources for children and families related to data collected in family survey</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824EAB" w:rsidRDefault="005925C6" w:rsidP="005F1CE0">
            <w:pPr>
              <w:pStyle w:val="Heading5"/>
            </w:pPr>
            <w:r w:rsidRPr="00824EAB">
              <w:t xml:space="preserve">Level </w:t>
            </w:r>
            <w:r w:rsidR="00FC4AB0" w:rsidRPr="00824EAB">
              <w:t>3</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Program provides individualized referrals for community-based resources to families and provides informal follow-up with families</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r w:rsidR="005B1C6A" w:rsidRPr="00FC4AB0" w:rsidTr="003F232A">
        <w:trPr>
          <w:trHeight w:val="1200"/>
        </w:trPr>
        <w:tc>
          <w:tcPr>
            <w:tcW w:w="401" w:type="pct"/>
            <w:vMerge/>
            <w:vAlign w:val="center"/>
            <w:hideMark/>
          </w:tcPr>
          <w:p w:rsidR="00FC4AB0" w:rsidRPr="00FC4AB0" w:rsidRDefault="00FC4AB0" w:rsidP="00FC4AB0">
            <w:pPr>
              <w:rPr>
                <w:rFonts w:ascii="Calibri" w:eastAsia="Times New Roman" w:hAnsi="Calibri" w:cs="Calibri"/>
                <w:b/>
                <w:bCs/>
                <w:color w:val="000000"/>
              </w:rPr>
            </w:pPr>
          </w:p>
        </w:tc>
        <w:tc>
          <w:tcPr>
            <w:tcW w:w="262" w:type="pct"/>
            <w:shd w:val="clear" w:color="auto" w:fill="auto"/>
            <w:vAlign w:val="center"/>
            <w:hideMark/>
          </w:tcPr>
          <w:p w:rsidR="00FC4AB0" w:rsidRPr="00824EAB" w:rsidRDefault="005925C6" w:rsidP="005F1CE0">
            <w:pPr>
              <w:pStyle w:val="Heading5"/>
            </w:pPr>
            <w:r w:rsidRPr="00824EAB">
              <w:t xml:space="preserve">Level </w:t>
            </w:r>
            <w:r w:rsidR="00FC4AB0" w:rsidRPr="00824EAB">
              <w:t>4/5</w:t>
            </w:r>
          </w:p>
        </w:tc>
        <w:tc>
          <w:tcPr>
            <w:tcW w:w="2052" w:type="pct"/>
            <w:shd w:val="clear" w:color="auto" w:fill="auto"/>
            <w:vAlign w:val="center"/>
            <w:hideMark/>
          </w:tcPr>
          <w:p w:rsidR="00FC4AB0" w:rsidRPr="00FC4AB0" w:rsidRDefault="00FC4AB0" w:rsidP="00FC4AB0">
            <w:pPr>
              <w:rPr>
                <w:rFonts w:ascii="Calibri" w:eastAsia="Times New Roman" w:hAnsi="Calibri" w:cs="Calibri"/>
                <w:color w:val="000000"/>
                <w:sz w:val="20"/>
                <w:szCs w:val="20"/>
              </w:rPr>
            </w:pPr>
            <w:r w:rsidRPr="00FC4AB0">
              <w:rPr>
                <w:rFonts w:ascii="Calibri" w:eastAsia="Times New Roman" w:hAnsi="Calibri" w:cs="Calibri"/>
                <w:color w:val="000000"/>
                <w:sz w:val="20"/>
                <w:szCs w:val="20"/>
              </w:rPr>
              <w:t>Program establishes ongoing communication with other FCC providers to exchange information and resources in support of children and families</w:t>
            </w:r>
          </w:p>
        </w:tc>
        <w:tc>
          <w:tcPr>
            <w:tcW w:w="2285" w:type="pct"/>
            <w:vMerge/>
            <w:vAlign w:val="center"/>
            <w:hideMark/>
          </w:tcPr>
          <w:p w:rsidR="00FC4AB0" w:rsidRPr="00FC4AB0" w:rsidRDefault="00FC4AB0" w:rsidP="00FC4AB0">
            <w:pPr>
              <w:rPr>
                <w:rFonts w:ascii="Calibri" w:eastAsia="Times New Roman" w:hAnsi="Calibri" w:cs="Calibri"/>
                <w:color w:val="000000"/>
                <w:sz w:val="20"/>
                <w:szCs w:val="20"/>
              </w:rPr>
            </w:pPr>
          </w:p>
        </w:tc>
      </w:tr>
    </w:tbl>
    <w:p w:rsidR="009155B0" w:rsidRDefault="009155B0" w:rsidP="00F36E87"/>
    <w:p w:rsidR="009155B0" w:rsidRDefault="009155B0">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54"/>
        <w:gridCol w:w="4824"/>
        <w:gridCol w:w="7658"/>
      </w:tblGrid>
      <w:tr w:rsidR="009155B0" w:rsidRPr="009155B0" w:rsidTr="003F232A">
        <w:trPr>
          <w:trHeight w:val="499"/>
        </w:trPr>
        <w:tc>
          <w:tcPr>
            <w:tcW w:w="5000" w:type="pct"/>
            <w:gridSpan w:val="4"/>
            <w:shd w:val="clear" w:color="auto" w:fill="auto"/>
            <w:vAlign w:val="center"/>
            <w:hideMark/>
          </w:tcPr>
          <w:p w:rsidR="009155B0" w:rsidRPr="009155B0" w:rsidRDefault="009155B0" w:rsidP="005F1CE0">
            <w:pPr>
              <w:pStyle w:val="Heading2"/>
              <w:rPr>
                <w:rFonts w:eastAsia="Times New Roman"/>
              </w:rPr>
            </w:pPr>
            <w:r w:rsidRPr="009155B0">
              <w:rPr>
                <w:rFonts w:eastAsia="Times New Roman"/>
              </w:rPr>
              <w:lastRenderedPageBreak/>
              <w:t>STANDARD 4: PROFESSIONAL CULTURE, PROFESSIONAL DEVELOPMENT, AND REFLECTIVE PRACTICE</w:t>
            </w:r>
          </w:p>
        </w:tc>
      </w:tr>
      <w:tr w:rsidR="009155B0" w:rsidRPr="009155B0" w:rsidTr="003F232A">
        <w:trPr>
          <w:trHeight w:val="499"/>
        </w:trPr>
        <w:tc>
          <w:tcPr>
            <w:tcW w:w="2339" w:type="pct"/>
            <w:gridSpan w:val="3"/>
            <w:shd w:val="clear" w:color="auto" w:fill="auto"/>
            <w:vAlign w:val="center"/>
            <w:hideMark/>
          </w:tcPr>
          <w:p w:rsidR="009155B0" w:rsidRPr="009155B0" w:rsidRDefault="009155B0" w:rsidP="005F1CE0">
            <w:pPr>
              <w:pStyle w:val="Heading2"/>
            </w:pPr>
            <w:r w:rsidRPr="009155B0">
              <w:t>Criterion</w:t>
            </w:r>
          </w:p>
        </w:tc>
        <w:tc>
          <w:tcPr>
            <w:tcW w:w="2661" w:type="pct"/>
            <w:shd w:val="clear" w:color="auto" w:fill="auto"/>
            <w:vAlign w:val="center"/>
            <w:hideMark/>
          </w:tcPr>
          <w:p w:rsidR="009155B0" w:rsidRPr="009155B0" w:rsidRDefault="009155B0" w:rsidP="005F1CE0">
            <w:pPr>
              <w:pStyle w:val="Heading2"/>
              <w:rPr>
                <w:rFonts w:eastAsia="Times New Roman"/>
              </w:rPr>
            </w:pPr>
            <w:r w:rsidRPr="009155B0">
              <w:rPr>
                <w:rFonts w:eastAsia="Times New Roman"/>
              </w:rPr>
              <w:t>Rationale</w:t>
            </w:r>
          </w:p>
        </w:tc>
      </w:tr>
      <w:tr w:rsidR="009155B0" w:rsidRPr="009155B0" w:rsidTr="003F232A">
        <w:trPr>
          <w:trHeight w:val="1200"/>
        </w:trPr>
        <w:tc>
          <w:tcPr>
            <w:tcW w:w="2339" w:type="pct"/>
            <w:gridSpan w:val="3"/>
            <w:shd w:val="clear" w:color="000000" w:fill="D9D9D9"/>
            <w:vAlign w:val="center"/>
            <w:hideMark/>
          </w:tcPr>
          <w:p w:rsidR="009155B0" w:rsidRPr="009155B0" w:rsidRDefault="009155B0" w:rsidP="009155B0">
            <w:pPr>
              <w:pStyle w:val="Heading3"/>
              <w:rPr>
                <w:rFonts w:eastAsia="Times New Roman"/>
              </w:rPr>
            </w:pPr>
            <w:r w:rsidRPr="009155B0">
              <w:rPr>
                <w:rFonts w:eastAsia="Times New Roman"/>
              </w:rPr>
              <w:t>4A. Professional Culture: Program policies encourage a professional work environment and program sustainability.</w:t>
            </w:r>
          </w:p>
        </w:tc>
        <w:tc>
          <w:tcPr>
            <w:tcW w:w="2661" w:type="pct"/>
            <w:vMerge w:val="restart"/>
            <w:shd w:val="clear" w:color="000000" w:fill="D9D9D9"/>
            <w:vAlign w:val="center"/>
            <w:hideMark/>
          </w:tcPr>
          <w:p w:rsid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 xml:space="preserve">Research on Family Child Care indicates that providers who use effective professional and business practices are more likely to view </w:t>
            </w:r>
            <w:r>
              <w:rPr>
                <w:rFonts w:ascii="Calibri" w:eastAsia="Times New Roman" w:hAnsi="Calibri" w:cs="Calibri"/>
                <w:color w:val="000000"/>
                <w:sz w:val="20"/>
                <w:szCs w:val="20"/>
              </w:rPr>
              <w:t xml:space="preserve">family child care as a career. </w:t>
            </w:r>
            <w:r w:rsidRPr="009155B0">
              <w:rPr>
                <w:rFonts w:ascii="Calibri" w:eastAsia="Times New Roman" w:hAnsi="Calibri" w:cs="Calibri"/>
                <w:color w:val="000000"/>
                <w:sz w:val="20"/>
                <w:szCs w:val="20"/>
              </w:rPr>
              <w:t>B</w:t>
            </w:r>
            <w:r w:rsidR="005E7327">
              <w:rPr>
                <w:rFonts w:ascii="Calibri" w:eastAsia="Times New Roman" w:hAnsi="Calibri" w:cs="Calibri"/>
                <w:color w:val="000000"/>
                <w:sz w:val="20"/>
                <w:szCs w:val="20"/>
              </w:rPr>
              <w:t>usiness Administration Scale (B</w:t>
            </w:r>
            <w:r w:rsidRPr="009155B0">
              <w:rPr>
                <w:rFonts w:ascii="Calibri" w:eastAsia="Times New Roman" w:hAnsi="Calibri" w:cs="Calibri"/>
                <w:color w:val="000000"/>
                <w:sz w:val="20"/>
                <w:szCs w:val="20"/>
              </w:rPr>
              <w:t>AS</w:t>
            </w:r>
            <w:r w:rsidR="005E7327">
              <w:rPr>
                <w:rFonts w:ascii="Calibri" w:eastAsia="Times New Roman" w:hAnsi="Calibri" w:cs="Calibri"/>
                <w:color w:val="000000"/>
                <w:sz w:val="20"/>
                <w:szCs w:val="20"/>
              </w:rPr>
              <w:t>)</w:t>
            </w:r>
            <w:r w:rsidRPr="009155B0">
              <w:rPr>
                <w:rFonts w:ascii="Calibri" w:eastAsia="Times New Roman" w:hAnsi="Calibri" w:cs="Calibri"/>
                <w:color w:val="000000"/>
                <w:sz w:val="20"/>
                <w:szCs w:val="20"/>
              </w:rPr>
              <w:t xml:space="preserve"> scores have also been linked to high quality learning environments and more sensitive educator-child interactions (</w:t>
            </w:r>
            <w:proofErr w:type="spellStart"/>
            <w:r w:rsidRPr="009155B0">
              <w:rPr>
                <w:rFonts w:ascii="Calibri" w:eastAsia="Times New Roman" w:hAnsi="Calibri" w:cs="Calibri"/>
                <w:b/>
                <w:bCs/>
                <w:color w:val="000000"/>
                <w:sz w:val="20"/>
                <w:szCs w:val="20"/>
              </w:rPr>
              <w:t>Bordin</w:t>
            </w:r>
            <w:proofErr w:type="spellEnd"/>
            <w:r w:rsidRPr="009155B0">
              <w:rPr>
                <w:rFonts w:ascii="Calibri" w:eastAsia="Times New Roman" w:hAnsi="Calibri" w:cs="Calibri"/>
                <w:b/>
                <w:bCs/>
                <w:color w:val="000000"/>
                <w:sz w:val="20"/>
                <w:szCs w:val="20"/>
              </w:rPr>
              <w:t xml:space="preserve">, Machida, </w:t>
            </w:r>
            <w:proofErr w:type="spellStart"/>
            <w:r w:rsidRPr="009155B0">
              <w:rPr>
                <w:rFonts w:ascii="Calibri" w:eastAsia="Times New Roman" w:hAnsi="Calibri" w:cs="Calibri"/>
                <w:b/>
                <w:bCs/>
                <w:color w:val="000000"/>
                <w:sz w:val="20"/>
                <w:szCs w:val="20"/>
              </w:rPr>
              <w:t>Varnell</w:t>
            </w:r>
            <w:proofErr w:type="spellEnd"/>
            <w:r w:rsidRPr="007F31AA">
              <w:rPr>
                <w:rFonts w:ascii="Calibri" w:eastAsia="Times New Roman" w:hAnsi="Calibri" w:cs="Calibri"/>
                <w:bCs/>
                <w:color w:val="000000"/>
                <w:sz w:val="20"/>
                <w:szCs w:val="20"/>
              </w:rPr>
              <w:t>, 2000</w:t>
            </w:r>
            <w:r w:rsidRPr="009155B0">
              <w:rPr>
                <w:rFonts w:ascii="Calibri" w:eastAsia="Times New Roman" w:hAnsi="Calibri" w:cs="Calibri"/>
                <w:b/>
                <w:bCs/>
                <w:color w:val="000000"/>
                <w:sz w:val="20"/>
                <w:szCs w:val="20"/>
              </w:rPr>
              <w:t xml:space="preserve">; Burton et al., </w:t>
            </w:r>
            <w:r w:rsidRPr="007F31AA">
              <w:rPr>
                <w:rFonts w:ascii="Calibri" w:eastAsia="Times New Roman" w:hAnsi="Calibri" w:cs="Calibri"/>
                <w:bCs/>
                <w:color w:val="000000"/>
                <w:sz w:val="20"/>
                <w:szCs w:val="20"/>
              </w:rPr>
              <w:t>2002</w:t>
            </w:r>
            <w:r w:rsidRPr="009155B0">
              <w:rPr>
                <w:rFonts w:ascii="Calibri" w:eastAsia="Times New Roman" w:hAnsi="Calibri" w:cs="Calibri"/>
                <w:b/>
                <w:bCs/>
                <w:color w:val="000000"/>
                <w:sz w:val="20"/>
                <w:szCs w:val="20"/>
              </w:rPr>
              <w:t xml:space="preserve">; </w:t>
            </w:r>
            <w:proofErr w:type="spellStart"/>
            <w:r w:rsidRPr="009155B0">
              <w:rPr>
                <w:rFonts w:ascii="Calibri" w:eastAsia="Times New Roman" w:hAnsi="Calibri" w:cs="Calibri"/>
                <w:b/>
                <w:bCs/>
                <w:color w:val="000000"/>
                <w:sz w:val="20"/>
                <w:szCs w:val="20"/>
              </w:rPr>
              <w:t>Helburn</w:t>
            </w:r>
            <w:proofErr w:type="spellEnd"/>
            <w:r w:rsidRPr="009155B0">
              <w:rPr>
                <w:rFonts w:ascii="Calibri" w:eastAsia="Times New Roman" w:hAnsi="Calibri" w:cs="Calibri"/>
                <w:b/>
                <w:bCs/>
                <w:color w:val="000000"/>
                <w:sz w:val="20"/>
                <w:szCs w:val="20"/>
              </w:rPr>
              <w:t>, Morris &amp; Modigliani</w:t>
            </w:r>
            <w:r w:rsidRPr="007F31AA">
              <w:rPr>
                <w:rFonts w:ascii="Calibri" w:eastAsia="Times New Roman" w:hAnsi="Calibri" w:cs="Calibri"/>
                <w:bCs/>
                <w:color w:val="000000"/>
                <w:sz w:val="20"/>
                <w:szCs w:val="20"/>
              </w:rPr>
              <w:t>, 2002</w:t>
            </w:r>
            <w:r w:rsidRPr="009155B0">
              <w:rPr>
                <w:rFonts w:ascii="Calibri" w:eastAsia="Times New Roman" w:hAnsi="Calibri" w:cs="Calibri"/>
                <w:b/>
                <w:bCs/>
                <w:color w:val="000000"/>
                <w:sz w:val="20"/>
                <w:szCs w:val="20"/>
              </w:rPr>
              <w:t xml:space="preserve">; </w:t>
            </w:r>
            <w:proofErr w:type="spellStart"/>
            <w:r w:rsidRPr="009155B0">
              <w:rPr>
                <w:rFonts w:ascii="Calibri" w:eastAsia="Times New Roman" w:hAnsi="Calibri" w:cs="Calibri"/>
                <w:b/>
                <w:bCs/>
                <w:color w:val="000000"/>
                <w:sz w:val="20"/>
                <w:szCs w:val="20"/>
              </w:rPr>
              <w:t>Kontos</w:t>
            </w:r>
            <w:proofErr w:type="spellEnd"/>
            <w:r w:rsidRPr="009155B0">
              <w:rPr>
                <w:rFonts w:ascii="Calibri" w:eastAsia="Times New Roman" w:hAnsi="Calibri" w:cs="Calibri"/>
                <w:b/>
                <w:bCs/>
                <w:color w:val="000000"/>
                <w:sz w:val="20"/>
                <w:szCs w:val="20"/>
              </w:rPr>
              <w:t xml:space="preserve">, Howes, Shinn &amp; </w:t>
            </w:r>
            <w:proofErr w:type="spellStart"/>
            <w:r w:rsidRPr="009155B0">
              <w:rPr>
                <w:rFonts w:ascii="Calibri" w:eastAsia="Times New Roman" w:hAnsi="Calibri" w:cs="Calibri"/>
                <w:b/>
                <w:bCs/>
                <w:color w:val="000000"/>
                <w:sz w:val="20"/>
                <w:szCs w:val="20"/>
              </w:rPr>
              <w:t>Galinsky</w:t>
            </w:r>
            <w:proofErr w:type="spellEnd"/>
            <w:r w:rsidRPr="009155B0">
              <w:rPr>
                <w:rFonts w:ascii="Calibri" w:eastAsia="Times New Roman" w:hAnsi="Calibri" w:cs="Calibri"/>
                <w:b/>
                <w:bCs/>
                <w:color w:val="000000"/>
                <w:sz w:val="20"/>
                <w:szCs w:val="20"/>
              </w:rPr>
              <w:t xml:space="preserve">, </w:t>
            </w:r>
            <w:r w:rsidRPr="007F31AA">
              <w:rPr>
                <w:rFonts w:ascii="Calibri" w:eastAsia="Times New Roman" w:hAnsi="Calibri" w:cs="Calibri"/>
                <w:bCs/>
                <w:color w:val="000000"/>
                <w:sz w:val="20"/>
                <w:szCs w:val="20"/>
              </w:rPr>
              <w:t>199</w:t>
            </w:r>
            <w:r w:rsidRPr="007F31AA">
              <w:rPr>
                <w:rFonts w:ascii="Calibri" w:eastAsia="Times New Roman" w:hAnsi="Calibri" w:cs="Calibri"/>
                <w:color w:val="000000"/>
                <w:sz w:val="20"/>
                <w:szCs w:val="20"/>
              </w:rPr>
              <w:t>5</w:t>
            </w:r>
            <w:r>
              <w:rPr>
                <w:rFonts w:ascii="Calibri" w:eastAsia="Times New Roman" w:hAnsi="Calibri" w:cs="Calibri"/>
                <w:color w:val="000000"/>
                <w:sz w:val="20"/>
                <w:szCs w:val="20"/>
              </w:rPr>
              <w:t>).</w:t>
            </w:r>
          </w:p>
          <w:p w:rsidR="009155B0" w:rsidRDefault="009155B0" w:rsidP="009155B0">
            <w:pPr>
              <w:rPr>
                <w:rFonts w:ascii="Calibri" w:eastAsia="Times New Roman" w:hAnsi="Calibri" w:cs="Calibri"/>
                <w:color w:val="000000"/>
                <w:sz w:val="20"/>
                <w:szCs w:val="20"/>
              </w:rPr>
            </w:pPr>
          </w:p>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Research had found the BAS to be a reliable and valid measure</w:t>
            </w:r>
            <w:r w:rsidR="007F31AA">
              <w:rPr>
                <w:rFonts w:ascii="Calibri" w:eastAsia="Times New Roman" w:hAnsi="Calibri" w:cs="Calibri"/>
                <w:color w:val="000000"/>
                <w:sz w:val="20"/>
                <w:szCs w:val="20"/>
              </w:rPr>
              <w:t xml:space="preserve"> of business p</w:t>
            </w:r>
            <w:r>
              <w:rPr>
                <w:rFonts w:ascii="Calibri" w:eastAsia="Times New Roman" w:hAnsi="Calibri" w:cs="Calibri"/>
                <w:color w:val="000000"/>
                <w:sz w:val="20"/>
                <w:szCs w:val="20"/>
              </w:rPr>
              <w:t xml:space="preserve">ractices in FCC. </w:t>
            </w:r>
            <w:r w:rsidRPr="009155B0">
              <w:rPr>
                <w:rFonts w:ascii="Calibri" w:eastAsia="Times New Roman" w:hAnsi="Calibri" w:cs="Calibri"/>
                <w:color w:val="000000"/>
                <w:sz w:val="20"/>
                <w:szCs w:val="20"/>
              </w:rPr>
              <w:t>It can used to monitor and improve practice through self-study, technical assistance and training (</w:t>
            </w:r>
            <w:r w:rsidRPr="009155B0">
              <w:rPr>
                <w:rFonts w:ascii="Calibri" w:eastAsia="Times New Roman" w:hAnsi="Calibri" w:cs="Calibri"/>
                <w:b/>
                <w:bCs/>
                <w:color w:val="000000"/>
                <w:sz w:val="20"/>
                <w:szCs w:val="20"/>
              </w:rPr>
              <w:t>Talan &amp; Bloom</w:t>
            </w:r>
            <w:r w:rsidRPr="009155B0">
              <w:rPr>
                <w:rFonts w:ascii="Calibri" w:eastAsia="Times New Roman" w:hAnsi="Calibri" w:cs="Calibri"/>
                <w:color w:val="000000"/>
                <w:sz w:val="20"/>
                <w:szCs w:val="20"/>
              </w:rPr>
              <w:t>, 2009).</w:t>
            </w:r>
          </w:p>
        </w:tc>
      </w:tr>
      <w:tr w:rsidR="009155B0" w:rsidRPr="009155B0" w:rsidTr="003F232A">
        <w:trPr>
          <w:trHeight w:val="1200"/>
        </w:trPr>
        <w:tc>
          <w:tcPr>
            <w:tcW w:w="401" w:type="pct"/>
            <w:vMerge w:val="restart"/>
            <w:shd w:val="clear" w:color="auto" w:fill="auto"/>
            <w:vAlign w:val="center"/>
            <w:hideMark/>
          </w:tcPr>
          <w:p w:rsidR="009155B0" w:rsidRPr="009155B0" w:rsidRDefault="009155B0" w:rsidP="005F1CE0">
            <w:pPr>
              <w:pStyle w:val="Heading4"/>
              <w:rPr>
                <w:rFonts w:eastAsia="Times New Roman"/>
              </w:rPr>
            </w:pPr>
            <w:r w:rsidRPr="009155B0">
              <w:rPr>
                <w:rFonts w:eastAsia="Times New Roman"/>
              </w:rPr>
              <w:t>Indicator</w:t>
            </w:r>
          </w:p>
        </w:tc>
        <w:tc>
          <w:tcPr>
            <w:tcW w:w="262" w:type="pct"/>
            <w:shd w:val="clear" w:color="auto" w:fill="auto"/>
            <w:vAlign w:val="center"/>
            <w:hideMark/>
          </w:tcPr>
          <w:p w:rsidR="009155B0" w:rsidRPr="00824EAB" w:rsidRDefault="009155B0" w:rsidP="005F1CE0">
            <w:pPr>
              <w:pStyle w:val="Heading5"/>
            </w:pPr>
            <w:r w:rsidRPr="00824EAB">
              <w:t>Level 2</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BAS score of 3 on the following items: Income and Benefits, Fiscal Management, Marketing and Public Relations</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3</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BAS score of 4 on the following items:</w:t>
            </w:r>
            <w:r w:rsidR="005B1C6A">
              <w:rPr>
                <w:rFonts w:ascii="Calibri" w:eastAsia="Times New Roman" w:hAnsi="Calibri" w:cs="Calibri"/>
                <w:color w:val="000000"/>
                <w:sz w:val="20"/>
                <w:szCs w:val="20"/>
              </w:rPr>
              <w:t xml:space="preserve"> </w:t>
            </w:r>
            <w:r w:rsidRPr="009155B0">
              <w:rPr>
                <w:rFonts w:ascii="Calibri" w:eastAsia="Times New Roman" w:hAnsi="Calibri" w:cs="Calibri"/>
                <w:color w:val="000000"/>
                <w:sz w:val="20"/>
                <w:szCs w:val="20"/>
              </w:rPr>
              <w:t>Income and Benefits, Fiscal Management, Marketing and Public Relations</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4/5</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Level 4/5: BAS score of 5 on the following items: Income and Benefits, Fiscal Management, Marketing and Public Relations</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bl>
    <w:p w:rsidR="003F232A" w:rsidRDefault="003F232A">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54"/>
        <w:gridCol w:w="4824"/>
        <w:gridCol w:w="7658"/>
      </w:tblGrid>
      <w:tr w:rsidR="003F232A" w:rsidRPr="009155B0" w:rsidTr="00B7361E">
        <w:trPr>
          <w:trHeight w:val="499"/>
        </w:trPr>
        <w:tc>
          <w:tcPr>
            <w:tcW w:w="5000" w:type="pct"/>
            <w:gridSpan w:val="4"/>
            <w:shd w:val="clear" w:color="auto" w:fill="auto"/>
            <w:vAlign w:val="center"/>
            <w:hideMark/>
          </w:tcPr>
          <w:p w:rsidR="003F232A" w:rsidRPr="009155B0" w:rsidRDefault="003F232A" w:rsidP="005F1CE0">
            <w:pPr>
              <w:pStyle w:val="Heading2"/>
              <w:rPr>
                <w:rFonts w:eastAsia="Times New Roman"/>
              </w:rPr>
            </w:pPr>
            <w:r w:rsidRPr="009155B0">
              <w:rPr>
                <w:rFonts w:eastAsia="Times New Roman"/>
              </w:rPr>
              <w:lastRenderedPageBreak/>
              <w:t>STANDARD 4: PROFESSIONAL CULTURE, PROFESSIONAL DEVELOPMENT, AND REFLECTIVE PRACTICE</w:t>
            </w:r>
          </w:p>
        </w:tc>
      </w:tr>
      <w:tr w:rsidR="003F232A" w:rsidRPr="009155B0" w:rsidTr="00B7361E">
        <w:trPr>
          <w:trHeight w:val="499"/>
        </w:trPr>
        <w:tc>
          <w:tcPr>
            <w:tcW w:w="2339" w:type="pct"/>
            <w:gridSpan w:val="3"/>
            <w:shd w:val="clear" w:color="auto" w:fill="auto"/>
            <w:vAlign w:val="center"/>
            <w:hideMark/>
          </w:tcPr>
          <w:p w:rsidR="003F232A" w:rsidRPr="009155B0" w:rsidRDefault="003F232A" w:rsidP="005F1CE0">
            <w:pPr>
              <w:pStyle w:val="Heading2"/>
            </w:pPr>
            <w:r w:rsidRPr="009155B0">
              <w:t>Criterion</w:t>
            </w:r>
          </w:p>
        </w:tc>
        <w:tc>
          <w:tcPr>
            <w:tcW w:w="2661" w:type="pct"/>
            <w:shd w:val="clear" w:color="auto" w:fill="auto"/>
            <w:vAlign w:val="center"/>
            <w:hideMark/>
          </w:tcPr>
          <w:p w:rsidR="003F232A" w:rsidRPr="009155B0" w:rsidRDefault="003F232A" w:rsidP="005F1CE0">
            <w:pPr>
              <w:pStyle w:val="Heading2"/>
              <w:rPr>
                <w:rFonts w:eastAsia="Times New Roman"/>
              </w:rPr>
            </w:pPr>
            <w:r w:rsidRPr="009155B0">
              <w:rPr>
                <w:rFonts w:eastAsia="Times New Roman"/>
              </w:rPr>
              <w:t>Rationale</w:t>
            </w:r>
          </w:p>
        </w:tc>
      </w:tr>
      <w:tr w:rsidR="009155B0" w:rsidRPr="009155B0" w:rsidTr="003F232A">
        <w:trPr>
          <w:trHeight w:val="1200"/>
        </w:trPr>
        <w:tc>
          <w:tcPr>
            <w:tcW w:w="2339" w:type="pct"/>
            <w:gridSpan w:val="3"/>
            <w:shd w:val="clear" w:color="000000" w:fill="D9D9D9"/>
            <w:vAlign w:val="center"/>
            <w:hideMark/>
          </w:tcPr>
          <w:p w:rsidR="009155B0" w:rsidRPr="009155B0" w:rsidRDefault="009155B0" w:rsidP="009155B0">
            <w:pPr>
              <w:pStyle w:val="Heading3"/>
              <w:rPr>
                <w:rFonts w:eastAsia="Times New Roman"/>
              </w:rPr>
            </w:pPr>
            <w:r w:rsidRPr="009155B0">
              <w:rPr>
                <w:rFonts w:eastAsia="Times New Roman"/>
              </w:rPr>
              <w:t>4B. Professional Development: Program uses quality supports and professional development to increase knowledge and competency.</w:t>
            </w:r>
          </w:p>
        </w:tc>
        <w:tc>
          <w:tcPr>
            <w:tcW w:w="2661" w:type="pct"/>
            <w:vMerge w:val="restart"/>
            <w:shd w:val="clear" w:color="000000" w:fill="D9D9D9"/>
            <w:vAlign w:val="center"/>
            <w:hideMark/>
          </w:tcPr>
          <w:p w:rsidR="009155B0" w:rsidRDefault="009155B0" w:rsidP="009155B0">
            <w:pPr>
              <w:rPr>
                <w:rFonts w:ascii="Calibri" w:eastAsia="Times New Roman" w:hAnsi="Calibri" w:cs="Calibri"/>
                <w:sz w:val="20"/>
                <w:szCs w:val="20"/>
              </w:rPr>
            </w:pPr>
            <w:r w:rsidRPr="009155B0">
              <w:rPr>
                <w:rFonts w:ascii="Calibri" w:eastAsia="Times New Roman" w:hAnsi="Calibri" w:cs="Calibri"/>
                <w:sz w:val="20"/>
                <w:szCs w:val="20"/>
              </w:rPr>
              <w:t>The knowledge, skills, and practices of early childhood educators are important factors in determining how much a young child learns and how prepared that child is for entry into school (</w:t>
            </w:r>
            <w:r w:rsidRPr="009155B0">
              <w:rPr>
                <w:rFonts w:ascii="Calibri" w:eastAsia="Times New Roman" w:hAnsi="Calibri" w:cs="Calibri"/>
                <w:b/>
                <w:bCs/>
                <w:sz w:val="20"/>
                <w:szCs w:val="20"/>
              </w:rPr>
              <w:t>Sheridan et al</w:t>
            </w:r>
            <w:r>
              <w:rPr>
                <w:rFonts w:ascii="Calibri" w:eastAsia="Times New Roman" w:hAnsi="Calibri" w:cs="Calibri"/>
                <w:sz w:val="20"/>
                <w:szCs w:val="20"/>
              </w:rPr>
              <w:t>, 2009).</w:t>
            </w:r>
          </w:p>
          <w:p w:rsidR="009155B0" w:rsidRDefault="009155B0" w:rsidP="009155B0">
            <w:pPr>
              <w:rPr>
                <w:rFonts w:ascii="Calibri" w:eastAsia="Times New Roman" w:hAnsi="Calibri" w:cs="Calibri"/>
                <w:sz w:val="20"/>
                <w:szCs w:val="20"/>
              </w:rPr>
            </w:pPr>
          </w:p>
          <w:p w:rsidR="009155B0" w:rsidRPr="009155B0" w:rsidRDefault="009155B0" w:rsidP="009155B0">
            <w:pPr>
              <w:rPr>
                <w:rFonts w:ascii="Calibri" w:eastAsia="Times New Roman" w:hAnsi="Calibri" w:cs="Calibri"/>
                <w:sz w:val="20"/>
                <w:szCs w:val="20"/>
              </w:rPr>
            </w:pPr>
            <w:r w:rsidRPr="009155B0">
              <w:rPr>
                <w:rFonts w:ascii="Calibri" w:eastAsia="Times New Roman" w:hAnsi="Calibri" w:cs="Calibri"/>
                <w:sz w:val="20"/>
                <w:szCs w:val="20"/>
              </w:rPr>
              <w:t xml:space="preserve">The NAFCC acknowledges the importance of professional development as an important aspect of building quality practices. For </w:t>
            </w:r>
            <w:r w:rsidRPr="009155B0">
              <w:rPr>
                <w:rFonts w:ascii="Calibri" w:eastAsia="Times New Roman" w:hAnsi="Calibri" w:cs="Calibri"/>
                <w:b/>
                <w:bCs/>
                <w:sz w:val="20"/>
                <w:szCs w:val="20"/>
              </w:rPr>
              <w:t>NAFCC</w:t>
            </w:r>
            <w:r w:rsidRPr="009155B0">
              <w:rPr>
                <w:rFonts w:ascii="Calibri" w:eastAsia="Times New Roman" w:hAnsi="Calibri" w:cs="Calibri"/>
                <w:sz w:val="20"/>
                <w:szCs w:val="20"/>
              </w:rPr>
              <w:t xml:space="preserve"> accreditation, educators must complete at least 90 clock hours of documented family child care related education/training within the 3 years prior to submitting the accreditation documentation in the key content areas of: Relationships, Interactions and Guidance; Learning Environment and Curriculum; Assessment and Screening; Health and Safety; Special Needs and Inclusion; Child Growth and Development</w:t>
            </w:r>
            <w:r w:rsidR="007F31AA">
              <w:rPr>
                <w:rFonts w:ascii="Calibri" w:eastAsia="Times New Roman" w:hAnsi="Calibri" w:cs="Calibri"/>
                <w:sz w:val="20"/>
                <w:szCs w:val="20"/>
              </w:rPr>
              <w:t>,</w:t>
            </w:r>
            <w:r w:rsidRPr="009155B0">
              <w:rPr>
                <w:rFonts w:ascii="Calibri" w:eastAsia="Times New Roman" w:hAnsi="Calibri" w:cs="Calibri"/>
                <w:sz w:val="20"/>
                <w:szCs w:val="20"/>
              </w:rPr>
              <w:t xml:space="preserve"> and Professional and Business Practices. </w:t>
            </w:r>
          </w:p>
        </w:tc>
      </w:tr>
      <w:tr w:rsidR="009155B0" w:rsidRPr="009155B0" w:rsidTr="003F232A">
        <w:trPr>
          <w:trHeight w:val="1200"/>
        </w:trPr>
        <w:tc>
          <w:tcPr>
            <w:tcW w:w="401" w:type="pct"/>
            <w:vMerge w:val="restart"/>
            <w:shd w:val="clear" w:color="auto" w:fill="auto"/>
            <w:vAlign w:val="center"/>
            <w:hideMark/>
          </w:tcPr>
          <w:p w:rsidR="009155B0" w:rsidRPr="009155B0" w:rsidRDefault="009155B0" w:rsidP="005F1CE0">
            <w:pPr>
              <w:pStyle w:val="Heading4"/>
              <w:rPr>
                <w:rFonts w:eastAsia="Times New Roman"/>
              </w:rPr>
            </w:pPr>
            <w:r w:rsidRPr="009155B0">
              <w:rPr>
                <w:rFonts w:eastAsia="Times New Roman"/>
              </w:rPr>
              <w:t>Indicator</w:t>
            </w:r>
          </w:p>
        </w:tc>
        <w:tc>
          <w:tcPr>
            <w:tcW w:w="262" w:type="pct"/>
            <w:shd w:val="clear" w:color="auto" w:fill="auto"/>
            <w:vAlign w:val="center"/>
            <w:hideMark/>
          </w:tcPr>
          <w:p w:rsidR="009155B0" w:rsidRPr="00824EAB" w:rsidRDefault="009155B0" w:rsidP="005F1CE0">
            <w:pPr>
              <w:pStyle w:val="Heading5"/>
            </w:pPr>
            <w:r w:rsidRPr="00824EAB">
              <w:t>Level 2a</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Individual Professional Development Plan to promote Career Lattice advancement</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2b</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quality supports and professional development opportunities in response to ERS technical assistance consultation and internal observations</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3a</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Individual Professional Development Plan to set goals for Career Lattice advancement</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3b</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quality supports and professional development opportunities in response to ERS reliable rater visit and internal observations</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4a</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Individual Professional Development Plan to achieve Career Lattice advancement</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4b</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uses quality supports and professional development opportunities in response to feedback from ERS reliable rater visit and internal observations</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5</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gives quality support and professional development to programs at Levels 1-4 to promote their advancement in QRIS</w:t>
            </w:r>
          </w:p>
        </w:tc>
        <w:tc>
          <w:tcPr>
            <w:tcW w:w="2661" w:type="pct"/>
            <w:vMerge/>
            <w:vAlign w:val="center"/>
            <w:hideMark/>
          </w:tcPr>
          <w:p w:rsidR="009155B0" w:rsidRPr="009155B0" w:rsidRDefault="009155B0" w:rsidP="009155B0">
            <w:pPr>
              <w:rPr>
                <w:rFonts w:ascii="Calibri" w:eastAsia="Times New Roman" w:hAnsi="Calibri" w:cs="Calibri"/>
                <w:sz w:val="20"/>
                <w:szCs w:val="20"/>
              </w:rPr>
            </w:pPr>
          </w:p>
        </w:tc>
      </w:tr>
    </w:tbl>
    <w:p w:rsidR="009155B0" w:rsidRDefault="009155B0">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54"/>
        <w:gridCol w:w="4824"/>
        <w:gridCol w:w="7658"/>
      </w:tblGrid>
      <w:tr w:rsidR="003F232A" w:rsidRPr="009155B0" w:rsidTr="00B7361E">
        <w:trPr>
          <w:trHeight w:val="499"/>
        </w:trPr>
        <w:tc>
          <w:tcPr>
            <w:tcW w:w="5000" w:type="pct"/>
            <w:gridSpan w:val="4"/>
            <w:shd w:val="clear" w:color="auto" w:fill="auto"/>
            <w:vAlign w:val="center"/>
            <w:hideMark/>
          </w:tcPr>
          <w:p w:rsidR="003F232A" w:rsidRPr="009155B0" w:rsidRDefault="003F232A" w:rsidP="005F1CE0">
            <w:pPr>
              <w:pStyle w:val="Heading2"/>
              <w:rPr>
                <w:rFonts w:eastAsia="Times New Roman"/>
              </w:rPr>
            </w:pPr>
            <w:r w:rsidRPr="009155B0">
              <w:rPr>
                <w:rFonts w:eastAsia="Times New Roman"/>
              </w:rPr>
              <w:lastRenderedPageBreak/>
              <w:t>STANDARD 4: PROFESSIONAL CULTURE, PROFESSIONAL DEVELOPMENT, AND REFLECTIVE PRACTICE</w:t>
            </w:r>
          </w:p>
        </w:tc>
      </w:tr>
      <w:tr w:rsidR="003F232A" w:rsidRPr="009155B0" w:rsidTr="00B7361E">
        <w:trPr>
          <w:trHeight w:val="499"/>
        </w:trPr>
        <w:tc>
          <w:tcPr>
            <w:tcW w:w="2339" w:type="pct"/>
            <w:gridSpan w:val="3"/>
            <w:shd w:val="clear" w:color="auto" w:fill="auto"/>
            <w:vAlign w:val="center"/>
            <w:hideMark/>
          </w:tcPr>
          <w:p w:rsidR="003F232A" w:rsidRPr="009155B0" w:rsidRDefault="003F232A" w:rsidP="005F1CE0">
            <w:pPr>
              <w:pStyle w:val="Heading2"/>
            </w:pPr>
            <w:r w:rsidRPr="009155B0">
              <w:t>Criterion</w:t>
            </w:r>
          </w:p>
        </w:tc>
        <w:tc>
          <w:tcPr>
            <w:tcW w:w="2661" w:type="pct"/>
            <w:shd w:val="clear" w:color="auto" w:fill="auto"/>
            <w:vAlign w:val="center"/>
            <w:hideMark/>
          </w:tcPr>
          <w:p w:rsidR="003F232A" w:rsidRPr="009155B0" w:rsidRDefault="003F232A" w:rsidP="005F1CE0">
            <w:pPr>
              <w:pStyle w:val="Heading2"/>
              <w:rPr>
                <w:rFonts w:eastAsia="Times New Roman"/>
              </w:rPr>
            </w:pPr>
            <w:r w:rsidRPr="009155B0">
              <w:rPr>
                <w:rFonts w:eastAsia="Times New Roman"/>
              </w:rPr>
              <w:t>Rationale</w:t>
            </w:r>
          </w:p>
        </w:tc>
      </w:tr>
      <w:tr w:rsidR="009155B0" w:rsidRPr="009155B0" w:rsidTr="003F232A">
        <w:trPr>
          <w:trHeight w:val="1200"/>
        </w:trPr>
        <w:tc>
          <w:tcPr>
            <w:tcW w:w="2339" w:type="pct"/>
            <w:gridSpan w:val="3"/>
            <w:shd w:val="clear" w:color="000000" w:fill="D9D9D9"/>
            <w:vAlign w:val="center"/>
            <w:hideMark/>
          </w:tcPr>
          <w:p w:rsidR="009155B0" w:rsidRPr="009155B0" w:rsidRDefault="009155B0" w:rsidP="009155B0">
            <w:pPr>
              <w:pStyle w:val="Heading3"/>
              <w:rPr>
                <w:rFonts w:eastAsia="Times New Roman"/>
              </w:rPr>
            </w:pPr>
            <w:r w:rsidRPr="009155B0">
              <w:rPr>
                <w:rFonts w:eastAsia="Times New Roman"/>
              </w:rPr>
              <w:t>4C. Reflective Practice: Program engages in process of continuous quality improvement.</w:t>
            </w:r>
          </w:p>
        </w:tc>
        <w:tc>
          <w:tcPr>
            <w:tcW w:w="2661" w:type="pct"/>
            <w:vMerge w:val="restart"/>
            <w:shd w:val="clear" w:color="000000" w:fill="D9D9D9"/>
            <w:vAlign w:val="center"/>
            <w:hideMark/>
          </w:tcPr>
          <w:p w:rsid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The primary benefit of reflective practice for teachers is a deeper understanding of their own teaching style and ultimately, greater effectiveness as a teacher (</w:t>
            </w:r>
            <w:r w:rsidRPr="009155B0">
              <w:rPr>
                <w:rFonts w:ascii="Calibri" w:eastAsia="Times New Roman" w:hAnsi="Calibri" w:cs="Calibri"/>
                <w:b/>
                <w:bCs/>
                <w:color w:val="000000"/>
                <w:sz w:val="20"/>
                <w:szCs w:val="20"/>
              </w:rPr>
              <w:t>Ferraro</w:t>
            </w:r>
            <w:r w:rsidRPr="009155B0">
              <w:rPr>
                <w:rFonts w:ascii="Calibri" w:eastAsia="Times New Roman" w:hAnsi="Calibri" w:cs="Calibri"/>
                <w:color w:val="000000"/>
                <w:sz w:val="20"/>
                <w:szCs w:val="20"/>
              </w:rPr>
              <w:t xml:space="preserve">, 2000). Continuous Quality Improvement </w:t>
            </w:r>
            <w:r w:rsidR="005E7327">
              <w:rPr>
                <w:rFonts w:ascii="Calibri" w:eastAsia="Times New Roman" w:hAnsi="Calibri" w:cs="Calibri"/>
                <w:color w:val="000000"/>
                <w:sz w:val="20"/>
                <w:szCs w:val="20"/>
              </w:rPr>
              <w:t xml:space="preserve">(CQI) </w:t>
            </w:r>
            <w:r w:rsidRPr="009155B0">
              <w:rPr>
                <w:rFonts w:ascii="Calibri" w:eastAsia="Times New Roman" w:hAnsi="Calibri" w:cs="Calibri"/>
                <w:color w:val="000000"/>
                <w:sz w:val="20"/>
                <w:szCs w:val="20"/>
              </w:rPr>
              <w:t>is a process to ensure programs are systematically and intentionally improving services and increasing positive outcomes for the children and families they serve. CQI is a cyclical, data-d</w:t>
            </w:r>
            <w:r>
              <w:rPr>
                <w:rFonts w:ascii="Calibri" w:eastAsia="Times New Roman" w:hAnsi="Calibri" w:cs="Calibri"/>
                <w:color w:val="000000"/>
                <w:sz w:val="20"/>
                <w:szCs w:val="20"/>
              </w:rPr>
              <w:t>riven process.</w:t>
            </w:r>
          </w:p>
          <w:p w:rsidR="009155B0" w:rsidRDefault="009155B0" w:rsidP="009155B0">
            <w:pPr>
              <w:rPr>
                <w:rFonts w:ascii="Calibri" w:eastAsia="Times New Roman" w:hAnsi="Calibri" w:cs="Calibri"/>
                <w:color w:val="000000"/>
                <w:sz w:val="20"/>
                <w:szCs w:val="20"/>
              </w:rPr>
            </w:pPr>
          </w:p>
          <w:p w:rsid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A CQI environment is one in which data is collected and used to makes positive changes – even when things are going well – rather than waiting for something to go wrong and then fixing it. (</w:t>
            </w:r>
            <w:r w:rsidRPr="009155B0">
              <w:rPr>
                <w:rFonts w:ascii="Calibri" w:eastAsia="Times New Roman" w:hAnsi="Calibri" w:cs="Calibri"/>
                <w:b/>
                <w:bCs/>
                <w:color w:val="000000"/>
                <w:sz w:val="20"/>
                <w:szCs w:val="20"/>
              </w:rPr>
              <w:t>BUILD</w:t>
            </w:r>
            <w:r>
              <w:rPr>
                <w:rFonts w:ascii="Calibri" w:eastAsia="Times New Roman" w:hAnsi="Calibri" w:cs="Calibri"/>
                <w:color w:val="000000"/>
                <w:sz w:val="20"/>
                <w:szCs w:val="20"/>
              </w:rPr>
              <w:t>, 2013).</w:t>
            </w:r>
          </w:p>
          <w:p w:rsidR="009155B0" w:rsidRDefault="009155B0" w:rsidP="009155B0">
            <w:pPr>
              <w:rPr>
                <w:rFonts w:ascii="Calibri" w:eastAsia="Times New Roman" w:hAnsi="Calibri" w:cs="Calibri"/>
                <w:color w:val="000000"/>
                <w:sz w:val="20"/>
                <w:szCs w:val="20"/>
              </w:rPr>
            </w:pPr>
          </w:p>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 xml:space="preserve">The </w:t>
            </w:r>
            <w:r w:rsidRPr="009155B0">
              <w:rPr>
                <w:rFonts w:ascii="Calibri" w:eastAsia="Times New Roman" w:hAnsi="Calibri" w:cs="Calibri"/>
                <w:b/>
                <w:bCs/>
                <w:color w:val="000000"/>
                <w:sz w:val="20"/>
                <w:szCs w:val="20"/>
              </w:rPr>
              <w:t>NAFCC</w:t>
            </w:r>
            <w:r w:rsidRPr="009155B0">
              <w:rPr>
                <w:rFonts w:ascii="Calibri" w:eastAsia="Times New Roman" w:hAnsi="Calibri" w:cs="Calibri"/>
                <w:color w:val="000000"/>
                <w:sz w:val="20"/>
                <w:szCs w:val="20"/>
              </w:rPr>
              <w:t xml:space="preserve"> acknowledges the importance of self-reflection and study and includes an extensive self-study protocol as part of the accreditation process. The NAFCC notes that self-study provides</w:t>
            </w:r>
            <w:r>
              <w:rPr>
                <w:rFonts w:ascii="Calibri" w:eastAsia="Times New Roman" w:hAnsi="Calibri" w:cs="Calibri"/>
                <w:color w:val="000000"/>
                <w:sz w:val="20"/>
                <w:szCs w:val="20"/>
              </w:rPr>
              <w:t xml:space="preserve"> educators with the big picture of their program </w:t>
            </w:r>
            <w:r w:rsidRPr="009155B0">
              <w:rPr>
                <w:rFonts w:ascii="Calibri" w:eastAsia="Times New Roman" w:hAnsi="Calibri" w:cs="Calibri"/>
                <w:color w:val="000000"/>
                <w:sz w:val="20"/>
                <w:szCs w:val="20"/>
              </w:rPr>
              <w:t>a</w:t>
            </w:r>
            <w:r>
              <w:rPr>
                <w:rFonts w:ascii="Calibri" w:eastAsia="Times New Roman" w:hAnsi="Calibri" w:cs="Calibri"/>
                <w:color w:val="000000"/>
                <w:sz w:val="20"/>
                <w:szCs w:val="20"/>
              </w:rPr>
              <w:t xml:space="preserve">nd helps identify the need for </w:t>
            </w:r>
            <w:r w:rsidRPr="009155B0">
              <w:rPr>
                <w:rFonts w:ascii="Calibri" w:eastAsia="Times New Roman" w:hAnsi="Calibri" w:cs="Calibri"/>
                <w:color w:val="000000"/>
                <w:sz w:val="20"/>
                <w:szCs w:val="20"/>
              </w:rPr>
              <w:t xml:space="preserve">improvements, plan </w:t>
            </w:r>
            <w:r>
              <w:rPr>
                <w:rFonts w:ascii="Calibri" w:eastAsia="Times New Roman" w:hAnsi="Calibri" w:cs="Calibri"/>
                <w:color w:val="000000"/>
                <w:sz w:val="20"/>
                <w:szCs w:val="20"/>
              </w:rPr>
              <w:t xml:space="preserve">for </w:t>
            </w:r>
            <w:r w:rsidRPr="009155B0">
              <w:rPr>
                <w:rFonts w:ascii="Calibri" w:eastAsia="Times New Roman" w:hAnsi="Calibri" w:cs="Calibri"/>
                <w:color w:val="000000"/>
                <w:sz w:val="20"/>
                <w:szCs w:val="20"/>
              </w:rPr>
              <w:t>program modifications, consider resources needed to support change</w:t>
            </w:r>
            <w:r w:rsidR="007F31AA">
              <w:rPr>
                <w:rFonts w:ascii="Calibri" w:eastAsia="Times New Roman" w:hAnsi="Calibri" w:cs="Calibri"/>
                <w:color w:val="000000"/>
                <w:sz w:val="20"/>
                <w:szCs w:val="20"/>
              </w:rPr>
              <w:t>,</w:t>
            </w:r>
            <w:r w:rsidRPr="009155B0">
              <w:rPr>
                <w:rFonts w:ascii="Calibri" w:eastAsia="Times New Roman" w:hAnsi="Calibri" w:cs="Calibri"/>
                <w:color w:val="000000"/>
                <w:sz w:val="20"/>
                <w:szCs w:val="20"/>
              </w:rPr>
              <w:t xml:space="preserve"> an</w:t>
            </w:r>
            <w:r>
              <w:rPr>
                <w:rFonts w:ascii="Calibri" w:eastAsia="Times New Roman" w:hAnsi="Calibri" w:cs="Calibri"/>
                <w:color w:val="000000"/>
                <w:sz w:val="20"/>
                <w:szCs w:val="20"/>
              </w:rPr>
              <w:t>d celebrate program strengths.</w:t>
            </w:r>
          </w:p>
        </w:tc>
      </w:tr>
      <w:tr w:rsidR="009155B0" w:rsidRPr="009155B0" w:rsidTr="003F232A">
        <w:trPr>
          <w:trHeight w:val="1200"/>
        </w:trPr>
        <w:tc>
          <w:tcPr>
            <w:tcW w:w="401" w:type="pct"/>
            <w:vMerge w:val="restart"/>
            <w:shd w:val="clear" w:color="auto" w:fill="auto"/>
            <w:vAlign w:val="center"/>
            <w:hideMark/>
          </w:tcPr>
          <w:p w:rsidR="009155B0" w:rsidRPr="009155B0" w:rsidRDefault="009155B0" w:rsidP="005F1CE0">
            <w:pPr>
              <w:pStyle w:val="Heading4"/>
              <w:rPr>
                <w:rFonts w:eastAsia="Times New Roman"/>
              </w:rPr>
            </w:pPr>
            <w:r w:rsidRPr="009155B0">
              <w:rPr>
                <w:rFonts w:eastAsia="Times New Roman"/>
              </w:rPr>
              <w:t>Indicator</w:t>
            </w:r>
          </w:p>
        </w:tc>
        <w:tc>
          <w:tcPr>
            <w:tcW w:w="262" w:type="pct"/>
            <w:shd w:val="clear" w:color="auto" w:fill="auto"/>
            <w:vAlign w:val="center"/>
            <w:hideMark/>
          </w:tcPr>
          <w:p w:rsidR="009155B0" w:rsidRPr="00824EAB" w:rsidRDefault="009155B0" w:rsidP="005F1CE0">
            <w:pPr>
              <w:pStyle w:val="Heading5"/>
            </w:pPr>
            <w:r w:rsidRPr="00824EAB">
              <w:t>Level 2</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 xml:space="preserve">Program develops Level 2 Continuous Quality Improvement Plan </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3</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 xml:space="preserve">Program develops Level 3 Continuous Quality Improvement Plan </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r w:rsidR="009155B0" w:rsidRPr="009155B0" w:rsidTr="003F232A">
        <w:trPr>
          <w:trHeight w:val="1200"/>
        </w:trPr>
        <w:tc>
          <w:tcPr>
            <w:tcW w:w="401" w:type="pct"/>
            <w:vMerge/>
            <w:vAlign w:val="center"/>
            <w:hideMark/>
          </w:tcPr>
          <w:p w:rsidR="009155B0" w:rsidRPr="009155B0" w:rsidRDefault="009155B0" w:rsidP="009155B0">
            <w:pPr>
              <w:rPr>
                <w:rFonts w:ascii="Calibri" w:eastAsia="Times New Roman" w:hAnsi="Calibri" w:cs="Calibri"/>
                <w:b/>
                <w:bCs/>
                <w:color w:val="000000"/>
              </w:rPr>
            </w:pPr>
          </w:p>
        </w:tc>
        <w:tc>
          <w:tcPr>
            <w:tcW w:w="262" w:type="pct"/>
            <w:shd w:val="clear" w:color="auto" w:fill="auto"/>
            <w:vAlign w:val="center"/>
            <w:hideMark/>
          </w:tcPr>
          <w:p w:rsidR="009155B0" w:rsidRPr="00824EAB" w:rsidRDefault="009155B0" w:rsidP="005F1CE0">
            <w:pPr>
              <w:pStyle w:val="Heading5"/>
            </w:pPr>
            <w:r w:rsidRPr="00824EAB">
              <w:t>Level 4/5</w:t>
            </w:r>
          </w:p>
        </w:tc>
        <w:tc>
          <w:tcPr>
            <w:tcW w:w="1676" w:type="pct"/>
            <w:shd w:val="clear" w:color="auto" w:fill="auto"/>
            <w:vAlign w:val="center"/>
            <w:hideMark/>
          </w:tcPr>
          <w:p w:rsidR="009155B0" w:rsidRPr="009155B0" w:rsidRDefault="009155B0" w:rsidP="009155B0">
            <w:pPr>
              <w:rPr>
                <w:rFonts w:ascii="Calibri" w:eastAsia="Times New Roman" w:hAnsi="Calibri" w:cs="Calibri"/>
                <w:color w:val="000000"/>
                <w:sz w:val="20"/>
                <w:szCs w:val="20"/>
              </w:rPr>
            </w:pPr>
            <w:r w:rsidRPr="009155B0">
              <w:rPr>
                <w:rFonts w:ascii="Calibri" w:eastAsia="Times New Roman" w:hAnsi="Calibri" w:cs="Calibri"/>
                <w:color w:val="000000"/>
                <w:sz w:val="20"/>
                <w:szCs w:val="20"/>
              </w:rPr>
              <w:t>Program develops Level 4/5 Continuous Quality Improvement Plans</w:t>
            </w:r>
          </w:p>
        </w:tc>
        <w:tc>
          <w:tcPr>
            <w:tcW w:w="2661" w:type="pct"/>
            <w:vMerge/>
            <w:vAlign w:val="center"/>
            <w:hideMark/>
          </w:tcPr>
          <w:p w:rsidR="009155B0" w:rsidRPr="009155B0" w:rsidRDefault="009155B0" w:rsidP="009155B0">
            <w:pPr>
              <w:rPr>
                <w:rFonts w:ascii="Calibri" w:eastAsia="Times New Roman" w:hAnsi="Calibri" w:cs="Calibri"/>
                <w:color w:val="000000"/>
                <w:sz w:val="20"/>
                <w:szCs w:val="20"/>
              </w:rPr>
            </w:pPr>
          </w:p>
        </w:tc>
      </w:tr>
    </w:tbl>
    <w:p w:rsidR="00F36E87" w:rsidRPr="00F36E87" w:rsidRDefault="00F36E87" w:rsidP="00F36E87"/>
    <w:p w:rsidR="007D3A90" w:rsidRPr="007D3A90" w:rsidRDefault="007D3A90" w:rsidP="007D3A90"/>
    <w:p w:rsidR="009155B0" w:rsidRDefault="009155B0">
      <w:pPr>
        <w:spacing w:after="160" w:line="259" w:lineRule="auto"/>
        <w:rPr>
          <w:rFonts w:ascii="Calibri" w:eastAsiaTheme="majorEastAsia" w:hAnsi="Calibri" w:cstheme="majorBidi"/>
          <w:b/>
          <w:caps/>
          <w:sz w:val="28"/>
          <w:szCs w:val="32"/>
        </w:rPr>
      </w:pPr>
      <w:r>
        <w:br w:type="page"/>
      </w:r>
    </w:p>
    <w:p w:rsidR="00E379D5" w:rsidRDefault="00E379D5" w:rsidP="00E379D5">
      <w:pPr>
        <w:pStyle w:val="Heading1"/>
      </w:pPr>
      <w:r>
        <w:lastRenderedPageBreak/>
        <w:t>References</w:t>
      </w:r>
    </w:p>
    <w:p w:rsidR="009155B0" w:rsidRPr="009155B0" w:rsidRDefault="009155B0" w:rsidP="009155B0">
      <w:pPr>
        <w:pStyle w:val="ListParagraph"/>
        <w:numPr>
          <w:ilvl w:val="0"/>
          <w:numId w:val="2"/>
        </w:numPr>
        <w:spacing w:before="60" w:after="60"/>
        <w:contextualSpacing w:val="0"/>
      </w:pPr>
      <w:r w:rsidRPr="009155B0">
        <w:t xml:space="preserve">Barnett, W. S., </w:t>
      </w:r>
      <w:proofErr w:type="spellStart"/>
      <w:r w:rsidRPr="009155B0">
        <w:t>Hustedt</w:t>
      </w:r>
      <w:proofErr w:type="spellEnd"/>
      <w:r w:rsidRPr="009155B0">
        <w:t xml:space="preserve">, J. T., Robin, K.B., Schulman, K. L. (2004). The state of preschool: 2004 state preschool yearbook. New Brunswick, NJ: National Institute for Early Education Research, Rutgers University. </w:t>
      </w:r>
    </w:p>
    <w:p w:rsidR="009155B0" w:rsidRPr="009155B0" w:rsidRDefault="009155B0" w:rsidP="009155B0">
      <w:pPr>
        <w:pStyle w:val="ListParagraph"/>
        <w:numPr>
          <w:ilvl w:val="0"/>
          <w:numId w:val="2"/>
        </w:numPr>
        <w:spacing w:before="60" w:after="60"/>
        <w:contextualSpacing w:val="0"/>
      </w:pPr>
      <w:r w:rsidRPr="009155B0">
        <w:t xml:space="preserve">Black, P. and D. </w:t>
      </w:r>
      <w:proofErr w:type="spellStart"/>
      <w:r w:rsidRPr="009155B0">
        <w:t>Wiliam</w:t>
      </w:r>
      <w:proofErr w:type="spellEnd"/>
      <w:r w:rsidRPr="009155B0">
        <w:t xml:space="preserve"> (1998a), “Assessment and Classroom Learning”, Assessment in Education, Vol. 5, pp. 7-71</w:t>
      </w:r>
      <w:r>
        <w:t>.</w:t>
      </w:r>
    </w:p>
    <w:p w:rsidR="009155B0" w:rsidRPr="009155B0" w:rsidRDefault="009155B0" w:rsidP="009155B0">
      <w:pPr>
        <w:pStyle w:val="ListParagraph"/>
        <w:numPr>
          <w:ilvl w:val="0"/>
          <w:numId w:val="2"/>
        </w:numPr>
        <w:spacing w:before="60" w:after="60"/>
        <w:contextualSpacing w:val="0"/>
      </w:pPr>
      <w:r w:rsidRPr="009155B0">
        <w:t xml:space="preserve">Black, P. and D. </w:t>
      </w:r>
      <w:proofErr w:type="spellStart"/>
      <w:r w:rsidRPr="009155B0">
        <w:t>Wiliam</w:t>
      </w:r>
      <w:proofErr w:type="spellEnd"/>
      <w:r w:rsidRPr="009155B0">
        <w:t xml:space="preserve"> (2003), “In Praise of Educational Research: Formative Assessment”, British Educational Research Journal, Vol. 29(5), pp. 623-637. </w:t>
      </w:r>
    </w:p>
    <w:p w:rsidR="009155B0" w:rsidRPr="009155B0" w:rsidRDefault="009155B0" w:rsidP="009155B0">
      <w:pPr>
        <w:pStyle w:val="ListParagraph"/>
        <w:numPr>
          <w:ilvl w:val="0"/>
          <w:numId w:val="2"/>
        </w:numPr>
        <w:spacing w:before="60" w:after="60"/>
        <w:contextualSpacing w:val="0"/>
      </w:pPr>
      <w:proofErr w:type="spellStart"/>
      <w:r w:rsidRPr="009155B0">
        <w:t>Bordin</w:t>
      </w:r>
      <w:proofErr w:type="spellEnd"/>
      <w:r w:rsidRPr="009155B0">
        <w:t xml:space="preserve">, J., Machida, S., &amp; </w:t>
      </w:r>
      <w:proofErr w:type="spellStart"/>
      <w:r w:rsidRPr="009155B0">
        <w:t>Varnell</w:t>
      </w:r>
      <w:proofErr w:type="spellEnd"/>
      <w:r w:rsidRPr="009155B0">
        <w:t>, H. (2000, October).  The relation of quality indicators to provider knowledge of child development in family child care homes.  Child and Youth Care Forum, 29(5), 323-341.</w:t>
      </w:r>
    </w:p>
    <w:p w:rsidR="009155B0" w:rsidRPr="009155B0" w:rsidRDefault="009155B0" w:rsidP="009155B0">
      <w:pPr>
        <w:pStyle w:val="ListParagraph"/>
        <w:numPr>
          <w:ilvl w:val="0"/>
          <w:numId w:val="2"/>
        </w:numPr>
        <w:spacing w:before="60" w:after="60"/>
        <w:contextualSpacing w:val="0"/>
      </w:pPr>
      <w:r w:rsidRPr="009155B0">
        <w:t xml:space="preserve">Brunner, C., </w:t>
      </w:r>
      <w:proofErr w:type="spellStart"/>
      <w:r w:rsidRPr="009155B0">
        <w:t>Fasca</w:t>
      </w:r>
      <w:proofErr w:type="spellEnd"/>
      <w:r w:rsidRPr="009155B0">
        <w:t xml:space="preserve">, C., </w:t>
      </w:r>
      <w:proofErr w:type="spellStart"/>
      <w:r w:rsidRPr="009155B0">
        <w:t>Heinze</w:t>
      </w:r>
      <w:proofErr w:type="spellEnd"/>
      <w:r w:rsidRPr="009155B0">
        <w:t xml:space="preserve">, J., Honey, M., Light, D., </w:t>
      </w:r>
      <w:proofErr w:type="spellStart"/>
      <w:r w:rsidRPr="009155B0">
        <w:t>Mandinach</w:t>
      </w:r>
      <w:proofErr w:type="spellEnd"/>
      <w:r w:rsidRPr="009155B0">
        <w:t>, E., et al. (2005). Linking data and learning: The Grow Network study. Journal of Education for Students Placed At Risk, 10(3), 241–267.</w:t>
      </w:r>
    </w:p>
    <w:p w:rsidR="009155B0" w:rsidRPr="009155B0" w:rsidRDefault="009155B0" w:rsidP="009155B0">
      <w:pPr>
        <w:pStyle w:val="ListParagraph"/>
        <w:numPr>
          <w:ilvl w:val="0"/>
          <w:numId w:val="2"/>
        </w:numPr>
        <w:spacing w:before="60" w:after="60"/>
        <w:contextualSpacing w:val="0"/>
      </w:pPr>
      <w:proofErr w:type="spellStart"/>
      <w:r w:rsidRPr="009155B0">
        <w:t>Burchinal</w:t>
      </w:r>
      <w:proofErr w:type="spellEnd"/>
      <w:r w:rsidRPr="009155B0">
        <w:t xml:space="preserve">, M., </w:t>
      </w:r>
      <w:proofErr w:type="spellStart"/>
      <w:r w:rsidRPr="009155B0">
        <w:t>Kainz</w:t>
      </w:r>
      <w:proofErr w:type="spellEnd"/>
      <w:r w:rsidRPr="009155B0">
        <w:t xml:space="preserve">, K., &amp; </w:t>
      </w:r>
      <w:proofErr w:type="spellStart"/>
      <w:proofErr w:type="gramStart"/>
      <w:r w:rsidRPr="009155B0">
        <w:t>Cai</w:t>
      </w:r>
      <w:proofErr w:type="spellEnd"/>
      <w:proofErr w:type="gramEnd"/>
      <w:r w:rsidRPr="009155B0">
        <w:t xml:space="preserve">, Y. (2011). How well do our measures of quality predict child outcomes? A meta-analysis and coordinated analysis of data from large-scale studies of early childhood settings. In M. </w:t>
      </w:r>
      <w:proofErr w:type="spellStart"/>
      <w:r w:rsidRPr="009155B0">
        <w:t>Zaslow</w:t>
      </w:r>
      <w:proofErr w:type="spellEnd"/>
      <w:r w:rsidRPr="009155B0">
        <w:t xml:space="preserve"> (Ed.), Quality measurement in early childhood settings. Baltimore, MD: Brooks</w:t>
      </w:r>
      <w:r>
        <w:t>.</w:t>
      </w:r>
    </w:p>
    <w:p w:rsidR="009155B0" w:rsidRPr="009155B0" w:rsidRDefault="009155B0" w:rsidP="009155B0">
      <w:pPr>
        <w:pStyle w:val="ListParagraph"/>
        <w:numPr>
          <w:ilvl w:val="0"/>
          <w:numId w:val="2"/>
        </w:numPr>
        <w:spacing w:before="60" w:after="60"/>
        <w:contextualSpacing w:val="0"/>
      </w:pPr>
      <w:proofErr w:type="spellStart"/>
      <w:r w:rsidRPr="009155B0">
        <w:t>Burchinal</w:t>
      </w:r>
      <w:proofErr w:type="spellEnd"/>
      <w:r w:rsidRPr="009155B0">
        <w:t>, M., Roberts, J., Nabors, L., &amp; Bryant, D. (1996). Quality of center child care and infant cognitive and language development. Child Development, 67, 606-620.</w:t>
      </w:r>
    </w:p>
    <w:p w:rsidR="009155B0" w:rsidRPr="009155B0" w:rsidRDefault="009155B0" w:rsidP="009155B0">
      <w:pPr>
        <w:pStyle w:val="ListParagraph"/>
        <w:numPr>
          <w:ilvl w:val="0"/>
          <w:numId w:val="2"/>
        </w:numPr>
        <w:spacing w:before="60" w:after="60"/>
        <w:contextualSpacing w:val="0"/>
      </w:pPr>
      <w:proofErr w:type="spellStart"/>
      <w:r w:rsidRPr="009155B0">
        <w:t>Burchinal</w:t>
      </w:r>
      <w:proofErr w:type="spellEnd"/>
      <w:r w:rsidRPr="009155B0">
        <w:t xml:space="preserve">, M., Roberts, J., Riggins, R., </w:t>
      </w:r>
      <w:proofErr w:type="spellStart"/>
      <w:r w:rsidRPr="009155B0">
        <w:t>Ziesel</w:t>
      </w:r>
      <w:proofErr w:type="spellEnd"/>
      <w:r w:rsidRPr="009155B0">
        <w:t xml:space="preserve">, S.A., </w:t>
      </w:r>
      <w:proofErr w:type="spellStart"/>
      <w:r w:rsidRPr="009155B0">
        <w:t>Neebe</w:t>
      </w:r>
      <w:proofErr w:type="spellEnd"/>
      <w:r w:rsidRPr="009155B0">
        <w:t>, E., &amp; Bryant, D. (2000). Relating quality of cognitive and language development. Child Development, 67, 606-620. 71, 339-357.</w:t>
      </w:r>
    </w:p>
    <w:p w:rsidR="009155B0" w:rsidRPr="009155B0" w:rsidRDefault="009155B0" w:rsidP="009155B0">
      <w:pPr>
        <w:pStyle w:val="ListParagraph"/>
        <w:numPr>
          <w:ilvl w:val="0"/>
          <w:numId w:val="2"/>
        </w:numPr>
        <w:spacing w:before="60" w:after="60"/>
        <w:contextualSpacing w:val="0"/>
      </w:pPr>
      <w:proofErr w:type="spellStart"/>
      <w:r w:rsidRPr="009155B0">
        <w:t>Burchinal</w:t>
      </w:r>
      <w:proofErr w:type="spellEnd"/>
      <w:r w:rsidRPr="009155B0">
        <w:t xml:space="preserve">, </w:t>
      </w:r>
      <w:proofErr w:type="spellStart"/>
      <w:r w:rsidRPr="009155B0">
        <w:t>M.</w:t>
      </w:r>
      <w:proofErr w:type="gramStart"/>
      <w:r w:rsidRPr="009155B0">
        <w:t>,Vandergrift</w:t>
      </w:r>
      <w:proofErr w:type="spellEnd"/>
      <w:proofErr w:type="gramEnd"/>
      <w:r w:rsidRPr="009155B0">
        <w:t xml:space="preserve">, N., </w:t>
      </w:r>
      <w:proofErr w:type="spellStart"/>
      <w:r w:rsidRPr="009155B0">
        <w:t>Pianta</w:t>
      </w:r>
      <w:proofErr w:type="spellEnd"/>
      <w:r w:rsidRPr="009155B0">
        <w:t xml:space="preserve">, R.,; </w:t>
      </w:r>
      <w:proofErr w:type="spellStart"/>
      <w:r w:rsidRPr="009155B0">
        <w:t>Mashburn</w:t>
      </w:r>
      <w:proofErr w:type="spellEnd"/>
      <w:r w:rsidRPr="009155B0">
        <w:t>, A. (2010). Threshold Analysis of Association between Child Care Quality and Child Outcomes for Low-Income Children in Pre-Kindergarten Programs. Early Childhood Research Quarterly, v25 n2 p166-176.</w:t>
      </w:r>
    </w:p>
    <w:p w:rsidR="009155B0" w:rsidRPr="009155B0" w:rsidRDefault="009155B0" w:rsidP="009155B0">
      <w:pPr>
        <w:pStyle w:val="ListParagraph"/>
        <w:numPr>
          <w:ilvl w:val="0"/>
          <w:numId w:val="2"/>
        </w:numPr>
        <w:spacing w:before="60" w:after="60"/>
        <w:contextualSpacing w:val="0"/>
      </w:pPr>
      <w:r w:rsidRPr="009155B0">
        <w:t xml:space="preserve">Burton, A., </w:t>
      </w:r>
      <w:proofErr w:type="spellStart"/>
      <w:r w:rsidRPr="009155B0">
        <w:t>Whitebook</w:t>
      </w:r>
      <w:proofErr w:type="spellEnd"/>
      <w:r w:rsidRPr="009155B0">
        <w:t xml:space="preserve">, M., Young, M., </w:t>
      </w:r>
      <w:proofErr w:type="spellStart"/>
      <w:r w:rsidRPr="009155B0">
        <w:t>Bellm</w:t>
      </w:r>
      <w:proofErr w:type="spellEnd"/>
      <w:r w:rsidRPr="009155B0">
        <w:t>, D., Wayne, C., Brandon, R.M., &amp; Maher, E. (2002).  Estimating the size and components of the U.S. child care workforce and caregiving population.  Washington, DC: Center for the Child Care Workforce.</w:t>
      </w:r>
    </w:p>
    <w:p w:rsidR="009155B0" w:rsidRPr="009155B0" w:rsidRDefault="009155B0" w:rsidP="009155B0">
      <w:pPr>
        <w:pStyle w:val="ListParagraph"/>
        <w:numPr>
          <w:ilvl w:val="0"/>
          <w:numId w:val="2"/>
        </w:numPr>
        <w:spacing w:before="60" w:after="60"/>
        <w:contextualSpacing w:val="0"/>
      </w:pPr>
      <w:r>
        <w:t xml:space="preserve">Clifford, R. M., </w:t>
      </w:r>
      <w:proofErr w:type="spellStart"/>
      <w:r>
        <w:t>Reszka</w:t>
      </w:r>
      <w:proofErr w:type="spellEnd"/>
      <w:r>
        <w:t>, S.S.</w:t>
      </w:r>
      <w:r w:rsidRPr="009155B0">
        <w:t>, &amp;</w:t>
      </w:r>
      <w:r>
        <w:t xml:space="preserve"> </w:t>
      </w:r>
      <w:proofErr w:type="spellStart"/>
      <w:r w:rsidRPr="009155B0">
        <w:t>Rossbach</w:t>
      </w:r>
      <w:proofErr w:type="spellEnd"/>
      <w:r w:rsidRPr="009155B0">
        <w:t>, H.G. (2010).  Reliability and Validity of the Early Childhood Environment Rating Scale.  https://www.ers</w:t>
      </w:r>
      <w:r>
        <w:t>i.info/PDF/ReliabilityEcers.pdf.</w:t>
      </w:r>
    </w:p>
    <w:p w:rsidR="009155B0" w:rsidRPr="009155B0" w:rsidRDefault="009155B0" w:rsidP="009155B0">
      <w:pPr>
        <w:pStyle w:val="ListParagraph"/>
        <w:numPr>
          <w:ilvl w:val="0"/>
          <w:numId w:val="2"/>
        </w:numPr>
        <w:spacing w:before="60" w:after="60"/>
        <w:contextualSpacing w:val="0"/>
      </w:pPr>
      <w:r w:rsidRPr="009155B0">
        <w:t xml:space="preserve">Clifford, R.M., </w:t>
      </w:r>
      <w:proofErr w:type="spellStart"/>
      <w:r w:rsidRPr="009155B0">
        <w:t>Rossbach</w:t>
      </w:r>
      <w:proofErr w:type="spellEnd"/>
      <w:r w:rsidRPr="009155B0">
        <w:t>, H.G. (2004). Structure and Stability of the Early Childhood Environment Rat</w:t>
      </w:r>
      <w:r>
        <w:t xml:space="preserve">ing Scale. In H. </w:t>
      </w:r>
      <w:proofErr w:type="spellStart"/>
      <w:r>
        <w:t>Schoenfeld</w:t>
      </w:r>
      <w:proofErr w:type="spellEnd"/>
      <w:r>
        <w:t>, S.</w:t>
      </w:r>
      <w:r w:rsidRPr="009155B0">
        <w:t>, O’Brien, &amp; T. Walsh (Eds.). Questions of Quality (pp12-21). Drumcondra, Dublin, Ireland: The Center for Early Childhood Development and Education, The Gate Lodge, St.</w:t>
      </w:r>
    </w:p>
    <w:p w:rsidR="009155B0" w:rsidRPr="009155B0" w:rsidRDefault="009155B0" w:rsidP="009155B0">
      <w:pPr>
        <w:pStyle w:val="ListParagraph"/>
        <w:numPr>
          <w:ilvl w:val="0"/>
          <w:numId w:val="2"/>
        </w:numPr>
        <w:spacing w:before="60" w:after="60"/>
        <w:contextualSpacing w:val="0"/>
      </w:pPr>
      <w:r w:rsidRPr="009155B0">
        <w:t xml:space="preserve">Ferraro, J. M. (2000). Reflective Practice and Professional Development. ERIC Clearinghouse on Teaching and Teacher Education (ED449120): Washington DC. </w:t>
      </w:r>
    </w:p>
    <w:p w:rsidR="009155B0" w:rsidRPr="009155B0" w:rsidRDefault="009155B0" w:rsidP="009155B0">
      <w:pPr>
        <w:pStyle w:val="ListParagraph"/>
        <w:numPr>
          <w:ilvl w:val="0"/>
          <w:numId w:val="2"/>
        </w:numPr>
        <w:spacing w:before="60" w:after="60"/>
        <w:contextualSpacing w:val="0"/>
      </w:pPr>
      <w:r w:rsidRPr="009155B0">
        <w:t xml:space="preserve">Forman, M. L. (2007). Developing an action plan: Two Rivers Public Charter School focuses on instruction. In K. P. </w:t>
      </w:r>
      <w:proofErr w:type="spellStart"/>
      <w:r w:rsidRPr="009155B0">
        <w:t>Boudett</w:t>
      </w:r>
      <w:proofErr w:type="spellEnd"/>
      <w:r w:rsidRPr="009155B0">
        <w:t xml:space="preserve"> &amp; J. L. Steele (Eds.), Data wise in action: Stories of schools using data to improve teaching and learning (pp. 107–124). Cambridge, MA: Harvard Education Press.</w:t>
      </w:r>
    </w:p>
    <w:p w:rsidR="009155B0" w:rsidRPr="009155B0" w:rsidRDefault="009155B0" w:rsidP="009155B0">
      <w:pPr>
        <w:pStyle w:val="ListParagraph"/>
        <w:numPr>
          <w:ilvl w:val="0"/>
          <w:numId w:val="2"/>
        </w:numPr>
        <w:spacing w:before="60" w:after="60"/>
        <w:contextualSpacing w:val="0"/>
      </w:pPr>
      <w:r w:rsidRPr="009155B0">
        <w:t xml:space="preserve">Hamilton, L., Halverson, R., Jackson, S., </w:t>
      </w:r>
      <w:proofErr w:type="spellStart"/>
      <w:r w:rsidRPr="009155B0">
        <w:t>Mandinach</w:t>
      </w:r>
      <w:proofErr w:type="spellEnd"/>
      <w:r w:rsidRPr="009155B0">
        <w:t xml:space="preserve">, E., </w:t>
      </w:r>
      <w:proofErr w:type="spellStart"/>
      <w:r w:rsidRPr="009155B0">
        <w:t>Supovitz</w:t>
      </w:r>
      <w:proofErr w:type="spellEnd"/>
      <w:r w:rsidRPr="009155B0">
        <w:t xml:space="preserve">, J., &amp; </w:t>
      </w:r>
      <w:proofErr w:type="spellStart"/>
      <w:r w:rsidRPr="009155B0">
        <w:t>Wayman</w:t>
      </w:r>
      <w:proofErr w:type="spellEnd"/>
      <w:r w:rsidRPr="009155B0">
        <w:t>, J. (2009). Using student achievement data to support instructional decision making (NCEE 2009-4067). Washington, DC: National Center for Education Evaluation and Regional Assistance, Institute of Education Sciences, U.S. Department of Education. http://ies.ed.gov/ncee/wwc/publications/practiceguides/.</w:t>
      </w:r>
    </w:p>
    <w:p w:rsidR="009155B0" w:rsidRPr="009155B0" w:rsidRDefault="009155B0" w:rsidP="009155B0">
      <w:pPr>
        <w:pStyle w:val="ListParagraph"/>
        <w:numPr>
          <w:ilvl w:val="0"/>
          <w:numId w:val="2"/>
        </w:numPr>
        <w:spacing w:before="60" w:after="60"/>
        <w:contextualSpacing w:val="0"/>
      </w:pPr>
      <w:r w:rsidRPr="009155B0">
        <w:t xml:space="preserve">Halverson, R., </w:t>
      </w:r>
      <w:proofErr w:type="spellStart"/>
      <w:r w:rsidRPr="009155B0">
        <w:t>Prichett</w:t>
      </w:r>
      <w:proofErr w:type="spellEnd"/>
      <w:r w:rsidRPr="009155B0">
        <w:t>, R. B., &amp; Watson, J. G. (2007). Formative feedback systems and the new instructional leadership. Madison, WI: University of Wisconsin.</w:t>
      </w:r>
    </w:p>
    <w:p w:rsidR="009155B0" w:rsidRPr="009155B0" w:rsidRDefault="009155B0" w:rsidP="009155B0">
      <w:pPr>
        <w:pStyle w:val="ListParagraph"/>
        <w:numPr>
          <w:ilvl w:val="0"/>
          <w:numId w:val="2"/>
        </w:numPr>
        <w:spacing w:before="60" w:after="60"/>
        <w:contextualSpacing w:val="0"/>
      </w:pPr>
      <w:proofErr w:type="spellStart"/>
      <w:r w:rsidRPr="009155B0">
        <w:lastRenderedPageBreak/>
        <w:t>Hellburn</w:t>
      </w:r>
      <w:proofErr w:type="spellEnd"/>
      <w:r w:rsidRPr="009155B0">
        <w:t xml:space="preserve">, S. (Ed). (1995). Cost, Quality and Child Outcome in Child Care Centers: Technical Assistance Report. Denver: University of Colorado, Department of Economics, Center for Research in Economic Social Policy. </w:t>
      </w:r>
    </w:p>
    <w:p w:rsidR="009155B0" w:rsidRPr="009155B0" w:rsidRDefault="009155B0" w:rsidP="009155B0">
      <w:pPr>
        <w:pStyle w:val="ListParagraph"/>
        <w:numPr>
          <w:ilvl w:val="0"/>
          <w:numId w:val="2"/>
        </w:numPr>
        <w:spacing w:before="60" w:after="60"/>
        <w:contextualSpacing w:val="0"/>
      </w:pPr>
      <w:proofErr w:type="spellStart"/>
      <w:r w:rsidRPr="009155B0">
        <w:t>Helburn</w:t>
      </w:r>
      <w:proofErr w:type="spellEnd"/>
      <w:r w:rsidRPr="009155B0">
        <w:t>, S.W., Morris, J.R., &amp; Modigliani, K. (2002). Family child care finances and their effect on quality and incentives. Early Childhood Research Quarterly, 17(4), 512-538.</w:t>
      </w:r>
    </w:p>
    <w:p w:rsidR="009155B0" w:rsidRPr="009155B0" w:rsidRDefault="009155B0" w:rsidP="009155B0">
      <w:pPr>
        <w:pStyle w:val="ListParagraph"/>
        <w:numPr>
          <w:ilvl w:val="0"/>
          <w:numId w:val="2"/>
        </w:numPr>
        <w:spacing w:before="60" w:after="60"/>
        <w:contextualSpacing w:val="0"/>
      </w:pPr>
      <w:r w:rsidRPr="009155B0">
        <w:t xml:space="preserve">Kerr, K. A., Marsh, J. A., </w:t>
      </w:r>
      <w:proofErr w:type="spellStart"/>
      <w:r w:rsidRPr="009155B0">
        <w:t>Ikemoto</w:t>
      </w:r>
      <w:proofErr w:type="spellEnd"/>
      <w:r w:rsidRPr="009155B0">
        <w:t xml:space="preserve">, G. S., </w:t>
      </w:r>
      <w:proofErr w:type="spellStart"/>
      <w:r w:rsidRPr="009155B0">
        <w:t>Darilek</w:t>
      </w:r>
      <w:proofErr w:type="spellEnd"/>
      <w:r w:rsidRPr="009155B0">
        <w:t>, H., &amp; Barney, H. (2006). Strategies to promote data use for instructional improvement: Actions, outcomes, and lessons from three urban districts. American Journal of Education, 112(4), 496–520.</w:t>
      </w:r>
    </w:p>
    <w:p w:rsidR="009155B0" w:rsidRPr="009155B0" w:rsidRDefault="009155B0" w:rsidP="009155B0">
      <w:pPr>
        <w:pStyle w:val="ListParagraph"/>
        <w:numPr>
          <w:ilvl w:val="0"/>
          <w:numId w:val="2"/>
        </w:numPr>
        <w:spacing w:before="60" w:after="60"/>
        <w:contextualSpacing w:val="0"/>
      </w:pPr>
      <w:proofErr w:type="spellStart"/>
      <w:r w:rsidRPr="009155B0">
        <w:t>Kontos</w:t>
      </w:r>
      <w:proofErr w:type="spellEnd"/>
      <w:r w:rsidRPr="009155B0">
        <w:t xml:space="preserve">, S., Howes, C., Shinn, M., &amp; </w:t>
      </w:r>
      <w:proofErr w:type="spellStart"/>
      <w:r w:rsidRPr="009155B0">
        <w:t>Galinsky</w:t>
      </w:r>
      <w:proofErr w:type="spellEnd"/>
      <w:r w:rsidRPr="009155B0">
        <w:t>, E. (1995). Quality in family child care and relative care. New York: Teachers College Press.</w:t>
      </w:r>
    </w:p>
    <w:p w:rsidR="009155B0" w:rsidRPr="009155B0" w:rsidRDefault="009155B0" w:rsidP="009155B0">
      <w:pPr>
        <w:pStyle w:val="ListParagraph"/>
        <w:numPr>
          <w:ilvl w:val="0"/>
          <w:numId w:val="2"/>
        </w:numPr>
        <w:spacing w:before="60" w:after="60"/>
        <w:contextualSpacing w:val="0"/>
      </w:pPr>
      <w:r w:rsidRPr="009155B0">
        <w:t xml:space="preserve">Lamb, M. (1998). </w:t>
      </w:r>
      <w:proofErr w:type="spellStart"/>
      <w:r w:rsidRPr="009155B0">
        <w:t>Nonparental</w:t>
      </w:r>
      <w:proofErr w:type="spellEnd"/>
      <w:r w:rsidRPr="009155B0">
        <w:t xml:space="preserve"> child care: Context, quality, correlates, and consequences. In W. Damon (Series Ed.), I. E. Sigel &amp; K. A. </w:t>
      </w:r>
      <w:proofErr w:type="spellStart"/>
      <w:r w:rsidRPr="009155B0">
        <w:t>Renninger</w:t>
      </w:r>
      <w:proofErr w:type="spellEnd"/>
      <w:r w:rsidRPr="009155B0">
        <w:t xml:space="preserve"> (Vol. Eds.), Handbook of child psychology, Vol. 4. Child psychology in practice (5th ed., pp. 73-133). New York: Wiley.  </w:t>
      </w:r>
    </w:p>
    <w:p w:rsidR="009155B0" w:rsidRPr="009155B0" w:rsidRDefault="009155B0" w:rsidP="009155B0">
      <w:pPr>
        <w:pStyle w:val="ListParagraph"/>
        <w:numPr>
          <w:ilvl w:val="0"/>
          <w:numId w:val="2"/>
        </w:numPr>
        <w:spacing w:before="60" w:after="60"/>
        <w:contextualSpacing w:val="0"/>
      </w:pPr>
      <w:r w:rsidRPr="009155B0">
        <w:t>Marsh, J. A., Pane, J. F., &amp; Hamilton, L. S. (2006). Making sense of data-driven decision making in education: Evidence from recent RAND research (OP-170). Santa Monica, CA: RAND Corporation.</w:t>
      </w:r>
    </w:p>
    <w:p w:rsidR="009155B0" w:rsidRPr="009155B0" w:rsidRDefault="009155B0" w:rsidP="009155B0">
      <w:pPr>
        <w:pStyle w:val="ListParagraph"/>
        <w:numPr>
          <w:ilvl w:val="0"/>
          <w:numId w:val="2"/>
        </w:numPr>
        <w:spacing w:before="60" w:after="60"/>
        <w:contextualSpacing w:val="0"/>
      </w:pPr>
      <w:proofErr w:type="spellStart"/>
      <w:r w:rsidRPr="009155B0">
        <w:t>Meisels</w:t>
      </w:r>
      <w:proofErr w:type="spellEnd"/>
      <w:r w:rsidRPr="009155B0">
        <w:t>, S.]. (1988). Developmental screening in early childhood: The interaction of research and social policy. Annual Review of Public Health, 9, 527-550.</w:t>
      </w:r>
    </w:p>
    <w:p w:rsidR="009155B0" w:rsidRPr="009155B0" w:rsidRDefault="009155B0" w:rsidP="009155B0">
      <w:pPr>
        <w:pStyle w:val="ListParagraph"/>
        <w:numPr>
          <w:ilvl w:val="0"/>
          <w:numId w:val="2"/>
        </w:numPr>
        <w:spacing w:before="60" w:after="60"/>
        <w:contextualSpacing w:val="0"/>
      </w:pPr>
      <w:r w:rsidRPr="009155B0">
        <w:t>National Association for the Education of Young Children &amp; National Association of Early Childhood Specialists in State Departments of Education (2003).Early Childhood Curriculum, Assessment and Program Evaluation. https://www.naeyc.org/files/naeyc/file/positions/pscape.pdf</w:t>
      </w:r>
      <w:r>
        <w:t>.</w:t>
      </w:r>
    </w:p>
    <w:p w:rsidR="009155B0" w:rsidRPr="009155B0" w:rsidRDefault="009155B0" w:rsidP="009155B0">
      <w:pPr>
        <w:pStyle w:val="ListParagraph"/>
        <w:numPr>
          <w:ilvl w:val="0"/>
          <w:numId w:val="2"/>
        </w:numPr>
        <w:spacing w:before="60" w:after="60"/>
        <w:contextualSpacing w:val="0"/>
      </w:pPr>
      <w:r w:rsidRPr="009155B0">
        <w:t>National Association of Family Child Care. (2017) NAFCC Accreditation Updates. National Association for Family Child Care Foundation: Salt Lake City, Utah. https://www.nafcc.org/file/ca2ea51b-24b8-4224-9766-0127c8e3df30</w:t>
      </w:r>
      <w:r>
        <w:t>.</w:t>
      </w:r>
    </w:p>
    <w:p w:rsidR="009155B0" w:rsidRPr="009155B0" w:rsidRDefault="009155B0" w:rsidP="009155B0">
      <w:pPr>
        <w:pStyle w:val="ListParagraph"/>
        <w:numPr>
          <w:ilvl w:val="0"/>
          <w:numId w:val="2"/>
        </w:numPr>
        <w:spacing w:before="60" w:after="60"/>
        <w:contextualSpacing w:val="0"/>
      </w:pPr>
      <w:r w:rsidRPr="009155B0">
        <w:t>National Association of Family Child Care (2013). Quality Standards for NAFCC Accreditation Fourth Edition with 2013 Updates: National Association for Family Child Care Foundation: Salt Lake City, Utah. https://www.nafcc.org/file/35a7fee9-1ccf-4557-89d4-973daf84a052</w:t>
      </w:r>
      <w:r>
        <w:t>.</w:t>
      </w:r>
    </w:p>
    <w:p w:rsidR="009155B0" w:rsidRPr="009155B0" w:rsidRDefault="009155B0" w:rsidP="009155B0">
      <w:pPr>
        <w:pStyle w:val="ListParagraph"/>
        <w:numPr>
          <w:ilvl w:val="0"/>
          <w:numId w:val="2"/>
        </w:numPr>
        <w:spacing w:before="60" w:after="60"/>
        <w:contextualSpacing w:val="0"/>
      </w:pPr>
      <w:r w:rsidRPr="009155B0">
        <w:t>National Research Council of</w:t>
      </w:r>
      <w:r>
        <w:t xml:space="preserve"> the National Academies (2008) </w:t>
      </w:r>
      <w:r w:rsidRPr="009155B0">
        <w:t>Early Childhood Assessment: Why, What, and How</w:t>
      </w:r>
      <w:r w:rsidR="000643D2" w:rsidRPr="009155B0">
        <w:t>?</w:t>
      </w:r>
      <w:r w:rsidRPr="009155B0">
        <w:t xml:space="preserve"> C.E., Snow &amp; S.B. Van </w:t>
      </w:r>
      <w:proofErr w:type="spellStart"/>
      <w:r w:rsidRPr="009155B0">
        <w:t>Hemel</w:t>
      </w:r>
      <w:proofErr w:type="spellEnd"/>
      <w:r w:rsidRPr="009155B0">
        <w:t xml:space="preserve"> (</w:t>
      </w:r>
      <w:proofErr w:type="spellStart"/>
      <w:r w:rsidRPr="009155B0">
        <w:t>Eds</w:t>
      </w:r>
      <w:proofErr w:type="spellEnd"/>
      <w:r w:rsidRPr="009155B0">
        <w:t>). National Academy Press: Washington DC. http://www.nap.edu/catalog/12446.html Early Childhood Assessment: Why, What, and How?</w:t>
      </w:r>
    </w:p>
    <w:p w:rsidR="009155B0" w:rsidRPr="009155B0" w:rsidRDefault="009155B0" w:rsidP="009155B0">
      <w:pPr>
        <w:pStyle w:val="ListParagraph"/>
        <w:numPr>
          <w:ilvl w:val="0"/>
          <w:numId w:val="2"/>
        </w:numPr>
        <w:spacing w:before="60" w:after="60"/>
        <w:contextualSpacing w:val="0"/>
      </w:pPr>
      <w:r w:rsidRPr="009155B0">
        <w:t>Olson, M. &amp; Hyson, M. (2005). NAEYC Explores Parental Perspectives on Early Childhood Education. Young Children. https://www.naeyc.org/files/naeyc/file/ecprofessional/STSF_parentsandchildren.pdf</w:t>
      </w:r>
      <w:r>
        <w:t>.</w:t>
      </w:r>
    </w:p>
    <w:p w:rsidR="009155B0" w:rsidRPr="009155B0" w:rsidRDefault="009155B0" w:rsidP="009155B0">
      <w:pPr>
        <w:pStyle w:val="ListParagraph"/>
        <w:numPr>
          <w:ilvl w:val="0"/>
          <w:numId w:val="2"/>
        </w:numPr>
        <w:spacing w:before="60" w:after="60"/>
        <w:contextualSpacing w:val="0"/>
      </w:pPr>
      <w:proofErr w:type="spellStart"/>
      <w:r w:rsidRPr="009155B0">
        <w:t>Peisner</w:t>
      </w:r>
      <w:proofErr w:type="spellEnd"/>
      <w:r w:rsidRPr="009155B0">
        <w:t xml:space="preserve">-Feinberg, E.S., </w:t>
      </w:r>
      <w:proofErr w:type="spellStart"/>
      <w:r w:rsidRPr="009155B0">
        <w:t>Burchinal</w:t>
      </w:r>
      <w:proofErr w:type="spellEnd"/>
      <w:r w:rsidRPr="009155B0">
        <w:t xml:space="preserve">, M.R., Clifford, R.M., </w:t>
      </w:r>
      <w:proofErr w:type="spellStart"/>
      <w:r w:rsidRPr="009155B0">
        <w:t>Culkin</w:t>
      </w:r>
      <w:proofErr w:type="spellEnd"/>
      <w:r w:rsidRPr="009155B0">
        <w:t xml:space="preserve">, M.L., Howes, C., Kagan, S.L., &amp; </w:t>
      </w:r>
      <w:proofErr w:type="spellStart"/>
      <w:r w:rsidRPr="009155B0">
        <w:t>Yazejian</w:t>
      </w:r>
      <w:proofErr w:type="spellEnd"/>
      <w:r w:rsidRPr="009155B0">
        <w:t xml:space="preserve">, N., (2001). The relation of preschool child-care quality to children’s cognitive and social developmental trajectories through second grade. Child Development, 72, 1534-1553. </w:t>
      </w:r>
    </w:p>
    <w:p w:rsidR="009155B0" w:rsidRPr="009155B0" w:rsidRDefault="009155B0" w:rsidP="009155B0">
      <w:pPr>
        <w:pStyle w:val="ListParagraph"/>
        <w:numPr>
          <w:ilvl w:val="0"/>
          <w:numId w:val="2"/>
        </w:numPr>
        <w:spacing w:before="60" w:after="60"/>
        <w:contextualSpacing w:val="0"/>
      </w:pPr>
      <w:proofErr w:type="spellStart"/>
      <w:r w:rsidRPr="009155B0">
        <w:t>Scriven</w:t>
      </w:r>
      <w:proofErr w:type="spellEnd"/>
      <w:r w:rsidRPr="009155B0">
        <w:t>, M. (1967), “The Methodology of Evaluation”, AERA Monograph Series on Evaluation, 1, pp. 39-83.</w:t>
      </w:r>
    </w:p>
    <w:p w:rsidR="009155B0" w:rsidRPr="009155B0" w:rsidRDefault="009155B0" w:rsidP="009155B0">
      <w:pPr>
        <w:pStyle w:val="ListParagraph"/>
        <w:numPr>
          <w:ilvl w:val="0"/>
          <w:numId w:val="2"/>
        </w:numPr>
        <w:spacing w:before="60" w:after="60"/>
        <w:contextualSpacing w:val="0"/>
      </w:pPr>
      <w:r w:rsidRPr="009155B0">
        <w:t>Sheridan, S. (2009), “Discerning pedagogical quality in preschool”, Scandinavian Journal of Educational Research, Vol. 53, No. 3, pp. 245-261.</w:t>
      </w:r>
    </w:p>
    <w:p w:rsidR="009155B0" w:rsidRPr="009155B0" w:rsidRDefault="009155B0" w:rsidP="009155B0">
      <w:pPr>
        <w:pStyle w:val="ListParagraph"/>
        <w:numPr>
          <w:ilvl w:val="0"/>
          <w:numId w:val="2"/>
        </w:numPr>
        <w:spacing w:before="60" w:after="60"/>
        <w:contextualSpacing w:val="0"/>
      </w:pPr>
      <w:proofErr w:type="spellStart"/>
      <w:r w:rsidRPr="009155B0">
        <w:t>Supovitz</w:t>
      </w:r>
      <w:proofErr w:type="spellEnd"/>
      <w:r w:rsidRPr="009155B0">
        <w:t>, J. A., &amp; Klein, V. (2003). Mapping a course for improved student learning: How innovative scho</w:t>
      </w:r>
      <w:r>
        <w:t>ols systematically References (70</w:t>
      </w:r>
      <w:r w:rsidRPr="009155B0">
        <w:t>) use student performance data to guide improvement. Philadelphia, PA: University of Pennsylvania, Consortium for Policy Research in Education.</w:t>
      </w:r>
    </w:p>
    <w:p w:rsidR="009155B0" w:rsidRPr="009155B0" w:rsidRDefault="009155B0" w:rsidP="009155B0">
      <w:pPr>
        <w:pStyle w:val="ListParagraph"/>
        <w:numPr>
          <w:ilvl w:val="0"/>
          <w:numId w:val="2"/>
        </w:numPr>
        <w:spacing w:before="60" w:after="60"/>
        <w:contextualSpacing w:val="0"/>
      </w:pPr>
      <w:r w:rsidRPr="009155B0">
        <w:t>Talan, T.N., &amp; Bloom, P.J. (2004). Program Administration Scale. New York: Teachers College Press.</w:t>
      </w:r>
    </w:p>
    <w:p w:rsidR="009155B0" w:rsidRPr="009155B0" w:rsidRDefault="009155B0" w:rsidP="009155B0">
      <w:pPr>
        <w:pStyle w:val="ListParagraph"/>
        <w:numPr>
          <w:ilvl w:val="0"/>
          <w:numId w:val="2"/>
        </w:numPr>
        <w:spacing w:before="60" w:after="60"/>
        <w:contextualSpacing w:val="0"/>
      </w:pPr>
      <w:proofErr w:type="spellStart"/>
      <w:r w:rsidRPr="009155B0">
        <w:t>Vandell</w:t>
      </w:r>
      <w:proofErr w:type="spellEnd"/>
      <w:r w:rsidRPr="009155B0">
        <w:t>, D. L. (2004). Early child care: The known and the unknown. Merrill-Palmer Quarterly, 50(3), 387-414.</w:t>
      </w:r>
    </w:p>
    <w:p w:rsidR="002C08AE" w:rsidRPr="007073C7" w:rsidRDefault="009155B0" w:rsidP="009155B0">
      <w:pPr>
        <w:pStyle w:val="ListParagraph"/>
        <w:numPr>
          <w:ilvl w:val="0"/>
          <w:numId w:val="2"/>
        </w:numPr>
        <w:spacing w:before="60" w:after="60"/>
        <w:contextualSpacing w:val="0"/>
      </w:pPr>
      <w:proofErr w:type="spellStart"/>
      <w:r w:rsidRPr="009155B0">
        <w:t>Wayman</w:t>
      </w:r>
      <w:proofErr w:type="spellEnd"/>
      <w:r w:rsidRPr="009155B0">
        <w:t xml:space="preserve">, J. C., &amp; </w:t>
      </w:r>
      <w:proofErr w:type="spellStart"/>
      <w:r w:rsidRPr="009155B0">
        <w:t>Stringfield</w:t>
      </w:r>
      <w:proofErr w:type="spellEnd"/>
      <w:r w:rsidRPr="009155B0">
        <w:t>, S. (2006). Technology-supported involvement of entire faculties in examination of student data for instructional improvement. American Journal of Education, 112(4), 549–571.</w:t>
      </w:r>
    </w:p>
    <w:sectPr w:rsidR="002C08AE" w:rsidRPr="007073C7" w:rsidSect="0075423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D5" w:rsidRDefault="00E379D5" w:rsidP="00E379D5">
      <w:r>
        <w:separator/>
      </w:r>
    </w:p>
  </w:endnote>
  <w:endnote w:type="continuationSeparator" w:id="0">
    <w:p w:rsidR="00E379D5" w:rsidRDefault="00E379D5" w:rsidP="00E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50213"/>
      <w:docPartObj>
        <w:docPartGallery w:val="Page Numbers (Bottom of Page)"/>
        <w:docPartUnique/>
      </w:docPartObj>
    </w:sdtPr>
    <w:sdtEndPr>
      <w:rPr>
        <w:noProof/>
      </w:rPr>
    </w:sdtEndPr>
    <w:sdtContent>
      <w:p w:rsidR="00E379D5" w:rsidRDefault="00E379D5">
        <w:pPr>
          <w:pStyle w:val="Footer"/>
          <w:jc w:val="right"/>
        </w:pPr>
        <w:r>
          <w:fldChar w:fldCharType="begin"/>
        </w:r>
        <w:r>
          <w:instrText xml:space="preserve"> PAGE   \* MERGEFORMAT </w:instrText>
        </w:r>
        <w:r>
          <w:fldChar w:fldCharType="separate"/>
        </w:r>
        <w:r w:rsidR="005111E2">
          <w:rPr>
            <w:noProof/>
          </w:rPr>
          <w:t>14</w:t>
        </w:r>
        <w:r>
          <w:rPr>
            <w:noProof/>
          </w:rPr>
          <w:fldChar w:fldCharType="end"/>
        </w:r>
      </w:p>
    </w:sdtContent>
  </w:sdt>
  <w:p w:rsidR="00E379D5" w:rsidRDefault="00327697">
    <w:pPr>
      <w:pStyle w:val="Footer"/>
    </w:pPr>
    <w:r w:rsidRPr="00BA3B10">
      <w:rPr>
        <w:noProof/>
      </w:rPr>
      <w:drawing>
        <wp:inline distT="0" distB="0" distL="0" distR="0" wp14:anchorId="553D51F2" wp14:editId="2C7DA3B5">
          <wp:extent cx="1608701" cy="351516"/>
          <wp:effectExtent l="0" t="0" r="0" b="0"/>
          <wp:docPr id="3" name="Picture 1" descr="Massachusetts Department of Early Education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final_outlines"/>
                  <pic:cNvPicPr>
                    <a:picLocks noChangeAspect="1" noChangeArrowheads="1"/>
                  </pic:cNvPicPr>
                </pic:nvPicPr>
                <pic:blipFill>
                  <a:blip r:embed="rId1"/>
                  <a:srcRect/>
                  <a:stretch>
                    <a:fillRect/>
                  </a:stretch>
                </pic:blipFill>
                <pic:spPr bwMode="auto">
                  <a:xfrm>
                    <a:off x="0" y="0"/>
                    <a:ext cx="1700677" cy="37161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D5" w:rsidRDefault="00E379D5" w:rsidP="00E379D5">
      <w:r>
        <w:separator/>
      </w:r>
    </w:p>
  </w:footnote>
  <w:footnote w:type="continuationSeparator" w:id="0">
    <w:p w:rsidR="00E379D5" w:rsidRDefault="00E379D5" w:rsidP="00E3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F4FF8"/>
    <w:multiLevelType w:val="hybridMultilevel"/>
    <w:tmpl w:val="505E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D4C72"/>
    <w:multiLevelType w:val="hybridMultilevel"/>
    <w:tmpl w:val="FC54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4E"/>
    <w:rsid w:val="000643D2"/>
    <w:rsid w:val="000C3F7E"/>
    <w:rsid w:val="00175ED7"/>
    <w:rsid w:val="001A7FE3"/>
    <w:rsid w:val="001E2E51"/>
    <w:rsid w:val="00244A6D"/>
    <w:rsid w:val="00294D85"/>
    <w:rsid w:val="002C0730"/>
    <w:rsid w:val="002C08AE"/>
    <w:rsid w:val="002E151A"/>
    <w:rsid w:val="00327697"/>
    <w:rsid w:val="00372DD2"/>
    <w:rsid w:val="003A07B3"/>
    <w:rsid w:val="003B48B7"/>
    <w:rsid w:val="003F232A"/>
    <w:rsid w:val="004378E1"/>
    <w:rsid w:val="004B6C67"/>
    <w:rsid w:val="004D55D0"/>
    <w:rsid w:val="004E6CAF"/>
    <w:rsid w:val="00504E82"/>
    <w:rsid w:val="005111E2"/>
    <w:rsid w:val="00542EFD"/>
    <w:rsid w:val="005925C6"/>
    <w:rsid w:val="005B1C6A"/>
    <w:rsid w:val="005E7327"/>
    <w:rsid w:val="005F1CE0"/>
    <w:rsid w:val="00600F20"/>
    <w:rsid w:val="006114CB"/>
    <w:rsid w:val="006517D5"/>
    <w:rsid w:val="006C6D10"/>
    <w:rsid w:val="007073C7"/>
    <w:rsid w:val="00754230"/>
    <w:rsid w:val="00796B5A"/>
    <w:rsid w:val="007D3A90"/>
    <w:rsid w:val="007E35F8"/>
    <w:rsid w:val="007F31AA"/>
    <w:rsid w:val="00824EAB"/>
    <w:rsid w:val="00874F03"/>
    <w:rsid w:val="009155B0"/>
    <w:rsid w:val="00917597"/>
    <w:rsid w:val="00924DEC"/>
    <w:rsid w:val="00A45BD3"/>
    <w:rsid w:val="00A65B30"/>
    <w:rsid w:val="00B266F6"/>
    <w:rsid w:val="00B505DC"/>
    <w:rsid w:val="00B52278"/>
    <w:rsid w:val="00B80952"/>
    <w:rsid w:val="00B97A21"/>
    <w:rsid w:val="00C54A7F"/>
    <w:rsid w:val="00CB2F31"/>
    <w:rsid w:val="00D02B4E"/>
    <w:rsid w:val="00D17FF8"/>
    <w:rsid w:val="00D84DDB"/>
    <w:rsid w:val="00E379D5"/>
    <w:rsid w:val="00E7272E"/>
    <w:rsid w:val="00E77216"/>
    <w:rsid w:val="00ED3C72"/>
    <w:rsid w:val="00F36E87"/>
    <w:rsid w:val="00F4646B"/>
    <w:rsid w:val="00FC4AB0"/>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69358F6-9DAE-4E53-A84B-98F69E9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5B0"/>
    <w:pPr>
      <w:spacing w:after="0" w:line="240" w:lineRule="auto"/>
    </w:pPr>
    <w:rPr>
      <w:rFonts w:eastAsiaTheme="minorEastAsia"/>
    </w:rPr>
  </w:style>
  <w:style w:type="paragraph" w:styleId="Heading1">
    <w:name w:val="heading 1"/>
    <w:basedOn w:val="Normal"/>
    <w:next w:val="Normal"/>
    <w:link w:val="Heading1Char"/>
    <w:uiPriority w:val="9"/>
    <w:qFormat/>
    <w:rsid w:val="00175ED7"/>
    <w:pPr>
      <w:keepNext/>
      <w:keepLines/>
      <w:spacing w:before="60" w:after="60"/>
      <w:jc w:val="center"/>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E77216"/>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E77216"/>
    <w:pPr>
      <w:keepNext/>
      <w:keepLines/>
      <w:spacing w:before="40"/>
      <w:jc w:val="center"/>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5F1CE0"/>
    <w:pPr>
      <w:keepNext/>
      <w:keepLines/>
      <w:jc w:val="center"/>
      <w:outlineLvl w:val="3"/>
    </w:pPr>
    <w:rPr>
      <w:rFonts w:ascii="Calibri" w:eastAsiaTheme="majorEastAsia" w:hAnsi="Calibri" w:cstheme="majorBidi"/>
      <w:b/>
      <w:iCs/>
    </w:rPr>
  </w:style>
  <w:style w:type="paragraph" w:styleId="Heading5">
    <w:name w:val="heading 5"/>
    <w:basedOn w:val="Normal"/>
    <w:next w:val="Normal"/>
    <w:link w:val="Heading5Char"/>
    <w:uiPriority w:val="9"/>
    <w:unhideWhenUsed/>
    <w:qFormat/>
    <w:rsid w:val="005F1CE0"/>
    <w:pPr>
      <w:keepNext/>
      <w:keepLines/>
      <w:spacing w:before="40"/>
      <w:jc w:val="center"/>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D17FF8"/>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D02B4E"/>
    <w:pPr>
      <w:jc w:val="center"/>
    </w:pPr>
    <w:rPr>
      <w:rFonts w:eastAsiaTheme="majorEastAsia" w:cstheme="majorBidi"/>
      <w:b/>
      <w:caps/>
      <w:color w:val="404040" w:themeColor="text1" w:themeTint="BF"/>
      <w:spacing w:val="-10"/>
      <w:sz w:val="36"/>
      <w:szCs w:val="72"/>
    </w:rPr>
  </w:style>
  <w:style w:type="character" w:customStyle="1" w:styleId="TitleChar">
    <w:name w:val="Title Char"/>
    <w:basedOn w:val="DefaultParagraphFont"/>
    <w:link w:val="Title"/>
    <w:uiPriority w:val="10"/>
    <w:rsid w:val="00D02B4E"/>
    <w:rPr>
      <w:rFonts w:eastAsiaTheme="majorEastAsia" w:cstheme="majorBidi"/>
      <w:b/>
      <w:caps/>
      <w:color w:val="404040" w:themeColor="text1" w:themeTint="BF"/>
      <w:spacing w:val="-10"/>
      <w:sz w:val="36"/>
      <w:szCs w:val="72"/>
    </w:rPr>
  </w:style>
  <w:style w:type="paragraph" w:styleId="Header">
    <w:name w:val="header"/>
    <w:basedOn w:val="Normal"/>
    <w:link w:val="HeaderChar"/>
    <w:uiPriority w:val="99"/>
    <w:unhideWhenUsed/>
    <w:rsid w:val="00E379D5"/>
    <w:pPr>
      <w:tabs>
        <w:tab w:val="center" w:pos="4680"/>
        <w:tab w:val="right" w:pos="9360"/>
      </w:tabs>
    </w:pPr>
  </w:style>
  <w:style w:type="character" w:customStyle="1" w:styleId="HeaderChar">
    <w:name w:val="Header Char"/>
    <w:basedOn w:val="DefaultParagraphFont"/>
    <w:link w:val="Header"/>
    <w:uiPriority w:val="99"/>
    <w:rsid w:val="00E379D5"/>
    <w:rPr>
      <w:rFonts w:eastAsiaTheme="minorEastAsia"/>
    </w:rPr>
  </w:style>
  <w:style w:type="paragraph" w:styleId="Footer">
    <w:name w:val="footer"/>
    <w:basedOn w:val="Normal"/>
    <w:link w:val="FooterChar"/>
    <w:uiPriority w:val="99"/>
    <w:unhideWhenUsed/>
    <w:rsid w:val="00E379D5"/>
    <w:pPr>
      <w:tabs>
        <w:tab w:val="center" w:pos="4680"/>
        <w:tab w:val="right" w:pos="9360"/>
      </w:tabs>
    </w:pPr>
  </w:style>
  <w:style w:type="character" w:customStyle="1" w:styleId="FooterChar">
    <w:name w:val="Footer Char"/>
    <w:basedOn w:val="DefaultParagraphFont"/>
    <w:link w:val="Footer"/>
    <w:uiPriority w:val="99"/>
    <w:rsid w:val="00E379D5"/>
    <w:rPr>
      <w:rFonts w:eastAsiaTheme="minorEastAsia"/>
    </w:rPr>
  </w:style>
  <w:style w:type="paragraph" w:styleId="ListParagraph">
    <w:name w:val="List Paragraph"/>
    <w:basedOn w:val="Normal"/>
    <w:uiPriority w:val="34"/>
    <w:qFormat/>
    <w:rsid w:val="00E379D5"/>
    <w:pPr>
      <w:ind w:left="720"/>
      <w:contextualSpacing/>
    </w:pPr>
  </w:style>
  <w:style w:type="character" w:customStyle="1" w:styleId="Heading1Char">
    <w:name w:val="Heading 1 Char"/>
    <w:basedOn w:val="DefaultParagraphFont"/>
    <w:link w:val="Heading1"/>
    <w:uiPriority w:val="9"/>
    <w:rsid w:val="00175ED7"/>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E77216"/>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E77216"/>
    <w:rPr>
      <w:rFonts w:ascii="Calibri" w:eastAsiaTheme="majorEastAsia" w:hAnsi="Calibri" w:cstheme="majorBidi"/>
      <w:b/>
      <w:szCs w:val="24"/>
    </w:rPr>
  </w:style>
  <w:style w:type="character" w:customStyle="1" w:styleId="Heading4Char">
    <w:name w:val="Heading 4 Char"/>
    <w:basedOn w:val="DefaultParagraphFont"/>
    <w:link w:val="Heading4"/>
    <w:uiPriority w:val="9"/>
    <w:rsid w:val="005F1CE0"/>
    <w:rPr>
      <w:rFonts w:ascii="Calibri" w:eastAsiaTheme="majorEastAsia" w:hAnsi="Calibri" w:cstheme="majorBidi"/>
      <w:b/>
      <w:iCs/>
    </w:rPr>
  </w:style>
  <w:style w:type="character" w:customStyle="1" w:styleId="Heading5Char">
    <w:name w:val="Heading 5 Char"/>
    <w:basedOn w:val="DefaultParagraphFont"/>
    <w:link w:val="Heading5"/>
    <w:uiPriority w:val="9"/>
    <w:rsid w:val="005F1CE0"/>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1A7FE3"/>
    <w:rPr>
      <w:sz w:val="16"/>
      <w:szCs w:val="16"/>
    </w:rPr>
  </w:style>
  <w:style w:type="paragraph" w:styleId="CommentText">
    <w:name w:val="annotation text"/>
    <w:basedOn w:val="Normal"/>
    <w:link w:val="CommentTextChar"/>
    <w:uiPriority w:val="99"/>
    <w:semiHidden/>
    <w:unhideWhenUsed/>
    <w:rsid w:val="001A7FE3"/>
    <w:rPr>
      <w:sz w:val="20"/>
      <w:szCs w:val="20"/>
    </w:rPr>
  </w:style>
  <w:style w:type="character" w:customStyle="1" w:styleId="CommentTextChar">
    <w:name w:val="Comment Text Char"/>
    <w:basedOn w:val="DefaultParagraphFont"/>
    <w:link w:val="CommentText"/>
    <w:uiPriority w:val="99"/>
    <w:semiHidden/>
    <w:rsid w:val="001A7F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A7FE3"/>
    <w:rPr>
      <w:b/>
      <w:bCs/>
    </w:rPr>
  </w:style>
  <w:style w:type="character" w:customStyle="1" w:styleId="CommentSubjectChar">
    <w:name w:val="Comment Subject Char"/>
    <w:basedOn w:val="CommentTextChar"/>
    <w:link w:val="CommentSubject"/>
    <w:uiPriority w:val="99"/>
    <w:semiHidden/>
    <w:rsid w:val="001A7FE3"/>
    <w:rPr>
      <w:rFonts w:eastAsiaTheme="minorEastAsia"/>
      <w:b/>
      <w:bCs/>
      <w:sz w:val="20"/>
      <w:szCs w:val="20"/>
    </w:rPr>
  </w:style>
  <w:style w:type="paragraph" w:styleId="BalloonText">
    <w:name w:val="Balloon Text"/>
    <w:basedOn w:val="Normal"/>
    <w:link w:val="BalloonTextChar"/>
    <w:uiPriority w:val="99"/>
    <w:semiHidden/>
    <w:unhideWhenUsed/>
    <w:rsid w:val="001A7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FE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3015">
      <w:bodyDiv w:val="1"/>
      <w:marLeft w:val="0"/>
      <w:marRight w:val="0"/>
      <w:marTop w:val="0"/>
      <w:marBottom w:val="0"/>
      <w:divBdr>
        <w:top w:val="none" w:sz="0" w:space="0" w:color="auto"/>
        <w:left w:val="none" w:sz="0" w:space="0" w:color="auto"/>
        <w:bottom w:val="none" w:sz="0" w:space="0" w:color="auto"/>
        <w:right w:val="none" w:sz="0" w:space="0" w:color="auto"/>
      </w:divBdr>
    </w:div>
    <w:div w:id="351732400">
      <w:bodyDiv w:val="1"/>
      <w:marLeft w:val="0"/>
      <w:marRight w:val="0"/>
      <w:marTop w:val="0"/>
      <w:marBottom w:val="0"/>
      <w:divBdr>
        <w:top w:val="none" w:sz="0" w:space="0" w:color="auto"/>
        <w:left w:val="none" w:sz="0" w:space="0" w:color="auto"/>
        <w:bottom w:val="none" w:sz="0" w:space="0" w:color="auto"/>
        <w:right w:val="none" w:sz="0" w:space="0" w:color="auto"/>
      </w:divBdr>
    </w:div>
    <w:div w:id="514614940">
      <w:bodyDiv w:val="1"/>
      <w:marLeft w:val="0"/>
      <w:marRight w:val="0"/>
      <w:marTop w:val="0"/>
      <w:marBottom w:val="0"/>
      <w:divBdr>
        <w:top w:val="none" w:sz="0" w:space="0" w:color="auto"/>
        <w:left w:val="none" w:sz="0" w:space="0" w:color="auto"/>
        <w:bottom w:val="none" w:sz="0" w:space="0" w:color="auto"/>
        <w:right w:val="none" w:sz="0" w:space="0" w:color="auto"/>
      </w:divBdr>
    </w:div>
    <w:div w:id="612784592">
      <w:bodyDiv w:val="1"/>
      <w:marLeft w:val="0"/>
      <w:marRight w:val="0"/>
      <w:marTop w:val="0"/>
      <w:marBottom w:val="0"/>
      <w:divBdr>
        <w:top w:val="none" w:sz="0" w:space="0" w:color="auto"/>
        <w:left w:val="none" w:sz="0" w:space="0" w:color="auto"/>
        <w:bottom w:val="none" w:sz="0" w:space="0" w:color="auto"/>
        <w:right w:val="none" w:sz="0" w:space="0" w:color="auto"/>
      </w:divBdr>
    </w:div>
    <w:div w:id="615984022">
      <w:bodyDiv w:val="1"/>
      <w:marLeft w:val="0"/>
      <w:marRight w:val="0"/>
      <w:marTop w:val="0"/>
      <w:marBottom w:val="0"/>
      <w:divBdr>
        <w:top w:val="none" w:sz="0" w:space="0" w:color="auto"/>
        <w:left w:val="none" w:sz="0" w:space="0" w:color="auto"/>
        <w:bottom w:val="none" w:sz="0" w:space="0" w:color="auto"/>
        <w:right w:val="none" w:sz="0" w:space="0" w:color="auto"/>
      </w:divBdr>
    </w:div>
    <w:div w:id="628241259">
      <w:bodyDiv w:val="1"/>
      <w:marLeft w:val="0"/>
      <w:marRight w:val="0"/>
      <w:marTop w:val="0"/>
      <w:marBottom w:val="0"/>
      <w:divBdr>
        <w:top w:val="none" w:sz="0" w:space="0" w:color="auto"/>
        <w:left w:val="none" w:sz="0" w:space="0" w:color="auto"/>
        <w:bottom w:val="none" w:sz="0" w:space="0" w:color="auto"/>
        <w:right w:val="none" w:sz="0" w:space="0" w:color="auto"/>
      </w:divBdr>
    </w:div>
    <w:div w:id="660739680">
      <w:bodyDiv w:val="1"/>
      <w:marLeft w:val="0"/>
      <w:marRight w:val="0"/>
      <w:marTop w:val="0"/>
      <w:marBottom w:val="0"/>
      <w:divBdr>
        <w:top w:val="none" w:sz="0" w:space="0" w:color="auto"/>
        <w:left w:val="none" w:sz="0" w:space="0" w:color="auto"/>
        <w:bottom w:val="none" w:sz="0" w:space="0" w:color="auto"/>
        <w:right w:val="none" w:sz="0" w:space="0" w:color="auto"/>
      </w:divBdr>
    </w:div>
    <w:div w:id="667366497">
      <w:bodyDiv w:val="1"/>
      <w:marLeft w:val="0"/>
      <w:marRight w:val="0"/>
      <w:marTop w:val="0"/>
      <w:marBottom w:val="0"/>
      <w:divBdr>
        <w:top w:val="none" w:sz="0" w:space="0" w:color="auto"/>
        <w:left w:val="none" w:sz="0" w:space="0" w:color="auto"/>
        <w:bottom w:val="none" w:sz="0" w:space="0" w:color="auto"/>
        <w:right w:val="none" w:sz="0" w:space="0" w:color="auto"/>
      </w:divBdr>
    </w:div>
    <w:div w:id="836921469">
      <w:bodyDiv w:val="1"/>
      <w:marLeft w:val="0"/>
      <w:marRight w:val="0"/>
      <w:marTop w:val="0"/>
      <w:marBottom w:val="0"/>
      <w:divBdr>
        <w:top w:val="none" w:sz="0" w:space="0" w:color="auto"/>
        <w:left w:val="none" w:sz="0" w:space="0" w:color="auto"/>
        <w:bottom w:val="none" w:sz="0" w:space="0" w:color="auto"/>
        <w:right w:val="none" w:sz="0" w:space="0" w:color="auto"/>
      </w:divBdr>
    </w:div>
    <w:div w:id="968511223">
      <w:bodyDiv w:val="1"/>
      <w:marLeft w:val="0"/>
      <w:marRight w:val="0"/>
      <w:marTop w:val="0"/>
      <w:marBottom w:val="0"/>
      <w:divBdr>
        <w:top w:val="none" w:sz="0" w:space="0" w:color="auto"/>
        <w:left w:val="none" w:sz="0" w:space="0" w:color="auto"/>
        <w:bottom w:val="none" w:sz="0" w:space="0" w:color="auto"/>
        <w:right w:val="none" w:sz="0" w:space="0" w:color="auto"/>
      </w:divBdr>
    </w:div>
    <w:div w:id="1021321976">
      <w:bodyDiv w:val="1"/>
      <w:marLeft w:val="0"/>
      <w:marRight w:val="0"/>
      <w:marTop w:val="0"/>
      <w:marBottom w:val="0"/>
      <w:divBdr>
        <w:top w:val="none" w:sz="0" w:space="0" w:color="auto"/>
        <w:left w:val="none" w:sz="0" w:space="0" w:color="auto"/>
        <w:bottom w:val="none" w:sz="0" w:space="0" w:color="auto"/>
        <w:right w:val="none" w:sz="0" w:space="0" w:color="auto"/>
      </w:divBdr>
    </w:div>
    <w:div w:id="1092774187">
      <w:bodyDiv w:val="1"/>
      <w:marLeft w:val="0"/>
      <w:marRight w:val="0"/>
      <w:marTop w:val="0"/>
      <w:marBottom w:val="0"/>
      <w:divBdr>
        <w:top w:val="none" w:sz="0" w:space="0" w:color="auto"/>
        <w:left w:val="none" w:sz="0" w:space="0" w:color="auto"/>
        <w:bottom w:val="none" w:sz="0" w:space="0" w:color="auto"/>
        <w:right w:val="none" w:sz="0" w:space="0" w:color="auto"/>
      </w:divBdr>
    </w:div>
    <w:div w:id="1093016163">
      <w:bodyDiv w:val="1"/>
      <w:marLeft w:val="0"/>
      <w:marRight w:val="0"/>
      <w:marTop w:val="0"/>
      <w:marBottom w:val="0"/>
      <w:divBdr>
        <w:top w:val="none" w:sz="0" w:space="0" w:color="auto"/>
        <w:left w:val="none" w:sz="0" w:space="0" w:color="auto"/>
        <w:bottom w:val="none" w:sz="0" w:space="0" w:color="auto"/>
        <w:right w:val="none" w:sz="0" w:space="0" w:color="auto"/>
      </w:divBdr>
    </w:div>
    <w:div w:id="1155074314">
      <w:bodyDiv w:val="1"/>
      <w:marLeft w:val="0"/>
      <w:marRight w:val="0"/>
      <w:marTop w:val="0"/>
      <w:marBottom w:val="0"/>
      <w:divBdr>
        <w:top w:val="none" w:sz="0" w:space="0" w:color="auto"/>
        <w:left w:val="none" w:sz="0" w:space="0" w:color="auto"/>
        <w:bottom w:val="none" w:sz="0" w:space="0" w:color="auto"/>
        <w:right w:val="none" w:sz="0" w:space="0" w:color="auto"/>
      </w:divBdr>
    </w:div>
    <w:div w:id="1329409835">
      <w:bodyDiv w:val="1"/>
      <w:marLeft w:val="0"/>
      <w:marRight w:val="0"/>
      <w:marTop w:val="0"/>
      <w:marBottom w:val="0"/>
      <w:divBdr>
        <w:top w:val="none" w:sz="0" w:space="0" w:color="auto"/>
        <w:left w:val="none" w:sz="0" w:space="0" w:color="auto"/>
        <w:bottom w:val="none" w:sz="0" w:space="0" w:color="auto"/>
        <w:right w:val="none" w:sz="0" w:space="0" w:color="auto"/>
      </w:divBdr>
    </w:div>
    <w:div w:id="1391660094">
      <w:bodyDiv w:val="1"/>
      <w:marLeft w:val="0"/>
      <w:marRight w:val="0"/>
      <w:marTop w:val="0"/>
      <w:marBottom w:val="0"/>
      <w:divBdr>
        <w:top w:val="none" w:sz="0" w:space="0" w:color="auto"/>
        <w:left w:val="none" w:sz="0" w:space="0" w:color="auto"/>
        <w:bottom w:val="none" w:sz="0" w:space="0" w:color="auto"/>
        <w:right w:val="none" w:sz="0" w:space="0" w:color="auto"/>
      </w:divBdr>
    </w:div>
    <w:div w:id="1405831130">
      <w:bodyDiv w:val="1"/>
      <w:marLeft w:val="0"/>
      <w:marRight w:val="0"/>
      <w:marTop w:val="0"/>
      <w:marBottom w:val="0"/>
      <w:divBdr>
        <w:top w:val="none" w:sz="0" w:space="0" w:color="auto"/>
        <w:left w:val="none" w:sz="0" w:space="0" w:color="auto"/>
        <w:bottom w:val="none" w:sz="0" w:space="0" w:color="auto"/>
        <w:right w:val="none" w:sz="0" w:space="0" w:color="auto"/>
      </w:divBdr>
    </w:div>
    <w:div w:id="1406301722">
      <w:bodyDiv w:val="1"/>
      <w:marLeft w:val="0"/>
      <w:marRight w:val="0"/>
      <w:marTop w:val="0"/>
      <w:marBottom w:val="0"/>
      <w:divBdr>
        <w:top w:val="none" w:sz="0" w:space="0" w:color="auto"/>
        <w:left w:val="none" w:sz="0" w:space="0" w:color="auto"/>
        <w:bottom w:val="none" w:sz="0" w:space="0" w:color="auto"/>
        <w:right w:val="none" w:sz="0" w:space="0" w:color="auto"/>
      </w:divBdr>
    </w:div>
    <w:div w:id="1408383066">
      <w:bodyDiv w:val="1"/>
      <w:marLeft w:val="0"/>
      <w:marRight w:val="0"/>
      <w:marTop w:val="0"/>
      <w:marBottom w:val="0"/>
      <w:divBdr>
        <w:top w:val="none" w:sz="0" w:space="0" w:color="auto"/>
        <w:left w:val="none" w:sz="0" w:space="0" w:color="auto"/>
        <w:bottom w:val="none" w:sz="0" w:space="0" w:color="auto"/>
        <w:right w:val="none" w:sz="0" w:space="0" w:color="auto"/>
      </w:divBdr>
    </w:div>
    <w:div w:id="1462768498">
      <w:bodyDiv w:val="1"/>
      <w:marLeft w:val="0"/>
      <w:marRight w:val="0"/>
      <w:marTop w:val="0"/>
      <w:marBottom w:val="0"/>
      <w:divBdr>
        <w:top w:val="none" w:sz="0" w:space="0" w:color="auto"/>
        <w:left w:val="none" w:sz="0" w:space="0" w:color="auto"/>
        <w:bottom w:val="none" w:sz="0" w:space="0" w:color="auto"/>
        <w:right w:val="none" w:sz="0" w:space="0" w:color="auto"/>
      </w:divBdr>
    </w:div>
    <w:div w:id="1528518173">
      <w:bodyDiv w:val="1"/>
      <w:marLeft w:val="0"/>
      <w:marRight w:val="0"/>
      <w:marTop w:val="0"/>
      <w:marBottom w:val="0"/>
      <w:divBdr>
        <w:top w:val="none" w:sz="0" w:space="0" w:color="auto"/>
        <w:left w:val="none" w:sz="0" w:space="0" w:color="auto"/>
        <w:bottom w:val="none" w:sz="0" w:space="0" w:color="auto"/>
        <w:right w:val="none" w:sz="0" w:space="0" w:color="auto"/>
      </w:divBdr>
    </w:div>
    <w:div w:id="1663895000">
      <w:bodyDiv w:val="1"/>
      <w:marLeft w:val="0"/>
      <w:marRight w:val="0"/>
      <w:marTop w:val="0"/>
      <w:marBottom w:val="0"/>
      <w:divBdr>
        <w:top w:val="none" w:sz="0" w:space="0" w:color="auto"/>
        <w:left w:val="none" w:sz="0" w:space="0" w:color="auto"/>
        <w:bottom w:val="none" w:sz="0" w:space="0" w:color="auto"/>
        <w:right w:val="none" w:sz="0" w:space="0" w:color="auto"/>
      </w:divBdr>
    </w:div>
    <w:div w:id="1711997847">
      <w:bodyDiv w:val="1"/>
      <w:marLeft w:val="0"/>
      <w:marRight w:val="0"/>
      <w:marTop w:val="0"/>
      <w:marBottom w:val="0"/>
      <w:divBdr>
        <w:top w:val="none" w:sz="0" w:space="0" w:color="auto"/>
        <w:left w:val="none" w:sz="0" w:space="0" w:color="auto"/>
        <w:bottom w:val="none" w:sz="0" w:space="0" w:color="auto"/>
        <w:right w:val="none" w:sz="0" w:space="0" w:color="auto"/>
      </w:divBdr>
    </w:div>
    <w:div w:id="1790006362">
      <w:bodyDiv w:val="1"/>
      <w:marLeft w:val="0"/>
      <w:marRight w:val="0"/>
      <w:marTop w:val="0"/>
      <w:marBottom w:val="0"/>
      <w:divBdr>
        <w:top w:val="none" w:sz="0" w:space="0" w:color="auto"/>
        <w:left w:val="none" w:sz="0" w:space="0" w:color="auto"/>
        <w:bottom w:val="none" w:sz="0" w:space="0" w:color="auto"/>
        <w:right w:val="none" w:sz="0" w:space="0" w:color="auto"/>
      </w:divBdr>
    </w:div>
    <w:div w:id="1855873207">
      <w:bodyDiv w:val="1"/>
      <w:marLeft w:val="0"/>
      <w:marRight w:val="0"/>
      <w:marTop w:val="0"/>
      <w:marBottom w:val="0"/>
      <w:divBdr>
        <w:top w:val="none" w:sz="0" w:space="0" w:color="auto"/>
        <w:left w:val="none" w:sz="0" w:space="0" w:color="auto"/>
        <w:bottom w:val="none" w:sz="0" w:space="0" w:color="auto"/>
        <w:right w:val="none" w:sz="0" w:space="0" w:color="auto"/>
      </w:divBdr>
    </w:div>
    <w:div w:id="1924408375">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1073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26012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2017-08-23T20:02:00Z</dcterms:created>
  <dc:creator>Steigman, Philip (EEC)</dc:creator>
  <lastModifiedBy>Steigman, Philip (EEC)</lastModifiedBy>
  <dcterms:modified xsi:type="dcterms:W3CDTF">2017-08-24T15:04:00Z</dcterms:modified>
  <revision>5</revision>
</coreProperties>
</file>