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0CB6E" w14:textId="77777777" w:rsidR="00924733" w:rsidRDefault="00924733">
      <w:pPr>
        <w:pStyle w:val="BodyText"/>
        <w:spacing w:before="6"/>
        <w:rPr>
          <w:b/>
          <w:sz w:val="29"/>
        </w:rPr>
      </w:pPr>
    </w:p>
    <w:p w14:paraId="45F8E96B" w14:textId="7EE54ADD" w:rsidR="00924733" w:rsidRDefault="00F416EF" w:rsidP="00015AEB">
      <w:pPr>
        <w:pStyle w:val="ListParagraph"/>
        <w:numPr>
          <w:ilvl w:val="0"/>
          <w:numId w:val="1"/>
        </w:numPr>
        <w:spacing w:line="261" w:lineRule="auto"/>
        <w:ind w:right="463"/>
      </w:pPr>
      <w:r>
        <w:t xml:space="preserve">In </w:t>
      </w:r>
      <w:r w:rsidR="00D77D4B">
        <w:t>July</w:t>
      </w:r>
      <w:r>
        <w:t xml:space="preserve"> of 202</w:t>
      </w:r>
      <w:r w:rsidR="00D77D4B">
        <w:t>2</w:t>
      </w:r>
      <w:r>
        <w:t>, the Executive Office of Health and Human Services (EOHHS) implemented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573A01">
        <w:t>Resident</w:t>
      </w:r>
      <w:r>
        <w:rPr>
          <w:spacing w:val="-5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Quotient</w:t>
      </w:r>
      <w:r>
        <w:rPr>
          <w:spacing w:val="-4"/>
        </w:rPr>
        <w:t xml:space="preserve"> </w:t>
      </w:r>
      <w:r>
        <w:t>(</w:t>
      </w:r>
      <w:r w:rsidR="00573A01">
        <w:t>R</w:t>
      </w:r>
      <w:r>
        <w:t>CC-Q) 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regulatory</w:t>
      </w:r>
      <w:r>
        <w:rPr>
          <w:spacing w:val="-8"/>
        </w:rPr>
        <w:t xml:space="preserve"> </w:t>
      </w:r>
      <w:r>
        <w:t>requirement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hold facilities financially accountable for prioritizing the support of </w:t>
      </w:r>
      <w:r w:rsidR="00E929B0">
        <w:t>resident</w:t>
      </w:r>
      <w:r>
        <w:t xml:space="preserve"> care staff through revenue spent. </w:t>
      </w:r>
    </w:p>
    <w:p w14:paraId="791F7905" w14:textId="6A234A53" w:rsidR="00924733" w:rsidRDefault="00354301">
      <w:pPr>
        <w:pStyle w:val="ListParagraph"/>
        <w:numPr>
          <w:ilvl w:val="0"/>
          <w:numId w:val="1"/>
        </w:numPr>
        <w:tabs>
          <w:tab w:val="left" w:pos="942"/>
          <w:tab w:val="left" w:pos="943"/>
        </w:tabs>
        <w:spacing w:before="177" w:line="256" w:lineRule="auto"/>
        <w:ind w:right="469"/>
      </w:pPr>
      <w:r>
        <w:t xml:space="preserve">In accordance with </w:t>
      </w:r>
      <w:r w:rsidRPr="00354301">
        <w:t>101 CMR 20</w:t>
      </w:r>
      <w:r w:rsidR="001C3115">
        <w:t>4</w:t>
      </w:r>
      <w:r w:rsidRPr="00354301">
        <w:t>.1</w:t>
      </w:r>
      <w:r w:rsidR="001C3115">
        <w:t>0</w:t>
      </w:r>
      <w:r w:rsidR="00F75B87">
        <w:t xml:space="preserve"> and Administrative Bulletin </w:t>
      </w:r>
      <w:r w:rsidR="0094422E">
        <w:t>23-25</w:t>
      </w:r>
      <w:r w:rsidR="00444016">
        <w:t>, t</w:t>
      </w:r>
      <w:r w:rsidR="00F416EF">
        <w:t xml:space="preserve">he </w:t>
      </w:r>
      <w:r w:rsidR="001C3115">
        <w:t>R</w:t>
      </w:r>
      <w:r w:rsidR="00F416EF">
        <w:t xml:space="preserve">CC-Q requires facilities to spend at least </w:t>
      </w:r>
      <w:r w:rsidR="0094422E">
        <w:t>80</w:t>
      </w:r>
      <w:r w:rsidR="00F416EF">
        <w:t>% of total facility revenue on direct care. For every</w:t>
      </w:r>
      <w:r w:rsidR="00F416EF">
        <w:rPr>
          <w:spacing w:val="-2"/>
        </w:rPr>
        <w:t xml:space="preserve"> </w:t>
      </w:r>
      <w:r w:rsidR="00E62B5D">
        <w:t>full percentage point</w:t>
      </w:r>
      <w:r w:rsidR="00F416EF">
        <w:rPr>
          <w:spacing w:val="-9"/>
        </w:rPr>
        <w:t xml:space="preserve"> </w:t>
      </w:r>
      <w:r w:rsidR="00F416EF">
        <w:t>below</w:t>
      </w:r>
      <w:r w:rsidR="00F416EF">
        <w:rPr>
          <w:spacing w:val="-1"/>
        </w:rPr>
        <w:t xml:space="preserve"> </w:t>
      </w:r>
      <w:r w:rsidR="00F416EF">
        <w:t xml:space="preserve">the </w:t>
      </w:r>
      <w:r w:rsidR="0094422E">
        <w:t>80</w:t>
      </w:r>
      <w:r w:rsidR="00F416EF">
        <w:t>%</w:t>
      </w:r>
      <w:r w:rsidR="00F416EF">
        <w:rPr>
          <w:spacing w:val="-9"/>
        </w:rPr>
        <w:t xml:space="preserve"> </w:t>
      </w:r>
      <w:r w:rsidR="0094422E">
        <w:t>R</w:t>
      </w:r>
      <w:r w:rsidR="00F416EF">
        <w:t>CC-Q threshold, a</w:t>
      </w:r>
      <w:r w:rsidR="00F416EF">
        <w:rPr>
          <w:spacing w:val="-16"/>
        </w:rPr>
        <w:t xml:space="preserve"> </w:t>
      </w:r>
      <w:r w:rsidR="00F416EF">
        <w:t>0.5%</w:t>
      </w:r>
      <w:r w:rsidR="00F416EF">
        <w:rPr>
          <w:spacing w:val="-8"/>
        </w:rPr>
        <w:t xml:space="preserve"> </w:t>
      </w:r>
      <w:r w:rsidR="00F416EF">
        <w:t>downward adjustment—up to a maximum of 5%—will</w:t>
      </w:r>
      <w:r w:rsidR="00F416EF">
        <w:rPr>
          <w:spacing w:val="-3"/>
        </w:rPr>
        <w:t xml:space="preserve"> </w:t>
      </w:r>
      <w:r w:rsidR="00F416EF">
        <w:t xml:space="preserve">be applied to the </w:t>
      </w:r>
      <w:r w:rsidR="008128D3">
        <w:t>resident care</w:t>
      </w:r>
      <w:r w:rsidR="00F416EF">
        <w:t xml:space="preserve"> and operating components of the facility’s per diem</w:t>
      </w:r>
      <w:r w:rsidR="00F416EF">
        <w:rPr>
          <w:spacing w:val="-5"/>
        </w:rPr>
        <w:t xml:space="preserve"> </w:t>
      </w:r>
      <w:r w:rsidR="00F416EF">
        <w:t>rate</w:t>
      </w:r>
      <w:r w:rsidR="00F416EF">
        <w:rPr>
          <w:spacing w:val="40"/>
        </w:rPr>
        <w:t xml:space="preserve"> </w:t>
      </w:r>
      <w:r w:rsidR="00F416EF">
        <w:t>effective the following</w:t>
      </w:r>
      <w:r w:rsidR="00F416EF">
        <w:rPr>
          <w:spacing w:val="-6"/>
        </w:rPr>
        <w:t xml:space="preserve"> </w:t>
      </w:r>
      <w:r w:rsidR="00F416EF">
        <w:t>rate year.</w:t>
      </w:r>
    </w:p>
    <w:p w14:paraId="2EEEBCEF" w14:textId="09975AB9" w:rsidR="00A62343" w:rsidRDefault="00654DE6" w:rsidP="00654DE6">
      <w:pPr>
        <w:pStyle w:val="ListParagraph"/>
        <w:numPr>
          <w:ilvl w:val="0"/>
          <w:numId w:val="1"/>
        </w:numPr>
        <w:tabs>
          <w:tab w:val="left" w:pos="942"/>
          <w:tab w:val="left" w:pos="943"/>
        </w:tabs>
        <w:spacing w:before="141" w:line="259" w:lineRule="auto"/>
        <w:ind w:hanging="354"/>
      </w:pPr>
      <w:r>
        <w:t xml:space="preserve">The </w:t>
      </w:r>
      <w:r w:rsidR="00F416EF">
        <w:t>“</w:t>
      </w:r>
      <w:r w:rsidR="000C7EB6" w:rsidRPr="00654DE6">
        <w:rPr>
          <w:b/>
          <w:bCs/>
        </w:rPr>
        <w:t>Reported</w:t>
      </w:r>
      <w:r w:rsidR="00F416EF">
        <w:t>”</w:t>
      </w:r>
      <w:r w:rsidR="00F416EF" w:rsidRPr="00654DE6">
        <w:rPr>
          <w:spacing w:val="-1"/>
        </w:rPr>
        <w:t xml:space="preserve"> </w:t>
      </w:r>
      <w:r w:rsidR="009126E1">
        <w:t>R</w:t>
      </w:r>
      <w:r w:rsidR="00F416EF">
        <w:t>CC-Q</w:t>
      </w:r>
      <w:r w:rsidR="00F416EF" w:rsidRPr="00654DE6">
        <w:rPr>
          <w:spacing w:val="-3"/>
        </w:rPr>
        <w:t xml:space="preserve"> </w:t>
      </w:r>
      <w:r w:rsidR="008A6B47" w:rsidRPr="00654DE6">
        <w:rPr>
          <w:spacing w:val="-3"/>
        </w:rPr>
        <w:t xml:space="preserve">score </w:t>
      </w:r>
      <w:r w:rsidR="00F416EF">
        <w:t>was</w:t>
      </w:r>
      <w:r w:rsidR="00F416EF" w:rsidRPr="00654DE6">
        <w:rPr>
          <w:spacing w:val="-2"/>
        </w:rPr>
        <w:t xml:space="preserve"> </w:t>
      </w:r>
      <w:r w:rsidR="00F416EF">
        <w:t>calculated</w:t>
      </w:r>
      <w:r w:rsidR="00F416EF" w:rsidRPr="00654DE6">
        <w:rPr>
          <w:spacing w:val="-3"/>
        </w:rPr>
        <w:t xml:space="preserve"> </w:t>
      </w:r>
      <w:r w:rsidR="00F416EF">
        <w:t>by</w:t>
      </w:r>
      <w:r w:rsidR="00F416EF" w:rsidRPr="00654DE6">
        <w:rPr>
          <w:spacing w:val="-2"/>
        </w:rPr>
        <w:t xml:space="preserve"> </w:t>
      </w:r>
      <w:r w:rsidR="00F416EF">
        <w:t>dividing</w:t>
      </w:r>
      <w:r w:rsidR="00F416EF" w:rsidRPr="00654DE6">
        <w:rPr>
          <w:spacing w:val="-3"/>
        </w:rPr>
        <w:t xml:space="preserve"> </w:t>
      </w:r>
      <w:r w:rsidR="00E929B0">
        <w:t>resident</w:t>
      </w:r>
      <w:r w:rsidR="00F416EF" w:rsidRPr="00654DE6">
        <w:rPr>
          <w:spacing w:val="-3"/>
        </w:rPr>
        <w:t xml:space="preserve"> </w:t>
      </w:r>
      <w:r w:rsidR="00F416EF">
        <w:t xml:space="preserve">care workforce expenses, such as nursing, dietary, </w:t>
      </w:r>
      <w:r w:rsidR="00B5316F">
        <w:t>recreational</w:t>
      </w:r>
      <w:r w:rsidR="00F416EF">
        <w:t xml:space="preserve"> therapy, or social </w:t>
      </w:r>
      <w:r w:rsidR="002231EE">
        <w:t xml:space="preserve">service </w:t>
      </w:r>
      <w:r w:rsidR="00F416EF">
        <w:t>worker staff expenses, by the facility’s total revenue</w:t>
      </w:r>
      <w:r w:rsidR="00D23322">
        <w:t>, exclud</w:t>
      </w:r>
      <w:r w:rsidR="00E929B0">
        <w:t>ing the revenue for non-residential care facility lines of business</w:t>
      </w:r>
      <w:r w:rsidR="00985521">
        <w:t xml:space="preserve">. </w:t>
      </w:r>
      <w:r w:rsidR="00F416EF">
        <w:t xml:space="preserve"> </w:t>
      </w:r>
    </w:p>
    <w:p w14:paraId="17A8665B" w14:textId="77777777" w:rsidR="00924733" w:rsidRDefault="00924733">
      <w:pPr>
        <w:pStyle w:val="BodyText"/>
        <w:rPr>
          <w:sz w:val="20"/>
        </w:rPr>
      </w:pPr>
    </w:p>
    <w:p w14:paraId="437D69FE" w14:textId="77777777" w:rsidR="00B85933" w:rsidRDefault="00B85933">
      <w:pPr>
        <w:pStyle w:val="BodyText"/>
        <w:rPr>
          <w:sz w:val="20"/>
        </w:rPr>
      </w:pPr>
    </w:p>
    <w:p w14:paraId="28FA50F3" w14:textId="782E8736" w:rsidR="00DE4CD6" w:rsidRDefault="00B70465" w:rsidP="2CBEBC18">
      <w:pPr>
        <w:pStyle w:val="BodyText"/>
        <w:spacing w:before="5"/>
        <w:jc w:val="center"/>
        <w:rPr>
          <w:b/>
          <w:bCs/>
          <w:sz w:val="23"/>
          <w:szCs w:val="23"/>
        </w:rPr>
      </w:pPr>
      <w:r w:rsidRPr="2CBEBC18">
        <w:rPr>
          <w:b/>
          <w:bCs/>
          <w:sz w:val="23"/>
          <w:szCs w:val="23"/>
        </w:rPr>
        <w:t xml:space="preserve">Table 1: </w:t>
      </w:r>
      <w:r w:rsidR="00DE4CD6" w:rsidRPr="2CBEBC18">
        <w:rPr>
          <w:b/>
          <w:bCs/>
          <w:sz w:val="23"/>
          <w:szCs w:val="23"/>
        </w:rPr>
        <w:t>Summary of Results</w:t>
      </w:r>
      <w:r w:rsidR="00DE4CD6" w:rsidRPr="2CBEBC18">
        <w:rPr>
          <w:rStyle w:val="FootnoteReference"/>
          <w:b/>
          <w:bCs/>
          <w:sz w:val="23"/>
          <w:szCs w:val="23"/>
        </w:rPr>
        <w:footnoteReference w:id="2"/>
      </w:r>
      <w:r w:rsidR="003C6CE1" w:rsidRPr="2CBEBC18">
        <w:rPr>
          <w:b/>
          <w:bCs/>
          <w:sz w:val="23"/>
          <w:szCs w:val="23"/>
          <w:vertAlign w:val="superscript"/>
        </w:rPr>
        <w:t>,</w:t>
      </w:r>
      <w:r w:rsidR="00A678F0" w:rsidRPr="2CBEBC18">
        <w:rPr>
          <w:rStyle w:val="FootnoteReference"/>
          <w:b/>
          <w:bCs/>
          <w:sz w:val="23"/>
          <w:szCs w:val="23"/>
        </w:rPr>
        <w:footnoteReference w:id="3"/>
      </w:r>
    </w:p>
    <w:p w14:paraId="326B6A28" w14:textId="7FBDA1EF" w:rsidR="00924733" w:rsidRPr="00015AEB" w:rsidRDefault="002B3ACC" w:rsidP="00015AEB">
      <w:pPr>
        <w:pStyle w:val="BodyText"/>
        <w:spacing w:before="5"/>
        <w:jc w:val="center"/>
        <w:rPr>
          <w:b/>
          <w:bCs/>
          <w:sz w:val="23"/>
        </w:rPr>
      </w:pPr>
      <w:r w:rsidRPr="00015AEB">
        <w:rPr>
          <w:b/>
          <w:bCs/>
          <w:sz w:val="23"/>
        </w:rPr>
        <w:t>Reporting Period Fiscal Year 2023</w:t>
      </w:r>
    </w:p>
    <w:p w14:paraId="24661C32" w14:textId="540BBBAC" w:rsidR="002B3ACC" w:rsidRDefault="002B3ACC">
      <w:pPr>
        <w:pStyle w:val="BodyText"/>
        <w:spacing w:before="5"/>
        <w:jc w:val="center"/>
        <w:rPr>
          <w:b/>
          <w:bCs/>
          <w:sz w:val="23"/>
        </w:rPr>
      </w:pPr>
      <w:r w:rsidRPr="00015AEB">
        <w:rPr>
          <w:b/>
          <w:bCs/>
          <w:sz w:val="23"/>
        </w:rPr>
        <w:t>(July 1, 202</w:t>
      </w:r>
      <w:r w:rsidR="009802E5">
        <w:rPr>
          <w:b/>
          <w:bCs/>
          <w:sz w:val="23"/>
        </w:rPr>
        <w:t>3</w:t>
      </w:r>
      <w:r w:rsidRPr="00015AEB">
        <w:rPr>
          <w:b/>
          <w:bCs/>
          <w:sz w:val="23"/>
        </w:rPr>
        <w:t xml:space="preserve"> – June 30, 202</w:t>
      </w:r>
      <w:r w:rsidR="009802E5">
        <w:rPr>
          <w:b/>
          <w:bCs/>
          <w:sz w:val="23"/>
        </w:rPr>
        <w:t>4</w:t>
      </w:r>
      <w:r w:rsidRPr="00015AEB">
        <w:rPr>
          <w:b/>
          <w:bCs/>
          <w:sz w:val="23"/>
        </w:rPr>
        <w:t>)</w:t>
      </w:r>
    </w:p>
    <w:p w14:paraId="0DC957C2" w14:textId="77777777" w:rsidR="002B3ACC" w:rsidRDefault="002B3ACC">
      <w:pPr>
        <w:pStyle w:val="BodyText"/>
        <w:spacing w:before="5"/>
        <w:rPr>
          <w:sz w:val="23"/>
        </w:rPr>
      </w:pPr>
    </w:p>
    <w:tbl>
      <w:tblPr>
        <w:tblW w:w="81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0"/>
        <w:gridCol w:w="1800"/>
        <w:gridCol w:w="2167"/>
      </w:tblGrid>
      <w:tr w:rsidR="008A6B47" w14:paraId="504634F3" w14:textId="77777777" w:rsidTr="0002381D">
        <w:trPr>
          <w:trHeight w:val="296"/>
          <w:jc w:val="center"/>
        </w:trPr>
        <w:tc>
          <w:tcPr>
            <w:tcW w:w="4230" w:type="dxa"/>
          </w:tcPr>
          <w:p w14:paraId="5DD443BE" w14:textId="2A7ACC95" w:rsidR="008A6B47" w:rsidRDefault="008A6B47" w:rsidP="00015AEB">
            <w:pPr>
              <w:pStyle w:val="TableParagraph"/>
              <w:spacing w:before="0" w:line="239" w:lineRule="exact"/>
              <w:jc w:val="left"/>
              <w:rPr>
                <w:b/>
                <w:sz w:val="21"/>
              </w:rPr>
            </w:pPr>
          </w:p>
        </w:tc>
        <w:tc>
          <w:tcPr>
            <w:tcW w:w="1800" w:type="dxa"/>
          </w:tcPr>
          <w:p w14:paraId="3337A73E" w14:textId="252359DE" w:rsidR="008A6B47" w:rsidRPr="0002381D" w:rsidRDefault="008A6B47" w:rsidP="0002381D">
            <w:pPr>
              <w:pStyle w:val="TableParagraph"/>
              <w:spacing w:before="0" w:line="239" w:lineRule="exact"/>
              <w:jc w:val="center"/>
              <w:rPr>
                <w:b/>
                <w:spacing w:val="-2"/>
                <w:w w:val="105"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Reported</w:t>
            </w:r>
            <w:r w:rsidR="0002381D">
              <w:rPr>
                <w:b/>
                <w:spacing w:val="-2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Count</w:t>
            </w:r>
          </w:p>
        </w:tc>
        <w:tc>
          <w:tcPr>
            <w:tcW w:w="2167" w:type="dxa"/>
          </w:tcPr>
          <w:p w14:paraId="7917B97B" w14:textId="38D2403C" w:rsidR="008A6B47" w:rsidRPr="00015AEB" w:rsidRDefault="003D69E7" w:rsidP="004B6A54">
            <w:pPr>
              <w:pStyle w:val="TableParagraph"/>
              <w:spacing w:before="0" w:line="239" w:lineRule="exact"/>
              <w:jc w:val="center"/>
              <w:rPr>
                <w:b/>
                <w:spacing w:val="-2"/>
                <w:w w:val="105"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Reported</w:t>
            </w:r>
            <w:r w:rsidR="008A6B47">
              <w:rPr>
                <w:b/>
                <w:spacing w:val="-2"/>
                <w:w w:val="105"/>
                <w:sz w:val="21"/>
              </w:rPr>
              <w:t xml:space="preserve"> Percent</w:t>
            </w:r>
          </w:p>
        </w:tc>
      </w:tr>
      <w:tr w:rsidR="008A6B47" w14:paraId="334D5601" w14:textId="77777777" w:rsidTr="006269E9">
        <w:trPr>
          <w:trHeight w:val="530"/>
          <w:jc w:val="center"/>
        </w:trPr>
        <w:tc>
          <w:tcPr>
            <w:tcW w:w="4230" w:type="dxa"/>
            <w:vAlign w:val="center"/>
          </w:tcPr>
          <w:p w14:paraId="306A30A9" w14:textId="19133AFB" w:rsidR="008A6B47" w:rsidRDefault="008A6B47" w:rsidP="00015AEB">
            <w:pPr>
              <w:pStyle w:val="TableParagraph"/>
              <w:spacing w:before="0" w:line="239" w:lineRule="exact"/>
              <w:jc w:val="center"/>
              <w:rPr>
                <w:sz w:val="21"/>
              </w:rPr>
            </w:pPr>
            <w:r>
              <w:rPr>
                <w:sz w:val="21"/>
              </w:rPr>
              <w:t>100% or higher</w:t>
            </w:r>
            <w:r>
              <w:rPr>
                <w:rStyle w:val="FootnoteReference"/>
                <w:sz w:val="21"/>
              </w:rPr>
              <w:footnoteReference w:id="4"/>
            </w:r>
          </w:p>
        </w:tc>
        <w:tc>
          <w:tcPr>
            <w:tcW w:w="1800" w:type="dxa"/>
            <w:vAlign w:val="center"/>
          </w:tcPr>
          <w:p w14:paraId="74D989D3" w14:textId="1F2C7CFB" w:rsidR="008A6B47" w:rsidRDefault="00EE2546" w:rsidP="00015AEB">
            <w:pPr>
              <w:pStyle w:val="TableParagraph"/>
              <w:spacing w:before="0" w:line="239" w:lineRule="exact"/>
              <w:jc w:val="center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2167" w:type="dxa"/>
            <w:vAlign w:val="center"/>
          </w:tcPr>
          <w:p w14:paraId="588959F7" w14:textId="01784595" w:rsidR="008A6B47" w:rsidRDefault="00355590" w:rsidP="00015AEB">
            <w:pPr>
              <w:pStyle w:val="TableParagraph"/>
              <w:spacing w:before="0" w:line="239" w:lineRule="exact"/>
              <w:jc w:val="center"/>
              <w:rPr>
                <w:sz w:val="21"/>
              </w:rPr>
            </w:pPr>
            <w:r>
              <w:rPr>
                <w:sz w:val="21"/>
              </w:rPr>
              <w:t>10%</w:t>
            </w:r>
          </w:p>
        </w:tc>
      </w:tr>
      <w:tr w:rsidR="008A6B47" w14:paraId="092E95A8" w14:textId="77777777" w:rsidTr="006269E9">
        <w:trPr>
          <w:trHeight w:val="530"/>
          <w:jc w:val="center"/>
        </w:trPr>
        <w:tc>
          <w:tcPr>
            <w:tcW w:w="4230" w:type="dxa"/>
            <w:vAlign w:val="center"/>
          </w:tcPr>
          <w:p w14:paraId="38E934FD" w14:textId="3ECD80F5" w:rsidR="008A6B47" w:rsidRDefault="008A6B47" w:rsidP="00015AEB">
            <w:pPr>
              <w:pStyle w:val="TableParagraph"/>
              <w:spacing w:before="11"/>
              <w:jc w:val="center"/>
              <w:rPr>
                <w:sz w:val="21"/>
              </w:rPr>
            </w:pPr>
            <w:r>
              <w:rPr>
                <w:sz w:val="21"/>
              </w:rPr>
              <w:t>Less than 100% and equal to or above 80%</w:t>
            </w:r>
          </w:p>
        </w:tc>
        <w:tc>
          <w:tcPr>
            <w:tcW w:w="1800" w:type="dxa"/>
            <w:vAlign w:val="center"/>
          </w:tcPr>
          <w:p w14:paraId="65A29278" w14:textId="1152F6FA" w:rsidR="008A6B47" w:rsidRDefault="000F5350" w:rsidP="00015AEB">
            <w:pPr>
              <w:pStyle w:val="TableParagraph"/>
              <w:spacing w:before="11"/>
              <w:jc w:val="center"/>
              <w:rPr>
                <w:sz w:val="21"/>
              </w:rPr>
            </w:pPr>
            <w:r>
              <w:rPr>
                <w:sz w:val="21"/>
              </w:rPr>
              <w:t>33</w:t>
            </w:r>
          </w:p>
        </w:tc>
        <w:tc>
          <w:tcPr>
            <w:tcW w:w="2167" w:type="dxa"/>
            <w:vAlign w:val="center"/>
          </w:tcPr>
          <w:p w14:paraId="28D9E727" w14:textId="1ED4DE43" w:rsidR="008A6B47" w:rsidRDefault="0080116D" w:rsidP="00015AEB">
            <w:pPr>
              <w:pStyle w:val="TableParagraph"/>
              <w:spacing w:before="11"/>
              <w:jc w:val="center"/>
              <w:rPr>
                <w:sz w:val="21"/>
              </w:rPr>
            </w:pPr>
            <w:r>
              <w:rPr>
                <w:sz w:val="21"/>
              </w:rPr>
              <w:t>65%</w:t>
            </w:r>
          </w:p>
        </w:tc>
      </w:tr>
      <w:tr w:rsidR="008A6B47" w14:paraId="1704DDC0" w14:textId="77777777" w:rsidTr="006269E9">
        <w:trPr>
          <w:trHeight w:val="530"/>
          <w:jc w:val="center"/>
        </w:trPr>
        <w:tc>
          <w:tcPr>
            <w:tcW w:w="4230" w:type="dxa"/>
            <w:vAlign w:val="center"/>
          </w:tcPr>
          <w:p w14:paraId="5B300866" w14:textId="75BF6D91" w:rsidR="008A6B47" w:rsidRDefault="008A6B47" w:rsidP="00015AEB">
            <w:pPr>
              <w:pStyle w:val="TableParagraph"/>
              <w:spacing w:before="7"/>
              <w:jc w:val="center"/>
              <w:rPr>
                <w:sz w:val="21"/>
              </w:rPr>
            </w:pPr>
            <w:r>
              <w:rPr>
                <w:sz w:val="21"/>
              </w:rPr>
              <w:t>Below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80%</w:t>
            </w:r>
          </w:p>
        </w:tc>
        <w:tc>
          <w:tcPr>
            <w:tcW w:w="1800" w:type="dxa"/>
            <w:vAlign w:val="center"/>
          </w:tcPr>
          <w:p w14:paraId="5CBF1E00" w14:textId="04870764" w:rsidR="008A6B47" w:rsidRDefault="00B60EFD" w:rsidP="00015AEB">
            <w:pPr>
              <w:pStyle w:val="TableParagraph"/>
              <w:spacing w:before="7"/>
              <w:jc w:val="center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167" w:type="dxa"/>
            <w:vAlign w:val="center"/>
          </w:tcPr>
          <w:p w14:paraId="2AEEC3E3" w14:textId="599D97D4" w:rsidR="008A6B47" w:rsidRDefault="003E3B54" w:rsidP="00015AEB">
            <w:pPr>
              <w:pStyle w:val="TableParagraph"/>
              <w:spacing w:before="7"/>
              <w:jc w:val="center"/>
              <w:rPr>
                <w:sz w:val="21"/>
              </w:rPr>
            </w:pPr>
            <w:r>
              <w:rPr>
                <w:sz w:val="21"/>
              </w:rPr>
              <w:t>25%</w:t>
            </w:r>
          </w:p>
        </w:tc>
      </w:tr>
      <w:tr w:rsidR="008A6B47" w14:paraId="7573CA53" w14:textId="77777777" w:rsidTr="006269E9">
        <w:trPr>
          <w:trHeight w:val="440"/>
          <w:jc w:val="center"/>
        </w:trPr>
        <w:tc>
          <w:tcPr>
            <w:tcW w:w="4230" w:type="dxa"/>
            <w:shd w:val="clear" w:color="auto" w:fill="D9D9D9" w:themeFill="background1" w:themeFillShade="D9"/>
            <w:vAlign w:val="center"/>
          </w:tcPr>
          <w:p w14:paraId="30BBDC27" w14:textId="77777777" w:rsidR="008A6B47" w:rsidRPr="003F2379" w:rsidRDefault="008A6B47" w:rsidP="00015AEB">
            <w:pPr>
              <w:pStyle w:val="TableParagraph"/>
              <w:spacing w:before="0" w:line="234" w:lineRule="exact"/>
              <w:jc w:val="center"/>
              <w:rPr>
                <w:b/>
                <w:bCs/>
                <w:sz w:val="21"/>
              </w:rPr>
            </w:pPr>
            <w:r w:rsidRPr="003F2379">
              <w:rPr>
                <w:b/>
                <w:bCs/>
                <w:spacing w:val="-2"/>
                <w:w w:val="105"/>
                <w:sz w:val="21"/>
              </w:rPr>
              <w:t>Total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1F98FFF" w14:textId="09802A33" w:rsidR="008A6B47" w:rsidRPr="003F2379" w:rsidRDefault="00B60EFD" w:rsidP="00015AEB">
            <w:pPr>
              <w:pStyle w:val="TableParagraph"/>
              <w:spacing w:before="0" w:line="234" w:lineRule="exact"/>
              <w:jc w:val="center"/>
              <w:rPr>
                <w:b/>
                <w:bCs/>
                <w:sz w:val="21"/>
              </w:rPr>
            </w:pPr>
            <w:r>
              <w:rPr>
                <w:b/>
                <w:bCs/>
                <w:sz w:val="21"/>
              </w:rPr>
              <w:t>51</w:t>
            </w:r>
          </w:p>
        </w:tc>
        <w:tc>
          <w:tcPr>
            <w:tcW w:w="2167" w:type="dxa"/>
            <w:shd w:val="clear" w:color="auto" w:fill="D9D9D9" w:themeFill="background1" w:themeFillShade="D9"/>
            <w:vAlign w:val="center"/>
          </w:tcPr>
          <w:p w14:paraId="4E15FC95" w14:textId="4D041B04" w:rsidR="008A6B47" w:rsidRPr="003F2379" w:rsidRDefault="00D16E45" w:rsidP="00015AEB">
            <w:pPr>
              <w:pStyle w:val="TableParagraph"/>
              <w:spacing w:before="0" w:line="234" w:lineRule="exact"/>
              <w:jc w:val="center"/>
              <w:rPr>
                <w:b/>
                <w:bCs/>
                <w:sz w:val="21"/>
              </w:rPr>
            </w:pPr>
            <w:r>
              <w:rPr>
                <w:b/>
                <w:bCs/>
                <w:sz w:val="21"/>
              </w:rPr>
              <w:t>100%</w:t>
            </w:r>
          </w:p>
        </w:tc>
      </w:tr>
    </w:tbl>
    <w:p w14:paraId="3EF7BEE2" w14:textId="77777777" w:rsidR="00924733" w:rsidRDefault="00924733">
      <w:pPr>
        <w:spacing w:line="187" w:lineRule="exact"/>
        <w:rPr>
          <w:sz w:val="18"/>
        </w:rPr>
        <w:sectPr w:rsidR="00924733" w:rsidSect="00015AEB">
          <w:headerReference w:type="default" r:id="rId11"/>
          <w:footerReference w:type="default" r:id="rId12"/>
          <w:type w:val="continuous"/>
          <w:pgSz w:w="12240" w:h="15840"/>
          <w:pgMar w:top="1440" w:right="1440" w:bottom="1440" w:left="1440" w:header="0" w:footer="987" w:gutter="0"/>
          <w:cols w:space="720"/>
          <w:docGrid w:linePitch="299"/>
        </w:sectPr>
      </w:pPr>
      <w:bookmarkStart w:id="1" w:name="_bookmark0"/>
      <w:bookmarkEnd w:id="1"/>
    </w:p>
    <w:p w14:paraId="17CB88F4" w14:textId="77777777" w:rsidR="00924733" w:rsidRDefault="00924733">
      <w:pPr>
        <w:spacing w:line="187" w:lineRule="exact"/>
        <w:rPr>
          <w:sz w:val="18"/>
        </w:rPr>
        <w:sectPr w:rsidR="00924733" w:rsidSect="00015AEB">
          <w:type w:val="continuous"/>
          <w:pgSz w:w="12240" w:h="15840"/>
          <w:pgMar w:top="1440" w:right="1440" w:bottom="1440" w:left="1440" w:header="0" w:footer="987" w:gutter="0"/>
          <w:cols w:space="720"/>
        </w:sectPr>
      </w:pPr>
    </w:p>
    <w:p w14:paraId="6661A739" w14:textId="77777777" w:rsidR="00924733" w:rsidRDefault="00924733">
      <w:pPr>
        <w:spacing w:line="187" w:lineRule="exact"/>
        <w:rPr>
          <w:sz w:val="18"/>
        </w:rPr>
        <w:sectPr w:rsidR="00924733" w:rsidSect="00015AEB">
          <w:type w:val="continuous"/>
          <w:pgSz w:w="12240" w:h="15840"/>
          <w:pgMar w:top="1440" w:right="1440" w:bottom="1440" w:left="1440" w:header="0" w:footer="987" w:gutter="0"/>
          <w:cols w:space="720"/>
        </w:sectPr>
      </w:pPr>
    </w:p>
    <w:p w14:paraId="20C5963D" w14:textId="77777777" w:rsidR="00924733" w:rsidRDefault="00924733">
      <w:pPr>
        <w:spacing w:line="187" w:lineRule="exact"/>
        <w:rPr>
          <w:sz w:val="18"/>
        </w:rPr>
        <w:sectPr w:rsidR="00924733" w:rsidSect="00015AEB">
          <w:type w:val="continuous"/>
          <w:pgSz w:w="12240" w:h="15840"/>
          <w:pgMar w:top="1440" w:right="1440" w:bottom="1440" w:left="1440" w:header="0" w:footer="987" w:gutter="0"/>
          <w:cols w:space="720"/>
        </w:sectPr>
      </w:pPr>
    </w:p>
    <w:p w14:paraId="0465DBC9" w14:textId="77777777" w:rsidR="00924733" w:rsidRDefault="00924733">
      <w:pPr>
        <w:spacing w:line="187" w:lineRule="exact"/>
        <w:rPr>
          <w:sz w:val="18"/>
        </w:rPr>
        <w:sectPr w:rsidR="00924733" w:rsidSect="00015AEB">
          <w:type w:val="continuous"/>
          <w:pgSz w:w="12240" w:h="15840"/>
          <w:pgMar w:top="1440" w:right="1440" w:bottom="1440" w:left="1440" w:header="0" w:footer="987" w:gutter="0"/>
          <w:cols w:space="720"/>
        </w:sectPr>
      </w:pPr>
    </w:p>
    <w:p w14:paraId="4DBBDDDA" w14:textId="3F82BD91" w:rsidR="00F8252C" w:rsidRPr="00015AEB" w:rsidRDefault="00015AEB" w:rsidP="00F64D38">
      <w:pPr>
        <w:jc w:val="center"/>
        <w:rPr>
          <w:b/>
          <w:bCs/>
        </w:rPr>
      </w:pPr>
      <w:r w:rsidRPr="00015AEB">
        <w:rPr>
          <w:b/>
          <w:bCs/>
        </w:rPr>
        <w:t>Table 2: Results by Facility</w:t>
      </w:r>
    </w:p>
    <w:p w14:paraId="00B4ED29" w14:textId="77777777" w:rsidR="00015AEB" w:rsidRDefault="00015AEB"/>
    <w:tbl>
      <w:tblPr>
        <w:tblW w:w="8600" w:type="dxa"/>
        <w:jc w:val="center"/>
        <w:tblLook w:val="04A0" w:firstRow="1" w:lastRow="0" w:firstColumn="1" w:lastColumn="0" w:noHBand="0" w:noVBand="1"/>
      </w:tblPr>
      <w:tblGrid>
        <w:gridCol w:w="5300"/>
        <w:gridCol w:w="1840"/>
        <w:gridCol w:w="1460"/>
      </w:tblGrid>
      <w:tr w:rsidR="00A1421B" w:rsidRPr="00A1421B" w14:paraId="262A886E" w14:textId="77777777" w:rsidTr="00A1421B">
        <w:trPr>
          <w:trHeight w:val="300"/>
          <w:tblHeader/>
          <w:jc w:val="center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CBC1EC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Residential Care Facility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AFF0C8" w14:textId="77777777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RCC-Q Score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B50916" w14:textId="77777777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Late Filer</w:t>
            </w:r>
          </w:p>
        </w:tc>
      </w:tr>
      <w:tr w:rsidR="00A1421B" w:rsidRPr="00A1421B" w14:paraId="133E89DF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AC1E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ANNS REST HOME INC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28C0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181%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32FA" w14:textId="60C8C2B1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4FD7B21B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FCD0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APPLEWOOD HOME FOR ELDERS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3994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96%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AD78" w14:textId="00B55C0E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5841141E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83A9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BEAVEN KELLY HOME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9966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69%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C42F" w14:textId="5B269DAD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52CE8D36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A2F5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lastRenderedPageBreak/>
              <w:t>BROOKHAVEN ASSISTED CARE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F41F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80%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23A1" w14:textId="06A85B2B" w:rsidR="00A1421B" w:rsidRPr="00A1421B" w:rsidRDefault="00D16E45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1421B" w:rsidRPr="00A1421B" w14:paraId="05A8CF01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3385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BROOKHOUSE HOME FOR AGED WOMEN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606C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77%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D6DD" w14:textId="3A42B3DD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0AD004A7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105D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BURGOYNE REST HOME INC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2D55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97%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D591" w14:textId="0B4834C4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0D90E157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4080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CAPE WINDS RH OF HYANNIS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CC01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80%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FB50" w14:textId="324017FD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593D006E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7FB4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CAPE WINDS RH OF SANDWICH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8538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110%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8585" w14:textId="09EB3E5C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50434A2E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4FE2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CHARLTON MANOR REST HOME LLC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5095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80%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5FE9" w14:textId="2D03A42D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6ED0C910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1AD10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CRESCENT MANOR ASSISTED CARE LLC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D837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95%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9B6F" w14:textId="03BE41E3" w:rsidR="00A1421B" w:rsidRPr="00A1421B" w:rsidRDefault="00D16E45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1421B" w:rsidRPr="00A1421B" w14:paraId="3F17A9C3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5F8D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CUSHNG MAN COM SUP FAC INC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5770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104%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31EA" w14:textId="5C0E8399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27042F67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69D2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DALTON REST HOME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8C7D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81%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627E" w14:textId="34660DE1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4095F996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3BA9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DARTMOUTH MANOR REST HOME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50D6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95%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F8CE" w14:textId="37AA1E03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32D07A6C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C7FB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DAUGHTERS OF ST PAUL COMMUNITY FOUNDATION INC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EEAF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63%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9B52" w14:textId="0B784EDC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17D51678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4EB7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DODGE PARK REST HOME LLC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4084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83%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F6A0" w14:textId="091F2C09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7D178A91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B1DD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DONNA KAY REST HOME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BA01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82%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8FE1" w14:textId="391BE51D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5378F5CB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E918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ELIZABETH CATHERINE REST HOME LLC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38D3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89%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EAF1" w14:textId="34F25CF5" w:rsidR="00A1421B" w:rsidRPr="00A1421B" w:rsidRDefault="00D16E45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1421B" w:rsidRPr="00A1421B" w14:paraId="4A549BBF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4935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ELLEN RICE REST HOME INC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C3A0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95%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BB13" w14:textId="24DDB010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2ABB2772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D20B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FAIRMOUNT REST HOME INC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7F4C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90%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5163" w14:textId="3FA38DFD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4408CE4C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0A24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HALE HOUSE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2B46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82%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046E" w14:textId="66F0891B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01035689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0763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HAVENWOOD REST HOME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0434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80%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F022C" w14:textId="4804577F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11DF1A07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85AE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HILLSIDE REST HOME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7F93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81%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FE8D" w14:textId="3A501BBB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5F925256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37DD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HOMESTEAD HALL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8D84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87%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C690" w14:textId="6BDCF325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64A263D2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86C9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IVY HILL ASSISTED CARE LLC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0632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87%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AC5E" w14:textId="50E50562" w:rsidR="00A1421B" w:rsidRPr="00A1421B" w:rsidRDefault="00D16E45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1421B" w:rsidRPr="00A1421B" w14:paraId="4608531E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48AE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LABELLE'S REST HOME INC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9008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83%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3D6D" w14:textId="5F51B75A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59ED6037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7B8B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LATHROP HOME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D6F0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63%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8656" w14:textId="30E50C75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409F9334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090F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LINCOLN HILL MANOR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4858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82%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1663" w14:textId="7D0C6D65" w:rsidR="00A1421B" w:rsidRPr="00A1421B" w:rsidRDefault="00D16E45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1421B" w:rsidRPr="00A1421B" w14:paraId="7EE1EA87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176B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LYNN SHORE REST HOME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6DE2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79%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5CED" w14:textId="3EE790B6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6952A10D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35C1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MARILLAC RESIDENCE INC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BB71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79%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D76F" w14:textId="2F8BCE2C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3DE7AC88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66F0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MILL POND REST HOME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FAF9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148%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F5C7" w14:textId="71572C80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296EDF89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C40E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MOUNT PLEASANT HOME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7A61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81%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881F" w14:textId="44E97A18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0CBEEA30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4F2E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PENNY LANE ASSISTED CARE LLC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78A8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87%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9A86" w14:textId="259FAEDF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15B7430D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EF4F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PETTEE HOUSE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A4F4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94%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12F0" w14:textId="1A4120A5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49636A81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4169A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PLEASANT ACRES RESTHOME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3A55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82%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BC6D" w14:textId="679FA8E9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63B37346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A697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PLEASANT ST REST HOME INC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03BE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79%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6AD6" w14:textId="0682DDBC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578691A1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34F8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PROVIDENCE HOUSE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8855" w14:textId="5F26133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11</w:t>
            </w:r>
            <w:r w:rsidR="00613BF8">
              <w:rPr>
                <w:rFonts w:ascii="Aptos Narrow" w:eastAsia="Times New Roman" w:hAnsi="Aptos Narrow" w:cs="Times New Roman"/>
                <w:color w:val="000000"/>
              </w:rPr>
              <w:t>,</w:t>
            </w:r>
            <w:r w:rsidRPr="00A1421B">
              <w:rPr>
                <w:rFonts w:ascii="Aptos Narrow" w:eastAsia="Times New Roman" w:hAnsi="Aptos Narrow" w:cs="Times New Roman"/>
                <w:color w:val="000000"/>
              </w:rPr>
              <w:t>410%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FA99" w14:textId="4B0D783E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594DB3BA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A35B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RIVER VALLEY REST HOME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857F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79%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1FB9" w14:textId="60CDB200" w:rsidR="00A1421B" w:rsidRPr="00A1421B" w:rsidRDefault="00D16E45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1421B" w:rsidRPr="00A1421B" w14:paraId="3375C88C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D744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ROCKRIDGE/LAUREL PARK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937E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78%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3B0A" w14:textId="24BEE1A9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7327AC37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7B80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SAINT LUKE'S HOME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7FDA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66%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ABEE" w14:textId="1565FE7C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0FA7B485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A341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SERENITY REST HOME, LLC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225C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94%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195C" w14:textId="4E32A302" w:rsidR="00A1421B" w:rsidRPr="00A1421B" w:rsidRDefault="00D16E45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1421B" w:rsidRPr="00A1421B" w14:paraId="0DABEF12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FA7B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ST JOSEPH'S ABBEY RC FAC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A1F3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83%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ADB6" w14:textId="1BA8A8F1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587E33A7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31C0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ST JULIE BILLIART RES CARE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1503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92%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DC3E" w14:textId="3AC4B0B0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4CF279D1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748B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THE GERMAN OLD FOLKS HOME INC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546C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83%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802F" w14:textId="6446D354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2AB22DEF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329A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lastRenderedPageBreak/>
              <w:t>THE WILLOWS AT WORCESTER LLC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8FB0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95%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24B0" w14:textId="6E93271A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5D640EDA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F3EE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VILLAGE REST HOME OF BROCKTON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5356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90%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0727" w14:textId="003190BE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5C4A3E4B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9710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VILLAGE REST HOME OF EASTON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B008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85%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0E97D" w14:textId="4F10CF94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380740D6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B3F1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VILLAGE REST HOME OF LEOMINSTER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0AE0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79%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FF33" w14:textId="75ADEA8A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63E92E34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2E95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VNA SENIOR LIVING - HIGHLAND AVENUE CAMPUS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059F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85%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7D1A" w14:textId="72CBF0AC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61EDFD77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5FFB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WEST VIEW HOME INC.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0786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78%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6211" w14:textId="4B02EA6E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33D7BFD2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1AF87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WILLOWBROOK MANOR REST HOME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6A6B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64%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7E30" w14:textId="347FF405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  <w:tr w:rsidR="00A1421B" w:rsidRPr="00A1421B" w14:paraId="5DF04430" w14:textId="77777777" w:rsidTr="00A1421B">
        <w:trPr>
          <w:trHeight w:val="300"/>
          <w:jc w:val="center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A098" w14:textId="77777777" w:rsidR="00A1421B" w:rsidRPr="00A1421B" w:rsidRDefault="00A1421B" w:rsidP="00A1421B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WINTER HILL REST HOME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B5B0" w14:textId="77777777" w:rsidR="00A1421B" w:rsidRPr="00A1421B" w:rsidRDefault="00A1421B" w:rsidP="00A1421B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81%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F289" w14:textId="417D1CFF" w:rsidR="00A1421B" w:rsidRPr="00A1421B" w:rsidRDefault="00A1421B" w:rsidP="00A1421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1421B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16E45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</w:tr>
    </w:tbl>
    <w:p w14:paraId="31F090D7" w14:textId="77777777" w:rsidR="00015AEB" w:rsidRDefault="00015AEB"/>
    <w:sectPr w:rsidR="00015AEB" w:rsidSect="00015AEB">
      <w:type w:val="continuous"/>
      <w:pgSz w:w="12240" w:h="15840"/>
      <w:pgMar w:top="1440" w:right="1440" w:bottom="1440" w:left="1440" w:header="0" w:footer="9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1B043" w14:textId="77777777" w:rsidR="00E707A4" w:rsidRDefault="00E707A4">
      <w:r>
        <w:separator/>
      </w:r>
    </w:p>
  </w:endnote>
  <w:endnote w:type="continuationSeparator" w:id="0">
    <w:p w14:paraId="5759DB6F" w14:textId="77777777" w:rsidR="00E707A4" w:rsidRDefault="00E707A4">
      <w:r>
        <w:continuationSeparator/>
      </w:r>
    </w:p>
  </w:endnote>
  <w:endnote w:type="continuationNotice" w:id="1">
    <w:p w14:paraId="268CBA82" w14:textId="77777777" w:rsidR="00E707A4" w:rsidRDefault="00E707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480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121D1C" w14:textId="4723A144" w:rsidR="009875EF" w:rsidRDefault="009875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A2DFE2" w14:textId="44F1A9F6" w:rsidR="00924733" w:rsidRDefault="00924733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2C532" w14:textId="77777777" w:rsidR="00E707A4" w:rsidRDefault="00E707A4">
      <w:r>
        <w:separator/>
      </w:r>
    </w:p>
  </w:footnote>
  <w:footnote w:type="continuationSeparator" w:id="0">
    <w:p w14:paraId="023A8859" w14:textId="77777777" w:rsidR="00E707A4" w:rsidRDefault="00E707A4">
      <w:r>
        <w:continuationSeparator/>
      </w:r>
    </w:p>
  </w:footnote>
  <w:footnote w:type="continuationNotice" w:id="1">
    <w:p w14:paraId="3E2EB111" w14:textId="77777777" w:rsidR="00E707A4" w:rsidRDefault="00E707A4"/>
  </w:footnote>
  <w:footnote w:id="2">
    <w:p w14:paraId="1CE78FFC" w14:textId="52F2A417" w:rsidR="00DE4CD6" w:rsidRPr="00843747" w:rsidRDefault="00DE4CD6" w:rsidP="00DE4CD6">
      <w:pPr>
        <w:pStyle w:val="FootnoteText"/>
        <w:rPr>
          <w:rFonts w:asciiTheme="minorHAnsi" w:hAnsiTheme="minorHAnsi" w:cstheme="minorHAnsi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Theme="minorHAnsi" w:hAnsiTheme="minorHAnsi" w:cstheme="minorHAnsi"/>
        </w:rPr>
        <w:t xml:space="preserve">Counts </w:t>
      </w:r>
      <w:r w:rsidR="0085089D">
        <w:rPr>
          <w:rFonts w:asciiTheme="minorHAnsi" w:hAnsiTheme="minorHAnsi" w:cstheme="minorHAnsi"/>
        </w:rPr>
        <w:t xml:space="preserve">in Table 1 </w:t>
      </w:r>
      <w:r>
        <w:rPr>
          <w:rFonts w:asciiTheme="minorHAnsi" w:hAnsiTheme="minorHAnsi" w:cstheme="minorHAnsi"/>
        </w:rPr>
        <w:t xml:space="preserve">are determined by unrounded </w:t>
      </w:r>
      <w:r w:rsidR="00CD6F17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CC</w:t>
      </w:r>
      <w:r w:rsidR="003C675E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Q results, while Table 2 presents </w:t>
      </w:r>
      <w:r w:rsidR="00036C80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CC</w:t>
      </w:r>
      <w:r w:rsidR="00D02174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Q values as rounded whole numbers.</w:t>
      </w:r>
    </w:p>
  </w:footnote>
  <w:footnote w:id="3">
    <w:p w14:paraId="4E6A3B76" w14:textId="0CB443C0" w:rsidR="00A678F0" w:rsidRDefault="00A678F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E07B4" w:rsidRPr="0029413F">
        <w:rPr>
          <w:rFonts w:asciiTheme="minorHAnsi" w:hAnsiTheme="minorHAnsi" w:cstheme="minorHAnsi"/>
        </w:rPr>
        <w:t xml:space="preserve">Rate adjustments are applied </w:t>
      </w:r>
      <w:r w:rsidR="00924057" w:rsidRPr="0029413F">
        <w:rPr>
          <w:rFonts w:asciiTheme="minorHAnsi" w:hAnsiTheme="minorHAnsi" w:cstheme="minorHAnsi"/>
        </w:rPr>
        <w:t xml:space="preserve">if a facility is a full percentage point below 80%, not to exceed a penalty of 5%. </w:t>
      </w:r>
      <w:r w:rsidR="009641DE">
        <w:rPr>
          <w:rFonts w:asciiTheme="minorHAnsi" w:hAnsiTheme="minorHAnsi" w:cstheme="minorHAnsi"/>
        </w:rPr>
        <w:t>Fac</w:t>
      </w:r>
      <w:r w:rsidR="006F3024">
        <w:rPr>
          <w:rFonts w:asciiTheme="minorHAnsi" w:hAnsiTheme="minorHAnsi" w:cstheme="minorHAnsi"/>
        </w:rPr>
        <w:t xml:space="preserve">ilities with </w:t>
      </w:r>
      <w:r w:rsidR="00CA5E0E">
        <w:rPr>
          <w:rFonts w:asciiTheme="minorHAnsi" w:hAnsiTheme="minorHAnsi" w:cstheme="minorHAnsi"/>
        </w:rPr>
        <w:t>fewer than 1,700</w:t>
      </w:r>
      <w:r w:rsidR="006F3024">
        <w:rPr>
          <w:rFonts w:asciiTheme="minorHAnsi" w:hAnsiTheme="minorHAnsi" w:cstheme="minorHAnsi"/>
        </w:rPr>
        <w:t xml:space="preserve"> </w:t>
      </w:r>
      <w:r w:rsidR="004149B5">
        <w:rPr>
          <w:rFonts w:asciiTheme="minorHAnsi" w:hAnsiTheme="minorHAnsi" w:cstheme="minorHAnsi"/>
        </w:rPr>
        <w:t>publicly</w:t>
      </w:r>
      <w:r w:rsidR="0093211D">
        <w:rPr>
          <w:rFonts w:asciiTheme="minorHAnsi" w:hAnsiTheme="minorHAnsi" w:cstheme="minorHAnsi"/>
        </w:rPr>
        <w:t>-funded days</w:t>
      </w:r>
      <w:r w:rsidR="00282A5D">
        <w:rPr>
          <w:rFonts w:asciiTheme="minorHAnsi" w:hAnsiTheme="minorHAnsi" w:cstheme="minorHAnsi"/>
        </w:rPr>
        <w:t>,</w:t>
      </w:r>
      <w:r w:rsidR="00225CF1">
        <w:rPr>
          <w:rFonts w:asciiTheme="minorHAnsi" w:hAnsiTheme="minorHAnsi" w:cstheme="minorHAnsi"/>
        </w:rPr>
        <w:t xml:space="preserve"> as reported </w:t>
      </w:r>
      <w:r w:rsidR="00C672FD">
        <w:rPr>
          <w:rFonts w:asciiTheme="minorHAnsi" w:hAnsiTheme="minorHAnsi" w:cstheme="minorHAnsi"/>
        </w:rPr>
        <w:t>in the facility’s most recent cost report filing</w:t>
      </w:r>
      <w:r w:rsidR="00282A5D">
        <w:rPr>
          <w:rFonts w:asciiTheme="minorHAnsi" w:hAnsiTheme="minorHAnsi" w:cstheme="minorHAnsi"/>
        </w:rPr>
        <w:t>,</w:t>
      </w:r>
      <w:r w:rsidR="00C672FD">
        <w:rPr>
          <w:rFonts w:asciiTheme="minorHAnsi" w:hAnsiTheme="minorHAnsi" w:cstheme="minorHAnsi"/>
        </w:rPr>
        <w:t xml:space="preserve"> are exempt from </w:t>
      </w:r>
      <w:r w:rsidR="00857D43">
        <w:rPr>
          <w:rFonts w:asciiTheme="minorHAnsi" w:hAnsiTheme="minorHAnsi" w:cstheme="minorHAnsi"/>
        </w:rPr>
        <w:t>the downward adjustment (</w:t>
      </w:r>
      <w:r w:rsidR="00B44875">
        <w:rPr>
          <w:rFonts w:asciiTheme="minorHAnsi" w:hAnsiTheme="minorHAnsi" w:cstheme="minorHAnsi"/>
        </w:rPr>
        <w:t xml:space="preserve">see </w:t>
      </w:r>
      <w:hyperlink r:id="rId1" w:history="1">
        <w:r w:rsidR="000627C9" w:rsidRPr="005F5CA3">
          <w:rPr>
            <w:rStyle w:val="Hyperlink"/>
            <w:rFonts w:asciiTheme="minorHAnsi" w:hAnsiTheme="minorHAnsi" w:cstheme="minorHAnsi"/>
          </w:rPr>
          <w:t>101 CMR 204.10(</w:t>
        </w:r>
        <w:r w:rsidR="00855015" w:rsidRPr="005F5CA3">
          <w:rPr>
            <w:rStyle w:val="Hyperlink"/>
            <w:rFonts w:asciiTheme="minorHAnsi" w:hAnsiTheme="minorHAnsi" w:cstheme="minorHAnsi"/>
          </w:rPr>
          <w:t>5)</w:t>
        </w:r>
      </w:hyperlink>
      <w:r w:rsidR="00855015">
        <w:rPr>
          <w:rFonts w:asciiTheme="minorHAnsi" w:hAnsiTheme="minorHAnsi" w:cstheme="minorHAnsi"/>
        </w:rPr>
        <w:t>).</w:t>
      </w:r>
    </w:p>
  </w:footnote>
  <w:footnote w:id="4">
    <w:p w14:paraId="0BCA404C" w14:textId="7CFE5DF4" w:rsidR="008A6B47" w:rsidRDefault="008A6B4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/>
        </w:rPr>
        <w:t>RCC-Q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scores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over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100%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may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reflect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cost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revenue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fluctuations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during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particular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2"/>
        </w:rPr>
        <w:t>period.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72192" w14:textId="77777777" w:rsidR="009467B5" w:rsidRDefault="009467B5" w:rsidP="009467B5">
    <w:pPr>
      <w:pStyle w:val="Title"/>
      <w:spacing w:before="64"/>
      <w:ind w:left="0" w:right="30"/>
    </w:pPr>
    <w:bookmarkStart w:id="0" w:name="DCC-Q_REPORT_July_1,_2021_–_June_30,_202"/>
    <w:bookmarkEnd w:id="0"/>
  </w:p>
  <w:p w14:paraId="42B02D54" w14:textId="3C216E1A" w:rsidR="009467B5" w:rsidRDefault="00710EC5" w:rsidP="009467B5">
    <w:pPr>
      <w:pStyle w:val="Title"/>
      <w:spacing w:before="64"/>
      <w:ind w:left="0" w:right="30"/>
    </w:pPr>
    <w:r>
      <w:t>Resident Care Facility</w:t>
    </w:r>
    <w:r w:rsidR="009467B5">
      <w:t xml:space="preserve"> Cost Quotient (</w:t>
    </w:r>
    <w:r>
      <w:t>R</w:t>
    </w:r>
    <w:r w:rsidR="009467B5">
      <w:t>CC-Q)</w:t>
    </w:r>
  </w:p>
  <w:p w14:paraId="7BC7B75E" w14:textId="4DC882C4" w:rsidR="009467B5" w:rsidRDefault="009467B5" w:rsidP="009467B5">
    <w:pPr>
      <w:pStyle w:val="Title"/>
      <w:ind w:left="0" w:right="30"/>
    </w:pPr>
    <w:r>
      <w:t>Fiscal Year 202</w:t>
    </w:r>
    <w:r w:rsidR="00E83F36">
      <w:t>4</w:t>
    </w:r>
    <w:r>
      <w:t xml:space="preserve"> Reporting Period </w:t>
    </w:r>
  </w:p>
  <w:p w14:paraId="0480CAA5" w14:textId="77777777" w:rsidR="009467B5" w:rsidRDefault="009467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35E13"/>
    <w:multiLevelType w:val="hybridMultilevel"/>
    <w:tmpl w:val="8D4ABD78"/>
    <w:lvl w:ilvl="0" w:tplc="312CCCDA">
      <w:numFmt w:val="bullet"/>
      <w:lvlText w:val="•"/>
      <w:lvlJc w:val="left"/>
      <w:pPr>
        <w:ind w:left="942" w:hanging="353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FDADA86">
      <w:numFmt w:val="bullet"/>
      <w:lvlText w:val="•"/>
      <w:lvlJc w:val="left"/>
      <w:pPr>
        <w:ind w:left="1848" w:hanging="353"/>
      </w:pPr>
      <w:rPr>
        <w:rFonts w:hint="default"/>
        <w:lang w:val="en-US" w:eastAsia="en-US" w:bidi="ar-SA"/>
      </w:rPr>
    </w:lvl>
    <w:lvl w:ilvl="2" w:tplc="080E8482">
      <w:numFmt w:val="bullet"/>
      <w:lvlText w:val="•"/>
      <w:lvlJc w:val="left"/>
      <w:pPr>
        <w:ind w:left="2756" w:hanging="353"/>
      </w:pPr>
      <w:rPr>
        <w:rFonts w:hint="default"/>
        <w:lang w:val="en-US" w:eastAsia="en-US" w:bidi="ar-SA"/>
      </w:rPr>
    </w:lvl>
    <w:lvl w:ilvl="3" w:tplc="D988CD62">
      <w:numFmt w:val="bullet"/>
      <w:lvlText w:val="•"/>
      <w:lvlJc w:val="left"/>
      <w:pPr>
        <w:ind w:left="3664" w:hanging="353"/>
      </w:pPr>
      <w:rPr>
        <w:rFonts w:hint="default"/>
        <w:lang w:val="en-US" w:eastAsia="en-US" w:bidi="ar-SA"/>
      </w:rPr>
    </w:lvl>
    <w:lvl w:ilvl="4" w:tplc="A82E8BC6">
      <w:numFmt w:val="bullet"/>
      <w:lvlText w:val="•"/>
      <w:lvlJc w:val="left"/>
      <w:pPr>
        <w:ind w:left="4572" w:hanging="353"/>
      </w:pPr>
      <w:rPr>
        <w:rFonts w:hint="default"/>
        <w:lang w:val="en-US" w:eastAsia="en-US" w:bidi="ar-SA"/>
      </w:rPr>
    </w:lvl>
    <w:lvl w:ilvl="5" w:tplc="D54E9DC0">
      <w:numFmt w:val="bullet"/>
      <w:lvlText w:val="•"/>
      <w:lvlJc w:val="left"/>
      <w:pPr>
        <w:ind w:left="5480" w:hanging="353"/>
      </w:pPr>
      <w:rPr>
        <w:rFonts w:hint="default"/>
        <w:lang w:val="en-US" w:eastAsia="en-US" w:bidi="ar-SA"/>
      </w:rPr>
    </w:lvl>
    <w:lvl w:ilvl="6" w:tplc="393E49CE">
      <w:numFmt w:val="bullet"/>
      <w:lvlText w:val="•"/>
      <w:lvlJc w:val="left"/>
      <w:pPr>
        <w:ind w:left="6388" w:hanging="353"/>
      </w:pPr>
      <w:rPr>
        <w:rFonts w:hint="default"/>
        <w:lang w:val="en-US" w:eastAsia="en-US" w:bidi="ar-SA"/>
      </w:rPr>
    </w:lvl>
    <w:lvl w:ilvl="7" w:tplc="B76AE65E">
      <w:numFmt w:val="bullet"/>
      <w:lvlText w:val="•"/>
      <w:lvlJc w:val="left"/>
      <w:pPr>
        <w:ind w:left="7296" w:hanging="353"/>
      </w:pPr>
      <w:rPr>
        <w:rFonts w:hint="default"/>
        <w:lang w:val="en-US" w:eastAsia="en-US" w:bidi="ar-SA"/>
      </w:rPr>
    </w:lvl>
    <w:lvl w:ilvl="8" w:tplc="2C669B7C">
      <w:numFmt w:val="bullet"/>
      <w:lvlText w:val="•"/>
      <w:lvlJc w:val="left"/>
      <w:pPr>
        <w:ind w:left="8204" w:hanging="353"/>
      </w:pPr>
      <w:rPr>
        <w:rFonts w:hint="default"/>
        <w:lang w:val="en-US" w:eastAsia="en-US" w:bidi="ar-SA"/>
      </w:rPr>
    </w:lvl>
  </w:abstractNum>
  <w:num w:numId="1" w16cid:durableId="31464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733"/>
    <w:rsid w:val="00005FD8"/>
    <w:rsid w:val="00007E9A"/>
    <w:rsid w:val="00015AEB"/>
    <w:rsid w:val="0002381D"/>
    <w:rsid w:val="00036615"/>
    <w:rsid w:val="00036C80"/>
    <w:rsid w:val="00043410"/>
    <w:rsid w:val="000627C9"/>
    <w:rsid w:val="00080594"/>
    <w:rsid w:val="00081E3E"/>
    <w:rsid w:val="000A31F1"/>
    <w:rsid w:val="000A6249"/>
    <w:rsid w:val="000C4F55"/>
    <w:rsid w:val="000C7EB6"/>
    <w:rsid w:val="000D1180"/>
    <w:rsid w:val="000D13DF"/>
    <w:rsid w:val="000E3C59"/>
    <w:rsid w:val="000E6C02"/>
    <w:rsid w:val="000F0EEA"/>
    <w:rsid w:val="000F5350"/>
    <w:rsid w:val="000F7AA7"/>
    <w:rsid w:val="001046C4"/>
    <w:rsid w:val="0013075D"/>
    <w:rsid w:val="00133DC5"/>
    <w:rsid w:val="00136453"/>
    <w:rsid w:val="001412D5"/>
    <w:rsid w:val="00142756"/>
    <w:rsid w:val="00150D5D"/>
    <w:rsid w:val="00153BDD"/>
    <w:rsid w:val="00155277"/>
    <w:rsid w:val="001816D0"/>
    <w:rsid w:val="0019733F"/>
    <w:rsid w:val="001B3506"/>
    <w:rsid w:val="001B708C"/>
    <w:rsid w:val="001C3115"/>
    <w:rsid w:val="001C3276"/>
    <w:rsid w:val="001D00A5"/>
    <w:rsid w:val="001E515A"/>
    <w:rsid w:val="001F551E"/>
    <w:rsid w:val="001F71FB"/>
    <w:rsid w:val="0020543D"/>
    <w:rsid w:val="0021281D"/>
    <w:rsid w:val="00212E2C"/>
    <w:rsid w:val="002231EE"/>
    <w:rsid w:val="00225CF1"/>
    <w:rsid w:val="0023351B"/>
    <w:rsid w:val="00241FA2"/>
    <w:rsid w:val="002473D5"/>
    <w:rsid w:val="00247AFA"/>
    <w:rsid w:val="00254E2D"/>
    <w:rsid w:val="0027305D"/>
    <w:rsid w:val="00274052"/>
    <w:rsid w:val="002804C4"/>
    <w:rsid w:val="00282A5D"/>
    <w:rsid w:val="0028556E"/>
    <w:rsid w:val="00285D3C"/>
    <w:rsid w:val="00286A8D"/>
    <w:rsid w:val="0029413F"/>
    <w:rsid w:val="00297593"/>
    <w:rsid w:val="002A2545"/>
    <w:rsid w:val="002A3379"/>
    <w:rsid w:val="002A5D32"/>
    <w:rsid w:val="002B3ACC"/>
    <w:rsid w:val="002C04DB"/>
    <w:rsid w:val="002E1737"/>
    <w:rsid w:val="002E7F5E"/>
    <w:rsid w:val="002F0F02"/>
    <w:rsid w:val="00302818"/>
    <w:rsid w:val="0032298E"/>
    <w:rsid w:val="00332E38"/>
    <w:rsid w:val="00354301"/>
    <w:rsid w:val="00355590"/>
    <w:rsid w:val="00365A7C"/>
    <w:rsid w:val="00376150"/>
    <w:rsid w:val="0038495C"/>
    <w:rsid w:val="003903B4"/>
    <w:rsid w:val="00391645"/>
    <w:rsid w:val="00396034"/>
    <w:rsid w:val="003A4439"/>
    <w:rsid w:val="003A4C6E"/>
    <w:rsid w:val="003C6104"/>
    <w:rsid w:val="003C675E"/>
    <w:rsid w:val="003C6CE1"/>
    <w:rsid w:val="003D69E7"/>
    <w:rsid w:val="003D7C1A"/>
    <w:rsid w:val="003E3B54"/>
    <w:rsid w:val="003F13D9"/>
    <w:rsid w:val="003F2379"/>
    <w:rsid w:val="004054A4"/>
    <w:rsid w:val="004149B5"/>
    <w:rsid w:val="00422FFD"/>
    <w:rsid w:val="00435A1C"/>
    <w:rsid w:val="00442E6E"/>
    <w:rsid w:val="0044382F"/>
    <w:rsid w:val="00444016"/>
    <w:rsid w:val="00463EAB"/>
    <w:rsid w:val="004977E6"/>
    <w:rsid w:val="004A4796"/>
    <w:rsid w:val="004B6A54"/>
    <w:rsid w:val="004E313C"/>
    <w:rsid w:val="004F2A24"/>
    <w:rsid w:val="005124A7"/>
    <w:rsid w:val="0051717D"/>
    <w:rsid w:val="0052257B"/>
    <w:rsid w:val="00522EAB"/>
    <w:rsid w:val="0052530A"/>
    <w:rsid w:val="00542DEE"/>
    <w:rsid w:val="00551FB8"/>
    <w:rsid w:val="00573A01"/>
    <w:rsid w:val="00575FCC"/>
    <w:rsid w:val="005B0537"/>
    <w:rsid w:val="005B10D3"/>
    <w:rsid w:val="005B2672"/>
    <w:rsid w:val="005B7203"/>
    <w:rsid w:val="005E07B4"/>
    <w:rsid w:val="005E268A"/>
    <w:rsid w:val="005E517D"/>
    <w:rsid w:val="005F5CA3"/>
    <w:rsid w:val="00602DBC"/>
    <w:rsid w:val="00605399"/>
    <w:rsid w:val="00613BF8"/>
    <w:rsid w:val="00626128"/>
    <w:rsid w:val="006269E9"/>
    <w:rsid w:val="006304BD"/>
    <w:rsid w:val="00631C34"/>
    <w:rsid w:val="00636999"/>
    <w:rsid w:val="006446FA"/>
    <w:rsid w:val="00654DE6"/>
    <w:rsid w:val="006670B9"/>
    <w:rsid w:val="0069134D"/>
    <w:rsid w:val="00693226"/>
    <w:rsid w:val="006B6897"/>
    <w:rsid w:val="006B7C96"/>
    <w:rsid w:val="006C1C3C"/>
    <w:rsid w:val="006E50A8"/>
    <w:rsid w:val="006E5922"/>
    <w:rsid w:val="006F3024"/>
    <w:rsid w:val="00701A54"/>
    <w:rsid w:val="00710EC5"/>
    <w:rsid w:val="007144DC"/>
    <w:rsid w:val="00720365"/>
    <w:rsid w:val="007225F3"/>
    <w:rsid w:val="00736CDC"/>
    <w:rsid w:val="007370F9"/>
    <w:rsid w:val="0074310B"/>
    <w:rsid w:val="00750DC6"/>
    <w:rsid w:val="007608AD"/>
    <w:rsid w:val="00777CF7"/>
    <w:rsid w:val="0079196C"/>
    <w:rsid w:val="007B25FE"/>
    <w:rsid w:val="007B3EF0"/>
    <w:rsid w:val="007B5AC4"/>
    <w:rsid w:val="007C1F99"/>
    <w:rsid w:val="007C5795"/>
    <w:rsid w:val="007D4932"/>
    <w:rsid w:val="007D5387"/>
    <w:rsid w:val="007E5221"/>
    <w:rsid w:val="007E620C"/>
    <w:rsid w:val="007F1BD0"/>
    <w:rsid w:val="0080116D"/>
    <w:rsid w:val="008128D3"/>
    <w:rsid w:val="008158FD"/>
    <w:rsid w:val="008261A7"/>
    <w:rsid w:val="00826E1B"/>
    <w:rsid w:val="0083061D"/>
    <w:rsid w:val="0083170E"/>
    <w:rsid w:val="0083489B"/>
    <w:rsid w:val="00850018"/>
    <w:rsid w:val="0085089D"/>
    <w:rsid w:val="00855015"/>
    <w:rsid w:val="00857D43"/>
    <w:rsid w:val="008A6B47"/>
    <w:rsid w:val="008B292E"/>
    <w:rsid w:val="008E7DE0"/>
    <w:rsid w:val="008F13EF"/>
    <w:rsid w:val="00912315"/>
    <w:rsid w:val="009126E1"/>
    <w:rsid w:val="00924057"/>
    <w:rsid w:val="00924733"/>
    <w:rsid w:val="0093211D"/>
    <w:rsid w:val="00935339"/>
    <w:rsid w:val="0094422E"/>
    <w:rsid w:val="00945E96"/>
    <w:rsid w:val="009467B5"/>
    <w:rsid w:val="0095287F"/>
    <w:rsid w:val="009641DE"/>
    <w:rsid w:val="009802E5"/>
    <w:rsid w:val="00981008"/>
    <w:rsid w:val="00985521"/>
    <w:rsid w:val="009875EF"/>
    <w:rsid w:val="009B3E30"/>
    <w:rsid w:val="009B5ECE"/>
    <w:rsid w:val="009C0806"/>
    <w:rsid w:val="009C0D7D"/>
    <w:rsid w:val="009F1F8F"/>
    <w:rsid w:val="00A01C4A"/>
    <w:rsid w:val="00A07A58"/>
    <w:rsid w:val="00A07F40"/>
    <w:rsid w:val="00A1421B"/>
    <w:rsid w:val="00A237A9"/>
    <w:rsid w:val="00A23BAF"/>
    <w:rsid w:val="00A33FF3"/>
    <w:rsid w:val="00A57F8F"/>
    <w:rsid w:val="00A602D8"/>
    <w:rsid w:val="00A62343"/>
    <w:rsid w:val="00A678F0"/>
    <w:rsid w:val="00A7175A"/>
    <w:rsid w:val="00A92575"/>
    <w:rsid w:val="00AC3B3A"/>
    <w:rsid w:val="00AE0F42"/>
    <w:rsid w:val="00AF29B0"/>
    <w:rsid w:val="00AF40D5"/>
    <w:rsid w:val="00AF7534"/>
    <w:rsid w:val="00B00AEC"/>
    <w:rsid w:val="00B05092"/>
    <w:rsid w:val="00B33E9B"/>
    <w:rsid w:val="00B44875"/>
    <w:rsid w:val="00B5316F"/>
    <w:rsid w:val="00B542ED"/>
    <w:rsid w:val="00B60EFD"/>
    <w:rsid w:val="00B61682"/>
    <w:rsid w:val="00B635FB"/>
    <w:rsid w:val="00B70465"/>
    <w:rsid w:val="00B746B8"/>
    <w:rsid w:val="00B80FEF"/>
    <w:rsid w:val="00B8187F"/>
    <w:rsid w:val="00B8548B"/>
    <w:rsid w:val="00B85933"/>
    <w:rsid w:val="00BA40D7"/>
    <w:rsid w:val="00BB1143"/>
    <w:rsid w:val="00BC52A0"/>
    <w:rsid w:val="00BD2246"/>
    <w:rsid w:val="00BE5ED0"/>
    <w:rsid w:val="00BF266C"/>
    <w:rsid w:val="00BF40AA"/>
    <w:rsid w:val="00BF5D54"/>
    <w:rsid w:val="00C14AC3"/>
    <w:rsid w:val="00C230CE"/>
    <w:rsid w:val="00C24681"/>
    <w:rsid w:val="00C3579A"/>
    <w:rsid w:val="00C412A9"/>
    <w:rsid w:val="00C42885"/>
    <w:rsid w:val="00C61383"/>
    <w:rsid w:val="00C65D32"/>
    <w:rsid w:val="00C672FD"/>
    <w:rsid w:val="00C8672A"/>
    <w:rsid w:val="00CA1059"/>
    <w:rsid w:val="00CA5182"/>
    <w:rsid w:val="00CA5E0E"/>
    <w:rsid w:val="00CC11A4"/>
    <w:rsid w:val="00CD2C42"/>
    <w:rsid w:val="00CD6242"/>
    <w:rsid w:val="00CD6F17"/>
    <w:rsid w:val="00CE0D62"/>
    <w:rsid w:val="00CF3AAF"/>
    <w:rsid w:val="00D00038"/>
    <w:rsid w:val="00D02174"/>
    <w:rsid w:val="00D14201"/>
    <w:rsid w:val="00D151CA"/>
    <w:rsid w:val="00D16E45"/>
    <w:rsid w:val="00D2155F"/>
    <w:rsid w:val="00D23322"/>
    <w:rsid w:val="00D30229"/>
    <w:rsid w:val="00D36A20"/>
    <w:rsid w:val="00D5210D"/>
    <w:rsid w:val="00D63979"/>
    <w:rsid w:val="00D65E52"/>
    <w:rsid w:val="00D77D4B"/>
    <w:rsid w:val="00D840E9"/>
    <w:rsid w:val="00D9668C"/>
    <w:rsid w:val="00DC0366"/>
    <w:rsid w:val="00DC400F"/>
    <w:rsid w:val="00DC59ED"/>
    <w:rsid w:val="00DC6BDF"/>
    <w:rsid w:val="00DC72E9"/>
    <w:rsid w:val="00DE4CD6"/>
    <w:rsid w:val="00DF3672"/>
    <w:rsid w:val="00E239DA"/>
    <w:rsid w:val="00E2581F"/>
    <w:rsid w:val="00E36A90"/>
    <w:rsid w:val="00E479C0"/>
    <w:rsid w:val="00E55E65"/>
    <w:rsid w:val="00E62921"/>
    <w:rsid w:val="00E62B5D"/>
    <w:rsid w:val="00E707A4"/>
    <w:rsid w:val="00E83F36"/>
    <w:rsid w:val="00E929B0"/>
    <w:rsid w:val="00EB4F7F"/>
    <w:rsid w:val="00EC3B8F"/>
    <w:rsid w:val="00EE08CC"/>
    <w:rsid w:val="00EE2546"/>
    <w:rsid w:val="00F14CE7"/>
    <w:rsid w:val="00F21E9A"/>
    <w:rsid w:val="00F35BBC"/>
    <w:rsid w:val="00F369C8"/>
    <w:rsid w:val="00F3720D"/>
    <w:rsid w:val="00F416EF"/>
    <w:rsid w:val="00F62256"/>
    <w:rsid w:val="00F62644"/>
    <w:rsid w:val="00F64D38"/>
    <w:rsid w:val="00F67018"/>
    <w:rsid w:val="00F72B42"/>
    <w:rsid w:val="00F75B87"/>
    <w:rsid w:val="00F80F57"/>
    <w:rsid w:val="00F8252C"/>
    <w:rsid w:val="00F82E07"/>
    <w:rsid w:val="00FA7208"/>
    <w:rsid w:val="00FD2A2A"/>
    <w:rsid w:val="00FD5E06"/>
    <w:rsid w:val="00FE447E"/>
    <w:rsid w:val="00FF69EB"/>
    <w:rsid w:val="2CBEB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5FE7D"/>
  <w15:docId w15:val="{925A6C85-1608-420F-B09C-8F4A5A61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252" w:lineRule="exact"/>
      <w:ind w:left="3619" w:right="3479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942" w:right="426" w:hanging="353"/>
    </w:pPr>
  </w:style>
  <w:style w:type="paragraph" w:customStyle="1" w:styleId="TableParagraph">
    <w:name w:val="Table Paragraph"/>
    <w:basedOn w:val="Normal"/>
    <w:uiPriority w:val="1"/>
    <w:qFormat/>
    <w:pPr>
      <w:spacing w:before="43"/>
      <w:jc w:val="righ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C579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5795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579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F367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3672"/>
    <w:rPr>
      <w:color w:val="954F72"/>
      <w:u w:val="single"/>
    </w:rPr>
  </w:style>
  <w:style w:type="paragraph" w:customStyle="1" w:styleId="msonormal0">
    <w:name w:val="msonormal"/>
    <w:basedOn w:val="Normal"/>
    <w:rsid w:val="00DF36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DF36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DF36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"/>
    <w:rsid w:val="00DF36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DF36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DF3672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DF36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DF36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DF36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F29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9B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F29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9B0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CD2C42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D65E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5E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5E52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E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E52"/>
    <w:rPr>
      <w:rFonts w:ascii="Arial" w:eastAsia="Arial" w:hAnsi="Arial" w:cs="Arial"/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341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3410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43410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613BF8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A44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1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doc/rates-of-payment-to-resident-care-facilities-effective-january-1-2024-0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80ED93B4A42A4FA46C5E3364273B79" ma:contentTypeVersion="12" ma:contentTypeDescription="Create a new document." ma:contentTypeScope="" ma:versionID="3c2bc421a9ecee8aee30182a810ad985">
  <xsd:schema xmlns:xsd="http://www.w3.org/2001/XMLSchema" xmlns:xs="http://www.w3.org/2001/XMLSchema" xmlns:p="http://schemas.microsoft.com/office/2006/metadata/properties" xmlns:ns2="8a0307c1-1c4b-4781-b0a2-b04cf14e6a05" xmlns:ns3="3f0e7703-b883-40ef-9672-3a4cdc8fce9b" targetNamespace="http://schemas.microsoft.com/office/2006/metadata/properties" ma:root="true" ma:fieldsID="c784e96e09691e3293656378b80de2f8" ns2:_="" ns3:_="">
    <xsd:import namespace="8a0307c1-1c4b-4781-b0a2-b04cf14e6a05"/>
    <xsd:import namespace="3f0e7703-b883-40ef-9672-3a4cdc8fce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307c1-1c4b-4781-b0a2-b04cf14e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e7703-b883-40ef-9672-3a4cdc8fce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6C886-68AD-49A2-908D-C6744B064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307c1-1c4b-4781-b0a2-b04cf14e6a05"/>
    <ds:schemaRef ds:uri="3f0e7703-b883-40ef-9672-3a4cdc8fce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BFA8D4-43FD-4976-AF16-DC90078538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3001ED-4AA0-4BA6-9F60-F0326D38B8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3851F5-4B26-4B97-81DA-4CD3CC7F3B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Terpelets, Pavel (EHS)</dc:creator>
  <cp:keywords/>
  <cp:lastModifiedBy>Briand, Dayva</cp:lastModifiedBy>
  <cp:revision>2</cp:revision>
  <dcterms:created xsi:type="dcterms:W3CDTF">2025-07-11T16:06:00Z</dcterms:created>
  <dcterms:modified xsi:type="dcterms:W3CDTF">2025-07-11T16:06:00Z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2023-09-25T00:00:00Z</vt:filetime>
  </property>
  <property fmtid="{D5CDD505-2E9C-101B-9397-08002B2CF9AE}" pid="5" name="Producer">
    <vt:lpwstr>Adobe PDF Library 22.3.58</vt:lpwstr>
  </property>
  <property fmtid="{D5CDD505-2E9C-101B-9397-08002B2CF9AE}" pid="6" name="SourceModified">
    <vt:lpwstr>D:20221208142054</vt:lpwstr>
  </property>
  <property fmtid="{D5CDD505-2E9C-101B-9397-08002B2CF9AE}" pid="7" name="ContentTypeId">
    <vt:lpwstr>0x0101005C80ED93B4A42A4FA46C5E3364273B79</vt:lpwstr>
  </property>
</Properties>
</file>