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5E" w:rsidRPr="00702391" w:rsidRDefault="00757E5E" w:rsidP="00757E5E">
      <w:pPr>
        <w:pStyle w:val="Title"/>
        <w:rPr>
          <w:color w:val="000000" w:themeColor="text1"/>
        </w:rPr>
      </w:pPr>
      <w:bookmarkStart w:id="0" w:name="_GoBack"/>
      <w:bookmarkEnd w:id="0"/>
      <w:r w:rsidRPr="00702391">
        <w:rPr>
          <w:color w:val="000000" w:themeColor="text1"/>
        </w:rPr>
        <w:t>COMMONWEALTH OF MASSACHUSETTS</w:t>
      </w:r>
    </w:p>
    <w:p w:rsidR="00702391" w:rsidRPr="00702391" w:rsidRDefault="00702391" w:rsidP="00757E5E">
      <w:pPr>
        <w:pStyle w:val="Title"/>
        <w:rPr>
          <w:color w:val="000000" w:themeColor="text1"/>
        </w:rPr>
      </w:pPr>
    </w:p>
    <w:p w:rsidR="00757E5E" w:rsidRPr="00702391" w:rsidRDefault="00757E5E" w:rsidP="00757E5E">
      <w:pPr>
        <w:jc w:val="center"/>
        <w:rPr>
          <w:rFonts w:ascii="Courier New" w:hAnsi="Courier New" w:cs="Courier New"/>
          <w:b/>
          <w:bCs/>
          <w:color w:val="000000" w:themeColor="text1"/>
        </w:rPr>
      </w:pPr>
      <w:r w:rsidRPr="00702391">
        <w:rPr>
          <w:rFonts w:ascii="Courier New" w:hAnsi="Courier New" w:cs="Courier New"/>
          <w:b/>
          <w:bCs/>
          <w:color w:val="000000" w:themeColor="text1"/>
        </w:rPr>
        <w:t>APPELLATE TAX BOARD</w:t>
      </w:r>
    </w:p>
    <w:p w:rsidR="00757E5E" w:rsidRPr="00702391" w:rsidRDefault="00757E5E" w:rsidP="00757E5E">
      <w:pPr>
        <w:jc w:val="center"/>
        <w:rPr>
          <w:color w:val="000000" w:themeColor="text1"/>
        </w:rPr>
      </w:pPr>
    </w:p>
    <w:p w:rsidR="00757E5E" w:rsidRPr="00702391" w:rsidRDefault="00757E5E" w:rsidP="00757E5E">
      <w:pPr>
        <w:pStyle w:val="Heading1"/>
        <w:rPr>
          <w:rFonts w:eastAsia="Times New Roman"/>
          <w:b w:val="0"/>
          <w:bCs w:val="0"/>
          <w:color w:val="000000" w:themeColor="text1"/>
        </w:rPr>
      </w:pPr>
    </w:p>
    <w:p w:rsidR="00757E5E" w:rsidRPr="00702391" w:rsidRDefault="00757E5E" w:rsidP="00757E5E">
      <w:pPr>
        <w:pStyle w:val="Heading1"/>
        <w:jc w:val="both"/>
        <w:rPr>
          <w:color w:val="000000" w:themeColor="text1"/>
        </w:rPr>
      </w:pPr>
      <w:r w:rsidRPr="00702391">
        <w:rPr>
          <w:rFonts w:eastAsia="Times New Roman"/>
          <w:bCs w:val="0"/>
          <w:color w:val="000000" w:themeColor="text1"/>
        </w:rPr>
        <w:t>RD DONUT II</w:t>
      </w:r>
      <w:r w:rsidR="00702391" w:rsidRPr="00702391">
        <w:rPr>
          <w:rFonts w:eastAsia="Times New Roman"/>
          <w:bCs w:val="0"/>
          <w:color w:val="000000" w:themeColor="text1"/>
        </w:rPr>
        <w:t>,</w:t>
      </w:r>
      <w:r w:rsidRPr="00702391">
        <w:rPr>
          <w:rFonts w:eastAsia="Times New Roman"/>
          <w:bCs w:val="0"/>
          <w:color w:val="000000" w:themeColor="text1"/>
        </w:rPr>
        <w:t xml:space="preserve"> INC.</w:t>
      </w:r>
      <w:r w:rsidRPr="00702391">
        <w:rPr>
          <w:rFonts w:eastAsia="Times New Roman"/>
          <w:bCs w:val="0"/>
          <w:color w:val="000000" w:themeColor="text1"/>
        </w:rPr>
        <w:tab/>
      </w:r>
      <w:r w:rsidRPr="00702391">
        <w:rPr>
          <w:color w:val="000000" w:themeColor="text1"/>
        </w:rPr>
        <w:t xml:space="preserve"> </w:t>
      </w:r>
      <w:r w:rsidRPr="00702391">
        <w:rPr>
          <w:color w:val="000000" w:themeColor="text1"/>
        </w:rPr>
        <w:tab/>
        <w:t xml:space="preserve">  </w:t>
      </w:r>
      <w:r w:rsidRPr="00702391">
        <w:rPr>
          <w:color w:val="000000" w:themeColor="text1"/>
        </w:rPr>
        <w:tab/>
        <w:t xml:space="preserve">  v.</w:t>
      </w:r>
      <w:r w:rsidRPr="00702391">
        <w:rPr>
          <w:color w:val="000000" w:themeColor="text1"/>
        </w:rPr>
        <w:tab/>
      </w:r>
      <w:r w:rsidRPr="00702391">
        <w:rPr>
          <w:color w:val="000000" w:themeColor="text1"/>
        </w:rPr>
        <w:tab/>
      </w:r>
      <w:r w:rsidR="00AE608F" w:rsidRPr="00702391">
        <w:rPr>
          <w:color w:val="000000" w:themeColor="text1"/>
        </w:rPr>
        <w:t>  </w:t>
      </w:r>
      <w:r w:rsidRPr="00702391">
        <w:rPr>
          <w:color w:val="000000" w:themeColor="text1"/>
        </w:rPr>
        <w:t>BOARD OF ASSESSORS OF</w:t>
      </w:r>
    </w:p>
    <w:p w:rsidR="00757E5E" w:rsidRPr="00702391" w:rsidRDefault="00757E5E" w:rsidP="00757E5E">
      <w:pPr>
        <w:pStyle w:val="Heading1"/>
        <w:rPr>
          <w:bCs w:val="0"/>
          <w:color w:val="000000" w:themeColor="text1"/>
        </w:rPr>
      </w:pPr>
      <w:r w:rsidRPr="00702391">
        <w:rPr>
          <w:color w:val="000000" w:themeColor="text1"/>
        </w:rPr>
        <w:tab/>
      </w:r>
      <w:r w:rsidRPr="00702391">
        <w:rPr>
          <w:color w:val="000000" w:themeColor="text1"/>
        </w:rPr>
        <w:tab/>
      </w:r>
      <w:r w:rsidRPr="00702391">
        <w:rPr>
          <w:color w:val="000000" w:themeColor="text1"/>
        </w:rPr>
        <w:tab/>
      </w:r>
      <w:r w:rsidRPr="00702391">
        <w:rPr>
          <w:color w:val="000000" w:themeColor="text1"/>
        </w:rPr>
        <w:tab/>
      </w:r>
      <w:r w:rsidRPr="00702391">
        <w:rPr>
          <w:color w:val="000000" w:themeColor="text1"/>
        </w:rPr>
        <w:tab/>
      </w:r>
      <w:r w:rsidRPr="00702391">
        <w:rPr>
          <w:color w:val="000000" w:themeColor="text1"/>
        </w:rPr>
        <w:tab/>
      </w:r>
      <w:r w:rsidRPr="00702391">
        <w:rPr>
          <w:color w:val="000000" w:themeColor="text1"/>
        </w:rPr>
        <w:tab/>
      </w:r>
      <w:r w:rsidRPr="00702391">
        <w:rPr>
          <w:color w:val="000000" w:themeColor="text1"/>
        </w:rPr>
        <w:tab/>
      </w:r>
      <w:r w:rsidR="00AE608F" w:rsidRPr="00702391">
        <w:rPr>
          <w:color w:val="000000" w:themeColor="text1"/>
        </w:rPr>
        <w:t>  </w:t>
      </w:r>
      <w:r w:rsidRPr="00702391">
        <w:rPr>
          <w:bCs w:val="0"/>
          <w:color w:val="000000" w:themeColor="text1"/>
        </w:rPr>
        <w:t>THE CITY OF EVERETT</w:t>
      </w:r>
    </w:p>
    <w:p w:rsidR="00757E5E" w:rsidRPr="00702391" w:rsidRDefault="00757E5E" w:rsidP="00757E5E">
      <w:pPr>
        <w:jc w:val="both"/>
        <w:rPr>
          <w:rFonts w:ascii="Courier New" w:hAnsi="Courier New" w:cs="Courier New"/>
          <w:b/>
          <w:color w:val="000000" w:themeColor="text1"/>
        </w:rPr>
      </w:pPr>
      <w:r w:rsidRPr="00702391">
        <w:rPr>
          <w:color w:val="000000" w:themeColor="text1"/>
        </w:rPr>
        <w:tab/>
      </w:r>
      <w:r w:rsidRPr="00702391">
        <w:rPr>
          <w:color w:val="000000" w:themeColor="text1"/>
        </w:rPr>
        <w:tab/>
        <w:t xml:space="preserve">     </w:t>
      </w:r>
      <w:r w:rsidRPr="00702391">
        <w:rPr>
          <w:color w:val="000000" w:themeColor="text1"/>
        </w:rPr>
        <w:tab/>
      </w:r>
      <w:r w:rsidRPr="00702391">
        <w:rPr>
          <w:color w:val="000000" w:themeColor="text1"/>
        </w:rPr>
        <w:tab/>
      </w:r>
    </w:p>
    <w:p w:rsidR="00757E5E" w:rsidRPr="00702391" w:rsidRDefault="00757E5E" w:rsidP="00757E5E">
      <w:pPr>
        <w:jc w:val="both"/>
        <w:rPr>
          <w:rFonts w:ascii="Courier New" w:hAnsi="Courier New" w:cs="Courier New"/>
          <w:color w:val="000000" w:themeColor="text1"/>
        </w:rPr>
      </w:pPr>
    </w:p>
    <w:p w:rsidR="00757E5E" w:rsidRPr="00702391" w:rsidRDefault="00757E5E" w:rsidP="00757E5E">
      <w:pPr>
        <w:jc w:val="both"/>
        <w:rPr>
          <w:rFonts w:ascii="Courier New" w:hAnsi="Courier New" w:cs="Courier New"/>
          <w:color w:val="000000" w:themeColor="text1"/>
        </w:rPr>
      </w:pPr>
      <w:r w:rsidRPr="00702391">
        <w:rPr>
          <w:rFonts w:ascii="Courier New" w:hAnsi="Courier New" w:cs="Courier New"/>
          <w:color w:val="000000" w:themeColor="text1"/>
        </w:rPr>
        <w:t>Docket No. F329404</w:t>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r>
      <w:r w:rsidR="00AE608F" w:rsidRPr="00702391">
        <w:rPr>
          <w:rFonts w:ascii="Courier New" w:hAnsi="Courier New" w:cs="Courier New"/>
          <w:color w:val="000000" w:themeColor="text1"/>
        </w:rPr>
        <w:t>  </w:t>
      </w:r>
      <w:r w:rsidRPr="00702391">
        <w:rPr>
          <w:rFonts w:ascii="Courier New" w:hAnsi="Courier New" w:cs="Courier New"/>
          <w:color w:val="000000" w:themeColor="text1"/>
        </w:rPr>
        <w:t>Promulgated:</w:t>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r>
      <w:r w:rsidRPr="00702391">
        <w:rPr>
          <w:rFonts w:ascii="Courier New" w:hAnsi="Courier New" w:cs="Courier New"/>
          <w:color w:val="000000" w:themeColor="text1"/>
        </w:rPr>
        <w:tab/>
        <w:t xml:space="preserve">       </w:t>
      </w:r>
      <w:r w:rsidR="00AE608F" w:rsidRPr="00702391">
        <w:rPr>
          <w:rFonts w:ascii="Courier New" w:hAnsi="Courier New" w:cs="Courier New"/>
          <w:color w:val="000000" w:themeColor="text1"/>
        </w:rPr>
        <w:tab/>
      </w:r>
      <w:r w:rsidR="00AE608F" w:rsidRPr="00702391">
        <w:rPr>
          <w:rFonts w:ascii="Courier New" w:hAnsi="Courier New" w:cs="Courier New"/>
          <w:color w:val="000000" w:themeColor="text1"/>
        </w:rPr>
        <w:tab/>
      </w:r>
      <w:r w:rsidR="00AE608F" w:rsidRPr="00702391">
        <w:rPr>
          <w:rFonts w:ascii="Courier New" w:hAnsi="Courier New" w:cs="Courier New"/>
          <w:color w:val="000000" w:themeColor="text1"/>
        </w:rPr>
        <w:tab/>
      </w:r>
      <w:r w:rsidR="00AE608F" w:rsidRPr="00702391">
        <w:rPr>
          <w:rFonts w:ascii="Courier New" w:hAnsi="Courier New" w:cs="Courier New"/>
          <w:color w:val="000000" w:themeColor="text1"/>
        </w:rPr>
        <w:tab/>
      </w:r>
      <w:r w:rsidR="00AE608F" w:rsidRPr="00702391">
        <w:rPr>
          <w:rFonts w:ascii="Courier New" w:hAnsi="Courier New" w:cs="Courier New"/>
          <w:color w:val="000000" w:themeColor="text1"/>
        </w:rPr>
        <w:tab/>
        <w:t>  </w:t>
      </w:r>
      <w:r w:rsidR="000C448A">
        <w:rPr>
          <w:rFonts w:ascii="Courier New" w:hAnsi="Courier New" w:cs="Courier New"/>
          <w:color w:val="000000" w:themeColor="text1"/>
        </w:rPr>
        <w:t>October 12, 2018</w:t>
      </w:r>
    </w:p>
    <w:p w:rsidR="00757E5E" w:rsidRPr="00702391" w:rsidRDefault="00757E5E" w:rsidP="00757E5E">
      <w:pPr>
        <w:jc w:val="both"/>
        <w:rPr>
          <w:rFonts w:ascii="Courier New" w:hAnsi="Courier New" w:cs="Courier New"/>
          <w:color w:val="000000" w:themeColor="text1"/>
        </w:rPr>
      </w:pPr>
    </w:p>
    <w:p w:rsidR="00757E5E" w:rsidRPr="00702391" w:rsidRDefault="00757E5E" w:rsidP="00757E5E">
      <w:pPr>
        <w:jc w:val="both"/>
        <w:rPr>
          <w:rFonts w:ascii="Courier New" w:hAnsi="Courier New" w:cs="Courier New"/>
          <w:color w:val="000000" w:themeColor="text1"/>
        </w:rPr>
      </w:pPr>
    </w:p>
    <w:p w:rsidR="00757E5E" w:rsidRPr="00702391" w:rsidRDefault="00757E5E" w:rsidP="00757E5E">
      <w:pPr>
        <w:pStyle w:val="BodyTextIndent"/>
        <w:jc w:val="both"/>
        <w:rPr>
          <w:color w:val="000000" w:themeColor="text1"/>
        </w:rPr>
      </w:pPr>
      <w:r w:rsidRPr="00702391">
        <w:rPr>
          <w:color w:val="000000" w:themeColor="text1"/>
        </w:rPr>
        <w:t xml:space="preserve">This is an appeal under the formal procedure pursuant to G.L. c. 58A, § 7 and G.L. c. 59, §§ 64 and 65, from the refusal of the Board of Assessors of the City of Everett (“assessors” or “appellee”) to abate a fiscal year 2016 </w:t>
      </w:r>
      <w:r w:rsidR="00AC165D" w:rsidRPr="00702391">
        <w:rPr>
          <w:color w:val="000000" w:themeColor="text1"/>
        </w:rPr>
        <w:t xml:space="preserve">(“fiscal year at issue”) </w:t>
      </w:r>
      <w:r w:rsidRPr="00702391">
        <w:rPr>
          <w:color w:val="000000" w:themeColor="text1"/>
        </w:rPr>
        <w:t>tax on real estate located in the City of Everett, owned by Mr.</w:t>
      </w:r>
      <w:r w:rsidR="00AE608F" w:rsidRPr="00702391">
        <w:rPr>
          <w:color w:val="000000" w:themeColor="text1"/>
        </w:rPr>
        <w:t> </w:t>
      </w:r>
      <w:r w:rsidRPr="00702391">
        <w:rPr>
          <w:color w:val="000000" w:themeColor="text1"/>
        </w:rPr>
        <w:t xml:space="preserve">Faissal Daaboul, and occupied by the lessee RD </w:t>
      </w:r>
      <w:r w:rsidR="00AC165D" w:rsidRPr="00702391">
        <w:rPr>
          <w:color w:val="000000" w:themeColor="text1"/>
        </w:rPr>
        <w:t>Donut II</w:t>
      </w:r>
      <w:r w:rsidRPr="00702391">
        <w:rPr>
          <w:color w:val="000000" w:themeColor="text1"/>
        </w:rPr>
        <w:t>, Inc.</w:t>
      </w:r>
      <w:r w:rsidR="00AC165D" w:rsidRPr="00702391">
        <w:rPr>
          <w:color w:val="000000" w:themeColor="text1"/>
        </w:rPr>
        <w:t xml:space="preserve"> (“appellant”).</w:t>
      </w:r>
      <w:r w:rsidRPr="00702391">
        <w:rPr>
          <w:rStyle w:val="FootnoteReference"/>
          <w:color w:val="000000" w:themeColor="text1"/>
        </w:rPr>
        <w:footnoteReference w:id="1"/>
      </w:r>
      <w:r w:rsidRPr="00702391">
        <w:rPr>
          <w:color w:val="000000" w:themeColor="text1"/>
        </w:rPr>
        <w:t xml:space="preserve"> </w:t>
      </w:r>
    </w:p>
    <w:p w:rsidR="00757E5E" w:rsidRPr="00702391" w:rsidRDefault="00757E5E" w:rsidP="00757E5E">
      <w:pPr>
        <w:pStyle w:val="BodyTextIndent"/>
        <w:jc w:val="both"/>
        <w:rPr>
          <w:color w:val="000000" w:themeColor="text1"/>
        </w:rPr>
      </w:pPr>
      <w:r w:rsidRPr="00702391">
        <w:rPr>
          <w:color w:val="000000" w:themeColor="text1"/>
        </w:rPr>
        <w:t xml:space="preserve">Commissioner Rose (“Presiding Commissioner”) heard this appeal under G.L. c. 58A, § 1A and 831 CMR 1.20 and issued a single-member decision for the appellee. </w:t>
      </w:r>
    </w:p>
    <w:p w:rsidR="00757E5E" w:rsidRPr="00702391" w:rsidRDefault="00757E5E" w:rsidP="00757E5E">
      <w:pPr>
        <w:pStyle w:val="BodyTextIndent"/>
        <w:jc w:val="both"/>
        <w:rPr>
          <w:color w:val="000000" w:themeColor="text1"/>
        </w:rPr>
      </w:pPr>
      <w:r w:rsidRPr="00702391">
        <w:rPr>
          <w:color w:val="000000" w:themeColor="text1"/>
        </w:rPr>
        <w:t>These findings of fact and report are made pursuant to a request by the appellant under G.L. c. 58A, § 13 and 831 CMR 1.32.</w:t>
      </w:r>
    </w:p>
    <w:p w:rsidR="00757E5E" w:rsidRPr="00702391" w:rsidRDefault="00757E5E" w:rsidP="00757E5E">
      <w:pPr>
        <w:pStyle w:val="BodyTextIndent"/>
        <w:spacing w:line="240" w:lineRule="auto"/>
        <w:jc w:val="both"/>
        <w:rPr>
          <w:i/>
          <w:color w:val="000000" w:themeColor="text1"/>
        </w:rPr>
      </w:pPr>
    </w:p>
    <w:p w:rsidR="00757E5E" w:rsidRPr="00702391" w:rsidRDefault="00757E5E" w:rsidP="00757E5E">
      <w:pPr>
        <w:pStyle w:val="BodyTextIndent"/>
        <w:spacing w:line="240" w:lineRule="auto"/>
        <w:jc w:val="both"/>
        <w:rPr>
          <w:color w:val="000000" w:themeColor="text1"/>
        </w:rPr>
      </w:pPr>
      <w:r w:rsidRPr="00702391">
        <w:rPr>
          <w:i/>
          <w:color w:val="000000" w:themeColor="text1"/>
        </w:rPr>
        <w:t xml:space="preserve">John Angiolillo, pro se, </w:t>
      </w:r>
      <w:r w:rsidRPr="00702391">
        <w:rPr>
          <w:color w:val="000000" w:themeColor="text1"/>
        </w:rPr>
        <w:t>for the appellant.</w:t>
      </w:r>
    </w:p>
    <w:p w:rsidR="00757E5E" w:rsidRPr="00702391" w:rsidRDefault="00757E5E" w:rsidP="00757E5E">
      <w:pPr>
        <w:pStyle w:val="BodyTextIndent"/>
        <w:spacing w:line="240" w:lineRule="auto"/>
        <w:jc w:val="both"/>
        <w:rPr>
          <w:color w:val="000000" w:themeColor="text1"/>
        </w:rPr>
      </w:pPr>
    </w:p>
    <w:p w:rsidR="00757E5E" w:rsidRPr="00702391" w:rsidRDefault="00757E5E" w:rsidP="00757E5E">
      <w:pPr>
        <w:pStyle w:val="BodyTextIndent"/>
        <w:spacing w:line="240" w:lineRule="auto"/>
        <w:jc w:val="both"/>
        <w:rPr>
          <w:color w:val="000000" w:themeColor="text1"/>
        </w:rPr>
      </w:pPr>
      <w:r w:rsidRPr="00702391">
        <w:rPr>
          <w:i/>
          <w:color w:val="000000" w:themeColor="text1"/>
        </w:rPr>
        <w:t xml:space="preserve">Bernard Devereux, </w:t>
      </w:r>
      <w:r w:rsidRPr="00702391">
        <w:rPr>
          <w:color w:val="000000" w:themeColor="text1"/>
        </w:rPr>
        <w:t>assessor, for the appellee.</w:t>
      </w:r>
    </w:p>
    <w:p w:rsidR="00757E5E" w:rsidRPr="00702391" w:rsidRDefault="00757E5E" w:rsidP="00757E5E">
      <w:pPr>
        <w:pStyle w:val="BodyTextIndent"/>
        <w:spacing w:line="240" w:lineRule="auto"/>
        <w:jc w:val="both"/>
        <w:rPr>
          <w:color w:val="000000" w:themeColor="text1"/>
        </w:rPr>
      </w:pPr>
    </w:p>
    <w:p w:rsidR="00757E5E" w:rsidRPr="00702391" w:rsidRDefault="00757E5E" w:rsidP="00757E5E">
      <w:pPr>
        <w:pStyle w:val="BodyTextIndent"/>
        <w:spacing w:line="240" w:lineRule="auto"/>
        <w:ind w:firstLine="0"/>
        <w:jc w:val="center"/>
        <w:rPr>
          <w:color w:val="000000" w:themeColor="text1"/>
        </w:rPr>
      </w:pPr>
      <w:r w:rsidRPr="00702391">
        <w:rPr>
          <w:b/>
          <w:color w:val="000000" w:themeColor="text1"/>
        </w:rPr>
        <w:lastRenderedPageBreak/>
        <w:t>FINDINGS OF FACT AND REPORT</w:t>
      </w:r>
    </w:p>
    <w:p w:rsidR="00757E5E" w:rsidRPr="00702391" w:rsidRDefault="00757E5E" w:rsidP="00757E5E">
      <w:pPr>
        <w:rPr>
          <w:color w:val="000000" w:themeColor="text1"/>
        </w:rPr>
      </w:pPr>
    </w:p>
    <w:p w:rsidR="00757E5E" w:rsidRPr="00702391" w:rsidRDefault="00757E5E" w:rsidP="00757E5E">
      <w:pPr>
        <w:spacing w:line="480" w:lineRule="auto"/>
        <w:jc w:val="both"/>
        <w:rPr>
          <w:rFonts w:ascii="Courier New" w:hAnsi="Courier New" w:cs="Courier New"/>
          <w:color w:val="000000" w:themeColor="text1"/>
        </w:rPr>
      </w:pPr>
      <w:r w:rsidRPr="00702391">
        <w:rPr>
          <w:rFonts w:ascii="Courier New" w:hAnsi="Courier New" w:cs="Courier New"/>
          <w:color w:val="000000" w:themeColor="text1"/>
        </w:rPr>
        <w:tab/>
        <w:t>On the basis of the testimony and exhibits offered into evidence at the hearing of this appeal, the Presiding Commissioner made the following findings of fact.</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On January 1, 2015, the relevant valuation and assessment date for the fiscal year at issue, the appellant was a tenant responsible for the payment of taxes under a </w:t>
      </w:r>
      <w:r w:rsidR="00702391" w:rsidRPr="00702391">
        <w:rPr>
          <w:rFonts w:ascii="Courier New" w:hAnsi="Courier New" w:cs="Courier New"/>
          <w:color w:val="000000" w:themeColor="text1"/>
        </w:rPr>
        <w:t>10</w:t>
      </w:r>
      <w:r w:rsidRPr="00702391">
        <w:rPr>
          <w:rFonts w:ascii="Courier New" w:hAnsi="Courier New" w:cs="Courier New"/>
          <w:color w:val="000000" w:themeColor="text1"/>
        </w:rPr>
        <w:t>-year, triple-net lease. The parcel is a 5,847</w:t>
      </w:r>
      <w:r w:rsidR="00702391" w:rsidRPr="00702391">
        <w:rPr>
          <w:rFonts w:ascii="Courier New" w:hAnsi="Courier New" w:cs="Courier New"/>
          <w:color w:val="000000" w:themeColor="text1"/>
        </w:rPr>
        <w:t>-</w:t>
      </w:r>
      <w:r w:rsidRPr="00702391">
        <w:rPr>
          <w:rFonts w:ascii="Courier New" w:hAnsi="Courier New" w:cs="Courier New"/>
          <w:color w:val="000000" w:themeColor="text1"/>
        </w:rPr>
        <w:t>square</w:t>
      </w:r>
      <w:r w:rsidR="00702391" w:rsidRPr="00702391">
        <w:rPr>
          <w:rFonts w:ascii="Courier New" w:hAnsi="Courier New" w:cs="Courier New"/>
          <w:color w:val="000000" w:themeColor="text1"/>
        </w:rPr>
        <w:t>-</w:t>
      </w:r>
      <w:r w:rsidRPr="00702391">
        <w:rPr>
          <w:rFonts w:ascii="Courier New" w:hAnsi="Courier New" w:cs="Courier New"/>
          <w:color w:val="000000" w:themeColor="text1"/>
        </w:rPr>
        <w:t>foot parcel of real estate improved with a Dunkin</w:t>
      </w:r>
      <w:r w:rsidR="00AC165D" w:rsidRPr="00702391">
        <w:rPr>
          <w:rFonts w:ascii="Courier New" w:hAnsi="Courier New" w:cs="Courier New"/>
          <w:color w:val="000000" w:themeColor="text1"/>
        </w:rPr>
        <w:t>’</w:t>
      </w:r>
      <w:r w:rsidRPr="00702391">
        <w:rPr>
          <w:rFonts w:ascii="Courier New" w:hAnsi="Courier New" w:cs="Courier New"/>
          <w:color w:val="000000" w:themeColor="text1"/>
        </w:rPr>
        <w:t xml:space="preserve"> Donut</w:t>
      </w:r>
      <w:r w:rsidR="00AC165D" w:rsidRPr="00702391">
        <w:rPr>
          <w:rFonts w:ascii="Courier New" w:hAnsi="Courier New" w:cs="Courier New"/>
          <w:color w:val="000000" w:themeColor="text1"/>
        </w:rPr>
        <w:t>s</w:t>
      </w:r>
      <w:r w:rsidRPr="00702391">
        <w:rPr>
          <w:rFonts w:ascii="Courier New" w:hAnsi="Courier New" w:cs="Courier New"/>
          <w:color w:val="000000" w:themeColor="text1"/>
        </w:rPr>
        <w:t xml:space="preserve"> </w:t>
      </w:r>
      <w:r w:rsidR="00AC165D" w:rsidRPr="00702391">
        <w:rPr>
          <w:rFonts w:ascii="Courier New" w:hAnsi="Courier New" w:cs="Courier New"/>
          <w:color w:val="000000" w:themeColor="text1"/>
        </w:rPr>
        <w:t>f</w:t>
      </w:r>
      <w:r w:rsidRPr="00702391">
        <w:rPr>
          <w:rFonts w:ascii="Courier New" w:hAnsi="Courier New" w:cs="Courier New"/>
          <w:color w:val="000000" w:themeColor="text1"/>
        </w:rPr>
        <w:t>ranchise consisting of 1,1</w:t>
      </w:r>
      <w:r w:rsidR="00702391" w:rsidRPr="00702391">
        <w:rPr>
          <w:rFonts w:ascii="Courier New" w:hAnsi="Courier New" w:cs="Courier New"/>
          <w:color w:val="000000" w:themeColor="text1"/>
        </w:rPr>
        <w:t>54</w:t>
      </w:r>
      <w:r w:rsidRPr="00702391">
        <w:rPr>
          <w:rFonts w:ascii="Courier New" w:hAnsi="Courier New" w:cs="Courier New"/>
          <w:color w:val="000000" w:themeColor="text1"/>
        </w:rPr>
        <w:t xml:space="preserve"> square feet and located at 339 Main Street in Everett</w:t>
      </w:r>
      <w:r w:rsidR="00AC165D" w:rsidRPr="00702391">
        <w:rPr>
          <w:rFonts w:ascii="Courier New" w:hAnsi="Courier New" w:cs="Courier New"/>
          <w:color w:val="000000" w:themeColor="text1"/>
        </w:rPr>
        <w:t xml:space="preserve"> (“subject property”)</w:t>
      </w:r>
      <w:r w:rsidRPr="00702391">
        <w:rPr>
          <w:rFonts w:ascii="Courier New" w:hAnsi="Courier New" w:cs="Courier New"/>
          <w:color w:val="000000" w:themeColor="text1"/>
        </w:rPr>
        <w:t xml:space="preserve">. </w:t>
      </w:r>
    </w:p>
    <w:p w:rsidR="00757E5E" w:rsidRPr="00702391" w:rsidRDefault="00757E5E" w:rsidP="00757E5E">
      <w:pPr>
        <w:spacing w:line="480" w:lineRule="auto"/>
        <w:ind w:firstLine="720"/>
        <w:jc w:val="both"/>
        <w:rPr>
          <w:rFonts w:ascii="Verdana" w:hAnsi="Verdana"/>
          <w:color w:val="000000" w:themeColor="text1"/>
          <w:sz w:val="20"/>
          <w:szCs w:val="20"/>
          <w:shd w:val="clear" w:color="auto" w:fill="FFFFFF"/>
        </w:rPr>
      </w:pPr>
      <w:r w:rsidRPr="00702391">
        <w:rPr>
          <w:rFonts w:ascii="Courier New" w:hAnsi="Courier New" w:cs="Courier New"/>
          <w:color w:val="000000" w:themeColor="text1"/>
          <w:shd w:val="clear" w:color="auto" w:fill="FFFFFF"/>
        </w:rPr>
        <w:t>For the fiscal year at issue, t</w:t>
      </w:r>
      <w:r w:rsidRPr="00702391">
        <w:rPr>
          <w:rFonts w:ascii="Courier New" w:hAnsi="Courier New" w:cs="Courier New"/>
          <w:color w:val="000000" w:themeColor="text1"/>
        </w:rPr>
        <w:t>he assessors valued the subject property at $624,400 and assessed a tax thereon, at the rate of $37.98 per thousand, in the total amount of $23,714.71.  On December 31, 2015, Everett’s Collector of Taxes sent out the actual real estate tax bills</w:t>
      </w:r>
      <w:r w:rsidR="00702391">
        <w:rPr>
          <w:rFonts w:ascii="Courier New" w:hAnsi="Courier New" w:cs="Courier New"/>
          <w:color w:val="000000" w:themeColor="text1"/>
        </w:rPr>
        <w:t xml:space="preserve"> for the fiscal year at issue</w:t>
      </w:r>
      <w:r w:rsidRPr="00702391">
        <w:rPr>
          <w:rFonts w:ascii="Courier New" w:hAnsi="Courier New" w:cs="Courier New"/>
          <w:color w:val="000000" w:themeColor="text1"/>
        </w:rPr>
        <w:t xml:space="preserve">. In accordance with G. L. c. 59, § 57C, the appellant timely paid the tax due without incurring interest.  On January 28, 2016, in accordance with G.L. c. 59, § 59, the appellant timely filed an application for abatement with the assessors, which they denied on March 7, 2016. On May 2, 2016, </w:t>
      </w:r>
      <w:r w:rsidRPr="00702391">
        <w:rPr>
          <w:rFonts w:ascii="Courier New" w:hAnsi="Courier New" w:cs="Courier New"/>
          <w:color w:val="000000" w:themeColor="text1"/>
          <w:shd w:val="clear" w:color="auto" w:fill="FFFFFF"/>
        </w:rPr>
        <w:t xml:space="preserve">in accordance with G.L. c. 59, §§ 64 and 65, the appellant seasonably filed an appeal with the Appellate Tax Board (“Board”). On the basis of these facts, the </w:t>
      </w:r>
      <w:r w:rsidRPr="00702391">
        <w:rPr>
          <w:rFonts w:ascii="Courier New" w:hAnsi="Courier New" w:cs="Courier New"/>
          <w:color w:val="000000" w:themeColor="text1"/>
          <w:shd w:val="clear" w:color="auto" w:fill="FFFFFF"/>
        </w:rPr>
        <w:lastRenderedPageBreak/>
        <w:t>Presiding Commissioner found and ruled that the Board had jurisdiction to hear and decide the instant appeal.</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At the hearing of this appeal, John Angiolillo testified on behalf of the appellant. He supported his claim that the subject property was overvalued by using </w:t>
      </w:r>
      <w:r w:rsidR="00AC165D" w:rsidRPr="00702391">
        <w:rPr>
          <w:rFonts w:ascii="Courier New" w:hAnsi="Courier New" w:cs="Courier New"/>
          <w:color w:val="000000" w:themeColor="text1"/>
        </w:rPr>
        <w:t>5</w:t>
      </w:r>
      <w:r w:rsidRPr="00702391">
        <w:rPr>
          <w:rFonts w:ascii="Courier New" w:hAnsi="Courier New" w:cs="Courier New"/>
          <w:color w:val="000000" w:themeColor="text1"/>
        </w:rPr>
        <w:t xml:space="preserve"> analyses: (1) a comparable sales approach prepared by a realtor; (2) an income approach; (3) a “market value” approach; (4) a cost approach; and (5) a comparable assessment approach.  </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Regarding the comparable sales approach, the realtor who prepared the analysis did not testify at the hearing of this appeal.  She used 2 mixed-use properties that had not yet sold and 2 others that had sold.  There was no evidence offered as to the comparability of these properties with the subject property, and no adjustments made to the sale prices of the 2 properties that sold.  Because the realtor who prepared the analysis did not testify, as well as the above defects in the analysis, the Presiding Commissioner gave no weight to the comparable sales approach.</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For his income approach, Mr. Angiolillo used the current rent and expenses that the appellant paid at the subject property, and a capitalization rate of 8.5 percent that “appraisers . . . are currently using . . . for this type of property.”  There was no evidence that the current rent and expenses paid under the long-term lease at the subject property </w:t>
      </w:r>
      <w:r w:rsidRPr="00702391">
        <w:rPr>
          <w:rFonts w:ascii="Courier New" w:hAnsi="Courier New" w:cs="Courier New"/>
          <w:color w:val="000000" w:themeColor="text1"/>
        </w:rPr>
        <w:lastRenderedPageBreak/>
        <w:t xml:space="preserve">represented market rent and expenses and no support for the capitalization rate </w:t>
      </w:r>
      <w:r w:rsidR="00702391">
        <w:rPr>
          <w:rFonts w:ascii="Courier New" w:hAnsi="Courier New" w:cs="Courier New"/>
          <w:color w:val="000000" w:themeColor="text1"/>
        </w:rPr>
        <w:t xml:space="preserve">that </w:t>
      </w:r>
      <w:r w:rsidRPr="00702391">
        <w:rPr>
          <w:rFonts w:ascii="Courier New" w:hAnsi="Courier New" w:cs="Courier New"/>
          <w:color w:val="000000" w:themeColor="text1"/>
        </w:rPr>
        <w:t xml:space="preserve">Mr. Angiolillo used. </w:t>
      </w:r>
      <w:r w:rsidR="00186E17" w:rsidRPr="00702391">
        <w:rPr>
          <w:rFonts w:ascii="Courier New" w:hAnsi="Courier New" w:cs="Courier New"/>
          <w:color w:val="000000" w:themeColor="text1"/>
        </w:rPr>
        <w:t>Moreover,</w:t>
      </w:r>
      <w:r w:rsidR="00AE608F" w:rsidRPr="00702391">
        <w:rPr>
          <w:rFonts w:ascii="Courier New" w:hAnsi="Courier New" w:cs="Courier New"/>
          <w:color w:val="000000" w:themeColor="text1"/>
        </w:rPr>
        <w:t xml:space="preserve"> </w:t>
      </w:r>
      <w:r w:rsidRPr="00702391">
        <w:rPr>
          <w:rFonts w:ascii="Courier New" w:hAnsi="Courier New" w:cs="Courier New"/>
          <w:color w:val="000000" w:themeColor="text1"/>
        </w:rPr>
        <w:t>Mr.</w:t>
      </w:r>
      <w:r w:rsidR="00AE608F" w:rsidRPr="00702391">
        <w:rPr>
          <w:rFonts w:ascii="Courier New" w:hAnsi="Courier New" w:cs="Courier New"/>
          <w:color w:val="000000" w:themeColor="text1"/>
        </w:rPr>
        <w:t> </w:t>
      </w:r>
      <w:r w:rsidRPr="00702391">
        <w:rPr>
          <w:rFonts w:ascii="Courier New" w:hAnsi="Courier New" w:cs="Courier New"/>
          <w:color w:val="000000" w:themeColor="text1"/>
        </w:rPr>
        <w:t xml:space="preserve">Angiolillo is not a real estate valuation expert and he was not qualified as such by the </w:t>
      </w:r>
      <w:r w:rsidR="00186E17" w:rsidRPr="00702391">
        <w:rPr>
          <w:rFonts w:ascii="Courier New" w:hAnsi="Courier New" w:cs="Courier New"/>
          <w:color w:val="000000" w:themeColor="text1"/>
        </w:rPr>
        <w:t>Presiding Commissioner</w:t>
      </w:r>
      <w:r w:rsidRPr="00702391">
        <w:rPr>
          <w:rFonts w:ascii="Courier New" w:hAnsi="Courier New" w:cs="Courier New"/>
          <w:color w:val="000000" w:themeColor="text1"/>
        </w:rPr>
        <w:t>.  Accordingly, the Presiding Commissioner did not give weight to Mr. Angiolillo’s income approach.</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Mr. Angiolillo also offered an analysis th</w:t>
      </w:r>
      <w:r w:rsidR="00AC165D" w:rsidRPr="00702391">
        <w:rPr>
          <w:rFonts w:ascii="Courier New" w:hAnsi="Courier New" w:cs="Courier New"/>
          <w:color w:val="000000" w:themeColor="text1"/>
        </w:rPr>
        <w:t>at he called a “market value</w:t>
      </w:r>
      <w:r w:rsidR="00702391">
        <w:rPr>
          <w:rFonts w:ascii="Courier New" w:hAnsi="Courier New" w:cs="Courier New"/>
          <w:color w:val="000000" w:themeColor="text1"/>
        </w:rPr>
        <w:t>”</w:t>
      </w:r>
      <w:r w:rsidR="00AC165D" w:rsidRPr="00702391">
        <w:rPr>
          <w:rFonts w:ascii="Courier New" w:hAnsi="Courier New" w:cs="Courier New"/>
          <w:color w:val="000000" w:themeColor="text1"/>
        </w:rPr>
        <w:t xml:space="preserve"> a</w:t>
      </w:r>
      <w:r w:rsidRPr="00702391">
        <w:rPr>
          <w:rFonts w:ascii="Courier New" w:hAnsi="Courier New" w:cs="Courier New"/>
          <w:color w:val="000000" w:themeColor="text1"/>
        </w:rPr>
        <w:t>pproach.  He began by suggesting, without supporting data, that the retail rent for space similar to</w:t>
      </w:r>
      <w:r w:rsidR="00F74CC3">
        <w:rPr>
          <w:rFonts w:ascii="Courier New" w:hAnsi="Courier New" w:cs="Courier New"/>
          <w:color w:val="000000" w:themeColor="text1"/>
        </w:rPr>
        <w:t> </w:t>
      </w:r>
      <w:r w:rsidRPr="00702391">
        <w:rPr>
          <w:rFonts w:ascii="Courier New" w:hAnsi="Courier New" w:cs="Courier New"/>
          <w:color w:val="000000" w:themeColor="text1"/>
        </w:rPr>
        <w:t>the</w:t>
      </w:r>
      <w:r w:rsidR="00F74CC3">
        <w:rPr>
          <w:rFonts w:ascii="Courier New" w:hAnsi="Courier New" w:cs="Courier New"/>
          <w:color w:val="000000" w:themeColor="text1"/>
        </w:rPr>
        <w:t> </w:t>
      </w:r>
      <w:r w:rsidRPr="00702391">
        <w:rPr>
          <w:rFonts w:ascii="Courier New" w:hAnsi="Courier New" w:cs="Courier New"/>
          <w:color w:val="000000" w:themeColor="text1"/>
        </w:rPr>
        <w:t>subject property would be between $25.00 and $35.00</w:t>
      </w:r>
      <w:r w:rsidR="00F74CC3">
        <w:rPr>
          <w:rFonts w:ascii="Courier New" w:hAnsi="Courier New" w:cs="Courier New"/>
          <w:color w:val="000000" w:themeColor="text1"/>
        </w:rPr>
        <w:t>-</w:t>
      </w:r>
      <w:r w:rsidRPr="00702391">
        <w:rPr>
          <w:rFonts w:ascii="Courier New" w:hAnsi="Courier New" w:cs="Courier New"/>
          <w:color w:val="000000" w:themeColor="text1"/>
        </w:rPr>
        <w:t>per</w:t>
      </w:r>
      <w:r w:rsidR="00F74CC3">
        <w:rPr>
          <w:rFonts w:ascii="Courier New" w:hAnsi="Courier New" w:cs="Courier New"/>
          <w:color w:val="000000" w:themeColor="text1"/>
        </w:rPr>
        <w:t>-</w:t>
      </w:r>
      <w:r w:rsidRPr="00702391">
        <w:rPr>
          <w:rFonts w:ascii="Courier New" w:hAnsi="Courier New" w:cs="Courier New"/>
          <w:color w:val="000000" w:themeColor="text1"/>
        </w:rPr>
        <w:t>square</w:t>
      </w:r>
      <w:r w:rsidR="00F74CC3">
        <w:rPr>
          <w:rFonts w:ascii="Courier New" w:hAnsi="Courier New" w:cs="Courier New"/>
          <w:color w:val="000000" w:themeColor="text1"/>
        </w:rPr>
        <w:t>-</w:t>
      </w:r>
      <w:r w:rsidRPr="00702391">
        <w:rPr>
          <w:rFonts w:ascii="Courier New" w:hAnsi="Courier New" w:cs="Courier New"/>
          <w:color w:val="000000" w:themeColor="text1"/>
        </w:rPr>
        <w:t xml:space="preserve">foot. Assuming the $35.00 per square foot </w:t>
      </w:r>
      <w:r w:rsidR="00FF108E" w:rsidRPr="00702391">
        <w:rPr>
          <w:rFonts w:ascii="Courier New" w:hAnsi="Courier New" w:cs="Courier New"/>
          <w:color w:val="000000" w:themeColor="text1"/>
        </w:rPr>
        <w:t>rent</w:t>
      </w:r>
      <w:r w:rsidRPr="00702391">
        <w:rPr>
          <w:rFonts w:ascii="Courier New" w:hAnsi="Courier New" w:cs="Courier New"/>
          <w:color w:val="000000" w:themeColor="text1"/>
        </w:rPr>
        <w:t>, the annual rent would be approximately $40,000 per year. Deducting the current real e</w:t>
      </w:r>
      <w:r w:rsidR="00AC165D" w:rsidRPr="00702391">
        <w:rPr>
          <w:rFonts w:ascii="Courier New" w:hAnsi="Courier New" w:cs="Courier New"/>
          <w:color w:val="000000" w:themeColor="text1"/>
        </w:rPr>
        <w:t xml:space="preserve">state tax assessment of </w:t>
      </w:r>
      <w:r w:rsidR="00702391">
        <w:rPr>
          <w:rFonts w:ascii="Courier New" w:hAnsi="Courier New" w:cs="Courier New"/>
          <w:color w:val="000000" w:themeColor="text1"/>
        </w:rPr>
        <w:t xml:space="preserve">approximately </w:t>
      </w:r>
      <w:r w:rsidR="00AC165D" w:rsidRPr="00702391">
        <w:rPr>
          <w:rFonts w:ascii="Courier New" w:hAnsi="Courier New" w:cs="Courier New"/>
          <w:color w:val="000000" w:themeColor="text1"/>
        </w:rPr>
        <w:t>$24,000</w:t>
      </w:r>
      <w:r w:rsidRPr="00702391">
        <w:rPr>
          <w:rFonts w:ascii="Courier New" w:hAnsi="Courier New" w:cs="Courier New"/>
          <w:color w:val="000000" w:themeColor="text1"/>
        </w:rPr>
        <w:t xml:space="preserve"> leaves a net income of $16,000, which he then capitalized at an overall rate of 8.5</w:t>
      </w:r>
      <w:r w:rsidR="00AC165D" w:rsidRPr="00702391">
        <w:rPr>
          <w:rFonts w:ascii="Courier New" w:hAnsi="Courier New" w:cs="Courier New"/>
          <w:color w:val="000000" w:themeColor="text1"/>
        </w:rPr>
        <w:t xml:space="preserve"> percent</w:t>
      </w:r>
      <w:r w:rsidRPr="00702391">
        <w:rPr>
          <w:rFonts w:ascii="Courier New" w:hAnsi="Courier New" w:cs="Courier New"/>
          <w:color w:val="000000" w:themeColor="text1"/>
        </w:rPr>
        <w:t xml:space="preserve"> to arrive at </w:t>
      </w:r>
      <w:r w:rsidR="00AC165D" w:rsidRPr="00702391">
        <w:rPr>
          <w:rFonts w:ascii="Courier New" w:hAnsi="Courier New" w:cs="Courier New"/>
          <w:color w:val="000000" w:themeColor="text1"/>
        </w:rPr>
        <w:t xml:space="preserve">a </w:t>
      </w:r>
      <w:r w:rsidRPr="00702391">
        <w:rPr>
          <w:rFonts w:ascii="Courier New" w:hAnsi="Courier New" w:cs="Courier New"/>
          <w:color w:val="000000" w:themeColor="text1"/>
        </w:rPr>
        <w:t xml:space="preserve">building value that </w:t>
      </w:r>
      <w:r w:rsidR="00702391">
        <w:rPr>
          <w:rFonts w:ascii="Courier New" w:hAnsi="Courier New" w:cs="Courier New"/>
          <w:color w:val="000000" w:themeColor="text1"/>
        </w:rPr>
        <w:t xml:space="preserve">even </w:t>
      </w:r>
      <w:r w:rsidRPr="00702391">
        <w:rPr>
          <w:rFonts w:ascii="Courier New" w:hAnsi="Courier New" w:cs="Courier New"/>
          <w:color w:val="000000" w:themeColor="text1"/>
        </w:rPr>
        <w:t xml:space="preserve">he believed was too low.  </w:t>
      </w:r>
      <w:r w:rsidR="00702391">
        <w:rPr>
          <w:rFonts w:ascii="Courier New" w:hAnsi="Courier New" w:cs="Courier New"/>
          <w:color w:val="000000" w:themeColor="text1"/>
        </w:rPr>
        <w:t>He then testified that a building value of $306,000 would be more reasonable, which he calculated based upon his own suggested tax value of $14,000</w:t>
      </w:r>
      <w:r w:rsidRPr="00702391">
        <w:rPr>
          <w:rFonts w:ascii="Courier New" w:hAnsi="Courier New" w:cs="Courier New"/>
          <w:color w:val="000000" w:themeColor="text1"/>
        </w:rPr>
        <w:t>.  The Presiding Commissioner rejected this approach for a number of reasons, including</w:t>
      </w:r>
      <w:r w:rsidR="00AC165D" w:rsidRPr="00702391">
        <w:rPr>
          <w:rFonts w:ascii="Courier New" w:hAnsi="Courier New" w:cs="Courier New"/>
          <w:color w:val="000000" w:themeColor="text1"/>
        </w:rPr>
        <w:t xml:space="preserve">: (1) </w:t>
      </w:r>
      <w:r w:rsidRPr="00702391">
        <w:rPr>
          <w:rFonts w:ascii="Courier New" w:hAnsi="Courier New" w:cs="Courier New"/>
          <w:color w:val="000000" w:themeColor="text1"/>
        </w:rPr>
        <w:t xml:space="preserve">the suggested rent and capitalization rates were not supported by market data or competent analysis; and </w:t>
      </w:r>
      <w:r w:rsidR="00AC165D" w:rsidRPr="00702391">
        <w:rPr>
          <w:rFonts w:ascii="Courier New" w:hAnsi="Courier New" w:cs="Courier New"/>
          <w:color w:val="000000" w:themeColor="text1"/>
        </w:rPr>
        <w:t xml:space="preserve">(2) </w:t>
      </w:r>
      <w:r w:rsidRPr="00702391">
        <w:rPr>
          <w:rFonts w:ascii="Courier New" w:hAnsi="Courier New" w:cs="Courier New"/>
          <w:color w:val="000000" w:themeColor="text1"/>
        </w:rPr>
        <w:t xml:space="preserve">backing in to the fair market value by opining what the taxes should have been is not an appropriate or reliable method </w:t>
      </w:r>
      <w:r w:rsidRPr="00702391">
        <w:rPr>
          <w:rFonts w:ascii="Courier New" w:hAnsi="Courier New" w:cs="Courier New"/>
          <w:color w:val="000000" w:themeColor="text1"/>
        </w:rPr>
        <w:lastRenderedPageBreak/>
        <w:t>of valuing the subject property.  Accordingly, the Presiding Commissioner gave this approach no weight.</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For his cost approach, Mr. Angi</w:t>
      </w:r>
      <w:r w:rsidR="00AC165D" w:rsidRPr="00702391">
        <w:rPr>
          <w:rFonts w:ascii="Courier New" w:hAnsi="Courier New" w:cs="Courier New"/>
          <w:color w:val="000000" w:themeColor="text1"/>
        </w:rPr>
        <w:t>o</w:t>
      </w:r>
      <w:r w:rsidRPr="00702391">
        <w:rPr>
          <w:rFonts w:ascii="Courier New" w:hAnsi="Courier New" w:cs="Courier New"/>
          <w:color w:val="000000" w:themeColor="text1"/>
        </w:rPr>
        <w:t>lillo testified that the assessed building value at $431,000 equates to $373.00 per square foot for the 1,154</w:t>
      </w:r>
      <w:r w:rsidR="00327787">
        <w:rPr>
          <w:rFonts w:ascii="Courier New" w:hAnsi="Courier New" w:cs="Courier New"/>
          <w:color w:val="000000" w:themeColor="text1"/>
        </w:rPr>
        <w:t>-</w:t>
      </w:r>
      <w:r w:rsidRPr="00702391">
        <w:rPr>
          <w:rFonts w:ascii="Courier New" w:hAnsi="Courier New" w:cs="Courier New"/>
          <w:color w:val="000000" w:themeColor="text1"/>
        </w:rPr>
        <w:t>square</w:t>
      </w:r>
      <w:r w:rsidR="00327787">
        <w:rPr>
          <w:rFonts w:ascii="Courier New" w:hAnsi="Courier New" w:cs="Courier New"/>
          <w:color w:val="000000" w:themeColor="text1"/>
        </w:rPr>
        <w:t>-</w:t>
      </w:r>
      <w:r w:rsidRPr="00702391">
        <w:rPr>
          <w:rFonts w:ascii="Courier New" w:hAnsi="Courier New" w:cs="Courier New"/>
          <w:color w:val="000000" w:themeColor="text1"/>
        </w:rPr>
        <w:t>foot building.  He further testified that in 2012, he razed the former building on the site and built the current structure at a cost of approximately $230,000, or $200 per square foot.  By adding this cost to the assessed value of the land, Mr. Angi</w:t>
      </w:r>
      <w:r w:rsidR="00AC165D" w:rsidRPr="00702391">
        <w:rPr>
          <w:rFonts w:ascii="Courier New" w:hAnsi="Courier New" w:cs="Courier New"/>
          <w:color w:val="000000" w:themeColor="text1"/>
        </w:rPr>
        <w:t>o</w:t>
      </w:r>
      <w:r w:rsidRPr="00702391">
        <w:rPr>
          <w:rFonts w:ascii="Courier New" w:hAnsi="Courier New" w:cs="Courier New"/>
          <w:color w:val="000000" w:themeColor="text1"/>
        </w:rPr>
        <w:t xml:space="preserve">lillo concluded that the subject property should be valued at $413,000.  The Presiding Commissioner rejected this approach because, among other reasons: no supporting documents corroborating the claimed costs to construct were offered into evidence; there was no support or even allegation that the actual costs represented market costs to construct the subject </w:t>
      </w:r>
      <w:r w:rsidR="00327787">
        <w:rPr>
          <w:rFonts w:ascii="Courier New" w:hAnsi="Courier New" w:cs="Courier New"/>
          <w:color w:val="000000" w:themeColor="text1"/>
        </w:rPr>
        <w:t>property</w:t>
      </w:r>
      <w:r w:rsidRPr="00702391">
        <w:rPr>
          <w:rFonts w:ascii="Courier New" w:hAnsi="Courier New" w:cs="Courier New"/>
          <w:color w:val="000000" w:themeColor="text1"/>
        </w:rPr>
        <w:t xml:space="preserve">; there was no evidence of the extent </w:t>
      </w:r>
      <w:r w:rsidR="00AC165D" w:rsidRPr="00702391">
        <w:rPr>
          <w:rFonts w:ascii="Courier New" w:hAnsi="Courier New" w:cs="Courier New"/>
          <w:color w:val="000000" w:themeColor="text1"/>
        </w:rPr>
        <w:t>to which</w:t>
      </w:r>
      <w:r w:rsidRPr="00702391">
        <w:rPr>
          <w:rFonts w:ascii="Courier New" w:hAnsi="Courier New" w:cs="Courier New"/>
          <w:color w:val="000000" w:themeColor="text1"/>
        </w:rPr>
        <w:t xml:space="preserve"> portions of the former structure </w:t>
      </w:r>
      <w:r w:rsidR="00FF108E" w:rsidRPr="00702391">
        <w:rPr>
          <w:rFonts w:ascii="Courier New" w:hAnsi="Courier New" w:cs="Courier New"/>
          <w:color w:val="000000" w:themeColor="text1"/>
        </w:rPr>
        <w:t>–</w:t>
      </w:r>
      <w:r w:rsidRPr="00702391">
        <w:rPr>
          <w:rFonts w:ascii="Courier New" w:hAnsi="Courier New" w:cs="Courier New"/>
          <w:color w:val="000000" w:themeColor="text1"/>
        </w:rPr>
        <w:t xml:space="preserve"> </w:t>
      </w:r>
      <w:r w:rsidR="00FF108E" w:rsidRPr="00702391">
        <w:rPr>
          <w:rFonts w:ascii="Courier New" w:hAnsi="Courier New" w:cs="Courier New"/>
          <w:color w:val="000000" w:themeColor="text1"/>
        </w:rPr>
        <w:t>such as</w:t>
      </w:r>
      <w:r w:rsidRPr="00702391">
        <w:rPr>
          <w:rFonts w:ascii="Courier New" w:hAnsi="Courier New" w:cs="Courier New"/>
          <w:color w:val="000000" w:themeColor="text1"/>
        </w:rPr>
        <w:t xml:space="preserve"> foundation, utilities, and framing – were retained as part of the new construction; </w:t>
      </w:r>
      <w:r w:rsidR="00AC165D" w:rsidRPr="00702391">
        <w:rPr>
          <w:rFonts w:ascii="Courier New" w:hAnsi="Courier New" w:cs="Courier New"/>
          <w:color w:val="000000" w:themeColor="text1"/>
        </w:rPr>
        <w:t xml:space="preserve">and </w:t>
      </w:r>
      <w:r w:rsidRPr="00702391">
        <w:rPr>
          <w:rFonts w:ascii="Courier New" w:hAnsi="Courier New" w:cs="Courier New"/>
          <w:color w:val="000000" w:themeColor="text1"/>
        </w:rPr>
        <w:t xml:space="preserve">there </w:t>
      </w:r>
      <w:r w:rsidR="00FF108E" w:rsidRPr="00702391">
        <w:rPr>
          <w:rFonts w:ascii="Courier New" w:hAnsi="Courier New" w:cs="Courier New"/>
          <w:color w:val="000000" w:themeColor="text1"/>
        </w:rPr>
        <w:t>wa</w:t>
      </w:r>
      <w:r w:rsidRPr="00702391">
        <w:rPr>
          <w:rFonts w:ascii="Courier New" w:hAnsi="Courier New" w:cs="Courier New"/>
          <w:color w:val="000000" w:themeColor="text1"/>
        </w:rPr>
        <w:t>s no indication that a cost approach is a reliable indicator of value for this type of income-producing retail space. Accordingly, the Presiding Commissioner afforded no weight to Mr. Angi</w:t>
      </w:r>
      <w:r w:rsidR="00AC165D" w:rsidRPr="00702391">
        <w:rPr>
          <w:rFonts w:ascii="Courier New" w:hAnsi="Courier New" w:cs="Courier New"/>
          <w:color w:val="000000" w:themeColor="text1"/>
        </w:rPr>
        <w:t>o</w:t>
      </w:r>
      <w:r w:rsidRPr="00702391">
        <w:rPr>
          <w:rFonts w:ascii="Courier New" w:hAnsi="Courier New" w:cs="Courier New"/>
          <w:color w:val="000000" w:themeColor="text1"/>
        </w:rPr>
        <w:t xml:space="preserve">lillo’s cost approach. </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Finally, Mr. Angi</w:t>
      </w:r>
      <w:r w:rsidR="00AC165D" w:rsidRPr="00702391">
        <w:rPr>
          <w:rFonts w:ascii="Courier New" w:hAnsi="Courier New" w:cs="Courier New"/>
          <w:color w:val="000000" w:themeColor="text1"/>
        </w:rPr>
        <w:t>o</w:t>
      </w:r>
      <w:r w:rsidRPr="00702391">
        <w:rPr>
          <w:rFonts w:ascii="Courier New" w:hAnsi="Courier New" w:cs="Courier New"/>
          <w:color w:val="000000" w:themeColor="text1"/>
        </w:rPr>
        <w:t>lillo made an argument based on the assessments of 2 other Dunkin</w:t>
      </w:r>
      <w:r w:rsidR="00AC165D" w:rsidRPr="00702391">
        <w:rPr>
          <w:rFonts w:ascii="Courier New" w:hAnsi="Courier New" w:cs="Courier New"/>
          <w:color w:val="000000" w:themeColor="text1"/>
        </w:rPr>
        <w:t>’</w:t>
      </w:r>
      <w:r w:rsidRPr="00702391">
        <w:rPr>
          <w:rFonts w:ascii="Courier New" w:hAnsi="Courier New" w:cs="Courier New"/>
          <w:color w:val="000000" w:themeColor="text1"/>
        </w:rPr>
        <w:t xml:space="preserve"> Donuts properties in Everett, </w:t>
      </w:r>
      <w:r w:rsidRPr="00702391">
        <w:rPr>
          <w:rFonts w:ascii="Courier New" w:hAnsi="Courier New" w:cs="Courier New"/>
          <w:color w:val="000000" w:themeColor="text1"/>
        </w:rPr>
        <w:lastRenderedPageBreak/>
        <w:t>located at 893 Broadway and 520 Broadway.  Because the 893 Broadway Dunkin</w:t>
      </w:r>
      <w:r w:rsidR="00AC165D" w:rsidRPr="00702391">
        <w:rPr>
          <w:rFonts w:ascii="Courier New" w:hAnsi="Courier New" w:cs="Courier New"/>
          <w:color w:val="000000" w:themeColor="text1"/>
        </w:rPr>
        <w:t>’</w:t>
      </w:r>
      <w:r w:rsidRPr="00702391">
        <w:rPr>
          <w:rFonts w:ascii="Courier New" w:hAnsi="Courier New" w:cs="Courier New"/>
          <w:color w:val="000000" w:themeColor="text1"/>
        </w:rPr>
        <w:t xml:space="preserve"> Donuts has over twice the lot size and finished building area than the subject property, Mr. Angi</w:t>
      </w:r>
      <w:r w:rsidR="00AC165D" w:rsidRPr="00702391">
        <w:rPr>
          <w:rFonts w:ascii="Courier New" w:hAnsi="Courier New" w:cs="Courier New"/>
          <w:color w:val="000000" w:themeColor="text1"/>
        </w:rPr>
        <w:t>o</w:t>
      </w:r>
      <w:r w:rsidRPr="00702391">
        <w:rPr>
          <w:rFonts w:ascii="Courier New" w:hAnsi="Courier New" w:cs="Courier New"/>
          <w:color w:val="000000" w:themeColor="text1"/>
        </w:rPr>
        <w:t>lillo believed that the subject property’s assessment should be one-half the assessment of 893 Broadway.  Similarly, because the Dunkin</w:t>
      </w:r>
      <w:r w:rsidR="00327787">
        <w:rPr>
          <w:rFonts w:ascii="Courier New" w:hAnsi="Courier New" w:cs="Courier New"/>
          <w:color w:val="000000" w:themeColor="text1"/>
        </w:rPr>
        <w:t>’</w:t>
      </w:r>
      <w:r w:rsidRPr="00702391">
        <w:rPr>
          <w:rFonts w:ascii="Courier New" w:hAnsi="Courier New" w:cs="Courier New"/>
          <w:color w:val="000000" w:themeColor="text1"/>
        </w:rPr>
        <w:t xml:space="preserve"> Donuts at 520 Broadway had 3 times the area of the subject property, he maintained that the subject property’s assessment should be one-third the assessment of 520 Broadway.  The Presiding Commissioner rejected this analysis because there is no indication that the market value of the properties have such a direct, proportional relationship to building area.  The value of these income-producing properties is based on their earning capacities and there was no evidence that the income is directly or proportionally related to the size of the facility.</w:t>
      </w:r>
    </w:p>
    <w:p w:rsidR="00757E5E" w:rsidRPr="00702391" w:rsidRDefault="00757E5E" w:rsidP="00757E5E">
      <w:pPr>
        <w:spacing w:line="480" w:lineRule="auto"/>
        <w:jc w:val="both"/>
        <w:rPr>
          <w:rFonts w:ascii="Courier New" w:hAnsi="Courier New" w:cs="Courier New"/>
          <w:color w:val="000000" w:themeColor="text1"/>
        </w:rPr>
      </w:pPr>
      <w:r w:rsidRPr="00702391">
        <w:rPr>
          <w:color w:val="000000" w:themeColor="text1"/>
        </w:rPr>
        <w:tab/>
      </w:r>
      <w:r w:rsidRPr="00702391">
        <w:rPr>
          <w:rFonts w:ascii="Courier New" w:hAnsi="Courier New" w:cs="Courier New"/>
          <w:color w:val="000000" w:themeColor="text1"/>
        </w:rPr>
        <w:t>The assessors for their part offered limi</w:t>
      </w:r>
      <w:r w:rsidR="00DE55DA" w:rsidRPr="00702391">
        <w:rPr>
          <w:rFonts w:ascii="Courier New" w:hAnsi="Courier New" w:cs="Courier New"/>
          <w:color w:val="000000" w:themeColor="text1"/>
        </w:rPr>
        <w:t>ted testimony by Bernard Devere</w:t>
      </w:r>
      <w:r w:rsidRPr="00702391">
        <w:rPr>
          <w:rFonts w:ascii="Courier New" w:hAnsi="Courier New" w:cs="Courier New"/>
          <w:color w:val="000000" w:themeColor="text1"/>
        </w:rPr>
        <w:t>ux, assessor, who submitted an exhibit regarding capitalization rates of fast food franchises</w:t>
      </w:r>
      <w:r w:rsidR="00DE55DA" w:rsidRPr="00702391">
        <w:rPr>
          <w:rFonts w:ascii="Courier New" w:hAnsi="Courier New" w:cs="Courier New"/>
          <w:color w:val="000000" w:themeColor="text1"/>
        </w:rPr>
        <w:t>,</w:t>
      </w:r>
      <w:r w:rsidRPr="00702391">
        <w:rPr>
          <w:rFonts w:ascii="Courier New" w:hAnsi="Courier New" w:cs="Courier New"/>
          <w:color w:val="000000" w:themeColor="text1"/>
        </w:rPr>
        <w:t xml:space="preserve"> including Dunkin</w:t>
      </w:r>
      <w:r w:rsidR="00DE55DA" w:rsidRPr="00702391">
        <w:rPr>
          <w:rFonts w:ascii="Courier New" w:hAnsi="Courier New" w:cs="Courier New"/>
          <w:color w:val="000000" w:themeColor="text1"/>
        </w:rPr>
        <w:t>’</w:t>
      </w:r>
      <w:r w:rsidRPr="00702391">
        <w:rPr>
          <w:rFonts w:ascii="Courier New" w:hAnsi="Courier New" w:cs="Courier New"/>
          <w:color w:val="000000" w:themeColor="text1"/>
        </w:rPr>
        <w:t xml:space="preserve"> Donuts, showing capitalization rates for Dunkin</w:t>
      </w:r>
      <w:r w:rsidR="00DE55DA" w:rsidRPr="00702391">
        <w:rPr>
          <w:rFonts w:ascii="Courier New" w:hAnsi="Courier New" w:cs="Courier New"/>
          <w:color w:val="000000" w:themeColor="text1"/>
        </w:rPr>
        <w:t>’</w:t>
      </w:r>
      <w:r w:rsidRPr="00702391">
        <w:rPr>
          <w:rFonts w:ascii="Courier New" w:hAnsi="Courier New" w:cs="Courier New"/>
          <w:color w:val="000000" w:themeColor="text1"/>
        </w:rPr>
        <w:t xml:space="preserve"> Donuts franchises of slightly over 6 percent</w:t>
      </w:r>
      <w:r w:rsidR="00DE55DA" w:rsidRPr="00702391">
        <w:rPr>
          <w:rFonts w:ascii="Courier New" w:hAnsi="Courier New" w:cs="Courier New"/>
          <w:color w:val="000000" w:themeColor="text1"/>
        </w:rPr>
        <w:t xml:space="preserve"> for the relevant time periods</w:t>
      </w:r>
      <w:r w:rsidRPr="00702391">
        <w:rPr>
          <w:rFonts w:ascii="Courier New" w:hAnsi="Courier New" w:cs="Courier New"/>
          <w:color w:val="000000" w:themeColor="text1"/>
        </w:rPr>
        <w:t>.</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After considering all of the evidence, the </w:t>
      </w:r>
      <w:r w:rsidR="00DE55DA" w:rsidRPr="00702391">
        <w:rPr>
          <w:rFonts w:ascii="Courier New" w:hAnsi="Courier New" w:cs="Courier New"/>
          <w:color w:val="000000" w:themeColor="text1"/>
        </w:rPr>
        <w:t>Presiding Commissioner</w:t>
      </w:r>
      <w:r w:rsidRPr="00702391">
        <w:rPr>
          <w:rFonts w:ascii="Courier New" w:hAnsi="Courier New" w:cs="Courier New"/>
          <w:color w:val="000000" w:themeColor="text1"/>
        </w:rPr>
        <w:t xml:space="preserve"> ultimately found that the appellant did not meet its burden of demonstrating that the subject property’s assessment exceeded its fair cash value for the fiscal year at </w:t>
      </w:r>
      <w:r w:rsidRPr="00702391">
        <w:rPr>
          <w:rFonts w:ascii="Courier New" w:hAnsi="Courier New" w:cs="Courier New"/>
          <w:color w:val="000000" w:themeColor="text1"/>
        </w:rPr>
        <w:lastRenderedPageBreak/>
        <w:t>issue.  As detailed above, none of Mr. Angi</w:t>
      </w:r>
      <w:r w:rsidR="00DE55DA" w:rsidRPr="00702391">
        <w:rPr>
          <w:rFonts w:ascii="Courier New" w:hAnsi="Courier New" w:cs="Courier New"/>
          <w:color w:val="000000" w:themeColor="text1"/>
        </w:rPr>
        <w:t>o</w:t>
      </w:r>
      <w:r w:rsidRPr="00702391">
        <w:rPr>
          <w:rFonts w:ascii="Courier New" w:hAnsi="Courier New" w:cs="Courier New"/>
          <w:color w:val="000000" w:themeColor="text1"/>
        </w:rPr>
        <w:t>lillo’s valuation methodologies constituted credible, persuasive evidence of overvaluation.  The most appropriate method to value the subject property would have been a properly conducted capitalization</w:t>
      </w:r>
      <w:r w:rsidR="00F74CC3">
        <w:rPr>
          <w:rFonts w:ascii="Courier New" w:hAnsi="Courier New" w:cs="Courier New"/>
          <w:color w:val="000000" w:themeColor="text1"/>
        </w:rPr>
        <w:t>-</w:t>
      </w:r>
      <w:r w:rsidRPr="00702391">
        <w:rPr>
          <w:rFonts w:ascii="Courier New" w:hAnsi="Courier New" w:cs="Courier New"/>
          <w:color w:val="000000" w:themeColor="text1"/>
        </w:rPr>
        <w:t>of</w:t>
      </w:r>
      <w:r w:rsidR="00F74CC3">
        <w:rPr>
          <w:rFonts w:ascii="Courier New" w:hAnsi="Courier New" w:cs="Courier New"/>
          <w:color w:val="000000" w:themeColor="text1"/>
        </w:rPr>
        <w:t>-</w:t>
      </w:r>
      <w:r w:rsidRPr="00702391">
        <w:rPr>
          <w:rFonts w:ascii="Courier New" w:hAnsi="Courier New" w:cs="Courier New"/>
          <w:color w:val="000000" w:themeColor="text1"/>
        </w:rPr>
        <w:t xml:space="preserve"> income analysis.  However, Mr. Angi</w:t>
      </w:r>
      <w:r w:rsidR="00DE55DA" w:rsidRPr="00702391">
        <w:rPr>
          <w:rFonts w:ascii="Courier New" w:hAnsi="Courier New" w:cs="Courier New"/>
          <w:color w:val="000000" w:themeColor="text1"/>
        </w:rPr>
        <w:t>o</w:t>
      </w:r>
      <w:r w:rsidRPr="00702391">
        <w:rPr>
          <w:rFonts w:ascii="Courier New" w:hAnsi="Courier New" w:cs="Courier New"/>
          <w:color w:val="000000" w:themeColor="text1"/>
        </w:rPr>
        <w:t xml:space="preserve">lillo’s income approach was flawed because there was insufficient evidence of market </w:t>
      </w:r>
      <w:r w:rsidR="00186E17" w:rsidRPr="00702391">
        <w:rPr>
          <w:rFonts w:ascii="Courier New" w:hAnsi="Courier New" w:cs="Courier New"/>
          <w:color w:val="000000" w:themeColor="text1"/>
        </w:rPr>
        <w:t>rents</w:t>
      </w:r>
      <w:r w:rsidRPr="00702391">
        <w:rPr>
          <w:rFonts w:ascii="Courier New" w:hAnsi="Courier New" w:cs="Courier New"/>
          <w:color w:val="000000" w:themeColor="text1"/>
        </w:rPr>
        <w:t xml:space="preserve"> and expenses, and no support for the capitalization rate that he chose.  </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Accordingly, on the basis of the foregoing findings of fact, the Presiding Commissioner issued a decision for the appellee in this appeal.  </w:t>
      </w:r>
    </w:p>
    <w:p w:rsidR="00757E5E" w:rsidRPr="00702391" w:rsidRDefault="00757E5E" w:rsidP="00757E5E">
      <w:pPr>
        <w:spacing w:line="480" w:lineRule="auto"/>
        <w:ind w:firstLine="720"/>
        <w:rPr>
          <w:rFonts w:ascii="Courier New" w:hAnsi="Courier New" w:cs="Courier New"/>
          <w:color w:val="000000" w:themeColor="text1"/>
        </w:rPr>
      </w:pPr>
      <w:r w:rsidRPr="00702391">
        <w:rPr>
          <w:rFonts w:ascii="Courier New" w:hAnsi="Courier New" w:cs="Courier New"/>
          <w:color w:val="000000" w:themeColor="text1"/>
        </w:rPr>
        <w:t xml:space="preserve"> </w:t>
      </w:r>
    </w:p>
    <w:p w:rsidR="00757E5E" w:rsidRPr="00702391" w:rsidRDefault="00757E5E" w:rsidP="00757E5E">
      <w:pPr>
        <w:spacing w:line="480" w:lineRule="auto"/>
        <w:ind w:firstLine="720"/>
        <w:jc w:val="both"/>
        <w:rPr>
          <w:rFonts w:ascii="Courier New" w:eastAsiaTheme="minorHAnsi" w:hAnsi="Courier New" w:cs="Courier New"/>
          <w:b/>
          <w:color w:val="000000" w:themeColor="text1"/>
        </w:rPr>
      </w:pPr>
      <w:r w:rsidRPr="00702391">
        <w:rPr>
          <w:rFonts w:ascii="Courier New" w:eastAsiaTheme="minorHAnsi" w:hAnsi="Courier New" w:cs="Courier New"/>
          <w:color w:val="000000" w:themeColor="text1"/>
        </w:rPr>
        <w:tab/>
      </w:r>
      <w:r w:rsidRPr="00702391">
        <w:rPr>
          <w:rFonts w:ascii="Courier New" w:eastAsiaTheme="minorHAnsi" w:hAnsi="Courier New" w:cs="Courier New"/>
          <w:color w:val="000000" w:themeColor="text1"/>
        </w:rPr>
        <w:tab/>
      </w:r>
      <w:r w:rsidRPr="00702391">
        <w:rPr>
          <w:rFonts w:ascii="Courier New" w:eastAsiaTheme="minorHAnsi" w:hAnsi="Courier New" w:cs="Courier New"/>
          <w:color w:val="000000" w:themeColor="text1"/>
        </w:rPr>
        <w:tab/>
      </w:r>
      <w:r w:rsidRPr="00702391">
        <w:rPr>
          <w:rFonts w:ascii="Courier New" w:eastAsiaTheme="minorHAnsi" w:hAnsi="Courier New" w:cs="Courier New"/>
          <w:color w:val="000000" w:themeColor="text1"/>
        </w:rPr>
        <w:tab/>
        <w:t xml:space="preserve">   </w:t>
      </w:r>
      <w:r w:rsidRPr="00702391">
        <w:rPr>
          <w:rFonts w:ascii="Courier New" w:eastAsiaTheme="minorHAnsi" w:hAnsi="Courier New" w:cs="Courier New"/>
          <w:b/>
          <w:color w:val="000000" w:themeColor="text1"/>
        </w:rPr>
        <w:t>OPINION</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Assessors are required to assess real estate at its “fair cash value.”  G.L. c. 59, § 38.  Fair cash value is defined as the price on which a willing seller and a willing buyer will agree if both of them are fully informed and under no compulsion.  </w:t>
      </w:r>
      <w:r w:rsidRPr="00702391">
        <w:rPr>
          <w:rFonts w:ascii="Courier New" w:hAnsi="Courier New" w:cs="Courier New"/>
          <w:b/>
          <w:bCs/>
          <w:i/>
          <w:iCs/>
          <w:color w:val="000000" w:themeColor="text1"/>
        </w:rPr>
        <w:t xml:space="preserve">Boston Gas Co. v. Assessors of Boston, </w:t>
      </w:r>
      <w:r w:rsidRPr="00702391">
        <w:rPr>
          <w:rFonts w:ascii="Courier New" w:hAnsi="Courier New" w:cs="Courier New"/>
          <w:color w:val="000000" w:themeColor="text1"/>
        </w:rPr>
        <w:t xml:space="preserve">334 Mass. 549, 566 (1956).  </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Generally, the burden of proof is upon the taxpayer to prove that the subject property has a lower value than that assessed.  </w:t>
      </w:r>
      <w:r w:rsidRPr="00702391">
        <w:rPr>
          <w:rFonts w:ascii="Courier New" w:hAnsi="Courier New" w:cs="Courier New"/>
          <w:b/>
          <w:i/>
          <w:color w:val="000000" w:themeColor="text1"/>
        </w:rPr>
        <w:t>Schlaiker v. Assessors of Great Barrington,</w:t>
      </w:r>
      <w:r w:rsidRPr="00702391">
        <w:rPr>
          <w:rFonts w:ascii="Courier New" w:hAnsi="Courier New" w:cs="Courier New"/>
          <w:b/>
          <w:color w:val="000000" w:themeColor="text1"/>
        </w:rPr>
        <w:t xml:space="preserve"> </w:t>
      </w:r>
      <w:r w:rsidRPr="00702391">
        <w:rPr>
          <w:rFonts w:ascii="Courier New" w:hAnsi="Courier New" w:cs="Courier New"/>
          <w:color w:val="000000" w:themeColor="text1"/>
        </w:rPr>
        <w:t xml:space="preserve">365 Mass. 243, 245 (1974) (citing </w:t>
      </w:r>
      <w:r w:rsidRPr="00702391">
        <w:rPr>
          <w:rFonts w:ascii="Courier New" w:hAnsi="Courier New" w:cs="Courier New"/>
          <w:b/>
          <w:i/>
          <w:color w:val="000000" w:themeColor="text1"/>
        </w:rPr>
        <w:t>Judson Freight Forwarding Co. v. Commonwealth</w:t>
      </w:r>
      <w:r w:rsidRPr="00702391">
        <w:rPr>
          <w:rFonts w:ascii="Courier New" w:hAnsi="Courier New" w:cs="Courier New"/>
          <w:color w:val="000000" w:themeColor="text1"/>
        </w:rPr>
        <w:t xml:space="preserve">, 242 Mass. 47, 55 (1922)).  The assessment is </w:t>
      </w:r>
      <w:r w:rsidRPr="00702391">
        <w:rPr>
          <w:rFonts w:ascii="Courier New" w:hAnsi="Courier New" w:cs="Courier New"/>
          <w:color w:val="000000" w:themeColor="text1"/>
        </w:rPr>
        <w:lastRenderedPageBreak/>
        <w:t xml:space="preserve">presumed valid until the taxpayer sustains its burden of proving otherwise.  </w:t>
      </w:r>
      <w:r w:rsidRPr="00702391">
        <w:rPr>
          <w:rFonts w:ascii="Courier New" w:hAnsi="Courier New" w:cs="Courier New"/>
          <w:b/>
          <w:i/>
          <w:color w:val="000000" w:themeColor="text1"/>
        </w:rPr>
        <w:t>General Electric Co. v. Assessors of Lynn</w:t>
      </w:r>
      <w:r w:rsidRPr="00702391">
        <w:rPr>
          <w:rFonts w:ascii="Courier New" w:hAnsi="Courier New" w:cs="Courier New"/>
          <w:color w:val="000000" w:themeColor="text1"/>
        </w:rPr>
        <w:t>, 393 Mass. 591, 598 (1984) (quoting</w:t>
      </w:r>
      <w:r w:rsidRPr="00702391">
        <w:rPr>
          <w:rFonts w:ascii="Courier New" w:hAnsi="Courier New" w:cs="Courier New"/>
          <w:i/>
          <w:color w:val="000000" w:themeColor="text1"/>
        </w:rPr>
        <w:t xml:space="preserve"> </w:t>
      </w:r>
      <w:r w:rsidRPr="00702391">
        <w:rPr>
          <w:rFonts w:ascii="Courier New" w:hAnsi="Courier New" w:cs="Courier New"/>
          <w:b/>
          <w:i/>
          <w:color w:val="000000" w:themeColor="text1"/>
        </w:rPr>
        <w:t>Schlaiker</w:t>
      </w:r>
      <w:r w:rsidRPr="00702391">
        <w:rPr>
          <w:rFonts w:ascii="Courier New" w:hAnsi="Courier New" w:cs="Courier New"/>
          <w:color w:val="000000" w:themeColor="text1"/>
        </w:rPr>
        <w:t xml:space="preserve">, 365 Mass. at 245).  </w:t>
      </w:r>
    </w:p>
    <w:p w:rsidR="00757E5E" w:rsidRPr="00702391" w:rsidRDefault="00757E5E" w:rsidP="00757E5E">
      <w:pPr>
        <w:spacing w:line="480" w:lineRule="auto"/>
        <w:ind w:firstLine="720"/>
        <w:jc w:val="both"/>
        <w:rPr>
          <w:rFonts w:ascii="Courier New" w:hAnsi="Courier New" w:cs="Courier New"/>
          <w:color w:val="000000" w:themeColor="text1"/>
        </w:rPr>
      </w:pPr>
      <w:r w:rsidRPr="00702391">
        <w:rPr>
          <w:rFonts w:ascii="Courier New" w:hAnsi="Courier New" w:cs="Courier New"/>
          <w:color w:val="000000" w:themeColor="text1"/>
        </w:rPr>
        <w:t xml:space="preserve">In order to determine a property’s fair cash value, its highest and best use must first be ascertained. </w:t>
      </w:r>
      <w:r w:rsidRPr="00702391">
        <w:rPr>
          <w:rFonts w:ascii="Courier New" w:eastAsiaTheme="minorHAnsi" w:hAnsi="Courier New" w:cs="Courier New"/>
          <w:i/>
          <w:color w:val="000000" w:themeColor="text1"/>
        </w:rPr>
        <w:t xml:space="preserve">See </w:t>
      </w:r>
      <w:r w:rsidRPr="00702391">
        <w:rPr>
          <w:rFonts w:ascii="Courier New" w:eastAsiaTheme="minorHAnsi" w:hAnsi="Courier New" w:cs="Courier New"/>
          <w:b/>
          <w:i/>
          <w:color w:val="000000" w:themeColor="text1"/>
        </w:rPr>
        <w:t>Peterson v. Assessors of Boston</w:t>
      </w:r>
      <w:r w:rsidRPr="00702391">
        <w:rPr>
          <w:rFonts w:ascii="Courier New" w:eastAsiaTheme="minorHAnsi" w:hAnsi="Courier New" w:cs="Courier New"/>
          <w:color w:val="000000" w:themeColor="text1"/>
        </w:rPr>
        <w:t>, 62 Mass. App. Ct. 428, 429 (2004).</w:t>
      </w:r>
      <w:r w:rsidR="00186E17" w:rsidRPr="00702391">
        <w:rPr>
          <w:rFonts w:ascii="Courier New" w:hAnsi="Courier New" w:cs="Courier New"/>
          <w:color w:val="000000" w:themeColor="text1"/>
        </w:rPr>
        <w:t xml:space="preserve"> In the present appeal</w:t>
      </w:r>
      <w:r w:rsidRPr="00702391">
        <w:rPr>
          <w:rFonts w:ascii="Courier New" w:hAnsi="Courier New" w:cs="Courier New"/>
          <w:color w:val="000000" w:themeColor="text1"/>
        </w:rPr>
        <w:t xml:space="preserve">, the subject property’s actual use was as a fast-food restaurant.  The parties did not dispute that the subject property’s current use was its highest and best use, nor was there any evidence to the contrary in the record.  Accordingly, the </w:t>
      </w:r>
      <w:r w:rsidR="00186E17" w:rsidRPr="00702391">
        <w:rPr>
          <w:rFonts w:ascii="Courier New" w:hAnsi="Courier New" w:cs="Courier New"/>
          <w:color w:val="000000" w:themeColor="text1"/>
        </w:rPr>
        <w:t>Presiding Commissioner</w:t>
      </w:r>
      <w:r w:rsidRPr="00702391">
        <w:rPr>
          <w:rFonts w:ascii="Courier New" w:hAnsi="Courier New" w:cs="Courier New"/>
          <w:color w:val="000000" w:themeColor="text1"/>
        </w:rPr>
        <w:t xml:space="preserve"> concluded that the subject property’s continued use as a fast-food restaurant was its highest and best use.  </w:t>
      </w:r>
    </w:p>
    <w:p w:rsidR="00757E5E" w:rsidRPr="00702391" w:rsidRDefault="00757E5E" w:rsidP="00757E5E">
      <w:pPr>
        <w:spacing w:line="480" w:lineRule="auto"/>
        <w:ind w:firstLine="720"/>
        <w:jc w:val="both"/>
        <w:rPr>
          <w:rFonts w:ascii="Courier New" w:eastAsiaTheme="minorHAnsi" w:hAnsi="Courier New"/>
          <w:color w:val="000000" w:themeColor="text1"/>
        </w:rPr>
      </w:pPr>
      <w:r w:rsidRPr="00702391">
        <w:rPr>
          <w:rFonts w:ascii="Courier New" w:eastAsiaTheme="minorHAnsi" w:hAnsi="Courier New" w:cs="Courier New"/>
          <w:color w:val="000000" w:themeColor="text1"/>
        </w:rPr>
        <w:t xml:space="preserve">Real estate valuation experts, the Massachusetts courts, and this Board generally rely upon three approaches to determine the fair cash value of property: income capitalization, sales comparison, and cost reproduction.  </w:t>
      </w:r>
      <w:r w:rsidRPr="00702391">
        <w:rPr>
          <w:rFonts w:ascii="Courier New" w:eastAsiaTheme="minorHAnsi" w:hAnsi="Courier New" w:cs="Courier New"/>
          <w:b/>
          <w:bCs/>
          <w:i/>
          <w:iCs/>
          <w:color w:val="000000" w:themeColor="text1"/>
        </w:rPr>
        <w:t>Correia v. New Bedford Redevelopment Authority,</w:t>
      </w:r>
      <w:r w:rsidRPr="00702391">
        <w:rPr>
          <w:rFonts w:ascii="Courier New" w:eastAsiaTheme="minorHAnsi" w:hAnsi="Courier New" w:cs="Courier New"/>
          <w:color w:val="000000" w:themeColor="text1"/>
        </w:rPr>
        <w:t xml:space="preserve"> 375 Mass. 360, 362 (1978).  However,</w:t>
      </w:r>
      <w:r w:rsidRPr="00702391">
        <w:rPr>
          <w:rFonts w:ascii="Courier New" w:eastAsiaTheme="minorHAnsi" w:hAnsi="Courier New"/>
          <w:color w:val="000000" w:themeColor="text1"/>
        </w:rPr>
        <w:t xml:space="preserve"> “[t]he introduction of evidence concerning the value based on [cost] computations has been limited to special situations in which data cannot be reliably computed under the other two methods</w:t>
      </w:r>
      <w:r w:rsidR="00327787">
        <w:rPr>
          <w:rFonts w:ascii="Courier New" w:eastAsiaTheme="minorHAnsi" w:hAnsi="Courier New"/>
          <w:color w:val="000000" w:themeColor="text1"/>
        </w:rPr>
        <w:t>.</w:t>
      </w:r>
      <w:r w:rsidR="00DE55DA" w:rsidRPr="00702391">
        <w:rPr>
          <w:rFonts w:ascii="Courier New" w:eastAsiaTheme="minorHAnsi" w:hAnsi="Courier New"/>
          <w:color w:val="000000" w:themeColor="text1"/>
        </w:rPr>
        <w:t xml:space="preserve">” </w:t>
      </w:r>
      <w:r w:rsidR="00DE55DA" w:rsidRPr="00702391">
        <w:rPr>
          <w:rFonts w:ascii="Courier New" w:eastAsiaTheme="minorHAnsi" w:hAnsi="Courier New"/>
          <w:b/>
          <w:i/>
          <w:color w:val="000000" w:themeColor="text1"/>
        </w:rPr>
        <w:t>Id.</w:t>
      </w:r>
      <w:r w:rsidRPr="00702391">
        <w:rPr>
          <w:rFonts w:ascii="Courier New" w:eastAsiaTheme="minorHAnsi" w:hAnsi="Courier New"/>
          <w:color w:val="000000" w:themeColor="text1"/>
        </w:rPr>
        <w:t xml:space="preserve"> In the instant appeal, the </w:t>
      </w:r>
      <w:r w:rsidR="00186E17" w:rsidRPr="00702391">
        <w:rPr>
          <w:rFonts w:ascii="Courier New" w:eastAsiaTheme="minorHAnsi" w:hAnsi="Courier New"/>
          <w:color w:val="000000" w:themeColor="text1"/>
        </w:rPr>
        <w:t xml:space="preserve">Presiding Commissioner determined that the </w:t>
      </w:r>
      <w:r w:rsidRPr="00702391">
        <w:rPr>
          <w:rFonts w:ascii="Courier New" w:eastAsiaTheme="minorHAnsi" w:hAnsi="Courier New"/>
          <w:color w:val="000000" w:themeColor="text1"/>
        </w:rPr>
        <w:t>most appropriate method o</w:t>
      </w:r>
      <w:r w:rsidR="00186E17" w:rsidRPr="00702391">
        <w:rPr>
          <w:rFonts w:ascii="Courier New" w:eastAsiaTheme="minorHAnsi" w:hAnsi="Courier New"/>
          <w:color w:val="000000" w:themeColor="text1"/>
        </w:rPr>
        <w:t>f valuing the subject property wa</w:t>
      </w:r>
      <w:r w:rsidRPr="00702391">
        <w:rPr>
          <w:rFonts w:ascii="Courier New" w:eastAsiaTheme="minorHAnsi" w:hAnsi="Courier New"/>
          <w:color w:val="000000" w:themeColor="text1"/>
        </w:rPr>
        <w:t>s the capitalization</w:t>
      </w:r>
      <w:r w:rsidR="00F74CC3">
        <w:rPr>
          <w:rFonts w:ascii="Courier New" w:eastAsiaTheme="minorHAnsi" w:hAnsi="Courier New"/>
          <w:color w:val="000000" w:themeColor="text1"/>
        </w:rPr>
        <w:t>-</w:t>
      </w:r>
      <w:r w:rsidRPr="00702391">
        <w:rPr>
          <w:rFonts w:ascii="Courier New" w:eastAsiaTheme="minorHAnsi" w:hAnsi="Courier New"/>
          <w:color w:val="000000" w:themeColor="text1"/>
        </w:rPr>
        <w:t>of</w:t>
      </w:r>
      <w:r w:rsidR="00F74CC3">
        <w:rPr>
          <w:rFonts w:ascii="Courier New" w:eastAsiaTheme="minorHAnsi" w:hAnsi="Courier New"/>
          <w:color w:val="000000" w:themeColor="text1"/>
        </w:rPr>
        <w:t>-</w:t>
      </w:r>
      <w:r w:rsidRPr="00702391">
        <w:rPr>
          <w:rFonts w:ascii="Courier New" w:eastAsiaTheme="minorHAnsi" w:hAnsi="Courier New"/>
          <w:color w:val="000000" w:themeColor="text1"/>
        </w:rPr>
        <w:t xml:space="preserve">income method. The </w:t>
      </w:r>
      <w:r w:rsidRPr="00702391">
        <w:rPr>
          <w:rFonts w:ascii="Courier New" w:eastAsiaTheme="minorHAnsi" w:hAnsi="Courier New"/>
          <w:color w:val="000000" w:themeColor="text1"/>
        </w:rPr>
        <w:lastRenderedPageBreak/>
        <w:t>appellant provided no information as to why the cost approach would more accuratel</w:t>
      </w:r>
      <w:r w:rsidR="00DE55DA" w:rsidRPr="00702391">
        <w:rPr>
          <w:rFonts w:ascii="Courier New" w:eastAsiaTheme="minorHAnsi" w:hAnsi="Courier New"/>
          <w:color w:val="000000" w:themeColor="text1"/>
        </w:rPr>
        <w:t>y reflect the subject property’s</w:t>
      </w:r>
      <w:r w:rsidRPr="00702391">
        <w:rPr>
          <w:rFonts w:ascii="Courier New" w:eastAsiaTheme="minorHAnsi" w:hAnsi="Courier New"/>
          <w:color w:val="000000" w:themeColor="text1"/>
        </w:rPr>
        <w:t xml:space="preserve"> value, especially when there was nothing unique or special to warrant the use of the cost approach over the traditional capitalization</w:t>
      </w:r>
      <w:r w:rsidR="00F74CC3">
        <w:rPr>
          <w:rFonts w:ascii="Courier New" w:eastAsiaTheme="minorHAnsi" w:hAnsi="Courier New"/>
          <w:color w:val="000000" w:themeColor="text1"/>
        </w:rPr>
        <w:t>-</w:t>
      </w:r>
      <w:r w:rsidRPr="00702391">
        <w:rPr>
          <w:rFonts w:ascii="Courier New" w:eastAsiaTheme="minorHAnsi" w:hAnsi="Courier New"/>
          <w:color w:val="000000" w:themeColor="text1"/>
        </w:rPr>
        <w:t>of</w:t>
      </w:r>
      <w:r w:rsidR="00F74CC3">
        <w:rPr>
          <w:rFonts w:ascii="Courier New" w:eastAsiaTheme="minorHAnsi" w:hAnsi="Courier New"/>
          <w:color w:val="000000" w:themeColor="text1"/>
        </w:rPr>
        <w:t>-</w:t>
      </w:r>
      <w:r w:rsidRPr="00702391">
        <w:rPr>
          <w:rFonts w:ascii="Courier New" w:eastAsiaTheme="minorHAnsi" w:hAnsi="Courier New"/>
          <w:color w:val="000000" w:themeColor="text1"/>
        </w:rPr>
        <w:t>income approach.</w:t>
      </w:r>
    </w:p>
    <w:p w:rsidR="00757E5E" w:rsidRPr="00702391" w:rsidRDefault="00757E5E" w:rsidP="00757E5E">
      <w:pPr>
        <w:spacing w:line="480" w:lineRule="auto"/>
        <w:ind w:firstLine="720"/>
        <w:jc w:val="both"/>
        <w:rPr>
          <w:rFonts w:ascii="Courier New" w:eastAsiaTheme="minorHAnsi" w:hAnsi="Courier New" w:cs="Courier New"/>
          <w:color w:val="000000" w:themeColor="text1"/>
        </w:rPr>
      </w:pPr>
      <w:r w:rsidRPr="00702391">
        <w:rPr>
          <w:rFonts w:ascii="Courier New" w:eastAsiaTheme="minorHAnsi" w:hAnsi="Courier New" w:cs="Courier New"/>
          <w:color w:val="000000" w:themeColor="text1"/>
        </w:rPr>
        <w:t xml:space="preserve">The use of the income-capitalization approach is appropriate when reliable market-sales data are not available.  </w:t>
      </w:r>
      <w:r w:rsidRPr="00702391">
        <w:rPr>
          <w:rFonts w:ascii="Courier New" w:eastAsiaTheme="minorHAnsi" w:hAnsi="Courier New" w:cs="Courier New"/>
          <w:b/>
          <w:bCs/>
          <w:i/>
          <w:iCs/>
          <w:color w:val="000000" w:themeColor="text1"/>
        </w:rPr>
        <w:t>Assessors of Weymouth v. Tammy Brook Co.,</w:t>
      </w:r>
      <w:r w:rsidRPr="00702391">
        <w:rPr>
          <w:rFonts w:ascii="Courier New" w:eastAsiaTheme="minorHAnsi" w:hAnsi="Courier New" w:cs="Courier New"/>
          <w:color w:val="000000" w:themeColor="text1"/>
        </w:rPr>
        <w:t xml:space="preserve"> 368 Mass. 810, 811 (1975); </w:t>
      </w:r>
      <w:r w:rsidRPr="00702391">
        <w:rPr>
          <w:rFonts w:ascii="Courier New" w:eastAsiaTheme="minorHAnsi" w:hAnsi="Courier New" w:cs="Courier New"/>
          <w:b/>
          <w:bCs/>
          <w:i/>
          <w:iCs/>
          <w:color w:val="000000" w:themeColor="text1"/>
        </w:rPr>
        <w:t>Assessors of Lynnfield v. New England Oyster House,</w:t>
      </w:r>
      <w:r w:rsidRPr="00702391">
        <w:rPr>
          <w:rFonts w:ascii="Courier New" w:eastAsiaTheme="minorHAnsi" w:hAnsi="Courier New" w:cs="Courier New"/>
          <w:color w:val="000000" w:themeColor="text1"/>
        </w:rPr>
        <w:t xml:space="preserve"> 362 Mass. 696, 701-02 (1972); </w:t>
      </w:r>
      <w:r w:rsidRPr="00702391">
        <w:rPr>
          <w:rFonts w:ascii="Courier New" w:eastAsiaTheme="minorHAnsi" w:hAnsi="Courier New" w:cs="Courier New"/>
          <w:b/>
          <w:bCs/>
          <w:i/>
          <w:iCs/>
          <w:color w:val="000000" w:themeColor="text1"/>
        </w:rPr>
        <w:t>Assessors of Quincy v. Boston Consolidated Gas Co.,</w:t>
      </w:r>
      <w:r w:rsidRPr="00702391">
        <w:rPr>
          <w:rFonts w:ascii="Courier New" w:eastAsiaTheme="minorHAnsi" w:hAnsi="Courier New" w:cs="Courier New"/>
          <w:color w:val="000000" w:themeColor="text1"/>
        </w:rPr>
        <w:t xml:space="preserve"> 309 Mass. 60, 67 (1941).  It is also recognized as an appropriate technique to use for valuing income-producing property.  </w:t>
      </w:r>
      <w:r w:rsidRPr="00702391">
        <w:rPr>
          <w:rFonts w:ascii="Courier New" w:eastAsiaTheme="minorHAnsi" w:hAnsi="Courier New" w:cs="Courier New"/>
          <w:b/>
          <w:bCs/>
          <w:i/>
          <w:iCs/>
          <w:color w:val="000000" w:themeColor="text1"/>
        </w:rPr>
        <w:t>Taunton Redevelopment Assoc</w:t>
      </w:r>
      <w:r w:rsidR="00327787">
        <w:rPr>
          <w:rFonts w:ascii="Courier New" w:eastAsiaTheme="minorHAnsi" w:hAnsi="Courier New" w:cs="Courier New"/>
          <w:b/>
          <w:bCs/>
          <w:i/>
          <w:iCs/>
          <w:color w:val="000000" w:themeColor="text1"/>
        </w:rPr>
        <w:t>s.</w:t>
      </w:r>
      <w:r w:rsidRPr="00702391">
        <w:rPr>
          <w:rFonts w:ascii="Courier New" w:eastAsiaTheme="minorHAnsi" w:hAnsi="Courier New" w:cs="Courier New"/>
          <w:b/>
          <w:bCs/>
          <w:i/>
          <w:iCs/>
          <w:color w:val="000000" w:themeColor="text1"/>
        </w:rPr>
        <w:t xml:space="preserve"> v. Assessors of Taunton, </w:t>
      </w:r>
      <w:r w:rsidRPr="00702391">
        <w:rPr>
          <w:rFonts w:ascii="Courier New" w:eastAsiaTheme="minorHAnsi" w:hAnsi="Courier New" w:cs="Courier New"/>
          <w:color w:val="000000" w:themeColor="text1"/>
        </w:rPr>
        <w:t xml:space="preserve">393 Mass. 293, 295 (1984).  Because the subject property was an income-producing property, the Presiding Commissioner found and ruled that the income-capitalization approach was the most reliable methodology with which to determine its fair cash value. </w:t>
      </w:r>
    </w:p>
    <w:p w:rsidR="00757E5E" w:rsidRPr="00702391" w:rsidRDefault="0031547A" w:rsidP="00327787">
      <w:pPr>
        <w:spacing w:line="480" w:lineRule="auto"/>
        <w:ind w:firstLine="720"/>
        <w:jc w:val="both"/>
        <w:rPr>
          <w:rFonts w:ascii="Courier New" w:hAnsi="Courier New"/>
          <w:color w:val="000000" w:themeColor="text1"/>
          <w:szCs w:val="20"/>
        </w:rPr>
      </w:pPr>
      <w:r w:rsidRPr="00702391">
        <w:rPr>
          <w:rFonts w:ascii="Courier New" w:hAnsi="Courier New" w:cs="Courier New"/>
          <w:color w:val="000000" w:themeColor="text1"/>
          <w:shd w:val="clear" w:color="auto" w:fill="FFFFFF"/>
        </w:rPr>
        <w:t xml:space="preserve">The capitalization of income method analyzes the property's capacity to generate income over a </w:t>
      </w:r>
      <w:r w:rsidR="00327787">
        <w:rPr>
          <w:rFonts w:ascii="Courier New" w:hAnsi="Courier New" w:cs="Courier New"/>
          <w:color w:val="000000" w:themeColor="text1"/>
          <w:shd w:val="clear" w:color="auto" w:fill="FFFFFF"/>
        </w:rPr>
        <w:t>1</w:t>
      </w:r>
      <w:r w:rsidRPr="00702391">
        <w:rPr>
          <w:rFonts w:ascii="Courier New" w:hAnsi="Courier New" w:cs="Courier New"/>
          <w:color w:val="000000" w:themeColor="text1"/>
          <w:shd w:val="clear" w:color="auto" w:fill="FFFFFF"/>
        </w:rPr>
        <w:t xml:space="preserve">-year period and converts the capacity into an indication of fair cash value by capitalizing the income at a rate determined to be appropriate for the investment risk involved.  </w:t>
      </w:r>
      <w:r w:rsidRPr="00702391">
        <w:rPr>
          <w:rFonts w:ascii="Courier New" w:hAnsi="Courier New" w:cs="Courier New"/>
          <w:i/>
          <w:color w:val="000000" w:themeColor="text1"/>
          <w:shd w:val="clear" w:color="auto" w:fill="FFFFFF"/>
        </w:rPr>
        <w:t xml:space="preserve">See </w:t>
      </w:r>
      <w:r w:rsidRPr="00702391">
        <w:rPr>
          <w:rFonts w:ascii="Courier New" w:hAnsi="Courier New" w:cs="Courier New"/>
          <w:b/>
          <w:i/>
          <w:color w:val="000000" w:themeColor="text1"/>
          <w:shd w:val="clear" w:color="auto" w:fill="FFFFFF"/>
        </w:rPr>
        <w:t xml:space="preserve">Olympia &amp; York v. Assessors of Boston, </w:t>
      </w:r>
      <w:r w:rsidRPr="00702391">
        <w:rPr>
          <w:rFonts w:ascii="Courier New" w:hAnsi="Courier New" w:cs="Courier New"/>
          <w:color w:val="000000" w:themeColor="text1"/>
          <w:shd w:val="clear" w:color="auto" w:fill="FFFFFF"/>
        </w:rPr>
        <w:t>428 Mass. 236, 239 (1998).  W</w:t>
      </w:r>
      <w:r w:rsidR="00757E5E" w:rsidRPr="00702391">
        <w:rPr>
          <w:rFonts w:ascii="Courier New" w:hAnsi="Courier New"/>
          <w:iCs/>
          <w:color w:val="000000" w:themeColor="text1"/>
          <w:szCs w:val="22"/>
        </w:rPr>
        <w:t xml:space="preserve">hen performing </w:t>
      </w:r>
      <w:r w:rsidR="00757E5E" w:rsidRPr="00702391">
        <w:rPr>
          <w:rFonts w:ascii="Courier New" w:hAnsi="Courier New"/>
          <w:iCs/>
          <w:color w:val="000000" w:themeColor="text1"/>
          <w:szCs w:val="22"/>
        </w:rPr>
        <w:lastRenderedPageBreak/>
        <w:t xml:space="preserve">a fee-simple valuation using </w:t>
      </w:r>
      <w:r w:rsidR="00327787">
        <w:rPr>
          <w:rFonts w:ascii="Courier New" w:hAnsi="Courier New"/>
          <w:iCs/>
          <w:color w:val="000000" w:themeColor="text1"/>
          <w:szCs w:val="22"/>
        </w:rPr>
        <w:t xml:space="preserve">a </w:t>
      </w:r>
      <w:r w:rsidR="00757E5E" w:rsidRPr="00702391">
        <w:rPr>
          <w:rFonts w:ascii="Courier New" w:hAnsi="Courier New"/>
          <w:iCs/>
          <w:color w:val="000000" w:themeColor="text1"/>
          <w:szCs w:val="22"/>
        </w:rPr>
        <w:t xml:space="preserve">capitalization </w:t>
      </w:r>
      <w:r w:rsidRPr="00702391">
        <w:rPr>
          <w:rFonts w:ascii="Courier New" w:hAnsi="Courier New"/>
          <w:iCs/>
          <w:color w:val="000000" w:themeColor="text1"/>
          <w:szCs w:val="22"/>
        </w:rPr>
        <w:t xml:space="preserve">of income </w:t>
      </w:r>
      <w:r w:rsidR="00757E5E" w:rsidRPr="00702391">
        <w:rPr>
          <w:rFonts w:ascii="Courier New" w:hAnsi="Courier New"/>
          <w:iCs/>
          <w:color w:val="000000" w:themeColor="text1"/>
          <w:szCs w:val="22"/>
        </w:rPr>
        <w:t>approach, the income stream used must reflect the property’s earning capacity or market rental value.</w:t>
      </w:r>
      <w:r w:rsidR="00757E5E" w:rsidRPr="00702391">
        <w:rPr>
          <w:rFonts w:ascii="Courier New" w:hAnsi="Courier New"/>
          <w:b/>
          <w:iCs/>
          <w:color w:val="000000" w:themeColor="text1"/>
          <w:szCs w:val="22"/>
        </w:rPr>
        <w:t xml:space="preserve">  </w:t>
      </w:r>
      <w:r w:rsidR="00757E5E" w:rsidRPr="00702391">
        <w:rPr>
          <w:rFonts w:ascii="Courier New" w:hAnsi="Courier New"/>
          <w:b/>
          <w:i/>
          <w:iCs/>
          <w:color w:val="000000" w:themeColor="text1"/>
          <w:szCs w:val="22"/>
        </w:rPr>
        <w:t>Pepsi-Cola Bottling Co.</w:t>
      </w:r>
      <w:r w:rsidR="00757E5E" w:rsidRPr="00702391">
        <w:rPr>
          <w:rFonts w:ascii="Courier New" w:hAnsi="Courier New"/>
          <w:b/>
          <w:iCs/>
          <w:color w:val="000000" w:themeColor="text1"/>
          <w:szCs w:val="22"/>
        </w:rPr>
        <w:t xml:space="preserve">, </w:t>
      </w:r>
      <w:r w:rsidR="00757E5E" w:rsidRPr="00702391">
        <w:rPr>
          <w:rFonts w:ascii="Courier New" w:hAnsi="Courier New"/>
          <w:iCs/>
          <w:color w:val="000000" w:themeColor="text1"/>
          <w:szCs w:val="22"/>
        </w:rPr>
        <w:t>397</w:t>
      </w:r>
      <w:r w:rsidR="00AE608F" w:rsidRPr="00702391">
        <w:rPr>
          <w:rFonts w:ascii="Courier New" w:hAnsi="Courier New"/>
          <w:iCs/>
          <w:color w:val="000000" w:themeColor="text1"/>
          <w:szCs w:val="22"/>
        </w:rPr>
        <w:t> </w:t>
      </w:r>
      <w:r w:rsidR="00757E5E" w:rsidRPr="00702391">
        <w:rPr>
          <w:rFonts w:ascii="Courier New" w:hAnsi="Courier New"/>
          <w:iCs/>
          <w:color w:val="000000" w:themeColor="text1"/>
          <w:szCs w:val="22"/>
        </w:rPr>
        <w:t xml:space="preserve">Mass. </w:t>
      </w:r>
      <w:r w:rsidRPr="00702391">
        <w:rPr>
          <w:rFonts w:ascii="Courier New" w:hAnsi="Courier New"/>
          <w:iCs/>
          <w:color w:val="000000" w:themeColor="text1"/>
          <w:szCs w:val="22"/>
        </w:rPr>
        <w:t xml:space="preserve">447, </w:t>
      </w:r>
      <w:r w:rsidR="00757E5E" w:rsidRPr="00702391">
        <w:rPr>
          <w:rFonts w:ascii="Courier New" w:hAnsi="Courier New"/>
          <w:iCs/>
          <w:color w:val="000000" w:themeColor="text1"/>
          <w:szCs w:val="22"/>
        </w:rPr>
        <w:t>451</w:t>
      </w:r>
      <w:r w:rsidRPr="00702391">
        <w:rPr>
          <w:rFonts w:ascii="Courier New" w:hAnsi="Courier New"/>
          <w:iCs/>
          <w:color w:val="000000" w:themeColor="text1"/>
          <w:szCs w:val="22"/>
        </w:rPr>
        <w:t xml:space="preserve"> (1986)</w:t>
      </w:r>
      <w:r w:rsidR="00757E5E" w:rsidRPr="00702391">
        <w:rPr>
          <w:rFonts w:ascii="Courier New" w:hAnsi="Courier New"/>
          <w:iCs/>
          <w:color w:val="000000" w:themeColor="text1"/>
          <w:szCs w:val="22"/>
        </w:rPr>
        <w:t>.</w:t>
      </w:r>
      <w:r w:rsidR="00757E5E" w:rsidRPr="00702391">
        <w:rPr>
          <w:rFonts w:ascii="Courier New" w:hAnsi="Courier New"/>
          <w:b/>
          <w:iCs/>
          <w:color w:val="000000" w:themeColor="text1"/>
          <w:szCs w:val="22"/>
        </w:rPr>
        <w:t xml:space="preserve">  </w:t>
      </w:r>
      <w:r w:rsidR="00757E5E" w:rsidRPr="00702391">
        <w:rPr>
          <w:rFonts w:ascii="Courier New" w:hAnsi="Courier New"/>
          <w:color w:val="000000" w:themeColor="text1"/>
          <w:szCs w:val="20"/>
        </w:rPr>
        <w:t xml:space="preserve">Using actual income figures may be acceptable, as long as they reflect market </w:t>
      </w:r>
      <w:r w:rsidRPr="00702391">
        <w:rPr>
          <w:rFonts w:ascii="Courier New" w:hAnsi="Courier New"/>
          <w:color w:val="000000" w:themeColor="text1"/>
          <w:szCs w:val="20"/>
        </w:rPr>
        <w:t xml:space="preserve">rents </w:t>
      </w:r>
      <w:r w:rsidR="00757E5E" w:rsidRPr="00702391">
        <w:rPr>
          <w:rFonts w:ascii="Courier New" w:hAnsi="Courier New"/>
          <w:color w:val="000000" w:themeColor="text1"/>
          <w:szCs w:val="20"/>
        </w:rPr>
        <w:t xml:space="preserve">for the particular type of property involved.  </w:t>
      </w:r>
      <w:r w:rsidRPr="00702391">
        <w:rPr>
          <w:rFonts w:ascii="Courier New" w:hAnsi="Courier New"/>
          <w:b/>
          <w:i/>
          <w:iCs/>
          <w:color w:val="000000" w:themeColor="text1"/>
          <w:szCs w:val="20"/>
        </w:rPr>
        <w:t>I</w:t>
      </w:r>
      <w:r w:rsidR="00757E5E" w:rsidRPr="00702391">
        <w:rPr>
          <w:rFonts w:ascii="Courier New" w:hAnsi="Courier New"/>
          <w:b/>
          <w:bCs/>
          <w:i/>
          <w:iCs/>
          <w:color w:val="000000" w:themeColor="text1"/>
          <w:szCs w:val="20"/>
        </w:rPr>
        <w:t>d.</w:t>
      </w:r>
      <w:r w:rsidR="00757E5E" w:rsidRPr="00702391">
        <w:rPr>
          <w:rFonts w:ascii="Courier New" w:hAnsi="Courier New"/>
          <w:color w:val="000000" w:themeColor="text1"/>
          <w:szCs w:val="20"/>
        </w:rPr>
        <w:t>; s</w:t>
      </w:r>
      <w:r w:rsidR="00757E5E" w:rsidRPr="00702391">
        <w:rPr>
          <w:rFonts w:ascii="Courier New" w:hAnsi="Courier New"/>
          <w:i/>
          <w:iCs/>
          <w:color w:val="000000" w:themeColor="text1"/>
          <w:szCs w:val="20"/>
        </w:rPr>
        <w:t xml:space="preserve">ee also </w:t>
      </w:r>
      <w:r w:rsidR="00757E5E" w:rsidRPr="00702391">
        <w:rPr>
          <w:rFonts w:ascii="Courier New" w:hAnsi="Courier New"/>
          <w:b/>
          <w:bCs/>
          <w:i/>
          <w:iCs/>
          <w:color w:val="000000" w:themeColor="text1"/>
          <w:szCs w:val="20"/>
        </w:rPr>
        <w:t xml:space="preserve">Carye v. Assessors of Chelmsford, </w:t>
      </w:r>
      <w:r w:rsidR="00757E5E" w:rsidRPr="00702391">
        <w:rPr>
          <w:rFonts w:ascii="Courier New" w:hAnsi="Courier New"/>
          <w:color w:val="000000" w:themeColor="text1"/>
          <w:szCs w:val="20"/>
        </w:rPr>
        <w:t xml:space="preserve">394 Mass. 1001 (1985) (affirming the Board’s use of actual rents for valuation because there was substantial evidence in the record to support the Board’s conclusion that actual rents were an adequate measure of the earning capacity of the real estate at issue in that appeal).  Similarly, the expenses, allowances, and fees deducted should mirror the market.  </w:t>
      </w:r>
      <w:r w:rsidRPr="00702391">
        <w:rPr>
          <w:rFonts w:ascii="Courier New" w:hAnsi="Courier New"/>
          <w:b/>
          <w:bCs/>
          <w:i/>
          <w:iCs/>
          <w:color w:val="000000" w:themeColor="text1"/>
          <w:szCs w:val="20"/>
        </w:rPr>
        <w:t xml:space="preserve">Olympia &amp; York, </w:t>
      </w:r>
      <w:r w:rsidRPr="00702391">
        <w:rPr>
          <w:rFonts w:ascii="Courier New" w:hAnsi="Courier New"/>
          <w:bCs/>
          <w:iCs/>
          <w:color w:val="000000" w:themeColor="text1"/>
          <w:szCs w:val="20"/>
        </w:rPr>
        <w:t>428 Mass. at 239</w:t>
      </w:r>
      <w:r w:rsidR="00327787">
        <w:rPr>
          <w:rFonts w:ascii="Courier New" w:hAnsi="Courier New"/>
          <w:bCs/>
          <w:iCs/>
          <w:color w:val="000000" w:themeColor="text1"/>
          <w:szCs w:val="20"/>
        </w:rPr>
        <w:t xml:space="preserve">. </w:t>
      </w:r>
      <w:r w:rsidR="00757E5E" w:rsidRPr="00702391">
        <w:rPr>
          <w:rFonts w:ascii="Courier New" w:hAnsi="Courier New"/>
          <w:color w:val="000000" w:themeColor="text1"/>
          <w:szCs w:val="20"/>
        </w:rPr>
        <w:t>In the present appeal, the Presiding Commissioner found that Mr.</w:t>
      </w:r>
      <w:r w:rsidR="00AE608F" w:rsidRPr="00702391">
        <w:rPr>
          <w:rFonts w:ascii="Courier New" w:hAnsi="Courier New"/>
          <w:color w:val="000000" w:themeColor="text1"/>
          <w:szCs w:val="20"/>
        </w:rPr>
        <w:t> </w:t>
      </w:r>
      <w:r w:rsidR="00757E5E" w:rsidRPr="00702391">
        <w:rPr>
          <w:rFonts w:ascii="Courier New" w:hAnsi="Courier New"/>
          <w:color w:val="000000" w:themeColor="text1"/>
          <w:szCs w:val="20"/>
        </w:rPr>
        <w:t xml:space="preserve">Angiolillo did not verify or test his use of actual income and expenses from the fourth year of his </w:t>
      </w:r>
      <w:r w:rsidR="00327787">
        <w:rPr>
          <w:rFonts w:ascii="Courier New" w:hAnsi="Courier New"/>
          <w:color w:val="000000" w:themeColor="text1"/>
          <w:szCs w:val="20"/>
        </w:rPr>
        <w:t>10</w:t>
      </w:r>
      <w:r w:rsidR="00757E5E" w:rsidRPr="00702391">
        <w:rPr>
          <w:rFonts w:ascii="Courier New" w:hAnsi="Courier New"/>
          <w:color w:val="000000" w:themeColor="text1"/>
          <w:szCs w:val="20"/>
        </w:rPr>
        <w:t xml:space="preserve">-year lease with the market and he failed to utilize market data in selecting his expense deductions. These failures rendered the reliability and probative value of his selections tenuous at best.  </w:t>
      </w:r>
    </w:p>
    <w:p w:rsidR="00757E5E" w:rsidRPr="00702391" w:rsidRDefault="00757E5E" w:rsidP="00327787">
      <w:pPr>
        <w:spacing w:line="480" w:lineRule="auto"/>
        <w:ind w:firstLine="720"/>
        <w:jc w:val="both"/>
        <w:rPr>
          <w:rFonts w:ascii="Courier New" w:hAnsi="Courier New"/>
          <w:color w:val="000000" w:themeColor="text1"/>
          <w:szCs w:val="20"/>
        </w:rPr>
      </w:pPr>
      <w:r w:rsidRPr="00702391">
        <w:rPr>
          <w:rFonts w:ascii="Courier New" w:hAnsi="Courier New"/>
          <w:color w:val="000000" w:themeColor="text1"/>
          <w:szCs w:val="20"/>
        </w:rPr>
        <w:t xml:space="preserve">The capitalization rate selected for use in an income-capitalization methodology should consider the return necessary to attract investment capital.  </w:t>
      </w:r>
      <w:r w:rsidRPr="00702391">
        <w:rPr>
          <w:rFonts w:ascii="Courier New" w:hAnsi="Courier New"/>
          <w:b/>
          <w:bCs/>
          <w:i/>
          <w:iCs/>
          <w:color w:val="000000" w:themeColor="text1"/>
          <w:szCs w:val="20"/>
        </w:rPr>
        <w:t>Taunton Redev</w:t>
      </w:r>
      <w:r w:rsidR="00327787">
        <w:rPr>
          <w:rFonts w:ascii="Courier New" w:hAnsi="Courier New"/>
          <w:b/>
          <w:bCs/>
          <w:i/>
          <w:iCs/>
          <w:color w:val="000000" w:themeColor="text1"/>
          <w:szCs w:val="20"/>
        </w:rPr>
        <w:t>elopment</w:t>
      </w:r>
      <w:r w:rsidRPr="00702391">
        <w:rPr>
          <w:rFonts w:ascii="Courier New" w:hAnsi="Courier New"/>
          <w:b/>
          <w:bCs/>
          <w:i/>
          <w:iCs/>
          <w:color w:val="000000" w:themeColor="text1"/>
          <w:szCs w:val="20"/>
        </w:rPr>
        <w:t xml:space="preserve"> Assocs., </w:t>
      </w:r>
      <w:r w:rsidRPr="00702391">
        <w:rPr>
          <w:rFonts w:ascii="Courier New" w:hAnsi="Courier New"/>
          <w:color w:val="000000" w:themeColor="text1"/>
          <w:szCs w:val="20"/>
        </w:rPr>
        <w:t xml:space="preserve">393 Mass. at 295.  The assumptions and information used to develop a capitalization rate should be market based.  </w:t>
      </w:r>
      <w:r w:rsidRPr="00702391">
        <w:rPr>
          <w:rFonts w:ascii="Courier New" w:hAnsi="Courier New"/>
          <w:smallCaps/>
          <w:color w:val="000000" w:themeColor="text1"/>
          <w:szCs w:val="20"/>
        </w:rPr>
        <w:t xml:space="preserve">Appraisal </w:t>
      </w:r>
      <w:r w:rsidRPr="00702391">
        <w:rPr>
          <w:rFonts w:ascii="Courier New" w:hAnsi="Courier New"/>
          <w:smallCaps/>
          <w:color w:val="000000" w:themeColor="text1"/>
          <w:szCs w:val="20"/>
        </w:rPr>
        <w:lastRenderedPageBreak/>
        <w:t>Institute, The Appraisal of Real Estate</w:t>
      </w:r>
      <w:r w:rsidRPr="00702391">
        <w:rPr>
          <w:rFonts w:ascii="Courier New" w:hAnsi="Courier New"/>
          <w:color w:val="000000" w:themeColor="text1"/>
          <w:szCs w:val="20"/>
        </w:rPr>
        <w:t xml:space="preserve"> 499</w:t>
      </w:r>
      <w:r w:rsidR="00186E17" w:rsidRPr="00702391">
        <w:rPr>
          <w:rFonts w:ascii="Courier New" w:hAnsi="Courier New"/>
          <w:color w:val="000000" w:themeColor="text1"/>
          <w:szCs w:val="20"/>
        </w:rPr>
        <w:t>-500</w:t>
      </w:r>
      <w:r w:rsidRPr="00702391">
        <w:rPr>
          <w:rFonts w:ascii="Courier New" w:hAnsi="Courier New"/>
          <w:color w:val="000000" w:themeColor="text1"/>
          <w:szCs w:val="20"/>
        </w:rPr>
        <w:t xml:space="preserve"> (13</w:t>
      </w:r>
      <w:r w:rsidRPr="00702391">
        <w:rPr>
          <w:rFonts w:ascii="Courier New" w:hAnsi="Courier New"/>
          <w:color w:val="000000" w:themeColor="text1"/>
          <w:szCs w:val="20"/>
          <w:vertAlign w:val="superscript"/>
        </w:rPr>
        <w:t>th</w:t>
      </w:r>
      <w:r w:rsidRPr="00702391">
        <w:rPr>
          <w:rFonts w:ascii="Courier New" w:hAnsi="Courier New"/>
          <w:color w:val="000000" w:themeColor="text1"/>
          <w:szCs w:val="20"/>
        </w:rPr>
        <w:t xml:space="preserve"> ed. 2008) (“Direct capitalization employs capitalization rates . . . extracted f</w:t>
      </w:r>
      <w:r w:rsidR="00186E17" w:rsidRPr="00702391">
        <w:rPr>
          <w:rFonts w:ascii="Courier New" w:hAnsi="Courier New"/>
          <w:color w:val="000000" w:themeColor="text1"/>
          <w:szCs w:val="20"/>
        </w:rPr>
        <w:t>rom market data” and “</w:t>
      </w:r>
      <w:r w:rsidRPr="00702391">
        <w:rPr>
          <w:rFonts w:ascii="Courier New" w:hAnsi="Courier New"/>
          <w:color w:val="000000" w:themeColor="text1"/>
          <w:szCs w:val="20"/>
        </w:rPr>
        <w:t>processes a single year’s income into an indication of value</w:t>
      </w:r>
      <w:r w:rsidR="00186E17" w:rsidRPr="00702391">
        <w:rPr>
          <w:rFonts w:ascii="Courier New" w:hAnsi="Courier New"/>
          <w:color w:val="000000" w:themeColor="text1"/>
          <w:szCs w:val="20"/>
        </w:rPr>
        <w:t xml:space="preserve"> . . .</w:t>
      </w:r>
      <w:r w:rsidRPr="00702391">
        <w:rPr>
          <w:rFonts w:ascii="Courier New" w:hAnsi="Courier New"/>
          <w:color w:val="000000" w:themeColor="text1"/>
          <w:szCs w:val="20"/>
        </w:rPr>
        <w:t xml:space="preserve"> to produce a supportable indication of value when based on relevant market information.”).  In the present appeal, the Presiding Commissioner found that Mr.</w:t>
      </w:r>
      <w:r w:rsidR="00AE608F" w:rsidRPr="00702391">
        <w:rPr>
          <w:rFonts w:ascii="Courier New" w:hAnsi="Courier New"/>
          <w:color w:val="000000" w:themeColor="text1"/>
          <w:szCs w:val="20"/>
        </w:rPr>
        <w:t> </w:t>
      </w:r>
      <w:r w:rsidRPr="00702391">
        <w:rPr>
          <w:rFonts w:ascii="Courier New" w:hAnsi="Courier New"/>
          <w:color w:val="000000" w:themeColor="text1"/>
          <w:szCs w:val="20"/>
        </w:rPr>
        <w:t xml:space="preserve">Angiolillo did not properly support or provide adequate foundation for the assumptions upon which he relied in developing his capitalization rate, nor was he qualified to do so.  </w:t>
      </w:r>
    </w:p>
    <w:p w:rsidR="00757E5E" w:rsidRPr="00702391" w:rsidRDefault="00757E5E" w:rsidP="00327787">
      <w:pPr>
        <w:spacing w:line="480" w:lineRule="auto"/>
        <w:ind w:firstLine="720"/>
        <w:jc w:val="both"/>
        <w:rPr>
          <w:rFonts w:ascii="Courier New" w:hAnsi="Courier New"/>
          <w:color w:val="000000" w:themeColor="text1"/>
          <w:szCs w:val="20"/>
        </w:rPr>
      </w:pPr>
      <w:r w:rsidRPr="00702391">
        <w:rPr>
          <w:rFonts w:ascii="Courier New" w:hAnsi="Courier New"/>
          <w:color w:val="000000" w:themeColor="text1"/>
          <w:szCs w:val="20"/>
        </w:rPr>
        <w:t>The Presiding Commissioner also found and ruled that the sheer number of failures and shortcomings associated with Mr.</w:t>
      </w:r>
      <w:r w:rsidR="00AE608F" w:rsidRPr="00702391">
        <w:rPr>
          <w:rFonts w:ascii="Courier New" w:hAnsi="Courier New"/>
          <w:color w:val="000000" w:themeColor="text1"/>
          <w:szCs w:val="20"/>
        </w:rPr>
        <w:t> </w:t>
      </w:r>
      <w:r w:rsidRPr="00702391">
        <w:rPr>
          <w:rFonts w:ascii="Courier New" w:hAnsi="Courier New"/>
          <w:color w:val="000000" w:themeColor="text1"/>
          <w:szCs w:val="20"/>
        </w:rPr>
        <w:t xml:space="preserve">Angiolillo’s methodology further served to diminish its probative value.   </w:t>
      </w:r>
      <w:r w:rsidRPr="00702391">
        <w:rPr>
          <w:rFonts w:ascii="Courier New" w:hAnsi="Courier New"/>
          <w:i/>
          <w:color w:val="000000" w:themeColor="text1"/>
          <w:szCs w:val="20"/>
        </w:rPr>
        <w:t>See</w:t>
      </w:r>
      <w:r w:rsidRPr="00702391">
        <w:rPr>
          <w:rFonts w:ascii="Courier New" w:hAnsi="Courier New"/>
          <w:color w:val="000000" w:themeColor="text1"/>
          <w:szCs w:val="20"/>
        </w:rPr>
        <w:t xml:space="preserve"> </w:t>
      </w:r>
      <w:r w:rsidRPr="00702391">
        <w:rPr>
          <w:rFonts w:ascii="Courier New" w:hAnsi="Courier New"/>
          <w:b/>
          <w:i/>
          <w:color w:val="000000" w:themeColor="text1"/>
          <w:szCs w:val="20"/>
        </w:rPr>
        <w:t>May Department Store Co. v. Assessors of Newton</w:t>
      </w:r>
      <w:r w:rsidRPr="00702391">
        <w:rPr>
          <w:rFonts w:ascii="Courier New" w:hAnsi="Courier New"/>
          <w:color w:val="000000" w:themeColor="text1"/>
          <w:szCs w:val="20"/>
        </w:rPr>
        <w:t xml:space="preserve">, Mass. ATB Findings of Fact and Reports 2009-153, 193 (finding and ruling that the probative value of a real estate valuation expert’s testimony and report “collapsed under the weight of his numerous errors, omissions, and inconsistencies”).     </w:t>
      </w:r>
    </w:p>
    <w:p w:rsidR="00757E5E" w:rsidRPr="00702391" w:rsidRDefault="00757E5E" w:rsidP="00327787">
      <w:pPr>
        <w:spacing w:line="480" w:lineRule="auto"/>
        <w:ind w:firstLine="720"/>
        <w:jc w:val="both"/>
        <w:rPr>
          <w:rFonts w:ascii="Courier New" w:hAnsi="Courier New"/>
          <w:color w:val="000000" w:themeColor="text1"/>
          <w:szCs w:val="20"/>
        </w:rPr>
      </w:pPr>
      <w:r w:rsidRPr="00702391">
        <w:rPr>
          <w:rFonts w:ascii="Courier New" w:hAnsi="Courier New"/>
          <w:color w:val="000000" w:themeColor="text1"/>
          <w:szCs w:val="20"/>
        </w:rPr>
        <w:t xml:space="preserve">The mere production of evidence is not enough to meet the taxpayer’s burden of proving overvaluation; the evidence must be credible and persuasive.  </w:t>
      </w:r>
      <w:r w:rsidRPr="00702391">
        <w:rPr>
          <w:rFonts w:ascii="Courier New" w:hAnsi="Courier New"/>
          <w:i/>
          <w:iCs/>
          <w:color w:val="000000" w:themeColor="text1"/>
          <w:szCs w:val="20"/>
        </w:rPr>
        <w:t xml:space="preserve">See </w:t>
      </w:r>
      <w:r w:rsidRPr="00702391">
        <w:rPr>
          <w:rFonts w:ascii="Courier New" w:hAnsi="Courier New"/>
          <w:b/>
          <w:bCs/>
          <w:i/>
          <w:iCs/>
          <w:color w:val="000000" w:themeColor="text1"/>
          <w:szCs w:val="20"/>
        </w:rPr>
        <w:t>Foxboro Assocs. v. Board of Assessors of Foxborough,</w:t>
      </w:r>
      <w:r w:rsidRPr="00702391">
        <w:rPr>
          <w:rFonts w:ascii="Courier New" w:hAnsi="Courier New"/>
          <w:color w:val="000000" w:themeColor="text1"/>
          <w:szCs w:val="20"/>
        </w:rPr>
        <w:t xml:space="preserve"> 385 Mass. 679, 691 (1982).  As a consequence of </w:t>
      </w:r>
      <w:r w:rsidR="00FF108E" w:rsidRPr="00702391">
        <w:rPr>
          <w:rFonts w:ascii="Courier New" w:hAnsi="Courier New"/>
          <w:color w:val="000000" w:themeColor="text1"/>
          <w:szCs w:val="20"/>
        </w:rPr>
        <w:t>Mr. Angiolillo’s</w:t>
      </w:r>
      <w:r w:rsidRPr="00702391">
        <w:rPr>
          <w:rFonts w:ascii="Courier New" w:hAnsi="Courier New"/>
          <w:color w:val="000000" w:themeColor="text1"/>
          <w:szCs w:val="20"/>
        </w:rPr>
        <w:t xml:space="preserve"> omissions and failures, the Presiding Commissioner found and ruled that the values derived </w:t>
      </w:r>
      <w:r w:rsidRPr="00702391">
        <w:rPr>
          <w:rFonts w:ascii="Courier New" w:hAnsi="Courier New"/>
          <w:color w:val="000000" w:themeColor="text1"/>
          <w:szCs w:val="20"/>
        </w:rPr>
        <w:lastRenderedPageBreak/>
        <w:t xml:space="preserve">from </w:t>
      </w:r>
      <w:r w:rsidR="00FF108E" w:rsidRPr="00702391">
        <w:rPr>
          <w:rFonts w:ascii="Courier New" w:hAnsi="Courier New"/>
          <w:color w:val="000000" w:themeColor="text1"/>
          <w:szCs w:val="20"/>
        </w:rPr>
        <w:t xml:space="preserve">his </w:t>
      </w:r>
      <w:r w:rsidR="00186E17" w:rsidRPr="00702391">
        <w:rPr>
          <w:rFonts w:ascii="Courier New" w:hAnsi="Courier New"/>
          <w:color w:val="000000" w:themeColor="text1"/>
          <w:szCs w:val="20"/>
        </w:rPr>
        <w:t>various valuation methodologies</w:t>
      </w:r>
      <w:r w:rsidRPr="00702391">
        <w:rPr>
          <w:rFonts w:ascii="Courier New" w:hAnsi="Courier New"/>
          <w:color w:val="000000" w:themeColor="text1"/>
          <w:szCs w:val="20"/>
        </w:rPr>
        <w:t xml:space="preserve"> were not reliable, credible, or persuasive indicators of the subject property’s fair cash value for the fiscal year at issue. </w:t>
      </w:r>
    </w:p>
    <w:p w:rsidR="00757E5E" w:rsidRPr="00702391" w:rsidRDefault="00757E5E" w:rsidP="00327787">
      <w:pPr>
        <w:spacing w:line="480" w:lineRule="auto"/>
        <w:ind w:firstLine="720"/>
        <w:jc w:val="both"/>
        <w:rPr>
          <w:rFonts w:ascii="Courier New" w:hAnsi="Courier New"/>
          <w:color w:val="000000" w:themeColor="text1"/>
          <w:szCs w:val="20"/>
        </w:rPr>
      </w:pPr>
      <w:r w:rsidRPr="00702391">
        <w:rPr>
          <w:rFonts w:ascii="Courier New" w:hAnsi="Courier New"/>
          <w:color w:val="000000" w:themeColor="text1"/>
          <w:szCs w:val="20"/>
        </w:rPr>
        <w:t xml:space="preserve">In reaching </w:t>
      </w:r>
      <w:r w:rsidR="005E5DD5" w:rsidRPr="00702391">
        <w:rPr>
          <w:rFonts w:ascii="Courier New" w:hAnsi="Courier New"/>
          <w:color w:val="000000" w:themeColor="text1"/>
          <w:szCs w:val="20"/>
        </w:rPr>
        <w:t>his</w:t>
      </w:r>
      <w:r w:rsidRPr="00702391">
        <w:rPr>
          <w:rFonts w:ascii="Courier New" w:hAnsi="Courier New"/>
          <w:color w:val="000000" w:themeColor="text1"/>
          <w:szCs w:val="20"/>
        </w:rPr>
        <w:t xml:space="preserve"> decision in this appeal, the Presiding Commissioner was not required to believe the testimony of any particular witness or adopt any particular method of valuation that a witness suggested.  Rather, he could accept those portions of the evidence that he determined had more convincing weight.  </w:t>
      </w:r>
      <w:r w:rsidRPr="00702391">
        <w:rPr>
          <w:rFonts w:ascii="Courier New" w:hAnsi="Courier New"/>
          <w:b/>
          <w:bCs/>
          <w:i/>
          <w:iCs/>
          <w:color w:val="000000" w:themeColor="text1"/>
          <w:szCs w:val="20"/>
        </w:rPr>
        <w:t>Foxboro Assocs.</w:t>
      </w:r>
      <w:r w:rsidRPr="00702391">
        <w:rPr>
          <w:rFonts w:ascii="Courier New" w:hAnsi="Courier New"/>
          <w:color w:val="000000" w:themeColor="text1"/>
          <w:szCs w:val="20"/>
        </w:rPr>
        <w:t xml:space="preserve">, 385 Mass. at 683; </w:t>
      </w:r>
      <w:r w:rsidR="005E5DD5" w:rsidRPr="00702391">
        <w:rPr>
          <w:rFonts w:ascii="Courier New" w:hAnsi="Courier New"/>
          <w:b/>
          <w:bCs/>
          <w:i/>
          <w:iCs/>
          <w:color w:val="000000" w:themeColor="text1"/>
          <w:szCs w:val="20"/>
        </w:rPr>
        <w:t xml:space="preserve">New Boston Garden Corp. v. Assessors of Boston, </w:t>
      </w:r>
      <w:r w:rsidR="005E5DD5" w:rsidRPr="00702391">
        <w:rPr>
          <w:rFonts w:ascii="Courier New" w:hAnsi="Courier New"/>
          <w:color w:val="000000" w:themeColor="text1"/>
          <w:szCs w:val="20"/>
        </w:rPr>
        <w:t xml:space="preserve">383 Mass. 456, </w:t>
      </w:r>
      <w:r w:rsidRPr="00702391">
        <w:rPr>
          <w:rFonts w:ascii="Courier New" w:hAnsi="Courier New"/>
          <w:color w:val="000000" w:themeColor="text1"/>
          <w:szCs w:val="20"/>
        </w:rPr>
        <w:t>473</w:t>
      </w:r>
      <w:r w:rsidR="005E5DD5" w:rsidRPr="00702391">
        <w:rPr>
          <w:rFonts w:ascii="Courier New" w:hAnsi="Courier New"/>
          <w:color w:val="000000" w:themeColor="text1"/>
          <w:szCs w:val="20"/>
        </w:rPr>
        <w:t xml:space="preserve"> (1981)</w:t>
      </w:r>
      <w:r w:rsidRPr="00702391">
        <w:rPr>
          <w:rFonts w:ascii="Courier New" w:hAnsi="Courier New"/>
          <w:color w:val="000000" w:themeColor="text1"/>
          <w:szCs w:val="20"/>
        </w:rPr>
        <w:t xml:space="preserve">; </w:t>
      </w:r>
      <w:r w:rsidRPr="00702391">
        <w:rPr>
          <w:rFonts w:ascii="Courier New" w:hAnsi="Courier New"/>
          <w:b/>
          <w:bCs/>
          <w:i/>
          <w:iCs/>
          <w:color w:val="000000" w:themeColor="text1"/>
          <w:szCs w:val="20"/>
        </w:rPr>
        <w:t>New England Oy</w:t>
      </w:r>
      <w:r w:rsidR="005E5DD5" w:rsidRPr="00702391">
        <w:rPr>
          <w:rFonts w:ascii="Courier New" w:hAnsi="Courier New"/>
          <w:b/>
          <w:bCs/>
          <w:i/>
          <w:iCs/>
          <w:color w:val="000000" w:themeColor="text1"/>
          <w:szCs w:val="20"/>
        </w:rPr>
        <w:t>ster House</w:t>
      </w:r>
      <w:r w:rsidR="00327787">
        <w:rPr>
          <w:rFonts w:ascii="Courier New" w:hAnsi="Courier New"/>
          <w:bCs/>
          <w:iCs/>
          <w:color w:val="000000" w:themeColor="text1"/>
          <w:szCs w:val="20"/>
        </w:rPr>
        <w:t>,</w:t>
      </w:r>
      <w:r w:rsidRPr="00702391">
        <w:rPr>
          <w:rFonts w:ascii="Courier New" w:hAnsi="Courier New"/>
          <w:b/>
          <w:bCs/>
          <w:i/>
          <w:iCs/>
          <w:color w:val="000000" w:themeColor="text1"/>
          <w:szCs w:val="20"/>
        </w:rPr>
        <w:t xml:space="preserve"> </w:t>
      </w:r>
      <w:r w:rsidRPr="00702391">
        <w:rPr>
          <w:rFonts w:ascii="Courier New" w:hAnsi="Courier New"/>
          <w:color w:val="000000" w:themeColor="text1"/>
          <w:szCs w:val="20"/>
        </w:rPr>
        <w:t>362 Mass.</w:t>
      </w:r>
      <w:r w:rsidR="005E5DD5" w:rsidRPr="00702391">
        <w:rPr>
          <w:rFonts w:ascii="Courier New" w:hAnsi="Courier New"/>
          <w:color w:val="000000" w:themeColor="text1"/>
          <w:szCs w:val="20"/>
        </w:rPr>
        <w:t xml:space="preserve"> at 701-</w:t>
      </w:r>
      <w:r w:rsidRPr="00702391">
        <w:rPr>
          <w:rFonts w:ascii="Courier New" w:hAnsi="Courier New"/>
          <w:color w:val="000000" w:themeColor="text1"/>
          <w:szCs w:val="20"/>
        </w:rPr>
        <w:t xml:space="preserve">02.  “The credibility of witnesses, the weight of evidence, the inferences to be drawn from the evidence are matters for the board.”  </w:t>
      </w:r>
      <w:r w:rsidRPr="00702391">
        <w:rPr>
          <w:rFonts w:ascii="Courier New" w:hAnsi="Courier New"/>
          <w:b/>
          <w:bCs/>
          <w:i/>
          <w:iCs/>
          <w:color w:val="000000" w:themeColor="text1"/>
          <w:szCs w:val="20"/>
        </w:rPr>
        <w:t>Cummington School of the Arts, Inc. v. Assessors of Cummington,</w:t>
      </w:r>
      <w:r w:rsidRPr="00702391">
        <w:rPr>
          <w:rFonts w:ascii="Courier New" w:hAnsi="Courier New"/>
          <w:color w:val="000000" w:themeColor="text1"/>
          <w:szCs w:val="20"/>
        </w:rPr>
        <w:t xml:space="preserve"> 373 Mass. 597, 605 (1977).  Furthermore, the Presiding Commissioner may disbelieve a witness or reject evidence as long as </w:t>
      </w:r>
      <w:r w:rsidR="00327787">
        <w:rPr>
          <w:rFonts w:ascii="Courier New" w:hAnsi="Courier New"/>
          <w:color w:val="000000" w:themeColor="text1"/>
          <w:szCs w:val="20"/>
        </w:rPr>
        <w:t>he</w:t>
      </w:r>
      <w:r w:rsidRPr="00702391">
        <w:rPr>
          <w:rFonts w:ascii="Courier New" w:hAnsi="Courier New"/>
          <w:color w:val="000000" w:themeColor="text1"/>
          <w:szCs w:val="20"/>
        </w:rPr>
        <w:t xml:space="preserve"> has an “‘explicit and objectively adequate reason.’”  </w:t>
      </w:r>
      <w:r w:rsidR="005E5DD5" w:rsidRPr="00702391">
        <w:rPr>
          <w:rFonts w:ascii="Courier New" w:hAnsi="Courier New"/>
          <w:b/>
          <w:bCs/>
          <w:i/>
          <w:iCs/>
          <w:color w:val="000000" w:themeColor="text1"/>
          <w:szCs w:val="20"/>
        </w:rPr>
        <w:t xml:space="preserve">New Boston Garden Corp., </w:t>
      </w:r>
      <w:r w:rsidR="005E5DD5" w:rsidRPr="00702391">
        <w:rPr>
          <w:rFonts w:ascii="Courier New" w:hAnsi="Courier New"/>
          <w:color w:val="000000" w:themeColor="text1"/>
          <w:szCs w:val="20"/>
        </w:rPr>
        <w:t>383</w:t>
      </w:r>
      <w:r w:rsidR="00F74CC3">
        <w:rPr>
          <w:rFonts w:ascii="Courier New" w:hAnsi="Courier New"/>
          <w:color w:val="000000" w:themeColor="text1"/>
          <w:szCs w:val="20"/>
        </w:rPr>
        <w:t> </w:t>
      </w:r>
      <w:r w:rsidR="005E5DD5" w:rsidRPr="00702391">
        <w:rPr>
          <w:rFonts w:ascii="Courier New" w:hAnsi="Courier New"/>
          <w:color w:val="000000" w:themeColor="text1"/>
          <w:szCs w:val="20"/>
        </w:rPr>
        <w:t>Mass. at</w:t>
      </w:r>
      <w:r w:rsidRPr="00702391">
        <w:rPr>
          <w:rFonts w:ascii="Courier New" w:hAnsi="Courier New"/>
          <w:color w:val="000000" w:themeColor="text1"/>
          <w:szCs w:val="20"/>
        </w:rPr>
        <w:t xml:space="preserve"> 470</w:t>
      </w:r>
      <w:r w:rsidR="005E5DD5" w:rsidRPr="00702391">
        <w:rPr>
          <w:rFonts w:ascii="Courier New" w:hAnsi="Courier New"/>
          <w:color w:val="000000" w:themeColor="text1"/>
          <w:szCs w:val="20"/>
        </w:rPr>
        <w:t>-71</w:t>
      </w:r>
      <w:r w:rsidRPr="00702391">
        <w:rPr>
          <w:rFonts w:ascii="Courier New" w:hAnsi="Courier New"/>
          <w:color w:val="000000" w:themeColor="text1"/>
          <w:szCs w:val="20"/>
        </w:rPr>
        <w:t>.</w:t>
      </w:r>
      <w:r w:rsidRPr="00702391">
        <w:rPr>
          <w:rFonts w:ascii="Courier New" w:hAnsi="Courier New"/>
          <w:color w:val="000000" w:themeColor="text1"/>
          <w:szCs w:val="20"/>
        </w:rPr>
        <w:br w:type="page"/>
      </w:r>
    </w:p>
    <w:p w:rsidR="00757E5E" w:rsidRPr="00702391" w:rsidRDefault="00757E5E" w:rsidP="00757E5E">
      <w:pPr>
        <w:spacing w:after="120" w:line="480" w:lineRule="auto"/>
        <w:ind w:firstLine="720"/>
        <w:jc w:val="both"/>
        <w:rPr>
          <w:rFonts w:ascii="Courier New" w:hAnsi="Courier New"/>
          <w:color w:val="000000" w:themeColor="text1"/>
          <w:szCs w:val="20"/>
        </w:rPr>
      </w:pPr>
      <w:r w:rsidRPr="00702391">
        <w:rPr>
          <w:rFonts w:ascii="Courier New" w:hAnsi="Courier New"/>
          <w:color w:val="000000" w:themeColor="text1"/>
          <w:szCs w:val="20"/>
        </w:rPr>
        <w:lastRenderedPageBreak/>
        <w:t xml:space="preserve">On this basis, the Presiding Commissioner </w:t>
      </w:r>
      <w:r w:rsidRPr="00702391">
        <w:rPr>
          <w:rFonts w:ascii="Courier New" w:hAnsi="Courier New" w:cs="Courier New"/>
          <w:color w:val="000000" w:themeColor="text1"/>
          <w:szCs w:val="20"/>
        </w:rPr>
        <w:t xml:space="preserve">found and ruled that the appellant failed to demonstrate that the subject property’s assessment exceeded its fair cash value for the fiscal year at issue.  The Presiding Commissioner, therefore, decided this appeal </w:t>
      </w:r>
      <w:r w:rsidRPr="00702391">
        <w:rPr>
          <w:rFonts w:ascii="Courier New" w:hAnsi="Courier New"/>
          <w:color w:val="000000" w:themeColor="text1"/>
          <w:szCs w:val="20"/>
        </w:rPr>
        <w:t>for the appellee.</w:t>
      </w:r>
    </w:p>
    <w:p w:rsidR="00757E5E" w:rsidRPr="00702391" w:rsidRDefault="00757E5E" w:rsidP="00757E5E">
      <w:pPr>
        <w:spacing w:after="120" w:line="480" w:lineRule="auto"/>
        <w:ind w:firstLine="720"/>
        <w:jc w:val="both"/>
        <w:rPr>
          <w:color w:val="000000" w:themeColor="text1"/>
        </w:rPr>
      </w:pPr>
    </w:p>
    <w:p w:rsidR="00757E5E" w:rsidRPr="00702391" w:rsidRDefault="00757E5E" w:rsidP="00757E5E">
      <w:pPr>
        <w:spacing w:line="480" w:lineRule="auto"/>
        <w:jc w:val="both"/>
        <w:rPr>
          <w:rFonts w:ascii="Courier New" w:hAnsi="Courier New" w:cs="Courier New"/>
          <w:b/>
          <w:color w:val="000000" w:themeColor="text1"/>
        </w:rPr>
      </w:pPr>
      <w:r w:rsidRPr="00702391">
        <w:rPr>
          <w:color w:val="000000" w:themeColor="text1"/>
        </w:rPr>
        <w:tab/>
      </w:r>
      <w:r w:rsidRPr="00702391">
        <w:rPr>
          <w:color w:val="000000" w:themeColor="text1"/>
        </w:rPr>
        <w:tab/>
      </w:r>
      <w:r w:rsidRPr="00702391">
        <w:rPr>
          <w:color w:val="000000" w:themeColor="text1"/>
        </w:rPr>
        <w:tab/>
        <w:t xml:space="preserve">                  </w:t>
      </w:r>
      <w:r w:rsidR="00F74CC3">
        <w:rPr>
          <w:color w:val="000000" w:themeColor="text1"/>
        </w:rPr>
        <w:t>        </w:t>
      </w:r>
      <w:r w:rsidRPr="00702391">
        <w:rPr>
          <w:rFonts w:ascii="Courier New" w:hAnsi="Courier New" w:cs="Courier New"/>
          <w:b/>
          <w:color w:val="000000" w:themeColor="text1"/>
        </w:rPr>
        <w:t>THE</w:t>
      </w:r>
      <w:r w:rsidRPr="00702391">
        <w:rPr>
          <w:b/>
          <w:color w:val="000000" w:themeColor="text1"/>
        </w:rPr>
        <w:t xml:space="preserve"> </w:t>
      </w:r>
      <w:r w:rsidRPr="00702391">
        <w:rPr>
          <w:rFonts w:ascii="Courier New" w:hAnsi="Courier New" w:cs="Courier New"/>
          <w:b/>
          <w:color w:val="000000" w:themeColor="text1"/>
        </w:rPr>
        <w:t>APPELLATE TAX BOARD</w:t>
      </w: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r w:rsidRPr="00702391">
        <w:rPr>
          <w:rFonts w:ascii="Courier New" w:hAnsi="Courier New" w:cs="Courier New"/>
          <w:b/>
          <w:color w:val="000000" w:themeColor="text1"/>
        </w:rPr>
        <w:tab/>
      </w:r>
      <w:r w:rsidRPr="00702391">
        <w:rPr>
          <w:rFonts w:ascii="Courier New" w:hAnsi="Courier New" w:cs="Courier New"/>
          <w:b/>
          <w:color w:val="000000" w:themeColor="text1"/>
        </w:rPr>
        <w:tab/>
      </w:r>
      <w:r w:rsidRPr="00702391">
        <w:rPr>
          <w:rFonts w:ascii="Courier New" w:hAnsi="Courier New" w:cs="Courier New"/>
          <w:b/>
          <w:color w:val="000000" w:themeColor="text1"/>
        </w:rPr>
        <w:tab/>
      </w:r>
      <w:r w:rsidRPr="00702391">
        <w:rPr>
          <w:rFonts w:ascii="Courier New" w:hAnsi="Courier New" w:cs="Courier New"/>
          <w:b/>
          <w:color w:val="000000" w:themeColor="text1"/>
        </w:rPr>
        <w:tab/>
        <w:t xml:space="preserve">  By:</w:t>
      </w:r>
      <w:r w:rsidR="00F74CC3">
        <w:rPr>
          <w:rFonts w:ascii="Courier New" w:hAnsi="Courier New" w:cs="Courier New"/>
          <w:b/>
          <w:color w:val="000000" w:themeColor="text1"/>
          <w:u w:val="single"/>
        </w:rPr>
        <w:tab/>
      </w:r>
      <w:r w:rsidR="00F74CC3">
        <w:rPr>
          <w:rFonts w:ascii="Courier New" w:hAnsi="Courier New" w:cs="Courier New"/>
          <w:b/>
          <w:color w:val="000000" w:themeColor="text1"/>
          <w:u w:val="single"/>
        </w:rPr>
        <w:tab/>
      </w:r>
      <w:r w:rsidR="00F74CC3">
        <w:rPr>
          <w:rFonts w:ascii="Courier New" w:hAnsi="Courier New" w:cs="Courier New"/>
          <w:b/>
          <w:color w:val="000000" w:themeColor="text1"/>
          <w:u w:val="single"/>
        </w:rPr>
        <w:tab/>
      </w:r>
      <w:r w:rsidR="00F74CC3">
        <w:rPr>
          <w:rFonts w:ascii="Courier New" w:hAnsi="Courier New" w:cs="Courier New"/>
          <w:b/>
          <w:color w:val="000000" w:themeColor="text1"/>
          <w:u w:val="single"/>
        </w:rPr>
        <w:tab/>
        <w:t>________</w:t>
      </w:r>
      <w:r w:rsidRPr="00702391">
        <w:rPr>
          <w:rFonts w:ascii="Courier New" w:hAnsi="Courier New" w:cs="Courier New"/>
          <w:b/>
          <w:color w:val="000000" w:themeColor="text1"/>
        </w:rPr>
        <w:t xml:space="preserve">   </w:t>
      </w:r>
      <w:r w:rsidRPr="00702391">
        <w:rPr>
          <w:rFonts w:ascii="Courier New" w:hAnsi="Courier New" w:cs="Courier New"/>
          <w:b/>
          <w:color w:val="000000" w:themeColor="text1"/>
        </w:rPr>
        <w:tab/>
      </w:r>
      <w:r w:rsidRPr="00702391">
        <w:rPr>
          <w:rFonts w:ascii="Courier New" w:hAnsi="Courier New" w:cs="Courier New"/>
          <w:b/>
          <w:color w:val="000000" w:themeColor="text1"/>
        </w:rPr>
        <w:tab/>
      </w:r>
      <w:r w:rsidRPr="00702391">
        <w:rPr>
          <w:rFonts w:ascii="Courier New" w:hAnsi="Courier New" w:cs="Courier New"/>
          <w:b/>
          <w:color w:val="000000" w:themeColor="text1"/>
        </w:rPr>
        <w:tab/>
      </w:r>
      <w:r w:rsidRPr="00702391">
        <w:rPr>
          <w:rFonts w:ascii="Courier New" w:hAnsi="Courier New" w:cs="Courier New"/>
          <w:b/>
          <w:color w:val="000000" w:themeColor="text1"/>
        </w:rPr>
        <w:tab/>
        <w:t xml:space="preserve">    </w:t>
      </w:r>
      <w:r w:rsidRPr="00702391">
        <w:rPr>
          <w:rFonts w:ascii="Courier New" w:hAnsi="Courier New" w:cs="Courier New"/>
          <w:b/>
          <w:color w:val="000000" w:themeColor="text1"/>
        </w:rPr>
        <w:tab/>
        <w:t xml:space="preserve">     </w:t>
      </w:r>
      <w:r w:rsidR="00F74CC3">
        <w:rPr>
          <w:rFonts w:ascii="Courier New" w:hAnsi="Courier New" w:cs="Courier New"/>
          <w:b/>
          <w:color w:val="000000" w:themeColor="text1"/>
        </w:rPr>
        <w:t>     James D. Rose, Commissioner</w:t>
      </w: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jc w:val="both"/>
        <w:rPr>
          <w:rFonts w:ascii="Courier New" w:hAnsi="Courier New" w:cs="Courier New"/>
          <w:b/>
          <w:color w:val="000000" w:themeColor="text1"/>
        </w:rPr>
      </w:pPr>
    </w:p>
    <w:p w:rsidR="00FA4C54" w:rsidRDefault="00FA4C54" w:rsidP="00FA4C54">
      <w:pPr>
        <w:jc w:val="both"/>
        <w:rPr>
          <w:rFonts w:ascii="Courier New" w:hAnsi="Courier New" w:cs="Courier New"/>
          <w:b/>
          <w:color w:val="000000" w:themeColor="text1"/>
        </w:rPr>
      </w:pPr>
      <w:r w:rsidRPr="00702391">
        <w:rPr>
          <w:rFonts w:ascii="Courier New" w:hAnsi="Courier New" w:cs="Courier New"/>
          <w:b/>
          <w:color w:val="000000" w:themeColor="text1"/>
        </w:rPr>
        <w:t>A true copy,</w:t>
      </w:r>
    </w:p>
    <w:p w:rsidR="00FA4C54" w:rsidRPr="00702391" w:rsidRDefault="00FA4C54" w:rsidP="00FA4C54">
      <w:pPr>
        <w:jc w:val="both"/>
        <w:rPr>
          <w:rFonts w:ascii="Courier New" w:hAnsi="Courier New" w:cs="Courier New"/>
          <w:b/>
          <w:color w:val="000000" w:themeColor="text1"/>
        </w:rPr>
      </w:pPr>
    </w:p>
    <w:p w:rsidR="00FA4C54" w:rsidRPr="00702391" w:rsidRDefault="00FA4C54" w:rsidP="00FA4C54">
      <w:pPr>
        <w:jc w:val="both"/>
        <w:rPr>
          <w:rFonts w:ascii="Courier New" w:hAnsi="Courier New" w:cs="Courier New"/>
          <w:b/>
          <w:color w:val="000000" w:themeColor="text1"/>
        </w:rPr>
      </w:pPr>
    </w:p>
    <w:p w:rsidR="00FA4C54" w:rsidRPr="00702391" w:rsidRDefault="00FA4C54" w:rsidP="00FA4C54">
      <w:pPr>
        <w:jc w:val="both"/>
        <w:rPr>
          <w:rFonts w:ascii="Courier New" w:hAnsi="Courier New" w:cs="Courier New"/>
          <w:b/>
          <w:color w:val="000000" w:themeColor="text1"/>
          <w:u w:val="single"/>
        </w:rPr>
      </w:pPr>
      <w:r w:rsidRPr="00702391">
        <w:rPr>
          <w:rFonts w:ascii="Courier New" w:hAnsi="Courier New" w:cs="Courier New"/>
          <w:b/>
          <w:color w:val="000000" w:themeColor="text1"/>
        </w:rPr>
        <w:t>Attest:</w:t>
      </w:r>
      <w:r w:rsidRPr="00702391">
        <w:rPr>
          <w:rFonts w:ascii="Courier New" w:hAnsi="Courier New" w:cs="Courier New"/>
          <w:b/>
          <w:color w:val="000000" w:themeColor="text1"/>
          <w:u w:val="single"/>
        </w:rPr>
        <w:tab/>
      </w:r>
      <w:r w:rsidRPr="00702391">
        <w:rPr>
          <w:rFonts w:ascii="Courier New" w:hAnsi="Courier New" w:cs="Courier New"/>
          <w:b/>
          <w:color w:val="000000" w:themeColor="text1"/>
          <w:u w:val="single"/>
        </w:rPr>
        <w:tab/>
      </w:r>
      <w:r w:rsidRPr="00702391">
        <w:rPr>
          <w:rFonts w:ascii="Courier New" w:hAnsi="Courier New" w:cs="Courier New"/>
          <w:b/>
          <w:color w:val="000000" w:themeColor="text1"/>
          <w:u w:val="single"/>
        </w:rPr>
        <w:tab/>
      </w:r>
      <w:r w:rsidRPr="00702391">
        <w:rPr>
          <w:rFonts w:ascii="Courier New" w:hAnsi="Courier New" w:cs="Courier New"/>
          <w:b/>
          <w:color w:val="000000" w:themeColor="text1"/>
          <w:u w:val="single"/>
        </w:rPr>
        <w:tab/>
      </w:r>
      <w:r w:rsidRPr="00702391">
        <w:rPr>
          <w:rFonts w:ascii="Courier New" w:hAnsi="Courier New" w:cs="Courier New"/>
          <w:b/>
          <w:color w:val="000000" w:themeColor="text1"/>
          <w:u w:val="single"/>
        </w:rPr>
        <w:tab/>
        <w:t>_</w:t>
      </w:r>
    </w:p>
    <w:p w:rsidR="00FA4C54" w:rsidRPr="00702391" w:rsidRDefault="00FA4C54" w:rsidP="00FA4C54">
      <w:pPr>
        <w:jc w:val="both"/>
        <w:rPr>
          <w:rFonts w:ascii="Courier New" w:hAnsi="Courier New" w:cs="Courier New"/>
          <w:b/>
          <w:color w:val="000000" w:themeColor="text1"/>
        </w:rPr>
      </w:pPr>
      <w:r w:rsidRPr="00702391">
        <w:rPr>
          <w:rFonts w:ascii="Courier New" w:hAnsi="Courier New" w:cs="Courier New"/>
          <w:b/>
          <w:color w:val="000000" w:themeColor="text1"/>
        </w:rPr>
        <w:t xml:space="preserve">       Clerk of the Board</w:t>
      </w:r>
    </w:p>
    <w:p w:rsidR="00757E5E" w:rsidRPr="00702391" w:rsidRDefault="00757E5E" w:rsidP="00757E5E">
      <w:pPr>
        <w:jc w:val="both"/>
        <w:rPr>
          <w:rFonts w:ascii="Courier New" w:hAnsi="Courier New" w:cs="Courier New"/>
          <w:b/>
          <w:color w:val="000000" w:themeColor="text1"/>
        </w:rPr>
      </w:pPr>
    </w:p>
    <w:p w:rsidR="00757E5E" w:rsidRPr="00702391" w:rsidRDefault="00757E5E" w:rsidP="00757E5E">
      <w:pPr>
        <w:spacing w:line="480" w:lineRule="auto"/>
        <w:ind w:firstLine="720"/>
        <w:jc w:val="both"/>
        <w:rPr>
          <w:rFonts w:ascii="Courier New" w:eastAsiaTheme="minorHAnsi" w:hAnsi="Courier New" w:cs="Courier New"/>
          <w:color w:val="000000" w:themeColor="text1"/>
        </w:rPr>
      </w:pPr>
    </w:p>
    <w:p w:rsidR="009319E0" w:rsidRPr="00702391" w:rsidRDefault="009319E0">
      <w:pPr>
        <w:rPr>
          <w:color w:val="000000" w:themeColor="text1"/>
        </w:rPr>
      </w:pPr>
    </w:p>
    <w:sectPr w:rsidR="009319E0" w:rsidRPr="00702391" w:rsidSect="00FA4C54">
      <w:footerReference w:type="default" r:id="rId8"/>
      <w:pgSz w:w="12240" w:h="15840"/>
      <w:pgMar w:top="1440" w:right="1440" w:bottom="1440" w:left="1440" w:header="720" w:footer="432" w:gutter="0"/>
      <w:pgNumType w:start="4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5E" w:rsidRDefault="00757E5E" w:rsidP="00757E5E">
      <w:r>
        <w:separator/>
      </w:r>
    </w:p>
  </w:endnote>
  <w:endnote w:type="continuationSeparator" w:id="0">
    <w:p w:rsidR="00757E5E" w:rsidRDefault="00757E5E" w:rsidP="0075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640109487"/>
      <w:docPartObj>
        <w:docPartGallery w:val="Page Numbers (Bottom of Page)"/>
        <w:docPartUnique/>
      </w:docPartObj>
    </w:sdtPr>
    <w:sdtEndPr>
      <w:rPr>
        <w:rFonts w:ascii="Times New Roman" w:hAnsi="Times New Roman" w:cs="Times New Roman"/>
        <w:b w:val="0"/>
        <w:noProof/>
      </w:rPr>
    </w:sdtEndPr>
    <w:sdtContent>
      <w:p w:rsidR="00757E5E" w:rsidRDefault="00FA4C54" w:rsidP="00FA4C54">
        <w:pPr>
          <w:pStyle w:val="Footer"/>
          <w:jc w:val="center"/>
        </w:pPr>
        <w:r w:rsidRPr="00FA4C54">
          <w:rPr>
            <w:rFonts w:ascii="Courier New" w:hAnsi="Courier New" w:cs="Courier New"/>
            <w:b/>
          </w:rPr>
          <w:t>ATB 2018-</w:t>
        </w:r>
        <w:r w:rsidR="00757E5E" w:rsidRPr="00FA4C54">
          <w:rPr>
            <w:rFonts w:ascii="Courier New" w:hAnsi="Courier New" w:cs="Courier New"/>
            <w:b/>
          </w:rPr>
          <w:fldChar w:fldCharType="begin"/>
        </w:r>
        <w:r w:rsidR="00757E5E" w:rsidRPr="00FA4C54">
          <w:rPr>
            <w:rFonts w:ascii="Courier New" w:hAnsi="Courier New" w:cs="Courier New"/>
            <w:b/>
          </w:rPr>
          <w:instrText xml:space="preserve"> PAGE   \* MERGEFORMAT </w:instrText>
        </w:r>
        <w:r w:rsidR="00757E5E" w:rsidRPr="00FA4C54">
          <w:rPr>
            <w:rFonts w:ascii="Courier New" w:hAnsi="Courier New" w:cs="Courier New"/>
            <w:b/>
          </w:rPr>
          <w:fldChar w:fldCharType="separate"/>
        </w:r>
        <w:r w:rsidR="000637AD">
          <w:rPr>
            <w:rFonts w:ascii="Courier New" w:hAnsi="Courier New" w:cs="Courier New"/>
            <w:b/>
            <w:noProof/>
          </w:rPr>
          <w:t>459</w:t>
        </w:r>
        <w:r w:rsidR="00757E5E" w:rsidRPr="00FA4C54">
          <w:rPr>
            <w:rFonts w:ascii="Courier New" w:hAnsi="Courier New" w:cs="Courier New"/>
            <w:b/>
            <w:noProof/>
          </w:rPr>
          <w:fldChar w:fldCharType="end"/>
        </w:r>
      </w:p>
    </w:sdtContent>
  </w:sdt>
  <w:p w:rsidR="00757E5E" w:rsidRDefault="00757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5E" w:rsidRDefault="00757E5E" w:rsidP="00757E5E">
      <w:r>
        <w:separator/>
      </w:r>
    </w:p>
  </w:footnote>
  <w:footnote w:type="continuationSeparator" w:id="0">
    <w:p w:rsidR="00757E5E" w:rsidRDefault="00757E5E" w:rsidP="00757E5E">
      <w:r>
        <w:continuationSeparator/>
      </w:r>
    </w:p>
  </w:footnote>
  <w:footnote w:id="1">
    <w:p w:rsidR="00757E5E" w:rsidRPr="00AE608F" w:rsidRDefault="00757E5E" w:rsidP="00757E5E">
      <w:pPr>
        <w:pStyle w:val="FootnoteText"/>
        <w:jc w:val="both"/>
        <w:rPr>
          <w:rFonts w:ascii="Courier New" w:hAnsi="Courier New" w:cs="Courier New"/>
        </w:rPr>
      </w:pPr>
      <w:r w:rsidRPr="00AE608F">
        <w:rPr>
          <w:rStyle w:val="FootnoteReference"/>
          <w:rFonts w:ascii="Courier New" w:hAnsi="Courier New" w:cs="Courier New"/>
        </w:rPr>
        <w:footnoteRef/>
      </w:r>
      <w:r w:rsidRPr="00757E5E">
        <w:rPr>
          <w:rFonts w:ascii="Courier New" w:hAnsi="Courier New" w:cs="Courier New"/>
          <w:sz w:val="22"/>
          <w:szCs w:val="22"/>
        </w:rPr>
        <w:t xml:space="preserve"> </w:t>
      </w:r>
      <w:r w:rsidRPr="00AE608F">
        <w:rPr>
          <w:rFonts w:ascii="Courier New" w:hAnsi="Courier New" w:cs="Courier New"/>
        </w:rPr>
        <w:t>As a tenant under an obligation to pay more than one-half of the taxes</w:t>
      </w:r>
      <w:r w:rsidR="00AE608F">
        <w:rPr>
          <w:rFonts w:ascii="Courier New" w:hAnsi="Courier New" w:cs="Courier New"/>
        </w:rPr>
        <w:t> </w:t>
      </w:r>
      <w:r w:rsidR="00AC165D" w:rsidRPr="00AE608F">
        <w:rPr>
          <w:rFonts w:ascii="Courier New" w:hAnsi="Courier New" w:cs="Courier New"/>
        </w:rPr>
        <w:t>assessed,</w:t>
      </w:r>
      <w:r w:rsidRPr="00AE608F">
        <w:rPr>
          <w:rFonts w:ascii="Courier New" w:hAnsi="Courier New" w:cs="Courier New"/>
        </w:rPr>
        <w:t xml:space="preserve"> the appellant has standing to prosecute this appeal. </w:t>
      </w:r>
      <w:r w:rsidRPr="00AE608F">
        <w:rPr>
          <w:rFonts w:ascii="Courier New" w:hAnsi="Courier New" w:cs="Courier New"/>
          <w:i/>
        </w:rPr>
        <w:t>See</w:t>
      </w:r>
      <w:r w:rsidR="00AE608F">
        <w:rPr>
          <w:rFonts w:ascii="Courier New" w:hAnsi="Courier New" w:cs="Courier New"/>
          <w:i/>
        </w:rPr>
        <w:t> </w:t>
      </w:r>
      <w:r w:rsidRPr="00AE608F">
        <w:rPr>
          <w:rFonts w:ascii="Courier New" w:hAnsi="Courier New" w:cs="Courier New"/>
        </w:rPr>
        <w:t>G.L.</w:t>
      </w:r>
      <w:r w:rsidR="00AE608F">
        <w:rPr>
          <w:rFonts w:ascii="Courier New" w:hAnsi="Courier New" w:cs="Courier New"/>
        </w:rPr>
        <w:t> </w:t>
      </w:r>
      <w:r w:rsidRPr="00AE608F">
        <w:rPr>
          <w:rFonts w:ascii="Courier New" w:hAnsi="Courier New" w:cs="Courier New"/>
        </w:rPr>
        <w:t>c.</w:t>
      </w:r>
      <w:r w:rsidR="00AE608F">
        <w:rPr>
          <w:rFonts w:ascii="Courier New" w:hAnsi="Courier New" w:cs="Courier New"/>
        </w:rPr>
        <w:t> </w:t>
      </w:r>
      <w:r w:rsidRPr="00AE608F">
        <w:rPr>
          <w:rFonts w:ascii="Courier New" w:hAnsi="Courier New" w:cs="Courier New"/>
        </w:rPr>
        <w:t>59, § 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5E"/>
    <w:rsid w:val="000637AD"/>
    <w:rsid w:val="000C448A"/>
    <w:rsid w:val="00186E17"/>
    <w:rsid w:val="0031547A"/>
    <w:rsid w:val="00327787"/>
    <w:rsid w:val="005E5DD5"/>
    <w:rsid w:val="00604107"/>
    <w:rsid w:val="00702391"/>
    <w:rsid w:val="00757E5E"/>
    <w:rsid w:val="009319E0"/>
    <w:rsid w:val="009F18FC"/>
    <w:rsid w:val="00AC165D"/>
    <w:rsid w:val="00AE608F"/>
    <w:rsid w:val="00DE55DA"/>
    <w:rsid w:val="00F74CC3"/>
    <w:rsid w:val="00FA4C54"/>
    <w:rsid w:val="00FF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7E5E"/>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E5E"/>
    <w:rPr>
      <w:rFonts w:ascii="Courier New" w:eastAsia="Arial Unicode MS" w:hAnsi="Courier New" w:cs="Courier New"/>
      <w:b/>
      <w:bCs/>
      <w:sz w:val="24"/>
      <w:szCs w:val="24"/>
    </w:rPr>
  </w:style>
  <w:style w:type="paragraph" w:styleId="Title">
    <w:name w:val="Title"/>
    <w:basedOn w:val="Normal"/>
    <w:link w:val="TitleChar"/>
    <w:qFormat/>
    <w:rsid w:val="00757E5E"/>
    <w:pPr>
      <w:jc w:val="center"/>
    </w:pPr>
    <w:rPr>
      <w:rFonts w:ascii="Courier New" w:hAnsi="Courier New" w:cs="Courier New"/>
      <w:b/>
      <w:bCs/>
    </w:rPr>
  </w:style>
  <w:style w:type="character" w:customStyle="1" w:styleId="TitleChar">
    <w:name w:val="Title Char"/>
    <w:basedOn w:val="DefaultParagraphFont"/>
    <w:link w:val="Title"/>
    <w:rsid w:val="00757E5E"/>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757E5E"/>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757E5E"/>
    <w:rPr>
      <w:rFonts w:ascii="Courier New" w:eastAsia="Times New Roman" w:hAnsi="Courier New" w:cs="Courier New"/>
      <w:sz w:val="24"/>
      <w:szCs w:val="24"/>
    </w:rPr>
  </w:style>
  <w:style w:type="paragraph" w:styleId="FootnoteText">
    <w:name w:val="footnote text"/>
    <w:basedOn w:val="Normal"/>
    <w:link w:val="FootnoteTextChar"/>
    <w:uiPriority w:val="99"/>
    <w:semiHidden/>
    <w:unhideWhenUsed/>
    <w:rsid w:val="00757E5E"/>
    <w:rPr>
      <w:sz w:val="20"/>
      <w:szCs w:val="20"/>
    </w:rPr>
  </w:style>
  <w:style w:type="character" w:customStyle="1" w:styleId="FootnoteTextChar">
    <w:name w:val="Footnote Text Char"/>
    <w:basedOn w:val="DefaultParagraphFont"/>
    <w:link w:val="FootnoteText"/>
    <w:uiPriority w:val="99"/>
    <w:semiHidden/>
    <w:rsid w:val="00757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7E5E"/>
    <w:rPr>
      <w:vertAlign w:val="superscript"/>
    </w:rPr>
  </w:style>
  <w:style w:type="paragraph" w:styleId="Header">
    <w:name w:val="header"/>
    <w:basedOn w:val="Normal"/>
    <w:link w:val="HeaderChar"/>
    <w:uiPriority w:val="99"/>
    <w:unhideWhenUsed/>
    <w:rsid w:val="00757E5E"/>
    <w:pPr>
      <w:tabs>
        <w:tab w:val="center" w:pos="4680"/>
        <w:tab w:val="right" w:pos="9360"/>
      </w:tabs>
    </w:pPr>
  </w:style>
  <w:style w:type="character" w:customStyle="1" w:styleId="HeaderChar">
    <w:name w:val="Header Char"/>
    <w:basedOn w:val="DefaultParagraphFont"/>
    <w:link w:val="Header"/>
    <w:uiPriority w:val="99"/>
    <w:rsid w:val="00757E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E5E"/>
    <w:pPr>
      <w:tabs>
        <w:tab w:val="center" w:pos="4680"/>
        <w:tab w:val="right" w:pos="9360"/>
      </w:tabs>
    </w:pPr>
  </w:style>
  <w:style w:type="character" w:customStyle="1" w:styleId="FooterChar">
    <w:name w:val="Footer Char"/>
    <w:basedOn w:val="DefaultParagraphFont"/>
    <w:link w:val="Footer"/>
    <w:uiPriority w:val="99"/>
    <w:rsid w:val="00757E5E"/>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547A"/>
  </w:style>
  <w:style w:type="paragraph" w:styleId="BalloonText">
    <w:name w:val="Balloon Text"/>
    <w:basedOn w:val="Normal"/>
    <w:link w:val="BalloonTextChar"/>
    <w:uiPriority w:val="99"/>
    <w:semiHidden/>
    <w:unhideWhenUsed/>
    <w:rsid w:val="00FA4C54"/>
    <w:rPr>
      <w:rFonts w:ascii="Tahoma" w:hAnsi="Tahoma" w:cs="Tahoma"/>
      <w:sz w:val="16"/>
      <w:szCs w:val="16"/>
    </w:rPr>
  </w:style>
  <w:style w:type="character" w:customStyle="1" w:styleId="BalloonTextChar">
    <w:name w:val="Balloon Text Char"/>
    <w:basedOn w:val="DefaultParagraphFont"/>
    <w:link w:val="BalloonText"/>
    <w:uiPriority w:val="99"/>
    <w:semiHidden/>
    <w:rsid w:val="00FA4C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7E5E"/>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E5E"/>
    <w:rPr>
      <w:rFonts w:ascii="Courier New" w:eastAsia="Arial Unicode MS" w:hAnsi="Courier New" w:cs="Courier New"/>
      <w:b/>
      <w:bCs/>
      <w:sz w:val="24"/>
      <w:szCs w:val="24"/>
    </w:rPr>
  </w:style>
  <w:style w:type="paragraph" w:styleId="Title">
    <w:name w:val="Title"/>
    <w:basedOn w:val="Normal"/>
    <w:link w:val="TitleChar"/>
    <w:qFormat/>
    <w:rsid w:val="00757E5E"/>
    <w:pPr>
      <w:jc w:val="center"/>
    </w:pPr>
    <w:rPr>
      <w:rFonts w:ascii="Courier New" w:hAnsi="Courier New" w:cs="Courier New"/>
      <w:b/>
      <w:bCs/>
    </w:rPr>
  </w:style>
  <w:style w:type="character" w:customStyle="1" w:styleId="TitleChar">
    <w:name w:val="Title Char"/>
    <w:basedOn w:val="DefaultParagraphFont"/>
    <w:link w:val="Title"/>
    <w:rsid w:val="00757E5E"/>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757E5E"/>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757E5E"/>
    <w:rPr>
      <w:rFonts w:ascii="Courier New" w:eastAsia="Times New Roman" w:hAnsi="Courier New" w:cs="Courier New"/>
      <w:sz w:val="24"/>
      <w:szCs w:val="24"/>
    </w:rPr>
  </w:style>
  <w:style w:type="paragraph" w:styleId="FootnoteText">
    <w:name w:val="footnote text"/>
    <w:basedOn w:val="Normal"/>
    <w:link w:val="FootnoteTextChar"/>
    <w:uiPriority w:val="99"/>
    <w:semiHidden/>
    <w:unhideWhenUsed/>
    <w:rsid w:val="00757E5E"/>
    <w:rPr>
      <w:sz w:val="20"/>
      <w:szCs w:val="20"/>
    </w:rPr>
  </w:style>
  <w:style w:type="character" w:customStyle="1" w:styleId="FootnoteTextChar">
    <w:name w:val="Footnote Text Char"/>
    <w:basedOn w:val="DefaultParagraphFont"/>
    <w:link w:val="FootnoteText"/>
    <w:uiPriority w:val="99"/>
    <w:semiHidden/>
    <w:rsid w:val="00757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7E5E"/>
    <w:rPr>
      <w:vertAlign w:val="superscript"/>
    </w:rPr>
  </w:style>
  <w:style w:type="paragraph" w:styleId="Header">
    <w:name w:val="header"/>
    <w:basedOn w:val="Normal"/>
    <w:link w:val="HeaderChar"/>
    <w:uiPriority w:val="99"/>
    <w:unhideWhenUsed/>
    <w:rsid w:val="00757E5E"/>
    <w:pPr>
      <w:tabs>
        <w:tab w:val="center" w:pos="4680"/>
        <w:tab w:val="right" w:pos="9360"/>
      </w:tabs>
    </w:pPr>
  </w:style>
  <w:style w:type="character" w:customStyle="1" w:styleId="HeaderChar">
    <w:name w:val="Header Char"/>
    <w:basedOn w:val="DefaultParagraphFont"/>
    <w:link w:val="Header"/>
    <w:uiPriority w:val="99"/>
    <w:rsid w:val="00757E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E5E"/>
    <w:pPr>
      <w:tabs>
        <w:tab w:val="center" w:pos="4680"/>
        <w:tab w:val="right" w:pos="9360"/>
      </w:tabs>
    </w:pPr>
  </w:style>
  <w:style w:type="character" w:customStyle="1" w:styleId="FooterChar">
    <w:name w:val="Footer Char"/>
    <w:basedOn w:val="DefaultParagraphFont"/>
    <w:link w:val="Footer"/>
    <w:uiPriority w:val="99"/>
    <w:rsid w:val="00757E5E"/>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547A"/>
  </w:style>
  <w:style w:type="paragraph" w:styleId="BalloonText">
    <w:name w:val="Balloon Text"/>
    <w:basedOn w:val="Normal"/>
    <w:link w:val="BalloonTextChar"/>
    <w:uiPriority w:val="99"/>
    <w:semiHidden/>
    <w:unhideWhenUsed/>
    <w:rsid w:val="00FA4C54"/>
    <w:rPr>
      <w:rFonts w:ascii="Tahoma" w:hAnsi="Tahoma" w:cs="Tahoma"/>
      <w:sz w:val="16"/>
      <w:szCs w:val="16"/>
    </w:rPr>
  </w:style>
  <w:style w:type="character" w:customStyle="1" w:styleId="BalloonTextChar">
    <w:name w:val="Balloon Text Char"/>
    <w:basedOn w:val="DefaultParagraphFont"/>
    <w:link w:val="BalloonText"/>
    <w:uiPriority w:val="99"/>
    <w:semiHidden/>
    <w:rsid w:val="00FA4C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F583-C587-42BB-A9E7-3382D326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2018-10-11T17:24:00Z</cp:lastPrinted>
  <dcterms:created xsi:type="dcterms:W3CDTF">2018-10-11T17:34:00Z</dcterms:created>
  <dcterms:modified xsi:type="dcterms:W3CDTF">2018-10-11T17:34:00Z</dcterms:modified>
</cp:coreProperties>
</file>