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750" w:rsidRPr="009E34E2" w:rsidRDefault="00271750" w:rsidP="009E34E2">
      <w:pPr>
        <w:spacing w:line="276" w:lineRule="auto"/>
        <w:ind w:firstLine="0"/>
        <w:jc w:val="center"/>
        <w:rPr>
          <w:b/>
        </w:rPr>
      </w:pPr>
      <w:bookmarkStart w:id="0" w:name="_GoBack"/>
      <w:bookmarkEnd w:id="0"/>
      <w:r w:rsidRPr="009E34E2">
        <w:rPr>
          <w:b/>
        </w:rPr>
        <w:t>Net Metering and Solar Task Force</w:t>
      </w:r>
    </w:p>
    <w:p w:rsidR="00271750" w:rsidRPr="009E34E2" w:rsidRDefault="00271750" w:rsidP="009E34E2">
      <w:pPr>
        <w:spacing w:line="276" w:lineRule="auto"/>
        <w:ind w:firstLine="0"/>
        <w:jc w:val="center"/>
        <w:rPr>
          <w:b/>
        </w:rPr>
      </w:pPr>
      <w:r w:rsidRPr="009E34E2">
        <w:rPr>
          <w:b/>
        </w:rPr>
        <w:t>Recommendation</w:t>
      </w:r>
      <w:r w:rsidR="00E85AEC" w:rsidRPr="009E34E2">
        <w:rPr>
          <w:b/>
        </w:rPr>
        <w:t>s</w:t>
      </w:r>
      <w:r w:rsidRPr="009E34E2">
        <w:rPr>
          <w:b/>
        </w:rPr>
        <w:t xml:space="preserve"> Framework</w:t>
      </w:r>
    </w:p>
    <w:p w:rsidR="00271750" w:rsidRPr="009E34E2" w:rsidRDefault="008F18E9" w:rsidP="009E34E2">
      <w:pPr>
        <w:spacing w:line="276" w:lineRule="auto"/>
        <w:ind w:firstLine="0"/>
        <w:jc w:val="center"/>
        <w:rPr>
          <w:b/>
        </w:rPr>
      </w:pPr>
      <w:r w:rsidRPr="009E34E2">
        <w:rPr>
          <w:b/>
        </w:rPr>
        <w:t xml:space="preserve">Straw </w:t>
      </w:r>
      <w:r w:rsidR="00271750" w:rsidRPr="009E34E2">
        <w:rPr>
          <w:b/>
        </w:rPr>
        <w:t>Discussion Document</w:t>
      </w:r>
    </w:p>
    <w:p w:rsidR="00271750" w:rsidRPr="009E34E2" w:rsidRDefault="00271750" w:rsidP="009E34E2">
      <w:pPr>
        <w:spacing w:line="276" w:lineRule="auto"/>
        <w:ind w:firstLine="0"/>
      </w:pPr>
    </w:p>
    <w:p w:rsidR="008357EA" w:rsidRPr="009E34E2" w:rsidRDefault="008357EA" w:rsidP="009E34E2">
      <w:pPr>
        <w:spacing w:line="276" w:lineRule="auto"/>
        <w:ind w:firstLine="0"/>
      </w:pPr>
      <w:r w:rsidRPr="009E34E2">
        <w:rPr>
          <w:b/>
          <w:u w:val="single"/>
        </w:rPr>
        <w:t>Category:</w:t>
      </w:r>
      <w:r w:rsidRPr="009E34E2">
        <w:t xml:space="preserve"> General Principles</w:t>
      </w:r>
    </w:p>
    <w:p w:rsidR="008357EA" w:rsidRPr="009E34E2" w:rsidRDefault="008357EA" w:rsidP="009E34E2">
      <w:pPr>
        <w:spacing w:line="276" w:lineRule="auto"/>
        <w:ind w:firstLine="0"/>
        <w:rPr>
          <w:b/>
          <w:u w:val="single"/>
        </w:rPr>
      </w:pPr>
    </w:p>
    <w:p w:rsidR="008357EA" w:rsidRPr="009E34E2" w:rsidRDefault="008357EA" w:rsidP="009E34E2">
      <w:pPr>
        <w:spacing w:line="276" w:lineRule="auto"/>
        <w:ind w:firstLine="0"/>
        <w:rPr>
          <w:b/>
          <w:i/>
        </w:rPr>
      </w:pPr>
      <w:r w:rsidRPr="009E34E2">
        <w:rPr>
          <w:b/>
          <w:u w:val="single"/>
        </w:rPr>
        <w:t>Consensus Recommendations</w:t>
      </w:r>
      <w:r w:rsidRPr="009E34E2">
        <w:t xml:space="preserve"> </w:t>
      </w:r>
    </w:p>
    <w:p w:rsidR="00271750" w:rsidRPr="009E34E2" w:rsidRDefault="00271750" w:rsidP="009E34E2">
      <w:pPr>
        <w:spacing w:line="276" w:lineRule="auto"/>
        <w:ind w:firstLine="0"/>
      </w:pPr>
    </w:p>
    <w:p w:rsidR="00562F34" w:rsidRPr="009E34E2" w:rsidRDefault="00271750" w:rsidP="009E34E2">
      <w:pPr>
        <w:spacing w:line="276" w:lineRule="auto"/>
        <w:ind w:firstLine="0"/>
      </w:pPr>
      <w:r w:rsidRPr="009E34E2">
        <w:t xml:space="preserve">The Task Force Members support a policy to maintain the growth of the solar market </w:t>
      </w:r>
      <w:r w:rsidR="006C4FE0" w:rsidRPr="009E34E2">
        <w:t xml:space="preserve">to 1,600 </w:t>
      </w:r>
      <w:r w:rsidR="0014153D" w:rsidRPr="009E34E2">
        <w:t>megawatts (“</w:t>
      </w:r>
      <w:r w:rsidR="006C4FE0" w:rsidRPr="009E34E2">
        <w:t>MW</w:t>
      </w:r>
      <w:r w:rsidR="0014153D" w:rsidRPr="009E34E2">
        <w:t>”)</w:t>
      </w:r>
      <w:r w:rsidR="006C4FE0" w:rsidRPr="009E34E2">
        <w:t xml:space="preserve"> and beyond</w:t>
      </w:r>
      <w:r w:rsidRPr="009E34E2">
        <w:t>.</w:t>
      </w:r>
      <w:r w:rsidR="00D36B3F" w:rsidRPr="009E34E2">
        <w:t xml:space="preserve"> </w:t>
      </w:r>
    </w:p>
    <w:p w:rsidR="00271750" w:rsidRPr="009E34E2" w:rsidRDefault="00271750" w:rsidP="009E34E2">
      <w:pPr>
        <w:spacing w:line="276" w:lineRule="auto"/>
        <w:ind w:left="270" w:firstLine="0"/>
      </w:pPr>
    </w:p>
    <w:p w:rsidR="00271750" w:rsidRPr="009E34E2" w:rsidRDefault="00562F34" w:rsidP="009E34E2">
      <w:pPr>
        <w:spacing w:line="276" w:lineRule="auto"/>
        <w:ind w:firstLine="0"/>
      </w:pPr>
      <w:r w:rsidRPr="009E34E2">
        <w:t xml:space="preserve">The long-term goal should be for the renewable energy industry, including solar developers, to be competitive with other sources of energy.  Incentive program design should promote the orderly transition to a diverse, self-sustaining and equitable solar industry.  This will </w:t>
      </w:r>
      <w:r w:rsidR="00F9561A" w:rsidRPr="009E34E2">
        <w:t xml:space="preserve">induce investment in Massachusetts, generate new local jobs and sustain existing ones, and contribute to the reduction of GHG emissions.  </w:t>
      </w:r>
      <w:r w:rsidR="00271750" w:rsidRPr="009E34E2">
        <w:t xml:space="preserve">The Task Force Members </w:t>
      </w:r>
      <w:r w:rsidR="00F9561A" w:rsidRPr="009E34E2">
        <w:t xml:space="preserve">also recognize as valuable the maintenance of </w:t>
      </w:r>
      <w:r w:rsidR="00271750" w:rsidRPr="009E34E2">
        <w:t>solar market diversity in M</w:t>
      </w:r>
      <w:r w:rsidR="00A44F8D" w:rsidRPr="009E34E2">
        <w:t>assachusetts</w:t>
      </w:r>
      <w:r w:rsidR="00271750" w:rsidRPr="009E34E2">
        <w:t xml:space="preserve"> in terms of </w:t>
      </w:r>
      <w:r w:rsidR="003A6E73" w:rsidRPr="009E34E2">
        <w:t>the scale</w:t>
      </w:r>
      <w:r w:rsidR="00EA770C" w:rsidRPr="009E34E2">
        <w:t xml:space="preserve"> of solar projects, the locations</w:t>
      </w:r>
      <w:r w:rsidR="00271750" w:rsidRPr="009E34E2">
        <w:t xml:space="preserve"> of solar projects</w:t>
      </w:r>
      <w:r w:rsidR="00EA770C" w:rsidRPr="009E34E2">
        <w:t>,</w:t>
      </w:r>
      <w:r w:rsidR="00271750" w:rsidRPr="009E34E2">
        <w:t xml:space="preserve"> and</w:t>
      </w:r>
      <w:r w:rsidR="003A6E73" w:rsidRPr="009E34E2">
        <w:t xml:space="preserve"> </w:t>
      </w:r>
      <w:r w:rsidR="00271750" w:rsidRPr="009E34E2">
        <w:t xml:space="preserve">the range of firm sizes, </w:t>
      </w:r>
      <w:r w:rsidR="00EA770C" w:rsidRPr="009E34E2">
        <w:t xml:space="preserve">both </w:t>
      </w:r>
      <w:r w:rsidR="00271750" w:rsidRPr="009E34E2">
        <w:t>local</w:t>
      </w:r>
      <w:r w:rsidR="00EA770C" w:rsidRPr="009E34E2">
        <w:t xml:space="preserve"> and national</w:t>
      </w:r>
      <w:r w:rsidR="00A97666" w:rsidRPr="009E34E2">
        <w:t>,</w:t>
      </w:r>
      <w:r w:rsidR="00EA770C" w:rsidRPr="009E34E2">
        <w:t xml:space="preserve"> </w:t>
      </w:r>
      <w:r w:rsidR="00F9561A" w:rsidRPr="009E34E2">
        <w:t>and</w:t>
      </w:r>
      <w:r w:rsidR="00EA770C" w:rsidRPr="009E34E2">
        <w:t xml:space="preserve"> ensur</w:t>
      </w:r>
      <w:r w:rsidR="00F9561A" w:rsidRPr="009E34E2">
        <w:t xml:space="preserve">ing </w:t>
      </w:r>
      <w:r w:rsidR="003A6E73" w:rsidRPr="009E34E2">
        <w:t>ease of market entry</w:t>
      </w:r>
      <w:r w:rsidR="00F9561A" w:rsidRPr="009E34E2">
        <w:t xml:space="preserve">.  </w:t>
      </w:r>
    </w:p>
    <w:p w:rsidR="00A528C0" w:rsidRPr="009E34E2" w:rsidRDefault="00A528C0" w:rsidP="009E34E2">
      <w:pPr>
        <w:spacing w:line="276" w:lineRule="auto"/>
        <w:ind w:left="270" w:firstLine="0"/>
      </w:pPr>
    </w:p>
    <w:p w:rsidR="00F15B57" w:rsidRPr="009E34E2" w:rsidRDefault="00F15B57" w:rsidP="009E34E2">
      <w:pPr>
        <w:spacing w:line="276" w:lineRule="auto"/>
        <w:ind w:firstLine="0"/>
      </w:pPr>
      <w:r w:rsidRPr="009E34E2">
        <w:t xml:space="preserve">The Task Force Members recognize that the development of solar generation and the industry require an increased understanding of the costs and value of developing and integrating solar on the distribution system, and recommend that work continue to assess this.   </w:t>
      </w:r>
    </w:p>
    <w:p w:rsidR="00F15B57" w:rsidRPr="009E34E2" w:rsidRDefault="00F15B57" w:rsidP="009E34E2">
      <w:pPr>
        <w:spacing w:line="276" w:lineRule="auto"/>
        <w:ind w:left="270" w:firstLine="0"/>
      </w:pPr>
    </w:p>
    <w:p w:rsidR="0088323E" w:rsidRPr="009E34E2" w:rsidRDefault="007026BC" w:rsidP="009E34E2">
      <w:pPr>
        <w:spacing w:line="276" w:lineRule="auto"/>
        <w:ind w:firstLine="0"/>
        <w:contextualSpacing/>
        <w:rPr>
          <w:rFonts w:eastAsiaTheme="minorEastAsia"/>
          <w:lang w:bidi="ar-SA"/>
        </w:rPr>
      </w:pPr>
      <w:r w:rsidRPr="009E34E2">
        <w:t>Everyone who is connected to the distribution system s</w:t>
      </w:r>
      <w:r w:rsidR="0088323E" w:rsidRPr="009E34E2">
        <w:rPr>
          <w:rFonts w:eastAsiaTheme="minorEastAsia"/>
          <w:lang w:bidi="ar-SA"/>
        </w:rPr>
        <w:t>hould contribute</w:t>
      </w:r>
      <w:r w:rsidRPr="009E34E2">
        <w:rPr>
          <w:rFonts w:eastAsiaTheme="minorEastAsia"/>
          <w:lang w:bidi="ar-SA"/>
        </w:rPr>
        <w:t xml:space="preserve"> their fair share</w:t>
      </w:r>
      <w:r w:rsidR="0088323E" w:rsidRPr="009E34E2">
        <w:rPr>
          <w:rFonts w:eastAsiaTheme="minorEastAsia"/>
          <w:lang w:bidi="ar-SA"/>
        </w:rPr>
        <w:t xml:space="preserve"> towards their use of it and towards the systems benefits included on the distribution company bill for public policy reasons (e.g. low income support and energy efficiency).</w:t>
      </w:r>
    </w:p>
    <w:p w:rsidR="009E34E2" w:rsidRDefault="009E34E2" w:rsidP="009E34E2">
      <w:pPr>
        <w:spacing w:line="276" w:lineRule="auto"/>
        <w:ind w:firstLine="0"/>
      </w:pPr>
    </w:p>
    <w:p w:rsidR="0088323E" w:rsidRPr="009E34E2" w:rsidRDefault="0088323E" w:rsidP="009E34E2">
      <w:pPr>
        <w:spacing w:line="276" w:lineRule="auto"/>
        <w:ind w:firstLine="0"/>
      </w:pPr>
      <w:r w:rsidRPr="009E34E2">
        <w:t xml:space="preserve">Although </w:t>
      </w:r>
      <w:r w:rsidR="00BC5FF8" w:rsidRPr="009E34E2">
        <w:t xml:space="preserve">not central to </w:t>
      </w:r>
      <w:r w:rsidRPr="009E34E2">
        <w:t>the scope of this Task Force, the Task Force recognizes that there could be opportunities to reduce soft costs associated with project permitting, interconnection, taxes, and financial risk of project incentive revenue streams that could be addressed.</w:t>
      </w:r>
    </w:p>
    <w:p w:rsidR="003825AF" w:rsidRPr="009E34E2" w:rsidRDefault="003825AF" w:rsidP="009E34E2">
      <w:pPr>
        <w:spacing w:line="276" w:lineRule="auto"/>
        <w:ind w:left="270" w:firstLine="0"/>
      </w:pPr>
    </w:p>
    <w:p w:rsidR="00393818" w:rsidRPr="009E34E2" w:rsidRDefault="00393818" w:rsidP="009E34E2">
      <w:pPr>
        <w:spacing w:line="276" w:lineRule="auto"/>
        <w:ind w:firstLine="0"/>
        <w:rPr>
          <w:i/>
          <w:lang w:bidi="ar-SA"/>
        </w:rPr>
      </w:pPr>
      <w:r w:rsidRPr="009E34E2">
        <w:rPr>
          <w:b/>
          <w:u w:val="single"/>
          <w:lang w:bidi="ar-SA"/>
        </w:rPr>
        <w:t>Areas of Potential Compromise</w:t>
      </w:r>
      <w:r w:rsidRPr="009E34E2">
        <w:rPr>
          <w:lang w:bidi="ar-SA"/>
        </w:rPr>
        <w:t xml:space="preserve"> </w:t>
      </w:r>
    </w:p>
    <w:p w:rsidR="00393818" w:rsidRPr="009E34E2" w:rsidRDefault="00393818" w:rsidP="008C6C2B">
      <w:pPr>
        <w:numPr>
          <w:ilvl w:val="0"/>
          <w:numId w:val="2"/>
        </w:numPr>
        <w:spacing w:line="276" w:lineRule="auto"/>
        <w:contextualSpacing/>
        <w:rPr>
          <w:lang w:bidi="ar-SA"/>
        </w:rPr>
      </w:pPr>
      <w:r w:rsidRPr="009E34E2">
        <w:rPr>
          <w:lang w:bidi="ar-SA"/>
        </w:rPr>
        <w:t>Solar benefit/cost study</w:t>
      </w:r>
    </w:p>
    <w:p w:rsidR="00393818" w:rsidRPr="009E34E2" w:rsidRDefault="00393818" w:rsidP="009E34E2">
      <w:pPr>
        <w:spacing w:line="276" w:lineRule="auto"/>
        <w:ind w:left="360" w:firstLine="0"/>
        <w:contextualSpacing/>
        <w:rPr>
          <w:lang w:bidi="ar-SA"/>
        </w:rPr>
      </w:pPr>
      <w:r w:rsidRPr="009E34E2">
        <w:rPr>
          <w:lang w:bidi="ar-SA"/>
        </w:rPr>
        <w:t>Some task force members recommend the following language:</w:t>
      </w:r>
    </w:p>
    <w:p w:rsidR="009E34E2" w:rsidRDefault="009E34E2" w:rsidP="009E34E2">
      <w:pPr>
        <w:spacing w:line="276" w:lineRule="auto"/>
        <w:ind w:left="360" w:firstLine="0"/>
      </w:pPr>
    </w:p>
    <w:p w:rsidR="00393818" w:rsidRPr="009E34E2" w:rsidRDefault="00393818" w:rsidP="009E34E2">
      <w:pPr>
        <w:spacing w:line="276" w:lineRule="auto"/>
        <w:ind w:left="360" w:firstLine="0"/>
      </w:pPr>
      <w:r w:rsidRPr="009E34E2">
        <w:t>The Task Force Members support conducting a</w:t>
      </w:r>
      <w:r w:rsidRPr="009E34E2" w:rsidDel="009A6D85">
        <w:t xml:space="preserve"> </w:t>
      </w:r>
      <w:r w:rsidRPr="009E34E2">
        <w:t xml:space="preserve">solar benefit/cost study, as described in more detail in Section __, to determine the value and impact of solar in Massachusetts. The study should assess the benefits and costs that solar distributed generation provides to ratepayers, the distribution grid and the Commonwealth as a whole.  The Task Force Members recommend that [the legislature direct] the Department of Energy Resources, in consultation with the Department of Public Utilities, spearhead this work.  </w:t>
      </w:r>
    </w:p>
    <w:p w:rsidR="00393818" w:rsidRPr="009E34E2" w:rsidRDefault="00393818" w:rsidP="009E34E2">
      <w:pPr>
        <w:spacing w:line="276" w:lineRule="auto"/>
        <w:ind w:left="270" w:firstLine="0"/>
      </w:pPr>
    </w:p>
    <w:p w:rsidR="00393818" w:rsidRPr="009E34E2" w:rsidRDefault="00393818" w:rsidP="008C6C2B">
      <w:pPr>
        <w:pStyle w:val="ListParagraph"/>
        <w:numPr>
          <w:ilvl w:val="0"/>
          <w:numId w:val="2"/>
        </w:numPr>
        <w:spacing w:line="276" w:lineRule="auto"/>
        <w:rPr>
          <w:b/>
        </w:rPr>
      </w:pPr>
      <w:r w:rsidRPr="009E34E2">
        <w:rPr>
          <w:b/>
        </w:rPr>
        <w:lastRenderedPageBreak/>
        <w:t>How solar value is compensated</w:t>
      </w:r>
    </w:p>
    <w:p w:rsidR="009E34E2" w:rsidRDefault="009E34E2" w:rsidP="009E34E2">
      <w:pPr>
        <w:pStyle w:val="ListParagraph"/>
        <w:spacing w:line="276" w:lineRule="auto"/>
        <w:ind w:left="360" w:firstLine="0"/>
      </w:pPr>
    </w:p>
    <w:p w:rsidR="009C7987" w:rsidRPr="009E34E2" w:rsidRDefault="00393818" w:rsidP="009E34E2">
      <w:pPr>
        <w:pStyle w:val="ListParagraph"/>
        <w:spacing w:line="276" w:lineRule="auto"/>
        <w:ind w:left="360" w:firstLine="0"/>
      </w:pPr>
      <w:r w:rsidRPr="009E34E2">
        <w:t>Some task force members recommend the following language:</w:t>
      </w:r>
    </w:p>
    <w:p w:rsidR="009E34E2" w:rsidRDefault="009E34E2" w:rsidP="009E34E2">
      <w:pPr>
        <w:pStyle w:val="ListParagraph"/>
        <w:spacing w:line="276" w:lineRule="auto"/>
        <w:ind w:left="360" w:firstLine="0"/>
      </w:pPr>
    </w:p>
    <w:p w:rsidR="006B67D4" w:rsidRPr="009E34E2" w:rsidRDefault="00393818" w:rsidP="009E34E2">
      <w:pPr>
        <w:pStyle w:val="ListParagraph"/>
        <w:spacing w:line="276" w:lineRule="auto"/>
        <w:ind w:left="360" w:firstLine="0"/>
      </w:pPr>
      <w:r w:rsidRPr="009E34E2">
        <w:t xml:space="preserve">The different recipients of the value of solar should be identified, and could include for example the distribution company, commodity markets, and society at large (e.g. carbon reduction).  Compensation and/or incentives for the different value streams should be differentiated such that the different recipient groups are responsible for their fair share of the compensation. </w:t>
      </w:r>
    </w:p>
    <w:p w:rsidR="00393818" w:rsidRPr="009E34E2" w:rsidRDefault="00393818" w:rsidP="009E34E2">
      <w:pPr>
        <w:pStyle w:val="ListParagraph"/>
        <w:spacing w:line="276" w:lineRule="auto"/>
        <w:ind w:left="360" w:firstLine="0"/>
      </w:pPr>
    </w:p>
    <w:p w:rsidR="00393818" w:rsidRPr="009E34E2" w:rsidRDefault="00393818" w:rsidP="008C6C2B">
      <w:pPr>
        <w:pStyle w:val="ListParagraph"/>
        <w:numPr>
          <w:ilvl w:val="0"/>
          <w:numId w:val="2"/>
        </w:numPr>
        <w:spacing w:line="276" w:lineRule="auto"/>
        <w:rPr>
          <w:b/>
        </w:rPr>
      </w:pPr>
      <w:r w:rsidRPr="009E34E2">
        <w:rPr>
          <w:b/>
        </w:rPr>
        <w:t>Compensating solar</w:t>
      </w:r>
      <w:r w:rsidR="006B67D4" w:rsidRPr="009E34E2">
        <w:rPr>
          <w:b/>
        </w:rPr>
        <w:t xml:space="preserve"> for services to the electric distribution grid</w:t>
      </w:r>
    </w:p>
    <w:p w:rsidR="009E34E2" w:rsidRDefault="009E34E2" w:rsidP="009E34E2">
      <w:pPr>
        <w:pStyle w:val="ListParagraph"/>
        <w:spacing w:line="276" w:lineRule="auto"/>
        <w:ind w:left="360" w:firstLine="0"/>
      </w:pPr>
    </w:p>
    <w:p w:rsidR="00393818" w:rsidRPr="009E34E2" w:rsidRDefault="00393818" w:rsidP="009E34E2">
      <w:pPr>
        <w:pStyle w:val="ListParagraph"/>
        <w:spacing w:line="276" w:lineRule="auto"/>
        <w:ind w:left="360" w:firstLine="0"/>
      </w:pPr>
      <w:r w:rsidRPr="009E34E2">
        <w:t>Some task force members recommend the following language:</w:t>
      </w:r>
    </w:p>
    <w:p w:rsidR="009E34E2" w:rsidRDefault="009E34E2" w:rsidP="009E34E2">
      <w:pPr>
        <w:pStyle w:val="ListParagraph"/>
        <w:spacing w:line="276" w:lineRule="auto"/>
        <w:ind w:left="360" w:firstLine="0"/>
      </w:pPr>
    </w:p>
    <w:p w:rsidR="00393818" w:rsidRPr="009E34E2" w:rsidRDefault="00393818" w:rsidP="009E34E2">
      <w:pPr>
        <w:pStyle w:val="ListParagraph"/>
        <w:spacing w:line="276" w:lineRule="auto"/>
        <w:ind w:left="360" w:firstLine="0"/>
      </w:pPr>
      <w:r w:rsidRPr="009E34E2">
        <w:t xml:space="preserve">In order for solar to be compensated for any service to the electric </w:t>
      </w:r>
      <w:r w:rsidR="006B67D4" w:rsidRPr="009E34E2">
        <w:t xml:space="preserve">distribution </w:t>
      </w:r>
      <w:r w:rsidRPr="009E34E2">
        <w:t>grid, the amount paid should be less costly than alternatives, including for example distribution investment, energy efficiency, and demand response.</w:t>
      </w:r>
    </w:p>
    <w:p w:rsidR="00393818" w:rsidRPr="009E34E2" w:rsidRDefault="00393818" w:rsidP="009E34E2">
      <w:pPr>
        <w:spacing w:line="276" w:lineRule="auto"/>
        <w:ind w:left="360" w:firstLine="0"/>
        <w:contextualSpacing/>
        <w:rPr>
          <w:b/>
          <w:lang w:bidi="ar-SA"/>
        </w:rPr>
      </w:pPr>
    </w:p>
    <w:p w:rsidR="00393818" w:rsidRPr="009E34E2" w:rsidRDefault="00393818" w:rsidP="008C6C2B">
      <w:pPr>
        <w:pStyle w:val="ListParagraph"/>
        <w:numPr>
          <w:ilvl w:val="0"/>
          <w:numId w:val="2"/>
        </w:numPr>
        <w:spacing w:line="276" w:lineRule="auto"/>
        <w:rPr>
          <w:b/>
          <w:lang w:bidi="ar-SA"/>
        </w:rPr>
      </w:pPr>
      <w:r w:rsidRPr="009E34E2">
        <w:rPr>
          <w:b/>
          <w:lang w:bidi="ar-SA"/>
        </w:rPr>
        <w:t xml:space="preserve"> Solar policies</w:t>
      </w:r>
    </w:p>
    <w:p w:rsidR="009E34E2" w:rsidRDefault="009E34E2" w:rsidP="009E34E2">
      <w:pPr>
        <w:pStyle w:val="ListParagraph"/>
        <w:spacing w:line="276" w:lineRule="auto"/>
        <w:ind w:left="360" w:firstLine="0"/>
        <w:rPr>
          <w:lang w:bidi="ar-SA"/>
        </w:rPr>
      </w:pPr>
    </w:p>
    <w:p w:rsidR="009C7987" w:rsidRPr="009E34E2" w:rsidRDefault="00393818" w:rsidP="009E34E2">
      <w:pPr>
        <w:pStyle w:val="ListParagraph"/>
        <w:spacing w:line="276" w:lineRule="auto"/>
        <w:ind w:left="360" w:firstLine="0"/>
        <w:rPr>
          <w:lang w:bidi="ar-SA"/>
        </w:rPr>
      </w:pPr>
      <w:r w:rsidRPr="009E34E2">
        <w:rPr>
          <w:lang w:bidi="ar-SA"/>
        </w:rPr>
        <w:t>Some task force members recommend the following language:</w:t>
      </w:r>
    </w:p>
    <w:p w:rsidR="009E34E2" w:rsidRDefault="009E34E2" w:rsidP="009E34E2">
      <w:pPr>
        <w:pStyle w:val="ListParagraph"/>
        <w:spacing w:line="276" w:lineRule="auto"/>
        <w:ind w:left="360" w:firstLine="0"/>
      </w:pPr>
    </w:p>
    <w:p w:rsidR="00393818" w:rsidRPr="009E34E2" w:rsidRDefault="00393818" w:rsidP="009E34E2">
      <w:pPr>
        <w:pStyle w:val="ListParagraph"/>
        <w:spacing w:line="276" w:lineRule="auto"/>
        <w:ind w:left="360" w:firstLine="0"/>
      </w:pPr>
      <w:r w:rsidRPr="009E34E2">
        <w:t>The Task Force Members support solar policies that achieve solar deployment goals and policy objectives at while minimizing ratepayer contributions.</w:t>
      </w:r>
    </w:p>
    <w:p w:rsidR="009E34E2" w:rsidRDefault="009E34E2" w:rsidP="009E34E2">
      <w:pPr>
        <w:spacing w:line="276" w:lineRule="auto"/>
        <w:ind w:left="270" w:firstLine="0"/>
      </w:pPr>
    </w:p>
    <w:p w:rsidR="00393818" w:rsidRPr="009E34E2" w:rsidRDefault="00393818" w:rsidP="009E34E2">
      <w:pPr>
        <w:spacing w:line="276" w:lineRule="auto"/>
        <w:ind w:left="360" w:firstLine="0"/>
      </w:pPr>
      <w:r w:rsidRPr="009E34E2">
        <w:t>Other task force members recommend the following language:</w:t>
      </w:r>
    </w:p>
    <w:p w:rsidR="009E34E2" w:rsidRDefault="009E34E2" w:rsidP="009E34E2">
      <w:pPr>
        <w:spacing w:line="276" w:lineRule="auto"/>
        <w:ind w:left="360" w:firstLine="0"/>
      </w:pPr>
    </w:p>
    <w:p w:rsidR="008357EA" w:rsidRPr="009E34E2" w:rsidRDefault="00393818" w:rsidP="009E34E2">
      <w:pPr>
        <w:spacing w:line="276" w:lineRule="auto"/>
        <w:ind w:left="360" w:firstLine="0"/>
      </w:pPr>
      <w:r w:rsidRPr="009E34E2">
        <w:t xml:space="preserve">The Task Force Members support policies that reduce ratepayer costs and ensure incentives are tied to market signals, are transparent, and eliminate cross-subsidies.  </w:t>
      </w:r>
    </w:p>
    <w:p w:rsidR="008357EA" w:rsidRPr="009E34E2" w:rsidRDefault="008357EA" w:rsidP="009E34E2">
      <w:pPr>
        <w:spacing w:line="276" w:lineRule="auto"/>
      </w:pPr>
      <w:r w:rsidRPr="009E34E2">
        <w:br w:type="page"/>
      </w:r>
    </w:p>
    <w:p w:rsidR="008357EA" w:rsidRPr="009E34E2" w:rsidRDefault="008357EA" w:rsidP="009E34E2">
      <w:pPr>
        <w:spacing w:line="276" w:lineRule="auto"/>
        <w:ind w:firstLine="0"/>
      </w:pPr>
      <w:r w:rsidRPr="009E34E2">
        <w:rPr>
          <w:b/>
          <w:u w:val="single"/>
        </w:rPr>
        <w:lastRenderedPageBreak/>
        <w:t>Category:</w:t>
      </w:r>
      <w:r w:rsidRPr="009E34E2">
        <w:t xml:space="preserve"> Small Scale Distributed Solar Incentives</w:t>
      </w:r>
    </w:p>
    <w:p w:rsidR="009E34E2" w:rsidRDefault="009E34E2" w:rsidP="009E34E2">
      <w:pPr>
        <w:spacing w:line="276" w:lineRule="auto"/>
        <w:ind w:firstLine="0"/>
        <w:rPr>
          <w:b/>
          <w:u w:val="single"/>
        </w:rPr>
      </w:pPr>
    </w:p>
    <w:p w:rsidR="008357EA" w:rsidRPr="009E34E2" w:rsidRDefault="008357EA" w:rsidP="009E34E2">
      <w:pPr>
        <w:spacing w:line="276" w:lineRule="auto"/>
        <w:ind w:firstLine="0"/>
      </w:pPr>
      <w:r w:rsidRPr="009E34E2">
        <w:rPr>
          <w:b/>
          <w:u w:val="single"/>
        </w:rPr>
        <w:t>Consensus Recommendations</w:t>
      </w:r>
      <w:r w:rsidRPr="009E34E2">
        <w:t xml:space="preserve"> </w:t>
      </w:r>
    </w:p>
    <w:p w:rsidR="008357EA" w:rsidRPr="009E34E2" w:rsidRDefault="008357EA" w:rsidP="009E34E2">
      <w:pPr>
        <w:spacing w:line="276" w:lineRule="auto"/>
        <w:rPr>
          <w:b/>
          <w:i/>
        </w:rPr>
      </w:pPr>
    </w:p>
    <w:p w:rsidR="008357EA" w:rsidRPr="009E34E2" w:rsidRDefault="008357EA" w:rsidP="008C6C2B">
      <w:pPr>
        <w:pStyle w:val="ListParagraph"/>
        <w:numPr>
          <w:ilvl w:val="0"/>
          <w:numId w:val="1"/>
        </w:numPr>
        <w:spacing w:line="276" w:lineRule="auto"/>
      </w:pPr>
      <w:r w:rsidRPr="009E34E2">
        <w:t>Solar incentive policy should provide for open access for small scale distributed solar projects.</w:t>
      </w:r>
      <w:r w:rsidRPr="009E34E2">
        <w:br/>
      </w:r>
    </w:p>
    <w:p w:rsidR="008357EA" w:rsidRPr="009E34E2" w:rsidRDefault="008357EA" w:rsidP="008C6C2B">
      <w:pPr>
        <w:pStyle w:val="ListParagraph"/>
        <w:numPr>
          <w:ilvl w:val="0"/>
          <w:numId w:val="1"/>
        </w:numPr>
        <w:spacing w:line="276" w:lineRule="auto"/>
        <w:contextualSpacing w:val="0"/>
      </w:pPr>
      <w:r w:rsidRPr="009E34E2">
        <w:t>An incentive framework for small scale distributed solar should have the following attributes:</w:t>
      </w:r>
    </w:p>
    <w:p w:rsidR="008357EA" w:rsidRPr="009E34E2" w:rsidRDefault="008357EA" w:rsidP="008C6C2B">
      <w:pPr>
        <w:pStyle w:val="ListParagraph"/>
        <w:numPr>
          <w:ilvl w:val="1"/>
          <w:numId w:val="1"/>
        </w:numPr>
        <w:spacing w:line="276" w:lineRule="auto"/>
        <w:contextualSpacing w:val="0"/>
      </w:pPr>
      <w:r w:rsidRPr="009E34E2">
        <w:t>An incentive program for small-scale distributed solar should promote the orderly transition to a stable, equitable and self-sustaining solar market.</w:t>
      </w:r>
    </w:p>
    <w:p w:rsidR="008357EA" w:rsidRPr="009E34E2" w:rsidRDefault="008357EA" w:rsidP="008C6C2B">
      <w:pPr>
        <w:pStyle w:val="ListParagraph"/>
        <w:numPr>
          <w:ilvl w:val="1"/>
          <w:numId w:val="1"/>
        </w:numPr>
        <w:spacing w:line="276" w:lineRule="auto"/>
        <w:contextualSpacing w:val="0"/>
      </w:pPr>
      <w:r w:rsidRPr="009E34E2">
        <w:t>Incentives should generally track the underlying behavior of installed system costs including module costs, balance of system costs, installation costs and other soft costs.</w:t>
      </w:r>
    </w:p>
    <w:p w:rsidR="008357EA" w:rsidRPr="009E34E2" w:rsidRDefault="008357EA" w:rsidP="008C6C2B">
      <w:pPr>
        <w:pStyle w:val="ListParagraph"/>
        <w:numPr>
          <w:ilvl w:val="1"/>
          <w:numId w:val="1"/>
        </w:numPr>
        <w:spacing w:line="276" w:lineRule="auto"/>
        <w:contextualSpacing w:val="0"/>
      </w:pPr>
      <w:r w:rsidRPr="009E34E2">
        <w:t>Program designs should seek to minimize the direct and indirect (i.e., administrative and transaction-related) program costs and barriers.</w:t>
      </w:r>
    </w:p>
    <w:p w:rsidR="008357EA" w:rsidRPr="009E34E2" w:rsidRDefault="008357EA" w:rsidP="008C6C2B">
      <w:pPr>
        <w:pStyle w:val="ListParagraph"/>
        <w:numPr>
          <w:ilvl w:val="1"/>
          <w:numId w:val="1"/>
        </w:numPr>
        <w:spacing w:line="276" w:lineRule="auto"/>
        <w:contextualSpacing w:val="0"/>
      </w:pPr>
      <w:r w:rsidRPr="009E34E2">
        <w:t>Program design should rely on market-based price signals as much as possible in order to set incentive levels.</w:t>
      </w:r>
    </w:p>
    <w:p w:rsidR="008357EA" w:rsidRPr="009E34E2" w:rsidRDefault="008357EA" w:rsidP="008C6C2B">
      <w:pPr>
        <w:pStyle w:val="ListParagraph"/>
        <w:numPr>
          <w:ilvl w:val="1"/>
          <w:numId w:val="1"/>
        </w:numPr>
        <w:spacing w:line="276" w:lineRule="auto"/>
        <w:contextualSpacing w:val="0"/>
      </w:pPr>
      <w:r w:rsidRPr="009E34E2">
        <w:t>The availability, value and cost of incentives should be transparent. Program design that features a known or easily estimated budget to achieve program goals should be favored.</w:t>
      </w:r>
    </w:p>
    <w:p w:rsidR="008357EA" w:rsidRPr="009E34E2" w:rsidRDefault="008357EA" w:rsidP="008C6C2B">
      <w:pPr>
        <w:pStyle w:val="ListParagraph"/>
        <w:numPr>
          <w:ilvl w:val="1"/>
          <w:numId w:val="1"/>
        </w:numPr>
        <w:spacing w:line="276" w:lineRule="auto"/>
        <w:contextualSpacing w:val="0"/>
      </w:pPr>
      <w:r w:rsidRPr="009E34E2">
        <w:t>Incentive levels should be differentiated in order to support diverse installation types that provide unique benefits.</w:t>
      </w:r>
    </w:p>
    <w:p w:rsidR="009E34E2" w:rsidRDefault="009E34E2" w:rsidP="009E34E2">
      <w:pPr>
        <w:pStyle w:val="ListParagraph"/>
        <w:spacing w:line="276" w:lineRule="auto"/>
        <w:ind w:left="360" w:firstLine="0"/>
        <w:contextualSpacing w:val="0"/>
      </w:pPr>
    </w:p>
    <w:p w:rsidR="008357EA" w:rsidRPr="009E34E2" w:rsidRDefault="008357EA" w:rsidP="008C6C2B">
      <w:pPr>
        <w:pStyle w:val="ListParagraph"/>
        <w:numPr>
          <w:ilvl w:val="0"/>
          <w:numId w:val="1"/>
        </w:numPr>
        <w:spacing w:line="276" w:lineRule="auto"/>
        <w:contextualSpacing w:val="0"/>
      </w:pPr>
      <w:r w:rsidRPr="009E34E2">
        <w:t xml:space="preserve">Consider leveraging outside funding sources to provide upfront incentives to small scale solar projects when benefits achieved are outside of the electrical system (i.e., economic development, landfill development, etc.) </w:t>
      </w:r>
      <w:r w:rsidRPr="009E34E2">
        <w:br/>
      </w:r>
    </w:p>
    <w:p w:rsidR="008357EA" w:rsidRPr="009E34E2" w:rsidRDefault="008357EA" w:rsidP="009E34E2">
      <w:pPr>
        <w:spacing w:line="276" w:lineRule="auto"/>
        <w:ind w:firstLine="0"/>
        <w:rPr>
          <w:i/>
        </w:rPr>
      </w:pPr>
      <w:r w:rsidRPr="009E34E2">
        <w:rPr>
          <w:b/>
          <w:u w:val="single"/>
        </w:rPr>
        <w:t>Areas of Potential Compromise</w:t>
      </w:r>
      <w:r w:rsidRPr="009E34E2">
        <w:t xml:space="preserve"> </w:t>
      </w:r>
    </w:p>
    <w:p w:rsidR="009E34E2" w:rsidRDefault="009E34E2" w:rsidP="009E34E2">
      <w:pPr>
        <w:pStyle w:val="ListParagraph"/>
        <w:spacing w:line="276" w:lineRule="auto"/>
        <w:ind w:left="360" w:firstLine="0"/>
      </w:pPr>
    </w:p>
    <w:p w:rsidR="008357EA" w:rsidRPr="009E34E2" w:rsidRDefault="008357EA" w:rsidP="008C6C2B">
      <w:pPr>
        <w:pStyle w:val="ListParagraph"/>
        <w:numPr>
          <w:ilvl w:val="0"/>
          <w:numId w:val="13"/>
        </w:numPr>
        <w:spacing w:line="276" w:lineRule="auto"/>
      </w:pPr>
      <w:r w:rsidRPr="009E34E2">
        <w:t>Small scale solar projects will not participate in competitive solicitations</w:t>
      </w:r>
    </w:p>
    <w:p w:rsidR="009E34E2" w:rsidRDefault="009E34E2" w:rsidP="009E34E2">
      <w:pPr>
        <w:pStyle w:val="ListParagraph"/>
        <w:spacing w:line="276" w:lineRule="auto"/>
        <w:ind w:left="360" w:firstLine="0"/>
      </w:pPr>
    </w:p>
    <w:p w:rsidR="008357EA" w:rsidRPr="009E34E2" w:rsidRDefault="008357EA" w:rsidP="008C6C2B">
      <w:pPr>
        <w:pStyle w:val="ListParagraph"/>
        <w:numPr>
          <w:ilvl w:val="0"/>
          <w:numId w:val="13"/>
        </w:numPr>
        <w:spacing w:line="276" w:lineRule="auto"/>
      </w:pPr>
      <w:r w:rsidRPr="009E34E2">
        <w:t xml:space="preserve">Small scale solar should be fairly compensated [is it addressed in other areas]? </w:t>
      </w:r>
    </w:p>
    <w:p w:rsidR="009E34E2" w:rsidRDefault="009E34E2" w:rsidP="009E34E2">
      <w:pPr>
        <w:pStyle w:val="ListParagraph"/>
        <w:spacing w:line="276" w:lineRule="auto"/>
        <w:ind w:left="360" w:firstLine="0"/>
      </w:pPr>
    </w:p>
    <w:p w:rsidR="008357EA" w:rsidRPr="009E34E2" w:rsidRDefault="008357EA" w:rsidP="008C6C2B">
      <w:pPr>
        <w:pStyle w:val="ListParagraph"/>
        <w:numPr>
          <w:ilvl w:val="0"/>
          <w:numId w:val="13"/>
        </w:numPr>
        <w:spacing w:line="276" w:lineRule="auto"/>
      </w:pPr>
      <w:r w:rsidRPr="009E34E2">
        <w:t>Consider leveraging outside funding sources to provide upfront incentives to small scale solar projects when benefits achieved are outside of the electrical system (i.e., economic development, landfill development, etc .)   (e.g. a refundable tax credit for state residents)</w:t>
      </w:r>
      <w:r w:rsidRPr="009E34E2">
        <w:br/>
      </w:r>
    </w:p>
    <w:p w:rsidR="008357EA" w:rsidRPr="009E34E2" w:rsidRDefault="008357EA" w:rsidP="009E34E2">
      <w:pPr>
        <w:spacing w:line="276" w:lineRule="auto"/>
        <w:ind w:firstLine="0"/>
      </w:pPr>
      <w:r w:rsidRPr="009E34E2">
        <w:rPr>
          <w:b/>
          <w:u w:val="single"/>
        </w:rPr>
        <w:t>Areas for Further Discussion</w:t>
      </w:r>
      <w:r w:rsidRPr="009E34E2">
        <w:t xml:space="preserve"> </w:t>
      </w:r>
    </w:p>
    <w:p w:rsidR="009E34E2" w:rsidRDefault="009E34E2" w:rsidP="009E34E2">
      <w:pPr>
        <w:pStyle w:val="ListParagraph"/>
        <w:spacing w:line="276" w:lineRule="auto"/>
        <w:ind w:left="360" w:firstLine="0"/>
      </w:pPr>
    </w:p>
    <w:p w:rsidR="008357EA" w:rsidRPr="009E34E2" w:rsidRDefault="008357EA" w:rsidP="008C6C2B">
      <w:pPr>
        <w:pStyle w:val="ListParagraph"/>
        <w:numPr>
          <w:ilvl w:val="0"/>
          <w:numId w:val="3"/>
        </w:numPr>
        <w:spacing w:line="276" w:lineRule="auto"/>
      </w:pPr>
      <w:r w:rsidRPr="009E34E2">
        <w:t>Type of incentive mechanism</w:t>
      </w:r>
    </w:p>
    <w:p w:rsidR="008357EA" w:rsidRPr="009E34E2" w:rsidRDefault="008357EA" w:rsidP="008C6C2B">
      <w:pPr>
        <w:pStyle w:val="ListParagraph"/>
        <w:numPr>
          <w:ilvl w:val="1"/>
          <w:numId w:val="3"/>
        </w:numPr>
        <w:spacing w:line="276" w:lineRule="auto"/>
      </w:pPr>
      <w:r w:rsidRPr="009E34E2">
        <w:t>Some Task Force Members support a continuation of the SREC II incentive program for small solar projects until a new solar policy can become effective (nominally 1/1/2017). At that time either a continuation of an SREC-type incentive program or a carefully designed Declining Block incentive tariff with adjustments to increase/decrease value based on market growth would be acceptable forms of incentives for small solar.</w:t>
      </w:r>
    </w:p>
    <w:p w:rsidR="008357EA" w:rsidRPr="009E34E2" w:rsidRDefault="008357EA" w:rsidP="008C6C2B">
      <w:pPr>
        <w:pStyle w:val="ListParagraph"/>
        <w:numPr>
          <w:ilvl w:val="1"/>
          <w:numId w:val="3"/>
        </w:numPr>
        <w:spacing w:line="276" w:lineRule="auto"/>
      </w:pPr>
      <w:r w:rsidRPr="009E34E2">
        <w:lastRenderedPageBreak/>
        <w:t>Other Task Force Members do not support the continuation of the SREC II incentive program for small scale solar and will like to see a new declining block incentive program implemented as soon as possible.</w:t>
      </w:r>
    </w:p>
    <w:p w:rsidR="009E34E2" w:rsidRDefault="009E34E2" w:rsidP="009E34E2">
      <w:pPr>
        <w:pStyle w:val="ListParagraph"/>
        <w:spacing w:line="276" w:lineRule="auto"/>
        <w:ind w:left="360" w:firstLine="0"/>
      </w:pPr>
    </w:p>
    <w:p w:rsidR="008357EA" w:rsidRPr="009E34E2" w:rsidRDefault="008357EA" w:rsidP="008C6C2B">
      <w:pPr>
        <w:pStyle w:val="ListParagraph"/>
        <w:numPr>
          <w:ilvl w:val="0"/>
          <w:numId w:val="3"/>
        </w:numPr>
        <w:spacing w:line="276" w:lineRule="auto"/>
      </w:pPr>
      <w:r w:rsidRPr="009E34E2">
        <w:t xml:space="preserve">There should be no sized to load requirement to qualify as a small system. </w:t>
      </w:r>
    </w:p>
    <w:p w:rsidR="009E34E2" w:rsidRDefault="009E34E2" w:rsidP="009E34E2">
      <w:pPr>
        <w:pStyle w:val="ListParagraph"/>
        <w:spacing w:line="276" w:lineRule="auto"/>
        <w:ind w:left="360" w:firstLine="0"/>
      </w:pPr>
    </w:p>
    <w:p w:rsidR="008357EA" w:rsidRPr="009E34E2" w:rsidRDefault="008357EA" w:rsidP="008C6C2B">
      <w:pPr>
        <w:pStyle w:val="ListParagraph"/>
        <w:numPr>
          <w:ilvl w:val="0"/>
          <w:numId w:val="3"/>
        </w:numPr>
        <w:spacing w:line="276" w:lineRule="auto"/>
      </w:pPr>
      <w:r w:rsidRPr="009E34E2">
        <w:t xml:space="preserve">Any incentive should be performance based. </w:t>
      </w:r>
    </w:p>
    <w:p w:rsidR="009E34E2" w:rsidRDefault="009E34E2" w:rsidP="009E34E2">
      <w:pPr>
        <w:pStyle w:val="ListParagraph"/>
        <w:spacing w:line="276" w:lineRule="auto"/>
        <w:ind w:left="360" w:firstLine="0"/>
      </w:pPr>
    </w:p>
    <w:p w:rsidR="008357EA" w:rsidRPr="009E34E2" w:rsidRDefault="008357EA" w:rsidP="008C6C2B">
      <w:pPr>
        <w:pStyle w:val="ListParagraph"/>
        <w:numPr>
          <w:ilvl w:val="0"/>
          <w:numId w:val="3"/>
        </w:numPr>
        <w:spacing w:line="276" w:lineRule="auto"/>
      </w:pPr>
      <w:r w:rsidRPr="009E34E2">
        <w:t xml:space="preserve">Individual owners of community shared solar “shares” should have equal access to the incentive policies proposed for “small” solar projects.  This is fundamental to providing fair and equitable access to the benefits of solar for all. </w:t>
      </w:r>
    </w:p>
    <w:p w:rsidR="009E34E2" w:rsidRDefault="009E34E2" w:rsidP="009E34E2">
      <w:pPr>
        <w:pStyle w:val="ListParagraph"/>
        <w:spacing w:line="276" w:lineRule="auto"/>
        <w:ind w:left="360" w:firstLine="0"/>
      </w:pPr>
    </w:p>
    <w:p w:rsidR="008357EA" w:rsidRPr="009E34E2" w:rsidRDefault="008357EA" w:rsidP="008C6C2B">
      <w:pPr>
        <w:pStyle w:val="ListParagraph"/>
        <w:numPr>
          <w:ilvl w:val="0"/>
          <w:numId w:val="3"/>
        </w:numPr>
        <w:spacing w:line="276" w:lineRule="auto"/>
      </w:pPr>
      <w:r w:rsidRPr="009E34E2">
        <w:t>Recommend that the definition of small recognize that the average size of a residential system has been increasing over time. Setting a size limit of 10 kW seems too small when the average residential system size has risen to 6 – 7 kW in the last couple years.</w:t>
      </w:r>
    </w:p>
    <w:p w:rsidR="008357EA" w:rsidRPr="009E34E2" w:rsidRDefault="008357EA" w:rsidP="009E34E2">
      <w:pPr>
        <w:spacing w:line="276" w:lineRule="auto"/>
      </w:pPr>
      <w:r w:rsidRPr="009E34E2">
        <w:br w:type="page"/>
      </w:r>
    </w:p>
    <w:p w:rsidR="008357EA" w:rsidRPr="009E34E2" w:rsidRDefault="008357EA" w:rsidP="009E34E2">
      <w:pPr>
        <w:spacing w:line="276" w:lineRule="auto"/>
        <w:ind w:firstLine="0"/>
      </w:pPr>
      <w:r w:rsidRPr="009E34E2">
        <w:rPr>
          <w:b/>
          <w:u w:val="single"/>
        </w:rPr>
        <w:lastRenderedPageBreak/>
        <w:t>Category:</w:t>
      </w:r>
      <w:r w:rsidRPr="009E34E2">
        <w:t xml:space="preserve"> Differentiation by Market Sector</w:t>
      </w:r>
    </w:p>
    <w:p w:rsidR="008357EA" w:rsidRPr="009E34E2" w:rsidRDefault="008357EA" w:rsidP="009E34E2">
      <w:pPr>
        <w:spacing w:line="276" w:lineRule="auto"/>
      </w:pPr>
    </w:p>
    <w:p w:rsidR="008357EA" w:rsidRPr="009E34E2" w:rsidRDefault="008357EA" w:rsidP="009E34E2">
      <w:pPr>
        <w:spacing w:line="276" w:lineRule="auto"/>
        <w:ind w:firstLine="0"/>
      </w:pPr>
      <w:r w:rsidRPr="009E34E2">
        <w:rPr>
          <w:b/>
          <w:u w:val="single"/>
        </w:rPr>
        <w:t>Consensus Recommendations</w:t>
      </w:r>
      <w:r w:rsidRPr="009E34E2">
        <w:t xml:space="preserve"> </w:t>
      </w:r>
    </w:p>
    <w:p w:rsidR="008357EA" w:rsidRPr="009E34E2" w:rsidRDefault="008357EA" w:rsidP="009E34E2">
      <w:pPr>
        <w:spacing w:line="276" w:lineRule="auto"/>
      </w:pPr>
    </w:p>
    <w:p w:rsidR="008357EA" w:rsidRPr="009E34E2" w:rsidRDefault="008357EA" w:rsidP="008C6C2B">
      <w:pPr>
        <w:pStyle w:val="ListParagraph"/>
        <w:numPr>
          <w:ilvl w:val="0"/>
          <w:numId w:val="14"/>
        </w:numPr>
        <w:spacing w:line="276" w:lineRule="auto"/>
      </w:pPr>
      <w:r w:rsidRPr="009E34E2">
        <w:t>Diversity in the type and geographic locations of solar may be worthwhile, and it can be achieved in a variety of ways.  Forms of support such as grants, rebates, tax credits, and incentives should be considered for specific locations or types, and would increase the transparency of the costs and benefits of these systems.  Incentive levels and sources should be differentiated in order to support diverse installation types that provide unique benefits.</w:t>
      </w:r>
    </w:p>
    <w:p w:rsidR="008357EA" w:rsidRPr="009E34E2" w:rsidRDefault="008357EA" w:rsidP="009E34E2">
      <w:pPr>
        <w:spacing w:line="276" w:lineRule="auto"/>
        <w:ind w:firstLine="0"/>
      </w:pPr>
      <w:r w:rsidRPr="009E34E2">
        <w:br w:type="page"/>
      </w:r>
    </w:p>
    <w:p w:rsidR="008357EA" w:rsidRPr="009E34E2" w:rsidRDefault="008357EA" w:rsidP="009E34E2">
      <w:pPr>
        <w:spacing w:line="276" w:lineRule="auto"/>
        <w:ind w:firstLine="0"/>
      </w:pPr>
      <w:r w:rsidRPr="009E34E2">
        <w:rPr>
          <w:b/>
          <w:bCs/>
          <w:u w:val="single"/>
        </w:rPr>
        <w:lastRenderedPageBreak/>
        <w:t>Category:</w:t>
      </w:r>
      <w:r w:rsidRPr="009E34E2">
        <w:t xml:space="preserve"> </w:t>
      </w:r>
      <w:r w:rsidRPr="009E34E2">
        <w:rPr>
          <w:color w:val="FF0000"/>
        </w:rPr>
        <w:t xml:space="preserve"> </w:t>
      </w:r>
      <w:r w:rsidRPr="009E34E2">
        <w:t>Large Scale Solar</w:t>
      </w:r>
    </w:p>
    <w:p w:rsidR="008357EA" w:rsidRPr="009E34E2" w:rsidRDefault="008357EA" w:rsidP="009E34E2">
      <w:pPr>
        <w:spacing w:line="276" w:lineRule="auto"/>
        <w:rPr>
          <w:b/>
          <w:bCs/>
          <w:u w:val="single"/>
        </w:rPr>
      </w:pPr>
    </w:p>
    <w:p w:rsidR="008357EA" w:rsidRPr="009E34E2" w:rsidRDefault="008357EA" w:rsidP="009E34E2">
      <w:pPr>
        <w:spacing w:line="276" w:lineRule="auto"/>
        <w:ind w:firstLine="0"/>
      </w:pPr>
      <w:r w:rsidRPr="009E34E2">
        <w:rPr>
          <w:b/>
          <w:bCs/>
          <w:u w:val="single"/>
        </w:rPr>
        <w:t>Consensus Recommendations</w:t>
      </w:r>
      <w:r w:rsidRPr="009E34E2">
        <w:t xml:space="preserve"> </w:t>
      </w:r>
    </w:p>
    <w:p w:rsidR="009E34E2" w:rsidRPr="009E34E2" w:rsidRDefault="009E34E2" w:rsidP="009E34E2">
      <w:pPr>
        <w:pStyle w:val="ListParagraph"/>
        <w:spacing w:line="276" w:lineRule="auto"/>
        <w:ind w:left="360" w:firstLine="0"/>
        <w:contextualSpacing w:val="0"/>
        <w:rPr>
          <w:bCs/>
        </w:rPr>
      </w:pPr>
    </w:p>
    <w:p w:rsidR="008357EA" w:rsidRPr="009E34E2" w:rsidRDefault="008357EA" w:rsidP="008C6C2B">
      <w:pPr>
        <w:pStyle w:val="ListParagraph"/>
        <w:numPr>
          <w:ilvl w:val="0"/>
          <w:numId w:val="15"/>
        </w:numPr>
        <w:spacing w:line="276" w:lineRule="auto"/>
        <w:contextualSpacing w:val="0"/>
        <w:rPr>
          <w:bCs/>
        </w:rPr>
      </w:pPr>
      <w:r w:rsidRPr="009E34E2">
        <w:t xml:space="preserve">Large scale distributed solar can bring scale economies to reaching the Commonwealth’s overall solar goals at lower cost and therefore should be part of a diverse state-based solar market. </w:t>
      </w:r>
    </w:p>
    <w:p w:rsidR="009E34E2" w:rsidRDefault="009E34E2" w:rsidP="009E34E2">
      <w:pPr>
        <w:pStyle w:val="ListParagraph"/>
        <w:spacing w:line="276" w:lineRule="auto"/>
        <w:ind w:left="360" w:firstLine="0"/>
        <w:contextualSpacing w:val="0"/>
      </w:pPr>
    </w:p>
    <w:p w:rsidR="008357EA" w:rsidRPr="009E34E2" w:rsidRDefault="008357EA" w:rsidP="008C6C2B">
      <w:pPr>
        <w:pStyle w:val="ListParagraph"/>
        <w:numPr>
          <w:ilvl w:val="0"/>
          <w:numId w:val="15"/>
        </w:numPr>
        <w:spacing w:line="276" w:lineRule="auto"/>
        <w:contextualSpacing w:val="0"/>
      </w:pPr>
      <w:r w:rsidRPr="009E34E2">
        <w:t xml:space="preserve">Incentives delivered to owners and developers of large scale solar distributed solar systems should be limited to an amount necessary to support the economic viability of efficiently developed and financed systems. </w:t>
      </w:r>
    </w:p>
    <w:p w:rsidR="009E34E2" w:rsidRDefault="009E34E2" w:rsidP="009E34E2">
      <w:pPr>
        <w:pStyle w:val="ListParagraph"/>
        <w:spacing w:line="276" w:lineRule="auto"/>
        <w:ind w:left="360" w:firstLine="0"/>
        <w:contextualSpacing w:val="0"/>
      </w:pPr>
    </w:p>
    <w:p w:rsidR="008357EA" w:rsidRPr="009E34E2" w:rsidRDefault="008357EA" w:rsidP="008C6C2B">
      <w:pPr>
        <w:pStyle w:val="ListParagraph"/>
        <w:numPr>
          <w:ilvl w:val="0"/>
          <w:numId w:val="15"/>
        </w:numPr>
        <w:spacing w:line="276" w:lineRule="auto"/>
        <w:contextualSpacing w:val="0"/>
      </w:pPr>
      <w:r w:rsidRPr="009E34E2">
        <w:t>An incentive framework for large scale distributed solar should have the following attributes:</w:t>
      </w:r>
    </w:p>
    <w:p w:rsidR="008357EA" w:rsidRPr="009E34E2" w:rsidRDefault="008357EA" w:rsidP="008C6C2B">
      <w:pPr>
        <w:pStyle w:val="ListParagraph"/>
        <w:numPr>
          <w:ilvl w:val="1"/>
          <w:numId w:val="15"/>
        </w:numPr>
        <w:spacing w:line="276" w:lineRule="auto"/>
        <w:contextualSpacing w:val="0"/>
      </w:pPr>
      <w:r w:rsidRPr="009E34E2">
        <w:t>An incentive program for large-scale distributed solar should promote the orderly transition of solar incentives into broader renewable programs.</w:t>
      </w:r>
    </w:p>
    <w:p w:rsidR="008357EA" w:rsidRPr="009E34E2" w:rsidRDefault="008357EA" w:rsidP="008C6C2B">
      <w:pPr>
        <w:pStyle w:val="ListParagraph"/>
        <w:numPr>
          <w:ilvl w:val="1"/>
          <w:numId w:val="15"/>
        </w:numPr>
        <w:spacing w:line="276" w:lineRule="auto"/>
        <w:contextualSpacing w:val="0"/>
      </w:pPr>
      <w:r w:rsidRPr="009E34E2">
        <w:t xml:space="preserve">Incentives should track underlying system costs and also take into consideration revenues available from other sources. </w:t>
      </w:r>
    </w:p>
    <w:p w:rsidR="008357EA" w:rsidRPr="009E34E2" w:rsidRDefault="008357EA" w:rsidP="008C6C2B">
      <w:pPr>
        <w:pStyle w:val="ListParagraph"/>
        <w:numPr>
          <w:ilvl w:val="1"/>
          <w:numId w:val="15"/>
        </w:numPr>
        <w:spacing w:line="276" w:lineRule="auto"/>
        <w:contextualSpacing w:val="0"/>
      </w:pPr>
      <w:r w:rsidRPr="009E34E2">
        <w:t>Program designs should seek to minimize the direct and indirect (i.e., administrative and transaction-related) program costs.</w:t>
      </w:r>
    </w:p>
    <w:p w:rsidR="008357EA" w:rsidRPr="009E34E2" w:rsidRDefault="008357EA" w:rsidP="008C6C2B">
      <w:pPr>
        <w:pStyle w:val="ListParagraph"/>
        <w:numPr>
          <w:ilvl w:val="1"/>
          <w:numId w:val="15"/>
        </w:numPr>
        <w:spacing w:line="276" w:lineRule="auto"/>
        <w:contextualSpacing w:val="0"/>
      </w:pPr>
      <w:r w:rsidRPr="009E34E2">
        <w:t>The benefit to customers should be advanced through the lower cost from the economies of scale from large systems. An incentive program should impose competitive discipline on market participants and create a robust competitive marketplace. Incentive levels should be differentiated in order to support diverse installation types that provide unique benefits.</w:t>
      </w:r>
    </w:p>
    <w:p w:rsidR="008357EA" w:rsidRPr="009E34E2" w:rsidRDefault="008357EA" w:rsidP="008C6C2B">
      <w:pPr>
        <w:pStyle w:val="ListParagraph"/>
        <w:numPr>
          <w:ilvl w:val="1"/>
          <w:numId w:val="15"/>
        </w:numPr>
        <w:spacing w:line="276" w:lineRule="auto"/>
        <w:contextualSpacing w:val="0"/>
      </w:pPr>
      <w:r w:rsidRPr="009E34E2">
        <w:t>Incentives should be performance-based; i.e., paid out over time based on demonstrated actual production.</w:t>
      </w:r>
    </w:p>
    <w:p w:rsidR="008357EA" w:rsidRPr="009E34E2" w:rsidRDefault="008357EA" w:rsidP="008C6C2B">
      <w:pPr>
        <w:pStyle w:val="ListParagraph"/>
        <w:numPr>
          <w:ilvl w:val="1"/>
          <w:numId w:val="15"/>
        </w:numPr>
        <w:spacing w:line="276" w:lineRule="auto"/>
        <w:contextualSpacing w:val="0"/>
      </w:pPr>
      <w:r w:rsidRPr="009E34E2">
        <w:t>The availability, value and cost of incentives should be transparent. Program design that features a known or easily estimated budget to achieve program goals should be favored.</w:t>
      </w:r>
    </w:p>
    <w:p w:rsidR="008357EA" w:rsidRPr="009E34E2" w:rsidRDefault="008357EA" w:rsidP="008C6C2B">
      <w:pPr>
        <w:pStyle w:val="ListParagraph"/>
        <w:numPr>
          <w:ilvl w:val="1"/>
          <w:numId w:val="15"/>
        </w:numPr>
        <w:spacing w:line="276" w:lineRule="auto"/>
        <w:contextualSpacing w:val="0"/>
      </w:pPr>
      <w:r w:rsidRPr="009E34E2">
        <w:t>Program designs should rely on market-based mechanisms and/or price signals as much as possible in order to set incentive levels, and should be designed to avoid conflicts with FERC jurisdiction over markets for energy and capacity.</w:t>
      </w:r>
    </w:p>
    <w:p w:rsidR="008357EA" w:rsidRPr="009E34E2" w:rsidRDefault="008357EA" w:rsidP="008C6C2B">
      <w:pPr>
        <w:pStyle w:val="ListParagraph"/>
        <w:numPr>
          <w:ilvl w:val="1"/>
          <w:numId w:val="15"/>
        </w:numPr>
        <w:spacing w:line="276" w:lineRule="auto"/>
        <w:contextualSpacing w:val="0"/>
      </w:pPr>
      <w:r w:rsidRPr="009E34E2">
        <w:t>The provision of incentives should support both orderly deal flow and the orderly recovery of the system costs from its beneficiaries (i.e., a regularly available incentive structure to prevent start/stop markets, and regular contributions to the expenses associated with the electric distribution grid).</w:t>
      </w:r>
    </w:p>
    <w:p w:rsidR="008357EA" w:rsidRPr="009E34E2" w:rsidRDefault="008357EA" w:rsidP="008C6C2B">
      <w:pPr>
        <w:pStyle w:val="ListParagraph"/>
        <w:numPr>
          <w:ilvl w:val="1"/>
          <w:numId w:val="15"/>
        </w:numPr>
        <w:spacing w:line="276" w:lineRule="auto"/>
        <w:contextualSpacing w:val="0"/>
      </w:pPr>
      <w:r w:rsidRPr="009E34E2">
        <w:t>An incentive program should be readily adaptable to changing market conditions.</w:t>
      </w:r>
    </w:p>
    <w:p w:rsidR="008357EA" w:rsidRPr="009E34E2" w:rsidRDefault="008357EA" w:rsidP="008C6C2B">
      <w:pPr>
        <w:pStyle w:val="ListParagraph"/>
        <w:numPr>
          <w:ilvl w:val="1"/>
          <w:numId w:val="15"/>
        </w:numPr>
        <w:spacing w:line="276" w:lineRule="auto"/>
        <w:contextualSpacing w:val="0"/>
      </w:pPr>
      <w:r w:rsidRPr="009E34E2">
        <w:t>Investor confidence should be promoted through long-term incentive revenue certainty and market stability.</w:t>
      </w:r>
    </w:p>
    <w:p w:rsidR="009E34E2" w:rsidRDefault="009E34E2" w:rsidP="009E34E2">
      <w:pPr>
        <w:spacing w:line="276" w:lineRule="auto"/>
        <w:rPr>
          <w:b/>
          <w:bCs/>
          <w:u w:val="single"/>
        </w:rPr>
      </w:pPr>
    </w:p>
    <w:p w:rsidR="008357EA" w:rsidRPr="009E34E2" w:rsidRDefault="008357EA" w:rsidP="009E34E2">
      <w:pPr>
        <w:spacing w:line="276" w:lineRule="auto"/>
      </w:pPr>
      <w:r w:rsidRPr="009E34E2">
        <w:rPr>
          <w:b/>
          <w:bCs/>
          <w:u w:val="single"/>
        </w:rPr>
        <w:t>Areas for Further Discussion</w:t>
      </w:r>
      <w:r w:rsidRPr="009E34E2">
        <w:t xml:space="preserve"> </w:t>
      </w:r>
    </w:p>
    <w:p w:rsidR="008357EA" w:rsidRPr="009E34E2" w:rsidRDefault="008357EA" w:rsidP="008C6C2B">
      <w:pPr>
        <w:pStyle w:val="ListParagraph"/>
        <w:numPr>
          <w:ilvl w:val="0"/>
          <w:numId w:val="4"/>
        </w:numPr>
        <w:spacing w:line="276" w:lineRule="auto"/>
        <w:contextualSpacing w:val="0"/>
      </w:pPr>
      <w:r w:rsidRPr="009E34E2">
        <w:rPr>
          <w:iCs/>
        </w:rPr>
        <w:t>Incentive Delivery Mechanism for Large Scale Distributed Solar</w:t>
      </w:r>
    </w:p>
    <w:p w:rsidR="008357EA" w:rsidRPr="009E34E2" w:rsidRDefault="008357EA" w:rsidP="008C6C2B">
      <w:pPr>
        <w:pStyle w:val="ListParagraph"/>
        <w:numPr>
          <w:ilvl w:val="1"/>
          <w:numId w:val="4"/>
        </w:numPr>
        <w:spacing w:line="276" w:lineRule="auto"/>
        <w:contextualSpacing w:val="0"/>
        <w:rPr>
          <w:i/>
          <w:iCs/>
        </w:rPr>
      </w:pPr>
      <w:r w:rsidRPr="009E34E2">
        <w:rPr>
          <w:bCs/>
        </w:rPr>
        <w:t xml:space="preserve">Positions </w:t>
      </w:r>
    </w:p>
    <w:p w:rsidR="008357EA" w:rsidRPr="009E34E2" w:rsidRDefault="008357EA" w:rsidP="008C6C2B">
      <w:pPr>
        <w:pStyle w:val="ListParagraph"/>
        <w:numPr>
          <w:ilvl w:val="2"/>
          <w:numId w:val="4"/>
        </w:numPr>
        <w:spacing w:line="276" w:lineRule="auto"/>
        <w:contextualSpacing w:val="0"/>
      </w:pPr>
      <w:r w:rsidRPr="009E34E2">
        <w:t xml:space="preserve">Certain TF Members recommend a Competitive Procurement Model. In the view of these Members, Competitive solicitations are one of the most widely used methods </w:t>
      </w:r>
      <w:r w:rsidRPr="009E34E2">
        <w:lastRenderedPageBreak/>
        <w:t xml:space="preserve">for procurement of energy and related products within the utility and power industry. In the view of these TF Members, they are repeatedly chosen as the preferred method of procurement due to a number of clear advantages: </w:t>
      </w:r>
    </w:p>
    <w:p w:rsidR="008357EA" w:rsidRPr="009E34E2" w:rsidRDefault="008357EA" w:rsidP="008C6C2B">
      <w:pPr>
        <w:pStyle w:val="ListParagraph"/>
        <w:numPr>
          <w:ilvl w:val="0"/>
          <w:numId w:val="5"/>
        </w:numPr>
        <w:spacing w:line="276" w:lineRule="auto"/>
      </w:pPr>
      <w:r w:rsidRPr="009E34E2">
        <w:t xml:space="preserve">Open solicitations result in highly transparent pricing based entirely on the response from the active market.   </w:t>
      </w:r>
    </w:p>
    <w:p w:rsidR="008357EA" w:rsidRPr="009E34E2" w:rsidRDefault="008357EA" w:rsidP="008C6C2B">
      <w:pPr>
        <w:pStyle w:val="ListParagraph"/>
        <w:numPr>
          <w:ilvl w:val="0"/>
          <w:numId w:val="5"/>
        </w:numPr>
        <w:spacing w:line="276" w:lineRule="auto"/>
      </w:pPr>
      <w:r w:rsidRPr="009E34E2">
        <w:t xml:space="preserve">Competition provides assurance that customers pay only what is necessary to support cost-efficient suppliers. </w:t>
      </w:r>
    </w:p>
    <w:p w:rsidR="008357EA" w:rsidRPr="009E34E2" w:rsidRDefault="008357EA" w:rsidP="008C6C2B">
      <w:pPr>
        <w:pStyle w:val="ListParagraph"/>
        <w:numPr>
          <w:ilvl w:val="0"/>
          <w:numId w:val="5"/>
        </w:numPr>
        <w:spacing w:line="276" w:lineRule="auto"/>
      </w:pPr>
      <w:r w:rsidRPr="009E34E2">
        <w:t xml:space="preserve">The total cost and/or volume of purchases can be readily managed within a solicitation framework. </w:t>
      </w:r>
    </w:p>
    <w:p w:rsidR="008357EA" w:rsidRPr="009E34E2" w:rsidRDefault="008357EA" w:rsidP="008C6C2B">
      <w:pPr>
        <w:pStyle w:val="ListParagraph"/>
        <w:numPr>
          <w:ilvl w:val="0"/>
          <w:numId w:val="5"/>
        </w:numPr>
        <w:spacing w:line="276" w:lineRule="auto"/>
      </w:pPr>
      <w:r w:rsidRPr="009E34E2">
        <w:t>Typical solicitation terms encourage market discipline by requiring suppliers to submit binding proposals and including non-performance penalties.</w:t>
      </w:r>
      <w:r w:rsidRPr="009E34E2">
        <w:br/>
      </w:r>
    </w:p>
    <w:p w:rsidR="008357EA" w:rsidRPr="009E34E2" w:rsidRDefault="008357EA" w:rsidP="008C6C2B">
      <w:pPr>
        <w:pStyle w:val="ListParagraph"/>
        <w:numPr>
          <w:ilvl w:val="2"/>
          <w:numId w:val="4"/>
        </w:numPr>
        <w:spacing w:line="276" w:lineRule="auto"/>
        <w:contextualSpacing w:val="0"/>
      </w:pPr>
      <w:r w:rsidRPr="009E34E2">
        <w:t>Other TF members recommend an Adjustable Block Incentive. In the view of these parties, it is critical for the task force’s objectives that the incentive be designed as an “open access” program where incentives are continuously available to market participants. In the view of these Task Force Members, an Adjustable Block Incentive has the following key advantages:</w:t>
      </w:r>
    </w:p>
    <w:p w:rsidR="008357EA" w:rsidRPr="009E34E2" w:rsidRDefault="008357EA" w:rsidP="008C6C2B">
      <w:pPr>
        <w:pStyle w:val="ListParagraph"/>
        <w:numPr>
          <w:ilvl w:val="0"/>
          <w:numId w:val="16"/>
        </w:numPr>
        <w:spacing w:line="276" w:lineRule="auto"/>
      </w:pPr>
      <w:r w:rsidRPr="009E34E2">
        <w:t xml:space="preserve">The incentive level is transparent and predictable.  While a competitive procurement model also offers the key advantage of providing clarity on future revenues, the declining-block model has the advantage of providing transparency on incentive level and availability during early-stage project development. </w:t>
      </w:r>
    </w:p>
    <w:p w:rsidR="008357EA" w:rsidRPr="009E34E2" w:rsidRDefault="008357EA" w:rsidP="008C6C2B">
      <w:pPr>
        <w:pStyle w:val="ListParagraph"/>
        <w:numPr>
          <w:ilvl w:val="0"/>
          <w:numId w:val="16"/>
        </w:numPr>
        <w:spacing w:line="276" w:lineRule="auto"/>
      </w:pPr>
      <w:r w:rsidRPr="009E34E2">
        <w:t xml:space="preserve">The program is “always on.”  Incentive funding is available to projects on their development schedule, not on the solicitation schedule. </w:t>
      </w:r>
    </w:p>
    <w:p w:rsidR="008357EA" w:rsidRPr="009E34E2" w:rsidRDefault="008357EA" w:rsidP="008C6C2B">
      <w:pPr>
        <w:pStyle w:val="ListParagraph"/>
        <w:numPr>
          <w:ilvl w:val="0"/>
          <w:numId w:val="16"/>
        </w:numPr>
        <w:spacing w:line="276" w:lineRule="auto"/>
      </w:pPr>
      <w:r w:rsidRPr="009E34E2">
        <w:t>The program budget is fixed.  An adjustable block model locks in the total ratepayer expenditure for the incentive program.  It is simply the sum of all capacity blocks multiplied by the associated incentive level.</w:t>
      </w:r>
    </w:p>
    <w:p w:rsidR="008357EA" w:rsidRPr="009E34E2" w:rsidRDefault="008357EA" w:rsidP="008C6C2B">
      <w:pPr>
        <w:pStyle w:val="ListParagraph"/>
        <w:numPr>
          <w:ilvl w:val="0"/>
          <w:numId w:val="16"/>
        </w:numPr>
        <w:spacing w:line="276" w:lineRule="auto"/>
      </w:pPr>
      <w:r w:rsidRPr="009E34E2">
        <w:t xml:space="preserve">It imposes market discipline and leads to a self-sustaining industry.  The program encourages cost-cutting and competition.  Low cost providers gain the greatest market share.  And the end-state of the program is a mature market that can sustain itself without incentives. </w:t>
      </w:r>
    </w:p>
    <w:p w:rsidR="008357EA" w:rsidRPr="009E34E2" w:rsidRDefault="008357EA" w:rsidP="009E34E2">
      <w:pPr>
        <w:spacing w:line="276" w:lineRule="auto"/>
      </w:pPr>
      <w:r w:rsidRPr="009E34E2">
        <w:br w:type="page"/>
      </w:r>
    </w:p>
    <w:p w:rsidR="00C718ED" w:rsidRPr="00C718ED" w:rsidRDefault="00C718ED" w:rsidP="00C718ED">
      <w:pPr>
        <w:ind w:firstLine="0"/>
      </w:pPr>
      <w:r w:rsidRPr="00C718ED">
        <w:rPr>
          <w:b/>
          <w:u w:val="single"/>
        </w:rPr>
        <w:lastRenderedPageBreak/>
        <w:t>Category:</w:t>
      </w:r>
      <w:r w:rsidRPr="00C718ED">
        <w:t xml:space="preserve"> Net Metering </w:t>
      </w:r>
    </w:p>
    <w:p w:rsidR="00C718ED" w:rsidRDefault="00C718ED" w:rsidP="00C718ED">
      <w:pPr>
        <w:ind w:firstLine="0"/>
        <w:rPr>
          <w:b/>
        </w:rPr>
      </w:pPr>
    </w:p>
    <w:p w:rsidR="00C718ED" w:rsidRPr="009E34E2" w:rsidRDefault="00C718ED" w:rsidP="00C718ED">
      <w:pPr>
        <w:spacing w:line="276" w:lineRule="auto"/>
        <w:ind w:firstLine="0"/>
        <w:rPr>
          <w:i/>
        </w:rPr>
      </w:pPr>
      <w:r w:rsidRPr="009E34E2">
        <w:rPr>
          <w:b/>
          <w:u w:val="single"/>
        </w:rPr>
        <w:t>Areas of Potential Compromise</w:t>
      </w:r>
      <w:r w:rsidRPr="009E34E2">
        <w:t xml:space="preserve"> </w:t>
      </w:r>
    </w:p>
    <w:p w:rsidR="00C718ED" w:rsidRDefault="00C718ED" w:rsidP="00C718ED">
      <w:pPr>
        <w:ind w:firstLine="0"/>
      </w:pPr>
    </w:p>
    <w:p w:rsidR="00C718ED" w:rsidRPr="00C718ED" w:rsidRDefault="00C718ED" w:rsidP="00C718ED">
      <w:pPr>
        <w:ind w:firstLine="0"/>
        <w:rPr>
          <w:i/>
        </w:rPr>
      </w:pPr>
      <w:r w:rsidRPr="00C718ED">
        <w:t>Some members of the task force propose the following:</w:t>
      </w:r>
    </w:p>
    <w:p w:rsidR="00C718ED" w:rsidRDefault="00C718ED" w:rsidP="00C718ED">
      <w:pPr>
        <w:pStyle w:val="ListParagraph"/>
        <w:ind w:firstLine="0"/>
      </w:pPr>
    </w:p>
    <w:p w:rsidR="00C718ED" w:rsidRPr="00C718ED" w:rsidRDefault="00C718ED" w:rsidP="008C6C2B">
      <w:pPr>
        <w:pStyle w:val="ListParagraph"/>
        <w:numPr>
          <w:ilvl w:val="0"/>
          <w:numId w:val="21"/>
        </w:numPr>
      </w:pPr>
      <w:r w:rsidRPr="00C718ED">
        <w:t>Solar generators should receive fair compensation for the overall value that solar provides to the grid and to the Commonwealth overall.</w:t>
      </w:r>
    </w:p>
    <w:p w:rsidR="00C718ED" w:rsidRPr="00C718ED" w:rsidRDefault="00C718ED" w:rsidP="00C718ED">
      <w:pPr>
        <w:pStyle w:val="ListParagraph"/>
      </w:pPr>
    </w:p>
    <w:p w:rsidR="00C718ED" w:rsidRPr="00C718ED" w:rsidRDefault="00C718ED" w:rsidP="008C6C2B">
      <w:pPr>
        <w:pStyle w:val="ListParagraph"/>
        <w:numPr>
          <w:ilvl w:val="0"/>
          <w:numId w:val="21"/>
        </w:numPr>
      </w:pPr>
      <w:r w:rsidRPr="00C718ED">
        <w:t>Fair value should be determined through a comprehensive solar benefit/cost study. This study should quantify the various value streams associated with solar generation. The study should analyze the value of different “categories” of projects:</w:t>
      </w:r>
    </w:p>
    <w:p w:rsidR="00C718ED" w:rsidRPr="00C718ED" w:rsidRDefault="00C718ED" w:rsidP="008C6C2B">
      <w:pPr>
        <w:pStyle w:val="ListParagraph"/>
        <w:numPr>
          <w:ilvl w:val="1"/>
          <w:numId w:val="21"/>
        </w:numPr>
      </w:pPr>
      <w:r w:rsidRPr="00C718ED">
        <w:t xml:space="preserve">Behind the meter projects </w:t>
      </w:r>
    </w:p>
    <w:p w:rsidR="00C718ED" w:rsidRPr="00C718ED" w:rsidRDefault="00C718ED" w:rsidP="008C6C2B">
      <w:pPr>
        <w:pStyle w:val="ListParagraph"/>
        <w:numPr>
          <w:ilvl w:val="2"/>
          <w:numId w:val="21"/>
        </w:numPr>
      </w:pPr>
      <w:r w:rsidRPr="00C718ED">
        <w:rPr>
          <w:i/>
        </w:rPr>
        <w:t>Projects designed to serve no more than 100% of annual load as well as projects designed to predominately serve behind-the-meter load but may incidentally export.</w:t>
      </w:r>
    </w:p>
    <w:p w:rsidR="00C718ED" w:rsidRPr="00C718ED" w:rsidRDefault="00C718ED" w:rsidP="008C6C2B">
      <w:pPr>
        <w:pStyle w:val="ListParagraph"/>
        <w:numPr>
          <w:ilvl w:val="1"/>
          <w:numId w:val="21"/>
        </w:numPr>
      </w:pPr>
      <w:r w:rsidRPr="00C718ED">
        <w:t>Proximate to load projects</w:t>
      </w:r>
    </w:p>
    <w:p w:rsidR="00C718ED" w:rsidRPr="00C718ED" w:rsidRDefault="00C718ED" w:rsidP="008C6C2B">
      <w:pPr>
        <w:pStyle w:val="ListParagraph"/>
        <w:numPr>
          <w:ilvl w:val="2"/>
          <w:numId w:val="21"/>
        </w:numPr>
      </w:pPr>
      <w:r w:rsidRPr="00C718ED">
        <w:rPr>
          <w:i/>
          <w:iCs/>
        </w:rPr>
        <w:t>Need to discuss a specific definition of “proximate to load”</w:t>
      </w:r>
    </w:p>
    <w:p w:rsidR="00C718ED" w:rsidRPr="00C718ED" w:rsidRDefault="00C718ED" w:rsidP="008C6C2B">
      <w:pPr>
        <w:pStyle w:val="ListParagraph"/>
        <w:numPr>
          <w:ilvl w:val="1"/>
          <w:numId w:val="21"/>
        </w:numPr>
      </w:pPr>
      <w:r w:rsidRPr="00C718ED">
        <w:t>Projects within the same load zone but not “proximate to load”</w:t>
      </w:r>
    </w:p>
    <w:p w:rsidR="00C718ED" w:rsidRPr="00C718ED" w:rsidRDefault="00C718ED" w:rsidP="008C6C2B">
      <w:pPr>
        <w:pStyle w:val="ListParagraph"/>
        <w:numPr>
          <w:ilvl w:val="2"/>
          <w:numId w:val="21"/>
        </w:numPr>
      </w:pPr>
      <w:r w:rsidRPr="00C718ED">
        <w:rPr>
          <w:i/>
          <w:iCs/>
        </w:rPr>
        <w:t>This will cover many types of what is virtual net metering today</w:t>
      </w:r>
    </w:p>
    <w:p w:rsidR="00C718ED" w:rsidRPr="00C718ED" w:rsidRDefault="00C718ED" w:rsidP="00C718ED">
      <w:pPr>
        <w:pStyle w:val="ListParagraph"/>
        <w:ind w:left="2160"/>
      </w:pPr>
    </w:p>
    <w:p w:rsidR="00C718ED" w:rsidRPr="00C718ED" w:rsidRDefault="00C718ED" w:rsidP="008C6C2B">
      <w:pPr>
        <w:pStyle w:val="ListParagraph"/>
        <w:numPr>
          <w:ilvl w:val="0"/>
          <w:numId w:val="21"/>
        </w:numPr>
      </w:pPr>
      <w:r w:rsidRPr="00C718ED">
        <w:t>Net metering credit value can then be based on the results of these studies for each category.</w:t>
      </w:r>
    </w:p>
    <w:p w:rsidR="00C718ED" w:rsidRPr="00C718ED" w:rsidRDefault="00C718ED" w:rsidP="00C718ED">
      <w:pPr>
        <w:pStyle w:val="ListParagraph"/>
      </w:pPr>
    </w:p>
    <w:p w:rsidR="00C718ED" w:rsidRPr="00C718ED" w:rsidRDefault="00C718ED" w:rsidP="008C6C2B">
      <w:pPr>
        <w:pStyle w:val="ListParagraph"/>
        <w:numPr>
          <w:ilvl w:val="0"/>
          <w:numId w:val="21"/>
        </w:numPr>
      </w:pPr>
      <w:r w:rsidRPr="00C718ED">
        <w:t>Additional compensation that is necessary to achieve policy goals, such as landfill, brownfield, and community shared solar development, can be provided by targeted incremental incentive value, separate from the net metering credit.</w:t>
      </w:r>
    </w:p>
    <w:p w:rsidR="00C718ED" w:rsidRPr="00C718ED" w:rsidRDefault="00C718ED" w:rsidP="00C718ED"/>
    <w:p w:rsidR="00C718ED" w:rsidRPr="00C718ED" w:rsidRDefault="00C718ED" w:rsidP="008C6C2B">
      <w:pPr>
        <w:pStyle w:val="ListParagraph"/>
        <w:numPr>
          <w:ilvl w:val="0"/>
          <w:numId w:val="21"/>
        </w:numPr>
      </w:pPr>
      <w:r w:rsidRPr="00C718ED">
        <w:t>Assuming a credit value that returns to the solar generator only the fair value of benefits provided, and correspondingly, utilities receive fair compensation for the services provided to solar generators, caps on net metering should be removed.</w:t>
      </w:r>
    </w:p>
    <w:p w:rsidR="00C718ED" w:rsidRPr="00C718ED" w:rsidRDefault="00C718ED" w:rsidP="00C718ED">
      <w:pPr>
        <w:rPr>
          <w:b/>
        </w:rPr>
      </w:pPr>
    </w:p>
    <w:p w:rsidR="00C718ED" w:rsidRPr="00C718ED" w:rsidRDefault="00C718ED" w:rsidP="00C718ED">
      <w:pPr>
        <w:ind w:firstLine="0"/>
      </w:pPr>
      <w:r w:rsidRPr="00C718ED">
        <w:t xml:space="preserve">Other members of the task force believe that an arrangement between distribution companies and solar customers whereby the solar customer is making a fair share contribution to its use of the grid and receiving compensation from the distribution company for services provided to the grid, fleshed out more in other sections, is an appropriate long term construct.  Recognizing that this will take some time to sort out, it is appropriate in the short term to conduct a review about what are the appropriate rate elements to be included in the net metering credit and the path forward to the future state.  There should be no broadening of caps or the types of facilities that are net metered until these reviews have decided a path forward that treats all customers fairly.  </w:t>
      </w:r>
    </w:p>
    <w:p w:rsidR="008357EA" w:rsidRPr="00C718ED" w:rsidRDefault="008357EA" w:rsidP="009E34E2">
      <w:pPr>
        <w:spacing w:line="276" w:lineRule="auto"/>
      </w:pPr>
      <w:r w:rsidRPr="00C718ED">
        <w:br w:type="page"/>
      </w:r>
    </w:p>
    <w:p w:rsidR="008357EA" w:rsidRPr="009E34E2" w:rsidRDefault="008357EA" w:rsidP="009E34E2">
      <w:pPr>
        <w:spacing w:line="276" w:lineRule="auto"/>
        <w:ind w:firstLine="0"/>
        <w:rPr>
          <w:i/>
        </w:rPr>
      </w:pPr>
      <w:r w:rsidRPr="009E34E2">
        <w:rPr>
          <w:b/>
          <w:u w:val="single"/>
        </w:rPr>
        <w:lastRenderedPageBreak/>
        <w:t>Category:</w:t>
      </w:r>
      <w:r w:rsidRPr="009E34E2">
        <w:t xml:space="preserve"> Net Metering Caps</w:t>
      </w:r>
    </w:p>
    <w:p w:rsidR="009E34E2" w:rsidRDefault="009E34E2" w:rsidP="009E34E2">
      <w:pPr>
        <w:spacing w:line="276" w:lineRule="auto"/>
        <w:ind w:firstLine="0"/>
        <w:rPr>
          <w:b/>
          <w:u w:val="single"/>
        </w:rPr>
      </w:pPr>
    </w:p>
    <w:p w:rsidR="009E34E2" w:rsidRDefault="008357EA" w:rsidP="009E34E2">
      <w:pPr>
        <w:spacing w:line="276" w:lineRule="auto"/>
        <w:ind w:firstLine="0"/>
        <w:rPr>
          <w:b/>
          <w:u w:val="single"/>
        </w:rPr>
      </w:pPr>
      <w:r w:rsidRPr="009E34E2">
        <w:rPr>
          <w:b/>
          <w:u w:val="single"/>
        </w:rPr>
        <w:t>Consensus Recommendations</w:t>
      </w:r>
      <w:r w:rsidRPr="009E34E2">
        <w:t xml:space="preserve"> </w:t>
      </w:r>
      <w:r w:rsidRPr="009E34E2">
        <w:rPr>
          <w:b/>
          <w:i/>
        </w:rPr>
        <w:br/>
      </w:r>
    </w:p>
    <w:p w:rsidR="009E34E2" w:rsidRPr="009E34E2" w:rsidRDefault="009E34E2" w:rsidP="009E34E2">
      <w:pPr>
        <w:spacing w:line="276" w:lineRule="auto"/>
        <w:ind w:firstLine="0"/>
      </w:pPr>
      <w:r>
        <w:t>None</w:t>
      </w:r>
    </w:p>
    <w:p w:rsidR="008357EA" w:rsidRPr="009E34E2" w:rsidRDefault="008357EA" w:rsidP="009E34E2">
      <w:pPr>
        <w:spacing w:line="276" w:lineRule="auto"/>
        <w:ind w:firstLine="0"/>
        <w:rPr>
          <w:i/>
        </w:rPr>
      </w:pPr>
      <w:r w:rsidRPr="009E34E2">
        <w:rPr>
          <w:b/>
          <w:u w:val="single"/>
        </w:rPr>
        <w:br/>
        <w:t>Areas for Further Discussion</w:t>
      </w:r>
      <w:r w:rsidRPr="009E34E2">
        <w:t xml:space="preserve"> </w:t>
      </w:r>
    </w:p>
    <w:p w:rsidR="009E34E2" w:rsidRDefault="009E34E2" w:rsidP="009E34E2">
      <w:pPr>
        <w:pStyle w:val="ListParagraph"/>
        <w:spacing w:line="276" w:lineRule="auto"/>
        <w:ind w:left="360" w:firstLine="0"/>
        <w:rPr>
          <w:b/>
        </w:rPr>
      </w:pPr>
    </w:p>
    <w:p w:rsidR="008357EA" w:rsidRPr="009E34E2" w:rsidRDefault="008357EA" w:rsidP="008C6C2B">
      <w:pPr>
        <w:pStyle w:val="ListParagraph"/>
        <w:numPr>
          <w:ilvl w:val="0"/>
          <w:numId w:val="17"/>
        </w:numPr>
        <w:spacing w:line="276" w:lineRule="auto"/>
        <w:rPr>
          <w:b/>
        </w:rPr>
      </w:pPr>
      <w:r w:rsidRPr="009E34E2">
        <w:rPr>
          <w:b/>
        </w:rPr>
        <w:t>Alternative process to set caps</w:t>
      </w:r>
    </w:p>
    <w:p w:rsidR="008357EA" w:rsidRPr="009E34E2" w:rsidRDefault="008357EA" w:rsidP="008C6C2B">
      <w:pPr>
        <w:pStyle w:val="ListParagraph"/>
        <w:numPr>
          <w:ilvl w:val="1"/>
          <w:numId w:val="17"/>
        </w:numPr>
        <w:spacing w:line="276" w:lineRule="auto"/>
      </w:pPr>
      <w:r w:rsidRPr="009E34E2">
        <w:t>Task Force recommends that the feasibility of establishing a set of criteria for triggering future cap increases be explored. Such criteria could include several components including:</w:t>
      </w:r>
    </w:p>
    <w:p w:rsidR="008357EA" w:rsidRPr="009E34E2" w:rsidRDefault="008357EA" w:rsidP="008C6C2B">
      <w:pPr>
        <w:pStyle w:val="ListParagraph"/>
        <w:numPr>
          <w:ilvl w:val="2"/>
          <w:numId w:val="17"/>
        </w:numPr>
        <w:spacing w:line="276" w:lineRule="auto"/>
      </w:pPr>
      <w:r w:rsidRPr="009E34E2">
        <w:t>Bill impacts</w:t>
      </w:r>
    </w:p>
    <w:p w:rsidR="008357EA" w:rsidRPr="009E34E2" w:rsidRDefault="008357EA" w:rsidP="008C6C2B">
      <w:pPr>
        <w:pStyle w:val="ListParagraph"/>
        <w:numPr>
          <w:ilvl w:val="2"/>
          <w:numId w:val="17"/>
        </w:numPr>
        <w:spacing w:line="276" w:lineRule="auto"/>
      </w:pPr>
      <w:r w:rsidRPr="009E34E2">
        <w:t>Total level of investment for solar incentives</w:t>
      </w:r>
    </w:p>
    <w:p w:rsidR="008357EA" w:rsidRPr="009E34E2" w:rsidRDefault="008357EA" w:rsidP="008C6C2B">
      <w:pPr>
        <w:pStyle w:val="ListParagraph"/>
        <w:numPr>
          <w:ilvl w:val="2"/>
          <w:numId w:val="17"/>
        </w:numPr>
        <w:spacing w:line="276" w:lineRule="auto"/>
      </w:pPr>
      <w:r w:rsidRPr="009E34E2">
        <w:t>What gets net metered (component)</w:t>
      </w:r>
    </w:p>
    <w:p w:rsidR="008357EA" w:rsidRPr="009E34E2" w:rsidRDefault="008357EA" w:rsidP="008C6C2B">
      <w:pPr>
        <w:pStyle w:val="ListParagraph"/>
        <w:numPr>
          <w:ilvl w:val="2"/>
          <w:numId w:val="17"/>
        </w:numPr>
        <w:spacing w:line="276" w:lineRule="auto"/>
      </w:pPr>
      <w:r w:rsidRPr="009E34E2">
        <w:t>Progress towards solar investment goals</w:t>
      </w:r>
    </w:p>
    <w:p w:rsidR="008357EA" w:rsidRPr="009E34E2" w:rsidRDefault="008357EA" w:rsidP="008C6C2B">
      <w:pPr>
        <w:pStyle w:val="ListParagraph"/>
        <w:numPr>
          <w:ilvl w:val="2"/>
          <w:numId w:val="17"/>
        </w:numPr>
        <w:spacing w:line="276" w:lineRule="auto"/>
      </w:pPr>
      <w:r w:rsidRPr="009E34E2">
        <w:t>The benefits of solar to the utility and non-participating customers</w:t>
      </w:r>
    </w:p>
    <w:p w:rsidR="008357EA" w:rsidRPr="009E34E2" w:rsidRDefault="008357EA" w:rsidP="008C6C2B">
      <w:pPr>
        <w:pStyle w:val="ListParagraph"/>
        <w:numPr>
          <w:ilvl w:val="2"/>
          <w:numId w:val="17"/>
        </w:numPr>
        <w:spacing w:line="276" w:lineRule="auto"/>
      </w:pPr>
      <w:r w:rsidRPr="009E34E2">
        <w:t>Other to be determined</w:t>
      </w:r>
    </w:p>
    <w:p w:rsidR="008357EA" w:rsidRPr="009E34E2" w:rsidRDefault="008357EA" w:rsidP="008C6C2B">
      <w:pPr>
        <w:pStyle w:val="ListParagraph"/>
        <w:numPr>
          <w:ilvl w:val="1"/>
          <w:numId w:val="17"/>
        </w:numPr>
        <w:spacing w:line="276" w:lineRule="auto"/>
      </w:pPr>
      <w:r w:rsidRPr="009E34E2">
        <w:t>DPU should determine when, on what components and if the caps should be raised.</w:t>
      </w:r>
    </w:p>
    <w:p w:rsidR="008357EA" w:rsidRPr="009E34E2" w:rsidRDefault="008357EA" w:rsidP="009E34E2">
      <w:pPr>
        <w:pStyle w:val="ListParagraph"/>
        <w:spacing w:line="276" w:lineRule="auto"/>
        <w:ind w:left="1080"/>
      </w:pPr>
    </w:p>
    <w:p w:rsidR="008357EA" w:rsidRPr="009E34E2" w:rsidRDefault="008357EA" w:rsidP="008C6C2B">
      <w:pPr>
        <w:pStyle w:val="ListParagraph"/>
        <w:numPr>
          <w:ilvl w:val="0"/>
          <w:numId w:val="17"/>
        </w:numPr>
        <w:spacing w:line="276" w:lineRule="auto"/>
      </w:pPr>
      <w:r w:rsidRPr="009E34E2">
        <w:rPr>
          <w:b/>
        </w:rPr>
        <w:t>Near-term adjustments to existing net metering caps</w:t>
      </w:r>
    </w:p>
    <w:p w:rsidR="008357EA" w:rsidRPr="009E34E2" w:rsidRDefault="008357EA" w:rsidP="008C6C2B">
      <w:pPr>
        <w:pStyle w:val="ListParagraph"/>
        <w:numPr>
          <w:ilvl w:val="1"/>
          <w:numId w:val="17"/>
        </w:numPr>
        <w:spacing w:line="276" w:lineRule="auto"/>
      </w:pPr>
      <w:r w:rsidRPr="009E34E2">
        <w:t>Some TF Members recommend that the Legislature raise the net metering caps to remove impediments to solar development during the pendency of the legislative review and administrative implementation of long-term sustainable solar policies. In support of its position these TF members cite the following:</w:t>
      </w:r>
    </w:p>
    <w:p w:rsidR="008357EA" w:rsidRPr="009E34E2" w:rsidRDefault="008357EA" w:rsidP="008C6C2B">
      <w:pPr>
        <w:pStyle w:val="ListParagraph"/>
        <w:numPr>
          <w:ilvl w:val="2"/>
          <w:numId w:val="17"/>
        </w:numPr>
        <w:spacing w:line="276" w:lineRule="auto"/>
      </w:pPr>
      <w:r w:rsidRPr="009E34E2">
        <w:t>Many of the 12,000 jobs in the Massachusetts solar industry are at risk due to net metering caps set by the Massachusetts legislature.  The public and private caps in National Grid territory have been reached, and many solar installers have now halted development, with hundreds of solar projects put on hold.</w:t>
      </w:r>
    </w:p>
    <w:p w:rsidR="008357EA" w:rsidRPr="009E34E2" w:rsidRDefault="008357EA" w:rsidP="008C6C2B">
      <w:pPr>
        <w:pStyle w:val="ListParagraph"/>
        <w:numPr>
          <w:ilvl w:val="2"/>
          <w:numId w:val="17"/>
        </w:numPr>
        <w:spacing w:line="276" w:lineRule="auto"/>
      </w:pPr>
      <w:r w:rsidRPr="009E34E2">
        <w:t>Last year the Legislature created the Net Metering and Solar Task Force to review solar policy and develop recommendations on long-term incentives and programs to support solar development in Massachusetts. The Task Force is in process and working productively towards making its recommendations by the end of April. However, it could take up to a year for the Legislature to turn such recommendations into legislation and approve them and for DOER to implement the new policies.</w:t>
      </w:r>
    </w:p>
    <w:p w:rsidR="008357EA" w:rsidRPr="009E34E2" w:rsidRDefault="008357EA" w:rsidP="008C6C2B">
      <w:pPr>
        <w:pStyle w:val="ListParagraph"/>
        <w:numPr>
          <w:ilvl w:val="2"/>
          <w:numId w:val="17"/>
        </w:numPr>
        <w:spacing w:line="276" w:lineRule="auto"/>
      </w:pPr>
      <w:r w:rsidRPr="009E34E2">
        <w:t>If the Legislature does not act by the end of the formal sessions this summer to raise the caps, nearly half of the Commonwealth’s solar industry could be frozen, causing job losses, lost economic benefits and detrimental environmental impacts for the Commonwealth’s families and businesses.</w:t>
      </w:r>
      <w:r w:rsidRPr="009E34E2">
        <w:rPr>
          <w:rStyle w:val="FootnoteReference"/>
        </w:rPr>
        <w:footnoteReference w:id="1"/>
      </w:r>
      <w:r w:rsidRPr="009E34E2">
        <w:t xml:space="preserve"> </w:t>
      </w:r>
    </w:p>
    <w:p w:rsidR="008357EA" w:rsidRPr="009E34E2" w:rsidRDefault="008357EA" w:rsidP="008C6C2B">
      <w:pPr>
        <w:pStyle w:val="ListParagraph"/>
        <w:numPr>
          <w:ilvl w:val="2"/>
          <w:numId w:val="17"/>
        </w:numPr>
        <w:spacing w:line="276" w:lineRule="auto"/>
      </w:pPr>
      <w:r w:rsidRPr="009E34E2">
        <w:lastRenderedPageBreak/>
        <w:t xml:space="preserve">With federal tax incentives set to expire at the end of 2016, this disruption to the Commonwealth’s solar market now would cause Massachusetts ratepayers to lose out on significant federal funding that has been a boost to the Massachusetts economy. </w:t>
      </w:r>
    </w:p>
    <w:p w:rsidR="008357EA" w:rsidRPr="009E34E2" w:rsidRDefault="008357EA" w:rsidP="008C6C2B">
      <w:pPr>
        <w:pStyle w:val="ListParagraph"/>
        <w:numPr>
          <w:ilvl w:val="2"/>
          <w:numId w:val="17"/>
        </w:numPr>
        <w:spacing w:line="276" w:lineRule="auto"/>
      </w:pPr>
      <w:r w:rsidRPr="009E34E2">
        <w:t xml:space="preserve">In addition, as Massachusetts works to protect our communities and environment from global warming and other health impacts of air and water pollution from our power sector, it is imperative that the solar industry continues to grow. Allowing the industry to stall now will hurt our environment now and make global warming solutions only more expensive in the future. </w:t>
      </w:r>
      <w:r w:rsidRPr="009E34E2">
        <w:br/>
      </w:r>
    </w:p>
    <w:p w:rsidR="008357EA" w:rsidRPr="009E34E2" w:rsidRDefault="008357EA" w:rsidP="008C6C2B">
      <w:pPr>
        <w:pStyle w:val="ListParagraph"/>
        <w:numPr>
          <w:ilvl w:val="1"/>
          <w:numId w:val="17"/>
        </w:numPr>
        <w:spacing w:line="276" w:lineRule="auto"/>
      </w:pPr>
      <w:r w:rsidRPr="009E34E2">
        <w:t>Other task force members feel that the caps do not need to be addressed until the overall policy structure is updated</w:t>
      </w:r>
    </w:p>
    <w:p w:rsidR="008357EA" w:rsidRPr="009E34E2" w:rsidRDefault="008357EA" w:rsidP="008C6C2B">
      <w:pPr>
        <w:pStyle w:val="ListParagraph"/>
        <w:numPr>
          <w:ilvl w:val="2"/>
          <w:numId w:val="17"/>
        </w:numPr>
        <w:spacing w:line="276" w:lineRule="auto"/>
      </w:pPr>
      <w:r w:rsidRPr="009E34E2">
        <w:t>MA can still meet the goal of 1,600MW for solar within the current cap structure.</w:t>
      </w:r>
    </w:p>
    <w:p w:rsidR="008357EA" w:rsidRPr="009E34E2" w:rsidRDefault="008357EA" w:rsidP="008C6C2B">
      <w:pPr>
        <w:pStyle w:val="ListParagraph"/>
        <w:numPr>
          <w:ilvl w:val="2"/>
          <w:numId w:val="17"/>
        </w:numPr>
        <w:spacing w:line="276" w:lineRule="auto"/>
      </w:pPr>
      <w:r w:rsidRPr="009E34E2">
        <w:t>Maintaining the current caps, will not impede solar development.</w:t>
      </w:r>
    </w:p>
    <w:p w:rsidR="008357EA" w:rsidRPr="009E34E2" w:rsidRDefault="008357EA" w:rsidP="008C6C2B">
      <w:pPr>
        <w:pStyle w:val="ListParagraph"/>
        <w:numPr>
          <w:ilvl w:val="2"/>
          <w:numId w:val="17"/>
        </w:numPr>
        <w:spacing w:line="276" w:lineRule="auto"/>
      </w:pPr>
      <w:r w:rsidRPr="009E34E2">
        <w:t>The caps that are being reached focus on only certain targeted areas for large projects and do not cover the entire state or customer base.</w:t>
      </w:r>
    </w:p>
    <w:p w:rsidR="008357EA" w:rsidRPr="009E34E2" w:rsidRDefault="008357EA" w:rsidP="008C6C2B">
      <w:pPr>
        <w:pStyle w:val="ListParagraph"/>
        <w:numPr>
          <w:ilvl w:val="2"/>
          <w:numId w:val="17"/>
        </w:numPr>
        <w:spacing w:line="276" w:lineRule="auto"/>
      </w:pPr>
      <w:r w:rsidRPr="009E34E2">
        <w:t>Without a long-term overall solar policy structure, cross-subsidization will continue.</w:t>
      </w:r>
    </w:p>
    <w:p w:rsidR="008357EA" w:rsidRPr="009E34E2" w:rsidRDefault="008357EA" w:rsidP="008C6C2B">
      <w:pPr>
        <w:pStyle w:val="ListParagraph"/>
        <w:numPr>
          <w:ilvl w:val="2"/>
          <w:numId w:val="17"/>
        </w:numPr>
        <w:spacing w:line="276" w:lineRule="auto"/>
      </w:pPr>
      <w:r w:rsidRPr="009E34E2">
        <w:t>Without a long-term overall solar policy structure, MA customers will continue to pay above market for solar incentives.</w:t>
      </w:r>
      <w:r w:rsidRPr="009E34E2">
        <w:br/>
      </w:r>
    </w:p>
    <w:p w:rsidR="008357EA" w:rsidRPr="009E34E2" w:rsidRDefault="008357EA" w:rsidP="008C6C2B">
      <w:pPr>
        <w:pStyle w:val="ListParagraph"/>
        <w:numPr>
          <w:ilvl w:val="0"/>
          <w:numId w:val="17"/>
        </w:numPr>
        <w:spacing w:line="276" w:lineRule="auto"/>
      </w:pPr>
      <w:r w:rsidRPr="009E34E2">
        <w:rPr>
          <w:b/>
        </w:rPr>
        <w:t>Metric to be Used to Set Short-Term Cap</w:t>
      </w:r>
    </w:p>
    <w:p w:rsidR="008357EA" w:rsidRPr="009E34E2" w:rsidRDefault="008357EA" w:rsidP="008C6C2B">
      <w:pPr>
        <w:pStyle w:val="ListParagraph"/>
        <w:numPr>
          <w:ilvl w:val="1"/>
          <w:numId w:val="17"/>
        </w:numPr>
        <w:spacing w:line="276" w:lineRule="auto"/>
      </w:pPr>
      <w:r w:rsidRPr="009E34E2">
        <w:t>Some Task Force members recommend that the Legislature consider an alternative benchmark for interim net metering caps. These TF members believe setting net metering caps on the basis of historic peak demand, while transparent and objective, does not address potential underlying issues and concerns that may have motivated imposition of previous caps, including technical limits on the ability to integrate distributed solar with the grid, or non-participant bill impacts. While TF members strongly disagree on the existence or extent of these issues, these TF members are amenable to alternative caps that more directly capture these issues.   Potential alternatives could include: 1) a NEM cap aligned with solar market goals; or 2) non-participant bill impacts, with the valuation determined through a comprehensive solar benefit/cost study.</w:t>
      </w:r>
      <w:r w:rsidRPr="009E34E2">
        <w:br/>
      </w:r>
    </w:p>
    <w:p w:rsidR="008357EA" w:rsidRPr="009E34E2" w:rsidRDefault="008357EA" w:rsidP="008C6C2B">
      <w:pPr>
        <w:pStyle w:val="ListParagraph"/>
        <w:numPr>
          <w:ilvl w:val="0"/>
          <w:numId w:val="17"/>
        </w:numPr>
        <w:spacing w:line="276" w:lineRule="auto"/>
        <w:rPr>
          <w:b/>
        </w:rPr>
      </w:pPr>
      <w:r w:rsidRPr="009E34E2">
        <w:rPr>
          <w:b/>
        </w:rPr>
        <w:t>Net Metering Caps Over the Long-Term</w:t>
      </w:r>
    </w:p>
    <w:p w:rsidR="008357EA" w:rsidRPr="009E34E2" w:rsidRDefault="008357EA" w:rsidP="008C6C2B">
      <w:pPr>
        <w:pStyle w:val="ListParagraph"/>
        <w:numPr>
          <w:ilvl w:val="1"/>
          <w:numId w:val="17"/>
        </w:numPr>
        <w:spacing w:line="276" w:lineRule="auto"/>
      </w:pPr>
      <w:r w:rsidRPr="009E34E2">
        <w:t>Some Task Force members believe that caps on net metering can be eliminated over the long-term if certain other actions and measures are taken. Specifically, these TF members believe that caps on net metering are no longer necessary where: 1) the net metering credit value reflects a reasonable approximation of the benefits solar generation provides to the grid and to non-generating utility customers; and 2) where all customers, including solar generators, are paying their fair share for grid services.</w:t>
      </w:r>
    </w:p>
    <w:p w:rsidR="008357EA" w:rsidRPr="009E34E2" w:rsidRDefault="008357EA" w:rsidP="009E34E2">
      <w:pPr>
        <w:spacing w:line="276" w:lineRule="auto"/>
      </w:pPr>
      <w:r w:rsidRPr="009E34E2">
        <w:br w:type="page"/>
      </w:r>
    </w:p>
    <w:p w:rsidR="00A37567" w:rsidRPr="00E06615" w:rsidRDefault="00A37567" w:rsidP="00A37567">
      <w:pPr>
        <w:ind w:firstLine="0"/>
        <w:rPr>
          <w:i/>
        </w:rPr>
      </w:pPr>
      <w:r w:rsidRPr="00E06615">
        <w:rPr>
          <w:b/>
          <w:u w:val="single"/>
        </w:rPr>
        <w:lastRenderedPageBreak/>
        <w:t>Category:</w:t>
      </w:r>
      <w:r>
        <w:t xml:space="preserve"> Geographic Distribution </w:t>
      </w:r>
    </w:p>
    <w:p w:rsidR="00A37567" w:rsidRDefault="00A37567" w:rsidP="00A37567">
      <w:pPr>
        <w:ind w:firstLine="0"/>
        <w:rPr>
          <w:b/>
          <w:u w:val="single"/>
        </w:rPr>
      </w:pPr>
    </w:p>
    <w:p w:rsidR="00A37567" w:rsidRPr="00233C59" w:rsidRDefault="00A37567" w:rsidP="00A37567">
      <w:pPr>
        <w:ind w:firstLine="0"/>
        <w:rPr>
          <w:b/>
          <w:i/>
        </w:rPr>
      </w:pPr>
      <w:r w:rsidRPr="00E06615">
        <w:rPr>
          <w:b/>
          <w:u w:val="single"/>
        </w:rPr>
        <w:t>Consensus Recommendations</w:t>
      </w:r>
      <w:r>
        <w:t xml:space="preserve"> </w:t>
      </w:r>
    </w:p>
    <w:p w:rsidR="00A37567" w:rsidRDefault="00A37567" w:rsidP="00A37567">
      <w:pPr>
        <w:pStyle w:val="ListParagraph"/>
        <w:spacing w:after="200" w:line="276" w:lineRule="auto"/>
        <w:ind w:left="360" w:firstLine="0"/>
      </w:pPr>
    </w:p>
    <w:p w:rsidR="00A37567" w:rsidRDefault="00A37567" w:rsidP="008C6C2B">
      <w:pPr>
        <w:pStyle w:val="ListParagraph"/>
        <w:numPr>
          <w:ilvl w:val="0"/>
          <w:numId w:val="19"/>
        </w:numPr>
        <w:spacing w:after="200" w:line="276" w:lineRule="auto"/>
      </w:pPr>
      <w:r>
        <w:t>There should be an equal opportunity for solar development across the state.</w:t>
      </w:r>
    </w:p>
    <w:p w:rsidR="00A37567" w:rsidRDefault="00A37567" w:rsidP="00A37567">
      <w:pPr>
        <w:pStyle w:val="ListParagraph"/>
        <w:spacing w:after="200" w:line="276" w:lineRule="auto"/>
        <w:ind w:left="450" w:firstLine="0"/>
      </w:pPr>
    </w:p>
    <w:p w:rsidR="00A37567" w:rsidRDefault="00A37567" w:rsidP="008C6C2B">
      <w:pPr>
        <w:pStyle w:val="ListParagraph"/>
        <w:numPr>
          <w:ilvl w:val="0"/>
          <w:numId w:val="19"/>
        </w:numPr>
        <w:spacing w:after="200" w:line="276" w:lineRule="auto"/>
      </w:pPr>
      <w:r>
        <w:t xml:space="preserve">Total solar compensation (inclusive of any incentives and net metering credits) that is the same amount across the state will encourage a more even geographic distribution of solar generation across the state.  </w:t>
      </w:r>
    </w:p>
    <w:p w:rsidR="00A37567" w:rsidRDefault="00A37567" w:rsidP="00A37567">
      <w:pPr>
        <w:pStyle w:val="ListParagraph"/>
        <w:spacing w:after="200" w:line="276" w:lineRule="auto"/>
        <w:ind w:left="450" w:firstLine="0"/>
      </w:pPr>
    </w:p>
    <w:p w:rsidR="00A37567" w:rsidRDefault="00A37567" w:rsidP="008C6C2B">
      <w:pPr>
        <w:pStyle w:val="ListParagraph"/>
        <w:numPr>
          <w:ilvl w:val="0"/>
          <w:numId w:val="19"/>
        </w:numPr>
        <w:spacing w:after="200" w:line="276" w:lineRule="auto"/>
      </w:pPr>
      <w:r>
        <w:t>Encouraging solar generation where it can provide benefits to the distribution system should be explored and evaluated in relation to other public policy objectives.</w:t>
      </w:r>
    </w:p>
    <w:p w:rsidR="00A37567" w:rsidRPr="009D1A88" w:rsidRDefault="00A37567" w:rsidP="00A37567">
      <w:pPr>
        <w:pStyle w:val="ListParagraph"/>
        <w:ind w:left="450"/>
      </w:pPr>
      <w:r>
        <w:t xml:space="preserve">  </w:t>
      </w:r>
    </w:p>
    <w:p w:rsidR="00A37567" w:rsidRPr="00E06615" w:rsidRDefault="00A37567" w:rsidP="00A37567">
      <w:pPr>
        <w:ind w:firstLine="0"/>
        <w:rPr>
          <w:i/>
        </w:rPr>
      </w:pPr>
      <w:r w:rsidRPr="00E06615">
        <w:rPr>
          <w:b/>
          <w:u w:val="single"/>
        </w:rPr>
        <w:t>Areas of Potential Compromise</w:t>
      </w:r>
      <w:r>
        <w:t xml:space="preserve"> </w:t>
      </w:r>
    </w:p>
    <w:p w:rsidR="00A37567" w:rsidRPr="003825AF" w:rsidRDefault="00A37567" w:rsidP="008C6C2B">
      <w:pPr>
        <w:pStyle w:val="ListParagraph"/>
        <w:numPr>
          <w:ilvl w:val="0"/>
          <w:numId w:val="20"/>
        </w:numPr>
        <w:spacing w:before="240" w:after="200" w:line="276" w:lineRule="auto"/>
      </w:pPr>
      <w:r>
        <w:t xml:space="preserve">The different recipients of the value of solar should be identified, and could include for example the distribution company, commodity markets, and </w:t>
      </w:r>
      <w:r w:rsidRPr="003825AF">
        <w:t xml:space="preserve">society at large (e.g. carbon reduction).  </w:t>
      </w:r>
      <w:r>
        <w:t>Compensation and/or incentives for the different value streams should be differentiated such that the different recipient groups are responsible for their fair share of the compensation</w:t>
      </w:r>
      <w:r w:rsidRPr="003825AF">
        <w:t xml:space="preserve">. </w:t>
      </w:r>
    </w:p>
    <w:p w:rsidR="008357EA" w:rsidRPr="009E34E2" w:rsidRDefault="008357EA" w:rsidP="009E34E2">
      <w:pPr>
        <w:spacing w:line="276" w:lineRule="auto"/>
        <w:ind w:firstLine="0"/>
      </w:pPr>
    </w:p>
    <w:p w:rsidR="008357EA" w:rsidRPr="009E34E2" w:rsidRDefault="008357EA" w:rsidP="009E34E2">
      <w:pPr>
        <w:spacing w:line="276" w:lineRule="auto"/>
      </w:pPr>
      <w:r w:rsidRPr="009E34E2">
        <w:br w:type="page"/>
      </w:r>
    </w:p>
    <w:p w:rsidR="008357EA" w:rsidRPr="009E34E2" w:rsidRDefault="008357EA" w:rsidP="005D1964">
      <w:pPr>
        <w:spacing w:line="276" w:lineRule="auto"/>
        <w:ind w:firstLine="0"/>
      </w:pPr>
      <w:r w:rsidRPr="009E34E2">
        <w:rPr>
          <w:b/>
          <w:bCs/>
          <w:u w:val="single"/>
        </w:rPr>
        <w:lastRenderedPageBreak/>
        <w:t>Category:</w:t>
      </w:r>
      <w:r w:rsidRPr="009E34E2">
        <w:t xml:space="preserve"> </w:t>
      </w:r>
      <w:r w:rsidRPr="009E34E2">
        <w:rPr>
          <w:color w:val="FF0000"/>
        </w:rPr>
        <w:t xml:space="preserve"> </w:t>
      </w:r>
      <w:r w:rsidRPr="009E34E2">
        <w:t>Transition Timing and Program Targets</w:t>
      </w:r>
    </w:p>
    <w:p w:rsidR="005D1964" w:rsidRDefault="005D1964" w:rsidP="005D1964">
      <w:pPr>
        <w:spacing w:line="276" w:lineRule="auto"/>
        <w:ind w:firstLine="0"/>
        <w:rPr>
          <w:b/>
          <w:u w:val="single"/>
        </w:rPr>
      </w:pPr>
    </w:p>
    <w:p w:rsidR="008357EA" w:rsidRPr="009E34E2" w:rsidRDefault="008357EA" w:rsidP="005D1964">
      <w:pPr>
        <w:spacing w:line="276" w:lineRule="auto"/>
        <w:ind w:firstLine="0"/>
        <w:rPr>
          <w:b/>
          <w:u w:val="single"/>
        </w:rPr>
      </w:pPr>
      <w:r w:rsidRPr="009E34E2">
        <w:rPr>
          <w:b/>
          <w:u w:val="single"/>
        </w:rPr>
        <w:t>Consensus Recommendations</w:t>
      </w:r>
    </w:p>
    <w:p w:rsidR="005D1964" w:rsidRDefault="005D1964" w:rsidP="005D1964">
      <w:pPr>
        <w:pStyle w:val="ListParagraph"/>
        <w:spacing w:line="276" w:lineRule="auto"/>
        <w:ind w:firstLine="0"/>
      </w:pPr>
    </w:p>
    <w:p w:rsidR="008357EA" w:rsidRPr="009E34E2" w:rsidRDefault="008357EA" w:rsidP="008C6C2B">
      <w:pPr>
        <w:pStyle w:val="ListParagraph"/>
        <w:numPr>
          <w:ilvl w:val="0"/>
          <w:numId w:val="6"/>
        </w:numPr>
        <w:spacing w:line="276" w:lineRule="auto"/>
      </w:pPr>
      <w:r w:rsidRPr="009E34E2">
        <w:t xml:space="preserve"> Transition timing: </w:t>
      </w:r>
    </w:p>
    <w:p w:rsidR="008357EA" w:rsidRPr="009E34E2" w:rsidRDefault="008357EA" w:rsidP="008C6C2B">
      <w:pPr>
        <w:pStyle w:val="ListParagraph"/>
        <w:numPr>
          <w:ilvl w:val="1"/>
          <w:numId w:val="6"/>
        </w:numPr>
        <w:spacing w:line="276" w:lineRule="auto"/>
      </w:pPr>
      <w:r w:rsidRPr="009E34E2">
        <w:t>Action should be taken as soon as possible to set up long-term solar policy structure for Massachusetts, subject to the need for additional studies and analysis to inform this structure</w:t>
      </w:r>
    </w:p>
    <w:p w:rsidR="008357EA" w:rsidRPr="009E34E2" w:rsidRDefault="008357EA" w:rsidP="008C6C2B">
      <w:pPr>
        <w:pStyle w:val="ListParagraph"/>
        <w:numPr>
          <w:ilvl w:val="1"/>
          <w:numId w:val="6"/>
        </w:numPr>
        <w:spacing w:line="276" w:lineRule="auto"/>
      </w:pPr>
      <w:r w:rsidRPr="009E34E2">
        <w:t>To enable smooth, low cost transition to new policy structure, visibility about the details of the new structure should be provided several (6-8) months in advance of the policy implementation date</w:t>
      </w:r>
    </w:p>
    <w:p w:rsidR="008357EA" w:rsidRPr="009E34E2" w:rsidRDefault="008357EA" w:rsidP="008C6C2B">
      <w:pPr>
        <w:pStyle w:val="ListParagraph"/>
        <w:numPr>
          <w:ilvl w:val="0"/>
          <w:numId w:val="6"/>
        </w:numPr>
        <w:spacing w:line="276" w:lineRule="auto"/>
      </w:pPr>
      <w:r w:rsidRPr="009E34E2">
        <w:t xml:space="preserve"> Solar Goals:</w:t>
      </w:r>
    </w:p>
    <w:p w:rsidR="008357EA" w:rsidRPr="009E34E2" w:rsidRDefault="008357EA" w:rsidP="008C6C2B">
      <w:pPr>
        <w:pStyle w:val="ListParagraph"/>
        <w:numPr>
          <w:ilvl w:val="1"/>
          <w:numId w:val="6"/>
        </w:numPr>
        <w:spacing w:line="276" w:lineRule="auto"/>
      </w:pPr>
      <w:r w:rsidRPr="009E34E2">
        <w:t xml:space="preserve">As stated in the introductory principles, the members of the task force recommend an approach to solar policy that enables and supports a diverse, stable, equitable solar market that receives fair value for the services it provides, and pays fairly for grid services it uses.  </w:t>
      </w:r>
      <w:r w:rsidRPr="009E34E2">
        <w:rPr>
          <w:i/>
        </w:rPr>
        <w:t>(The language of this statement should be coordinated with the language on long term goals for solar in the General Principles section)</w:t>
      </w:r>
    </w:p>
    <w:p w:rsidR="008357EA" w:rsidRPr="009E34E2" w:rsidRDefault="008357EA" w:rsidP="005D1964">
      <w:pPr>
        <w:spacing w:line="276" w:lineRule="auto"/>
        <w:ind w:firstLine="0"/>
        <w:rPr>
          <w:b/>
          <w:u w:val="single"/>
        </w:rPr>
      </w:pPr>
      <w:r w:rsidRPr="009E34E2">
        <w:rPr>
          <w:b/>
          <w:u w:val="single"/>
        </w:rPr>
        <w:t>Areas of Potential Compromise</w:t>
      </w:r>
    </w:p>
    <w:p w:rsidR="005D1964" w:rsidRDefault="005D1964" w:rsidP="005D1964">
      <w:pPr>
        <w:pStyle w:val="ListParagraph"/>
        <w:spacing w:line="276" w:lineRule="auto"/>
        <w:ind w:firstLine="0"/>
      </w:pPr>
    </w:p>
    <w:p w:rsidR="008357EA" w:rsidRPr="009E34E2" w:rsidRDefault="008357EA" w:rsidP="008C6C2B">
      <w:pPr>
        <w:pStyle w:val="ListParagraph"/>
        <w:numPr>
          <w:ilvl w:val="0"/>
          <w:numId w:val="8"/>
        </w:numPr>
        <w:spacing w:line="276" w:lineRule="auto"/>
      </w:pPr>
      <w:r w:rsidRPr="009E34E2">
        <w:t>Transition timing:</w:t>
      </w:r>
    </w:p>
    <w:p w:rsidR="008357EA" w:rsidRPr="009E34E2" w:rsidRDefault="008357EA" w:rsidP="008C6C2B">
      <w:pPr>
        <w:pStyle w:val="ListParagraph"/>
        <w:numPr>
          <w:ilvl w:val="1"/>
          <w:numId w:val="8"/>
        </w:numPr>
        <w:spacing w:line="276" w:lineRule="auto"/>
      </w:pPr>
      <w:r w:rsidRPr="009E34E2">
        <w:t>Given the realities of the political landscape and process, January 2017 is likely the earliest that implementation of comprehensive long term solar policy can be expected</w:t>
      </w:r>
    </w:p>
    <w:p w:rsidR="005D1964" w:rsidRDefault="005D1964" w:rsidP="005D1964">
      <w:pPr>
        <w:spacing w:line="276" w:lineRule="auto"/>
        <w:ind w:firstLine="0"/>
        <w:rPr>
          <w:b/>
          <w:u w:val="single"/>
        </w:rPr>
      </w:pPr>
    </w:p>
    <w:p w:rsidR="008357EA" w:rsidRPr="009E34E2" w:rsidRDefault="008357EA" w:rsidP="005D1964">
      <w:pPr>
        <w:spacing w:line="276" w:lineRule="auto"/>
        <w:ind w:firstLine="0"/>
        <w:rPr>
          <w:b/>
          <w:u w:val="single"/>
        </w:rPr>
      </w:pPr>
      <w:r w:rsidRPr="009E34E2">
        <w:rPr>
          <w:b/>
          <w:u w:val="single"/>
        </w:rPr>
        <w:t>Areas for Further Discussion</w:t>
      </w:r>
    </w:p>
    <w:p w:rsidR="005D1964" w:rsidRDefault="005D1964" w:rsidP="005D1964">
      <w:pPr>
        <w:pStyle w:val="ListParagraph"/>
        <w:spacing w:line="276" w:lineRule="auto"/>
        <w:ind w:firstLine="0"/>
      </w:pPr>
    </w:p>
    <w:p w:rsidR="008357EA" w:rsidRPr="009E34E2" w:rsidRDefault="008357EA" w:rsidP="008C6C2B">
      <w:pPr>
        <w:pStyle w:val="ListParagraph"/>
        <w:numPr>
          <w:ilvl w:val="0"/>
          <w:numId w:val="7"/>
        </w:numPr>
        <w:spacing w:line="276" w:lineRule="auto"/>
      </w:pPr>
      <w:r w:rsidRPr="009E34E2">
        <w:t xml:space="preserve"> Solar Goals</w:t>
      </w:r>
    </w:p>
    <w:p w:rsidR="008357EA" w:rsidRPr="009E34E2" w:rsidRDefault="008357EA" w:rsidP="008C6C2B">
      <w:pPr>
        <w:pStyle w:val="ListParagraph"/>
        <w:numPr>
          <w:ilvl w:val="1"/>
          <w:numId w:val="7"/>
        </w:numPr>
        <w:spacing w:line="276" w:lineRule="auto"/>
      </w:pPr>
      <w:r w:rsidRPr="009E34E2">
        <w:t>The question of what the targets or goals should be for MA once the 1600 MW goal is reached</w:t>
      </w:r>
    </w:p>
    <w:p w:rsidR="008357EA" w:rsidRPr="009E34E2" w:rsidRDefault="008357EA" w:rsidP="008C6C2B">
      <w:pPr>
        <w:pStyle w:val="ListParagraph"/>
        <w:numPr>
          <w:ilvl w:val="1"/>
          <w:numId w:val="7"/>
        </w:numPr>
        <w:spacing w:line="276" w:lineRule="auto"/>
      </w:pPr>
      <w:r w:rsidRPr="009E34E2">
        <w:t>Positions</w:t>
      </w:r>
    </w:p>
    <w:p w:rsidR="008357EA" w:rsidRPr="009E34E2" w:rsidRDefault="008357EA" w:rsidP="008C6C2B">
      <w:pPr>
        <w:pStyle w:val="ListParagraph"/>
        <w:numPr>
          <w:ilvl w:val="2"/>
          <w:numId w:val="7"/>
        </w:numPr>
        <w:spacing w:line="276" w:lineRule="auto"/>
      </w:pPr>
      <w:r w:rsidRPr="009E34E2">
        <w:t>A number of task force members have proposed targets for the Massachusetts solar market once 1600 MW is reached.  These proposals include :</w:t>
      </w:r>
    </w:p>
    <w:p w:rsidR="008357EA" w:rsidRPr="009E34E2" w:rsidRDefault="008357EA" w:rsidP="008C6C2B">
      <w:pPr>
        <w:pStyle w:val="ListParagraph"/>
        <w:numPr>
          <w:ilvl w:val="3"/>
          <w:numId w:val="7"/>
        </w:numPr>
        <w:spacing w:line="276" w:lineRule="auto"/>
      </w:pPr>
      <w:r w:rsidRPr="009E34E2">
        <w:t>2500 MW by 2025</w:t>
      </w:r>
    </w:p>
    <w:p w:rsidR="008357EA" w:rsidRPr="009E34E2" w:rsidRDefault="008357EA" w:rsidP="008C6C2B">
      <w:pPr>
        <w:pStyle w:val="ListParagraph"/>
        <w:numPr>
          <w:ilvl w:val="3"/>
          <w:numId w:val="7"/>
        </w:numPr>
        <w:spacing w:line="276" w:lineRule="auto"/>
      </w:pPr>
      <w:r w:rsidRPr="009E34E2">
        <w:t>3200 MW by 2025</w:t>
      </w:r>
    </w:p>
    <w:p w:rsidR="008357EA" w:rsidRPr="009E34E2" w:rsidRDefault="008357EA" w:rsidP="008C6C2B">
      <w:pPr>
        <w:pStyle w:val="ListParagraph"/>
        <w:numPr>
          <w:ilvl w:val="3"/>
          <w:numId w:val="7"/>
        </w:numPr>
        <w:spacing w:line="276" w:lineRule="auto"/>
      </w:pPr>
      <w:r w:rsidRPr="009E34E2">
        <w:t>20% of electricity supply by 2025</w:t>
      </w:r>
    </w:p>
    <w:p w:rsidR="008357EA" w:rsidRPr="009E34E2" w:rsidRDefault="008357EA" w:rsidP="008C6C2B">
      <w:pPr>
        <w:pStyle w:val="ListParagraph"/>
        <w:numPr>
          <w:ilvl w:val="2"/>
          <w:numId w:val="7"/>
        </w:numPr>
        <w:spacing w:line="276" w:lineRule="auto"/>
      </w:pPr>
      <w:r w:rsidRPr="009E34E2">
        <w:t xml:space="preserve">A number of task force members believe either targets are not part of the scope of this task force or are not necessary after the 1600 MW goal is hit </w:t>
      </w:r>
    </w:p>
    <w:p w:rsidR="005D1964" w:rsidRDefault="005D1964" w:rsidP="005D1964">
      <w:pPr>
        <w:pStyle w:val="ListParagraph"/>
        <w:spacing w:line="276" w:lineRule="auto"/>
        <w:ind w:firstLine="0"/>
      </w:pPr>
    </w:p>
    <w:p w:rsidR="008357EA" w:rsidRPr="009E34E2" w:rsidRDefault="008357EA" w:rsidP="008C6C2B">
      <w:pPr>
        <w:pStyle w:val="ListParagraph"/>
        <w:numPr>
          <w:ilvl w:val="0"/>
          <w:numId w:val="7"/>
        </w:numPr>
        <w:spacing w:line="276" w:lineRule="auto"/>
      </w:pPr>
      <w:r w:rsidRPr="009E34E2">
        <w:t xml:space="preserve">Addressing the net metering caps  </w:t>
      </w:r>
    </w:p>
    <w:p w:rsidR="008357EA" w:rsidRPr="009E34E2" w:rsidRDefault="008357EA" w:rsidP="008C6C2B">
      <w:pPr>
        <w:pStyle w:val="ListParagraph"/>
        <w:numPr>
          <w:ilvl w:val="1"/>
          <w:numId w:val="7"/>
        </w:numPr>
        <w:spacing w:line="276" w:lineRule="auto"/>
      </w:pPr>
      <w:r w:rsidRPr="009E34E2">
        <w:t>The question has been raised whether short term action should be recommended to address the net metering caps that have been hit at this point, and ones that are likely to be hit before January 2017</w:t>
      </w:r>
    </w:p>
    <w:p w:rsidR="008357EA" w:rsidRPr="009E34E2" w:rsidRDefault="008357EA" w:rsidP="008C6C2B">
      <w:pPr>
        <w:pStyle w:val="ListParagraph"/>
        <w:numPr>
          <w:ilvl w:val="1"/>
          <w:numId w:val="7"/>
        </w:numPr>
        <w:spacing w:line="276" w:lineRule="auto"/>
        <w:rPr>
          <w:i/>
        </w:rPr>
      </w:pPr>
      <w:r w:rsidRPr="009E34E2">
        <w:rPr>
          <w:i/>
        </w:rPr>
        <w:t>Positions</w:t>
      </w:r>
    </w:p>
    <w:p w:rsidR="008357EA" w:rsidRPr="009E34E2" w:rsidRDefault="008357EA" w:rsidP="008C6C2B">
      <w:pPr>
        <w:pStyle w:val="ListParagraph"/>
        <w:numPr>
          <w:ilvl w:val="2"/>
          <w:numId w:val="7"/>
        </w:numPr>
        <w:spacing w:line="276" w:lineRule="auto"/>
      </w:pPr>
      <w:r w:rsidRPr="009E34E2">
        <w:lastRenderedPageBreak/>
        <w:t>A number of task force members feel that the caps do not need to be addressed until the overall policy structure is updated.  Further detail:</w:t>
      </w:r>
    </w:p>
    <w:p w:rsidR="008357EA" w:rsidRPr="009E34E2" w:rsidRDefault="008357EA" w:rsidP="008C6C2B">
      <w:pPr>
        <w:pStyle w:val="ListParagraph"/>
        <w:numPr>
          <w:ilvl w:val="3"/>
          <w:numId w:val="7"/>
        </w:numPr>
        <w:spacing w:line="276" w:lineRule="auto"/>
      </w:pPr>
      <w:r w:rsidRPr="009E34E2">
        <w:t>MA can still meet the goal of 1,600MW for solar within the current cap structure.</w:t>
      </w:r>
    </w:p>
    <w:p w:rsidR="008357EA" w:rsidRPr="009E34E2" w:rsidRDefault="008357EA" w:rsidP="008C6C2B">
      <w:pPr>
        <w:pStyle w:val="ListParagraph"/>
        <w:numPr>
          <w:ilvl w:val="3"/>
          <w:numId w:val="7"/>
        </w:numPr>
        <w:spacing w:line="276" w:lineRule="auto"/>
      </w:pPr>
      <w:r w:rsidRPr="009E34E2">
        <w:t>Maintaining the current caps, will not impede solar development.</w:t>
      </w:r>
    </w:p>
    <w:p w:rsidR="008357EA" w:rsidRPr="009E34E2" w:rsidRDefault="008357EA" w:rsidP="008C6C2B">
      <w:pPr>
        <w:pStyle w:val="ListParagraph"/>
        <w:numPr>
          <w:ilvl w:val="3"/>
          <w:numId w:val="7"/>
        </w:numPr>
        <w:spacing w:line="276" w:lineRule="auto"/>
      </w:pPr>
      <w:r w:rsidRPr="009E34E2">
        <w:t>The caps that are being reached focus on only certain targeted areas for large projects and do not cover the entire state or customer base.</w:t>
      </w:r>
    </w:p>
    <w:p w:rsidR="008357EA" w:rsidRPr="009E34E2" w:rsidRDefault="008357EA" w:rsidP="008C6C2B">
      <w:pPr>
        <w:pStyle w:val="ListParagraph"/>
        <w:numPr>
          <w:ilvl w:val="3"/>
          <w:numId w:val="7"/>
        </w:numPr>
        <w:spacing w:line="276" w:lineRule="auto"/>
      </w:pPr>
      <w:r w:rsidRPr="009E34E2">
        <w:t>Without a long-term overall solar policy structure, cross-subsidization and bill impacts to non-participating customers will be exacerbated.</w:t>
      </w:r>
    </w:p>
    <w:p w:rsidR="008357EA" w:rsidRPr="009E34E2" w:rsidRDefault="008357EA" w:rsidP="008C6C2B">
      <w:pPr>
        <w:pStyle w:val="ListParagraph"/>
        <w:numPr>
          <w:ilvl w:val="3"/>
          <w:numId w:val="7"/>
        </w:numPr>
        <w:spacing w:line="276" w:lineRule="auto"/>
      </w:pPr>
      <w:r w:rsidRPr="009E34E2">
        <w:t>Without a long-term overall solar policy structure, MA customers will continue to pay above market for solar incentives.</w:t>
      </w:r>
    </w:p>
    <w:p w:rsidR="008357EA" w:rsidRPr="009E34E2" w:rsidRDefault="008357EA" w:rsidP="008C6C2B">
      <w:pPr>
        <w:pStyle w:val="ListParagraph"/>
        <w:numPr>
          <w:ilvl w:val="2"/>
          <w:numId w:val="7"/>
        </w:numPr>
        <w:spacing w:line="276" w:lineRule="auto"/>
      </w:pPr>
      <w:r w:rsidRPr="009E34E2">
        <w:t>A number of task force members believe action on the caps is needed quickly. Further detail:</w:t>
      </w:r>
    </w:p>
    <w:p w:rsidR="008357EA" w:rsidRPr="009E34E2" w:rsidRDefault="008357EA" w:rsidP="008C6C2B">
      <w:pPr>
        <w:pStyle w:val="ListParagraph"/>
        <w:numPr>
          <w:ilvl w:val="3"/>
          <w:numId w:val="7"/>
        </w:numPr>
        <w:spacing w:line="276" w:lineRule="auto"/>
      </w:pPr>
      <w:r w:rsidRPr="009E34E2">
        <w:t>The Legislature raised the caps in 2014 with the goal of allowing the solar market to continue functioning and moving toward the 1600 MW goal while the task force and the legislature developed long term policy actions</w:t>
      </w:r>
    </w:p>
    <w:p w:rsidR="008357EA" w:rsidRPr="009E34E2" w:rsidRDefault="008357EA" w:rsidP="008C6C2B">
      <w:pPr>
        <w:pStyle w:val="ListParagraph"/>
        <w:numPr>
          <w:ilvl w:val="3"/>
          <w:numId w:val="7"/>
        </w:numPr>
        <w:spacing w:line="276" w:lineRule="auto"/>
      </w:pPr>
      <w:r w:rsidRPr="009E34E2">
        <w:t>Those caps are being hit and already impeding solar development in half the state, with significant negative impact on jobs, the solar market, and the commonwealth overall right now. This situation will only worsen as time continues to pass without cap action and more areas hit caps before January 2017.</w:t>
      </w:r>
    </w:p>
    <w:p w:rsidR="008357EA" w:rsidRPr="009E34E2" w:rsidRDefault="008357EA" w:rsidP="008C6C2B">
      <w:pPr>
        <w:pStyle w:val="ListParagraph"/>
        <w:numPr>
          <w:ilvl w:val="3"/>
          <w:numId w:val="7"/>
        </w:numPr>
        <w:spacing w:line="276" w:lineRule="auto"/>
      </w:pPr>
      <w:r w:rsidRPr="009E34E2">
        <w:t>Raising the caps as soon as possible will give the Legislature time to review and act on the solar policy task force recommendations, and will enable a strong foundation of cost-effectiveness for long-term solar policy.  Not doing so will cause job losses and higher costs for future policy.</w:t>
      </w:r>
    </w:p>
    <w:p w:rsidR="008357EA" w:rsidRPr="009E34E2" w:rsidRDefault="008357EA" w:rsidP="008C6C2B">
      <w:pPr>
        <w:pStyle w:val="ListParagraph"/>
        <w:numPr>
          <w:ilvl w:val="3"/>
          <w:numId w:val="7"/>
        </w:numPr>
        <w:spacing w:line="276" w:lineRule="auto"/>
      </w:pPr>
      <w:r w:rsidRPr="009E34E2">
        <w:t xml:space="preserve">Solar has been shown repeatedly in CT, VT, ME, NY, MN, and MS to provide additional value to non-participating ratepayers. On the other hand, there is no data-driven evidence that net metering raises overall system cost for customers, or unfairly transfers cost to non-solar customers. Claims of this are unsubstantiated. </w:t>
      </w:r>
    </w:p>
    <w:p w:rsidR="008357EA" w:rsidRPr="009E34E2" w:rsidRDefault="008357EA" w:rsidP="009E34E2">
      <w:pPr>
        <w:pStyle w:val="ListParagraph"/>
        <w:spacing w:line="276" w:lineRule="auto"/>
        <w:ind w:left="2880"/>
      </w:pPr>
      <w:r w:rsidRPr="009E34E2">
        <w:t xml:space="preserve"> </w:t>
      </w:r>
    </w:p>
    <w:p w:rsidR="008357EA" w:rsidRPr="009E34E2" w:rsidRDefault="008357EA" w:rsidP="009E34E2">
      <w:pPr>
        <w:spacing w:line="276" w:lineRule="auto"/>
      </w:pPr>
      <w:r w:rsidRPr="009E34E2">
        <w:br w:type="page"/>
      </w:r>
    </w:p>
    <w:p w:rsidR="008C6C2B" w:rsidRPr="00E06615" w:rsidRDefault="008C6C2B" w:rsidP="008C6C2B">
      <w:pPr>
        <w:ind w:firstLine="0"/>
        <w:rPr>
          <w:i/>
        </w:rPr>
      </w:pPr>
      <w:r w:rsidRPr="00E06615">
        <w:rPr>
          <w:b/>
          <w:u w:val="single"/>
        </w:rPr>
        <w:lastRenderedPageBreak/>
        <w:t>Category:</w:t>
      </w:r>
      <w:r>
        <w:rPr>
          <w:b/>
          <w:u w:val="single"/>
        </w:rPr>
        <w:t xml:space="preserve"> </w:t>
      </w:r>
      <w:r w:rsidRPr="00502CC8">
        <w:t>Monthly Minimum Contribution</w:t>
      </w:r>
      <w:r>
        <w:rPr>
          <w:b/>
          <w:u w:val="single"/>
        </w:rPr>
        <w:t xml:space="preserve"> </w:t>
      </w:r>
    </w:p>
    <w:p w:rsidR="008C6C2B" w:rsidRDefault="008C6C2B" w:rsidP="008C6C2B">
      <w:pPr>
        <w:ind w:firstLine="0"/>
        <w:rPr>
          <w:b/>
          <w:u w:val="single"/>
        </w:rPr>
      </w:pPr>
    </w:p>
    <w:p w:rsidR="008C6C2B" w:rsidRPr="00233C59" w:rsidRDefault="008C6C2B" w:rsidP="008C6C2B">
      <w:pPr>
        <w:ind w:firstLine="0"/>
        <w:rPr>
          <w:b/>
          <w:i/>
        </w:rPr>
      </w:pPr>
      <w:r w:rsidRPr="00E06615">
        <w:rPr>
          <w:b/>
          <w:u w:val="single"/>
        </w:rPr>
        <w:t>Consensus Recommendations</w:t>
      </w:r>
      <w:r>
        <w:t xml:space="preserve"> </w:t>
      </w:r>
    </w:p>
    <w:p w:rsidR="008C6C2B" w:rsidRDefault="008C6C2B" w:rsidP="008C6C2B">
      <w:pPr>
        <w:pStyle w:val="ListParagraph"/>
        <w:spacing w:after="200" w:line="276" w:lineRule="auto"/>
        <w:ind w:left="360" w:firstLine="0"/>
      </w:pPr>
    </w:p>
    <w:p w:rsidR="008C6C2B" w:rsidRDefault="008C6C2B" w:rsidP="008C6C2B">
      <w:pPr>
        <w:pStyle w:val="ListParagraph"/>
        <w:numPr>
          <w:ilvl w:val="0"/>
          <w:numId w:val="23"/>
        </w:numPr>
        <w:spacing w:after="200" w:line="276" w:lineRule="auto"/>
      </w:pPr>
      <w:r>
        <w:t>Everyone who is connected to the distribution system should contribute towards their use of it and towards the systems benefits included on the distribution company bill for public policy reasons (e.g. low income support and energy efficiency).</w:t>
      </w:r>
    </w:p>
    <w:p w:rsidR="008C6C2B" w:rsidRDefault="008C6C2B" w:rsidP="008C6C2B">
      <w:pPr>
        <w:pStyle w:val="ListParagraph"/>
        <w:ind w:left="360"/>
      </w:pPr>
    </w:p>
    <w:p w:rsidR="008C6C2B" w:rsidRDefault="008C6C2B" w:rsidP="008C6C2B">
      <w:pPr>
        <w:pStyle w:val="ListParagraph"/>
        <w:numPr>
          <w:ilvl w:val="0"/>
          <w:numId w:val="23"/>
        </w:numPr>
        <w:spacing w:after="200" w:line="276" w:lineRule="auto"/>
      </w:pPr>
      <w:r>
        <w:t xml:space="preserve">The contribution should be cost based and set in accordance with the customer’s use of the distribution system.  </w:t>
      </w:r>
    </w:p>
    <w:p w:rsidR="008C6C2B" w:rsidRDefault="008C6C2B" w:rsidP="008C6C2B">
      <w:pPr>
        <w:pStyle w:val="ListParagraph"/>
        <w:ind w:left="360"/>
      </w:pPr>
    </w:p>
    <w:p w:rsidR="008C6C2B" w:rsidRDefault="008C6C2B" w:rsidP="008C6C2B">
      <w:pPr>
        <w:pStyle w:val="ListParagraph"/>
        <w:numPr>
          <w:ilvl w:val="0"/>
          <w:numId w:val="23"/>
        </w:numPr>
        <w:spacing w:after="200" w:line="276" w:lineRule="auto"/>
      </w:pPr>
      <w:r>
        <w:t xml:space="preserve">A monthly minimum contribution to cover an appropriately allocated share of distribution costs is an appropriate step towards achieving this goal.  A monthly minimum contribution shall apply to all customers.  </w:t>
      </w:r>
    </w:p>
    <w:p w:rsidR="008C6C2B" w:rsidRDefault="008C6C2B" w:rsidP="008C6C2B">
      <w:pPr>
        <w:pStyle w:val="ListParagraph"/>
        <w:ind w:left="360"/>
      </w:pPr>
    </w:p>
    <w:p w:rsidR="008C6C2B" w:rsidRPr="00760A2E" w:rsidRDefault="008C6C2B" w:rsidP="008C6C2B">
      <w:pPr>
        <w:pStyle w:val="ListParagraph"/>
        <w:numPr>
          <w:ilvl w:val="0"/>
          <w:numId w:val="23"/>
        </w:numPr>
        <w:spacing w:after="200" w:line="276" w:lineRule="auto"/>
      </w:pPr>
      <w:r>
        <w:t xml:space="preserve">Other rate design approaches </w:t>
      </w:r>
      <w:r w:rsidRPr="009F41FE">
        <w:t xml:space="preserve">could also be considered.   </w:t>
      </w:r>
      <w:r w:rsidRPr="00760A2E">
        <w:rPr>
          <w:rFonts w:ascii="Calibri" w:hAnsi="Calibri" w:cs="Calibri"/>
        </w:rPr>
        <w:t xml:space="preserve">While The Task Force members do not preclude the proposal of alternatives to the monthly minimum contribution concept, their support for consideration of such a proposal should not be construed as support on the </w:t>
      </w:r>
      <w:r w:rsidRPr="00760A2E">
        <w:rPr>
          <w:rFonts w:ascii="Calibri" w:hAnsi="Calibri" w:cs="Calibri"/>
          <w:iCs/>
        </w:rPr>
        <w:t>merits</w:t>
      </w:r>
      <w:r w:rsidRPr="00760A2E">
        <w:rPr>
          <w:rFonts w:ascii="Calibri" w:hAnsi="Calibri" w:cs="Calibri"/>
        </w:rPr>
        <w:t xml:space="preserve">.  </w:t>
      </w:r>
      <w:r w:rsidRPr="00760A2E">
        <w:t xml:space="preserve"> </w:t>
      </w:r>
    </w:p>
    <w:p w:rsidR="008C6C2B" w:rsidRDefault="008C6C2B" w:rsidP="008C6C2B">
      <w:pPr>
        <w:pStyle w:val="ListParagraph"/>
        <w:ind w:left="360"/>
      </w:pPr>
    </w:p>
    <w:p w:rsidR="008C6C2B" w:rsidRDefault="008C6C2B" w:rsidP="008C6C2B">
      <w:pPr>
        <w:pStyle w:val="ListParagraph"/>
        <w:numPr>
          <w:ilvl w:val="0"/>
          <w:numId w:val="23"/>
        </w:numPr>
        <w:spacing w:after="200" w:line="276" w:lineRule="auto"/>
      </w:pPr>
      <w:r w:rsidRPr="009F41FE">
        <w:t>At the discretion of the distribution</w:t>
      </w:r>
      <w:r>
        <w:t xml:space="preserve"> company and approval by the DPU, the monthly minimum contribution will be implemented following a distribution company’s base rate case, a revenue neutral rate design proceeding, or the grid modernization filing (due August 2015).   </w:t>
      </w:r>
    </w:p>
    <w:p w:rsidR="008C6C2B" w:rsidRDefault="008C6C2B" w:rsidP="008C6C2B">
      <w:pPr>
        <w:pStyle w:val="ListParagraph"/>
        <w:ind w:left="360"/>
      </w:pPr>
    </w:p>
    <w:p w:rsidR="008C6C2B" w:rsidRDefault="008C6C2B" w:rsidP="008C6C2B">
      <w:pPr>
        <w:pStyle w:val="ListParagraph"/>
        <w:numPr>
          <w:ilvl w:val="0"/>
          <w:numId w:val="23"/>
        </w:numPr>
        <w:spacing w:after="200" w:line="276" w:lineRule="auto"/>
      </w:pPr>
      <w:r>
        <w:t xml:space="preserve">The level of a monthly minimum contribution for a group of customers or rate class should take into account customer size and/or other service characteristics in order to develop appropriately sized contributions.    </w:t>
      </w:r>
    </w:p>
    <w:p w:rsidR="008C6C2B" w:rsidRDefault="008C6C2B" w:rsidP="008C6C2B">
      <w:pPr>
        <w:pStyle w:val="ListParagraph"/>
        <w:ind w:left="360"/>
      </w:pPr>
    </w:p>
    <w:p w:rsidR="008C6C2B" w:rsidRDefault="008C6C2B" w:rsidP="008C6C2B">
      <w:pPr>
        <w:pStyle w:val="ListParagraph"/>
        <w:numPr>
          <w:ilvl w:val="0"/>
          <w:numId w:val="23"/>
        </w:numPr>
        <w:spacing w:after="200" w:line="276" w:lineRule="auto"/>
      </w:pPr>
      <w:r>
        <w:t>Specifics of rate design and rate levels should be determined by the DPU in a utility specific evidentiary proceeding consistent with the DPU’s established rate design principles of efficiency, simplicity, continuity, fairness, and earnings stability.  These factors along with transparency and understandability are important when establishing a monthly minimum contribution, and in determining rates for all components of service for all customers.</w:t>
      </w:r>
    </w:p>
    <w:p w:rsidR="008C6C2B" w:rsidRDefault="008C6C2B" w:rsidP="008C6C2B">
      <w:pPr>
        <w:pStyle w:val="ListParagraph"/>
        <w:ind w:left="360"/>
      </w:pPr>
    </w:p>
    <w:p w:rsidR="008C6C2B" w:rsidRDefault="008C6C2B" w:rsidP="008C6C2B">
      <w:pPr>
        <w:pStyle w:val="ListParagraph"/>
        <w:numPr>
          <w:ilvl w:val="0"/>
          <w:numId w:val="23"/>
        </w:numPr>
        <w:spacing w:after="200" w:line="276" w:lineRule="auto"/>
      </w:pPr>
      <w:r>
        <w:t xml:space="preserve">The monthly minimum contribution should be designed appropriately for low income customers </w:t>
      </w:r>
      <w:r w:rsidRPr="00E52752">
        <w:t>consistent with the DPU’s established rate design principles.</w:t>
      </w:r>
    </w:p>
    <w:p w:rsidR="008C6C2B" w:rsidRDefault="008C6C2B" w:rsidP="008C6C2B">
      <w:pPr>
        <w:pStyle w:val="ListParagraph"/>
        <w:ind w:left="360"/>
      </w:pPr>
    </w:p>
    <w:p w:rsidR="008C6C2B" w:rsidRDefault="008C6C2B" w:rsidP="008C6C2B">
      <w:pPr>
        <w:pStyle w:val="ListParagraph"/>
        <w:numPr>
          <w:ilvl w:val="0"/>
          <w:numId w:val="23"/>
        </w:numPr>
        <w:spacing w:after="200" w:line="276" w:lineRule="auto"/>
      </w:pPr>
      <w:r>
        <w:t>Following the initial setting and implementation, t</w:t>
      </w:r>
      <w:r w:rsidRPr="00E52752">
        <w:t>he</w:t>
      </w:r>
      <w:r>
        <w:t xml:space="preserve"> DPU should and will review the monthly minimum contribution during distribution company rate cases, which are required by MA law to be filed no less frequently than every five years. </w:t>
      </w:r>
    </w:p>
    <w:p w:rsidR="008C6C2B" w:rsidRDefault="008C6C2B" w:rsidP="008C6C2B">
      <w:pPr>
        <w:pStyle w:val="ListParagraph"/>
        <w:ind w:left="360"/>
        <w:rPr>
          <w:b/>
          <w:u w:val="single"/>
        </w:rPr>
      </w:pPr>
    </w:p>
    <w:p w:rsidR="008C6C2B" w:rsidRDefault="008C6C2B" w:rsidP="008C6C2B">
      <w:pPr>
        <w:pStyle w:val="ListParagraph"/>
        <w:ind w:left="360"/>
        <w:rPr>
          <w:b/>
          <w:u w:val="single"/>
        </w:rPr>
      </w:pPr>
    </w:p>
    <w:p w:rsidR="008C6C2B" w:rsidRDefault="008C6C2B" w:rsidP="008C6C2B">
      <w:pPr>
        <w:pStyle w:val="ListParagraph"/>
        <w:ind w:left="360"/>
        <w:rPr>
          <w:b/>
          <w:u w:val="single"/>
        </w:rPr>
      </w:pPr>
    </w:p>
    <w:p w:rsidR="008C6C2B" w:rsidRDefault="008C6C2B" w:rsidP="008C6C2B">
      <w:pPr>
        <w:ind w:firstLine="0"/>
        <w:rPr>
          <w:b/>
          <w:u w:val="single"/>
        </w:rPr>
      </w:pPr>
    </w:p>
    <w:p w:rsidR="008C6C2B" w:rsidRDefault="008C6C2B" w:rsidP="008C6C2B">
      <w:pPr>
        <w:ind w:firstLine="0"/>
        <w:rPr>
          <w:b/>
          <w:u w:val="single"/>
        </w:rPr>
      </w:pPr>
    </w:p>
    <w:p w:rsidR="008C6C2B" w:rsidRPr="008C6C2B" w:rsidRDefault="008C6C2B" w:rsidP="008C6C2B">
      <w:pPr>
        <w:ind w:firstLine="0"/>
        <w:rPr>
          <w:b/>
          <w:u w:val="single"/>
        </w:rPr>
      </w:pPr>
      <w:r w:rsidRPr="008C6C2B">
        <w:rPr>
          <w:b/>
          <w:u w:val="single"/>
        </w:rPr>
        <w:lastRenderedPageBreak/>
        <w:t>Areas for Potential Compromise</w:t>
      </w:r>
    </w:p>
    <w:p w:rsidR="008C6C2B" w:rsidRDefault="008C6C2B" w:rsidP="008C6C2B">
      <w:pPr>
        <w:pStyle w:val="ListParagraph"/>
        <w:ind w:left="360"/>
        <w:rPr>
          <w:b/>
          <w:u w:val="single"/>
        </w:rPr>
      </w:pPr>
    </w:p>
    <w:p w:rsidR="008C6C2B" w:rsidRDefault="008C6C2B" w:rsidP="008C6C2B">
      <w:pPr>
        <w:pStyle w:val="ListParagraph"/>
        <w:numPr>
          <w:ilvl w:val="0"/>
          <w:numId w:val="22"/>
        </w:numPr>
        <w:spacing w:after="200" w:line="276" w:lineRule="auto"/>
        <w:ind w:left="360"/>
      </w:pPr>
      <w:r>
        <w:t>Compensation for services to the grid</w:t>
      </w:r>
    </w:p>
    <w:p w:rsidR="008C6C2B" w:rsidRDefault="008C6C2B" w:rsidP="008C6C2B">
      <w:pPr>
        <w:pStyle w:val="ListParagraph"/>
        <w:ind w:left="360"/>
      </w:pPr>
    </w:p>
    <w:p w:rsidR="008C6C2B" w:rsidRDefault="008C6C2B" w:rsidP="008C6C2B">
      <w:r>
        <w:t>Some task force members propose the following:</w:t>
      </w:r>
    </w:p>
    <w:p w:rsidR="008C6C2B" w:rsidRDefault="008C6C2B" w:rsidP="008C6C2B">
      <w:pPr>
        <w:pStyle w:val="ListParagraph"/>
        <w:ind w:left="360"/>
      </w:pPr>
    </w:p>
    <w:p w:rsidR="008C6C2B" w:rsidRDefault="008C6C2B" w:rsidP="008C6C2B">
      <w:pPr>
        <w:pStyle w:val="ListParagraph"/>
        <w:ind w:left="360" w:firstLine="0"/>
      </w:pPr>
      <w:r>
        <w:t>Customers who provide services or other value to the grid or to electric consumers generally through their provision of distributed generation, should be fairly compensated.</w:t>
      </w:r>
    </w:p>
    <w:p w:rsidR="008C6C2B" w:rsidRDefault="008C6C2B" w:rsidP="008C6C2B">
      <w:pPr>
        <w:pStyle w:val="ListParagraph"/>
        <w:ind w:left="360"/>
      </w:pPr>
    </w:p>
    <w:p w:rsidR="008C6C2B" w:rsidRDefault="008C6C2B" w:rsidP="008C6C2B">
      <w:pPr>
        <w:pStyle w:val="ListParagraph"/>
        <w:ind w:left="360" w:firstLine="0"/>
      </w:pPr>
      <w:r>
        <w:t>Other task force members do not necessarily agree with the merits of that statement and believe that it is beyond the scope of this discussion and taken up elsewhere.</w:t>
      </w:r>
    </w:p>
    <w:p w:rsidR="008C6C2B" w:rsidRDefault="008C6C2B" w:rsidP="008C6C2B">
      <w:pPr>
        <w:pStyle w:val="ListParagraph"/>
        <w:ind w:left="360"/>
      </w:pPr>
    </w:p>
    <w:p w:rsidR="008C6C2B" w:rsidRDefault="008C6C2B" w:rsidP="008C6C2B">
      <w:pPr>
        <w:pStyle w:val="ListParagraph"/>
        <w:numPr>
          <w:ilvl w:val="0"/>
          <w:numId w:val="22"/>
        </w:numPr>
        <w:spacing w:after="200" w:line="276" w:lineRule="auto"/>
        <w:ind w:left="360"/>
      </w:pPr>
      <w:r>
        <w:t>Net metering caps</w:t>
      </w:r>
    </w:p>
    <w:p w:rsidR="008C6C2B" w:rsidRDefault="008C6C2B" w:rsidP="008C6C2B">
      <w:pPr>
        <w:pStyle w:val="ListParagraph"/>
        <w:ind w:left="360"/>
        <w:rPr>
          <w:rFonts w:ascii="Calibri" w:hAnsi="Calibri" w:cs="Calibri"/>
        </w:rPr>
      </w:pPr>
    </w:p>
    <w:p w:rsidR="008C6C2B" w:rsidRDefault="008C6C2B" w:rsidP="008C6C2B">
      <w:pPr>
        <w:pStyle w:val="ListParagraph"/>
        <w:ind w:left="360" w:firstLine="0"/>
      </w:pPr>
      <w:r w:rsidRPr="00FF2DA7">
        <w:rPr>
          <w:rFonts w:ascii="Calibri" w:hAnsi="Calibri" w:cs="Calibri"/>
        </w:rPr>
        <w:t xml:space="preserve">Some of the Task Force members consider that maintaining the consensus reached above regarding implementation of a monthly minimum contribution is dependent on reaching agreement on removing net metering caps.  Inasmuch as, </w:t>
      </w:r>
      <w:r w:rsidRPr="00FF2DA7">
        <w:t>following the implementation of an appropriate monthly minimum contribution toward the use of the distribution system and a net metering credit b</w:t>
      </w:r>
      <w:r>
        <w:t>ased on the value of solar/distributed generation (See Section XX on net metering credit), there would be no need to retain caps on net metering.</w:t>
      </w:r>
    </w:p>
    <w:p w:rsidR="008C6C2B" w:rsidRDefault="008C6C2B" w:rsidP="008C6C2B">
      <w:pPr>
        <w:pStyle w:val="ListParagraph"/>
        <w:ind w:left="360"/>
      </w:pPr>
    </w:p>
    <w:p w:rsidR="008C6C2B" w:rsidRDefault="008C6C2B" w:rsidP="008C6C2B">
      <w:pPr>
        <w:pStyle w:val="ListParagraph"/>
        <w:ind w:left="360" w:firstLine="0"/>
      </w:pPr>
      <w:r>
        <w:t xml:space="preserve">Other task force members do not agree with the merits of that statement and believe that it is beyond the scope of this discussion and taken up elsewhere.  </w:t>
      </w:r>
    </w:p>
    <w:p w:rsidR="008C6C2B" w:rsidRDefault="008C6C2B" w:rsidP="008C6C2B">
      <w:pPr>
        <w:pStyle w:val="ListParagraph"/>
        <w:ind w:left="360"/>
      </w:pPr>
    </w:p>
    <w:p w:rsidR="008C6C2B" w:rsidRDefault="008C6C2B" w:rsidP="008C6C2B">
      <w:pPr>
        <w:pStyle w:val="ListParagraph"/>
        <w:numPr>
          <w:ilvl w:val="0"/>
          <w:numId w:val="22"/>
        </w:numPr>
        <w:spacing w:after="200" w:line="276" w:lineRule="auto"/>
        <w:ind w:left="360"/>
      </w:pPr>
      <w:r>
        <w:t>Rate filings</w:t>
      </w:r>
    </w:p>
    <w:p w:rsidR="008C6C2B" w:rsidRDefault="008C6C2B" w:rsidP="008C6C2B">
      <w:pPr>
        <w:pStyle w:val="ListParagraph"/>
        <w:ind w:left="360"/>
      </w:pPr>
    </w:p>
    <w:p w:rsidR="008C6C2B" w:rsidRDefault="008C6C2B" w:rsidP="008C6C2B">
      <w:r>
        <w:t>Some task force members propose the following:</w:t>
      </w:r>
    </w:p>
    <w:p w:rsidR="008C6C2B" w:rsidRDefault="008C6C2B" w:rsidP="008C6C2B">
      <w:pPr>
        <w:pStyle w:val="ListParagraph"/>
        <w:ind w:left="360"/>
      </w:pPr>
    </w:p>
    <w:p w:rsidR="008C6C2B" w:rsidRDefault="008C6C2B" w:rsidP="008C6C2B">
      <w:pPr>
        <w:pStyle w:val="ListParagraph"/>
        <w:ind w:left="360" w:firstLine="0"/>
      </w:pPr>
      <w:r>
        <w:t>Recognizing the distribution company’s need to serve customers who install and operate distributed generation facilities, potential ways to achieve these recommendations and goals should not preclude each electric distribution company from proposing changes at the DPU to provisions of existing tariffs or introducing a new schedule to complement those tariffs (e.g. rider) whose provisions apply across rate classes.</w:t>
      </w:r>
    </w:p>
    <w:p w:rsidR="008C6C2B" w:rsidRDefault="008C6C2B" w:rsidP="008C6C2B">
      <w:pPr>
        <w:pStyle w:val="ListParagraph"/>
        <w:ind w:left="360"/>
      </w:pPr>
    </w:p>
    <w:p w:rsidR="008C6C2B" w:rsidRDefault="008C6C2B" w:rsidP="008C6C2B">
      <w:pPr>
        <w:pStyle w:val="ListParagraph"/>
        <w:numPr>
          <w:ilvl w:val="0"/>
          <w:numId w:val="22"/>
        </w:numPr>
        <w:spacing w:after="200" w:line="276" w:lineRule="auto"/>
        <w:ind w:left="360"/>
      </w:pPr>
      <w:r>
        <w:t>Timing</w:t>
      </w:r>
    </w:p>
    <w:p w:rsidR="008C6C2B" w:rsidRDefault="008C6C2B" w:rsidP="008C6C2B">
      <w:pPr>
        <w:pStyle w:val="ListParagraph"/>
        <w:ind w:left="360"/>
      </w:pPr>
    </w:p>
    <w:p w:rsidR="008C6C2B" w:rsidRDefault="008C6C2B" w:rsidP="008C6C2B">
      <w:r>
        <w:t>Some task force members propose the following:</w:t>
      </w:r>
    </w:p>
    <w:p w:rsidR="008C6C2B" w:rsidRDefault="008C6C2B" w:rsidP="008C6C2B">
      <w:pPr>
        <w:ind w:left="360"/>
        <w:contextualSpacing/>
      </w:pPr>
    </w:p>
    <w:p w:rsidR="008C6C2B" w:rsidRPr="00502CC8" w:rsidRDefault="008C6C2B" w:rsidP="008C6C2B">
      <w:pPr>
        <w:ind w:left="360" w:firstLine="0"/>
        <w:contextualSpacing/>
      </w:pPr>
      <w:r w:rsidRPr="00435ECD">
        <w:t>To implement the framework suggested by the Task Force effective January 1, 2017, it will be necessary for the implementation of the monthly minimum contribution to occur by that date.</w:t>
      </w:r>
    </w:p>
    <w:p w:rsidR="00902B8D" w:rsidRDefault="00902B8D" w:rsidP="009E34E2">
      <w:pPr>
        <w:spacing w:line="276" w:lineRule="auto"/>
      </w:pPr>
    </w:p>
    <w:p w:rsidR="008357EA" w:rsidRPr="009E34E2" w:rsidRDefault="008357EA" w:rsidP="009E34E2">
      <w:pPr>
        <w:spacing w:line="276" w:lineRule="auto"/>
      </w:pPr>
      <w:r w:rsidRPr="009E34E2">
        <w:br w:type="page"/>
      </w:r>
    </w:p>
    <w:p w:rsidR="00902B8D" w:rsidRPr="00902B8D" w:rsidRDefault="00902B8D" w:rsidP="00902B8D">
      <w:pPr>
        <w:spacing w:line="276" w:lineRule="auto"/>
        <w:ind w:firstLine="0"/>
        <w:rPr>
          <w:rFonts w:cs="Times New Roman"/>
          <w:b/>
        </w:rPr>
      </w:pPr>
      <w:r w:rsidRPr="00902B8D">
        <w:rPr>
          <w:b/>
          <w:bCs/>
          <w:u w:val="single"/>
        </w:rPr>
        <w:lastRenderedPageBreak/>
        <w:t>Category:</w:t>
      </w:r>
      <w:r w:rsidRPr="00902B8D">
        <w:t xml:space="preserve"> </w:t>
      </w:r>
      <w:r w:rsidRPr="00902B8D">
        <w:rPr>
          <w:color w:val="FF0000"/>
        </w:rPr>
        <w:t xml:space="preserve"> </w:t>
      </w:r>
      <w:r w:rsidRPr="00902B8D">
        <w:rPr>
          <w:rFonts w:cs="Times New Roman"/>
        </w:rPr>
        <w:t>Permitting and Inspection</w:t>
      </w:r>
    </w:p>
    <w:p w:rsidR="00902B8D" w:rsidRPr="00902B8D" w:rsidRDefault="00902B8D" w:rsidP="00902B8D">
      <w:pPr>
        <w:rPr>
          <w:i/>
          <w:iCs/>
        </w:rPr>
      </w:pPr>
    </w:p>
    <w:p w:rsidR="00902B8D" w:rsidRPr="00902B8D" w:rsidRDefault="00902B8D" w:rsidP="00902B8D">
      <w:pPr>
        <w:spacing w:line="276" w:lineRule="auto"/>
        <w:ind w:firstLine="0"/>
        <w:rPr>
          <w:b/>
          <w:u w:val="single"/>
        </w:rPr>
      </w:pPr>
      <w:r w:rsidRPr="00902B8D">
        <w:rPr>
          <w:b/>
          <w:u w:val="single"/>
        </w:rPr>
        <w:t>Consensus Recommendations</w:t>
      </w:r>
    </w:p>
    <w:p w:rsidR="00902B8D" w:rsidRPr="00902B8D" w:rsidRDefault="00902B8D" w:rsidP="00902B8D">
      <w:pPr>
        <w:spacing w:before="100" w:beforeAutospacing="1" w:after="100" w:afterAutospacing="1"/>
        <w:ind w:firstLine="0"/>
      </w:pPr>
      <w:r w:rsidRPr="00902B8D">
        <w:t>A process to support a uniform and expedited permitting process for small solar installations across the Commonwealth should be explored.</w:t>
      </w:r>
    </w:p>
    <w:p w:rsidR="00902B8D" w:rsidRPr="00902B8D" w:rsidRDefault="00902B8D" w:rsidP="00902B8D">
      <w:pPr>
        <w:spacing w:before="100" w:beforeAutospacing="1" w:after="100" w:afterAutospacing="1"/>
        <w:ind w:firstLine="0"/>
      </w:pPr>
      <w:r w:rsidRPr="00902B8D">
        <w:t>While a single state-wide process may not be possible, state legislation can provide significant value by enabling a standardized and expedited process based on best practices to be shared and put in place by MA municipalities. </w:t>
      </w:r>
    </w:p>
    <w:p w:rsidR="00902B8D" w:rsidRPr="00902B8D" w:rsidRDefault="00902B8D" w:rsidP="00902B8D">
      <w:pPr>
        <w:ind w:firstLine="0"/>
        <w:rPr>
          <w:u w:val="single"/>
        </w:rPr>
      </w:pPr>
      <w:r w:rsidRPr="00902B8D">
        <w:rPr>
          <w:iCs/>
          <w:u w:val="single"/>
        </w:rPr>
        <w:t>Context</w:t>
      </w:r>
    </w:p>
    <w:p w:rsidR="00902B8D" w:rsidRPr="00902B8D" w:rsidRDefault="00902B8D" w:rsidP="008C6C2B">
      <w:pPr>
        <w:numPr>
          <w:ilvl w:val="1"/>
          <w:numId w:val="18"/>
        </w:numPr>
        <w:spacing w:before="100" w:beforeAutospacing="1" w:after="100" w:afterAutospacing="1"/>
      </w:pPr>
      <w:r w:rsidRPr="00902B8D">
        <w:t>VT:  Instituted a state-wide standardized solar permit for small solar that launched for systems &lt;5kW, and has been expanded twice to now cover systems &lt;15kW</w:t>
      </w:r>
    </w:p>
    <w:p w:rsidR="00902B8D" w:rsidRPr="00902B8D" w:rsidRDefault="00902B8D" w:rsidP="008C6C2B">
      <w:pPr>
        <w:numPr>
          <w:ilvl w:val="1"/>
          <w:numId w:val="18"/>
        </w:numPr>
        <w:spacing w:before="100" w:beforeAutospacing="1" w:after="100" w:afterAutospacing="1"/>
      </w:pPr>
      <w:r w:rsidRPr="00902B8D">
        <w:t>CA and NY: </w:t>
      </w:r>
    </w:p>
    <w:p w:rsidR="00902B8D" w:rsidRPr="00902B8D" w:rsidRDefault="00902B8D" w:rsidP="008C6C2B">
      <w:pPr>
        <w:numPr>
          <w:ilvl w:val="2"/>
          <w:numId w:val="18"/>
        </w:numPr>
        <w:spacing w:before="100" w:beforeAutospacing="1" w:after="100" w:afterAutospacing="1"/>
      </w:pPr>
      <w:r w:rsidRPr="00902B8D">
        <w:t>Have a municipality-controlled permitting landscape similar to MA, rather than state-wide approach as in VT</w:t>
      </w:r>
    </w:p>
    <w:p w:rsidR="00902B8D" w:rsidRPr="00902B8D" w:rsidRDefault="00902B8D" w:rsidP="008C6C2B">
      <w:pPr>
        <w:numPr>
          <w:ilvl w:val="2"/>
          <w:numId w:val="18"/>
        </w:numPr>
        <w:spacing w:before="100" w:beforeAutospacing="1" w:after="100" w:afterAutospacing="1"/>
      </w:pPr>
      <w:r w:rsidRPr="00902B8D">
        <w:t>CA: Created recommended approach and supporting resources for uniform, accelerated solar permitting for towns to utilize</w:t>
      </w:r>
    </w:p>
    <w:p w:rsidR="00902B8D" w:rsidRPr="00902B8D" w:rsidRDefault="00902B8D" w:rsidP="008C6C2B">
      <w:pPr>
        <w:numPr>
          <w:ilvl w:val="3"/>
          <w:numId w:val="18"/>
        </w:numPr>
        <w:spacing w:before="100" w:beforeAutospacing="1" w:after="100" w:afterAutospacing="1"/>
      </w:pPr>
      <w:r w:rsidRPr="00902B8D">
        <w:t> </w:t>
      </w:r>
      <w:hyperlink r:id="rId8" w:tgtFrame="_blank" w:history="1">
        <w:r w:rsidRPr="00902B8D">
          <w:rPr>
            <w:rStyle w:val="Hyperlink"/>
          </w:rPr>
          <w:t>Solar Permitting Guidebook</w:t>
        </w:r>
      </w:hyperlink>
      <w:r w:rsidRPr="00902B8D">
        <w:t xml:space="preserve">, </w:t>
      </w:r>
      <w:hyperlink r:id="rId9" w:tgtFrame="_blank" w:history="1">
        <w:r w:rsidRPr="00902B8D">
          <w:rPr>
            <w:rStyle w:val="Hyperlink"/>
          </w:rPr>
          <w:t>Guidebook overview</w:t>
        </w:r>
      </w:hyperlink>
      <w:r w:rsidRPr="00902B8D">
        <w:t> </w:t>
      </w:r>
    </w:p>
    <w:p w:rsidR="00902B8D" w:rsidRPr="00902B8D" w:rsidRDefault="00902B8D" w:rsidP="008C6C2B">
      <w:pPr>
        <w:numPr>
          <w:ilvl w:val="2"/>
          <w:numId w:val="18"/>
        </w:numPr>
        <w:spacing w:before="100" w:beforeAutospacing="1" w:after="100" w:afterAutospacing="1"/>
      </w:pPr>
      <w:r w:rsidRPr="00902B8D">
        <w:t xml:space="preserve">NY: Created a single </w:t>
      </w:r>
      <w:hyperlink r:id="rId10" w:tgtFrame="_blank" w:history="1">
        <w:r w:rsidRPr="00902B8D">
          <w:rPr>
            <w:rStyle w:val="Hyperlink"/>
          </w:rPr>
          <w:t xml:space="preserve">expedited solar permit process </w:t>
        </w:r>
      </w:hyperlink>
      <w:r w:rsidRPr="00902B8D">
        <w:t>for small scale roof mounted systems</w:t>
      </w:r>
    </w:p>
    <w:p w:rsidR="00902B8D" w:rsidRPr="00902B8D" w:rsidRDefault="00902B8D" w:rsidP="008C6C2B">
      <w:pPr>
        <w:numPr>
          <w:ilvl w:val="1"/>
          <w:numId w:val="18"/>
        </w:numPr>
        <w:spacing w:before="100" w:beforeAutospacing="1" w:after="100" w:afterAutospacing="1"/>
      </w:pPr>
      <w:r w:rsidRPr="00902B8D">
        <w:rPr>
          <w:rFonts w:cs="Arial"/>
        </w:rPr>
        <w:t>​</w:t>
      </w:r>
      <w:r w:rsidRPr="00902B8D">
        <w:t>In the programs explored thus far in other states, they have been focused on small system sizes, generally 25kW or below, both residential and commercial</w:t>
      </w:r>
      <w:r w:rsidRPr="00902B8D">
        <w:rPr>
          <w:rFonts w:cs="Arial"/>
        </w:rPr>
        <w:t>​</w:t>
      </w:r>
    </w:p>
    <w:p w:rsidR="00902B8D" w:rsidRDefault="00902B8D">
      <w:pPr>
        <w:rPr>
          <w:b/>
          <w:bCs/>
          <w:u w:val="single"/>
        </w:rPr>
      </w:pPr>
      <w:r>
        <w:rPr>
          <w:b/>
          <w:bCs/>
          <w:u w:val="single"/>
        </w:rPr>
        <w:br w:type="page"/>
      </w:r>
    </w:p>
    <w:p w:rsidR="008357EA" w:rsidRPr="009E34E2" w:rsidRDefault="005D1964" w:rsidP="009E34E2">
      <w:pPr>
        <w:spacing w:line="276" w:lineRule="auto"/>
        <w:ind w:firstLine="0"/>
        <w:rPr>
          <w:rFonts w:cs="Times New Roman"/>
          <w:b/>
        </w:rPr>
      </w:pPr>
      <w:r w:rsidRPr="009E34E2">
        <w:rPr>
          <w:b/>
          <w:bCs/>
          <w:u w:val="single"/>
        </w:rPr>
        <w:lastRenderedPageBreak/>
        <w:t>Category:</w:t>
      </w:r>
      <w:r w:rsidRPr="009E34E2">
        <w:t xml:space="preserve"> </w:t>
      </w:r>
      <w:r w:rsidRPr="009E34E2">
        <w:rPr>
          <w:color w:val="FF0000"/>
        </w:rPr>
        <w:t xml:space="preserve"> </w:t>
      </w:r>
      <w:r w:rsidR="008357EA" w:rsidRPr="009E34E2">
        <w:rPr>
          <w:rFonts w:cs="Times New Roman"/>
        </w:rPr>
        <w:t>Municipal Light Plant Treatment</w:t>
      </w:r>
    </w:p>
    <w:p w:rsidR="005D1964" w:rsidRDefault="005D1964" w:rsidP="005D1964">
      <w:pPr>
        <w:spacing w:line="276" w:lineRule="auto"/>
        <w:ind w:firstLine="0"/>
        <w:rPr>
          <w:b/>
          <w:u w:val="single"/>
        </w:rPr>
      </w:pPr>
    </w:p>
    <w:p w:rsidR="005D1964" w:rsidRPr="009E34E2" w:rsidRDefault="005D1964" w:rsidP="005D1964">
      <w:pPr>
        <w:spacing w:line="276" w:lineRule="auto"/>
        <w:ind w:firstLine="0"/>
        <w:rPr>
          <w:b/>
          <w:u w:val="single"/>
        </w:rPr>
      </w:pPr>
      <w:r w:rsidRPr="009E34E2">
        <w:rPr>
          <w:b/>
          <w:u w:val="single"/>
        </w:rPr>
        <w:t>Consensus Recommendations</w:t>
      </w:r>
    </w:p>
    <w:p w:rsidR="005D1964" w:rsidRDefault="005D1964" w:rsidP="005D1964">
      <w:pPr>
        <w:spacing w:line="276" w:lineRule="auto"/>
        <w:ind w:firstLine="0"/>
        <w:rPr>
          <w:rFonts w:cs="Times New Roman"/>
        </w:rPr>
      </w:pPr>
    </w:p>
    <w:p w:rsidR="008357EA" w:rsidRPr="009E34E2" w:rsidRDefault="008357EA" w:rsidP="005D1964">
      <w:pPr>
        <w:spacing w:line="276" w:lineRule="auto"/>
        <w:ind w:left="720" w:hanging="360"/>
        <w:rPr>
          <w:rFonts w:cs="Times New Roman"/>
        </w:rPr>
      </w:pPr>
      <w:r w:rsidRPr="009E34E2">
        <w:rPr>
          <w:rFonts w:cs="Times New Roman"/>
        </w:rPr>
        <w:t xml:space="preserve">1. </w:t>
      </w:r>
      <w:r w:rsidR="005D1964">
        <w:rPr>
          <w:rFonts w:cs="Times New Roman"/>
        </w:rPr>
        <w:tab/>
      </w:r>
      <w:r w:rsidRPr="009E34E2">
        <w:rPr>
          <w:rFonts w:cs="Times New Roman"/>
        </w:rPr>
        <w:t>Given the historical exclusion for MLPs from requirements and regulation improved upon IOUs, we do not recommend any mandates on MLPs.</w:t>
      </w:r>
    </w:p>
    <w:p w:rsidR="005D1964" w:rsidRDefault="005D1964" w:rsidP="009E34E2">
      <w:pPr>
        <w:spacing w:line="276" w:lineRule="auto"/>
        <w:ind w:left="2880" w:hanging="2880"/>
        <w:rPr>
          <w:rFonts w:cs="Times New Roman"/>
          <w:b/>
          <w:u w:val="single"/>
        </w:rPr>
      </w:pPr>
    </w:p>
    <w:p w:rsidR="008357EA" w:rsidRPr="009E34E2" w:rsidRDefault="008357EA" w:rsidP="009E34E2">
      <w:pPr>
        <w:spacing w:line="276" w:lineRule="auto"/>
        <w:ind w:left="2880" w:hanging="2880"/>
        <w:rPr>
          <w:rFonts w:cs="Times New Roman"/>
          <w:b/>
          <w:u w:val="single"/>
        </w:rPr>
      </w:pPr>
      <w:r w:rsidRPr="009E34E2">
        <w:rPr>
          <w:rFonts w:cs="Times New Roman"/>
          <w:b/>
          <w:u w:val="single"/>
        </w:rPr>
        <w:t>Areas for Further Discussion</w:t>
      </w:r>
    </w:p>
    <w:p w:rsidR="005D1964" w:rsidRPr="005D1964" w:rsidRDefault="005D1964" w:rsidP="005D1964">
      <w:pPr>
        <w:pStyle w:val="ListParagraph"/>
        <w:spacing w:line="276" w:lineRule="auto"/>
        <w:ind w:firstLine="0"/>
        <w:rPr>
          <w:rFonts w:cs="Times New Roman"/>
        </w:rPr>
      </w:pPr>
    </w:p>
    <w:p w:rsidR="008357EA" w:rsidRPr="009E34E2" w:rsidRDefault="008357EA" w:rsidP="008C6C2B">
      <w:pPr>
        <w:pStyle w:val="ListParagraph"/>
        <w:numPr>
          <w:ilvl w:val="0"/>
          <w:numId w:val="9"/>
        </w:numPr>
        <w:spacing w:line="276" w:lineRule="auto"/>
        <w:rPr>
          <w:rFonts w:cs="Times New Roman"/>
        </w:rPr>
      </w:pPr>
      <w:r w:rsidRPr="009E34E2">
        <w:rPr>
          <w:rFonts w:cs="Times New Roman"/>
          <w:b/>
        </w:rPr>
        <w:t>IOU Customer subsidization of MLP customers who benefit from SRECs</w:t>
      </w:r>
      <w:r w:rsidRPr="009E34E2">
        <w:rPr>
          <w:rFonts w:cs="Times New Roman"/>
        </w:rPr>
        <w:t xml:space="preserve">. The value of SRECs come from the requirement under M.G.L. c. 25A s. 11F that retail electricity suppliers purchase SRECs and pass the costs to their customers.  This section exempts MLPs and their customers from this requirement while not prohibiting solar facilities owned by MLPs or their customers from generating and selling SRECs. </w:t>
      </w:r>
    </w:p>
    <w:p w:rsidR="008357EA" w:rsidRPr="009E34E2" w:rsidRDefault="008357EA" w:rsidP="009E34E2">
      <w:pPr>
        <w:pStyle w:val="ListParagraph"/>
        <w:spacing w:line="276" w:lineRule="auto"/>
        <w:rPr>
          <w:rFonts w:cs="Times New Roman"/>
        </w:rPr>
      </w:pPr>
    </w:p>
    <w:p w:rsidR="008357EA" w:rsidRPr="009E34E2" w:rsidRDefault="008357EA" w:rsidP="008C6C2B">
      <w:pPr>
        <w:pStyle w:val="ListParagraph"/>
        <w:numPr>
          <w:ilvl w:val="0"/>
          <w:numId w:val="10"/>
        </w:numPr>
        <w:spacing w:line="276" w:lineRule="auto"/>
        <w:rPr>
          <w:rFonts w:cs="Times New Roman"/>
          <w:b/>
        </w:rPr>
      </w:pPr>
      <w:r w:rsidRPr="009E34E2">
        <w:rPr>
          <w:rFonts w:cs="Times New Roman"/>
          <w:b/>
        </w:rPr>
        <w:t>Positions</w:t>
      </w:r>
    </w:p>
    <w:p w:rsidR="008357EA" w:rsidRPr="009E34E2" w:rsidRDefault="008357EA" w:rsidP="005D1964">
      <w:pPr>
        <w:pStyle w:val="ListParagraph"/>
        <w:tabs>
          <w:tab w:val="left" w:pos="720"/>
          <w:tab w:val="left" w:pos="900"/>
        </w:tabs>
        <w:spacing w:line="276" w:lineRule="auto"/>
        <w:ind w:left="1800" w:hanging="720"/>
        <w:rPr>
          <w:rFonts w:cs="Times New Roman"/>
        </w:rPr>
      </w:pPr>
      <w:r w:rsidRPr="009E34E2">
        <w:rPr>
          <w:rFonts w:cs="Times New Roman"/>
        </w:rPr>
        <w:t>i.</w:t>
      </w:r>
      <w:r w:rsidRPr="009E34E2">
        <w:rPr>
          <w:rFonts w:cs="Times New Roman"/>
        </w:rPr>
        <w:tab/>
        <w:t>Task Force Members concerned about this perceived cross subsidy suggest that any incentives or support of solar should be self-contained within each particular MLP service territory and supported by such MLP, or possibly MMWEC as a group.</w:t>
      </w:r>
    </w:p>
    <w:p w:rsidR="008357EA" w:rsidRPr="009E34E2" w:rsidRDefault="008357EA" w:rsidP="005D1964">
      <w:pPr>
        <w:spacing w:line="276" w:lineRule="auto"/>
        <w:ind w:left="1800" w:hanging="720"/>
        <w:rPr>
          <w:rFonts w:cs="Times New Roman"/>
        </w:rPr>
      </w:pPr>
      <w:r w:rsidRPr="009E34E2">
        <w:rPr>
          <w:rFonts w:cs="Times New Roman"/>
        </w:rPr>
        <w:t>ii.</w:t>
      </w:r>
      <w:r w:rsidRPr="009E34E2">
        <w:rPr>
          <w:rFonts w:cs="Times New Roman"/>
        </w:rPr>
        <w:tab/>
        <w:t>Other task force members question the subsidy concept, analogizing to RPS and out of state renewable energy generators.  In any event, such task force members want to avoid further burdens and costs imposed on MLPs by regulation or legislation</w:t>
      </w:r>
    </w:p>
    <w:p w:rsidR="008357EA" w:rsidRPr="009E34E2" w:rsidRDefault="008357EA" w:rsidP="009E34E2">
      <w:pPr>
        <w:spacing w:line="276" w:lineRule="auto"/>
        <w:rPr>
          <w:rFonts w:cs="Times New Roman"/>
        </w:rPr>
      </w:pPr>
    </w:p>
    <w:p w:rsidR="008357EA" w:rsidRPr="009E34E2" w:rsidRDefault="008357EA" w:rsidP="008C6C2B">
      <w:pPr>
        <w:pStyle w:val="ListParagraph"/>
        <w:numPr>
          <w:ilvl w:val="0"/>
          <w:numId w:val="10"/>
        </w:numPr>
        <w:spacing w:line="276" w:lineRule="auto"/>
        <w:contextualSpacing w:val="0"/>
        <w:rPr>
          <w:rFonts w:cs="Times New Roman"/>
        </w:rPr>
      </w:pPr>
      <w:r w:rsidRPr="009E34E2">
        <w:rPr>
          <w:rFonts w:cs="Times New Roman"/>
          <w:b/>
        </w:rPr>
        <w:t>Potential Compromise.</w:t>
      </w:r>
      <w:r w:rsidRPr="009E34E2">
        <w:rPr>
          <w:rFonts w:cs="Times New Roman"/>
        </w:rPr>
        <w:t>  As noted above, the compromise for this issue seems to be the same as consensus recommendation #1 – i.e. mention the issue, but acknowledge that a legislative solution would be politically difficult (if even possible) and would distract from the main efforts of the Task Force</w:t>
      </w:r>
    </w:p>
    <w:p w:rsidR="008357EA" w:rsidRPr="009E34E2" w:rsidRDefault="008357EA" w:rsidP="009E34E2">
      <w:pPr>
        <w:pStyle w:val="ListParagraph"/>
        <w:spacing w:line="276" w:lineRule="auto"/>
        <w:rPr>
          <w:rFonts w:cs="Times New Roman"/>
        </w:rPr>
      </w:pPr>
    </w:p>
    <w:p w:rsidR="008357EA" w:rsidRPr="009E34E2" w:rsidRDefault="008357EA" w:rsidP="009E34E2">
      <w:pPr>
        <w:spacing w:line="276" w:lineRule="auto"/>
        <w:ind w:left="360" w:hanging="360"/>
        <w:rPr>
          <w:rFonts w:cs="Times New Roman"/>
        </w:rPr>
      </w:pPr>
      <w:r w:rsidRPr="009E34E2">
        <w:rPr>
          <w:rFonts w:cs="Times New Roman"/>
        </w:rPr>
        <w:t xml:space="preserve">2.    </w:t>
      </w:r>
      <w:r w:rsidRPr="009E34E2">
        <w:rPr>
          <w:rFonts w:cs="Times New Roman"/>
          <w:b/>
        </w:rPr>
        <w:t>Reduce barriers to solar development within MLP service areas.</w:t>
      </w:r>
      <w:r w:rsidRPr="009E34E2">
        <w:rPr>
          <w:rFonts w:cs="Times New Roman"/>
        </w:rPr>
        <w:t>  Some solar developers complain that in certain MLP service territories, solar development is impossible or getting harder due to no net metering or low rates on net metering.</w:t>
      </w:r>
    </w:p>
    <w:p w:rsidR="008357EA" w:rsidRPr="005D1964" w:rsidRDefault="008357EA" w:rsidP="008C6C2B">
      <w:pPr>
        <w:pStyle w:val="ListParagraph"/>
        <w:numPr>
          <w:ilvl w:val="0"/>
          <w:numId w:val="11"/>
        </w:numPr>
        <w:spacing w:line="276" w:lineRule="auto"/>
        <w:contextualSpacing w:val="0"/>
        <w:rPr>
          <w:rFonts w:cs="Times New Roman"/>
          <w:b/>
        </w:rPr>
      </w:pPr>
      <w:r w:rsidRPr="005D1964">
        <w:rPr>
          <w:rFonts w:cs="Times New Roman"/>
          <w:b/>
        </w:rPr>
        <w:t>Positions</w:t>
      </w:r>
    </w:p>
    <w:p w:rsidR="008357EA" w:rsidRPr="009E34E2" w:rsidRDefault="008357EA" w:rsidP="008C6C2B">
      <w:pPr>
        <w:pStyle w:val="ListParagraph"/>
        <w:numPr>
          <w:ilvl w:val="0"/>
          <w:numId w:val="12"/>
        </w:numPr>
        <w:spacing w:line="276" w:lineRule="auto"/>
        <w:contextualSpacing w:val="0"/>
        <w:rPr>
          <w:rFonts w:cs="Times New Roman"/>
        </w:rPr>
      </w:pPr>
      <w:r w:rsidRPr="009E34E2">
        <w:rPr>
          <w:rFonts w:cs="Times New Roman"/>
        </w:rPr>
        <w:t>Make MLPs subject to same rules for incentives and net metering as IOUs and have them fund the relevant costs separate from IOU customers.</w:t>
      </w:r>
    </w:p>
    <w:p w:rsidR="008357EA" w:rsidRPr="009E34E2" w:rsidRDefault="008357EA" w:rsidP="008C6C2B">
      <w:pPr>
        <w:pStyle w:val="ListParagraph"/>
        <w:numPr>
          <w:ilvl w:val="0"/>
          <w:numId w:val="12"/>
        </w:numPr>
        <w:spacing w:line="276" w:lineRule="auto"/>
        <w:contextualSpacing w:val="0"/>
        <w:rPr>
          <w:rFonts w:cs="Times New Roman"/>
        </w:rPr>
      </w:pPr>
      <w:r w:rsidRPr="009E34E2">
        <w:rPr>
          <w:rFonts w:cs="Times New Roman"/>
        </w:rPr>
        <w:t>Encourage but not mandate MLPs to develop their own programs through technical assistance and education.  Refrain from imposing any requirements on MLPs/change nothing re MLPs from current status quo.</w:t>
      </w:r>
    </w:p>
    <w:p w:rsidR="008357EA" w:rsidRPr="009E34E2" w:rsidRDefault="008357EA" w:rsidP="009E34E2">
      <w:pPr>
        <w:spacing w:line="276" w:lineRule="auto"/>
        <w:rPr>
          <w:rFonts w:cs="Times New Roman"/>
        </w:rPr>
      </w:pPr>
    </w:p>
    <w:p w:rsidR="008357EA" w:rsidRPr="009E34E2" w:rsidRDefault="008357EA" w:rsidP="008C6C2B">
      <w:pPr>
        <w:pStyle w:val="ListParagraph"/>
        <w:numPr>
          <w:ilvl w:val="0"/>
          <w:numId w:val="11"/>
        </w:numPr>
        <w:spacing w:line="276" w:lineRule="auto"/>
        <w:contextualSpacing w:val="0"/>
        <w:rPr>
          <w:rFonts w:cs="Times New Roman"/>
        </w:rPr>
      </w:pPr>
      <w:r w:rsidRPr="005D1964">
        <w:rPr>
          <w:rFonts w:cs="Times New Roman"/>
          <w:b/>
        </w:rPr>
        <w:t>Potential compromise:</w:t>
      </w:r>
      <w:r w:rsidRPr="009E34E2">
        <w:rPr>
          <w:rFonts w:cs="Times New Roman"/>
        </w:rPr>
        <w:t>  2.a. ii.</w:t>
      </w:r>
    </w:p>
    <w:p w:rsidR="003825AF" w:rsidRPr="009E34E2" w:rsidRDefault="003825AF" w:rsidP="009E34E2">
      <w:pPr>
        <w:spacing w:line="276" w:lineRule="auto"/>
        <w:ind w:left="1080" w:firstLine="0"/>
        <w:contextualSpacing/>
      </w:pPr>
    </w:p>
    <w:sectPr w:rsidR="003825AF" w:rsidRPr="009E34E2" w:rsidSect="00114A18">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4E2" w:rsidRDefault="009E34E2" w:rsidP="00882B12">
      <w:r>
        <w:separator/>
      </w:r>
    </w:p>
  </w:endnote>
  <w:endnote w:type="continuationSeparator" w:id="0">
    <w:p w:rsidR="009E34E2" w:rsidRDefault="009E34E2" w:rsidP="00882B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945"/>
      <w:docPartObj>
        <w:docPartGallery w:val="Page Numbers (Bottom of Page)"/>
        <w:docPartUnique/>
      </w:docPartObj>
    </w:sdtPr>
    <w:sdtContent>
      <w:p w:rsidR="009E34E2" w:rsidRDefault="0066570E">
        <w:pPr>
          <w:pStyle w:val="Footer"/>
          <w:jc w:val="right"/>
        </w:pPr>
        <w:fldSimple w:instr=" PAGE   \* MERGEFORMAT ">
          <w:r w:rsidR="00884897">
            <w:rPr>
              <w:noProof/>
            </w:rPr>
            <w:t>1</w:t>
          </w:r>
        </w:fldSimple>
      </w:p>
    </w:sdtContent>
  </w:sdt>
  <w:p w:rsidR="009E34E2" w:rsidRDefault="009E34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4E2" w:rsidRDefault="009E34E2" w:rsidP="00882B12">
      <w:r>
        <w:separator/>
      </w:r>
    </w:p>
  </w:footnote>
  <w:footnote w:type="continuationSeparator" w:id="0">
    <w:p w:rsidR="009E34E2" w:rsidRDefault="009E34E2" w:rsidP="00882B12">
      <w:r>
        <w:continuationSeparator/>
      </w:r>
    </w:p>
  </w:footnote>
  <w:footnote w:id="1">
    <w:p w:rsidR="009E34E2" w:rsidRDefault="009E34E2" w:rsidP="008357EA">
      <w:pPr>
        <w:pStyle w:val="FootnoteText"/>
      </w:pPr>
      <w:r>
        <w:rPr>
          <w:rStyle w:val="FootnoteReference"/>
        </w:rPr>
        <w:footnoteRef/>
      </w:r>
      <w:r>
        <w:t xml:space="preserve"> This is based on the percentage of the total net metering cap space from www.massaca.org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A9C"/>
    <w:multiLevelType w:val="hybridMultilevel"/>
    <w:tmpl w:val="D4741ECC"/>
    <w:lvl w:ilvl="0" w:tplc="5EF8A6F6">
      <w:start w:val="1"/>
      <w:numFmt w:val="decimal"/>
      <w:lvlText w:val="%1."/>
      <w:lvlJc w:val="left"/>
      <w:pPr>
        <w:ind w:left="360" w:hanging="360"/>
      </w:pPr>
      <w:rPr>
        <w:b w:val="0"/>
        <w:bCs/>
      </w:rPr>
    </w:lvl>
    <w:lvl w:ilvl="1" w:tplc="DC6008AA">
      <w:start w:val="1"/>
      <w:numFmt w:val="lowerLetter"/>
      <w:lvlText w:val="%2."/>
      <w:lvlJc w:val="left"/>
      <w:pPr>
        <w:ind w:left="1080" w:hanging="360"/>
      </w:pPr>
      <w:rPr>
        <w:b w:val="0"/>
        <w:bCs/>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1750768"/>
    <w:multiLevelType w:val="hybridMultilevel"/>
    <w:tmpl w:val="35B031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0F71F5"/>
    <w:multiLevelType w:val="hybridMultilevel"/>
    <w:tmpl w:val="F3603FCA"/>
    <w:lvl w:ilvl="0" w:tplc="BEDA5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D62DA"/>
    <w:multiLevelType w:val="multilevel"/>
    <w:tmpl w:val="FF4EE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2147DA"/>
    <w:multiLevelType w:val="hybridMultilevel"/>
    <w:tmpl w:val="5A749E30"/>
    <w:lvl w:ilvl="0" w:tplc="28C21080">
      <w:start w:val="1"/>
      <w:numFmt w:val="decimal"/>
      <w:lvlText w:val="%1."/>
      <w:lvlJc w:val="left"/>
      <w:pPr>
        <w:ind w:left="360" w:hanging="360"/>
      </w:pPr>
      <w:rPr>
        <w:b w:val="0"/>
      </w:rPr>
    </w:lvl>
    <w:lvl w:ilvl="1" w:tplc="141E125A">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173FAB"/>
    <w:multiLevelType w:val="hybridMultilevel"/>
    <w:tmpl w:val="B824A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038F4"/>
    <w:multiLevelType w:val="hybridMultilevel"/>
    <w:tmpl w:val="35B031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8138BD"/>
    <w:multiLevelType w:val="hybridMultilevel"/>
    <w:tmpl w:val="B824A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F3609F"/>
    <w:multiLevelType w:val="hybridMultilevel"/>
    <w:tmpl w:val="34900ABC"/>
    <w:lvl w:ilvl="0" w:tplc="28C21080">
      <w:start w:val="1"/>
      <w:numFmt w:val="decimal"/>
      <w:lvlText w:val="%1."/>
      <w:lvlJc w:val="left"/>
      <w:pPr>
        <w:ind w:left="360" w:hanging="360"/>
      </w:pPr>
      <w:rPr>
        <w:b w:val="0"/>
      </w:rPr>
    </w:lvl>
    <w:lvl w:ilvl="1" w:tplc="CE4849A6">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D11D37"/>
    <w:multiLevelType w:val="hybridMultilevel"/>
    <w:tmpl w:val="EE8270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344D3C34"/>
    <w:multiLevelType w:val="hybridMultilevel"/>
    <w:tmpl w:val="35B031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3C408AF"/>
    <w:multiLevelType w:val="hybridMultilevel"/>
    <w:tmpl w:val="34900ABC"/>
    <w:lvl w:ilvl="0" w:tplc="28C21080">
      <w:start w:val="1"/>
      <w:numFmt w:val="decimal"/>
      <w:lvlText w:val="%1."/>
      <w:lvlJc w:val="left"/>
      <w:pPr>
        <w:ind w:left="360" w:hanging="360"/>
      </w:pPr>
      <w:rPr>
        <w:b w:val="0"/>
      </w:rPr>
    </w:lvl>
    <w:lvl w:ilvl="1" w:tplc="CE4849A6">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4D612C0"/>
    <w:multiLevelType w:val="hybridMultilevel"/>
    <w:tmpl w:val="A0DCA66C"/>
    <w:lvl w:ilvl="0" w:tplc="3FBA38FC">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4665590B"/>
    <w:multiLevelType w:val="hybridMultilevel"/>
    <w:tmpl w:val="35B031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37164F"/>
    <w:multiLevelType w:val="hybridMultilevel"/>
    <w:tmpl w:val="2466D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1C318A"/>
    <w:multiLevelType w:val="hybridMultilevel"/>
    <w:tmpl w:val="CAC0B1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5D36C3"/>
    <w:multiLevelType w:val="hybridMultilevel"/>
    <w:tmpl w:val="06508B32"/>
    <w:lvl w:ilvl="0" w:tplc="861EC45E">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0A1B2F"/>
    <w:multiLevelType w:val="hybridMultilevel"/>
    <w:tmpl w:val="35B031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46C501E"/>
    <w:multiLevelType w:val="hybridMultilevel"/>
    <w:tmpl w:val="9D903B8C"/>
    <w:lvl w:ilvl="0" w:tplc="FA727690">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67CD6245"/>
    <w:multiLevelType w:val="hybridMultilevel"/>
    <w:tmpl w:val="D8E212B8"/>
    <w:lvl w:ilvl="0" w:tplc="7A36F94C">
      <w:start w:val="1"/>
      <w:numFmt w:val="lowerLetter"/>
      <w:lvlText w:val="%1."/>
      <w:lvlJc w:val="left"/>
      <w:pPr>
        <w:ind w:left="99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697914A5"/>
    <w:multiLevelType w:val="hybridMultilevel"/>
    <w:tmpl w:val="67664384"/>
    <w:lvl w:ilvl="0" w:tplc="04090001">
      <w:start w:val="1"/>
      <w:numFmt w:val="bullet"/>
      <w:lvlText w:val=""/>
      <w:lvlJc w:val="left"/>
      <w:pPr>
        <w:ind w:left="2520" w:hanging="360"/>
      </w:pPr>
      <w:rPr>
        <w:rFonts w:ascii="Symbol" w:hAnsi="Symbol" w:hint="default"/>
        <w:b/>
        <w:bCs/>
      </w:rPr>
    </w:lvl>
    <w:lvl w:ilvl="1" w:tplc="0AAA6B9E">
      <w:start w:val="1"/>
      <w:numFmt w:val="lowerLetter"/>
      <w:lvlText w:val="%2."/>
      <w:lvlJc w:val="left"/>
      <w:pPr>
        <w:ind w:left="3240" w:hanging="360"/>
      </w:pPr>
      <w:rPr>
        <w:b/>
        <w:bCs/>
        <w:i w:val="0"/>
        <w:iCs w:val="0"/>
      </w:r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nsid w:val="6EAE60E2"/>
    <w:multiLevelType w:val="hybridMultilevel"/>
    <w:tmpl w:val="37B0E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C629EE"/>
    <w:multiLevelType w:val="hybridMultilevel"/>
    <w:tmpl w:val="35B031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1"/>
  </w:num>
  <w:num w:numId="3">
    <w:abstractNumId w:val="16"/>
  </w:num>
  <w:num w:numId="4">
    <w:abstractNumId w:val="0"/>
  </w:num>
  <w:num w:numId="5">
    <w:abstractNumId w:val="20"/>
  </w:num>
  <w:num w:numId="6">
    <w:abstractNumId w:val="7"/>
  </w:num>
  <w:num w:numId="7">
    <w:abstractNumId w:val="5"/>
  </w:num>
  <w:num w:numId="8">
    <w:abstractNumId w:val="14"/>
  </w:num>
  <w:num w:numId="9">
    <w:abstractNumId w:val="1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7"/>
  </w:num>
  <w:num w:numId="15">
    <w:abstractNumId w:val="6"/>
  </w:num>
  <w:num w:numId="16">
    <w:abstractNumId w:val="9"/>
  </w:num>
  <w:num w:numId="17">
    <w:abstractNumId w:val="4"/>
  </w:num>
  <w:num w:numId="18">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
  </w:num>
  <w:num w:numId="21">
    <w:abstractNumId w:val="21"/>
  </w:num>
  <w:num w:numId="22">
    <w:abstractNumId w:val="2"/>
  </w:num>
  <w:num w:numId="23">
    <w:abstractNumId w:val="1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71750"/>
    <w:rsid w:val="00021BD5"/>
    <w:rsid w:val="00023644"/>
    <w:rsid w:val="00026AB2"/>
    <w:rsid w:val="0006789A"/>
    <w:rsid w:val="000973C8"/>
    <w:rsid w:val="000A635C"/>
    <w:rsid w:val="000A7B3C"/>
    <w:rsid w:val="000C6052"/>
    <w:rsid w:val="000C74CF"/>
    <w:rsid w:val="000F7B1B"/>
    <w:rsid w:val="00114824"/>
    <w:rsid w:val="00114A18"/>
    <w:rsid w:val="00117754"/>
    <w:rsid w:val="00117C8B"/>
    <w:rsid w:val="00121BB4"/>
    <w:rsid w:val="00135B01"/>
    <w:rsid w:val="00137C16"/>
    <w:rsid w:val="0014153D"/>
    <w:rsid w:val="00157FD2"/>
    <w:rsid w:val="00176CE7"/>
    <w:rsid w:val="001B0291"/>
    <w:rsid w:val="001B42E4"/>
    <w:rsid w:val="00216478"/>
    <w:rsid w:val="00223015"/>
    <w:rsid w:val="00226A49"/>
    <w:rsid w:val="00240F5B"/>
    <w:rsid w:val="00271750"/>
    <w:rsid w:val="00294CEA"/>
    <w:rsid w:val="002B3B0F"/>
    <w:rsid w:val="002D0442"/>
    <w:rsid w:val="002D73CC"/>
    <w:rsid w:val="002F23F3"/>
    <w:rsid w:val="002F3D36"/>
    <w:rsid w:val="003055DE"/>
    <w:rsid w:val="00316155"/>
    <w:rsid w:val="00320EE6"/>
    <w:rsid w:val="00341024"/>
    <w:rsid w:val="003705CD"/>
    <w:rsid w:val="003825AF"/>
    <w:rsid w:val="00390C72"/>
    <w:rsid w:val="00393818"/>
    <w:rsid w:val="003A6E73"/>
    <w:rsid w:val="003B287C"/>
    <w:rsid w:val="003D1AA9"/>
    <w:rsid w:val="003D445D"/>
    <w:rsid w:val="003D7AF0"/>
    <w:rsid w:val="003F2171"/>
    <w:rsid w:val="003F6AFB"/>
    <w:rsid w:val="00405EA6"/>
    <w:rsid w:val="004124E5"/>
    <w:rsid w:val="00417A44"/>
    <w:rsid w:val="0042527C"/>
    <w:rsid w:val="00474876"/>
    <w:rsid w:val="0049791F"/>
    <w:rsid w:val="004A5B5C"/>
    <w:rsid w:val="004B2C7F"/>
    <w:rsid w:val="004C06D2"/>
    <w:rsid w:val="004D429D"/>
    <w:rsid w:val="004D7DB3"/>
    <w:rsid w:val="004F45EB"/>
    <w:rsid w:val="00501C36"/>
    <w:rsid w:val="00514D62"/>
    <w:rsid w:val="00536393"/>
    <w:rsid w:val="00540A41"/>
    <w:rsid w:val="005510C5"/>
    <w:rsid w:val="00557FBC"/>
    <w:rsid w:val="00562221"/>
    <w:rsid w:val="00562F34"/>
    <w:rsid w:val="0056698B"/>
    <w:rsid w:val="00567314"/>
    <w:rsid w:val="00580642"/>
    <w:rsid w:val="00583890"/>
    <w:rsid w:val="005A11F6"/>
    <w:rsid w:val="005D1964"/>
    <w:rsid w:val="005E6A87"/>
    <w:rsid w:val="00610CDD"/>
    <w:rsid w:val="006619F2"/>
    <w:rsid w:val="0066570E"/>
    <w:rsid w:val="006A69AE"/>
    <w:rsid w:val="006B67D4"/>
    <w:rsid w:val="006C4FE0"/>
    <w:rsid w:val="006C66EA"/>
    <w:rsid w:val="006E3152"/>
    <w:rsid w:val="006E4C26"/>
    <w:rsid w:val="007024F3"/>
    <w:rsid w:val="007026BC"/>
    <w:rsid w:val="007B194B"/>
    <w:rsid w:val="007D277D"/>
    <w:rsid w:val="007F7010"/>
    <w:rsid w:val="00816455"/>
    <w:rsid w:val="008357EA"/>
    <w:rsid w:val="00851833"/>
    <w:rsid w:val="0085653B"/>
    <w:rsid w:val="00864CEB"/>
    <w:rsid w:val="00872DC4"/>
    <w:rsid w:val="00882B12"/>
    <w:rsid w:val="0088323E"/>
    <w:rsid w:val="00884897"/>
    <w:rsid w:val="008C6C2B"/>
    <w:rsid w:val="008E063D"/>
    <w:rsid w:val="008E1C88"/>
    <w:rsid w:val="008F18E9"/>
    <w:rsid w:val="00902B8D"/>
    <w:rsid w:val="009346B4"/>
    <w:rsid w:val="0093770C"/>
    <w:rsid w:val="00937958"/>
    <w:rsid w:val="00945F94"/>
    <w:rsid w:val="00946ECB"/>
    <w:rsid w:val="0095256D"/>
    <w:rsid w:val="009630CF"/>
    <w:rsid w:val="00996192"/>
    <w:rsid w:val="009A1663"/>
    <w:rsid w:val="009A6D85"/>
    <w:rsid w:val="009C14B1"/>
    <w:rsid w:val="009C7987"/>
    <w:rsid w:val="009E34E2"/>
    <w:rsid w:val="009E35D0"/>
    <w:rsid w:val="009F177C"/>
    <w:rsid w:val="00A120B5"/>
    <w:rsid w:val="00A23131"/>
    <w:rsid w:val="00A37567"/>
    <w:rsid w:val="00A44F8D"/>
    <w:rsid w:val="00A51DB5"/>
    <w:rsid w:val="00A528C0"/>
    <w:rsid w:val="00A57054"/>
    <w:rsid w:val="00A748B7"/>
    <w:rsid w:val="00A8179E"/>
    <w:rsid w:val="00A85091"/>
    <w:rsid w:val="00A97666"/>
    <w:rsid w:val="00AA381B"/>
    <w:rsid w:val="00AA4C4B"/>
    <w:rsid w:val="00AA6E50"/>
    <w:rsid w:val="00AA7B68"/>
    <w:rsid w:val="00AC446C"/>
    <w:rsid w:val="00AD5814"/>
    <w:rsid w:val="00AD5D02"/>
    <w:rsid w:val="00AE14EF"/>
    <w:rsid w:val="00AF1C5E"/>
    <w:rsid w:val="00B211F1"/>
    <w:rsid w:val="00B362E5"/>
    <w:rsid w:val="00B3764E"/>
    <w:rsid w:val="00B505BA"/>
    <w:rsid w:val="00B81ECF"/>
    <w:rsid w:val="00B83202"/>
    <w:rsid w:val="00B95903"/>
    <w:rsid w:val="00B9639B"/>
    <w:rsid w:val="00BA31CA"/>
    <w:rsid w:val="00BA44A1"/>
    <w:rsid w:val="00BA57D4"/>
    <w:rsid w:val="00BB1E2C"/>
    <w:rsid w:val="00BC5FF8"/>
    <w:rsid w:val="00BC7595"/>
    <w:rsid w:val="00BD333F"/>
    <w:rsid w:val="00BE5EDF"/>
    <w:rsid w:val="00C07349"/>
    <w:rsid w:val="00C111BD"/>
    <w:rsid w:val="00C11C20"/>
    <w:rsid w:val="00C23AF5"/>
    <w:rsid w:val="00C37561"/>
    <w:rsid w:val="00C63BA5"/>
    <w:rsid w:val="00C65069"/>
    <w:rsid w:val="00C718ED"/>
    <w:rsid w:val="00C94654"/>
    <w:rsid w:val="00C959F6"/>
    <w:rsid w:val="00CA18A5"/>
    <w:rsid w:val="00CA5F7A"/>
    <w:rsid w:val="00CB3A8A"/>
    <w:rsid w:val="00CB4D6A"/>
    <w:rsid w:val="00CF4095"/>
    <w:rsid w:val="00D01174"/>
    <w:rsid w:val="00D35C80"/>
    <w:rsid w:val="00D36363"/>
    <w:rsid w:val="00D36B3F"/>
    <w:rsid w:val="00D60DA0"/>
    <w:rsid w:val="00D81F1C"/>
    <w:rsid w:val="00D83293"/>
    <w:rsid w:val="00D856EF"/>
    <w:rsid w:val="00D94291"/>
    <w:rsid w:val="00DA50B3"/>
    <w:rsid w:val="00DA7EA1"/>
    <w:rsid w:val="00DB3FF8"/>
    <w:rsid w:val="00E04D5B"/>
    <w:rsid w:val="00E10933"/>
    <w:rsid w:val="00E27E3E"/>
    <w:rsid w:val="00E432A0"/>
    <w:rsid w:val="00E57373"/>
    <w:rsid w:val="00E619AF"/>
    <w:rsid w:val="00E85AEC"/>
    <w:rsid w:val="00E85C1E"/>
    <w:rsid w:val="00E93711"/>
    <w:rsid w:val="00EA770C"/>
    <w:rsid w:val="00EB0A42"/>
    <w:rsid w:val="00EC0EF4"/>
    <w:rsid w:val="00EC70D5"/>
    <w:rsid w:val="00EE3346"/>
    <w:rsid w:val="00F15B57"/>
    <w:rsid w:val="00F162B4"/>
    <w:rsid w:val="00F26CC6"/>
    <w:rsid w:val="00F34693"/>
    <w:rsid w:val="00F35D5F"/>
    <w:rsid w:val="00F47F50"/>
    <w:rsid w:val="00F607CD"/>
    <w:rsid w:val="00F93583"/>
    <w:rsid w:val="00F9561A"/>
    <w:rsid w:val="00F9799D"/>
    <w:rsid w:val="00FB3958"/>
    <w:rsid w:val="00FD5929"/>
    <w:rsid w:val="00FD7536"/>
    <w:rsid w:val="00FE78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7C"/>
  </w:style>
  <w:style w:type="paragraph" w:styleId="Heading1">
    <w:name w:val="heading 1"/>
    <w:basedOn w:val="Normal"/>
    <w:next w:val="Normal"/>
    <w:link w:val="Heading1Char"/>
    <w:uiPriority w:val="9"/>
    <w:qFormat/>
    <w:rsid w:val="0042527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42527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42527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42527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42527C"/>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42527C"/>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42527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42527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42527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27C"/>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42527C"/>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42527C"/>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42527C"/>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42527C"/>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42527C"/>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42527C"/>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42527C"/>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42527C"/>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42527C"/>
    <w:rPr>
      <w:b/>
      <w:bCs/>
      <w:sz w:val="18"/>
      <w:szCs w:val="18"/>
    </w:rPr>
  </w:style>
  <w:style w:type="paragraph" w:styleId="Title">
    <w:name w:val="Title"/>
    <w:basedOn w:val="Normal"/>
    <w:next w:val="Normal"/>
    <w:link w:val="TitleChar"/>
    <w:uiPriority w:val="10"/>
    <w:qFormat/>
    <w:rsid w:val="0042527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42527C"/>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42527C"/>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42527C"/>
    <w:rPr>
      <w:rFonts w:asciiTheme="minorHAnsi"/>
      <w:i/>
      <w:iCs/>
      <w:sz w:val="24"/>
      <w:szCs w:val="24"/>
    </w:rPr>
  </w:style>
  <w:style w:type="character" w:styleId="Strong">
    <w:name w:val="Strong"/>
    <w:basedOn w:val="DefaultParagraphFont"/>
    <w:uiPriority w:val="22"/>
    <w:qFormat/>
    <w:rsid w:val="0042527C"/>
    <w:rPr>
      <w:b/>
      <w:bCs/>
      <w:spacing w:val="0"/>
    </w:rPr>
  </w:style>
  <w:style w:type="character" w:styleId="Emphasis">
    <w:name w:val="Emphasis"/>
    <w:uiPriority w:val="20"/>
    <w:qFormat/>
    <w:rsid w:val="0042527C"/>
    <w:rPr>
      <w:b/>
      <w:bCs/>
      <w:i/>
      <w:iCs/>
      <w:color w:val="5A5A5A" w:themeColor="text1" w:themeTint="A5"/>
    </w:rPr>
  </w:style>
  <w:style w:type="paragraph" w:styleId="NoSpacing">
    <w:name w:val="No Spacing"/>
    <w:basedOn w:val="Normal"/>
    <w:link w:val="NoSpacingChar"/>
    <w:uiPriority w:val="1"/>
    <w:qFormat/>
    <w:rsid w:val="0042527C"/>
    <w:pPr>
      <w:ind w:firstLine="0"/>
    </w:pPr>
  </w:style>
  <w:style w:type="character" w:customStyle="1" w:styleId="NoSpacingChar">
    <w:name w:val="No Spacing Char"/>
    <w:basedOn w:val="DefaultParagraphFont"/>
    <w:link w:val="NoSpacing"/>
    <w:uiPriority w:val="1"/>
    <w:rsid w:val="0042527C"/>
  </w:style>
  <w:style w:type="paragraph" w:styleId="ListParagraph">
    <w:name w:val="List Paragraph"/>
    <w:basedOn w:val="Normal"/>
    <w:uiPriority w:val="34"/>
    <w:qFormat/>
    <w:rsid w:val="0042527C"/>
    <w:pPr>
      <w:ind w:left="720"/>
      <w:contextualSpacing/>
    </w:pPr>
  </w:style>
  <w:style w:type="paragraph" w:styleId="Quote">
    <w:name w:val="Quote"/>
    <w:basedOn w:val="Normal"/>
    <w:next w:val="Normal"/>
    <w:link w:val="QuoteChar"/>
    <w:uiPriority w:val="29"/>
    <w:qFormat/>
    <w:rsid w:val="0042527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42527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42527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42527C"/>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42527C"/>
    <w:rPr>
      <w:i/>
      <w:iCs/>
      <w:color w:val="5A5A5A" w:themeColor="text1" w:themeTint="A5"/>
    </w:rPr>
  </w:style>
  <w:style w:type="character" w:styleId="IntenseEmphasis">
    <w:name w:val="Intense Emphasis"/>
    <w:uiPriority w:val="21"/>
    <w:qFormat/>
    <w:rsid w:val="0042527C"/>
    <w:rPr>
      <w:b/>
      <w:bCs/>
      <w:i/>
      <w:iCs/>
      <w:color w:val="4F81BD" w:themeColor="accent1"/>
      <w:sz w:val="22"/>
      <w:szCs w:val="22"/>
    </w:rPr>
  </w:style>
  <w:style w:type="character" w:styleId="SubtleReference">
    <w:name w:val="Subtle Reference"/>
    <w:uiPriority w:val="31"/>
    <w:qFormat/>
    <w:rsid w:val="0042527C"/>
    <w:rPr>
      <w:color w:val="auto"/>
      <w:u w:val="single" w:color="9BBB59" w:themeColor="accent3"/>
    </w:rPr>
  </w:style>
  <w:style w:type="character" w:styleId="IntenseReference">
    <w:name w:val="Intense Reference"/>
    <w:basedOn w:val="DefaultParagraphFont"/>
    <w:uiPriority w:val="32"/>
    <w:qFormat/>
    <w:rsid w:val="0042527C"/>
    <w:rPr>
      <w:b/>
      <w:bCs/>
      <w:color w:val="76923C" w:themeColor="accent3" w:themeShade="BF"/>
      <w:u w:val="single" w:color="9BBB59" w:themeColor="accent3"/>
    </w:rPr>
  </w:style>
  <w:style w:type="character" w:styleId="BookTitle">
    <w:name w:val="Book Title"/>
    <w:basedOn w:val="DefaultParagraphFont"/>
    <w:uiPriority w:val="33"/>
    <w:qFormat/>
    <w:rsid w:val="0042527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42527C"/>
    <w:pPr>
      <w:outlineLvl w:val="9"/>
    </w:pPr>
  </w:style>
  <w:style w:type="character" w:styleId="CommentReference">
    <w:name w:val="annotation reference"/>
    <w:basedOn w:val="DefaultParagraphFont"/>
    <w:uiPriority w:val="99"/>
    <w:semiHidden/>
    <w:unhideWhenUsed/>
    <w:rsid w:val="00021BD5"/>
    <w:rPr>
      <w:sz w:val="16"/>
      <w:szCs w:val="16"/>
    </w:rPr>
  </w:style>
  <w:style w:type="paragraph" w:styleId="CommentText">
    <w:name w:val="annotation text"/>
    <w:basedOn w:val="Normal"/>
    <w:link w:val="CommentTextChar"/>
    <w:uiPriority w:val="99"/>
    <w:semiHidden/>
    <w:unhideWhenUsed/>
    <w:rsid w:val="00021BD5"/>
    <w:rPr>
      <w:sz w:val="20"/>
      <w:szCs w:val="20"/>
    </w:rPr>
  </w:style>
  <w:style w:type="character" w:customStyle="1" w:styleId="CommentTextChar">
    <w:name w:val="Comment Text Char"/>
    <w:basedOn w:val="DefaultParagraphFont"/>
    <w:link w:val="CommentText"/>
    <w:uiPriority w:val="99"/>
    <w:semiHidden/>
    <w:rsid w:val="00021BD5"/>
    <w:rPr>
      <w:sz w:val="20"/>
      <w:szCs w:val="20"/>
    </w:rPr>
  </w:style>
  <w:style w:type="paragraph" w:styleId="CommentSubject">
    <w:name w:val="annotation subject"/>
    <w:basedOn w:val="CommentText"/>
    <w:next w:val="CommentText"/>
    <w:link w:val="CommentSubjectChar"/>
    <w:uiPriority w:val="99"/>
    <w:semiHidden/>
    <w:unhideWhenUsed/>
    <w:rsid w:val="00021BD5"/>
    <w:rPr>
      <w:b/>
      <w:bCs/>
    </w:rPr>
  </w:style>
  <w:style w:type="character" w:customStyle="1" w:styleId="CommentSubjectChar">
    <w:name w:val="Comment Subject Char"/>
    <w:basedOn w:val="CommentTextChar"/>
    <w:link w:val="CommentSubject"/>
    <w:uiPriority w:val="99"/>
    <w:semiHidden/>
    <w:rsid w:val="00021BD5"/>
    <w:rPr>
      <w:b/>
      <w:bCs/>
      <w:sz w:val="20"/>
      <w:szCs w:val="20"/>
    </w:rPr>
  </w:style>
  <w:style w:type="paragraph" w:styleId="BalloonText">
    <w:name w:val="Balloon Text"/>
    <w:basedOn w:val="Normal"/>
    <w:link w:val="BalloonTextChar"/>
    <w:uiPriority w:val="99"/>
    <w:semiHidden/>
    <w:unhideWhenUsed/>
    <w:rsid w:val="00021BD5"/>
    <w:rPr>
      <w:rFonts w:ascii="Tahoma" w:hAnsi="Tahoma" w:cs="Tahoma"/>
      <w:sz w:val="16"/>
      <w:szCs w:val="16"/>
    </w:rPr>
  </w:style>
  <w:style w:type="character" w:customStyle="1" w:styleId="BalloonTextChar">
    <w:name w:val="Balloon Text Char"/>
    <w:basedOn w:val="DefaultParagraphFont"/>
    <w:link w:val="BalloonText"/>
    <w:uiPriority w:val="99"/>
    <w:semiHidden/>
    <w:rsid w:val="00021BD5"/>
    <w:rPr>
      <w:rFonts w:ascii="Tahoma" w:hAnsi="Tahoma" w:cs="Tahoma"/>
      <w:sz w:val="16"/>
      <w:szCs w:val="16"/>
    </w:rPr>
  </w:style>
  <w:style w:type="paragraph" w:customStyle="1" w:styleId="Default">
    <w:name w:val="Default"/>
    <w:rsid w:val="00AA381B"/>
    <w:pPr>
      <w:autoSpaceDE w:val="0"/>
      <w:autoSpaceDN w:val="0"/>
      <w:adjustRightInd w:val="0"/>
      <w:ind w:firstLine="0"/>
    </w:pPr>
    <w:rPr>
      <w:rFonts w:ascii="Cambria" w:hAnsi="Cambria" w:cs="Cambria"/>
      <w:color w:val="000000"/>
      <w:sz w:val="24"/>
      <w:szCs w:val="24"/>
      <w:lang w:bidi="ar-SA"/>
    </w:rPr>
  </w:style>
  <w:style w:type="paragraph" w:styleId="Header">
    <w:name w:val="header"/>
    <w:basedOn w:val="Normal"/>
    <w:link w:val="HeaderChar"/>
    <w:uiPriority w:val="99"/>
    <w:semiHidden/>
    <w:unhideWhenUsed/>
    <w:rsid w:val="00882B12"/>
    <w:pPr>
      <w:tabs>
        <w:tab w:val="center" w:pos="4680"/>
        <w:tab w:val="right" w:pos="9360"/>
      </w:tabs>
    </w:pPr>
  </w:style>
  <w:style w:type="character" w:customStyle="1" w:styleId="HeaderChar">
    <w:name w:val="Header Char"/>
    <w:basedOn w:val="DefaultParagraphFont"/>
    <w:link w:val="Header"/>
    <w:uiPriority w:val="99"/>
    <w:semiHidden/>
    <w:rsid w:val="00882B12"/>
  </w:style>
  <w:style w:type="paragraph" w:styleId="Footer">
    <w:name w:val="footer"/>
    <w:basedOn w:val="Normal"/>
    <w:link w:val="FooterChar"/>
    <w:uiPriority w:val="99"/>
    <w:unhideWhenUsed/>
    <w:rsid w:val="00882B12"/>
    <w:pPr>
      <w:tabs>
        <w:tab w:val="center" w:pos="4680"/>
        <w:tab w:val="right" w:pos="9360"/>
      </w:tabs>
    </w:pPr>
  </w:style>
  <w:style w:type="character" w:customStyle="1" w:styleId="FooterChar">
    <w:name w:val="Footer Char"/>
    <w:basedOn w:val="DefaultParagraphFont"/>
    <w:link w:val="Footer"/>
    <w:uiPriority w:val="99"/>
    <w:rsid w:val="00882B12"/>
  </w:style>
  <w:style w:type="paragraph" w:styleId="Revision">
    <w:name w:val="Revision"/>
    <w:hidden/>
    <w:uiPriority w:val="99"/>
    <w:semiHidden/>
    <w:rsid w:val="009346B4"/>
    <w:pPr>
      <w:ind w:firstLine="0"/>
    </w:pPr>
  </w:style>
  <w:style w:type="paragraph" w:styleId="FootnoteText">
    <w:name w:val="footnote text"/>
    <w:basedOn w:val="Normal"/>
    <w:link w:val="FootnoteTextChar"/>
    <w:uiPriority w:val="99"/>
    <w:unhideWhenUsed/>
    <w:rsid w:val="008357EA"/>
    <w:pPr>
      <w:ind w:firstLine="0"/>
    </w:pPr>
    <w:rPr>
      <w:rFonts w:eastAsiaTheme="minorEastAsia"/>
      <w:sz w:val="20"/>
      <w:szCs w:val="20"/>
      <w:lang w:bidi="ar-SA"/>
    </w:rPr>
  </w:style>
  <w:style w:type="character" w:customStyle="1" w:styleId="FootnoteTextChar">
    <w:name w:val="Footnote Text Char"/>
    <w:basedOn w:val="DefaultParagraphFont"/>
    <w:link w:val="FootnoteText"/>
    <w:uiPriority w:val="99"/>
    <w:rsid w:val="008357EA"/>
    <w:rPr>
      <w:rFonts w:eastAsiaTheme="minorEastAsia"/>
      <w:sz w:val="20"/>
      <w:szCs w:val="20"/>
      <w:lang w:bidi="ar-SA"/>
    </w:rPr>
  </w:style>
  <w:style w:type="character" w:styleId="FootnoteReference">
    <w:name w:val="footnote reference"/>
    <w:basedOn w:val="DefaultParagraphFont"/>
    <w:uiPriority w:val="99"/>
    <w:semiHidden/>
    <w:unhideWhenUsed/>
    <w:rsid w:val="008357EA"/>
    <w:rPr>
      <w:vertAlign w:val="superscript"/>
    </w:rPr>
  </w:style>
  <w:style w:type="character" w:styleId="Hyperlink">
    <w:name w:val="Hyperlink"/>
    <w:basedOn w:val="DefaultParagraphFont"/>
    <w:uiPriority w:val="99"/>
    <w:semiHidden/>
    <w:unhideWhenUsed/>
    <w:rsid w:val="00902B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7C"/>
  </w:style>
  <w:style w:type="paragraph" w:styleId="Heading1">
    <w:name w:val="heading 1"/>
    <w:basedOn w:val="Normal"/>
    <w:next w:val="Normal"/>
    <w:link w:val="Heading1Char"/>
    <w:uiPriority w:val="9"/>
    <w:qFormat/>
    <w:rsid w:val="0042527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42527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42527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42527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42527C"/>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42527C"/>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42527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42527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42527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27C"/>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42527C"/>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42527C"/>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42527C"/>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42527C"/>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42527C"/>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42527C"/>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42527C"/>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42527C"/>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42527C"/>
    <w:rPr>
      <w:b/>
      <w:bCs/>
      <w:sz w:val="18"/>
      <w:szCs w:val="18"/>
    </w:rPr>
  </w:style>
  <w:style w:type="paragraph" w:styleId="Title">
    <w:name w:val="Title"/>
    <w:basedOn w:val="Normal"/>
    <w:next w:val="Normal"/>
    <w:link w:val="TitleChar"/>
    <w:uiPriority w:val="10"/>
    <w:qFormat/>
    <w:rsid w:val="0042527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42527C"/>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42527C"/>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42527C"/>
    <w:rPr>
      <w:rFonts w:asciiTheme="minorHAnsi"/>
      <w:i/>
      <w:iCs/>
      <w:sz w:val="24"/>
      <w:szCs w:val="24"/>
    </w:rPr>
  </w:style>
  <w:style w:type="character" w:styleId="Strong">
    <w:name w:val="Strong"/>
    <w:basedOn w:val="DefaultParagraphFont"/>
    <w:uiPriority w:val="22"/>
    <w:qFormat/>
    <w:rsid w:val="0042527C"/>
    <w:rPr>
      <w:b/>
      <w:bCs/>
      <w:spacing w:val="0"/>
    </w:rPr>
  </w:style>
  <w:style w:type="character" w:styleId="Emphasis">
    <w:name w:val="Emphasis"/>
    <w:uiPriority w:val="20"/>
    <w:qFormat/>
    <w:rsid w:val="0042527C"/>
    <w:rPr>
      <w:b/>
      <w:bCs/>
      <w:i/>
      <w:iCs/>
      <w:color w:val="5A5A5A" w:themeColor="text1" w:themeTint="A5"/>
    </w:rPr>
  </w:style>
  <w:style w:type="paragraph" w:styleId="NoSpacing">
    <w:name w:val="No Spacing"/>
    <w:basedOn w:val="Normal"/>
    <w:link w:val="NoSpacingChar"/>
    <w:uiPriority w:val="1"/>
    <w:qFormat/>
    <w:rsid w:val="0042527C"/>
    <w:pPr>
      <w:ind w:firstLine="0"/>
    </w:pPr>
  </w:style>
  <w:style w:type="character" w:customStyle="1" w:styleId="NoSpacingChar">
    <w:name w:val="No Spacing Char"/>
    <w:basedOn w:val="DefaultParagraphFont"/>
    <w:link w:val="NoSpacing"/>
    <w:uiPriority w:val="1"/>
    <w:rsid w:val="0042527C"/>
  </w:style>
  <w:style w:type="paragraph" w:styleId="ListParagraph">
    <w:name w:val="List Paragraph"/>
    <w:basedOn w:val="Normal"/>
    <w:uiPriority w:val="34"/>
    <w:qFormat/>
    <w:rsid w:val="0042527C"/>
    <w:pPr>
      <w:ind w:left="720"/>
      <w:contextualSpacing/>
    </w:pPr>
  </w:style>
  <w:style w:type="paragraph" w:styleId="Quote">
    <w:name w:val="Quote"/>
    <w:basedOn w:val="Normal"/>
    <w:next w:val="Normal"/>
    <w:link w:val="QuoteChar"/>
    <w:uiPriority w:val="29"/>
    <w:qFormat/>
    <w:rsid w:val="0042527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42527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42527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42527C"/>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42527C"/>
    <w:rPr>
      <w:i/>
      <w:iCs/>
      <w:color w:val="5A5A5A" w:themeColor="text1" w:themeTint="A5"/>
    </w:rPr>
  </w:style>
  <w:style w:type="character" w:styleId="IntenseEmphasis">
    <w:name w:val="Intense Emphasis"/>
    <w:uiPriority w:val="21"/>
    <w:qFormat/>
    <w:rsid w:val="0042527C"/>
    <w:rPr>
      <w:b/>
      <w:bCs/>
      <w:i/>
      <w:iCs/>
      <w:color w:val="4F81BD" w:themeColor="accent1"/>
      <w:sz w:val="22"/>
      <w:szCs w:val="22"/>
    </w:rPr>
  </w:style>
  <w:style w:type="character" w:styleId="SubtleReference">
    <w:name w:val="Subtle Reference"/>
    <w:uiPriority w:val="31"/>
    <w:qFormat/>
    <w:rsid w:val="0042527C"/>
    <w:rPr>
      <w:color w:val="auto"/>
      <w:u w:val="single" w:color="9BBB59" w:themeColor="accent3"/>
    </w:rPr>
  </w:style>
  <w:style w:type="character" w:styleId="IntenseReference">
    <w:name w:val="Intense Reference"/>
    <w:basedOn w:val="DefaultParagraphFont"/>
    <w:uiPriority w:val="32"/>
    <w:qFormat/>
    <w:rsid w:val="0042527C"/>
    <w:rPr>
      <w:b/>
      <w:bCs/>
      <w:color w:val="76923C" w:themeColor="accent3" w:themeShade="BF"/>
      <w:u w:val="single" w:color="9BBB59" w:themeColor="accent3"/>
    </w:rPr>
  </w:style>
  <w:style w:type="character" w:styleId="BookTitle">
    <w:name w:val="Book Title"/>
    <w:basedOn w:val="DefaultParagraphFont"/>
    <w:uiPriority w:val="33"/>
    <w:qFormat/>
    <w:rsid w:val="0042527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42527C"/>
    <w:pPr>
      <w:outlineLvl w:val="9"/>
    </w:pPr>
  </w:style>
  <w:style w:type="character" w:styleId="CommentReference">
    <w:name w:val="annotation reference"/>
    <w:basedOn w:val="DefaultParagraphFont"/>
    <w:uiPriority w:val="99"/>
    <w:semiHidden/>
    <w:unhideWhenUsed/>
    <w:rsid w:val="00021BD5"/>
    <w:rPr>
      <w:sz w:val="16"/>
      <w:szCs w:val="16"/>
    </w:rPr>
  </w:style>
  <w:style w:type="paragraph" w:styleId="CommentText">
    <w:name w:val="annotation text"/>
    <w:basedOn w:val="Normal"/>
    <w:link w:val="CommentTextChar"/>
    <w:uiPriority w:val="99"/>
    <w:semiHidden/>
    <w:unhideWhenUsed/>
    <w:rsid w:val="00021BD5"/>
    <w:rPr>
      <w:sz w:val="20"/>
      <w:szCs w:val="20"/>
    </w:rPr>
  </w:style>
  <w:style w:type="character" w:customStyle="1" w:styleId="CommentTextChar">
    <w:name w:val="Comment Text Char"/>
    <w:basedOn w:val="DefaultParagraphFont"/>
    <w:link w:val="CommentText"/>
    <w:uiPriority w:val="99"/>
    <w:semiHidden/>
    <w:rsid w:val="00021BD5"/>
    <w:rPr>
      <w:sz w:val="20"/>
      <w:szCs w:val="20"/>
    </w:rPr>
  </w:style>
  <w:style w:type="paragraph" w:styleId="CommentSubject">
    <w:name w:val="annotation subject"/>
    <w:basedOn w:val="CommentText"/>
    <w:next w:val="CommentText"/>
    <w:link w:val="CommentSubjectChar"/>
    <w:uiPriority w:val="99"/>
    <w:semiHidden/>
    <w:unhideWhenUsed/>
    <w:rsid w:val="00021BD5"/>
    <w:rPr>
      <w:b/>
      <w:bCs/>
    </w:rPr>
  </w:style>
  <w:style w:type="character" w:customStyle="1" w:styleId="CommentSubjectChar">
    <w:name w:val="Comment Subject Char"/>
    <w:basedOn w:val="CommentTextChar"/>
    <w:link w:val="CommentSubject"/>
    <w:uiPriority w:val="99"/>
    <w:semiHidden/>
    <w:rsid w:val="00021BD5"/>
    <w:rPr>
      <w:b/>
      <w:bCs/>
      <w:sz w:val="20"/>
      <w:szCs w:val="20"/>
    </w:rPr>
  </w:style>
  <w:style w:type="paragraph" w:styleId="BalloonText">
    <w:name w:val="Balloon Text"/>
    <w:basedOn w:val="Normal"/>
    <w:link w:val="BalloonTextChar"/>
    <w:uiPriority w:val="99"/>
    <w:semiHidden/>
    <w:unhideWhenUsed/>
    <w:rsid w:val="00021BD5"/>
    <w:rPr>
      <w:rFonts w:ascii="Tahoma" w:hAnsi="Tahoma" w:cs="Tahoma"/>
      <w:sz w:val="16"/>
      <w:szCs w:val="16"/>
    </w:rPr>
  </w:style>
  <w:style w:type="character" w:customStyle="1" w:styleId="BalloonTextChar">
    <w:name w:val="Balloon Text Char"/>
    <w:basedOn w:val="DefaultParagraphFont"/>
    <w:link w:val="BalloonText"/>
    <w:uiPriority w:val="99"/>
    <w:semiHidden/>
    <w:rsid w:val="00021BD5"/>
    <w:rPr>
      <w:rFonts w:ascii="Tahoma" w:hAnsi="Tahoma" w:cs="Tahoma"/>
      <w:sz w:val="16"/>
      <w:szCs w:val="16"/>
    </w:rPr>
  </w:style>
  <w:style w:type="paragraph" w:customStyle="1" w:styleId="Default">
    <w:name w:val="Default"/>
    <w:rsid w:val="00AA381B"/>
    <w:pPr>
      <w:autoSpaceDE w:val="0"/>
      <w:autoSpaceDN w:val="0"/>
      <w:adjustRightInd w:val="0"/>
      <w:ind w:firstLine="0"/>
    </w:pPr>
    <w:rPr>
      <w:rFonts w:ascii="Cambria" w:hAnsi="Cambria" w:cs="Cambria"/>
      <w:color w:val="000000"/>
      <w:sz w:val="24"/>
      <w:szCs w:val="24"/>
      <w:lang w:bidi="ar-SA"/>
    </w:rPr>
  </w:style>
  <w:style w:type="paragraph" w:styleId="Header">
    <w:name w:val="header"/>
    <w:basedOn w:val="Normal"/>
    <w:link w:val="HeaderChar"/>
    <w:uiPriority w:val="99"/>
    <w:semiHidden/>
    <w:unhideWhenUsed/>
    <w:rsid w:val="00882B12"/>
    <w:pPr>
      <w:tabs>
        <w:tab w:val="center" w:pos="4680"/>
        <w:tab w:val="right" w:pos="9360"/>
      </w:tabs>
    </w:pPr>
  </w:style>
  <w:style w:type="character" w:customStyle="1" w:styleId="HeaderChar">
    <w:name w:val="Header Char"/>
    <w:basedOn w:val="DefaultParagraphFont"/>
    <w:link w:val="Header"/>
    <w:uiPriority w:val="99"/>
    <w:semiHidden/>
    <w:rsid w:val="00882B12"/>
  </w:style>
  <w:style w:type="paragraph" w:styleId="Footer">
    <w:name w:val="footer"/>
    <w:basedOn w:val="Normal"/>
    <w:link w:val="FooterChar"/>
    <w:uiPriority w:val="99"/>
    <w:unhideWhenUsed/>
    <w:rsid w:val="00882B12"/>
    <w:pPr>
      <w:tabs>
        <w:tab w:val="center" w:pos="4680"/>
        <w:tab w:val="right" w:pos="9360"/>
      </w:tabs>
    </w:pPr>
  </w:style>
  <w:style w:type="character" w:customStyle="1" w:styleId="FooterChar">
    <w:name w:val="Footer Char"/>
    <w:basedOn w:val="DefaultParagraphFont"/>
    <w:link w:val="Footer"/>
    <w:uiPriority w:val="99"/>
    <w:rsid w:val="00882B12"/>
  </w:style>
  <w:style w:type="paragraph" w:styleId="Revision">
    <w:name w:val="Revision"/>
    <w:hidden/>
    <w:uiPriority w:val="99"/>
    <w:semiHidden/>
    <w:rsid w:val="009346B4"/>
    <w:pPr>
      <w:ind w:firstLine="0"/>
    </w:pPr>
  </w:style>
</w:styles>
</file>

<file path=word/webSettings.xml><?xml version="1.0" encoding="utf-8"?>
<w:webSettings xmlns:r="http://schemas.openxmlformats.org/officeDocument/2006/relationships" xmlns:w="http://schemas.openxmlformats.org/wordprocessingml/2006/main">
  <w:divs>
    <w:div w:id="111562605">
      <w:bodyDiv w:val="1"/>
      <w:marLeft w:val="0"/>
      <w:marRight w:val="0"/>
      <w:marTop w:val="0"/>
      <w:marBottom w:val="0"/>
      <w:divBdr>
        <w:top w:val="none" w:sz="0" w:space="0" w:color="auto"/>
        <w:left w:val="none" w:sz="0" w:space="0" w:color="auto"/>
        <w:bottom w:val="none" w:sz="0" w:space="0" w:color="auto"/>
        <w:right w:val="none" w:sz="0" w:space="0" w:color="auto"/>
      </w:divBdr>
    </w:div>
    <w:div w:id="229118821">
      <w:bodyDiv w:val="1"/>
      <w:marLeft w:val="0"/>
      <w:marRight w:val="0"/>
      <w:marTop w:val="0"/>
      <w:marBottom w:val="0"/>
      <w:divBdr>
        <w:top w:val="none" w:sz="0" w:space="0" w:color="auto"/>
        <w:left w:val="none" w:sz="0" w:space="0" w:color="auto"/>
        <w:bottom w:val="none" w:sz="0" w:space="0" w:color="auto"/>
        <w:right w:val="none" w:sz="0" w:space="0" w:color="auto"/>
      </w:divBdr>
    </w:div>
    <w:div w:id="420958146">
      <w:bodyDiv w:val="1"/>
      <w:marLeft w:val="0"/>
      <w:marRight w:val="0"/>
      <w:marTop w:val="0"/>
      <w:marBottom w:val="0"/>
      <w:divBdr>
        <w:top w:val="none" w:sz="0" w:space="0" w:color="auto"/>
        <w:left w:val="none" w:sz="0" w:space="0" w:color="auto"/>
        <w:bottom w:val="none" w:sz="0" w:space="0" w:color="auto"/>
        <w:right w:val="none" w:sz="0" w:space="0" w:color="auto"/>
      </w:divBdr>
    </w:div>
    <w:div w:id="517155521">
      <w:bodyDiv w:val="1"/>
      <w:marLeft w:val="0"/>
      <w:marRight w:val="0"/>
      <w:marTop w:val="0"/>
      <w:marBottom w:val="0"/>
      <w:divBdr>
        <w:top w:val="none" w:sz="0" w:space="0" w:color="auto"/>
        <w:left w:val="none" w:sz="0" w:space="0" w:color="auto"/>
        <w:bottom w:val="none" w:sz="0" w:space="0" w:color="auto"/>
        <w:right w:val="none" w:sz="0" w:space="0" w:color="auto"/>
      </w:divBdr>
      <w:divsChild>
        <w:div w:id="1300724440">
          <w:marLeft w:val="446"/>
          <w:marRight w:val="0"/>
          <w:marTop w:val="0"/>
          <w:marBottom w:val="0"/>
          <w:divBdr>
            <w:top w:val="none" w:sz="0" w:space="0" w:color="auto"/>
            <w:left w:val="none" w:sz="0" w:space="0" w:color="auto"/>
            <w:bottom w:val="none" w:sz="0" w:space="0" w:color="auto"/>
            <w:right w:val="none" w:sz="0" w:space="0" w:color="auto"/>
          </w:divBdr>
        </w:div>
        <w:div w:id="1983462188">
          <w:marLeft w:val="446"/>
          <w:marRight w:val="0"/>
          <w:marTop w:val="0"/>
          <w:marBottom w:val="0"/>
          <w:divBdr>
            <w:top w:val="none" w:sz="0" w:space="0" w:color="auto"/>
            <w:left w:val="none" w:sz="0" w:space="0" w:color="auto"/>
            <w:bottom w:val="none" w:sz="0" w:space="0" w:color="auto"/>
            <w:right w:val="none" w:sz="0" w:space="0" w:color="auto"/>
          </w:divBdr>
        </w:div>
      </w:divsChild>
    </w:div>
    <w:div w:id="1002707110">
      <w:bodyDiv w:val="1"/>
      <w:marLeft w:val="0"/>
      <w:marRight w:val="0"/>
      <w:marTop w:val="0"/>
      <w:marBottom w:val="0"/>
      <w:divBdr>
        <w:top w:val="none" w:sz="0" w:space="0" w:color="auto"/>
        <w:left w:val="none" w:sz="0" w:space="0" w:color="auto"/>
        <w:bottom w:val="none" w:sz="0" w:space="0" w:color="auto"/>
        <w:right w:val="none" w:sz="0" w:space="0" w:color="auto"/>
      </w:divBdr>
    </w:div>
    <w:div w:id="1132406026">
      <w:bodyDiv w:val="1"/>
      <w:marLeft w:val="0"/>
      <w:marRight w:val="0"/>
      <w:marTop w:val="0"/>
      <w:marBottom w:val="0"/>
      <w:divBdr>
        <w:top w:val="none" w:sz="0" w:space="0" w:color="auto"/>
        <w:left w:val="none" w:sz="0" w:space="0" w:color="auto"/>
        <w:bottom w:val="none" w:sz="0" w:space="0" w:color="auto"/>
        <w:right w:val="none" w:sz="0" w:space="0" w:color="auto"/>
      </w:divBdr>
    </w:div>
    <w:div w:id="208209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cuny.edu/about/resources/sustainability/nyssolar/NYSolarSmartPermitWorkshops/GEN-SUN-uspi-10_31.pdf"/>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14" Type="http://schemas.microsoft.com/office/2007/relationships/stylesWithEffects" Target="stylesWithEffects.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energycenter.org/sites/default/files/docs/nav/policy/research-and-reports/California_Solar_Permitting_Guidebook_2014.pdf"/>
  <Relationship Id="rId9" Type="http://schemas.openxmlformats.org/officeDocument/2006/relationships/hyperlink" TargetMode="External" Target="http://energycenter.org/permitting/guideboo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4C475-58A1-480C-9BEA-670120B9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4683</Words>
  <Characters>26699</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31320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2015-04-16T20:27:00Z</dcterms:created>
  <dc:creator>Dwayne Breger</dc:creator>
  <lastModifiedBy>Mike Judge</lastModifiedBy>
  <lastPrinted>2015-04-06T12:28:00Z</lastPrinted>
  <dcterms:modified xsi:type="dcterms:W3CDTF">2015-04-16T20:27:00Z</dcterms:modified>
  <revision>2</revision>
</coreProperties>
</file>