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DECA"/>
  <w:body>
    <w:p w14:paraId="2719F520" w14:textId="77777777" w:rsidR="00C32CC0" w:rsidRDefault="00C32CC0" w:rsidP="00262188">
      <w:pPr>
        <w:pStyle w:val="Heading1"/>
      </w:pPr>
      <w:r>
        <w:t>COMMONWEALTH OF MASSACHUSETTS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C32CC0" w:rsidRPr="004F74D7" w14:paraId="00D2121C" w14:textId="77777777" w:rsidTr="00EC3179">
        <w:tc>
          <w:tcPr>
            <w:tcW w:w="4675" w:type="dxa"/>
            <w:tcMar>
              <w:right w:w="115" w:type="dxa"/>
            </w:tcMar>
          </w:tcPr>
          <w:p w14:paraId="29DD8665" w14:textId="77777777" w:rsidR="00C32CC0" w:rsidRPr="00F851F8" w:rsidRDefault="001D5BB3" w:rsidP="00E22152">
            <w:pPr>
              <w:pStyle w:val="PlainText1"/>
              <w:rPr>
                <w:b/>
                <w:bCs/>
              </w:rPr>
            </w:pPr>
            <w:r w:rsidRPr="00F851F8">
              <w:rPr>
                <w:b/>
                <w:bCs/>
              </w:rPr>
              <w:t>Middlesex</w:t>
            </w:r>
            <w:r w:rsidR="00C32CC0" w:rsidRPr="00F851F8">
              <w:rPr>
                <w:b/>
                <w:bCs/>
              </w:rPr>
              <w:t>, ss.</w:t>
            </w:r>
          </w:p>
        </w:tc>
        <w:tc>
          <w:tcPr>
            <w:tcW w:w="4675" w:type="dxa"/>
          </w:tcPr>
          <w:p w14:paraId="3279AC41" w14:textId="77777777" w:rsidR="00C32CC0" w:rsidRPr="004F74D7" w:rsidRDefault="00C32CC0" w:rsidP="004F74D7">
            <w:pPr>
              <w:spacing w:line="240" w:lineRule="auto"/>
              <w:ind w:firstLine="0"/>
              <w:rPr>
                <w:b/>
                <w:bCs/>
              </w:rPr>
            </w:pPr>
            <w:r w:rsidRPr="004F74D7">
              <w:rPr>
                <w:b/>
                <w:bCs/>
              </w:rPr>
              <w:t>Division of Administrative Law Appeals</w:t>
            </w:r>
          </w:p>
        </w:tc>
      </w:tr>
      <w:tr w:rsidR="002F4B7F" w:rsidRPr="004F74D7" w14:paraId="36B8A4B8" w14:textId="77777777" w:rsidTr="00EC3179">
        <w:tc>
          <w:tcPr>
            <w:tcW w:w="4675" w:type="dxa"/>
            <w:tcMar>
              <w:right w:w="115" w:type="dxa"/>
            </w:tcMar>
          </w:tcPr>
          <w:p w14:paraId="160D5D25" w14:textId="77777777" w:rsidR="002F4B7F" w:rsidRPr="002F4B7F" w:rsidRDefault="002F4B7F" w:rsidP="00E22152">
            <w:pPr>
              <w:pStyle w:val="PlainText1"/>
            </w:pPr>
          </w:p>
        </w:tc>
        <w:tc>
          <w:tcPr>
            <w:tcW w:w="4675" w:type="dxa"/>
          </w:tcPr>
          <w:p w14:paraId="19BB04ED" w14:textId="77777777" w:rsidR="002F4B7F" w:rsidRPr="004F74D7" w:rsidRDefault="002F4B7F" w:rsidP="004F74D7">
            <w:pPr>
              <w:spacing w:line="240" w:lineRule="auto"/>
              <w:ind w:firstLine="0"/>
              <w:rPr>
                <w:b/>
                <w:bCs/>
              </w:rPr>
            </w:pPr>
          </w:p>
        </w:tc>
      </w:tr>
      <w:tr w:rsidR="008C1F51" w:rsidRPr="00FE3340" w14:paraId="0E3732DB" w14:textId="77777777" w:rsidTr="00EC3179">
        <w:tc>
          <w:tcPr>
            <w:tcW w:w="4675" w:type="dxa"/>
            <w:tcMar>
              <w:right w:w="115" w:type="dxa"/>
            </w:tcMar>
          </w:tcPr>
          <w:p w14:paraId="6493F3E8" w14:textId="20302A1A" w:rsidR="008C1F51" w:rsidRPr="002F4B7F" w:rsidRDefault="00BA12FD" w:rsidP="008C1F51">
            <w:pPr>
              <w:spacing w:line="240" w:lineRule="auto"/>
              <w:ind w:firstLine="0"/>
            </w:pPr>
            <w:r>
              <w:rPr>
                <w:b/>
                <w:bCs/>
              </w:rPr>
              <w:t>Board of Registration in Medicine</w:t>
            </w:r>
            <w:r w:rsidR="008C1F51" w:rsidRPr="002F4B7F">
              <w:t>,</w:t>
            </w:r>
          </w:p>
        </w:tc>
        <w:tc>
          <w:tcPr>
            <w:tcW w:w="4675" w:type="dxa"/>
          </w:tcPr>
          <w:p w14:paraId="1B00F156" w14:textId="6CEB2E9E" w:rsidR="008C1F51" w:rsidRPr="00FE3340" w:rsidRDefault="004F74D7" w:rsidP="008C1F51">
            <w:pPr>
              <w:spacing w:line="240" w:lineRule="auto"/>
              <w:ind w:firstLine="0"/>
            </w:pPr>
            <w:r w:rsidRPr="00FE3340">
              <w:t xml:space="preserve">No. </w:t>
            </w:r>
            <w:r w:rsidR="00584062">
              <w:t>RM-25-0238</w:t>
            </w:r>
          </w:p>
        </w:tc>
      </w:tr>
      <w:tr w:rsidR="008C1F51" w:rsidRPr="00FE3340" w14:paraId="5C07F73A" w14:textId="77777777" w:rsidTr="00EC3179">
        <w:tc>
          <w:tcPr>
            <w:tcW w:w="4675" w:type="dxa"/>
            <w:tcMar>
              <w:right w:w="115" w:type="dxa"/>
            </w:tcMar>
          </w:tcPr>
          <w:p w14:paraId="76A6C164" w14:textId="77777777" w:rsidR="008C1F51" w:rsidRPr="002F4B7F" w:rsidRDefault="008C1F51" w:rsidP="008C1F51">
            <w:pPr>
              <w:spacing w:line="240" w:lineRule="auto"/>
              <w:ind w:left="720" w:firstLine="0"/>
            </w:pPr>
            <w:r w:rsidRPr="002F4B7F">
              <w:t>Petitioner,</w:t>
            </w:r>
          </w:p>
        </w:tc>
        <w:tc>
          <w:tcPr>
            <w:tcW w:w="4675" w:type="dxa"/>
          </w:tcPr>
          <w:p w14:paraId="7655FE41" w14:textId="77777777" w:rsidR="008C1F51" w:rsidRPr="00FE3340" w:rsidRDefault="008C1F51" w:rsidP="008C1F51">
            <w:pPr>
              <w:spacing w:line="240" w:lineRule="auto"/>
              <w:ind w:firstLine="0"/>
            </w:pPr>
          </w:p>
        </w:tc>
      </w:tr>
      <w:tr w:rsidR="008C1F51" w:rsidRPr="00FE3340" w14:paraId="1AC55E83" w14:textId="77777777" w:rsidTr="00EC3179">
        <w:tc>
          <w:tcPr>
            <w:tcW w:w="4675" w:type="dxa"/>
            <w:tcMar>
              <w:right w:w="115" w:type="dxa"/>
            </w:tcMar>
          </w:tcPr>
          <w:p w14:paraId="38A45066" w14:textId="77777777" w:rsidR="008C1F51" w:rsidRPr="002F4B7F" w:rsidRDefault="008C1F51" w:rsidP="008C1F51">
            <w:pPr>
              <w:spacing w:line="240" w:lineRule="auto"/>
              <w:ind w:firstLine="0"/>
            </w:pPr>
          </w:p>
        </w:tc>
        <w:tc>
          <w:tcPr>
            <w:tcW w:w="4675" w:type="dxa"/>
          </w:tcPr>
          <w:p w14:paraId="12AD3B37" w14:textId="6AA6DCB2" w:rsidR="008C1F51" w:rsidRPr="00FE3340" w:rsidRDefault="000B4192" w:rsidP="008C1F51">
            <w:pPr>
              <w:spacing w:line="240" w:lineRule="auto"/>
              <w:ind w:firstLine="0"/>
            </w:pPr>
            <w:r w:rsidRPr="000B4192">
              <w:t>Dated</w:t>
            </w:r>
            <w:proofErr w:type="gramStart"/>
            <w:r w:rsidRPr="000B4192">
              <w:t xml:space="preserve">:  </w:t>
            </w:r>
            <w:r w:rsidR="00D05B6C">
              <w:t>June</w:t>
            </w:r>
            <w:proofErr w:type="gramEnd"/>
            <w:r w:rsidR="00D05B6C">
              <w:t xml:space="preserve"> 25, 2025</w:t>
            </w:r>
          </w:p>
        </w:tc>
      </w:tr>
      <w:tr w:rsidR="008C1F51" w:rsidRPr="00FE3340" w14:paraId="3612609D" w14:textId="77777777" w:rsidTr="00EC3179">
        <w:tc>
          <w:tcPr>
            <w:tcW w:w="4675" w:type="dxa"/>
            <w:tcMar>
              <w:right w:w="115" w:type="dxa"/>
            </w:tcMar>
          </w:tcPr>
          <w:p w14:paraId="20C77D8A" w14:textId="77777777" w:rsidR="008C1F51" w:rsidRPr="002F4B7F" w:rsidRDefault="008C1F51" w:rsidP="008C1F51">
            <w:pPr>
              <w:spacing w:line="240" w:lineRule="auto"/>
              <w:ind w:left="720" w:firstLine="0"/>
            </w:pPr>
            <w:r w:rsidRPr="002F4B7F">
              <w:t>v.</w:t>
            </w:r>
          </w:p>
        </w:tc>
        <w:tc>
          <w:tcPr>
            <w:tcW w:w="4675" w:type="dxa"/>
          </w:tcPr>
          <w:p w14:paraId="2027E895" w14:textId="77777777" w:rsidR="008C1F51" w:rsidRPr="00FE3340" w:rsidRDefault="008C1F51" w:rsidP="004F74D7">
            <w:pPr>
              <w:spacing w:line="240" w:lineRule="auto"/>
              <w:ind w:firstLine="0"/>
            </w:pPr>
          </w:p>
        </w:tc>
      </w:tr>
      <w:tr w:rsidR="008C1F51" w:rsidRPr="00FE3340" w14:paraId="0025FFA9" w14:textId="77777777" w:rsidTr="00EC3179">
        <w:tc>
          <w:tcPr>
            <w:tcW w:w="4675" w:type="dxa"/>
            <w:tcMar>
              <w:right w:w="115" w:type="dxa"/>
            </w:tcMar>
          </w:tcPr>
          <w:p w14:paraId="7A11419F" w14:textId="77777777" w:rsidR="008C1F51" w:rsidRPr="002F4B7F" w:rsidRDefault="008C1F51" w:rsidP="008C1F51">
            <w:pPr>
              <w:spacing w:line="240" w:lineRule="auto"/>
              <w:ind w:firstLine="0"/>
            </w:pPr>
          </w:p>
        </w:tc>
        <w:tc>
          <w:tcPr>
            <w:tcW w:w="4675" w:type="dxa"/>
          </w:tcPr>
          <w:p w14:paraId="030F61C2" w14:textId="77777777" w:rsidR="008C1F51" w:rsidRPr="00FE3340" w:rsidRDefault="008C1F51" w:rsidP="008C1F51">
            <w:pPr>
              <w:spacing w:line="240" w:lineRule="auto"/>
              <w:ind w:firstLine="0"/>
            </w:pPr>
          </w:p>
        </w:tc>
      </w:tr>
      <w:tr w:rsidR="008C1F51" w:rsidRPr="00FE3340" w14:paraId="5AAA631E" w14:textId="77777777" w:rsidTr="00EC3179">
        <w:tc>
          <w:tcPr>
            <w:tcW w:w="4675" w:type="dxa"/>
            <w:tcMar>
              <w:right w:w="115" w:type="dxa"/>
            </w:tcMar>
          </w:tcPr>
          <w:p w14:paraId="4CCDA201" w14:textId="00EDAFD8" w:rsidR="008C1F51" w:rsidRPr="002F4B7F" w:rsidRDefault="00BA12FD" w:rsidP="008C1F51">
            <w:pPr>
              <w:spacing w:line="240" w:lineRule="auto"/>
              <w:ind w:firstLine="0"/>
            </w:pPr>
            <w:r>
              <w:rPr>
                <w:b/>
                <w:bCs/>
              </w:rPr>
              <w:t>Elizabeth T. Curtis, M.D.</w:t>
            </w:r>
            <w:r w:rsidR="008C1F51" w:rsidRPr="002F4B7F">
              <w:t>,</w:t>
            </w:r>
          </w:p>
        </w:tc>
        <w:tc>
          <w:tcPr>
            <w:tcW w:w="4675" w:type="dxa"/>
          </w:tcPr>
          <w:p w14:paraId="07CCE644" w14:textId="77777777" w:rsidR="008C1F51" w:rsidRPr="00FE3340" w:rsidRDefault="008C1F51" w:rsidP="008C1F51">
            <w:pPr>
              <w:spacing w:line="240" w:lineRule="auto"/>
              <w:ind w:firstLine="0"/>
            </w:pPr>
          </w:p>
        </w:tc>
      </w:tr>
      <w:tr w:rsidR="008C1F51" w:rsidRPr="00FE3340" w14:paraId="71B46DBD" w14:textId="77777777" w:rsidTr="00EC3179">
        <w:tc>
          <w:tcPr>
            <w:tcW w:w="4675" w:type="dxa"/>
            <w:tcMar>
              <w:right w:w="115" w:type="dxa"/>
            </w:tcMar>
          </w:tcPr>
          <w:p w14:paraId="55A95A60" w14:textId="77777777" w:rsidR="008C1F51" w:rsidRPr="002F4B7F" w:rsidRDefault="008C1F51" w:rsidP="008C1F51">
            <w:pPr>
              <w:spacing w:line="240" w:lineRule="auto"/>
              <w:ind w:left="720" w:firstLine="0"/>
            </w:pPr>
            <w:r w:rsidRPr="002F4B7F">
              <w:t>Respondent.</w:t>
            </w:r>
          </w:p>
        </w:tc>
        <w:tc>
          <w:tcPr>
            <w:tcW w:w="4675" w:type="dxa"/>
          </w:tcPr>
          <w:p w14:paraId="5CFD04F7" w14:textId="77777777" w:rsidR="008C1F51" w:rsidRPr="00FE3340" w:rsidRDefault="008C1F51" w:rsidP="008C1F51">
            <w:pPr>
              <w:spacing w:line="240" w:lineRule="auto"/>
              <w:ind w:firstLine="0"/>
            </w:pPr>
          </w:p>
        </w:tc>
      </w:tr>
    </w:tbl>
    <w:p w14:paraId="31E2EF16" w14:textId="77777777" w:rsidR="004F74D7" w:rsidRDefault="004F74D7" w:rsidP="008C1F51">
      <w:pPr>
        <w:pStyle w:val="PlainText1"/>
      </w:pPr>
    </w:p>
    <w:p w14:paraId="69FAE98B" w14:textId="5587DA81" w:rsidR="00E22152" w:rsidRDefault="0076702F" w:rsidP="00262188">
      <w:pPr>
        <w:pStyle w:val="Heading1"/>
      </w:pPr>
      <w:r>
        <w:t>ORDER</w:t>
      </w:r>
      <w:r w:rsidR="00BA12FD">
        <w:t xml:space="preserve"> GRANTING </w:t>
      </w:r>
      <w:r w:rsidR="00E1035B">
        <w:t xml:space="preserve">RECOMMENDED </w:t>
      </w:r>
      <w:r w:rsidR="00BA12FD">
        <w:t xml:space="preserve">DECISION </w:t>
      </w:r>
      <w:r w:rsidR="00E1035B">
        <w:br/>
      </w:r>
      <w:r w:rsidR="00BA12FD">
        <w:t>BY DEFAULT</w:t>
      </w:r>
    </w:p>
    <w:p w14:paraId="6660A6B6" w14:textId="155CF728" w:rsidR="00584062" w:rsidRDefault="00584062" w:rsidP="00584062">
      <w:r>
        <w:t xml:space="preserve">Complaint counsel’s motion for a </w:t>
      </w:r>
      <w:r w:rsidR="00924168">
        <w:t xml:space="preserve">recommended </w:t>
      </w:r>
      <w:r>
        <w:t xml:space="preserve">decision by default is </w:t>
      </w:r>
      <w:r w:rsidR="00887EC2">
        <w:t xml:space="preserve">meritorious </w:t>
      </w:r>
      <w:r>
        <w:t xml:space="preserve">for the reasons stated there.  Dr. Curtis has defaulted by failing to file an answer and </w:t>
      </w:r>
      <w:r w:rsidR="00924168">
        <w:t xml:space="preserve">by </w:t>
      </w:r>
      <w:r w:rsidRPr="00584062">
        <w:t xml:space="preserve">failing to appear for the </w:t>
      </w:r>
      <w:r>
        <w:t xml:space="preserve">May 2025 </w:t>
      </w:r>
      <w:r w:rsidRPr="00584062">
        <w:t>prehearing conference</w:t>
      </w:r>
      <w:r>
        <w:t xml:space="preserve">.  She also has not opposed the board’s motion.  </w:t>
      </w:r>
      <w:r w:rsidRPr="00584062">
        <w:rPr>
          <w:i/>
          <w:iCs/>
        </w:rPr>
        <w:t>See generally</w:t>
      </w:r>
      <w:r>
        <w:t xml:space="preserve"> </w:t>
      </w:r>
      <w:bookmarkStart w:id="0" w:name="_Hlk89413621"/>
      <w:r>
        <w:t xml:space="preserve">G.L. c. 30A, § 10; </w:t>
      </w:r>
      <w:bookmarkEnd w:id="0"/>
      <w:r>
        <w:t>801 C.M.R. § 1.01(7)(g)(2).</w:t>
      </w:r>
    </w:p>
    <w:p w14:paraId="1D6A6E00" w14:textId="3DE5E7CD" w:rsidR="00597109" w:rsidRDefault="00584062" w:rsidP="00584062">
      <w:r>
        <w:t xml:space="preserve">The </w:t>
      </w:r>
      <w:r w:rsidR="00924168">
        <w:t>result</w:t>
      </w:r>
      <w:r>
        <w:t xml:space="preserve"> of Dr. Curtis’s default is that the board’s “factual allegations . . . are accepted as true for the purposes of establishing . . . liability.”  </w:t>
      </w:r>
      <w:r w:rsidRPr="00472203">
        <w:rPr>
          <w:i/>
          <w:iCs/>
        </w:rPr>
        <w:t xml:space="preserve">Eagle Fund, Ltd. v. </w:t>
      </w:r>
      <w:proofErr w:type="spellStart"/>
      <w:r w:rsidRPr="00472203">
        <w:rPr>
          <w:i/>
          <w:iCs/>
        </w:rPr>
        <w:t>Sarkans</w:t>
      </w:r>
      <w:proofErr w:type="spellEnd"/>
      <w:r>
        <w:t xml:space="preserve">, 63 Mass. App. Ct. 79, 83 n.8 (2005).  The board’s </w:t>
      </w:r>
      <w:r w:rsidR="00597109">
        <w:t xml:space="preserve">factual allegations are that Dr. Curtis failed to respond to a board letter within thirty days, failed to respond to a board order within ten days, and failed to </w:t>
      </w:r>
      <w:r w:rsidR="003D65FB">
        <w:t xml:space="preserve">comply with </w:t>
      </w:r>
      <w:r w:rsidR="00597109">
        <w:t>two board subpoenas.</w:t>
      </w:r>
    </w:p>
    <w:p w14:paraId="27574D07" w14:textId="0FF01EAF" w:rsidR="00584062" w:rsidRDefault="00597109" w:rsidP="00EA45FC">
      <w:r>
        <w:t xml:space="preserve">With these facts accepted as true, what remains </w:t>
      </w:r>
      <w:r w:rsidR="00924168">
        <w:t xml:space="preserve">to be </w:t>
      </w:r>
      <w:r w:rsidR="00E1035B">
        <w:t>analyzed</w:t>
      </w:r>
      <w:r w:rsidR="00924168">
        <w:t xml:space="preserve"> is</w:t>
      </w:r>
      <w:r>
        <w:t xml:space="preserve"> their legal consequences.  </w:t>
      </w:r>
      <w:r w:rsidRPr="00597109">
        <w:rPr>
          <w:i/>
          <w:iCs/>
        </w:rPr>
        <w:t>See</w:t>
      </w:r>
      <w:r w:rsidRPr="00597109">
        <w:t xml:space="preserve"> </w:t>
      </w:r>
      <w:r w:rsidRPr="00584062">
        <w:rPr>
          <w:i/>
          <w:iCs/>
        </w:rPr>
        <w:t>Ceruolo v. Garcia</w:t>
      </w:r>
      <w:r w:rsidRPr="00584062">
        <w:t>, 92 Mass. App. Ct. 185, 191 (2017)</w:t>
      </w:r>
      <w:r w:rsidRPr="00597109">
        <w:t xml:space="preserve">; </w:t>
      </w:r>
      <w:proofErr w:type="spellStart"/>
      <w:r w:rsidRPr="00597109">
        <w:rPr>
          <w:i/>
          <w:iCs/>
        </w:rPr>
        <w:t>Bissanti</w:t>
      </w:r>
      <w:proofErr w:type="spellEnd"/>
      <w:r w:rsidRPr="00597109">
        <w:rPr>
          <w:i/>
          <w:iCs/>
        </w:rPr>
        <w:t xml:space="preserve"> Design/Build Grp. v. McClay</w:t>
      </w:r>
      <w:r w:rsidRPr="00597109">
        <w:t xml:space="preserve">, 32 Mass. App. Ct. 469, 471 (1992).  </w:t>
      </w:r>
      <w:r>
        <w:t>The consequences here are simple.</w:t>
      </w:r>
      <w:r w:rsidR="00EA45FC">
        <w:t xml:space="preserve">  Board regulations required Dr. Curtis to respond to the board’s letter within thirty days and to its order within ten days.  </w:t>
      </w:r>
      <w:r>
        <w:t xml:space="preserve">243 C.M.R. </w:t>
      </w:r>
      <w:r w:rsidR="00EA45FC">
        <w:t>§</w:t>
      </w:r>
      <w:r>
        <w:t>§ 1.03(7),</w:t>
      </w:r>
      <w:r w:rsidR="00EA45FC">
        <w:t xml:space="preserve"> </w:t>
      </w:r>
      <w:r w:rsidRPr="00597109">
        <w:t>2.07(12)(b)</w:t>
      </w:r>
      <w:r>
        <w:t>.</w:t>
      </w:r>
      <w:r w:rsidR="00EA45FC">
        <w:t xml:space="preserve">  By failing to take those actions, </w:t>
      </w:r>
      <w:r w:rsidR="00924168">
        <w:t xml:space="preserve">Dr. Curtis </w:t>
      </w:r>
      <w:r w:rsidR="00EA45FC">
        <w:t xml:space="preserve">simultaneously denied the board “documents [or] information to which [it was] legally entitled,” </w:t>
      </w:r>
      <w:r w:rsidR="00EA45FC" w:rsidRPr="00924168">
        <w:rPr>
          <w:i/>
          <w:iCs/>
        </w:rPr>
        <w:t>id.</w:t>
      </w:r>
      <w:r w:rsidR="00EA45FC">
        <w:t xml:space="preserve"> </w:t>
      </w:r>
      <w:r w:rsidR="00EA45FC" w:rsidRPr="00EA45FC">
        <w:t>§ 1.03(5)(a)(16)</w:t>
      </w:r>
      <w:r w:rsidR="00EA45FC">
        <w:t>, and violated “regulation</w:t>
      </w:r>
      <w:r w:rsidR="003D65FB">
        <w:t>[s]</w:t>
      </w:r>
      <w:r w:rsidR="00EA45FC">
        <w:t xml:space="preserve"> of the Board,” </w:t>
      </w:r>
      <w:r w:rsidR="00EA45FC" w:rsidRPr="00924168">
        <w:rPr>
          <w:i/>
          <w:iCs/>
        </w:rPr>
        <w:t>id.</w:t>
      </w:r>
      <w:r w:rsidR="00EA45FC">
        <w:t xml:space="preserve"> § </w:t>
      </w:r>
      <w:r w:rsidR="00EA45FC" w:rsidRPr="00EA45FC">
        <w:t>1.03(5)(a)(11)</w:t>
      </w:r>
      <w:r w:rsidR="00EA45FC">
        <w:t>.  Th</w:t>
      </w:r>
      <w:r w:rsidR="00924168">
        <w:t>e</w:t>
      </w:r>
      <w:r w:rsidR="00EA45FC">
        <w:t xml:space="preserve">se are </w:t>
      </w:r>
      <w:r w:rsidR="00EA45FC">
        <w:lastRenderedPageBreak/>
        <w:t xml:space="preserve">proper bases for imposing discipline on Dr. Curtis, as is her failure to </w:t>
      </w:r>
      <w:r w:rsidR="003D65FB">
        <w:t xml:space="preserve">comply with </w:t>
      </w:r>
      <w:r w:rsidR="00EA45FC">
        <w:t xml:space="preserve">the board’s subpoenas.  </w:t>
      </w:r>
      <w:r w:rsidR="00EA45FC" w:rsidRPr="00924168">
        <w:rPr>
          <w:i/>
          <w:iCs/>
        </w:rPr>
        <w:t>Id.</w:t>
      </w:r>
      <w:r w:rsidR="00EA45FC">
        <w:t xml:space="preserve"> </w:t>
      </w:r>
      <w:r w:rsidR="00EA45FC" w:rsidRPr="00EA45FC">
        <w:t>§ 1.03(5)(a)(16)</w:t>
      </w:r>
      <w:r w:rsidR="00584062">
        <w:t>.</w:t>
      </w:r>
    </w:p>
    <w:p w14:paraId="59DE6F6F" w14:textId="7ACA716C" w:rsidR="00B4000A" w:rsidRDefault="00924168" w:rsidP="003D65FB">
      <w:r>
        <w:t xml:space="preserve">In view of the foregoing, it is hereby ORDERED that the </w:t>
      </w:r>
      <w:r w:rsidRPr="00924168">
        <w:t xml:space="preserve">motion for a </w:t>
      </w:r>
      <w:r>
        <w:t xml:space="preserve">recommended </w:t>
      </w:r>
      <w:r w:rsidRPr="00924168">
        <w:t xml:space="preserve">decision by default is </w:t>
      </w:r>
      <w:r>
        <w:t xml:space="preserve">ALLOWED.  A recommended decision is hereby entered </w:t>
      </w:r>
      <w:proofErr w:type="gramStart"/>
      <w:r>
        <w:t>to</w:t>
      </w:r>
      <w:proofErr w:type="gramEnd"/>
      <w:r>
        <w:t xml:space="preserve"> the effect that the board may impose discipline on Dr. Curtis </w:t>
      </w:r>
      <w:proofErr w:type="gramStart"/>
      <w:r w:rsidRPr="00924168">
        <w:t>on the basis of</w:t>
      </w:r>
      <w:proofErr w:type="gramEnd"/>
      <w:r w:rsidRPr="00924168">
        <w:t xml:space="preserve"> the allegations and theories appearing in the statement of allegations.</w:t>
      </w:r>
      <w:r w:rsidR="003D65FB" w:rsidRPr="003D65FB">
        <w:rPr>
          <w:vertAlign w:val="superscript"/>
        </w:rPr>
        <w:footnoteReference w:id="1"/>
      </w:r>
    </w:p>
    <w:p w14:paraId="4565CB6B" w14:textId="77777777" w:rsidR="00FE3340" w:rsidRDefault="00373F7B" w:rsidP="00D40599">
      <w:pPr>
        <w:pStyle w:val="PlainText1"/>
        <w:keepNext/>
        <w:ind w:left="4320"/>
      </w:pPr>
      <w:r>
        <w:br/>
      </w:r>
      <w:r w:rsidR="00FE3340">
        <w:t>Division of Administrative Law Appeals</w:t>
      </w:r>
    </w:p>
    <w:p w14:paraId="6D399665" w14:textId="77777777" w:rsidR="00FE3340" w:rsidRDefault="00FE3340" w:rsidP="00D40599">
      <w:pPr>
        <w:pStyle w:val="PlainText1"/>
        <w:keepNext/>
        <w:ind w:left="4320"/>
      </w:pPr>
    </w:p>
    <w:p w14:paraId="554B8851" w14:textId="50E91CE3" w:rsidR="001944A3" w:rsidRPr="00DA224E" w:rsidRDefault="00DA224E" w:rsidP="00D40599">
      <w:pPr>
        <w:pStyle w:val="PlainText1"/>
        <w:keepNext/>
        <w:ind w:left="4320"/>
        <w:rPr>
          <w:u w:val="single"/>
        </w:rPr>
      </w:pPr>
      <w:r w:rsidRPr="00DA224E">
        <w:rPr>
          <w:u w:val="single"/>
        </w:rPr>
        <w:t>/s/ Yakov Malkiel</w:t>
      </w:r>
    </w:p>
    <w:p w14:paraId="4DB96D5B" w14:textId="77777777" w:rsidR="00FE3340" w:rsidRDefault="00FE3340" w:rsidP="00D40599">
      <w:pPr>
        <w:pStyle w:val="PlainText1"/>
        <w:keepNext/>
        <w:ind w:left="4320"/>
      </w:pPr>
      <w:r>
        <w:t>Yakov Malkiel</w:t>
      </w:r>
    </w:p>
    <w:p w14:paraId="5DA52568" w14:textId="77777777" w:rsidR="00742574" w:rsidRPr="00E22152" w:rsidRDefault="00FE3340" w:rsidP="00260B8F">
      <w:pPr>
        <w:pStyle w:val="PlainText1"/>
        <w:keepNext/>
        <w:ind w:left="4320"/>
      </w:pPr>
      <w:r>
        <w:t>Administrative Magistrate</w:t>
      </w:r>
    </w:p>
    <w:sectPr w:rsidR="00742574" w:rsidRPr="00E22152" w:rsidSect="00A64A4D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CC0F" w14:textId="77777777" w:rsidR="00EF309B" w:rsidRDefault="00EF309B" w:rsidP="00E22152">
      <w:r>
        <w:separator/>
      </w:r>
    </w:p>
  </w:endnote>
  <w:endnote w:type="continuationSeparator" w:id="0">
    <w:p w14:paraId="613B8C46" w14:textId="77777777" w:rsidR="00EF309B" w:rsidRDefault="00EF309B" w:rsidP="00E2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5030" w14:textId="77777777" w:rsidR="00A64A4D" w:rsidRPr="00A64A4D" w:rsidRDefault="002E79E8" w:rsidP="008C1F51">
    <w:pPr>
      <w:pStyle w:val="PlainText1"/>
      <w:jc w:val="center"/>
    </w:pPr>
    <w:sdt>
      <w:sdtPr>
        <w:id w:val="-8686151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3449D" w:rsidRPr="00A64A4D">
          <w:fldChar w:fldCharType="begin"/>
        </w:r>
        <w:r w:rsidR="00F3449D" w:rsidRPr="00A64A4D">
          <w:instrText xml:space="preserve"> PAGE   \* MERGEFORMAT </w:instrText>
        </w:r>
        <w:r w:rsidR="00F3449D" w:rsidRPr="00A64A4D">
          <w:fldChar w:fldCharType="separate"/>
        </w:r>
        <w:r w:rsidR="00F3449D">
          <w:t>2</w:t>
        </w:r>
        <w:r w:rsidR="00F3449D" w:rsidRPr="00A64A4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6145" w14:textId="77777777" w:rsidR="00EF309B" w:rsidRDefault="00EF309B" w:rsidP="00BF3D3C">
      <w:pPr>
        <w:spacing w:after="120" w:line="240" w:lineRule="auto"/>
      </w:pPr>
      <w:r>
        <w:separator/>
      </w:r>
    </w:p>
  </w:footnote>
  <w:footnote w:type="continuationSeparator" w:id="0">
    <w:p w14:paraId="174D5230" w14:textId="77777777" w:rsidR="00EF309B" w:rsidRDefault="00EF309B" w:rsidP="00B220A8">
      <w:pPr>
        <w:ind w:firstLine="0"/>
      </w:pPr>
      <w:r>
        <w:continuationSeparator/>
      </w:r>
    </w:p>
  </w:footnote>
  <w:footnote w:id="1">
    <w:p w14:paraId="67E8BBD4" w14:textId="73C92F63" w:rsidR="003D65FB" w:rsidRDefault="003D65FB" w:rsidP="003D65FB">
      <w:pPr>
        <w:pStyle w:val="FootnoteText"/>
      </w:pPr>
      <w:r>
        <w:rPr>
          <w:rStyle w:val="FootnoteReference"/>
        </w:rPr>
        <w:footnoteRef/>
      </w:r>
      <w:r>
        <w:t xml:space="preserve"> In case complaint counsel intended to suggest otherwise, </w:t>
      </w:r>
      <w:r w:rsidRPr="00EA45FC">
        <w:t xml:space="preserve">Dr. Curtis cannot be </w:t>
      </w:r>
      <w:r>
        <w:t xml:space="preserve">disciplined in this docket for her failure to file an answer and other default-justifying actions.  </w:t>
      </w:r>
      <w:r w:rsidRPr="00887EC2">
        <w:rPr>
          <w:i/>
          <w:iCs/>
        </w:rPr>
        <w:t>See generally</w:t>
      </w:r>
      <w:r>
        <w:t xml:space="preserve"> </w:t>
      </w:r>
      <w:r w:rsidRPr="00887EC2">
        <w:rPr>
          <w:i/>
          <w:iCs/>
        </w:rPr>
        <w:t xml:space="preserve">Police </w:t>
      </w:r>
      <w:proofErr w:type="spellStart"/>
      <w:r w:rsidRPr="00887EC2">
        <w:rPr>
          <w:i/>
          <w:iCs/>
        </w:rPr>
        <w:t>Dep’t</w:t>
      </w:r>
      <w:proofErr w:type="spellEnd"/>
      <w:r w:rsidRPr="00887EC2">
        <w:rPr>
          <w:i/>
          <w:iCs/>
        </w:rPr>
        <w:t xml:space="preserve"> of Boston v. </w:t>
      </w:r>
      <w:proofErr w:type="spellStart"/>
      <w:r w:rsidRPr="00887EC2">
        <w:rPr>
          <w:i/>
          <w:iCs/>
        </w:rPr>
        <w:t>Kavaleski</w:t>
      </w:r>
      <w:proofErr w:type="spellEnd"/>
      <w:r w:rsidRPr="00887EC2">
        <w:t xml:space="preserve">, 463 Mass. 680, 690-91 (2012); </w:t>
      </w:r>
      <w:r w:rsidRPr="00887EC2">
        <w:rPr>
          <w:i/>
          <w:iCs/>
        </w:rPr>
        <w:t>Langlitz v. Board of Registration of Chiropractors</w:t>
      </w:r>
      <w:r w:rsidRPr="00887EC2">
        <w:t>, 396 Mass. 374, 377-78 (1985)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762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D04F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69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40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5053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2C8E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A9D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0E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4E5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061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8B4658"/>
    <w:multiLevelType w:val="hybridMultilevel"/>
    <w:tmpl w:val="ADA64248"/>
    <w:lvl w:ilvl="0" w:tplc="2EE45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D9107E"/>
    <w:multiLevelType w:val="hybridMultilevel"/>
    <w:tmpl w:val="B48CFEA6"/>
    <w:lvl w:ilvl="0" w:tplc="E18A1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15A813C">
      <w:start w:val="1"/>
      <w:numFmt w:val="decimal"/>
      <w:pStyle w:val="Numberedorderparagraph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859313">
    <w:abstractNumId w:val="9"/>
  </w:num>
  <w:num w:numId="2" w16cid:durableId="1564486201">
    <w:abstractNumId w:val="7"/>
  </w:num>
  <w:num w:numId="3" w16cid:durableId="994455007">
    <w:abstractNumId w:val="6"/>
  </w:num>
  <w:num w:numId="4" w16cid:durableId="170487738">
    <w:abstractNumId w:val="5"/>
  </w:num>
  <w:num w:numId="5" w16cid:durableId="600799067">
    <w:abstractNumId w:val="4"/>
  </w:num>
  <w:num w:numId="6" w16cid:durableId="742797374">
    <w:abstractNumId w:val="8"/>
  </w:num>
  <w:num w:numId="7" w16cid:durableId="857811288">
    <w:abstractNumId w:val="3"/>
  </w:num>
  <w:num w:numId="8" w16cid:durableId="1462848851">
    <w:abstractNumId w:val="2"/>
  </w:num>
  <w:num w:numId="9" w16cid:durableId="1859926220">
    <w:abstractNumId w:val="1"/>
  </w:num>
  <w:num w:numId="10" w16cid:durableId="202181627">
    <w:abstractNumId w:val="0"/>
  </w:num>
  <w:num w:numId="11" w16cid:durableId="1339578371">
    <w:abstractNumId w:val="10"/>
  </w:num>
  <w:num w:numId="12" w16cid:durableId="1931305232">
    <w:abstractNumId w:val="11"/>
  </w:num>
  <w:num w:numId="13" w16cid:durableId="790128866">
    <w:abstractNumId w:val="11"/>
  </w:num>
  <w:num w:numId="14" w16cid:durableId="1652784616">
    <w:abstractNumId w:val="11"/>
  </w:num>
  <w:num w:numId="15" w16cid:durableId="715662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FD"/>
    <w:rsid w:val="0000424D"/>
    <w:rsid w:val="00010B8E"/>
    <w:rsid w:val="00013F96"/>
    <w:rsid w:val="00015AC5"/>
    <w:rsid w:val="000327FB"/>
    <w:rsid w:val="0004402C"/>
    <w:rsid w:val="00057687"/>
    <w:rsid w:val="000A00EF"/>
    <w:rsid w:val="000B0AAC"/>
    <w:rsid w:val="000B4192"/>
    <w:rsid w:val="000C09ED"/>
    <w:rsid w:val="00161EA6"/>
    <w:rsid w:val="0017326F"/>
    <w:rsid w:val="00186295"/>
    <w:rsid w:val="00187741"/>
    <w:rsid w:val="00192DA3"/>
    <w:rsid w:val="001944A3"/>
    <w:rsid w:val="001D5BB3"/>
    <w:rsid w:val="002051CE"/>
    <w:rsid w:val="002158AD"/>
    <w:rsid w:val="002168AB"/>
    <w:rsid w:val="002168BF"/>
    <w:rsid w:val="002315DB"/>
    <w:rsid w:val="00260B8F"/>
    <w:rsid w:val="00262188"/>
    <w:rsid w:val="0026591B"/>
    <w:rsid w:val="002A09F2"/>
    <w:rsid w:val="002A331A"/>
    <w:rsid w:val="002A6D79"/>
    <w:rsid w:val="002A722E"/>
    <w:rsid w:val="002B2EC0"/>
    <w:rsid w:val="002E79E8"/>
    <w:rsid w:val="002F40B1"/>
    <w:rsid w:val="002F4B7F"/>
    <w:rsid w:val="00315355"/>
    <w:rsid w:val="00373F7B"/>
    <w:rsid w:val="00375D34"/>
    <w:rsid w:val="00376C2C"/>
    <w:rsid w:val="003C0E5D"/>
    <w:rsid w:val="003D3D55"/>
    <w:rsid w:val="003D65FB"/>
    <w:rsid w:val="0040028E"/>
    <w:rsid w:val="004166A7"/>
    <w:rsid w:val="00472681"/>
    <w:rsid w:val="00473EF9"/>
    <w:rsid w:val="00483D50"/>
    <w:rsid w:val="004842BB"/>
    <w:rsid w:val="00486BF4"/>
    <w:rsid w:val="00487419"/>
    <w:rsid w:val="00491599"/>
    <w:rsid w:val="004D1025"/>
    <w:rsid w:val="004F74D7"/>
    <w:rsid w:val="005101B9"/>
    <w:rsid w:val="0053447C"/>
    <w:rsid w:val="00581F17"/>
    <w:rsid w:val="00584062"/>
    <w:rsid w:val="00597109"/>
    <w:rsid w:val="005A339D"/>
    <w:rsid w:val="005A4BF9"/>
    <w:rsid w:val="005E284C"/>
    <w:rsid w:val="005F1810"/>
    <w:rsid w:val="005F73B1"/>
    <w:rsid w:val="0060251B"/>
    <w:rsid w:val="006125FD"/>
    <w:rsid w:val="00626D5B"/>
    <w:rsid w:val="0064369B"/>
    <w:rsid w:val="00660802"/>
    <w:rsid w:val="006B50EF"/>
    <w:rsid w:val="006B70BE"/>
    <w:rsid w:val="006D63E6"/>
    <w:rsid w:val="006E0443"/>
    <w:rsid w:val="006E0D60"/>
    <w:rsid w:val="006F2C34"/>
    <w:rsid w:val="006F3100"/>
    <w:rsid w:val="00735B3A"/>
    <w:rsid w:val="00742574"/>
    <w:rsid w:val="007669A9"/>
    <w:rsid w:val="0076702F"/>
    <w:rsid w:val="00771571"/>
    <w:rsid w:val="00771D39"/>
    <w:rsid w:val="00794625"/>
    <w:rsid w:val="007A4D14"/>
    <w:rsid w:val="007B738D"/>
    <w:rsid w:val="00803368"/>
    <w:rsid w:val="008210F1"/>
    <w:rsid w:val="008251E2"/>
    <w:rsid w:val="008363EA"/>
    <w:rsid w:val="00845449"/>
    <w:rsid w:val="00887EC2"/>
    <w:rsid w:val="008927A7"/>
    <w:rsid w:val="0089515B"/>
    <w:rsid w:val="008C1F51"/>
    <w:rsid w:val="008C7D6E"/>
    <w:rsid w:val="00904340"/>
    <w:rsid w:val="00924168"/>
    <w:rsid w:val="0092449B"/>
    <w:rsid w:val="0093696D"/>
    <w:rsid w:val="00936A06"/>
    <w:rsid w:val="00944397"/>
    <w:rsid w:val="00997F0B"/>
    <w:rsid w:val="009B46E9"/>
    <w:rsid w:val="009C464C"/>
    <w:rsid w:val="009E3F81"/>
    <w:rsid w:val="00A40C90"/>
    <w:rsid w:val="00A64A4D"/>
    <w:rsid w:val="00AA3A7E"/>
    <w:rsid w:val="00AB28BD"/>
    <w:rsid w:val="00AC7F03"/>
    <w:rsid w:val="00AE3EA0"/>
    <w:rsid w:val="00AF2A36"/>
    <w:rsid w:val="00B0032D"/>
    <w:rsid w:val="00B220A8"/>
    <w:rsid w:val="00B23FF9"/>
    <w:rsid w:val="00B2438B"/>
    <w:rsid w:val="00B4000A"/>
    <w:rsid w:val="00B40157"/>
    <w:rsid w:val="00B43685"/>
    <w:rsid w:val="00B52ADA"/>
    <w:rsid w:val="00B718CC"/>
    <w:rsid w:val="00B8155C"/>
    <w:rsid w:val="00B84AE6"/>
    <w:rsid w:val="00BA12FD"/>
    <w:rsid w:val="00BB42C0"/>
    <w:rsid w:val="00BF3D3C"/>
    <w:rsid w:val="00C13963"/>
    <w:rsid w:val="00C3283C"/>
    <w:rsid w:val="00C32CC0"/>
    <w:rsid w:val="00C33C50"/>
    <w:rsid w:val="00C6577C"/>
    <w:rsid w:val="00C71BAF"/>
    <w:rsid w:val="00C817BB"/>
    <w:rsid w:val="00C9091B"/>
    <w:rsid w:val="00CC3EA6"/>
    <w:rsid w:val="00CD23AE"/>
    <w:rsid w:val="00D05B6C"/>
    <w:rsid w:val="00D27148"/>
    <w:rsid w:val="00D40599"/>
    <w:rsid w:val="00D70225"/>
    <w:rsid w:val="00D84D6B"/>
    <w:rsid w:val="00DA224E"/>
    <w:rsid w:val="00DA6998"/>
    <w:rsid w:val="00DB2253"/>
    <w:rsid w:val="00DB5E85"/>
    <w:rsid w:val="00DF7F0A"/>
    <w:rsid w:val="00E1035B"/>
    <w:rsid w:val="00E22152"/>
    <w:rsid w:val="00E25B4C"/>
    <w:rsid w:val="00E41DCF"/>
    <w:rsid w:val="00E622DF"/>
    <w:rsid w:val="00E75678"/>
    <w:rsid w:val="00E83E90"/>
    <w:rsid w:val="00E90F75"/>
    <w:rsid w:val="00E97BB4"/>
    <w:rsid w:val="00EA1D2D"/>
    <w:rsid w:val="00EA45FC"/>
    <w:rsid w:val="00EA5D3D"/>
    <w:rsid w:val="00EC3179"/>
    <w:rsid w:val="00EE1153"/>
    <w:rsid w:val="00EF309B"/>
    <w:rsid w:val="00F30A42"/>
    <w:rsid w:val="00F3449D"/>
    <w:rsid w:val="00F44B6E"/>
    <w:rsid w:val="00F575B5"/>
    <w:rsid w:val="00F57C83"/>
    <w:rsid w:val="00F73A8D"/>
    <w:rsid w:val="00F76DF4"/>
    <w:rsid w:val="00F77FBE"/>
    <w:rsid w:val="00F851F8"/>
    <w:rsid w:val="00FC7BDE"/>
    <w:rsid w:val="00FD7C0F"/>
    <w:rsid w:val="00FE3340"/>
    <w:rsid w:val="00FE45B4"/>
    <w:rsid w:val="00FE5B3A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3BD8A"/>
  <w15:chartTrackingRefBased/>
  <w15:docId w15:val="{FABBAA72-42D9-4616-8D3B-D4A90119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157"/>
    <w:pPr>
      <w:spacing w:after="0" w:line="48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81"/>
    <w:pPr>
      <w:keepNext/>
      <w:spacing w:after="240" w:line="240" w:lineRule="auto"/>
      <w:ind w:firstLine="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Post-quote"/>
    <w:link w:val="QuoteChar"/>
    <w:uiPriority w:val="29"/>
    <w:qFormat/>
    <w:rsid w:val="00AF2A36"/>
    <w:pPr>
      <w:spacing w:after="240" w:line="240" w:lineRule="auto"/>
      <w:ind w:left="1440" w:right="720" w:firstLine="0"/>
    </w:pPr>
  </w:style>
  <w:style w:type="character" w:customStyle="1" w:styleId="QuoteChar">
    <w:name w:val="Quote Char"/>
    <w:basedOn w:val="DefaultParagraphFont"/>
    <w:link w:val="Quote"/>
    <w:uiPriority w:val="29"/>
    <w:rsid w:val="00AF2A3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0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1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15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1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15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4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2681"/>
    <w:rPr>
      <w:rFonts w:ascii="Times New Roman" w:hAnsi="Times New Roman" w:cs="Times New Roman"/>
      <w:b/>
      <w:bCs/>
      <w:sz w:val="24"/>
      <w:szCs w:val="24"/>
    </w:rPr>
  </w:style>
  <w:style w:type="paragraph" w:customStyle="1" w:styleId="PlainText1">
    <w:name w:val="Plain Text1"/>
    <w:basedOn w:val="Normal"/>
    <w:qFormat/>
    <w:rsid w:val="00B40157"/>
    <w:pPr>
      <w:spacing w:line="240" w:lineRule="auto"/>
      <w:ind w:firstLine="0"/>
    </w:pPr>
  </w:style>
  <w:style w:type="paragraph" w:customStyle="1" w:styleId="Numberedorderparagraph">
    <w:name w:val="Numbered order paragraph"/>
    <w:basedOn w:val="ListParagraph"/>
    <w:qFormat/>
    <w:rsid w:val="00CD23AE"/>
    <w:pPr>
      <w:numPr>
        <w:ilvl w:val="1"/>
        <w:numId w:val="15"/>
      </w:numPr>
      <w:ind w:left="0" w:firstLine="720"/>
      <w:contextualSpacing w:val="0"/>
    </w:pPr>
  </w:style>
  <w:style w:type="paragraph" w:customStyle="1" w:styleId="Post-quote">
    <w:name w:val="Post-quote"/>
    <w:basedOn w:val="Normal"/>
    <w:next w:val="Normal"/>
    <w:qFormat/>
    <w:rsid w:val="00B40157"/>
    <w:pPr>
      <w:ind w:firstLine="0"/>
    </w:pPr>
  </w:style>
  <w:style w:type="paragraph" w:customStyle="1" w:styleId="Summarypara">
    <w:name w:val="Summary para."/>
    <w:basedOn w:val="Normal"/>
    <w:qFormat/>
    <w:rsid w:val="00B40157"/>
    <w:pPr>
      <w:spacing w:after="24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1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5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F3D3C"/>
    <w:pPr>
      <w:spacing w:after="12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3D3C"/>
    <w:rPr>
      <w:rFonts w:ascii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2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Malkiel\OneDrive%20-%20Commonwealth%20of%20Massachusetts\Documents%20for%20backup\Templates\Template%20order%20-%20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B22F2-84E9-4D24-BF67-741C7AD8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order - generic</Template>
  <TotalTime>2</TotalTime>
  <Pages>2</Pages>
  <Words>335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Malkiel, Yakov (ALA)</dc:creator>
  <cp:keywords/>
  <dc:description/>
  <cp:lastModifiedBy>Barrett Foster, Marcia (ALA)</cp:lastModifiedBy>
  <cp:revision>2</cp:revision>
  <cp:lastPrinted>2025-06-25T11:36:00Z</cp:lastPrinted>
  <dcterms:created xsi:type="dcterms:W3CDTF">2025-06-25T13:31:00Z</dcterms:created>
  <dcterms:modified xsi:type="dcterms:W3CDTF">2025-06-25T13:31:00Z</dcterms:modified>
</cp:coreProperties>
</file>