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1BB85" w14:textId="1D3FD2D5" w:rsidR="00C32CC0" w:rsidRDefault="00C32CC0" w:rsidP="00262188">
      <w:pPr>
        <w:pStyle w:val="Heading1"/>
      </w:pPr>
      <w:r>
        <w:t>COMMONWEALTH OF MASSACHUSETTS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C32CC0" w:rsidRPr="004F74D7" w14:paraId="2A3798EF" w14:textId="77777777" w:rsidTr="00EC3179">
        <w:tc>
          <w:tcPr>
            <w:tcW w:w="4675" w:type="dxa"/>
            <w:tcMar>
              <w:right w:w="115" w:type="dxa"/>
            </w:tcMar>
          </w:tcPr>
          <w:p w14:paraId="7A03BE58" w14:textId="77777777" w:rsidR="00C32CC0" w:rsidRPr="005C5840" w:rsidRDefault="001D5BB3" w:rsidP="00E22152">
            <w:pPr>
              <w:pStyle w:val="PlainText1"/>
              <w:rPr>
                <w:b/>
                <w:bCs/>
              </w:rPr>
            </w:pPr>
            <w:r w:rsidRPr="005C5840">
              <w:rPr>
                <w:b/>
                <w:bCs/>
              </w:rPr>
              <w:t>Middlesex</w:t>
            </w:r>
            <w:r w:rsidR="00C32CC0" w:rsidRPr="005C5840">
              <w:rPr>
                <w:b/>
                <w:bCs/>
              </w:rPr>
              <w:t>, ss.</w:t>
            </w:r>
          </w:p>
        </w:tc>
        <w:tc>
          <w:tcPr>
            <w:tcW w:w="4675" w:type="dxa"/>
          </w:tcPr>
          <w:p w14:paraId="7CAA3EC9" w14:textId="77777777" w:rsidR="00C32CC0" w:rsidRPr="004F74D7" w:rsidRDefault="00C32CC0" w:rsidP="004F74D7">
            <w:pPr>
              <w:spacing w:line="240" w:lineRule="auto"/>
              <w:ind w:firstLine="0"/>
              <w:rPr>
                <w:b/>
                <w:bCs/>
              </w:rPr>
            </w:pPr>
            <w:r w:rsidRPr="004F74D7">
              <w:rPr>
                <w:b/>
                <w:bCs/>
              </w:rPr>
              <w:t>Division of Administrative Law Appeals</w:t>
            </w:r>
          </w:p>
        </w:tc>
      </w:tr>
      <w:tr w:rsidR="002F4B7F" w:rsidRPr="004F74D7" w14:paraId="4DB6065A" w14:textId="77777777" w:rsidTr="00EC3179">
        <w:tc>
          <w:tcPr>
            <w:tcW w:w="4675" w:type="dxa"/>
            <w:tcMar>
              <w:right w:w="115" w:type="dxa"/>
            </w:tcMar>
          </w:tcPr>
          <w:p w14:paraId="31F2E2AA" w14:textId="77777777" w:rsidR="002F4B7F" w:rsidRPr="002F4B7F" w:rsidRDefault="002F4B7F" w:rsidP="00E22152">
            <w:pPr>
              <w:pStyle w:val="PlainText1"/>
            </w:pPr>
          </w:p>
        </w:tc>
        <w:tc>
          <w:tcPr>
            <w:tcW w:w="4675" w:type="dxa"/>
          </w:tcPr>
          <w:p w14:paraId="4DEE656E" w14:textId="77777777" w:rsidR="002F4B7F" w:rsidRPr="004F74D7" w:rsidRDefault="002F4B7F" w:rsidP="004F74D7">
            <w:pPr>
              <w:spacing w:line="240" w:lineRule="auto"/>
              <w:ind w:firstLine="0"/>
              <w:rPr>
                <w:b/>
                <w:bCs/>
              </w:rPr>
            </w:pPr>
          </w:p>
        </w:tc>
      </w:tr>
      <w:tr w:rsidR="008C1F51" w:rsidRPr="00FE3340" w14:paraId="3338A463" w14:textId="77777777" w:rsidTr="00EC3179">
        <w:tc>
          <w:tcPr>
            <w:tcW w:w="4675" w:type="dxa"/>
            <w:tcMar>
              <w:right w:w="115" w:type="dxa"/>
            </w:tcMar>
          </w:tcPr>
          <w:p w14:paraId="5B1E78EB" w14:textId="4F0B347C" w:rsidR="008C1F51" w:rsidRPr="002F4B7F" w:rsidRDefault="00FF6AFA" w:rsidP="008C1F51">
            <w:pPr>
              <w:spacing w:line="240" w:lineRule="auto"/>
              <w:ind w:firstLine="0"/>
            </w:pPr>
            <w:r>
              <w:rPr>
                <w:b/>
                <w:bCs/>
              </w:rPr>
              <w:t>Board of Registration in Medicine</w:t>
            </w:r>
            <w:r w:rsidR="008C1F51" w:rsidRPr="002F4B7F">
              <w:t>,</w:t>
            </w:r>
          </w:p>
        </w:tc>
        <w:tc>
          <w:tcPr>
            <w:tcW w:w="4675" w:type="dxa"/>
          </w:tcPr>
          <w:p w14:paraId="3B11C17D" w14:textId="6E06654E" w:rsidR="008C1F51" w:rsidRPr="00FE3340" w:rsidRDefault="004F74D7" w:rsidP="008C1F51">
            <w:pPr>
              <w:spacing w:line="240" w:lineRule="auto"/>
              <w:ind w:firstLine="0"/>
            </w:pPr>
            <w:r w:rsidRPr="00FE3340">
              <w:t xml:space="preserve">No. </w:t>
            </w:r>
            <w:r w:rsidR="00FF6AFA">
              <w:t>RM-21-175</w:t>
            </w:r>
          </w:p>
        </w:tc>
      </w:tr>
      <w:tr w:rsidR="008C1F51" w:rsidRPr="00FE3340" w14:paraId="2A24C157" w14:textId="77777777" w:rsidTr="00EC3179">
        <w:tc>
          <w:tcPr>
            <w:tcW w:w="4675" w:type="dxa"/>
            <w:tcMar>
              <w:right w:w="115" w:type="dxa"/>
            </w:tcMar>
          </w:tcPr>
          <w:p w14:paraId="1F074AD9" w14:textId="77777777" w:rsidR="008C1F51" w:rsidRPr="002F4B7F" w:rsidRDefault="008C1F51" w:rsidP="008C1F51">
            <w:pPr>
              <w:spacing w:line="240" w:lineRule="auto"/>
              <w:ind w:left="720" w:firstLine="0"/>
            </w:pPr>
            <w:r w:rsidRPr="002F4B7F">
              <w:t>Petitioner,</w:t>
            </w:r>
          </w:p>
        </w:tc>
        <w:tc>
          <w:tcPr>
            <w:tcW w:w="4675" w:type="dxa"/>
          </w:tcPr>
          <w:p w14:paraId="75CF3B59" w14:textId="77777777" w:rsidR="008C1F51" w:rsidRPr="00FE3340" w:rsidRDefault="008C1F51" w:rsidP="008C1F51">
            <w:pPr>
              <w:spacing w:line="240" w:lineRule="auto"/>
              <w:ind w:firstLine="0"/>
            </w:pPr>
          </w:p>
        </w:tc>
      </w:tr>
      <w:tr w:rsidR="008C1F51" w:rsidRPr="00FE3340" w14:paraId="54B7FDD0" w14:textId="77777777" w:rsidTr="00EC3179">
        <w:tc>
          <w:tcPr>
            <w:tcW w:w="4675" w:type="dxa"/>
            <w:tcMar>
              <w:right w:w="115" w:type="dxa"/>
            </w:tcMar>
          </w:tcPr>
          <w:p w14:paraId="5F19F1C2" w14:textId="77777777" w:rsidR="008C1F51" w:rsidRPr="002F4B7F" w:rsidRDefault="008C1F51" w:rsidP="008C1F51">
            <w:pPr>
              <w:spacing w:line="240" w:lineRule="auto"/>
              <w:ind w:firstLine="0"/>
            </w:pPr>
          </w:p>
        </w:tc>
        <w:tc>
          <w:tcPr>
            <w:tcW w:w="4675" w:type="dxa"/>
          </w:tcPr>
          <w:p w14:paraId="015C8070" w14:textId="52B063E9" w:rsidR="008C1F51" w:rsidRPr="00FE3340" w:rsidRDefault="000B4192" w:rsidP="008C1F51">
            <w:pPr>
              <w:spacing w:line="240" w:lineRule="auto"/>
              <w:ind w:firstLine="0"/>
            </w:pPr>
            <w:r w:rsidRPr="000B4192">
              <w:t xml:space="preserve">Dated:  </w:t>
            </w:r>
            <w:r w:rsidR="001D735B">
              <w:t>January 21, 2022</w:t>
            </w:r>
          </w:p>
        </w:tc>
      </w:tr>
      <w:tr w:rsidR="008C1F51" w:rsidRPr="00FE3340" w14:paraId="53AAA918" w14:textId="77777777" w:rsidTr="00EC3179">
        <w:tc>
          <w:tcPr>
            <w:tcW w:w="4675" w:type="dxa"/>
            <w:tcMar>
              <w:right w:w="115" w:type="dxa"/>
            </w:tcMar>
          </w:tcPr>
          <w:p w14:paraId="3190E616" w14:textId="77777777" w:rsidR="008C1F51" w:rsidRPr="002F4B7F" w:rsidRDefault="008C1F51" w:rsidP="008C1F51">
            <w:pPr>
              <w:spacing w:line="240" w:lineRule="auto"/>
              <w:ind w:left="720" w:firstLine="0"/>
            </w:pPr>
            <w:r w:rsidRPr="002F4B7F">
              <w:t>v.</w:t>
            </w:r>
          </w:p>
        </w:tc>
        <w:tc>
          <w:tcPr>
            <w:tcW w:w="4675" w:type="dxa"/>
          </w:tcPr>
          <w:p w14:paraId="1ED7B0E9" w14:textId="77777777" w:rsidR="008C1F51" w:rsidRPr="00FE3340" w:rsidRDefault="008C1F51" w:rsidP="004F74D7">
            <w:pPr>
              <w:spacing w:line="240" w:lineRule="auto"/>
              <w:ind w:firstLine="0"/>
            </w:pPr>
          </w:p>
        </w:tc>
      </w:tr>
      <w:tr w:rsidR="008C1F51" w:rsidRPr="00FE3340" w14:paraId="72680333" w14:textId="77777777" w:rsidTr="00EC3179">
        <w:tc>
          <w:tcPr>
            <w:tcW w:w="4675" w:type="dxa"/>
            <w:tcMar>
              <w:right w:w="115" w:type="dxa"/>
            </w:tcMar>
          </w:tcPr>
          <w:p w14:paraId="5525DE60" w14:textId="77777777" w:rsidR="008C1F51" w:rsidRPr="002F4B7F" w:rsidRDefault="008C1F51" w:rsidP="008C1F51">
            <w:pPr>
              <w:spacing w:line="240" w:lineRule="auto"/>
              <w:ind w:firstLine="0"/>
            </w:pPr>
          </w:p>
        </w:tc>
        <w:tc>
          <w:tcPr>
            <w:tcW w:w="4675" w:type="dxa"/>
          </w:tcPr>
          <w:p w14:paraId="28D0EEDB" w14:textId="77777777" w:rsidR="008C1F51" w:rsidRPr="00FE3340" w:rsidRDefault="008C1F51" w:rsidP="008C1F51">
            <w:pPr>
              <w:spacing w:line="240" w:lineRule="auto"/>
              <w:ind w:firstLine="0"/>
            </w:pPr>
          </w:p>
        </w:tc>
      </w:tr>
      <w:tr w:rsidR="008C1F51" w:rsidRPr="00FE3340" w14:paraId="0A4030C0" w14:textId="77777777" w:rsidTr="00EC3179">
        <w:tc>
          <w:tcPr>
            <w:tcW w:w="4675" w:type="dxa"/>
            <w:tcMar>
              <w:right w:w="115" w:type="dxa"/>
            </w:tcMar>
          </w:tcPr>
          <w:p w14:paraId="1B4FABD9" w14:textId="4CFCC4D6" w:rsidR="008C1F51" w:rsidRPr="002F4B7F" w:rsidRDefault="00FF6AFA" w:rsidP="008C1F51">
            <w:pPr>
              <w:spacing w:line="240" w:lineRule="auto"/>
              <w:ind w:firstLine="0"/>
            </w:pPr>
            <w:r>
              <w:rPr>
                <w:b/>
                <w:bCs/>
              </w:rPr>
              <w:t>John J. Diggins, M.D.</w:t>
            </w:r>
            <w:r w:rsidR="008C1F51" w:rsidRPr="002F4B7F">
              <w:t>,</w:t>
            </w:r>
          </w:p>
        </w:tc>
        <w:tc>
          <w:tcPr>
            <w:tcW w:w="4675" w:type="dxa"/>
          </w:tcPr>
          <w:p w14:paraId="5A806219" w14:textId="77777777" w:rsidR="008C1F51" w:rsidRPr="00FE3340" w:rsidRDefault="008C1F51" w:rsidP="008C1F51">
            <w:pPr>
              <w:spacing w:line="240" w:lineRule="auto"/>
              <w:ind w:firstLine="0"/>
            </w:pPr>
          </w:p>
        </w:tc>
      </w:tr>
      <w:tr w:rsidR="008C1F51" w:rsidRPr="00FE3340" w14:paraId="5A158454" w14:textId="77777777" w:rsidTr="00EC3179">
        <w:tc>
          <w:tcPr>
            <w:tcW w:w="4675" w:type="dxa"/>
            <w:tcMar>
              <w:right w:w="115" w:type="dxa"/>
            </w:tcMar>
          </w:tcPr>
          <w:p w14:paraId="5B9AFD28" w14:textId="77777777" w:rsidR="008C1F51" w:rsidRPr="002F4B7F" w:rsidRDefault="008C1F51" w:rsidP="008C1F51">
            <w:pPr>
              <w:spacing w:line="240" w:lineRule="auto"/>
              <w:ind w:left="720" w:firstLine="0"/>
            </w:pPr>
            <w:r w:rsidRPr="002F4B7F">
              <w:t>Respondent.</w:t>
            </w:r>
          </w:p>
        </w:tc>
        <w:tc>
          <w:tcPr>
            <w:tcW w:w="4675" w:type="dxa"/>
          </w:tcPr>
          <w:p w14:paraId="63EEC557" w14:textId="77777777" w:rsidR="008C1F51" w:rsidRPr="00FE3340" w:rsidRDefault="008C1F51" w:rsidP="008C1F51">
            <w:pPr>
              <w:spacing w:line="240" w:lineRule="auto"/>
              <w:ind w:firstLine="0"/>
            </w:pPr>
          </w:p>
        </w:tc>
      </w:tr>
    </w:tbl>
    <w:p w14:paraId="06826FAC" w14:textId="77777777" w:rsidR="004F74D7" w:rsidRPr="00EC3179" w:rsidRDefault="004F74D7" w:rsidP="008C1F51">
      <w:pPr>
        <w:pStyle w:val="PlainText1"/>
      </w:pPr>
    </w:p>
    <w:p w14:paraId="5502D534" w14:textId="77777777" w:rsidR="008C1F51" w:rsidRPr="00EC3179" w:rsidRDefault="008C1F51" w:rsidP="008C1F51">
      <w:pPr>
        <w:pStyle w:val="PlainText1"/>
      </w:pPr>
      <w:r w:rsidRPr="00F3449D">
        <w:rPr>
          <w:b/>
          <w:bCs/>
        </w:rPr>
        <w:t>Appearance for Petitioner:</w:t>
      </w:r>
    </w:p>
    <w:p w14:paraId="68B9FCD0" w14:textId="7D696540" w:rsidR="008C1F51" w:rsidRDefault="00FF6AFA" w:rsidP="008C1F51">
      <w:pPr>
        <w:pStyle w:val="PlainText1"/>
      </w:pPr>
      <w:r>
        <w:t>Patrick G. Fitzgerald, Esq.</w:t>
      </w:r>
    </w:p>
    <w:p w14:paraId="32776361" w14:textId="64CB01B2" w:rsidR="00FF6AFA" w:rsidRDefault="00FF6AFA" w:rsidP="008C1F51">
      <w:pPr>
        <w:pStyle w:val="PlainText1"/>
      </w:pPr>
      <w:r>
        <w:t>178 Albion Street</w:t>
      </w:r>
    </w:p>
    <w:p w14:paraId="422497FF" w14:textId="39F70BA1" w:rsidR="0092449B" w:rsidRDefault="00FF6AFA" w:rsidP="00FF6AFA">
      <w:pPr>
        <w:pStyle w:val="PlainText1"/>
      </w:pPr>
      <w:r>
        <w:t>Wakefield, MA 01880</w:t>
      </w:r>
    </w:p>
    <w:p w14:paraId="10E7E2B6" w14:textId="77777777" w:rsidR="0092449B" w:rsidRPr="00EC3179" w:rsidRDefault="0092449B" w:rsidP="008C1F51">
      <w:pPr>
        <w:pStyle w:val="PlainText1"/>
      </w:pPr>
    </w:p>
    <w:p w14:paraId="2AF12820" w14:textId="77777777" w:rsidR="008C1F51" w:rsidRPr="00F3449D" w:rsidRDefault="008C1F51" w:rsidP="008C1F51">
      <w:pPr>
        <w:pStyle w:val="PlainText1"/>
        <w:rPr>
          <w:b/>
          <w:bCs/>
        </w:rPr>
      </w:pPr>
      <w:r w:rsidRPr="00F3449D">
        <w:rPr>
          <w:b/>
          <w:bCs/>
        </w:rPr>
        <w:t>Appearance for Respondent:</w:t>
      </w:r>
    </w:p>
    <w:p w14:paraId="009D1C76" w14:textId="4E6C4366" w:rsidR="008C1F51" w:rsidRDefault="00FF6AFA" w:rsidP="008C1F51">
      <w:pPr>
        <w:pStyle w:val="PlainText1"/>
      </w:pPr>
      <w:r>
        <w:t>David M. Gould, Esq.</w:t>
      </w:r>
    </w:p>
    <w:p w14:paraId="26597D43" w14:textId="70E93487" w:rsidR="0092449B" w:rsidRDefault="00FF6AFA" w:rsidP="008C1F51">
      <w:pPr>
        <w:pStyle w:val="PlainText1"/>
      </w:pPr>
      <w:r w:rsidRPr="00FF6AFA">
        <w:t>98 N</w:t>
      </w:r>
      <w:r>
        <w:t>orth</w:t>
      </w:r>
      <w:r w:rsidRPr="00FF6AFA">
        <w:t xml:space="preserve"> Washington St</w:t>
      </w:r>
      <w:r>
        <w:t>reet</w:t>
      </w:r>
    </w:p>
    <w:p w14:paraId="3D910C37" w14:textId="5C6526CD" w:rsidR="00FF6AFA" w:rsidRDefault="00FF6AFA" w:rsidP="008C1F51">
      <w:pPr>
        <w:pStyle w:val="PlainText1"/>
      </w:pPr>
      <w:r>
        <w:t>Boston, MA 02114</w:t>
      </w:r>
    </w:p>
    <w:p w14:paraId="52273521" w14:textId="77777777" w:rsidR="0092449B" w:rsidRPr="00EC3179" w:rsidRDefault="0092449B" w:rsidP="008C1F51">
      <w:pPr>
        <w:pStyle w:val="PlainText1"/>
      </w:pPr>
    </w:p>
    <w:p w14:paraId="452E0466" w14:textId="77777777" w:rsidR="008C1F51" w:rsidRPr="00F3449D" w:rsidRDefault="008C1F51" w:rsidP="008C1F51">
      <w:pPr>
        <w:pStyle w:val="PlainText1"/>
        <w:rPr>
          <w:b/>
          <w:bCs/>
        </w:rPr>
      </w:pPr>
      <w:r w:rsidRPr="00F3449D">
        <w:rPr>
          <w:b/>
          <w:bCs/>
        </w:rPr>
        <w:t>Administrative Magistrat</w:t>
      </w:r>
      <w:r w:rsidR="002315DB" w:rsidRPr="00F3449D">
        <w:rPr>
          <w:b/>
          <w:bCs/>
        </w:rPr>
        <w:t>e:</w:t>
      </w:r>
    </w:p>
    <w:p w14:paraId="116B9147" w14:textId="77777777" w:rsidR="008C1F51" w:rsidRPr="00EC3179" w:rsidRDefault="008C1F51" w:rsidP="004F74D7">
      <w:pPr>
        <w:pStyle w:val="PlainText1"/>
      </w:pPr>
      <w:r w:rsidRPr="00EC3179">
        <w:t>Yakov Malkiel</w:t>
      </w:r>
    </w:p>
    <w:p w14:paraId="66B10A90" w14:textId="77777777" w:rsidR="004F74D7" w:rsidRDefault="004F74D7" w:rsidP="008C1F51">
      <w:pPr>
        <w:pStyle w:val="PlainText1"/>
      </w:pPr>
    </w:p>
    <w:p w14:paraId="30EF11E0" w14:textId="4C2A844D" w:rsidR="00E22152" w:rsidRDefault="0017326F" w:rsidP="00262188">
      <w:pPr>
        <w:pStyle w:val="Heading1"/>
      </w:pPr>
      <w:r>
        <w:t xml:space="preserve">SUMMARY OF </w:t>
      </w:r>
      <w:r w:rsidR="00FF6AFA">
        <w:t xml:space="preserve">RECOMMENDED </w:t>
      </w:r>
      <w:r w:rsidRPr="00262188">
        <w:t>DECISION</w:t>
      </w:r>
    </w:p>
    <w:p w14:paraId="5E8D96DD" w14:textId="41BB6B9B" w:rsidR="00AA3A7E" w:rsidRDefault="00E12ECC" w:rsidP="00C3283C">
      <w:pPr>
        <w:pStyle w:val="Summarypara"/>
      </w:pPr>
      <w:r>
        <w:t>Disciplin</w:t>
      </w:r>
      <w:r w:rsidR="004F30B8">
        <w:t>e</w:t>
      </w:r>
      <w:r>
        <w:t xml:space="preserve"> may be imposed upon the respondent physician.  During sustained periods of time, </w:t>
      </w:r>
      <w:r w:rsidR="0087445B">
        <w:t>he</w:t>
      </w:r>
      <w:r>
        <w:t xml:space="preserve"> failed to maintain up-to-date medical records</w:t>
      </w:r>
      <w:r w:rsidR="00582DCA">
        <w:t>.</w:t>
      </w:r>
      <w:r w:rsidR="0087445B">
        <w:t xml:space="preserve"> </w:t>
      </w:r>
      <w:r w:rsidR="00582DCA">
        <w:t xml:space="preserve"> M</w:t>
      </w:r>
      <w:r>
        <w:t xml:space="preserve">ore recently, he committed the </w:t>
      </w:r>
      <w:r w:rsidR="00A43D3B">
        <w:t xml:space="preserve">crime </w:t>
      </w:r>
      <w:r>
        <w:t>of operating a motor vehicle under the influence of alcohol.</w:t>
      </w:r>
    </w:p>
    <w:p w14:paraId="78E189FA" w14:textId="774D7690" w:rsidR="00E22152" w:rsidRDefault="00FF6AFA" w:rsidP="00262188">
      <w:pPr>
        <w:pStyle w:val="Heading1"/>
      </w:pPr>
      <w:r>
        <w:t xml:space="preserve">RECOMMENDED </w:t>
      </w:r>
      <w:r w:rsidR="00E22152">
        <w:t>DECISION</w:t>
      </w:r>
    </w:p>
    <w:p w14:paraId="452D17BE" w14:textId="77777777" w:rsidR="009E00B3" w:rsidRDefault="00E11E88" w:rsidP="00582DCA">
      <w:r w:rsidRPr="00E11E88">
        <w:t>The</w:t>
      </w:r>
      <w:r>
        <w:t xml:space="preserve"> Board of Registration in Medicine (board) </w:t>
      </w:r>
      <w:r w:rsidR="00D71DB1">
        <w:t xml:space="preserve">commenced </w:t>
      </w:r>
      <w:r w:rsidR="00414D04">
        <w:t>disciplinary proceedings against respondent John Diggins, M.D.</w:t>
      </w:r>
      <w:r w:rsidR="00582DCA">
        <w:t>, and</w:t>
      </w:r>
      <w:r w:rsidR="00D71DB1">
        <w:t xml:space="preserve"> referred the case</w:t>
      </w:r>
      <w:r w:rsidR="00C8265F">
        <w:t xml:space="preserve"> </w:t>
      </w:r>
      <w:r w:rsidR="00414D04">
        <w:t xml:space="preserve">to </w:t>
      </w:r>
      <w:r w:rsidR="00582DCA">
        <w:t xml:space="preserve">DALA for </w:t>
      </w:r>
      <w:r w:rsidR="00414D04">
        <w:t>recommended findings of fact and rulings of law.</w:t>
      </w:r>
    </w:p>
    <w:p w14:paraId="7F773906" w14:textId="2256B21A" w:rsidR="00B4000A" w:rsidRDefault="0087445B" w:rsidP="00582DCA">
      <w:r>
        <w:t>A</w:t>
      </w:r>
      <w:r w:rsidR="00414D04">
        <w:t>n evidentiary hearing</w:t>
      </w:r>
      <w:r>
        <w:t xml:space="preserve"> took place</w:t>
      </w:r>
      <w:r w:rsidR="00414D04">
        <w:t xml:space="preserve"> on September 1-2, 2021</w:t>
      </w:r>
      <w:r w:rsidR="00C8265F">
        <w:t>.  T</w:t>
      </w:r>
      <w:r w:rsidR="00414D04">
        <w:t>he witnesses were</w:t>
      </w:r>
      <w:r w:rsidR="00C8265F">
        <w:t xml:space="preserve">:  </w:t>
      </w:r>
      <w:r w:rsidR="00414D04">
        <w:t>Dr. Diggins</w:t>
      </w:r>
      <w:r w:rsidR="00C8265F">
        <w:t xml:space="preserve"> himself</w:t>
      </w:r>
      <w:r w:rsidR="00414D04">
        <w:t>;</w:t>
      </w:r>
      <w:r w:rsidR="00C8265F">
        <w:t xml:space="preserve"> his </w:t>
      </w:r>
      <w:r w:rsidR="00414D04">
        <w:t xml:space="preserve">former colleagues </w:t>
      </w:r>
      <w:r w:rsidR="00044339">
        <w:t xml:space="preserve">James Goodwin and </w:t>
      </w:r>
      <w:r w:rsidR="00414D04">
        <w:t>Dr. Alex Altamirano;</w:t>
      </w:r>
      <w:r w:rsidR="00C8265F">
        <w:t xml:space="preserve"> his current colleagues Mark Hutchinson, Gregory Mirhej</w:t>
      </w:r>
      <w:r w:rsidR="00044339">
        <w:t>, and Dr. Richard Listerud</w:t>
      </w:r>
      <w:r w:rsidR="00C8265F">
        <w:t>; and police officer</w:t>
      </w:r>
      <w:r w:rsidR="00C8265F" w:rsidRPr="00C8265F">
        <w:t xml:space="preserve"> </w:t>
      </w:r>
      <w:r w:rsidR="00C8265F">
        <w:t xml:space="preserve">Nathan </w:t>
      </w:r>
      <w:proofErr w:type="spellStart"/>
      <w:r w:rsidR="00C8265F">
        <w:t>Goodrow</w:t>
      </w:r>
      <w:proofErr w:type="spellEnd"/>
      <w:r w:rsidR="00C8265F">
        <w:t xml:space="preserve">.  </w:t>
      </w:r>
      <w:r w:rsidR="009E00B3">
        <w:t xml:space="preserve">The hearing was transcribed in two volumes.  </w:t>
      </w:r>
      <w:r w:rsidR="004E5616">
        <w:t xml:space="preserve">I admitted into evidence </w:t>
      </w:r>
      <w:r w:rsidR="004E5616">
        <w:lastRenderedPageBreak/>
        <w:t>exhibits marked 1-14</w:t>
      </w:r>
      <w:r w:rsidR="003C22C8">
        <w:t>, overruling objections to nos. 13-14 and impounding no. 13</w:t>
      </w:r>
      <w:r w:rsidR="004E5616">
        <w:t>.</w:t>
      </w:r>
      <w:r w:rsidR="003C22C8">
        <w:rPr>
          <w:rStyle w:val="FootnoteReference"/>
        </w:rPr>
        <w:footnoteReference w:id="1"/>
      </w:r>
      <w:r w:rsidR="004E5616">
        <w:t xml:space="preserve">  </w:t>
      </w:r>
      <w:r w:rsidR="009E00B3">
        <w:t xml:space="preserve">The </w:t>
      </w:r>
      <w:r w:rsidR="004E5616">
        <w:t xml:space="preserve">record closed with the parties’ submission of </w:t>
      </w:r>
      <w:r w:rsidR="009E00B3">
        <w:t>closing briefs on January 10, 2022.</w:t>
      </w:r>
    </w:p>
    <w:p w14:paraId="1BD3891A" w14:textId="77777777" w:rsidR="00E22152" w:rsidRDefault="00013F96" w:rsidP="00262188">
      <w:pPr>
        <w:pStyle w:val="Heading1"/>
      </w:pPr>
      <w:r w:rsidRPr="00013F96">
        <w:t>Findings of Fact</w:t>
      </w:r>
    </w:p>
    <w:p w14:paraId="1D3F6FE8" w14:textId="7CAEB92A" w:rsidR="00013F96" w:rsidRDefault="00A05C45" w:rsidP="00E22152">
      <w:r>
        <w:t xml:space="preserve">I </w:t>
      </w:r>
      <w:r w:rsidR="003C6A59">
        <w:t>find</w:t>
      </w:r>
      <w:r>
        <w:t xml:space="preserve"> the following fact</w:t>
      </w:r>
      <w:r w:rsidR="003C6A59">
        <w:t>s</w:t>
      </w:r>
      <w:r>
        <w:t xml:space="preserve"> based on the testimony, the exhibits, and the stipulations.</w:t>
      </w:r>
    </w:p>
    <w:p w14:paraId="0CF66DFD" w14:textId="6625E09C" w:rsidR="005D099F" w:rsidRDefault="00A05C45" w:rsidP="00CD23AE">
      <w:pPr>
        <w:pStyle w:val="ListedFindings"/>
      </w:pPr>
      <w:r>
        <w:t xml:space="preserve">Dr. Diggins </w:t>
      </w:r>
      <w:r w:rsidR="004D706B">
        <w:t>is</w:t>
      </w:r>
      <w:r w:rsidR="005D099F">
        <w:t xml:space="preserve"> licensed to practice </w:t>
      </w:r>
      <w:r w:rsidR="004D706B">
        <w:t xml:space="preserve">medicine </w:t>
      </w:r>
      <w:r w:rsidR="005D099F">
        <w:t>in Massachusetts under certificate number 238052.</w:t>
      </w:r>
      <w:r w:rsidR="006E49C2">
        <w:t xml:space="preserve">  (Diggins </w:t>
      </w:r>
      <w:r w:rsidR="00071A9C">
        <w:t>1</w:t>
      </w:r>
      <w:r w:rsidR="009E00B3">
        <w:t>/</w:t>
      </w:r>
      <w:r w:rsidR="00071A9C">
        <w:t>61</w:t>
      </w:r>
      <w:r w:rsidR="00646958">
        <w:t xml:space="preserve">; Exhibit </w:t>
      </w:r>
      <w:r w:rsidR="003C6A59">
        <w:t>1.</w:t>
      </w:r>
      <w:r w:rsidR="006E49C2">
        <w:t>)</w:t>
      </w:r>
      <w:r w:rsidR="009E00B3">
        <w:rPr>
          <w:rStyle w:val="FootnoteReference"/>
        </w:rPr>
        <w:footnoteReference w:id="2"/>
      </w:r>
    </w:p>
    <w:p w14:paraId="7406269B" w14:textId="3CE88913" w:rsidR="003C2E9C" w:rsidRDefault="006E49C2" w:rsidP="00CD23AE">
      <w:pPr>
        <w:pStyle w:val="ListedFindings"/>
      </w:pPr>
      <w:r>
        <w:t>Dr. Diggins</w:t>
      </w:r>
      <w:r w:rsidR="005D099F">
        <w:t xml:space="preserve"> </w:t>
      </w:r>
      <w:r w:rsidR="00A05C45">
        <w:t xml:space="preserve">grew up in </w:t>
      </w:r>
      <w:r w:rsidR="00192E05">
        <w:t>Norwood</w:t>
      </w:r>
      <w:r w:rsidR="00A05C45">
        <w:t xml:space="preserve">.  </w:t>
      </w:r>
      <w:r w:rsidR="001D29F8">
        <w:t>Early in his adult life</w:t>
      </w:r>
      <w:r w:rsidR="003C2E9C">
        <w:t xml:space="preserve">, after an extensive course of study, he was </w:t>
      </w:r>
      <w:r w:rsidR="005D099F">
        <w:t xml:space="preserve">ordained a priest.  </w:t>
      </w:r>
      <w:r w:rsidR="00DE5B7E">
        <w:t xml:space="preserve">He taught philosophy and other topics at Providence College and became involved in </w:t>
      </w:r>
      <w:r w:rsidR="00646958">
        <w:t>medicine-related</w:t>
      </w:r>
      <w:r w:rsidR="0087445B">
        <w:t xml:space="preserve"> </w:t>
      </w:r>
      <w:r w:rsidR="00DE5B7E">
        <w:t>research.</w:t>
      </w:r>
      <w:r>
        <w:t xml:space="preserve">  </w:t>
      </w:r>
      <w:r w:rsidR="003C2E9C">
        <w:t xml:space="preserve">(Diggins </w:t>
      </w:r>
      <w:r w:rsidR="00CC20FA">
        <w:t>1</w:t>
      </w:r>
      <w:r w:rsidR="004E5616">
        <w:t>/</w:t>
      </w:r>
      <w:r w:rsidR="00CC20FA">
        <w:t>50</w:t>
      </w:r>
      <w:r w:rsidR="003B0196">
        <w:t>, 2</w:t>
      </w:r>
      <w:r w:rsidR="004E5616">
        <w:t>/</w:t>
      </w:r>
      <w:r w:rsidR="003B0196">
        <w:t>82-87</w:t>
      </w:r>
      <w:r w:rsidR="00D71DB1">
        <w:t>; Exhibit 13</w:t>
      </w:r>
      <w:r w:rsidR="003C2E9C">
        <w:t>.)</w:t>
      </w:r>
    </w:p>
    <w:p w14:paraId="5F667E21" w14:textId="4DCA826C" w:rsidR="005D099F" w:rsidRDefault="003C2E9C" w:rsidP="00CD23AE">
      <w:pPr>
        <w:pStyle w:val="ListedFindings"/>
      </w:pPr>
      <w:r>
        <w:t xml:space="preserve">Dr. Diggins </w:t>
      </w:r>
      <w:r w:rsidR="006E49C2">
        <w:t>was in his thirties when he enrolled at</w:t>
      </w:r>
      <w:r w:rsidR="00DE5B7E">
        <w:t xml:space="preserve"> </w:t>
      </w:r>
      <w:r w:rsidR="00A05C45">
        <w:t>the University of Cincinnati College of Medicine</w:t>
      </w:r>
      <w:r w:rsidR="00DE5B7E">
        <w:t xml:space="preserve">.  </w:t>
      </w:r>
      <w:r w:rsidR="009071A8">
        <w:t xml:space="preserve">Early during medical school, he </w:t>
      </w:r>
      <w:r w:rsidR="006E49C2">
        <w:t xml:space="preserve">left the priesthood.  He graduated </w:t>
      </w:r>
      <w:r w:rsidR="00A05C45">
        <w:t xml:space="preserve">in </w:t>
      </w:r>
      <w:proofErr w:type="gramStart"/>
      <w:r w:rsidR="00A05C45">
        <w:t>2003</w:t>
      </w:r>
      <w:r w:rsidR="00044339">
        <w:t>,</w:t>
      </w:r>
      <w:r>
        <w:t xml:space="preserve"> and</w:t>
      </w:r>
      <w:proofErr w:type="gramEnd"/>
      <w:r>
        <w:t xml:space="preserve"> began</w:t>
      </w:r>
      <w:r w:rsidR="006E49C2">
        <w:t xml:space="preserve"> </w:t>
      </w:r>
      <w:r w:rsidR="00A05C45">
        <w:t xml:space="preserve">a </w:t>
      </w:r>
      <w:r w:rsidR="005D099F">
        <w:t xml:space="preserve">triple-board </w:t>
      </w:r>
      <w:r w:rsidR="00A05C45">
        <w:t>residency</w:t>
      </w:r>
      <w:r>
        <w:t xml:space="preserve">—in </w:t>
      </w:r>
      <w:r w:rsidR="006E49C2">
        <w:t>pediatrics, general psychiatry, and child-and-adolescent psychiatry</w:t>
      </w:r>
      <w:r>
        <w:t>—at the Cincinnati Children’s Hospital and Medical Center</w:t>
      </w:r>
      <w:r w:rsidR="006E49C2">
        <w:t xml:space="preserve">.  </w:t>
      </w:r>
      <w:r>
        <w:t xml:space="preserve">He </w:t>
      </w:r>
      <w:r w:rsidR="005D099F">
        <w:t xml:space="preserve">completed </w:t>
      </w:r>
      <w:r>
        <w:t>t</w:t>
      </w:r>
      <w:r w:rsidR="001D29F8">
        <w:t>h</w:t>
      </w:r>
      <w:r w:rsidR="009071A8">
        <w:t>e</w:t>
      </w:r>
      <w:r w:rsidR="005D099F">
        <w:t xml:space="preserve"> residency</w:t>
      </w:r>
      <w:r w:rsidR="00A05C45">
        <w:t xml:space="preserve"> in 2008.  </w:t>
      </w:r>
      <w:r w:rsidR="006E49C2">
        <w:t xml:space="preserve">(Diggins </w:t>
      </w:r>
      <w:r w:rsidR="00CC20FA">
        <w:t>1</w:t>
      </w:r>
      <w:r w:rsidR="004E5616">
        <w:t>/</w:t>
      </w:r>
      <w:r w:rsidR="00CC20FA">
        <w:t>50-55</w:t>
      </w:r>
      <w:r w:rsidR="003B0196">
        <w:t>, 2</w:t>
      </w:r>
      <w:r w:rsidR="004E5616">
        <w:t>/</w:t>
      </w:r>
      <w:r w:rsidR="003B0196">
        <w:t>87-94</w:t>
      </w:r>
      <w:r w:rsidR="006E49C2">
        <w:t>.)</w:t>
      </w:r>
    </w:p>
    <w:p w14:paraId="2603CCEF" w14:textId="2A1C30F0" w:rsidR="0053447C" w:rsidRDefault="004D706B" w:rsidP="001D29F8">
      <w:pPr>
        <w:pStyle w:val="ListedFindings"/>
      </w:pPr>
      <w:r>
        <w:t>During the third year of his residency, o</w:t>
      </w:r>
      <w:r w:rsidR="001D29F8">
        <w:t xml:space="preserve">n </w:t>
      </w:r>
      <w:r w:rsidR="00A05C45">
        <w:t>November 25, 2006</w:t>
      </w:r>
      <w:r w:rsidR="001D29F8">
        <w:t>,</w:t>
      </w:r>
      <w:r w:rsidR="00404572">
        <w:t xml:space="preserve"> </w:t>
      </w:r>
      <w:r>
        <w:t>Dr. Diggins celebrat</w:t>
      </w:r>
      <w:r w:rsidR="00830272">
        <w:t>ed</w:t>
      </w:r>
      <w:r>
        <w:t xml:space="preserve"> </w:t>
      </w:r>
      <w:r w:rsidR="001D29F8">
        <w:t>Thanksgiving</w:t>
      </w:r>
      <w:r w:rsidR="00830272">
        <w:t xml:space="preserve"> in Massachusetts</w:t>
      </w:r>
      <w:r w:rsidR="001D29F8">
        <w:t xml:space="preserve">.  </w:t>
      </w:r>
      <w:r w:rsidR="00830272">
        <w:t>A</w:t>
      </w:r>
      <w:r w:rsidR="001D29F8">
        <w:t xml:space="preserve">fter drinking several beverages, </w:t>
      </w:r>
      <w:r w:rsidR="00044339">
        <w:t xml:space="preserve">he </w:t>
      </w:r>
      <w:r w:rsidR="001D29F8">
        <w:t xml:space="preserve">was stopped </w:t>
      </w:r>
      <w:r w:rsidR="00B24A5C">
        <w:t xml:space="preserve">in his car </w:t>
      </w:r>
      <w:r w:rsidR="00404572">
        <w:t xml:space="preserve">by </w:t>
      </w:r>
      <w:r w:rsidR="00044339">
        <w:t xml:space="preserve">the </w:t>
      </w:r>
      <w:r w:rsidR="00A05C45">
        <w:t>Marlborough</w:t>
      </w:r>
      <w:r w:rsidR="00B24A5C" w:rsidRPr="00B24A5C">
        <w:t xml:space="preserve"> </w:t>
      </w:r>
      <w:r w:rsidR="00B24A5C">
        <w:t>police.</w:t>
      </w:r>
      <w:r w:rsidR="00404572">
        <w:t xml:space="preserve">  He failed field sobriety test</w:t>
      </w:r>
      <w:r w:rsidR="001D29F8">
        <w:t>s</w:t>
      </w:r>
      <w:r w:rsidR="00404572">
        <w:t xml:space="preserve">.  </w:t>
      </w:r>
      <w:r w:rsidR="00EA69D1">
        <w:t xml:space="preserve">A </w:t>
      </w:r>
      <w:proofErr w:type="gramStart"/>
      <w:r w:rsidR="00EA69D1">
        <w:t>b</w:t>
      </w:r>
      <w:r w:rsidR="00404572">
        <w:t xml:space="preserve">reathalyzer </w:t>
      </w:r>
      <w:r w:rsidR="00560CB5">
        <w:t>registered</w:t>
      </w:r>
      <w:r w:rsidR="00EA69D1">
        <w:t xml:space="preserve"> </w:t>
      </w:r>
      <w:r w:rsidR="00404572">
        <w:t>blood-alcohol-content measurements</w:t>
      </w:r>
      <w:proofErr w:type="gramEnd"/>
      <w:r w:rsidR="00404572">
        <w:t xml:space="preserve"> of twice the 0.08%</w:t>
      </w:r>
      <w:r w:rsidR="005B4094">
        <w:t xml:space="preserve"> legal limit</w:t>
      </w:r>
      <w:r w:rsidR="00404572">
        <w:t>.</w:t>
      </w:r>
      <w:r w:rsidR="0087344C">
        <w:t xml:space="preserve">  </w:t>
      </w:r>
      <w:r w:rsidR="00044339">
        <w:t xml:space="preserve">Dr. Diggins </w:t>
      </w:r>
      <w:r w:rsidR="00404572">
        <w:t>was charged with operating under the influence</w:t>
      </w:r>
      <w:r w:rsidR="00B24A5C">
        <w:t>.  He</w:t>
      </w:r>
      <w:r w:rsidR="00830272">
        <w:t xml:space="preserve"> </w:t>
      </w:r>
      <w:r w:rsidR="00404572">
        <w:t xml:space="preserve">admitted to facts </w:t>
      </w:r>
      <w:proofErr w:type="gramStart"/>
      <w:r w:rsidR="00404572">
        <w:t>sufficient</w:t>
      </w:r>
      <w:proofErr w:type="gramEnd"/>
      <w:r w:rsidR="00404572">
        <w:t xml:space="preserve"> to warrant a finding of guilt</w:t>
      </w:r>
      <w:r w:rsidR="00B24A5C">
        <w:t xml:space="preserve"> </w:t>
      </w:r>
      <w:r w:rsidR="00B24A5C">
        <w:lastRenderedPageBreak/>
        <w:t>and</w:t>
      </w:r>
      <w:r w:rsidR="00830272">
        <w:t xml:space="preserve"> </w:t>
      </w:r>
      <w:r w:rsidR="00B24A5C">
        <w:t>t</w:t>
      </w:r>
      <w:r w:rsidR="00404572">
        <w:t xml:space="preserve">he charge was continued without a finding.  </w:t>
      </w:r>
      <w:r w:rsidR="009E00B3">
        <w:t>The conditions of that disposition included a 72-hour alcohol</w:t>
      </w:r>
      <w:r w:rsidR="00560CB5">
        <w:t>-</w:t>
      </w:r>
      <w:r w:rsidR="009E00B3">
        <w:t xml:space="preserve">education program.  </w:t>
      </w:r>
      <w:r w:rsidR="006E49C2">
        <w:t xml:space="preserve">(Diggins </w:t>
      </w:r>
      <w:r w:rsidR="00CC20FA">
        <w:t>1</w:t>
      </w:r>
      <w:r w:rsidR="009E00B3">
        <w:t>/</w:t>
      </w:r>
      <w:r w:rsidR="00CC20FA">
        <w:t>55-59</w:t>
      </w:r>
      <w:r w:rsidR="009E00B3">
        <w:t>, 1/112</w:t>
      </w:r>
      <w:r w:rsidR="006E49C2">
        <w:t>; Exhibit</w:t>
      </w:r>
      <w:r w:rsidR="0005445C">
        <w:t>s 6-7</w:t>
      </w:r>
      <w:r w:rsidR="006E49C2">
        <w:t>.)</w:t>
      </w:r>
    </w:p>
    <w:p w14:paraId="4C7ED2A5" w14:textId="28CDE902" w:rsidR="00F04285" w:rsidRDefault="006F271D" w:rsidP="009D77C1">
      <w:pPr>
        <w:pStyle w:val="ListedFindings"/>
      </w:pPr>
      <w:r>
        <w:t xml:space="preserve">Upon completing his residency, Dr. Diggins applied for a Massachusetts </w:t>
      </w:r>
      <w:r w:rsidR="006E49C2">
        <w:t xml:space="preserve">medical </w:t>
      </w:r>
      <w:r>
        <w:t xml:space="preserve">license.  He disclosed his </w:t>
      </w:r>
      <w:r w:rsidR="00F04285">
        <w:t>prior</w:t>
      </w:r>
      <w:r>
        <w:t xml:space="preserve"> </w:t>
      </w:r>
      <w:r w:rsidR="00C8265F">
        <w:t>OUI</w:t>
      </w:r>
      <w:r>
        <w:t xml:space="preserve">.  </w:t>
      </w:r>
      <w:r w:rsidR="009D77C1">
        <w:t>In October 2008, a</w:t>
      </w:r>
      <w:r>
        <w:t>fter interviewing Dr. Diggins, the board issued him a license.</w:t>
      </w:r>
      <w:r w:rsidR="00F04285">
        <w:t xml:space="preserve">  </w:t>
      </w:r>
      <w:r w:rsidR="003C2E9C">
        <w:t xml:space="preserve">He began </w:t>
      </w:r>
      <w:r w:rsidR="00C52DEE">
        <w:t>practicing</w:t>
      </w:r>
      <w:r w:rsidR="00F04285">
        <w:t xml:space="preserve"> </w:t>
      </w:r>
      <w:r w:rsidR="009D77C1">
        <w:t xml:space="preserve">at </w:t>
      </w:r>
      <w:r>
        <w:t>UMass Memorial Health</w:t>
      </w:r>
      <w:r w:rsidR="00552FAD">
        <w:t>.</w:t>
      </w:r>
      <w:r w:rsidR="006E49C2">
        <w:t xml:space="preserve">  </w:t>
      </w:r>
      <w:r w:rsidR="003C2E9C">
        <w:t xml:space="preserve">(Diggins </w:t>
      </w:r>
      <w:r w:rsidR="00071A9C">
        <w:t>1</w:t>
      </w:r>
      <w:r w:rsidR="004E5616">
        <w:t>/</w:t>
      </w:r>
      <w:r w:rsidR="00071A9C">
        <w:t>59-62</w:t>
      </w:r>
      <w:r w:rsidR="003B0196">
        <w:t>, 2</w:t>
      </w:r>
      <w:r w:rsidR="004E5616">
        <w:t>/</w:t>
      </w:r>
      <w:r w:rsidR="003B0196">
        <w:t>95</w:t>
      </w:r>
      <w:r w:rsidR="00852186">
        <w:t>-</w:t>
      </w:r>
      <w:r w:rsidR="00B47613">
        <w:t>101</w:t>
      </w:r>
      <w:r w:rsidR="003C2E9C">
        <w:t>.)</w:t>
      </w:r>
    </w:p>
    <w:p w14:paraId="11B77A6F" w14:textId="6E61D81B" w:rsidR="009D77C1" w:rsidRDefault="009D77C1" w:rsidP="009D77C1">
      <w:pPr>
        <w:pStyle w:val="ListedFindings"/>
      </w:pPr>
      <w:r>
        <w:t>In 201</w:t>
      </w:r>
      <w:r w:rsidR="00071A9C">
        <w:t>1</w:t>
      </w:r>
      <w:r>
        <w:t xml:space="preserve">, </w:t>
      </w:r>
      <w:r w:rsidR="00552FAD">
        <w:t xml:space="preserve">Dr. Diggins </w:t>
      </w:r>
      <w:r>
        <w:t xml:space="preserve">left UMass for </w:t>
      </w:r>
      <w:r w:rsidR="00552FAD">
        <w:t xml:space="preserve">a position at a Veterans Affairs hospital in Wyoming.  He </w:t>
      </w:r>
      <w:r>
        <w:t xml:space="preserve">believed </w:t>
      </w:r>
      <w:r w:rsidR="00552FAD">
        <w:t xml:space="preserve">that a woman with whom he was </w:t>
      </w:r>
      <w:r w:rsidR="0085442A">
        <w:t xml:space="preserve">romantically </w:t>
      </w:r>
      <w:r w:rsidR="00552FAD">
        <w:t>involved would follow him from Massachusetts to Wyoming</w:t>
      </w:r>
      <w:r w:rsidR="0087445B">
        <w:t>.  W</w:t>
      </w:r>
      <w:r w:rsidR="00552FAD">
        <w:t>hen this plan fell through</w:t>
      </w:r>
      <w:r w:rsidR="0087445B">
        <w:t>,</w:t>
      </w:r>
      <w:r w:rsidR="0087445B" w:rsidRPr="0087445B">
        <w:t xml:space="preserve"> </w:t>
      </w:r>
      <w:r w:rsidR="0087445B">
        <w:t>he was devastated</w:t>
      </w:r>
      <w:r w:rsidR="00552FAD">
        <w:t>.  He began to drink more heavily</w:t>
      </w:r>
      <w:r>
        <w:t xml:space="preserve">, </w:t>
      </w:r>
      <w:r w:rsidR="00830272">
        <w:t xml:space="preserve">in isolation, </w:t>
      </w:r>
      <w:r w:rsidR="00F04285">
        <w:t>consuming approximately one bottle of wine per night</w:t>
      </w:r>
      <w:r w:rsidR="00552FAD">
        <w:t>.</w:t>
      </w:r>
      <w:r>
        <w:t xml:space="preserve">  </w:t>
      </w:r>
      <w:r w:rsidR="003C2E9C">
        <w:t xml:space="preserve">(Diggins </w:t>
      </w:r>
      <w:r w:rsidR="00071A9C">
        <w:t>1</w:t>
      </w:r>
      <w:r w:rsidR="004E5616">
        <w:t>/</w:t>
      </w:r>
      <w:r w:rsidR="00071A9C">
        <w:t>67-73</w:t>
      </w:r>
      <w:r w:rsidR="00B47613">
        <w:t>, 2</w:t>
      </w:r>
      <w:r w:rsidR="004E5616">
        <w:t>/</w:t>
      </w:r>
      <w:r w:rsidR="00B47613">
        <w:t>101-02</w:t>
      </w:r>
      <w:r w:rsidR="00C8265F">
        <w:t>; Exhibit 13</w:t>
      </w:r>
      <w:r w:rsidR="003C2E9C">
        <w:t>.)</w:t>
      </w:r>
    </w:p>
    <w:p w14:paraId="684981E7" w14:textId="74107852" w:rsidR="004D706B" w:rsidRDefault="00F04285" w:rsidP="00CD23AE">
      <w:pPr>
        <w:pStyle w:val="ListedFindings"/>
      </w:pPr>
      <w:r>
        <w:t xml:space="preserve">In </w:t>
      </w:r>
      <w:r w:rsidR="003C2E9C">
        <w:t>201</w:t>
      </w:r>
      <w:r w:rsidR="00071A9C">
        <w:t>4</w:t>
      </w:r>
      <w:r>
        <w:t xml:space="preserve">, Dr. Diggins returned to Massachusetts for a position at </w:t>
      </w:r>
      <w:r w:rsidR="006F271D">
        <w:t xml:space="preserve">Providence Hospital.  </w:t>
      </w:r>
      <w:r>
        <w:t>After a time, he began to fall behind on his paperwork</w:t>
      </w:r>
      <w:r w:rsidR="0087344C">
        <w:t>.</w:t>
      </w:r>
      <w:r>
        <w:t xml:space="preserve">  The hospital </w:t>
      </w:r>
      <w:r w:rsidR="003C2E9C">
        <w:t>required</w:t>
      </w:r>
      <w:r>
        <w:t xml:space="preserve"> each </w:t>
      </w:r>
      <w:r w:rsidR="00B24A5C">
        <w:t>doctor</w:t>
      </w:r>
      <w:r>
        <w:t xml:space="preserve"> to complete a note for each patient </w:t>
      </w:r>
      <w:r w:rsidR="00830272">
        <w:t>encounter</w:t>
      </w:r>
      <w:r>
        <w:t xml:space="preserve"> within one day.  Dr. Diggins sometime</w:t>
      </w:r>
      <w:r w:rsidR="003C2E9C">
        <w:t>s</w:t>
      </w:r>
      <w:r>
        <w:t xml:space="preserve"> fell several days’ worth of notes behind schedule.  Hospital staff voiced concerns about his </w:t>
      </w:r>
      <w:r w:rsidR="003C2E9C">
        <w:t xml:space="preserve">outstanding </w:t>
      </w:r>
      <w:r w:rsidR="002B0FE8">
        <w:t>records</w:t>
      </w:r>
      <w:r>
        <w:t xml:space="preserve">.  </w:t>
      </w:r>
      <w:r w:rsidR="009071A8">
        <w:t>He agreed to</w:t>
      </w:r>
      <w:r>
        <w:t xml:space="preserve"> a </w:t>
      </w:r>
      <w:r w:rsidR="003C2E9C">
        <w:t xml:space="preserve">performance improvement </w:t>
      </w:r>
      <w:r>
        <w:t xml:space="preserve">plan.  These </w:t>
      </w:r>
      <w:r w:rsidR="009071A8">
        <w:t>issues</w:t>
      </w:r>
      <w:r>
        <w:t xml:space="preserve"> eventually led Dr. Diggins to resign.  He was asked, however, to continue working for the hospital on a locum tenens basis.</w:t>
      </w:r>
      <w:r w:rsidR="003C2E9C">
        <w:t xml:space="preserve">  (</w:t>
      </w:r>
      <w:r w:rsidR="00CC0D38">
        <w:t xml:space="preserve">Diggins </w:t>
      </w:r>
      <w:r w:rsidR="00B47613">
        <w:t>1</w:t>
      </w:r>
      <w:r w:rsidR="004E5616">
        <w:t>/</w:t>
      </w:r>
      <w:r w:rsidR="00CC0D38">
        <w:t>69-73</w:t>
      </w:r>
      <w:r w:rsidR="00B47613">
        <w:t>, 2</w:t>
      </w:r>
      <w:r w:rsidR="004E5616">
        <w:t>/</w:t>
      </w:r>
      <w:r w:rsidR="00B47613">
        <w:t>102-04</w:t>
      </w:r>
      <w:r w:rsidR="00CC0D38">
        <w:t xml:space="preserve">; </w:t>
      </w:r>
      <w:r w:rsidR="00C8265F">
        <w:t>Altamirano</w:t>
      </w:r>
      <w:r w:rsidR="001D0583">
        <w:t xml:space="preserve"> 1</w:t>
      </w:r>
      <w:r w:rsidR="004E5616">
        <w:t>/</w:t>
      </w:r>
      <w:r w:rsidR="001D0583">
        <w:t>127</w:t>
      </w:r>
      <w:r w:rsidR="003C2E9C">
        <w:t>.)</w:t>
      </w:r>
    </w:p>
    <w:p w14:paraId="09999A6F" w14:textId="434D8440" w:rsidR="00404572" w:rsidRDefault="00E5253E" w:rsidP="009659F5">
      <w:pPr>
        <w:pStyle w:val="ListedFindings"/>
      </w:pPr>
      <w:r>
        <w:t xml:space="preserve">In </w:t>
      </w:r>
      <w:r w:rsidR="00EA69D1">
        <w:t>2016,</w:t>
      </w:r>
      <w:r>
        <w:t xml:space="preserve"> </w:t>
      </w:r>
      <w:r w:rsidR="00404572">
        <w:t xml:space="preserve">Dr. Diggins began working </w:t>
      </w:r>
      <w:r w:rsidR="00F04285">
        <w:t>at</w:t>
      </w:r>
      <w:r w:rsidR="00404572">
        <w:t xml:space="preserve"> the Center for Human Development</w:t>
      </w:r>
      <w:r>
        <w:t xml:space="preserve"> (CHD)</w:t>
      </w:r>
      <w:r w:rsidR="00404572">
        <w:t xml:space="preserve"> </w:t>
      </w:r>
      <w:r>
        <w:t>in</w:t>
      </w:r>
      <w:r w:rsidR="00EA69D1">
        <w:t xml:space="preserve"> Springfield</w:t>
      </w:r>
      <w:r>
        <w:t xml:space="preserve">.  </w:t>
      </w:r>
      <w:r w:rsidR="00B24A5C">
        <w:t>He</w:t>
      </w:r>
      <w:r w:rsidR="0087344C">
        <w:t xml:space="preserve"> shouldered </w:t>
      </w:r>
      <w:r w:rsidR="00F04285">
        <w:t xml:space="preserve">a </w:t>
      </w:r>
      <w:r w:rsidR="00580DC9">
        <w:t>heavy</w:t>
      </w:r>
      <w:r w:rsidR="00F04285">
        <w:t xml:space="preserve"> </w:t>
      </w:r>
      <w:r w:rsidR="009071A8">
        <w:t>work</w:t>
      </w:r>
      <w:r w:rsidR="00F04285">
        <w:t>load</w:t>
      </w:r>
      <w:r w:rsidR="0087344C">
        <w:t xml:space="preserve">.  Within months, he again fell behind on his </w:t>
      </w:r>
      <w:r w:rsidR="003C2E9C">
        <w:t>notes</w:t>
      </w:r>
      <w:r w:rsidR="0087344C">
        <w:t xml:space="preserve">.  The hospital made voice-recognition software available to </w:t>
      </w:r>
      <w:r w:rsidR="00C8265F">
        <w:t>Dr. Diggins</w:t>
      </w:r>
      <w:r w:rsidR="0087344C">
        <w:t xml:space="preserve">.  A staff member was assigned to assist </w:t>
      </w:r>
      <w:r w:rsidR="00C8265F">
        <w:t xml:space="preserve">him </w:t>
      </w:r>
      <w:r w:rsidR="0087344C">
        <w:t>with documentation, but he</w:t>
      </w:r>
      <w:r w:rsidR="003C2E9C">
        <w:t xml:space="preserve"> </w:t>
      </w:r>
      <w:r w:rsidR="002B0FE8">
        <w:t xml:space="preserve">found her </w:t>
      </w:r>
      <w:r w:rsidR="009071A8">
        <w:t>efforts</w:t>
      </w:r>
      <w:r w:rsidR="002B0FE8">
        <w:t xml:space="preserve"> counterproductive</w:t>
      </w:r>
      <w:r w:rsidR="0087344C">
        <w:t xml:space="preserve">.  In late 2016, Dr. Diggins received oral and written exhortations </w:t>
      </w:r>
      <w:r w:rsidR="00247CEA">
        <w:t xml:space="preserve">from </w:t>
      </w:r>
      <w:r w:rsidR="00560CB5">
        <w:t xml:space="preserve">his </w:t>
      </w:r>
      <w:r w:rsidR="00560CB5">
        <w:lastRenderedPageBreak/>
        <w:t xml:space="preserve">supervisor, </w:t>
      </w:r>
      <w:r w:rsidR="00247CEA">
        <w:t>Dr. Altamirano</w:t>
      </w:r>
      <w:r w:rsidR="003C2E9C">
        <w:t>,</w:t>
      </w:r>
      <w:r w:rsidR="003C2E9C" w:rsidRPr="003C2E9C">
        <w:t xml:space="preserve"> </w:t>
      </w:r>
      <w:r w:rsidR="003C2E9C">
        <w:t>to catch up</w:t>
      </w:r>
      <w:r w:rsidR="00247CEA">
        <w:t xml:space="preserve">.  </w:t>
      </w:r>
      <w:r w:rsidR="002B0FE8">
        <w:t>Dr. Altamirano’s letters counted Dr. Diggins’s outstanding notes a</w:t>
      </w:r>
      <w:r w:rsidR="009071A8">
        <w:t>t</w:t>
      </w:r>
      <w:r w:rsidR="002B0FE8">
        <w:t xml:space="preserve"> 74 in September 2016 and 90 in March 2017.  </w:t>
      </w:r>
      <w:r w:rsidR="00247CEA">
        <w:t xml:space="preserve">Late in </w:t>
      </w:r>
      <w:r>
        <w:t xml:space="preserve">March 2017, Dr. Diggins was </w:t>
      </w:r>
      <w:r w:rsidR="0087344C">
        <w:t xml:space="preserve">placed on unpaid leave for five days.  </w:t>
      </w:r>
      <w:r>
        <w:t xml:space="preserve">Soon thereafter, he agreed to a performance improvement plan.  </w:t>
      </w:r>
      <w:r w:rsidR="0087344C">
        <w:t xml:space="preserve">In September 2017, </w:t>
      </w:r>
      <w:r w:rsidR="002B0FE8">
        <w:t>Dr. Diggins</w:t>
      </w:r>
      <w:r w:rsidR="0087344C">
        <w:t xml:space="preserve"> resigned</w:t>
      </w:r>
      <w:r w:rsidR="00037376">
        <w:t xml:space="preserve">, </w:t>
      </w:r>
      <w:r w:rsidR="002B0FE8">
        <w:t xml:space="preserve">leaving behind </w:t>
      </w:r>
      <w:r w:rsidR="00037376">
        <w:t>m</w:t>
      </w:r>
      <w:r>
        <w:t xml:space="preserve">ore than 100 </w:t>
      </w:r>
      <w:r w:rsidR="00247CEA">
        <w:t>outstanding</w:t>
      </w:r>
      <w:r w:rsidR="002B0FE8">
        <w:t xml:space="preserve"> notes</w:t>
      </w:r>
      <w:r w:rsidR="0087344C">
        <w:t>.</w:t>
      </w:r>
      <w:r w:rsidR="00037376">
        <w:t xml:space="preserve">  (</w:t>
      </w:r>
      <w:r w:rsidR="00CC0D38">
        <w:t>Diggins 1</w:t>
      </w:r>
      <w:r w:rsidR="004E5616">
        <w:t>/</w:t>
      </w:r>
      <w:r w:rsidR="00CC0D38">
        <w:t>73-95</w:t>
      </w:r>
      <w:r w:rsidR="00B47613">
        <w:t>, 2</w:t>
      </w:r>
      <w:r w:rsidR="004E5616">
        <w:t>/</w:t>
      </w:r>
      <w:r w:rsidR="00B47613">
        <w:t>105-</w:t>
      </w:r>
      <w:r w:rsidR="002130B6">
        <w:t>17</w:t>
      </w:r>
      <w:r w:rsidR="0059170E">
        <w:t>, 2</w:t>
      </w:r>
      <w:r w:rsidR="004E5616">
        <w:t>/</w:t>
      </w:r>
      <w:r w:rsidR="0059170E">
        <w:t>134-35</w:t>
      </w:r>
      <w:r w:rsidR="00CC0D38">
        <w:t xml:space="preserve">; </w:t>
      </w:r>
      <w:r w:rsidR="00037376">
        <w:t xml:space="preserve">Altamirano </w:t>
      </w:r>
      <w:r w:rsidR="00A71C10">
        <w:t>1</w:t>
      </w:r>
      <w:r w:rsidR="004E5616">
        <w:t>/</w:t>
      </w:r>
      <w:r w:rsidR="00A71C10">
        <w:t>127-5</w:t>
      </w:r>
      <w:r w:rsidR="00DA38FF">
        <w:t>6</w:t>
      </w:r>
      <w:r w:rsidR="00037376">
        <w:t>;</w:t>
      </w:r>
      <w:r w:rsidR="005C6ABD">
        <w:t xml:space="preserve"> Goodwin 2</w:t>
      </w:r>
      <w:r w:rsidR="004E5616">
        <w:t>/</w:t>
      </w:r>
      <w:r w:rsidR="005C6ABD">
        <w:t>64-</w:t>
      </w:r>
      <w:r w:rsidR="00166E52">
        <w:t>74</w:t>
      </w:r>
      <w:r w:rsidR="005C6ABD">
        <w:t xml:space="preserve">; </w:t>
      </w:r>
      <w:r w:rsidR="00037376">
        <w:t>Exhibit</w:t>
      </w:r>
      <w:r w:rsidR="0085442A">
        <w:t xml:space="preserve"> 5</w:t>
      </w:r>
      <w:r w:rsidR="00852186">
        <w:t>.</w:t>
      </w:r>
      <w:r w:rsidR="00037376">
        <w:t>)</w:t>
      </w:r>
    </w:p>
    <w:p w14:paraId="5A418B50" w14:textId="21C35B13" w:rsidR="00E3012B" w:rsidRDefault="00EA69D1" w:rsidP="00CD23AE">
      <w:pPr>
        <w:pStyle w:val="ListedFindings"/>
      </w:pPr>
      <w:r>
        <w:t xml:space="preserve">In 2018, </w:t>
      </w:r>
      <w:r w:rsidR="00E5253E">
        <w:t xml:space="preserve">Dr. Diggins </w:t>
      </w:r>
      <w:r w:rsidR="00E3012B">
        <w:t xml:space="preserve">took a job at </w:t>
      </w:r>
      <w:r w:rsidR="00E5253E">
        <w:t xml:space="preserve">Harrington Hospital in Southbridge.  </w:t>
      </w:r>
      <w:r w:rsidR="00E3012B">
        <w:t xml:space="preserve">While being considered for the position, he disclosed the </w:t>
      </w:r>
      <w:r w:rsidR="00402359">
        <w:t>record-keeping difficulties he had encountered at CHD.  The hospital hire</w:t>
      </w:r>
      <w:r w:rsidR="009071A8">
        <w:t>d</w:t>
      </w:r>
      <w:r w:rsidR="00402359">
        <w:t xml:space="preserve"> him n</w:t>
      </w:r>
      <w:r w:rsidR="002B0FE8">
        <w:t>on</w:t>
      </w:r>
      <w:r w:rsidR="00402359">
        <w:t xml:space="preserve">etheless.  </w:t>
      </w:r>
      <w:r w:rsidR="002B0FE8">
        <w:t xml:space="preserve">He </w:t>
      </w:r>
      <w:r w:rsidR="00402359">
        <w:t xml:space="preserve">was assigned a </w:t>
      </w:r>
      <w:r w:rsidR="00580DC9">
        <w:t>heavy</w:t>
      </w:r>
      <w:r w:rsidR="00402359">
        <w:t xml:space="preserve"> patient load</w:t>
      </w:r>
      <w:r w:rsidR="002B0FE8">
        <w:t xml:space="preserve"> and</w:t>
      </w:r>
      <w:r w:rsidR="00402359">
        <w:t xml:space="preserve"> fell behind on his records again.  In late 2018 and early 2019, hospital administrators spoke to Dr. Diggins </w:t>
      </w:r>
      <w:r w:rsidR="00B24A5C">
        <w:t>multiple times</w:t>
      </w:r>
      <w:r w:rsidR="00402359">
        <w:t xml:space="preserve"> about his </w:t>
      </w:r>
      <w:r w:rsidR="00C8265F">
        <w:t>record</w:t>
      </w:r>
      <w:r w:rsidR="009071A8">
        <w:t xml:space="preserve"> </w:t>
      </w:r>
      <w:r w:rsidR="00C8265F">
        <w:t>keeping</w:t>
      </w:r>
      <w:r w:rsidR="00402359">
        <w:t xml:space="preserve">.  As of </w:t>
      </w:r>
      <w:r w:rsidR="005170D2">
        <w:t>early</w:t>
      </w:r>
      <w:r w:rsidR="00402359">
        <w:t xml:space="preserve"> 2019, </w:t>
      </w:r>
      <w:r w:rsidR="005170D2">
        <w:t xml:space="preserve">more than </w:t>
      </w:r>
      <w:r w:rsidR="00402359">
        <w:t xml:space="preserve">100 of his notes were overdue.  </w:t>
      </w:r>
      <w:r w:rsidR="00037376">
        <w:t xml:space="preserve">(Diggins </w:t>
      </w:r>
      <w:r w:rsidR="00201FD7">
        <w:t>1</w:t>
      </w:r>
      <w:r w:rsidR="004E5616">
        <w:t>/</w:t>
      </w:r>
      <w:r w:rsidR="00201FD7">
        <w:t>95-</w:t>
      </w:r>
      <w:r w:rsidR="005170D2">
        <w:t>109</w:t>
      </w:r>
      <w:r w:rsidR="002130B6">
        <w:t>, 2</w:t>
      </w:r>
      <w:r w:rsidR="004E5616">
        <w:t>/</w:t>
      </w:r>
      <w:r w:rsidR="002130B6">
        <w:t>115-18</w:t>
      </w:r>
      <w:r w:rsidR="00B207D4">
        <w:t xml:space="preserve">; Mirhej </w:t>
      </w:r>
      <w:r w:rsidR="00580DC9">
        <w:t>1</w:t>
      </w:r>
      <w:r w:rsidR="004E5616">
        <w:t>/</w:t>
      </w:r>
      <w:r w:rsidR="00580DC9">
        <w:t>174-</w:t>
      </w:r>
      <w:r w:rsidR="00234A21">
        <w:t>90, 1</w:t>
      </w:r>
      <w:r w:rsidR="004E5616">
        <w:t>/</w:t>
      </w:r>
      <w:r w:rsidR="00234A21">
        <w:t>197-</w:t>
      </w:r>
      <w:r w:rsidR="000D6E61">
        <w:t>203</w:t>
      </w:r>
      <w:r w:rsidR="00646958">
        <w:t xml:space="preserve">; Exhibit </w:t>
      </w:r>
      <w:r w:rsidR="0085442A">
        <w:t>4</w:t>
      </w:r>
      <w:r w:rsidR="00037376">
        <w:t>.)</w:t>
      </w:r>
    </w:p>
    <w:p w14:paraId="28150449" w14:textId="76F12AE8" w:rsidR="002B0FE8" w:rsidRDefault="009C1C97" w:rsidP="00CD23AE">
      <w:pPr>
        <w:pStyle w:val="ListedFindings"/>
      </w:pPr>
      <w:r>
        <w:t xml:space="preserve">First as part of his work for CHD, and </w:t>
      </w:r>
      <w:proofErr w:type="gramStart"/>
      <w:r>
        <w:t>later on</w:t>
      </w:r>
      <w:proofErr w:type="gramEnd"/>
      <w:r>
        <w:t xml:space="preserve"> behalf of the Justice Resource Institute (JRI), </w:t>
      </w:r>
      <w:r w:rsidR="003B4FB8">
        <w:t xml:space="preserve">Dr. Diggins </w:t>
      </w:r>
      <w:r w:rsidR="00210694">
        <w:t xml:space="preserve">has </w:t>
      </w:r>
      <w:r>
        <w:t xml:space="preserve">provided treatment to </w:t>
      </w:r>
      <w:r w:rsidR="00B24A5C">
        <w:t>juveniles</w:t>
      </w:r>
      <w:r w:rsidR="003B4FB8">
        <w:t xml:space="preserve"> in the custody of the Department for Youth Services.  </w:t>
      </w:r>
      <w:r w:rsidR="00083D08">
        <w:t>Applicable policies d</w:t>
      </w:r>
      <w:r w:rsidR="00210694">
        <w:t>o</w:t>
      </w:r>
      <w:r w:rsidR="00083D08">
        <w:t xml:space="preserve"> not permit physicians </w:t>
      </w:r>
      <w:r w:rsidR="003B4FB8">
        <w:t xml:space="preserve">to leave </w:t>
      </w:r>
      <w:r>
        <w:t xml:space="preserve">the </w:t>
      </w:r>
      <w:r w:rsidR="00E311B1">
        <w:t>juveniles’</w:t>
      </w:r>
      <w:r>
        <w:t xml:space="preserve"> </w:t>
      </w:r>
      <w:r w:rsidR="003B4FB8">
        <w:t>institution</w:t>
      </w:r>
      <w:r>
        <w:t>s</w:t>
      </w:r>
      <w:r w:rsidR="003B4FB8">
        <w:t xml:space="preserve"> before </w:t>
      </w:r>
      <w:r w:rsidR="0087445B">
        <w:t xml:space="preserve">completing </w:t>
      </w:r>
      <w:r>
        <w:t xml:space="preserve">the requisite </w:t>
      </w:r>
      <w:r w:rsidR="003B4FB8">
        <w:t xml:space="preserve">paperwork.  Dr. Diggins </w:t>
      </w:r>
      <w:r w:rsidR="00210694">
        <w:t xml:space="preserve">has </w:t>
      </w:r>
      <w:r w:rsidR="003B4FB8">
        <w:t>complied with that policy.  (Diggins</w:t>
      </w:r>
      <w:r w:rsidR="00201FD7">
        <w:t xml:space="preserve"> 1</w:t>
      </w:r>
      <w:r w:rsidR="004E5616">
        <w:t>/</w:t>
      </w:r>
      <w:r w:rsidR="00201FD7">
        <w:t>92-95</w:t>
      </w:r>
      <w:r w:rsidR="002130B6">
        <w:t>, 2</w:t>
      </w:r>
      <w:r w:rsidR="004E5616">
        <w:t>/</w:t>
      </w:r>
      <w:r w:rsidR="002130B6">
        <w:t>113-14</w:t>
      </w:r>
      <w:r w:rsidR="003B4FB8">
        <w:t xml:space="preserve">; Hutchinson </w:t>
      </w:r>
      <w:r w:rsidR="00464790">
        <w:t>2</w:t>
      </w:r>
      <w:r w:rsidR="004E5616">
        <w:t>/</w:t>
      </w:r>
      <w:r w:rsidR="00464790">
        <w:t xml:space="preserve">40-45, </w:t>
      </w:r>
      <w:r w:rsidR="00A72267">
        <w:t>2</w:t>
      </w:r>
      <w:r w:rsidR="004E5616">
        <w:t>/</w:t>
      </w:r>
      <w:r w:rsidR="00464790">
        <w:t>52-53</w:t>
      </w:r>
      <w:r w:rsidR="003B4FB8">
        <w:t>.)</w:t>
      </w:r>
    </w:p>
    <w:p w14:paraId="2B962A3C" w14:textId="1EF32C1D" w:rsidR="0035156E" w:rsidRDefault="00960A45" w:rsidP="009C1C97">
      <w:pPr>
        <w:pStyle w:val="ListedFindings"/>
      </w:pPr>
      <w:r>
        <w:t xml:space="preserve">On and off, </w:t>
      </w:r>
      <w:r w:rsidR="00402359">
        <w:t xml:space="preserve">Dr. Diggins continued </w:t>
      </w:r>
      <w:r>
        <w:t xml:space="preserve">in Massachusetts the heavy drinking he </w:t>
      </w:r>
      <w:r w:rsidR="009071A8">
        <w:t xml:space="preserve">had </w:t>
      </w:r>
      <w:r w:rsidR="0035156E">
        <w:t xml:space="preserve">commenced </w:t>
      </w:r>
      <w:r>
        <w:t>in Wyoming.  He stop</w:t>
      </w:r>
      <w:r w:rsidR="009C1C97">
        <w:t>ped</w:t>
      </w:r>
      <w:r>
        <w:t xml:space="preserve"> drinking for periods of up to six months at a time.  As of late 2019, </w:t>
      </w:r>
      <w:r w:rsidR="009C1C97">
        <w:t>he</w:t>
      </w:r>
      <w:r>
        <w:t xml:space="preserve"> was drinking approximately one bottle of wine per </w:t>
      </w:r>
      <w:r w:rsidR="00210694">
        <w:t>night</w:t>
      </w:r>
      <w:r>
        <w:t xml:space="preserve"> on weeknights and two bottles on each night of the weekend.</w:t>
      </w:r>
      <w:r w:rsidR="0035156E">
        <w:t xml:space="preserve">  </w:t>
      </w:r>
      <w:r>
        <w:t>Throughout</w:t>
      </w:r>
      <w:r w:rsidR="00E5620F">
        <w:t xml:space="preserve">, Dr. Diggins refrained from drinking while at work.  He was </w:t>
      </w:r>
      <w:r w:rsidR="00E311B1">
        <w:t>not</w:t>
      </w:r>
      <w:r w:rsidR="00E5620F">
        <w:t xml:space="preserve"> observed to be </w:t>
      </w:r>
      <w:r w:rsidR="00B207D4">
        <w:t>intoxicated</w:t>
      </w:r>
      <w:r w:rsidR="00E5620F">
        <w:t xml:space="preserve"> at CHD</w:t>
      </w:r>
      <w:r w:rsidR="009C1C97">
        <w:t>,</w:t>
      </w:r>
      <w:r w:rsidR="00E5620F">
        <w:t xml:space="preserve"> Harrington</w:t>
      </w:r>
      <w:r w:rsidR="009C1C97">
        <w:t>, or JRI</w:t>
      </w:r>
      <w:r w:rsidR="004A674E">
        <w:t>.</w:t>
      </w:r>
      <w:r w:rsidR="00840B03">
        <w:t xml:space="preserve">  </w:t>
      </w:r>
      <w:r w:rsidR="00037376">
        <w:t xml:space="preserve">Approximately three times, Dr. Diggins </w:t>
      </w:r>
      <w:r w:rsidR="00840B03">
        <w:t>call</w:t>
      </w:r>
      <w:r w:rsidR="00037376">
        <w:t>ed</w:t>
      </w:r>
      <w:r w:rsidR="00840B03">
        <w:t xml:space="preserve"> in to work sick </w:t>
      </w:r>
      <w:r w:rsidR="00B24A5C">
        <w:t xml:space="preserve">because he was suffering from </w:t>
      </w:r>
      <w:r w:rsidR="00840B03">
        <w:t>hangovers</w:t>
      </w:r>
      <w:r w:rsidR="00E5620F">
        <w:t>.</w:t>
      </w:r>
      <w:r w:rsidR="00037376">
        <w:t xml:space="preserve">  (</w:t>
      </w:r>
      <w:r w:rsidR="00CC0D38">
        <w:t xml:space="preserve">Diggins </w:t>
      </w:r>
      <w:r w:rsidR="00CC0D38">
        <w:lastRenderedPageBreak/>
        <w:t>1</w:t>
      </w:r>
      <w:r w:rsidR="004E5616">
        <w:t>/</w:t>
      </w:r>
      <w:r w:rsidR="00CC0D38">
        <w:t>73, 1</w:t>
      </w:r>
      <w:r w:rsidR="004E5616">
        <w:t>/</w:t>
      </w:r>
      <w:r w:rsidR="00CC0D38">
        <w:t>112-18</w:t>
      </w:r>
      <w:r w:rsidR="003B0196">
        <w:t>, 2</w:t>
      </w:r>
      <w:r w:rsidR="004E5616">
        <w:t>/</w:t>
      </w:r>
      <w:r w:rsidR="003B0196">
        <w:t>99</w:t>
      </w:r>
      <w:r w:rsidR="00CC0D38">
        <w:t xml:space="preserve">; </w:t>
      </w:r>
      <w:r w:rsidR="00037376">
        <w:t xml:space="preserve">Altamirano </w:t>
      </w:r>
      <w:r w:rsidR="00A71C10">
        <w:t>1</w:t>
      </w:r>
      <w:r w:rsidR="004E5616">
        <w:t>/</w:t>
      </w:r>
      <w:r w:rsidR="00A71C10">
        <w:t>154</w:t>
      </w:r>
      <w:r w:rsidR="00DA38FF">
        <w:t>, 1</w:t>
      </w:r>
      <w:r w:rsidR="004E5616">
        <w:t>/</w:t>
      </w:r>
      <w:r w:rsidR="00DA38FF">
        <w:t>165-66</w:t>
      </w:r>
      <w:r w:rsidR="00037376">
        <w:t xml:space="preserve">; </w:t>
      </w:r>
      <w:r w:rsidR="005C6ABD">
        <w:t>Goodwin 2</w:t>
      </w:r>
      <w:r w:rsidR="004E5616">
        <w:t>/</w:t>
      </w:r>
      <w:r w:rsidR="005C6ABD">
        <w:t xml:space="preserve">62-63; </w:t>
      </w:r>
      <w:r w:rsidR="00464790">
        <w:t>Hutchinson 2</w:t>
      </w:r>
      <w:r w:rsidR="004E5616">
        <w:t>/</w:t>
      </w:r>
      <w:r w:rsidR="00464790">
        <w:t xml:space="preserve">45; </w:t>
      </w:r>
      <w:r w:rsidR="00CC0D3E">
        <w:t>Listerud 2</w:t>
      </w:r>
      <w:r w:rsidR="004E5616">
        <w:t>/</w:t>
      </w:r>
      <w:r w:rsidR="00CC0D3E">
        <w:t xml:space="preserve">15-16; </w:t>
      </w:r>
      <w:r w:rsidR="00037376">
        <w:t xml:space="preserve">Mirhej </w:t>
      </w:r>
      <w:r w:rsidR="000D6E61">
        <w:t>1</w:t>
      </w:r>
      <w:r w:rsidR="004E5616">
        <w:t>/</w:t>
      </w:r>
      <w:r w:rsidR="000D6E61">
        <w:t>206</w:t>
      </w:r>
      <w:r w:rsidR="00037376">
        <w:t>.)</w:t>
      </w:r>
    </w:p>
    <w:p w14:paraId="2D931C97" w14:textId="08D12976" w:rsidR="00960A45" w:rsidRDefault="009C1C97" w:rsidP="00BB0D4E">
      <w:pPr>
        <w:pStyle w:val="ListedFindings"/>
      </w:pPr>
      <w:r>
        <w:t>A</w:t>
      </w:r>
      <w:r w:rsidR="00037376">
        <w:t>t CHD</w:t>
      </w:r>
      <w:r>
        <w:t xml:space="preserve">, </w:t>
      </w:r>
      <w:r w:rsidR="00037376">
        <w:t>Harrington</w:t>
      </w:r>
      <w:r>
        <w:t xml:space="preserve">, </w:t>
      </w:r>
      <w:r w:rsidR="00B207D4">
        <w:t xml:space="preserve">and </w:t>
      </w:r>
      <w:r>
        <w:t>JRI</w:t>
      </w:r>
      <w:r w:rsidR="00B207D4">
        <w:t xml:space="preserve">, </w:t>
      </w:r>
      <w:r w:rsidR="00E5620F">
        <w:t>Dr. Diggins</w:t>
      </w:r>
      <w:r w:rsidR="00037376">
        <w:t xml:space="preserve"> </w:t>
      </w:r>
      <w:r w:rsidR="00B207D4">
        <w:t xml:space="preserve">has </w:t>
      </w:r>
      <w:r w:rsidR="009071A8">
        <w:t xml:space="preserve">been </w:t>
      </w:r>
      <w:r w:rsidR="0087445B">
        <w:t>revered</w:t>
      </w:r>
      <w:r w:rsidR="00C7350F">
        <w:t xml:space="preserve"> </w:t>
      </w:r>
      <w:r>
        <w:t xml:space="preserve">as </w:t>
      </w:r>
      <w:r w:rsidR="00037376">
        <w:t xml:space="preserve">a </w:t>
      </w:r>
      <w:r w:rsidR="00F5568B">
        <w:t xml:space="preserve">skilled and </w:t>
      </w:r>
      <w:r w:rsidR="00037376">
        <w:t>compassionate</w:t>
      </w:r>
      <w:r w:rsidR="00B207D4">
        <w:t xml:space="preserve"> </w:t>
      </w:r>
      <w:r w:rsidR="009071A8">
        <w:t>psychiatrist</w:t>
      </w:r>
      <w:r w:rsidR="00037376">
        <w:t xml:space="preserve">.  His treatment and </w:t>
      </w:r>
      <w:r w:rsidR="00E5620F">
        <w:t xml:space="preserve">prescribing practices </w:t>
      </w:r>
      <w:r>
        <w:t xml:space="preserve">are </w:t>
      </w:r>
      <w:r w:rsidR="00E5620F">
        <w:t>impeccable.</w:t>
      </w:r>
      <w:r w:rsidR="00037376">
        <w:t xml:space="preserve">  He </w:t>
      </w:r>
      <w:r w:rsidR="00B207D4">
        <w:t xml:space="preserve">has achieved </w:t>
      </w:r>
      <w:r w:rsidR="003B4FB8">
        <w:t>outstanding</w:t>
      </w:r>
      <w:r w:rsidR="00B207D4">
        <w:t xml:space="preserve"> results</w:t>
      </w:r>
      <w:r w:rsidR="00037376">
        <w:t xml:space="preserve">.  </w:t>
      </w:r>
      <w:r w:rsidR="00E5620F">
        <w:t>Patient</w:t>
      </w:r>
      <w:r w:rsidR="00B207D4">
        <w:t>s praise his work</w:t>
      </w:r>
      <w:r w:rsidR="00E5620F">
        <w:t xml:space="preserve">.  </w:t>
      </w:r>
      <w:r w:rsidR="009071A8">
        <w:t>C</w:t>
      </w:r>
      <w:r w:rsidR="00E5620F">
        <w:t xml:space="preserve">olleagues </w:t>
      </w:r>
      <w:r w:rsidR="0018245A">
        <w:t>admire and like</w:t>
      </w:r>
      <w:r w:rsidR="00083D08">
        <w:t xml:space="preserve"> him</w:t>
      </w:r>
      <w:r w:rsidR="0035156E">
        <w:t xml:space="preserve">.  </w:t>
      </w:r>
      <w:r w:rsidR="00095A53">
        <w:t xml:space="preserve">His employing institutions </w:t>
      </w:r>
      <w:r w:rsidR="00840B03">
        <w:t xml:space="preserve">have </w:t>
      </w:r>
      <w:r w:rsidR="00095A53">
        <w:t>treasured his skill</w:t>
      </w:r>
      <w:r w:rsidR="008878C6">
        <w:t xml:space="preserve"> </w:t>
      </w:r>
      <w:r w:rsidR="00095A53">
        <w:t xml:space="preserve">set, which is </w:t>
      </w:r>
      <w:r w:rsidR="0087445B">
        <w:t xml:space="preserve">vanishingly </w:t>
      </w:r>
      <w:r w:rsidR="00840B03">
        <w:t>rare</w:t>
      </w:r>
      <w:r w:rsidR="0087445B">
        <w:t xml:space="preserve">.  </w:t>
      </w:r>
      <w:r w:rsidR="003D1A8A">
        <w:t>The</w:t>
      </w:r>
      <w:r w:rsidR="003B4FB8">
        <w:t xml:space="preserve"> pertinent witnesses, </w:t>
      </w:r>
      <w:proofErr w:type="gramStart"/>
      <w:r w:rsidR="003B4FB8">
        <w:t>with the possible exception of</w:t>
      </w:r>
      <w:proofErr w:type="gramEnd"/>
      <w:r w:rsidR="003B4FB8">
        <w:t xml:space="preserve"> Dr. Altamirano—but including Dr. Altamirano’s supervisor</w:t>
      </w:r>
      <w:r w:rsidR="003D1A8A">
        <w:t>, Mr. Goodwin</w:t>
      </w:r>
      <w:r w:rsidR="003B4FB8">
        <w:t xml:space="preserve">—believed that </w:t>
      </w:r>
      <w:r w:rsidR="00F5568B">
        <w:t xml:space="preserve">the benefits of </w:t>
      </w:r>
      <w:r w:rsidR="003B4FB8">
        <w:t xml:space="preserve">Dr. Diggins’s </w:t>
      </w:r>
      <w:r w:rsidR="00C7350F">
        <w:t>services</w:t>
      </w:r>
      <w:r w:rsidR="00F5568B">
        <w:t xml:space="preserve"> </w:t>
      </w:r>
      <w:r w:rsidR="003D1A8A">
        <w:t>easily</w:t>
      </w:r>
      <w:r w:rsidR="00F5568B">
        <w:t xml:space="preserve"> </w:t>
      </w:r>
      <w:r w:rsidR="003D1A8A">
        <w:t>outweighed</w:t>
      </w:r>
      <w:r w:rsidR="00F5568B">
        <w:t xml:space="preserve"> the </w:t>
      </w:r>
      <w:r w:rsidR="003D1A8A">
        <w:t>price</w:t>
      </w:r>
      <w:r w:rsidR="00C7350F">
        <w:t xml:space="preserve"> </w:t>
      </w:r>
      <w:r w:rsidR="00F5568B">
        <w:t xml:space="preserve">of his </w:t>
      </w:r>
      <w:r w:rsidR="003D1A8A">
        <w:t>deficient</w:t>
      </w:r>
      <w:r>
        <w:t xml:space="preserve"> </w:t>
      </w:r>
      <w:r w:rsidR="00F5568B">
        <w:t>record</w:t>
      </w:r>
      <w:r w:rsidR="003B4FB8">
        <w:t xml:space="preserve"> </w:t>
      </w:r>
      <w:r w:rsidR="00F5568B">
        <w:t xml:space="preserve">keeping.  </w:t>
      </w:r>
      <w:r w:rsidR="00B207D4">
        <w:t xml:space="preserve">(Altamirano </w:t>
      </w:r>
      <w:r w:rsidR="00A71C10">
        <w:t>1</w:t>
      </w:r>
      <w:r w:rsidR="004E5616">
        <w:t>/</w:t>
      </w:r>
      <w:r w:rsidR="00A71C10">
        <w:t>152</w:t>
      </w:r>
      <w:r w:rsidR="00DA38FF">
        <w:t>-6</w:t>
      </w:r>
      <w:r w:rsidR="00382FD8">
        <w:t>4</w:t>
      </w:r>
      <w:r w:rsidR="00B207D4">
        <w:t xml:space="preserve">; Goodwin </w:t>
      </w:r>
      <w:r w:rsidR="005C6ABD">
        <w:t>2</w:t>
      </w:r>
      <w:r w:rsidR="004E5616">
        <w:t>/</w:t>
      </w:r>
      <w:r w:rsidR="005C6ABD">
        <w:t>61-69</w:t>
      </w:r>
      <w:r w:rsidR="00B207D4">
        <w:t>; Hutchinson</w:t>
      </w:r>
      <w:r w:rsidR="00464790">
        <w:t xml:space="preserve"> 2</w:t>
      </w:r>
      <w:r w:rsidR="004E5616">
        <w:t>/</w:t>
      </w:r>
      <w:r w:rsidR="00464790">
        <w:t>42-43</w:t>
      </w:r>
      <w:r w:rsidR="00B207D4">
        <w:t>; Listeru</w:t>
      </w:r>
      <w:r w:rsidR="00CC0D38">
        <w:t>d</w:t>
      </w:r>
      <w:r w:rsidR="00B207D4">
        <w:t xml:space="preserve"> </w:t>
      </w:r>
      <w:r w:rsidR="00CC0D3E">
        <w:t>2</w:t>
      </w:r>
      <w:r w:rsidR="004E5616">
        <w:t>/</w:t>
      </w:r>
      <w:r w:rsidR="00CC0D3E">
        <w:t>14-15</w:t>
      </w:r>
      <w:r w:rsidR="00B207D4">
        <w:t>;</w:t>
      </w:r>
      <w:r w:rsidR="00B207D4" w:rsidRPr="00B207D4">
        <w:t xml:space="preserve"> </w:t>
      </w:r>
      <w:r w:rsidR="00B207D4">
        <w:t xml:space="preserve">Mirhej </w:t>
      </w:r>
      <w:r w:rsidR="00234A21">
        <w:t>1</w:t>
      </w:r>
      <w:r w:rsidR="004E5616">
        <w:t>/</w:t>
      </w:r>
      <w:r w:rsidR="00234A21">
        <w:t>198-201</w:t>
      </w:r>
      <w:r w:rsidR="00B207D4">
        <w:t>.)</w:t>
      </w:r>
    </w:p>
    <w:p w14:paraId="2A2B3CEF" w14:textId="7BF69D01" w:rsidR="00EA69D1" w:rsidRDefault="005846DD" w:rsidP="00CD23AE">
      <w:pPr>
        <w:pStyle w:val="ListedFindings"/>
      </w:pPr>
      <w:r>
        <w:t>After midnight o</w:t>
      </w:r>
      <w:r w:rsidR="00404572">
        <w:t>n October 6, 2019</w:t>
      </w:r>
      <w:r w:rsidR="00E5253E">
        <w:t xml:space="preserve">, Dr. Diggins was </w:t>
      </w:r>
      <w:r w:rsidR="00402359">
        <w:t xml:space="preserve">spotted driving erratically in Ludlow.  He had consumed more than </w:t>
      </w:r>
      <w:r w:rsidR="005170D2">
        <w:t>two</w:t>
      </w:r>
      <w:r w:rsidR="00402359">
        <w:t xml:space="preserve"> bottle</w:t>
      </w:r>
      <w:r w:rsidR="005170D2">
        <w:t>s</w:t>
      </w:r>
      <w:r w:rsidR="00402359">
        <w:t xml:space="preserve"> of wine.  </w:t>
      </w:r>
      <w:r w:rsidR="00EA69D1">
        <w:t>He failed field sobriety test</w:t>
      </w:r>
      <w:r w:rsidR="00402359">
        <w:t>s</w:t>
      </w:r>
      <w:r w:rsidR="00EA69D1">
        <w:t xml:space="preserve"> and blew 0.17% on </w:t>
      </w:r>
      <w:r w:rsidR="003B4FB8">
        <w:t>a</w:t>
      </w:r>
      <w:r w:rsidR="00EA69D1">
        <w:t xml:space="preserve"> breathalyzer.  He was charged with operating under the influence </w:t>
      </w:r>
      <w:r w:rsidR="00C7350F">
        <w:t>(second offense)</w:t>
      </w:r>
      <w:r w:rsidR="00A235C0">
        <w:t xml:space="preserve"> and</w:t>
      </w:r>
      <w:r>
        <w:t xml:space="preserve"> negligent operation of a motor vehicle</w:t>
      </w:r>
      <w:r w:rsidR="00EA69D1">
        <w:t xml:space="preserve">.  While in jail following his arrest, Dr. Diggins </w:t>
      </w:r>
      <w:r w:rsidR="00B207D4">
        <w:t>expressed</w:t>
      </w:r>
      <w:r w:rsidR="00EA69D1">
        <w:t xml:space="preserve"> suicid</w:t>
      </w:r>
      <w:r w:rsidR="00B207D4">
        <w:t>al thoughts and caused himself physical harm</w:t>
      </w:r>
      <w:r w:rsidR="00EA69D1">
        <w:t>.</w:t>
      </w:r>
      <w:r w:rsidR="00B207D4">
        <w:t xml:space="preserve">  (Diggins </w:t>
      </w:r>
      <w:r w:rsidR="005170D2">
        <w:t>1</w:t>
      </w:r>
      <w:r w:rsidR="004E5616">
        <w:t>/</w:t>
      </w:r>
      <w:r w:rsidR="005170D2">
        <w:t>109-10</w:t>
      </w:r>
      <w:r w:rsidR="00B207D4">
        <w:t xml:space="preserve">; </w:t>
      </w:r>
      <w:proofErr w:type="spellStart"/>
      <w:r w:rsidR="00B207D4">
        <w:t>Goodrow</w:t>
      </w:r>
      <w:proofErr w:type="spellEnd"/>
      <w:r w:rsidR="00B207D4">
        <w:t xml:space="preserve"> </w:t>
      </w:r>
      <w:r w:rsidR="00CC20FA">
        <w:t>1</w:t>
      </w:r>
      <w:r w:rsidR="004E5616">
        <w:t>/</w:t>
      </w:r>
      <w:r w:rsidR="00CC20FA">
        <w:t>27-45</w:t>
      </w:r>
      <w:r w:rsidR="00B207D4">
        <w:t>; Exhibit</w:t>
      </w:r>
      <w:r w:rsidR="00E311B1">
        <w:t>s</w:t>
      </w:r>
      <w:r w:rsidR="0033545C">
        <w:t xml:space="preserve"> 2-3</w:t>
      </w:r>
      <w:r w:rsidR="00E311B1">
        <w:t>, 13</w:t>
      </w:r>
      <w:r w:rsidR="00B207D4">
        <w:t>.)</w:t>
      </w:r>
    </w:p>
    <w:p w14:paraId="2DC3FDC3" w14:textId="3B158A37" w:rsidR="003A7C46" w:rsidRDefault="003A7C46" w:rsidP="00CD23AE">
      <w:pPr>
        <w:pStyle w:val="ListedFindings"/>
      </w:pPr>
      <w:r>
        <w:t xml:space="preserve">Dr. Diggins consulted his supervisor promptly after his arrest.  Physicians Health Services </w:t>
      </w:r>
      <w:r w:rsidR="00840B03">
        <w:t xml:space="preserve">(PHS) </w:t>
      </w:r>
      <w:r w:rsidR="00094163">
        <w:t xml:space="preserve">referred </w:t>
      </w:r>
      <w:r w:rsidR="009C1C97">
        <w:t>Dr. Diggins</w:t>
      </w:r>
      <w:r w:rsidR="00094163">
        <w:t xml:space="preserve"> to </w:t>
      </w:r>
      <w:r>
        <w:t xml:space="preserve">a weeklong evaluation at </w:t>
      </w:r>
      <w:r w:rsidR="00EA69D1">
        <w:t>Bradford Health Services</w:t>
      </w:r>
      <w:r w:rsidR="00840B03">
        <w:t xml:space="preserve">.  </w:t>
      </w:r>
      <w:r w:rsidR="00094163" w:rsidRPr="00A6702B">
        <w:t>P</w:t>
      </w:r>
      <w:r w:rsidR="00840B03" w:rsidRPr="00A6702B">
        <w:t>roviders at Bradford diagnosed Dr. Diggins with severe alcohol use disorder</w:t>
      </w:r>
      <w:r w:rsidR="00B207D4" w:rsidRPr="00A6702B">
        <w:t>, noting</w:t>
      </w:r>
      <w:r w:rsidR="00840B03" w:rsidRPr="00A6702B">
        <w:t xml:space="preserve"> a history of depression.</w:t>
      </w:r>
      <w:r w:rsidR="00C27519">
        <w:t xml:space="preserve"> </w:t>
      </w:r>
      <w:r w:rsidR="00840B03">
        <w:t xml:space="preserve"> Dr. Diggins enrolled in a twelve-week residential substance</w:t>
      </w:r>
      <w:r w:rsidR="009C1C97">
        <w:t>-</w:t>
      </w:r>
      <w:r w:rsidR="00840B03">
        <w:t xml:space="preserve">abuse program, </w:t>
      </w:r>
      <w:r w:rsidR="00C7350F">
        <w:t xml:space="preserve">which he </w:t>
      </w:r>
      <w:r w:rsidR="009C1C97">
        <w:t>complet</w:t>
      </w:r>
      <w:r w:rsidR="00C7350F">
        <w:t>ed</w:t>
      </w:r>
      <w:r w:rsidR="009C1C97">
        <w:t xml:space="preserve"> </w:t>
      </w:r>
      <w:r w:rsidR="00840B03">
        <w:t>in January 20</w:t>
      </w:r>
      <w:r w:rsidR="00533EB7">
        <w:t>20</w:t>
      </w:r>
      <w:r w:rsidR="00840B03">
        <w:t xml:space="preserve">. </w:t>
      </w:r>
      <w:r w:rsidR="00C27519">
        <w:t xml:space="preserve"> </w:t>
      </w:r>
      <w:r w:rsidR="00840B03">
        <w:t>He then executed a three-year treatment plan with PHS</w:t>
      </w:r>
      <w:r w:rsidR="003D1A8A">
        <w:t xml:space="preserve">, </w:t>
      </w:r>
      <w:r w:rsidR="004935A1">
        <w:t xml:space="preserve">the requirements of which </w:t>
      </w:r>
      <w:r w:rsidR="0018245A">
        <w:t xml:space="preserve">include </w:t>
      </w:r>
      <w:r w:rsidR="00840B03">
        <w:t xml:space="preserve">regular monitoring.  </w:t>
      </w:r>
      <w:r w:rsidR="003B4FB8">
        <w:t xml:space="preserve">Dr. Diggins </w:t>
      </w:r>
      <w:r w:rsidR="00840B03">
        <w:t xml:space="preserve">has embraced </w:t>
      </w:r>
      <w:r w:rsidR="003D1A8A">
        <w:t xml:space="preserve">his </w:t>
      </w:r>
      <w:r w:rsidR="0035156E">
        <w:t xml:space="preserve">recovery.  </w:t>
      </w:r>
      <w:r w:rsidR="00B207D4">
        <w:t xml:space="preserve">He attends </w:t>
      </w:r>
      <w:r w:rsidR="004935A1">
        <w:t xml:space="preserve">regular </w:t>
      </w:r>
      <w:r w:rsidR="00B207D4">
        <w:t xml:space="preserve">meetings of </w:t>
      </w:r>
      <w:r w:rsidR="00500479">
        <w:t>A</w:t>
      </w:r>
      <w:r w:rsidR="00B207D4">
        <w:t xml:space="preserve">lcoholics </w:t>
      </w:r>
      <w:r w:rsidR="00500479">
        <w:t>A</w:t>
      </w:r>
      <w:r w:rsidR="00B207D4">
        <w:t>nonymous and communicates daily with a</w:t>
      </w:r>
      <w:r w:rsidR="009C1C97">
        <w:t>n AA</w:t>
      </w:r>
      <w:r w:rsidR="00B207D4">
        <w:t xml:space="preserve"> </w:t>
      </w:r>
      <w:r w:rsidR="00B207D4">
        <w:lastRenderedPageBreak/>
        <w:t xml:space="preserve">sponsor.  </w:t>
      </w:r>
      <w:r w:rsidR="0035156E">
        <w:t xml:space="preserve">He has </w:t>
      </w:r>
      <w:r w:rsidR="00840B03">
        <w:t xml:space="preserve">remained sober since his </w:t>
      </w:r>
      <w:r w:rsidR="00B24A5C">
        <w:t xml:space="preserve">October </w:t>
      </w:r>
      <w:r w:rsidR="0035156E">
        <w:t xml:space="preserve">2019 </w:t>
      </w:r>
      <w:r w:rsidR="00840B03">
        <w:t>arrest.</w:t>
      </w:r>
      <w:r w:rsidR="00B207D4">
        <w:t xml:space="preserve">  (Diggins </w:t>
      </w:r>
      <w:r w:rsidR="005170D2">
        <w:t>1</w:t>
      </w:r>
      <w:r w:rsidR="004E5616">
        <w:t>/</w:t>
      </w:r>
      <w:r w:rsidR="005170D2">
        <w:t>110-</w:t>
      </w:r>
      <w:r w:rsidR="00820D69">
        <w:t>11, 1</w:t>
      </w:r>
      <w:r w:rsidR="004E5616">
        <w:t>/</w:t>
      </w:r>
      <w:r w:rsidR="00820D69">
        <w:t>118-</w:t>
      </w:r>
      <w:r w:rsidR="008B7E2D">
        <w:t>19</w:t>
      </w:r>
      <w:r w:rsidR="0019426C">
        <w:t>, 2</w:t>
      </w:r>
      <w:r w:rsidR="004E5616">
        <w:t>/</w:t>
      </w:r>
      <w:r w:rsidR="0019426C">
        <w:t>120-23</w:t>
      </w:r>
      <w:r w:rsidR="0059170E">
        <w:t>, 2</w:t>
      </w:r>
      <w:r w:rsidR="004E5616">
        <w:t>/</w:t>
      </w:r>
      <w:r w:rsidR="0059170E">
        <w:t>137-41</w:t>
      </w:r>
      <w:r w:rsidR="00B207D4">
        <w:t xml:space="preserve">; </w:t>
      </w:r>
      <w:r w:rsidR="00862B41">
        <w:t>Hutchinson</w:t>
      </w:r>
      <w:r w:rsidR="00CC0D38">
        <w:t xml:space="preserve"> </w:t>
      </w:r>
      <w:r w:rsidR="00464790">
        <w:t>2</w:t>
      </w:r>
      <w:r w:rsidR="004E5616">
        <w:t>/</w:t>
      </w:r>
      <w:r w:rsidR="00464790">
        <w:t>46</w:t>
      </w:r>
      <w:r w:rsidR="00862B41">
        <w:t>;</w:t>
      </w:r>
      <w:r w:rsidR="00B207D4">
        <w:t xml:space="preserve"> </w:t>
      </w:r>
      <w:r w:rsidR="00CC0D3E">
        <w:t>Listerud 2</w:t>
      </w:r>
      <w:r w:rsidR="004E5616">
        <w:t>/</w:t>
      </w:r>
      <w:r w:rsidR="00CC0D3E">
        <w:t>16-17</w:t>
      </w:r>
      <w:r w:rsidR="00D13E56">
        <w:t xml:space="preserve">, </w:t>
      </w:r>
      <w:r w:rsidR="00A72267">
        <w:t>2</w:t>
      </w:r>
      <w:r w:rsidR="004E5616">
        <w:t>/</w:t>
      </w:r>
      <w:r w:rsidR="00D13E56">
        <w:t>26-27</w:t>
      </w:r>
      <w:r w:rsidR="00CC0D3E">
        <w:t xml:space="preserve">; </w:t>
      </w:r>
      <w:r w:rsidR="00B207D4">
        <w:t xml:space="preserve">Mirhej </w:t>
      </w:r>
      <w:r w:rsidR="00234A21">
        <w:t>1</w:t>
      </w:r>
      <w:r w:rsidR="004E5616">
        <w:t>/</w:t>
      </w:r>
      <w:r w:rsidR="00234A21">
        <w:t>190-92</w:t>
      </w:r>
      <w:r w:rsidR="00B207D4">
        <w:t>; Exhibit</w:t>
      </w:r>
      <w:r w:rsidR="009C1C97">
        <w:t>s</w:t>
      </w:r>
      <w:r w:rsidR="00B207D4">
        <w:t xml:space="preserve"> </w:t>
      </w:r>
      <w:r w:rsidR="0033545C">
        <w:t xml:space="preserve">1, </w:t>
      </w:r>
      <w:r w:rsidR="009C1C97">
        <w:t>13, 14</w:t>
      </w:r>
      <w:r w:rsidR="00B207D4">
        <w:t>.)</w:t>
      </w:r>
    </w:p>
    <w:p w14:paraId="54B8929D" w14:textId="5EA6E411" w:rsidR="003A7C46" w:rsidRDefault="00C52DEE" w:rsidP="00CD23AE">
      <w:pPr>
        <w:pStyle w:val="ListedFindings"/>
      </w:pPr>
      <w:r>
        <w:t xml:space="preserve">Dr. Diggins returned to Harrington in early </w:t>
      </w:r>
      <w:r w:rsidR="003B4FB8">
        <w:t>2020</w:t>
      </w:r>
      <w:r>
        <w:t>.  His record</w:t>
      </w:r>
      <w:r w:rsidR="00B24A5C">
        <w:t xml:space="preserve">s </w:t>
      </w:r>
      <w:r>
        <w:t>ha</w:t>
      </w:r>
      <w:r w:rsidR="00B24A5C">
        <w:t>ve</w:t>
      </w:r>
      <w:r>
        <w:t xml:space="preserve"> </w:t>
      </w:r>
      <w:r w:rsidR="003B4FB8">
        <w:t xml:space="preserve">not been </w:t>
      </w:r>
      <w:r w:rsidR="00E311B1">
        <w:t>a problem</w:t>
      </w:r>
      <w:r w:rsidR="003B4FB8">
        <w:t xml:space="preserve"> since</w:t>
      </w:r>
      <w:r>
        <w:t xml:space="preserve">.  He has been more </w:t>
      </w:r>
      <w:r w:rsidR="004A674E">
        <w:t xml:space="preserve">open about </w:t>
      </w:r>
      <w:r w:rsidR="009C1C97">
        <w:t xml:space="preserve">his </w:t>
      </w:r>
      <w:r w:rsidR="004A674E">
        <w:t xml:space="preserve">challenges </w:t>
      </w:r>
      <w:r w:rsidR="009C1C97">
        <w:t xml:space="preserve">and </w:t>
      </w:r>
      <w:r w:rsidR="004A674E">
        <w:t xml:space="preserve">more willing to </w:t>
      </w:r>
      <w:r w:rsidR="009C1C97">
        <w:t xml:space="preserve">seek </w:t>
      </w:r>
      <w:r w:rsidR="004A674E">
        <w:t xml:space="preserve">help.  </w:t>
      </w:r>
      <w:r w:rsidR="0033545C">
        <w:t>H</w:t>
      </w:r>
      <w:r w:rsidR="00C7350F">
        <w:t xml:space="preserve">is record keeping </w:t>
      </w:r>
      <w:r w:rsidR="00DC77B3">
        <w:t xml:space="preserve">has </w:t>
      </w:r>
      <w:r w:rsidR="0033545C">
        <w:t xml:space="preserve">benefited from </w:t>
      </w:r>
      <w:r w:rsidR="00DC77B3">
        <w:t>the</w:t>
      </w:r>
      <w:r w:rsidR="00C7350F">
        <w:t xml:space="preserve"> July 2020</w:t>
      </w:r>
      <w:r w:rsidR="0033545C" w:rsidRPr="0033545C">
        <w:t xml:space="preserve"> </w:t>
      </w:r>
      <w:r w:rsidR="0033545C">
        <w:t>arrival at Harrington</w:t>
      </w:r>
      <w:r w:rsidR="003B4FB8">
        <w:t xml:space="preserve"> </w:t>
      </w:r>
      <w:r w:rsidR="00DC77B3">
        <w:t>of</w:t>
      </w:r>
      <w:r w:rsidR="00C7350F">
        <w:t xml:space="preserve"> a </w:t>
      </w:r>
      <w:r w:rsidR="00DC77B3">
        <w:t>new Outpatient Medical Director</w:t>
      </w:r>
      <w:r w:rsidR="00C7350F">
        <w:t>,</w:t>
      </w:r>
      <w:r w:rsidR="00C7350F" w:rsidRPr="00C7350F">
        <w:t xml:space="preserve"> </w:t>
      </w:r>
      <w:r w:rsidR="00C7350F">
        <w:t xml:space="preserve">Dr. </w:t>
      </w:r>
      <w:proofErr w:type="spellStart"/>
      <w:r w:rsidR="00C7350F">
        <w:t>Ami</w:t>
      </w:r>
      <w:r w:rsidR="00820D69">
        <w:t>nadav</w:t>
      </w:r>
      <w:proofErr w:type="spellEnd"/>
      <w:r w:rsidR="00C7350F">
        <w:t xml:space="preserve"> </w:t>
      </w:r>
      <w:proofErr w:type="spellStart"/>
      <w:r w:rsidR="00C7350F">
        <w:t>Zakai</w:t>
      </w:r>
      <w:proofErr w:type="spellEnd"/>
      <w:r w:rsidR="004A674E">
        <w:t xml:space="preserve">.  Dr. Zakai </w:t>
      </w:r>
      <w:r w:rsidR="00DC77B3">
        <w:t xml:space="preserve">maintains a close watch on </w:t>
      </w:r>
      <w:r w:rsidR="00862B41">
        <w:t xml:space="preserve">Dr. Diggins’s queue of </w:t>
      </w:r>
      <w:r w:rsidR="004935A1">
        <w:t>open</w:t>
      </w:r>
      <w:r w:rsidR="00862B41">
        <w:t xml:space="preserve"> </w:t>
      </w:r>
      <w:r w:rsidR="004A674E">
        <w:t>record</w:t>
      </w:r>
      <w:r w:rsidR="00862B41">
        <w:t xml:space="preserve">s.  When the queue exceeds </w:t>
      </w:r>
      <w:r w:rsidR="001C1DCB">
        <w:t xml:space="preserve">approximately </w:t>
      </w:r>
      <w:r w:rsidR="00862B41">
        <w:t xml:space="preserve">fifteen </w:t>
      </w:r>
      <w:r w:rsidR="001C1DCB">
        <w:t>notes</w:t>
      </w:r>
      <w:r w:rsidR="00862B41">
        <w:t xml:space="preserve">, Dr. Zakai </w:t>
      </w:r>
      <w:r w:rsidR="00DC77B3">
        <w:t xml:space="preserve">and </w:t>
      </w:r>
      <w:r w:rsidR="0033545C">
        <w:t xml:space="preserve">Dr. </w:t>
      </w:r>
      <w:r w:rsidR="001C1DCB">
        <w:t xml:space="preserve">Diggins </w:t>
      </w:r>
      <w:r w:rsidR="00DC77B3">
        <w:t xml:space="preserve">agree on </w:t>
      </w:r>
      <w:r w:rsidR="00862B41">
        <w:t>a</w:t>
      </w:r>
      <w:r w:rsidR="001C1DCB">
        <w:t xml:space="preserve"> plan and a</w:t>
      </w:r>
      <w:r w:rsidR="00862B41">
        <w:t xml:space="preserve"> tight deadline</w:t>
      </w:r>
      <w:r w:rsidR="0073075F">
        <w:t xml:space="preserve">, </w:t>
      </w:r>
      <w:r w:rsidR="00862B41">
        <w:t>such as two days</w:t>
      </w:r>
      <w:r w:rsidR="0073075F">
        <w:t xml:space="preserve">, </w:t>
      </w:r>
      <w:r w:rsidR="00862B41">
        <w:t xml:space="preserve">for Dr. Diggins to </w:t>
      </w:r>
      <w:r w:rsidR="00DC77B3">
        <w:t xml:space="preserve">achieve </w:t>
      </w:r>
      <w:r w:rsidR="00862B41">
        <w:t>curren</w:t>
      </w:r>
      <w:r w:rsidR="001C1DCB">
        <w:t>cy</w:t>
      </w:r>
      <w:r w:rsidR="00862B41">
        <w:t xml:space="preserve">.  </w:t>
      </w:r>
      <w:r w:rsidR="00F5568B">
        <w:t xml:space="preserve">If </w:t>
      </w:r>
      <w:r w:rsidR="00C7350F">
        <w:t>Dr. Diggins</w:t>
      </w:r>
      <w:r w:rsidR="00DC77B3">
        <w:t xml:space="preserve"> remains behind</w:t>
      </w:r>
      <w:r w:rsidR="00F5568B">
        <w:t xml:space="preserve">, Dr. Zakai requires </w:t>
      </w:r>
      <w:r w:rsidR="00C7350F">
        <w:t xml:space="preserve">him </w:t>
      </w:r>
      <w:r w:rsidR="00F5568B">
        <w:t xml:space="preserve">to clear his clinical schedule </w:t>
      </w:r>
      <w:r w:rsidR="001C1DCB">
        <w:t xml:space="preserve">for a </w:t>
      </w:r>
      <w:r w:rsidR="003D1A8A">
        <w:t>session</w:t>
      </w:r>
      <w:r w:rsidR="001C1DCB">
        <w:t xml:space="preserve"> of record-writing</w:t>
      </w:r>
      <w:r w:rsidR="00F5568B">
        <w:t xml:space="preserve">.  </w:t>
      </w:r>
      <w:r w:rsidR="00862B41">
        <w:t xml:space="preserve">Dr. Diggins </w:t>
      </w:r>
      <w:r w:rsidR="001C1DCB">
        <w:t xml:space="preserve">has come to </w:t>
      </w:r>
      <w:r w:rsidR="00862B41">
        <w:t xml:space="preserve">recognize the efficacy of </w:t>
      </w:r>
      <w:r w:rsidR="001C1DCB">
        <w:t xml:space="preserve">Dr. </w:t>
      </w:r>
      <w:proofErr w:type="spellStart"/>
      <w:r w:rsidR="001C1DCB">
        <w:t>Zakai’s</w:t>
      </w:r>
      <w:proofErr w:type="spellEnd"/>
      <w:r w:rsidR="001C1DCB">
        <w:t xml:space="preserve"> </w:t>
      </w:r>
      <w:r w:rsidR="00862B41">
        <w:t>approach</w:t>
      </w:r>
      <w:r w:rsidR="001C1DCB">
        <w:t>.  He sees that</w:t>
      </w:r>
      <w:r w:rsidR="004935A1">
        <w:t xml:space="preserve"> </w:t>
      </w:r>
      <w:r w:rsidR="003D1A8A">
        <w:t xml:space="preserve">prompt </w:t>
      </w:r>
      <w:r w:rsidR="001C1DCB">
        <w:t>intervention</w:t>
      </w:r>
      <w:r w:rsidR="004935A1">
        <w:t>s</w:t>
      </w:r>
      <w:r w:rsidR="003D1A8A">
        <w:t xml:space="preserve"> </w:t>
      </w:r>
      <w:r w:rsidR="00B24A5C">
        <w:t xml:space="preserve">can </w:t>
      </w:r>
      <w:r w:rsidR="00E1189B">
        <w:t xml:space="preserve">rescue </w:t>
      </w:r>
      <w:r w:rsidR="00976E72">
        <w:t xml:space="preserve">minor </w:t>
      </w:r>
      <w:r w:rsidR="00862B41">
        <w:t>delay</w:t>
      </w:r>
      <w:r w:rsidR="004935A1">
        <w:t>s</w:t>
      </w:r>
      <w:r w:rsidR="00862B41">
        <w:t xml:space="preserve"> </w:t>
      </w:r>
      <w:r w:rsidR="00976E72">
        <w:t xml:space="preserve">from spiraling into </w:t>
      </w:r>
      <w:r w:rsidR="004935A1">
        <w:t>crises</w:t>
      </w:r>
      <w:r w:rsidR="00976E72">
        <w:t>.</w:t>
      </w:r>
      <w:r w:rsidR="00862B41">
        <w:t xml:space="preserve">  (Diggins </w:t>
      </w:r>
      <w:r w:rsidR="008B7E2D">
        <w:t>1</w:t>
      </w:r>
      <w:r w:rsidR="004E5616">
        <w:t>/</w:t>
      </w:r>
      <w:r w:rsidR="008B7E2D">
        <w:t>119-20</w:t>
      </w:r>
      <w:r w:rsidR="0019426C">
        <w:t>, 2</w:t>
      </w:r>
      <w:r w:rsidR="004E5616">
        <w:t>/</w:t>
      </w:r>
      <w:r w:rsidR="0019426C">
        <w:t>125-26</w:t>
      </w:r>
      <w:r w:rsidR="0059170E">
        <w:t>, 2</w:t>
      </w:r>
      <w:r w:rsidR="004E5616">
        <w:t>/</w:t>
      </w:r>
      <w:r w:rsidR="0059170E">
        <w:t>142-44</w:t>
      </w:r>
      <w:r w:rsidR="00862B41">
        <w:t>; Listeru</w:t>
      </w:r>
      <w:r w:rsidR="00CC0D38">
        <w:t>d</w:t>
      </w:r>
      <w:r w:rsidR="00862B41">
        <w:t xml:space="preserve"> </w:t>
      </w:r>
      <w:r w:rsidR="00CC0D3E">
        <w:t>2</w:t>
      </w:r>
      <w:r w:rsidR="004E5616">
        <w:t>/</w:t>
      </w:r>
      <w:r w:rsidR="00CC0D3E">
        <w:t>17</w:t>
      </w:r>
      <w:r w:rsidR="00D13E56">
        <w:t>-29</w:t>
      </w:r>
      <w:r w:rsidR="00862B41">
        <w:t xml:space="preserve">; Mirhej </w:t>
      </w:r>
      <w:r w:rsidR="00234A21">
        <w:t>1</w:t>
      </w:r>
      <w:r w:rsidR="004E5616">
        <w:t>/</w:t>
      </w:r>
      <w:r w:rsidR="00234A21">
        <w:t>192-96</w:t>
      </w:r>
      <w:r w:rsidR="000D6E61">
        <w:t xml:space="preserve">, </w:t>
      </w:r>
      <w:r w:rsidR="00A72267">
        <w:t>2</w:t>
      </w:r>
      <w:r w:rsidR="004E5616">
        <w:t>/</w:t>
      </w:r>
      <w:r w:rsidR="000D6E61">
        <w:t>205-10</w:t>
      </w:r>
      <w:r w:rsidR="00F5568B">
        <w:t>.)</w:t>
      </w:r>
    </w:p>
    <w:p w14:paraId="182B4765" w14:textId="43883DE9" w:rsidR="0033545C" w:rsidRDefault="0033545C" w:rsidP="00E125D6">
      <w:pPr>
        <w:pStyle w:val="ListedFindings"/>
      </w:pPr>
      <w:r>
        <w:t>T</w:t>
      </w:r>
      <w:r w:rsidR="00DC77B3">
        <w:t xml:space="preserve">he </w:t>
      </w:r>
      <w:r w:rsidR="00373D19">
        <w:t xml:space="preserve">parties’ </w:t>
      </w:r>
      <w:r w:rsidR="00DC77B3">
        <w:t>primary</w:t>
      </w:r>
      <w:r w:rsidR="00E311B1">
        <w:t xml:space="preserve"> </w:t>
      </w:r>
      <w:r w:rsidR="00DC77B3">
        <w:t xml:space="preserve">factual </w:t>
      </w:r>
      <w:r>
        <w:t xml:space="preserve">disagreement revolves around the cause or causes of Dr. Diggins’s </w:t>
      </w:r>
      <w:r w:rsidR="0018245A">
        <w:t xml:space="preserve">series of </w:t>
      </w:r>
      <w:r>
        <w:t>record-keeping troubles.</w:t>
      </w:r>
      <w:r w:rsidR="009F391C">
        <w:rPr>
          <w:rStyle w:val="FootnoteReference"/>
        </w:rPr>
        <w:footnoteReference w:id="3"/>
      </w:r>
      <w:r w:rsidR="00A6702B">
        <w:t xml:space="preserve">  </w:t>
      </w:r>
      <w:r w:rsidR="006C6AA5">
        <w:t xml:space="preserve">Two pieces of pertinent evidence require special attention.  </w:t>
      </w:r>
      <w:r w:rsidR="00A6702B">
        <w:t xml:space="preserve">First, </w:t>
      </w:r>
      <w:r w:rsidR="00762389">
        <w:t xml:space="preserve">the parties formally stipulated </w:t>
      </w:r>
      <w:r w:rsidR="00A6702B">
        <w:t xml:space="preserve">that, while at Bradford, </w:t>
      </w:r>
      <w:r w:rsidR="00762389">
        <w:t xml:space="preserve">Dr. Diggins </w:t>
      </w:r>
      <w:r w:rsidR="00A6702B">
        <w:t xml:space="preserve">stated that </w:t>
      </w:r>
      <w:r w:rsidR="00762389">
        <w:t>“his documentation has been late due to drinking.”</w:t>
      </w:r>
      <w:r w:rsidR="00762389">
        <w:rPr>
          <w:rStyle w:val="FootnoteReference"/>
        </w:rPr>
        <w:footnoteReference w:id="4"/>
      </w:r>
      <w:r w:rsidR="00762389">
        <w:t xml:space="preserve">  Second, according to a written report prepared at Bradford, Dr. Diggins </w:t>
      </w:r>
      <w:r w:rsidR="006C6AA5">
        <w:t xml:space="preserve">conveyed to his caregivers that he </w:t>
      </w:r>
      <w:r w:rsidR="00762389">
        <w:t>“believes</w:t>
      </w:r>
      <w:r w:rsidR="00762389" w:rsidRPr="00762389">
        <w:t xml:space="preserve"> his documentation has suffered because of his desire to leave work prematurely to engage in drinking.”  </w:t>
      </w:r>
      <w:r w:rsidR="00762389">
        <w:t xml:space="preserve">The </w:t>
      </w:r>
      <w:r w:rsidR="00762389">
        <w:lastRenderedPageBreak/>
        <w:t xml:space="preserve">stipulation </w:t>
      </w:r>
      <w:r w:rsidR="0049797C">
        <w:t xml:space="preserve">alone is too vague to be </w:t>
      </w:r>
      <w:r w:rsidR="00BF2F33">
        <w:t>illuminating</w:t>
      </w:r>
      <w:r w:rsidR="0049797C">
        <w:t xml:space="preserve">.  </w:t>
      </w:r>
      <w:r w:rsidR="00BF2F33">
        <w:t>And t</w:t>
      </w:r>
      <w:r w:rsidR="00762389">
        <w:t xml:space="preserve">he pertinent </w:t>
      </w:r>
      <w:r w:rsidR="000342FF">
        <w:t xml:space="preserve">passage </w:t>
      </w:r>
      <w:r w:rsidR="00762389">
        <w:t xml:space="preserve">of the Bradford report </w:t>
      </w:r>
      <w:r w:rsidR="0049797C">
        <w:t xml:space="preserve">is </w:t>
      </w:r>
      <w:r w:rsidR="006C6AA5">
        <w:t xml:space="preserve">likewise </w:t>
      </w:r>
      <w:r w:rsidR="000342FF">
        <w:t>short</w:t>
      </w:r>
      <w:r w:rsidR="0049797C">
        <w:t xml:space="preserve"> on context and texture</w:t>
      </w:r>
      <w:r w:rsidR="000342FF">
        <w:t xml:space="preserve">.  Making matters worse, that passage </w:t>
      </w:r>
      <w:r w:rsidR="00762389">
        <w:t xml:space="preserve">was written by an unspecified member of a </w:t>
      </w:r>
      <w:r w:rsidR="0049797C">
        <w:t>thirteen-person team.</w:t>
      </w:r>
      <w:r w:rsidR="0049797C">
        <w:rPr>
          <w:rStyle w:val="FootnoteReference"/>
        </w:rPr>
        <w:footnoteReference w:id="5"/>
      </w:r>
      <w:r w:rsidR="000342FF">
        <w:t xml:space="preserve">  </w:t>
      </w:r>
      <w:r w:rsidR="001651DB">
        <w:t>Even so</w:t>
      </w:r>
      <w:r w:rsidR="000342FF">
        <w:t xml:space="preserve">, the </w:t>
      </w:r>
      <w:r w:rsidR="00423B3C">
        <w:t xml:space="preserve">stipulation and the report both </w:t>
      </w:r>
      <w:r w:rsidR="00765053">
        <w:t xml:space="preserve">provide </w:t>
      </w:r>
      <w:r w:rsidR="005A2493">
        <w:t xml:space="preserve">some </w:t>
      </w:r>
      <w:r w:rsidR="00423B3C">
        <w:t xml:space="preserve">evidence </w:t>
      </w:r>
      <w:r w:rsidR="00765053">
        <w:t xml:space="preserve">of </w:t>
      </w:r>
      <w:r w:rsidR="00423B3C">
        <w:t xml:space="preserve">statements </w:t>
      </w:r>
      <w:r w:rsidR="005A2493">
        <w:t xml:space="preserve">made </w:t>
      </w:r>
      <w:r w:rsidR="00765053">
        <w:t>nearer to real</w:t>
      </w:r>
      <w:r w:rsidR="005A2493">
        <w:t>-</w:t>
      </w:r>
      <w:r w:rsidR="00765053">
        <w:t xml:space="preserve">time </w:t>
      </w:r>
      <w:r w:rsidR="005A2493">
        <w:t xml:space="preserve">by </w:t>
      </w:r>
      <w:r w:rsidR="00423B3C">
        <w:t>Dr. Diggins</w:t>
      </w:r>
      <w:r w:rsidR="00765053">
        <w:t xml:space="preserve"> himself.  He is</w:t>
      </w:r>
      <w:r w:rsidR="00423B3C">
        <w:t xml:space="preserve"> </w:t>
      </w:r>
      <w:r w:rsidR="0018245A">
        <w:t xml:space="preserve">by far the best </w:t>
      </w:r>
      <w:r w:rsidR="00423B3C">
        <w:t xml:space="preserve">source of information about his </w:t>
      </w:r>
      <w:r w:rsidR="00765053">
        <w:t xml:space="preserve">own </w:t>
      </w:r>
      <w:r w:rsidR="00423B3C">
        <w:t xml:space="preserve">mental state during the pertinent period.  The </w:t>
      </w:r>
      <w:r w:rsidR="000342FF">
        <w:t xml:space="preserve">stipulation fortifies the report’s credibility, and the report sheds </w:t>
      </w:r>
      <w:r w:rsidR="00423B3C">
        <w:t xml:space="preserve">some </w:t>
      </w:r>
      <w:r w:rsidR="000342FF">
        <w:t>light on the stipulation’s meaning.  Together the</w:t>
      </w:r>
      <w:r w:rsidR="006C6AA5">
        <w:t>se pieces of information</w:t>
      </w:r>
      <w:r w:rsidR="000342FF">
        <w:t xml:space="preserve"> provide a preponderance of the evidence that, on some number of occasions, Dr. Diggins’s </w:t>
      </w:r>
      <w:r w:rsidR="00423B3C">
        <w:t xml:space="preserve">drive to </w:t>
      </w:r>
      <w:r w:rsidR="006C6AA5">
        <w:t xml:space="preserve">drink </w:t>
      </w:r>
      <w:r w:rsidR="000342FF">
        <w:t xml:space="preserve">contributed to his </w:t>
      </w:r>
      <w:r w:rsidR="006C6AA5">
        <w:t>escalating</w:t>
      </w:r>
      <w:r w:rsidR="000342FF">
        <w:t xml:space="preserve"> backlogs.</w:t>
      </w:r>
      <w:r w:rsidR="006C6AA5">
        <w:t xml:space="preserve">  (Stipulation 5(ii); Exhibit 13.)</w:t>
      </w:r>
    </w:p>
    <w:p w14:paraId="5D594098" w14:textId="1B59F624" w:rsidR="00257720" w:rsidRDefault="00053599" w:rsidP="006F1CB6">
      <w:pPr>
        <w:pStyle w:val="ListedFindings"/>
      </w:pPr>
      <w:r>
        <w:t xml:space="preserve">Complaint counsel </w:t>
      </w:r>
      <w:r w:rsidR="005A2493">
        <w:t xml:space="preserve">would draw a conclusion </w:t>
      </w:r>
      <w:r w:rsidR="00765053">
        <w:t xml:space="preserve">more far-reaching by order of magnitude:  that Dr. Diggins’s </w:t>
      </w:r>
      <w:r w:rsidR="00C97514">
        <w:t xml:space="preserve">alcohol use was the </w:t>
      </w:r>
      <w:r w:rsidR="004636A5">
        <w:t xml:space="preserve">essential </w:t>
      </w:r>
      <w:r w:rsidR="00C97514">
        <w:t xml:space="preserve">cause of his </w:t>
      </w:r>
      <w:r w:rsidR="00765053">
        <w:t xml:space="preserve">entire history of </w:t>
      </w:r>
      <w:r w:rsidR="00852186">
        <w:t>record-keeping problems</w:t>
      </w:r>
      <w:r w:rsidR="00765053">
        <w:t xml:space="preserve">.  That </w:t>
      </w:r>
      <w:r w:rsidR="005A2493">
        <w:t xml:space="preserve">conclusion is </w:t>
      </w:r>
      <w:r w:rsidR="00DE1F4D">
        <w:t>unwarranted</w:t>
      </w:r>
      <w:r w:rsidR="005A2493">
        <w:t xml:space="preserve">.  </w:t>
      </w:r>
      <w:r w:rsidR="00C320BC">
        <w:t xml:space="preserve">The record does not suggest that </w:t>
      </w:r>
      <w:r w:rsidR="005A2493">
        <w:t xml:space="preserve">Dr. Diggins’s drinking problem </w:t>
      </w:r>
      <w:r w:rsidR="002130B6">
        <w:t xml:space="preserve">caused him to shrug off </w:t>
      </w:r>
      <w:r w:rsidR="005A2493">
        <w:t>his duties</w:t>
      </w:r>
      <w:r w:rsidR="002130B6">
        <w:t xml:space="preserve"> </w:t>
      </w:r>
      <w:r w:rsidR="0040330E">
        <w:t xml:space="preserve">with </w:t>
      </w:r>
      <w:r w:rsidR="002130B6">
        <w:t>regular</w:t>
      </w:r>
      <w:r w:rsidR="0040330E">
        <w:t>ity</w:t>
      </w:r>
      <w:r w:rsidR="005A2493">
        <w:t xml:space="preserve">.  The witnesses’ overwhelming attestation to Dr. Diggins’s dedication cuts </w:t>
      </w:r>
      <w:r w:rsidR="00C97514">
        <w:t xml:space="preserve">against </w:t>
      </w:r>
      <w:r w:rsidR="002130B6">
        <w:t xml:space="preserve">such </w:t>
      </w:r>
      <w:r w:rsidR="00C97514">
        <w:t>a</w:t>
      </w:r>
      <w:r w:rsidR="004636A5">
        <w:t xml:space="preserve"> finding</w:t>
      </w:r>
      <w:r w:rsidR="00C97514">
        <w:t xml:space="preserve">.  </w:t>
      </w:r>
      <w:r w:rsidR="00DE1F4D">
        <w:t xml:space="preserve">And </w:t>
      </w:r>
      <w:r w:rsidR="00C97514">
        <w:t xml:space="preserve">Dr. Altamirano was the only witness who perceived a tendency for </w:t>
      </w:r>
      <w:r w:rsidR="00257720">
        <w:t xml:space="preserve">poor record-keeping </w:t>
      </w:r>
      <w:r w:rsidR="00C97514">
        <w:t xml:space="preserve">to correlate with </w:t>
      </w:r>
      <w:r w:rsidR="00257720">
        <w:t>substance abuse</w:t>
      </w:r>
      <w:r w:rsidR="00C97514">
        <w:t>.</w:t>
      </w:r>
      <w:r w:rsidR="00C27519">
        <w:rPr>
          <w:rStyle w:val="FootnoteReference"/>
        </w:rPr>
        <w:footnoteReference w:id="6"/>
      </w:r>
      <w:r w:rsidR="00C7350F">
        <w:t xml:space="preserve"> </w:t>
      </w:r>
      <w:r w:rsidR="00C97514">
        <w:t xml:space="preserve"> </w:t>
      </w:r>
      <w:r w:rsidR="002C1D67">
        <w:t>C</w:t>
      </w:r>
      <w:r w:rsidR="0018245A">
        <w:t>omplaint counsel emphasizes</w:t>
      </w:r>
      <w:r w:rsidR="004636A5">
        <w:t xml:space="preserve"> that Dr. Diggins </w:t>
      </w:r>
      <w:r w:rsidR="0018245A">
        <w:t xml:space="preserve">has kept </w:t>
      </w:r>
      <w:r w:rsidR="004636A5">
        <w:t>timely records</w:t>
      </w:r>
      <w:r w:rsidR="0018245A">
        <w:t xml:space="preserve"> </w:t>
      </w:r>
      <w:r w:rsidR="002C1D67">
        <w:t xml:space="preserve">ever </w:t>
      </w:r>
      <w:r w:rsidR="0018245A">
        <w:t>since his return from Bradford</w:t>
      </w:r>
      <w:r w:rsidR="002C1D67">
        <w:t>:</w:t>
      </w:r>
      <w:r w:rsidR="003D5ED9">
        <w:t xml:space="preserve">  </w:t>
      </w:r>
      <w:r w:rsidR="000452FB">
        <w:t>b</w:t>
      </w:r>
      <w:r w:rsidR="003D5ED9">
        <w:t xml:space="preserve">ut he </w:t>
      </w:r>
      <w:r w:rsidR="00A528A1">
        <w:t xml:space="preserve">has benefited </w:t>
      </w:r>
      <w:r w:rsidR="003D5ED9">
        <w:t>from</w:t>
      </w:r>
      <w:r w:rsidR="004636A5">
        <w:t xml:space="preserve"> </w:t>
      </w:r>
      <w:r w:rsidR="003D5ED9">
        <w:t xml:space="preserve">new habits and </w:t>
      </w:r>
      <w:r w:rsidR="004636A5">
        <w:t xml:space="preserve">a </w:t>
      </w:r>
      <w:r w:rsidR="003D5ED9">
        <w:t xml:space="preserve">relatively </w:t>
      </w:r>
      <w:r w:rsidR="004636A5">
        <w:t>new supervisor</w:t>
      </w:r>
      <w:r w:rsidR="00DE1F4D">
        <w:t xml:space="preserve">.  </w:t>
      </w:r>
      <w:r w:rsidR="00852186">
        <w:t xml:space="preserve">Moreover, </w:t>
      </w:r>
      <w:r w:rsidR="0040330E">
        <w:t>r</w:t>
      </w:r>
      <w:r w:rsidR="004636A5">
        <w:t xml:space="preserve">easonable persons conducting serious affairs </w:t>
      </w:r>
      <w:r w:rsidR="00A27415">
        <w:t xml:space="preserve">are generally </w:t>
      </w:r>
      <w:r w:rsidR="00F71ED3">
        <w:t>disinclined</w:t>
      </w:r>
      <w:r w:rsidR="003D5ED9">
        <w:t xml:space="preserve"> </w:t>
      </w:r>
      <w:r w:rsidR="006F2C03">
        <w:t xml:space="preserve">to </w:t>
      </w:r>
      <w:r w:rsidR="003D5ED9">
        <w:t xml:space="preserve">deduce past misconduct solely from recent successes.  </w:t>
      </w:r>
      <w:r w:rsidR="00257720">
        <w:t>(</w:t>
      </w:r>
      <w:r w:rsidR="003B0196">
        <w:t>Diggins 2</w:t>
      </w:r>
      <w:r w:rsidR="007B7E64">
        <w:t>/</w:t>
      </w:r>
      <w:r w:rsidR="003B0196">
        <w:t xml:space="preserve">97-99; </w:t>
      </w:r>
      <w:r w:rsidR="00257720">
        <w:t xml:space="preserve">Altamirano </w:t>
      </w:r>
      <w:r w:rsidR="00382FD8">
        <w:t>1</w:t>
      </w:r>
      <w:r w:rsidR="007B7E64">
        <w:t>/</w:t>
      </w:r>
      <w:r w:rsidR="00382FD8">
        <w:t xml:space="preserve">154, </w:t>
      </w:r>
      <w:r w:rsidR="00382FD8">
        <w:lastRenderedPageBreak/>
        <w:t>1</w:t>
      </w:r>
      <w:r w:rsidR="007B7E64">
        <w:t>/</w:t>
      </w:r>
      <w:r w:rsidR="00382FD8">
        <w:t>163-66</w:t>
      </w:r>
      <w:r w:rsidR="00257720">
        <w:t xml:space="preserve">; Goodwin </w:t>
      </w:r>
      <w:r w:rsidR="00073C52">
        <w:t>2</w:t>
      </w:r>
      <w:r w:rsidR="007B7E64">
        <w:t>/</w:t>
      </w:r>
      <w:r w:rsidR="00073C52">
        <w:t>62-63</w:t>
      </w:r>
      <w:r w:rsidR="00257720">
        <w:t xml:space="preserve">; Listerud </w:t>
      </w:r>
      <w:r w:rsidR="00CC0D3E">
        <w:t>2</w:t>
      </w:r>
      <w:r w:rsidR="007B7E64">
        <w:t>/</w:t>
      </w:r>
      <w:r w:rsidR="00CC0D3E">
        <w:t>19</w:t>
      </w:r>
      <w:r w:rsidR="003D5ED9">
        <w:t>.</w:t>
      </w:r>
      <w:r w:rsidR="00257720">
        <w:t xml:space="preserve"> </w:t>
      </w:r>
      <w:r w:rsidR="003D5ED9">
        <w:t xml:space="preserve"> </w:t>
      </w:r>
      <w:r w:rsidR="003D5ED9" w:rsidRPr="003D5ED9">
        <w:rPr>
          <w:i/>
          <w:iCs/>
        </w:rPr>
        <w:t>See generally</w:t>
      </w:r>
      <w:r w:rsidR="003D5ED9">
        <w:t xml:space="preserve"> G.L. c. 30A, § 11(2); Mass. Guide Evid. § 407(a)</w:t>
      </w:r>
      <w:r w:rsidR="00257720">
        <w:t>.)</w:t>
      </w:r>
    </w:p>
    <w:p w14:paraId="1AF3686C" w14:textId="4B09C1BB" w:rsidR="00D06FE7" w:rsidRDefault="00373D19" w:rsidP="00373D19">
      <w:pPr>
        <w:pStyle w:val="ListedFindings"/>
      </w:pPr>
      <w:r>
        <w:t xml:space="preserve">For his part, </w:t>
      </w:r>
      <w:r w:rsidR="00094163">
        <w:t xml:space="preserve">Dr. Diggins </w:t>
      </w:r>
      <w:r w:rsidR="00A528A1">
        <w:t xml:space="preserve">blames </w:t>
      </w:r>
      <w:r w:rsidR="00C7350F">
        <w:t xml:space="preserve">his record-keeping </w:t>
      </w:r>
      <w:r w:rsidR="00A528A1">
        <w:t>delays on</w:t>
      </w:r>
      <w:r w:rsidR="00C7350F">
        <w:t xml:space="preserve"> heavy</w:t>
      </w:r>
      <w:r w:rsidR="00A528A1">
        <w:t xml:space="preserve"> </w:t>
      </w:r>
      <w:r w:rsidR="00C7350F">
        <w:t>loads</w:t>
      </w:r>
      <w:r w:rsidR="00A528A1">
        <w:t xml:space="preserve"> of acute cases</w:t>
      </w:r>
      <w:r w:rsidR="00AA3219">
        <w:t xml:space="preserve">.  </w:t>
      </w:r>
      <w:r w:rsidR="00B24A5C">
        <w:t>I find that</w:t>
      </w:r>
      <w:r w:rsidR="000026AC">
        <w:t xml:space="preserve"> </w:t>
      </w:r>
      <w:r w:rsidR="00D850EC">
        <w:t>he</w:t>
      </w:r>
      <w:r w:rsidR="00C7350F">
        <w:t xml:space="preserve"> </w:t>
      </w:r>
      <w:r w:rsidR="00646958">
        <w:t>bears</w:t>
      </w:r>
      <w:r w:rsidR="00D850EC">
        <w:t xml:space="preserve"> </w:t>
      </w:r>
      <w:r w:rsidR="00A528A1">
        <w:t xml:space="preserve">personal responsibility </w:t>
      </w:r>
      <w:r w:rsidR="00D850EC">
        <w:t>as well</w:t>
      </w:r>
      <w:r w:rsidR="0095789D">
        <w:t xml:space="preserve">.  </w:t>
      </w:r>
      <w:r w:rsidR="00C7350F">
        <w:t xml:space="preserve">He </w:t>
      </w:r>
      <w:r w:rsidR="00AA3219">
        <w:t>fell badly behind at Providence Hospital, CHD, and Harrington</w:t>
      </w:r>
      <w:r w:rsidR="00D850EC">
        <w:t xml:space="preserve"> in sequence</w:t>
      </w:r>
      <w:r w:rsidR="00AA3219">
        <w:t xml:space="preserve">.  </w:t>
      </w:r>
      <w:r w:rsidR="00514C81">
        <w:t xml:space="preserve">His missing records threatened his patients’ </w:t>
      </w:r>
      <w:r w:rsidR="00B24A5C">
        <w:t>ability to</w:t>
      </w:r>
      <w:r w:rsidR="00514C81">
        <w:t xml:space="preserve"> </w:t>
      </w:r>
      <w:r w:rsidR="00B24A5C">
        <w:t xml:space="preserve">receive proper </w:t>
      </w:r>
      <w:r w:rsidR="00514C81">
        <w:t xml:space="preserve">care.  All three </w:t>
      </w:r>
      <w:proofErr w:type="gramStart"/>
      <w:r w:rsidR="00500479">
        <w:t>facilities</w:t>
      </w:r>
      <w:r w:rsidR="00B24A5C">
        <w:t xml:space="preserve"> imposed</w:t>
      </w:r>
      <w:proofErr w:type="gramEnd"/>
      <w:r w:rsidR="00514C81">
        <w:t xml:space="preserve"> r</w:t>
      </w:r>
      <w:r w:rsidR="00AA3219">
        <w:t xml:space="preserve">ecord-keeping </w:t>
      </w:r>
      <w:r w:rsidR="0095789D">
        <w:t xml:space="preserve">requirements </w:t>
      </w:r>
      <w:r w:rsidR="00B24A5C">
        <w:t xml:space="preserve">evenly on their </w:t>
      </w:r>
      <w:r w:rsidR="00E311B1">
        <w:t>doctors</w:t>
      </w:r>
      <w:r w:rsidR="00AA3219">
        <w:t xml:space="preserve">.  </w:t>
      </w:r>
      <w:proofErr w:type="gramStart"/>
      <w:r w:rsidR="00AA3219">
        <w:t>The majority of</w:t>
      </w:r>
      <w:proofErr w:type="gramEnd"/>
      <w:r w:rsidR="00AA3219">
        <w:t xml:space="preserve"> </w:t>
      </w:r>
      <w:r w:rsidR="00411918">
        <w:t>Dr. Diggins’s</w:t>
      </w:r>
      <w:r w:rsidR="00AA3219">
        <w:t xml:space="preserve"> colleagues</w:t>
      </w:r>
      <w:r w:rsidR="00B24A5C">
        <w:t>—though not all—</w:t>
      </w:r>
      <w:r w:rsidR="0095789D">
        <w:t>met</w:t>
      </w:r>
      <w:r w:rsidR="00AA3219">
        <w:t xml:space="preserve"> th</w:t>
      </w:r>
      <w:r w:rsidR="0095789D">
        <w:t xml:space="preserve">ose </w:t>
      </w:r>
      <w:r w:rsidR="0010107D">
        <w:t>requirements</w:t>
      </w:r>
      <w:r w:rsidR="00AA3219">
        <w:t>.</w:t>
      </w:r>
      <w:r w:rsidR="00FB2986">
        <w:t xml:space="preserve">  </w:t>
      </w:r>
      <w:r w:rsidR="00D06FE7">
        <w:t>He</w:t>
      </w:r>
      <w:r w:rsidR="00514C81">
        <w:t>, too,</w:t>
      </w:r>
      <w:r w:rsidR="00D06FE7">
        <w:t xml:space="preserve"> </w:t>
      </w:r>
      <w:proofErr w:type="gramStart"/>
      <w:r w:rsidR="00D06FE7">
        <w:t>is able to</w:t>
      </w:r>
      <w:proofErr w:type="gramEnd"/>
      <w:r w:rsidR="00D06FE7">
        <w:t xml:space="preserve"> </w:t>
      </w:r>
      <w:r w:rsidR="00E1189B">
        <w:t xml:space="preserve">keep his </w:t>
      </w:r>
      <w:r w:rsidR="00514C81">
        <w:t>records</w:t>
      </w:r>
      <w:r w:rsidR="00E1189B">
        <w:t xml:space="preserve"> </w:t>
      </w:r>
      <w:r w:rsidR="00F71ED3">
        <w:t xml:space="preserve">current </w:t>
      </w:r>
      <w:r w:rsidR="00D06FE7">
        <w:t xml:space="preserve">when he </w:t>
      </w:r>
      <w:r w:rsidR="004935A1">
        <w:t>proactively</w:t>
      </w:r>
      <w:r w:rsidR="00E311B1">
        <w:t xml:space="preserve"> tackles early</w:t>
      </w:r>
      <w:r w:rsidR="00D06FE7">
        <w:t xml:space="preserve"> </w:t>
      </w:r>
      <w:r w:rsidR="00D850EC">
        <w:t>seeds</w:t>
      </w:r>
      <w:r w:rsidR="00D06FE7">
        <w:t xml:space="preserve"> of backlog.</w:t>
      </w:r>
      <w:r w:rsidR="0095789D">
        <w:t xml:space="preserve">  (</w:t>
      </w:r>
      <w:r w:rsidR="003B0196">
        <w:t>Diggins 2</w:t>
      </w:r>
      <w:r w:rsidR="007B7E64">
        <w:t>/</w:t>
      </w:r>
      <w:r w:rsidR="003B0196">
        <w:t>96-</w:t>
      </w:r>
      <w:r w:rsidR="00B47613">
        <w:t>109</w:t>
      </w:r>
      <w:r w:rsidR="002130B6">
        <w:t xml:space="preserve">, </w:t>
      </w:r>
      <w:r w:rsidR="006F2C03">
        <w:t>2</w:t>
      </w:r>
      <w:r w:rsidR="007B7E64">
        <w:t>/</w:t>
      </w:r>
      <w:r w:rsidR="002130B6">
        <w:t>119</w:t>
      </w:r>
      <w:r w:rsidR="0019426C">
        <w:t>, 2</w:t>
      </w:r>
      <w:r w:rsidR="007B7E64">
        <w:t>/</w:t>
      </w:r>
      <w:r w:rsidR="0019426C">
        <w:t>127-</w:t>
      </w:r>
      <w:r w:rsidR="0059170E">
        <w:t>37</w:t>
      </w:r>
      <w:r w:rsidR="00265A40">
        <w:t>, 2</w:t>
      </w:r>
      <w:r w:rsidR="007B7E64">
        <w:t>/</w:t>
      </w:r>
      <w:r w:rsidR="00265A40">
        <w:t>15</w:t>
      </w:r>
      <w:r w:rsidR="007B7E64">
        <w:t>0</w:t>
      </w:r>
      <w:r w:rsidR="00265A40">
        <w:t>-51</w:t>
      </w:r>
      <w:r w:rsidR="003B0196">
        <w:t xml:space="preserve">; </w:t>
      </w:r>
      <w:r w:rsidR="0095789D">
        <w:t xml:space="preserve">Altamirano </w:t>
      </w:r>
      <w:r w:rsidR="00BC496A">
        <w:t>1</w:t>
      </w:r>
      <w:r w:rsidR="008444F5">
        <w:t>/133, 1/</w:t>
      </w:r>
      <w:r w:rsidR="00BC496A">
        <w:t>143-44</w:t>
      </w:r>
      <w:r w:rsidR="0095789D">
        <w:t xml:space="preserve">; </w:t>
      </w:r>
      <w:r w:rsidR="00166E52">
        <w:t xml:space="preserve">Goodwin </w:t>
      </w:r>
      <w:r w:rsidR="006F2C03">
        <w:t>2</w:t>
      </w:r>
      <w:r w:rsidR="007B7E64">
        <w:t>/</w:t>
      </w:r>
      <w:r w:rsidR="00166E52">
        <w:t xml:space="preserve">79-80; </w:t>
      </w:r>
      <w:r w:rsidR="0095789D">
        <w:t>Listerud</w:t>
      </w:r>
      <w:r w:rsidR="00D13E56">
        <w:t xml:space="preserve"> 2</w:t>
      </w:r>
      <w:r w:rsidR="007B7E64">
        <w:t>/</w:t>
      </w:r>
      <w:r w:rsidR="00D13E56">
        <w:t>31</w:t>
      </w:r>
      <w:r w:rsidR="0095789D">
        <w:t>;</w:t>
      </w:r>
      <w:r w:rsidR="0095789D" w:rsidRPr="00862B41">
        <w:t xml:space="preserve"> </w:t>
      </w:r>
      <w:r w:rsidR="0095789D">
        <w:t xml:space="preserve">Mirhej </w:t>
      </w:r>
      <w:r w:rsidR="00580DC9">
        <w:t>1</w:t>
      </w:r>
      <w:r w:rsidR="007B7E64">
        <w:t>/</w:t>
      </w:r>
      <w:r w:rsidR="00580DC9">
        <w:t>178</w:t>
      </w:r>
      <w:r w:rsidR="000D6E61">
        <w:t>, 1</w:t>
      </w:r>
      <w:r w:rsidR="007B7E64">
        <w:t>/</w:t>
      </w:r>
      <w:r w:rsidR="000D6E61">
        <w:t>204, 1</w:t>
      </w:r>
      <w:r w:rsidR="007B7E64">
        <w:t>/</w:t>
      </w:r>
      <w:r w:rsidR="000D6E61">
        <w:t>211-13</w:t>
      </w:r>
      <w:r w:rsidR="0095789D">
        <w:t>.)</w:t>
      </w:r>
    </w:p>
    <w:p w14:paraId="54ADAECE" w14:textId="50075283" w:rsidR="00AA3219" w:rsidRPr="00C32CC0" w:rsidRDefault="00E5620F" w:rsidP="00F71ED3">
      <w:pPr>
        <w:pStyle w:val="ListedFindings"/>
      </w:pPr>
      <w:r>
        <w:t xml:space="preserve">Dr. Diggins </w:t>
      </w:r>
      <w:r w:rsidR="0095789D">
        <w:t xml:space="preserve">testified that he believes timely </w:t>
      </w:r>
      <w:r w:rsidR="00095A53">
        <w:t>medical records</w:t>
      </w:r>
      <w:r w:rsidR="004277F4">
        <w:t xml:space="preserve"> </w:t>
      </w:r>
      <w:r w:rsidR="0010107D">
        <w:t>to be</w:t>
      </w:r>
      <w:r w:rsidR="004277F4">
        <w:t xml:space="preserve"> an element of</w:t>
      </w:r>
      <w:r w:rsidR="000026AC">
        <w:t xml:space="preserve"> </w:t>
      </w:r>
      <w:r w:rsidR="004277F4">
        <w:t>proper medical care</w:t>
      </w:r>
      <w:r w:rsidR="00C87600">
        <w:t xml:space="preserve">.  </w:t>
      </w:r>
      <w:r w:rsidR="002C1D67">
        <w:t>H</w:t>
      </w:r>
      <w:r w:rsidR="00C87600">
        <w:t>e has</w:t>
      </w:r>
      <w:r w:rsidR="00FB2986">
        <w:t xml:space="preserve"> </w:t>
      </w:r>
      <w:r w:rsidR="0095789D">
        <w:t xml:space="preserve">not </w:t>
      </w:r>
      <w:r w:rsidR="00FB2986">
        <w:t>live</w:t>
      </w:r>
      <w:r w:rsidR="0095789D">
        <w:t>d</w:t>
      </w:r>
      <w:r w:rsidR="00FB2986">
        <w:t xml:space="preserve"> up to that </w:t>
      </w:r>
      <w:r w:rsidR="000026AC">
        <w:t>principle</w:t>
      </w:r>
      <w:r w:rsidR="00852186">
        <w:t>, however</w:t>
      </w:r>
      <w:r w:rsidR="00FB2986">
        <w:t xml:space="preserve">.  </w:t>
      </w:r>
      <w:r w:rsidR="00751776">
        <w:t>Dr. Diggins’s</w:t>
      </w:r>
      <w:r w:rsidR="00FB2986">
        <w:t xml:space="preserve"> passion is providing attentive relief to suffering patients.  </w:t>
      </w:r>
      <w:r w:rsidR="00830272">
        <w:t>Criticizing</w:t>
      </w:r>
      <w:r w:rsidR="00FB2986">
        <w:t xml:space="preserve"> that </w:t>
      </w:r>
      <w:r w:rsidR="00411918">
        <w:t xml:space="preserve">quality </w:t>
      </w:r>
      <w:r w:rsidR="00FB2986">
        <w:t>is a</w:t>
      </w:r>
      <w:r w:rsidR="0095789D">
        <w:t>n</w:t>
      </w:r>
      <w:r w:rsidR="00FB2986">
        <w:t xml:space="preserve"> </w:t>
      </w:r>
      <w:r w:rsidR="0095789D">
        <w:t>unattractive</w:t>
      </w:r>
      <w:r w:rsidR="00FB2986">
        <w:t xml:space="preserve"> exercise.  </w:t>
      </w:r>
      <w:r w:rsidR="000026AC">
        <w:t>But Dr. Diggins’s performance as a medical record-keeper ha</w:t>
      </w:r>
      <w:r w:rsidR="00F71ED3">
        <w:t>s</w:t>
      </w:r>
      <w:r w:rsidR="000026AC">
        <w:t xml:space="preserve"> fallen drastically short of the standards he </w:t>
      </w:r>
      <w:r w:rsidR="0010107D">
        <w:t xml:space="preserve">has </w:t>
      </w:r>
      <w:r w:rsidR="000026AC">
        <w:t xml:space="preserve">set as a listener, thinker, and prescriber.  For nearly a decade, he allocated to record keeping a share of his </w:t>
      </w:r>
      <w:r w:rsidR="00F71ED3">
        <w:t xml:space="preserve">talents and resources </w:t>
      </w:r>
      <w:r w:rsidR="000026AC">
        <w:t xml:space="preserve">insufficient to satisfy his profession’s </w:t>
      </w:r>
      <w:r w:rsidR="00F71ED3">
        <w:t>demands</w:t>
      </w:r>
      <w:r w:rsidR="000026AC">
        <w:t>.</w:t>
      </w:r>
      <w:r w:rsidR="00CC0D38">
        <w:t xml:space="preserve">  (Diggins 1</w:t>
      </w:r>
      <w:r w:rsidR="007B7E64">
        <w:t>/</w:t>
      </w:r>
      <w:r w:rsidR="00265A40">
        <w:t>98-04, 2</w:t>
      </w:r>
      <w:r w:rsidR="007B7E64">
        <w:t>/</w:t>
      </w:r>
      <w:r w:rsidR="00265A40">
        <w:t xml:space="preserve">109-11, </w:t>
      </w:r>
      <w:r w:rsidR="0019426C">
        <w:t>2</w:t>
      </w:r>
      <w:r w:rsidR="007B7E64">
        <w:t>/</w:t>
      </w:r>
      <w:r w:rsidR="0019426C">
        <w:t>125-28</w:t>
      </w:r>
      <w:r w:rsidR="0059170E">
        <w:t>, 2</w:t>
      </w:r>
      <w:r w:rsidR="007B7E64">
        <w:t>/</w:t>
      </w:r>
      <w:r w:rsidR="0059170E">
        <w:t>148-49</w:t>
      </w:r>
      <w:r w:rsidR="001651DB">
        <w:t>; Listerud 2/14</w:t>
      </w:r>
      <w:r w:rsidR="0019426C">
        <w:t>.)</w:t>
      </w:r>
    </w:p>
    <w:p w14:paraId="7AD9A1DF" w14:textId="1536AB1A" w:rsidR="00E22152" w:rsidRDefault="00192E05" w:rsidP="00262188">
      <w:pPr>
        <w:pStyle w:val="Heading1"/>
      </w:pPr>
      <w:r>
        <w:t>Rulings of Law</w:t>
      </w:r>
    </w:p>
    <w:p w14:paraId="32AB0430" w14:textId="5FDF6DED" w:rsidR="00541AF7" w:rsidRPr="00541AF7" w:rsidRDefault="00541AF7" w:rsidP="00541AF7">
      <w:pPr>
        <w:pStyle w:val="Heading1"/>
        <w:rPr>
          <w:b w:val="0"/>
          <w:bCs w:val="0"/>
          <w:i/>
          <w:iCs/>
        </w:rPr>
      </w:pPr>
      <w:r>
        <w:rPr>
          <w:b w:val="0"/>
          <w:bCs w:val="0"/>
          <w:i/>
          <w:iCs/>
        </w:rPr>
        <w:t>I</w:t>
      </w:r>
      <w:r w:rsidR="00A766D2">
        <w:rPr>
          <w:b w:val="0"/>
          <w:bCs w:val="0"/>
          <w:i/>
          <w:iCs/>
        </w:rPr>
        <w:t>.  Impairment by Alcohol</w:t>
      </w:r>
    </w:p>
    <w:p w14:paraId="67F61F6D" w14:textId="2C63A542" w:rsidR="00975D7B" w:rsidRDefault="00C87600" w:rsidP="00975D7B">
      <w:r>
        <w:t xml:space="preserve">The board </w:t>
      </w:r>
      <w:r w:rsidR="000F56D0">
        <w:t xml:space="preserve">is authorized to </w:t>
      </w:r>
      <w:r>
        <w:t xml:space="preserve">discipline </w:t>
      </w:r>
      <w:r w:rsidR="000F56D0">
        <w:t xml:space="preserve">a physician </w:t>
      </w:r>
      <w:r w:rsidR="00CE5DDA">
        <w:t>for</w:t>
      </w:r>
      <w:r>
        <w:t xml:space="preserve"> “</w:t>
      </w:r>
      <w:r w:rsidRPr="00C87600">
        <w:t>practicing medicine while the ability to practice is impaired by alcohol</w:t>
      </w:r>
      <w:r>
        <w:t xml:space="preserve">.”  </w:t>
      </w:r>
      <w:r w:rsidR="00192E05">
        <w:t xml:space="preserve">G.L. c. 112, § 5, </w:t>
      </w:r>
      <w:r>
        <w:t xml:space="preserve">8th </w:t>
      </w:r>
      <w:r w:rsidR="00192E05">
        <w:t>para.</w:t>
      </w:r>
      <w:r>
        <w:t xml:space="preserve">, </w:t>
      </w:r>
      <w:r w:rsidR="00192E05">
        <w:t xml:space="preserve">(d); 243 C.M.R. </w:t>
      </w:r>
      <w:r>
        <w:t>§ </w:t>
      </w:r>
      <w:r w:rsidR="00192E05">
        <w:t>1.03(5)(a)(4)</w:t>
      </w:r>
      <w:r>
        <w:t xml:space="preserve">.  </w:t>
      </w:r>
      <w:r w:rsidR="005F00CC">
        <w:t>T</w:t>
      </w:r>
      <w:r w:rsidR="00975D7B">
        <w:t xml:space="preserve">here is no evidence that Dr. Diggins was ever intoxicated at work.  </w:t>
      </w:r>
      <w:r w:rsidR="00660CA7">
        <w:t>Indeed, c</w:t>
      </w:r>
      <w:r w:rsidR="00975D7B">
        <w:t>omplaint counsel so concedes.</w:t>
      </w:r>
    </w:p>
    <w:p w14:paraId="00112543" w14:textId="0FC408E8" w:rsidR="00D2133B" w:rsidRDefault="00975D7B" w:rsidP="003D195C">
      <w:r>
        <w:lastRenderedPageBreak/>
        <w:t>Complaint counsel</w:t>
      </w:r>
      <w:r w:rsidR="005F00CC">
        <w:t>’s theory is that</w:t>
      </w:r>
      <w:r w:rsidR="004176A5">
        <w:t xml:space="preserve"> the phrase “impaired by alcohol” </w:t>
      </w:r>
      <w:r w:rsidR="005F00CC">
        <w:t xml:space="preserve">reaches the </w:t>
      </w:r>
      <w:r w:rsidR="00B447BF">
        <w:t xml:space="preserve">instances in which Dr. Diggins’s addiction diminished his motivation to complete his treatment notes.  This theory is both tenuous and </w:t>
      </w:r>
      <w:r w:rsidR="002C1D67">
        <w:t>far-reaching</w:t>
      </w:r>
      <w:r w:rsidR="00B447BF">
        <w:t xml:space="preserve">.  In plain language, </w:t>
      </w:r>
      <w:r w:rsidR="003D195C">
        <w:t xml:space="preserve">the word “impaired” standing alone </w:t>
      </w:r>
      <w:r w:rsidR="002C1D67">
        <w:t xml:space="preserve">is </w:t>
      </w:r>
      <w:r w:rsidR="003D195C">
        <w:t>somewhat flexible</w:t>
      </w:r>
      <w:r w:rsidR="002B258B">
        <w:t>,</w:t>
      </w:r>
      <w:r w:rsidR="003D195C">
        <w:t xml:space="preserve"> but the combination </w:t>
      </w:r>
      <w:r w:rsidR="00B447BF">
        <w:t xml:space="preserve">“impaired by alcohol” </w:t>
      </w:r>
      <w:r w:rsidR="003D195C">
        <w:t xml:space="preserve">strongly connotes </w:t>
      </w:r>
      <w:r w:rsidR="00B447BF">
        <w:t xml:space="preserve">intoxication as a result of alcohol consumption.  </w:t>
      </w:r>
      <w:r w:rsidR="00D14BE2" w:rsidRPr="00D14BE2">
        <w:rPr>
          <w:i/>
          <w:iCs/>
        </w:rPr>
        <w:t>See</w:t>
      </w:r>
      <w:r w:rsidR="00D14BE2">
        <w:t xml:space="preserve"> </w:t>
      </w:r>
      <w:r w:rsidR="00756E1F">
        <w:rPr>
          <w:i/>
          <w:iCs/>
        </w:rPr>
        <w:t xml:space="preserve">Merriam Webster’s Collegiate </w:t>
      </w:r>
      <w:r w:rsidR="00756E1F" w:rsidRPr="00405166">
        <w:rPr>
          <w:i/>
          <w:iCs/>
        </w:rPr>
        <w:t>Dictionary</w:t>
      </w:r>
      <w:r w:rsidR="00756E1F">
        <w:t xml:space="preserve"> 622 (11th ed. 2003) (</w:t>
      </w:r>
      <w:r w:rsidR="00D14BE2">
        <w:t xml:space="preserve">defining </w:t>
      </w:r>
      <w:r w:rsidR="00756E1F">
        <w:t xml:space="preserve">“impaired” </w:t>
      </w:r>
      <w:r w:rsidR="00D14BE2">
        <w:t>a</w:t>
      </w:r>
      <w:r w:rsidR="00756E1F">
        <w:t>s</w:t>
      </w:r>
      <w:r w:rsidR="00D14BE2">
        <w:t>, in part,</w:t>
      </w:r>
      <w:r w:rsidR="00756E1F">
        <w:t xml:space="preserve"> “intoxicated by alcohol or narcotics”)</w:t>
      </w:r>
      <w:r w:rsidR="00D2133B">
        <w:t xml:space="preserve">.  </w:t>
      </w:r>
      <w:r w:rsidR="002C1D67">
        <w:t xml:space="preserve">Thus, </w:t>
      </w:r>
      <w:r w:rsidR="003D195C">
        <w:t>i</w:t>
      </w:r>
      <w:r w:rsidR="005209A3">
        <w:t xml:space="preserve">n the </w:t>
      </w:r>
      <w:r w:rsidR="005F00CC">
        <w:t>commonplace</w:t>
      </w:r>
      <w:r w:rsidR="005209A3">
        <w:t xml:space="preserve"> context of OUI offenses, the </w:t>
      </w:r>
      <w:r w:rsidR="003D195C">
        <w:t xml:space="preserve">words </w:t>
      </w:r>
      <w:r w:rsidR="005209A3">
        <w:t xml:space="preserve">“impaired by alcohol” </w:t>
      </w:r>
      <w:r w:rsidR="003D195C">
        <w:t xml:space="preserve">are </w:t>
      </w:r>
      <w:r w:rsidR="00753AB3">
        <w:t xml:space="preserve">roughly </w:t>
      </w:r>
      <w:r w:rsidR="005209A3">
        <w:t xml:space="preserve">interchangeable with </w:t>
      </w:r>
      <w:r w:rsidR="00D2133B">
        <w:t>“under the influence of alcohol</w:t>
      </w:r>
      <w:r w:rsidR="005209A3">
        <w:t xml:space="preserve">.”  </w:t>
      </w:r>
      <w:r w:rsidR="00D14BE2">
        <w:rPr>
          <w:i/>
          <w:iCs/>
        </w:rPr>
        <w:t>Black’s Law Dictionary</w:t>
      </w:r>
      <w:r w:rsidR="00D14BE2">
        <w:t xml:space="preserve"> </w:t>
      </w:r>
      <w:r w:rsidR="00007B3C">
        <w:t>603</w:t>
      </w:r>
      <w:r w:rsidR="00281292">
        <w:t xml:space="preserve"> </w:t>
      </w:r>
      <w:r w:rsidR="00D14BE2">
        <w:t>(10th ed. 2014)</w:t>
      </w:r>
      <w:r w:rsidR="00D2133B">
        <w:t xml:space="preserve">; </w:t>
      </w:r>
      <w:r w:rsidR="00D2133B" w:rsidRPr="00D2133B">
        <w:rPr>
          <w:i/>
          <w:iCs/>
        </w:rPr>
        <w:t xml:space="preserve">Commonwealth v. </w:t>
      </w:r>
      <w:proofErr w:type="spellStart"/>
      <w:r w:rsidR="00D2133B" w:rsidRPr="00D2133B">
        <w:rPr>
          <w:i/>
          <w:iCs/>
        </w:rPr>
        <w:t>Widmaier</w:t>
      </w:r>
      <w:proofErr w:type="spellEnd"/>
      <w:r w:rsidR="00D2133B">
        <w:t>, 74 Mass. App. Ct. 1124 (2009) (unpublished memorandum opinion)</w:t>
      </w:r>
      <w:r w:rsidR="005209A3">
        <w:t xml:space="preserve">.  Both </w:t>
      </w:r>
      <w:r w:rsidR="005F00CC">
        <w:t xml:space="preserve">phrases </w:t>
      </w:r>
      <w:r w:rsidR="005209A3">
        <w:t>mean “drunk</w:t>
      </w:r>
      <w:r w:rsidR="008340B0">
        <w:t>,</w:t>
      </w:r>
      <w:r w:rsidR="005209A3">
        <w:t>”</w:t>
      </w:r>
      <w:r w:rsidR="008340B0">
        <w:t xml:space="preserve"> </w:t>
      </w:r>
      <w:r w:rsidR="00753AB3">
        <w:t>or some variation thereo</w:t>
      </w:r>
      <w:r w:rsidR="00C320BC">
        <w:t>n</w:t>
      </w:r>
      <w:r w:rsidR="008340B0">
        <w:t>, but</w:t>
      </w:r>
      <w:r w:rsidR="005209A3">
        <w:t xml:space="preserve"> not “in a </w:t>
      </w:r>
      <w:r w:rsidR="005F00CC">
        <w:t>hurry</w:t>
      </w:r>
      <w:r w:rsidR="005209A3">
        <w:t xml:space="preserve"> to drink.”</w:t>
      </w:r>
    </w:p>
    <w:p w14:paraId="1C8234AB" w14:textId="4D10083D" w:rsidR="001651DB" w:rsidRDefault="00163EDF" w:rsidP="0081171C">
      <w:r>
        <w:t xml:space="preserve">Prior pertinent case law </w:t>
      </w:r>
      <w:r w:rsidR="003D195C">
        <w:t>accords with</w:t>
      </w:r>
      <w:r w:rsidR="005209A3">
        <w:t xml:space="preserve"> th</w:t>
      </w:r>
      <w:r w:rsidR="003D195C">
        <w:t>e</w:t>
      </w:r>
      <w:r w:rsidR="005209A3">
        <w:t xml:space="preserve"> </w:t>
      </w:r>
      <w:r w:rsidR="002A118F">
        <w:t xml:space="preserve">plain-language </w:t>
      </w:r>
      <w:r w:rsidR="003D195C">
        <w:t xml:space="preserve">reading of the </w:t>
      </w:r>
      <w:r w:rsidR="0081171C">
        <w:t xml:space="preserve">words </w:t>
      </w:r>
      <w:r w:rsidR="003D195C">
        <w:t xml:space="preserve">“impaired by alcohol” </w:t>
      </w:r>
      <w:r w:rsidR="005209A3">
        <w:t xml:space="preserve">by </w:t>
      </w:r>
      <w:r>
        <w:t>focus</w:t>
      </w:r>
      <w:r w:rsidR="005209A3">
        <w:t>ing</w:t>
      </w:r>
      <w:r>
        <w:t xml:space="preserve"> on intoxication at work.  </w:t>
      </w:r>
      <w:r w:rsidRPr="00751776">
        <w:rPr>
          <w:i/>
          <w:iCs/>
        </w:rPr>
        <w:t>E.g.</w:t>
      </w:r>
      <w:r>
        <w:t xml:space="preserve">, </w:t>
      </w:r>
      <w:r w:rsidRPr="00E417E4">
        <w:rPr>
          <w:i/>
          <w:iCs/>
        </w:rPr>
        <w:t>In the Matter of Russell</w:t>
      </w:r>
      <w:r>
        <w:t>, No. 2017-6 (BORIM July 13, 2017)</w:t>
      </w:r>
      <w:r w:rsidR="00D2133B">
        <w:t>.</w:t>
      </w:r>
      <w:r w:rsidR="005209A3">
        <w:t xml:space="preserve">  </w:t>
      </w:r>
      <w:r w:rsidR="0081171C">
        <w:t>Even the consent order on which c</w:t>
      </w:r>
      <w:r w:rsidR="005209A3">
        <w:t>omplaint counsel</w:t>
      </w:r>
      <w:r w:rsidR="0081171C">
        <w:t xml:space="preserve"> relies most heavily, though short on detail, tends </w:t>
      </w:r>
      <w:r w:rsidR="005F00CC">
        <w:t xml:space="preserve">to </w:t>
      </w:r>
      <w:r w:rsidR="0081171C">
        <w:t xml:space="preserve">suggest </w:t>
      </w:r>
      <w:r w:rsidR="005F00CC">
        <w:t xml:space="preserve">that the </w:t>
      </w:r>
      <w:r w:rsidR="0081171C">
        <w:t xml:space="preserve">respondent </w:t>
      </w:r>
      <w:r w:rsidR="005F00CC">
        <w:t xml:space="preserve">was intoxicated at </w:t>
      </w:r>
      <w:r w:rsidR="0081171C">
        <w:t xml:space="preserve">his </w:t>
      </w:r>
      <w:r w:rsidR="005F00CC">
        <w:t xml:space="preserve">hospital.  </w:t>
      </w:r>
      <w:r w:rsidR="005F00CC" w:rsidRPr="005F00CC">
        <w:rPr>
          <w:i/>
          <w:iCs/>
        </w:rPr>
        <w:t xml:space="preserve">In the Matter of </w:t>
      </w:r>
      <w:proofErr w:type="spellStart"/>
      <w:r w:rsidR="005F00CC" w:rsidRPr="005F00CC">
        <w:rPr>
          <w:i/>
          <w:iCs/>
        </w:rPr>
        <w:t>Coolbaugh</w:t>
      </w:r>
      <w:proofErr w:type="spellEnd"/>
      <w:r w:rsidR="005F00CC">
        <w:t>, No. 2017-44, at 2 (BORIM Nov. 22, 2017) (respondent “showed ‘Lady Godiva-like photos’ of his wife to two [hospital] staff members”).</w:t>
      </w:r>
      <w:r w:rsidR="005015A1">
        <w:t xml:space="preserve">  </w:t>
      </w:r>
      <w:r w:rsidR="00E351D0">
        <w:t xml:space="preserve">There is </w:t>
      </w:r>
      <w:r w:rsidR="0081171C">
        <w:t xml:space="preserve">thus </w:t>
      </w:r>
      <w:r w:rsidR="009B1BF8">
        <w:t>poor</w:t>
      </w:r>
      <w:r w:rsidR="0081171C">
        <w:t xml:space="preserve"> </w:t>
      </w:r>
      <w:r w:rsidR="00E351D0">
        <w:t xml:space="preserve">support for the </w:t>
      </w:r>
      <w:r w:rsidR="0081171C">
        <w:t xml:space="preserve">position </w:t>
      </w:r>
      <w:r w:rsidR="00E351D0">
        <w:t>that a</w:t>
      </w:r>
      <w:r w:rsidR="0081171C">
        <w:t>n unintoxicated</w:t>
      </w:r>
      <w:r w:rsidR="00E351D0">
        <w:t xml:space="preserve"> person </w:t>
      </w:r>
      <w:r w:rsidR="000D5A0A">
        <w:t>may be punish</w:t>
      </w:r>
      <w:r w:rsidR="0081171C">
        <w:t>ed as</w:t>
      </w:r>
      <w:r w:rsidR="000D5A0A">
        <w:t xml:space="preserve"> </w:t>
      </w:r>
      <w:r w:rsidR="00E351D0">
        <w:t>“impaired by alcohol.</w:t>
      </w:r>
      <w:r w:rsidR="0081171C">
        <w:t>”</w:t>
      </w:r>
      <w:r w:rsidR="00E351D0">
        <w:t xml:space="preserve">  Indeed, </w:t>
      </w:r>
      <w:r w:rsidR="000D5A0A">
        <w:t xml:space="preserve">a </w:t>
      </w:r>
      <w:r w:rsidR="00F71ED3">
        <w:t>regime</w:t>
      </w:r>
      <w:r w:rsidR="000D5A0A">
        <w:t xml:space="preserve"> </w:t>
      </w:r>
      <w:r w:rsidR="006A44FF">
        <w:t xml:space="preserve">in which </w:t>
      </w:r>
      <w:r w:rsidR="00E351D0">
        <w:t>disciplin</w:t>
      </w:r>
      <w:r w:rsidR="000D5A0A">
        <w:t>ary sanctions</w:t>
      </w:r>
      <w:r w:rsidR="00E351D0">
        <w:t xml:space="preserve"> </w:t>
      </w:r>
      <w:r w:rsidR="006A44FF">
        <w:t xml:space="preserve">may </w:t>
      </w:r>
      <w:r w:rsidR="00F93CAB">
        <w:t>revolv</w:t>
      </w:r>
      <w:r w:rsidR="006A44FF">
        <w:t>e</w:t>
      </w:r>
      <w:r w:rsidR="00F93CAB">
        <w:t xml:space="preserve"> around </w:t>
      </w:r>
      <w:r w:rsidR="006A44FF">
        <w:t xml:space="preserve">a person’s </w:t>
      </w:r>
      <w:r w:rsidR="00F93CAB">
        <w:t xml:space="preserve">impatience </w:t>
      </w:r>
      <w:r w:rsidR="00E351D0">
        <w:t>to leave wor</w:t>
      </w:r>
      <w:r w:rsidR="00F93CAB">
        <w:t xml:space="preserve">k would </w:t>
      </w:r>
      <w:r w:rsidR="006A44FF">
        <w:t>place most professionals at risk</w:t>
      </w:r>
      <w:r w:rsidR="00E351D0">
        <w:t>.</w:t>
      </w:r>
    </w:p>
    <w:p w14:paraId="386FFFC9" w14:textId="54020F70" w:rsidR="002A118F" w:rsidRDefault="006A44FF" w:rsidP="002A118F">
      <w:r>
        <w:t>It is true that a</w:t>
      </w:r>
      <w:r w:rsidR="00A22B65">
        <w:t xml:space="preserve"> physician </w:t>
      </w:r>
      <w:r w:rsidR="00736B38">
        <w:t xml:space="preserve">may be disciplined </w:t>
      </w:r>
      <w:r w:rsidR="00A22B65">
        <w:t>for “[b]</w:t>
      </w:r>
      <w:proofErr w:type="spellStart"/>
      <w:r w:rsidR="00A22B65">
        <w:t>eing</w:t>
      </w:r>
      <w:proofErr w:type="spellEnd"/>
      <w:r w:rsidR="00A22B65">
        <w:t xml:space="preserve"> habitually drunk</w:t>
      </w:r>
      <w:r w:rsidR="0081171C">
        <w:t>,</w:t>
      </w:r>
      <w:r w:rsidR="00A22B65">
        <w:t xml:space="preserve">” </w:t>
      </w:r>
      <w:r w:rsidR="00736B38">
        <w:t xml:space="preserve">G.L. c. 112, § 5, 8th para., (e); </w:t>
      </w:r>
      <w:r w:rsidR="00A22B65">
        <w:t>243 C.M.R. § 1.03(5)(a)(5)</w:t>
      </w:r>
      <w:r w:rsidR="0081171C">
        <w:t>, b</w:t>
      </w:r>
      <w:r w:rsidR="002A118F">
        <w:t xml:space="preserve">ut complaint counsel has not </w:t>
      </w:r>
      <w:r w:rsidR="00A51328">
        <w:t>charged</w:t>
      </w:r>
      <w:r w:rsidR="002A118F">
        <w:t xml:space="preserve"> that basis for discipline here.  There also </w:t>
      </w:r>
      <w:r w:rsidR="0081171C">
        <w:t xml:space="preserve">may </w:t>
      </w:r>
      <w:r w:rsidR="002A118F">
        <w:t xml:space="preserve">arise circumstances in which </w:t>
      </w:r>
      <w:r w:rsidR="00F93CAB">
        <w:t>acute</w:t>
      </w:r>
      <w:r w:rsidR="002A118F">
        <w:t xml:space="preserve"> health and safety concerns justify </w:t>
      </w:r>
      <w:r w:rsidR="002A118F" w:rsidRPr="00736B38">
        <w:t xml:space="preserve">the imposition of </w:t>
      </w:r>
      <w:r w:rsidR="00A51328">
        <w:t>restrictive, discipline-</w:t>
      </w:r>
      <w:r>
        <w:t>adjacent</w:t>
      </w:r>
      <w:r w:rsidR="00A51328">
        <w:t xml:space="preserve"> </w:t>
      </w:r>
      <w:r w:rsidR="002A118F">
        <w:t xml:space="preserve">consequences </w:t>
      </w:r>
      <w:r w:rsidR="002A118F" w:rsidRPr="00736B38">
        <w:t xml:space="preserve">on physicians </w:t>
      </w:r>
      <w:r>
        <w:lastRenderedPageBreak/>
        <w:t xml:space="preserve">battling </w:t>
      </w:r>
      <w:r w:rsidR="002A118F" w:rsidRPr="00736B38">
        <w:t xml:space="preserve">with substance abuse.  </w:t>
      </w:r>
      <w:r w:rsidR="002A118F" w:rsidRPr="00A51328">
        <w:rPr>
          <w:i/>
          <w:iCs/>
        </w:rPr>
        <w:t xml:space="preserve">See </w:t>
      </w:r>
      <w:proofErr w:type="gramStart"/>
      <w:r w:rsidR="002A118F" w:rsidRPr="00A51328">
        <w:rPr>
          <w:i/>
          <w:iCs/>
        </w:rPr>
        <w:t>In</w:t>
      </w:r>
      <w:proofErr w:type="gramEnd"/>
      <w:r w:rsidR="002A118F" w:rsidRPr="00A51328">
        <w:rPr>
          <w:i/>
          <w:iCs/>
        </w:rPr>
        <w:t xml:space="preserve"> the Matter of Maitland</w:t>
      </w:r>
      <w:r w:rsidR="002A118F" w:rsidRPr="00736B38">
        <w:t xml:space="preserve">, No. 03-14-DALA (BORIM June 1, 2005).  </w:t>
      </w:r>
      <w:r w:rsidR="00A51328">
        <w:t xml:space="preserve">Complaint counsel has not </w:t>
      </w:r>
      <w:r>
        <w:t>claimed to be pursuing th</w:t>
      </w:r>
      <w:r w:rsidR="0081171C">
        <w:t>at</w:t>
      </w:r>
      <w:r>
        <w:t xml:space="preserve"> </w:t>
      </w:r>
      <w:r w:rsidR="003D6C8F">
        <w:t>avenue</w:t>
      </w:r>
      <w:r>
        <w:t xml:space="preserve"> </w:t>
      </w:r>
      <w:r w:rsidR="00A51328">
        <w:t>either</w:t>
      </w:r>
      <w:r w:rsidR="00500479">
        <w:t>.</w:t>
      </w:r>
      <w:r w:rsidR="00A51328">
        <w:t xml:space="preserve"> </w:t>
      </w:r>
      <w:r w:rsidR="00500479">
        <w:t xml:space="preserve"> The record reflects neither argument nor proof </w:t>
      </w:r>
      <w:r w:rsidR="00A51328">
        <w:t xml:space="preserve">that </w:t>
      </w:r>
      <w:r w:rsidR="005015A1">
        <w:t xml:space="preserve">public health and safety require </w:t>
      </w:r>
      <w:r w:rsidR="00A51328">
        <w:t xml:space="preserve">Dr. Diggins’s </w:t>
      </w:r>
      <w:r w:rsidR="00A06EA7">
        <w:t xml:space="preserve">prompt </w:t>
      </w:r>
      <w:r w:rsidR="003D6C8F">
        <w:t>separation</w:t>
      </w:r>
      <w:r w:rsidR="005015A1">
        <w:t xml:space="preserve"> from his </w:t>
      </w:r>
      <w:r w:rsidR="00A51328">
        <w:t>patient</w:t>
      </w:r>
      <w:r w:rsidR="003D6C8F">
        <w:t xml:space="preserve"> population</w:t>
      </w:r>
      <w:r w:rsidR="00A51328">
        <w:t>.</w:t>
      </w:r>
    </w:p>
    <w:p w14:paraId="50005FDD" w14:textId="1F231C54" w:rsidR="00A51328" w:rsidRDefault="00A51328" w:rsidP="005015A1">
      <w:r>
        <w:t xml:space="preserve">The allegation that Dr. Diggins practiced while </w:t>
      </w:r>
      <w:r w:rsidR="005015A1">
        <w:t>“</w:t>
      </w:r>
      <w:r>
        <w:t>impaired by alcohol</w:t>
      </w:r>
      <w:r w:rsidR="005015A1">
        <w:t>”</w:t>
      </w:r>
      <w:r>
        <w:t xml:space="preserve"> must be </w:t>
      </w:r>
      <w:r w:rsidR="00F93CAB">
        <w:t>construed</w:t>
      </w:r>
      <w:r>
        <w:t xml:space="preserve"> with care given the </w:t>
      </w:r>
      <w:r w:rsidR="005015A1">
        <w:t xml:space="preserve">severity of the stakes.  </w:t>
      </w:r>
      <w:r w:rsidR="00A766D2">
        <w:rPr>
          <w:i/>
          <w:iCs/>
        </w:rPr>
        <w:t xml:space="preserve">Cf. </w:t>
      </w:r>
      <w:r w:rsidRPr="005015A1">
        <w:rPr>
          <w:i/>
          <w:iCs/>
        </w:rPr>
        <w:t>Simon v. State Examiners of Electricians</w:t>
      </w:r>
      <w:r>
        <w:t>, 395 Mass. 238, 249 (1985)</w:t>
      </w:r>
      <w:r w:rsidR="005015A1">
        <w:t xml:space="preserve">.  </w:t>
      </w:r>
      <w:r w:rsidR="00A766D2">
        <w:t>So c</w:t>
      </w:r>
      <w:r w:rsidR="00F93CAB">
        <w:t xml:space="preserve">onstrued, </w:t>
      </w:r>
      <w:r w:rsidR="00A766D2">
        <w:t>th</w:t>
      </w:r>
      <w:r w:rsidR="0081171C">
        <w:t>at</w:t>
      </w:r>
      <w:r w:rsidR="00A766D2">
        <w:t xml:space="preserve"> allegation is not established here</w:t>
      </w:r>
      <w:r w:rsidR="00F93CAB">
        <w:t>.</w:t>
      </w:r>
    </w:p>
    <w:p w14:paraId="5E53528A" w14:textId="2DBBA125" w:rsidR="00541AF7" w:rsidRPr="00541AF7" w:rsidRDefault="00541AF7" w:rsidP="00541AF7">
      <w:pPr>
        <w:pStyle w:val="Heading1"/>
        <w:rPr>
          <w:b w:val="0"/>
          <w:bCs w:val="0"/>
          <w:i/>
          <w:iCs/>
        </w:rPr>
      </w:pPr>
      <w:r>
        <w:rPr>
          <w:b w:val="0"/>
          <w:bCs w:val="0"/>
          <w:i/>
          <w:iCs/>
        </w:rPr>
        <w:t>II</w:t>
      </w:r>
      <w:r w:rsidR="00A766D2">
        <w:rPr>
          <w:b w:val="0"/>
          <w:bCs w:val="0"/>
          <w:i/>
          <w:iCs/>
        </w:rPr>
        <w:t>.  Maintaining Timely Records</w:t>
      </w:r>
    </w:p>
    <w:p w14:paraId="23C9517A" w14:textId="134AE77F" w:rsidR="00AF0A3B" w:rsidRDefault="000F56D0" w:rsidP="00E417E4">
      <w:r>
        <w:t xml:space="preserve">Discipline is </w:t>
      </w:r>
      <w:r w:rsidR="0081171C">
        <w:t xml:space="preserve">also </w:t>
      </w:r>
      <w:r>
        <w:t xml:space="preserve">warranted </w:t>
      </w:r>
      <w:r w:rsidR="00E417E4">
        <w:t>where</w:t>
      </w:r>
      <w:r w:rsidR="001A645D">
        <w:t xml:space="preserve"> a physician has committed</w:t>
      </w:r>
      <w:r w:rsidR="00E417E4">
        <w:t xml:space="preserve"> </w:t>
      </w:r>
      <w:r>
        <w:t>a “[v]</w:t>
      </w:r>
      <w:proofErr w:type="spellStart"/>
      <w:r>
        <w:t>iolation</w:t>
      </w:r>
      <w:proofErr w:type="spellEnd"/>
      <w:r>
        <w:t xml:space="preserve"> of any rule or regulation of the Board.”  243 C.M.R. § 1.03(5)(a)(11).  One such regulation requires physicians to </w:t>
      </w:r>
      <w:r w:rsidRPr="000F56D0">
        <w:t xml:space="preserve">maintain </w:t>
      </w:r>
      <w:r>
        <w:t>medical records that are “</w:t>
      </w:r>
      <w:r w:rsidRPr="000F56D0">
        <w:t>complete, timely, legible, and adequate to enable the licensee or any other health care provider to provide proper diagnosis and treatment</w:t>
      </w:r>
      <w:r>
        <w:t>.”  243 C.M.R. § 2.07(13)(a).</w:t>
      </w:r>
      <w:r w:rsidR="00E417E4">
        <w:t xml:space="preserve">  The board’s case law emphasizes that </w:t>
      </w:r>
      <w:r w:rsidR="00AF0A3B">
        <w:t xml:space="preserve">“accurate </w:t>
      </w:r>
      <w:r w:rsidR="00AF0A3B" w:rsidRPr="00646958">
        <w:rPr>
          <w:i/>
          <w:iCs/>
        </w:rPr>
        <w:t>and current</w:t>
      </w:r>
      <w:r w:rsidR="00AF0A3B">
        <w:t xml:space="preserve"> medical records are absolutely essential in maintaining a patient’s health and welfare.”  </w:t>
      </w:r>
      <w:r w:rsidR="00AF0A3B" w:rsidRPr="00A161C8">
        <w:rPr>
          <w:i/>
          <w:iCs/>
        </w:rPr>
        <w:t>In the Matter of Krokidas</w:t>
      </w:r>
      <w:r w:rsidR="00AF0A3B" w:rsidRPr="00952731">
        <w:t>, No. 88-36-CA (</w:t>
      </w:r>
      <w:r w:rsidR="00AF0A3B">
        <w:t xml:space="preserve">BORIM </w:t>
      </w:r>
      <w:r w:rsidR="00AF0A3B" w:rsidRPr="00952731">
        <w:t>June 7, 1989)</w:t>
      </w:r>
      <w:r w:rsidR="00646958">
        <w:t xml:space="preserve"> (emphasis added)</w:t>
      </w:r>
      <w:r w:rsidR="00AF0A3B">
        <w:t>.</w:t>
      </w:r>
    </w:p>
    <w:p w14:paraId="5EEC4EFD" w14:textId="6E17299B" w:rsidR="001A645D" w:rsidRDefault="00E417E4" w:rsidP="00E417E4">
      <w:r>
        <w:t>Dr. Diggins failed to maintain “timely” and “current” records on multiple occasions</w:t>
      </w:r>
      <w:r w:rsidR="00514C81">
        <w:t>.</w:t>
      </w:r>
      <w:r w:rsidR="001A645D">
        <w:t xml:space="preserve">  </w:t>
      </w:r>
      <w:r w:rsidR="00514C81">
        <w:t>S</w:t>
      </w:r>
      <w:r w:rsidR="001A645D">
        <w:t xml:space="preserve">ome of these </w:t>
      </w:r>
      <w:r w:rsidR="00751776">
        <w:t>failures</w:t>
      </w:r>
      <w:r w:rsidR="00514C81">
        <w:t xml:space="preserve"> </w:t>
      </w:r>
      <w:r>
        <w:t>were sustained and egregious.</w:t>
      </w:r>
      <w:r w:rsidR="00514C81">
        <w:t xml:space="preserve">  The lateness of </w:t>
      </w:r>
      <w:r w:rsidR="00751776">
        <w:t>Dr. Diggins’s</w:t>
      </w:r>
      <w:r w:rsidR="00514C81">
        <w:t xml:space="preserve"> records was bad enough to threaten </w:t>
      </w:r>
      <w:r w:rsidR="00751776">
        <w:t xml:space="preserve">his </w:t>
      </w:r>
      <w:r w:rsidR="00514C81">
        <w:t xml:space="preserve">patients’ </w:t>
      </w:r>
      <w:r w:rsidR="00751776">
        <w:t xml:space="preserve">ability to receive proper </w:t>
      </w:r>
      <w:r w:rsidR="00514C81">
        <w:t>care.</w:t>
      </w:r>
    </w:p>
    <w:p w14:paraId="41F8CB5F" w14:textId="715438C9" w:rsidR="00417CFC" w:rsidRDefault="00E417E4" w:rsidP="00514C81">
      <w:r>
        <w:t xml:space="preserve">To be clear, </w:t>
      </w:r>
      <w:r w:rsidR="001A645D">
        <w:t xml:space="preserve">this conclusion does </w:t>
      </w:r>
      <w:r w:rsidR="001A645D" w:rsidRPr="00A27415">
        <w:t>not</w:t>
      </w:r>
      <w:r w:rsidR="001A645D">
        <w:t xml:space="preserve"> </w:t>
      </w:r>
      <w:r w:rsidR="004935A1">
        <w:t>arise</w:t>
      </w:r>
      <w:r w:rsidR="001A645D">
        <w:t xml:space="preserve"> from a</w:t>
      </w:r>
      <w:r w:rsidR="00B25BC7">
        <w:t>n interpretation</w:t>
      </w:r>
      <w:r w:rsidR="001A645D">
        <w:t xml:space="preserve"> of the pertinent regulations as imposing strict</w:t>
      </w:r>
      <w:r w:rsidR="00750ADD">
        <w:t>, no-fault</w:t>
      </w:r>
      <w:r w:rsidR="001A645D">
        <w:t xml:space="preserve"> liability for late records.  Complaint counsel has not suggested that discipline would be warranted </w:t>
      </w:r>
      <w:r w:rsidR="00514C81">
        <w:t xml:space="preserve">where </w:t>
      </w:r>
      <w:r w:rsidR="001A645D">
        <w:t xml:space="preserve">record-keeping violations result purely from circumstances beyond a physician’s control.  </w:t>
      </w:r>
      <w:r w:rsidR="00751776">
        <w:t>I</w:t>
      </w:r>
      <w:r w:rsidR="00514C81">
        <w:t xml:space="preserve">t is </w:t>
      </w:r>
      <w:r w:rsidR="00751776">
        <w:t xml:space="preserve">indeed </w:t>
      </w:r>
      <w:r w:rsidR="00514C81">
        <w:t>unlikely that 243 C.M.R. § 1.03 could support such a theory</w:t>
      </w:r>
      <w:r w:rsidR="00E311B1">
        <w:t>, in its context and in the light of the board’s mission.</w:t>
      </w:r>
    </w:p>
    <w:p w14:paraId="494691F5" w14:textId="05C99E9E" w:rsidR="001A645D" w:rsidRDefault="00E311B1" w:rsidP="00417CFC">
      <w:r>
        <w:lastRenderedPageBreak/>
        <w:t>Rather</w:t>
      </w:r>
      <w:r w:rsidR="00751776">
        <w:t>, d</w:t>
      </w:r>
      <w:r w:rsidR="00417CFC">
        <w:t xml:space="preserve">iscipline is warranted against Dr. Diggins because of his own </w:t>
      </w:r>
      <w:r w:rsidR="00751776">
        <w:t>culpability</w:t>
      </w:r>
      <w:r>
        <w:t xml:space="preserve">:  </w:t>
      </w:r>
      <w:r w:rsidR="00750ADD">
        <w:t xml:space="preserve">he </w:t>
      </w:r>
      <w:r w:rsidR="00F311FF">
        <w:t xml:space="preserve">bears substantial blame for </w:t>
      </w:r>
      <w:r>
        <w:t>allow</w:t>
      </w:r>
      <w:r w:rsidR="00750ADD">
        <w:t>ing</w:t>
      </w:r>
      <w:r>
        <w:t xml:space="preserve"> </w:t>
      </w:r>
      <w:r w:rsidR="00417CFC">
        <w:t xml:space="preserve">his </w:t>
      </w:r>
      <w:r w:rsidR="00751776">
        <w:t xml:space="preserve">files </w:t>
      </w:r>
      <w:r w:rsidR="00417CFC">
        <w:t xml:space="preserve">to fall repeatedly and badly </w:t>
      </w:r>
      <w:r w:rsidR="00751776">
        <w:t xml:space="preserve">below </w:t>
      </w:r>
      <w:r w:rsidR="00417CFC">
        <w:t xml:space="preserve">the record-keeping </w:t>
      </w:r>
      <w:r w:rsidR="00751776">
        <w:t xml:space="preserve">standards that </w:t>
      </w:r>
      <w:r w:rsidR="00417CFC">
        <w:t xml:space="preserve">his </w:t>
      </w:r>
      <w:r w:rsidR="004935A1">
        <w:t>profession demand</w:t>
      </w:r>
      <w:r w:rsidR="0081171C">
        <w:t>s</w:t>
      </w:r>
      <w:r w:rsidR="00417CFC">
        <w:t xml:space="preserve">.  </w:t>
      </w:r>
      <w:r w:rsidR="00417CFC" w:rsidRPr="00417CFC">
        <w:rPr>
          <w:i/>
          <w:iCs/>
        </w:rPr>
        <w:t>See supra</w:t>
      </w:r>
      <w:r w:rsidR="00417CFC">
        <w:t xml:space="preserve"> p.</w:t>
      </w:r>
      <w:r w:rsidR="00007B3C">
        <w:t xml:space="preserve"> </w:t>
      </w:r>
      <w:r w:rsidR="009B1BF8">
        <w:t>8</w:t>
      </w:r>
      <w:r w:rsidR="00417CFC">
        <w:t>.</w:t>
      </w:r>
    </w:p>
    <w:p w14:paraId="23292CF3" w14:textId="39C306B6" w:rsidR="00541AF7" w:rsidRPr="00541AF7" w:rsidRDefault="00541AF7" w:rsidP="00541AF7">
      <w:pPr>
        <w:pStyle w:val="Heading1"/>
        <w:rPr>
          <w:b w:val="0"/>
          <w:bCs w:val="0"/>
          <w:i/>
          <w:iCs/>
        </w:rPr>
      </w:pPr>
      <w:r w:rsidRPr="00541AF7">
        <w:rPr>
          <w:b w:val="0"/>
          <w:bCs w:val="0"/>
          <w:i/>
          <w:iCs/>
        </w:rPr>
        <w:t>III</w:t>
      </w:r>
      <w:r w:rsidR="00A766D2">
        <w:rPr>
          <w:b w:val="0"/>
          <w:bCs w:val="0"/>
          <w:i/>
          <w:iCs/>
        </w:rPr>
        <w:t xml:space="preserve">.  </w:t>
      </w:r>
      <w:r w:rsidR="003D6C8F">
        <w:rPr>
          <w:b w:val="0"/>
          <w:bCs w:val="0"/>
          <w:i/>
          <w:iCs/>
        </w:rPr>
        <w:t>Undermining t</w:t>
      </w:r>
      <w:r w:rsidR="00A766D2">
        <w:rPr>
          <w:b w:val="0"/>
          <w:bCs w:val="0"/>
          <w:i/>
          <w:iCs/>
        </w:rPr>
        <w:t>he Integrity of the Profession</w:t>
      </w:r>
    </w:p>
    <w:p w14:paraId="242EC9C4" w14:textId="5E9150C0" w:rsidR="00AF0A3B" w:rsidRPr="00417CFC" w:rsidRDefault="00417CFC" w:rsidP="00417CFC">
      <w:r>
        <w:t xml:space="preserve">Complaint counsel’s final </w:t>
      </w:r>
      <w:r w:rsidR="00E311B1">
        <w:t>alleged predicate</w:t>
      </w:r>
      <w:r>
        <w:t xml:space="preserve"> for disciplining Dr. Diggins is that he engaged in “</w:t>
      </w:r>
      <w:r w:rsidRPr="00417CFC">
        <w:t>conduct undermining the public</w:t>
      </w:r>
      <w:r>
        <w:t>’</w:t>
      </w:r>
      <w:r w:rsidRPr="00417CFC">
        <w:t>s confidence in the integrity of the medical profession</w:t>
      </w:r>
      <w:r>
        <w:t xml:space="preserve">.”  </w:t>
      </w:r>
      <w:r w:rsidR="00AF0A3B" w:rsidRPr="00A25C3A">
        <w:rPr>
          <w:i/>
          <w:iCs/>
        </w:rPr>
        <w:t>Raymond v. Board of Registration in Medicine</w:t>
      </w:r>
      <w:r w:rsidR="00AF0A3B">
        <w:t>, 387 Mass. 708, 713 (1982).</w:t>
      </w:r>
      <w:r>
        <w:t xml:space="preserve">  The </w:t>
      </w:r>
      <w:r w:rsidR="00751776">
        <w:t xml:space="preserve">board adopted this </w:t>
      </w:r>
      <w:r w:rsidR="00E311B1">
        <w:t xml:space="preserve">theory of discipline not through regulations but </w:t>
      </w:r>
      <w:r>
        <w:t xml:space="preserve">“by adjudication,” </w:t>
      </w:r>
      <w:r w:rsidR="005260B4">
        <w:t>an approach that</w:t>
      </w:r>
      <w:r>
        <w:t xml:space="preserve"> the Supreme Judicial Court</w:t>
      </w:r>
      <w:r w:rsidR="005260B4">
        <w:t xml:space="preserve"> has ratified</w:t>
      </w:r>
      <w:r>
        <w:t xml:space="preserve">.  </w:t>
      </w:r>
      <w:r w:rsidRPr="0036537E">
        <w:rPr>
          <w:i/>
          <w:iCs/>
        </w:rPr>
        <w:t>Id.</w:t>
      </w:r>
    </w:p>
    <w:p w14:paraId="7676E746" w14:textId="157179F3" w:rsidR="00753FBB" w:rsidRDefault="00A9608A" w:rsidP="00753FBB">
      <w:r>
        <w:t xml:space="preserve">The borderlines of the conduct </w:t>
      </w:r>
      <w:r w:rsidR="004935A1">
        <w:t>viewed as</w:t>
      </w:r>
      <w:r>
        <w:t xml:space="preserve"> undermin</w:t>
      </w:r>
      <w:r w:rsidR="004935A1">
        <w:t>ing</w:t>
      </w:r>
      <w:r>
        <w:t xml:space="preserve"> the public’s confidence</w:t>
      </w:r>
      <w:r w:rsidR="00E311B1">
        <w:t xml:space="preserve"> in the profession</w:t>
      </w:r>
      <w:r w:rsidR="00AA64B1">
        <w:t xml:space="preserve"> </w:t>
      </w:r>
      <w:r w:rsidR="005260B4">
        <w:t>are not crystal clear</w:t>
      </w:r>
      <w:r>
        <w:t xml:space="preserve">.  </w:t>
      </w:r>
      <w:r w:rsidR="00AF6066" w:rsidRPr="00AF6066">
        <w:rPr>
          <w:i/>
          <w:iCs/>
        </w:rPr>
        <w:t>In the Matter of Pedro</w:t>
      </w:r>
      <w:r w:rsidR="00AF6066">
        <w:t>, No. 2018-54 (Dec. 16, 2021).</w:t>
      </w:r>
      <w:r w:rsidR="00753FBB">
        <w:t xml:space="preserve">  </w:t>
      </w:r>
      <w:r>
        <w:t>But the board’s case law establish</w:t>
      </w:r>
      <w:r w:rsidR="00E02A65">
        <w:t>es</w:t>
      </w:r>
      <w:r>
        <w:t xml:space="preserve"> </w:t>
      </w:r>
      <w:r w:rsidR="005260B4">
        <w:t xml:space="preserve">firmly </w:t>
      </w:r>
      <w:r>
        <w:t xml:space="preserve">that </w:t>
      </w:r>
      <w:r w:rsidR="00AA64B1">
        <w:t xml:space="preserve">this category encompasses </w:t>
      </w:r>
      <w:r>
        <w:t>“criminal conduct,</w:t>
      </w:r>
      <w:r w:rsidR="00AA64B1">
        <w:t>”</w:t>
      </w:r>
      <w:r>
        <w:t xml:space="preserve"> even</w:t>
      </w:r>
      <w:r w:rsidR="00E311B1">
        <w:t xml:space="preserve"> when</w:t>
      </w:r>
      <w:r>
        <w:t xml:space="preserve"> unaccompanied by a conviction.  </w:t>
      </w:r>
      <w:r w:rsidRPr="00EE2407">
        <w:rPr>
          <w:i/>
          <w:iCs/>
        </w:rPr>
        <w:t xml:space="preserve">In the Matter of </w:t>
      </w:r>
      <w:proofErr w:type="spellStart"/>
      <w:r w:rsidRPr="00EE2407">
        <w:rPr>
          <w:i/>
          <w:iCs/>
        </w:rPr>
        <w:t>Barrocas</w:t>
      </w:r>
      <w:proofErr w:type="spellEnd"/>
      <w:r>
        <w:t xml:space="preserve">, No. 2020-27, at 4-5 (BORIM Dec. 17, 2020); </w:t>
      </w:r>
      <w:r w:rsidR="00E417E4" w:rsidRPr="00E417E4">
        <w:rPr>
          <w:i/>
          <w:iCs/>
        </w:rPr>
        <w:t xml:space="preserve">In the Matter of </w:t>
      </w:r>
      <w:proofErr w:type="spellStart"/>
      <w:r w:rsidR="00E417E4" w:rsidRPr="00E417E4">
        <w:rPr>
          <w:i/>
          <w:iCs/>
        </w:rPr>
        <w:t>Habener</w:t>
      </w:r>
      <w:proofErr w:type="spellEnd"/>
      <w:r w:rsidR="00E417E4">
        <w:t>, No. 2008-055, at 2 (BORIM Mar. 17, 2010)</w:t>
      </w:r>
      <w:r>
        <w:t>.</w:t>
      </w:r>
      <w:r w:rsidR="00AA64B1">
        <w:t xml:space="preserve">  </w:t>
      </w:r>
      <w:r w:rsidR="00753FBB">
        <w:t xml:space="preserve">The </w:t>
      </w:r>
      <w:r w:rsidR="008A4D38">
        <w:t>attitude</w:t>
      </w:r>
      <w:r w:rsidR="00753FBB">
        <w:t xml:space="preserve"> </w:t>
      </w:r>
      <w:r w:rsidR="00852186">
        <w:t>driv</w:t>
      </w:r>
      <w:r w:rsidR="009A2BCB">
        <w:t>ing</w:t>
      </w:r>
      <w:r w:rsidR="00753FBB">
        <w:t xml:space="preserve"> this approach is that </w:t>
      </w:r>
      <w:r w:rsidR="00753FBB" w:rsidRPr="00A913A4">
        <w:rPr>
          <w:i/>
          <w:iCs/>
        </w:rPr>
        <w:t>any</w:t>
      </w:r>
      <w:r w:rsidR="00753FBB">
        <w:t xml:space="preserve"> criminal </w:t>
      </w:r>
      <w:r w:rsidR="00A913A4">
        <w:t>behavior</w:t>
      </w:r>
      <w:r w:rsidR="00753FBB">
        <w:t xml:space="preserve"> is “antithetical to a commitment to preserve life, alleviate suffering, and restore health.”  </w:t>
      </w:r>
      <w:r w:rsidR="00753FBB" w:rsidRPr="00753FBB">
        <w:rPr>
          <w:i/>
          <w:iCs/>
        </w:rPr>
        <w:t>Raymond</w:t>
      </w:r>
      <w:r w:rsidR="00753FBB">
        <w:t xml:space="preserve">, 387 Mass. at 712.  </w:t>
      </w:r>
      <w:r w:rsidR="00753FBB" w:rsidRPr="00753FBB">
        <w:rPr>
          <w:i/>
          <w:iCs/>
        </w:rPr>
        <w:t>See</w:t>
      </w:r>
      <w:r w:rsidR="00753FBB">
        <w:t xml:space="preserve"> </w:t>
      </w:r>
      <w:proofErr w:type="gramStart"/>
      <w:r w:rsidR="00753FBB" w:rsidRPr="001011CC">
        <w:rPr>
          <w:i/>
          <w:iCs/>
        </w:rPr>
        <w:t>In</w:t>
      </w:r>
      <w:proofErr w:type="gramEnd"/>
      <w:r w:rsidR="00753FBB" w:rsidRPr="001011CC">
        <w:rPr>
          <w:i/>
          <w:iCs/>
        </w:rPr>
        <w:t xml:space="preserve"> the Matter of </w:t>
      </w:r>
      <w:proofErr w:type="spellStart"/>
      <w:r w:rsidR="00753FBB" w:rsidRPr="001011CC">
        <w:rPr>
          <w:i/>
          <w:iCs/>
        </w:rPr>
        <w:t>Tamaren</w:t>
      </w:r>
      <w:proofErr w:type="spellEnd"/>
      <w:r w:rsidR="00753FBB">
        <w:t xml:space="preserve">, No. 2008-10, slip op. at 3 (BORIM Nov. 4, 2009); </w:t>
      </w:r>
      <w:r w:rsidR="00753FBB" w:rsidRPr="001011CC">
        <w:rPr>
          <w:i/>
          <w:iCs/>
        </w:rPr>
        <w:t>In the Matter of Romano</w:t>
      </w:r>
      <w:r w:rsidR="00753FBB">
        <w:t xml:space="preserve">, No. 2005-26, slip op. at 1 (BORIM Apr. 12, 2006); </w:t>
      </w:r>
      <w:r w:rsidR="00753FBB" w:rsidRPr="001011CC">
        <w:rPr>
          <w:i/>
          <w:iCs/>
        </w:rPr>
        <w:t xml:space="preserve">In the Matter of </w:t>
      </w:r>
      <w:proofErr w:type="spellStart"/>
      <w:r w:rsidR="00753FBB" w:rsidRPr="001011CC">
        <w:rPr>
          <w:i/>
          <w:iCs/>
        </w:rPr>
        <w:t>Kobrin</w:t>
      </w:r>
      <w:proofErr w:type="spellEnd"/>
      <w:r w:rsidR="00753FBB">
        <w:t xml:space="preserve">, No. 03-27-DALA, slip op. at 1-2 (BORIM Nov. 17, 2004), </w:t>
      </w:r>
      <w:r w:rsidR="00753FBB" w:rsidRPr="001011CC">
        <w:rPr>
          <w:i/>
          <w:iCs/>
        </w:rPr>
        <w:t>aff’d</w:t>
      </w:r>
      <w:r w:rsidR="00753FBB">
        <w:t>, 444 Mass. 837 (2005).</w:t>
      </w:r>
    </w:p>
    <w:p w14:paraId="4ED21520" w14:textId="5E833A53" w:rsidR="00E02A65" w:rsidRDefault="00E02A65" w:rsidP="00753FBB">
      <w:r>
        <w:t>Here the facts establish that, on</w:t>
      </w:r>
      <w:r w:rsidRPr="00E02A65">
        <w:t xml:space="preserve"> </w:t>
      </w:r>
      <w:r>
        <w:t>October 6, 2019, Dr. Diggins operated a motor vehicle while under the influence of alcohol.  Th</w:t>
      </w:r>
      <w:r w:rsidR="00FF66FA">
        <w:t xml:space="preserve">at </w:t>
      </w:r>
      <w:r w:rsidR="00AA64B1">
        <w:t>behavior</w:t>
      </w:r>
      <w:r>
        <w:t xml:space="preserve"> was a </w:t>
      </w:r>
      <w:r w:rsidR="009A2BCB">
        <w:t xml:space="preserve">dangerous </w:t>
      </w:r>
      <w:r>
        <w:t>crime</w:t>
      </w:r>
      <w:r w:rsidR="009A2BCB">
        <w:t>.</w:t>
      </w:r>
      <w:r>
        <w:t xml:space="preserve"> </w:t>
      </w:r>
      <w:r w:rsidR="009A2BCB">
        <w:t xml:space="preserve"> </w:t>
      </w:r>
      <w:r>
        <w:t xml:space="preserve">G.L. c. 90, § 24.  With or without formal guilty verdicts, OUIs have in the past </w:t>
      </w:r>
      <w:r w:rsidR="000B6D27">
        <w:t>provoked</w:t>
      </w:r>
      <w:r w:rsidR="00FF66FA">
        <w:t xml:space="preserve"> </w:t>
      </w:r>
      <w:r>
        <w:t xml:space="preserve">board discipline.  </w:t>
      </w:r>
      <w:r w:rsidR="00AA64B1" w:rsidRPr="00AA64B1">
        <w:rPr>
          <w:i/>
          <w:iCs/>
        </w:rPr>
        <w:t>E.g.</w:t>
      </w:r>
      <w:r w:rsidR="00AA64B1">
        <w:t xml:space="preserve">, </w:t>
      </w:r>
      <w:r w:rsidR="00C87600" w:rsidRPr="00E02A65">
        <w:rPr>
          <w:i/>
          <w:iCs/>
        </w:rPr>
        <w:t xml:space="preserve">In </w:t>
      </w:r>
      <w:r w:rsidR="00C87600" w:rsidRPr="00E02A65">
        <w:rPr>
          <w:i/>
          <w:iCs/>
        </w:rPr>
        <w:lastRenderedPageBreak/>
        <w:t>the Matter of Marotta</w:t>
      </w:r>
      <w:r w:rsidR="00C87600">
        <w:t>, No. 2018-35 (BORIM Aug. 9, 2018)</w:t>
      </w:r>
      <w:r>
        <w:t>.</w:t>
      </w:r>
      <w:r w:rsidR="00127876">
        <w:t xml:space="preserve">  Discipline likewise may be imposed here.</w:t>
      </w:r>
      <w:r w:rsidR="00127876">
        <w:rPr>
          <w:rStyle w:val="FootnoteReference"/>
        </w:rPr>
        <w:footnoteReference w:id="7"/>
      </w:r>
    </w:p>
    <w:p w14:paraId="042E6EAC" w14:textId="765F288E" w:rsidR="00A913A4" w:rsidRDefault="00A913A4" w:rsidP="00127876">
      <w:r>
        <w:t xml:space="preserve">Dr. Diggins’s primary rejoinder is that the imposition of discipline on him would violate a constitutional ban on vague laws.  </w:t>
      </w:r>
      <w:r w:rsidR="008D4A8A">
        <w:t xml:space="preserve">The force of this argument is diminished by the </w:t>
      </w:r>
      <w:r w:rsidR="000B6D27">
        <w:t xml:space="preserve">board’s recurrent </w:t>
      </w:r>
      <w:r w:rsidR="008D4A8A">
        <w:t xml:space="preserve">holdings that all criminal conduct is sanctionable.  </w:t>
      </w:r>
      <w:r w:rsidR="008D4A8A" w:rsidRPr="008D4A8A">
        <w:rPr>
          <w:i/>
          <w:iCs/>
        </w:rPr>
        <w:t>Cf. Arthurs v. Bd. of Registration in Med.</w:t>
      </w:r>
      <w:r w:rsidR="008D4A8A">
        <w:t xml:space="preserve">, 383 Mass. 299, 313-14 (1981).  In any event, </w:t>
      </w:r>
      <w:r w:rsidR="00EF5EC1">
        <w:t>in this tribunal, those holdings are binding.</w:t>
      </w:r>
    </w:p>
    <w:p w14:paraId="3D3C5586" w14:textId="7210CBC3" w:rsidR="000341E2" w:rsidRPr="00E311B1" w:rsidRDefault="00664472" w:rsidP="000341E2">
      <w:pPr>
        <w:pStyle w:val="Heading1"/>
      </w:pPr>
      <w:r>
        <w:t>Conclusion</w:t>
      </w:r>
    </w:p>
    <w:p w14:paraId="036E7A54" w14:textId="77777777" w:rsidR="00127876" w:rsidRDefault="00AF0A3B" w:rsidP="005260B4">
      <w:r>
        <w:t>The board</w:t>
      </w:r>
      <w:r w:rsidR="004E480E">
        <w:t xml:space="preserve"> </w:t>
      </w:r>
      <w:r w:rsidR="00664472">
        <w:t xml:space="preserve">may </w:t>
      </w:r>
      <w:r w:rsidR="005260B4">
        <w:t xml:space="preserve">impose </w:t>
      </w:r>
      <w:r w:rsidR="00664472">
        <w:t>disciplin</w:t>
      </w:r>
      <w:r w:rsidR="005260B4">
        <w:t>ary measures on</w:t>
      </w:r>
      <w:r w:rsidR="00664472">
        <w:t xml:space="preserve"> Dr. Diggins based on his series of failures to maintain timely medical records and his </w:t>
      </w:r>
      <w:r w:rsidR="005260B4">
        <w:t>criminal conduct</w:t>
      </w:r>
      <w:r w:rsidR="00127876">
        <w:t xml:space="preserve"> of October 6, 2019</w:t>
      </w:r>
      <w:r w:rsidR="005260B4">
        <w:t>.  The appropriate disposition is committed to the board’s sound discretion.</w:t>
      </w:r>
    </w:p>
    <w:p w14:paraId="27B24FB8" w14:textId="19F1A062" w:rsidR="00664472" w:rsidRDefault="00753FBB" w:rsidP="005260B4">
      <w:r>
        <w:t>It is obvious that any curtailment of Dr. Diggins’s ability to treat patients would impose collateral pain both on those patients and on Dr. Diggins’s employing institutions.  The board is w</w:t>
      </w:r>
      <w:r w:rsidR="00127876">
        <w:t>e</w:t>
      </w:r>
      <w:r>
        <w:t>ll</w:t>
      </w:r>
      <w:r w:rsidR="00127876">
        <w:t xml:space="preserve"> </w:t>
      </w:r>
      <w:r>
        <w:t xml:space="preserve">equipped to </w:t>
      </w:r>
      <w:r w:rsidR="008A4D38">
        <w:t xml:space="preserve">consider </w:t>
      </w:r>
      <w:r>
        <w:t>those consequences in its disposition.</w:t>
      </w:r>
    </w:p>
    <w:p w14:paraId="40A7DA61" w14:textId="2E1781A5" w:rsidR="00FE3340" w:rsidRDefault="00417CFC" w:rsidP="00D40599">
      <w:pPr>
        <w:pStyle w:val="PlainText1"/>
        <w:keepNext/>
        <w:ind w:left="4320"/>
      </w:pPr>
      <w:r>
        <w:br/>
      </w:r>
      <w:r w:rsidR="00FE3340">
        <w:t>Division of Administrative Law Appeals</w:t>
      </w:r>
    </w:p>
    <w:p w14:paraId="02718905" w14:textId="77777777" w:rsidR="00FE3340" w:rsidRDefault="00FE3340" w:rsidP="00D40599">
      <w:pPr>
        <w:pStyle w:val="PlainText1"/>
        <w:keepNext/>
        <w:ind w:left="4320"/>
      </w:pPr>
    </w:p>
    <w:p w14:paraId="58A226C2" w14:textId="1E1AAA18" w:rsidR="001944A3" w:rsidRDefault="001D735B" w:rsidP="00D40599">
      <w:pPr>
        <w:pStyle w:val="PlainText1"/>
        <w:keepNext/>
        <w:ind w:left="4320"/>
      </w:pPr>
      <w:r>
        <w:t xml:space="preserve">Signed by </w:t>
      </w:r>
      <w:proofErr w:type="spellStart"/>
      <w:r>
        <w:t>Yakov</w:t>
      </w:r>
      <w:proofErr w:type="spellEnd"/>
      <w:r>
        <w:t xml:space="preserve"> Malkiel</w:t>
      </w:r>
      <w:bookmarkStart w:id="0" w:name="_GoBack"/>
      <w:bookmarkEnd w:id="0"/>
    </w:p>
    <w:p w14:paraId="5FB5C52E" w14:textId="77777777" w:rsidR="00FE3340" w:rsidRDefault="00FE3340" w:rsidP="00D40599">
      <w:pPr>
        <w:pStyle w:val="PlainText1"/>
        <w:keepNext/>
        <w:ind w:left="4320"/>
      </w:pPr>
      <w:r>
        <w:t>Yakov Malkiel</w:t>
      </w:r>
    </w:p>
    <w:p w14:paraId="5B5A6B59" w14:textId="77777777" w:rsidR="00FE3340" w:rsidRPr="00E22152" w:rsidRDefault="00FE3340" w:rsidP="0072561C">
      <w:pPr>
        <w:pStyle w:val="PlainText1"/>
        <w:keepNext/>
        <w:ind w:left="4320"/>
      </w:pPr>
      <w:r>
        <w:t>Administrative Magistrate</w:t>
      </w:r>
    </w:p>
    <w:sectPr w:rsidR="00FE3340" w:rsidRPr="00E22152" w:rsidSect="00A64A4D">
      <w:headerReference w:type="default"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3DDFB" w14:textId="77777777" w:rsidR="00795674" w:rsidRDefault="00795674" w:rsidP="00E22152">
      <w:r>
        <w:separator/>
      </w:r>
    </w:p>
  </w:endnote>
  <w:endnote w:type="continuationSeparator" w:id="0">
    <w:p w14:paraId="35AEE9D4" w14:textId="77777777" w:rsidR="00795674" w:rsidRDefault="00795674" w:rsidP="00E2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7738" w14:textId="77777777" w:rsidR="00A64A4D" w:rsidRPr="00A64A4D" w:rsidRDefault="001D735B" w:rsidP="008C1F51">
    <w:pPr>
      <w:pStyle w:val="PlainText1"/>
      <w:jc w:val="center"/>
    </w:pPr>
    <w:sdt>
      <w:sdtPr>
        <w:id w:val="-868615135"/>
        <w:docPartObj>
          <w:docPartGallery w:val="Page Numbers (Bottom of Page)"/>
          <w:docPartUnique/>
        </w:docPartObj>
      </w:sdtPr>
      <w:sdtEndPr>
        <w:rPr>
          <w:noProof/>
        </w:rPr>
      </w:sdtEndPr>
      <w:sdtContent>
        <w:r w:rsidR="00F3449D" w:rsidRPr="00A64A4D">
          <w:fldChar w:fldCharType="begin"/>
        </w:r>
        <w:r w:rsidR="00F3449D" w:rsidRPr="00A64A4D">
          <w:instrText xml:space="preserve"> PAGE   \* MERGEFORMAT </w:instrText>
        </w:r>
        <w:r w:rsidR="00F3449D" w:rsidRPr="00A64A4D">
          <w:fldChar w:fldCharType="separate"/>
        </w:r>
        <w:r w:rsidR="00F3449D">
          <w:t>2</w:t>
        </w:r>
        <w:r w:rsidR="00F3449D" w:rsidRPr="00A64A4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F8113" w14:textId="77777777" w:rsidR="00795674" w:rsidRDefault="00795674" w:rsidP="00E22152">
      <w:r>
        <w:separator/>
      </w:r>
    </w:p>
  </w:footnote>
  <w:footnote w:type="continuationSeparator" w:id="0">
    <w:p w14:paraId="3C191127" w14:textId="77777777" w:rsidR="00795674" w:rsidRDefault="00795674" w:rsidP="00E22152">
      <w:r>
        <w:continuationSeparator/>
      </w:r>
    </w:p>
  </w:footnote>
  <w:footnote w:id="1">
    <w:p w14:paraId="72FB672F" w14:textId="1FCC97CE" w:rsidR="003C22C8" w:rsidRDefault="003C22C8" w:rsidP="00D032AF">
      <w:pPr>
        <w:pStyle w:val="FootnoteText"/>
      </w:pPr>
      <w:r>
        <w:rPr>
          <w:rStyle w:val="FootnoteReference"/>
        </w:rPr>
        <w:footnoteRef/>
      </w:r>
      <w:r>
        <w:t xml:space="preserve"> The parties jointly moved to impound Exhibit 13, a detailed medical record, pursuant to G.L. c. 4, § 7, 26th para., (c).  </w:t>
      </w:r>
      <w:r w:rsidR="00D032AF">
        <w:t xml:space="preserve">Several documents referring to portions of Exhibit 13 are being unsealed in a </w:t>
      </w:r>
      <w:r>
        <w:t>separate order.</w:t>
      </w:r>
    </w:p>
  </w:footnote>
  <w:footnote w:id="2">
    <w:p w14:paraId="56269E55" w14:textId="3BFC8D36" w:rsidR="009E00B3" w:rsidRDefault="009E00B3">
      <w:pPr>
        <w:pStyle w:val="FootnoteText"/>
      </w:pPr>
      <w:r>
        <w:rPr>
          <w:rStyle w:val="FootnoteReference"/>
        </w:rPr>
        <w:footnoteRef/>
      </w:r>
      <w:r>
        <w:t xml:space="preserve"> Citations to the </w:t>
      </w:r>
      <w:r w:rsidR="007B7E64">
        <w:t xml:space="preserve">transcript </w:t>
      </w:r>
      <w:r>
        <w:t>are by witness, volume, and page.</w:t>
      </w:r>
    </w:p>
  </w:footnote>
  <w:footnote w:id="3">
    <w:p w14:paraId="42EBCC76" w14:textId="44644642" w:rsidR="009F391C" w:rsidRDefault="009F391C">
      <w:pPr>
        <w:pStyle w:val="FootnoteText"/>
      </w:pPr>
      <w:r>
        <w:rPr>
          <w:rStyle w:val="FootnoteReference"/>
        </w:rPr>
        <w:footnoteRef/>
      </w:r>
      <w:r>
        <w:t xml:space="preserve"> This paragraph and the </w:t>
      </w:r>
      <w:r w:rsidR="009B1BF8">
        <w:t>three</w:t>
      </w:r>
      <w:r>
        <w:t xml:space="preserve"> that follow address this key disagreement by way of a less conclusory, more evaluative analysis of the evidence.</w:t>
      </w:r>
    </w:p>
  </w:footnote>
  <w:footnote w:id="4">
    <w:p w14:paraId="15BB86B0" w14:textId="57784A8A" w:rsidR="00762389" w:rsidRDefault="00762389">
      <w:pPr>
        <w:pStyle w:val="FootnoteText"/>
      </w:pPr>
      <w:r>
        <w:rPr>
          <w:rStyle w:val="FootnoteReference"/>
        </w:rPr>
        <w:footnoteRef/>
      </w:r>
      <w:r>
        <w:t xml:space="preserve"> An order issued on December 14, 2021 denied Dr. Diggins’s motion to withdraw that stipulation, essentially on the grounds that he had not shown the stipulation to be “improvident or not conducive to justice.”  </w:t>
      </w:r>
      <w:r w:rsidRPr="007168C1">
        <w:rPr>
          <w:i/>
          <w:iCs/>
        </w:rPr>
        <w:t xml:space="preserve">Commonwealth v. </w:t>
      </w:r>
      <w:proofErr w:type="spellStart"/>
      <w:r w:rsidRPr="007168C1">
        <w:rPr>
          <w:i/>
          <w:iCs/>
        </w:rPr>
        <w:t>Buswell</w:t>
      </w:r>
      <w:proofErr w:type="spellEnd"/>
      <w:r>
        <w:t>, 468 Mass. 92, 104 (2014).</w:t>
      </w:r>
    </w:p>
  </w:footnote>
  <w:footnote w:id="5">
    <w:p w14:paraId="6FC2BAAC" w14:textId="6D201F35" w:rsidR="0049797C" w:rsidRDefault="0049797C" w:rsidP="00765053">
      <w:pPr>
        <w:pStyle w:val="FootnoteText"/>
      </w:pPr>
      <w:r>
        <w:rPr>
          <w:rStyle w:val="FootnoteReference"/>
        </w:rPr>
        <w:footnoteRef/>
      </w:r>
      <w:r>
        <w:t xml:space="preserve"> An order issued on August 24, 2021 </w:t>
      </w:r>
      <w:r w:rsidR="00053599">
        <w:t xml:space="preserve">invited Dr. Diggins to make efforts to identify any authors of the Bradford report whom he wished to </w:t>
      </w:r>
      <w:proofErr w:type="gramStart"/>
      <w:r w:rsidR="00053599">
        <w:t>cross-examin</w:t>
      </w:r>
      <w:r w:rsidR="00765053">
        <w:t>e</w:t>
      </w:r>
      <w:r w:rsidR="00053599">
        <w:t>, and</w:t>
      </w:r>
      <w:proofErr w:type="gramEnd"/>
      <w:r w:rsidR="00053599">
        <w:t xml:space="preserve"> </w:t>
      </w:r>
      <w:r w:rsidR="00765053">
        <w:t xml:space="preserve">required the board to provide </w:t>
      </w:r>
      <w:r>
        <w:t>reasonable cooperation</w:t>
      </w:r>
      <w:r w:rsidR="00765053">
        <w:t xml:space="preserve"> with any such efforts.</w:t>
      </w:r>
    </w:p>
  </w:footnote>
  <w:footnote w:id="6">
    <w:p w14:paraId="076AFCAA" w14:textId="1276B405" w:rsidR="00C27519" w:rsidRDefault="00C27519" w:rsidP="00C27519">
      <w:pPr>
        <w:pStyle w:val="FootnoteText"/>
      </w:pPr>
      <w:r>
        <w:rPr>
          <w:rStyle w:val="FootnoteReference"/>
        </w:rPr>
        <w:footnoteRef/>
      </w:r>
      <w:r>
        <w:t xml:space="preserve"> Dr. Diggins preserved a colorable objection to th</w:t>
      </w:r>
      <w:r w:rsidR="0018245A">
        <w:t>at</w:t>
      </w:r>
      <w:r>
        <w:t xml:space="preserve"> portion of Dr. Altamirano’s testimony.</w:t>
      </w:r>
      <w:r w:rsidR="00C97514">
        <w:t xml:space="preserve">  </w:t>
      </w:r>
      <w:r w:rsidR="00DA38FF">
        <w:t>(</w:t>
      </w:r>
      <w:r w:rsidR="00C97514">
        <w:t xml:space="preserve">Altamirano </w:t>
      </w:r>
      <w:r w:rsidR="00DA38FF">
        <w:t>1</w:t>
      </w:r>
      <w:r w:rsidR="004E5616">
        <w:t>/</w:t>
      </w:r>
      <w:r w:rsidR="00DA38FF">
        <w:t>163-66.)</w:t>
      </w:r>
    </w:p>
  </w:footnote>
  <w:footnote w:id="7">
    <w:p w14:paraId="1EE3184D" w14:textId="77777777" w:rsidR="00127876" w:rsidRDefault="00127876" w:rsidP="00127876">
      <w:pPr>
        <w:pStyle w:val="FootnoteText"/>
      </w:pPr>
      <w:r>
        <w:rPr>
          <w:rStyle w:val="FootnoteReference"/>
        </w:rPr>
        <w:footnoteRef/>
      </w:r>
      <w:r>
        <w:t xml:space="preserve"> Complaint counsel has not suggested that a physician’s alcohol use disorder could itself </w:t>
      </w:r>
      <w:r w:rsidRPr="00417CFC">
        <w:t>undermin</w:t>
      </w:r>
      <w:r>
        <w:t>e</w:t>
      </w:r>
      <w:r w:rsidRPr="00417CFC">
        <w:t xml:space="preserve"> the public</w:t>
      </w:r>
      <w:r>
        <w:t>’</w:t>
      </w:r>
      <w:r w:rsidRPr="00417CFC">
        <w:t>s confidence in the integrity of the profession</w:t>
      </w:r>
      <w:r>
        <w:t xml:space="preserve">.  </w:t>
      </w:r>
      <w:r w:rsidRPr="0070413B">
        <w:rPr>
          <w:i/>
          <w:iCs/>
        </w:rPr>
        <w:t>See</w:t>
      </w:r>
      <w:r>
        <w:t xml:space="preserve"> </w:t>
      </w:r>
      <w:r w:rsidRPr="0070413B">
        <w:t xml:space="preserve">U.S. Dep’t of Health and Human Servs., </w:t>
      </w:r>
      <w:r w:rsidRPr="0070413B">
        <w:rPr>
          <w:i/>
          <w:iCs/>
        </w:rPr>
        <w:t>Facing Addiction in America</w:t>
      </w:r>
      <w:r w:rsidRPr="0070413B">
        <w:t xml:space="preserve"> </w:t>
      </w:r>
      <w:r>
        <w:t>2-1 (2016) (“[S]</w:t>
      </w:r>
      <w:proofErr w:type="spellStart"/>
      <w:r w:rsidRPr="0070413B">
        <w:t>evere</w:t>
      </w:r>
      <w:proofErr w:type="spellEnd"/>
      <w:r w:rsidRPr="0070413B">
        <w:t xml:space="preserve"> substance use </w:t>
      </w:r>
      <w:proofErr w:type="gramStart"/>
      <w:r w:rsidRPr="0070413B">
        <w:t>disorders</w:t>
      </w:r>
      <w:r>
        <w:t xml:space="preserve"> .</w:t>
      </w:r>
      <w:proofErr w:type="gramEnd"/>
      <w:r>
        <w:t xml:space="preserve"> . . </w:t>
      </w:r>
      <w:r w:rsidRPr="0070413B">
        <w:t xml:space="preserve">were once viewed largely as a moral failing or character </w:t>
      </w:r>
      <w:proofErr w:type="gramStart"/>
      <w:r w:rsidRPr="0070413B">
        <w:t>flaw, but</w:t>
      </w:r>
      <w:proofErr w:type="gramEnd"/>
      <w:r w:rsidRPr="0070413B">
        <w:t xml:space="preserve"> are now understood to be chronic illnesses characterized by clinically significant impairments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F3449D" w14:paraId="559A926F" w14:textId="77777777" w:rsidTr="00F3449D">
      <w:tc>
        <w:tcPr>
          <w:tcW w:w="4675" w:type="dxa"/>
        </w:tcPr>
        <w:p w14:paraId="59CB38E6" w14:textId="154DB668" w:rsidR="00F3449D" w:rsidRPr="0092449B" w:rsidRDefault="00AB287C" w:rsidP="00F3449D">
          <w:pPr>
            <w:pStyle w:val="PlainText1"/>
            <w:rPr>
              <w:i/>
              <w:iCs/>
            </w:rPr>
          </w:pPr>
          <w:r w:rsidRPr="00AB287C">
            <w:rPr>
              <w:i/>
              <w:iCs/>
            </w:rPr>
            <w:t>BORIM v. Diggins</w:t>
          </w:r>
        </w:p>
      </w:tc>
      <w:tc>
        <w:tcPr>
          <w:tcW w:w="4675" w:type="dxa"/>
        </w:tcPr>
        <w:p w14:paraId="6452BFF2" w14:textId="4767AD5D" w:rsidR="00F3449D" w:rsidRPr="0017326F" w:rsidRDefault="00AB287C" w:rsidP="00F3449D">
          <w:pPr>
            <w:pStyle w:val="PlainText1"/>
            <w:jc w:val="right"/>
            <w:rPr>
              <w:i/>
              <w:iCs/>
            </w:rPr>
          </w:pPr>
          <w:r>
            <w:rPr>
              <w:i/>
              <w:iCs/>
            </w:rPr>
            <w:t>RM-21-175</w:t>
          </w:r>
        </w:p>
      </w:tc>
    </w:tr>
  </w:tbl>
  <w:p w14:paraId="25F09F44" w14:textId="77777777" w:rsidR="001D5BB3" w:rsidRPr="00F3449D" w:rsidRDefault="001D5BB3" w:rsidP="00F3449D">
    <w:pPr>
      <w:pStyle w:val="PlainText1"/>
      <w:jc w:val="cent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7621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D04F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69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40BB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5053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2C8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4A9D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0E22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4E5F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061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8B4658"/>
    <w:multiLevelType w:val="hybridMultilevel"/>
    <w:tmpl w:val="ADA64248"/>
    <w:lvl w:ilvl="0" w:tplc="2EE45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9107E"/>
    <w:multiLevelType w:val="hybridMultilevel"/>
    <w:tmpl w:val="B48CFEA6"/>
    <w:lvl w:ilvl="0" w:tplc="E18A1568">
      <w:start w:val="1"/>
      <w:numFmt w:val="decimal"/>
      <w:lvlText w:val="%1."/>
      <w:lvlJc w:val="left"/>
      <w:pPr>
        <w:ind w:left="1440" w:hanging="360"/>
      </w:pPr>
      <w:rPr>
        <w:rFonts w:hint="default"/>
      </w:rPr>
    </w:lvl>
    <w:lvl w:ilvl="1" w:tplc="B15A813C">
      <w:start w:val="1"/>
      <w:numFmt w:val="decimal"/>
      <w:pStyle w:val="ListedFindings"/>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FA"/>
    <w:rsid w:val="000026AC"/>
    <w:rsid w:val="0000424D"/>
    <w:rsid w:val="00007B3C"/>
    <w:rsid w:val="00010B8E"/>
    <w:rsid w:val="00013F96"/>
    <w:rsid w:val="000327FB"/>
    <w:rsid w:val="000341E2"/>
    <w:rsid w:val="000342FF"/>
    <w:rsid w:val="00035BEC"/>
    <w:rsid w:val="00037376"/>
    <w:rsid w:val="0004402C"/>
    <w:rsid w:val="00044339"/>
    <w:rsid w:val="000452FB"/>
    <w:rsid w:val="00053599"/>
    <w:rsid w:val="0005445C"/>
    <w:rsid w:val="00057687"/>
    <w:rsid w:val="00071A9C"/>
    <w:rsid w:val="00073C52"/>
    <w:rsid w:val="00083D08"/>
    <w:rsid w:val="00094163"/>
    <w:rsid w:val="00095A53"/>
    <w:rsid w:val="000A00EF"/>
    <w:rsid w:val="000B4192"/>
    <w:rsid w:val="000B6D27"/>
    <w:rsid w:val="000C09ED"/>
    <w:rsid w:val="000D5A0A"/>
    <w:rsid w:val="000D6E61"/>
    <w:rsid w:val="000F56D0"/>
    <w:rsid w:val="0010107D"/>
    <w:rsid w:val="00126E7E"/>
    <w:rsid w:val="00127876"/>
    <w:rsid w:val="001609BD"/>
    <w:rsid w:val="00161EA6"/>
    <w:rsid w:val="00163C70"/>
    <w:rsid w:val="00163EDF"/>
    <w:rsid w:val="001651DB"/>
    <w:rsid w:val="00166E52"/>
    <w:rsid w:val="0017326F"/>
    <w:rsid w:val="0018245A"/>
    <w:rsid w:val="00186295"/>
    <w:rsid w:val="00187741"/>
    <w:rsid w:val="00192DA3"/>
    <w:rsid w:val="00192E05"/>
    <w:rsid w:val="0019426C"/>
    <w:rsid w:val="001944A3"/>
    <w:rsid w:val="001A645D"/>
    <w:rsid w:val="001C1DCB"/>
    <w:rsid w:val="001D0583"/>
    <w:rsid w:val="001D29F8"/>
    <w:rsid w:val="001D5BB3"/>
    <w:rsid w:val="001D735B"/>
    <w:rsid w:val="00201FD7"/>
    <w:rsid w:val="002051CE"/>
    <w:rsid w:val="00210694"/>
    <w:rsid w:val="002130B6"/>
    <w:rsid w:val="002158AD"/>
    <w:rsid w:val="002168BF"/>
    <w:rsid w:val="002315DB"/>
    <w:rsid w:val="00234A21"/>
    <w:rsid w:val="00243BDE"/>
    <w:rsid w:val="00247CEA"/>
    <w:rsid w:val="00252136"/>
    <w:rsid w:val="00257720"/>
    <w:rsid w:val="00261383"/>
    <w:rsid w:val="00262188"/>
    <w:rsid w:val="0026591B"/>
    <w:rsid w:val="00265A40"/>
    <w:rsid w:val="00281292"/>
    <w:rsid w:val="002A118F"/>
    <w:rsid w:val="002A331A"/>
    <w:rsid w:val="002A6D79"/>
    <w:rsid w:val="002A722E"/>
    <w:rsid w:val="002B0FE8"/>
    <w:rsid w:val="002B258B"/>
    <w:rsid w:val="002B2EC0"/>
    <w:rsid w:val="002C1D67"/>
    <w:rsid w:val="002C4030"/>
    <w:rsid w:val="002C759D"/>
    <w:rsid w:val="002F40B1"/>
    <w:rsid w:val="002F4B7F"/>
    <w:rsid w:val="00315355"/>
    <w:rsid w:val="0032143F"/>
    <w:rsid w:val="00322039"/>
    <w:rsid w:val="0033545C"/>
    <w:rsid w:val="0035156E"/>
    <w:rsid w:val="0036003C"/>
    <w:rsid w:val="00373D19"/>
    <w:rsid w:val="00375D34"/>
    <w:rsid w:val="00376C2C"/>
    <w:rsid w:val="00382FD8"/>
    <w:rsid w:val="0039153C"/>
    <w:rsid w:val="003A7C46"/>
    <w:rsid w:val="003B0196"/>
    <w:rsid w:val="003B4FB8"/>
    <w:rsid w:val="003C22C8"/>
    <w:rsid w:val="003C2E9C"/>
    <w:rsid w:val="003C4B27"/>
    <w:rsid w:val="003C6A59"/>
    <w:rsid w:val="003D088C"/>
    <w:rsid w:val="003D195C"/>
    <w:rsid w:val="003D1A8A"/>
    <w:rsid w:val="003D3D55"/>
    <w:rsid w:val="003D5ED9"/>
    <w:rsid w:val="003D6C8F"/>
    <w:rsid w:val="0040028E"/>
    <w:rsid w:val="00402359"/>
    <w:rsid w:val="0040330E"/>
    <w:rsid w:val="00404572"/>
    <w:rsid w:val="00411918"/>
    <w:rsid w:val="00414D04"/>
    <w:rsid w:val="004166A7"/>
    <w:rsid w:val="004176A5"/>
    <w:rsid w:val="00417CFC"/>
    <w:rsid w:val="00423B3C"/>
    <w:rsid w:val="004277F4"/>
    <w:rsid w:val="004636A5"/>
    <w:rsid w:val="00464790"/>
    <w:rsid w:val="00472681"/>
    <w:rsid w:val="00473EF9"/>
    <w:rsid w:val="00475D33"/>
    <w:rsid w:val="00477624"/>
    <w:rsid w:val="00483D50"/>
    <w:rsid w:val="004842BB"/>
    <w:rsid w:val="00486BF4"/>
    <w:rsid w:val="00487419"/>
    <w:rsid w:val="00491599"/>
    <w:rsid w:val="004935A1"/>
    <w:rsid w:val="0049797C"/>
    <w:rsid w:val="004A674E"/>
    <w:rsid w:val="004D1025"/>
    <w:rsid w:val="004D706B"/>
    <w:rsid w:val="004E480E"/>
    <w:rsid w:val="004E5616"/>
    <w:rsid w:val="004F30B8"/>
    <w:rsid w:val="004F74D7"/>
    <w:rsid w:val="00500479"/>
    <w:rsid w:val="00500DE2"/>
    <w:rsid w:val="005015A1"/>
    <w:rsid w:val="005101B9"/>
    <w:rsid w:val="00514C81"/>
    <w:rsid w:val="005170D2"/>
    <w:rsid w:val="005209A3"/>
    <w:rsid w:val="005260B4"/>
    <w:rsid w:val="0052756D"/>
    <w:rsid w:val="00533EB7"/>
    <w:rsid w:val="0053447C"/>
    <w:rsid w:val="00541AF7"/>
    <w:rsid w:val="00552FAD"/>
    <w:rsid w:val="00560CB5"/>
    <w:rsid w:val="00572811"/>
    <w:rsid w:val="00580DC9"/>
    <w:rsid w:val="00581F17"/>
    <w:rsid w:val="00582DCA"/>
    <w:rsid w:val="005846DD"/>
    <w:rsid w:val="0059170E"/>
    <w:rsid w:val="005A2493"/>
    <w:rsid w:val="005A339D"/>
    <w:rsid w:val="005B392D"/>
    <w:rsid w:val="005B4094"/>
    <w:rsid w:val="005C5840"/>
    <w:rsid w:val="005C6ABD"/>
    <w:rsid w:val="005D099F"/>
    <w:rsid w:val="005D1481"/>
    <w:rsid w:val="005F00CC"/>
    <w:rsid w:val="005F1810"/>
    <w:rsid w:val="005F70AC"/>
    <w:rsid w:val="00602363"/>
    <w:rsid w:val="0060251B"/>
    <w:rsid w:val="006125FD"/>
    <w:rsid w:val="00626D5B"/>
    <w:rsid w:val="00637A9A"/>
    <w:rsid w:val="0064369B"/>
    <w:rsid w:val="00646958"/>
    <w:rsid w:val="00660CA7"/>
    <w:rsid w:val="00664472"/>
    <w:rsid w:val="006A44FF"/>
    <w:rsid w:val="006A7586"/>
    <w:rsid w:val="006B50EF"/>
    <w:rsid w:val="006B70BE"/>
    <w:rsid w:val="006C6AA5"/>
    <w:rsid w:val="006E0443"/>
    <w:rsid w:val="006E49C2"/>
    <w:rsid w:val="006F271D"/>
    <w:rsid w:val="006F2C03"/>
    <w:rsid w:val="006F739E"/>
    <w:rsid w:val="0070413B"/>
    <w:rsid w:val="007051A4"/>
    <w:rsid w:val="007214CC"/>
    <w:rsid w:val="0072561C"/>
    <w:rsid w:val="0073075F"/>
    <w:rsid w:val="00735B3A"/>
    <w:rsid w:val="00736B38"/>
    <w:rsid w:val="00750ADD"/>
    <w:rsid w:val="00751776"/>
    <w:rsid w:val="00753AB3"/>
    <w:rsid w:val="00753FBB"/>
    <w:rsid w:val="00756E1F"/>
    <w:rsid w:val="007603B9"/>
    <w:rsid w:val="00762389"/>
    <w:rsid w:val="00765053"/>
    <w:rsid w:val="00766549"/>
    <w:rsid w:val="00771571"/>
    <w:rsid w:val="00771D39"/>
    <w:rsid w:val="00794625"/>
    <w:rsid w:val="00795674"/>
    <w:rsid w:val="007B738D"/>
    <w:rsid w:val="007B75AC"/>
    <w:rsid w:val="007B7E64"/>
    <w:rsid w:val="0081171C"/>
    <w:rsid w:val="008156C5"/>
    <w:rsid w:val="00820D69"/>
    <w:rsid w:val="008210F1"/>
    <w:rsid w:val="00821DD9"/>
    <w:rsid w:val="00830272"/>
    <w:rsid w:val="008340B0"/>
    <w:rsid w:val="00840B03"/>
    <w:rsid w:val="00843E71"/>
    <w:rsid w:val="008444F5"/>
    <w:rsid w:val="00845449"/>
    <w:rsid w:val="00852186"/>
    <w:rsid w:val="0085442A"/>
    <w:rsid w:val="00862B41"/>
    <w:rsid w:val="0087344C"/>
    <w:rsid w:val="0087445B"/>
    <w:rsid w:val="008878C6"/>
    <w:rsid w:val="00887FA7"/>
    <w:rsid w:val="008927A7"/>
    <w:rsid w:val="0089515B"/>
    <w:rsid w:val="008A4D38"/>
    <w:rsid w:val="008B2276"/>
    <w:rsid w:val="008B7E2D"/>
    <w:rsid w:val="008C1F51"/>
    <w:rsid w:val="008C7D6E"/>
    <w:rsid w:val="008D4A8A"/>
    <w:rsid w:val="008E6267"/>
    <w:rsid w:val="00904340"/>
    <w:rsid w:val="009071A8"/>
    <w:rsid w:val="009172C8"/>
    <w:rsid w:val="0092449B"/>
    <w:rsid w:val="00930895"/>
    <w:rsid w:val="0093390E"/>
    <w:rsid w:val="0093696D"/>
    <w:rsid w:val="00936A06"/>
    <w:rsid w:val="00944397"/>
    <w:rsid w:val="0095789D"/>
    <w:rsid w:val="00960A45"/>
    <w:rsid w:val="009739FC"/>
    <w:rsid w:val="00975D7B"/>
    <w:rsid w:val="00976E72"/>
    <w:rsid w:val="009928AF"/>
    <w:rsid w:val="009A2BCB"/>
    <w:rsid w:val="009B1BF8"/>
    <w:rsid w:val="009B46E9"/>
    <w:rsid w:val="009C1C97"/>
    <w:rsid w:val="009C464C"/>
    <w:rsid w:val="009D2276"/>
    <w:rsid w:val="009D77C1"/>
    <w:rsid w:val="009E00B3"/>
    <w:rsid w:val="009E3F81"/>
    <w:rsid w:val="009F0FC2"/>
    <w:rsid w:val="009F391C"/>
    <w:rsid w:val="00A05C45"/>
    <w:rsid w:val="00A06EA7"/>
    <w:rsid w:val="00A222B9"/>
    <w:rsid w:val="00A22B65"/>
    <w:rsid w:val="00A235C0"/>
    <w:rsid w:val="00A27415"/>
    <w:rsid w:val="00A40C90"/>
    <w:rsid w:val="00A43D3B"/>
    <w:rsid w:val="00A476A9"/>
    <w:rsid w:val="00A51328"/>
    <w:rsid w:val="00A528A1"/>
    <w:rsid w:val="00A54EE4"/>
    <w:rsid w:val="00A56A27"/>
    <w:rsid w:val="00A64A4D"/>
    <w:rsid w:val="00A6702B"/>
    <w:rsid w:val="00A714E4"/>
    <w:rsid w:val="00A71C10"/>
    <w:rsid w:val="00A72267"/>
    <w:rsid w:val="00A766D2"/>
    <w:rsid w:val="00A86D46"/>
    <w:rsid w:val="00A913A4"/>
    <w:rsid w:val="00A9608A"/>
    <w:rsid w:val="00A97593"/>
    <w:rsid w:val="00AA3219"/>
    <w:rsid w:val="00AA3A7E"/>
    <w:rsid w:val="00AA64B1"/>
    <w:rsid w:val="00AB287C"/>
    <w:rsid w:val="00AC04A7"/>
    <w:rsid w:val="00AC7F03"/>
    <w:rsid w:val="00AF0A3B"/>
    <w:rsid w:val="00AF2A36"/>
    <w:rsid w:val="00AF6066"/>
    <w:rsid w:val="00B0032D"/>
    <w:rsid w:val="00B207D4"/>
    <w:rsid w:val="00B23FF9"/>
    <w:rsid w:val="00B2438B"/>
    <w:rsid w:val="00B24A5C"/>
    <w:rsid w:val="00B25BC7"/>
    <w:rsid w:val="00B4000A"/>
    <w:rsid w:val="00B40157"/>
    <w:rsid w:val="00B43685"/>
    <w:rsid w:val="00B447BF"/>
    <w:rsid w:val="00B47613"/>
    <w:rsid w:val="00B52ADA"/>
    <w:rsid w:val="00B7392A"/>
    <w:rsid w:val="00B8155C"/>
    <w:rsid w:val="00B84AE6"/>
    <w:rsid w:val="00BB42C0"/>
    <w:rsid w:val="00BC1569"/>
    <w:rsid w:val="00BC496A"/>
    <w:rsid w:val="00BF2F33"/>
    <w:rsid w:val="00C05DF2"/>
    <w:rsid w:val="00C13963"/>
    <w:rsid w:val="00C27519"/>
    <w:rsid w:val="00C320BC"/>
    <w:rsid w:val="00C3283C"/>
    <w:rsid w:val="00C32CC0"/>
    <w:rsid w:val="00C33C50"/>
    <w:rsid w:val="00C439BF"/>
    <w:rsid w:val="00C52DEE"/>
    <w:rsid w:val="00C636B9"/>
    <w:rsid w:val="00C6577C"/>
    <w:rsid w:val="00C7067E"/>
    <w:rsid w:val="00C71BAF"/>
    <w:rsid w:val="00C7350F"/>
    <w:rsid w:val="00C817BB"/>
    <w:rsid w:val="00C8265F"/>
    <w:rsid w:val="00C87600"/>
    <w:rsid w:val="00C9091B"/>
    <w:rsid w:val="00C97514"/>
    <w:rsid w:val="00CC0D38"/>
    <w:rsid w:val="00CC0D3E"/>
    <w:rsid w:val="00CC20FA"/>
    <w:rsid w:val="00CC3EA6"/>
    <w:rsid w:val="00CD23AE"/>
    <w:rsid w:val="00CD470D"/>
    <w:rsid w:val="00CE5DDA"/>
    <w:rsid w:val="00CF3E6B"/>
    <w:rsid w:val="00D032AF"/>
    <w:rsid w:val="00D06FE7"/>
    <w:rsid w:val="00D13E56"/>
    <w:rsid w:val="00D14BE2"/>
    <w:rsid w:val="00D2133B"/>
    <w:rsid w:val="00D27148"/>
    <w:rsid w:val="00D40599"/>
    <w:rsid w:val="00D42FE2"/>
    <w:rsid w:val="00D71DB1"/>
    <w:rsid w:val="00D84D6B"/>
    <w:rsid w:val="00D850EC"/>
    <w:rsid w:val="00DA38FF"/>
    <w:rsid w:val="00DB5E85"/>
    <w:rsid w:val="00DC77B3"/>
    <w:rsid w:val="00DE1F4D"/>
    <w:rsid w:val="00DE4EED"/>
    <w:rsid w:val="00DE5B7E"/>
    <w:rsid w:val="00DF7F0A"/>
    <w:rsid w:val="00E02A65"/>
    <w:rsid w:val="00E1189B"/>
    <w:rsid w:val="00E11E88"/>
    <w:rsid w:val="00E12ECC"/>
    <w:rsid w:val="00E22152"/>
    <w:rsid w:val="00E23296"/>
    <w:rsid w:val="00E25B4C"/>
    <w:rsid w:val="00E3012B"/>
    <w:rsid w:val="00E311B1"/>
    <w:rsid w:val="00E351D0"/>
    <w:rsid w:val="00E417E4"/>
    <w:rsid w:val="00E41DCF"/>
    <w:rsid w:val="00E5253E"/>
    <w:rsid w:val="00E5620F"/>
    <w:rsid w:val="00E622DF"/>
    <w:rsid w:val="00E75678"/>
    <w:rsid w:val="00E83E90"/>
    <w:rsid w:val="00E90F75"/>
    <w:rsid w:val="00E97BB4"/>
    <w:rsid w:val="00EA1D2D"/>
    <w:rsid w:val="00EA5D3D"/>
    <w:rsid w:val="00EA69D1"/>
    <w:rsid w:val="00EC3179"/>
    <w:rsid w:val="00EF3126"/>
    <w:rsid w:val="00EF5EC1"/>
    <w:rsid w:val="00F04285"/>
    <w:rsid w:val="00F30A42"/>
    <w:rsid w:val="00F311FF"/>
    <w:rsid w:val="00F3449D"/>
    <w:rsid w:val="00F44B6E"/>
    <w:rsid w:val="00F5568B"/>
    <w:rsid w:val="00F71ED3"/>
    <w:rsid w:val="00F73A8D"/>
    <w:rsid w:val="00F93CAB"/>
    <w:rsid w:val="00FA4DEC"/>
    <w:rsid w:val="00FA584B"/>
    <w:rsid w:val="00FB2986"/>
    <w:rsid w:val="00FC73B6"/>
    <w:rsid w:val="00FD7C0F"/>
    <w:rsid w:val="00FE312D"/>
    <w:rsid w:val="00FE3340"/>
    <w:rsid w:val="00FE45B4"/>
    <w:rsid w:val="00FE5B3A"/>
    <w:rsid w:val="00FF201B"/>
    <w:rsid w:val="00FF4B3F"/>
    <w:rsid w:val="00FF66FA"/>
    <w:rsid w:val="00FF6A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1FFA"/>
  <w15:chartTrackingRefBased/>
  <w15:docId w15:val="{8561FCC4-0ECF-4A6A-A34E-197DCD27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157"/>
    <w:pPr>
      <w:spacing w:after="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472681"/>
    <w:pPr>
      <w:keepNext/>
      <w:spacing w:after="240" w:line="240" w:lineRule="auto"/>
      <w:ind w:firstLine="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Post-quote"/>
    <w:link w:val="QuoteChar"/>
    <w:uiPriority w:val="29"/>
    <w:qFormat/>
    <w:rsid w:val="00AF2A36"/>
    <w:pPr>
      <w:spacing w:after="240" w:line="240" w:lineRule="auto"/>
      <w:ind w:left="1440" w:right="720" w:firstLine="0"/>
    </w:pPr>
  </w:style>
  <w:style w:type="character" w:customStyle="1" w:styleId="QuoteChar">
    <w:name w:val="Quote Char"/>
    <w:basedOn w:val="DefaultParagraphFont"/>
    <w:link w:val="Quote"/>
    <w:uiPriority w:val="29"/>
    <w:rsid w:val="00AF2A36"/>
    <w:rPr>
      <w:rFonts w:ascii="Times New Roman" w:hAnsi="Times New Roman" w:cs="Times New Roman"/>
      <w:sz w:val="24"/>
      <w:szCs w:val="24"/>
    </w:rPr>
  </w:style>
  <w:style w:type="paragraph" w:styleId="ListParagraph">
    <w:name w:val="List Paragraph"/>
    <w:basedOn w:val="Normal"/>
    <w:uiPriority w:val="34"/>
    <w:qFormat/>
    <w:rsid w:val="00B40157"/>
    <w:pPr>
      <w:ind w:left="720"/>
      <w:contextualSpacing/>
    </w:pPr>
  </w:style>
  <w:style w:type="paragraph" w:styleId="Header">
    <w:name w:val="header"/>
    <w:basedOn w:val="Normal"/>
    <w:link w:val="HeaderChar"/>
    <w:uiPriority w:val="99"/>
    <w:unhideWhenUsed/>
    <w:rsid w:val="00B40157"/>
    <w:pPr>
      <w:tabs>
        <w:tab w:val="center" w:pos="4680"/>
        <w:tab w:val="right" w:pos="9360"/>
      </w:tabs>
      <w:spacing w:line="240" w:lineRule="auto"/>
    </w:pPr>
  </w:style>
  <w:style w:type="character" w:customStyle="1" w:styleId="HeaderChar">
    <w:name w:val="Header Char"/>
    <w:basedOn w:val="DefaultParagraphFont"/>
    <w:link w:val="Header"/>
    <w:uiPriority w:val="99"/>
    <w:rsid w:val="00B40157"/>
    <w:rPr>
      <w:rFonts w:ascii="Times New Roman" w:hAnsi="Times New Roman" w:cs="Times New Roman"/>
      <w:sz w:val="24"/>
      <w:szCs w:val="24"/>
    </w:rPr>
  </w:style>
  <w:style w:type="paragraph" w:styleId="Footer">
    <w:name w:val="footer"/>
    <w:basedOn w:val="Normal"/>
    <w:link w:val="FooterChar"/>
    <w:uiPriority w:val="99"/>
    <w:unhideWhenUsed/>
    <w:rsid w:val="00B40157"/>
    <w:pPr>
      <w:tabs>
        <w:tab w:val="center" w:pos="4680"/>
        <w:tab w:val="right" w:pos="9360"/>
      </w:tabs>
      <w:spacing w:line="240" w:lineRule="auto"/>
    </w:pPr>
  </w:style>
  <w:style w:type="character" w:customStyle="1" w:styleId="FooterChar">
    <w:name w:val="Footer Char"/>
    <w:basedOn w:val="DefaultParagraphFont"/>
    <w:link w:val="Footer"/>
    <w:uiPriority w:val="99"/>
    <w:rsid w:val="00B40157"/>
    <w:rPr>
      <w:rFonts w:ascii="Times New Roman" w:hAnsi="Times New Roman" w:cs="Times New Roman"/>
      <w:sz w:val="24"/>
      <w:szCs w:val="24"/>
    </w:rPr>
  </w:style>
  <w:style w:type="table" w:styleId="TableGrid">
    <w:name w:val="Table Grid"/>
    <w:basedOn w:val="TableNormal"/>
    <w:uiPriority w:val="39"/>
    <w:rsid w:val="00B4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2681"/>
    <w:rPr>
      <w:rFonts w:ascii="Times New Roman" w:hAnsi="Times New Roman" w:cs="Times New Roman"/>
      <w:b/>
      <w:bCs/>
      <w:sz w:val="24"/>
      <w:szCs w:val="24"/>
    </w:rPr>
  </w:style>
  <w:style w:type="paragraph" w:customStyle="1" w:styleId="PlainText1">
    <w:name w:val="Plain Text1"/>
    <w:basedOn w:val="Normal"/>
    <w:qFormat/>
    <w:rsid w:val="00B40157"/>
    <w:pPr>
      <w:spacing w:line="240" w:lineRule="auto"/>
      <w:ind w:firstLine="0"/>
    </w:pPr>
  </w:style>
  <w:style w:type="paragraph" w:customStyle="1" w:styleId="ListedFindings">
    <w:name w:val="Listed Findings"/>
    <w:basedOn w:val="ListParagraph"/>
    <w:qFormat/>
    <w:rsid w:val="00CD23AE"/>
    <w:pPr>
      <w:numPr>
        <w:ilvl w:val="1"/>
        <w:numId w:val="15"/>
      </w:numPr>
      <w:ind w:left="0" w:firstLine="720"/>
      <w:contextualSpacing w:val="0"/>
    </w:pPr>
  </w:style>
  <w:style w:type="paragraph" w:customStyle="1" w:styleId="Post-quote">
    <w:name w:val="Post-quote"/>
    <w:basedOn w:val="Normal"/>
    <w:next w:val="Normal"/>
    <w:qFormat/>
    <w:rsid w:val="00B40157"/>
    <w:pPr>
      <w:ind w:firstLine="0"/>
    </w:pPr>
  </w:style>
  <w:style w:type="paragraph" w:customStyle="1" w:styleId="Summarypara">
    <w:name w:val="Summary para."/>
    <w:basedOn w:val="Normal"/>
    <w:qFormat/>
    <w:rsid w:val="00B40157"/>
    <w:pPr>
      <w:spacing w:after="240" w:line="240" w:lineRule="auto"/>
    </w:pPr>
  </w:style>
  <w:style w:type="paragraph" w:styleId="BalloonText">
    <w:name w:val="Balloon Text"/>
    <w:basedOn w:val="Normal"/>
    <w:link w:val="BalloonTextChar"/>
    <w:uiPriority w:val="99"/>
    <w:semiHidden/>
    <w:unhideWhenUsed/>
    <w:rsid w:val="00B401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57"/>
    <w:rPr>
      <w:rFonts w:ascii="Segoe UI" w:hAnsi="Segoe UI" w:cs="Segoe UI"/>
      <w:sz w:val="18"/>
      <w:szCs w:val="18"/>
    </w:rPr>
  </w:style>
  <w:style w:type="paragraph" w:styleId="FootnoteText">
    <w:name w:val="footnote text"/>
    <w:basedOn w:val="Normal"/>
    <w:link w:val="FootnoteTextChar"/>
    <w:uiPriority w:val="99"/>
    <w:unhideWhenUsed/>
    <w:rsid w:val="00472681"/>
    <w:pPr>
      <w:spacing w:after="120" w:line="240" w:lineRule="auto"/>
    </w:pPr>
    <w:rPr>
      <w:szCs w:val="20"/>
    </w:rPr>
  </w:style>
  <w:style w:type="character" w:customStyle="1" w:styleId="FootnoteTextChar">
    <w:name w:val="Footnote Text Char"/>
    <w:basedOn w:val="DefaultParagraphFont"/>
    <w:link w:val="FootnoteText"/>
    <w:uiPriority w:val="99"/>
    <w:rsid w:val="00472681"/>
    <w:rPr>
      <w:rFonts w:ascii="Times New Roman" w:hAnsi="Times New Roman" w:cs="Times New Roman"/>
      <w:sz w:val="24"/>
      <w:szCs w:val="20"/>
    </w:rPr>
  </w:style>
  <w:style w:type="character" w:styleId="FootnoteReference">
    <w:name w:val="footnote reference"/>
    <w:basedOn w:val="DefaultParagraphFont"/>
    <w:uiPriority w:val="99"/>
    <w:semiHidden/>
    <w:unhideWhenUsed/>
    <w:rsid w:val="00247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71658">
      <w:bodyDiv w:val="1"/>
      <w:marLeft w:val="0"/>
      <w:marRight w:val="0"/>
      <w:marTop w:val="0"/>
      <w:marBottom w:val="0"/>
      <w:divBdr>
        <w:top w:val="none" w:sz="0" w:space="0" w:color="auto"/>
        <w:left w:val="none" w:sz="0" w:space="0" w:color="auto"/>
        <w:bottom w:val="none" w:sz="0" w:space="0" w:color="auto"/>
        <w:right w:val="none" w:sz="0" w:space="0" w:color="auto"/>
      </w:divBdr>
      <w:divsChild>
        <w:div w:id="1010449313">
          <w:marLeft w:val="0"/>
          <w:marRight w:val="0"/>
          <w:marTop w:val="0"/>
          <w:marBottom w:val="0"/>
          <w:divBdr>
            <w:top w:val="none" w:sz="0" w:space="0" w:color="auto"/>
            <w:left w:val="none" w:sz="0" w:space="0" w:color="auto"/>
            <w:bottom w:val="none" w:sz="0" w:space="0" w:color="auto"/>
            <w:right w:val="none" w:sz="0" w:space="0" w:color="auto"/>
          </w:divBdr>
        </w:div>
      </w:divsChild>
    </w:div>
    <w:div w:id="710689708">
      <w:bodyDiv w:val="1"/>
      <w:marLeft w:val="0"/>
      <w:marRight w:val="0"/>
      <w:marTop w:val="0"/>
      <w:marBottom w:val="0"/>
      <w:divBdr>
        <w:top w:val="none" w:sz="0" w:space="0" w:color="auto"/>
        <w:left w:val="none" w:sz="0" w:space="0" w:color="auto"/>
        <w:bottom w:val="none" w:sz="0" w:space="0" w:color="auto"/>
        <w:right w:val="none" w:sz="0" w:space="0" w:color="auto"/>
      </w:divBdr>
      <w:divsChild>
        <w:div w:id="1531606666">
          <w:marLeft w:val="0"/>
          <w:marRight w:val="0"/>
          <w:marTop w:val="0"/>
          <w:marBottom w:val="0"/>
          <w:divBdr>
            <w:top w:val="none" w:sz="0" w:space="0" w:color="auto"/>
            <w:left w:val="none" w:sz="0" w:space="0" w:color="auto"/>
            <w:bottom w:val="none" w:sz="0" w:space="0" w:color="auto"/>
            <w:right w:val="none" w:sz="0" w:space="0" w:color="auto"/>
          </w:divBdr>
        </w:div>
      </w:divsChild>
    </w:div>
    <w:div w:id="1109204596">
      <w:bodyDiv w:val="1"/>
      <w:marLeft w:val="0"/>
      <w:marRight w:val="0"/>
      <w:marTop w:val="0"/>
      <w:marBottom w:val="0"/>
      <w:divBdr>
        <w:top w:val="none" w:sz="0" w:space="0" w:color="auto"/>
        <w:left w:val="none" w:sz="0" w:space="0" w:color="auto"/>
        <w:bottom w:val="none" w:sz="0" w:space="0" w:color="auto"/>
        <w:right w:val="none" w:sz="0" w:space="0" w:color="auto"/>
      </w:divBdr>
      <w:divsChild>
        <w:div w:id="323362149">
          <w:marLeft w:val="0"/>
          <w:marRight w:val="0"/>
          <w:marTop w:val="0"/>
          <w:marBottom w:val="0"/>
          <w:divBdr>
            <w:top w:val="none" w:sz="0" w:space="0" w:color="auto"/>
            <w:left w:val="none" w:sz="0" w:space="0" w:color="auto"/>
            <w:bottom w:val="none" w:sz="0" w:space="0" w:color="auto"/>
            <w:right w:val="none" w:sz="0" w:space="0" w:color="auto"/>
          </w:divBdr>
        </w:div>
      </w:divsChild>
    </w:div>
    <w:div w:id="1227229313">
      <w:bodyDiv w:val="1"/>
      <w:marLeft w:val="0"/>
      <w:marRight w:val="0"/>
      <w:marTop w:val="0"/>
      <w:marBottom w:val="0"/>
      <w:divBdr>
        <w:top w:val="none" w:sz="0" w:space="0" w:color="auto"/>
        <w:left w:val="none" w:sz="0" w:space="0" w:color="auto"/>
        <w:bottom w:val="none" w:sz="0" w:space="0" w:color="auto"/>
        <w:right w:val="none" w:sz="0" w:space="0" w:color="auto"/>
      </w:divBdr>
      <w:divsChild>
        <w:div w:id="318728812">
          <w:marLeft w:val="0"/>
          <w:marRight w:val="0"/>
          <w:marTop w:val="0"/>
          <w:marBottom w:val="0"/>
          <w:divBdr>
            <w:top w:val="none" w:sz="0" w:space="0" w:color="auto"/>
            <w:left w:val="none" w:sz="0" w:space="0" w:color="auto"/>
            <w:bottom w:val="none" w:sz="0" w:space="0" w:color="auto"/>
            <w:right w:val="none" w:sz="0" w:space="0" w:color="auto"/>
          </w:divBdr>
        </w:div>
      </w:divsChild>
    </w:div>
    <w:div w:id="1468472915">
      <w:bodyDiv w:val="1"/>
      <w:marLeft w:val="0"/>
      <w:marRight w:val="0"/>
      <w:marTop w:val="0"/>
      <w:marBottom w:val="0"/>
      <w:divBdr>
        <w:top w:val="none" w:sz="0" w:space="0" w:color="auto"/>
        <w:left w:val="none" w:sz="0" w:space="0" w:color="auto"/>
        <w:bottom w:val="none" w:sz="0" w:space="0" w:color="auto"/>
        <w:right w:val="none" w:sz="0" w:space="0" w:color="auto"/>
      </w:divBdr>
      <w:divsChild>
        <w:div w:id="158907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alkiel\Documents\%5e\YM\Templates\Template%20final%20deci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final decision</Template>
  <TotalTime>91</TotalTime>
  <Pages>12</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Malkiel, Yakov (ALA)</dc:creator>
  <cp:keywords/>
  <dc:description/>
  <cp:lastModifiedBy>LaPointe, Donald (DPH)</cp:lastModifiedBy>
  <cp:revision>24</cp:revision>
  <cp:lastPrinted>2022-01-21T14:27:00Z</cp:lastPrinted>
  <dcterms:created xsi:type="dcterms:W3CDTF">2022-01-19T16:32:00Z</dcterms:created>
  <dcterms:modified xsi:type="dcterms:W3CDTF">2022-06-15T14:03:00Z</dcterms:modified>
</cp:coreProperties>
</file>