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605C" w14:textId="77777777" w:rsidR="00C32CC0" w:rsidRDefault="00C32CC0" w:rsidP="00262188">
      <w:pPr>
        <w:pStyle w:val="Heading1"/>
      </w:pPr>
      <w:r>
        <w:t>COMMONWEALTH OF MASSACHUSETTS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C32CC0" w:rsidRPr="004F74D7" w14:paraId="5213F085" w14:textId="77777777" w:rsidTr="00EC3179">
        <w:tc>
          <w:tcPr>
            <w:tcW w:w="4675" w:type="dxa"/>
            <w:tcMar>
              <w:right w:w="115" w:type="dxa"/>
            </w:tcMar>
          </w:tcPr>
          <w:p w14:paraId="05B09300" w14:textId="77777777" w:rsidR="00C32CC0" w:rsidRPr="00E81DF8" w:rsidRDefault="001D5BB3" w:rsidP="00E22152">
            <w:pPr>
              <w:pStyle w:val="PlainText1"/>
              <w:rPr>
                <w:b/>
                <w:bCs/>
              </w:rPr>
            </w:pPr>
            <w:r w:rsidRPr="00E81DF8">
              <w:rPr>
                <w:b/>
                <w:bCs/>
              </w:rPr>
              <w:t>Middlesex</w:t>
            </w:r>
            <w:r w:rsidR="00C32CC0" w:rsidRPr="00E81DF8">
              <w:rPr>
                <w:b/>
                <w:bCs/>
              </w:rPr>
              <w:t>, ss.</w:t>
            </w:r>
          </w:p>
        </w:tc>
        <w:tc>
          <w:tcPr>
            <w:tcW w:w="4675" w:type="dxa"/>
          </w:tcPr>
          <w:p w14:paraId="620417DA" w14:textId="77777777" w:rsidR="00C32CC0" w:rsidRPr="004F74D7" w:rsidRDefault="00C32CC0" w:rsidP="004F74D7">
            <w:pPr>
              <w:spacing w:line="240" w:lineRule="auto"/>
              <w:ind w:firstLine="0"/>
              <w:rPr>
                <w:b/>
                <w:bCs/>
              </w:rPr>
            </w:pPr>
            <w:r w:rsidRPr="004F74D7">
              <w:rPr>
                <w:b/>
                <w:bCs/>
              </w:rPr>
              <w:t>Division of Administrative Law Appeals</w:t>
            </w:r>
          </w:p>
        </w:tc>
      </w:tr>
      <w:tr w:rsidR="002F4B7F" w:rsidRPr="004F74D7" w14:paraId="60979062" w14:textId="77777777" w:rsidTr="00EC3179">
        <w:tc>
          <w:tcPr>
            <w:tcW w:w="4675" w:type="dxa"/>
            <w:tcMar>
              <w:right w:w="115" w:type="dxa"/>
            </w:tcMar>
          </w:tcPr>
          <w:p w14:paraId="61FEEE7D" w14:textId="77777777" w:rsidR="002F4B7F" w:rsidRPr="002F4B7F" w:rsidRDefault="002F4B7F" w:rsidP="00E22152">
            <w:pPr>
              <w:pStyle w:val="PlainText1"/>
            </w:pPr>
          </w:p>
        </w:tc>
        <w:tc>
          <w:tcPr>
            <w:tcW w:w="4675" w:type="dxa"/>
          </w:tcPr>
          <w:p w14:paraId="0C1018E4" w14:textId="77777777" w:rsidR="002F4B7F" w:rsidRPr="004F74D7" w:rsidRDefault="002F4B7F" w:rsidP="004F74D7">
            <w:pPr>
              <w:spacing w:line="240" w:lineRule="auto"/>
              <w:ind w:firstLine="0"/>
              <w:rPr>
                <w:b/>
                <w:bCs/>
              </w:rPr>
            </w:pPr>
          </w:p>
        </w:tc>
      </w:tr>
      <w:tr w:rsidR="003E728E" w:rsidRPr="00FE3340" w14:paraId="2C4D5B1B" w14:textId="77777777" w:rsidTr="00EC3179">
        <w:tc>
          <w:tcPr>
            <w:tcW w:w="4675" w:type="dxa"/>
            <w:tcMar>
              <w:right w:w="115" w:type="dxa"/>
            </w:tcMar>
          </w:tcPr>
          <w:p w14:paraId="318AEA3A" w14:textId="17479535" w:rsidR="003E728E" w:rsidRPr="002F4B7F" w:rsidRDefault="003E728E" w:rsidP="003E728E">
            <w:pPr>
              <w:spacing w:line="240" w:lineRule="auto"/>
              <w:ind w:firstLine="0"/>
            </w:pPr>
            <w:r w:rsidRPr="00C923E9">
              <w:rPr>
                <w:b/>
                <w:bCs/>
              </w:rPr>
              <w:t>Board of Registration in Medicine</w:t>
            </w:r>
            <w:r w:rsidRPr="00C923E9">
              <w:t>,</w:t>
            </w:r>
          </w:p>
        </w:tc>
        <w:tc>
          <w:tcPr>
            <w:tcW w:w="4675" w:type="dxa"/>
          </w:tcPr>
          <w:p w14:paraId="394878C1" w14:textId="4D7D455F" w:rsidR="003E728E" w:rsidRPr="00FE3340" w:rsidRDefault="003E728E" w:rsidP="003E728E">
            <w:pPr>
              <w:spacing w:line="240" w:lineRule="auto"/>
              <w:ind w:firstLine="0"/>
            </w:pPr>
            <w:r w:rsidRPr="00C923E9">
              <w:t>No. RM-23-0035</w:t>
            </w:r>
          </w:p>
        </w:tc>
      </w:tr>
      <w:tr w:rsidR="008C1F51" w:rsidRPr="00FE3340" w14:paraId="07DEC9AA" w14:textId="77777777" w:rsidTr="00EC3179">
        <w:tc>
          <w:tcPr>
            <w:tcW w:w="4675" w:type="dxa"/>
            <w:tcMar>
              <w:right w:w="115" w:type="dxa"/>
            </w:tcMar>
          </w:tcPr>
          <w:p w14:paraId="2EACF03A" w14:textId="77777777" w:rsidR="008C1F51" w:rsidRPr="002F4B7F" w:rsidRDefault="008C1F51" w:rsidP="008C1F51">
            <w:pPr>
              <w:spacing w:line="240" w:lineRule="auto"/>
              <w:ind w:left="720" w:firstLine="0"/>
            </w:pPr>
            <w:r w:rsidRPr="002F4B7F">
              <w:t>Petitioner,</w:t>
            </w:r>
          </w:p>
        </w:tc>
        <w:tc>
          <w:tcPr>
            <w:tcW w:w="4675" w:type="dxa"/>
          </w:tcPr>
          <w:p w14:paraId="3B88BD9B" w14:textId="77777777" w:rsidR="008C1F51" w:rsidRPr="00FE3340" w:rsidRDefault="008C1F51" w:rsidP="008C1F51">
            <w:pPr>
              <w:spacing w:line="240" w:lineRule="auto"/>
              <w:ind w:firstLine="0"/>
            </w:pPr>
          </w:p>
        </w:tc>
      </w:tr>
      <w:tr w:rsidR="008C1F51" w:rsidRPr="00FE3340" w14:paraId="5666EF34" w14:textId="77777777" w:rsidTr="00EC3179">
        <w:tc>
          <w:tcPr>
            <w:tcW w:w="4675" w:type="dxa"/>
            <w:tcMar>
              <w:right w:w="115" w:type="dxa"/>
            </w:tcMar>
          </w:tcPr>
          <w:p w14:paraId="08EB36E2" w14:textId="77777777" w:rsidR="008C1F51" w:rsidRPr="002F4B7F" w:rsidRDefault="008C1F51" w:rsidP="008C1F51">
            <w:pPr>
              <w:spacing w:line="240" w:lineRule="auto"/>
              <w:ind w:firstLine="0"/>
            </w:pPr>
          </w:p>
        </w:tc>
        <w:tc>
          <w:tcPr>
            <w:tcW w:w="4675" w:type="dxa"/>
          </w:tcPr>
          <w:p w14:paraId="42A53173" w14:textId="60E82BCA" w:rsidR="008C1F51" w:rsidRPr="00FE3340" w:rsidRDefault="000B4192" w:rsidP="008C1F51">
            <w:pPr>
              <w:spacing w:line="240" w:lineRule="auto"/>
              <w:ind w:firstLine="0"/>
            </w:pPr>
            <w:r w:rsidRPr="000B4192">
              <w:t xml:space="preserve">Dated:  </w:t>
            </w:r>
            <w:r w:rsidR="005B588D">
              <w:t>APR 12 2023</w:t>
            </w:r>
          </w:p>
        </w:tc>
      </w:tr>
      <w:tr w:rsidR="008C1F51" w:rsidRPr="00FE3340" w14:paraId="4189BAC0" w14:textId="77777777" w:rsidTr="00EC3179">
        <w:tc>
          <w:tcPr>
            <w:tcW w:w="4675" w:type="dxa"/>
            <w:tcMar>
              <w:right w:w="115" w:type="dxa"/>
            </w:tcMar>
          </w:tcPr>
          <w:p w14:paraId="45F38358" w14:textId="77777777" w:rsidR="008C1F51" w:rsidRPr="002F4B7F" w:rsidRDefault="008C1F51" w:rsidP="008C1F51">
            <w:pPr>
              <w:spacing w:line="240" w:lineRule="auto"/>
              <w:ind w:left="720" w:firstLine="0"/>
            </w:pPr>
            <w:r w:rsidRPr="002F4B7F">
              <w:t>v.</w:t>
            </w:r>
          </w:p>
        </w:tc>
        <w:tc>
          <w:tcPr>
            <w:tcW w:w="4675" w:type="dxa"/>
          </w:tcPr>
          <w:p w14:paraId="2A029E90" w14:textId="77777777" w:rsidR="008C1F51" w:rsidRPr="00FE3340" w:rsidRDefault="008C1F51" w:rsidP="004F74D7">
            <w:pPr>
              <w:spacing w:line="240" w:lineRule="auto"/>
              <w:ind w:firstLine="0"/>
            </w:pPr>
          </w:p>
        </w:tc>
      </w:tr>
      <w:tr w:rsidR="008C1F51" w:rsidRPr="00FE3340" w14:paraId="1DB3A3A0" w14:textId="77777777" w:rsidTr="00EC3179">
        <w:tc>
          <w:tcPr>
            <w:tcW w:w="4675" w:type="dxa"/>
            <w:tcMar>
              <w:right w:w="115" w:type="dxa"/>
            </w:tcMar>
          </w:tcPr>
          <w:p w14:paraId="5BCE39AE" w14:textId="77777777" w:rsidR="008C1F51" w:rsidRPr="002F4B7F" w:rsidRDefault="008C1F51" w:rsidP="008C1F51">
            <w:pPr>
              <w:spacing w:line="240" w:lineRule="auto"/>
              <w:ind w:firstLine="0"/>
            </w:pPr>
          </w:p>
        </w:tc>
        <w:tc>
          <w:tcPr>
            <w:tcW w:w="4675" w:type="dxa"/>
          </w:tcPr>
          <w:p w14:paraId="1187B190" w14:textId="77777777" w:rsidR="008C1F51" w:rsidRPr="00FE3340" w:rsidRDefault="008C1F51" w:rsidP="008C1F51">
            <w:pPr>
              <w:spacing w:line="240" w:lineRule="auto"/>
              <w:ind w:firstLine="0"/>
            </w:pPr>
          </w:p>
        </w:tc>
      </w:tr>
      <w:tr w:rsidR="008C1F51" w:rsidRPr="00FE3340" w14:paraId="5E70FBB1" w14:textId="77777777" w:rsidTr="00EC3179">
        <w:tc>
          <w:tcPr>
            <w:tcW w:w="4675" w:type="dxa"/>
            <w:tcMar>
              <w:right w:w="115" w:type="dxa"/>
            </w:tcMar>
          </w:tcPr>
          <w:p w14:paraId="0F990174" w14:textId="11BC0198" w:rsidR="008C1F51" w:rsidRPr="002F4B7F" w:rsidRDefault="003E728E" w:rsidP="008C1F51">
            <w:pPr>
              <w:spacing w:line="240" w:lineRule="auto"/>
              <w:ind w:firstLine="0"/>
            </w:pPr>
            <w:r w:rsidRPr="00C923E9">
              <w:rPr>
                <w:b/>
                <w:bCs/>
              </w:rPr>
              <w:t>Tae Gyun Kim, M.D.</w:t>
            </w:r>
            <w:r w:rsidRPr="00C923E9">
              <w:t>,</w:t>
            </w:r>
          </w:p>
        </w:tc>
        <w:tc>
          <w:tcPr>
            <w:tcW w:w="4675" w:type="dxa"/>
          </w:tcPr>
          <w:p w14:paraId="7BD967D3" w14:textId="77777777" w:rsidR="008C1F51" w:rsidRPr="00FE3340" w:rsidRDefault="008C1F51" w:rsidP="008C1F51">
            <w:pPr>
              <w:spacing w:line="240" w:lineRule="auto"/>
              <w:ind w:firstLine="0"/>
            </w:pPr>
          </w:p>
        </w:tc>
      </w:tr>
      <w:tr w:rsidR="008C1F51" w:rsidRPr="00FE3340" w14:paraId="4ECC2256" w14:textId="77777777" w:rsidTr="00EC3179">
        <w:tc>
          <w:tcPr>
            <w:tcW w:w="4675" w:type="dxa"/>
            <w:tcMar>
              <w:right w:w="115" w:type="dxa"/>
            </w:tcMar>
          </w:tcPr>
          <w:p w14:paraId="2F74A0D3" w14:textId="77777777" w:rsidR="008C1F51" w:rsidRPr="002F4B7F" w:rsidRDefault="008C1F51" w:rsidP="008C1F51">
            <w:pPr>
              <w:spacing w:line="240" w:lineRule="auto"/>
              <w:ind w:left="720" w:firstLine="0"/>
            </w:pPr>
            <w:r w:rsidRPr="002F4B7F">
              <w:t>Respondent.</w:t>
            </w:r>
          </w:p>
        </w:tc>
        <w:tc>
          <w:tcPr>
            <w:tcW w:w="4675" w:type="dxa"/>
          </w:tcPr>
          <w:p w14:paraId="284A8B3B" w14:textId="77777777" w:rsidR="008C1F51" w:rsidRPr="00FE3340" w:rsidRDefault="008C1F51" w:rsidP="008C1F51">
            <w:pPr>
              <w:spacing w:line="240" w:lineRule="auto"/>
              <w:ind w:firstLine="0"/>
            </w:pPr>
          </w:p>
        </w:tc>
      </w:tr>
    </w:tbl>
    <w:p w14:paraId="084E1729" w14:textId="77777777" w:rsidR="004F74D7" w:rsidRPr="00EC3179" w:rsidRDefault="004F74D7" w:rsidP="008C1F51">
      <w:pPr>
        <w:pStyle w:val="PlainText1"/>
      </w:pPr>
    </w:p>
    <w:p w14:paraId="36DB322C" w14:textId="77777777" w:rsidR="008C1F51" w:rsidRPr="00EC3179" w:rsidRDefault="008C1F51" w:rsidP="008C1F51">
      <w:pPr>
        <w:pStyle w:val="PlainText1"/>
      </w:pPr>
      <w:r w:rsidRPr="00F3449D">
        <w:rPr>
          <w:b/>
          <w:bCs/>
        </w:rPr>
        <w:t>Appearance for Petitioner:</w:t>
      </w:r>
    </w:p>
    <w:p w14:paraId="12209742" w14:textId="0C9818D5" w:rsidR="008C1F51" w:rsidRDefault="00C053FB" w:rsidP="008C1F51">
      <w:pPr>
        <w:pStyle w:val="PlainText1"/>
      </w:pPr>
      <w:r w:rsidRPr="00C053FB">
        <w:t>Erik R. Bennett, Esq.</w:t>
      </w:r>
    </w:p>
    <w:p w14:paraId="07576738" w14:textId="39A16C99" w:rsidR="0092449B" w:rsidRDefault="00C053FB" w:rsidP="008C1F51">
      <w:pPr>
        <w:pStyle w:val="PlainText1"/>
      </w:pPr>
      <w:r>
        <w:t>Wakefield, MA 01880</w:t>
      </w:r>
    </w:p>
    <w:p w14:paraId="3F1F7136" w14:textId="77777777" w:rsidR="0092449B" w:rsidRPr="00EC3179" w:rsidRDefault="0092449B" w:rsidP="008C1F51">
      <w:pPr>
        <w:pStyle w:val="PlainText1"/>
      </w:pPr>
    </w:p>
    <w:p w14:paraId="3447025B" w14:textId="77777777" w:rsidR="008C1F51" w:rsidRPr="00F3449D" w:rsidRDefault="008C1F51" w:rsidP="008C1F51">
      <w:pPr>
        <w:pStyle w:val="PlainText1"/>
        <w:rPr>
          <w:b/>
          <w:bCs/>
        </w:rPr>
      </w:pPr>
      <w:r w:rsidRPr="00F3449D">
        <w:rPr>
          <w:b/>
          <w:bCs/>
        </w:rPr>
        <w:t>Appearance for Respondent:</w:t>
      </w:r>
    </w:p>
    <w:p w14:paraId="648DA929" w14:textId="77777777" w:rsidR="00C053FB" w:rsidRDefault="00C053FB" w:rsidP="008C1F51">
      <w:pPr>
        <w:pStyle w:val="PlainText1"/>
      </w:pPr>
      <w:r w:rsidRPr="00C053FB">
        <w:t>B. Adam Seidler, Esq.</w:t>
      </w:r>
    </w:p>
    <w:p w14:paraId="54073A0D" w14:textId="2FCF8FBA" w:rsidR="0092449B" w:rsidRDefault="00C053FB" w:rsidP="008C1F51">
      <w:pPr>
        <w:pStyle w:val="PlainText1"/>
      </w:pPr>
      <w:r>
        <w:t>New York, NY</w:t>
      </w:r>
    </w:p>
    <w:p w14:paraId="344AE66E" w14:textId="77777777" w:rsidR="0092449B" w:rsidRPr="00EC3179" w:rsidRDefault="0092449B" w:rsidP="008C1F51">
      <w:pPr>
        <w:pStyle w:val="PlainText1"/>
      </w:pPr>
    </w:p>
    <w:p w14:paraId="3876DE68" w14:textId="77777777" w:rsidR="008C1F51" w:rsidRPr="00F3449D" w:rsidRDefault="008C1F51" w:rsidP="008C1F51">
      <w:pPr>
        <w:pStyle w:val="PlainText1"/>
        <w:rPr>
          <w:b/>
          <w:bCs/>
        </w:rPr>
      </w:pPr>
      <w:r w:rsidRPr="00F3449D">
        <w:rPr>
          <w:b/>
          <w:bCs/>
        </w:rPr>
        <w:t>Administrative Magistrat</w:t>
      </w:r>
      <w:r w:rsidR="002315DB" w:rsidRPr="00F3449D">
        <w:rPr>
          <w:b/>
          <w:bCs/>
        </w:rPr>
        <w:t>e:</w:t>
      </w:r>
    </w:p>
    <w:p w14:paraId="433F0A75" w14:textId="77777777" w:rsidR="008C1F51" w:rsidRPr="00EC3179" w:rsidRDefault="008C1F51" w:rsidP="004F74D7">
      <w:pPr>
        <w:pStyle w:val="PlainText1"/>
      </w:pPr>
      <w:r w:rsidRPr="00EC3179">
        <w:t>Yakov Malkiel</w:t>
      </w:r>
    </w:p>
    <w:p w14:paraId="6480F9B4" w14:textId="77777777" w:rsidR="004F74D7" w:rsidRDefault="004F74D7" w:rsidP="008C1F51">
      <w:pPr>
        <w:pStyle w:val="PlainText1"/>
      </w:pPr>
    </w:p>
    <w:p w14:paraId="42F84801" w14:textId="48A8078F" w:rsidR="00E22152" w:rsidRDefault="0017326F" w:rsidP="00262188">
      <w:pPr>
        <w:pStyle w:val="Heading1"/>
      </w:pPr>
      <w:r>
        <w:t xml:space="preserve">SUMMARY OF </w:t>
      </w:r>
      <w:r w:rsidR="00C053FB">
        <w:t xml:space="preserve">RECOMMENDED </w:t>
      </w:r>
      <w:r w:rsidRPr="00262188">
        <w:t>DECISION</w:t>
      </w:r>
    </w:p>
    <w:p w14:paraId="49EF317E" w14:textId="39FD1886" w:rsidR="00AA3A7E" w:rsidRDefault="00C053FB" w:rsidP="00C3283C">
      <w:pPr>
        <w:pStyle w:val="Summarypara"/>
      </w:pPr>
      <w:r w:rsidRPr="00C053FB">
        <w:t xml:space="preserve">Discipline may be imposed upon the respondent physician, who </w:t>
      </w:r>
      <w:r>
        <w:t xml:space="preserve">committed Medicare fraud </w:t>
      </w:r>
      <w:r w:rsidRPr="00C053FB">
        <w:t xml:space="preserve">and was disciplined for that crime in another </w:t>
      </w:r>
      <w:r>
        <w:t>jurisdiction</w:t>
      </w:r>
      <w:r w:rsidRPr="00C053FB">
        <w:t>.</w:t>
      </w:r>
    </w:p>
    <w:p w14:paraId="784A9486" w14:textId="0DF1FE30" w:rsidR="00E22152" w:rsidRDefault="00C053FB" w:rsidP="00262188">
      <w:pPr>
        <w:pStyle w:val="Heading1"/>
      </w:pPr>
      <w:r>
        <w:t xml:space="preserve">RECOMMENDED </w:t>
      </w:r>
      <w:r w:rsidR="00E22152">
        <w:t>DECISION</w:t>
      </w:r>
    </w:p>
    <w:p w14:paraId="1C704232" w14:textId="77777777" w:rsidR="00C053FB" w:rsidRDefault="00C053FB" w:rsidP="00C053FB">
      <w:pPr>
        <w:pStyle w:val="Heading1"/>
      </w:pPr>
      <w:r>
        <w:t>Procedural Posture</w:t>
      </w:r>
    </w:p>
    <w:p w14:paraId="40F19598" w14:textId="71A5F256" w:rsidR="005A6DE8" w:rsidRDefault="00C053FB" w:rsidP="00AD77A2">
      <w:r>
        <w:t xml:space="preserve">The Board of Registration in Medicine commenced disciplinary proceedings against </w:t>
      </w:r>
      <w:r w:rsidR="00AD77A2">
        <w:t xml:space="preserve">Dr. </w:t>
      </w:r>
      <w:r w:rsidRPr="00C053FB">
        <w:t>Tae Gyun Kim</w:t>
      </w:r>
      <w:r>
        <w:t xml:space="preserve"> and referred the matter to DALA.  </w:t>
      </w:r>
      <w:r w:rsidR="005A6DE8">
        <w:t xml:space="preserve">Represented by counsel, </w:t>
      </w:r>
      <w:r>
        <w:t>Dr. Kim</w:t>
      </w:r>
      <w:r w:rsidR="005A6DE8">
        <w:t xml:space="preserve"> failed to file an answer</w:t>
      </w:r>
      <w:r w:rsidR="00AD77A2">
        <w:t xml:space="preserve">, and further </w:t>
      </w:r>
      <w:r w:rsidR="005A6DE8">
        <w:t>failed to show cause for that omission</w:t>
      </w:r>
      <w:r w:rsidR="00AD77A2">
        <w:t xml:space="preserve">.  801 C.M.R. § 1.01(6)(d)(2), </w:t>
      </w:r>
      <w:r w:rsidR="005A6DE8">
        <w:t>(7)(g)(2).</w:t>
      </w:r>
      <w:r w:rsidR="00AD77A2">
        <w:t xml:space="preserve">  </w:t>
      </w:r>
      <w:r w:rsidR="005A6DE8">
        <w:t xml:space="preserve">An order dated April 3, 2023 </w:t>
      </w:r>
      <w:r w:rsidR="00AD77A2">
        <w:t xml:space="preserve">entered </w:t>
      </w:r>
      <w:r w:rsidR="003A764D">
        <w:t xml:space="preserve">his </w:t>
      </w:r>
      <w:r w:rsidR="00AD77A2">
        <w:t>default</w:t>
      </w:r>
      <w:r w:rsidR="00AD77A2" w:rsidRPr="00AD77A2">
        <w:t>.</w:t>
      </w:r>
      <w:r w:rsidR="00AD77A2">
        <w:t xml:space="preserve"> </w:t>
      </w:r>
      <w:r w:rsidR="00AD77A2" w:rsidRPr="00AD77A2">
        <w:t xml:space="preserve"> </w:t>
      </w:r>
      <w:r w:rsidR="00AD77A2" w:rsidRPr="00AD77A2">
        <w:rPr>
          <w:i/>
          <w:iCs/>
        </w:rPr>
        <w:t>See</w:t>
      </w:r>
      <w:r w:rsidR="00AD77A2" w:rsidRPr="00AD77A2">
        <w:t xml:space="preserve"> G.L. c. 30A, §</w:t>
      </w:r>
      <w:r w:rsidR="00AD77A2">
        <w:t> </w:t>
      </w:r>
      <w:r w:rsidR="00AD77A2" w:rsidRPr="00AD77A2">
        <w:t>10.</w:t>
      </w:r>
      <w:r w:rsidR="00AD77A2">
        <w:t xml:space="preserve">  Complaint counsel moved for a recommended decision, offering a memorandum </w:t>
      </w:r>
      <w:r w:rsidR="003A764D">
        <w:t xml:space="preserve">of law </w:t>
      </w:r>
      <w:r w:rsidR="00AD77A2">
        <w:t xml:space="preserve">in support of the </w:t>
      </w:r>
      <w:r w:rsidR="0006056F">
        <w:t xml:space="preserve">statement of allegations’ asserted </w:t>
      </w:r>
      <w:r w:rsidR="00755068">
        <w:t>bases for discipline</w:t>
      </w:r>
      <w:r w:rsidR="00AD77A2">
        <w:t>.</w:t>
      </w:r>
    </w:p>
    <w:p w14:paraId="4B147DD5" w14:textId="77777777" w:rsidR="00E22152" w:rsidRDefault="00013F96" w:rsidP="00262188">
      <w:pPr>
        <w:pStyle w:val="Heading1"/>
      </w:pPr>
      <w:r w:rsidRPr="00013F96">
        <w:lastRenderedPageBreak/>
        <w:t>Findings of Fact</w:t>
      </w:r>
    </w:p>
    <w:p w14:paraId="6C2C3EC6" w14:textId="417F5E72" w:rsidR="00013F96" w:rsidRDefault="003A764D" w:rsidP="00E22152">
      <w:r>
        <w:t xml:space="preserve">When </w:t>
      </w:r>
      <w:r w:rsidR="00AD77A2">
        <w:t>a respondent default</w:t>
      </w:r>
      <w:r>
        <w:t>s,</w:t>
      </w:r>
      <w:r w:rsidR="00AD77A2">
        <w:t xml:space="preserve"> the petitioner’s well-pleaded allegations of fact are deemed true.</w:t>
      </w:r>
      <w:r w:rsidR="00AD77A2" w:rsidRPr="00AD77A2">
        <w:rPr>
          <w:i/>
          <w:iCs/>
        </w:rPr>
        <w:t xml:space="preserve"> </w:t>
      </w:r>
      <w:r w:rsidR="00AD77A2">
        <w:rPr>
          <w:i/>
          <w:iCs/>
        </w:rPr>
        <w:t xml:space="preserve"> See </w:t>
      </w:r>
      <w:proofErr w:type="spellStart"/>
      <w:r w:rsidR="00AD77A2" w:rsidRPr="00AD77A2">
        <w:rPr>
          <w:i/>
          <w:iCs/>
        </w:rPr>
        <w:t>Ceruolo</w:t>
      </w:r>
      <w:proofErr w:type="spellEnd"/>
      <w:r w:rsidR="00AD77A2" w:rsidRPr="00AD77A2">
        <w:rPr>
          <w:i/>
          <w:iCs/>
        </w:rPr>
        <w:t xml:space="preserve"> v. Garcia</w:t>
      </w:r>
      <w:r w:rsidR="00AD77A2" w:rsidRPr="00AD77A2">
        <w:t xml:space="preserve">, 92 Mass. App. Ct. 185, 191 (2017); </w:t>
      </w:r>
      <w:r w:rsidR="00AD77A2" w:rsidRPr="00AD77A2">
        <w:rPr>
          <w:i/>
          <w:iCs/>
        </w:rPr>
        <w:t xml:space="preserve">Eagle Fund, Ltd. v. </w:t>
      </w:r>
      <w:proofErr w:type="spellStart"/>
      <w:r w:rsidR="00AD77A2" w:rsidRPr="00AD77A2">
        <w:rPr>
          <w:i/>
          <w:iCs/>
        </w:rPr>
        <w:t>Sarkans</w:t>
      </w:r>
      <w:proofErr w:type="spellEnd"/>
      <w:r w:rsidR="00AD77A2" w:rsidRPr="00AD77A2">
        <w:t>, 63 Mass. App. Ct. 79, 83 n.8 (2005)</w:t>
      </w:r>
      <w:r w:rsidR="00AD77A2">
        <w:t xml:space="preserve">.  I therefore </w:t>
      </w:r>
      <w:r w:rsidR="00760C94">
        <w:t xml:space="preserve">find as fact </w:t>
      </w:r>
      <w:r w:rsidR="00755068">
        <w:t xml:space="preserve">paragraphs </w:t>
      </w:r>
      <w:r w:rsidR="00760C94">
        <w:t>nos. 1-11 of the statement of allegations.  Their gist is that Dr. Kim committed Medicare fraud, pleaded guilty to that crime in federal court, and was disciplined in connection with his conviction by the New York State Board for Professional Misconduct.</w:t>
      </w:r>
    </w:p>
    <w:p w14:paraId="0831FF74" w14:textId="0DC65184" w:rsidR="00E22152" w:rsidRDefault="00760C94" w:rsidP="00262188">
      <w:pPr>
        <w:pStyle w:val="Heading1"/>
      </w:pPr>
      <w:r>
        <w:t>Rulings of Law</w:t>
      </w:r>
    </w:p>
    <w:p w14:paraId="0121C8BB" w14:textId="0C31F34C" w:rsidR="001D5BB3" w:rsidRDefault="00760C94" w:rsidP="00E22152">
      <w:proofErr w:type="gramStart"/>
      <w:r>
        <w:t>On the basis of</w:t>
      </w:r>
      <w:proofErr w:type="gramEnd"/>
      <w:r>
        <w:t xml:space="preserve"> the facts adopted and summarized </w:t>
      </w:r>
      <w:r w:rsidRPr="00760C94">
        <w:rPr>
          <w:i/>
          <w:iCs/>
        </w:rPr>
        <w:t>supra</w:t>
      </w:r>
      <w:r>
        <w:t>, I rule as follows:</w:t>
      </w:r>
    </w:p>
    <w:p w14:paraId="081E5B45" w14:textId="06897348" w:rsidR="0092449B" w:rsidRDefault="00760C94" w:rsidP="00755068">
      <w:r>
        <w:t>1.</w:t>
      </w:r>
      <w:r>
        <w:tab/>
      </w:r>
      <w:r w:rsidR="00084FED">
        <w:t xml:space="preserve">Dr. Kim </w:t>
      </w:r>
      <w:r w:rsidR="00084FED" w:rsidRPr="00084FED">
        <w:t xml:space="preserve">has been disciplined in another jurisdiction for reasons </w:t>
      </w:r>
      <w:r w:rsidR="00D0588D">
        <w:t>“</w:t>
      </w:r>
      <w:r w:rsidR="00084FED" w:rsidRPr="00084FED">
        <w:t>substantially the same</w:t>
      </w:r>
      <w:r w:rsidR="00D0588D">
        <w:t>”</w:t>
      </w:r>
      <w:r w:rsidR="00084FED" w:rsidRPr="00084FED">
        <w:t xml:space="preserve"> as those</w:t>
      </w:r>
      <w:r w:rsidR="00D0588D">
        <w:t xml:space="preserve"> prescribed by the statute and regulations governing the practice of medicine in Massachusetts.  </w:t>
      </w:r>
      <w:r w:rsidR="00084FED" w:rsidRPr="00084FED">
        <w:t>243 C.M.R. § 1.03(5)(a)(12).</w:t>
      </w:r>
      <w:r w:rsidR="00084FED">
        <w:t xml:space="preserve">  </w:t>
      </w:r>
      <w:r w:rsidR="00D0588D">
        <w:t xml:space="preserve">Indeed, a variety of board regulations would authorize discipline </w:t>
      </w:r>
      <w:proofErr w:type="gramStart"/>
      <w:r w:rsidR="00D0588D">
        <w:t>on the basis of</w:t>
      </w:r>
      <w:proofErr w:type="gramEnd"/>
      <w:r w:rsidR="00D0588D">
        <w:t xml:space="preserve"> </w:t>
      </w:r>
      <w:r w:rsidR="00755068">
        <w:t>a Medicare fraud conviction</w:t>
      </w:r>
      <w:r w:rsidR="00D0588D">
        <w:t xml:space="preserve">.  </w:t>
      </w:r>
      <w:proofErr w:type="gramStart"/>
      <w:r w:rsidR="00D0588D">
        <w:t>See</w:t>
      </w:r>
      <w:proofErr w:type="gramEnd"/>
      <w:r w:rsidR="00B442BB">
        <w:t xml:space="preserve"> especially </w:t>
      </w:r>
      <w:r w:rsidR="00B442BB">
        <w:rPr>
          <w:i/>
          <w:iCs/>
        </w:rPr>
        <w:t>i</w:t>
      </w:r>
      <w:r w:rsidR="00B442BB" w:rsidRPr="005A3880">
        <w:rPr>
          <w:i/>
          <w:iCs/>
        </w:rPr>
        <w:t>d.</w:t>
      </w:r>
      <w:r w:rsidR="00B442BB">
        <w:t xml:space="preserve"> § 1.03</w:t>
      </w:r>
      <w:r w:rsidR="00D0588D">
        <w:t>(7)</w:t>
      </w:r>
      <w:r w:rsidR="00B442BB">
        <w:t xml:space="preserve"> (conviction of any crime); </w:t>
      </w:r>
      <w:r w:rsidR="00B442BB" w:rsidRPr="005A3880">
        <w:rPr>
          <w:i/>
          <w:iCs/>
        </w:rPr>
        <w:t>id.</w:t>
      </w:r>
      <w:r w:rsidR="00B442BB">
        <w:t xml:space="preserve"> § 1.03(13</w:t>
      </w:r>
      <w:r w:rsidR="00D0588D">
        <w:t>)</w:t>
      </w:r>
      <w:r w:rsidR="00B442BB">
        <w:t xml:space="preserve"> (violation of </w:t>
      </w:r>
      <w:r w:rsidR="00755068">
        <w:t xml:space="preserve">the </w:t>
      </w:r>
      <w:r w:rsidR="00455BDC">
        <w:t>board</w:t>
      </w:r>
      <w:r w:rsidR="00755068">
        <w:t xml:space="preserve">’s Medicare </w:t>
      </w:r>
      <w:r w:rsidR="00455BDC">
        <w:t>regulation).</w:t>
      </w:r>
    </w:p>
    <w:p w14:paraId="5C702AA0" w14:textId="2ED6AF31" w:rsidR="00455BDC" w:rsidRDefault="00455BDC" w:rsidP="00455BDC">
      <w:r>
        <w:t>2.</w:t>
      </w:r>
      <w:r>
        <w:tab/>
        <w:t>Dr. Kim “</w:t>
      </w:r>
      <w:r w:rsidRPr="00455BDC">
        <w:t>has been convicted of a criminal offense which reasonably calls into question his ability to practice medicine</w:t>
      </w:r>
      <w:r>
        <w:t xml:space="preserve">.”  G.L. c. 112, § 5, 8th para., (g).  It is true that Medicare fraud does not revolve around the quality of the </w:t>
      </w:r>
      <w:r w:rsidR="00950B29">
        <w:t xml:space="preserve">treatment </w:t>
      </w:r>
      <w:r>
        <w:t>provided to any patients.  Nonetheless, the Supreme Judicial Court has stated that:</w:t>
      </w:r>
    </w:p>
    <w:p w14:paraId="7D932E35" w14:textId="61F4E218" w:rsidR="00455BDC" w:rsidRDefault="00455BDC" w:rsidP="00455BDC">
      <w:pPr>
        <w:pStyle w:val="Quote"/>
      </w:pPr>
      <w:r>
        <w:t>The practice of modern medicine involves financial management</w:t>
      </w:r>
      <w:r w:rsidR="00755068" w:rsidRPr="00755068">
        <w:t>, as well as the care and treatment of patients</w:t>
      </w:r>
      <w:r>
        <w:t xml:space="preserve">.  A substantial portion of persons seeking medical assistance are assured that a portion of their costs will be paid by a third party. </w:t>
      </w:r>
      <w:r w:rsidR="003A764D">
        <w:t>. . .  [A]</w:t>
      </w:r>
      <w:r>
        <w:t>n intentional misdeed relating to third-party payors reflects adversely on a physician’s fitness to practice medicine.</w:t>
      </w:r>
    </w:p>
    <w:p w14:paraId="2A981824" w14:textId="19159443" w:rsidR="00455BDC" w:rsidRDefault="00455BDC" w:rsidP="00755068">
      <w:pPr>
        <w:pStyle w:val="Post-quote"/>
      </w:pPr>
      <w:r w:rsidRPr="00455BDC">
        <w:rPr>
          <w:i/>
          <w:iCs/>
        </w:rPr>
        <w:t>Levy v. Board of Registration &amp; Discipline in Med.</w:t>
      </w:r>
      <w:r>
        <w:t>, 378 Mass. 519, 526</w:t>
      </w:r>
      <w:r w:rsidR="00755068">
        <w:t>-</w:t>
      </w:r>
      <w:r>
        <w:t xml:space="preserve">27 (1979) (citations omitted).  </w:t>
      </w:r>
      <w:r w:rsidRPr="00455BDC">
        <w:rPr>
          <w:i/>
          <w:iCs/>
        </w:rPr>
        <w:t>See also Feldstein v. Board of Registration in Med.</w:t>
      </w:r>
      <w:r>
        <w:t>, 387 Mass. 339, 341 (1982).</w:t>
      </w:r>
    </w:p>
    <w:p w14:paraId="29A8E9CF" w14:textId="58FA43FC" w:rsidR="003A764D" w:rsidRPr="003A764D" w:rsidRDefault="00455BDC" w:rsidP="003A764D">
      <w:r>
        <w:lastRenderedPageBreak/>
        <w:t>3.</w:t>
      </w:r>
      <w:r>
        <w:tab/>
      </w:r>
      <w:r w:rsidR="003A764D">
        <w:t xml:space="preserve">Dr. Kim has engaged in behavior that demonstrates a lack of good moral character and tends to undermine public confidence in the integrity of the medical profession.  </w:t>
      </w:r>
      <w:r w:rsidR="003A764D" w:rsidRPr="00A25C3A">
        <w:rPr>
          <w:i/>
          <w:iCs/>
        </w:rPr>
        <w:t>See Raymond v. Board of Registration in Med</w:t>
      </w:r>
      <w:r w:rsidR="003A764D">
        <w:rPr>
          <w:i/>
          <w:iCs/>
        </w:rPr>
        <w:t>.</w:t>
      </w:r>
      <w:r w:rsidR="003A764D">
        <w:t xml:space="preserve">, 387 Mass. 708, 713 (1982).  Although the borderlines of the conduct that satisfies this predicate for discipline are not crystal clear, all criminal conduct qualifies, because such conduct is presumptively “antithetical to a commitment to preserve life, alleviate suffering, and restore health.”  </w:t>
      </w:r>
      <w:r w:rsidR="003A764D" w:rsidRPr="00794852">
        <w:rPr>
          <w:i/>
          <w:iCs/>
        </w:rPr>
        <w:t>Id.</w:t>
      </w:r>
      <w:r w:rsidR="003A764D">
        <w:t xml:space="preserve"> at 712.  </w:t>
      </w:r>
      <w:r w:rsidR="003A764D" w:rsidRPr="006540A7">
        <w:rPr>
          <w:i/>
          <w:iCs/>
        </w:rPr>
        <w:t>See BORIM</w:t>
      </w:r>
      <w:r w:rsidR="003A764D">
        <w:rPr>
          <w:i/>
          <w:iCs/>
        </w:rPr>
        <w:t xml:space="preserve"> v. Pedro</w:t>
      </w:r>
      <w:r w:rsidR="003A764D">
        <w:t>, No. RM-18-622, at *5-7 (DALA June 28, 2021,</w:t>
      </w:r>
      <w:r w:rsidR="003A764D" w:rsidRPr="006540A7">
        <w:rPr>
          <w:i/>
          <w:iCs/>
        </w:rPr>
        <w:t xml:space="preserve"> </w:t>
      </w:r>
      <w:r w:rsidR="003A764D" w:rsidRPr="003A764D">
        <w:rPr>
          <w:i/>
          <w:iCs/>
        </w:rPr>
        <w:t>adopted</w:t>
      </w:r>
      <w:r w:rsidR="003A764D">
        <w:t>, BORIM Dec. 16, 2021).</w:t>
      </w:r>
    </w:p>
    <w:p w14:paraId="0FA0156D" w14:textId="06A0AFC9" w:rsidR="00057687" w:rsidRDefault="00E22152" w:rsidP="00262188">
      <w:pPr>
        <w:pStyle w:val="Heading1"/>
      </w:pPr>
      <w:r>
        <w:t>Conclusion</w:t>
      </w:r>
    </w:p>
    <w:p w14:paraId="0B62ADC9" w14:textId="29999B86" w:rsidR="00E81DF8" w:rsidRDefault="00084FED" w:rsidP="00E81DF8">
      <w:r w:rsidRPr="00084FED">
        <w:t xml:space="preserve">The board may impose disciplinary measures on Dr. </w:t>
      </w:r>
      <w:r>
        <w:t xml:space="preserve">Kim </w:t>
      </w:r>
      <w:r w:rsidRPr="00084FED">
        <w:t xml:space="preserve">in connection with the bases of discipline described </w:t>
      </w:r>
      <w:r w:rsidRPr="00084FED">
        <w:rPr>
          <w:i/>
          <w:iCs/>
        </w:rPr>
        <w:t>supra</w:t>
      </w:r>
      <w:r w:rsidRPr="00084FED">
        <w:t>.</w:t>
      </w:r>
    </w:p>
    <w:p w14:paraId="63B1B62C" w14:textId="77777777" w:rsidR="00FE3340" w:rsidRDefault="00E81DF8" w:rsidP="00D40599">
      <w:pPr>
        <w:pStyle w:val="PlainText1"/>
        <w:keepNext/>
        <w:ind w:left="4320"/>
      </w:pPr>
      <w:r>
        <w:br/>
      </w:r>
      <w:r w:rsidR="00FE3340">
        <w:t>Division of Administrative Law Appeals</w:t>
      </w:r>
    </w:p>
    <w:p w14:paraId="33A69661" w14:textId="77777777" w:rsidR="00FE3340" w:rsidRDefault="00FE3340" w:rsidP="00D40599">
      <w:pPr>
        <w:pStyle w:val="PlainText1"/>
        <w:keepNext/>
        <w:ind w:left="4320"/>
      </w:pPr>
    </w:p>
    <w:p w14:paraId="18E3E80C" w14:textId="53EF064B" w:rsidR="001944A3" w:rsidRPr="003A54CC" w:rsidRDefault="003A54CC" w:rsidP="00D40599">
      <w:pPr>
        <w:pStyle w:val="PlainText1"/>
        <w:keepNext/>
        <w:ind w:left="4320"/>
        <w:rPr>
          <w:u w:val="single"/>
        </w:rPr>
      </w:pPr>
      <w:r w:rsidRPr="003A54CC">
        <w:rPr>
          <w:u w:val="single"/>
        </w:rPr>
        <w:t>/s/ Yakov Malkiel</w:t>
      </w:r>
    </w:p>
    <w:p w14:paraId="7A49E1E8" w14:textId="77777777" w:rsidR="00FE3340" w:rsidRDefault="00FE3340" w:rsidP="00D40599">
      <w:pPr>
        <w:pStyle w:val="PlainText1"/>
        <w:keepNext/>
        <w:ind w:left="4320"/>
      </w:pPr>
      <w:r>
        <w:t>Yakov Malkiel</w:t>
      </w:r>
    </w:p>
    <w:p w14:paraId="7F6C8168" w14:textId="77777777" w:rsidR="00FE3340" w:rsidRPr="00E22152" w:rsidRDefault="00FE3340" w:rsidP="0072561C">
      <w:pPr>
        <w:pStyle w:val="PlainText1"/>
        <w:keepNext/>
        <w:ind w:left="4320"/>
      </w:pPr>
      <w:r>
        <w:t>Administrative Magistrate</w:t>
      </w:r>
    </w:p>
    <w:sectPr w:rsidR="00FE3340" w:rsidRPr="00E22152" w:rsidSect="00A64A4D">
      <w:headerReference w:type="default"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F67D" w14:textId="77777777" w:rsidR="00611CF4" w:rsidRDefault="00611CF4" w:rsidP="00E22152">
      <w:r>
        <w:separator/>
      </w:r>
    </w:p>
  </w:endnote>
  <w:endnote w:type="continuationSeparator" w:id="0">
    <w:p w14:paraId="0EBF4302" w14:textId="77777777" w:rsidR="00611CF4" w:rsidRDefault="00611CF4" w:rsidP="00E2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F985" w14:textId="77777777" w:rsidR="00A64A4D" w:rsidRPr="00A64A4D" w:rsidRDefault="00000000" w:rsidP="008C1F51">
    <w:pPr>
      <w:pStyle w:val="PlainText1"/>
      <w:jc w:val="center"/>
    </w:pPr>
    <w:sdt>
      <w:sdtPr>
        <w:id w:val="-868615135"/>
        <w:docPartObj>
          <w:docPartGallery w:val="Page Numbers (Bottom of Page)"/>
          <w:docPartUnique/>
        </w:docPartObj>
      </w:sdtPr>
      <w:sdtEndPr>
        <w:rPr>
          <w:noProof/>
        </w:rPr>
      </w:sdtEndPr>
      <w:sdtContent>
        <w:r w:rsidR="00F3449D" w:rsidRPr="00A64A4D">
          <w:fldChar w:fldCharType="begin"/>
        </w:r>
        <w:r w:rsidR="00F3449D" w:rsidRPr="00A64A4D">
          <w:instrText xml:space="preserve"> PAGE   \* MERGEFORMAT </w:instrText>
        </w:r>
        <w:r w:rsidR="00F3449D" w:rsidRPr="00A64A4D">
          <w:fldChar w:fldCharType="separate"/>
        </w:r>
        <w:r w:rsidR="00F3449D">
          <w:t>2</w:t>
        </w:r>
        <w:r w:rsidR="00F3449D" w:rsidRPr="00A64A4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AB5E" w14:textId="77777777" w:rsidR="00611CF4" w:rsidRDefault="00611CF4" w:rsidP="00E22152">
      <w:r>
        <w:separator/>
      </w:r>
    </w:p>
  </w:footnote>
  <w:footnote w:type="continuationSeparator" w:id="0">
    <w:p w14:paraId="2D7A085C" w14:textId="77777777" w:rsidR="00611CF4" w:rsidRDefault="00611CF4" w:rsidP="00E2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F3449D" w14:paraId="2FD03B5F" w14:textId="77777777" w:rsidTr="00F3449D">
      <w:tc>
        <w:tcPr>
          <w:tcW w:w="4675" w:type="dxa"/>
        </w:tcPr>
        <w:p w14:paraId="677F3B75" w14:textId="705515B9" w:rsidR="00F3449D" w:rsidRPr="0092449B" w:rsidRDefault="000458C1" w:rsidP="00F3449D">
          <w:pPr>
            <w:pStyle w:val="PlainText1"/>
            <w:rPr>
              <w:i/>
              <w:iCs/>
            </w:rPr>
          </w:pPr>
          <w:r w:rsidRPr="000458C1">
            <w:rPr>
              <w:i/>
              <w:iCs/>
            </w:rPr>
            <w:t>BORIM v. Kim</w:t>
          </w:r>
        </w:p>
      </w:tc>
      <w:tc>
        <w:tcPr>
          <w:tcW w:w="4675" w:type="dxa"/>
        </w:tcPr>
        <w:p w14:paraId="1718DC83" w14:textId="26BC1E82" w:rsidR="00F3449D" w:rsidRPr="0017326F" w:rsidRDefault="000458C1" w:rsidP="00F3449D">
          <w:pPr>
            <w:pStyle w:val="PlainText1"/>
            <w:jc w:val="right"/>
            <w:rPr>
              <w:i/>
              <w:iCs/>
            </w:rPr>
          </w:pPr>
          <w:r>
            <w:rPr>
              <w:i/>
              <w:iCs/>
            </w:rPr>
            <w:t>RM-23-0035</w:t>
          </w:r>
        </w:p>
      </w:tc>
    </w:tr>
  </w:tbl>
  <w:p w14:paraId="628284AD" w14:textId="77777777" w:rsidR="001D5BB3" w:rsidRPr="00F3449D" w:rsidRDefault="001D5BB3" w:rsidP="00F3449D">
    <w:pPr>
      <w:pStyle w:val="PlainText1"/>
      <w:jc w:val="center"/>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7621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D04F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69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40B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5053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2C8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4A9D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0E2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4E5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61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8B4658"/>
    <w:multiLevelType w:val="hybridMultilevel"/>
    <w:tmpl w:val="ADA64248"/>
    <w:lvl w:ilvl="0" w:tplc="2EE45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D9107E"/>
    <w:multiLevelType w:val="hybridMultilevel"/>
    <w:tmpl w:val="B48CFEA6"/>
    <w:lvl w:ilvl="0" w:tplc="E18A1568">
      <w:start w:val="1"/>
      <w:numFmt w:val="decimal"/>
      <w:lvlText w:val="%1."/>
      <w:lvlJc w:val="left"/>
      <w:pPr>
        <w:ind w:left="1440" w:hanging="360"/>
      </w:pPr>
      <w:rPr>
        <w:rFonts w:hint="default"/>
      </w:rPr>
    </w:lvl>
    <w:lvl w:ilvl="1" w:tplc="B15A813C">
      <w:start w:val="1"/>
      <w:numFmt w:val="decimal"/>
      <w:pStyle w:val="ListedFinding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139432">
    <w:abstractNumId w:val="9"/>
  </w:num>
  <w:num w:numId="2" w16cid:durableId="1615288326">
    <w:abstractNumId w:val="7"/>
  </w:num>
  <w:num w:numId="3" w16cid:durableId="1760371721">
    <w:abstractNumId w:val="6"/>
  </w:num>
  <w:num w:numId="4" w16cid:durableId="1866017845">
    <w:abstractNumId w:val="5"/>
  </w:num>
  <w:num w:numId="5" w16cid:durableId="37440370">
    <w:abstractNumId w:val="4"/>
  </w:num>
  <w:num w:numId="6" w16cid:durableId="527523564">
    <w:abstractNumId w:val="8"/>
  </w:num>
  <w:num w:numId="7" w16cid:durableId="2030064797">
    <w:abstractNumId w:val="3"/>
  </w:num>
  <w:num w:numId="8" w16cid:durableId="1341129149">
    <w:abstractNumId w:val="2"/>
  </w:num>
  <w:num w:numId="9" w16cid:durableId="452990490">
    <w:abstractNumId w:val="1"/>
  </w:num>
  <w:num w:numId="10" w16cid:durableId="1656758557">
    <w:abstractNumId w:val="0"/>
  </w:num>
  <w:num w:numId="11" w16cid:durableId="1010134846">
    <w:abstractNumId w:val="10"/>
  </w:num>
  <w:num w:numId="12" w16cid:durableId="1108622783">
    <w:abstractNumId w:val="11"/>
  </w:num>
  <w:num w:numId="13" w16cid:durableId="228735532">
    <w:abstractNumId w:val="11"/>
  </w:num>
  <w:num w:numId="14" w16cid:durableId="2054042512">
    <w:abstractNumId w:val="11"/>
  </w:num>
  <w:num w:numId="15" w16cid:durableId="19764477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8E"/>
    <w:rsid w:val="0000424D"/>
    <w:rsid w:val="00010B8E"/>
    <w:rsid w:val="00013F96"/>
    <w:rsid w:val="000327FB"/>
    <w:rsid w:val="0004402C"/>
    <w:rsid w:val="000458C1"/>
    <w:rsid w:val="00057687"/>
    <w:rsid w:val="0006056F"/>
    <w:rsid w:val="00084FED"/>
    <w:rsid w:val="000A00EF"/>
    <w:rsid w:val="000B4192"/>
    <w:rsid w:val="000C09ED"/>
    <w:rsid w:val="00161EA6"/>
    <w:rsid w:val="0017326F"/>
    <w:rsid w:val="00186295"/>
    <w:rsid w:val="00187741"/>
    <w:rsid w:val="00192DA3"/>
    <w:rsid w:val="001944A3"/>
    <w:rsid w:val="001D5BB3"/>
    <w:rsid w:val="002051CE"/>
    <w:rsid w:val="002158AD"/>
    <w:rsid w:val="002168BF"/>
    <w:rsid w:val="002315DB"/>
    <w:rsid w:val="00262188"/>
    <w:rsid w:val="0026591B"/>
    <w:rsid w:val="002A331A"/>
    <w:rsid w:val="002A6D79"/>
    <w:rsid w:val="002A722E"/>
    <w:rsid w:val="002B2EC0"/>
    <w:rsid w:val="002F40B1"/>
    <w:rsid w:val="002F4B7F"/>
    <w:rsid w:val="00315355"/>
    <w:rsid w:val="00375D34"/>
    <w:rsid w:val="00376C2C"/>
    <w:rsid w:val="003A54CC"/>
    <w:rsid w:val="003A764D"/>
    <w:rsid w:val="003D3D55"/>
    <w:rsid w:val="003E728E"/>
    <w:rsid w:val="0040028E"/>
    <w:rsid w:val="004166A7"/>
    <w:rsid w:val="00455BDC"/>
    <w:rsid w:val="00472681"/>
    <w:rsid w:val="00473EF9"/>
    <w:rsid w:val="00483D50"/>
    <w:rsid w:val="004842BB"/>
    <w:rsid w:val="00486BF4"/>
    <w:rsid w:val="00487419"/>
    <w:rsid w:val="00491599"/>
    <w:rsid w:val="004D1025"/>
    <w:rsid w:val="004F74D7"/>
    <w:rsid w:val="005101B9"/>
    <w:rsid w:val="0053447C"/>
    <w:rsid w:val="00581F17"/>
    <w:rsid w:val="005A339D"/>
    <w:rsid w:val="005A6DE8"/>
    <w:rsid w:val="005B588D"/>
    <w:rsid w:val="005F1810"/>
    <w:rsid w:val="0060251B"/>
    <w:rsid w:val="00611CF4"/>
    <w:rsid w:val="006125FD"/>
    <w:rsid w:val="00626D5B"/>
    <w:rsid w:val="0064369B"/>
    <w:rsid w:val="00696951"/>
    <w:rsid w:val="006B3A41"/>
    <w:rsid w:val="006B50EF"/>
    <w:rsid w:val="006B70BE"/>
    <w:rsid w:val="006E0443"/>
    <w:rsid w:val="0072561C"/>
    <w:rsid w:val="00735B3A"/>
    <w:rsid w:val="00755068"/>
    <w:rsid w:val="00760C94"/>
    <w:rsid w:val="00771571"/>
    <w:rsid w:val="00771D39"/>
    <w:rsid w:val="00794625"/>
    <w:rsid w:val="007B738D"/>
    <w:rsid w:val="008210F1"/>
    <w:rsid w:val="00845449"/>
    <w:rsid w:val="008927A7"/>
    <w:rsid w:val="0089515B"/>
    <w:rsid w:val="008B2276"/>
    <w:rsid w:val="008C1F51"/>
    <w:rsid w:val="008C7D6E"/>
    <w:rsid w:val="00904340"/>
    <w:rsid w:val="0092449B"/>
    <w:rsid w:val="0093696D"/>
    <w:rsid w:val="00936A06"/>
    <w:rsid w:val="00944397"/>
    <w:rsid w:val="00950B29"/>
    <w:rsid w:val="00992517"/>
    <w:rsid w:val="009B46E9"/>
    <w:rsid w:val="009C464C"/>
    <w:rsid w:val="009E3F81"/>
    <w:rsid w:val="00A40C90"/>
    <w:rsid w:val="00A64A4D"/>
    <w:rsid w:val="00A81C4E"/>
    <w:rsid w:val="00AA3A7E"/>
    <w:rsid w:val="00AC7F03"/>
    <w:rsid w:val="00AD77A2"/>
    <w:rsid w:val="00AF2A36"/>
    <w:rsid w:val="00B0032D"/>
    <w:rsid w:val="00B23FF9"/>
    <w:rsid w:val="00B2438B"/>
    <w:rsid w:val="00B4000A"/>
    <w:rsid w:val="00B40157"/>
    <w:rsid w:val="00B43685"/>
    <w:rsid w:val="00B442BB"/>
    <w:rsid w:val="00B52ADA"/>
    <w:rsid w:val="00B66F3B"/>
    <w:rsid w:val="00B8155C"/>
    <w:rsid w:val="00B84AE6"/>
    <w:rsid w:val="00BA2CB2"/>
    <w:rsid w:val="00BB42C0"/>
    <w:rsid w:val="00C002E2"/>
    <w:rsid w:val="00C053FB"/>
    <w:rsid w:val="00C13963"/>
    <w:rsid w:val="00C3283C"/>
    <w:rsid w:val="00C32CC0"/>
    <w:rsid w:val="00C33C50"/>
    <w:rsid w:val="00C6577C"/>
    <w:rsid w:val="00C71BAF"/>
    <w:rsid w:val="00C817BB"/>
    <w:rsid w:val="00C9091B"/>
    <w:rsid w:val="00CC3EA6"/>
    <w:rsid w:val="00CD23AE"/>
    <w:rsid w:val="00D0588D"/>
    <w:rsid w:val="00D27148"/>
    <w:rsid w:val="00D40599"/>
    <w:rsid w:val="00D84D6B"/>
    <w:rsid w:val="00DB5E85"/>
    <w:rsid w:val="00DC292E"/>
    <w:rsid w:val="00DF7F0A"/>
    <w:rsid w:val="00E22152"/>
    <w:rsid w:val="00E25B4C"/>
    <w:rsid w:val="00E41DCF"/>
    <w:rsid w:val="00E622DF"/>
    <w:rsid w:val="00E75678"/>
    <w:rsid w:val="00E81DF8"/>
    <w:rsid w:val="00E83E90"/>
    <w:rsid w:val="00E90F75"/>
    <w:rsid w:val="00E97BB4"/>
    <w:rsid w:val="00EA1D2D"/>
    <w:rsid w:val="00EA5D3D"/>
    <w:rsid w:val="00EC3179"/>
    <w:rsid w:val="00F30A42"/>
    <w:rsid w:val="00F3449D"/>
    <w:rsid w:val="00F44B6E"/>
    <w:rsid w:val="00F73A8D"/>
    <w:rsid w:val="00FD7C0F"/>
    <w:rsid w:val="00FE3340"/>
    <w:rsid w:val="00FE45B4"/>
    <w:rsid w:val="00FE5B3A"/>
    <w:rsid w:val="00FF4B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6CA6"/>
  <w15:chartTrackingRefBased/>
  <w15:docId w15:val="{6D5C8C06-DB4A-416E-B33E-07D33434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57"/>
    <w:pPr>
      <w:spacing w:after="0" w:line="480" w:lineRule="auto"/>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472681"/>
    <w:pPr>
      <w:keepNext/>
      <w:spacing w:after="240" w:line="240" w:lineRule="auto"/>
      <w:ind w:firstLine="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Post-quote"/>
    <w:link w:val="QuoteChar"/>
    <w:uiPriority w:val="29"/>
    <w:qFormat/>
    <w:rsid w:val="00AF2A36"/>
    <w:pPr>
      <w:spacing w:after="240" w:line="240" w:lineRule="auto"/>
      <w:ind w:left="1440" w:right="720" w:firstLine="0"/>
    </w:pPr>
  </w:style>
  <w:style w:type="character" w:customStyle="1" w:styleId="QuoteChar">
    <w:name w:val="Quote Char"/>
    <w:basedOn w:val="DefaultParagraphFont"/>
    <w:link w:val="Quote"/>
    <w:uiPriority w:val="29"/>
    <w:rsid w:val="00AF2A36"/>
    <w:rPr>
      <w:rFonts w:ascii="Times New Roman" w:hAnsi="Times New Roman" w:cs="Times New Roman"/>
      <w:sz w:val="24"/>
      <w:szCs w:val="24"/>
    </w:rPr>
  </w:style>
  <w:style w:type="paragraph" w:styleId="ListParagraph">
    <w:name w:val="List Paragraph"/>
    <w:basedOn w:val="Normal"/>
    <w:uiPriority w:val="34"/>
    <w:qFormat/>
    <w:rsid w:val="00B40157"/>
    <w:pPr>
      <w:ind w:left="720"/>
      <w:contextualSpacing/>
    </w:pPr>
  </w:style>
  <w:style w:type="paragraph" w:styleId="Header">
    <w:name w:val="header"/>
    <w:basedOn w:val="Normal"/>
    <w:link w:val="HeaderChar"/>
    <w:uiPriority w:val="99"/>
    <w:unhideWhenUsed/>
    <w:rsid w:val="00B40157"/>
    <w:pPr>
      <w:tabs>
        <w:tab w:val="center" w:pos="4680"/>
        <w:tab w:val="right" w:pos="9360"/>
      </w:tabs>
      <w:spacing w:line="240" w:lineRule="auto"/>
    </w:pPr>
  </w:style>
  <w:style w:type="character" w:customStyle="1" w:styleId="HeaderChar">
    <w:name w:val="Header Char"/>
    <w:basedOn w:val="DefaultParagraphFont"/>
    <w:link w:val="Header"/>
    <w:uiPriority w:val="99"/>
    <w:rsid w:val="00B40157"/>
    <w:rPr>
      <w:rFonts w:ascii="Times New Roman" w:hAnsi="Times New Roman" w:cs="Times New Roman"/>
      <w:sz w:val="24"/>
      <w:szCs w:val="24"/>
    </w:rPr>
  </w:style>
  <w:style w:type="paragraph" w:styleId="Footer">
    <w:name w:val="footer"/>
    <w:basedOn w:val="Normal"/>
    <w:link w:val="FooterChar"/>
    <w:uiPriority w:val="99"/>
    <w:unhideWhenUsed/>
    <w:rsid w:val="00B40157"/>
    <w:pPr>
      <w:tabs>
        <w:tab w:val="center" w:pos="4680"/>
        <w:tab w:val="right" w:pos="9360"/>
      </w:tabs>
      <w:spacing w:line="240" w:lineRule="auto"/>
    </w:pPr>
  </w:style>
  <w:style w:type="character" w:customStyle="1" w:styleId="FooterChar">
    <w:name w:val="Footer Char"/>
    <w:basedOn w:val="DefaultParagraphFont"/>
    <w:link w:val="Footer"/>
    <w:uiPriority w:val="99"/>
    <w:rsid w:val="00B40157"/>
    <w:rPr>
      <w:rFonts w:ascii="Times New Roman" w:hAnsi="Times New Roman" w:cs="Times New Roman"/>
      <w:sz w:val="24"/>
      <w:szCs w:val="24"/>
    </w:rPr>
  </w:style>
  <w:style w:type="table" w:styleId="TableGrid">
    <w:name w:val="Table Grid"/>
    <w:basedOn w:val="TableNormal"/>
    <w:uiPriority w:val="39"/>
    <w:rsid w:val="00B4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2681"/>
    <w:rPr>
      <w:rFonts w:ascii="Times New Roman" w:hAnsi="Times New Roman" w:cs="Times New Roman"/>
      <w:b/>
      <w:bCs/>
      <w:sz w:val="24"/>
      <w:szCs w:val="24"/>
    </w:rPr>
  </w:style>
  <w:style w:type="paragraph" w:customStyle="1" w:styleId="PlainText1">
    <w:name w:val="Plain Text1"/>
    <w:basedOn w:val="Normal"/>
    <w:qFormat/>
    <w:rsid w:val="00B40157"/>
    <w:pPr>
      <w:spacing w:line="240" w:lineRule="auto"/>
      <w:ind w:firstLine="0"/>
    </w:pPr>
  </w:style>
  <w:style w:type="paragraph" w:customStyle="1" w:styleId="ListedFindings">
    <w:name w:val="Listed Findings"/>
    <w:basedOn w:val="ListParagraph"/>
    <w:qFormat/>
    <w:rsid w:val="00CD23AE"/>
    <w:pPr>
      <w:numPr>
        <w:ilvl w:val="1"/>
        <w:numId w:val="15"/>
      </w:numPr>
      <w:ind w:left="0" w:firstLine="720"/>
      <w:contextualSpacing w:val="0"/>
    </w:pPr>
  </w:style>
  <w:style w:type="paragraph" w:customStyle="1" w:styleId="Post-quote">
    <w:name w:val="Post-quote"/>
    <w:basedOn w:val="Normal"/>
    <w:next w:val="Normal"/>
    <w:qFormat/>
    <w:rsid w:val="00B40157"/>
    <w:pPr>
      <w:ind w:firstLine="0"/>
    </w:pPr>
  </w:style>
  <w:style w:type="paragraph" w:customStyle="1" w:styleId="Summarypara">
    <w:name w:val="Summary para."/>
    <w:basedOn w:val="Normal"/>
    <w:qFormat/>
    <w:rsid w:val="00B40157"/>
    <w:pPr>
      <w:spacing w:after="240" w:line="240" w:lineRule="auto"/>
    </w:pPr>
  </w:style>
  <w:style w:type="paragraph" w:styleId="BalloonText">
    <w:name w:val="Balloon Text"/>
    <w:basedOn w:val="Normal"/>
    <w:link w:val="BalloonTextChar"/>
    <w:uiPriority w:val="99"/>
    <w:semiHidden/>
    <w:unhideWhenUsed/>
    <w:rsid w:val="00B401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57"/>
    <w:rPr>
      <w:rFonts w:ascii="Segoe UI" w:hAnsi="Segoe UI" w:cs="Segoe UI"/>
      <w:sz w:val="18"/>
      <w:szCs w:val="18"/>
    </w:rPr>
  </w:style>
  <w:style w:type="paragraph" w:styleId="FootnoteText">
    <w:name w:val="footnote text"/>
    <w:basedOn w:val="Normal"/>
    <w:link w:val="FootnoteTextChar"/>
    <w:uiPriority w:val="99"/>
    <w:semiHidden/>
    <w:unhideWhenUsed/>
    <w:rsid w:val="00472681"/>
    <w:pPr>
      <w:spacing w:after="120" w:line="240" w:lineRule="auto"/>
    </w:pPr>
    <w:rPr>
      <w:szCs w:val="20"/>
    </w:rPr>
  </w:style>
  <w:style w:type="character" w:customStyle="1" w:styleId="FootnoteTextChar">
    <w:name w:val="Footnote Text Char"/>
    <w:basedOn w:val="DefaultParagraphFont"/>
    <w:link w:val="FootnoteText"/>
    <w:uiPriority w:val="99"/>
    <w:semiHidden/>
    <w:rsid w:val="00472681"/>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63238">
      <w:bodyDiv w:val="1"/>
      <w:marLeft w:val="0"/>
      <w:marRight w:val="0"/>
      <w:marTop w:val="0"/>
      <w:marBottom w:val="0"/>
      <w:divBdr>
        <w:top w:val="none" w:sz="0" w:space="0" w:color="auto"/>
        <w:left w:val="none" w:sz="0" w:space="0" w:color="auto"/>
        <w:bottom w:val="none" w:sz="0" w:space="0" w:color="auto"/>
        <w:right w:val="none" w:sz="0" w:space="0" w:color="auto"/>
      </w:divBdr>
      <w:divsChild>
        <w:div w:id="1489442307">
          <w:marLeft w:val="0"/>
          <w:marRight w:val="0"/>
          <w:marTop w:val="0"/>
          <w:marBottom w:val="0"/>
          <w:divBdr>
            <w:top w:val="none" w:sz="0" w:space="0" w:color="auto"/>
            <w:left w:val="none" w:sz="0" w:space="0" w:color="auto"/>
            <w:bottom w:val="none" w:sz="0" w:space="0" w:color="auto"/>
            <w:right w:val="none" w:sz="0" w:space="0" w:color="auto"/>
          </w:divBdr>
        </w:div>
      </w:divsChild>
    </w:div>
    <w:div w:id="2072733664">
      <w:bodyDiv w:val="1"/>
      <w:marLeft w:val="0"/>
      <w:marRight w:val="0"/>
      <w:marTop w:val="0"/>
      <w:marBottom w:val="0"/>
      <w:divBdr>
        <w:top w:val="none" w:sz="0" w:space="0" w:color="auto"/>
        <w:left w:val="none" w:sz="0" w:space="0" w:color="auto"/>
        <w:bottom w:val="none" w:sz="0" w:space="0" w:color="auto"/>
        <w:right w:val="none" w:sz="0" w:space="0" w:color="auto"/>
      </w:divBdr>
      <w:divsChild>
        <w:div w:id="169603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alkiel\Documents\%5e\YM\Templates\Template%20decision%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decision (final)</Template>
  <TotalTime>104</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 Malkiel</dc:creator>
  <cp:keywords/>
  <dc:description/>
  <cp:lastModifiedBy>LaPointe, Donald (DPH)</cp:lastModifiedBy>
  <cp:revision>10</cp:revision>
  <cp:lastPrinted>2023-04-12T12:41:00Z</cp:lastPrinted>
  <dcterms:created xsi:type="dcterms:W3CDTF">2023-04-11T13:30:00Z</dcterms:created>
  <dcterms:modified xsi:type="dcterms:W3CDTF">2023-08-10T12:52:00Z</dcterms:modified>
</cp:coreProperties>
</file>