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804" w:rsidRPr="008B3804" w:rsidRDefault="001B0514" w:rsidP="008B3804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8B3804" w:rsidRPr="008B3804">
        <w:rPr>
          <w:rFonts w:cs="Times New Roman"/>
          <w:szCs w:val="24"/>
        </w:rPr>
        <w:t>COMMONWEALTH OF MASSACHUSETTS</w:t>
      </w:r>
    </w:p>
    <w:p w:rsidR="008B3804" w:rsidRPr="008B3804" w:rsidRDefault="008B3804" w:rsidP="008B3804">
      <w:pPr>
        <w:jc w:val="center"/>
        <w:rPr>
          <w:rFonts w:cs="Times New Roman"/>
          <w:szCs w:val="24"/>
        </w:rPr>
      </w:pPr>
      <w:proofErr w:type="gramStart"/>
      <w:r w:rsidRPr="008B3804">
        <w:rPr>
          <w:rFonts w:cs="Times New Roman"/>
          <w:szCs w:val="24"/>
        </w:rPr>
        <w:t>Suffolk, ss.</w:t>
      </w:r>
      <w:proofErr w:type="gramEnd"/>
      <w:r w:rsidRPr="008B3804">
        <w:rPr>
          <w:rFonts w:cs="Times New Roman"/>
          <w:szCs w:val="24"/>
        </w:rPr>
        <w:tab/>
      </w:r>
      <w:r w:rsidRPr="008B3804">
        <w:rPr>
          <w:rFonts w:cs="Times New Roman"/>
          <w:szCs w:val="24"/>
        </w:rPr>
        <w:tab/>
      </w:r>
      <w:r w:rsidRPr="008B3804">
        <w:rPr>
          <w:rFonts w:cs="Times New Roman"/>
          <w:szCs w:val="24"/>
        </w:rPr>
        <w:tab/>
      </w:r>
      <w:r w:rsidRPr="008B3804">
        <w:rPr>
          <w:rFonts w:cs="Times New Roman"/>
          <w:szCs w:val="24"/>
        </w:rPr>
        <w:tab/>
      </w:r>
      <w:r w:rsidRPr="008B3804">
        <w:rPr>
          <w:rFonts w:cs="Times New Roman"/>
          <w:szCs w:val="24"/>
        </w:rPr>
        <w:tab/>
      </w:r>
      <w:r w:rsidRPr="008B3804">
        <w:rPr>
          <w:rFonts w:cs="Times New Roman"/>
          <w:szCs w:val="24"/>
        </w:rPr>
        <w:tab/>
        <w:t xml:space="preserve">      Division of Administrative Law Appeals</w:t>
      </w:r>
    </w:p>
    <w:p w:rsidR="008B3804" w:rsidRPr="008B3804" w:rsidRDefault="008B3804" w:rsidP="008B3804">
      <w:pPr>
        <w:rPr>
          <w:rFonts w:cs="Times New Roman"/>
          <w:szCs w:val="24"/>
        </w:rPr>
      </w:pPr>
      <w:r w:rsidRPr="008B3804">
        <w:rPr>
          <w:rFonts w:cs="Times New Roman"/>
          <w:szCs w:val="24"/>
        </w:rPr>
        <w:t>_______________________________________</w:t>
      </w:r>
    </w:p>
    <w:p w:rsidR="008B3804" w:rsidRPr="008B3804" w:rsidRDefault="008B3804" w:rsidP="008B3804">
      <w:p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Board of Registration in Medicine</w:t>
      </w:r>
      <w:r w:rsidRPr="008B3804">
        <w:rPr>
          <w:rFonts w:cs="Times New Roman"/>
          <w:b/>
          <w:szCs w:val="24"/>
        </w:rPr>
        <w:t>,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  <w:t xml:space="preserve">      </w:t>
      </w:r>
      <w:r w:rsidR="00D30856">
        <w:rPr>
          <w:rFonts w:cs="Times New Roman"/>
          <w:szCs w:val="24"/>
        </w:rPr>
        <w:t>Docket No. CR-15-193</w:t>
      </w:r>
    </w:p>
    <w:p w:rsidR="008B3804" w:rsidRPr="008B3804" w:rsidRDefault="008B3804" w:rsidP="008B3804">
      <w:pPr>
        <w:spacing w:line="240" w:lineRule="auto"/>
        <w:rPr>
          <w:rFonts w:cs="Times New Roman"/>
          <w:szCs w:val="24"/>
        </w:rPr>
      </w:pPr>
      <w:r w:rsidRPr="008B3804">
        <w:rPr>
          <w:rFonts w:cs="Times New Roman"/>
          <w:szCs w:val="24"/>
        </w:rPr>
        <w:tab/>
        <w:t>Petitioner</w:t>
      </w:r>
    </w:p>
    <w:p w:rsidR="008B3804" w:rsidRPr="008B3804" w:rsidRDefault="008B3804" w:rsidP="008B3804">
      <w:pPr>
        <w:spacing w:line="240" w:lineRule="auto"/>
        <w:rPr>
          <w:rFonts w:cs="Times New Roman"/>
          <w:szCs w:val="24"/>
        </w:rPr>
      </w:pPr>
    </w:p>
    <w:p w:rsidR="008B3804" w:rsidRPr="008B3804" w:rsidRDefault="008B3804" w:rsidP="008B3804">
      <w:pPr>
        <w:spacing w:line="240" w:lineRule="auto"/>
        <w:ind w:left="720" w:firstLine="720"/>
        <w:rPr>
          <w:rFonts w:cs="Times New Roman"/>
          <w:szCs w:val="24"/>
        </w:rPr>
      </w:pPr>
      <w:proofErr w:type="gramStart"/>
      <w:r w:rsidRPr="008B3804">
        <w:rPr>
          <w:rFonts w:cs="Times New Roman"/>
          <w:szCs w:val="24"/>
        </w:rPr>
        <w:t>v</w:t>
      </w:r>
      <w:proofErr w:type="gramEnd"/>
      <w:r w:rsidRPr="008B3804">
        <w:rPr>
          <w:rFonts w:cs="Times New Roman"/>
          <w:szCs w:val="24"/>
        </w:rPr>
        <w:t>.</w:t>
      </w:r>
    </w:p>
    <w:p w:rsidR="008B3804" w:rsidRPr="008B3804" w:rsidRDefault="008B3804" w:rsidP="008B3804">
      <w:pPr>
        <w:spacing w:line="240" w:lineRule="auto"/>
        <w:rPr>
          <w:rFonts w:cs="Times New Roman"/>
          <w:szCs w:val="24"/>
        </w:rPr>
      </w:pPr>
    </w:p>
    <w:p w:rsidR="008B3804" w:rsidRPr="008B3804" w:rsidRDefault="008B3804" w:rsidP="008B3804">
      <w:p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Medhat Michael</w:t>
      </w:r>
      <w:r w:rsidRPr="008B3804">
        <w:rPr>
          <w:rFonts w:cs="Times New Roman"/>
          <w:b/>
          <w:szCs w:val="24"/>
        </w:rPr>
        <w:t>,</w:t>
      </w:r>
      <w:r>
        <w:rPr>
          <w:rFonts w:cs="Times New Roman"/>
          <w:b/>
          <w:szCs w:val="24"/>
        </w:rPr>
        <w:t xml:space="preserve"> M.D. </w:t>
      </w:r>
    </w:p>
    <w:p w:rsidR="008B3804" w:rsidRPr="008B3804" w:rsidRDefault="008B3804" w:rsidP="008B3804">
      <w:pPr>
        <w:spacing w:line="240" w:lineRule="auto"/>
        <w:rPr>
          <w:rFonts w:cs="Times New Roman"/>
          <w:szCs w:val="24"/>
        </w:rPr>
      </w:pPr>
      <w:r w:rsidRPr="008B3804">
        <w:rPr>
          <w:rFonts w:cs="Times New Roman"/>
          <w:b/>
          <w:szCs w:val="24"/>
        </w:rPr>
        <w:tab/>
      </w:r>
      <w:r w:rsidRPr="008B3804">
        <w:rPr>
          <w:rFonts w:cs="Times New Roman"/>
          <w:szCs w:val="24"/>
        </w:rPr>
        <w:t>Respondent</w:t>
      </w:r>
    </w:p>
    <w:p w:rsidR="00681A73" w:rsidRPr="0099207B" w:rsidRDefault="008B3804" w:rsidP="008B3804">
      <w:pPr>
        <w:rPr>
          <w:rFonts w:cs="Times New Roman"/>
          <w:szCs w:val="24"/>
        </w:rPr>
      </w:pPr>
      <w:r w:rsidRPr="008B3804">
        <w:rPr>
          <w:rFonts w:cs="Times New Roman"/>
          <w:szCs w:val="24"/>
        </w:rPr>
        <w:t>_______________________________________</w:t>
      </w:r>
    </w:p>
    <w:p w:rsidR="00681A73" w:rsidRPr="0099207B" w:rsidRDefault="00681A73" w:rsidP="00681A73">
      <w:pPr>
        <w:spacing w:line="240" w:lineRule="auto"/>
        <w:rPr>
          <w:rFonts w:cs="Times New Roman"/>
          <w:szCs w:val="24"/>
        </w:rPr>
      </w:pPr>
      <w:r w:rsidRPr="0099207B">
        <w:rPr>
          <w:rFonts w:cs="Times New Roman"/>
          <w:b/>
          <w:szCs w:val="24"/>
        </w:rPr>
        <w:t>Appearance for Petitioner</w:t>
      </w:r>
      <w:r w:rsidRPr="0099207B">
        <w:rPr>
          <w:rFonts w:cs="Times New Roman"/>
          <w:szCs w:val="24"/>
        </w:rPr>
        <w:t>:</w:t>
      </w:r>
      <w:r w:rsidRPr="0099207B">
        <w:rPr>
          <w:rFonts w:cs="Times New Roman"/>
          <w:szCs w:val="24"/>
        </w:rPr>
        <w:tab/>
      </w:r>
      <w:r w:rsidRPr="0099207B">
        <w:rPr>
          <w:rFonts w:cs="Times New Roman"/>
          <w:szCs w:val="24"/>
        </w:rPr>
        <w:tab/>
      </w:r>
      <w:r w:rsidRPr="0099207B">
        <w:rPr>
          <w:rFonts w:cs="Times New Roman"/>
          <w:szCs w:val="24"/>
        </w:rPr>
        <w:tab/>
      </w:r>
    </w:p>
    <w:p w:rsidR="00681A73" w:rsidRPr="0099207B" w:rsidRDefault="00681A73" w:rsidP="00681A73">
      <w:pPr>
        <w:spacing w:line="240" w:lineRule="auto"/>
        <w:rPr>
          <w:rFonts w:cs="Times New Roman"/>
          <w:szCs w:val="24"/>
          <w:highlight w:val="lightGray"/>
        </w:rPr>
      </w:pPr>
    </w:p>
    <w:p w:rsidR="00681A73" w:rsidRPr="0099207B" w:rsidRDefault="00681A73" w:rsidP="00681A73">
      <w:pPr>
        <w:spacing w:line="240" w:lineRule="auto"/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James Paikos</w:t>
      </w:r>
      <w:r w:rsidRPr="0099207B">
        <w:rPr>
          <w:rFonts w:cs="Times New Roman"/>
          <w:szCs w:val="24"/>
        </w:rPr>
        <w:t>, Esq.</w:t>
      </w:r>
    </w:p>
    <w:p w:rsidR="00681A73" w:rsidRPr="0099207B" w:rsidRDefault="00681A73" w:rsidP="00681A73">
      <w:pPr>
        <w:spacing w:line="240" w:lineRule="auto"/>
        <w:ind w:left="720"/>
        <w:rPr>
          <w:rFonts w:cs="Times New Roman"/>
          <w:szCs w:val="24"/>
        </w:rPr>
      </w:pPr>
      <w:r w:rsidRPr="0099207B">
        <w:rPr>
          <w:rFonts w:cs="Times New Roman"/>
          <w:szCs w:val="24"/>
        </w:rPr>
        <w:t>Board of Registration in Medicine</w:t>
      </w:r>
    </w:p>
    <w:p w:rsidR="00681A73" w:rsidRPr="0099207B" w:rsidRDefault="00681A73" w:rsidP="00681A73">
      <w:pPr>
        <w:spacing w:line="240" w:lineRule="auto"/>
        <w:ind w:left="720"/>
        <w:rPr>
          <w:rFonts w:cs="Times New Roman"/>
          <w:szCs w:val="24"/>
        </w:rPr>
      </w:pPr>
      <w:r w:rsidRPr="0099207B">
        <w:rPr>
          <w:rFonts w:cs="Times New Roman"/>
          <w:szCs w:val="24"/>
        </w:rPr>
        <w:t>200 Harvard Mill Square</w:t>
      </w:r>
    </w:p>
    <w:p w:rsidR="00681A73" w:rsidRPr="0099207B" w:rsidRDefault="00681A73" w:rsidP="00681A73">
      <w:pPr>
        <w:spacing w:line="240" w:lineRule="auto"/>
        <w:ind w:left="720"/>
        <w:rPr>
          <w:rFonts w:cs="Times New Roman"/>
          <w:szCs w:val="24"/>
        </w:rPr>
      </w:pPr>
      <w:r w:rsidRPr="0099207B">
        <w:rPr>
          <w:rFonts w:cs="Times New Roman"/>
          <w:szCs w:val="24"/>
        </w:rPr>
        <w:t>Suite 330</w:t>
      </w:r>
    </w:p>
    <w:p w:rsidR="00681A73" w:rsidRPr="0099207B" w:rsidRDefault="00681A73" w:rsidP="00681A73">
      <w:pPr>
        <w:spacing w:line="240" w:lineRule="auto"/>
        <w:ind w:left="720"/>
        <w:rPr>
          <w:rFonts w:cs="Times New Roman"/>
          <w:szCs w:val="24"/>
        </w:rPr>
      </w:pPr>
      <w:r w:rsidRPr="0099207B">
        <w:rPr>
          <w:rFonts w:cs="Times New Roman"/>
          <w:szCs w:val="24"/>
        </w:rPr>
        <w:t>Wakefield, MA 01880</w:t>
      </w:r>
    </w:p>
    <w:p w:rsidR="00681A73" w:rsidRPr="0099207B" w:rsidRDefault="00681A73" w:rsidP="00681A73">
      <w:pPr>
        <w:spacing w:line="240" w:lineRule="auto"/>
        <w:rPr>
          <w:rFonts w:cs="Times New Roman"/>
          <w:szCs w:val="24"/>
          <w:highlight w:val="lightGray"/>
        </w:rPr>
      </w:pPr>
    </w:p>
    <w:p w:rsidR="00681A73" w:rsidRPr="0099207B" w:rsidRDefault="00681A73" w:rsidP="00681A73">
      <w:pPr>
        <w:spacing w:line="240" w:lineRule="auto"/>
        <w:rPr>
          <w:rFonts w:cs="Times New Roman"/>
          <w:szCs w:val="24"/>
        </w:rPr>
      </w:pPr>
      <w:r w:rsidRPr="0099207B">
        <w:rPr>
          <w:rFonts w:cs="Times New Roman"/>
          <w:b/>
          <w:szCs w:val="24"/>
        </w:rPr>
        <w:t>Appearances for Respondent</w:t>
      </w:r>
      <w:r w:rsidRPr="0099207B">
        <w:rPr>
          <w:rFonts w:cs="Times New Roman"/>
          <w:szCs w:val="24"/>
        </w:rPr>
        <w:t>:</w:t>
      </w:r>
      <w:r w:rsidRPr="0099207B">
        <w:rPr>
          <w:rFonts w:cs="Times New Roman"/>
          <w:szCs w:val="24"/>
        </w:rPr>
        <w:tab/>
      </w:r>
      <w:r w:rsidRPr="0099207B">
        <w:rPr>
          <w:rFonts w:cs="Times New Roman"/>
          <w:szCs w:val="24"/>
        </w:rPr>
        <w:tab/>
      </w:r>
      <w:r w:rsidRPr="0099207B">
        <w:rPr>
          <w:rFonts w:cs="Times New Roman"/>
          <w:szCs w:val="24"/>
        </w:rPr>
        <w:tab/>
      </w:r>
    </w:p>
    <w:p w:rsidR="00681A73" w:rsidRPr="0099207B" w:rsidRDefault="00681A73" w:rsidP="00681A73">
      <w:pPr>
        <w:spacing w:line="240" w:lineRule="auto"/>
        <w:rPr>
          <w:rFonts w:cs="Times New Roman"/>
          <w:szCs w:val="24"/>
        </w:rPr>
      </w:pPr>
    </w:p>
    <w:p w:rsidR="00681A73" w:rsidRDefault="00447C1D" w:rsidP="00681A73">
      <w:pPr>
        <w:spacing w:line="240" w:lineRule="auto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Medhat</w:t>
      </w:r>
      <w:r w:rsidR="008B73A1">
        <w:rPr>
          <w:rFonts w:cs="Times New Roman"/>
          <w:szCs w:val="24"/>
        </w:rPr>
        <w:t xml:space="preserve"> Michael, M.D., </w:t>
      </w:r>
      <w:r w:rsidRPr="00447C1D">
        <w:rPr>
          <w:rFonts w:cs="Times New Roman"/>
          <w:i/>
          <w:szCs w:val="24"/>
        </w:rPr>
        <w:t>pro s</w:t>
      </w:r>
      <w:r w:rsidR="00681A73" w:rsidRPr="00447C1D">
        <w:rPr>
          <w:rFonts w:cs="Times New Roman"/>
          <w:i/>
          <w:szCs w:val="24"/>
        </w:rPr>
        <w:t>e</w:t>
      </w:r>
    </w:p>
    <w:p w:rsidR="00447C1D" w:rsidRDefault="00447C1D" w:rsidP="00681A73">
      <w:pPr>
        <w:spacing w:line="240" w:lineRule="auto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P.O. Box 720911</w:t>
      </w:r>
    </w:p>
    <w:p w:rsidR="00447C1D" w:rsidRPr="0099207B" w:rsidRDefault="00447C1D" w:rsidP="00681A73">
      <w:pPr>
        <w:spacing w:line="240" w:lineRule="auto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Oklahoma City, OK 73172</w:t>
      </w:r>
    </w:p>
    <w:p w:rsidR="00681A73" w:rsidRPr="0099207B" w:rsidRDefault="00681A73" w:rsidP="00681A73">
      <w:pPr>
        <w:spacing w:line="240" w:lineRule="auto"/>
        <w:rPr>
          <w:rFonts w:cs="Times New Roman"/>
          <w:szCs w:val="24"/>
        </w:rPr>
      </w:pPr>
    </w:p>
    <w:p w:rsidR="00681A73" w:rsidRPr="0099207B" w:rsidRDefault="00681A73" w:rsidP="00681A73">
      <w:pPr>
        <w:spacing w:line="240" w:lineRule="auto"/>
        <w:rPr>
          <w:rFonts w:cs="Times New Roman"/>
          <w:szCs w:val="24"/>
        </w:rPr>
      </w:pPr>
      <w:r w:rsidRPr="0099207B">
        <w:rPr>
          <w:rFonts w:cs="Times New Roman"/>
          <w:b/>
          <w:szCs w:val="24"/>
        </w:rPr>
        <w:t>Administrative Magistrate</w:t>
      </w:r>
      <w:r w:rsidRPr="0099207B">
        <w:rPr>
          <w:rFonts w:cs="Times New Roman"/>
          <w:szCs w:val="24"/>
        </w:rPr>
        <w:t>:</w:t>
      </w:r>
      <w:r w:rsidRPr="0099207B">
        <w:rPr>
          <w:rFonts w:cs="Times New Roman"/>
          <w:szCs w:val="24"/>
        </w:rPr>
        <w:tab/>
      </w:r>
      <w:r w:rsidRPr="0099207B">
        <w:rPr>
          <w:rFonts w:cs="Times New Roman"/>
          <w:szCs w:val="24"/>
        </w:rPr>
        <w:tab/>
      </w:r>
      <w:r w:rsidRPr="0099207B">
        <w:rPr>
          <w:rFonts w:cs="Times New Roman"/>
          <w:szCs w:val="24"/>
        </w:rPr>
        <w:tab/>
      </w:r>
    </w:p>
    <w:p w:rsidR="00681A73" w:rsidRDefault="00681A73" w:rsidP="00681A73">
      <w:pPr>
        <w:spacing w:line="240" w:lineRule="auto"/>
        <w:rPr>
          <w:rFonts w:cs="Times New Roman"/>
          <w:szCs w:val="24"/>
        </w:rPr>
      </w:pPr>
    </w:p>
    <w:p w:rsidR="00681A73" w:rsidRPr="0099207B" w:rsidRDefault="00681A73" w:rsidP="00681A73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  <w:t>Bonney Cashin</w:t>
      </w:r>
    </w:p>
    <w:p w:rsidR="00681A73" w:rsidRDefault="00681A73" w:rsidP="00681A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jc w:val="center"/>
        <w:rPr>
          <w:rFonts w:cs="Times New Roman"/>
          <w:szCs w:val="24"/>
        </w:rPr>
      </w:pPr>
    </w:p>
    <w:p w:rsidR="00CC675D" w:rsidRDefault="00CC675D" w:rsidP="00681A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jc w:val="center"/>
        <w:rPr>
          <w:rFonts w:cs="Times New Roman"/>
          <w:szCs w:val="24"/>
        </w:rPr>
      </w:pPr>
    </w:p>
    <w:p w:rsidR="00397C52" w:rsidRDefault="00397C52" w:rsidP="00681A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jc w:val="center"/>
        <w:rPr>
          <w:rFonts w:cs="Times New Roman"/>
          <w:b/>
          <w:szCs w:val="24"/>
        </w:rPr>
      </w:pPr>
    </w:p>
    <w:p w:rsidR="00681A73" w:rsidRPr="0099207B" w:rsidRDefault="00681A73" w:rsidP="00681A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jc w:val="center"/>
        <w:rPr>
          <w:rFonts w:cs="Times New Roman"/>
          <w:b/>
          <w:szCs w:val="24"/>
        </w:rPr>
      </w:pPr>
      <w:r w:rsidRPr="0099207B">
        <w:rPr>
          <w:rFonts w:cs="Times New Roman"/>
          <w:b/>
          <w:szCs w:val="24"/>
        </w:rPr>
        <w:t xml:space="preserve">SUMMARY OF RECOMMENDED DECISION </w:t>
      </w:r>
    </w:p>
    <w:p w:rsidR="00681A73" w:rsidRPr="0099207B" w:rsidRDefault="00681A73" w:rsidP="00681A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jc w:val="center"/>
        <w:rPr>
          <w:rFonts w:cs="Times New Roman"/>
          <w:b/>
          <w:szCs w:val="24"/>
        </w:rPr>
      </w:pPr>
      <w:r w:rsidRPr="0099207B">
        <w:rPr>
          <w:rFonts w:cs="Times New Roman"/>
          <w:b/>
          <w:szCs w:val="24"/>
        </w:rPr>
        <w:t>ON</w:t>
      </w:r>
      <w:r w:rsidR="00447C1D">
        <w:rPr>
          <w:rFonts w:cs="Times New Roman"/>
          <w:b/>
          <w:szCs w:val="24"/>
        </w:rPr>
        <w:t xml:space="preserve"> MOTION FO</w:t>
      </w:r>
      <w:r w:rsidR="00B944E1">
        <w:rPr>
          <w:rFonts w:cs="Times New Roman"/>
          <w:b/>
          <w:szCs w:val="24"/>
        </w:rPr>
        <w:t>R</w:t>
      </w:r>
      <w:r w:rsidR="00447C1D">
        <w:rPr>
          <w:rFonts w:cs="Times New Roman"/>
          <w:b/>
          <w:szCs w:val="24"/>
        </w:rPr>
        <w:t xml:space="preserve"> </w:t>
      </w:r>
      <w:r w:rsidR="00B944E1">
        <w:rPr>
          <w:rFonts w:cs="Times New Roman"/>
          <w:b/>
          <w:szCs w:val="24"/>
        </w:rPr>
        <w:t>SUMMARY DECISION</w:t>
      </w:r>
    </w:p>
    <w:p w:rsidR="00681A73" w:rsidRPr="0099207B" w:rsidRDefault="00681A73" w:rsidP="00681A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jc w:val="center"/>
        <w:rPr>
          <w:rFonts w:cs="Times New Roman"/>
          <w:b/>
          <w:szCs w:val="24"/>
        </w:rPr>
      </w:pPr>
    </w:p>
    <w:p w:rsidR="00681A73" w:rsidRPr="00DC11C6" w:rsidRDefault="00DC11C6" w:rsidP="00681A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szCs w:val="24"/>
        </w:rPr>
        <w:t xml:space="preserve">The Board of Registration in Medicine’s </w:t>
      </w:r>
      <w:r w:rsidR="00193F00">
        <w:rPr>
          <w:rFonts w:cs="Times New Roman"/>
          <w:szCs w:val="24"/>
        </w:rPr>
        <w:t>Supplemental</w:t>
      </w:r>
      <w:r w:rsidR="00CC675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Motion for Summary Decision </w:t>
      </w:r>
      <w:r w:rsidR="00A52734">
        <w:rPr>
          <w:rFonts w:cs="Times New Roman"/>
          <w:szCs w:val="24"/>
        </w:rPr>
        <w:t xml:space="preserve">to discipline </w:t>
      </w:r>
      <w:r w:rsidR="00CC675D">
        <w:rPr>
          <w:rFonts w:cs="Times New Roman"/>
          <w:szCs w:val="24"/>
        </w:rPr>
        <w:t>Medhat Michael</w:t>
      </w:r>
      <w:r w:rsidR="00A52734">
        <w:rPr>
          <w:rFonts w:cs="Times New Roman"/>
          <w:szCs w:val="24"/>
        </w:rPr>
        <w:t>, M.D.,</w:t>
      </w:r>
      <w:r w:rsidR="00CC675D">
        <w:rPr>
          <w:rFonts w:cs="Times New Roman"/>
          <w:szCs w:val="24"/>
        </w:rPr>
        <w:t xml:space="preserve"> </w:t>
      </w:r>
      <w:r w:rsidR="00A52734">
        <w:rPr>
          <w:rFonts w:cs="Times New Roman"/>
          <w:szCs w:val="24"/>
        </w:rPr>
        <w:t>is allowed</w:t>
      </w:r>
      <w:r>
        <w:rPr>
          <w:rFonts w:cs="Times New Roman"/>
          <w:szCs w:val="24"/>
        </w:rPr>
        <w:t xml:space="preserve">.  Dr. </w:t>
      </w:r>
      <w:r w:rsidR="00CC675D">
        <w:rPr>
          <w:rFonts w:cs="Times New Roman"/>
          <w:szCs w:val="24"/>
        </w:rPr>
        <w:t>Michael</w:t>
      </w:r>
      <w:r>
        <w:rPr>
          <w:rFonts w:cs="Times New Roman"/>
          <w:szCs w:val="24"/>
        </w:rPr>
        <w:t xml:space="preserve"> </w:t>
      </w:r>
      <w:r w:rsidR="00CC675D">
        <w:rPr>
          <w:rFonts w:cs="Times New Roman"/>
          <w:szCs w:val="24"/>
        </w:rPr>
        <w:t>has failed to raise a material factual dispute regarding the Board’s bases for applying reciprocal discipline based on</w:t>
      </w:r>
      <w:r w:rsidR="00A52734">
        <w:rPr>
          <w:rFonts w:cs="Times New Roman"/>
          <w:szCs w:val="24"/>
        </w:rPr>
        <w:t xml:space="preserve"> disciplinary action in Oklahoma</w:t>
      </w:r>
      <w:r w:rsidR="00CC675D">
        <w:rPr>
          <w:rFonts w:cs="Times New Roman"/>
          <w:szCs w:val="24"/>
        </w:rPr>
        <w:t xml:space="preserve">.  </w:t>
      </w:r>
    </w:p>
    <w:p w:rsidR="00397C52" w:rsidRDefault="00397C52" w:rsidP="00397C52">
      <w:pPr>
        <w:spacing w:line="240" w:lineRule="auto"/>
        <w:ind w:left="720" w:firstLine="720"/>
        <w:rPr>
          <w:b/>
        </w:rPr>
      </w:pPr>
    </w:p>
    <w:p w:rsidR="00397C52" w:rsidRDefault="00397C52" w:rsidP="00397C52">
      <w:pPr>
        <w:spacing w:line="240" w:lineRule="auto"/>
        <w:ind w:left="720" w:firstLine="720"/>
        <w:rPr>
          <w:b/>
        </w:rPr>
      </w:pPr>
    </w:p>
    <w:p w:rsidR="00397C52" w:rsidRDefault="00397C52" w:rsidP="00AB7BB4">
      <w:pPr>
        <w:spacing w:line="240" w:lineRule="auto"/>
        <w:rPr>
          <w:b/>
        </w:rPr>
      </w:pPr>
    </w:p>
    <w:p w:rsidR="00CC675D" w:rsidRDefault="00CC675D" w:rsidP="00397C52">
      <w:pPr>
        <w:spacing w:line="240" w:lineRule="auto"/>
        <w:ind w:left="720" w:firstLine="720"/>
        <w:rPr>
          <w:b/>
        </w:rPr>
      </w:pPr>
    </w:p>
    <w:p w:rsidR="00397C52" w:rsidRDefault="00397C52" w:rsidP="00CC675D">
      <w:pPr>
        <w:spacing w:line="240" w:lineRule="auto"/>
        <w:ind w:left="2160" w:firstLine="720"/>
        <w:rPr>
          <w:b/>
        </w:rPr>
      </w:pPr>
      <w:r>
        <w:rPr>
          <w:b/>
        </w:rPr>
        <w:lastRenderedPageBreak/>
        <w:t>RECOMMENDED DECISION</w:t>
      </w:r>
    </w:p>
    <w:p w:rsidR="00CC675D" w:rsidRDefault="00CC675D" w:rsidP="00CC67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Fonts w:cs="Times New Roman"/>
          <w:b/>
          <w:szCs w:val="24"/>
        </w:rPr>
      </w:pPr>
    </w:p>
    <w:p w:rsidR="00CC675D" w:rsidRPr="00FE17B9" w:rsidRDefault="00CC675D" w:rsidP="00CC67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jc w:val="center"/>
        <w:rPr>
          <w:rFonts w:cs="Times New Roman"/>
          <w:szCs w:val="24"/>
        </w:rPr>
      </w:pPr>
      <w:r w:rsidRPr="00FE17B9">
        <w:rPr>
          <w:rFonts w:cs="Times New Roman"/>
          <w:szCs w:val="24"/>
        </w:rPr>
        <w:t>INTRODUCTION</w:t>
      </w:r>
    </w:p>
    <w:p w:rsidR="00681A73" w:rsidRDefault="00681A73" w:rsidP="00681A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jc w:val="center"/>
        <w:rPr>
          <w:rFonts w:cs="Times New Roman"/>
          <w:b/>
          <w:szCs w:val="24"/>
        </w:rPr>
      </w:pPr>
    </w:p>
    <w:p w:rsidR="00681A73" w:rsidRDefault="00681A73" w:rsidP="00A65D48">
      <w:r>
        <w:tab/>
      </w:r>
      <w:r w:rsidR="00246D50">
        <w:t xml:space="preserve"> </w:t>
      </w:r>
      <w:r w:rsidR="00A65D48">
        <w:t xml:space="preserve">On March 11, 2016, </w:t>
      </w:r>
      <w:r w:rsidR="00BA7732">
        <w:t xml:space="preserve">the Petitioner, the </w:t>
      </w:r>
      <w:r w:rsidR="00A65D48">
        <w:t xml:space="preserve">Board of Registration in </w:t>
      </w:r>
      <w:r w:rsidR="00BA7732">
        <w:t>Medicine,</w:t>
      </w:r>
      <w:r w:rsidR="00A65D48">
        <w:t xml:space="preserve"> filed a</w:t>
      </w:r>
      <w:r w:rsidR="00397C52">
        <w:t xml:space="preserve"> motion for summary decision </w:t>
      </w:r>
      <w:r w:rsidR="00A52734">
        <w:t>arguing that there was no dispute that it could</w:t>
      </w:r>
      <w:r w:rsidR="00A65D48">
        <w:t xml:space="preserve"> </w:t>
      </w:r>
      <w:r w:rsidR="00193F00">
        <w:t xml:space="preserve">subject the Respondent, </w:t>
      </w:r>
      <w:r w:rsidR="00BA7732">
        <w:t xml:space="preserve">Medhat Michael, </w:t>
      </w:r>
      <w:r w:rsidR="00193F00">
        <w:t xml:space="preserve">M.D., </w:t>
      </w:r>
      <w:r w:rsidR="00BA7732">
        <w:t>to reciprocal discipline</w:t>
      </w:r>
      <w:r w:rsidR="00A52734">
        <w:t xml:space="preserve">, pursuant to G.L. c. 112, § 5 and 243 CMR 1.03(5)(a)(12).  The Board </w:t>
      </w:r>
      <w:r w:rsidR="00BA7732">
        <w:t xml:space="preserve">based </w:t>
      </w:r>
      <w:r w:rsidR="00A52734">
        <w:t xml:space="preserve">its reciprocal discipline </w:t>
      </w:r>
      <w:r w:rsidR="00800AA8">
        <w:t>on a voluntary submittal</w:t>
      </w:r>
      <w:r w:rsidR="00BA7732">
        <w:t xml:space="preserve"> order</w:t>
      </w:r>
      <w:r w:rsidR="00193F00">
        <w:t>, issued</w:t>
      </w:r>
      <w:r w:rsidR="00BA7732">
        <w:t xml:space="preserve"> by the Oklahoma State Board of Medical Licensure and Supervision (“</w:t>
      </w:r>
      <w:r w:rsidR="00A52734">
        <w:t>Oklahoma Board”)</w:t>
      </w:r>
      <w:r w:rsidR="00BA7732">
        <w:t xml:space="preserve">.  On December 5, 2017, I denied the </w:t>
      </w:r>
      <w:r w:rsidR="00246D50">
        <w:t>Board’</w:t>
      </w:r>
      <w:r w:rsidR="00575B0F">
        <w:t>s m</w:t>
      </w:r>
      <w:r w:rsidR="00246D50">
        <w:t>otion</w:t>
      </w:r>
      <w:r w:rsidR="003B4E6E">
        <w:t xml:space="preserve"> because</w:t>
      </w:r>
      <w:r w:rsidR="008B73A1">
        <w:t>,</w:t>
      </w:r>
      <w:r w:rsidR="003B4E6E">
        <w:t xml:space="preserve"> at the time, </w:t>
      </w:r>
      <w:r w:rsidR="008B73A1">
        <w:t>Dr. Michael’s appeal</w:t>
      </w:r>
      <w:r w:rsidR="003B4E6E">
        <w:t xml:space="preserve"> of the Oklahoma Board’s order was pending before the Oklahoma Supreme Court.  </w:t>
      </w:r>
      <w:proofErr w:type="gramStart"/>
      <w:r w:rsidR="00033122" w:rsidRPr="00033122">
        <w:rPr>
          <w:i/>
        </w:rPr>
        <w:t>Board of Reg. in Med. v. Michael</w:t>
      </w:r>
      <w:r w:rsidR="00033122">
        <w:t>, RM-15-193, Ruling on Motion for Summary Decision (Div. Admin.</w:t>
      </w:r>
      <w:proofErr w:type="gramEnd"/>
      <w:r w:rsidR="00033122">
        <w:t xml:space="preserve"> Law App., Dec. 5, 2017).  </w:t>
      </w:r>
      <w:r w:rsidR="003B4E6E">
        <w:t xml:space="preserve">I explained that the Board would have the opportunity to </w:t>
      </w:r>
      <w:r w:rsidR="00D30856">
        <w:t xml:space="preserve">show </w:t>
      </w:r>
      <w:r w:rsidR="003B4E6E">
        <w:t>that there is a basi</w:t>
      </w:r>
      <w:r w:rsidR="00193F00">
        <w:t>s to discipline Dr. Michael if</w:t>
      </w:r>
      <w:r w:rsidR="003B4E6E">
        <w:t xml:space="preserve"> the Oklahoma Supreme Court</w:t>
      </w:r>
      <w:r w:rsidR="00193F00">
        <w:t xml:space="preserve"> ruled against him</w:t>
      </w:r>
      <w:r w:rsidR="003B4E6E">
        <w:t xml:space="preserve">.  </w:t>
      </w:r>
      <w:r w:rsidR="008B73A1">
        <w:t xml:space="preserve">My </w:t>
      </w:r>
      <w:r w:rsidR="003B4E6E">
        <w:t xml:space="preserve">ruling denying the Board’s motion </w:t>
      </w:r>
      <w:r w:rsidR="00A65D48">
        <w:t xml:space="preserve">is </w:t>
      </w:r>
      <w:r w:rsidR="00D30856">
        <w:t xml:space="preserve">attached and is </w:t>
      </w:r>
      <w:r w:rsidR="00A65D48">
        <w:t xml:space="preserve">incorporated </w:t>
      </w:r>
      <w:r w:rsidR="00B06DBA">
        <w:t xml:space="preserve">by reference </w:t>
      </w:r>
      <w:r w:rsidR="00193F00">
        <w:t>as if fully set</w:t>
      </w:r>
      <w:r w:rsidR="00415E5A">
        <w:t xml:space="preserve"> forth</w:t>
      </w:r>
      <w:r w:rsidR="00193F00">
        <w:t xml:space="preserve"> in this recommended decision</w:t>
      </w:r>
      <w:r w:rsidR="00A65D48">
        <w:t xml:space="preserve">.  </w:t>
      </w:r>
    </w:p>
    <w:p w:rsidR="00B944E1" w:rsidRDefault="00B944E1" w:rsidP="00C47716">
      <w:r>
        <w:tab/>
      </w:r>
      <w:r w:rsidR="008B73A1">
        <w:t>O</w:t>
      </w:r>
      <w:r w:rsidR="003B4E6E">
        <w:t>n April 13, 2018,</w:t>
      </w:r>
      <w:r w:rsidR="00F40563">
        <w:t xml:space="preserve"> </w:t>
      </w:r>
      <w:r w:rsidR="008B73A1">
        <w:t xml:space="preserve">following a status conference via telephone, </w:t>
      </w:r>
      <w:r w:rsidR="00E46608">
        <w:t xml:space="preserve">the Board </w:t>
      </w:r>
      <w:r w:rsidR="00B06DBA">
        <w:t>filed a</w:t>
      </w:r>
      <w:r w:rsidR="00E46608">
        <w:t xml:space="preserve"> Supplement</w:t>
      </w:r>
      <w:r w:rsidR="008B73A1">
        <w:t xml:space="preserve"> to Its</w:t>
      </w:r>
      <w:r w:rsidR="003B4E6E">
        <w:t xml:space="preserve"> </w:t>
      </w:r>
      <w:r w:rsidR="00E46608">
        <w:t>Motion for Sum</w:t>
      </w:r>
      <w:r w:rsidR="003B4E6E">
        <w:t>mary</w:t>
      </w:r>
      <w:r w:rsidR="00A17834">
        <w:t xml:space="preserve"> Decision</w:t>
      </w:r>
      <w:r w:rsidR="00F40563">
        <w:t xml:space="preserve">; I have marked this “A” for identification.  </w:t>
      </w:r>
      <w:r w:rsidR="000A26E0">
        <w:t xml:space="preserve">On June 7, 2018, Dr. </w:t>
      </w:r>
      <w:r w:rsidR="00B06DBA">
        <w:t xml:space="preserve">Michael filed a Response to </w:t>
      </w:r>
      <w:r w:rsidR="00415E5A">
        <w:t xml:space="preserve">the </w:t>
      </w:r>
      <w:r w:rsidR="00B06DBA">
        <w:t>Board</w:t>
      </w:r>
      <w:r w:rsidR="000A26E0">
        <w:t>’s</w:t>
      </w:r>
      <w:r w:rsidR="008B73A1">
        <w:t xml:space="preserve"> </w:t>
      </w:r>
      <w:r w:rsidR="00B06DBA">
        <w:t>Motion</w:t>
      </w:r>
      <w:r w:rsidR="00F40563">
        <w:t xml:space="preserve">; I have marked this “B” for identification.  </w:t>
      </w:r>
      <w:r w:rsidR="003B4E6E">
        <w:t>I conclude that t</w:t>
      </w:r>
      <w:r w:rsidR="00F40563">
        <w:t>here is no</w:t>
      </w:r>
      <w:r w:rsidR="00D548E3">
        <w:t xml:space="preserve"> genuine issue of material fact, </w:t>
      </w:r>
      <w:r w:rsidR="008B73A1">
        <w:t>and</w:t>
      </w:r>
      <w:r w:rsidR="00A52734">
        <w:t>, as a matter of law,</w:t>
      </w:r>
      <w:r w:rsidR="00193F00">
        <w:t xml:space="preserve"> the Board is granted</w:t>
      </w:r>
      <w:r w:rsidR="00D548E3">
        <w:t xml:space="preserve"> </w:t>
      </w:r>
      <w:r w:rsidR="00193F00">
        <w:t xml:space="preserve">a </w:t>
      </w:r>
      <w:r w:rsidR="008B73A1">
        <w:t xml:space="preserve">full </w:t>
      </w:r>
      <w:r w:rsidR="00D548E3">
        <w:t>summary decision, pursuant to 801 CMR 1.01(7</w:t>
      </w:r>
      <w:proofErr w:type="gramStart"/>
      <w:r w:rsidR="00D548E3">
        <w:t>)(</w:t>
      </w:r>
      <w:proofErr w:type="gramEnd"/>
      <w:r w:rsidR="00D548E3">
        <w:t xml:space="preserve">h).  </w:t>
      </w:r>
    </w:p>
    <w:p w:rsidR="00B944E1" w:rsidRDefault="00A17834" w:rsidP="00C47716">
      <w:pPr>
        <w:ind w:firstLine="720"/>
      </w:pPr>
      <w:r>
        <w:t>In addition to Exhibits 1-9</w:t>
      </w:r>
      <w:r w:rsidR="00800AA8">
        <w:t>,</w:t>
      </w:r>
      <w:r>
        <w:t xml:space="preserve"> </w:t>
      </w:r>
      <w:r w:rsidR="00A52734">
        <w:t xml:space="preserve">referenced </w:t>
      </w:r>
      <w:r>
        <w:t xml:space="preserve">in my Ruling, </w:t>
      </w:r>
      <w:r w:rsidR="008B73A1">
        <w:t xml:space="preserve">I have entered </w:t>
      </w:r>
      <w:r w:rsidR="00B944E1">
        <w:t xml:space="preserve">the following </w:t>
      </w:r>
      <w:r w:rsidR="008B73A1">
        <w:t xml:space="preserve">additional </w:t>
      </w:r>
      <w:r w:rsidR="00B944E1">
        <w:t>exhibits into evidence:</w:t>
      </w:r>
    </w:p>
    <w:p w:rsidR="00B944E1" w:rsidRDefault="002B7464" w:rsidP="003574DC">
      <w:pPr>
        <w:ind w:firstLine="720"/>
      </w:pPr>
      <w:r>
        <w:t>Ex. 10</w:t>
      </w:r>
      <w:r w:rsidR="00B944E1">
        <w:tab/>
      </w:r>
      <w:r w:rsidR="00B944E1">
        <w:tab/>
        <w:t>Supreme C</w:t>
      </w:r>
      <w:r w:rsidR="00575B0F">
        <w:t>ourt of Oklahoma Order denying Dr. Michael’s petition</w:t>
      </w:r>
      <w:r w:rsidR="00B944E1">
        <w:t xml:space="preserve"> </w:t>
      </w:r>
      <w:r>
        <w:t xml:space="preserve">for </w:t>
      </w:r>
      <w:r w:rsidR="003574DC">
        <w:t>certiorari (</w:t>
      </w:r>
      <w:r>
        <w:t>Petitioner</w:t>
      </w:r>
      <w:r w:rsidR="00B944E1">
        <w:t xml:space="preserve"> </w:t>
      </w:r>
      <w:r w:rsidR="008B73A1">
        <w:t>Supplement</w:t>
      </w:r>
      <w:r>
        <w:t xml:space="preserve"> </w:t>
      </w:r>
      <w:r w:rsidR="00B944E1">
        <w:t>Exhibit A);</w:t>
      </w:r>
    </w:p>
    <w:p w:rsidR="00B944E1" w:rsidRDefault="002B7464" w:rsidP="003574DC">
      <w:pPr>
        <w:ind w:firstLine="720"/>
      </w:pPr>
      <w:r>
        <w:t>Ex. 11</w:t>
      </w:r>
      <w:r w:rsidR="00B944E1">
        <w:tab/>
      </w:r>
      <w:r w:rsidR="00B944E1">
        <w:tab/>
        <w:t>Supreme Court of O</w:t>
      </w:r>
      <w:r w:rsidR="00575B0F">
        <w:t>klahoma Order denying Dr. Michael</w:t>
      </w:r>
      <w:r w:rsidR="00B944E1">
        <w:t>’s petition for rehearing and motion for or</w:t>
      </w:r>
      <w:r>
        <w:t>al argument</w:t>
      </w:r>
      <w:r w:rsidR="00B944E1">
        <w:t xml:space="preserve">  (</w:t>
      </w:r>
      <w:r>
        <w:t>Petitioner</w:t>
      </w:r>
      <w:r w:rsidR="00B944E1">
        <w:t xml:space="preserve"> </w:t>
      </w:r>
      <w:r w:rsidR="008B73A1">
        <w:t>Supplement</w:t>
      </w:r>
      <w:r>
        <w:t xml:space="preserve"> </w:t>
      </w:r>
      <w:r w:rsidR="00B944E1">
        <w:t>Exhibit B);</w:t>
      </w:r>
    </w:p>
    <w:p w:rsidR="00B944E1" w:rsidRDefault="002B7464" w:rsidP="00F40563">
      <w:pPr>
        <w:ind w:firstLine="720"/>
      </w:pPr>
      <w:r>
        <w:t>Ex. 12</w:t>
      </w:r>
      <w:r w:rsidR="00B944E1">
        <w:tab/>
      </w:r>
      <w:r w:rsidR="00B944E1">
        <w:tab/>
        <w:t>Oklahoma State Courts Network’s online d</w:t>
      </w:r>
      <w:r w:rsidR="00575B0F">
        <w:t>ocket information for Dr. Michael</w:t>
      </w:r>
      <w:r w:rsidR="00B944E1">
        <w:t xml:space="preserve">’s appeal from the Oklahoma Board of Medical Licensure and </w:t>
      </w:r>
      <w:r>
        <w:t>Supervision (Petitioner</w:t>
      </w:r>
      <w:r w:rsidR="00B944E1">
        <w:t xml:space="preserve"> </w:t>
      </w:r>
      <w:r w:rsidR="008B73A1">
        <w:t>Supplement</w:t>
      </w:r>
      <w:r>
        <w:t xml:space="preserve"> </w:t>
      </w:r>
      <w:r w:rsidR="00F40563">
        <w:t>Exhibit C).</w:t>
      </w:r>
    </w:p>
    <w:p w:rsidR="00CC675D" w:rsidRDefault="00193F00" w:rsidP="00CC675D">
      <w:pPr>
        <w:ind w:firstLine="720"/>
        <w:jc w:val="center"/>
        <w:rPr>
          <w:b/>
        </w:rPr>
      </w:pPr>
      <w:r>
        <w:rPr>
          <w:b/>
        </w:rPr>
        <w:t>ADDITIONAL UNDISPUTED FACTS</w:t>
      </w:r>
    </w:p>
    <w:p w:rsidR="002B7464" w:rsidRPr="002B7464" w:rsidRDefault="00193F00" w:rsidP="00F1529F">
      <w:pPr>
        <w:ind w:firstLine="720"/>
      </w:pPr>
      <w:r>
        <w:t>B</w:t>
      </w:r>
      <w:r w:rsidR="002B7464">
        <w:t xml:space="preserve">ased on the evidence in the record, the following </w:t>
      </w:r>
      <w:r w:rsidR="008B73A1">
        <w:t xml:space="preserve">additional </w:t>
      </w:r>
      <w:r w:rsidR="002B7464">
        <w:t>facts are not in dispute:</w:t>
      </w:r>
    </w:p>
    <w:p w:rsidR="003574DC" w:rsidRDefault="003574DC" w:rsidP="008B73A1">
      <w:pPr>
        <w:pStyle w:val="ListParagraph"/>
        <w:numPr>
          <w:ilvl w:val="0"/>
          <w:numId w:val="1"/>
        </w:numPr>
        <w:ind w:left="0" w:firstLine="720"/>
      </w:pPr>
      <w:r>
        <w:t xml:space="preserve">On February 16, 2016, the Supreme Court of Oklahoma </w:t>
      </w:r>
      <w:r w:rsidR="00F05F6D">
        <w:t xml:space="preserve">ruled that it had jurisdiction to hear </w:t>
      </w:r>
      <w:r>
        <w:t>Dr. Michael’s appeal</w:t>
      </w:r>
      <w:r w:rsidR="00F05F6D">
        <w:t xml:space="preserve"> and allowed it to proceed</w:t>
      </w:r>
      <w:r>
        <w:t xml:space="preserve">.  (Exhibit 8.)  </w:t>
      </w:r>
    </w:p>
    <w:p w:rsidR="00E46608" w:rsidRDefault="00E46608" w:rsidP="008B73A1">
      <w:pPr>
        <w:pStyle w:val="ListParagraph"/>
        <w:numPr>
          <w:ilvl w:val="0"/>
          <w:numId w:val="1"/>
        </w:numPr>
        <w:ind w:left="0" w:firstLine="720"/>
      </w:pPr>
      <w:r>
        <w:t xml:space="preserve">On January 16, 2018, Dr. Michael filed a motion for oral argument with the Supreme Court of Oklahoma.  (Exhibit </w:t>
      </w:r>
      <w:r w:rsidR="00F05F6D">
        <w:t>12</w:t>
      </w:r>
      <w:r>
        <w:t xml:space="preserve"> at 6.)  </w:t>
      </w:r>
    </w:p>
    <w:p w:rsidR="00E46608" w:rsidRDefault="00E46608" w:rsidP="008B73A1">
      <w:pPr>
        <w:pStyle w:val="ListParagraph"/>
        <w:numPr>
          <w:ilvl w:val="0"/>
          <w:numId w:val="1"/>
        </w:numPr>
        <w:ind w:left="0" w:firstLine="720"/>
      </w:pPr>
      <w:r>
        <w:t>On January 29, 2018, the Supreme Court of Oklahoma denied Dr. Michael’s petition for certiorari.  (Exhibit 1</w:t>
      </w:r>
      <w:r w:rsidR="0043229C">
        <w:t>0</w:t>
      </w:r>
      <w:r>
        <w:t xml:space="preserve">.)  </w:t>
      </w:r>
    </w:p>
    <w:p w:rsidR="00E46608" w:rsidRDefault="00E46608" w:rsidP="008B73A1">
      <w:pPr>
        <w:pStyle w:val="ListParagraph"/>
        <w:numPr>
          <w:ilvl w:val="0"/>
          <w:numId w:val="1"/>
        </w:numPr>
        <w:ind w:left="0" w:firstLine="720"/>
      </w:pPr>
      <w:r>
        <w:t>On February 15, 2018, Dr. Michael filed a petition for a rehearing with the Suprem</w:t>
      </w:r>
      <w:r w:rsidR="0043229C">
        <w:t>e Court of Oklahoma.  (Exhibit 12</w:t>
      </w:r>
      <w:r>
        <w:t xml:space="preserve"> at 7.)  </w:t>
      </w:r>
    </w:p>
    <w:p w:rsidR="008A650D" w:rsidRPr="00A17834" w:rsidRDefault="00E46608" w:rsidP="00E86774">
      <w:pPr>
        <w:pStyle w:val="ListParagraph"/>
        <w:numPr>
          <w:ilvl w:val="0"/>
          <w:numId w:val="1"/>
        </w:numPr>
        <w:ind w:left="0" w:firstLine="720"/>
      </w:pPr>
      <w:r>
        <w:t xml:space="preserve">On March 5, 2018, the Supreme Court of Oklahoma denied </w:t>
      </w:r>
      <w:r w:rsidR="00B06DBA">
        <w:t xml:space="preserve">both </w:t>
      </w:r>
      <w:r>
        <w:t>Dr. Michael’s petition for a rehearing and his petition</w:t>
      </w:r>
      <w:r w:rsidR="0043229C">
        <w:t xml:space="preserve"> for oral argument.  (Exhibit 11</w:t>
      </w:r>
      <w:r>
        <w:t xml:space="preserve">.)  </w:t>
      </w:r>
    </w:p>
    <w:p w:rsidR="00B944E1" w:rsidRPr="00D30856" w:rsidRDefault="00CC675D" w:rsidP="00A802B4">
      <w:pPr>
        <w:jc w:val="center"/>
        <w:rPr>
          <w:b/>
        </w:rPr>
      </w:pPr>
      <w:r w:rsidRPr="00D30856">
        <w:rPr>
          <w:b/>
        </w:rPr>
        <w:t>DISCUSSION</w:t>
      </w:r>
    </w:p>
    <w:p w:rsidR="00E93219" w:rsidRPr="00E93219" w:rsidRDefault="008A650D" w:rsidP="00E93219">
      <w:r>
        <w:tab/>
      </w:r>
      <w:r w:rsidR="0043229C">
        <w:t xml:space="preserve">DALA </w:t>
      </w:r>
      <w:r w:rsidR="000770E3">
        <w:t xml:space="preserve">may grant a party’s motion for summary decision when “there is no genuine issue of fact relating to all or part of a claim or defense and [the party] is entitled to prevail as a matter of law.”  801 CMR 1.01(7).  </w:t>
      </w:r>
      <w:r w:rsidR="0025164B">
        <w:t>An administrative hearing is not required whe</w:t>
      </w:r>
      <w:r w:rsidR="00136FBA">
        <w:t>n</w:t>
      </w:r>
      <w:r w:rsidR="0025164B">
        <w:t xml:space="preserve"> there is no </w:t>
      </w:r>
      <w:r w:rsidR="0089755B">
        <w:t xml:space="preserve">material </w:t>
      </w:r>
      <w:r w:rsidR="0025164B">
        <w:t>factual dispute between the parti</w:t>
      </w:r>
      <w:r w:rsidR="00201853">
        <w:t>es, which would defeat the purpose of a hearing</w:t>
      </w:r>
      <w:r w:rsidR="0025164B">
        <w:t xml:space="preserve">.  </w:t>
      </w:r>
      <w:r w:rsidR="0089755B" w:rsidRPr="0089755B">
        <w:rPr>
          <w:i/>
        </w:rPr>
        <w:t>See Kobri</w:t>
      </w:r>
      <w:r w:rsidR="006C130B">
        <w:rPr>
          <w:i/>
        </w:rPr>
        <w:t>n v. Board of Reg. in Med.</w:t>
      </w:r>
      <w:r w:rsidR="0089755B" w:rsidRPr="0089755B">
        <w:t>, 444 Mass. 837</w:t>
      </w:r>
      <w:r w:rsidR="00E45060">
        <w:t xml:space="preserve">, 846 </w:t>
      </w:r>
      <w:r w:rsidR="006C130B">
        <w:t>(2005)</w:t>
      </w:r>
      <w:r w:rsidR="00201853">
        <w:t xml:space="preserve">; </w:t>
      </w:r>
      <w:r w:rsidR="00201853" w:rsidRPr="00201853">
        <w:rPr>
          <w:i/>
        </w:rPr>
        <w:t>Massachusetts Outdoor Advertising Council v. Outdoor Advertising Bd.</w:t>
      </w:r>
      <w:r w:rsidR="00916949">
        <w:t>, 9 Mass. App. Ct. 775, 785-</w:t>
      </w:r>
      <w:r w:rsidR="00201853" w:rsidRPr="00201853">
        <w:t>86</w:t>
      </w:r>
      <w:r w:rsidR="00201853">
        <w:t xml:space="preserve"> (1980)</w:t>
      </w:r>
      <w:r w:rsidR="006C130B">
        <w:t xml:space="preserve">.  </w:t>
      </w:r>
      <w:r w:rsidR="00E93219">
        <w:t>While a party facing summary decision has the right to have the facts viewed in a light mo</w:t>
      </w:r>
      <w:r w:rsidR="00136FBA">
        <w:t>st</w:t>
      </w:r>
      <w:r w:rsidR="00E93219">
        <w:t xml:space="preserve"> favorable to him, this party is not </w:t>
      </w:r>
      <w:r w:rsidR="00E93219" w:rsidRPr="00E93219">
        <w:rPr>
          <w:i/>
        </w:rPr>
        <w:t>entitled</w:t>
      </w:r>
      <w:r w:rsidR="00E93219">
        <w:t xml:space="preserve"> to a favorable decision.  </w:t>
      </w:r>
      <w:proofErr w:type="gramStart"/>
      <w:r w:rsidR="006C130B">
        <w:rPr>
          <w:i/>
        </w:rPr>
        <w:t>Catlin v. Board of Reg.</w:t>
      </w:r>
      <w:r w:rsidR="00E93219" w:rsidRPr="00E93219">
        <w:rPr>
          <w:i/>
        </w:rPr>
        <w:t xml:space="preserve"> of Architects</w:t>
      </w:r>
      <w:r w:rsidR="00E93219">
        <w:t>, 414 Mass. 1, 7 (1992).</w:t>
      </w:r>
      <w:proofErr w:type="gramEnd"/>
      <w:r w:rsidR="00E93219">
        <w:t xml:space="preserve">  </w:t>
      </w:r>
      <w:r w:rsidR="00201853">
        <w:t>The party opposing the motion must respond with “</w:t>
      </w:r>
      <w:r w:rsidR="00201853" w:rsidRPr="00201853">
        <w:t>specific facts which establish that there is a genuine, triable issue</w:t>
      </w:r>
      <w:r w:rsidR="00201853">
        <w:t xml:space="preserve">” in order to defeat the motion for summary decision.  </w:t>
      </w:r>
      <w:proofErr w:type="gramStart"/>
      <w:r w:rsidR="00201853" w:rsidRPr="00201853">
        <w:rPr>
          <w:i/>
        </w:rPr>
        <w:t>Community Nat'l Bank v. Dawes</w:t>
      </w:r>
      <w:r w:rsidR="00201853">
        <w:t>, 369 Mass. 550, 554</w:t>
      </w:r>
      <w:r w:rsidR="00201853" w:rsidRPr="00201853">
        <w:t xml:space="preserve"> (1976)</w:t>
      </w:r>
      <w:r w:rsidR="00201853">
        <w:t>.</w:t>
      </w:r>
      <w:proofErr w:type="gramEnd"/>
      <w:r w:rsidR="00201853">
        <w:t xml:space="preserve">  </w:t>
      </w:r>
    </w:p>
    <w:p w:rsidR="00681A73" w:rsidRDefault="008A650D" w:rsidP="00FA1A42">
      <w:pPr>
        <w:ind w:firstLine="720"/>
      </w:pPr>
      <w:r w:rsidRPr="00E86774">
        <w:t>The Board is authorized to</w:t>
      </w:r>
      <w:r w:rsidR="00FB1876" w:rsidRPr="00E86774">
        <w:t xml:space="preserve"> </w:t>
      </w:r>
      <w:r w:rsidR="0043229C">
        <w:t>impose</w:t>
      </w:r>
      <w:r w:rsidR="002839E9">
        <w:t xml:space="preserve"> reciprocal discipline against</w:t>
      </w:r>
      <w:r w:rsidR="00E45060">
        <w:t xml:space="preserve"> physicians who have </w:t>
      </w:r>
      <w:r w:rsidR="00FB1876" w:rsidRPr="00E86774">
        <w:t xml:space="preserve">“been </w:t>
      </w:r>
      <w:r w:rsidRPr="00E86774">
        <w:t xml:space="preserve">disciplined in another jurisdiction </w:t>
      </w:r>
      <w:r w:rsidRPr="0043229C">
        <w:rPr>
          <w:i/>
        </w:rPr>
        <w:t>in any way</w:t>
      </w:r>
      <w:r w:rsidRPr="00E86774">
        <w:t xml:space="preserve"> by the proper licensing authority for reasons substantially the same as those set forth</w:t>
      </w:r>
      <w:r w:rsidR="00FB1876" w:rsidRPr="00E86774">
        <w:t xml:space="preserve">” </w:t>
      </w:r>
      <w:r w:rsidR="002839E9">
        <w:t xml:space="preserve">in Massachusetts </w:t>
      </w:r>
      <w:r w:rsidR="00FB1876" w:rsidRPr="00E86774">
        <w:t>laws and regulations.</w:t>
      </w:r>
      <w:r w:rsidR="001C7C8F">
        <w:t xml:space="preserve">  </w:t>
      </w:r>
      <w:r w:rsidR="002839E9">
        <w:t>G.L. c. 112, § 5</w:t>
      </w:r>
      <w:r w:rsidR="001C7C8F">
        <w:t xml:space="preserve"> (emphasis added)</w:t>
      </w:r>
      <w:r w:rsidR="002839E9">
        <w:t xml:space="preserve">; </w:t>
      </w:r>
      <w:r w:rsidR="00FB1876" w:rsidRPr="00E86774">
        <w:t>243 CMR 1.03(5</w:t>
      </w:r>
      <w:proofErr w:type="gramStart"/>
      <w:r w:rsidR="00FB1876" w:rsidRPr="00E86774">
        <w:t>)(</w:t>
      </w:r>
      <w:proofErr w:type="gramEnd"/>
      <w:r w:rsidR="00FB1876" w:rsidRPr="00E86774">
        <w:t>a)(12)</w:t>
      </w:r>
      <w:r w:rsidR="007E26BA" w:rsidRPr="00E86774">
        <w:t>;</w:t>
      </w:r>
      <w:r w:rsidR="007E26BA">
        <w:t xml:space="preserve"> </w:t>
      </w:r>
      <w:r w:rsidR="00D30856">
        <w:rPr>
          <w:i/>
        </w:rPr>
        <w:t xml:space="preserve">Matter of </w:t>
      </w:r>
      <w:r w:rsidR="007E26BA" w:rsidRPr="00083C78">
        <w:rPr>
          <w:i/>
        </w:rPr>
        <w:t>Russell J. Aubin, D.O.</w:t>
      </w:r>
      <w:r w:rsidR="007E26BA">
        <w:t xml:space="preserve">, </w:t>
      </w:r>
      <w:r w:rsidR="007E26BA" w:rsidRPr="00083C78">
        <w:t>RM-06-68</w:t>
      </w:r>
      <w:r w:rsidR="00D30856">
        <w:t xml:space="preserve"> </w:t>
      </w:r>
      <w:r w:rsidR="006C130B">
        <w:t>(</w:t>
      </w:r>
      <w:r w:rsidR="00D30856">
        <w:t xml:space="preserve">Board of Reg. in Med., </w:t>
      </w:r>
      <w:r w:rsidR="00916949">
        <w:t xml:space="preserve">Mar. 21, </w:t>
      </w:r>
      <w:r w:rsidR="00D30856">
        <w:t>2007</w:t>
      </w:r>
      <w:r w:rsidR="007E26BA">
        <w:t xml:space="preserve">). </w:t>
      </w:r>
      <w:r w:rsidR="00FB1876">
        <w:t xml:space="preserve"> </w:t>
      </w:r>
      <w:r w:rsidR="00922F30">
        <w:t>Pr</w:t>
      </w:r>
      <w:r w:rsidR="002516D9">
        <w:t xml:space="preserve">ofessional licensing boards do not have to limit reciprocal discipline to cases “where misconduct has been found by the foreign board or where the physician expressly admits to wrongdoing.”  </w:t>
      </w:r>
      <w:r w:rsidR="006C130B">
        <w:rPr>
          <w:i/>
        </w:rPr>
        <w:t>Ramirez v. Board of Reg. in Med.</w:t>
      </w:r>
      <w:r w:rsidR="00E339E7">
        <w:t xml:space="preserve">, 441 Mass. 479, 482 (2004); </w:t>
      </w:r>
      <w:r w:rsidR="00E339E7" w:rsidRPr="00E339E7">
        <w:rPr>
          <w:i/>
        </w:rPr>
        <w:t>see e.g.</w:t>
      </w:r>
      <w:r w:rsidR="00E339E7">
        <w:t xml:space="preserve">, </w:t>
      </w:r>
      <w:r w:rsidR="00E339E7" w:rsidRPr="00E339E7">
        <w:rPr>
          <w:i/>
        </w:rPr>
        <w:t>An</w:t>
      </w:r>
      <w:r w:rsidR="006C130B">
        <w:rPr>
          <w:i/>
        </w:rPr>
        <w:t>usavice v. Board of Reg.</w:t>
      </w:r>
      <w:r w:rsidR="00E339E7" w:rsidRPr="00E339E7">
        <w:rPr>
          <w:i/>
        </w:rPr>
        <w:t xml:space="preserve"> in Dentistry</w:t>
      </w:r>
      <w:r w:rsidR="00E339E7">
        <w:t>, 451 Mass. 786, 796 (2008) (</w:t>
      </w:r>
      <w:r w:rsidR="002839E9">
        <w:t>affirming b</w:t>
      </w:r>
      <w:r w:rsidR="00083C78">
        <w:t>oard’s</w:t>
      </w:r>
      <w:r w:rsidR="00E339E7">
        <w:t xml:space="preserve"> reciprocal discipline based on other state’s consent order relating to dentist’s misconduct); </w:t>
      </w:r>
      <w:r w:rsidR="006C130B">
        <w:rPr>
          <w:i/>
        </w:rPr>
        <w:t>Lankheim v. Board of Reg.</w:t>
      </w:r>
      <w:r w:rsidR="00922F30" w:rsidRPr="00922F30">
        <w:rPr>
          <w:i/>
        </w:rPr>
        <w:t xml:space="preserve"> in Nursing</w:t>
      </w:r>
      <w:r w:rsidR="00922F30">
        <w:t>, 458 Mass. 1022, 1024 (2011) (</w:t>
      </w:r>
      <w:r w:rsidR="002839E9">
        <w:t xml:space="preserve">affirming board’s reciprocal discipline </w:t>
      </w:r>
      <w:r w:rsidR="00922F30">
        <w:t xml:space="preserve">because nurse’s out-of-state voluntary relinquishment constituted an admission of wrongdoing).  </w:t>
      </w:r>
    </w:p>
    <w:p w:rsidR="00922F30" w:rsidRDefault="00D54582">
      <w:r>
        <w:tab/>
        <w:t>In my prior ruling</w:t>
      </w:r>
      <w:r w:rsidR="00922F30">
        <w:t xml:space="preserve">, I </w:t>
      </w:r>
      <w:r w:rsidR="002516D9">
        <w:t xml:space="preserve">stated </w:t>
      </w:r>
      <w:r w:rsidR="00922F30">
        <w:t xml:space="preserve">that it would be premature to </w:t>
      </w:r>
      <w:r w:rsidR="000770E3">
        <w:t xml:space="preserve">discipline Dr. Michael </w:t>
      </w:r>
      <w:r w:rsidR="00136FBA">
        <w:t>because</w:t>
      </w:r>
      <w:r w:rsidR="000770E3">
        <w:t xml:space="preserve"> he </w:t>
      </w:r>
      <w:r w:rsidR="00193F00">
        <w:t>had appealed</w:t>
      </w:r>
      <w:r w:rsidR="000770E3">
        <w:t xml:space="preserve"> the Oklahoma Board’s order</w:t>
      </w:r>
      <w:r w:rsidR="000770E3" w:rsidRPr="00AA4ABA">
        <w:rPr>
          <w:i/>
        </w:rPr>
        <w:t xml:space="preserve">.  </w:t>
      </w:r>
      <w:r w:rsidR="00AA4ABA" w:rsidRPr="00AA4ABA">
        <w:rPr>
          <w:i/>
        </w:rPr>
        <w:t>See Har</w:t>
      </w:r>
      <w:r w:rsidR="006C130B">
        <w:rPr>
          <w:i/>
        </w:rPr>
        <w:t>an v. Board of Reg. in Med.</w:t>
      </w:r>
      <w:r w:rsidR="00AA4ABA">
        <w:t xml:space="preserve">, </w:t>
      </w:r>
      <w:r w:rsidR="00AA4ABA" w:rsidRPr="00AA4ABA">
        <w:t>398 Mass. 571</w:t>
      </w:r>
      <w:r w:rsidR="002839E9">
        <w:t xml:space="preserve">, 577-78 </w:t>
      </w:r>
      <w:r w:rsidR="00AA4ABA">
        <w:t xml:space="preserve">(1986).  </w:t>
      </w:r>
      <w:r w:rsidR="000770E3">
        <w:t xml:space="preserve">Since then, </w:t>
      </w:r>
      <w:r w:rsidR="002516D9">
        <w:t xml:space="preserve">the </w:t>
      </w:r>
      <w:r w:rsidR="002839E9">
        <w:t>Oklahoma Supreme Co</w:t>
      </w:r>
      <w:r w:rsidR="002516D9">
        <w:t>urt denied Dr. Michael’s petition for certiorari</w:t>
      </w:r>
      <w:r w:rsidR="00136FBA">
        <w:t xml:space="preserve"> and his</w:t>
      </w:r>
      <w:r>
        <w:t xml:space="preserve"> </w:t>
      </w:r>
      <w:r w:rsidR="002516D9">
        <w:t>petition for a rehearing</w:t>
      </w:r>
      <w:r w:rsidR="00136FBA">
        <w:t>.</w:t>
      </w:r>
      <w:r w:rsidR="002839E9">
        <w:t xml:space="preserve">  </w:t>
      </w:r>
      <w:r w:rsidR="000770E3">
        <w:t>Dr. Michael has exhausted his appeals</w:t>
      </w:r>
      <w:r w:rsidR="002839E9">
        <w:t xml:space="preserve"> of the Oklahoma Board’s order.  Now, t</w:t>
      </w:r>
      <w:r w:rsidR="0006016D">
        <w:t xml:space="preserve">he </w:t>
      </w:r>
      <w:r w:rsidR="002839E9">
        <w:t xml:space="preserve">Massachusetts </w:t>
      </w:r>
      <w:r w:rsidR="0006016D">
        <w:t>Board has</w:t>
      </w:r>
      <w:r>
        <w:t xml:space="preserve"> the opportunity to show</w:t>
      </w:r>
      <w:r w:rsidR="000770E3">
        <w:t xml:space="preserve"> by a preponderance of the evidence that there is a basis to discipline Dr. Michael under 243 CMR 1.03(5</w:t>
      </w:r>
      <w:proofErr w:type="gramStart"/>
      <w:r w:rsidR="000770E3">
        <w:t>)(</w:t>
      </w:r>
      <w:proofErr w:type="gramEnd"/>
      <w:r w:rsidR="000770E3">
        <w:t>a)(12)</w:t>
      </w:r>
      <w:r w:rsidR="002839E9">
        <w:t>.  T</w:t>
      </w:r>
      <w:r w:rsidR="000770E3">
        <w:t>he Board has met its burden.</w:t>
      </w:r>
      <w:r>
        <w:t xml:space="preserve">  </w:t>
      </w:r>
    </w:p>
    <w:p w:rsidR="00B3084B" w:rsidRDefault="0006016D" w:rsidP="00B06DBA">
      <w:r>
        <w:tab/>
      </w:r>
      <w:r w:rsidR="00355CFE">
        <w:t xml:space="preserve">Dr. Michael </w:t>
      </w:r>
      <w:r w:rsidR="00651C79">
        <w:t xml:space="preserve">argues that the Board cannot show that the reasons for which </w:t>
      </w:r>
      <w:r w:rsidR="00DD09C6">
        <w:t xml:space="preserve">he </w:t>
      </w:r>
      <w:r w:rsidR="00B06DBA">
        <w:t>was disciplined in Oklahoma are</w:t>
      </w:r>
      <w:r w:rsidR="00651C79">
        <w:t xml:space="preserve"> for substantially the same reasons set forth in Massachusetts laws and regulations because the conduct forming the basis for the discipline was ne</w:t>
      </w:r>
      <w:r w:rsidR="00136FBA">
        <w:t>ither</w:t>
      </w:r>
      <w:r w:rsidR="00651C79">
        <w:t xml:space="preserve"> proven nor admitted to.  </w:t>
      </w:r>
      <w:r w:rsidR="00D54582">
        <w:t>Dr. Michael’s</w:t>
      </w:r>
      <w:r w:rsidR="00CC0D81">
        <w:t xml:space="preserve"> argument is flawed</w:t>
      </w:r>
      <w:r w:rsidR="00B06DBA">
        <w:t>.</w:t>
      </w:r>
      <w:r w:rsidR="00CC0D81">
        <w:t xml:space="preserve"> </w:t>
      </w:r>
      <w:r w:rsidR="00B06DBA">
        <w:t xml:space="preserve"> P</w:t>
      </w:r>
      <w:r w:rsidR="00D54582">
        <w:t xml:space="preserve">rofessional licensing boards in Massachusetts </w:t>
      </w:r>
      <w:r w:rsidR="002839E9">
        <w:t>are not obligated to</w:t>
      </w:r>
      <w:r w:rsidR="002839E9" w:rsidRPr="00B06DBA">
        <w:t xml:space="preserve"> prove </w:t>
      </w:r>
      <w:r w:rsidR="000E138B" w:rsidRPr="00CC0D81">
        <w:t xml:space="preserve">allegations </w:t>
      </w:r>
      <w:r w:rsidR="000E138B">
        <w:t>of licensee misconduct from foreign jurisdictions when the licensee has e</w:t>
      </w:r>
      <w:r w:rsidR="00CC0D81">
        <w:t>ntered into a consent order to permanently relinquish his medical license in the other state</w:t>
      </w:r>
      <w:r w:rsidR="000E138B">
        <w:t xml:space="preserve">.  </w:t>
      </w:r>
      <w:r w:rsidR="000E138B" w:rsidRPr="00327402">
        <w:rPr>
          <w:i/>
        </w:rPr>
        <w:t>Ramirez</w:t>
      </w:r>
      <w:r w:rsidR="000E138B">
        <w:t>, 441 Mass. at 483</w:t>
      </w:r>
      <w:r w:rsidR="00707935">
        <w:t>.</w:t>
      </w:r>
      <w:r w:rsidR="00CC0D81">
        <w:t xml:space="preserve"> </w:t>
      </w:r>
    </w:p>
    <w:p w:rsidR="00D65E48" w:rsidRDefault="00B3084B" w:rsidP="00B06DBA">
      <w:r>
        <w:tab/>
      </w:r>
      <w:r w:rsidR="00707935">
        <w:t>I</w:t>
      </w:r>
      <w:r>
        <w:t xml:space="preserve">n </w:t>
      </w:r>
      <w:r w:rsidR="00707935">
        <w:rPr>
          <w:i/>
        </w:rPr>
        <w:t xml:space="preserve">Ramirez, </w:t>
      </w:r>
      <w:r w:rsidR="007B54C2">
        <w:t>the c</w:t>
      </w:r>
      <w:r w:rsidR="00707935">
        <w:t>ourt held that a doctor was su</w:t>
      </w:r>
      <w:r w:rsidR="00916949">
        <w:t>bject to reciprocal discipline</w:t>
      </w:r>
      <w:r w:rsidR="00707935">
        <w:t xml:space="preserve"> in Massachusetts based on a </w:t>
      </w:r>
      <w:r w:rsidR="00136FBA">
        <w:t xml:space="preserve">Connecticut </w:t>
      </w:r>
      <w:r w:rsidR="00707935">
        <w:t>consent order</w:t>
      </w:r>
      <w:r w:rsidR="00481B45">
        <w:t>,</w:t>
      </w:r>
      <w:r w:rsidR="00DD09C6">
        <w:t xml:space="preserve"> even though the doctor did not admit to any wrongdoing in the consent order</w:t>
      </w:r>
      <w:r w:rsidR="00707935">
        <w:t xml:space="preserve">.  </w:t>
      </w:r>
      <w:proofErr w:type="gramStart"/>
      <w:r w:rsidR="00707935" w:rsidRPr="00707935">
        <w:rPr>
          <w:i/>
        </w:rPr>
        <w:t>Id.</w:t>
      </w:r>
      <w:r w:rsidR="00707935">
        <w:t xml:space="preserve"> at 480.</w:t>
      </w:r>
      <w:proofErr w:type="gramEnd"/>
      <w:r w:rsidR="00707935">
        <w:t xml:space="preserve">  </w:t>
      </w:r>
      <w:r w:rsidR="00481B45">
        <w:t>By signing the Connecticut order, t</w:t>
      </w:r>
      <w:r w:rsidR="00823284">
        <w:t xml:space="preserve">he doctor </w:t>
      </w:r>
      <w:r w:rsidR="00481B45">
        <w:t xml:space="preserve">agreed the order would </w:t>
      </w:r>
      <w:r w:rsidR="00DD09C6">
        <w:t>“</w:t>
      </w:r>
      <w:r w:rsidR="00823284" w:rsidRPr="00823284">
        <w:t>have the same effect as if proven and ordered after a full hearing</w:t>
      </w:r>
      <w:r w:rsidR="00DD09C6">
        <w:t>.”</w:t>
      </w:r>
      <w:r w:rsidR="00823284">
        <w:t xml:space="preserve">  </w:t>
      </w:r>
      <w:r w:rsidR="00823284" w:rsidRPr="00823284">
        <w:rPr>
          <w:i/>
        </w:rPr>
        <w:t>Id.</w:t>
      </w:r>
      <w:r w:rsidR="00823284">
        <w:t xml:space="preserve"> </w:t>
      </w:r>
      <w:r w:rsidR="00DD09C6">
        <w:t xml:space="preserve">(internal citations omitted). </w:t>
      </w:r>
      <w:r w:rsidR="00823284">
        <w:t xml:space="preserve"> </w:t>
      </w:r>
      <w:r w:rsidR="00707935">
        <w:t>The Court explained that</w:t>
      </w:r>
      <w:r w:rsidR="00C35C07">
        <w:t xml:space="preserve"> by</w:t>
      </w:r>
      <w:r w:rsidR="00F96DC9">
        <w:t xml:space="preserve"> agreeing to the terms of this consent order</w:t>
      </w:r>
      <w:r w:rsidR="00C35C07">
        <w:t xml:space="preserve">, the doctor </w:t>
      </w:r>
      <w:r w:rsidR="00707935">
        <w:t xml:space="preserve">“voluntarily placed himself in the same position as a physician against whom findings had been made.”  </w:t>
      </w:r>
      <w:proofErr w:type="gramStart"/>
      <w:r w:rsidR="00707935" w:rsidRPr="00707935">
        <w:rPr>
          <w:i/>
        </w:rPr>
        <w:t>Id.</w:t>
      </w:r>
      <w:r w:rsidR="00481B45">
        <w:t xml:space="preserve"> at 483.</w:t>
      </w:r>
      <w:proofErr w:type="gramEnd"/>
      <w:r w:rsidR="00481B45">
        <w:t xml:space="preserve">  Likewise, b</w:t>
      </w:r>
      <w:r w:rsidR="0006288A">
        <w:t xml:space="preserve">y signing the Oklahoma Board’s order, Dr. Michael acknowledged “that a hearing before the Board could result in some sanction” and </w:t>
      </w:r>
      <w:r w:rsidR="00193F00">
        <w:t xml:space="preserve">that he </w:t>
      </w:r>
      <w:r w:rsidR="0006288A">
        <w:t xml:space="preserve">“voluntarily </w:t>
      </w:r>
      <w:proofErr w:type="spellStart"/>
      <w:r w:rsidR="0006288A">
        <w:t>waiv</w:t>
      </w:r>
      <w:proofErr w:type="spellEnd"/>
      <w:r w:rsidR="0006288A">
        <w:t>[</w:t>
      </w:r>
      <w:proofErr w:type="spellStart"/>
      <w:r w:rsidR="0006288A">
        <w:t>ed</w:t>
      </w:r>
      <w:proofErr w:type="spellEnd"/>
      <w:r w:rsidR="0006288A">
        <w:t xml:space="preserve">] his right to a full hearing.” </w:t>
      </w:r>
      <w:r w:rsidR="00193F00">
        <w:t xml:space="preserve"> </w:t>
      </w:r>
      <w:proofErr w:type="gramStart"/>
      <w:r w:rsidR="00193F00">
        <w:t>(Ex. 4.)</w:t>
      </w:r>
      <w:proofErr w:type="gramEnd"/>
      <w:r w:rsidR="00193F00">
        <w:t xml:space="preserve">  </w:t>
      </w:r>
    </w:p>
    <w:p w:rsidR="004E4A8B" w:rsidRDefault="00D65E48" w:rsidP="006C0BE0">
      <w:pPr>
        <w:ind w:firstLine="720"/>
      </w:pPr>
      <w:r>
        <w:t xml:space="preserve">In </w:t>
      </w:r>
      <w:r w:rsidRPr="0016300E">
        <w:rPr>
          <w:i/>
        </w:rPr>
        <w:t>Anusavice</w:t>
      </w:r>
      <w:r>
        <w:t>, a dentist was subject to reciprocal disci</w:t>
      </w:r>
      <w:r w:rsidR="00800AA8">
        <w:t xml:space="preserve">pline in Massachusetts based on a consent order between the dentist and the </w:t>
      </w:r>
      <w:r w:rsidR="00800AA8" w:rsidRPr="00800AA8">
        <w:t xml:space="preserve">Rhode Island </w:t>
      </w:r>
      <w:r w:rsidR="00A80D5F">
        <w:t>Board of Examiners in Dentistry</w:t>
      </w:r>
      <w:r>
        <w:t xml:space="preserve">.  </w:t>
      </w:r>
      <w:r w:rsidR="00555E9B">
        <w:t>451 Mass. at 788</w:t>
      </w:r>
      <w:r w:rsidR="00800AA8">
        <w:t>, 796-98</w:t>
      </w:r>
      <w:r>
        <w:t xml:space="preserve">.  </w:t>
      </w:r>
      <w:r w:rsidR="00DD09C6">
        <w:t>The Rhode Island</w:t>
      </w:r>
      <w:r w:rsidR="00555E9B">
        <w:t xml:space="preserve"> order stated </w:t>
      </w:r>
      <w:r w:rsidR="002A7622">
        <w:t xml:space="preserve">that the dentist </w:t>
      </w:r>
      <w:r w:rsidR="00DD09C6">
        <w:t>“</w:t>
      </w:r>
      <w:r w:rsidR="00555E9B" w:rsidRPr="00555E9B">
        <w:t>neither admits no</w:t>
      </w:r>
      <w:r w:rsidR="00555E9B">
        <w:t>r denies the . . . allegations</w:t>
      </w:r>
      <w:r w:rsidR="00DD09C6">
        <w:t>”</w:t>
      </w:r>
      <w:r w:rsidR="002A7622">
        <w:t xml:space="preserve"> and </w:t>
      </w:r>
      <w:r w:rsidR="00DD09C6">
        <w:t>“acknowledges and waives”</w:t>
      </w:r>
      <w:r w:rsidR="00800AA8" w:rsidRPr="00800AA8">
        <w:t xml:space="preserve"> </w:t>
      </w:r>
      <w:r w:rsidR="002A7622">
        <w:t>his right to contest the allegations at a hearing before the</w:t>
      </w:r>
      <w:r w:rsidR="00A80D5F">
        <w:t xml:space="preserve"> Rhode Island Board</w:t>
      </w:r>
      <w:r w:rsidR="00800AA8">
        <w:t>.</w:t>
      </w:r>
      <w:r w:rsidR="00555E9B">
        <w:t xml:space="preserve">  </w:t>
      </w:r>
      <w:proofErr w:type="gramStart"/>
      <w:r w:rsidR="00555E9B" w:rsidRPr="00555E9B">
        <w:rPr>
          <w:i/>
        </w:rPr>
        <w:t>Id</w:t>
      </w:r>
      <w:r w:rsidR="002A7622">
        <w:rPr>
          <w:i/>
        </w:rPr>
        <w:t xml:space="preserve"> </w:t>
      </w:r>
      <w:r w:rsidR="002A7622" w:rsidRPr="002A7622">
        <w:t>at 788</w:t>
      </w:r>
      <w:r w:rsidR="00DD09C6">
        <w:t xml:space="preserve"> (internal citations omitted)</w:t>
      </w:r>
      <w:r w:rsidR="00555E9B" w:rsidRPr="002A7622">
        <w:t>.</w:t>
      </w:r>
      <w:proofErr w:type="gramEnd"/>
      <w:r w:rsidR="00555E9B">
        <w:t xml:space="preserve"> </w:t>
      </w:r>
      <w:r w:rsidR="000956CD">
        <w:t xml:space="preserve">  </w:t>
      </w:r>
      <w:r>
        <w:t xml:space="preserve">The court rejected the dentist’s argument </w:t>
      </w:r>
      <w:r w:rsidR="006C0BE0">
        <w:t xml:space="preserve">distinguishing his consent order from </w:t>
      </w:r>
      <w:r w:rsidR="006C0BE0" w:rsidRPr="006C0BE0">
        <w:rPr>
          <w:i/>
        </w:rPr>
        <w:t>Ramirez</w:t>
      </w:r>
      <w:r w:rsidR="006C0BE0">
        <w:t xml:space="preserve">, </w:t>
      </w:r>
      <w:r w:rsidR="00D10091">
        <w:t xml:space="preserve">because, although </w:t>
      </w:r>
      <w:r w:rsidR="006C0BE0">
        <w:t xml:space="preserve">the dentist’s order did not specify that </w:t>
      </w:r>
      <w:r w:rsidR="00DD09C6">
        <w:t>“</w:t>
      </w:r>
      <w:r w:rsidR="00DD09C6" w:rsidRPr="00DD09C6">
        <w:t xml:space="preserve">the consent order </w:t>
      </w:r>
      <w:r w:rsidR="00DD09C6">
        <w:t xml:space="preserve">[had] </w:t>
      </w:r>
      <w:r w:rsidR="00DD09C6" w:rsidRPr="00DD09C6">
        <w:t>the effect of the allegations being proved</w:t>
      </w:r>
      <w:r w:rsidR="00D10091">
        <w:t xml:space="preserve">,” the dentist acknowledged that the </w:t>
      </w:r>
      <w:r w:rsidR="00800AA8">
        <w:t xml:space="preserve">Rhode Island </w:t>
      </w:r>
      <w:r w:rsidR="00D10091">
        <w:t xml:space="preserve">Board would </w:t>
      </w:r>
      <w:r w:rsidR="003660DD">
        <w:t xml:space="preserve">report the </w:t>
      </w:r>
      <w:r w:rsidR="006C0BE0">
        <w:t xml:space="preserve">consent order </w:t>
      </w:r>
      <w:r w:rsidR="003660DD">
        <w:t>to the National Practitioner Data Bank</w:t>
      </w:r>
      <w:r w:rsidR="00193F00">
        <w:t>.</w:t>
      </w:r>
      <w:r w:rsidR="003660DD">
        <w:rPr>
          <w:rStyle w:val="FootnoteReference"/>
        </w:rPr>
        <w:footnoteReference w:id="1"/>
      </w:r>
      <w:r w:rsidR="00193F00">
        <w:t xml:space="preserve">  </w:t>
      </w:r>
      <w:proofErr w:type="gramStart"/>
      <w:r w:rsidR="00193F00" w:rsidRPr="00193F00">
        <w:rPr>
          <w:i/>
        </w:rPr>
        <w:t>Id.</w:t>
      </w:r>
      <w:r w:rsidR="00193F00">
        <w:t xml:space="preserve"> </w:t>
      </w:r>
      <w:r>
        <w:t xml:space="preserve">at </w:t>
      </w:r>
      <w:r w:rsidR="003660DD">
        <w:t xml:space="preserve">797, </w:t>
      </w:r>
      <w:r>
        <w:t>800.</w:t>
      </w:r>
      <w:proofErr w:type="gramEnd"/>
      <w:r>
        <w:t xml:space="preserve">  </w:t>
      </w:r>
      <w:r w:rsidR="004E4A8B">
        <w:t xml:space="preserve">Similar to </w:t>
      </w:r>
      <w:r w:rsidR="004E4A8B" w:rsidRPr="004E4A8B">
        <w:rPr>
          <w:i/>
        </w:rPr>
        <w:t>Anusavice</w:t>
      </w:r>
      <w:r w:rsidR="004E4A8B">
        <w:t xml:space="preserve">, Dr. Michael </w:t>
      </w:r>
      <w:r w:rsidR="006C0BE0">
        <w:t>waived</w:t>
      </w:r>
      <w:r w:rsidR="004E4A8B" w:rsidRPr="003660DD">
        <w:t xml:space="preserve"> his right to a full hearing and acknowledged that the matter would be reported to the National Practitioner Data Bank.</w:t>
      </w:r>
      <w:r w:rsidR="004E4A8B">
        <w:t xml:space="preserve">  </w:t>
      </w:r>
      <w:proofErr w:type="gramStart"/>
      <w:r w:rsidR="006C0BE0">
        <w:t>(Ex. 4.)</w:t>
      </w:r>
      <w:proofErr w:type="gramEnd"/>
      <w:r w:rsidR="006C0BE0">
        <w:t xml:space="preserve">  </w:t>
      </w:r>
    </w:p>
    <w:p w:rsidR="004E4A8B" w:rsidRDefault="00B06DBA" w:rsidP="004E4A8B">
      <w:pPr>
        <w:ind w:firstLine="720"/>
      </w:pPr>
      <w:r>
        <w:t>Second, Dr. Michael argues that the Oklahoma Board’s order does not constitute discipline</w:t>
      </w:r>
      <w:r w:rsidR="00350EB3">
        <w:t xml:space="preserve">.  He </w:t>
      </w:r>
      <w:r w:rsidR="007E17CD">
        <w:t xml:space="preserve">relies on a </w:t>
      </w:r>
      <w:r w:rsidR="00350EB3">
        <w:t xml:space="preserve">dictionary definition of discipline, </w:t>
      </w:r>
      <w:r w:rsidR="003E6BC9">
        <w:t>which is “training that corrects</w:t>
      </w:r>
      <w:r w:rsidR="0042049A">
        <w:t>...</w:t>
      </w:r>
      <w:r w:rsidR="003E6BC9">
        <w:t>the mental faculties or moral character</w:t>
      </w:r>
      <w:r w:rsidR="00193F00">
        <w:t>.</w:t>
      </w:r>
      <w:r w:rsidR="003E6BC9">
        <w:t>”</w:t>
      </w:r>
      <w:r w:rsidR="00193F00">
        <w:t xml:space="preserve">  </w:t>
      </w:r>
      <w:proofErr w:type="gramStart"/>
      <w:r w:rsidR="008D6E02" w:rsidRPr="008D6E02">
        <w:rPr>
          <w:i/>
        </w:rPr>
        <w:t>Discipline</w:t>
      </w:r>
      <w:r w:rsidR="008D6E02">
        <w:t xml:space="preserve">, </w:t>
      </w:r>
      <w:r w:rsidR="008D6E02" w:rsidRPr="008D6E02">
        <w:t>Merriam-Webste</w:t>
      </w:r>
      <w:r w:rsidR="008D6E02">
        <w:t>r</w:t>
      </w:r>
      <w:r w:rsidR="008D6E02" w:rsidRPr="008D6E02">
        <w:t>.com</w:t>
      </w:r>
      <w:r w:rsidR="008D6E02">
        <w:t xml:space="preserve">, </w:t>
      </w:r>
      <w:r w:rsidR="008D6E02" w:rsidRPr="008D6E02">
        <w:t xml:space="preserve">https://www.merriam-webster.com/dictionary/discipline </w:t>
      </w:r>
      <w:r w:rsidR="006C0BE0">
        <w:t>(last visited Aug. 2</w:t>
      </w:r>
      <w:r w:rsidR="008D6E02">
        <w:t>, 2018).</w:t>
      </w:r>
      <w:proofErr w:type="gramEnd"/>
      <w:r w:rsidR="008D6E02">
        <w:t xml:space="preserve">  </w:t>
      </w:r>
      <w:r w:rsidR="00C56BB7">
        <w:t xml:space="preserve">Dr. Michael reasons that the Oklahoma Board could not have corrected </w:t>
      </w:r>
      <w:r w:rsidR="00835F0C">
        <w:t xml:space="preserve">conduct </w:t>
      </w:r>
      <w:r w:rsidR="00C56BB7">
        <w:t>that he never admitted to</w:t>
      </w:r>
      <w:r w:rsidR="00350EB3">
        <w:t xml:space="preserve">.  </w:t>
      </w:r>
      <w:r w:rsidR="003B716F">
        <w:t xml:space="preserve">This argument </w:t>
      </w:r>
      <w:r w:rsidR="006F6C28">
        <w:t>fails to account for the Board’</w:t>
      </w:r>
      <w:r w:rsidR="003B716F">
        <w:t xml:space="preserve">s </w:t>
      </w:r>
      <w:r w:rsidR="006F6C28">
        <w:t xml:space="preserve">definition of discipline, which includes </w:t>
      </w:r>
      <w:r w:rsidR="006C0BE0">
        <w:t>“voluntary or involuntary...</w:t>
      </w:r>
      <w:r w:rsidR="00415E5A">
        <w:t>revocation of a right or privilege.”  243 CMR 1.01(2</w:t>
      </w:r>
      <w:proofErr w:type="gramStart"/>
      <w:r w:rsidR="00415E5A">
        <w:t>)(</w:t>
      </w:r>
      <w:proofErr w:type="gramEnd"/>
      <w:r w:rsidR="00415E5A">
        <w:t>c)(1).</w:t>
      </w:r>
      <w:r w:rsidR="00D74D1D">
        <w:t xml:space="preserve">  </w:t>
      </w:r>
      <w:r w:rsidR="006C0BE0">
        <w:t xml:space="preserve">By agreeing to the terms of the Oklahoma Board’s order, </w:t>
      </w:r>
      <w:r w:rsidR="00415E5A">
        <w:t xml:space="preserve">Dr. Michael </w:t>
      </w:r>
      <w:r w:rsidR="006C0BE0">
        <w:t>voluntarily</w:t>
      </w:r>
      <w:r w:rsidR="003B716F">
        <w:t xml:space="preserve"> </w:t>
      </w:r>
      <w:r w:rsidR="0042049A">
        <w:t>relinquish</w:t>
      </w:r>
      <w:r w:rsidR="006C0BE0">
        <w:t xml:space="preserve">ed </w:t>
      </w:r>
      <w:r w:rsidR="00415E5A">
        <w:t>his license</w:t>
      </w:r>
      <w:r w:rsidR="006C0BE0">
        <w:t xml:space="preserve">, which constitutes a </w:t>
      </w:r>
      <w:r w:rsidR="00415E5A">
        <w:t>“revocation of a right</w:t>
      </w:r>
      <w:r w:rsidR="0042049A">
        <w:t xml:space="preserve"> or privilege</w:t>
      </w:r>
      <w:r w:rsidR="009A32B1">
        <w:t>.</w:t>
      </w:r>
      <w:r w:rsidR="00415E5A">
        <w:t>”</w:t>
      </w:r>
      <w:r w:rsidR="009A32B1">
        <w:t xml:space="preserve">  </w:t>
      </w:r>
      <w:proofErr w:type="gramStart"/>
      <w:r w:rsidR="009A32B1">
        <w:t>(Ex. 4.)</w:t>
      </w:r>
      <w:proofErr w:type="gramEnd"/>
      <w:r w:rsidR="009A32B1">
        <w:t xml:space="preserve">  </w:t>
      </w:r>
      <w:r w:rsidR="00415E5A">
        <w:t xml:space="preserve">As previously discussed, Massachusetts licensing boards are authorized to apply reciprocal discipline when the licensee has not explicitly </w:t>
      </w:r>
      <w:r w:rsidR="00415E5A" w:rsidRPr="00B06DBA">
        <w:t xml:space="preserve">admitted </w:t>
      </w:r>
      <w:r w:rsidR="00415E5A">
        <w:t xml:space="preserve">to the foreign jurisdiction’s allegations.  </w:t>
      </w:r>
      <w:proofErr w:type="gramStart"/>
      <w:r w:rsidR="00415E5A" w:rsidRPr="00AD5312">
        <w:rPr>
          <w:i/>
        </w:rPr>
        <w:t>See</w:t>
      </w:r>
      <w:r w:rsidR="00415E5A">
        <w:t xml:space="preserve"> </w:t>
      </w:r>
      <w:r w:rsidR="00415E5A" w:rsidRPr="00327402">
        <w:rPr>
          <w:i/>
        </w:rPr>
        <w:t>Ramirez</w:t>
      </w:r>
      <w:r w:rsidR="00415E5A">
        <w:t xml:space="preserve">, 441 Mass. at 482-83; </w:t>
      </w:r>
      <w:r w:rsidR="00415E5A" w:rsidRPr="00E339E7">
        <w:rPr>
          <w:i/>
        </w:rPr>
        <w:t>Anusavice</w:t>
      </w:r>
      <w:r w:rsidR="00415E5A">
        <w:rPr>
          <w:i/>
        </w:rPr>
        <w:t xml:space="preserve">, </w:t>
      </w:r>
      <w:r w:rsidR="00415E5A">
        <w:t xml:space="preserve">451 Mass. at 796; </w:t>
      </w:r>
      <w:r w:rsidR="00415E5A" w:rsidRPr="00F74B82">
        <w:rPr>
          <w:i/>
        </w:rPr>
        <w:t>Lankheim</w:t>
      </w:r>
      <w:r w:rsidR="00415E5A">
        <w:t>, 458 Mass. at 1024 (declining to find significance in fa</w:t>
      </w:r>
      <w:r w:rsidR="003B716F">
        <w:t xml:space="preserve">ct that nurse did not admit any </w:t>
      </w:r>
      <w:r w:rsidR="00415E5A">
        <w:t>wrongdoing in voluntary relinquishment).</w:t>
      </w:r>
      <w:proofErr w:type="gramEnd"/>
      <w:r w:rsidR="00415E5A">
        <w:t xml:space="preserve">  </w:t>
      </w:r>
    </w:p>
    <w:p w:rsidR="00D65E48" w:rsidRDefault="00D65E48" w:rsidP="004E4A8B">
      <w:pPr>
        <w:ind w:firstLine="720"/>
      </w:pPr>
      <w:r>
        <w:t xml:space="preserve">Therefore, Dr. Michael’s voluntary submittal to jurisdiction </w:t>
      </w:r>
      <w:r w:rsidR="00AD5312">
        <w:t xml:space="preserve">is functionally equivalent to entry into </w:t>
      </w:r>
      <w:r>
        <w:t xml:space="preserve">a consent order, for the purposes of imposing reciprocal discipline pursuant to 243 CMR 1.03(5)(a)(12).  </w:t>
      </w:r>
    </w:p>
    <w:p w:rsidR="00355CFE" w:rsidRDefault="00B06DBA" w:rsidP="00D65E48">
      <w:pPr>
        <w:ind w:firstLine="720"/>
      </w:pPr>
      <w:r>
        <w:t>In December 2017</w:t>
      </w:r>
      <w:r w:rsidR="00355CFE">
        <w:t xml:space="preserve">, Dr. Michael argued that </w:t>
      </w:r>
      <w:r w:rsidR="0043229C">
        <w:t xml:space="preserve">it would be unfair for the Board to </w:t>
      </w:r>
      <w:r w:rsidR="00AD5312">
        <w:t xml:space="preserve">impose </w:t>
      </w:r>
      <w:r w:rsidR="003E6BC9">
        <w:t>reciprocal discipline</w:t>
      </w:r>
      <w:r w:rsidR="00355CFE">
        <w:t xml:space="preserve"> </w:t>
      </w:r>
      <w:r w:rsidR="0043229C">
        <w:t xml:space="preserve">before he exhausted </w:t>
      </w:r>
      <w:r w:rsidR="00355CFE">
        <w:t>his appeals of the Oklahoma Board’s</w:t>
      </w:r>
      <w:r w:rsidR="0043229C">
        <w:t xml:space="preserve"> action</w:t>
      </w:r>
      <w:r>
        <w:t>.   At that time,</w:t>
      </w:r>
      <w:r w:rsidR="00355CFE">
        <w:t xml:space="preserve"> there was a possibility that the Oklahoma Supreme Court </w:t>
      </w:r>
      <w:r w:rsidR="00F3328E">
        <w:t xml:space="preserve">could </w:t>
      </w:r>
      <w:r w:rsidR="00355CFE">
        <w:t xml:space="preserve">reverse </w:t>
      </w:r>
      <w:r w:rsidR="00EF13EE">
        <w:t xml:space="preserve">or </w:t>
      </w:r>
      <w:proofErr w:type="spellStart"/>
      <w:r w:rsidR="00EF13EE">
        <w:t>remande</w:t>
      </w:r>
      <w:proofErr w:type="spellEnd"/>
      <w:r w:rsidR="00EF13EE">
        <w:t xml:space="preserve"> </w:t>
      </w:r>
      <w:r w:rsidR="00355CFE">
        <w:t>the Oklahoma Board’s order.  Since then, the Oklahoma Supre</w:t>
      </w:r>
      <w:r w:rsidR="00EF13EE">
        <w:t xml:space="preserve">me Court denied </w:t>
      </w:r>
      <w:r w:rsidR="00355CFE">
        <w:t>Dr. Michael’s petition for certiorari</w:t>
      </w:r>
      <w:r w:rsidR="00EF13EE">
        <w:t xml:space="preserve"> and his petition for </w:t>
      </w:r>
      <w:r w:rsidR="00F3328E">
        <w:t>rehearing</w:t>
      </w:r>
      <w:r w:rsidR="00EF13EE">
        <w:t>,</w:t>
      </w:r>
      <w:r w:rsidR="00355CFE">
        <w:t xml:space="preserve"> thus rendering the Oklahoma Board’s order a final judgment</w:t>
      </w:r>
      <w:r w:rsidR="00F3328E">
        <w:t xml:space="preserve"> that can be used as a basis for discipline in</w:t>
      </w:r>
      <w:r w:rsidR="00355CFE">
        <w:t xml:space="preserve"> </w:t>
      </w:r>
      <w:r w:rsidR="00F3328E">
        <w:t>Massachusetts.</w:t>
      </w:r>
      <w:r w:rsidR="00355CFE">
        <w:t xml:space="preserve">  </w:t>
      </w:r>
    </w:p>
    <w:p w:rsidR="00BE03D3" w:rsidRDefault="00651C79" w:rsidP="000920C3">
      <w:pPr>
        <w:ind w:firstLine="720"/>
      </w:pPr>
      <w:r>
        <w:t>In addition, the reasons</w:t>
      </w:r>
      <w:r w:rsidR="000C3CF4">
        <w:t xml:space="preserve"> for disciplining</w:t>
      </w:r>
      <w:r>
        <w:t xml:space="preserve"> Dr. Michael in Oklahoma are substantially the same reasons</w:t>
      </w:r>
      <w:r w:rsidR="00AD5312">
        <w:t xml:space="preserve"> for which he could be</w:t>
      </w:r>
      <w:r>
        <w:t xml:space="preserve"> subject to discipline in Massachusetts.  </w:t>
      </w:r>
      <w:r w:rsidR="00033122" w:rsidRPr="00033122">
        <w:rPr>
          <w:i/>
        </w:rPr>
        <w:t>See Board of Reg. in Med. v. Michael</w:t>
      </w:r>
      <w:r w:rsidR="00033122">
        <w:t xml:space="preserve">, RM-15-193, </w:t>
      </w:r>
      <w:proofErr w:type="gramStart"/>
      <w:r w:rsidR="00033122">
        <w:t>Ruling</w:t>
      </w:r>
      <w:proofErr w:type="gramEnd"/>
      <w:r w:rsidR="00033122">
        <w:t xml:space="preserve"> on Motion for Summary Decision at 3 (Div. Admin. Law App., Dec. 5, 2017).  </w:t>
      </w:r>
      <w:r w:rsidR="00E6696C">
        <w:t xml:space="preserve">The Oklahoma Board’s </w:t>
      </w:r>
      <w:r w:rsidR="002F6CB2">
        <w:t>grounds for disciplining Dr. Michael for fraudulent license renewal are</w:t>
      </w:r>
      <w:r w:rsidR="00E6696C">
        <w:t xml:space="preserve"> </w:t>
      </w:r>
      <w:r w:rsidR="000C3CF4">
        <w:t xml:space="preserve">substantially </w:t>
      </w:r>
      <w:r w:rsidR="000E138B">
        <w:t>the same</w:t>
      </w:r>
      <w:r w:rsidR="000C3CF4">
        <w:t xml:space="preserve"> </w:t>
      </w:r>
      <w:r w:rsidR="00E6696C">
        <w:t>as</w:t>
      </w:r>
      <w:r w:rsidR="0006016D">
        <w:t xml:space="preserve"> “f</w:t>
      </w:r>
      <w:r w:rsidR="00E6696C">
        <w:t xml:space="preserve">raudulent procurement of his or her </w:t>
      </w:r>
      <w:r w:rsidR="0006016D" w:rsidRPr="0006016D">
        <w:t>certificate of registration or its renewal</w:t>
      </w:r>
      <w:r w:rsidR="0006016D">
        <w:t>.”</w:t>
      </w:r>
      <w:r w:rsidR="00376EC0">
        <w:t xml:space="preserve">  243 CMR 1.03(5</w:t>
      </w:r>
      <w:proofErr w:type="gramStart"/>
      <w:r w:rsidR="00376EC0">
        <w:t>)(</w:t>
      </w:r>
      <w:proofErr w:type="gramEnd"/>
      <w:r w:rsidR="00376EC0">
        <w:t xml:space="preserve">a)(1); </w:t>
      </w:r>
      <w:r w:rsidR="00052AFB">
        <w:rPr>
          <w:i/>
        </w:rPr>
        <w:t xml:space="preserve">Matter of Judith </w:t>
      </w:r>
      <w:r w:rsidR="006C130B">
        <w:rPr>
          <w:i/>
        </w:rPr>
        <w:t xml:space="preserve">Prophete, </w:t>
      </w:r>
      <w:r w:rsidR="00052AFB">
        <w:rPr>
          <w:i/>
        </w:rPr>
        <w:t xml:space="preserve">M.D., </w:t>
      </w:r>
      <w:r w:rsidR="00376EC0" w:rsidRPr="00376EC0">
        <w:rPr>
          <w:bCs/>
        </w:rPr>
        <w:t>RM-94-851</w:t>
      </w:r>
      <w:r w:rsidR="00052AFB">
        <w:t xml:space="preserve"> </w:t>
      </w:r>
      <w:r w:rsidR="006C130B">
        <w:t>(</w:t>
      </w:r>
      <w:r w:rsidR="002F6CB2">
        <w:t>Board of Reg. in Med.</w:t>
      </w:r>
      <w:r w:rsidR="00052AFB">
        <w:t xml:space="preserve">, </w:t>
      </w:r>
      <w:r w:rsidR="0042049A">
        <w:t>Dec. 14</w:t>
      </w:r>
      <w:r w:rsidR="00376EC0">
        <w:t>, 1994</w:t>
      </w:r>
      <w:r w:rsidR="00376EC0" w:rsidRPr="00376EC0">
        <w:t>)</w:t>
      </w:r>
      <w:r w:rsidR="00BB4943">
        <w:t>.</w:t>
      </w:r>
      <w:r w:rsidR="00FA1A42">
        <w:t xml:space="preserve">  </w:t>
      </w:r>
      <w:r w:rsidR="000E138B">
        <w:t xml:space="preserve">The Board’s regulations permit it to discipline a physician for </w:t>
      </w:r>
      <w:r w:rsidR="000407F2">
        <w:t>“</w:t>
      </w:r>
      <w:r w:rsidR="00FA1A42">
        <w:t>f</w:t>
      </w:r>
      <w:r w:rsidR="000407F2" w:rsidRPr="000407F2">
        <w:t>ailure to respond to a subpoena or to furnish the Board, its investigators or representatives, documents, information or testimony to which the Board is legally entitled</w:t>
      </w:r>
      <w:r w:rsidR="000407F2">
        <w:t>.</w:t>
      </w:r>
      <w:r w:rsidR="000E138B">
        <w:t>”</w:t>
      </w:r>
      <w:r w:rsidR="000407F2">
        <w:t xml:space="preserve">  243 CMR 1.03(5</w:t>
      </w:r>
      <w:proofErr w:type="gramStart"/>
      <w:r w:rsidR="000407F2">
        <w:t>)(</w:t>
      </w:r>
      <w:proofErr w:type="gramEnd"/>
      <w:r w:rsidR="000407F2">
        <w:t>a)(16)</w:t>
      </w:r>
      <w:r w:rsidR="00376EC0">
        <w:t xml:space="preserve">; </w:t>
      </w:r>
      <w:r w:rsidR="00052AFB">
        <w:rPr>
          <w:i/>
        </w:rPr>
        <w:t xml:space="preserve">Matter of Peter </w:t>
      </w:r>
      <w:r w:rsidR="00376EC0" w:rsidRPr="00376EC0">
        <w:rPr>
          <w:bCs/>
          <w:i/>
        </w:rPr>
        <w:t>O</w:t>
      </w:r>
      <w:r w:rsidR="006C130B">
        <w:rPr>
          <w:bCs/>
          <w:i/>
        </w:rPr>
        <w:t xml:space="preserve">liynyk, </w:t>
      </w:r>
      <w:r w:rsidR="00052AFB">
        <w:rPr>
          <w:bCs/>
          <w:i/>
        </w:rPr>
        <w:t xml:space="preserve">M.D., </w:t>
      </w:r>
      <w:r w:rsidR="00376EC0">
        <w:rPr>
          <w:bCs/>
        </w:rPr>
        <w:t>RM-08</w:t>
      </w:r>
      <w:r w:rsidR="00052AFB">
        <w:rPr>
          <w:bCs/>
        </w:rPr>
        <w:t>-703 (</w:t>
      </w:r>
      <w:r w:rsidR="002F6CB2">
        <w:rPr>
          <w:bCs/>
        </w:rPr>
        <w:t>Board of Reg. in Med.</w:t>
      </w:r>
      <w:r w:rsidR="00052AFB">
        <w:rPr>
          <w:bCs/>
        </w:rPr>
        <w:t xml:space="preserve">, </w:t>
      </w:r>
      <w:r w:rsidR="002F6CB2">
        <w:rPr>
          <w:bCs/>
        </w:rPr>
        <w:t>Oct. 6</w:t>
      </w:r>
      <w:r w:rsidR="00376EC0">
        <w:rPr>
          <w:bCs/>
        </w:rPr>
        <w:t>, 2010)</w:t>
      </w:r>
      <w:r w:rsidR="000407F2" w:rsidRPr="00376EC0">
        <w:t>.</w:t>
      </w:r>
      <w:r w:rsidR="000407F2">
        <w:t xml:space="preserve">  </w:t>
      </w:r>
      <w:r w:rsidR="00B06DBA">
        <w:t>The Oklahoma Board’s allegation</w:t>
      </w:r>
      <w:r w:rsidR="00E6696C">
        <w:t xml:space="preserve"> that Dr. Michael refused to comply with its subpoenas</w:t>
      </w:r>
      <w:r w:rsidR="00B06DBA">
        <w:t xml:space="preserve"> is substantially the same</w:t>
      </w:r>
      <w:r w:rsidR="00E6696C">
        <w:t>.  Under 243 CMR 1.03(5</w:t>
      </w:r>
      <w:proofErr w:type="gramStart"/>
      <w:r w:rsidR="00E6696C">
        <w:t>)(</w:t>
      </w:r>
      <w:proofErr w:type="gramEnd"/>
      <w:r w:rsidR="00E6696C">
        <w:t>a)(3), physicians are subject to discipline</w:t>
      </w:r>
      <w:r w:rsidR="000E138B">
        <w:t xml:space="preserve"> for </w:t>
      </w:r>
      <w:r w:rsidR="000407F2" w:rsidRPr="002D55BD">
        <w:t>“gross miscond</w:t>
      </w:r>
      <w:r w:rsidR="002D55BD">
        <w:t>uct in</w:t>
      </w:r>
      <w:r w:rsidR="00E6696C">
        <w:t xml:space="preserve"> the practice of medicine.”  Gross misconduct includes </w:t>
      </w:r>
      <w:r w:rsidR="002D55BD">
        <w:t xml:space="preserve">sexual misconduct with employees and patients.  </w:t>
      </w:r>
      <w:r w:rsidR="002D55BD" w:rsidRPr="002D55BD">
        <w:rPr>
          <w:i/>
        </w:rPr>
        <w:t>Ramirez</w:t>
      </w:r>
      <w:r w:rsidR="002D55BD">
        <w:t>, 441 Mass. at 485</w:t>
      </w:r>
      <w:r w:rsidR="00355CFE">
        <w:t xml:space="preserve">; </w:t>
      </w:r>
      <w:r w:rsidR="00052AFB">
        <w:rPr>
          <w:i/>
        </w:rPr>
        <w:t xml:space="preserve">Matter of Julian </w:t>
      </w:r>
      <w:r w:rsidR="00355CFE" w:rsidRPr="00355CFE">
        <w:rPr>
          <w:i/>
        </w:rPr>
        <w:t>Abbey</w:t>
      </w:r>
      <w:r w:rsidR="00355CFE">
        <w:t>,</w:t>
      </w:r>
      <w:r w:rsidR="00EA68C1">
        <w:t xml:space="preserve"> </w:t>
      </w:r>
      <w:r w:rsidR="002F6CB2" w:rsidRPr="002F6CB2">
        <w:rPr>
          <w:i/>
        </w:rPr>
        <w:t>M.D.</w:t>
      </w:r>
      <w:r w:rsidR="002F6CB2">
        <w:t xml:space="preserve">, </w:t>
      </w:r>
      <w:r w:rsidR="00EA68C1">
        <w:t>RM-</w:t>
      </w:r>
      <w:r w:rsidR="002F6CB2">
        <w:t>06-962 (Board of Reg. in Med.</w:t>
      </w:r>
      <w:r w:rsidR="00355CFE">
        <w:t xml:space="preserve">, </w:t>
      </w:r>
      <w:r w:rsidR="002F6CB2">
        <w:t>Sep</w:t>
      </w:r>
      <w:r w:rsidR="0042049A">
        <w:t>t</w:t>
      </w:r>
      <w:r w:rsidR="002F6CB2">
        <w:t xml:space="preserve">. 17, </w:t>
      </w:r>
      <w:r w:rsidR="00355CFE">
        <w:t>2008).</w:t>
      </w:r>
      <w:r w:rsidR="002D55BD">
        <w:t xml:space="preserve">  </w:t>
      </w:r>
      <w:r w:rsidR="00BF7FB9">
        <w:t xml:space="preserve">Therefore, </w:t>
      </w:r>
      <w:r w:rsidR="00355CFE">
        <w:t xml:space="preserve">the conduct relied upon by the </w:t>
      </w:r>
      <w:r w:rsidR="00CC0D81">
        <w:t>Oklahoma Board</w:t>
      </w:r>
      <w:r w:rsidR="00355CFE">
        <w:t xml:space="preserve"> for its disciplinary action against Dr. Michael is substantially the same conduct for which the Board may discipline a physician </w:t>
      </w:r>
      <w:r w:rsidR="00CC0D81">
        <w:t xml:space="preserve">in Massachusetts.  </w:t>
      </w:r>
    </w:p>
    <w:p w:rsidR="00F10338" w:rsidRDefault="00C400BA" w:rsidP="006160CD">
      <w:pPr>
        <w:ind w:firstLine="720"/>
      </w:pPr>
      <w:r>
        <w:t>Lastly, Dr. Michael argues that “</w:t>
      </w:r>
      <w:r w:rsidR="007F53E0">
        <w:t>it is impossible for [him</w:t>
      </w:r>
      <w:r>
        <w:t>] to ever be a threat to the general public in Massachusetts</w:t>
      </w:r>
      <w:r w:rsidR="00B133D4">
        <w:t>” because he never used his license to practice medicine in Mass</w:t>
      </w:r>
      <w:r w:rsidR="00F10338">
        <w:t>achusetts</w:t>
      </w:r>
      <w:r w:rsidR="007E17CD">
        <w:t>,</w:t>
      </w:r>
      <w:r w:rsidR="00F10338">
        <w:t xml:space="preserve"> and he let his license</w:t>
      </w:r>
      <w:r w:rsidR="00B133D4">
        <w:t xml:space="preserve"> lapse over six years ago.</w:t>
      </w:r>
      <w:r w:rsidR="00FE17B9">
        <w:t xml:space="preserve">  </w:t>
      </w:r>
      <w:r w:rsidR="00B133D4">
        <w:t xml:space="preserve">Dr. Michael supports this argument by referring to 243 CMR 1.03(15), which </w:t>
      </w:r>
      <w:r w:rsidR="00B133D4" w:rsidRPr="007E17CD">
        <w:t xml:space="preserve">permits </w:t>
      </w:r>
      <w:r w:rsidR="00B133D4">
        <w:t>the Board to “</w:t>
      </w:r>
      <w:r w:rsidR="00B133D4" w:rsidRPr="00B133D4">
        <w:t>defer commencement of formal disciplinary proceedings against a physician whose license has been revoked by operation of law</w:t>
      </w:r>
      <w:r w:rsidR="00B133D4">
        <w:t xml:space="preserve">.”  </w:t>
      </w:r>
      <w:r w:rsidR="00C13432">
        <w:t xml:space="preserve">The language of </w:t>
      </w:r>
      <w:r w:rsidR="00B133D4">
        <w:t>this regulat</w:t>
      </w:r>
      <w:r w:rsidR="007F53E0">
        <w:t>ion provides the Board with discretion</w:t>
      </w:r>
      <w:r w:rsidR="00C13432">
        <w:t xml:space="preserve"> to defer disciplinary proceedings, but does not mandate the Board to do so.  </w:t>
      </w:r>
      <w:r w:rsidR="00B133D4">
        <w:t xml:space="preserve"> </w:t>
      </w:r>
    </w:p>
    <w:p w:rsidR="00255320" w:rsidRPr="00255320" w:rsidRDefault="00F10338" w:rsidP="00AB2929">
      <w:pPr>
        <w:ind w:firstLine="720"/>
      </w:pPr>
      <w:r>
        <w:t>Here, the Board is exercising</w:t>
      </w:r>
      <w:r w:rsidR="00C13432">
        <w:t xml:space="preserve"> its</w:t>
      </w:r>
      <w:r w:rsidR="00B133D4">
        <w:t xml:space="preserve"> discretion to revoke </w:t>
      </w:r>
      <w:r>
        <w:t>Dr. Michael’s inchoate right</w:t>
      </w:r>
      <w:r w:rsidR="0090610A">
        <w:t xml:space="preserve"> to renew</w:t>
      </w:r>
      <w:r>
        <w:t xml:space="preserve"> his license</w:t>
      </w:r>
      <w:r w:rsidR="00B133D4">
        <w:t xml:space="preserve">.  </w:t>
      </w:r>
      <w:r w:rsidR="007E17CD">
        <w:t xml:space="preserve">In </w:t>
      </w:r>
      <w:r w:rsidR="007E17CD" w:rsidRPr="00255320">
        <w:rPr>
          <w:i/>
        </w:rPr>
        <w:t>Wang</w:t>
      </w:r>
      <w:r w:rsidR="007E17CD">
        <w:t xml:space="preserve">, the Court referenced G.L. c. 112, § 2, which states that after a physician’s license has lapsed, the license </w:t>
      </w:r>
      <w:r w:rsidR="007E17CD" w:rsidRPr="00255320">
        <w:t>“</w:t>
      </w:r>
      <w:r w:rsidR="007E17CD" w:rsidRPr="00255320">
        <w:rPr>
          <w:iCs/>
        </w:rPr>
        <w:t xml:space="preserve">shall be revived upon completion of the renewal process.”  </w:t>
      </w:r>
      <w:r w:rsidR="006160CD" w:rsidRPr="006160CD">
        <w:rPr>
          <w:i/>
        </w:rPr>
        <w:t>See Wang v. Board of Reg</w:t>
      </w:r>
      <w:r w:rsidR="006C130B">
        <w:rPr>
          <w:i/>
        </w:rPr>
        <w:t>.</w:t>
      </w:r>
      <w:r w:rsidR="006160CD" w:rsidRPr="006160CD">
        <w:rPr>
          <w:i/>
        </w:rPr>
        <w:t xml:space="preserve"> and Discipline in Med</w:t>
      </w:r>
      <w:r w:rsidR="006C130B">
        <w:rPr>
          <w:i/>
        </w:rPr>
        <w:t>.</w:t>
      </w:r>
      <w:r w:rsidR="006160CD">
        <w:t xml:space="preserve">, 405 Mass. 15, </w:t>
      </w:r>
      <w:r w:rsidR="00AB2929">
        <w:t>18</w:t>
      </w:r>
      <w:r w:rsidR="006160CD">
        <w:t xml:space="preserve"> (1989)</w:t>
      </w:r>
      <w:r w:rsidR="001D2C7C">
        <w:t xml:space="preserve">.  </w:t>
      </w:r>
      <w:r w:rsidR="00255320">
        <w:rPr>
          <w:iCs/>
        </w:rPr>
        <w:t xml:space="preserve">While the Board had the discretion to wait until </w:t>
      </w:r>
      <w:r w:rsidR="001D2C7C">
        <w:rPr>
          <w:iCs/>
        </w:rPr>
        <w:t xml:space="preserve">the physician </w:t>
      </w:r>
      <w:r w:rsidR="00255320">
        <w:rPr>
          <w:iCs/>
        </w:rPr>
        <w:t xml:space="preserve">applied for renewal of his license, </w:t>
      </w:r>
      <w:r w:rsidR="00AB2929">
        <w:rPr>
          <w:iCs/>
        </w:rPr>
        <w:t xml:space="preserve">before initiating disciplinary proceedings, </w:t>
      </w:r>
      <w:r w:rsidR="00255320">
        <w:rPr>
          <w:iCs/>
        </w:rPr>
        <w:t xml:space="preserve">it was not required to do so.  </w:t>
      </w:r>
      <w:r w:rsidR="001D2C7C">
        <w:rPr>
          <w:i/>
          <w:iCs/>
        </w:rPr>
        <w:t>Id</w:t>
      </w:r>
      <w:r w:rsidR="00AB2929">
        <w:rPr>
          <w:iCs/>
        </w:rPr>
        <w:t xml:space="preserve">. </w:t>
      </w:r>
      <w:r w:rsidR="00255320">
        <w:rPr>
          <w:iCs/>
        </w:rPr>
        <w:t xml:space="preserve">at 19; </w:t>
      </w:r>
      <w:r w:rsidR="001D2C7C" w:rsidRPr="001D2C7C">
        <w:rPr>
          <w:i/>
          <w:iCs/>
        </w:rPr>
        <w:t>see</w:t>
      </w:r>
      <w:r w:rsidR="001D2C7C">
        <w:rPr>
          <w:iCs/>
        </w:rPr>
        <w:t xml:space="preserve"> </w:t>
      </w:r>
      <w:r w:rsidR="002F6CB2">
        <w:rPr>
          <w:i/>
          <w:iCs/>
        </w:rPr>
        <w:t xml:space="preserve">Matter of Peter J. </w:t>
      </w:r>
      <w:r w:rsidR="00EA68C1" w:rsidRPr="00EA68C1">
        <w:rPr>
          <w:i/>
          <w:iCs/>
        </w:rPr>
        <w:t>Mulhern</w:t>
      </w:r>
      <w:r w:rsidR="00EA68C1">
        <w:rPr>
          <w:iCs/>
        </w:rPr>
        <w:t>,</w:t>
      </w:r>
      <w:r w:rsidR="002F6CB2">
        <w:rPr>
          <w:iCs/>
        </w:rPr>
        <w:t xml:space="preserve"> </w:t>
      </w:r>
      <w:r w:rsidR="002F6CB2" w:rsidRPr="002F6CB2">
        <w:rPr>
          <w:i/>
          <w:iCs/>
        </w:rPr>
        <w:t>M.D.,</w:t>
      </w:r>
      <w:r w:rsidR="00EA68C1">
        <w:rPr>
          <w:iCs/>
        </w:rPr>
        <w:t xml:space="preserve"> RM-05-36 (</w:t>
      </w:r>
      <w:r w:rsidR="002F6CB2">
        <w:rPr>
          <w:iCs/>
        </w:rPr>
        <w:t>Board of Reg. in Med., Sep</w:t>
      </w:r>
      <w:r w:rsidR="0042049A">
        <w:rPr>
          <w:iCs/>
        </w:rPr>
        <w:t>t</w:t>
      </w:r>
      <w:r w:rsidR="002F6CB2">
        <w:rPr>
          <w:iCs/>
        </w:rPr>
        <w:t>. 5, 2007</w:t>
      </w:r>
      <w:r w:rsidR="00EA68C1">
        <w:rPr>
          <w:iCs/>
        </w:rPr>
        <w:t>) (</w:t>
      </w:r>
      <w:r w:rsidR="001D2C7C">
        <w:rPr>
          <w:iCs/>
        </w:rPr>
        <w:t xml:space="preserve">applying </w:t>
      </w:r>
      <w:r w:rsidR="001D2C7C" w:rsidRPr="00354EBE">
        <w:rPr>
          <w:i/>
          <w:iCs/>
        </w:rPr>
        <w:t>Wang</w:t>
      </w:r>
      <w:r w:rsidR="001D2C7C">
        <w:rPr>
          <w:iCs/>
        </w:rPr>
        <w:t xml:space="preserve"> </w:t>
      </w:r>
      <w:r w:rsidR="00354EBE">
        <w:rPr>
          <w:iCs/>
        </w:rPr>
        <w:t xml:space="preserve">in concluding that </w:t>
      </w:r>
      <w:r w:rsidR="00EA68C1">
        <w:rPr>
          <w:iCs/>
        </w:rPr>
        <w:t xml:space="preserve">Board can indefinitely suspend physician’s inchoate right to renew medical license in Massachusetts).  </w:t>
      </w:r>
    </w:p>
    <w:p w:rsidR="006160CD" w:rsidRDefault="0090610A" w:rsidP="006160CD">
      <w:pPr>
        <w:ind w:firstLine="720"/>
      </w:pPr>
      <w:r>
        <w:t>As long as Dr. Michael retains this inchoate right to renew his medical license in Massachusetts</w:t>
      </w:r>
      <w:r w:rsidR="00C13432">
        <w:t xml:space="preserve">, the Board </w:t>
      </w:r>
      <w:r>
        <w:t xml:space="preserve">is authorized to </w:t>
      </w:r>
      <w:r w:rsidR="00C13432">
        <w:t>pursue disciplinary</w:t>
      </w:r>
      <w:r w:rsidR="002F6CB2">
        <w:t xml:space="preserve"> proceedings against him</w:t>
      </w:r>
      <w:r>
        <w:t>.</w:t>
      </w:r>
    </w:p>
    <w:p w:rsidR="00154928" w:rsidRDefault="00154928" w:rsidP="006160CD">
      <w:pPr>
        <w:ind w:firstLine="720"/>
      </w:pPr>
    </w:p>
    <w:p w:rsidR="0042049A" w:rsidRDefault="00447C1D" w:rsidP="003B716F">
      <w:pPr>
        <w:ind w:firstLine="720"/>
      </w:pPr>
      <w:r>
        <w:t xml:space="preserve">I therefore grant the Board’s motion for summary decision.  </w:t>
      </w:r>
      <w:r w:rsidR="002F6CB2">
        <w:t xml:space="preserve">I recommend that the Board impose appropriate </w:t>
      </w:r>
      <w:r w:rsidR="00033122">
        <w:t xml:space="preserve">reciprocal </w:t>
      </w:r>
      <w:r w:rsidR="002F6CB2">
        <w:t>discipline.</w:t>
      </w:r>
    </w:p>
    <w:p w:rsidR="00447C1D" w:rsidRDefault="00447C1D" w:rsidP="001D2C7C">
      <w:pPr>
        <w:ind w:left="2880" w:firstLine="720"/>
      </w:pPr>
      <w:r>
        <w:t>DIVISION OF ADMINISTRATIVE LAW APPEALS</w:t>
      </w:r>
    </w:p>
    <w:p w:rsidR="00447C1D" w:rsidRDefault="00447C1D" w:rsidP="00447C1D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456619">
        <w:rPr>
          <w:u w:val="single"/>
        </w:rPr>
        <w:t xml:space="preserve">Signed by Bonney </w:t>
      </w:r>
      <w:proofErr w:type="spellStart"/>
      <w:r w:rsidR="00456619">
        <w:rPr>
          <w:u w:val="single"/>
        </w:rPr>
        <w:t>Cashin</w:t>
      </w:r>
      <w:proofErr w:type="spellEnd"/>
      <w:r w:rsidR="00456619">
        <w:rPr>
          <w:u w:val="single"/>
        </w:rPr>
        <w:tab/>
      </w:r>
      <w:bookmarkStart w:id="0" w:name="_GoBack"/>
      <w:bookmarkEnd w:id="0"/>
    </w:p>
    <w:p w:rsidR="00447C1D" w:rsidRDefault="00447C1D" w:rsidP="008B3804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>Bonney Cashin</w:t>
      </w:r>
    </w:p>
    <w:p w:rsidR="00447C1D" w:rsidRDefault="00447C1D" w:rsidP="008B3804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>Administrative Magistrate</w:t>
      </w:r>
    </w:p>
    <w:p w:rsidR="002F6CB2" w:rsidRDefault="002F6CB2" w:rsidP="00447C1D"/>
    <w:p w:rsidR="00FB1876" w:rsidRDefault="002F6CB2">
      <w:r>
        <w:t>Dated:</w:t>
      </w:r>
      <w:r w:rsidR="00D17B2F">
        <w:t xml:space="preserve"> August 8, 2018</w:t>
      </w:r>
    </w:p>
    <w:sectPr w:rsidR="00FB1876" w:rsidSect="00681A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A73" w:rsidRDefault="00681A73" w:rsidP="00681A73">
      <w:pPr>
        <w:spacing w:line="240" w:lineRule="auto"/>
      </w:pPr>
      <w:r>
        <w:separator/>
      </w:r>
    </w:p>
  </w:endnote>
  <w:endnote w:type="continuationSeparator" w:id="0">
    <w:p w:rsidR="00681A73" w:rsidRDefault="00681A73" w:rsidP="00681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2E3" w:rsidRDefault="009A62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85498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7D54" w:rsidRDefault="00B27D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61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27D54" w:rsidRDefault="00B27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D54" w:rsidRDefault="00B27D54">
    <w:pPr>
      <w:pStyle w:val="Footer"/>
      <w:jc w:val="center"/>
    </w:pPr>
  </w:p>
  <w:p w:rsidR="00B27D54" w:rsidRDefault="00B27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A73" w:rsidRDefault="00681A73" w:rsidP="00681A73">
      <w:pPr>
        <w:spacing w:line="240" w:lineRule="auto"/>
      </w:pPr>
      <w:r>
        <w:separator/>
      </w:r>
    </w:p>
  </w:footnote>
  <w:footnote w:type="continuationSeparator" w:id="0">
    <w:p w:rsidR="00681A73" w:rsidRDefault="00681A73" w:rsidP="00681A73">
      <w:pPr>
        <w:spacing w:line="240" w:lineRule="auto"/>
      </w:pPr>
      <w:r>
        <w:continuationSeparator/>
      </w:r>
    </w:p>
  </w:footnote>
  <w:footnote w:id="1">
    <w:p w:rsidR="003660DD" w:rsidRDefault="003660DD">
      <w:pPr>
        <w:pStyle w:val="FootnoteText"/>
      </w:pPr>
      <w:r>
        <w:rPr>
          <w:rStyle w:val="FootnoteReference"/>
        </w:rPr>
        <w:footnoteRef/>
      </w:r>
      <w:r>
        <w:t xml:space="preserve"> The primary purpose of state licensing </w:t>
      </w:r>
      <w:proofErr w:type="gramStart"/>
      <w:r>
        <w:t>boards</w:t>
      </w:r>
      <w:proofErr w:type="gramEnd"/>
      <w:r>
        <w:t xml:space="preserve"> report</w:t>
      </w:r>
      <w:r w:rsidR="00D96A17">
        <w:t xml:space="preserve"> of</w:t>
      </w:r>
      <w:r>
        <w:t xml:space="preserve"> a physician’s misconduct to the National Practitioner Data Bank is to ‘</w:t>
      </w:r>
      <w:r w:rsidRPr="003660DD">
        <w:t>restrict the ability of incompetent [health care professionals] to move from State to State without disclosure or discovery of the [professional's] previous damaging or incompetent perfo</w:t>
      </w:r>
      <w:r>
        <w:t xml:space="preserve">rmance.’  </w:t>
      </w:r>
      <w:r w:rsidRPr="003660DD">
        <w:rPr>
          <w:i/>
        </w:rPr>
        <w:t>Anusavice</w:t>
      </w:r>
      <w:r>
        <w:t>, 451 Mass. at 789 (quoting</w:t>
      </w:r>
      <w:r w:rsidRPr="003660DD">
        <w:t xml:space="preserve"> 42 U.S.C. § 11101(2) (2000)</w:t>
      </w:r>
      <w:r>
        <w:t>)</w:t>
      </w:r>
      <w:r w:rsidRPr="003660DD">
        <w:t>. 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2E3" w:rsidRDefault="009A62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73" w:rsidRDefault="00447C1D">
    <w:pPr>
      <w:pStyle w:val="Header"/>
      <w:jc w:val="center"/>
    </w:pPr>
    <w:r w:rsidRPr="00A52734">
      <w:rPr>
        <w:i/>
      </w:rPr>
      <w:t>Board of Reg. in Medicine v. Medhat Michael, M.D.</w:t>
    </w:r>
    <w:r>
      <w:t xml:space="preserve"> </w:t>
    </w:r>
    <w:r>
      <w:tab/>
      <w:t>RM-15-193</w:t>
    </w:r>
  </w:p>
  <w:p w:rsidR="00681A73" w:rsidRDefault="00681A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2E3" w:rsidRDefault="009A62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136B7"/>
    <w:multiLevelType w:val="hybridMultilevel"/>
    <w:tmpl w:val="3BAC9144"/>
    <w:lvl w:ilvl="0" w:tplc="32F8C6F0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7D"/>
    <w:rsid w:val="00033122"/>
    <w:rsid w:val="0003616A"/>
    <w:rsid w:val="000407F2"/>
    <w:rsid w:val="00052AFB"/>
    <w:rsid w:val="0006016D"/>
    <w:rsid w:val="0006288A"/>
    <w:rsid w:val="0007352B"/>
    <w:rsid w:val="000770E3"/>
    <w:rsid w:val="00083C78"/>
    <w:rsid w:val="00090864"/>
    <w:rsid w:val="000920C3"/>
    <w:rsid w:val="000956CD"/>
    <w:rsid w:val="000A26E0"/>
    <w:rsid w:val="000C3CF4"/>
    <w:rsid w:val="000E138B"/>
    <w:rsid w:val="000E3313"/>
    <w:rsid w:val="000E62FF"/>
    <w:rsid w:val="00136FBA"/>
    <w:rsid w:val="00154928"/>
    <w:rsid w:val="0016300E"/>
    <w:rsid w:val="00193F00"/>
    <w:rsid w:val="001B0514"/>
    <w:rsid w:val="001C7C8F"/>
    <w:rsid w:val="001D2C7C"/>
    <w:rsid w:val="001F0A7D"/>
    <w:rsid w:val="00201853"/>
    <w:rsid w:val="0020539E"/>
    <w:rsid w:val="00233C93"/>
    <w:rsid w:val="0023720C"/>
    <w:rsid w:val="00246D50"/>
    <w:rsid w:val="0025164B"/>
    <w:rsid w:val="002516D9"/>
    <w:rsid w:val="00255320"/>
    <w:rsid w:val="00267E55"/>
    <w:rsid w:val="002839E9"/>
    <w:rsid w:val="002A7622"/>
    <w:rsid w:val="002B7464"/>
    <w:rsid w:val="002D55BD"/>
    <w:rsid w:val="002F6CB2"/>
    <w:rsid w:val="00327402"/>
    <w:rsid w:val="00350EB3"/>
    <w:rsid w:val="00354EBE"/>
    <w:rsid w:val="00355CFE"/>
    <w:rsid w:val="003574DC"/>
    <w:rsid w:val="003660DD"/>
    <w:rsid w:val="003660EA"/>
    <w:rsid w:val="00376EC0"/>
    <w:rsid w:val="00397C52"/>
    <w:rsid w:val="003B4E6E"/>
    <w:rsid w:val="003B716F"/>
    <w:rsid w:val="003E6BC9"/>
    <w:rsid w:val="00415E5A"/>
    <w:rsid w:val="0042049A"/>
    <w:rsid w:val="0043229C"/>
    <w:rsid w:val="00447C1D"/>
    <w:rsid w:val="00456061"/>
    <w:rsid w:val="00456619"/>
    <w:rsid w:val="00481B45"/>
    <w:rsid w:val="004836D2"/>
    <w:rsid w:val="004A4213"/>
    <w:rsid w:val="004E4A8B"/>
    <w:rsid w:val="005174B7"/>
    <w:rsid w:val="00555E9B"/>
    <w:rsid w:val="00575B0F"/>
    <w:rsid w:val="00577F5A"/>
    <w:rsid w:val="00591C6C"/>
    <w:rsid w:val="00613172"/>
    <w:rsid w:val="006160CD"/>
    <w:rsid w:val="00617AFE"/>
    <w:rsid w:val="00620A41"/>
    <w:rsid w:val="0062536C"/>
    <w:rsid w:val="00651C79"/>
    <w:rsid w:val="00681A73"/>
    <w:rsid w:val="00687112"/>
    <w:rsid w:val="006C0BE0"/>
    <w:rsid w:val="006C130B"/>
    <w:rsid w:val="006C797E"/>
    <w:rsid w:val="006F6C28"/>
    <w:rsid w:val="00707935"/>
    <w:rsid w:val="0077670D"/>
    <w:rsid w:val="007B54C2"/>
    <w:rsid w:val="007E17CD"/>
    <w:rsid w:val="007E26BA"/>
    <w:rsid w:val="007F53E0"/>
    <w:rsid w:val="00800AA8"/>
    <w:rsid w:val="008060F8"/>
    <w:rsid w:val="00823284"/>
    <w:rsid w:val="00835F0C"/>
    <w:rsid w:val="0089755B"/>
    <w:rsid w:val="008A650D"/>
    <w:rsid w:val="008B3804"/>
    <w:rsid w:val="008B73A1"/>
    <w:rsid w:val="008D6E02"/>
    <w:rsid w:val="008F2BD8"/>
    <w:rsid w:val="008F66A6"/>
    <w:rsid w:val="0090610A"/>
    <w:rsid w:val="00916949"/>
    <w:rsid w:val="00922F30"/>
    <w:rsid w:val="00967C79"/>
    <w:rsid w:val="0099526E"/>
    <w:rsid w:val="009A32B1"/>
    <w:rsid w:val="009A62E3"/>
    <w:rsid w:val="009D1B30"/>
    <w:rsid w:val="00A17834"/>
    <w:rsid w:val="00A35EE7"/>
    <w:rsid w:val="00A52734"/>
    <w:rsid w:val="00A550C3"/>
    <w:rsid w:val="00A65D48"/>
    <w:rsid w:val="00A802B4"/>
    <w:rsid w:val="00A80D5F"/>
    <w:rsid w:val="00A86C1B"/>
    <w:rsid w:val="00AA4ABA"/>
    <w:rsid w:val="00AB2929"/>
    <w:rsid w:val="00AB7BB4"/>
    <w:rsid w:val="00AD5312"/>
    <w:rsid w:val="00B06DBA"/>
    <w:rsid w:val="00B133D4"/>
    <w:rsid w:val="00B20273"/>
    <w:rsid w:val="00B27D54"/>
    <w:rsid w:val="00B3084B"/>
    <w:rsid w:val="00B944E1"/>
    <w:rsid w:val="00BA7732"/>
    <w:rsid w:val="00BB4943"/>
    <w:rsid w:val="00BE03D3"/>
    <w:rsid w:val="00BF7FB9"/>
    <w:rsid w:val="00C04187"/>
    <w:rsid w:val="00C13432"/>
    <w:rsid w:val="00C35C07"/>
    <w:rsid w:val="00C400BA"/>
    <w:rsid w:val="00C47716"/>
    <w:rsid w:val="00C56BB7"/>
    <w:rsid w:val="00C85D31"/>
    <w:rsid w:val="00CC0D81"/>
    <w:rsid w:val="00CC675D"/>
    <w:rsid w:val="00CD5939"/>
    <w:rsid w:val="00D10091"/>
    <w:rsid w:val="00D15293"/>
    <w:rsid w:val="00D152D4"/>
    <w:rsid w:val="00D17B2F"/>
    <w:rsid w:val="00D30856"/>
    <w:rsid w:val="00D54582"/>
    <w:rsid w:val="00D548E3"/>
    <w:rsid w:val="00D65E48"/>
    <w:rsid w:val="00D71DA3"/>
    <w:rsid w:val="00D74D1D"/>
    <w:rsid w:val="00D964C4"/>
    <w:rsid w:val="00D96A17"/>
    <w:rsid w:val="00DC11C6"/>
    <w:rsid w:val="00DD09C6"/>
    <w:rsid w:val="00E26103"/>
    <w:rsid w:val="00E339E7"/>
    <w:rsid w:val="00E45060"/>
    <w:rsid w:val="00E46608"/>
    <w:rsid w:val="00E6696C"/>
    <w:rsid w:val="00E86774"/>
    <w:rsid w:val="00E93219"/>
    <w:rsid w:val="00EA68C1"/>
    <w:rsid w:val="00EF13EE"/>
    <w:rsid w:val="00F05F6D"/>
    <w:rsid w:val="00F10338"/>
    <w:rsid w:val="00F1529F"/>
    <w:rsid w:val="00F3328E"/>
    <w:rsid w:val="00F40563"/>
    <w:rsid w:val="00F74B82"/>
    <w:rsid w:val="00F76DD7"/>
    <w:rsid w:val="00F96DC9"/>
    <w:rsid w:val="00FA1A42"/>
    <w:rsid w:val="00FB1876"/>
    <w:rsid w:val="00FB3ADD"/>
    <w:rsid w:val="00FD1EF6"/>
    <w:rsid w:val="00F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A73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2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0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A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A7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81A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A73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620A4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1529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29F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529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932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0C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C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A73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2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0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A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A7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81A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A73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620A4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1529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29F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529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932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0C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C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69D4F-EA71-4717-BE81-F0991E01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 </cp:lastModifiedBy>
  <cp:revision>4</cp:revision>
  <cp:lastPrinted>2018-08-06T13:27:00Z</cp:lastPrinted>
  <dcterms:created xsi:type="dcterms:W3CDTF">2019-04-09T17:24:00Z</dcterms:created>
  <dcterms:modified xsi:type="dcterms:W3CDTF">2019-04-10T18:54:00Z</dcterms:modified>
</cp:coreProperties>
</file>