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0C8C7788" w14:textId="77777777" w:rsidR="00C32CC0" w:rsidRDefault="00C32CC0" w:rsidP="00262188">
      <w:pPr>
        <w:pStyle w:val="Heading1"/>
      </w:pPr>
      <w:r>
        <w:t>COMMONWEALTH OF MASSACHUSETTS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C32CC0" w:rsidRPr="004F74D7" w14:paraId="464A8818" w14:textId="77777777" w:rsidTr="00EC3179">
        <w:tc>
          <w:tcPr>
            <w:tcW w:w="4675" w:type="dxa"/>
            <w:tcMar>
              <w:right w:w="115" w:type="dxa"/>
            </w:tcMar>
          </w:tcPr>
          <w:p w14:paraId="03D241A6" w14:textId="77777777" w:rsidR="00C32CC0" w:rsidRPr="00F851F8" w:rsidRDefault="001D5BB3" w:rsidP="00E22152">
            <w:pPr>
              <w:pStyle w:val="PlainText1"/>
              <w:rPr>
                <w:b/>
                <w:bCs/>
              </w:rPr>
            </w:pPr>
            <w:r w:rsidRPr="00F851F8">
              <w:rPr>
                <w:b/>
                <w:bCs/>
              </w:rPr>
              <w:t>Middlesex</w:t>
            </w:r>
            <w:r w:rsidR="00C32CC0" w:rsidRPr="00F851F8">
              <w:rPr>
                <w:b/>
                <w:bCs/>
              </w:rPr>
              <w:t>, ss.</w:t>
            </w:r>
          </w:p>
        </w:tc>
        <w:tc>
          <w:tcPr>
            <w:tcW w:w="4675" w:type="dxa"/>
          </w:tcPr>
          <w:p w14:paraId="342D3B59" w14:textId="77777777" w:rsidR="00C32CC0" w:rsidRPr="004F74D7" w:rsidRDefault="00C32CC0" w:rsidP="004F74D7">
            <w:pPr>
              <w:spacing w:line="240" w:lineRule="auto"/>
              <w:ind w:firstLine="0"/>
              <w:rPr>
                <w:b/>
                <w:bCs/>
              </w:rPr>
            </w:pPr>
            <w:r w:rsidRPr="004F74D7">
              <w:rPr>
                <w:b/>
                <w:bCs/>
              </w:rPr>
              <w:t>Division of Administrative Law Appeals</w:t>
            </w:r>
          </w:p>
        </w:tc>
      </w:tr>
      <w:tr w:rsidR="002F4B7F" w:rsidRPr="004F74D7" w14:paraId="4B703902" w14:textId="77777777" w:rsidTr="00EC3179">
        <w:tc>
          <w:tcPr>
            <w:tcW w:w="4675" w:type="dxa"/>
            <w:tcMar>
              <w:right w:w="115" w:type="dxa"/>
            </w:tcMar>
          </w:tcPr>
          <w:p w14:paraId="3453D47D" w14:textId="77777777" w:rsidR="002F4B7F" w:rsidRPr="002F4B7F" w:rsidRDefault="002F4B7F" w:rsidP="00E22152">
            <w:pPr>
              <w:pStyle w:val="PlainText1"/>
            </w:pPr>
          </w:p>
        </w:tc>
        <w:tc>
          <w:tcPr>
            <w:tcW w:w="4675" w:type="dxa"/>
          </w:tcPr>
          <w:p w14:paraId="0F0B9C1A" w14:textId="77777777" w:rsidR="002F4B7F" w:rsidRPr="004F74D7" w:rsidRDefault="002F4B7F" w:rsidP="004F74D7">
            <w:pPr>
              <w:spacing w:line="240" w:lineRule="auto"/>
              <w:ind w:firstLine="0"/>
              <w:rPr>
                <w:b/>
                <w:bCs/>
              </w:rPr>
            </w:pPr>
          </w:p>
        </w:tc>
      </w:tr>
      <w:tr w:rsidR="008C1F51" w:rsidRPr="00FE3340" w14:paraId="575523F8" w14:textId="77777777" w:rsidTr="00EC3179">
        <w:tc>
          <w:tcPr>
            <w:tcW w:w="4675" w:type="dxa"/>
            <w:tcMar>
              <w:right w:w="115" w:type="dxa"/>
            </w:tcMar>
          </w:tcPr>
          <w:p w14:paraId="2B47D7F8" w14:textId="77777777" w:rsidR="008C1F51" w:rsidRPr="002F4B7F" w:rsidRDefault="004C6530" w:rsidP="008C1F51">
            <w:pPr>
              <w:spacing w:line="240" w:lineRule="auto"/>
              <w:ind w:firstLine="0"/>
            </w:pPr>
            <w:r>
              <w:rPr>
                <w:b/>
                <w:bCs/>
              </w:rPr>
              <w:t>Board of Registration in Medicine</w:t>
            </w:r>
            <w:r w:rsidR="008C1F51" w:rsidRPr="002F4B7F">
              <w:t>,</w:t>
            </w:r>
          </w:p>
        </w:tc>
        <w:tc>
          <w:tcPr>
            <w:tcW w:w="4675" w:type="dxa"/>
          </w:tcPr>
          <w:p w14:paraId="7E35218D" w14:textId="77777777" w:rsidR="008C1F51" w:rsidRPr="00FE3340" w:rsidRDefault="004F74D7" w:rsidP="008C1F51">
            <w:pPr>
              <w:spacing w:line="240" w:lineRule="auto"/>
              <w:ind w:firstLine="0"/>
            </w:pPr>
            <w:r w:rsidRPr="00FE3340">
              <w:t xml:space="preserve">No. </w:t>
            </w:r>
            <w:r w:rsidR="004C6530">
              <w:t>RM-24-0595</w:t>
            </w:r>
          </w:p>
        </w:tc>
      </w:tr>
      <w:tr w:rsidR="008C1F51" w:rsidRPr="00FE3340" w14:paraId="1CC894A0" w14:textId="77777777" w:rsidTr="00EC3179">
        <w:tc>
          <w:tcPr>
            <w:tcW w:w="4675" w:type="dxa"/>
            <w:tcMar>
              <w:right w:w="115" w:type="dxa"/>
            </w:tcMar>
          </w:tcPr>
          <w:p w14:paraId="7851C3C5" w14:textId="77777777" w:rsidR="008C1F51" w:rsidRPr="002F4B7F" w:rsidRDefault="008C1F51" w:rsidP="008C1F51">
            <w:pPr>
              <w:spacing w:line="240" w:lineRule="auto"/>
              <w:ind w:left="720" w:firstLine="0"/>
            </w:pPr>
            <w:r w:rsidRPr="002F4B7F">
              <w:t>Petitioner,</w:t>
            </w:r>
          </w:p>
        </w:tc>
        <w:tc>
          <w:tcPr>
            <w:tcW w:w="4675" w:type="dxa"/>
          </w:tcPr>
          <w:p w14:paraId="73D0653C" w14:textId="77777777" w:rsidR="008C1F51" w:rsidRPr="00FE3340" w:rsidRDefault="008C1F51" w:rsidP="008C1F51">
            <w:pPr>
              <w:spacing w:line="240" w:lineRule="auto"/>
              <w:ind w:firstLine="0"/>
            </w:pPr>
          </w:p>
        </w:tc>
      </w:tr>
      <w:tr w:rsidR="008C1F51" w:rsidRPr="00FE3340" w14:paraId="5128C91E" w14:textId="77777777" w:rsidTr="00EC3179">
        <w:tc>
          <w:tcPr>
            <w:tcW w:w="4675" w:type="dxa"/>
            <w:tcMar>
              <w:right w:w="115" w:type="dxa"/>
            </w:tcMar>
          </w:tcPr>
          <w:p w14:paraId="55FA9245" w14:textId="77777777" w:rsidR="008C1F51" w:rsidRPr="002F4B7F" w:rsidRDefault="008C1F51" w:rsidP="008C1F51">
            <w:pPr>
              <w:spacing w:line="240" w:lineRule="auto"/>
              <w:ind w:firstLine="0"/>
            </w:pPr>
          </w:p>
        </w:tc>
        <w:tc>
          <w:tcPr>
            <w:tcW w:w="4675" w:type="dxa"/>
          </w:tcPr>
          <w:p w14:paraId="08CA3A3C" w14:textId="73379E30" w:rsidR="008C1F51" w:rsidRPr="00FE3340" w:rsidRDefault="000B4192" w:rsidP="008C1F51">
            <w:pPr>
              <w:spacing w:line="240" w:lineRule="auto"/>
              <w:ind w:firstLine="0"/>
            </w:pPr>
            <w:r w:rsidRPr="000B4192">
              <w:t xml:space="preserve">Dated:  </w:t>
            </w:r>
            <w:r w:rsidR="00AA2DD8">
              <w:t>February 13, 2025</w:t>
            </w:r>
          </w:p>
        </w:tc>
      </w:tr>
      <w:tr w:rsidR="008C1F51" w:rsidRPr="00FE3340" w14:paraId="007A2BCA" w14:textId="77777777" w:rsidTr="00EC3179">
        <w:tc>
          <w:tcPr>
            <w:tcW w:w="4675" w:type="dxa"/>
            <w:tcMar>
              <w:right w:w="115" w:type="dxa"/>
            </w:tcMar>
          </w:tcPr>
          <w:p w14:paraId="24B85C04" w14:textId="77777777" w:rsidR="008C1F51" w:rsidRPr="002F4B7F" w:rsidRDefault="008C1F51" w:rsidP="008C1F51">
            <w:pPr>
              <w:spacing w:line="240" w:lineRule="auto"/>
              <w:ind w:left="720" w:firstLine="0"/>
            </w:pPr>
            <w:r w:rsidRPr="002F4B7F">
              <w:t>v.</w:t>
            </w:r>
          </w:p>
        </w:tc>
        <w:tc>
          <w:tcPr>
            <w:tcW w:w="4675" w:type="dxa"/>
          </w:tcPr>
          <w:p w14:paraId="4FAED04E" w14:textId="77777777" w:rsidR="008C1F51" w:rsidRPr="00FE3340" w:rsidRDefault="008C1F51" w:rsidP="004F74D7">
            <w:pPr>
              <w:spacing w:line="240" w:lineRule="auto"/>
              <w:ind w:firstLine="0"/>
            </w:pPr>
          </w:p>
        </w:tc>
      </w:tr>
      <w:tr w:rsidR="008C1F51" w:rsidRPr="00FE3340" w14:paraId="73279197" w14:textId="77777777" w:rsidTr="00EC3179">
        <w:tc>
          <w:tcPr>
            <w:tcW w:w="4675" w:type="dxa"/>
            <w:tcMar>
              <w:right w:w="115" w:type="dxa"/>
            </w:tcMar>
          </w:tcPr>
          <w:p w14:paraId="69EE83A0" w14:textId="77777777" w:rsidR="008C1F51" w:rsidRPr="002F4B7F" w:rsidRDefault="008C1F51" w:rsidP="008C1F51">
            <w:pPr>
              <w:spacing w:line="240" w:lineRule="auto"/>
              <w:ind w:firstLine="0"/>
            </w:pPr>
          </w:p>
        </w:tc>
        <w:tc>
          <w:tcPr>
            <w:tcW w:w="4675" w:type="dxa"/>
          </w:tcPr>
          <w:p w14:paraId="7E3C8782" w14:textId="77777777" w:rsidR="008C1F51" w:rsidRPr="00FE3340" w:rsidRDefault="008C1F51" w:rsidP="008C1F51">
            <w:pPr>
              <w:spacing w:line="240" w:lineRule="auto"/>
              <w:ind w:firstLine="0"/>
            </w:pPr>
          </w:p>
        </w:tc>
      </w:tr>
      <w:tr w:rsidR="008C1F51" w:rsidRPr="00FE3340" w14:paraId="571059D5" w14:textId="77777777" w:rsidTr="00EC3179">
        <w:tc>
          <w:tcPr>
            <w:tcW w:w="4675" w:type="dxa"/>
            <w:tcMar>
              <w:right w:w="115" w:type="dxa"/>
            </w:tcMar>
          </w:tcPr>
          <w:p w14:paraId="5009485D" w14:textId="77777777" w:rsidR="008C1F51" w:rsidRPr="002F4B7F" w:rsidRDefault="004C6530" w:rsidP="008C1F51">
            <w:pPr>
              <w:spacing w:line="240" w:lineRule="auto"/>
              <w:ind w:firstLine="0"/>
            </w:pPr>
            <w:r>
              <w:rPr>
                <w:b/>
                <w:bCs/>
              </w:rPr>
              <w:t>Mohamed Och, M.D.</w:t>
            </w:r>
            <w:r w:rsidR="008C1F51" w:rsidRPr="002F4B7F">
              <w:t>,</w:t>
            </w:r>
          </w:p>
        </w:tc>
        <w:tc>
          <w:tcPr>
            <w:tcW w:w="4675" w:type="dxa"/>
          </w:tcPr>
          <w:p w14:paraId="0F29F107" w14:textId="77777777" w:rsidR="008C1F51" w:rsidRPr="00FE3340" w:rsidRDefault="008C1F51" w:rsidP="008C1F51">
            <w:pPr>
              <w:spacing w:line="240" w:lineRule="auto"/>
              <w:ind w:firstLine="0"/>
            </w:pPr>
          </w:p>
        </w:tc>
      </w:tr>
      <w:tr w:rsidR="008C1F51" w:rsidRPr="00FE3340" w14:paraId="30C3375F" w14:textId="77777777" w:rsidTr="00EC3179">
        <w:tc>
          <w:tcPr>
            <w:tcW w:w="4675" w:type="dxa"/>
            <w:tcMar>
              <w:right w:w="115" w:type="dxa"/>
            </w:tcMar>
          </w:tcPr>
          <w:p w14:paraId="29531460" w14:textId="77777777" w:rsidR="008C1F51" w:rsidRPr="002F4B7F" w:rsidRDefault="008C1F51" w:rsidP="008C1F51">
            <w:pPr>
              <w:spacing w:line="240" w:lineRule="auto"/>
              <w:ind w:left="720" w:firstLine="0"/>
            </w:pPr>
            <w:r w:rsidRPr="002F4B7F">
              <w:t>Respondent.</w:t>
            </w:r>
          </w:p>
        </w:tc>
        <w:tc>
          <w:tcPr>
            <w:tcW w:w="4675" w:type="dxa"/>
          </w:tcPr>
          <w:p w14:paraId="7341721A" w14:textId="77777777" w:rsidR="008C1F51" w:rsidRPr="00FE3340" w:rsidRDefault="008C1F51" w:rsidP="008C1F51">
            <w:pPr>
              <w:spacing w:line="240" w:lineRule="auto"/>
              <w:ind w:firstLine="0"/>
            </w:pPr>
          </w:p>
        </w:tc>
      </w:tr>
    </w:tbl>
    <w:p w14:paraId="4C300EF4" w14:textId="77777777" w:rsidR="004F74D7" w:rsidRDefault="004F74D7" w:rsidP="008C1F51">
      <w:pPr>
        <w:pStyle w:val="PlainText1"/>
      </w:pPr>
    </w:p>
    <w:p w14:paraId="6ABA7F81" w14:textId="316F5270" w:rsidR="00E22152" w:rsidRDefault="005F21E5" w:rsidP="00262188">
      <w:pPr>
        <w:pStyle w:val="Heading1"/>
      </w:pPr>
      <w:r>
        <w:t xml:space="preserve"> </w:t>
      </w:r>
      <w:r w:rsidR="0076702F">
        <w:t>ORDER</w:t>
      </w:r>
      <w:r w:rsidR="00B41E63">
        <w:t xml:space="preserve"> GRANTING SUMMARY DECISION</w:t>
      </w:r>
    </w:p>
    <w:p w14:paraId="0FBA620A" w14:textId="5B4EAD2D" w:rsidR="00FF4380" w:rsidRDefault="00792513" w:rsidP="00B41E63">
      <w:r>
        <w:t>T</w:t>
      </w:r>
      <w:r w:rsidR="00D55340">
        <w:t>h</w:t>
      </w:r>
      <w:r w:rsidR="00B41E63">
        <w:t>is is a disciplinary proceeding brought by the</w:t>
      </w:r>
      <w:r w:rsidR="00D55340">
        <w:t xml:space="preserve"> </w:t>
      </w:r>
      <w:r w:rsidR="004E08D2">
        <w:t xml:space="preserve">Board of Registration in Medicine </w:t>
      </w:r>
      <w:r w:rsidR="00B41E63">
        <w:t xml:space="preserve">(board) against Dr. </w:t>
      </w:r>
      <w:r w:rsidR="00D55340">
        <w:t>Mohamed Och</w:t>
      </w:r>
      <w:r w:rsidR="00B41E63">
        <w:t xml:space="preserve">.  </w:t>
      </w:r>
      <w:r w:rsidR="00F84CF8">
        <w:t xml:space="preserve">Complaint counsel </w:t>
      </w:r>
      <w:r w:rsidR="00B41E63">
        <w:t xml:space="preserve">has filed a motion for summary decision, which Dr. Och </w:t>
      </w:r>
      <w:r w:rsidR="00B10E69">
        <w:t xml:space="preserve">has </w:t>
      </w:r>
      <w:r w:rsidR="00B41E63">
        <w:t>oppose</w:t>
      </w:r>
      <w:r w:rsidR="00B10E69">
        <w:t>d</w:t>
      </w:r>
      <w:r w:rsidR="00D55340">
        <w:t>.</w:t>
      </w:r>
    </w:p>
    <w:p w14:paraId="4730F479" w14:textId="4578B1D9" w:rsidR="00A57147" w:rsidRDefault="00A57147" w:rsidP="00F84CF8">
      <w:r w:rsidRPr="00A57147">
        <w:t xml:space="preserve">The </w:t>
      </w:r>
      <w:r>
        <w:t xml:space="preserve">statement of allegations alleges that </w:t>
      </w:r>
      <w:r w:rsidR="00F84CF8">
        <w:t xml:space="preserve">Dr. Och has been convicted </w:t>
      </w:r>
      <w:r w:rsidR="00DC459C">
        <w:t>in</w:t>
      </w:r>
      <w:r w:rsidR="00F84CF8">
        <w:t xml:space="preserve"> federal </w:t>
      </w:r>
      <w:r w:rsidR="00DC459C">
        <w:t xml:space="preserve">court on </w:t>
      </w:r>
      <w:r>
        <w:t xml:space="preserve">three counts of </w:t>
      </w:r>
      <w:r w:rsidR="00F84CF8">
        <w:t xml:space="preserve">unlawful distribution of a controlled substance.  Dr. Och admits this allegation.  </w:t>
      </w:r>
      <w:r>
        <w:t>He also admits that:</w:t>
      </w:r>
    </w:p>
    <w:p w14:paraId="21C4037E" w14:textId="501AA1E6" w:rsidR="00A57147" w:rsidRDefault="00A57147" w:rsidP="00A57147">
      <w:pPr>
        <w:pStyle w:val="Quote"/>
      </w:pPr>
      <w:r>
        <w:t>At trial, there was evidence that [Dr. Och] prescribed Adderall and Xanax without doing proper examinations, obtaining prior medical records, or performing drug testing despite evidence that the patients, who were undercover officers, appeared to have been participating in drug diversion.</w:t>
      </w:r>
    </w:p>
    <w:p w14:paraId="040BDB9A" w14:textId="0FDB6940" w:rsidR="00064A7B" w:rsidRPr="00064A7B" w:rsidRDefault="00F84CF8" w:rsidP="00064A7B">
      <w:r>
        <w:t xml:space="preserve">Complaint counsel maintains that </w:t>
      </w:r>
      <w:r w:rsidR="00A57147">
        <w:t xml:space="preserve">Dr. Och’s </w:t>
      </w:r>
      <w:r>
        <w:t>admission</w:t>
      </w:r>
      <w:r w:rsidR="00184E55">
        <w:t>s</w:t>
      </w:r>
      <w:r>
        <w:t xml:space="preserve"> </w:t>
      </w:r>
      <w:r w:rsidRPr="00F84CF8">
        <w:t xml:space="preserve">warrant </w:t>
      </w:r>
      <w:r>
        <w:t>summary decision.</w:t>
      </w:r>
      <w:r w:rsidR="00A57147">
        <w:t xml:space="preserve">  The legal bases for discipline pursued by complaint counsel are</w:t>
      </w:r>
      <w:r w:rsidR="00064A7B">
        <w:t xml:space="preserve">:  that Dr. Och has </w:t>
      </w:r>
      <w:r w:rsidR="00064A7B" w:rsidRPr="00064A7B">
        <w:t>“engaged in conduct that undermines the public confidence in the integrity of the medical profession”</w:t>
      </w:r>
      <w:r w:rsidR="00064A7B">
        <w:t xml:space="preserve">; that he </w:t>
      </w:r>
      <w:r w:rsidR="00064A7B" w:rsidRPr="00064A7B">
        <w:t>“has been convicted of a criminal offense which reasonably calls into question his ability to practice medicine”</w:t>
      </w:r>
      <w:r w:rsidR="00064A7B">
        <w:t xml:space="preserve">; and that he </w:t>
      </w:r>
      <w:r w:rsidR="00064A7B" w:rsidRPr="00064A7B">
        <w:t>“has been convict</w:t>
      </w:r>
      <w:r w:rsidR="00064A7B">
        <w:t>[</w:t>
      </w:r>
      <w:r w:rsidR="00064A7B" w:rsidRPr="00064A7B">
        <w:t>ed</w:t>
      </w:r>
      <w:r w:rsidR="00064A7B">
        <w:t>]</w:t>
      </w:r>
      <w:r w:rsidR="00064A7B" w:rsidRPr="00064A7B">
        <w:t xml:space="preserve"> of a</w:t>
      </w:r>
      <w:r w:rsidR="00064A7B">
        <w:t>ny</w:t>
      </w:r>
      <w:r w:rsidR="00064A7B" w:rsidRPr="00064A7B">
        <w:t xml:space="preserve"> crime</w:t>
      </w:r>
      <w:r w:rsidR="00064A7B">
        <w:t>.</w:t>
      </w:r>
      <w:r w:rsidR="00064A7B" w:rsidRPr="00064A7B">
        <w:t>”</w:t>
      </w:r>
      <w:r w:rsidR="00064A7B">
        <w:t xml:space="preserve">  </w:t>
      </w:r>
      <w:r w:rsidR="00B62CE1" w:rsidRPr="00B62CE1">
        <w:rPr>
          <w:i/>
          <w:iCs/>
        </w:rPr>
        <w:t>See</w:t>
      </w:r>
      <w:r w:rsidR="00B62CE1">
        <w:t xml:space="preserve"> </w:t>
      </w:r>
      <w:r w:rsidR="00064A7B" w:rsidRPr="00064A7B">
        <w:rPr>
          <w:i/>
          <w:iCs/>
        </w:rPr>
        <w:t>Raymond v. Board of Registration in Med.</w:t>
      </w:r>
      <w:r w:rsidR="00064A7B">
        <w:t>, 387 Mass. 708 (1982); G.L. c. 112, § 5(g); 243 C.M.R. 1.03(5)(a)(7).</w:t>
      </w:r>
    </w:p>
    <w:p w14:paraId="52E7CB71" w14:textId="250A230E" w:rsidR="003B3056" w:rsidRDefault="00577DE7" w:rsidP="003B3056">
      <w:r>
        <w:t xml:space="preserve">Under </w:t>
      </w:r>
      <w:r w:rsidR="00184E55" w:rsidRPr="00184E55">
        <w:t>801 C.M.R. § 1.01</w:t>
      </w:r>
      <w:r w:rsidR="00184E55">
        <w:t>(</w:t>
      </w:r>
      <w:r>
        <w:t>7</w:t>
      </w:r>
      <w:r w:rsidR="00184E55">
        <w:t>)</w:t>
      </w:r>
      <w:r>
        <w:t>(h), summary decision is available when “</w:t>
      </w:r>
      <w:r w:rsidRPr="00577DE7">
        <w:t xml:space="preserve">there is no genuine issue of fact </w:t>
      </w:r>
      <w:r>
        <w:t>. . . </w:t>
      </w:r>
      <w:r w:rsidRPr="00577DE7">
        <w:t xml:space="preserve">and </w:t>
      </w:r>
      <w:r>
        <w:t xml:space="preserve">[the moving party] </w:t>
      </w:r>
      <w:r w:rsidRPr="00577DE7">
        <w:t>is entitled to prevail as a matter of law</w:t>
      </w:r>
      <w:r>
        <w:t xml:space="preserve">.”  </w:t>
      </w:r>
      <w:r w:rsidR="003B3056">
        <w:t xml:space="preserve">Dr. Och’s </w:t>
      </w:r>
      <w:r w:rsidR="003B3056">
        <w:lastRenderedPageBreak/>
        <w:t xml:space="preserve">primary argument is that this rule conflicts with the board’s enabling act, which predicates </w:t>
      </w:r>
      <w:r w:rsidR="00064A7B">
        <w:t xml:space="preserve">any </w:t>
      </w:r>
      <w:r w:rsidR="00184E55">
        <w:t xml:space="preserve">board </w:t>
      </w:r>
      <w:r w:rsidR="00064A7B">
        <w:t xml:space="preserve">disciplinary </w:t>
      </w:r>
      <w:r w:rsidR="003B3056">
        <w:t>action on a “</w:t>
      </w:r>
      <w:r w:rsidR="003B3056" w:rsidRPr="00577DE7">
        <w:t>hearing</w:t>
      </w:r>
      <w:r w:rsidR="003B3056">
        <w:t>.”  G.L. c. 112, § 5.</w:t>
      </w:r>
    </w:p>
    <w:p w14:paraId="369655CB" w14:textId="3C79AC5B" w:rsidR="003B3056" w:rsidRDefault="003B3056" w:rsidP="00B10494">
      <w:r>
        <w:t xml:space="preserve">As Dr. Och observes, a </w:t>
      </w:r>
      <w:r w:rsidR="00A57147">
        <w:t>comparable</w:t>
      </w:r>
      <w:r>
        <w:t xml:space="preserve"> argument based on </w:t>
      </w:r>
      <w:r w:rsidR="00A57147">
        <w:t xml:space="preserve">parallel </w:t>
      </w:r>
      <w:r>
        <w:t xml:space="preserve">statutory language found success in </w:t>
      </w:r>
      <w:r w:rsidRPr="003B3056">
        <w:rPr>
          <w:i/>
          <w:iCs/>
        </w:rPr>
        <w:t>Veksler v. Board of Registration in Dentistry</w:t>
      </w:r>
      <w:r w:rsidRPr="003B3056">
        <w:t>, 429 Mass. 650 (1999)</w:t>
      </w:r>
      <w:r>
        <w:t xml:space="preserve">.  The </w:t>
      </w:r>
      <w:r w:rsidR="00B10494">
        <w:t>petitioner</w:t>
      </w:r>
      <w:r>
        <w:t xml:space="preserve"> there “</w:t>
      </w:r>
      <w:r w:rsidRPr="003B3056">
        <w:t>wanted to present evidence to the board to explain her actions</w:t>
      </w:r>
      <w:r w:rsidR="00B10494">
        <w:t xml:space="preserve">,” </w:t>
      </w:r>
      <w:r w:rsidR="00184E55">
        <w:t>hoping to secure</w:t>
      </w:r>
      <w:r w:rsidR="00A57147">
        <w:t xml:space="preserve"> </w:t>
      </w:r>
      <w:r>
        <w:t>“</w:t>
      </w:r>
      <w:r w:rsidRPr="003B3056">
        <w:t>a sanction that accounted for her individual circumstances.</w:t>
      </w:r>
      <w:r>
        <w:t xml:space="preserve">”  </w:t>
      </w:r>
      <w:r w:rsidR="00B10494" w:rsidRPr="00B10494">
        <w:rPr>
          <w:i/>
          <w:iCs/>
        </w:rPr>
        <w:t>Id.</w:t>
      </w:r>
      <w:r w:rsidR="00B10494" w:rsidRPr="00B10494">
        <w:t xml:space="preserve"> at 652. </w:t>
      </w:r>
      <w:r w:rsidR="00B10494">
        <w:t xml:space="preserve"> </w:t>
      </w:r>
      <w:r>
        <w:t xml:space="preserve">The Supreme Judicial Court agreed that the board’s </w:t>
      </w:r>
      <w:r w:rsidR="00A57147">
        <w:t xml:space="preserve">entry of </w:t>
      </w:r>
      <w:r>
        <w:t xml:space="preserve">summary decision was inconsistent with the </w:t>
      </w:r>
      <w:r w:rsidR="00B10494">
        <w:t xml:space="preserve">applicable </w:t>
      </w:r>
      <w:r>
        <w:t xml:space="preserve">statute’s demand for a “hearing.”  </w:t>
      </w:r>
      <w:r w:rsidRPr="003B3056">
        <w:rPr>
          <w:i/>
          <w:iCs/>
        </w:rPr>
        <w:t>Id.</w:t>
      </w:r>
      <w:r>
        <w:t xml:space="preserve"> at 651 (citing G.L. c. 112, §§ 52D, 61).  The board was required to </w:t>
      </w:r>
      <w:r w:rsidR="00064A7B">
        <w:t xml:space="preserve">obey </w:t>
      </w:r>
      <w:r>
        <w:t xml:space="preserve">that requirement </w:t>
      </w:r>
      <w:r w:rsidR="00064A7B">
        <w:t xml:space="preserve">even in the face of </w:t>
      </w:r>
      <w:r w:rsidR="00B10494">
        <w:t>any conflicting regulations</w:t>
      </w:r>
      <w:r>
        <w:t xml:space="preserve">.  </w:t>
      </w:r>
      <w:r w:rsidRPr="003B3056">
        <w:rPr>
          <w:i/>
          <w:iCs/>
        </w:rPr>
        <w:t>Id.</w:t>
      </w:r>
      <w:r w:rsidR="00064A7B">
        <w:t> </w:t>
      </w:r>
      <w:r>
        <w:t>at 652.</w:t>
      </w:r>
    </w:p>
    <w:p w14:paraId="027C00CB" w14:textId="052BF3F5" w:rsidR="00556741" w:rsidRDefault="00262607" w:rsidP="00556741">
      <w:r>
        <w:t xml:space="preserve">Nevertheless, </w:t>
      </w:r>
      <w:r w:rsidR="00B10494">
        <w:t xml:space="preserve">Dr. Och’s argument is defeated by the </w:t>
      </w:r>
      <w:r w:rsidR="00064A7B">
        <w:t xml:space="preserve">more recent </w:t>
      </w:r>
      <w:r w:rsidR="00B10494">
        <w:t xml:space="preserve">decision in </w:t>
      </w:r>
      <w:r w:rsidR="00B10494" w:rsidRPr="00B10494">
        <w:rPr>
          <w:i/>
          <w:iCs/>
        </w:rPr>
        <w:t>Kobrin v. Board of Registration in Med.</w:t>
      </w:r>
      <w:r w:rsidR="00B10494">
        <w:t xml:space="preserve">, 444 Mass. 837 (2005).  The petitioner in that </w:t>
      </w:r>
      <w:r w:rsidR="00184E55">
        <w:t xml:space="preserve">matter </w:t>
      </w:r>
      <w:r w:rsidR="00B10494">
        <w:t xml:space="preserve">was convicted of Medicaid fraud.  He so admitted.  </w:t>
      </w:r>
      <w:r w:rsidR="00B10494" w:rsidRPr="00B10494">
        <w:rPr>
          <w:i/>
          <w:iCs/>
        </w:rPr>
        <w:t>Id.</w:t>
      </w:r>
      <w:r w:rsidR="00B10494">
        <w:t xml:space="preserve"> at </w:t>
      </w:r>
      <w:r w:rsidR="00B10494" w:rsidRPr="00B10494">
        <w:t>839</w:t>
      </w:r>
      <w:r w:rsidR="00B10494">
        <w:t xml:space="preserve">.  The administrative magistrate granted summary decision in complaint counsel’s favor, and the board relied on the magistrate’s </w:t>
      </w:r>
      <w:r w:rsidR="00064A7B">
        <w:t>findings and conclusions</w:t>
      </w:r>
      <w:r w:rsidR="00B10494">
        <w:t xml:space="preserve">.  </w:t>
      </w:r>
      <w:r w:rsidR="00556741" w:rsidRPr="00556741">
        <w:rPr>
          <w:i/>
          <w:iCs/>
        </w:rPr>
        <w:t>Id.</w:t>
      </w:r>
      <w:r w:rsidR="00556741">
        <w:t xml:space="preserve"> at 839-41.</w:t>
      </w:r>
    </w:p>
    <w:p w14:paraId="47E93111" w14:textId="2307421C" w:rsidR="00556741" w:rsidRDefault="00B10494" w:rsidP="00DC459C">
      <w:r>
        <w:t xml:space="preserve">The Supreme Judicial Court </w:t>
      </w:r>
      <w:r w:rsidR="00556741">
        <w:t xml:space="preserve">discerned no error.  </w:t>
      </w:r>
      <w:r w:rsidR="00064A7B">
        <w:t xml:space="preserve">Summary decision was an appropriate basis for </w:t>
      </w:r>
      <w:r w:rsidR="00556741">
        <w:t>the magistrate’s determination that discipline</w:t>
      </w:r>
      <w:r w:rsidR="00CE3258">
        <w:t xml:space="preserve"> was warranted, because</w:t>
      </w:r>
      <w:r w:rsidR="00556741">
        <w:t>:</w:t>
      </w:r>
    </w:p>
    <w:p w14:paraId="1EAC8A79" w14:textId="2440F4A9" w:rsidR="00CE3258" w:rsidRPr="00CE3258" w:rsidRDefault="00556741" w:rsidP="00CE3258">
      <w:pPr>
        <w:pStyle w:val="Quote"/>
      </w:pPr>
      <w:r>
        <w:t xml:space="preserve">[N]either the statute nor due process required </w:t>
      </w:r>
      <w:r w:rsidR="00184E55">
        <w:t>. . . </w:t>
      </w:r>
      <w:r>
        <w:t xml:space="preserve">a hearing to take evidence concerning undisputed facts. </w:t>
      </w:r>
      <w:r w:rsidR="00064A7B">
        <w:t xml:space="preserve"> </w:t>
      </w:r>
      <w:r>
        <w:t>Such a hearing would be a meaningless exercise.</w:t>
      </w:r>
      <w:r w:rsidR="00DC459C">
        <w:t xml:space="preserve">  </w:t>
      </w:r>
      <w:r>
        <w:t xml:space="preserve">In his answer to the statement of allegations, the petitioner admitted that he had been convicted and sentenced. </w:t>
      </w:r>
      <w:r w:rsidR="00DC459C">
        <w:t xml:space="preserve"> </w:t>
      </w:r>
      <w:r>
        <w:t>The magistrate was entitled to rely on the conviction</w:t>
      </w:r>
      <w:r w:rsidR="00DC459C">
        <w:t> </w:t>
      </w:r>
      <w:r w:rsidR="00CE3258" w:rsidRPr="00CE3258">
        <w:t xml:space="preserve">as </w:t>
      </w:r>
      <w:r w:rsidR="00CE3258">
        <w:t>. . . </w:t>
      </w:r>
      <w:r w:rsidR="00CE3258" w:rsidRPr="00CE3258">
        <w:t>conclusive “proof”</w:t>
      </w:r>
      <w:r w:rsidR="00184E55">
        <w:t> </w:t>
      </w:r>
      <w:r w:rsidR="00CE3258">
        <w:t>. . . </w:t>
      </w:r>
      <w:r w:rsidR="00CE3258" w:rsidRPr="00CE3258">
        <w:t xml:space="preserve"> that the petitioner had been convicted of Medicaid fraud, which reasonably called into question his ability to practice medicine.</w:t>
      </w:r>
    </w:p>
    <w:p w14:paraId="0B19EA6F" w14:textId="4316E185" w:rsidR="00DC459C" w:rsidRDefault="00DC459C" w:rsidP="00DC459C">
      <w:pPr>
        <w:pStyle w:val="Post-quote"/>
      </w:pPr>
      <w:r w:rsidRPr="00DC459C">
        <w:rPr>
          <w:i/>
          <w:iCs/>
        </w:rPr>
        <w:t>Id.</w:t>
      </w:r>
      <w:r>
        <w:t xml:space="preserve"> at 846.</w:t>
      </w:r>
      <w:r w:rsidR="00CE3258">
        <w:t xml:space="preserve">  The </w:t>
      </w:r>
      <w:r w:rsidR="00CE3258" w:rsidRPr="00CE3258">
        <w:rPr>
          <w:i/>
          <w:iCs/>
        </w:rPr>
        <w:t>Kobrin</w:t>
      </w:r>
      <w:r w:rsidR="00CE3258">
        <w:t xml:space="preserve"> Court </w:t>
      </w:r>
      <w:r w:rsidR="00CE3258" w:rsidRPr="00CE3258">
        <w:t xml:space="preserve">described </w:t>
      </w:r>
      <w:r w:rsidR="00CE3258" w:rsidRPr="00CE3258">
        <w:rPr>
          <w:i/>
          <w:iCs/>
        </w:rPr>
        <w:t>Veksler</w:t>
      </w:r>
      <w:r w:rsidR="00CE3258" w:rsidRPr="00CE3258">
        <w:t xml:space="preserve"> with approval as safeguarding “a right of allocution, the right to present mitigating factors prior to sentencing.”  </w:t>
      </w:r>
      <w:r w:rsidR="00CE3258" w:rsidRPr="00CE3258">
        <w:rPr>
          <w:i/>
          <w:iCs/>
        </w:rPr>
        <w:t>Id.</w:t>
      </w:r>
      <w:r w:rsidR="00CE3258" w:rsidRPr="00CE3258">
        <w:t xml:space="preserve"> </w:t>
      </w:r>
      <w:r w:rsidR="00184E55">
        <w:t xml:space="preserve"> </w:t>
      </w:r>
      <w:r w:rsidR="00CE3258" w:rsidRPr="00CE3258">
        <w:t xml:space="preserve">That right was not denied to the </w:t>
      </w:r>
      <w:r w:rsidR="00CE3258" w:rsidRPr="00CE3258">
        <w:rPr>
          <w:i/>
          <w:iCs/>
        </w:rPr>
        <w:t>Kobrin</w:t>
      </w:r>
      <w:r w:rsidR="00CE3258" w:rsidRPr="00CE3258">
        <w:t xml:space="preserve"> petitioner, because the board </w:t>
      </w:r>
      <w:r w:rsidR="00CE3258">
        <w:t xml:space="preserve">itself </w:t>
      </w:r>
      <w:r w:rsidR="00CE3258" w:rsidRPr="00CE3258">
        <w:t xml:space="preserve">accepted and considered </w:t>
      </w:r>
      <w:r w:rsidR="00184E55">
        <w:t xml:space="preserve">his </w:t>
      </w:r>
      <w:r w:rsidR="00CE3258" w:rsidRPr="00CE3258">
        <w:t xml:space="preserve">disposition-specific affidavits and arguments.  </w:t>
      </w:r>
      <w:r w:rsidR="00CE3258" w:rsidRPr="00CE3258">
        <w:rPr>
          <w:i/>
          <w:iCs/>
        </w:rPr>
        <w:t>Id.</w:t>
      </w:r>
      <w:r w:rsidR="00CE3258" w:rsidRPr="00CE3258">
        <w:t xml:space="preserve"> at 849</w:t>
      </w:r>
      <w:r w:rsidR="00184E55">
        <w:t>.</w:t>
      </w:r>
    </w:p>
    <w:p w14:paraId="6055EDA9" w14:textId="0FDFE1CC" w:rsidR="00184E55" w:rsidRDefault="00DC459C" w:rsidP="00DC459C">
      <w:r>
        <w:lastRenderedPageBreak/>
        <w:t xml:space="preserve">Dr. Och admits the fact of his conviction on charges of </w:t>
      </w:r>
      <w:r w:rsidRPr="00DC459C">
        <w:t>unlawful distribution of a controlled substance</w:t>
      </w:r>
      <w:r>
        <w:t xml:space="preserve">.  That conviction suffices to establish </w:t>
      </w:r>
      <w:r w:rsidR="00A57147">
        <w:t xml:space="preserve">the three </w:t>
      </w:r>
      <w:r w:rsidR="00AF23A5">
        <w:t xml:space="preserve">alleged </w:t>
      </w:r>
      <w:r w:rsidR="00A57147">
        <w:t>bases for discipline</w:t>
      </w:r>
      <w:r w:rsidR="00AF23A5">
        <w:t>.</w:t>
      </w:r>
      <w:r w:rsidR="00184E55">
        <w:t xml:space="preserve">  Dr. Och has been convicted of a crime.  His </w:t>
      </w:r>
      <w:r w:rsidR="00AF23A5">
        <w:t xml:space="preserve">specific </w:t>
      </w:r>
      <w:r w:rsidR="00184E55">
        <w:t>prescribing-related offense calls into question his ability to practice medicine</w:t>
      </w:r>
      <w:r w:rsidR="00AF23A5">
        <w:t>, given</w:t>
      </w:r>
      <w:r w:rsidR="00184E55">
        <w:t xml:space="preserve"> its “</w:t>
      </w:r>
      <w:r w:rsidR="00184E55" w:rsidRPr="00184E55">
        <w:t>close nexus to the practice of medicine</w:t>
      </w:r>
      <w:r w:rsidR="00184E55">
        <w:t xml:space="preserve">.”  </w:t>
      </w:r>
      <w:r w:rsidR="00CE3258" w:rsidRPr="00CE3258">
        <w:rPr>
          <w:i/>
          <w:iCs/>
        </w:rPr>
        <w:t>See Matter of Mavroidis</w:t>
      </w:r>
      <w:r w:rsidR="00CE3258">
        <w:t>, No. 01-27-DALA</w:t>
      </w:r>
      <w:r w:rsidR="00184E55">
        <w:t>, at *3</w:t>
      </w:r>
      <w:r w:rsidR="00CE3258">
        <w:t xml:space="preserve"> (Bd. Reg. Med. Nov. 19, 2008)</w:t>
      </w:r>
      <w:r w:rsidR="00184E55">
        <w:t xml:space="preserve">.  And any criminal behavior tends to </w:t>
      </w:r>
      <w:r w:rsidR="00184E55" w:rsidRPr="00184E55">
        <w:t>undermine public confidence in the medical profession</w:t>
      </w:r>
      <w:r w:rsidR="00184E55">
        <w:t>, because such behavior “</w:t>
      </w:r>
      <w:r w:rsidR="00184E55" w:rsidRPr="00184E55">
        <w:t>is antithetical to a commitment to preserve life, alleviate suffering, and restore health.</w:t>
      </w:r>
      <w:r w:rsidR="00184E55">
        <w:t xml:space="preserve">”  </w:t>
      </w:r>
      <w:r w:rsidR="00184E55" w:rsidRPr="00184E55">
        <w:rPr>
          <w:i/>
          <w:iCs/>
        </w:rPr>
        <w:t>Matter of Cogswell</w:t>
      </w:r>
      <w:r w:rsidR="00184E55">
        <w:t>, No. 2022-5, at *3 (Bd. Reg. Med. Feb. 29, 2024).</w:t>
      </w:r>
    </w:p>
    <w:p w14:paraId="52D5D600" w14:textId="75134595" w:rsidR="009E6FED" w:rsidRDefault="00DC459C" w:rsidP="009E6FED">
      <w:r>
        <w:t>Dr. Och</w:t>
      </w:r>
      <w:r w:rsidR="00184E55">
        <w:t>’s remaining arguments are</w:t>
      </w:r>
      <w:r w:rsidR="009E6FED">
        <w:t>:</w:t>
      </w:r>
      <w:r>
        <w:t xml:space="preserve"> </w:t>
      </w:r>
      <w:r w:rsidR="009E6FED">
        <w:t xml:space="preserve"> </w:t>
      </w:r>
      <w:r>
        <w:t xml:space="preserve">that he was acquitted of </w:t>
      </w:r>
      <w:r w:rsidR="00184E55">
        <w:t xml:space="preserve">certain </w:t>
      </w:r>
      <w:r>
        <w:t xml:space="preserve">additional </w:t>
      </w:r>
      <w:r w:rsidR="00184E55">
        <w:t>counts</w:t>
      </w:r>
      <w:r>
        <w:t xml:space="preserve">; that his </w:t>
      </w:r>
      <w:r w:rsidR="00EC0BC4">
        <w:t xml:space="preserve">usual </w:t>
      </w:r>
      <w:r w:rsidR="009E6FED">
        <w:t xml:space="preserve">practices were </w:t>
      </w:r>
      <w:r>
        <w:t xml:space="preserve">lawful; and that his convictions resulted from a deceptive government operation.  To the extent that the </w:t>
      </w:r>
      <w:r w:rsidR="009E6FED">
        <w:t xml:space="preserve">last of these </w:t>
      </w:r>
      <w:r>
        <w:t>argument</w:t>
      </w:r>
      <w:r w:rsidR="009E6FED">
        <w:t>s</w:t>
      </w:r>
      <w:r>
        <w:t xml:space="preserve"> </w:t>
      </w:r>
      <w:r w:rsidR="009E6FED">
        <w:t xml:space="preserve">reflects a “collateral attack[] on the convictions themselves,” it </w:t>
      </w:r>
      <w:r w:rsidR="00AF23A5">
        <w:t>exceeds the scope of this proceeding</w:t>
      </w:r>
      <w:r w:rsidR="009E6FED">
        <w:t xml:space="preserve">.  </w:t>
      </w:r>
      <w:r w:rsidR="009E6FED" w:rsidRPr="009E6FED">
        <w:rPr>
          <w:i/>
          <w:iCs/>
        </w:rPr>
        <w:t>Kobrin</w:t>
      </w:r>
      <w:r w:rsidR="009E6FED">
        <w:t xml:space="preserve">, 444 Mass. at 847.  To the extent that any of </w:t>
      </w:r>
      <w:r w:rsidR="00184E55">
        <w:t xml:space="preserve">Dr. Och’s </w:t>
      </w:r>
      <w:r w:rsidR="009E6FED">
        <w:t xml:space="preserve">arguments </w:t>
      </w:r>
      <w:r w:rsidR="00184E55">
        <w:t xml:space="preserve">are </w:t>
      </w:r>
      <w:r w:rsidR="009E6FED">
        <w:t xml:space="preserve">intended </w:t>
      </w:r>
      <w:r w:rsidR="00AF23A5">
        <w:t xml:space="preserve">as </w:t>
      </w:r>
      <w:r w:rsidR="00184E55">
        <w:t>offer</w:t>
      </w:r>
      <w:r w:rsidR="00AF23A5">
        <w:t>ing</w:t>
      </w:r>
      <w:r w:rsidR="00184E55">
        <w:t xml:space="preserve"> </w:t>
      </w:r>
      <w:r w:rsidR="009E6FED">
        <w:t>disposition-specific mitigating factor</w:t>
      </w:r>
      <w:r w:rsidR="00184E55">
        <w:t>s</w:t>
      </w:r>
      <w:r w:rsidR="009E6FED">
        <w:t xml:space="preserve">, </w:t>
      </w:r>
      <w:r w:rsidR="00184E55">
        <w:t xml:space="preserve">they will be </w:t>
      </w:r>
      <w:r w:rsidR="009E6FED">
        <w:t xml:space="preserve">directed </w:t>
      </w:r>
      <w:r w:rsidR="00184E55">
        <w:t xml:space="preserve">most properly </w:t>
      </w:r>
      <w:r w:rsidR="00AF23A5">
        <w:t xml:space="preserve">and effectively </w:t>
      </w:r>
      <w:r w:rsidR="009E6FED">
        <w:t>to the board</w:t>
      </w:r>
      <w:r w:rsidR="00184E55">
        <w:t xml:space="preserve"> itself at a later date</w:t>
      </w:r>
      <w:r w:rsidR="009E6FED">
        <w:t xml:space="preserve">.  </w:t>
      </w:r>
      <w:r w:rsidR="009E6FED" w:rsidRPr="009E6FED">
        <w:rPr>
          <w:i/>
          <w:iCs/>
        </w:rPr>
        <w:t>Id.</w:t>
      </w:r>
      <w:r w:rsidR="009E6FED">
        <w:t> at 849.</w:t>
      </w:r>
    </w:p>
    <w:p w14:paraId="529D5555" w14:textId="65D05114" w:rsidR="009E6FED" w:rsidRDefault="009E6FED" w:rsidP="000860B8">
      <w:r>
        <w:t xml:space="preserve">In view of the foregoing, </w:t>
      </w:r>
      <w:r w:rsidR="000860B8">
        <w:t>c</w:t>
      </w:r>
      <w:r>
        <w:t xml:space="preserve">omplaint counsel’s motion for summary decision is ALLOWED.  </w:t>
      </w:r>
      <w:r w:rsidR="00A57147">
        <w:t>A recommended</w:t>
      </w:r>
      <w:r>
        <w:t xml:space="preserve"> decision is hereby</w:t>
      </w:r>
      <w:r w:rsidR="008F1D70">
        <w:t xml:space="preserve"> entered in complaint counsel’s favor</w:t>
      </w:r>
      <w:r w:rsidR="00A57147">
        <w:t xml:space="preserve"> to the effect that </w:t>
      </w:r>
      <w:r w:rsidR="008F1D70">
        <w:t xml:space="preserve">the board may impose </w:t>
      </w:r>
      <w:r>
        <w:t>disciplin</w:t>
      </w:r>
      <w:r w:rsidR="00A57147">
        <w:t>e</w:t>
      </w:r>
      <w:r>
        <w:t xml:space="preserve"> on Dr. Och</w:t>
      </w:r>
      <w:r w:rsidR="00A57147">
        <w:t xml:space="preserve"> on the basis of the allegations and theories appearing in the statement of allegations.</w:t>
      </w:r>
    </w:p>
    <w:p w14:paraId="4AFDC065" w14:textId="77777777" w:rsidR="00FE3340" w:rsidRDefault="00373F7B" w:rsidP="00D40599">
      <w:pPr>
        <w:pStyle w:val="PlainText1"/>
        <w:keepNext/>
        <w:ind w:left="4320"/>
      </w:pPr>
      <w:r>
        <w:br/>
      </w:r>
      <w:r w:rsidR="00FE3340">
        <w:t>Division of Administrative Law Appeals</w:t>
      </w:r>
    </w:p>
    <w:p w14:paraId="03CAB4F7" w14:textId="77777777" w:rsidR="00FE3340" w:rsidRDefault="00FE3340" w:rsidP="00D40599">
      <w:pPr>
        <w:pStyle w:val="PlainText1"/>
        <w:keepNext/>
        <w:ind w:left="4320"/>
      </w:pPr>
    </w:p>
    <w:p w14:paraId="128D2C25" w14:textId="626734DE" w:rsidR="001944A3" w:rsidRPr="00457301" w:rsidRDefault="00A8783D" w:rsidP="00D40599">
      <w:pPr>
        <w:pStyle w:val="PlainText1"/>
        <w:keepNext/>
        <w:ind w:left="4320"/>
        <w:rPr>
          <w:u w:val="single"/>
        </w:rPr>
      </w:pPr>
      <w:r>
        <w:rPr>
          <w:u w:val="single"/>
        </w:rPr>
        <w:t>/s/ Yakov Malkiel</w:t>
      </w:r>
    </w:p>
    <w:p w14:paraId="4CE334B3" w14:textId="77777777" w:rsidR="00FE3340" w:rsidRDefault="00FE3340" w:rsidP="00D40599">
      <w:pPr>
        <w:pStyle w:val="PlainText1"/>
        <w:keepNext/>
        <w:ind w:left="4320"/>
      </w:pPr>
      <w:r>
        <w:t>Yakov Malkiel</w:t>
      </w:r>
    </w:p>
    <w:p w14:paraId="436985C7" w14:textId="77777777" w:rsidR="00FE3340" w:rsidRDefault="00FE3340" w:rsidP="0076702F">
      <w:pPr>
        <w:pStyle w:val="PlainText1"/>
        <w:keepNext/>
        <w:ind w:left="4320"/>
      </w:pPr>
      <w:r>
        <w:t>Administrative Magistrat</w:t>
      </w:r>
      <w:r w:rsidR="007B05FA">
        <w:t>e</w:t>
      </w:r>
    </w:p>
    <w:sectPr w:rsidR="00FE3340" w:rsidSect="00A64A4D">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C2B7" w14:textId="77777777" w:rsidR="00D47BDF" w:rsidRDefault="00D47BDF" w:rsidP="00E22152">
      <w:r>
        <w:separator/>
      </w:r>
    </w:p>
  </w:endnote>
  <w:endnote w:type="continuationSeparator" w:id="0">
    <w:p w14:paraId="3C2476E1" w14:textId="77777777" w:rsidR="00D47BDF" w:rsidRDefault="00D47BDF" w:rsidP="00E2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FAFB" w14:textId="77777777" w:rsidR="00A64A4D" w:rsidRPr="00A64A4D" w:rsidRDefault="00000000" w:rsidP="008C1F51">
    <w:pPr>
      <w:pStyle w:val="PlainText1"/>
      <w:jc w:val="center"/>
    </w:pPr>
    <w:sdt>
      <w:sdtPr>
        <w:id w:val="-868615135"/>
        <w:docPartObj>
          <w:docPartGallery w:val="Page Numbers (Bottom of Page)"/>
          <w:docPartUnique/>
        </w:docPartObj>
      </w:sdtPr>
      <w:sdtEndPr>
        <w:rPr>
          <w:noProof/>
        </w:rPr>
      </w:sdtEndPr>
      <w:sdtContent>
        <w:r w:rsidR="00F3449D" w:rsidRPr="00A64A4D">
          <w:fldChar w:fldCharType="begin"/>
        </w:r>
        <w:r w:rsidR="00F3449D" w:rsidRPr="00A64A4D">
          <w:instrText xml:space="preserve"> PAGE   \* MERGEFORMAT </w:instrText>
        </w:r>
        <w:r w:rsidR="00F3449D" w:rsidRPr="00A64A4D">
          <w:fldChar w:fldCharType="separate"/>
        </w:r>
        <w:r w:rsidR="00F3449D">
          <w:t>2</w:t>
        </w:r>
        <w:r w:rsidR="00F3449D" w:rsidRPr="00A64A4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CBFB" w14:textId="77777777" w:rsidR="00D47BDF" w:rsidRDefault="00D47BDF" w:rsidP="00E22152">
      <w:r>
        <w:separator/>
      </w:r>
    </w:p>
  </w:footnote>
  <w:footnote w:type="continuationSeparator" w:id="0">
    <w:p w14:paraId="09B8274C" w14:textId="77777777" w:rsidR="00D47BDF" w:rsidRDefault="00D47BDF" w:rsidP="00E22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7621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D04F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69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40BB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5053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2C8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4A9D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0E22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4E5F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061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8B4658"/>
    <w:multiLevelType w:val="hybridMultilevel"/>
    <w:tmpl w:val="ADA64248"/>
    <w:lvl w:ilvl="0" w:tplc="2EE45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D9107E"/>
    <w:multiLevelType w:val="hybridMultilevel"/>
    <w:tmpl w:val="B48CFEA6"/>
    <w:lvl w:ilvl="0" w:tplc="E18A1568">
      <w:start w:val="1"/>
      <w:numFmt w:val="decimal"/>
      <w:lvlText w:val="%1."/>
      <w:lvlJc w:val="left"/>
      <w:pPr>
        <w:ind w:left="1440" w:hanging="360"/>
      </w:pPr>
      <w:rPr>
        <w:rFonts w:hint="default"/>
      </w:rPr>
    </w:lvl>
    <w:lvl w:ilvl="1" w:tplc="B15A813C">
      <w:start w:val="1"/>
      <w:numFmt w:val="decimal"/>
      <w:pStyle w:val="Numberedorderparagraph"/>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353343">
    <w:abstractNumId w:val="9"/>
  </w:num>
  <w:num w:numId="2" w16cid:durableId="339935270">
    <w:abstractNumId w:val="7"/>
  </w:num>
  <w:num w:numId="3" w16cid:durableId="199973033">
    <w:abstractNumId w:val="6"/>
  </w:num>
  <w:num w:numId="4" w16cid:durableId="866798355">
    <w:abstractNumId w:val="5"/>
  </w:num>
  <w:num w:numId="5" w16cid:durableId="1894192894">
    <w:abstractNumId w:val="4"/>
  </w:num>
  <w:num w:numId="6" w16cid:durableId="1670602012">
    <w:abstractNumId w:val="8"/>
  </w:num>
  <w:num w:numId="7" w16cid:durableId="178199600">
    <w:abstractNumId w:val="3"/>
  </w:num>
  <w:num w:numId="8" w16cid:durableId="1625111860">
    <w:abstractNumId w:val="2"/>
  </w:num>
  <w:num w:numId="9" w16cid:durableId="1293442617">
    <w:abstractNumId w:val="1"/>
  </w:num>
  <w:num w:numId="10" w16cid:durableId="70542112">
    <w:abstractNumId w:val="0"/>
  </w:num>
  <w:num w:numId="11" w16cid:durableId="953636735">
    <w:abstractNumId w:val="10"/>
  </w:num>
  <w:num w:numId="12" w16cid:durableId="6446857">
    <w:abstractNumId w:val="11"/>
  </w:num>
  <w:num w:numId="13" w16cid:durableId="596401072">
    <w:abstractNumId w:val="11"/>
  </w:num>
  <w:num w:numId="14" w16cid:durableId="658195896">
    <w:abstractNumId w:val="11"/>
  </w:num>
  <w:num w:numId="15" w16cid:durableId="11386880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colormru v:ext="edit" colors="#e9dec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30"/>
    <w:rsid w:val="0000424D"/>
    <w:rsid w:val="00010B8E"/>
    <w:rsid w:val="00013F96"/>
    <w:rsid w:val="00015AC5"/>
    <w:rsid w:val="000327FB"/>
    <w:rsid w:val="00043C24"/>
    <w:rsid w:val="0004402C"/>
    <w:rsid w:val="00057687"/>
    <w:rsid w:val="00064A7B"/>
    <w:rsid w:val="000860B8"/>
    <w:rsid w:val="000A00EF"/>
    <w:rsid w:val="000B3DC0"/>
    <w:rsid w:val="000B4192"/>
    <w:rsid w:val="000C09ED"/>
    <w:rsid w:val="00161EA6"/>
    <w:rsid w:val="0017326F"/>
    <w:rsid w:val="00180457"/>
    <w:rsid w:val="00184E55"/>
    <w:rsid w:val="00186295"/>
    <w:rsid w:val="00187741"/>
    <w:rsid w:val="00192DA3"/>
    <w:rsid w:val="001944A3"/>
    <w:rsid w:val="001B0582"/>
    <w:rsid w:val="001B4BC8"/>
    <w:rsid w:val="001C1344"/>
    <w:rsid w:val="001C6D22"/>
    <w:rsid w:val="001D5A0F"/>
    <w:rsid w:val="001D5BB3"/>
    <w:rsid w:val="001E2608"/>
    <w:rsid w:val="00203372"/>
    <w:rsid w:val="002051CE"/>
    <w:rsid w:val="002158AD"/>
    <w:rsid w:val="002168BF"/>
    <w:rsid w:val="002315DB"/>
    <w:rsid w:val="00261328"/>
    <w:rsid w:val="00262188"/>
    <w:rsid w:val="00262607"/>
    <w:rsid w:val="0026591B"/>
    <w:rsid w:val="002A331A"/>
    <w:rsid w:val="002A42BD"/>
    <w:rsid w:val="002A6D79"/>
    <w:rsid w:val="002A722E"/>
    <w:rsid w:val="002B2EC0"/>
    <w:rsid w:val="002C1ACB"/>
    <w:rsid w:val="002F40B1"/>
    <w:rsid w:val="002F4B7F"/>
    <w:rsid w:val="00310C94"/>
    <w:rsid w:val="00315355"/>
    <w:rsid w:val="003464D8"/>
    <w:rsid w:val="003552F5"/>
    <w:rsid w:val="00373F7B"/>
    <w:rsid w:val="00375D34"/>
    <w:rsid w:val="00376C2C"/>
    <w:rsid w:val="003B3056"/>
    <w:rsid w:val="003C0BB4"/>
    <w:rsid w:val="003D3D55"/>
    <w:rsid w:val="003E0DD1"/>
    <w:rsid w:val="0040028E"/>
    <w:rsid w:val="004166A7"/>
    <w:rsid w:val="00457301"/>
    <w:rsid w:val="00472681"/>
    <w:rsid w:val="00473EF9"/>
    <w:rsid w:val="00483D50"/>
    <w:rsid w:val="004842BB"/>
    <w:rsid w:val="00486BF4"/>
    <w:rsid w:val="00487419"/>
    <w:rsid w:val="00491599"/>
    <w:rsid w:val="004C6530"/>
    <w:rsid w:val="004D1025"/>
    <w:rsid w:val="004E08D2"/>
    <w:rsid w:val="004F74D7"/>
    <w:rsid w:val="005101B9"/>
    <w:rsid w:val="00525E12"/>
    <w:rsid w:val="00533EBA"/>
    <w:rsid w:val="0053447C"/>
    <w:rsid w:val="00556741"/>
    <w:rsid w:val="00577DE7"/>
    <w:rsid w:val="00581F17"/>
    <w:rsid w:val="00585BB7"/>
    <w:rsid w:val="005A339D"/>
    <w:rsid w:val="005A4BF9"/>
    <w:rsid w:val="005B52BE"/>
    <w:rsid w:val="005E284C"/>
    <w:rsid w:val="005F1810"/>
    <w:rsid w:val="005F21E5"/>
    <w:rsid w:val="0060251B"/>
    <w:rsid w:val="006125FD"/>
    <w:rsid w:val="00612C9D"/>
    <w:rsid w:val="00624585"/>
    <w:rsid w:val="00626D5B"/>
    <w:rsid w:val="0064369B"/>
    <w:rsid w:val="00677FAA"/>
    <w:rsid w:val="006B1C71"/>
    <w:rsid w:val="006B50EF"/>
    <w:rsid w:val="006B70BE"/>
    <w:rsid w:val="006C7D4F"/>
    <w:rsid w:val="006E0443"/>
    <w:rsid w:val="00735B3A"/>
    <w:rsid w:val="0076702F"/>
    <w:rsid w:val="00771571"/>
    <w:rsid w:val="00771D39"/>
    <w:rsid w:val="00792513"/>
    <w:rsid w:val="00794625"/>
    <w:rsid w:val="007B05FA"/>
    <w:rsid w:val="007B5291"/>
    <w:rsid w:val="007B738D"/>
    <w:rsid w:val="007E6C0E"/>
    <w:rsid w:val="008210F1"/>
    <w:rsid w:val="00845449"/>
    <w:rsid w:val="00845FAC"/>
    <w:rsid w:val="00865D3A"/>
    <w:rsid w:val="00872B42"/>
    <w:rsid w:val="008736A6"/>
    <w:rsid w:val="008927A7"/>
    <w:rsid w:val="0089515B"/>
    <w:rsid w:val="008C1F51"/>
    <w:rsid w:val="008C7D6E"/>
    <w:rsid w:val="008E39FE"/>
    <w:rsid w:val="008F1D70"/>
    <w:rsid w:val="00904340"/>
    <w:rsid w:val="0092449B"/>
    <w:rsid w:val="0093566B"/>
    <w:rsid w:val="0093696D"/>
    <w:rsid w:val="00936A06"/>
    <w:rsid w:val="00944397"/>
    <w:rsid w:val="009A68D8"/>
    <w:rsid w:val="009B46E9"/>
    <w:rsid w:val="009C464C"/>
    <w:rsid w:val="009E3F81"/>
    <w:rsid w:val="009E6FED"/>
    <w:rsid w:val="009F32FB"/>
    <w:rsid w:val="00A0699E"/>
    <w:rsid w:val="00A40C90"/>
    <w:rsid w:val="00A56905"/>
    <w:rsid w:val="00A57147"/>
    <w:rsid w:val="00A64A4D"/>
    <w:rsid w:val="00A8783D"/>
    <w:rsid w:val="00AA2DD8"/>
    <w:rsid w:val="00AA3A7E"/>
    <w:rsid w:val="00AC7F03"/>
    <w:rsid w:val="00AE3EA0"/>
    <w:rsid w:val="00AF23A5"/>
    <w:rsid w:val="00AF2A36"/>
    <w:rsid w:val="00B0032D"/>
    <w:rsid w:val="00B10494"/>
    <w:rsid w:val="00B10E69"/>
    <w:rsid w:val="00B2268B"/>
    <w:rsid w:val="00B23FF9"/>
    <w:rsid w:val="00B2438B"/>
    <w:rsid w:val="00B33D2B"/>
    <w:rsid w:val="00B4000A"/>
    <w:rsid w:val="00B40157"/>
    <w:rsid w:val="00B41A08"/>
    <w:rsid w:val="00B41E63"/>
    <w:rsid w:val="00B43685"/>
    <w:rsid w:val="00B44F35"/>
    <w:rsid w:val="00B52ADA"/>
    <w:rsid w:val="00B62CE1"/>
    <w:rsid w:val="00B8155C"/>
    <w:rsid w:val="00B84AE6"/>
    <w:rsid w:val="00BB42C0"/>
    <w:rsid w:val="00BF3C75"/>
    <w:rsid w:val="00C1321B"/>
    <w:rsid w:val="00C13963"/>
    <w:rsid w:val="00C3283C"/>
    <w:rsid w:val="00C32CC0"/>
    <w:rsid w:val="00C33C50"/>
    <w:rsid w:val="00C374C4"/>
    <w:rsid w:val="00C6577C"/>
    <w:rsid w:val="00C71BAF"/>
    <w:rsid w:val="00C7209E"/>
    <w:rsid w:val="00C778BE"/>
    <w:rsid w:val="00C77A9B"/>
    <w:rsid w:val="00C817BB"/>
    <w:rsid w:val="00C9091B"/>
    <w:rsid w:val="00CC3EA6"/>
    <w:rsid w:val="00CD23AE"/>
    <w:rsid w:val="00CE3258"/>
    <w:rsid w:val="00D27148"/>
    <w:rsid w:val="00D40599"/>
    <w:rsid w:val="00D47BDF"/>
    <w:rsid w:val="00D55340"/>
    <w:rsid w:val="00D70225"/>
    <w:rsid w:val="00D765C8"/>
    <w:rsid w:val="00D83411"/>
    <w:rsid w:val="00D84D6B"/>
    <w:rsid w:val="00DB49E1"/>
    <w:rsid w:val="00DB5E85"/>
    <w:rsid w:val="00DC459C"/>
    <w:rsid w:val="00DC781D"/>
    <w:rsid w:val="00DD24B8"/>
    <w:rsid w:val="00DF7F0A"/>
    <w:rsid w:val="00E22152"/>
    <w:rsid w:val="00E25B4C"/>
    <w:rsid w:val="00E41DCF"/>
    <w:rsid w:val="00E622DF"/>
    <w:rsid w:val="00E75678"/>
    <w:rsid w:val="00E83E90"/>
    <w:rsid w:val="00E90F75"/>
    <w:rsid w:val="00E97BB4"/>
    <w:rsid w:val="00EA1D2D"/>
    <w:rsid w:val="00EA5D3D"/>
    <w:rsid w:val="00EC0BC4"/>
    <w:rsid w:val="00EC3179"/>
    <w:rsid w:val="00EC7920"/>
    <w:rsid w:val="00EE1679"/>
    <w:rsid w:val="00F30A42"/>
    <w:rsid w:val="00F3449D"/>
    <w:rsid w:val="00F44B6E"/>
    <w:rsid w:val="00F73A8D"/>
    <w:rsid w:val="00F76DF4"/>
    <w:rsid w:val="00F84CF8"/>
    <w:rsid w:val="00F851F8"/>
    <w:rsid w:val="00F931EB"/>
    <w:rsid w:val="00FD478C"/>
    <w:rsid w:val="00FD6EDC"/>
    <w:rsid w:val="00FD7C0F"/>
    <w:rsid w:val="00FE3340"/>
    <w:rsid w:val="00FE45B4"/>
    <w:rsid w:val="00FE5B3A"/>
    <w:rsid w:val="00FF4380"/>
    <w:rsid w:val="00FF4B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9deca"/>
    </o:shapedefaults>
    <o:shapelayout v:ext="edit">
      <o:idmap v:ext="edit" data="2"/>
    </o:shapelayout>
  </w:shapeDefaults>
  <w:decimalSymbol w:val="."/>
  <w:listSeparator w:val=","/>
  <w14:docId w14:val="556FECB4"/>
  <w15:chartTrackingRefBased/>
  <w15:docId w15:val="{D02951C3-866E-4067-9B77-A19405C9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57"/>
    <w:pPr>
      <w:spacing w:after="0" w:line="48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472681"/>
    <w:pPr>
      <w:keepNext/>
      <w:spacing w:after="240" w:line="240" w:lineRule="auto"/>
      <w:ind w:firstLine="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Post-quote"/>
    <w:link w:val="QuoteChar"/>
    <w:uiPriority w:val="29"/>
    <w:qFormat/>
    <w:rsid w:val="00AF2A36"/>
    <w:pPr>
      <w:spacing w:after="240" w:line="240" w:lineRule="auto"/>
      <w:ind w:left="1440" w:right="720" w:firstLine="0"/>
    </w:pPr>
  </w:style>
  <w:style w:type="character" w:customStyle="1" w:styleId="QuoteChar">
    <w:name w:val="Quote Char"/>
    <w:basedOn w:val="DefaultParagraphFont"/>
    <w:link w:val="Quote"/>
    <w:uiPriority w:val="29"/>
    <w:rsid w:val="00AF2A36"/>
    <w:rPr>
      <w:rFonts w:ascii="Times New Roman" w:hAnsi="Times New Roman" w:cs="Times New Roman"/>
      <w:sz w:val="24"/>
      <w:szCs w:val="24"/>
    </w:rPr>
  </w:style>
  <w:style w:type="paragraph" w:styleId="ListParagraph">
    <w:name w:val="List Paragraph"/>
    <w:basedOn w:val="Normal"/>
    <w:uiPriority w:val="34"/>
    <w:qFormat/>
    <w:rsid w:val="00B40157"/>
    <w:pPr>
      <w:ind w:left="720"/>
      <w:contextualSpacing/>
    </w:pPr>
  </w:style>
  <w:style w:type="paragraph" w:styleId="Header">
    <w:name w:val="header"/>
    <w:basedOn w:val="Normal"/>
    <w:link w:val="HeaderChar"/>
    <w:uiPriority w:val="99"/>
    <w:unhideWhenUsed/>
    <w:rsid w:val="00B40157"/>
    <w:pPr>
      <w:tabs>
        <w:tab w:val="center" w:pos="4680"/>
        <w:tab w:val="right" w:pos="9360"/>
      </w:tabs>
      <w:spacing w:line="240" w:lineRule="auto"/>
    </w:pPr>
  </w:style>
  <w:style w:type="character" w:customStyle="1" w:styleId="HeaderChar">
    <w:name w:val="Header Char"/>
    <w:basedOn w:val="DefaultParagraphFont"/>
    <w:link w:val="Header"/>
    <w:uiPriority w:val="99"/>
    <w:rsid w:val="00B40157"/>
    <w:rPr>
      <w:rFonts w:ascii="Times New Roman" w:hAnsi="Times New Roman" w:cs="Times New Roman"/>
      <w:sz w:val="24"/>
      <w:szCs w:val="24"/>
    </w:rPr>
  </w:style>
  <w:style w:type="paragraph" w:styleId="Footer">
    <w:name w:val="footer"/>
    <w:basedOn w:val="Normal"/>
    <w:link w:val="FooterChar"/>
    <w:uiPriority w:val="99"/>
    <w:unhideWhenUsed/>
    <w:rsid w:val="00B40157"/>
    <w:pPr>
      <w:tabs>
        <w:tab w:val="center" w:pos="4680"/>
        <w:tab w:val="right" w:pos="9360"/>
      </w:tabs>
      <w:spacing w:line="240" w:lineRule="auto"/>
    </w:pPr>
  </w:style>
  <w:style w:type="character" w:customStyle="1" w:styleId="FooterChar">
    <w:name w:val="Footer Char"/>
    <w:basedOn w:val="DefaultParagraphFont"/>
    <w:link w:val="Footer"/>
    <w:uiPriority w:val="99"/>
    <w:rsid w:val="00B40157"/>
    <w:rPr>
      <w:rFonts w:ascii="Times New Roman" w:hAnsi="Times New Roman" w:cs="Times New Roman"/>
      <w:sz w:val="24"/>
      <w:szCs w:val="24"/>
    </w:rPr>
  </w:style>
  <w:style w:type="table" w:styleId="TableGrid">
    <w:name w:val="Table Grid"/>
    <w:basedOn w:val="TableNormal"/>
    <w:uiPriority w:val="39"/>
    <w:rsid w:val="00B40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2681"/>
    <w:rPr>
      <w:rFonts w:ascii="Times New Roman" w:hAnsi="Times New Roman" w:cs="Times New Roman"/>
      <w:b/>
      <w:bCs/>
      <w:sz w:val="24"/>
      <w:szCs w:val="24"/>
    </w:rPr>
  </w:style>
  <w:style w:type="paragraph" w:customStyle="1" w:styleId="PlainText1">
    <w:name w:val="Plain Text1"/>
    <w:basedOn w:val="Normal"/>
    <w:qFormat/>
    <w:rsid w:val="00B40157"/>
    <w:pPr>
      <w:spacing w:line="240" w:lineRule="auto"/>
      <w:ind w:firstLine="0"/>
    </w:pPr>
  </w:style>
  <w:style w:type="paragraph" w:customStyle="1" w:styleId="Numberedorderparagraph">
    <w:name w:val="Numbered order paragraph"/>
    <w:basedOn w:val="ListParagraph"/>
    <w:qFormat/>
    <w:rsid w:val="00CD23AE"/>
    <w:pPr>
      <w:numPr>
        <w:ilvl w:val="1"/>
        <w:numId w:val="15"/>
      </w:numPr>
      <w:ind w:left="0" w:firstLine="720"/>
      <w:contextualSpacing w:val="0"/>
    </w:pPr>
  </w:style>
  <w:style w:type="paragraph" w:customStyle="1" w:styleId="Post-quote">
    <w:name w:val="Post-quote"/>
    <w:basedOn w:val="Normal"/>
    <w:next w:val="Normal"/>
    <w:qFormat/>
    <w:rsid w:val="00B40157"/>
    <w:pPr>
      <w:ind w:firstLine="0"/>
    </w:pPr>
  </w:style>
  <w:style w:type="paragraph" w:customStyle="1" w:styleId="Summarypara">
    <w:name w:val="Summary para."/>
    <w:basedOn w:val="Normal"/>
    <w:qFormat/>
    <w:rsid w:val="00B40157"/>
    <w:pPr>
      <w:spacing w:after="240" w:line="240" w:lineRule="auto"/>
    </w:pPr>
  </w:style>
  <w:style w:type="paragraph" w:styleId="BalloonText">
    <w:name w:val="Balloon Text"/>
    <w:basedOn w:val="Normal"/>
    <w:link w:val="BalloonTextChar"/>
    <w:uiPriority w:val="99"/>
    <w:semiHidden/>
    <w:unhideWhenUsed/>
    <w:rsid w:val="00B401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57"/>
    <w:rPr>
      <w:rFonts w:ascii="Segoe UI" w:hAnsi="Segoe UI" w:cs="Segoe UI"/>
      <w:sz w:val="18"/>
      <w:szCs w:val="18"/>
    </w:rPr>
  </w:style>
  <w:style w:type="paragraph" w:styleId="FootnoteText">
    <w:name w:val="footnote text"/>
    <w:basedOn w:val="Normal"/>
    <w:link w:val="FootnoteTextChar"/>
    <w:uiPriority w:val="99"/>
    <w:semiHidden/>
    <w:unhideWhenUsed/>
    <w:rsid w:val="00472681"/>
    <w:pPr>
      <w:spacing w:after="120" w:line="240" w:lineRule="auto"/>
    </w:pPr>
    <w:rPr>
      <w:szCs w:val="20"/>
    </w:rPr>
  </w:style>
  <w:style w:type="character" w:customStyle="1" w:styleId="FootnoteTextChar">
    <w:name w:val="Footnote Text Char"/>
    <w:basedOn w:val="DefaultParagraphFont"/>
    <w:link w:val="FootnoteText"/>
    <w:uiPriority w:val="99"/>
    <w:semiHidden/>
    <w:rsid w:val="00472681"/>
    <w:rPr>
      <w:rFonts w:ascii="Times New Roman" w:hAnsi="Times New Roman" w:cs="Times New Roman"/>
      <w:sz w:val="24"/>
      <w:szCs w:val="20"/>
    </w:rPr>
  </w:style>
  <w:style w:type="character" w:styleId="Hyperlink">
    <w:name w:val="Hyperlink"/>
    <w:basedOn w:val="DefaultParagraphFont"/>
    <w:uiPriority w:val="99"/>
    <w:unhideWhenUsed/>
    <w:rsid w:val="00FF4380"/>
    <w:rPr>
      <w:color w:val="0563C1" w:themeColor="hyperlink"/>
      <w:u w:val="single"/>
    </w:rPr>
  </w:style>
  <w:style w:type="character" w:styleId="FootnoteReference">
    <w:name w:val="footnote reference"/>
    <w:basedOn w:val="DefaultParagraphFont"/>
    <w:uiPriority w:val="99"/>
    <w:semiHidden/>
    <w:unhideWhenUsed/>
    <w:rsid w:val="004E08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922">
      <w:bodyDiv w:val="1"/>
      <w:marLeft w:val="0"/>
      <w:marRight w:val="0"/>
      <w:marTop w:val="0"/>
      <w:marBottom w:val="0"/>
      <w:divBdr>
        <w:top w:val="none" w:sz="0" w:space="0" w:color="auto"/>
        <w:left w:val="none" w:sz="0" w:space="0" w:color="auto"/>
        <w:bottom w:val="none" w:sz="0" w:space="0" w:color="auto"/>
        <w:right w:val="none" w:sz="0" w:space="0" w:color="auto"/>
      </w:divBdr>
      <w:divsChild>
        <w:div w:id="1301230606">
          <w:marLeft w:val="0"/>
          <w:marRight w:val="0"/>
          <w:marTop w:val="0"/>
          <w:marBottom w:val="0"/>
          <w:divBdr>
            <w:top w:val="none" w:sz="0" w:space="0" w:color="3D3D3D"/>
            <w:left w:val="none" w:sz="0" w:space="0" w:color="3D3D3D"/>
            <w:bottom w:val="none" w:sz="0" w:space="0" w:color="3D3D3D"/>
            <w:right w:val="none" w:sz="0" w:space="0" w:color="3D3D3D"/>
          </w:divBdr>
          <w:divsChild>
            <w:div w:id="526454092">
              <w:marLeft w:val="0"/>
              <w:marRight w:val="0"/>
              <w:marTop w:val="0"/>
              <w:marBottom w:val="0"/>
              <w:divBdr>
                <w:top w:val="none" w:sz="0" w:space="0" w:color="3D3D3D"/>
                <w:left w:val="none" w:sz="0" w:space="0" w:color="3D3D3D"/>
                <w:bottom w:val="none" w:sz="0" w:space="0" w:color="3D3D3D"/>
                <w:right w:val="none" w:sz="0" w:space="0" w:color="3D3D3D"/>
              </w:divBdr>
              <w:divsChild>
                <w:div w:id="718241601">
                  <w:marLeft w:val="0"/>
                  <w:marRight w:val="0"/>
                  <w:marTop w:val="0"/>
                  <w:marBottom w:val="0"/>
                  <w:divBdr>
                    <w:top w:val="none" w:sz="0" w:space="0" w:color="3D3D3D"/>
                    <w:left w:val="none" w:sz="0" w:space="0" w:color="3D3D3D"/>
                    <w:bottom w:val="none" w:sz="0" w:space="0" w:color="3D3D3D"/>
                    <w:right w:val="none" w:sz="0" w:space="0" w:color="3D3D3D"/>
                  </w:divBdr>
                </w:div>
              </w:divsChild>
            </w:div>
            <w:div w:id="1110857248">
              <w:marLeft w:val="0"/>
              <w:marRight w:val="0"/>
              <w:marTop w:val="215"/>
              <w:marBottom w:val="0"/>
              <w:divBdr>
                <w:top w:val="none" w:sz="0" w:space="0" w:color="3D3D3D"/>
                <w:left w:val="none" w:sz="0" w:space="0" w:color="3D3D3D"/>
                <w:bottom w:val="none" w:sz="0" w:space="0" w:color="3D3D3D"/>
                <w:right w:val="none" w:sz="0" w:space="0" w:color="3D3D3D"/>
              </w:divBdr>
              <w:divsChild>
                <w:div w:id="453257370">
                  <w:marLeft w:val="0"/>
                  <w:marRight w:val="0"/>
                  <w:marTop w:val="0"/>
                  <w:marBottom w:val="0"/>
                  <w:divBdr>
                    <w:top w:val="none" w:sz="0" w:space="0" w:color="3D3D3D"/>
                    <w:left w:val="none" w:sz="0" w:space="0" w:color="3D3D3D"/>
                    <w:bottom w:val="none" w:sz="0" w:space="0" w:color="3D3D3D"/>
                    <w:right w:val="none" w:sz="0" w:space="0" w:color="3D3D3D"/>
                  </w:divBdr>
                </w:div>
              </w:divsChild>
            </w:div>
            <w:div w:id="4802692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9724161">
      <w:bodyDiv w:val="1"/>
      <w:marLeft w:val="0"/>
      <w:marRight w:val="0"/>
      <w:marTop w:val="0"/>
      <w:marBottom w:val="0"/>
      <w:divBdr>
        <w:top w:val="none" w:sz="0" w:space="0" w:color="auto"/>
        <w:left w:val="none" w:sz="0" w:space="0" w:color="auto"/>
        <w:bottom w:val="none" w:sz="0" w:space="0" w:color="auto"/>
        <w:right w:val="none" w:sz="0" w:space="0" w:color="auto"/>
      </w:divBdr>
      <w:divsChild>
        <w:div w:id="1709603002">
          <w:marLeft w:val="0"/>
          <w:marRight w:val="0"/>
          <w:marTop w:val="0"/>
          <w:marBottom w:val="0"/>
          <w:divBdr>
            <w:top w:val="none" w:sz="0" w:space="0" w:color="3D3D3D"/>
            <w:left w:val="none" w:sz="0" w:space="0" w:color="3D3D3D"/>
            <w:bottom w:val="none" w:sz="0" w:space="0" w:color="3D3D3D"/>
            <w:right w:val="none" w:sz="0" w:space="0" w:color="3D3D3D"/>
          </w:divBdr>
          <w:divsChild>
            <w:div w:id="7652295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7519262">
      <w:bodyDiv w:val="1"/>
      <w:marLeft w:val="0"/>
      <w:marRight w:val="0"/>
      <w:marTop w:val="0"/>
      <w:marBottom w:val="0"/>
      <w:divBdr>
        <w:top w:val="none" w:sz="0" w:space="0" w:color="auto"/>
        <w:left w:val="none" w:sz="0" w:space="0" w:color="auto"/>
        <w:bottom w:val="none" w:sz="0" w:space="0" w:color="auto"/>
        <w:right w:val="none" w:sz="0" w:space="0" w:color="auto"/>
      </w:divBdr>
      <w:divsChild>
        <w:div w:id="893201632">
          <w:marLeft w:val="0"/>
          <w:marRight w:val="0"/>
          <w:marTop w:val="0"/>
          <w:marBottom w:val="0"/>
          <w:divBdr>
            <w:top w:val="none" w:sz="0" w:space="0" w:color="3D3D3D"/>
            <w:left w:val="none" w:sz="0" w:space="0" w:color="3D3D3D"/>
            <w:bottom w:val="none" w:sz="0" w:space="0" w:color="3D3D3D"/>
            <w:right w:val="none" w:sz="0" w:space="0" w:color="3D3D3D"/>
          </w:divBdr>
          <w:divsChild>
            <w:div w:id="4309048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2640311">
      <w:bodyDiv w:val="1"/>
      <w:marLeft w:val="0"/>
      <w:marRight w:val="0"/>
      <w:marTop w:val="0"/>
      <w:marBottom w:val="0"/>
      <w:divBdr>
        <w:top w:val="none" w:sz="0" w:space="0" w:color="auto"/>
        <w:left w:val="none" w:sz="0" w:space="0" w:color="auto"/>
        <w:bottom w:val="none" w:sz="0" w:space="0" w:color="auto"/>
        <w:right w:val="none" w:sz="0" w:space="0" w:color="auto"/>
      </w:divBdr>
      <w:divsChild>
        <w:div w:id="273055340">
          <w:marLeft w:val="0"/>
          <w:marRight w:val="0"/>
          <w:marTop w:val="0"/>
          <w:marBottom w:val="0"/>
          <w:divBdr>
            <w:top w:val="none" w:sz="0" w:space="0" w:color="3D3D3D"/>
            <w:left w:val="none" w:sz="0" w:space="0" w:color="3D3D3D"/>
            <w:bottom w:val="none" w:sz="0" w:space="0" w:color="3D3D3D"/>
            <w:right w:val="none" w:sz="0" w:space="0" w:color="3D3D3D"/>
          </w:divBdr>
        </w:div>
      </w:divsChild>
    </w:div>
    <w:div w:id="1090544246">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9">
          <w:marLeft w:val="0"/>
          <w:marRight w:val="0"/>
          <w:marTop w:val="0"/>
          <w:marBottom w:val="0"/>
          <w:divBdr>
            <w:top w:val="none" w:sz="0" w:space="0" w:color="3D3D3D"/>
            <w:left w:val="none" w:sz="0" w:space="0" w:color="3D3D3D"/>
            <w:bottom w:val="none" w:sz="0" w:space="0" w:color="3D3D3D"/>
            <w:right w:val="none" w:sz="0" w:space="0" w:color="3D3D3D"/>
          </w:divBdr>
          <w:divsChild>
            <w:div w:id="3381938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9514014">
      <w:bodyDiv w:val="1"/>
      <w:marLeft w:val="0"/>
      <w:marRight w:val="0"/>
      <w:marTop w:val="0"/>
      <w:marBottom w:val="0"/>
      <w:divBdr>
        <w:top w:val="none" w:sz="0" w:space="0" w:color="auto"/>
        <w:left w:val="none" w:sz="0" w:space="0" w:color="auto"/>
        <w:bottom w:val="none" w:sz="0" w:space="0" w:color="auto"/>
        <w:right w:val="none" w:sz="0" w:space="0" w:color="auto"/>
      </w:divBdr>
      <w:divsChild>
        <w:div w:id="593973138">
          <w:marLeft w:val="0"/>
          <w:marRight w:val="0"/>
          <w:marTop w:val="0"/>
          <w:marBottom w:val="0"/>
          <w:divBdr>
            <w:top w:val="none" w:sz="0" w:space="0" w:color="3D3D3D"/>
            <w:left w:val="none" w:sz="0" w:space="0" w:color="3D3D3D"/>
            <w:bottom w:val="none" w:sz="0" w:space="0" w:color="3D3D3D"/>
            <w:right w:val="none" w:sz="0" w:space="0" w:color="3D3D3D"/>
          </w:divBdr>
          <w:divsChild>
            <w:div w:id="17153519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8988335">
      <w:bodyDiv w:val="1"/>
      <w:marLeft w:val="0"/>
      <w:marRight w:val="0"/>
      <w:marTop w:val="0"/>
      <w:marBottom w:val="0"/>
      <w:divBdr>
        <w:top w:val="none" w:sz="0" w:space="0" w:color="auto"/>
        <w:left w:val="none" w:sz="0" w:space="0" w:color="auto"/>
        <w:bottom w:val="none" w:sz="0" w:space="0" w:color="auto"/>
        <w:right w:val="none" w:sz="0" w:space="0" w:color="auto"/>
      </w:divBdr>
      <w:divsChild>
        <w:div w:id="1723868735">
          <w:marLeft w:val="0"/>
          <w:marRight w:val="0"/>
          <w:marTop w:val="0"/>
          <w:marBottom w:val="0"/>
          <w:divBdr>
            <w:top w:val="none" w:sz="0" w:space="0" w:color="3D3D3D"/>
            <w:left w:val="none" w:sz="0" w:space="0" w:color="3D3D3D"/>
            <w:bottom w:val="none" w:sz="0" w:space="0" w:color="3D3D3D"/>
            <w:right w:val="none" w:sz="0" w:space="0" w:color="3D3D3D"/>
          </w:divBdr>
          <w:divsChild>
            <w:div w:id="14383281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6721079">
      <w:bodyDiv w:val="1"/>
      <w:marLeft w:val="0"/>
      <w:marRight w:val="0"/>
      <w:marTop w:val="0"/>
      <w:marBottom w:val="0"/>
      <w:divBdr>
        <w:top w:val="none" w:sz="0" w:space="0" w:color="auto"/>
        <w:left w:val="none" w:sz="0" w:space="0" w:color="auto"/>
        <w:bottom w:val="none" w:sz="0" w:space="0" w:color="auto"/>
        <w:right w:val="none" w:sz="0" w:space="0" w:color="auto"/>
      </w:divBdr>
      <w:divsChild>
        <w:div w:id="304164746">
          <w:marLeft w:val="0"/>
          <w:marRight w:val="0"/>
          <w:marTop w:val="0"/>
          <w:marBottom w:val="0"/>
          <w:divBdr>
            <w:top w:val="none" w:sz="0" w:space="0" w:color="3D3D3D"/>
            <w:left w:val="none" w:sz="0" w:space="0" w:color="3D3D3D"/>
            <w:bottom w:val="none" w:sz="0" w:space="0" w:color="3D3D3D"/>
            <w:right w:val="none" w:sz="0" w:space="0" w:color="3D3D3D"/>
          </w:divBdr>
          <w:divsChild>
            <w:div w:id="5494606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659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alkiel\OneDrive%20-%20Commonwealth%20of%20Massachusetts\Documents%20for%20backup\Templates\Template%20order%20-%20schedul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22F2-84E9-4D24-BF67-741C7AD880E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Template order - scheduling</Template>
  <TotalTime>142</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Malkiel, Yakov (ALA)</dc:creator>
  <cp:keywords/>
  <dc:description/>
  <cp:lastModifiedBy>LaPointe, Donald (DPH)</cp:lastModifiedBy>
  <cp:revision>13</cp:revision>
  <cp:lastPrinted>2025-01-30T13:43:00Z</cp:lastPrinted>
  <dcterms:created xsi:type="dcterms:W3CDTF">2025-01-29T21:41:00Z</dcterms:created>
  <dcterms:modified xsi:type="dcterms:W3CDTF">2025-06-05T12:39:00Z</dcterms:modified>
</cp:coreProperties>
</file>