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3EAF" w14:textId="77777777" w:rsidR="00C32CC0" w:rsidRDefault="00C32CC0" w:rsidP="00262188">
      <w:pPr>
        <w:pStyle w:val="Heading1"/>
      </w:pPr>
      <w:r>
        <w:t>COMMONWEALTH OF MASSACHUSETTS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9494D" w:rsidRPr="004F74D7" w14:paraId="150AE853" w14:textId="77777777" w:rsidTr="0009494D">
        <w:tc>
          <w:tcPr>
            <w:tcW w:w="4675" w:type="dxa"/>
            <w:tcMar>
              <w:right w:w="115" w:type="dxa"/>
            </w:tcMar>
          </w:tcPr>
          <w:p w14:paraId="6D1F9E0E" w14:textId="5A44F5DD" w:rsidR="0009494D" w:rsidRPr="00E81DF8" w:rsidRDefault="0009494D" w:rsidP="0009494D">
            <w:pPr>
              <w:pStyle w:val="PlainText1"/>
              <w:rPr>
                <w:b/>
                <w:bCs/>
              </w:rPr>
            </w:pPr>
            <w:r w:rsidRPr="00F851F8">
              <w:rPr>
                <w:b/>
                <w:bCs/>
              </w:rPr>
              <w:t>Middlesex, ss.</w:t>
            </w:r>
          </w:p>
        </w:tc>
        <w:tc>
          <w:tcPr>
            <w:tcW w:w="4675" w:type="dxa"/>
          </w:tcPr>
          <w:p w14:paraId="70FF8129" w14:textId="63A81AA1" w:rsidR="0009494D" w:rsidRPr="004F74D7" w:rsidRDefault="0009494D" w:rsidP="0009494D">
            <w:pPr>
              <w:spacing w:line="240" w:lineRule="auto"/>
              <w:ind w:firstLine="0"/>
              <w:rPr>
                <w:b/>
                <w:bCs/>
              </w:rPr>
            </w:pPr>
            <w:r w:rsidRPr="004F74D7">
              <w:rPr>
                <w:b/>
                <w:bCs/>
              </w:rPr>
              <w:t>Division of Administrative Law Appeals</w:t>
            </w:r>
          </w:p>
        </w:tc>
      </w:tr>
      <w:tr w:rsidR="0009494D" w:rsidRPr="004F74D7" w14:paraId="3F5D723A" w14:textId="77777777" w:rsidTr="0009494D">
        <w:tc>
          <w:tcPr>
            <w:tcW w:w="4675" w:type="dxa"/>
            <w:tcMar>
              <w:right w:w="115" w:type="dxa"/>
            </w:tcMar>
          </w:tcPr>
          <w:p w14:paraId="5E7F7751" w14:textId="58C81293" w:rsidR="0009494D" w:rsidRPr="002F4B7F" w:rsidRDefault="0009494D" w:rsidP="0009494D">
            <w:pPr>
              <w:pStyle w:val="PlainText1"/>
            </w:pPr>
          </w:p>
        </w:tc>
        <w:tc>
          <w:tcPr>
            <w:tcW w:w="4675" w:type="dxa"/>
          </w:tcPr>
          <w:p w14:paraId="5B113CFC" w14:textId="77777777" w:rsidR="0009494D" w:rsidRPr="004F74D7" w:rsidRDefault="0009494D" w:rsidP="0009494D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D741C2" w:rsidRPr="00FE3340" w14:paraId="131B9A8A" w14:textId="77777777" w:rsidTr="0009494D">
        <w:tc>
          <w:tcPr>
            <w:tcW w:w="4675" w:type="dxa"/>
            <w:tcMar>
              <w:right w:w="115" w:type="dxa"/>
            </w:tcMar>
          </w:tcPr>
          <w:p w14:paraId="7EF3FD5F" w14:textId="73CAEF8C" w:rsidR="00D741C2" w:rsidRPr="002F4B7F" w:rsidRDefault="00D741C2" w:rsidP="00D741C2">
            <w:pPr>
              <w:spacing w:line="240" w:lineRule="auto"/>
              <w:ind w:firstLine="0"/>
            </w:pPr>
            <w:r>
              <w:rPr>
                <w:b/>
                <w:bCs/>
              </w:rPr>
              <w:t>Board of Registration in Medicine</w:t>
            </w:r>
            <w:r w:rsidRPr="002F4B7F">
              <w:t>,</w:t>
            </w:r>
          </w:p>
        </w:tc>
        <w:tc>
          <w:tcPr>
            <w:tcW w:w="4675" w:type="dxa"/>
          </w:tcPr>
          <w:p w14:paraId="714C31B3" w14:textId="0EF952FF" w:rsidR="00D741C2" w:rsidRPr="00FE3340" w:rsidRDefault="00D741C2" w:rsidP="00D741C2">
            <w:pPr>
              <w:spacing w:line="240" w:lineRule="auto"/>
              <w:ind w:firstLine="0"/>
            </w:pPr>
            <w:r w:rsidRPr="00FE3340">
              <w:t>No.</w:t>
            </w:r>
            <w:r>
              <w:t xml:space="preserve"> </w:t>
            </w:r>
            <w:r w:rsidRPr="003D20E2">
              <w:t>RM-20-258</w:t>
            </w:r>
          </w:p>
        </w:tc>
      </w:tr>
      <w:tr w:rsidR="00D741C2" w:rsidRPr="00FE3340" w14:paraId="13250F3C" w14:textId="77777777" w:rsidTr="0009494D">
        <w:tc>
          <w:tcPr>
            <w:tcW w:w="4675" w:type="dxa"/>
            <w:tcMar>
              <w:right w:w="115" w:type="dxa"/>
            </w:tcMar>
          </w:tcPr>
          <w:p w14:paraId="25045303" w14:textId="0AC3034A" w:rsidR="00D741C2" w:rsidRPr="002F4B7F" w:rsidRDefault="00D741C2" w:rsidP="00D741C2">
            <w:pPr>
              <w:spacing w:line="240" w:lineRule="auto"/>
              <w:ind w:left="720" w:firstLine="0"/>
            </w:pPr>
            <w:r w:rsidRPr="002F4B7F">
              <w:t>Petitioner,</w:t>
            </w:r>
          </w:p>
        </w:tc>
        <w:tc>
          <w:tcPr>
            <w:tcW w:w="4675" w:type="dxa"/>
          </w:tcPr>
          <w:p w14:paraId="31F15A61" w14:textId="77777777" w:rsidR="00D741C2" w:rsidRPr="00FE3340" w:rsidRDefault="00D741C2" w:rsidP="00D741C2">
            <w:pPr>
              <w:spacing w:line="240" w:lineRule="auto"/>
              <w:ind w:firstLine="0"/>
            </w:pPr>
          </w:p>
        </w:tc>
      </w:tr>
      <w:tr w:rsidR="00D741C2" w:rsidRPr="00FE3340" w14:paraId="7C99D52C" w14:textId="77777777" w:rsidTr="0009494D">
        <w:tc>
          <w:tcPr>
            <w:tcW w:w="4675" w:type="dxa"/>
            <w:tcMar>
              <w:right w:w="115" w:type="dxa"/>
            </w:tcMar>
          </w:tcPr>
          <w:p w14:paraId="0FC63C07" w14:textId="2F02C78E" w:rsidR="00D741C2" w:rsidRPr="002F4B7F" w:rsidRDefault="00D741C2" w:rsidP="00D741C2">
            <w:pPr>
              <w:spacing w:line="240" w:lineRule="auto"/>
              <w:ind w:firstLine="0"/>
            </w:pPr>
          </w:p>
        </w:tc>
        <w:tc>
          <w:tcPr>
            <w:tcW w:w="4675" w:type="dxa"/>
          </w:tcPr>
          <w:p w14:paraId="42F99A1B" w14:textId="53A6A4F3" w:rsidR="00D741C2" w:rsidRPr="00FE3340" w:rsidRDefault="00D741C2" w:rsidP="00D741C2">
            <w:pPr>
              <w:spacing w:line="240" w:lineRule="auto"/>
              <w:ind w:firstLine="0"/>
            </w:pPr>
            <w:r w:rsidRPr="000B4192">
              <w:t xml:space="preserve">Dated:  </w:t>
            </w:r>
            <w:r w:rsidR="007F62BB">
              <w:t>January 1</w:t>
            </w:r>
            <w:r w:rsidR="00FD67E5">
              <w:t>9</w:t>
            </w:r>
            <w:r w:rsidR="007F62BB">
              <w:t>, 2023</w:t>
            </w:r>
          </w:p>
        </w:tc>
      </w:tr>
      <w:tr w:rsidR="00D741C2" w:rsidRPr="00FE3340" w14:paraId="0EA6AB06" w14:textId="77777777" w:rsidTr="0009494D">
        <w:tc>
          <w:tcPr>
            <w:tcW w:w="4675" w:type="dxa"/>
            <w:tcMar>
              <w:right w:w="115" w:type="dxa"/>
            </w:tcMar>
          </w:tcPr>
          <w:p w14:paraId="3493F13F" w14:textId="760145F8" w:rsidR="00D741C2" w:rsidRPr="002F4B7F" w:rsidRDefault="00D741C2" w:rsidP="00D741C2">
            <w:pPr>
              <w:spacing w:line="240" w:lineRule="auto"/>
              <w:ind w:left="720" w:firstLine="0"/>
            </w:pPr>
            <w:r w:rsidRPr="002F4B7F">
              <w:t>v.</w:t>
            </w:r>
          </w:p>
        </w:tc>
        <w:tc>
          <w:tcPr>
            <w:tcW w:w="4675" w:type="dxa"/>
          </w:tcPr>
          <w:p w14:paraId="2A9AC5E5" w14:textId="77777777" w:rsidR="00D741C2" w:rsidRPr="00FE3340" w:rsidRDefault="00D741C2" w:rsidP="00D741C2">
            <w:pPr>
              <w:spacing w:line="240" w:lineRule="auto"/>
              <w:ind w:firstLine="0"/>
            </w:pPr>
          </w:p>
        </w:tc>
      </w:tr>
      <w:tr w:rsidR="00D741C2" w:rsidRPr="00FE3340" w14:paraId="504209BA" w14:textId="77777777" w:rsidTr="0009494D">
        <w:tc>
          <w:tcPr>
            <w:tcW w:w="4675" w:type="dxa"/>
            <w:tcMar>
              <w:right w:w="115" w:type="dxa"/>
            </w:tcMar>
          </w:tcPr>
          <w:p w14:paraId="2AFBCDF0" w14:textId="449CBE8B" w:rsidR="00D741C2" w:rsidRPr="002F4B7F" w:rsidRDefault="00D741C2" w:rsidP="00D741C2">
            <w:pPr>
              <w:spacing w:line="240" w:lineRule="auto"/>
              <w:ind w:firstLine="0"/>
            </w:pPr>
          </w:p>
        </w:tc>
        <w:tc>
          <w:tcPr>
            <w:tcW w:w="4675" w:type="dxa"/>
          </w:tcPr>
          <w:p w14:paraId="191831FA" w14:textId="77777777" w:rsidR="00D741C2" w:rsidRPr="00FE3340" w:rsidRDefault="00D741C2" w:rsidP="00D741C2">
            <w:pPr>
              <w:spacing w:line="240" w:lineRule="auto"/>
              <w:ind w:firstLine="0"/>
            </w:pPr>
          </w:p>
        </w:tc>
      </w:tr>
      <w:tr w:rsidR="00D741C2" w:rsidRPr="00FE3340" w14:paraId="7FA381F6" w14:textId="77777777" w:rsidTr="0009494D">
        <w:tc>
          <w:tcPr>
            <w:tcW w:w="4675" w:type="dxa"/>
            <w:tcMar>
              <w:right w:w="115" w:type="dxa"/>
            </w:tcMar>
          </w:tcPr>
          <w:p w14:paraId="107C1078" w14:textId="012A1C9A" w:rsidR="00D741C2" w:rsidRPr="002F4B7F" w:rsidRDefault="00D741C2" w:rsidP="00D741C2">
            <w:pPr>
              <w:spacing w:line="240" w:lineRule="auto"/>
              <w:ind w:firstLine="0"/>
            </w:pPr>
            <w:proofErr w:type="spellStart"/>
            <w:r w:rsidRPr="003D20E2">
              <w:rPr>
                <w:b/>
                <w:bCs/>
              </w:rPr>
              <w:t>Keshaudas</w:t>
            </w:r>
            <w:proofErr w:type="spellEnd"/>
            <w:r w:rsidRPr="003D20E2">
              <w:rPr>
                <w:b/>
                <w:bCs/>
              </w:rPr>
              <w:t xml:space="preserve"> </w:t>
            </w:r>
            <w:proofErr w:type="spellStart"/>
            <w:r w:rsidRPr="003D20E2">
              <w:rPr>
                <w:b/>
                <w:bCs/>
              </w:rPr>
              <w:t>Pahuja</w:t>
            </w:r>
            <w:proofErr w:type="spellEnd"/>
            <w:r w:rsidRPr="003D20E2">
              <w:rPr>
                <w:b/>
                <w:bCs/>
              </w:rPr>
              <w:t>, M.D.</w:t>
            </w:r>
            <w:r w:rsidRPr="002F4B7F">
              <w:t>,</w:t>
            </w:r>
          </w:p>
        </w:tc>
        <w:tc>
          <w:tcPr>
            <w:tcW w:w="4675" w:type="dxa"/>
          </w:tcPr>
          <w:p w14:paraId="029094A7" w14:textId="77777777" w:rsidR="00D741C2" w:rsidRPr="00FE3340" w:rsidRDefault="00D741C2" w:rsidP="00D741C2">
            <w:pPr>
              <w:spacing w:line="240" w:lineRule="auto"/>
              <w:ind w:firstLine="0"/>
            </w:pPr>
          </w:p>
        </w:tc>
      </w:tr>
      <w:tr w:rsidR="0009494D" w:rsidRPr="00FE3340" w14:paraId="6F110CF5" w14:textId="77777777" w:rsidTr="0009494D">
        <w:tc>
          <w:tcPr>
            <w:tcW w:w="4675" w:type="dxa"/>
            <w:tcMar>
              <w:right w:w="115" w:type="dxa"/>
            </w:tcMar>
          </w:tcPr>
          <w:p w14:paraId="3EBDBC85" w14:textId="765511FA" w:rsidR="0009494D" w:rsidRPr="002F4B7F" w:rsidRDefault="0009494D" w:rsidP="0009494D">
            <w:pPr>
              <w:spacing w:line="240" w:lineRule="auto"/>
              <w:ind w:left="720" w:firstLine="0"/>
            </w:pPr>
            <w:r w:rsidRPr="002F4B7F">
              <w:t>Respondent.</w:t>
            </w:r>
          </w:p>
        </w:tc>
        <w:tc>
          <w:tcPr>
            <w:tcW w:w="4675" w:type="dxa"/>
          </w:tcPr>
          <w:p w14:paraId="0FF6185B" w14:textId="77777777" w:rsidR="0009494D" w:rsidRPr="00FE3340" w:rsidRDefault="0009494D" w:rsidP="0009494D">
            <w:pPr>
              <w:spacing w:line="240" w:lineRule="auto"/>
              <w:ind w:firstLine="0"/>
            </w:pPr>
          </w:p>
        </w:tc>
      </w:tr>
    </w:tbl>
    <w:p w14:paraId="7C2B1227" w14:textId="77777777" w:rsidR="004F74D7" w:rsidRPr="00EC3179" w:rsidRDefault="004F74D7" w:rsidP="008C1F51">
      <w:pPr>
        <w:pStyle w:val="PlainText1"/>
      </w:pPr>
    </w:p>
    <w:p w14:paraId="1B646BD0" w14:textId="77777777" w:rsidR="008C1F51" w:rsidRPr="00EC3179" w:rsidRDefault="008C1F51" w:rsidP="008C1F51">
      <w:pPr>
        <w:pStyle w:val="PlainText1"/>
      </w:pPr>
      <w:r w:rsidRPr="00F3449D">
        <w:rPr>
          <w:b/>
          <w:bCs/>
        </w:rPr>
        <w:t>Appearance for Petitioner:</w:t>
      </w:r>
    </w:p>
    <w:p w14:paraId="7688D7F6" w14:textId="05AA59FE" w:rsidR="008C1F51" w:rsidRDefault="00D741C2" w:rsidP="008C1F51">
      <w:pPr>
        <w:pStyle w:val="PlainText1"/>
      </w:pPr>
      <w:r>
        <w:t>James Paikos</w:t>
      </w:r>
      <w:r w:rsidR="00BA2CB2" w:rsidRPr="0009494D">
        <w:t>, Esq.</w:t>
      </w:r>
    </w:p>
    <w:p w14:paraId="7AD1EA8E" w14:textId="09C481E1" w:rsidR="0092449B" w:rsidRDefault="0009494D" w:rsidP="008C1F51">
      <w:pPr>
        <w:pStyle w:val="PlainText1"/>
      </w:pPr>
      <w:r>
        <w:t>178 Albion Street</w:t>
      </w:r>
    </w:p>
    <w:p w14:paraId="52B75480" w14:textId="254D8360" w:rsidR="0009494D" w:rsidRDefault="0009494D" w:rsidP="008C1F51">
      <w:pPr>
        <w:pStyle w:val="PlainText1"/>
      </w:pPr>
      <w:r>
        <w:t>Wakefield, MA 01880</w:t>
      </w:r>
    </w:p>
    <w:p w14:paraId="622042E5" w14:textId="77777777" w:rsidR="0092449B" w:rsidRPr="00EC3179" w:rsidRDefault="0092449B" w:rsidP="008C1F51">
      <w:pPr>
        <w:pStyle w:val="PlainText1"/>
      </w:pPr>
    </w:p>
    <w:p w14:paraId="0AB32808" w14:textId="77777777" w:rsidR="008C1F51" w:rsidRPr="00F3449D" w:rsidRDefault="008C1F51" w:rsidP="008C1F51">
      <w:pPr>
        <w:pStyle w:val="PlainText1"/>
        <w:rPr>
          <w:b/>
          <w:bCs/>
        </w:rPr>
      </w:pPr>
      <w:r w:rsidRPr="00F3449D">
        <w:rPr>
          <w:b/>
          <w:bCs/>
        </w:rPr>
        <w:t>Appearance for Respondent:</w:t>
      </w:r>
    </w:p>
    <w:p w14:paraId="16137068" w14:textId="759EBB39" w:rsidR="008C1F51" w:rsidRDefault="00D741C2" w:rsidP="008C1F51">
      <w:pPr>
        <w:pStyle w:val="PlainText1"/>
      </w:pPr>
      <w:proofErr w:type="spellStart"/>
      <w:r w:rsidRPr="00D741C2">
        <w:t>Keshaudas</w:t>
      </w:r>
      <w:proofErr w:type="spellEnd"/>
      <w:r w:rsidRPr="00D741C2">
        <w:t xml:space="preserve"> </w:t>
      </w:r>
      <w:proofErr w:type="spellStart"/>
      <w:r w:rsidRPr="00D741C2">
        <w:t>Pahuja</w:t>
      </w:r>
      <w:proofErr w:type="spellEnd"/>
      <w:r w:rsidR="0009494D">
        <w:t>, M.D. (pro se)</w:t>
      </w:r>
    </w:p>
    <w:p w14:paraId="02CC13C9" w14:textId="7E740C05" w:rsidR="0092449B" w:rsidRDefault="00D741C2" w:rsidP="00CA166A">
      <w:pPr>
        <w:pStyle w:val="PlainText1"/>
      </w:pPr>
      <w:r>
        <w:t>18 Meadow Lane</w:t>
      </w:r>
    </w:p>
    <w:p w14:paraId="6AC3D797" w14:textId="2D3BB7E9" w:rsidR="00D741C2" w:rsidRDefault="00D741C2" w:rsidP="00D741C2">
      <w:pPr>
        <w:pStyle w:val="PlainText1"/>
      </w:pPr>
      <w:r>
        <w:t>Milton, MA 02186</w:t>
      </w:r>
    </w:p>
    <w:p w14:paraId="6A1FBCDD" w14:textId="77777777" w:rsidR="0092449B" w:rsidRPr="00EC3179" w:rsidRDefault="0092449B" w:rsidP="008C1F51">
      <w:pPr>
        <w:pStyle w:val="PlainText1"/>
      </w:pPr>
    </w:p>
    <w:p w14:paraId="5E9D68FD" w14:textId="77777777" w:rsidR="008C1F51" w:rsidRPr="00F3449D" w:rsidRDefault="008C1F51" w:rsidP="008C1F51">
      <w:pPr>
        <w:pStyle w:val="PlainText1"/>
        <w:rPr>
          <w:b/>
          <w:bCs/>
        </w:rPr>
      </w:pPr>
      <w:r w:rsidRPr="00F3449D">
        <w:rPr>
          <w:b/>
          <w:bCs/>
        </w:rPr>
        <w:t>Administrative Magistrat</w:t>
      </w:r>
      <w:r w:rsidR="002315DB" w:rsidRPr="00F3449D">
        <w:rPr>
          <w:b/>
          <w:bCs/>
        </w:rPr>
        <w:t>e:</w:t>
      </w:r>
    </w:p>
    <w:p w14:paraId="57D1A8AC" w14:textId="77777777" w:rsidR="008C1F51" w:rsidRPr="00EC3179" w:rsidRDefault="008C1F51" w:rsidP="004F74D7">
      <w:pPr>
        <w:pStyle w:val="PlainText1"/>
      </w:pPr>
      <w:r w:rsidRPr="00EC3179">
        <w:t>Yakov Malkiel</w:t>
      </w:r>
    </w:p>
    <w:p w14:paraId="2140A481" w14:textId="77777777" w:rsidR="004F74D7" w:rsidRDefault="004F74D7" w:rsidP="008C1F51">
      <w:pPr>
        <w:pStyle w:val="PlainText1"/>
      </w:pPr>
    </w:p>
    <w:p w14:paraId="47F3B06B" w14:textId="789F34F2" w:rsidR="00E22152" w:rsidRDefault="0017326F" w:rsidP="00262188">
      <w:pPr>
        <w:pStyle w:val="Heading1"/>
      </w:pPr>
      <w:r>
        <w:t xml:space="preserve">SUMMARY OF </w:t>
      </w:r>
      <w:r w:rsidR="00CF018B">
        <w:t xml:space="preserve">RECOMMENDED </w:t>
      </w:r>
      <w:r w:rsidRPr="00262188">
        <w:t>DECISION</w:t>
      </w:r>
    </w:p>
    <w:p w14:paraId="6AC3E49E" w14:textId="54365DDF" w:rsidR="00AA3A7E" w:rsidRDefault="005622A4" w:rsidP="00A35846">
      <w:pPr>
        <w:pStyle w:val="Summarypara"/>
      </w:pPr>
      <w:r>
        <w:t>Discipline may be imposed upon the respondent physician</w:t>
      </w:r>
      <w:r w:rsidR="00D741C2">
        <w:t xml:space="preserve"> </w:t>
      </w:r>
      <w:r w:rsidR="00A35846">
        <w:t xml:space="preserve">in connection with his deficient care to multiple patients, his malpractice </w:t>
      </w:r>
      <w:r w:rsidR="005A0B51">
        <w:t xml:space="preserve">with respect to </w:t>
      </w:r>
      <w:r w:rsidR="00A35846">
        <w:t>one</w:t>
      </w:r>
      <w:r w:rsidR="005A0B51">
        <w:t xml:space="preserve"> patient</w:t>
      </w:r>
      <w:r w:rsidR="00A35846">
        <w:t xml:space="preserve">, and his failure to maintain </w:t>
      </w:r>
      <w:r w:rsidR="004B5D92">
        <w:t xml:space="preserve">adequate </w:t>
      </w:r>
      <w:r w:rsidR="00A35846">
        <w:t>medical records</w:t>
      </w:r>
      <w:r w:rsidR="004B5D92" w:rsidRPr="004B5D92">
        <w:t xml:space="preserve"> </w:t>
      </w:r>
      <w:r w:rsidR="005A0B51">
        <w:t xml:space="preserve">with respect to </w:t>
      </w:r>
      <w:r w:rsidR="004B5D92">
        <w:t xml:space="preserve">another </w:t>
      </w:r>
      <w:r w:rsidR="005A0B51">
        <w:t>patient’s surgery</w:t>
      </w:r>
      <w:r w:rsidR="00A35846">
        <w:t>.</w:t>
      </w:r>
    </w:p>
    <w:p w14:paraId="782662E1" w14:textId="3AF457B0" w:rsidR="00E22152" w:rsidRDefault="00CF018B" w:rsidP="00262188">
      <w:pPr>
        <w:pStyle w:val="Heading1"/>
      </w:pPr>
      <w:r>
        <w:t xml:space="preserve">RECOMMENDED </w:t>
      </w:r>
      <w:r w:rsidR="00E22152">
        <w:t>DECISION</w:t>
      </w:r>
    </w:p>
    <w:p w14:paraId="2D9BF6F5" w14:textId="5E5D3F6A" w:rsidR="00E24F59" w:rsidRDefault="00E24F59" w:rsidP="00E24F59">
      <w:pPr>
        <w:pStyle w:val="Heading1"/>
      </w:pPr>
      <w:r>
        <w:t>Procedural Posture</w:t>
      </w:r>
    </w:p>
    <w:p w14:paraId="6DC69987" w14:textId="187FD05B" w:rsidR="00B5480E" w:rsidRDefault="00E24F59" w:rsidP="00E22152">
      <w:r>
        <w:t xml:space="preserve">The Board of Registration in Medicine commenced disciplinary proceedings against </w:t>
      </w:r>
      <w:r w:rsidR="00D741C2">
        <w:t xml:space="preserve">respondent </w:t>
      </w:r>
      <w:proofErr w:type="spellStart"/>
      <w:r w:rsidR="00D741C2" w:rsidRPr="00D741C2">
        <w:t>Keshaudas</w:t>
      </w:r>
      <w:proofErr w:type="spellEnd"/>
      <w:r w:rsidR="00D741C2" w:rsidRPr="00D741C2">
        <w:t xml:space="preserve"> </w:t>
      </w:r>
      <w:proofErr w:type="spellStart"/>
      <w:r w:rsidR="00D741C2" w:rsidRPr="00D741C2">
        <w:t>Pahuja</w:t>
      </w:r>
      <w:proofErr w:type="spellEnd"/>
      <w:r>
        <w:t>, M.D.</w:t>
      </w:r>
      <w:r w:rsidR="00D741C2">
        <w:t xml:space="preserve">, seeking both a summary suspension and non-summary discipline.  </w:t>
      </w:r>
      <w:r w:rsidR="00B5480E" w:rsidRPr="00B5480E">
        <w:t>The board’s allegations ar</w:t>
      </w:r>
      <w:r w:rsidR="004B5D92">
        <w:t>o</w:t>
      </w:r>
      <w:r w:rsidR="00B5480E" w:rsidRPr="00B5480E">
        <w:t>se from surgeries that Dr. Pahuja performed on six individuals, identified as Patients A-F.</w:t>
      </w:r>
    </w:p>
    <w:p w14:paraId="6450BAC8" w14:textId="36A42C41" w:rsidR="00E24F59" w:rsidRDefault="00B5480E" w:rsidP="00E22152">
      <w:r>
        <w:lastRenderedPageBreak/>
        <w:t xml:space="preserve">In September 2021, </w:t>
      </w:r>
      <w:r w:rsidR="00D741C2">
        <w:t>Chief Administrative Magistrate McGrath issued a recommended decision</w:t>
      </w:r>
      <w:r>
        <w:t xml:space="preserve"> (</w:t>
      </w:r>
      <w:r w:rsidRPr="00B5480E">
        <w:rPr>
          <w:i/>
          <w:iCs/>
        </w:rPr>
        <w:t>Pahuja I</w:t>
      </w:r>
      <w:r>
        <w:t>)</w:t>
      </w:r>
      <w:r w:rsidR="00D741C2">
        <w:t xml:space="preserve">, making 51 numbered findings of fact and authorizing a summary suspension.  </w:t>
      </w:r>
      <w:r w:rsidR="004B5D92">
        <w:t xml:space="preserve">The board later </w:t>
      </w:r>
      <w:r w:rsidR="00D741C2">
        <w:t>adopted the recommended decision</w:t>
      </w:r>
      <w:r>
        <w:t xml:space="preserve"> (</w:t>
      </w:r>
      <w:r w:rsidRPr="00B5480E">
        <w:rPr>
          <w:i/>
          <w:iCs/>
        </w:rPr>
        <w:t>Pahuja II</w:t>
      </w:r>
      <w:r>
        <w:t>)</w:t>
      </w:r>
      <w:r w:rsidR="00D741C2">
        <w:t>.</w:t>
      </w:r>
    </w:p>
    <w:p w14:paraId="242E86E4" w14:textId="06BE706A" w:rsidR="00E24F59" w:rsidRDefault="00B5480E" w:rsidP="004B5D92">
      <w:r>
        <w:t xml:space="preserve">Citing </w:t>
      </w:r>
      <w:r w:rsidR="00D741C2">
        <w:t xml:space="preserve">Chief Magistrate McGrath’s findings, complaint counsel moved for partial summary decision.  An order </w:t>
      </w:r>
      <w:r>
        <w:t xml:space="preserve">dated </w:t>
      </w:r>
      <w:r w:rsidR="00D741C2">
        <w:t xml:space="preserve">December </w:t>
      </w:r>
      <w:r>
        <w:t xml:space="preserve">21, </w:t>
      </w:r>
      <w:r w:rsidR="00D741C2">
        <w:t xml:space="preserve">2022 </w:t>
      </w:r>
      <w:r>
        <w:t>(</w:t>
      </w:r>
      <w:r w:rsidRPr="00B5480E">
        <w:rPr>
          <w:i/>
          <w:iCs/>
        </w:rPr>
        <w:t>Pahuja III</w:t>
      </w:r>
      <w:r>
        <w:t xml:space="preserve">) </w:t>
      </w:r>
      <w:r w:rsidR="00D741C2">
        <w:t xml:space="preserve">allowed the motion in part and denied it in part, </w:t>
      </w:r>
      <w:r w:rsidR="00781E6E">
        <w:t>entering</w:t>
      </w:r>
      <w:r w:rsidR="00D741C2">
        <w:t xml:space="preserve"> summary </w:t>
      </w:r>
      <w:r w:rsidR="00781E6E">
        <w:t xml:space="preserve">decision for the board in </w:t>
      </w:r>
      <w:r w:rsidR="005B19EE">
        <w:t xml:space="preserve">connection with specific bases for discipline recapped </w:t>
      </w:r>
      <w:r w:rsidR="005B19EE" w:rsidRPr="005B19EE">
        <w:rPr>
          <w:i/>
          <w:iCs/>
        </w:rPr>
        <w:t>infra</w:t>
      </w:r>
      <w:r w:rsidR="005B19EE">
        <w:t>.</w:t>
      </w:r>
      <w:r w:rsidR="00D741C2">
        <w:t xml:space="preserve">  Thereafter, complaint counsel </w:t>
      </w:r>
      <w:r w:rsidR="004B5D92">
        <w:t xml:space="preserve">withdrew the board’s outstanding allegations </w:t>
      </w:r>
      <w:r>
        <w:t xml:space="preserve">and </w:t>
      </w:r>
      <w:r w:rsidR="004B5D92">
        <w:t xml:space="preserve">moved for </w:t>
      </w:r>
      <w:r w:rsidR="00512397">
        <w:t>a recommended decision.</w:t>
      </w:r>
    </w:p>
    <w:p w14:paraId="30DF699E" w14:textId="77777777" w:rsidR="00E22152" w:rsidRDefault="00013F96" w:rsidP="00262188">
      <w:pPr>
        <w:pStyle w:val="Heading1"/>
      </w:pPr>
      <w:r w:rsidRPr="00013F96">
        <w:t>Findings of Fact</w:t>
      </w:r>
    </w:p>
    <w:p w14:paraId="05E3A08D" w14:textId="78F56129" w:rsidR="00013F96" w:rsidRDefault="00D741C2" w:rsidP="00E22152">
      <w:r>
        <w:t xml:space="preserve">I </w:t>
      </w:r>
      <w:r w:rsidR="005B19EE">
        <w:t xml:space="preserve">adopt and </w:t>
      </w:r>
      <w:r>
        <w:t xml:space="preserve">incorporate by reference </w:t>
      </w:r>
      <w:r w:rsidR="005B19EE">
        <w:t xml:space="preserve">the findings of fact </w:t>
      </w:r>
      <w:r w:rsidR="00B5480E">
        <w:t xml:space="preserve">stated in </w:t>
      </w:r>
      <w:r w:rsidR="00B5480E" w:rsidRPr="00B5480E">
        <w:rPr>
          <w:i/>
          <w:iCs/>
        </w:rPr>
        <w:t>Pahuja I</w:t>
      </w:r>
      <w:r w:rsidR="00B5480E">
        <w:t xml:space="preserve">, as adopted by the board in </w:t>
      </w:r>
      <w:r w:rsidR="00B5480E" w:rsidRPr="00B5480E">
        <w:rPr>
          <w:i/>
          <w:iCs/>
        </w:rPr>
        <w:t>Pahuja II</w:t>
      </w:r>
      <w:r w:rsidR="00B5480E">
        <w:t xml:space="preserve"> and discussed further in </w:t>
      </w:r>
      <w:r w:rsidR="00B5480E" w:rsidRPr="00B5480E">
        <w:rPr>
          <w:i/>
          <w:iCs/>
        </w:rPr>
        <w:t>Pahuja III</w:t>
      </w:r>
      <w:r w:rsidR="00B5480E">
        <w:t>.</w:t>
      </w:r>
    </w:p>
    <w:p w14:paraId="5412A242" w14:textId="293E376E" w:rsidR="00B5480E" w:rsidRDefault="003631D4" w:rsidP="00B5480E">
      <w:pPr>
        <w:pStyle w:val="Heading1"/>
      </w:pPr>
      <w:r>
        <w:t xml:space="preserve">Rulings </w:t>
      </w:r>
      <w:r w:rsidR="00B5480E">
        <w:t>of Law</w:t>
      </w:r>
    </w:p>
    <w:p w14:paraId="66011F12" w14:textId="01A625F2" w:rsidR="00B5480E" w:rsidRDefault="00B5480E" w:rsidP="00B5480E">
      <w:r>
        <w:t xml:space="preserve">I </w:t>
      </w:r>
      <w:r w:rsidR="003631D4">
        <w:t>reaffirm</w:t>
      </w:r>
      <w:r>
        <w:t xml:space="preserve"> and incorporate by reference the analysis described</w:t>
      </w:r>
      <w:r w:rsidR="005A0B51">
        <w:t xml:space="preserve"> in</w:t>
      </w:r>
      <w:r>
        <w:t xml:space="preserve"> </w:t>
      </w:r>
      <w:r w:rsidR="006F48B8" w:rsidRPr="006F48B8">
        <w:rPr>
          <w:i/>
          <w:iCs/>
        </w:rPr>
        <w:t>Pahuja III</w:t>
      </w:r>
      <w:r>
        <w:t xml:space="preserve">.  </w:t>
      </w:r>
      <w:proofErr w:type="gramStart"/>
      <w:r>
        <w:t>On the basis of</w:t>
      </w:r>
      <w:proofErr w:type="gramEnd"/>
      <w:r>
        <w:t xml:space="preserve"> that analysis, I </w:t>
      </w:r>
      <w:r w:rsidR="003631D4">
        <w:t xml:space="preserve">rule </w:t>
      </w:r>
      <w:r w:rsidR="00BD2FC7">
        <w:t>as follows</w:t>
      </w:r>
      <w:r>
        <w:t>:</w:t>
      </w:r>
    </w:p>
    <w:p w14:paraId="42B2B3B6" w14:textId="1466DCCF" w:rsidR="006F48B8" w:rsidRDefault="00B5480E" w:rsidP="00B5480E">
      <w:pPr>
        <w:pStyle w:val="ListedFindings"/>
      </w:pPr>
      <w:r w:rsidRPr="00B5480E">
        <w:t>Dr. Pahuja’s treatment of Patients A, E, and F places into question his competence to practice medicine</w:t>
      </w:r>
      <w:r w:rsidR="00BD2FC7">
        <w:t xml:space="preserve">.  </w:t>
      </w:r>
      <w:r w:rsidR="00BD2FC7" w:rsidRPr="00BD2FC7">
        <w:rPr>
          <w:i/>
          <w:iCs/>
        </w:rPr>
        <w:t>See</w:t>
      </w:r>
      <w:r w:rsidR="00BD2FC7">
        <w:t xml:space="preserve"> </w:t>
      </w:r>
      <w:r w:rsidR="006F48B8" w:rsidRPr="006F48B8">
        <w:t>G.L. c. 112, § 5, eighth para., (c)</w:t>
      </w:r>
      <w:r w:rsidR="006F48B8">
        <w:t xml:space="preserve">; </w:t>
      </w:r>
      <w:r w:rsidR="006F48B8" w:rsidRPr="006F48B8">
        <w:t>243 C.M.R. §</w:t>
      </w:r>
      <w:r w:rsidR="006F48B8">
        <w:t> </w:t>
      </w:r>
      <w:r w:rsidR="006F48B8" w:rsidRPr="006F48B8">
        <w:t>1.03(5)(a)(3).</w:t>
      </w:r>
    </w:p>
    <w:p w14:paraId="2ACB59FE" w14:textId="0E5490C3" w:rsidR="006F48B8" w:rsidRDefault="00B5480E" w:rsidP="00B5480E">
      <w:pPr>
        <w:pStyle w:val="ListedFindings"/>
      </w:pPr>
      <w:r w:rsidRPr="00B5480E">
        <w:t>Dr. Pahuja’s treatment of Patient F was malpractice</w:t>
      </w:r>
      <w:r w:rsidR="00BD2FC7">
        <w:t xml:space="preserve">.  </w:t>
      </w:r>
      <w:r w:rsidR="00BD2FC7" w:rsidRPr="00BD2FC7">
        <w:rPr>
          <w:i/>
          <w:iCs/>
        </w:rPr>
        <w:t>See</w:t>
      </w:r>
      <w:r w:rsidR="00BD2FC7">
        <w:t xml:space="preserve"> </w:t>
      </w:r>
      <w:r w:rsidR="00BD2FC7" w:rsidRPr="00BD2FC7">
        <w:t>243 C.M.R. §</w:t>
      </w:r>
      <w:r w:rsidR="00BD2FC7">
        <w:t> </w:t>
      </w:r>
      <w:r w:rsidR="00BD2FC7" w:rsidRPr="00BD2FC7">
        <w:t>1.03(5)(a)(17)</w:t>
      </w:r>
      <w:r w:rsidR="00BD2FC7">
        <w:t>.</w:t>
      </w:r>
    </w:p>
    <w:p w14:paraId="0004E794" w14:textId="37E931F9" w:rsidR="00BD2FC7" w:rsidRDefault="00B5480E" w:rsidP="00FF446D">
      <w:pPr>
        <w:pStyle w:val="ListedFindings"/>
      </w:pPr>
      <w:r w:rsidRPr="00B5480E">
        <w:t xml:space="preserve">Dr. Pahuja violated a regulation </w:t>
      </w:r>
      <w:r w:rsidR="003631D4">
        <w:t xml:space="preserve">of the board </w:t>
      </w:r>
      <w:r w:rsidRPr="00B5480E">
        <w:t>by preparing an illegible, inadequate operative note of Patient D’s surgery.</w:t>
      </w:r>
      <w:r w:rsidR="00BD2FC7">
        <w:t xml:space="preserve">  </w:t>
      </w:r>
      <w:r w:rsidR="00BD2FC7" w:rsidRPr="003631D4">
        <w:rPr>
          <w:i/>
          <w:iCs/>
        </w:rPr>
        <w:t>See</w:t>
      </w:r>
      <w:r w:rsidR="00BD2FC7">
        <w:t xml:space="preserve"> 243 C.M.R. §§ 1.03(5)(a)(11), 2.07(13)(a).</w:t>
      </w:r>
    </w:p>
    <w:p w14:paraId="520C521B" w14:textId="18DF53A7" w:rsidR="00057687" w:rsidRDefault="00E22152" w:rsidP="00262188">
      <w:pPr>
        <w:pStyle w:val="Heading1"/>
      </w:pPr>
      <w:r>
        <w:t>Conclusion</w:t>
      </w:r>
    </w:p>
    <w:p w14:paraId="3DB6C17B" w14:textId="1A2B9ED3" w:rsidR="00E81DF8" w:rsidRDefault="003631D4" w:rsidP="00E81DF8">
      <w:r>
        <w:t>T</w:t>
      </w:r>
      <w:r w:rsidR="005622A4" w:rsidRPr="005622A4">
        <w:t>he board may impose disciplinary measures on</w:t>
      </w:r>
      <w:r w:rsidR="005622A4">
        <w:t xml:space="preserve"> Dr. </w:t>
      </w:r>
      <w:r>
        <w:t xml:space="preserve">Pahuja in connection with the bases of discipline described </w:t>
      </w:r>
      <w:r w:rsidRPr="003631D4">
        <w:rPr>
          <w:i/>
          <w:iCs/>
        </w:rPr>
        <w:t>supra</w:t>
      </w:r>
      <w:r w:rsidR="005622A4">
        <w:t>.</w:t>
      </w:r>
      <w:r w:rsidR="004B5D92">
        <w:t xml:space="preserve"> </w:t>
      </w:r>
    </w:p>
    <w:p w14:paraId="27296633" w14:textId="77777777" w:rsidR="00FE3340" w:rsidRDefault="00E81DF8" w:rsidP="00D40599">
      <w:pPr>
        <w:pStyle w:val="PlainText1"/>
        <w:keepNext/>
        <w:ind w:left="4320"/>
      </w:pPr>
      <w:r>
        <w:lastRenderedPageBreak/>
        <w:br/>
      </w:r>
      <w:r w:rsidR="00FE3340">
        <w:t>Division of Administrative Law Appeals</w:t>
      </w:r>
    </w:p>
    <w:p w14:paraId="7A42762F" w14:textId="77777777" w:rsidR="00FE3340" w:rsidRDefault="00FE3340" w:rsidP="00D40599">
      <w:pPr>
        <w:pStyle w:val="PlainText1"/>
        <w:keepNext/>
        <w:ind w:left="4320"/>
      </w:pPr>
    </w:p>
    <w:p w14:paraId="62BCEA19" w14:textId="0D29E452" w:rsidR="001944A3" w:rsidRPr="003038BE" w:rsidRDefault="007F62BB" w:rsidP="00D40599">
      <w:pPr>
        <w:pStyle w:val="PlainText1"/>
        <w:keepNext/>
        <w:ind w:left="4320"/>
        <w:rPr>
          <w:u w:val="single"/>
        </w:rPr>
      </w:pPr>
      <w:r>
        <w:rPr>
          <w:u w:val="single"/>
        </w:rPr>
        <w:t>/s/ Yakov Malkiel</w:t>
      </w:r>
    </w:p>
    <w:p w14:paraId="046DB932" w14:textId="77777777" w:rsidR="00FE3340" w:rsidRDefault="00FE3340" w:rsidP="00D40599">
      <w:pPr>
        <w:pStyle w:val="PlainText1"/>
        <w:keepNext/>
        <w:ind w:left="4320"/>
      </w:pPr>
      <w:r>
        <w:t>Yakov Malkiel</w:t>
      </w:r>
    </w:p>
    <w:p w14:paraId="00666D2A" w14:textId="77777777" w:rsidR="00FE3340" w:rsidRPr="00E22152" w:rsidRDefault="00FE3340" w:rsidP="0072561C">
      <w:pPr>
        <w:pStyle w:val="PlainText1"/>
        <w:keepNext/>
        <w:ind w:left="4320"/>
      </w:pPr>
      <w:r>
        <w:t>Administrative Magistrate</w:t>
      </w:r>
    </w:p>
    <w:sectPr w:rsidR="00FE3340" w:rsidRPr="00E22152" w:rsidSect="00A64A4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2A41" w14:textId="77777777" w:rsidR="00AE4918" w:rsidRDefault="00AE4918" w:rsidP="00E22152">
      <w:r>
        <w:separator/>
      </w:r>
    </w:p>
  </w:endnote>
  <w:endnote w:type="continuationSeparator" w:id="0">
    <w:p w14:paraId="226B44E1" w14:textId="77777777" w:rsidR="00AE4918" w:rsidRDefault="00AE4918" w:rsidP="00E2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3A40" w14:textId="77777777" w:rsidR="00A64A4D" w:rsidRPr="00A64A4D" w:rsidRDefault="00116A4D" w:rsidP="008C1F51">
    <w:pPr>
      <w:pStyle w:val="PlainText1"/>
      <w:jc w:val="center"/>
    </w:pPr>
    <w:sdt>
      <w:sdtPr>
        <w:id w:val="-868615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449D" w:rsidRPr="00A64A4D">
          <w:fldChar w:fldCharType="begin"/>
        </w:r>
        <w:r w:rsidR="00F3449D" w:rsidRPr="00A64A4D">
          <w:instrText xml:space="preserve"> PAGE   \* MERGEFORMAT </w:instrText>
        </w:r>
        <w:r w:rsidR="00F3449D" w:rsidRPr="00A64A4D">
          <w:fldChar w:fldCharType="separate"/>
        </w:r>
        <w:r w:rsidR="00F3449D">
          <w:t>2</w:t>
        </w:r>
        <w:r w:rsidR="00F3449D" w:rsidRPr="00A64A4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BF1A" w14:textId="77777777" w:rsidR="00AE4918" w:rsidRDefault="00AE4918" w:rsidP="00E22152">
      <w:r>
        <w:separator/>
      </w:r>
    </w:p>
  </w:footnote>
  <w:footnote w:type="continuationSeparator" w:id="0">
    <w:p w14:paraId="7B7B8C35" w14:textId="77777777" w:rsidR="00AE4918" w:rsidRDefault="00AE4918" w:rsidP="00E2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F3449D" w14:paraId="665EC041" w14:textId="77777777" w:rsidTr="00F3449D">
      <w:tc>
        <w:tcPr>
          <w:tcW w:w="4675" w:type="dxa"/>
        </w:tcPr>
        <w:p w14:paraId="0740B40E" w14:textId="405273DA" w:rsidR="00F3449D" w:rsidRPr="0092449B" w:rsidRDefault="00512397" w:rsidP="00F3449D">
          <w:pPr>
            <w:pStyle w:val="PlainText1"/>
            <w:rPr>
              <w:i/>
              <w:iCs/>
            </w:rPr>
          </w:pPr>
          <w:r w:rsidRPr="00512397">
            <w:rPr>
              <w:i/>
              <w:iCs/>
            </w:rPr>
            <w:t xml:space="preserve">BORIM v. </w:t>
          </w:r>
          <w:r w:rsidR="004B5D92">
            <w:rPr>
              <w:i/>
              <w:iCs/>
            </w:rPr>
            <w:t>Pahuja</w:t>
          </w:r>
        </w:p>
      </w:tc>
      <w:tc>
        <w:tcPr>
          <w:tcW w:w="4675" w:type="dxa"/>
        </w:tcPr>
        <w:p w14:paraId="58483D26" w14:textId="2B7A988A" w:rsidR="00F3449D" w:rsidRPr="0017326F" w:rsidRDefault="00512397" w:rsidP="00F3449D">
          <w:pPr>
            <w:pStyle w:val="PlainText1"/>
            <w:jc w:val="right"/>
            <w:rPr>
              <w:i/>
              <w:iCs/>
            </w:rPr>
          </w:pPr>
          <w:r>
            <w:rPr>
              <w:i/>
              <w:iCs/>
            </w:rPr>
            <w:t>RM-2</w:t>
          </w:r>
          <w:r w:rsidR="004B5D92">
            <w:rPr>
              <w:i/>
              <w:iCs/>
            </w:rPr>
            <w:t>0</w:t>
          </w:r>
          <w:r>
            <w:rPr>
              <w:i/>
              <w:iCs/>
            </w:rPr>
            <w:t>-</w:t>
          </w:r>
          <w:r w:rsidR="004B5D92">
            <w:rPr>
              <w:i/>
              <w:iCs/>
            </w:rPr>
            <w:t>258</w:t>
          </w:r>
        </w:p>
      </w:tc>
    </w:tr>
  </w:tbl>
  <w:p w14:paraId="5C027B91" w14:textId="77777777" w:rsidR="001D5BB3" w:rsidRPr="00F3449D" w:rsidRDefault="001D5BB3" w:rsidP="00F3449D">
    <w:pPr>
      <w:pStyle w:val="PlainText1"/>
      <w:jc w:val="center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762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D04F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69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505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C8E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A9D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E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E5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061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8B4658"/>
    <w:multiLevelType w:val="hybridMultilevel"/>
    <w:tmpl w:val="ADA64248"/>
    <w:lvl w:ilvl="0" w:tplc="2EE45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9107E"/>
    <w:multiLevelType w:val="hybridMultilevel"/>
    <w:tmpl w:val="B48CFEA6"/>
    <w:lvl w:ilvl="0" w:tplc="E18A1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5A813C">
      <w:start w:val="1"/>
      <w:numFmt w:val="decimal"/>
      <w:pStyle w:val="ListedFinding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9432">
    <w:abstractNumId w:val="9"/>
  </w:num>
  <w:num w:numId="2" w16cid:durableId="1615288326">
    <w:abstractNumId w:val="7"/>
  </w:num>
  <w:num w:numId="3" w16cid:durableId="1760371721">
    <w:abstractNumId w:val="6"/>
  </w:num>
  <w:num w:numId="4" w16cid:durableId="1866017845">
    <w:abstractNumId w:val="5"/>
  </w:num>
  <w:num w:numId="5" w16cid:durableId="37440370">
    <w:abstractNumId w:val="4"/>
  </w:num>
  <w:num w:numId="6" w16cid:durableId="527523564">
    <w:abstractNumId w:val="8"/>
  </w:num>
  <w:num w:numId="7" w16cid:durableId="2030064797">
    <w:abstractNumId w:val="3"/>
  </w:num>
  <w:num w:numId="8" w16cid:durableId="1341129149">
    <w:abstractNumId w:val="2"/>
  </w:num>
  <w:num w:numId="9" w16cid:durableId="452990490">
    <w:abstractNumId w:val="1"/>
  </w:num>
  <w:num w:numId="10" w16cid:durableId="1656758557">
    <w:abstractNumId w:val="0"/>
  </w:num>
  <w:num w:numId="11" w16cid:durableId="1010134846">
    <w:abstractNumId w:val="10"/>
  </w:num>
  <w:num w:numId="12" w16cid:durableId="1108622783">
    <w:abstractNumId w:val="11"/>
  </w:num>
  <w:num w:numId="13" w16cid:durableId="228735532">
    <w:abstractNumId w:val="11"/>
  </w:num>
  <w:num w:numId="14" w16cid:durableId="2054042512">
    <w:abstractNumId w:val="11"/>
  </w:num>
  <w:num w:numId="15" w16cid:durableId="1976447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 w:insDel="0"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D"/>
    <w:rsid w:val="0000424D"/>
    <w:rsid w:val="00010B8E"/>
    <w:rsid w:val="00013F96"/>
    <w:rsid w:val="00025360"/>
    <w:rsid w:val="000327FB"/>
    <w:rsid w:val="0004402C"/>
    <w:rsid w:val="00057687"/>
    <w:rsid w:val="0009494D"/>
    <w:rsid w:val="000A00EF"/>
    <w:rsid w:val="000B4192"/>
    <w:rsid w:val="000C09ED"/>
    <w:rsid w:val="000D4685"/>
    <w:rsid w:val="00110893"/>
    <w:rsid w:val="00116A4D"/>
    <w:rsid w:val="00161EA6"/>
    <w:rsid w:val="00162042"/>
    <w:rsid w:val="0017326F"/>
    <w:rsid w:val="00186295"/>
    <w:rsid w:val="00187741"/>
    <w:rsid w:val="00192DA3"/>
    <w:rsid w:val="001944A3"/>
    <w:rsid w:val="001D5BB3"/>
    <w:rsid w:val="002051CE"/>
    <w:rsid w:val="002158AD"/>
    <w:rsid w:val="002168BF"/>
    <w:rsid w:val="002315DB"/>
    <w:rsid w:val="00235238"/>
    <w:rsid w:val="00262188"/>
    <w:rsid w:val="0026591B"/>
    <w:rsid w:val="002800F8"/>
    <w:rsid w:val="002A331A"/>
    <w:rsid w:val="002A6D79"/>
    <w:rsid w:val="002A722E"/>
    <w:rsid w:val="002B2EC0"/>
    <w:rsid w:val="002F40B1"/>
    <w:rsid w:val="002F4B7F"/>
    <w:rsid w:val="003038BE"/>
    <w:rsid w:val="00315355"/>
    <w:rsid w:val="00321144"/>
    <w:rsid w:val="00344D64"/>
    <w:rsid w:val="003631D4"/>
    <w:rsid w:val="00375D34"/>
    <w:rsid w:val="00376C2C"/>
    <w:rsid w:val="003D3D55"/>
    <w:rsid w:val="003E0C54"/>
    <w:rsid w:val="0040028E"/>
    <w:rsid w:val="004166A7"/>
    <w:rsid w:val="00472681"/>
    <w:rsid w:val="00473EF9"/>
    <w:rsid w:val="00483D50"/>
    <w:rsid w:val="004842BB"/>
    <w:rsid w:val="00486BF4"/>
    <w:rsid w:val="00487419"/>
    <w:rsid w:val="00491599"/>
    <w:rsid w:val="004B5D92"/>
    <w:rsid w:val="004D1025"/>
    <w:rsid w:val="004F74D7"/>
    <w:rsid w:val="005101B9"/>
    <w:rsid w:val="00512397"/>
    <w:rsid w:val="0053447C"/>
    <w:rsid w:val="005622A4"/>
    <w:rsid w:val="00581F17"/>
    <w:rsid w:val="005A0B51"/>
    <w:rsid w:val="005A339D"/>
    <w:rsid w:val="005B19EE"/>
    <w:rsid w:val="005F1810"/>
    <w:rsid w:val="0060251B"/>
    <w:rsid w:val="006125FD"/>
    <w:rsid w:val="00626D5B"/>
    <w:rsid w:val="0064369B"/>
    <w:rsid w:val="006B50EF"/>
    <w:rsid w:val="006B70BE"/>
    <w:rsid w:val="006E0443"/>
    <w:rsid w:val="006F48B8"/>
    <w:rsid w:val="0072561C"/>
    <w:rsid w:val="00735B3A"/>
    <w:rsid w:val="00741488"/>
    <w:rsid w:val="00771571"/>
    <w:rsid w:val="00771D39"/>
    <w:rsid w:val="00781E6E"/>
    <w:rsid w:val="00794625"/>
    <w:rsid w:val="007B738D"/>
    <w:rsid w:val="007F62BB"/>
    <w:rsid w:val="008210F1"/>
    <w:rsid w:val="00845449"/>
    <w:rsid w:val="008927A7"/>
    <w:rsid w:val="0089515B"/>
    <w:rsid w:val="008B2276"/>
    <w:rsid w:val="008C1F51"/>
    <w:rsid w:val="008C7D6E"/>
    <w:rsid w:val="008E52E9"/>
    <w:rsid w:val="00904340"/>
    <w:rsid w:val="0092449B"/>
    <w:rsid w:val="0093696D"/>
    <w:rsid w:val="00936A06"/>
    <w:rsid w:val="00944397"/>
    <w:rsid w:val="00997D2A"/>
    <w:rsid w:val="009B2874"/>
    <w:rsid w:val="009B46E9"/>
    <w:rsid w:val="009C464C"/>
    <w:rsid w:val="009E16F3"/>
    <w:rsid w:val="009E3F81"/>
    <w:rsid w:val="00A35846"/>
    <w:rsid w:val="00A40C90"/>
    <w:rsid w:val="00A64A4D"/>
    <w:rsid w:val="00A81C4E"/>
    <w:rsid w:val="00AA3A7E"/>
    <w:rsid w:val="00AC7F03"/>
    <w:rsid w:val="00AE4918"/>
    <w:rsid w:val="00AF2A36"/>
    <w:rsid w:val="00B0032D"/>
    <w:rsid w:val="00B233F2"/>
    <w:rsid w:val="00B23FF9"/>
    <w:rsid w:val="00B2438B"/>
    <w:rsid w:val="00B4000A"/>
    <w:rsid w:val="00B40157"/>
    <w:rsid w:val="00B43685"/>
    <w:rsid w:val="00B45DC4"/>
    <w:rsid w:val="00B52ADA"/>
    <w:rsid w:val="00B5480E"/>
    <w:rsid w:val="00B8155C"/>
    <w:rsid w:val="00B84AE6"/>
    <w:rsid w:val="00BA2484"/>
    <w:rsid w:val="00BA2CB2"/>
    <w:rsid w:val="00BB42C0"/>
    <w:rsid w:val="00BD2FC7"/>
    <w:rsid w:val="00C13963"/>
    <w:rsid w:val="00C3283C"/>
    <w:rsid w:val="00C32CC0"/>
    <w:rsid w:val="00C33C50"/>
    <w:rsid w:val="00C46663"/>
    <w:rsid w:val="00C6577C"/>
    <w:rsid w:val="00C71BAF"/>
    <w:rsid w:val="00C817BB"/>
    <w:rsid w:val="00C9091B"/>
    <w:rsid w:val="00CA166A"/>
    <w:rsid w:val="00CC3EA6"/>
    <w:rsid w:val="00CD23AE"/>
    <w:rsid w:val="00CF018B"/>
    <w:rsid w:val="00D26F49"/>
    <w:rsid w:val="00D27148"/>
    <w:rsid w:val="00D40599"/>
    <w:rsid w:val="00D741C2"/>
    <w:rsid w:val="00D84D6B"/>
    <w:rsid w:val="00DB5E85"/>
    <w:rsid w:val="00DC292E"/>
    <w:rsid w:val="00DF7F0A"/>
    <w:rsid w:val="00E05219"/>
    <w:rsid w:val="00E20215"/>
    <w:rsid w:val="00E22152"/>
    <w:rsid w:val="00E24F59"/>
    <w:rsid w:val="00E25B4C"/>
    <w:rsid w:val="00E41DCF"/>
    <w:rsid w:val="00E622DF"/>
    <w:rsid w:val="00E75678"/>
    <w:rsid w:val="00E81DF8"/>
    <w:rsid w:val="00E83E90"/>
    <w:rsid w:val="00E90F75"/>
    <w:rsid w:val="00E97BB4"/>
    <w:rsid w:val="00EA1D2D"/>
    <w:rsid w:val="00EA5D3D"/>
    <w:rsid w:val="00EC3179"/>
    <w:rsid w:val="00EE1E1E"/>
    <w:rsid w:val="00F30A42"/>
    <w:rsid w:val="00F3449D"/>
    <w:rsid w:val="00F40B47"/>
    <w:rsid w:val="00F44B6E"/>
    <w:rsid w:val="00F73A8D"/>
    <w:rsid w:val="00FC1DB4"/>
    <w:rsid w:val="00FD67E5"/>
    <w:rsid w:val="00FD7C0F"/>
    <w:rsid w:val="00FE3340"/>
    <w:rsid w:val="00FE45B4"/>
    <w:rsid w:val="00FE5B3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70CF"/>
  <w15:chartTrackingRefBased/>
  <w15:docId w15:val="{0401B210-8FB0-4488-BD93-7016DBB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7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681"/>
    <w:pPr>
      <w:keepNext/>
      <w:spacing w:after="240" w:line="240" w:lineRule="auto"/>
      <w:ind w:firstLine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Post-quote"/>
    <w:link w:val="QuoteChar"/>
    <w:uiPriority w:val="29"/>
    <w:qFormat/>
    <w:rsid w:val="00AF2A36"/>
    <w:pPr>
      <w:spacing w:after="240" w:line="240" w:lineRule="auto"/>
      <w:ind w:left="1440" w:right="720" w:firstLine="0"/>
    </w:pPr>
  </w:style>
  <w:style w:type="character" w:customStyle="1" w:styleId="QuoteChar">
    <w:name w:val="Quote Char"/>
    <w:basedOn w:val="DefaultParagraphFont"/>
    <w:link w:val="Quote"/>
    <w:uiPriority w:val="29"/>
    <w:rsid w:val="00AF2A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1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5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1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5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2681"/>
    <w:rPr>
      <w:rFonts w:ascii="Times New Roman" w:hAnsi="Times New Roman" w:cs="Times New Roman"/>
      <w:b/>
      <w:bCs/>
      <w:sz w:val="24"/>
      <w:szCs w:val="24"/>
    </w:rPr>
  </w:style>
  <w:style w:type="paragraph" w:customStyle="1" w:styleId="PlainText1">
    <w:name w:val="Plain Text1"/>
    <w:basedOn w:val="Normal"/>
    <w:qFormat/>
    <w:rsid w:val="00B40157"/>
    <w:pPr>
      <w:spacing w:line="240" w:lineRule="auto"/>
      <w:ind w:firstLine="0"/>
    </w:pPr>
  </w:style>
  <w:style w:type="paragraph" w:customStyle="1" w:styleId="ListedFindings">
    <w:name w:val="Listed Findings"/>
    <w:basedOn w:val="ListParagraph"/>
    <w:qFormat/>
    <w:rsid w:val="00CD23AE"/>
    <w:pPr>
      <w:numPr>
        <w:ilvl w:val="1"/>
        <w:numId w:val="15"/>
      </w:numPr>
      <w:ind w:left="0" w:firstLine="720"/>
      <w:contextualSpacing w:val="0"/>
    </w:pPr>
  </w:style>
  <w:style w:type="paragraph" w:customStyle="1" w:styleId="Post-quote">
    <w:name w:val="Post-quote"/>
    <w:basedOn w:val="Normal"/>
    <w:next w:val="Normal"/>
    <w:qFormat/>
    <w:rsid w:val="00B40157"/>
    <w:pPr>
      <w:ind w:firstLine="0"/>
    </w:pPr>
  </w:style>
  <w:style w:type="paragraph" w:customStyle="1" w:styleId="Summarypara">
    <w:name w:val="Summary para."/>
    <w:basedOn w:val="Normal"/>
    <w:qFormat/>
    <w:rsid w:val="00B40157"/>
    <w:pPr>
      <w:spacing w:after="2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1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5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681"/>
    <w:pPr>
      <w:spacing w:after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681"/>
    <w:rPr>
      <w:rFonts w:ascii="Times New Roman" w:hAnsi="Times New Roman" w:cs="Times New Roman"/>
      <w:sz w:val="24"/>
      <w:szCs w:val="20"/>
    </w:rPr>
  </w:style>
  <w:style w:type="paragraph" w:customStyle="1" w:styleId="Numberedorderparagraph">
    <w:name w:val="Numbered order paragraph"/>
    <w:basedOn w:val="ListParagraph"/>
    <w:qFormat/>
    <w:rsid w:val="002800F8"/>
    <w:pPr>
      <w:ind w:left="0"/>
      <w:contextualSpacing w:val="0"/>
    </w:pPr>
  </w:style>
  <w:style w:type="character" w:styleId="FootnoteReference">
    <w:name w:val="footnote reference"/>
    <w:basedOn w:val="DefaultParagraphFont"/>
    <w:uiPriority w:val="99"/>
    <w:semiHidden/>
    <w:unhideWhenUsed/>
    <w:rsid w:val="00EE1E1E"/>
    <w:rPr>
      <w:vertAlign w:val="superscript"/>
    </w:rPr>
  </w:style>
  <w:style w:type="paragraph" w:styleId="Revision">
    <w:name w:val="Revision"/>
    <w:hidden/>
    <w:uiPriority w:val="99"/>
    <w:semiHidden/>
    <w:rsid w:val="00B5480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alkiel\Documents\%5e\YM\Templates\Template%20decision%20(fin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22F2-84E9-4D24-BF67-741C7AD8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decision (final)</Template>
  <TotalTime>105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 Malkiel</dc:creator>
  <cp:keywords/>
  <dc:description/>
  <cp:lastModifiedBy>LaPointe, Donald (DPH)</cp:lastModifiedBy>
  <cp:revision>25</cp:revision>
  <cp:lastPrinted>2023-01-17T16:46:00Z</cp:lastPrinted>
  <dcterms:created xsi:type="dcterms:W3CDTF">2022-09-12T12:08:00Z</dcterms:created>
  <dcterms:modified xsi:type="dcterms:W3CDTF">2025-06-09T15:14:00Z</dcterms:modified>
</cp:coreProperties>
</file>