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0AB05" w14:textId="77777777" w:rsidR="00C32CC0" w:rsidRDefault="00C32CC0" w:rsidP="00262188">
      <w:pPr>
        <w:pStyle w:val="Heading1"/>
      </w:pPr>
      <w:r>
        <w:t>COMMONWEALTH OF MASSACHUSETTS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5"/>
        <w:gridCol w:w="4675"/>
      </w:tblGrid>
      <w:tr w:rsidR="00C32CC0" w:rsidRPr="004F74D7" w14:paraId="515D157D" w14:textId="77777777" w:rsidTr="00EC3179">
        <w:tc>
          <w:tcPr>
            <w:tcW w:w="4675" w:type="dxa"/>
            <w:tcMar>
              <w:right w:w="115" w:type="dxa"/>
            </w:tcMar>
          </w:tcPr>
          <w:p w14:paraId="5A4DA7B8" w14:textId="77777777" w:rsidR="00C32CC0" w:rsidRPr="002F4B7F" w:rsidRDefault="001D5BB3" w:rsidP="00E22152">
            <w:pPr>
              <w:pStyle w:val="PlainText1"/>
            </w:pPr>
            <w:r w:rsidRPr="002F4B7F">
              <w:t>Middlesex</w:t>
            </w:r>
            <w:r w:rsidR="00C32CC0" w:rsidRPr="002F4B7F">
              <w:t>, ss.</w:t>
            </w:r>
          </w:p>
        </w:tc>
        <w:tc>
          <w:tcPr>
            <w:tcW w:w="4675" w:type="dxa"/>
          </w:tcPr>
          <w:p w14:paraId="702833EE" w14:textId="77777777" w:rsidR="00C32CC0" w:rsidRPr="004F74D7" w:rsidRDefault="00C32CC0" w:rsidP="004F74D7">
            <w:pPr>
              <w:spacing w:line="240" w:lineRule="auto"/>
              <w:ind w:firstLine="0"/>
              <w:rPr>
                <w:b/>
                <w:bCs/>
              </w:rPr>
            </w:pPr>
            <w:r w:rsidRPr="004F74D7">
              <w:rPr>
                <w:b/>
                <w:bCs/>
              </w:rPr>
              <w:t>Division of Administrative Law Appeals</w:t>
            </w:r>
          </w:p>
        </w:tc>
      </w:tr>
      <w:tr w:rsidR="002F4B7F" w:rsidRPr="004F74D7" w14:paraId="391AA1B9" w14:textId="77777777" w:rsidTr="00EC3179">
        <w:tc>
          <w:tcPr>
            <w:tcW w:w="4675" w:type="dxa"/>
            <w:tcMar>
              <w:right w:w="115" w:type="dxa"/>
            </w:tcMar>
          </w:tcPr>
          <w:p w14:paraId="7B0E4921" w14:textId="77777777" w:rsidR="002F4B7F" w:rsidRPr="002F4B7F" w:rsidRDefault="002F4B7F" w:rsidP="00E22152">
            <w:pPr>
              <w:pStyle w:val="PlainText1"/>
            </w:pPr>
          </w:p>
        </w:tc>
        <w:tc>
          <w:tcPr>
            <w:tcW w:w="4675" w:type="dxa"/>
          </w:tcPr>
          <w:p w14:paraId="6E186654" w14:textId="77777777" w:rsidR="002F4B7F" w:rsidRPr="004F74D7" w:rsidRDefault="002F4B7F" w:rsidP="004F74D7">
            <w:pPr>
              <w:spacing w:line="240" w:lineRule="auto"/>
              <w:ind w:firstLine="0"/>
              <w:rPr>
                <w:b/>
                <w:bCs/>
              </w:rPr>
            </w:pPr>
          </w:p>
        </w:tc>
      </w:tr>
      <w:tr w:rsidR="008C1F51" w:rsidRPr="00FE3340" w14:paraId="126414FA" w14:textId="77777777" w:rsidTr="00EC3179">
        <w:tc>
          <w:tcPr>
            <w:tcW w:w="4675" w:type="dxa"/>
            <w:tcMar>
              <w:right w:w="115" w:type="dxa"/>
            </w:tcMar>
          </w:tcPr>
          <w:p w14:paraId="4DBAFDC3" w14:textId="5540E43E" w:rsidR="008C1F51" w:rsidRPr="002F4B7F" w:rsidRDefault="00976EB8" w:rsidP="008C1F51">
            <w:pPr>
              <w:spacing w:line="240" w:lineRule="auto"/>
              <w:ind w:firstLine="0"/>
            </w:pPr>
            <w:r w:rsidRPr="00976EB8">
              <w:rPr>
                <w:b/>
                <w:bCs/>
              </w:rPr>
              <w:t>Board of Registration in Medicine</w:t>
            </w:r>
            <w:r w:rsidR="008C1F51" w:rsidRPr="002F4B7F">
              <w:t>,</w:t>
            </w:r>
          </w:p>
        </w:tc>
        <w:tc>
          <w:tcPr>
            <w:tcW w:w="4675" w:type="dxa"/>
          </w:tcPr>
          <w:p w14:paraId="19A60D97" w14:textId="1AC3E043" w:rsidR="008C1F51" w:rsidRPr="00FE3340" w:rsidRDefault="004F74D7" w:rsidP="008C1F51">
            <w:pPr>
              <w:spacing w:line="240" w:lineRule="auto"/>
              <w:ind w:firstLine="0"/>
            </w:pPr>
            <w:r w:rsidRPr="00FE3340">
              <w:t xml:space="preserve">No. </w:t>
            </w:r>
            <w:r w:rsidR="00976EB8">
              <w:t>RM-1</w:t>
            </w:r>
            <w:r w:rsidR="003611BD">
              <w:t>8</w:t>
            </w:r>
            <w:r w:rsidR="00976EB8">
              <w:t>-622</w:t>
            </w:r>
          </w:p>
        </w:tc>
      </w:tr>
      <w:tr w:rsidR="008C1F51" w:rsidRPr="00FE3340" w14:paraId="2602DAF2" w14:textId="77777777" w:rsidTr="00EC3179">
        <w:tc>
          <w:tcPr>
            <w:tcW w:w="4675" w:type="dxa"/>
            <w:tcMar>
              <w:right w:w="115" w:type="dxa"/>
            </w:tcMar>
          </w:tcPr>
          <w:p w14:paraId="24857A5D" w14:textId="77777777" w:rsidR="008C1F51" w:rsidRPr="002F4B7F" w:rsidRDefault="008C1F51" w:rsidP="008C1F51">
            <w:pPr>
              <w:spacing w:line="240" w:lineRule="auto"/>
              <w:ind w:left="720" w:firstLine="0"/>
            </w:pPr>
            <w:r w:rsidRPr="002F4B7F">
              <w:t>Petitioner,</w:t>
            </w:r>
          </w:p>
        </w:tc>
        <w:tc>
          <w:tcPr>
            <w:tcW w:w="4675" w:type="dxa"/>
          </w:tcPr>
          <w:p w14:paraId="2FB3F676" w14:textId="77777777" w:rsidR="008C1F51" w:rsidRPr="00FE3340" w:rsidRDefault="008C1F51" w:rsidP="008C1F51">
            <w:pPr>
              <w:spacing w:line="240" w:lineRule="auto"/>
              <w:ind w:firstLine="0"/>
            </w:pPr>
          </w:p>
        </w:tc>
      </w:tr>
      <w:tr w:rsidR="008C1F51" w:rsidRPr="00FE3340" w14:paraId="75DAF54C" w14:textId="77777777" w:rsidTr="00EC3179">
        <w:tc>
          <w:tcPr>
            <w:tcW w:w="4675" w:type="dxa"/>
            <w:tcMar>
              <w:right w:w="115" w:type="dxa"/>
            </w:tcMar>
          </w:tcPr>
          <w:p w14:paraId="569633BB" w14:textId="77777777" w:rsidR="008C1F51" w:rsidRPr="002F4B7F" w:rsidRDefault="008C1F51" w:rsidP="008C1F51">
            <w:pPr>
              <w:spacing w:line="240" w:lineRule="auto"/>
              <w:ind w:firstLine="0"/>
            </w:pPr>
          </w:p>
        </w:tc>
        <w:tc>
          <w:tcPr>
            <w:tcW w:w="4675" w:type="dxa"/>
          </w:tcPr>
          <w:p w14:paraId="5B4B6127" w14:textId="24277762" w:rsidR="00390F37" w:rsidRPr="00FE3340" w:rsidRDefault="00390F37" w:rsidP="008C1F51">
            <w:pPr>
              <w:spacing w:line="240" w:lineRule="auto"/>
              <w:ind w:firstLine="0"/>
            </w:pPr>
          </w:p>
        </w:tc>
      </w:tr>
      <w:tr w:rsidR="008C1F51" w:rsidRPr="00FE3340" w14:paraId="59E3877D" w14:textId="77777777" w:rsidTr="00EC3179">
        <w:tc>
          <w:tcPr>
            <w:tcW w:w="4675" w:type="dxa"/>
            <w:tcMar>
              <w:right w:w="115" w:type="dxa"/>
            </w:tcMar>
          </w:tcPr>
          <w:p w14:paraId="6C016688" w14:textId="77777777" w:rsidR="008C1F51" w:rsidRPr="002F4B7F" w:rsidRDefault="008C1F51" w:rsidP="008C1F51">
            <w:pPr>
              <w:spacing w:line="240" w:lineRule="auto"/>
              <w:ind w:left="720" w:firstLine="0"/>
            </w:pPr>
            <w:r w:rsidRPr="002F4B7F">
              <w:t>v.</w:t>
            </w:r>
          </w:p>
        </w:tc>
        <w:tc>
          <w:tcPr>
            <w:tcW w:w="4675" w:type="dxa"/>
          </w:tcPr>
          <w:p w14:paraId="0CC76E6A" w14:textId="77777777" w:rsidR="008C1F51" w:rsidRPr="00FE3340" w:rsidRDefault="008C1F51" w:rsidP="004F74D7">
            <w:pPr>
              <w:spacing w:line="240" w:lineRule="auto"/>
              <w:ind w:firstLine="0"/>
            </w:pPr>
          </w:p>
        </w:tc>
      </w:tr>
      <w:tr w:rsidR="008C1F51" w:rsidRPr="00FE3340" w14:paraId="47CD0B5B" w14:textId="77777777" w:rsidTr="00EC3179">
        <w:tc>
          <w:tcPr>
            <w:tcW w:w="4675" w:type="dxa"/>
            <w:tcMar>
              <w:right w:w="115" w:type="dxa"/>
            </w:tcMar>
          </w:tcPr>
          <w:p w14:paraId="08D19BFB" w14:textId="77777777" w:rsidR="008C1F51" w:rsidRPr="002F4B7F" w:rsidRDefault="008C1F51" w:rsidP="008C1F51">
            <w:pPr>
              <w:spacing w:line="240" w:lineRule="auto"/>
              <w:ind w:firstLine="0"/>
            </w:pPr>
          </w:p>
        </w:tc>
        <w:tc>
          <w:tcPr>
            <w:tcW w:w="4675" w:type="dxa"/>
          </w:tcPr>
          <w:p w14:paraId="6C59B04B" w14:textId="77777777" w:rsidR="008C1F51" w:rsidRPr="00FE3340" w:rsidRDefault="008C1F51" w:rsidP="008C1F51">
            <w:pPr>
              <w:spacing w:line="240" w:lineRule="auto"/>
              <w:ind w:firstLine="0"/>
            </w:pPr>
          </w:p>
        </w:tc>
      </w:tr>
      <w:tr w:rsidR="008C1F51" w:rsidRPr="00FE3340" w14:paraId="05D76A97" w14:textId="77777777" w:rsidTr="00EC3179">
        <w:tc>
          <w:tcPr>
            <w:tcW w:w="4675" w:type="dxa"/>
            <w:tcMar>
              <w:right w:w="115" w:type="dxa"/>
            </w:tcMar>
          </w:tcPr>
          <w:p w14:paraId="2039814B" w14:textId="31BBE2D3" w:rsidR="008C1F51" w:rsidRPr="002F4B7F" w:rsidRDefault="00976EB8" w:rsidP="008C1F51">
            <w:pPr>
              <w:spacing w:line="240" w:lineRule="auto"/>
              <w:ind w:firstLine="0"/>
            </w:pPr>
            <w:r>
              <w:rPr>
                <w:b/>
                <w:bCs/>
              </w:rPr>
              <w:t>Richard Pedro, D.O.</w:t>
            </w:r>
            <w:r w:rsidR="008C1F51" w:rsidRPr="002F4B7F">
              <w:t>,</w:t>
            </w:r>
          </w:p>
        </w:tc>
        <w:tc>
          <w:tcPr>
            <w:tcW w:w="4675" w:type="dxa"/>
          </w:tcPr>
          <w:p w14:paraId="5921EEEA" w14:textId="77777777" w:rsidR="008C1F51" w:rsidRPr="00FE3340" w:rsidRDefault="008C1F51" w:rsidP="008C1F51">
            <w:pPr>
              <w:spacing w:line="240" w:lineRule="auto"/>
              <w:ind w:firstLine="0"/>
            </w:pPr>
          </w:p>
        </w:tc>
      </w:tr>
      <w:tr w:rsidR="008C1F51" w:rsidRPr="00FE3340" w14:paraId="62A76232" w14:textId="77777777" w:rsidTr="00EC3179">
        <w:tc>
          <w:tcPr>
            <w:tcW w:w="4675" w:type="dxa"/>
            <w:tcMar>
              <w:right w:w="115" w:type="dxa"/>
            </w:tcMar>
          </w:tcPr>
          <w:p w14:paraId="3420E5B1" w14:textId="77777777" w:rsidR="008C1F51" w:rsidRPr="002F4B7F" w:rsidRDefault="008C1F51" w:rsidP="008C1F51">
            <w:pPr>
              <w:spacing w:line="240" w:lineRule="auto"/>
              <w:ind w:left="720" w:firstLine="0"/>
            </w:pPr>
            <w:r w:rsidRPr="002F4B7F">
              <w:t>Respondent.</w:t>
            </w:r>
          </w:p>
        </w:tc>
        <w:tc>
          <w:tcPr>
            <w:tcW w:w="4675" w:type="dxa"/>
          </w:tcPr>
          <w:p w14:paraId="6D189209" w14:textId="77777777" w:rsidR="008C1F51" w:rsidRPr="00FE3340" w:rsidRDefault="008C1F51" w:rsidP="008C1F51">
            <w:pPr>
              <w:spacing w:line="240" w:lineRule="auto"/>
              <w:ind w:firstLine="0"/>
            </w:pPr>
          </w:p>
        </w:tc>
      </w:tr>
    </w:tbl>
    <w:p w14:paraId="4A6F0CFA" w14:textId="77777777" w:rsidR="004F74D7" w:rsidRPr="00EC3179" w:rsidRDefault="004F74D7" w:rsidP="008C1F51">
      <w:pPr>
        <w:pStyle w:val="PlainText1"/>
      </w:pPr>
    </w:p>
    <w:p w14:paraId="2151B37B" w14:textId="77777777" w:rsidR="008C1F51" w:rsidRPr="00EC3179" w:rsidRDefault="008C1F51" w:rsidP="008C1F51">
      <w:pPr>
        <w:pStyle w:val="PlainText1"/>
      </w:pPr>
      <w:r w:rsidRPr="00F3449D">
        <w:rPr>
          <w:b/>
          <w:bCs/>
        </w:rPr>
        <w:t>Appearance for Petitioner:</w:t>
      </w:r>
    </w:p>
    <w:p w14:paraId="565F354C" w14:textId="08E250EC" w:rsidR="008C1F51" w:rsidRDefault="00976EB8" w:rsidP="008C1F51">
      <w:pPr>
        <w:pStyle w:val="PlainText1"/>
      </w:pPr>
      <w:r>
        <w:t>Lawrence Perchick, Esq.</w:t>
      </w:r>
    </w:p>
    <w:p w14:paraId="6D47178B" w14:textId="679A18B0" w:rsidR="00976EB8" w:rsidRDefault="00976EB8" w:rsidP="008C1F51">
      <w:pPr>
        <w:pStyle w:val="PlainText1"/>
      </w:pPr>
      <w:r>
        <w:t>Board of Registration in Medicine</w:t>
      </w:r>
    </w:p>
    <w:p w14:paraId="1DB2094E" w14:textId="1E5A39B1" w:rsidR="00976EB8" w:rsidRDefault="00976EB8" w:rsidP="008C1F51">
      <w:pPr>
        <w:pStyle w:val="PlainText1"/>
      </w:pPr>
      <w:r>
        <w:t>200 Harvard Mill Square</w:t>
      </w:r>
    </w:p>
    <w:p w14:paraId="1D8C869E" w14:textId="215C6DE8" w:rsidR="0092449B" w:rsidRDefault="00976EB8" w:rsidP="00976EB8">
      <w:pPr>
        <w:pStyle w:val="PlainText1"/>
      </w:pPr>
      <w:r>
        <w:t>Wakefield, Massachusetts 01880</w:t>
      </w:r>
    </w:p>
    <w:p w14:paraId="3315255B" w14:textId="77777777" w:rsidR="0092449B" w:rsidRPr="00EC3179" w:rsidRDefault="0092449B" w:rsidP="008C1F51">
      <w:pPr>
        <w:pStyle w:val="PlainText1"/>
      </w:pPr>
    </w:p>
    <w:p w14:paraId="4D46D240" w14:textId="77777777" w:rsidR="008C1F51" w:rsidRPr="00F3449D" w:rsidRDefault="008C1F51" w:rsidP="008C1F51">
      <w:pPr>
        <w:pStyle w:val="PlainText1"/>
        <w:rPr>
          <w:b/>
          <w:bCs/>
        </w:rPr>
      </w:pPr>
      <w:r w:rsidRPr="00F3449D">
        <w:rPr>
          <w:b/>
          <w:bCs/>
        </w:rPr>
        <w:t>Appearance for Respondent:</w:t>
      </w:r>
    </w:p>
    <w:p w14:paraId="694382CE" w14:textId="35BCB3F3" w:rsidR="0092449B" w:rsidRDefault="00976EB8" w:rsidP="008C1F51">
      <w:pPr>
        <w:pStyle w:val="PlainText1"/>
      </w:pPr>
      <w:r>
        <w:t>David M. Gould</w:t>
      </w:r>
      <w:r w:rsidR="003611BD">
        <w:t>, Esq.</w:t>
      </w:r>
    </w:p>
    <w:p w14:paraId="31DD371D" w14:textId="59705517" w:rsidR="00976EB8" w:rsidRDefault="00976EB8" w:rsidP="008C1F51">
      <w:pPr>
        <w:pStyle w:val="PlainText1"/>
      </w:pPr>
      <w:proofErr w:type="spellStart"/>
      <w:r>
        <w:t>Ficksman</w:t>
      </w:r>
      <w:proofErr w:type="spellEnd"/>
      <w:r>
        <w:t xml:space="preserve"> &amp; Conley, LLP</w:t>
      </w:r>
    </w:p>
    <w:p w14:paraId="457D349D" w14:textId="338DBA54" w:rsidR="00976EB8" w:rsidRDefault="00976EB8" w:rsidP="008C1F51">
      <w:pPr>
        <w:pStyle w:val="PlainText1"/>
      </w:pPr>
      <w:r>
        <w:t>98 North Washington Street</w:t>
      </w:r>
    </w:p>
    <w:p w14:paraId="4E0C744F" w14:textId="2CB54CED" w:rsidR="00976EB8" w:rsidRDefault="00976EB8" w:rsidP="008C1F51">
      <w:pPr>
        <w:pStyle w:val="PlainText1"/>
      </w:pPr>
      <w:r>
        <w:t>Boston, MA 02114</w:t>
      </w:r>
    </w:p>
    <w:p w14:paraId="5DFDF645" w14:textId="77777777" w:rsidR="0092449B" w:rsidRPr="00EC3179" w:rsidRDefault="0092449B" w:rsidP="008C1F51">
      <w:pPr>
        <w:pStyle w:val="PlainText1"/>
      </w:pPr>
    </w:p>
    <w:p w14:paraId="72DDA24F" w14:textId="77777777" w:rsidR="008C1F51" w:rsidRPr="00F3449D" w:rsidRDefault="008C1F51" w:rsidP="008C1F51">
      <w:pPr>
        <w:pStyle w:val="PlainText1"/>
        <w:rPr>
          <w:b/>
          <w:bCs/>
        </w:rPr>
      </w:pPr>
      <w:r w:rsidRPr="00F3449D">
        <w:rPr>
          <w:b/>
          <w:bCs/>
        </w:rPr>
        <w:t>Administrative Magistrat</w:t>
      </w:r>
      <w:r w:rsidR="002315DB" w:rsidRPr="00F3449D">
        <w:rPr>
          <w:b/>
          <w:bCs/>
        </w:rPr>
        <w:t>e:</w:t>
      </w:r>
    </w:p>
    <w:p w14:paraId="38C8AE40" w14:textId="77777777" w:rsidR="006F52F5" w:rsidRDefault="006F52F5" w:rsidP="006F52F5">
      <w:pPr>
        <w:pStyle w:val="PlainText1"/>
      </w:pPr>
      <w:r>
        <w:t>Edward B. McGrath</w:t>
      </w:r>
    </w:p>
    <w:p w14:paraId="3BA8AA75" w14:textId="05D1A8E4" w:rsidR="008C1F51" w:rsidRPr="00EC3179" w:rsidRDefault="006F52F5" w:rsidP="006F52F5">
      <w:pPr>
        <w:pStyle w:val="PlainText1"/>
      </w:pPr>
      <w:r>
        <w:t>Chief Administrative Magistrate</w:t>
      </w:r>
    </w:p>
    <w:p w14:paraId="50A02AC9" w14:textId="77777777" w:rsidR="004F74D7" w:rsidRDefault="004F74D7" w:rsidP="008C1F51">
      <w:pPr>
        <w:pStyle w:val="PlainText1"/>
      </w:pPr>
    </w:p>
    <w:p w14:paraId="2B964A85" w14:textId="6906ED16" w:rsidR="00E22152" w:rsidRDefault="0017326F" w:rsidP="00262188">
      <w:pPr>
        <w:pStyle w:val="Heading1"/>
      </w:pPr>
      <w:r>
        <w:t xml:space="preserve">SUMMARY OF </w:t>
      </w:r>
      <w:r w:rsidR="00AD0D45">
        <w:t xml:space="preserve">RECOMMENDED </w:t>
      </w:r>
      <w:r w:rsidRPr="00262188">
        <w:t>DECISION</w:t>
      </w:r>
    </w:p>
    <w:p w14:paraId="3FB5A091" w14:textId="3B1FFC2E" w:rsidR="00AA3A7E" w:rsidRDefault="000624B3" w:rsidP="00303CF6">
      <w:pPr>
        <w:pStyle w:val="Summarypara"/>
      </w:pPr>
      <w:r>
        <w:t xml:space="preserve">The respondent physician contacted </w:t>
      </w:r>
      <w:r w:rsidR="00303CF6">
        <w:t>escorts</w:t>
      </w:r>
      <w:r>
        <w:t xml:space="preserve"> through </w:t>
      </w:r>
      <w:r w:rsidR="00303CF6">
        <w:t>a</w:t>
      </w:r>
      <w:r>
        <w:t xml:space="preserve"> website and, on one occasion, paid </w:t>
      </w:r>
      <w:r w:rsidR="004737B0">
        <w:t>an escort</w:t>
      </w:r>
      <w:r w:rsidR="00303CF6">
        <w:t xml:space="preserve"> </w:t>
      </w:r>
      <w:r>
        <w:t xml:space="preserve">for sex.  </w:t>
      </w:r>
      <w:r w:rsidR="00303CF6">
        <w:t>T</w:t>
      </w:r>
      <w:r>
        <w:t xml:space="preserve">his criminal </w:t>
      </w:r>
      <w:r w:rsidR="00303CF6">
        <w:t>behavior was never prosecuted.  Nevertheless, it amounted to sanctionable “</w:t>
      </w:r>
      <w:r w:rsidR="00303CF6" w:rsidRPr="00EE2407">
        <w:t>lack of good moral character</w:t>
      </w:r>
      <w:r w:rsidR="00303CF6">
        <w:t>”</w:t>
      </w:r>
      <w:r w:rsidR="00303CF6" w:rsidRPr="00EE2407">
        <w:t xml:space="preserve"> and </w:t>
      </w:r>
      <w:r w:rsidR="00303CF6">
        <w:t>“</w:t>
      </w:r>
      <w:r w:rsidR="00303CF6" w:rsidRPr="00EE2407">
        <w:t>conduct that undermines public confidence in the integrity of the medical profession</w:t>
      </w:r>
      <w:r w:rsidR="00303CF6">
        <w:t>.”</w:t>
      </w:r>
    </w:p>
    <w:p w14:paraId="35DDA2C2" w14:textId="19DEE52E" w:rsidR="00E22152" w:rsidRDefault="00AD0D45" w:rsidP="00262188">
      <w:pPr>
        <w:pStyle w:val="Heading1"/>
      </w:pPr>
      <w:r>
        <w:t xml:space="preserve">RECOMMENDED </w:t>
      </w:r>
      <w:r w:rsidR="00E22152">
        <w:t>DECISION</w:t>
      </w:r>
    </w:p>
    <w:p w14:paraId="5073A2D0" w14:textId="06B054C6" w:rsidR="00D22E9D" w:rsidRDefault="00303CF6" w:rsidP="00BC661C">
      <w:r>
        <w:t>T</w:t>
      </w:r>
      <w:r w:rsidR="00D22E9D">
        <w:t xml:space="preserve">he Board of Registration in Medicine (board) </w:t>
      </w:r>
      <w:r w:rsidR="00BC661C">
        <w:t xml:space="preserve">seeks to impose disciplinary sanctions upon </w:t>
      </w:r>
      <w:r w:rsidR="00D22E9D">
        <w:t xml:space="preserve">respondent </w:t>
      </w:r>
      <w:r w:rsidR="006C5637">
        <w:t xml:space="preserve">Dr. </w:t>
      </w:r>
      <w:r w:rsidR="00D22E9D">
        <w:t>Richard Pedro</w:t>
      </w:r>
      <w:r w:rsidR="00BC661C">
        <w:t xml:space="preserve">, alleging that </w:t>
      </w:r>
      <w:r w:rsidR="00936C76">
        <w:t>he</w:t>
      </w:r>
      <w:r w:rsidR="00976EB8">
        <w:t xml:space="preserve"> </w:t>
      </w:r>
      <w:r w:rsidR="00BC661C">
        <w:t xml:space="preserve">arranged on multiple occasions to pay </w:t>
      </w:r>
      <w:r w:rsidR="004737B0">
        <w:t>escorts</w:t>
      </w:r>
      <w:r w:rsidR="00BC661C">
        <w:t xml:space="preserve"> for sex.  The board referred the case to the Division of Administrative Law Appeals for recommended findings of fact and conclusions of law</w:t>
      </w:r>
      <w:r w:rsidR="00976EB8">
        <w:t>.</w:t>
      </w:r>
    </w:p>
    <w:p w14:paraId="12B9BC47" w14:textId="53A9DDD9" w:rsidR="00B4000A" w:rsidRDefault="00D22E9D" w:rsidP="00E22152">
      <w:r>
        <w:lastRenderedPageBreak/>
        <w:t>I held a</w:t>
      </w:r>
      <w:r w:rsidR="004737B0">
        <w:t>n evidentiary</w:t>
      </w:r>
      <w:r>
        <w:t xml:space="preserve"> hearing on October 21, 2019</w:t>
      </w:r>
      <w:r w:rsidR="004737B0">
        <w:t>.  The</w:t>
      </w:r>
      <w:r w:rsidR="00303CF6">
        <w:t xml:space="preserve"> </w:t>
      </w:r>
      <w:r>
        <w:t>witnesses were Dr. Pedro, Officer Charles Mello</w:t>
      </w:r>
      <w:r w:rsidR="00AD0D45">
        <w:t xml:space="preserve"> (of the Seekonk Police Department)</w:t>
      </w:r>
      <w:r>
        <w:t xml:space="preserve">, </w:t>
      </w:r>
      <w:r w:rsidR="004737B0">
        <w:t xml:space="preserve">Mr. </w:t>
      </w:r>
      <w:r>
        <w:t>Robert Bouton</w:t>
      </w:r>
      <w:r w:rsidR="00AD0D45">
        <w:t xml:space="preserve"> (a board investigator)</w:t>
      </w:r>
      <w:r>
        <w:t xml:space="preserve">, Dr. </w:t>
      </w:r>
      <w:proofErr w:type="spellStart"/>
      <w:r>
        <w:t>Vijayendra</w:t>
      </w:r>
      <w:proofErr w:type="spellEnd"/>
      <w:r>
        <w:t xml:space="preserve"> </w:t>
      </w:r>
      <w:proofErr w:type="spellStart"/>
      <w:r>
        <w:t>Sudheendra</w:t>
      </w:r>
      <w:proofErr w:type="spellEnd"/>
      <w:r>
        <w:t xml:space="preserve"> (Dr. Pedro’s colleague), and Dr. Robert </w:t>
      </w:r>
      <w:proofErr w:type="spellStart"/>
      <w:r>
        <w:t>Marzilli</w:t>
      </w:r>
      <w:proofErr w:type="spellEnd"/>
      <w:r>
        <w:t xml:space="preserve"> (Dr. Pedro’s psychologist).  </w:t>
      </w:r>
      <w:r w:rsidR="00303CF6">
        <w:t xml:space="preserve">The hearing was transcribed.  </w:t>
      </w:r>
      <w:r>
        <w:t xml:space="preserve">I admitted into evidence </w:t>
      </w:r>
      <w:r w:rsidR="006C5637">
        <w:t>the board’s e</w:t>
      </w:r>
      <w:r>
        <w:t>xhibits</w:t>
      </w:r>
      <w:r w:rsidR="00303CF6">
        <w:t>,</w:t>
      </w:r>
      <w:r>
        <w:t xml:space="preserve"> </w:t>
      </w:r>
      <w:r w:rsidR="006C5637">
        <w:t xml:space="preserve">marked </w:t>
      </w:r>
      <w:r>
        <w:t>1-3</w:t>
      </w:r>
      <w:r w:rsidR="00303CF6">
        <w:t>,</w:t>
      </w:r>
      <w:r>
        <w:t xml:space="preserve"> and </w:t>
      </w:r>
      <w:r w:rsidR="006C5637">
        <w:t>Dr. Pedro’s e</w:t>
      </w:r>
      <w:r>
        <w:t>xhibits</w:t>
      </w:r>
      <w:r w:rsidR="00303CF6">
        <w:t>,</w:t>
      </w:r>
      <w:r>
        <w:t xml:space="preserve"> </w:t>
      </w:r>
      <w:r w:rsidR="006C5637">
        <w:t xml:space="preserve">marked </w:t>
      </w:r>
      <w:r>
        <w:t>A-N.  The parties submitted closing briefs, and I closed the record</w:t>
      </w:r>
      <w:r w:rsidR="007A29A3">
        <w:t xml:space="preserve"> on March 13, 2020</w:t>
      </w:r>
      <w:r>
        <w:t>.</w:t>
      </w:r>
    </w:p>
    <w:p w14:paraId="7A78B46D" w14:textId="77777777" w:rsidR="00E22152" w:rsidRDefault="00013F96" w:rsidP="00262188">
      <w:pPr>
        <w:pStyle w:val="Heading1"/>
      </w:pPr>
      <w:r w:rsidRPr="00013F96">
        <w:t>Findings of Fact</w:t>
      </w:r>
    </w:p>
    <w:p w14:paraId="03AEA220" w14:textId="4C947318" w:rsidR="00013F96" w:rsidRDefault="00D22E9D" w:rsidP="00E22152">
      <w:r>
        <w:t>Having considered the exhibits and the testimony, and having assessed the witnesses’ credibility, I make the following findings of fact.</w:t>
      </w:r>
    </w:p>
    <w:p w14:paraId="5D8E6816" w14:textId="7C422453" w:rsidR="00013F96" w:rsidRDefault="00BC661C" w:rsidP="00CD23AE">
      <w:pPr>
        <w:pStyle w:val="ListedFindings"/>
      </w:pPr>
      <w:r>
        <w:t xml:space="preserve">Dr. </w:t>
      </w:r>
      <w:r w:rsidR="00476D8F">
        <w:t xml:space="preserve">Richard Pedro is a board-certified anesthesiologist.  </w:t>
      </w:r>
      <w:r w:rsidR="000B3E25">
        <w:t xml:space="preserve">He graduated medical school </w:t>
      </w:r>
      <w:r>
        <w:t xml:space="preserve">in </w:t>
      </w:r>
      <w:r w:rsidR="000B3E25">
        <w:t>201</w:t>
      </w:r>
      <w:r w:rsidR="001E561C">
        <w:t xml:space="preserve">0 </w:t>
      </w:r>
      <w:r w:rsidR="00303CF6">
        <w:t>as</w:t>
      </w:r>
      <w:r w:rsidR="001E561C">
        <w:t xml:space="preserve"> </w:t>
      </w:r>
      <w:r>
        <w:t>a Doctor of Osteopathy</w:t>
      </w:r>
      <w:r w:rsidR="000B3E25">
        <w:t xml:space="preserve">.  </w:t>
      </w:r>
      <w:r w:rsidR="001E561C">
        <w:t xml:space="preserve">He provides </w:t>
      </w:r>
      <w:r w:rsidR="00476D8F">
        <w:t xml:space="preserve">anesthesiology </w:t>
      </w:r>
      <w:r w:rsidR="003C2CAC">
        <w:t>care at</w:t>
      </w:r>
      <w:r w:rsidR="00476D8F">
        <w:t xml:space="preserve"> several hospitals in southern Massachusetts and Rhode Island.  </w:t>
      </w:r>
      <w:r w:rsidR="000F56F3">
        <w:t>(</w:t>
      </w:r>
      <w:r w:rsidR="00476D8F">
        <w:t>Pedro 25</w:t>
      </w:r>
      <w:r w:rsidR="000B3E25">
        <w:t>, 87</w:t>
      </w:r>
      <w:r w:rsidR="007C63F0">
        <w:t xml:space="preserve">; </w:t>
      </w:r>
      <w:proofErr w:type="spellStart"/>
      <w:r w:rsidR="007C63F0">
        <w:t>Sudheendra</w:t>
      </w:r>
      <w:proofErr w:type="spellEnd"/>
      <w:r w:rsidR="007C63F0">
        <w:t xml:space="preserve"> 73, 76.</w:t>
      </w:r>
      <w:r w:rsidR="000F56F3">
        <w:t>)</w:t>
      </w:r>
      <w:r w:rsidR="00303CF6">
        <w:rPr>
          <w:rStyle w:val="FootnoteReference"/>
        </w:rPr>
        <w:footnoteReference w:id="1"/>
      </w:r>
    </w:p>
    <w:p w14:paraId="4FB9665E" w14:textId="66217288" w:rsidR="00A36456" w:rsidRDefault="00476D8F" w:rsidP="00CD23AE">
      <w:pPr>
        <w:pStyle w:val="ListedFindings"/>
      </w:pPr>
      <w:r>
        <w:t>Backpage.com was a website that</w:t>
      </w:r>
      <w:r w:rsidR="00B3770B">
        <w:t>, among other things,</w:t>
      </w:r>
      <w:r>
        <w:t xml:space="preserve"> enabled stranger</w:t>
      </w:r>
      <w:r w:rsidR="00B3770B">
        <w:t>s</w:t>
      </w:r>
      <w:r>
        <w:t xml:space="preserve"> to arrange </w:t>
      </w:r>
      <w:r w:rsidR="000F56F3">
        <w:t>intimate</w:t>
      </w:r>
      <w:r>
        <w:t xml:space="preserve"> encounters.  </w:t>
      </w:r>
      <w:r w:rsidR="00A36456">
        <w:t xml:space="preserve">Dr. Pedro used the website </w:t>
      </w:r>
      <w:r w:rsidR="00B62408">
        <w:t xml:space="preserve">for this purpose </w:t>
      </w:r>
      <w:r w:rsidR="00A36456">
        <w:t>on</w:t>
      </w:r>
      <w:r w:rsidR="00A36456" w:rsidRPr="00476D8F">
        <w:t xml:space="preserve"> </w:t>
      </w:r>
      <w:r w:rsidR="00A36456">
        <w:t>three occasions.</w:t>
      </w:r>
      <w:r w:rsidR="00B62408">
        <w:t xml:space="preserve">  </w:t>
      </w:r>
      <w:r w:rsidR="000F56F3">
        <w:t>(</w:t>
      </w:r>
      <w:r w:rsidR="00A36456">
        <w:t>Pedro 28-38, 95-101; Mello 44-49; Bouton 59-63, 67.</w:t>
      </w:r>
      <w:r w:rsidR="000F56F3">
        <w:t>)</w:t>
      </w:r>
    </w:p>
    <w:p w14:paraId="08D8879E" w14:textId="3EEDF6C7" w:rsidR="00A36456" w:rsidRDefault="00B62408" w:rsidP="00CD23AE">
      <w:pPr>
        <w:pStyle w:val="ListedFindings"/>
      </w:pPr>
      <w:r>
        <w:t xml:space="preserve">The first two occasions </w:t>
      </w:r>
      <w:r w:rsidR="003C2CAC">
        <w:t>were</w:t>
      </w:r>
      <w:r>
        <w:t xml:space="preserve"> </w:t>
      </w:r>
      <w:r w:rsidR="00A36456">
        <w:t>in 2012</w:t>
      </w:r>
      <w:r w:rsidR="009F3A54">
        <w:t xml:space="preserve"> and </w:t>
      </w:r>
      <w:r w:rsidR="00A36456">
        <w:t xml:space="preserve">2013.  </w:t>
      </w:r>
      <w:r w:rsidR="009F3A54">
        <w:t>On one</w:t>
      </w:r>
      <w:r w:rsidR="006C5637">
        <w:t xml:space="preserve"> of them</w:t>
      </w:r>
      <w:r w:rsidR="009F3A54">
        <w:t>, in 2013</w:t>
      </w:r>
      <w:r w:rsidR="00E61351">
        <w:t xml:space="preserve">, </w:t>
      </w:r>
      <w:r>
        <w:t xml:space="preserve">Dr. Pedro </w:t>
      </w:r>
      <w:r w:rsidR="000F56F3">
        <w:t xml:space="preserve">paid </w:t>
      </w:r>
      <w:r w:rsidR="00E61351">
        <w:t xml:space="preserve">a </w:t>
      </w:r>
      <w:r w:rsidR="000F56F3">
        <w:t>wom</w:t>
      </w:r>
      <w:r w:rsidR="00E61351">
        <w:t>a</w:t>
      </w:r>
      <w:r w:rsidR="000F56F3">
        <w:t>n</w:t>
      </w:r>
      <w:r w:rsidR="001E561C">
        <w:t xml:space="preserve"> </w:t>
      </w:r>
      <w:r w:rsidR="000F56F3">
        <w:t>for sex.  (Pedro 28-29, 95-97; Bouton 60-61.)</w:t>
      </w:r>
      <w:r w:rsidR="00E61351">
        <w:rPr>
          <w:rStyle w:val="FootnoteReference"/>
        </w:rPr>
        <w:footnoteReference w:id="2"/>
      </w:r>
    </w:p>
    <w:p w14:paraId="4F796168" w14:textId="3F131967" w:rsidR="00FD6082" w:rsidRDefault="000F56F3" w:rsidP="000F56F3">
      <w:pPr>
        <w:pStyle w:val="ListedFindings"/>
      </w:pPr>
      <w:r>
        <w:lastRenderedPageBreak/>
        <w:t>On February 1, 2015, Dr. Pedro contacted a third woman</w:t>
      </w:r>
      <w:r w:rsidR="001E0331">
        <w:t xml:space="preserve"> and</w:t>
      </w:r>
      <w:r>
        <w:t xml:space="preserve"> arranged to meet her at a motel.  </w:t>
      </w:r>
      <w:r w:rsidR="00FD6082">
        <w:t xml:space="preserve">After ruminating in a nearby parking lot, Dr. Pedro departed without entering the </w:t>
      </w:r>
      <w:r w:rsidR="00AD0D45">
        <w:t>building</w:t>
      </w:r>
      <w:r w:rsidR="00FD6082">
        <w:t>.  (Pedro 28, 33-36, 100-01, 104; Mello 46-49; Bouton 62-63; Resp. Exhibit N.)</w:t>
      </w:r>
    </w:p>
    <w:p w14:paraId="2CFBEA7D" w14:textId="54CE27D4" w:rsidR="00A36456" w:rsidRDefault="00A36456" w:rsidP="00CD23AE">
      <w:pPr>
        <w:pStyle w:val="ListedFindings"/>
      </w:pPr>
      <w:r>
        <w:t xml:space="preserve">On </w:t>
      </w:r>
      <w:r w:rsidR="001E561C">
        <w:t xml:space="preserve">a number of </w:t>
      </w:r>
      <w:r w:rsidR="00BD5B9C">
        <w:t>additional</w:t>
      </w:r>
      <w:r>
        <w:t xml:space="preserve"> occasions, </w:t>
      </w:r>
      <w:r w:rsidR="001E0331">
        <w:t>Dr. Pedro</w:t>
      </w:r>
      <w:r>
        <w:t xml:space="preserve"> called phone numbers he </w:t>
      </w:r>
      <w:r w:rsidR="00155E36">
        <w:t>located</w:t>
      </w:r>
      <w:r w:rsidR="003C2CAC">
        <w:t xml:space="preserve"> on</w:t>
      </w:r>
      <w:r>
        <w:t xml:space="preserve"> </w:t>
      </w:r>
      <w:r w:rsidR="001E0331">
        <w:t xml:space="preserve">Backpage.com </w:t>
      </w:r>
      <w:r>
        <w:t xml:space="preserve">but did not arrange in-person encounters.  </w:t>
      </w:r>
      <w:r w:rsidR="001E561C">
        <w:t>(</w:t>
      </w:r>
      <w:proofErr w:type="spellStart"/>
      <w:r w:rsidR="001E0331">
        <w:t>Marzilli</w:t>
      </w:r>
      <w:proofErr w:type="spellEnd"/>
      <w:r w:rsidR="001E0331">
        <w:t xml:space="preserve"> 124, 128-29</w:t>
      </w:r>
      <w:r w:rsidR="001E561C">
        <w:t>.)</w:t>
      </w:r>
    </w:p>
    <w:p w14:paraId="4E096167" w14:textId="77777777" w:rsidR="00BD5B9C" w:rsidRDefault="00BD5B9C" w:rsidP="00BD5B9C">
      <w:pPr>
        <w:pStyle w:val="ListedFindings"/>
      </w:pPr>
      <w:r>
        <w:t>Dr. Pedro viewed Backpage.com as an “escort service,” and the women he met through it as “prostitutes.”  He recalled the website’s postings as listing “prices.”  (Pedro 36, 38, 98, 104.)</w:t>
      </w:r>
    </w:p>
    <w:p w14:paraId="599B6777" w14:textId="4061C510" w:rsidR="007C63F0" w:rsidRDefault="00DD760B" w:rsidP="00CD23AE">
      <w:pPr>
        <w:pStyle w:val="ListedFindings"/>
      </w:pPr>
      <w:r>
        <w:t xml:space="preserve">Dr. Pedro first married in 2007.  The marriage was </w:t>
      </w:r>
      <w:r w:rsidR="003C2CAC">
        <w:t>unhappy</w:t>
      </w:r>
      <w:r>
        <w:t xml:space="preserve"> and contentious</w:t>
      </w:r>
      <w:r w:rsidR="001E0331">
        <w:t>, ending in 2014</w:t>
      </w:r>
      <w:r>
        <w:t>.  The events of F</w:t>
      </w:r>
      <w:r w:rsidR="007C63F0">
        <w:t>ebruary 1, 2015</w:t>
      </w:r>
      <w:r>
        <w:t xml:space="preserve"> followed a</w:t>
      </w:r>
      <w:r w:rsidR="006C5637">
        <w:t xml:space="preserve">n </w:t>
      </w:r>
      <w:r w:rsidR="00D22E9D">
        <w:t xml:space="preserve">argument </w:t>
      </w:r>
      <w:r>
        <w:t xml:space="preserve">between Dr. Pedro and his </w:t>
      </w:r>
      <w:r w:rsidR="001E561C">
        <w:t>ex-</w:t>
      </w:r>
      <w:r>
        <w:t>wife</w:t>
      </w:r>
      <w:r w:rsidR="007C63F0">
        <w:t xml:space="preserve">.  </w:t>
      </w:r>
      <w:r w:rsidR="00D22E9D">
        <w:t>(</w:t>
      </w:r>
      <w:r w:rsidR="007C63F0">
        <w:t>Bouton 67-68</w:t>
      </w:r>
      <w:r>
        <w:t>; Pedro 91-100</w:t>
      </w:r>
      <w:r w:rsidR="008B08F7">
        <w:t xml:space="preserve">; </w:t>
      </w:r>
      <w:proofErr w:type="spellStart"/>
      <w:r w:rsidR="008B08F7">
        <w:t>Marzilli</w:t>
      </w:r>
      <w:proofErr w:type="spellEnd"/>
      <w:r w:rsidR="008B08F7">
        <w:t xml:space="preserve"> 114-16.</w:t>
      </w:r>
      <w:r w:rsidR="00D22E9D">
        <w:t>)</w:t>
      </w:r>
    </w:p>
    <w:p w14:paraId="2EE3D205" w14:textId="240F892B" w:rsidR="007C63F0" w:rsidRDefault="00DD760B" w:rsidP="00CD23AE">
      <w:pPr>
        <w:pStyle w:val="ListedFindings"/>
      </w:pPr>
      <w:r>
        <w:t xml:space="preserve">Dr. Pedro has been receiving psychological treatment since </w:t>
      </w:r>
      <w:r w:rsidR="008B08F7">
        <w:t>2013</w:t>
      </w:r>
      <w:r w:rsidR="001E0331">
        <w:t xml:space="preserve"> or 2014</w:t>
      </w:r>
      <w:r>
        <w:t xml:space="preserve">.  </w:t>
      </w:r>
      <w:r w:rsidR="001E561C">
        <w:t xml:space="preserve">Therapy </w:t>
      </w:r>
      <w:r w:rsidR="008B08F7">
        <w:t xml:space="preserve">and a 2017 second marriage have </w:t>
      </w:r>
      <w:r w:rsidR="001E561C">
        <w:t>improved his mental outlook</w:t>
      </w:r>
      <w:r w:rsidR="000B3E25">
        <w:t xml:space="preserve">.  </w:t>
      </w:r>
      <w:r w:rsidR="00D22E9D">
        <w:t>(</w:t>
      </w:r>
      <w:r w:rsidR="007C63F0">
        <w:t>Bouton 69</w:t>
      </w:r>
      <w:r w:rsidR="000B3E25">
        <w:t>; Pedro 86</w:t>
      </w:r>
      <w:r>
        <w:t>, 102</w:t>
      </w:r>
      <w:r w:rsidR="008B08F7">
        <w:t xml:space="preserve">-03; </w:t>
      </w:r>
      <w:proofErr w:type="spellStart"/>
      <w:r w:rsidR="008B08F7">
        <w:t>Marzilli</w:t>
      </w:r>
      <w:proofErr w:type="spellEnd"/>
      <w:r w:rsidR="008B08F7">
        <w:t xml:space="preserve"> 112-21</w:t>
      </w:r>
      <w:r w:rsidR="00D22E9D">
        <w:t>; Resp. Exhibit A</w:t>
      </w:r>
      <w:r w:rsidR="008B08F7">
        <w:t>.</w:t>
      </w:r>
      <w:r w:rsidR="00D22E9D">
        <w:t>)</w:t>
      </w:r>
    </w:p>
    <w:p w14:paraId="4B4A8518" w14:textId="3A42AD2F" w:rsidR="00476D8F" w:rsidRDefault="00476D8F" w:rsidP="00CD23AE">
      <w:pPr>
        <w:pStyle w:val="ListedFindings"/>
      </w:pPr>
      <w:r>
        <w:t xml:space="preserve">In October 2015, Dr. Pedro met with agents of the Department of Homeland Security at their request.  </w:t>
      </w:r>
      <w:r w:rsidR="00B3770B">
        <w:t>He told the agents about his use of Backpage.com</w:t>
      </w:r>
      <w:r w:rsidR="000116EF" w:rsidRPr="000116EF">
        <w:t xml:space="preserve"> </w:t>
      </w:r>
      <w:r w:rsidR="000116EF">
        <w:t xml:space="preserve">and permitted them to </w:t>
      </w:r>
      <w:r w:rsidR="00BD5B9C">
        <w:t>inspect</w:t>
      </w:r>
      <w:r w:rsidR="00977F41">
        <w:t xml:space="preserve"> his </w:t>
      </w:r>
      <w:r w:rsidR="000116EF">
        <w:t>cellphone</w:t>
      </w:r>
      <w:r w:rsidR="00B3770B">
        <w:t>.</w:t>
      </w:r>
      <w:r w:rsidR="000116EF">
        <w:t xml:space="preserve">  </w:t>
      </w:r>
      <w:r w:rsidR="00976EB8">
        <w:t xml:space="preserve">The agents </w:t>
      </w:r>
      <w:r w:rsidR="00155E36">
        <w:t>belonged to</w:t>
      </w:r>
      <w:r w:rsidR="00976EB8">
        <w:t xml:space="preserve"> a task force that combined federal and state law enforcement</w:t>
      </w:r>
      <w:r w:rsidR="00AD0D45">
        <w:t xml:space="preserve"> officers</w:t>
      </w:r>
      <w:r w:rsidR="00976EB8">
        <w:t xml:space="preserve">.  Dr. Pedro was not subsequently </w:t>
      </w:r>
      <w:r w:rsidR="00E61351">
        <w:t>charge</w:t>
      </w:r>
      <w:r w:rsidR="00976EB8">
        <w:t>d</w:t>
      </w:r>
      <w:r w:rsidR="00E61351">
        <w:t xml:space="preserve"> with </w:t>
      </w:r>
      <w:r w:rsidR="00A5639C">
        <w:t xml:space="preserve">any crime.  </w:t>
      </w:r>
      <w:r w:rsidR="00D22E9D">
        <w:t>(</w:t>
      </w:r>
      <w:r>
        <w:t>Pedro 29-30</w:t>
      </w:r>
      <w:r w:rsidR="008B08F7">
        <w:t>, 103-06</w:t>
      </w:r>
      <w:r w:rsidR="00A5639C">
        <w:t xml:space="preserve">; Mello </w:t>
      </w:r>
      <w:r w:rsidR="00976EB8">
        <w:t xml:space="preserve">43, </w:t>
      </w:r>
      <w:r w:rsidR="00A5639C">
        <w:t>47-52.</w:t>
      </w:r>
      <w:r w:rsidR="00D22E9D">
        <w:t>)</w:t>
      </w:r>
    </w:p>
    <w:p w14:paraId="2A649F71" w14:textId="4DC4DADA" w:rsidR="000116EF" w:rsidRDefault="000116EF" w:rsidP="00CD23AE">
      <w:pPr>
        <w:pStyle w:val="ListedFindings"/>
      </w:pPr>
      <w:r>
        <w:t xml:space="preserve">In February 2017, the board contacted Dr. Pedro to </w:t>
      </w:r>
      <w:r w:rsidR="00977F41">
        <w:t xml:space="preserve">interview him and to </w:t>
      </w:r>
      <w:r>
        <w:t>propose a suspension of his license</w:t>
      </w:r>
      <w:r w:rsidR="00977F41">
        <w:t>.  Dr. Pedro attended the interview but did not agree to a voluntary suspension</w:t>
      </w:r>
      <w:r>
        <w:t xml:space="preserve">.  </w:t>
      </w:r>
      <w:r w:rsidR="00D22E9D">
        <w:t>(</w:t>
      </w:r>
      <w:r>
        <w:t>Pedro 26-27</w:t>
      </w:r>
      <w:r w:rsidR="00A5639C">
        <w:t>; Bouton 57-</w:t>
      </w:r>
      <w:r w:rsidR="007C63F0">
        <w:t>65</w:t>
      </w:r>
      <w:r w:rsidR="00D22E9D">
        <w:t>.)</w:t>
      </w:r>
    </w:p>
    <w:p w14:paraId="242C451D" w14:textId="198F4827" w:rsidR="007C63F0" w:rsidRPr="000C09ED" w:rsidRDefault="007C63F0" w:rsidP="007C63F0">
      <w:pPr>
        <w:pStyle w:val="ListedFindings"/>
      </w:pPr>
      <w:r>
        <w:t xml:space="preserve">Neither Dr. Pedro’s </w:t>
      </w:r>
      <w:r w:rsidR="00BB1AEE">
        <w:t>colleagues</w:t>
      </w:r>
      <w:r>
        <w:t xml:space="preserve"> nor the board ha</w:t>
      </w:r>
      <w:r w:rsidR="00BB1AEE">
        <w:t>ve</w:t>
      </w:r>
      <w:r>
        <w:t xml:space="preserve"> received any complaints about Dr. Pedro</w:t>
      </w:r>
      <w:r w:rsidR="00977F41">
        <w:t>’s practice of medicine</w:t>
      </w:r>
      <w:r w:rsidR="000B3E25">
        <w:t>.</w:t>
      </w:r>
      <w:r>
        <w:t xml:space="preserve"> </w:t>
      </w:r>
      <w:r w:rsidR="000B3E25">
        <w:t xml:space="preserve"> H</w:t>
      </w:r>
      <w:r>
        <w:t xml:space="preserve">e has </w:t>
      </w:r>
      <w:r w:rsidR="00977F41">
        <w:t xml:space="preserve">not </w:t>
      </w:r>
      <w:r>
        <w:t xml:space="preserve">been sued for malpractice.  </w:t>
      </w:r>
      <w:r w:rsidR="000B3E25">
        <w:t xml:space="preserve">His </w:t>
      </w:r>
      <w:r w:rsidR="00BB1AEE">
        <w:t>peers</w:t>
      </w:r>
      <w:r w:rsidR="000B3E25">
        <w:t xml:space="preserve"> and staff hold hi</w:t>
      </w:r>
      <w:r w:rsidR="00977F41">
        <w:t>m</w:t>
      </w:r>
      <w:r w:rsidR="000B3E25">
        <w:t xml:space="preserve"> in high regard.  </w:t>
      </w:r>
      <w:r w:rsidR="00D22E9D">
        <w:t>(</w:t>
      </w:r>
      <w:r>
        <w:t xml:space="preserve">Bouton 65-66; </w:t>
      </w:r>
      <w:proofErr w:type="spellStart"/>
      <w:r>
        <w:t>Sudheendra</w:t>
      </w:r>
      <w:proofErr w:type="spellEnd"/>
      <w:r>
        <w:t xml:space="preserve"> 77</w:t>
      </w:r>
      <w:r w:rsidR="000B3E25">
        <w:t>-83</w:t>
      </w:r>
      <w:r w:rsidR="00D22E9D">
        <w:t>; Resp. Exhibits B-M</w:t>
      </w:r>
      <w:r w:rsidR="000B3E25">
        <w:t>.</w:t>
      </w:r>
      <w:r w:rsidR="00D22E9D">
        <w:t>)</w:t>
      </w:r>
    </w:p>
    <w:p w14:paraId="05C96E6D" w14:textId="77777777" w:rsidR="00E22152" w:rsidRDefault="00A40C90" w:rsidP="00262188">
      <w:pPr>
        <w:pStyle w:val="Heading1"/>
      </w:pPr>
      <w:r w:rsidRPr="00262188">
        <w:t>Analysis</w:t>
      </w:r>
    </w:p>
    <w:p w14:paraId="3810EB66" w14:textId="345EA444" w:rsidR="00161391" w:rsidRDefault="005355ED" w:rsidP="00155E36">
      <w:r>
        <w:t>It is a criminal offense to “pay . . . another person to engage in sexual conduct,” or to “agree” to do so.  G.L. c. 272, § 53A(b)</w:t>
      </w:r>
      <w:r w:rsidR="007C2805">
        <w:t>.  Th</w:t>
      </w:r>
      <w:r w:rsidR="00584B15">
        <w:t>is</w:t>
      </w:r>
      <w:r w:rsidR="007C2805">
        <w:t xml:space="preserve"> offense is punishable by up to 2.5 years in the house of corrections.  </w:t>
      </w:r>
      <w:r w:rsidR="007C2805" w:rsidRPr="0036537E">
        <w:rPr>
          <w:i/>
          <w:iCs/>
        </w:rPr>
        <w:t>Id.</w:t>
      </w:r>
      <w:r w:rsidR="007C2805">
        <w:t xml:space="preserve">; </w:t>
      </w:r>
      <w:r w:rsidRPr="009F3A54">
        <w:rPr>
          <w:i/>
          <w:iCs/>
        </w:rPr>
        <w:t>Commonwealth v. Brown</w:t>
      </w:r>
      <w:r>
        <w:t>, 481 Mass. 77, 83 n.8 (2018).</w:t>
      </w:r>
      <w:r w:rsidR="00155E36">
        <w:t xml:space="preserve">  </w:t>
      </w:r>
      <w:r w:rsidR="007C2805">
        <w:t>Dr. Pedro admits the board’s fundamental allegation</w:t>
      </w:r>
      <w:r w:rsidR="006C5637">
        <w:t>, namely</w:t>
      </w:r>
      <w:r w:rsidR="007C2805">
        <w:t xml:space="preserve"> that he has </w:t>
      </w:r>
      <w:r w:rsidR="00AD0D45">
        <w:t>committed this crime</w:t>
      </w:r>
      <w:r w:rsidR="000624B3">
        <w:t>:  b</w:t>
      </w:r>
      <w:r w:rsidR="00161391">
        <w:t xml:space="preserve">y his own </w:t>
      </w:r>
      <w:r w:rsidR="00DF1B53">
        <w:t>confession</w:t>
      </w:r>
      <w:r w:rsidR="00161391">
        <w:t xml:space="preserve">, he paid a woman </w:t>
      </w:r>
      <w:r w:rsidR="00DF1B53">
        <w:t>in exchange for sexual conduct</w:t>
      </w:r>
      <w:r w:rsidR="00161391">
        <w:t xml:space="preserve"> in 2013.</w:t>
      </w:r>
      <w:r w:rsidR="00161391">
        <w:rPr>
          <w:rStyle w:val="FootnoteReference"/>
        </w:rPr>
        <w:footnoteReference w:id="3"/>
      </w:r>
    </w:p>
    <w:p w14:paraId="5DF2DF63" w14:textId="7417A2AD" w:rsidR="003D49A3" w:rsidRDefault="00161391" w:rsidP="003D49A3">
      <w:r>
        <w:t xml:space="preserve">Dr. Pedro’s defense is </w:t>
      </w:r>
      <w:r w:rsidR="001546A8">
        <w:t xml:space="preserve">essentially </w:t>
      </w:r>
      <w:r>
        <w:t xml:space="preserve">that the board </w:t>
      </w:r>
      <w:r w:rsidR="00AD0D45">
        <w:t xml:space="preserve">may </w:t>
      </w:r>
      <w:r w:rsidR="00155E36">
        <w:t>not</w:t>
      </w:r>
      <w:r>
        <w:t xml:space="preserve"> discipline criminal conduct </w:t>
      </w:r>
      <w:r w:rsidR="001546A8">
        <w:t>that</w:t>
      </w:r>
      <w:r w:rsidR="006C5637">
        <w:t xml:space="preserve"> </w:t>
      </w:r>
      <w:r w:rsidR="006C5637">
        <w:rPr>
          <w:i/>
          <w:iCs/>
        </w:rPr>
        <w:t>neither</w:t>
      </w:r>
      <w:r w:rsidR="001546A8">
        <w:t xml:space="preserve"> </w:t>
      </w:r>
      <w:r>
        <w:t>resul</w:t>
      </w:r>
      <w:r w:rsidR="001546A8">
        <w:t>t</w:t>
      </w:r>
      <w:r w:rsidR="006C5637">
        <w:t>ed</w:t>
      </w:r>
      <w:r>
        <w:t xml:space="preserve"> in a conviction </w:t>
      </w:r>
      <w:r w:rsidR="006C5637">
        <w:rPr>
          <w:i/>
          <w:iCs/>
        </w:rPr>
        <w:t xml:space="preserve">nor </w:t>
      </w:r>
      <w:r w:rsidR="006C5637">
        <w:t>ar</w:t>
      </w:r>
      <w:r w:rsidR="00DF1B53">
        <w:t xml:space="preserve">ose </w:t>
      </w:r>
      <w:r w:rsidR="006C5637">
        <w:t xml:space="preserve">from </w:t>
      </w:r>
      <w:r>
        <w:t xml:space="preserve">the practice of medicine.  To be sure, </w:t>
      </w:r>
      <w:r w:rsidR="001546A8">
        <w:t xml:space="preserve">the governing statute, G.L. c. 112, § 5, </w:t>
      </w:r>
      <w:r w:rsidR="00BD5B9C">
        <w:t xml:space="preserve">and </w:t>
      </w:r>
      <w:r w:rsidR="001546A8">
        <w:t xml:space="preserve">the pertinent board regulation, 243 C.M.R. § 1.03, </w:t>
      </w:r>
      <w:r w:rsidR="00BD5B9C">
        <w:t xml:space="preserve">do not </w:t>
      </w:r>
      <w:r w:rsidR="00155E36">
        <w:t>specifically address</w:t>
      </w:r>
      <w:r w:rsidR="00DF1B53">
        <w:t xml:space="preserve"> such </w:t>
      </w:r>
      <w:r w:rsidR="00A913DA">
        <w:t>circumstances</w:t>
      </w:r>
      <w:r w:rsidR="001546A8">
        <w:t xml:space="preserve">.  </w:t>
      </w:r>
      <w:r w:rsidR="006C5637">
        <w:t xml:space="preserve">These enactments </w:t>
      </w:r>
      <w:r w:rsidR="001546A8">
        <w:t>provide for discipline upon “</w:t>
      </w:r>
      <w:r w:rsidR="001546A8" w:rsidRPr="006C5637">
        <w:rPr>
          <w:i/>
          <w:iCs/>
        </w:rPr>
        <w:t>conviction</w:t>
      </w:r>
      <w:r w:rsidR="001546A8">
        <w:t xml:space="preserve"> of any crime.”  </w:t>
      </w:r>
      <w:r w:rsidR="003D49A3">
        <w:t xml:space="preserve">243 C.M.R. </w:t>
      </w:r>
      <w:r w:rsidR="001546A8">
        <w:t>§ 1.03(5)(a)(7)</w:t>
      </w:r>
      <w:r w:rsidR="006C5637">
        <w:t xml:space="preserve"> (emphasis added)</w:t>
      </w:r>
      <w:r w:rsidR="001546A8">
        <w:t xml:space="preserve">.  </w:t>
      </w:r>
      <w:r w:rsidR="003D49A3">
        <w:t>E</w:t>
      </w:r>
      <w:r w:rsidR="001546A8">
        <w:t xml:space="preserve">ven without a conviction, </w:t>
      </w:r>
      <w:r w:rsidR="003D49A3">
        <w:t>the</w:t>
      </w:r>
      <w:r w:rsidR="006C5637">
        <w:t xml:space="preserve"> statute and regulation</w:t>
      </w:r>
      <w:r w:rsidR="003D49A3">
        <w:t xml:space="preserve"> </w:t>
      </w:r>
      <w:r w:rsidR="00BB1AEE">
        <w:t xml:space="preserve">authorize </w:t>
      </w:r>
      <w:r w:rsidR="001546A8">
        <w:t>discipline</w:t>
      </w:r>
      <w:r w:rsidR="003D49A3">
        <w:t xml:space="preserve"> </w:t>
      </w:r>
      <w:r w:rsidR="00BB1AEE">
        <w:t>for</w:t>
      </w:r>
      <w:r w:rsidR="003D49A3">
        <w:t xml:space="preserve"> an</w:t>
      </w:r>
      <w:r w:rsidR="00BB1AEE">
        <w:t>y</w:t>
      </w:r>
      <w:r w:rsidR="003D49A3">
        <w:t xml:space="preserve"> offense “</w:t>
      </w:r>
      <w:r w:rsidR="003D49A3" w:rsidRPr="003D49A3">
        <w:t>relating to the practice of medicine</w:t>
      </w:r>
      <w:r w:rsidR="003D49A3">
        <w:t>.”  G.L. c. 112, § 5(b), (h); 243 C.M.R. § 1.03(5)(a)(2), (11).  The</w:t>
      </w:r>
      <w:r w:rsidR="00DF1B53">
        <w:t xml:space="preserve"> board is also expressly </w:t>
      </w:r>
      <w:r w:rsidR="00BB1AEE">
        <w:t>empowered</w:t>
      </w:r>
      <w:r w:rsidR="003D49A3">
        <w:t xml:space="preserve"> </w:t>
      </w:r>
      <w:r w:rsidR="00DF1B53">
        <w:t xml:space="preserve">to </w:t>
      </w:r>
      <w:r w:rsidR="003D49A3">
        <w:t xml:space="preserve">discipline </w:t>
      </w:r>
      <w:r w:rsidR="00BB1AEE">
        <w:t xml:space="preserve">physicians </w:t>
      </w:r>
      <w:r w:rsidR="00DF1B53">
        <w:t xml:space="preserve">for </w:t>
      </w:r>
      <w:r w:rsidR="003D49A3">
        <w:t>“</w:t>
      </w:r>
      <w:r w:rsidR="003D49A3" w:rsidRPr="003D49A3">
        <w:t>conduct which places into question the physician</w:t>
      </w:r>
      <w:r w:rsidR="003D49A3">
        <w:t>’</w:t>
      </w:r>
      <w:r w:rsidR="003D49A3" w:rsidRPr="003D49A3">
        <w:t>s competence to practice medicine</w:t>
      </w:r>
      <w:r w:rsidR="003D49A3">
        <w:t xml:space="preserve">,” G.L. c. 112, § 5(c); 243 C.M.R. § 1.03(5)(a)(3), </w:t>
      </w:r>
      <w:r w:rsidR="00BD5B9C">
        <w:t>and</w:t>
      </w:r>
      <w:r w:rsidR="003D49A3">
        <w:t xml:space="preserve"> </w:t>
      </w:r>
      <w:r w:rsidR="00DF1B53">
        <w:t>for</w:t>
      </w:r>
      <w:r w:rsidR="003D49A3">
        <w:t xml:space="preserve"> “misconduct </w:t>
      </w:r>
      <w:r w:rsidR="003D49A3" w:rsidRPr="003D49A3">
        <w:t>in the practice of medicine</w:t>
      </w:r>
      <w:r w:rsidR="003D49A3">
        <w:t>,” 243 C.M.R. § 1.03(5)(a)(18).</w:t>
      </w:r>
    </w:p>
    <w:p w14:paraId="2C2D6058" w14:textId="3399A96E" w:rsidR="00FE1105" w:rsidRDefault="00FE1105" w:rsidP="00FE1105">
      <w:r>
        <w:t>The board acknowledges that none of these provisions encompasses Dr. Pedro’s conduct.</w:t>
      </w:r>
    </w:p>
    <w:p w14:paraId="1288B03F" w14:textId="49024C97" w:rsidR="00771363" w:rsidRDefault="00DF1B53" w:rsidP="00771363">
      <w:r>
        <w:t>T</w:t>
      </w:r>
      <w:r w:rsidR="003D49A3">
        <w:t>he Supreme Judicial Court has made plain</w:t>
      </w:r>
      <w:r>
        <w:t>, however,</w:t>
      </w:r>
      <w:r w:rsidR="003D49A3">
        <w:t xml:space="preserve"> that the board’s disciplinary authority is </w:t>
      </w:r>
      <w:r w:rsidR="00FE1105">
        <w:t xml:space="preserve">not </w:t>
      </w:r>
      <w:r w:rsidR="003D49A3">
        <w:t xml:space="preserve">confined to the </w:t>
      </w:r>
      <w:r w:rsidR="00BD5B9C">
        <w:t xml:space="preserve">catalogues stated in </w:t>
      </w:r>
      <w:r w:rsidR="00FE1105">
        <w:t xml:space="preserve">the governing statute and regulation:  “Although formal promulgation may be the best practice, the board may adopt policies by adjudication as well.”  </w:t>
      </w:r>
      <w:r w:rsidR="00155E36" w:rsidRPr="001546A8">
        <w:rPr>
          <w:i/>
          <w:iCs/>
        </w:rPr>
        <w:t>Raymond v. Bd. of Registration in Med.</w:t>
      </w:r>
      <w:r w:rsidR="00155E36">
        <w:t>, 387 Mass. 708, 713 (1982)</w:t>
      </w:r>
      <w:r w:rsidR="00FE1105">
        <w:t xml:space="preserve">; </w:t>
      </w:r>
      <w:proofErr w:type="spellStart"/>
      <w:r w:rsidR="00FE1105" w:rsidRPr="00FE1105">
        <w:rPr>
          <w:i/>
          <w:iCs/>
        </w:rPr>
        <w:t>Aronoff</w:t>
      </w:r>
      <w:proofErr w:type="spellEnd"/>
      <w:r w:rsidR="00FE1105" w:rsidRPr="00FE1105">
        <w:rPr>
          <w:i/>
          <w:iCs/>
        </w:rPr>
        <w:t xml:space="preserve"> v. Bd. of Registration in Med.</w:t>
      </w:r>
      <w:r w:rsidR="00FE1105">
        <w:t xml:space="preserve">, 420 Mass. 830, 833 (1995).  The board availed itself of </w:t>
      </w:r>
      <w:r w:rsidR="004C12CF">
        <w:t>this</w:t>
      </w:r>
      <w:r w:rsidR="00FE1105">
        <w:t xml:space="preserve"> technique in </w:t>
      </w:r>
      <w:r w:rsidR="00FE1105" w:rsidRPr="00FE1105">
        <w:rPr>
          <w:i/>
          <w:iCs/>
        </w:rPr>
        <w:t>Raymond</w:t>
      </w:r>
      <w:r w:rsidR="00FE1105">
        <w:t xml:space="preserve"> by </w:t>
      </w:r>
      <w:r w:rsidR="006C5637">
        <w:t>“</w:t>
      </w:r>
      <w:r w:rsidR="00FE1105">
        <w:t xml:space="preserve">announcing,” </w:t>
      </w:r>
      <w:r w:rsidR="004C12CF">
        <w:t>through</w:t>
      </w:r>
      <w:r w:rsidR="00FE1105">
        <w:t xml:space="preserve"> adjudicative proceedings, “that lack of good moral character and conduct that undermines public confidence in the integrity of the medical profession are grounds for discipline.”  387 Mass. at 713.</w:t>
      </w:r>
    </w:p>
    <w:p w14:paraId="26A25F9E" w14:textId="258495E4" w:rsidR="002471B9" w:rsidRDefault="00FE1105" w:rsidP="00AF0E9E">
      <w:r>
        <w:t xml:space="preserve">Subsequent case law has </w:t>
      </w:r>
      <w:r w:rsidR="00771363">
        <w:t>reiterated</w:t>
      </w:r>
      <w:r w:rsidR="004C12CF">
        <w:t xml:space="preserve"> the validity of </w:t>
      </w:r>
      <w:r>
        <w:t xml:space="preserve">“lack of good moral character” and “conduct that undermines public confidence” </w:t>
      </w:r>
      <w:r w:rsidR="004C12CF">
        <w:t>as predicates</w:t>
      </w:r>
      <w:r>
        <w:t xml:space="preserve"> for discipline.  </w:t>
      </w:r>
      <w:proofErr w:type="spellStart"/>
      <w:r w:rsidRPr="00FE1105">
        <w:rPr>
          <w:i/>
          <w:iCs/>
        </w:rPr>
        <w:t>Aronoff</w:t>
      </w:r>
      <w:proofErr w:type="spellEnd"/>
      <w:r>
        <w:t xml:space="preserve">, 420 Mass. at 833; </w:t>
      </w:r>
      <w:r w:rsidR="004C12CF" w:rsidRPr="004C12CF">
        <w:rPr>
          <w:i/>
          <w:iCs/>
        </w:rPr>
        <w:t>Sugarman v. Bd. of Registration in Med.</w:t>
      </w:r>
      <w:r w:rsidR="004C12CF">
        <w:t>, 422 Mass. 338, 342-43 (1996)</w:t>
      </w:r>
      <w:r w:rsidR="00AF0E9E">
        <w:t xml:space="preserve">; </w:t>
      </w:r>
      <w:r w:rsidR="00AF0E9E" w:rsidRPr="00AF0E9E">
        <w:rPr>
          <w:i/>
          <w:iCs/>
        </w:rPr>
        <w:t xml:space="preserve">Weinberg v. Bd. </w:t>
      </w:r>
      <w:r w:rsidR="00AF0E9E">
        <w:rPr>
          <w:i/>
          <w:iCs/>
        </w:rPr>
        <w:t>o</w:t>
      </w:r>
      <w:r w:rsidR="00AF0E9E" w:rsidRPr="00AF0E9E">
        <w:rPr>
          <w:i/>
          <w:iCs/>
        </w:rPr>
        <w:t xml:space="preserve">f Registration </w:t>
      </w:r>
      <w:r w:rsidR="00AF0E9E">
        <w:rPr>
          <w:i/>
          <w:iCs/>
        </w:rPr>
        <w:t>i</w:t>
      </w:r>
      <w:r w:rsidR="00AF0E9E" w:rsidRPr="00AF0E9E">
        <w:rPr>
          <w:i/>
          <w:iCs/>
        </w:rPr>
        <w:t>n Med.</w:t>
      </w:r>
      <w:r w:rsidR="00AF0E9E" w:rsidRPr="00AF0E9E">
        <w:t>, 443 Mass. 679, 685 (2005)</w:t>
      </w:r>
      <w:r w:rsidR="004C12CF">
        <w:t xml:space="preserve">.  </w:t>
      </w:r>
      <w:r w:rsidR="00AD0D45">
        <w:t>And i</w:t>
      </w:r>
      <w:r w:rsidR="004C12CF">
        <w:t>t is clear that these</w:t>
      </w:r>
      <w:r w:rsidR="006C5637">
        <w:t xml:space="preserve"> </w:t>
      </w:r>
      <w:r w:rsidR="00DF1B53">
        <w:t xml:space="preserve">common law </w:t>
      </w:r>
      <w:r w:rsidR="004C12CF">
        <w:t xml:space="preserve">predicates </w:t>
      </w:r>
      <w:r w:rsidR="00771363">
        <w:t>demand</w:t>
      </w:r>
      <w:r w:rsidR="004C12CF">
        <w:t xml:space="preserve"> </w:t>
      </w:r>
      <w:r w:rsidR="004C12CF">
        <w:rPr>
          <w:i/>
          <w:iCs/>
        </w:rPr>
        <w:t>neither</w:t>
      </w:r>
      <w:r w:rsidR="004C12CF">
        <w:t xml:space="preserve"> criminal</w:t>
      </w:r>
      <w:r w:rsidR="006C5637">
        <w:t xml:space="preserve">ity </w:t>
      </w:r>
      <w:r w:rsidR="004C12CF" w:rsidRPr="004C12CF">
        <w:rPr>
          <w:i/>
          <w:iCs/>
        </w:rPr>
        <w:t>nor</w:t>
      </w:r>
      <w:r w:rsidR="004C12CF">
        <w:t xml:space="preserve"> </w:t>
      </w:r>
      <w:r w:rsidR="004C12CF" w:rsidRPr="004C12CF">
        <w:t>conduct</w:t>
      </w:r>
      <w:r w:rsidR="004C12CF">
        <w:t xml:space="preserve"> </w:t>
      </w:r>
      <w:r w:rsidR="00936C76">
        <w:t>arising from</w:t>
      </w:r>
      <w:r w:rsidR="006C5637">
        <w:t xml:space="preserve"> </w:t>
      </w:r>
      <w:r w:rsidR="004C12CF">
        <w:t xml:space="preserve">the physician’s medical practice.  </w:t>
      </w:r>
      <w:r w:rsidR="004C12CF" w:rsidRPr="00771363">
        <w:rPr>
          <w:i/>
          <w:iCs/>
        </w:rPr>
        <w:t>See</w:t>
      </w:r>
      <w:r w:rsidR="004C12CF">
        <w:t xml:space="preserve"> </w:t>
      </w:r>
      <w:proofErr w:type="spellStart"/>
      <w:r w:rsidR="00771363" w:rsidRPr="00771363">
        <w:rPr>
          <w:i/>
          <w:iCs/>
        </w:rPr>
        <w:t>Aronoff</w:t>
      </w:r>
      <w:proofErr w:type="spellEnd"/>
      <w:r w:rsidR="00771363">
        <w:t>, 420 Mass. at 833 &amp; n.4 (upholding discipline based on doctor-patient</w:t>
      </w:r>
      <w:r w:rsidR="00771363" w:rsidRPr="00771363">
        <w:t xml:space="preserve"> </w:t>
      </w:r>
      <w:r w:rsidR="00771363">
        <w:t xml:space="preserve">commercial transactions, and stating that </w:t>
      </w:r>
      <w:r w:rsidR="00771363" w:rsidRPr="00771363">
        <w:rPr>
          <w:i/>
          <w:iCs/>
        </w:rPr>
        <w:t>Raymond</w:t>
      </w:r>
      <w:r w:rsidR="00771363">
        <w:t xml:space="preserve"> is not “</w:t>
      </w:r>
      <w:r w:rsidR="00771363" w:rsidRPr="00545088">
        <w:t>limited solely to criminal conduct</w:t>
      </w:r>
      <w:r w:rsidR="00771363">
        <w:t xml:space="preserve">”); </w:t>
      </w:r>
      <w:r w:rsidR="00771363" w:rsidRPr="004C12CF">
        <w:rPr>
          <w:i/>
          <w:iCs/>
        </w:rPr>
        <w:t>Sugarman</w:t>
      </w:r>
      <w:r w:rsidR="00771363">
        <w:t>, 422 Mass. at 343 (upholding discipline based on disclosures of confidential information, and stating that the board “is not limited to disciplining conduct involving direct patient care, criminal activity, or deceit”)</w:t>
      </w:r>
      <w:r w:rsidR="00AD0D45">
        <w:t xml:space="preserve">; </w:t>
      </w:r>
      <w:r w:rsidR="00AD0D45" w:rsidRPr="00795230">
        <w:rPr>
          <w:i/>
          <w:iCs/>
        </w:rPr>
        <w:t>Raymond</w:t>
      </w:r>
      <w:r w:rsidR="00AD0D45">
        <w:t xml:space="preserve">, 387 Mass. at 712 (upholding discipline based on possession of unregistered submachine guns).  </w:t>
      </w:r>
      <w:r w:rsidR="006C5637">
        <w:t>T</w:t>
      </w:r>
      <w:r w:rsidR="00771363">
        <w:t>he</w:t>
      </w:r>
      <w:r w:rsidR="007D30DB">
        <w:t xml:space="preserve">re is thus no </w:t>
      </w:r>
      <w:r w:rsidR="007D30DB" w:rsidRPr="009D4D00">
        <w:rPr>
          <w:i/>
          <w:iCs/>
        </w:rPr>
        <w:t>category-</w:t>
      </w:r>
      <w:r w:rsidR="007D30DB" w:rsidRPr="00AD0D45">
        <w:t>based</w:t>
      </w:r>
      <w:r w:rsidR="00771363">
        <w:t xml:space="preserve"> </w:t>
      </w:r>
      <w:r w:rsidR="00346DF0">
        <w:t xml:space="preserve">barrier </w:t>
      </w:r>
      <w:r w:rsidR="00771363">
        <w:t xml:space="preserve">to the imposition of discipline </w:t>
      </w:r>
      <w:r w:rsidR="006C5637">
        <w:t xml:space="preserve">upon </w:t>
      </w:r>
      <w:r w:rsidR="007D30DB">
        <w:t>Dr. Pedro</w:t>
      </w:r>
      <w:r w:rsidR="00771363">
        <w:t>.</w:t>
      </w:r>
    </w:p>
    <w:p w14:paraId="3A60C25E" w14:textId="593BA4EE" w:rsidR="00F738F6" w:rsidRDefault="007D30DB" w:rsidP="00AD0D45">
      <w:r>
        <w:t xml:space="preserve">The </w:t>
      </w:r>
      <w:r w:rsidR="00AF27D2">
        <w:t>question remains whether Dr. Pedro</w:t>
      </w:r>
      <w:r w:rsidR="009D4D00">
        <w:t>’s</w:t>
      </w:r>
      <w:r w:rsidR="00AF27D2">
        <w:t xml:space="preserve"> </w:t>
      </w:r>
      <w:r w:rsidR="00AF27D2" w:rsidRPr="009D4D00">
        <w:rPr>
          <w:i/>
          <w:iCs/>
        </w:rPr>
        <w:t>specific</w:t>
      </w:r>
      <w:r w:rsidR="00AF27D2">
        <w:t xml:space="preserve"> circumstances and conduct reflect poor moral character</w:t>
      </w:r>
      <w:r w:rsidR="00936C76">
        <w:t>,</w:t>
      </w:r>
      <w:r w:rsidR="00AF27D2">
        <w:t xml:space="preserve"> </w:t>
      </w:r>
      <w:r w:rsidR="009D4D00">
        <w:t>or</w:t>
      </w:r>
      <w:r w:rsidR="00AF27D2">
        <w:t xml:space="preserve"> </w:t>
      </w:r>
      <w:r w:rsidR="00BB1AEE">
        <w:t>an</w:t>
      </w:r>
      <w:r w:rsidR="00D17716">
        <w:t>y</w:t>
      </w:r>
      <w:r w:rsidR="00BB1AEE">
        <w:t xml:space="preserve"> </w:t>
      </w:r>
      <w:r w:rsidR="00AF27D2">
        <w:t xml:space="preserve">injury to the public’s confidence in the medical profession.  It </w:t>
      </w:r>
      <w:r w:rsidR="007966BA">
        <w:t>appears to be</w:t>
      </w:r>
      <w:r w:rsidR="00AF27D2">
        <w:t xml:space="preserve"> the board’s unswerving custom to </w:t>
      </w:r>
      <w:r w:rsidR="007966BA">
        <w:t>include the</w:t>
      </w:r>
      <w:r w:rsidR="009D4D00">
        <w:t>se</w:t>
      </w:r>
      <w:r w:rsidR="007966BA">
        <w:t xml:space="preserve"> twin </w:t>
      </w:r>
      <w:r w:rsidR="00E03E04">
        <w:t xml:space="preserve">theories of </w:t>
      </w:r>
      <w:r w:rsidR="009D4D00">
        <w:t xml:space="preserve">wrongdoing </w:t>
      </w:r>
      <w:r w:rsidR="007966BA">
        <w:t xml:space="preserve">in every enforcement action.  The board’s </w:t>
      </w:r>
      <w:r w:rsidR="00E03E04">
        <w:t xml:space="preserve">supporting </w:t>
      </w:r>
      <w:r w:rsidR="007966BA">
        <w:t>argumentation</w:t>
      </w:r>
      <w:r w:rsidR="00613008">
        <w:t>—</w:t>
      </w:r>
      <w:r w:rsidR="00BB1AEE">
        <w:t>here, and routinely</w:t>
      </w:r>
      <w:r w:rsidR="00613008">
        <w:t>—</w:t>
      </w:r>
      <w:r w:rsidR="00E03E04">
        <w:t xml:space="preserve">is that both </w:t>
      </w:r>
      <w:r w:rsidR="009D4D00">
        <w:t xml:space="preserve">theories </w:t>
      </w:r>
      <w:r w:rsidR="007966BA">
        <w:t xml:space="preserve">are within the board’s </w:t>
      </w:r>
      <w:r w:rsidR="004F74C1">
        <w:t>powers</w:t>
      </w:r>
      <w:r w:rsidR="007966BA">
        <w:t xml:space="preserve"> under </w:t>
      </w:r>
      <w:r w:rsidR="007966BA">
        <w:rPr>
          <w:i/>
          <w:iCs/>
        </w:rPr>
        <w:t>Raymond</w:t>
      </w:r>
      <w:r w:rsidR="00263D87">
        <w:t xml:space="preserve">, </w:t>
      </w:r>
      <w:r w:rsidR="00263D87" w:rsidRPr="00263D87">
        <w:rPr>
          <w:i/>
          <w:iCs/>
        </w:rPr>
        <w:t>supra</w:t>
      </w:r>
      <w:r w:rsidR="00263D87">
        <w:t xml:space="preserve">, </w:t>
      </w:r>
      <w:r w:rsidR="007966BA">
        <w:t xml:space="preserve">and </w:t>
      </w:r>
      <w:r w:rsidR="007966BA" w:rsidRPr="00E13B61">
        <w:rPr>
          <w:i/>
          <w:iCs/>
        </w:rPr>
        <w:t>Levy v. Bd. of Registration &amp; Discipline in Med.</w:t>
      </w:r>
      <w:r w:rsidR="007966BA">
        <w:t xml:space="preserve">, 378 Mass. 519 (1979).  </w:t>
      </w:r>
      <w:r w:rsidR="00BB1AEE">
        <w:t>But i</w:t>
      </w:r>
      <w:r w:rsidR="00AD0D45">
        <w:t xml:space="preserve">t should be </w:t>
      </w:r>
      <w:r w:rsidR="00936C76">
        <w:t>obvious</w:t>
      </w:r>
      <w:r w:rsidR="00AD0D45">
        <w:t xml:space="preserve"> that t</w:t>
      </w:r>
      <w:r w:rsidR="007966BA">
        <w:t xml:space="preserve">he </w:t>
      </w:r>
      <w:r w:rsidR="00AF0E9E">
        <w:t xml:space="preserve">overarching </w:t>
      </w:r>
      <w:r w:rsidR="007966BA">
        <w:t xml:space="preserve">validity of </w:t>
      </w:r>
      <w:r w:rsidR="009D4D00">
        <w:t xml:space="preserve">the </w:t>
      </w:r>
      <w:r w:rsidR="00AD0D45">
        <w:t xml:space="preserve">board’s proffered grounds for discipline </w:t>
      </w:r>
      <w:r w:rsidR="007966BA">
        <w:t xml:space="preserve">provides dim guidance </w:t>
      </w:r>
      <w:r w:rsidR="00155E36">
        <w:t xml:space="preserve">for </w:t>
      </w:r>
      <w:r w:rsidR="007966BA">
        <w:t xml:space="preserve">proceedings designed to </w:t>
      </w:r>
      <w:r w:rsidR="00155E36">
        <w:t>adjudicate</w:t>
      </w:r>
      <w:r w:rsidR="007966BA">
        <w:t xml:space="preserve"> whether </w:t>
      </w:r>
      <w:r w:rsidR="00826043">
        <w:t>those grounds</w:t>
      </w:r>
      <w:r w:rsidR="00936C76">
        <w:t xml:space="preserve"> are present in a particular case</w:t>
      </w:r>
      <w:r w:rsidR="007966BA">
        <w:t>.</w:t>
      </w:r>
      <w:r w:rsidR="00E03E04">
        <w:t xml:space="preserve">  </w:t>
      </w:r>
      <w:r w:rsidR="00155E36">
        <w:t>In</w:t>
      </w:r>
      <w:r w:rsidR="00F738F6">
        <w:t xml:space="preserve">consistency, arbitrariness, and caprice loom if assessments of </w:t>
      </w:r>
      <w:r w:rsidR="008E06D2">
        <w:t>“</w:t>
      </w:r>
      <w:r w:rsidR="00F738F6">
        <w:t>morality</w:t>
      </w:r>
      <w:r w:rsidR="008E06D2">
        <w:t>”</w:t>
      </w:r>
      <w:r w:rsidR="00F738F6">
        <w:t xml:space="preserve"> and </w:t>
      </w:r>
      <w:r w:rsidR="00936C76">
        <w:t xml:space="preserve">of </w:t>
      </w:r>
      <w:r w:rsidR="00A913DA">
        <w:t>a</w:t>
      </w:r>
      <w:r w:rsidR="00AD0D45">
        <w:t xml:space="preserve"> </w:t>
      </w:r>
      <w:r w:rsidR="00F738F6">
        <w:t xml:space="preserve">profession’s public </w:t>
      </w:r>
      <w:r w:rsidR="008E06D2">
        <w:t>“</w:t>
      </w:r>
      <w:r w:rsidR="00F738F6">
        <w:t>image</w:t>
      </w:r>
      <w:r w:rsidR="008E06D2">
        <w:t>”</w:t>
      </w:r>
      <w:r w:rsidR="00F738F6">
        <w:t xml:space="preserve"> are shaped </w:t>
      </w:r>
      <w:r w:rsidR="00F738F6" w:rsidRPr="00D17716">
        <w:t>neither</w:t>
      </w:r>
      <w:r w:rsidR="00F738F6">
        <w:t xml:space="preserve"> </w:t>
      </w:r>
      <w:r w:rsidR="00263D87">
        <w:t xml:space="preserve">by definite </w:t>
      </w:r>
      <w:r w:rsidR="00F738F6">
        <w:t xml:space="preserve">regulations </w:t>
      </w:r>
      <w:r w:rsidR="00F738F6" w:rsidRPr="00D17716">
        <w:t>nor</w:t>
      </w:r>
      <w:r w:rsidR="00F738F6">
        <w:t xml:space="preserve"> </w:t>
      </w:r>
      <w:r w:rsidR="00D17716">
        <w:t xml:space="preserve">even </w:t>
      </w:r>
      <w:r w:rsidR="00263D87">
        <w:t>by fact-based</w:t>
      </w:r>
      <w:r w:rsidR="00F738F6">
        <w:t xml:space="preserve"> precedent</w:t>
      </w:r>
      <w:r w:rsidR="00263D87">
        <w:t>s.</w:t>
      </w:r>
    </w:p>
    <w:p w14:paraId="01514F88" w14:textId="71DF747F" w:rsidR="00EE2407" w:rsidRDefault="00263D87" w:rsidP="00EE2407">
      <w:r>
        <w:t xml:space="preserve">Nevertheless, the case law offers sufficient guidance to </w:t>
      </w:r>
      <w:r w:rsidR="00155E36">
        <w:t>disclose</w:t>
      </w:r>
      <w:r>
        <w:t xml:space="preserve"> that </w:t>
      </w:r>
      <w:r w:rsidR="00BB1AEE">
        <w:t xml:space="preserve">here </w:t>
      </w:r>
      <w:r>
        <w:t xml:space="preserve">the board has established the disciplinary </w:t>
      </w:r>
      <w:r w:rsidR="00936C76">
        <w:t xml:space="preserve">theories </w:t>
      </w:r>
      <w:r>
        <w:t xml:space="preserve">it advances.  </w:t>
      </w:r>
      <w:r w:rsidR="001011CC">
        <w:rPr>
          <w:i/>
          <w:iCs/>
        </w:rPr>
        <w:t>Raymond</w:t>
      </w:r>
      <w:r w:rsidR="001011CC">
        <w:t xml:space="preserve">’s </w:t>
      </w:r>
      <w:r w:rsidR="006E184A">
        <w:t>mora</w:t>
      </w:r>
      <w:r w:rsidR="001011CC">
        <w:t>l</w:t>
      </w:r>
      <w:r w:rsidR="00BB1AEE">
        <w:t>ity</w:t>
      </w:r>
      <w:r w:rsidR="006E184A">
        <w:t xml:space="preserve">- and </w:t>
      </w:r>
      <w:r w:rsidR="00BB1AEE">
        <w:t>public-confidence</w:t>
      </w:r>
      <w:r w:rsidR="006E184A">
        <w:t xml:space="preserve">-based </w:t>
      </w:r>
      <w:r w:rsidR="00936C76">
        <w:t xml:space="preserve">grounds </w:t>
      </w:r>
      <w:r w:rsidR="006E184A">
        <w:t xml:space="preserve">for discipline </w:t>
      </w:r>
      <w:r w:rsidR="001011CC">
        <w:t>attach</w:t>
      </w:r>
      <w:r w:rsidR="00AD0D45">
        <w:t xml:space="preserve"> at least</w:t>
      </w:r>
      <w:r w:rsidR="006E184A">
        <w:t xml:space="preserve"> </w:t>
      </w:r>
      <w:r w:rsidR="001011CC">
        <w:t xml:space="preserve">to </w:t>
      </w:r>
      <w:r w:rsidR="006E184A">
        <w:t xml:space="preserve">conduct “antithetical to a commitment to preserve life, alleviate suffering, and restore health.”  387 Mass. at 712.  </w:t>
      </w:r>
      <w:r w:rsidR="001011CC">
        <w:t xml:space="preserve">The board has stated repeatedly and without qualification that “criminal conduct” is antithetical to these core values.  </w:t>
      </w:r>
      <w:r w:rsidR="006E184A" w:rsidRPr="001011CC">
        <w:rPr>
          <w:i/>
          <w:iCs/>
        </w:rPr>
        <w:t xml:space="preserve">In the Matter of </w:t>
      </w:r>
      <w:proofErr w:type="spellStart"/>
      <w:r w:rsidR="006E184A" w:rsidRPr="001011CC">
        <w:rPr>
          <w:i/>
          <w:iCs/>
        </w:rPr>
        <w:t>Tamaren</w:t>
      </w:r>
      <w:proofErr w:type="spellEnd"/>
      <w:r w:rsidR="006E184A">
        <w:t>, No. 2008-10, slip op. at 3 (BORIM Nov. 4, 2009)</w:t>
      </w:r>
      <w:r w:rsidR="001011CC">
        <w:t xml:space="preserve">; </w:t>
      </w:r>
      <w:r w:rsidR="006E184A" w:rsidRPr="001011CC">
        <w:rPr>
          <w:i/>
          <w:iCs/>
        </w:rPr>
        <w:t xml:space="preserve">In the </w:t>
      </w:r>
      <w:r w:rsidR="001011CC" w:rsidRPr="001011CC">
        <w:rPr>
          <w:i/>
          <w:iCs/>
        </w:rPr>
        <w:t>M</w:t>
      </w:r>
      <w:r w:rsidR="006E184A" w:rsidRPr="001011CC">
        <w:rPr>
          <w:i/>
          <w:iCs/>
        </w:rPr>
        <w:t>atter of Romano</w:t>
      </w:r>
      <w:r w:rsidR="006E184A">
        <w:t>, No. 2005-26, slip op. at 1 (BORIM Apr. 12, 2006)</w:t>
      </w:r>
      <w:r w:rsidR="001011CC">
        <w:t xml:space="preserve">; </w:t>
      </w:r>
      <w:r w:rsidR="006E184A" w:rsidRPr="001011CC">
        <w:rPr>
          <w:i/>
          <w:iCs/>
        </w:rPr>
        <w:t xml:space="preserve">In the Matter of </w:t>
      </w:r>
      <w:proofErr w:type="spellStart"/>
      <w:r w:rsidR="006E184A" w:rsidRPr="001011CC">
        <w:rPr>
          <w:i/>
          <w:iCs/>
        </w:rPr>
        <w:t>Kobrin</w:t>
      </w:r>
      <w:proofErr w:type="spellEnd"/>
      <w:r w:rsidR="006E184A">
        <w:t xml:space="preserve">, No. 03-27-DALA, slip op. at 1-2 (BORIM Nov. 17, 2004), </w:t>
      </w:r>
      <w:r w:rsidR="001011CC" w:rsidRPr="001011CC">
        <w:rPr>
          <w:i/>
          <w:iCs/>
        </w:rPr>
        <w:t>aff’d</w:t>
      </w:r>
      <w:r w:rsidR="001011CC">
        <w:t xml:space="preserve">, 444 Mass. 837 (2005).  The board has stated further that </w:t>
      </w:r>
      <w:r w:rsidR="00AD0D45">
        <w:t xml:space="preserve">such </w:t>
      </w:r>
      <w:r w:rsidR="001011CC">
        <w:t xml:space="preserve">conduct </w:t>
      </w:r>
      <w:r w:rsidR="00EE2407">
        <w:t xml:space="preserve">reflects poor moral character and injures the profession’s image even “[w]here criminal cases have not resulted in a conviction.”  </w:t>
      </w:r>
      <w:r w:rsidR="00EE2407" w:rsidRPr="00EE2407">
        <w:rPr>
          <w:i/>
          <w:iCs/>
        </w:rPr>
        <w:t xml:space="preserve">In the Matter of </w:t>
      </w:r>
      <w:proofErr w:type="spellStart"/>
      <w:r w:rsidR="00EE2407" w:rsidRPr="00EE2407">
        <w:rPr>
          <w:i/>
          <w:iCs/>
        </w:rPr>
        <w:t>Barrocas</w:t>
      </w:r>
      <w:proofErr w:type="spellEnd"/>
      <w:r w:rsidR="00EE2407">
        <w:t xml:space="preserve">, No. 2020-27, slip op. at 4-5 (BORIM Dec. 17, 2020) (collecting cases).  This case law reflects a significant expansion upon the regulation </w:t>
      </w:r>
      <w:r w:rsidR="00D17716">
        <w:t>authorizing</w:t>
      </w:r>
      <w:r w:rsidR="00EE2407">
        <w:t xml:space="preserve"> discipline </w:t>
      </w:r>
      <w:r w:rsidR="00D17716">
        <w:t>for</w:t>
      </w:r>
      <w:r w:rsidR="00EE2407">
        <w:t xml:space="preserve"> “</w:t>
      </w:r>
      <w:r w:rsidR="00EE2407" w:rsidRPr="006C5637">
        <w:rPr>
          <w:i/>
          <w:iCs/>
        </w:rPr>
        <w:t>conviction</w:t>
      </w:r>
      <w:r w:rsidR="00EE2407">
        <w:t xml:space="preserve"> of any crime</w:t>
      </w:r>
      <w:r w:rsidR="00155E36">
        <w:t>,</w:t>
      </w:r>
      <w:r w:rsidR="00EE2407">
        <w:t>” 243 C.M.R. § 1.03(5)(a)(7) (emphasis added)</w:t>
      </w:r>
      <w:r w:rsidR="00155E36">
        <w:t>:</w:t>
      </w:r>
      <w:r w:rsidR="00EE2407">
        <w:t xml:space="preserve"> </w:t>
      </w:r>
      <w:r w:rsidR="00155E36">
        <w:t xml:space="preserve"> b</w:t>
      </w:r>
      <w:r w:rsidR="00EE2407">
        <w:t xml:space="preserve">ut </w:t>
      </w:r>
      <w:r w:rsidR="00EE2407" w:rsidRPr="00EE2407">
        <w:rPr>
          <w:i/>
          <w:iCs/>
        </w:rPr>
        <w:t>Raymond</w:t>
      </w:r>
      <w:r w:rsidR="00EE2407">
        <w:t xml:space="preserve"> and its progeny bless the board’s </w:t>
      </w:r>
      <w:r w:rsidR="00D17716">
        <w:t>power</w:t>
      </w:r>
      <w:r w:rsidR="00EE2407">
        <w:t xml:space="preserve"> to </w:t>
      </w:r>
      <w:proofErr w:type="gramStart"/>
      <w:r w:rsidR="00EE2407">
        <w:t>effect</w:t>
      </w:r>
      <w:proofErr w:type="gramEnd"/>
      <w:r w:rsidR="00EE2407">
        <w:t xml:space="preserve"> such expansions through adjudication.</w:t>
      </w:r>
    </w:p>
    <w:p w14:paraId="0556BAA8" w14:textId="57C79414" w:rsidR="00545088" w:rsidRDefault="00EE2407" w:rsidP="00794FE5">
      <w:r>
        <w:t>The result is that Dr. Pedro’s criminal behavior of “pay[</w:t>
      </w:r>
      <w:proofErr w:type="spellStart"/>
      <w:r>
        <w:t>ing</w:t>
      </w:r>
      <w:proofErr w:type="spellEnd"/>
      <w:r>
        <w:t>] . . . another person to engage in sexual conduct,” G.L. c. 272, § 53A(b), establishes “</w:t>
      </w:r>
      <w:r w:rsidRPr="00EE2407">
        <w:t>lack of good moral character</w:t>
      </w:r>
      <w:r>
        <w:t>”</w:t>
      </w:r>
      <w:r w:rsidRPr="00EE2407">
        <w:t xml:space="preserve"> and </w:t>
      </w:r>
      <w:r>
        <w:t>“</w:t>
      </w:r>
      <w:r w:rsidRPr="00EE2407">
        <w:t>conduct that undermines public confidence in the integrity of the medical profession</w:t>
      </w:r>
      <w:r>
        <w:t xml:space="preserve">” within the meaning of </w:t>
      </w:r>
      <w:r w:rsidRPr="00794FE5">
        <w:rPr>
          <w:i/>
          <w:iCs/>
        </w:rPr>
        <w:t>Raymond</w:t>
      </w:r>
      <w:r>
        <w:t xml:space="preserve">.  This result is independent of any analysis of </w:t>
      </w:r>
      <w:r w:rsidR="00794FE5">
        <w:t xml:space="preserve">the </w:t>
      </w:r>
      <w:r>
        <w:t>social value</w:t>
      </w:r>
      <w:r w:rsidR="00794FE5">
        <w:t>s</w:t>
      </w:r>
      <w:r>
        <w:t xml:space="preserve"> underlying the</w:t>
      </w:r>
      <w:r w:rsidR="00A913DA">
        <w:t xml:space="preserve"> specific</w:t>
      </w:r>
      <w:r>
        <w:t xml:space="preserve"> offense</w:t>
      </w:r>
      <w:r w:rsidR="00AD0D45">
        <w:t xml:space="preserve"> at issue</w:t>
      </w:r>
      <w:r w:rsidR="00794FE5">
        <w:t>.</w:t>
      </w:r>
      <w:r w:rsidR="00AD0D45">
        <w:t xml:space="preserve">  </w:t>
      </w:r>
      <w:r w:rsidR="00AD0D45" w:rsidRPr="00AD0D45">
        <w:rPr>
          <w:i/>
          <w:iCs/>
        </w:rPr>
        <w:t>See generally</w:t>
      </w:r>
      <w:r w:rsidR="00AD0D45">
        <w:t xml:space="preserve"> Acts 2011, c. 178 (</w:t>
      </w:r>
      <w:r w:rsidR="00936C76">
        <w:t xml:space="preserve">enacting the current version of § 53A, and bearing the title </w:t>
      </w:r>
      <w:r w:rsidR="00AD0D45">
        <w:t>“An Act Relative to the Commercial Exploitation of People”).</w:t>
      </w:r>
    </w:p>
    <w:p w14:paraId="150711BA" w14:textId="6A1B42ED" w:rsidR="00794FE5" w:rsidRDefault="00155E36" w:rsidP="00794FE5">
      <w:r>
        <w:t>It will be for the board to determine the appropriate sanction</w:t>
      </w:r>
      <w:r w:rsidR="00AF0E9E">
        <w:t>, if any,</w:t>
      </w:r>
      <w:r>
        <w:t xml:space="preserve"> </w:t>
      </w:r>
      <w:r w:rsidR="00AD0D45">
        <w:t>upon</w:t>
      </w:r>
      <w:r>
        <w:t xml:space="preserve"> consideration of all relevant facts and circumstances.  It </w:t>
      </w:r>
      <w:r w:rsidR="00AA756E">
        <w:t>seems</w:t>
      </w:r>
      <w:r>
        <w:t xml:space="preserve"> especially weighty that Dr. Pedro’s criminal offense occurred approximately eight years ago, and that he has been an excellent physician and colleague before and since.  </w:t>
      </w:r>
      <w:r w:rsidR="00AA756E">
        <w:t>T</w:t>
      </w:r>
      <w:r w:rsidR="004737B0">
        <w:t xml:space="preserve">he unhappy circumstances of Dr. Pedro’s first marriage </w:t>
      </w:r>
      <w:r>
        <w:t xml:space="preserve">do not </w:t>
      </w:r>
      <w:r w:rsidR="00AA756E">
        <w:t xml:space="preserve">appear to </w:t>
      </w:r>
      <w:r w:rsidR="00D17716">
        <w:t>present</w:t>
      </w:r>
      <w:r w:rsidR="00AA756E">
        <w:t xml:space="preserve"> </w:t>
      </w:r>
      <w:r>
        <w:t xml:space="preserve">great significance </w:t>
      </w:r>
      <w:r w:rsidR="004737B0">
        <w:t xml:space="preserve">for </w:t>
      </w:r>
      <w:r>
        <w:t xml:space="preserve">mitigation </w:t>
      </w:r>
      <w:r w:rsidR="004737B0">
        <w:t>purposes</w:t>
      </w:r>
      <w:r>
        <w:t>.</w:t>
      </w:r>
    </w:p>
    <w:p w14:paraId="3D23CF5D" w14:textId="00995675" w:rsidR="00057687" w:rsidRDefault="000647C2" w:rsidP="00262188">
      <w:pPr>
        <w:pStyle w:val="Heading1"/>
      </w:pPr>
      <w:r>
        <w:t>Conclusion</w:t>
      </w:r>
    </w:p>
    <w:p w14:paraId="04984D37" w14:textId="6F264D89" w:rsidR="004737B0" w:rsidRDefault="00AA756E" w:rsidP="004737B0">
      <w:r>
        <w:t xml:space="preserve">I recommend the </w:t>
      </w:r>
      <w:r w:rsidR="004737B0">
        <w:t xml:space="preserve">findings of fact </w:t>
      </w:r>
      <w:r w:rsidR="00BB1AEE">
        <w:t xml:space="preserve">stated in numbered </w:t>
      </w:r>
      <w:r w:rsidR="004737B0">
        <w:t xml:space="preserve">paragraphs 1-11 </w:t>
      </w:r>
      <w:r w:rsidR="004737B0" w:rsidRPr="004737B0">
        <w:rPr>
          <w:i/>
          <w:iCs/>
        </w:rPr>
        <w:t>supra</w:t>
      </w:r>
      <w:r w:rsidR="004737B0">
        <w:t xml:space="preserve">.  </w:t>
      </w:r>
      <w:r>
        <w:t xml:space="preserve">I recommend the ruling of law </w:t>
      </w:r>
      <w:r w:rsidR="004737B0">
        <w:t>that the board has established “</w:t>
      </w:r>
      <w:r w:rsidR="004737B0" w:rsidRPr="00EE2407">
        <w:t>lack of good moral character</w:t>
      </w:r>
      <w:r w:rsidR="004737B0">
        <w:t>”</w:t>
      </w:r>
      <w:r w:rsidR="004737B0" w:rsidRPr="00EE2407">
        <w:t xml:space="preserve"> and </w:t>
      </w:r>
      <w:r w:rsidR="004737B0">
        <w:t>“</w:t>
      </w:r>
      <w:r w:rsidR="004737B0" w:rsidRPr="00EE2407">
        <w:t>conduct that undermines public confidence in the integrity of the medical profession</w:t>
      </w:r>
      <w:r w:rsidR="004737B0">
        <w:t xml:space="preserve">” within the meaning of </w:t>
      </w:r>
      <w:r w:rsidR="004737B0" w:rsidRPr="001546A8">
        <w:rPr>
          <w:i/>
          <w:iCs/>
        </w:rPr>
        <w:t>Raymond v. Bd. of Registration in Med.</w:t>
      </w:r>
      <w:r w:rsidR="004737B0">
        <w:t>, 387 Mass. 708 (1982).</w:t>
      </w:r>
    </w:p>
    <w:p w14:paraId="63936EB1" w14:textId="77777777" w:rsidR="004737B0" w:rsidRDefault="004737B0" w:rsidP="004737B0"/>
    <w:p w14:paraId="085C4558" w14:textId="71582A53" w:rsidR="00FE3340" w:rsidRDefault="000647C2" w:rsidP="000647C2">
      <w:pPr>
        <w:pStyle w:val="PlainText1"/>
        <w:keepNext/>
      </w:pPr>
      <w:r>
        <w:t>DIVISION OF ADMINISTRATIVE LAW APPEALS</w:t>
      </w:r>
    </w:p>
    <w:p w14:paraId="56DD0574" w14:textId="77777777" w:rsidR="00FE3340" w:rsidRDefault="00FE3340" w:rsidP="000647C2">
      <w:pPr>
        <w:pStyle w:val="PlainText1"/>
        <w:keepNext/>
      </w:pPr>
    </w:p>
    <w:p w14:paraId="78270DBA" w14:textId="39AC0EF9" w:rsidR="001944A3" w:rsidRPr="00DE660F" w:rsidRDefault="00DE660F" w:rsidP="000647C2">
      <w:pPr>
        <w:pStyle w:val="PlainText1"/>
        <w:keepNext/>
        <w:rPr>
          <w:u w:val="single"/>
        </w:rPr>
      </w:pPr>
      <w:r>
        <w:rPr>
          <w:u w:val="single"/>
        </w:rPr>
        <w:t>Signed by Edward B. McGrath</w:t>
      </w:r>
      <w:r>
        <w:rPr>
          <w:u w:val="single"/>
        </w:rPr>
        <w:tab/>
      </w:r>
      <w:bookmarkStart w:id="0" w:name="_GoBack"/>
      <w:bookmarkEnd w:id="0"/>
    </w:p>
    <w:p w14:paraId="0D468991" w14:textId="30583564" w:rsidR="00FE3340" w:rsidRDefault="006F52F5" w:rsidP="000647C2">
      <w:pPr>
        <w:pStyle w:val="PlainText1"/>
        <w:keepNext/>
      </w:pPr>
      <w:r>
        <w:t>Edward B. McGrath</w:t>
      </w:r>
    </w:p>
    <w:p w14:paraId="55974E4E" w14:textId="4CD77D92" w:rsidR="00FE3340" w:rsidRDefault="006F52F5" w:rsidP="004737B0">
      <w:pPr>
        <w:pStyle w:val="PlainText1"/>
        <w:keepNext/>
      </w:pPr>
      <w:r>
        <w:t xml:space="preserve">Chief </w:t>
      </w:r>
      <w:r w:rsidR="00FE3340">
        <w:t>Administrative Magistrate</w:t>
      </w:r>
    </w:p>
    <w:p w14:paraId="01F93065" w14:textId="4FC24AD0" w:rsidR="003611BD" w:rsidRDefault="003611BD" w:rsidP="004737B0">
      <w:pPr>
        <w:pStyle w:val="PlainText1"/>
        <w:keepNext/>
      </w:pPr>
    </w:p>
    <w:p w14:paraId="6BBCE946" w14:textId="76A2D72C" w:rsidR="003611BD" w:rsidRPr="00E22152" w:rsidRDefault="003611BD" w:rsidP="004737B0">
      <w:pPr>
        <w:pStyle w:val="PlainText1"/>
        <w:keepNext/>
      </w:pPr>
      <w:r>
        <w:t>Dated:</w:t>
      </w:r>
      <w:r w:rsidR="00FD76C6">
        <w:t xml:space="preserve"> June 28, 2021</w:t>
      </w:r>
    </w:p>
    <w:sectPr w:rsidR="003611BD" w:rsidRPr="00E22152" w:rsidSect="00A64A4D">
      <w:headerReference w:type="default"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2F6D3" w14:textId="77777777" w:rsidR="00E678A2" w:rsidRDefault="00E678A2" w:rsidP="00E22152">
      <w:r>
        <w:separator/>
      </w:r>
    </w:p>
  </w:endnote>
  <w:endnote w:type="continuationSeparator" w:id="0">
    <w:p w14:paraId="2A858B80" w14:textId="77777777" w:rsidR="00E678A2" w:rsidRDefault="00E678A2" w:rsidP="00E2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B86B" w14:textId="77777777" w:rsidR="004C12CF" w:rsidRPr="00A64A4D" w:rsidRDefault="00347E5C" w:rsidP="008C1F51">
    <w:pPr>
      <w:pStyle w:val="PlainText1"/>
      <w:jc w:val="center"/>
    </w:pPr>
    <w:sdt>
      <w:sdtPr>
        <w:id w:val="-868615135"/>
        <w:docPartObj>
          <w:docPartGallery w:val="Page Numbers (Bottom of Page)"/>
          <w:docPartUnique/>
        </w:docPartObj>
      </w:sdtPr>
      <w:sdtEndPr>
        <w:rPr>
          <w:noProof/>
        </w:rPr>
      </w:sdtEndPr>
      <w:sdtContent>
        <w:r w:rsidR="004C12CF" w:rsidRPr="00A64A4D">
          <w:fldChar w:fldCharType="begin"/>
        </w:r>
        <w:r w:rsidR="004C12CF" w:rsidRPr="00A64A4D">
          <w:instrText xml:space="preserve"> PAGE   \* MERGEFORMAT </w:instrText>
        </w:r>
        <w:r w:rsidR="004C12CF" w:rsidRPr="00A64A4D">
          <w:fldChar w:fldCharType="separate"/>
        </w:r>
        <w:r w:rsidR="009767C9">
          <w:rPr>
            <w:noProof/>
          </w:rPr>
          <w:t>7</w:t>
        </w:r>
        <w:r w:rsidR="004C12CF" w:rsidRPr="00A64A4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BCDA9" w14:textId="77777777" w:rsidR="00E678A2" w:rsidRDefault="00E678A2" w:rsidP="00E22152">
      <w:r>
        <w:separator/>
      </w:r>
    </w:p>
  </w:footnote>
  <w:footnote w:type="continuationSeparator" w:id="0">
    <w:p w14:paraId="0815343C" w14:textId="77777777" w:rsidR="00E678A2" w:rsidRDefault="00E678A2" w:rsidP="00E22152">
      <w:r>
        <w:continuationSeparator/>
      </w:r>
    </w:p>
  </w:footnote>
  <w:footnote w:id="1">
    <w:p w14:paraId="10787200" w14:textId="67F47E71" w:rsidR="00303CF6" w:rsidRDefault="00303CF6">
      <w:pPr>
        <w:pStyle w:val="FootnoteText"/>
      </w:pPr>
      <w:r>
        <w:rPr>
          <w:rStyle w:val="FootnoteReference"/>
        </w:rPr>
        <w:footnoteRef/>
      </w:r>
      <w:r>
        <w:t xml:space="preserve"> </w:t>
      </w:r>
      <w:r w:rsidR="00AD0D45">
        <w:t>This recommended decision cites h</w:t>
      </w:r>
      <w:r>
        <w:t xml:space="preserve">earing testimony by </w:t>
      </w:r>
      <w:r w:rsidR="00AD0D45">
        <w:t>witness name and transcript page number</w:t>
      </w:r>
      <w:r>
        <w:t>.</w:t>
      </w:r>
    </w:p>
  </w:footnote>
  <w:footnote w:id="2">
    <w:p w14:paraId="5987FA9F" w14:textId="4E744EC8" w:rsidR="004C12CF" w:rsidRDefault="004C12CF" w:rsidP="00380A0C">
      <w:pPr>
        <w:pStyle w:val="FootnoteText"/>
      </w:pPr>
      <w:r>
        <w:rPr>
          <w:rStyle w:val="FootnoteReference"/>
        </w:rPr>
        <w:footnoteRef/>
      </w:r>
      <w:r>
        <w:t xml:space="preserve"> </w:t>
      </w:r>
      <w:r w:rsidR="00976EB8">
        <w:t>The board alleges</w:t>
      </w:r>
      <w:r>
        <w:t xml:space="preserve"> that Dr. Pedro also paid the other woman for sex, but I do not find th</w:t>
      </w:r>
      <w:r w:rsidR="00936C76">
        <w:t>is</w:t>
      </w:r>
      <w:r>
        <w:t xml:space="preserve"> allegation </w:t>
      </w:r>
      <w:r w:rsidR="00976EB8">
        <w:t xml:space="preserve">proven </w:t>
      </w:r>
      <w:r>
        <w:t xml:space="preserve">by a preponderance of the evidence.  Dr. Pedro’s insistence at the hearing that he paid </w:t>
      </w:r>
      <w:r w:rsidR="000624B3">
        <w:t>for sex on one occasion</w:t>
      </w:r>
      <w:r w:rsidR="00303CF6">
        <w:t>,</w:t>
      </w:r>
      <w:r w:rsidR="000624B3">
        <w:t xml:space="preserve"> in 2013</w:t>
      </w:r>
      <w:r w:rsidR="00303CF6">
        <w:t>,</w:t>
      </w:r>
      <w:r>
        <w:t xml:space="preserve"> conflicted </w:t>
      </w:r>
      <w:r w:rsidR="00A913DA">
        <w:t xml:space="preserve">only </w:t>
      </w:r>
      <w:r>
        <w:t xml:space="preserve">with investigator Mello’s recollection of Dr. Pedro’s admissions to the board in 2017.  It is at least plausible that Dr. Pedro did not make all pertinent details unambiguous at </w:t>
      </w:r>
      <w:r w:rsidR="00936C76">
        <w:t xml:space="preserve">the 2017 </w:t>
      </w:r>
      <w:r>
        <w:t>meeting.</w:t>
      </w:r>
    </w:p>
  </w:footnote>
  <w:footnote w:id="3">
    <w:p w14:paraId="519CCE08" w14:textId="1C8E226A" w:rsidR="004C12CF" w:rsidRDefault="004C12CF">
      <w:pPr>
        <w:pStyle w:val="FootnoteText"/>
      </w:pPr>
      <w:r>
        <w:rPr>
          <w:rStyle w:val="FootnoteReference"/>
        </w:rPr>
        <w:footnoteRef/>
      </w:r>
      <w:r>
        <w:t xml:space="preserve"> </w:t>
      </w:r>
      <w:r w:rsidR="00DF1B53">
        <w:t xml:space="preserve">It is not necessary to resolve the unbriefed question of </w:t>
      </w:r>
      <w:r>
        <w:t>whether</w:t>
      </w:r>
      <w:r w:rsidR="00DF1B53">
        <w:t xml:space="preserve">, in his 2012 and 2015 assignations, </w:t>
      </w:r>
      <w:r>
        <w:t>Dr. Pedro</w:t>
      </w:r>
      <w:r w:rsidR="00DF1B53">
        <w:t xml:space="preserve"> “agreed” </w:t>
      </w:r>
      <w:r>
        <w:t>to pay for sex within the meaning of G.L. c. 272, § 53A(b).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5"/>
      <w:gridCol w:w="4675"/>
    </w:tblGrid>
    <w:tr w:rsidR="004C12CF" w14:paraId="441E0007" w14:textId="77777777" w:rsidTr="00F3449D">
      <w:tc>
        <w:tcPr>
          <w:tcW w:w="4675" w:type="dxa"/>
        </w:tcPr>
        <w:p w14:paraId="2E9CB31B" w14:textId="4032E36D" w:rsidR="004C12CF" w:rsidRPr="0092449B" w:rsidRDefault="004C12CF" w:rsidP="00F3449D">
          <w:pPr>
            <w:pStyle w:val="PlainText1"/>
            <w:rPr>
              <w:i/>
              <w:iCs/>
            </w:rPr>
          </w:pPr>
          <w:r>
            <w:rPr>
              <w:i/>
              <w:iCs/>
            </w:rPr>
            <w:t>BORIM v. Pedro</w:t>
          </w:r>
        </w:p>
      </w:tc>
      <w:tc>
        <w:tcPr>
          <w:tcW w:w="4675" w:type="dxa"/>
        </w:tcPr>
        <w:p w14:paraId="4C8FCFA6" w14:textId="170E22CC" w:rsidR="004C12CF" w:rsidRPr="0017326F" w:rsidRDefault="004C12CF" w:rsidP="00F3449D">
          <w:pPr>
            <w:pStyle w:val="PlainText1"/>
            <w:jc w:val="right"/>
            <w:rPr>
              <w:i/>
              <w:iCs/>
            </w:rPr>
          </w:pPr>
          <w:r>
            <w:rPr>
              <w:i/>
              <w:iCs/>
            </w:rPr>
            <w:t>RM-18-622</w:t>
          </w:r>
        </w:p>
      </w:tc>
    </w:tr>
  </w:tbl>
  <w:p w14:paraId="4DF3D586" w14:textId="77777777" w:rsidR="004C12CF" w:rsidRPr="00F3449D" w:rsidRDefault="004C12CF" w:rsidP="00F3449D">
    <w:pPr>
      <w:pStyle w:val="PlainText1"/>
      <w:jc w:val="center"/>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7621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D04F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69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40BB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5053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2C8E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4A9D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0E22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4E5F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061E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8B4658"/>
    <w:multiLevelType w:val="hybridMultilevel"/>
    <w:tmpl w:val="ADA64248"/>
    <w:lvl w:ilvl="0" w:tplc="2EE45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D9107E"/>
    <w:multiLevelType w:val="hybridMultilevel"/>
    <w:tmpl w:val="B48CFEA6"/>
    <w:lvl w:ilvl="0" w:tplc="E18A1568">
      <w:start w:val="1"/>
      <w:numFmt w:val="decimal"/>
      <w:lvlText w:val="%1."/>
      <w:lvlJc w:val="left"/>
      <w:pPr>
        <w:ind w:left="1440" w:hanging="360"/>
      </w:pPr>
      <w:rPr>
        <w:rFonts w:hint="default"/>
      </w:rPr>
    </w:lvl>
    <w:lvl w:ilvl="1" w:tplc="B15A813C">
      <w:start w:val="1"/>
      <w:numFmt w:val="decimal"/>
      <w:pStyle w:val="ListedFindings"/>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F6C"/>
    <w:rsid w:val="0000424D"/>
    <w:rsid w:val="00010B8E"/>
    <w:rsid w:val="000116EF"/>
    <w:rsid w:val="00013F96"/>
    <w:rsid w:val="000327FB"/>
    <w:rsid w:val="0004402C"/>
    <w:rsid w:val="00057687"/>
    <w:rsid w:val="000624B3"/>
    <w:rsid w:val="000647C2"/>
    <w:rsid w:val="000A00EF"/>
    <w:rsid w:val="000B3E25"/>
    <w:rsid w:val="000B4192"/>
    <w:rsid w:val="000C09ED"/>
    <w:rsid w:val="000F56F3"/>
    <w:rsid w:val="001011CC"/>
    <w:rsid w:val="001546A8"/>
    <w:rsid w:val="00155E36"/>
    <w:rsid w:val="00161391"/>
    <w:rsid w:val="00161EA6"/>
    <w:rsid w:val="0017326F"/>
    <w:rsid w:val="00186295"/>
    <w:rsid w:val="00187741"/>
    <w:rsid w:val="00192DA3"/>
    <w:rsid w:val="001944A3"/>
    <w:rsid w:val="001A7667"/>
    <w:rsid w:val="001D5BB3"/>
    <w:rsid w:val="001E0331"/>
    <w:rsid w:val="001E561C"/>
    <w:rsid w:val="001F022B"/>
    <w:rsid w:val="002051CE"/>
    <w:rsid w:val="002158AD"/>
    <w:rsid w:val="002168BF"/>
    <w:rsid w:val="002315DB"/>
    <w:rsid w:val="002471B9"/>
    <w:rsid w:val="00262188"/>
    <w:rsid w:val="00263D87"/>
    <w:rsid w:val="0026591B"/>
    <w:rsid w:val="002A331A"/>
    <w:rsid w:val="002A6D79"/>
    <w:rsid w:val="002A722E"/>
    <w:rsid w:val="002B2EC0"/>
    <w:rsid w:val="002D6E8A"/>
    <w:rsid w:val="002F40B1"/>
    <w:rsid w:val="002F4B7F"/>
    <w:rsid w:val="00303CF6"/>
    <w:rsid w:val="00315355"/>
    <w:rsid w:val="00346DF0"/>
    <w:rsid w:val="00347E5C"/>
    <w:rsid w:val="003611BD"/>
    <w:rsid w:val="00364ADE"/>
    <w:rsid w:val="00375D34"/>
    <w:rsid w:val="00376C2C"/>
    <w:rsid w:val="00380A0C"/>
    <w:rsid w:val="00390F37"/>
    <w:rsid w:val="003C2CAC"/>
    <w:rsid w:val="003D3D55"/>
    <w:rsid w:val="003D49A3"/>
    <w:rsid w:val="0040028E"/>
    <w:rsid w:val="004166A7"/>
    <w:rsid w:val="00466F6C"/>
    <w:rsid w:val="00472681"/>
    <w:rsid w:val="004737B0"/>
    <w:rsid w:val="00473EF9"/>
    <w:rsid w:val="00476D8F"/>
    <w:rsid w:val="00483D50"/>
    <w:rsid w:val="004842BB"/>
    <w:rsid w:val="00486BF4"/>
    <w:rsid w:val="00487419"/>
    <w:rsid w:val="00491599"/>
    <w:rsid w:val="004C12CF"/>
    <w:rsid w:val="004D1025"/>
    <w:rsid w:val="004F74C1"/>
    <w:rsid w:val="004F74D7"/>
    <w:rsid w:val="005101B9"/>
    <w:rsid w:val="0053447C"/>
    <w:rsid w:val="005355ED"/>
    <w:rsid w:val="00545088"/>
    <w:rsid w:val="00581F17"/>
    <w:rsid w:val="00584B15"/>
    <w:rsid w:val="005A339D"/>
    <w:rsid w:val="005F1810"/>
    <w:rsid w:val="0060251B"/>
    <w:rsid w:val="006125FD"/>
    <w:rsid w:val="00613008"/>
    <w:rsid w:val="00626D5B"/>
    <w:rsid w:val="0064369B"/>
    <w:rsid w:val="006524F1"/>
    <w:rsid w:val="006B50EF"/>
    <w:rsid w:val="006B70BE"/>
    <w:rsid w:val="006C5637"/>
    <w:rsid w:val="006E0443"/>
    <w:rsid w:val="006E184A"/>
    <w:rsid w:val="006F52F5"/>
    <w:rsid w:val="00735B3A"/>
    <w:rsid w:val="00771363"/>
    <w:rsid w:val="00771571"/>
    <w:rsid w:val="00771D39"/>
    <w:rsid w:val="00794625"/>
    <w:rsid w:val="00794FE5"/>
    <w:rsid w:val="00795230"/>
    <w:rsid w:val="007966BA"/>
    <w:rsid w:val="007A29A3"/>
    <w:rsid w:val="007B4E74"/>
    <w:rsid w:val="007B738D"/>
    <w:rsid w:val="007C2805"/>
    <w:rsid w:val="007C63F0"/>
    <w:rsid w:val="007D30DB"/>
    <w:rsid w:val="008210F1"/>
    <w:rsid w:val="00826043"/>
    <w:rsid w:val="00845449"/>
    <w:rsid w:val="008927A7"/>
    <w:rsid w:val="0089515B"/>
    <w:rsid w:val="008B08F7"/>
    <w:rsid w:val="008C1F51"/>
    <w:rsid w:val="008C7D6E"/>
    <w:rsid w:val="008E06D2"/>
    <w:rsid w:val="00904340"/>
    <w:rsid w:val="0092449B"/>
    <w:rsid w:val="0093696D"/>
    <w:rsid w:val="00936A06"/>
    <w:rsid w:val="00936C76"/>
    <w:rsid w:val="00944397"/>
    <w:rsid w:val="009767C9"/>
    <w:rsid w:val="00976EB8"/>
    <w:rsid w:val="00977F41"/>
    <w:rsid w:val="009B46E9"/>
    <w:rsid w:val="009C464C"/>
    <w:rsid w:val="009C5793"/>
    <w:rsid w:val="009D4D00"/>
    <w:rsid w:val="009E3F81"/>
    <w:rsid w:val="009F3A54"/>
    <w:rsid w:val="00A2469B"/>
    <w:rsid w:val="00A36456"/>
    <w:rsid w:val="00A40C90"/>
    <w:rsid w:val="00A5639C"/>
    <w:rsid w:val="00A64A4D"/>
    <w:rsid w:val="00A913DA"/>
    <w:rsid w:val="00AA24C7"/>
    <w:rsid w:val="00AA3A7E"/>
    <w:rsid w:val="00AA756E"/>
    <w:rsid w:val="00AC48F2"/>
    <w:rsid w:val="00AC7F03"/>
    <w:rsid w:val="00AD0D45"/>
    <w:rsid w:val="00AF0E9E"/>
    <w:rsid w:val="00AF27D2"/>
    <w:rsid w:val="00AF2A36"/>
    <w:rsid w:val="00B0032D"/>
    <w:rsid w:val="00B23FF9"/>
    <w:rsid w:val="00B2438B"/>
    <w:rsid w:val="00B3770B"/>
    <w:rsid w:val="00B4000A"/>
    <w:rsid w:val="00B40157"/>
    <w:rsid w:val="00B43685"/>
    <w:rsid w:val="00B52ADA"/>
    <w:rsid w:val="00B62408"/>
    <w:rsid w:val="00B8029A"/>
    <w:rsid w:val="00B8155C"/>
    <w:rsid w:val="00B84AE6"/>
    <w:rsid w:val="00B92251"/>
    <w:rsid w:val="00BB1AEE"/>
    <w:rsid w:val="00BB371E"/>
    <w:rsid w:val="00BB42C0"/>
    <w:rsid w:val="00BB4D58"/>
    <w:rsid w:val="00BC661C"/>
    <w:rsid w:val="00BD5B9C"/>
    <w:rsid w:val="00BE28EA"/>
    <w:rsid w:val="00C13963"/>
    <w:rsid w:val="00C3283C"/>
    <w:rsid w:val="00C32CC0"/>
    <w:rsid w:val="00C33C50"/>
    <w:rsid w:val="00C6577C"/>
    <w:rsid w:val="00C71BAF"/>
    <w:rsid w:val="00C817BB"/>
    <w:rsid w:val="00C9091B"/>
    <w:rsid w:val="00C96B60"/>
    <w:rsid w:val="00CC3EA6"/>
    <w:rsid w:val="00CD23AE"/>
    <w:rsid w:val="00CD38AF"/>
    <w:rsid w:val="00D17716"/>
    <w:rsid w:val="00D22E9D"/>
    <w:rsid w:val="00D27148"/>
    <w:rsid w:val="00D40599"/>
    <w:rsid w:val="00D84D6B"/>
    <w:rsid w:val="00D91560"/>
    <w:rsid w:val="00DB5E85"/>
    <w:rsid w:val="00DC5CA4"/>
    <w:rsid w:val="00DD760B"/>
    <w:rsid w:val="00DE660F"/>
    <w:rsid w:val="00DF1B53"/>
    <w:rsid w:val="00DF7F0A"/>
    <w:rsid w:val="00E03E04"/>
    <w:rsid w:val="00E13B61"/>
    <w:rsid w:val="00E22152"/>
    <w:rsid w:val="00E25B4C"/>
    <w:rsid w:val="00E41DCF"/>
    <w:rsid w:val="00E61351"/>
    <w:rsid w:val="00E622DF"/>
    <w:rsid w:val="00E678A2"/>
    <w:rsid w:val="00E75678"/>
    <w:rsid w:val="00E83E90"/>
    <w:rsid w:val="00E90F75"/>
    <w:rsid w:val="00E97BB4"/>
    <w:rsid w:val="00EA1D2D"/>
    <w:rsid w:val="00EA5D3D"/>
    <w:rsid w:val="00EC3179"/>
    <w:rsid w:val="00EE2407"/>
    <w:rsid w:val="00F30A42"/>
    <w:rsid w:val="00F3449D"/>
    <w:rsid w:val="00F42833"/>
    <w:rsid w:val="00F44B6E"/>
    <w:rsid w:val="00F738F6"/>
    <w:rsid w:val="00F73A8D"/>
    <w:rsid w:val="00FD2ED7"/>
    <w:rsid w:val="00FD6082"/>
    <w:rsid w:val="00FD76C6"/>
    <w:rsid w:val="00FD7C0F"/>
    <w:rsid w:val="00FE1105"/>
    <w:rsid w:val="00FE3340"/>
    <w:rsid w:val="00FE45B4"/>
    <w:rsid w:val="00FE5B3A"/>
    <w:rsid w:val="00FF4B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CA8ED2"/>
  <w15:docId w15:val="{ADF1EDBE-4027-4A65-94CB-2AE8A85A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57"/>
    <w:pPr>
      <w:spacing w:after="0" w:line="480" w:lineRule="auto"/>
      <w:ind w:firstLine="720"/>
    </w:pPr>
    <w:rPr>
      <w:rFonts w:ascii="Times New Roman" w:hAnsi="Times New Roman" w:cs="Times New Roman"/>
      <w:sz w:val="24"/>
      <w:szCs w:val="24"/>
    </w:rPr>
  </w:style>
  <w:style w:type="paragraph" w:styleId="Heading1">
    <w:name w:val="heading 1"/>
    <w:basedOn w:val="Normal"/>
    <w:next w:val="Normal"/>
    <w:link w:val="Heading1Char"/>
    <w:uiPriority w:val="9"/>
    <w:qFormat/>
    <w:rsid w:val="00472681"/>
    <w:pPr>
      <w:keepNext/>
      <w:spacing w:after="240" w:line="240" w:lineRule="auto"/>
      <w:ind w:firstLine="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Post-quote"/>
    <w:link w:val="QuoteChar"/>
    <w:uiPriority w:val="29"/>
    <w:qFormat/>
    <w:rsid w:val="00AF2A36"/>
    <w:pPr>
      <w:spacing w:after="240" w:line="240" w:lineRule="auto"/>
      <w:ind w:left="1440" w:right="720" w:firstLine="0"/>
    </w:pPr>
  </w:style>
  <w:style w:type="character" w:customStyle="1" w:styleId="QuoteChar">
    <w:name w:val="Quote Char"/>
    <w:basedOn w:val="DefaultParagraphFont"/>
    <w:link w:val="Quote"/>
    <w:uiPriority w:val="29"/>
    <w:rsid w:val="00AF2A36"/>
    <w:rPr>
      <w:rFonts w:ascii="Times New Roman" w:hAnsi="Times New Roman" w:cs="Times New Roman"/>
      <w:sz w:val="24"/>
      <w:szCs w:val="24"/>
    </w:rPr>
  </w:style>
  <w:style w:type="paragraph" w:styleId="ListParagraph">
    <w:name w:val="List Paragraph"/>
    <w:basedOn w:val="Normal"/>
    <w:uiPriority w:val="34"/>
    <w:qFormat/>
    <w:rsid w:val="00B40157"/>
    <w:pPr>
      <w:ind w:left="720"/>
      <w:contextualSpacing/>
    </w:pPr>
  </w:style>
  <w:style w:type="paragraph" w:styleId="Header">
    <w:name w:val="header"/>
    <w:basedOn w:val="Normal"/>
    <w:link w:val="HeaderChar"/>
    <w:uiPriority w:val="99"/>
    <w:unhideWhenUsed/>
    <w:rsid w:val="00B40157"/>
    <w:pPr>
      <w:tabs>
        <w:tab w:val="center" w:pos="4680"/>
        <w:tab w:val="right" w:pos="9360"/>
      </w:tabs>
      <w:spacing w:line="240" w:lineRule="auto"/>
    </w:pPr>
  </w:style>
  <w:style w:type="character" w:customStyle="1" w:styleId="HeaderChar">
    <w:name w:val="Header Char"/>
    <w:basedOn w:val="DefaultParagraphFont"/>
    <w:link w:val="Header"/>
    <w:uiPriority w:val="99"/>
    <w:rsid w:val="00B40157"/>
    <w:rPr>
      <w:rFonts w:ascii="Times New Roman" w:hAnsi="Times New Roman" w:cs="Times New Roman"/>
      <w:sz w:val="24"/>
      <w:szCs w:val="24"/>
    </w:rPr>
  </w:style>
  <w:style w:type="paragraph" w:styleId="Footer">
    <w:name w:val="footer"/>
    <w:basedOn w:val="Normal"/>
    <w:link w:val="FooterChar"/>
    <w:uiPriority w:val="99"/>
    <w:unhideWhenUsed/>
    <w:rsid w:val="00B40157"/>
    <w:pPr>
      <w:tabs>
        <w:tab w:val="center" w:pos="4680"/>
        <w:tab w:val="right" w:pos="9360"/>
      </w:tabs>
      <w:spacing w:line="240" w:lineRule="auto"/>
    </w:pPr>
  </w:style>
  <w:style w:type="character" w:customStyle="1" w:styleId="FooterChar">
    <w:name w:val="Footer Char"/>
    <w:basedOn w:val="DefaultParagraphFont"/>
    <w:link w:val="Footer"/>
    <w:uiPriority w:val="99"/>
    <w:rsid w:val="00B40157"/>
    <w:rPr>
      <w:rFonts w:ascii="Times New Roman" w:hAnsi="Times New Roman" w:cs="Times New Roman"/>
      <w:sz w:val="24"/>
      <w:szCs w:val="24"/>
    </w:rPr>
  </w:style>
  <w:style w:type="table" w:styleId="TableGrid">
    <w:name w:val="Table Grid"/>
    <w:basedOn w:val="TableNormal"/>
    <w:uiPriority w:val="39"/>
    <w:rsid w:val="00B40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2681"/>
    <w:rPr>
      <w:rFonts w:ascii="Times New Roman" w:hAnsi="Times New Roman" w:cs="Times New Roman"/>
      <w:b/>
      <w:bCs/>
      <w:sz w:val="24"/>
      <w:szCs w:val="24"/>
    </w:rPr>
  </w:style>
  <w:style w:type="paragraph" w:customStyle="1" w:styleId="PlainText1">
    <w:name w:val="Plain Text1"/>
    <w:basedOn w:val="Normal"/>
    <w:qFormat/>
    <w:rsid w:val="00B40157"/>
    <w:pPr>
      <w:spacing w:line="240" w:lineRule="auto"/>
      <w:ind w:firstLine="0"/>
    </w:pPr>
  </w:style>
  <w:style w:type="paragraph" w:customStyle="1" w:styleId="ListedFindings">
    <w:name w:val="Listed Findings"/>
    <w:basedOn w:val="ListParagraph"/>
    <w:qFormat/>
    <w:rsid w:val="00CD23AE"/>
    <w:pPr>
      <w:numPr>
        <w:ilvl w:val="1"/>
        <w:numId w:val="15"/>
      </w:numPr>
      <w:ind w:left="0" w:firstLine="720"/>
      <w:contextualSpacing w:val="0"/>
    </w:pPr>
  </w:style>
  <w:style w:type="paragraph" w:customStyle="1" w:styleId="Post-quote">
    <w:name w:val="Post-quote"/>
    <w:basedOn w:val="Normal"/>
    <w:next w:val="Normal"/>
    <w:qFormat/>
    <w:rsid w:val="00B40157"/>
    <w:pPr>
      <w:ind w:firstLine="0"/>
    </w:pPr>
  </w:style>
  <w:style w:type="paragraph" w:customStyle="1" w:styleId="Summarypara">
    <w:name w:val="Summary para."/>
    <w:basedOn w:val="Normal"/>
    <w:qFormat/>
    <w:rsid w:val="00B40157"/>
    <w:pPr>
      <w:spacing w:after="240" w:line="240" w:lineRule="auto"/>
    </w:pPr>
  </w:style>
  <w:style w:type="paragraph" w:styleId="BalloonText">
    <w:name w:val="Balloon Text"/>
    <w:basedOn w:val="Normal"/>
    <w:link w:val="BalloonTextChar"/>
    <w:uiPriority w:val="99"/>
    <w:semiHidden/>
    <w:unhideWhenUsed/>
    <w:rsid w:val="00B401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57"/>
    <w:rPr>
      <w:rFonts w:ascii="Segoe UI" w:hAnsi="Segoe UI" w:cs="Segoe UI"/>
      <w:sz w:val="18"/>
      <w:szCs w:val="18"/>
    </w:rPr>
  </w:style>
  <w:style w:type="paragraph" w:styleId="FootnoteText">
    <w:name w:val="footnote text"/>
    <w:basedOn w:val="Normal"/>
    <w:link w:val="FootnoteTextChar"/>
    <w:uiPriority w:val="99"/>
    <w:unhideWhenUsed/>
    <w:rsid w:val="00472681"/>
    <w:pPr>
      <w:spacing w:after="120" w:line="240" w:lineRule="auto"/>
    </w:pPr>
    <w:rPr>
      <w:szCs w:val="20"/>
    </w:rPr>
  </w:style>
  <w:style w:type="character" w:customStyle="1" w:styleId="FootnoteTextChar">
    <w:name w:val="Footnote Text Char"/>
    <w:basedOn w:val="DefaultParagraphFont"/>
    <w:link w:val="FootnoteText"/>
    <w:uiPriority w:val="99"/>
    <w:rsid w:val="00472681"/>
    <w:rPr>
      <w:rFonts w:ascii="Times New Roman" w:hAnsi="Times New Roman" w:cs="Times New Roman"/>
      <w:sz w:val="24"/>
      <w:szCs w:val="20"/>
    </w:rPr>
  </w:style>
  <w:style w:type="character" w:styleId="FootnoteReference">
    <w:name w:val="footnote reference"/>
    <w:basedOn w:val="DefaultParagraphFont"/>
    <w:uiPriority w:val="99"/>
    <w:semiHidden/>
    <w:unhideWhenUsed/>
    <w:rsid w:val="00E613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6854">
      <w:bodyDiv w:val="1"/>
      <w:marLeft w:val="0"/>
      <w:marRight w:val="0"/>
      <w:marTop w:val="0"/>
      <w:marBottom w:val="0"/>
      <w:divBdr>
        <w:top w:val="none" w:sz="0" w:space="0" w:color="auto"/>
        <w:left w:val="none" w:sz="0" w:space="0" w:color="auto"/>
        <w:bottom w:val="none" w:sz="0" w:space="0" w:color="auto"/>
        <w:right w:val="none" w:sz="0" w:space="0" w:color="auto"/>
      </w:divBdr>
      <w:divsChild>
        <w:div w:id="1073703251">
          <w:marLeft w:val="0"/>
          <w:marRight w:val="0"/>
          <w:marTop w:val="0"/>
          <w:marBottom w:val="0"/>
          <w:divBdr>
            <w:top w:val="none" w:sz="0" w:space="0" w:color="auto"/>
            <w:left w:val="none" w:sz="0" w:space="0" w:color="auto"/>
            <w:bottom w:val="none" w:sz="0" w:space="0" w:color="auto"/>
            <w:right w:val="none" w:sz="0" w:space="0" w:color="auto"/>
          </w:divBdr>
          <w:divsChild>
            <w:div w:id="1340963813">
              <w:marLeft w:val="0"/>
              <w:marRight w:val="0"/>
              <w:marTop w:val="0"/>
              <w:marBottom w:val="0"/>
              <w:divBdr>
                <w:top w:val="none" w:sz="0" w:space="0" w:color="auto"/>
                <w:left w:val="none" w:sz="0" w:space="0" w:color="auto"/>
                <w:bottom w:val="none" w:sz="0" w:space="0" w:color="auto"/>
                <w:right w:val="none" w:sz="0" w:space="0" w:color="auto"/>
              </w:divBdr>
            </w:div>
          </w:divsChild>
        </w:div>
        <w:div w:id="604263987">
          <w:marLeft w:val="0"/>
          <w:marRight w:val="0"/>
          <w:marTop w:val="0"/>
          <w:marBottom w:val="0"/>
          <w:divBdr>
            <w:top w:val="none" w:sz="0" w:space="0" w:color="auto"/>
            <w:left w:val="none" w:sz="0" w:space="0" w:color="auto"/>
            <w:bottom w:val="none" w:sz="0" w:space="0" w:color="auto"/>
            <w:right w:val="none" w:sz="0" w:space="0" w:color="auto"/>
          </w:divBdr>
          <w:divsChild>
            <w:div w:id="1198012057">
              <w:marLeft w:val="0"/>
              <w:marRight w:val="0"/>
              <w:marTop w:val="0"/>
              <w:marBottom w:val="0"/>
              <w:divBdr>
                <w:top w:val="none" w:sz="0" w:space="0" w:color="auto"/>
                <w:left w:val="none" w:sz="0" w:space="0" w:color="auto"/>
                <w:bottom w:val="none" w:sz="0" w:space="0" w:color="auto"/>
                <w:right w:val="none" w:sz="0" w:space="0" w:color="auto"/>
              </w:divBdr>
            </w:div>
          </w:divsChild>
        </w:div>
        <w:div w:id="2145199599">
          <w:marLeft w:val="0"/>
          <w:marRight w:val="0"/>
          <w:marTop w:val="0"/>
          <w:marBottom w:val="0"/>
          <w:divBdr>
            <w:top w:val="none" w:sz="0" w:space="0" w:color="auto"/>
            <w:left w:val="none" w:sz="0" w:space="0" w:color="auto"/>
            <w:bottom w:val="none" w:sz="0" w:space="0" w:color="auto"/>
            <w:right w:val="none" w:sz="0" w:space="0" w:color="auto"/>
          </w:divBdr>
          <w:divsChild>
            <w:div w:id="305936801">
              <w:marLeft w:val="0"/>
              <w:marRight w:val="0"/>
              <w:marTop w:val="0"/>
              <w:marBottom w:val="0"/>
              <w:divBdr>
                <w:top w:val="none" w:sz="0" w:space="0" w:color="auto"/>
                <w:left w:val="none" w:sz="0" w:space="0" w:color="auto"/>
                <w:bottom w:val="none" w:sz="0" w:space="0" w:color="auto"/>
                <w:right w:val="none" w:sz="0" w:space="0" w:color="auto"/>
              </w:divBdr>
            </w:div>
          </w:divsChild>
        </w:div>
        <w:div w:id="1459685506">
          <w:marLeft w:val="0"/>
          <w:marRight w:val="0"/>
          <w:marTop w:val="0"/>
          <w:marBottom w:val="0"/>
          <w:divBdr>
            <w:top w:val="none" w:sz="0" w:space="0" w:color="auto"/>
            <w:left w:val="none" w:sz="0" w:space="0" w:color="auto"/>
            <w:bottom w:val="none" w:sz="0" w:space="0" w:color="auto"/>
            <w:right w:val="none" w:sz="0" w:space="0" w:color="auto"/>
          </w:divBdr>
        </w:div>
      </w:divsChild>
    </w:div>
    <w:div w:id="91633955">
      <w:bodyDiv w:val="1"/>
      <w:marLeft w:val="0"/>
      <w:marRight w:val="0"/>
      <w:marTop w:val="0"/>
      <w:marBottom w:val="0"/>
      <w:divBdr>
        <w:top w:val="none" w:sz="0" w:space="0" w:color="auto"/>
        <w:left w:val="none" w:sz="0" w:space="0" w:color="auto"/>
        <w:bottom w:val="none" w:sz="0" w:space="0" w:color="auto"/>
        <w:right w:val="none" w:sz="0" w:space="0" w:color="auto"/>
      </w:divBdr>
      <w:divsChild>
        <w:div w:id="480539770">
          <w:marLeft w:val="0"/>
          <w:marRight w:val="0"/>
          <w:marTop w:val="0"/>
          <w:marBottom w:val="0"/>
          <w:divBdr>
            <w:top w:val="none" w:sz="0" w:space="0" w:color="auto"/>
            <w:left w:val="none" w:sz="0" w:space="0" w:color="auto"/>
            <w:bottom w:val="none" w:sz="0" w:space="0" w:color="auto"/>
            <w:right w:val="none" w:sz="0" w:space="0" w:color="auto"/>
          </w:divBdr>
        </w:div>
      </w:divsChild>
    </w:div>
    <w:div w:id="141045195">
      <w:bodyDiv w:val="1"/>
      <w:marLeft w:val="0"/>
      <w:marRight w:val="0"/>
      <w:marTop w:val="0"/>
      <w:marBottom w:val="0"/>
      <w:divBdr>
        <w:top w:val="none" w:sz="0" w:space="0" w:color="auto"/>
        <w:left w:val="none" w:sz="0" w:space="0" w:color="auto"/>
        <w:bottom w:val="none" w:sz="0" w:space="0" w:color="auto"/>
        <w:right w:val="none" w:sz="0" w:space="0" w:color="auto"/>
      </w:divBdr>
      <w:divsChild>
        <w:div w:id="534318254">
          <w:marLeft w:val="0"/>
          <w:marRight w:val="0"/>
          <w:marTop w:val="0"/>
          <w:marBottom w:val="0"/>
          <w:divBdr>
            <w:top w:val="none" w:sz="0" w:space="0" w:color="auto"/>
            <w:left w:val="none" w:sz="0" w:space="0" w:color="auto"/>
            <w:bottom w:val="none" w:sz="0" w:space="0" w:color="auto"/>
            <w:right w:val="none" w:sz="0" w:space="0" w:color="auto"/>
          </w:divBdr>
        </w:div>
      </w:divsChild>
    </w:div>
    <w:div w:id="427314773">
      <w:bodyDiv w:val="1"/>
      <w:marLeft w:val="0"/>
      <w:marRight w:val="0"/>
      <w:marTop w:val="0"/>
      <w:marBottom w:val="0"/>
      <w:divBdr>
        <w:top w:val="none" w:sz="0" w:space="0" w:color="auto"/>
        <w:left w:val="none" w:sz="0" w:space="0" w:color="auto"/>
        <w:bottom w:val="none" w:sz="0" w:space="0" w:color="auto"/>
        <w:right w:val="none" w:sz="0" w:space="0" w:color="auto"/>
      </w:divBdr>
      <w:divsChild>
        <w:div w:id="328215292">
          <w:marLeft w:val="0"/>
          <w:marRight w:val="0"/>
          <w:marTop w:val="0"/>
          <w:marBottom w:val="0"/>
          <w:divBdr>
            <w:top w:val="none" w:sz="0" w:space="0" w:color="auto"/>
            <w:left w:val="none" w:sz="0" w:space="0" w:color="auto"/>
            <w:bottom w:val="none" w:sz="0" w:space="0" w:color="auto"/>
            <w:right w:val="none" w:sz="0" w:space="0" w:color="auto"/>
          </w:divBdr>
        </w:div>
      </w:divsChild>
    </w:div>
    <w:div w:id="434517778">
      <w:bodyDiv w:val="1"/>
      <w:marLeft w:val="0"/>
      <w:marRight w:val="0"/>
      <w:marTop w:val="0"/>
      <w:marBottom w:val="0"/>
      <w:divBdr>
        <w:top w:val="none" w:sz="0" w:space="0" w:color="auto"/>
        <w:left w:val="none" w:sz="0" w:space="0" w:color="auto"/>
        <w:bottom w:val="none" w:sz="0" w:space="0" w:color="auto"/>
        <w:right w:val="none" w:sz="0" w:space="0" w:color="auto"/>
      </w:divBdr>
      <w:divsChild>
        <w:div w:id="170028674">
          <w:marLeft w:val="0"/>
          <w:marRight w:val="0"/>
          <w:marTop w:val="0"/>
          <w:marBottom w:val="0"/>
          <w:divBdr>
            <w:top w:val="none" w:sz="0" w:space="0" w:color="auto"/>
            <w:left w:val="none" w:sz="0" w:space="0" w:color="auto"/>
            <w:bottom w:val="none" w:sz="0" w:space="0" w:color="auto"/>
            <w:right w:val="none" w:sz="0" w:space="0" w:color="auto"/>
          </w:divBdr>
        </w:div>
      </w:divsChild>
    </w:div>
    <w:div w:id="479227925">
      <w:bodyDiv w:val="1"/>
      <w:marLeft w:val="0"/>
      <w:marRight w:val="0"/>
      <w:marTop w:val="0"/>
      <w:marBottom w:val="0"/>
      <w:divBdr>
        <w:top w:val="none" w:sz="0" w:space="0" w:color="auto"/>
        <w:left w:val="none" w:sz="0" w:space="0" w:color="auto"/>
        <w:bottom w:val="none" w:sz="0" w:space="0" w:color="auto"/>
        <w:right w:val="none" w:sz="0" w:space="0" w:color="auto"/>
      </w:divBdr>
      <w:divsChild>
        <w:div w:id="1713111044">
          <w:marLeft w:val="0"/>
          <w:marRight w:val="0"/>
          <w:marTop w:val="0"/>
          <w:marBottom w:val="0"/>
          <w:divBdr>
            <w:top w:val="none" w:sz="0" w:space="0" w:color="auto"/>
            <w:left w:val="none" w:sz="0" w:space="0" w:color="auto"/>
            <w:bottom w:val="none" w:sz="0" w:space="0" w:color="auto"/>
            <w:right w:val="none" w:sz="0" w:space="0" w:color="auto"/>
          </w:divBdr>
        </w:div>
      </w:divsChild>
    </w:div>
    <w:div w:id="734012680">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5">
          <w:marLeft w:val="0"/>
          <w:marRight w:val="0"/>
          <w:marTop w:val="20"/>
          <w:marBottom w:val="20"/>
          <w:divBdr>
            <w:top w:val="none" w:sz="0" w:space="0" w:color="auto"/>
            <w:left w:val="none" w:sz="0" w:space="0" w:color="auto"/>
            <w:bottom w:val="none" w:sz="0" w:space="0" w:color="auto"/>
            <w:right w:val="none" w:sz="0" w:space="0" w:color="auto"/>
          </w:divBdr>
        </w:div>
        <w:div w:id="694382520">
          <w:marLeft w:val="0"/>
          <w:marRight w:val="0"/>
          <w:marTop w:val="20"/>
          <w:marBottom w:val="20"/>
          <w:divBdr>
            <w:top w:val="none" w:sz="0" w:space="0" w:color="auto"/>
            <w:left w:val="none" w:sz="0" w:space="0" w:color="auto"/>
            <w:bottom w:val="none" w:sz="0" w:space="0" w:color="auto"/>
            <w:right w:val="none" w:sz="0" w:space="0" w:color="auto"/>
          </w:divBdr>
        </w:div>
        <w:div w:id="2108453914">
          <w:marLeft w:val="0"/>
          <w:marRight w:val="0"/>
          <w:marTop w:val="20"/>
          <w:marBottom w:val="20"/>
          <w:divBdr>
            <w:top w:val="none" w:sz="0" w:space="0" w:color="auto"/>
            <w:left w:val="none" w:sz="0" w:space="0" w:color="auto"/>
            <w:bottom w:val="none" w:sz="0" w:space="0" w:color="auto"/>
            <w:right w:val="none" w:sz="0" w:space="0" w:color="auto"/>
          </w:divBdr>
        </w:div>
      </w:divsChild>
    </w:div>
    <w:div w:id="785932365">
      <w:bodyDiv w:val="1"/>
      <w:marLeft w:val="0"/>
      <w:marRight w:val="0"/>
      <w:marTop w:val="0"/>
      <w:marBottom w:val="0"/>
      <w:divBdr>
        <w:top w:val="none" w:sz="0" w:space="0" w:color="auto"/>
        <w:left w:val="none" w:sz="0" w:space="0" w:color="auto"/>
        <w:bottom w:val="none" w:sz="0" w:space="0" w:color="auto"/>
        <w:right w:val="none" w:sz="0" w:space="0" w:color="auto"/>
      </w:divBdr>
      <w:divsChild>
        <w:div w:id="1252347610">
          <w:marLeft w:val="0"/>
          <w:marRight w:val="0"/>
          <w:marTop w:val="0"/>
          <w:marBottom w:val="0"/>
          <w:divBdr>
            <w:top w:val="none" w:sz="0" w:space="0" w:color="auto"/>
            <w:left w:val="none" w:sz="0" w:space="0" w:color="auto"/>
            <w:bottom w:val="none" w:sz="0" w:space="0" w:color="auto"/>
            <w:right w:val="none" w:sz="0" w:space="0" w:color="auto"/>
          </w:divBdr>
        </w:div>
      </w:divsChild>
    </w:div>
    <w:div w:id="815686577">
      <w:bodyDiv w:val="1"/>
      <w:marLeft w:val="0"/>
      <w:marRight w:val="0"/>
      <w:marTop w:val="0"/>
      <w:marBottom w:val="0"/>
      <w:divBdr>
        <w:top w:val="none" w:sz="0" w:space="0" w:color="auto"/>
        <w:left w:val="none" w:sz="0" w:space="0" w:color="auto"/>
        <w:bottom w:val="none" w:sz="0" w:space="0" w:color="auto"/>
        <w:right w:val="none" w:sz="0" w:space="0" w:color="auto"/>
      </w:divBdr>
      <w:divsChild>
        <w:div w:id="807673622">
          <w:marLeft w:val="0"/>
          <w:marRight w:val="0"/>
          <w:marTop w:val="0"/>
          <w:marBottom w:val="0"/>
          <w:divBdr>
            <w:top w:val="none" w:sz="0" w:space="0" w:color="auto"/>
            <w:left w:val="none" w:sz="0" w:space="0" w:color="auto"/>
            <w:bottom w:val="none" w:sz="0" w:space="0" w:color="auto"/>
            <w:right w:val="none" w:sz="0" w:space="0" w:color="auto"/>
          </w:divBdr>
        </w:div>
      </w:divsChild>
    </w:div>
    <w:div w:id="925528865">
      <w:bodyDiv w:val="1"/>
      <w:marLeft w:val="0"/>
      <w:marRight w:val="0"/>
      <w:marTop w:val="0"/>
      <w:marBottom w:val="0"/>
      <w:divBdr>
        <w:top w:val="none" w:sz="0" w:space="0" w:color="auto"/>
        <w:left w:val="none" w:sz="0" w:space="0" w:color="auto"/>
        <w:bottom w:val="none" w:sz="0" w:space="0" w:color="auto"/>
        <w:right w:val="none" w:sz="0" w:space="0" w:color="auto"/>
      </w:divBdr>
      <w:divsChild>
        <w:div w:id="194857080">
          <w:marLeft w:val="0"/>
          <w:marRight w:val="0"/>
          <w:marTop w:val="0"/>
          <w:marBottom w:val="0"/>
          <w:divBdr>
            <w:top w:val="none" w:sz="0" w:space="0" w:color="auto"/>
            <w:left w:val="none" w:sz="0" w:space="0" w:color="auto"/>
            <w:bottom w:val="none" w:sz="0" w:space="0" w:color="auto"/>
            <w:right w:val="none" w:sz="0" w:space="0" w:color="auto"/>
          </w:divBdr>
        </w:div>
      </w:divsChild>
    </w:div>
    <w:div w:id="930434762">
      <w:bodyDiv w:val="1"/>
      <w:marLeft w:val="0"/>
      <w:marRight w:val="0"/>
      <w:marTop w:val="0"/>
      <w:marBottom w:val="0"/>
      <w:divBdr>
        <w:top w:val="none" w:sz="0" w:space="0" w:color="auto"/>
        <w:left w:val="none" w:sz="0" w:space="0" w:color="auto"/>
        <w:bottom w:val="none" w:sz="0" w:space="0" w:color="auto"/>
        <w:right w:val="none" w:sz="0" w:space="0" w:color="auto"/>
      </w:divBdr>
      <w:divsChild>
        <w:div w:id="408161682">
          <w:marLeft w:val="0"/>
          <w:marRight w:val="0"/>
          <w:marTop w:val="0"/>
          <w:marBottom w:val="0"/>
          <w:divBdr>
            <w:top w:val="none" w:sz="0" w:space="0" w:color="auto"/>
            <w:left w:val="none" w:sz="0" w:space="0" w:color="auto"/>
            <w:bottom w:val="none" w:sz="0" w:space="0" w:color="auto"/>
            <w:right w:val="none" w:sz="0" w:space="0" w:color="auto"/>
          </w:divBdr>
        </w:div>
      </w:divsChild>
    </w:div>
    <w:div w:id="1055927285">
      <w:bodyDiv w:val="1"/>
      <w:marLeft w:val="0"/>
      <w:marRight w:val="0"/>
      <w:marTop w:val="0"/>
      <w:marBottom w:val="0"/>
      <w:divBdr>
        <w:top w:val="none" w:sz="0" w:space="0" w:color="auto"/>
        <w:left w:val="none" w:sz="0" w:space="0" w:color="auto"/>
        <w:bottom w:val="none" w:sz="0" w:space="0" w:color="auto"/>
        <w:right w:val="none" w:sz="0" w:space="0" w:color="auto"/>
      </w:divBdr>
      <w:divsChild>
        <w:div w:id="549338908">
          <w:marLeft w:val="0"/>
          <w:marRight w:val="0"/>
          <w:marTop w:val="0"/>
          <w:marBottom w:val="0"/>
          <w:divBdr>
            <w:top w:val="none" w:sz="0" w:space="0" w:color="auto"/>
            <w:left w:val="none" w:sz="0" w:space="0" w:color="auto"/>
            <w:bottom w:val="none" w:sz="0" w:space="0" w:color="auto"/>
            <w:right w:val="none" w:sz="0" w:space="0" w:color="auto"/>
          </w:divBdr>
        </w:div>
      </w:divsChild>
    </w:div>
    <w:div w:id="1232692957">
      <w:bodyDiv w:val="1"/>
      <w:marLeft w:val="0"/>
      <w:marRight w:val="0"/>
      <w:marTop w:val="0"/>
      <w:marBottom w:val="0"/>
      <w:divBdr>
        <w:top w:val="none" w:sz="0" w:space="0" w:color="auto"/>
        <w:left w:val="none" w:sz="0" w:space="0" w:color="auto"/>
        <w:bottom w:val="none" w:sz="0" w:space="0" w:color="auto"/>
        <w:right w:val="none" w:sz="0" w:space="0" w:color="auto"/>
      </w:divBdr>
      <w:divsChild>
        <w:div w:id="1278101160">
          <w:marLeft w:val="0"/>
          <w:marRight w:val="0"/>
          <w:marTop w:val="0"/>
          <w:marBottom w:val="0"/>
          <w:divBdr>
            <w:top w:val="none" w:sz="0" w:space="0" w:color="auto"/>
            <w:left w:val="none" w:sz="0" w:space="0" w:color="auto"/>
            <w:bottom w:val="none" w:sz="0" w:space="0" w:color="auto"/>
            <w:right w:val="none" w:sz="0" w:space="0" w:color="auto"/>
          </w:divBdr>
        </w:div>
      </w:divsChild>
    </w:div>
    <w:div w:id="1317345055">
      <w:bodyDiv w:val="1"/>
      <w:marLeft w:val="0"/>
      <w:marRight w:val="0"/>
      <w:marTop w:val="0"/>
      <w:marBottom w:val="0"/>
      <w:divBdr>
        <w:top w:val="none" w:sz="0" w:space="0" w:color="auto"/>
        <w:left w:val="none" w:sz="0" w:space="0" w:color="auto"/>
        <w:bottom w:val="none" w:sz="0" w:space="0" w:color="auto"/>
        <w:right w:val="none" w:sz="0" w:space="0" w:color="auto"/>
      </w:divBdr>
      <w:divsChild>
        <w:div w:id="159733735">
          <w:marLeft w:val="0"/>
          <w:marRight w:val="0"/>
          <w:marTop w:val="0"/>
          <w:marBottom w:val="0"/>
          <w:divBdr>
            <w:top w:val="none" w:sz="0" w:space="0" w:color="auto"/>
            <w:left w:val="none" w:sz="0" w:space="0" w:color="auto"/>
            <w:bottom w:val="none" w:sz="0" w:space="0" w:color="auto"/>
            <w:right w:val="none" w:sz="0" w:space="0" w:color="auto"/>
          </w:divBdr>
        </w:div>
      </w:divsChild>
    </w:div>
    <w:div w:id="1425373230">
      <w:bodyDiv w:val="1"/>
      <w:marLeft w:val="0"/>
      <w:marRight w:val="0"/>
      <w:marTop w:val="0"/>
      <w:marBottom w:val="0"/>
      <w:divBdr>
        <w:top w:val="none" w:sz="0" w:space="0" w:color="auto"/>
        <w:left w:val="none" w:sz="0" w:space="0" w:color="auto"/>
        <w:bottom w:val="none" w:sz="0" w:space="0" w:color="auto"/>
        <w:right w:val="none" w:sz="0" w:space="0" w:color="auto"/>
      </w:divBdr>
      <w:divsChild>
        <w:div w:id="488180412">
          <w:marLeft w:val="0"/>
          <w:marRight w:val="0"/>
          <w:marTop w:val="0"/>
          <w:marBottom w:val="0"/>
          <w:divBdr>
            <w:top w:val="none" w:sz="0" w:space="0" w:color="auto"/>
            <w:left w:val="none" w:sz="0" w:space="0" w:color="auto"/>
            <w:bottom w:val="none" w:sz="0" w:space="0" w:color="auto"/>
            <w:right w:val="none" w:sz="0" w:space="0" w:color="auto"/>
          </w:divBdr>
        </w:div>
      </w:divsChild>
    </w:div>
    <w:div w:id="1800953664">
      <w:bodyDiv w:val="1"/>
      <w:marLeft w:val="0"/>
      <w:marRight w:val="0"/>
      <w:marTop w:val="0"/>
      <w:marBottom w:val="0"/>
      <w:divBdr>
        <w:top w:val="none" w:sz="0" w:space="0" w:color="auto"/>
        <w:left w:val="none" w:sz="0" w:space="0" w:color="auto"/>
        <w:bottom w:val="none" w:sz="0" w:space="0" w:color="auto"/>
        <w:right w:val="none" w:sz="0" w:space="0" w:color="auto"/>
      </w:divBdr>
      <w:divsChild>
        <w:div w:id="1527283036">
          <w:marLeft w:val="0"/>
          <w:marRight w:val="0"/>
          <w:marTop w:val="0"/>
          <w:marBottom w:val="0"/>
          <w:divBdr>
            <w:top w:val="none" w:sz="0" w:space="0" w:color="auto"/>
            <w:left w:val="none" w:sz="0" w:space="0" w:color="auto"/>
            <w:bottom w:val="none" w:sz="0" w:space="0" w:color="auto"/>
            <w:right w:val="none" w:sz="0" w:space="0" w:color="auto"/>
          </w:divBdr>
        </w:div>
      </w:divsChild>
    </w:div>
    <w:div w:id="1930583103">
      <w:bodyDiv w:val="1"/>
      <w:marLeft w:val="0"/>
      <w:marRight w:val="0"/>
      <w:marTop w:val="0"/>
      <w:marBottom w:val="0"/>
      <w:divBdr>
        <w:top w:val="none" w:sz="0" w:space="0" w:color="auto"/>
        <w:left w:val="none" w:sz="0" w:space="0" w:color="auto"/>
        <w:bottom w:val="none" w:sz="0" w:space="0" w:color="auto"/>
        <w:right w:val="none" w:sz="0" w:space="0" w:color="auto"/>
      </w:divBdr>
      <w:divsChild>
        <w:div w:id="1621181257">
          <w:marLeft w:val="0"/>
          <w:marRight w:val="0"/>
          <w:marTop w:val="0"/>
          <w:marBottom w:val="0"/>
          <w:divBdr>
            <w:top w:val="none" w:sz="0" w:space="0" w:color="auto"/>
            <w:left w:val="none" w:sz="0" w:space="0" w:color="auto"/>
            <w:bottom w:val="none" w:sz="0" w:space="0" w:color="auto"/>
            <w:right w:val="none" w:sz="0" w:space="0" w:color="auto"/>
          </w:divBdr>
        </w:div>
      </w:divsChild>
    </w:div>
    <w:div w:id="2062170622">
      <w:bodyDiv w:val="1"/>
      <w:marLeft w:val="0"/>
      <w:marRight w:val="0"/>
      <w:marTop w:val="0"/>
      <w:marBottom w:val="0"/>
      <w:divBdr>
        <w:top w:val="none" w:sz="0" w:space="0" w:color="auto"/>
        <w:left w:val="none" w:sz="0" w:space="0" w:color="auto"/>
        <w:bottom w:val="none" w:sz="0" w:space="0" w:color="auto"/>
        <w:right w:val="none" w:sz="0" w:space="0" w:color="auto"/>
      </w:divBdr>
      <w:divsChild>
        <w:div w:id="654063953">
          <w:marLeft w:val="0"/>
          <w:marRight w:val="0"/>
          <w:marTop w:val="0"/>
          <w:marBottom w:val="0"/>
          <w:divBdr>
            <w:top w:val="none" w:sz="0" w:space="0" w:color="auto"/>
            <w:left w:val="none" w:sz="0" w:space="0" w:color="auto"/>
            <w:bottom w:val="none" w:sz="0" w:space="0" w:color="auto"/>
            <w:right w:val="none" w:sz="0" w:space="0" w:color="auto"/>
          </w:divBdr>
        </w:div>
      </w:divsChild>
    </w:div>
    <w:div w:id="2066024884">
      <w:bodyDiv w:val="1"/>
      <w:marLeft w:val="0"/>
      <w:marRight w:val="0"/>
      <w:marTop w:val="0"/>
      <w:marBottom w:val="0"/>
      <w:divBdr>
        <w:top w:val="none" w:sz="0" w:space="0" w:color="auto"/>
        <w:left w:val="none" w:sz="0" w:space="0" w:color="auto"/>
        <w:bottom w:val="none" w:sz="0" w:space="0" w:color="auto"/>
        <w:right w:val="none" w:sz="0" w:space="0" w:color="auto"/>
      </w:divBdr>
      <w:divsChild>
        <w:div w:id="938870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Malkiel\Documents\%5e\YM\Templates\Template%20final%20deci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125DE-7820-4A9A-9F28-9BBCE94E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final decision</Template>
  <TotalTime>5</TotalTime>
  <Pages>7</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Malkiel, Yakov (ALA)</dc:creator>
  <cp:lastModifiedBy>LaPointe, Donald (MED)</cp:lastModifiedBy>
  <cp:revision>5</cp:revision>
  <cp:lastPrinted>2021-06-28T19:31:00Z</cp:lastPrinted>
  <dcterms:created xsi:type="dcterms:W3CDTF">2021-12-21T15:34:00Z</dcterms:created>
  <dcterms:modified xsi:type="dcterms:W3CDTF">2021-12-21T16:52:00Z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