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1E4E" w14:textId="77777777" w:rsidR="00432779" w:rsidRPr="006A5FE5" w:rsidRDefault="00432779" w:rsidP="0012141D">
      <w:pPr>
        <w:widowControl w:val="0"/>
        <w:tabs>
          <w:tab w:val="left" w:pos="2532"/>
        </w:tabs>
        <w:autoSpaceDE w:val="0"/>
        <w:autoSpaceDN w:val="0"/>
        <w:adjustRightInd w:val="0"/>
        <w:spacing w:after="0" w:line="240" w:lineRule="auto"/>
        <w:jc w:val="center"/>
        <w:rPr>
          <w:rFonts w:eastAsia="Times New Roman"/>
        </w:rPr>
      </w:pPr>
      <w:bookmarkStart w:id="0" w:name="_Hlk114667457"/>
      <w:r w:rsidRPr="006A5FE5">
        <w:rPr>
          <w:rFonts w:eastAsia="Times New Roman"/>
        </w:rPr>
        <w:t>COMMONWEALTH OF MASSACHUSETTS</w:t>
      </w:r>
    </w:p>
    <w:p w14:paraId="0BB88BD4" w14:textId="77777777" w:rsidR="00432779" w:rsidRPr="006A5FE5" w:rsidRDefault="00432779" w:rsidP="0012141D">
      <w:pPr>
        <w:widowControl w:val="0"/>
        <w:tabs>
          <w:tab w:val="left" w:pos="90"/>
        </w:tabs>
        <w:autoSpaceDE w:val="0"/>
        <w:autoSpaceDN w:val="0"/>
        <w:adjustRightInd w:val="0"/>
        <w:spacing w:after="0" w:line="240" w:lineRule="auto"/>
        <w:jc w:val="center"/>
        <w:rPr>
          <w:rFonts w:eastAsia="Times New Roman"/>
        </w:rPr>
      </w:pPr>
      <w:r w:rsidRPr="006A5FE5">
        <w:rPr>
          <w:rFonts w:eastAsia="Times New Roman"/>
        </w:rPr>
        <w:t>Division of Administrative Law Appeals</w:t>
      </w:r>
    </w:p>
    <w:p w14:paraId="41D8F04C" w14:textId="77777777" w:rsidR="00432779" w:rsidRPr="006A5FE5" w:rsidRDefault="00432779" w:rsidP="0012141D">
      <w:pPr>
        <w:widowControl w:val="0"/>
        <w:tabs>
          <w:tab w:val="left" w:pos="0"/>
        </w:tabs>
        <w:autoSpaceDE w:val="0"/>
        <w:autoSpaceDN w:val="0"/>
        <w:adjustRightInd w:val="0"/>
        <w:spacing w:after="0" w:line="240" w:lineRule="auto"/>
        <w:rPr>
          <w:rFonts w:eastAsia="Times New Roman"/>
        </w:rPr>
      </w:pPr>
      <w:r w:rsidRPr="006A5FE5">
        <w:rPr>
          <w:rFonts w:eastAsia="Times New Roman"/>
        </w:rPr>
        <w:t>______________________________</w:t>
      </w:r>
    </w:p>
    <w:p w14:paraId="3A877ADC" w14:textId="77777777" w:rsidR="00432779" w:rsidRPr="006A5FE5" w:rsidRDefault="00432779" w:rsidP="0012141D">
      <w:pPr>
        <w:widowControl w:val="0"/>
        <w:tabs>
          <w:tab w:val="left" w:pos="0"/>
          <w:tab w:val="left" w:pos="660"/>
        </w:tabs>
        <w:autoSpaceDE w:val="0"/>
        <w:autoSpaceDN w:val="0"/>
        <w:adjustRightInd w:val="0"/>
        <w:spacing w:after="0" w:line="240" w:lineRule="auto"/>
        <w:rPr>
          <w:rFonts w:eastAsia="Times New Roman"/>
          <w:noProof/>
        </w:rPr>
      </w:pPr>
      <w:r w:rsidRPr="006A5FE5">
        <w:rPr>
          <w:rFonts w:eastAsia="Times New Roman"/>
          <w:noProof/>
        </w:rPr>
        <w:tab/>
      </w:r>
      <w:r w:rsidRPr="006A5FE5">
        <w:rPr>
          <w:rFonts w:eastAsia="Times New Roman"/>
          <w:noProof/>
        </w:rPr>
        <w:tab/>
      </w:r>
      <w:r w:rsidRPr="006A5FE5">
        <w:rPr>
          <w:rFonts w:eastAsia="Times New Roman"/>
          <w:noProof/>
        </w:rPr>
        <w:tab/>
      </w:r>
      <w:r w:rsidRPr="006A5FE5">
        <w:rPr>
          <w:rFonts w:eastAsia="Times New Roman"/>
          <w:noProof/>
        </w:rPr>
        <w:tab/>
      </w:r>
      <w:r w:rsidRPr="006A5FE5">
        <w:rPr>
          <w:rFonts w:eastAsia="Times New Roman"/>
          <w:noProof/>
        </w:rPr>
        <w:tab/>
      </w:r>
      <w:r w:rsidRPr="006A5FE5">
        <w:rPr>
          <w:rFonts w:eastAsia="Times New Roman"/>
          <w:noProof/>
        </w:rPr>
        <w:tab/>
        <w:t>:</w:t>
      </w:r>
    </w:p>
    <w:p w14:paraId="7A812F4C" w14:textId="42DF9AEA" w:rsidR="00432779" w:rsidRPr="006A5FE5" w:rsidRDefault="00432779" w:rsidP="0012141D">
      <w:pPr>
        <w:widowControl w:val="0"/>
        <w:tabs>
          <w:tab w:val="left" w:pos="0"/>
          <w:tab w:val="left" w:pos="660"/>
        </w:tabs>
        <w:autoSpaceDE w:val="0"/>
        <w:autoSpaceDN w:val="0"/>
        <w:adjustRightInd w:val="0"/>
        <w:spacing w:after="0" w:line="240" w:lineRule="auto"/>
        <w:rPr>
          <w:rFonts w:eastAsia="Times New Roman"/>
          <w:noProof/>
        </w:rPr>
      </w:pPr>
      <w:r w:rsidRPr="006A5FE5">
        <w:rPr>
          <w:rFonts w:eastAsia="Times New Roman"/>
          <w:noProof/>
        </w:rPr>
        <w:t>BOARD OF REGISTRATION IN</w:t>
      </w:r>
      <w:r w:rsidRPr="006A5FE5">
        <w:rPr>
          <w:rFonts w:eastAsia="Times New Roman"/>
          <w:noProof/>
        </w:rPr>
        <w:tab/>
        <w:t>:</w:t>
      </w:r>
      <w:r w:rsidRPr="006A5FE5">
        <w:rPr>
          <w:rFonts w:eastAsia="Times New Roman"/>
          <w:noProof/>
        </w:rPr>
        <w:tab/>
      </w:r>
      <w:r w:rsidRPr="006A5FE5">
        <w:rPr>
          <w:rFonts w:eastAsia="Times New Roman"/>
          <w:noProof/>
        </w:rPr>
        <w:tab/>
        <w:t>Docket No. RM-20-0424</w:t>
      </w:r>
    </w:p>
    <w:p w14:paraId="49006D98" w14:textId="77777777" w:rsidR="00432779" w:rsidRPr="006A5FE5" w:rsidRDefault="00432779" w:rsidP="0012141D">
      <w:pPr>
        <w:widowControl w:val="0"/>
        <w:tabs>
          <w:tab w:val="left" w:pos="0"/>
          <w:tab w:val="left" w:pos="1440"/>
        </w:tabs>
        <w:autoSpaceDE w:val="0"/>
        <w:autoSpaceDN w:val="0"/>
        <w:adjustRightInd w:val="0"/>
        <w:spacing w:after="0" w:line="240" w:lineRule="auto"/>
        <w:rPr>
          <w:rFonts w:eastAsia="Times New Roman"/>
        </w:rPr>
      </w:pPr>
      <w:r w:rsidRPr="006A5FE5">
        <w:rPr>
          <w:rFonts w:eastAsia="Times New Roman"/>
        </w:rPr>
        <w:t>MEDICINE,</w:t>
      </w:r>
      <w:r w:rsidRPr="006A5FE5">
        <w:rPr>
          <w:rFonts w:eastAsia="Times New Roman"/>
        </w:rPr>
        <w:tab/>
      </w:r>
      <w:r w:rsidRPr="006A5FE5">
        <w:rPr>
          <w:rFonts w:eastAsia="Times New Roman"/>
        </w:rPr>
        <w:tab/>
      </w:r>
      <w:r w:rsidRPr="006A5FE5">
        <w:rPr>
          <w:rFonts w:eastAsia="Times New Roman"/>
        </w:rPr>
        <w:tab/>
      </w:r>
      <w:r w:rsidRPr="006A5FE5">
        <w:rPr>
          <w:rFonts w:eastAsia="Times New Roman"/>
        </w:rPr>
        <w:tab/>
        <w:t>:</w:t>
      </w:r>
    </w:p>
    <w:p w14:paraId="30794B25" w14:textId="57B718CA" w:rsidR="00432779" w:rsidRPr="006A5FE5" w:rsidRDefault="00432779" w:rsidP="0012141D">
      <w:pPr>
        <w:widowControl w:val="0"/>
        <w:tabs>
          <w:tab w:val="left" w:pos="0"/>
          <w:tab w:val="left" w:pos="1440"/>
        </w:tabs>
        <w:autoSpaceDE w:val="0"/>
        <w:autoSpaceDN w:val="0"/>
        <w:adjustRightInd w:val="0"/>
        <w:spacing w:after="0" w:line="240" w:lineRule="auto"/>
        <w:rPr>
          <w:rFonts w:eastAsia="Times New Roman"/>
        </w:rPr>
      </w:pPr>
      <w:r w:rsidRPr="006A5FE5">
        <w:rPr>
          <w:rFonts w:eastAsia="Times New Roman"/>
          <w:i/>
          <w:iCs/>
        </w:rPr>
        <w:t>Petitioner</w:t>
      </w:r>
      <w:r w:rsidRPr="006A5FE5">
        <w:rPr>
          <w:rFonts w:eastAsia="Times New Roman"/>
        </w:rPr>
        <w:t>,</w:t>
      </w:r>
      <w:r w:rsidRPr="006A5FE5">
        <w:rPr>
          <w:rFonts w:eastAsia="Times New Roman"/>
        </w:rPr>
        <w:tab/>
      </w:r>
      <w:r w:rsidRPr="006A5FE5">
        <w:rPr>
          <w:rFonts w:eastAsia="Times New Roman"/>
        </w:rPr>
        <w:tab/>
      </w:r>
      <w:r w:rsidRPr="006A5FE5">
        <w:rPr>
          <w:rFonts w:eastAsia="Times New Roman"/>
        </w:rPr>
        <w:tab/>
      </w:r>
      <w:r w:rsidRPr="006A5FE5">
        <w:rPr>
          <w:rFonts w:eastAsia="Times New Roman"/>
        </w:rPr>
        <w:tab/>
        <w:t>:</w:t>
      </w:r>
      <w:r w:rsidRPr="006A5FE5">
        <w:rPr>
          <w:rFonts w:eastAsia="Times New Roman"/>
        </w:rPr>
        <w:tab/>
      </w:r>
      <w:r w:rsidRPr="006A5FE5">
        <w:rPr>
          <w:rFonts w:eastAsia="Times New Roman"/>
        </w:rPr>
        <w:tab/>
      </w:r>
    </w:p>
    <w:p w14:paraId="384485A3" w14:textId="77777777" w:rsidR="00432779" w:rsidRPr="006A5FE5" w:rsidRDefault="00432779" w:rsidP="0012141D">
      <w:pPr>
        <w:widowControl w:val="0"/>
        <w:tabs>
          <w:tab w:val="left" w:pos="0"/>
          <w:tab w:val="left" w:pos="1440"/>
        </w:tabs>
        <w:autoSpaceDE w:val="0"/>
        <w:autoSpaceDN w:val="0"/>
        <w:adjustRightInd w:val="0"/>
        <w:spacing w:after="0" w:line="240" w:lineRule="auto"/>
        <w:rPr>
          <w:rFonts w:eastAsia="Times New Roman"/>
        </w:rPr>
      </w:pPr>
      <w:r w:rsidRPr="006A5FE5">
        <w:rPr>
          <w:rFonts w:eastAsia="Times New Roman"/>
        </w:rPr>
        <w:tab/>
      </w:r>
      <w:r w:rsidRPr="006A5FE5">
        <w:rPr>
          <w:rFonts w:eastAsia="Times New Roman"/>
        </w:rPr>
        <w:tab/>
      </w:r>
      <w:r w:rsidRPr="006A5FE5">
        <w:rPr>
          <w:rFonts w:eastAsia="Times New Roman"/>
        </w:rPr>
        <w:tab/>
      </w:r>
      <w:r w:rsidRPr="006A5FE5">
        <w:rPr>
          <w:rFonts w:eastAsia="Times New Roman"/>
        </w:rPr>
        <w:tab/>
        <w:t>:</w:t>
      </w:r>
      <w:r w:rsidRPr="006A5FE5">
        <w:rPr>
          <w:rFonts w:eastAsia="Times New Roman"/>
        </w:rPr>
        <w:tab/>
      </w:r>
      <w:r w:rsidRPr="006A5FE5">
        <w:rPr>
          <w:rFonts w:eastAsia="Times New Roman"/>
        </w:rPr>
        <w:tab/>
      </w:r>
    </w:p>
    <w:p w14:paraId="37C784B9" w14:textId="77777777" w:rsidR="00432779" w:rsidRPr="006A5FE5" w:rsidRDefault="00432779" w:rsidP="0012141D">
      <w:pPr>
        <w:widowControl w:val="0"/>
        <w:tabs>
          <w:tab w:val="left" w:pos="0"/>
          <w:tab w:val="left" w:pos="1440"/>
        </w:tabs>
        <w:autoSpaceDE w:val="0"/>
        <w:autoSpaceDN w:val="0"/>
        <w:adjustRightInd w:val="0"/>
        <w:spacing w:after="0" w:line="240" w:lineRule="auto"/>
        <w:rPr>
          <w:rFonts w:eastAsia="Times New Roman"/>
        </w:rPr>
      </w:pPr>
      <w:r w:rsidRPr="006A5FE5">
        <w:rPr>
          <w:rFonts w:eastAsia="Times New Roman"/>
        </w:rPr>
        <w:tab/>
        <w:t>v.</w:t>
      </w:r>
      <w:r w:rsidRPr="006A5FE5">
        <w:rPr>
          <w:rFonts w:eastAsia="Times New Roman"/>
        </w:rPr>
        <w:tab/>
      </w:r>
      <w:r w:rsidRPr="006A5FE5">
        <w:rPr>
          <w:rFonts w:eastAsia="Times New Roman"/>
        </w:rPr>
        <w:tab/>
      </w:r>
      <w:r w:rsidRPr="006A5FE5">
        <w:rPr>
          <w:rFonts w:eastAsia="Times New Roman"/>
        </w:rPr>
        <w:tab/>
        <w:t>:</w:t>
      </w:r>
    </w:p>
    <w:p w14:paraId="7C3B841F" w14:textId="77777777" w:rsidR="00432779" w:rsidRPr="006A5FE5" w:rsidRDefault="00432779" w:rsidP="0012141D">
      <w:pPr>
        <w:widowControl w:val="0"/>
        <w:tabs>
          <w:tab w:val="left" w:pos="0"/>
        </w:tabs>
        <w:autoSpaceDE w:val="0"/>
        <w:autoSpaceDN w:val="0"/>
        <w:adjustRightInd w:val="0"/>
        <w:spacing w:after="0" w:line="240" w:lineRule="auto"/>
        <w:rPr>
          <w:rFonts w:eastAsia="Times New Roman"/>
          <w:noProof/>
        </w:rPr>
      </w:pPr>
      <w:r w:rsidRPr="006A5FE5">
        <w:rPr>
          <w:rFonts w:eastAsia="Times New Roman"/>
          <w:noProof/>
        </w:rPr>
        <w:tab/>
      </w:r>
      <w:r w:rsidRPr="006A5FE5">
        <w:rPr>
          <w:rFonts w:eastAsia="Times New Roman"/>
          <w:noProof/>
        </w:rPr>
        <w:tab/>
      </w:r>
      <w:r w:rsidRPr="006A5FE5">
        <w:rPr>
          <w:rFonts w:eastAsia="Times New Roman"/>
          <w:noProof/>
        </w:rPr>
        <w:tab/>
      </w:r>
      <w:r w:rsidRPr="006A5FE5">
        <w:rPr>
          <w:rFonts w:eastAsia="Times New Roman"/>
          <w:noProof/>
        </w:rPr>
        <w:tab/>
      </w:r>
      <w:r w:rsidRPr="006A5FE5">
        <w:rPr>
          <w:rFonts w:eastAsia="Times New Roman"/>
          <w:noProof/>
        </w:rPr>
        <w:tab/>
        <w:t>:</w:t>
      </w:r>
    </w:p>
    <w:p w14:paraId="12488E14" w14:textId="07B5F2AB" w:rsidR="00432779" w:rsidRPr="006A5FE5" w:rsidRDefault="00432779" w:rsidP="0012141D">
      <w:pPr>
        <w:widowControl w:val="0"/>
        <w:tabs>
          <w:tab w:val="left" w:pos="0"/>
        </w:tabs>
        <w:autoSpaceDE w:val="0"/>
        <w:autoSpaceDN w:val="0"/>
        <w:adjustRightInd w:val="0"/>
        <w:spacing w:after="0" w:line="240" w:lineRule="auto"/>
        <w:rPr>
          <w:rFonts w:eastAsia="Times New Roman"/>
        </w:rPr>
      </w:pPr>
      <w:r w:rsidRPr="006A5FE5">
        <w:rPr>
          <w:rFonts w:eastAsia="Times New Roman"/>
          <w:noProof/>
        </w:rPr>
        <w:t>JOHN SHACKELFORD, D.O.,</w:t>
      </w:r>
      <w:r w:rsidRPr="006A5FE5">
        <w:rPr>
          <w:rFonts w:eastAsia="Times New Roman"/>
          <w:noProof/>
        </w:rPr>
        <w:tab/>
      </w:r>
      <w:r w:rsidRPr="006A5FE5">
        <w:rPr>
          <w:rFonts w:eastAsia="Times New Roman"/>
        </w:rPr>
        <w:t>:</w:t>
      </w:r>
    </w:p>
    <w:p w14:paraId="047F4FA4" w14:textId="77777777" w:rsidR="00432779" w:rsidRPr="006A5FE5" w:rsidRDefault="00432779" w:rsidP="0012141D">
      <w:pPr>
        <w:widowControl w:val="0"/>
        <w:tabs>
          <w:tab w:val="left" w:pos="0"/>
          <w:tab w:val="left" w:pos="660"/>
        </w:tabs>
        <w:autoSpaceDE w:val="0"/>
        <w:autoSpaceDN w:val="0"/>
        <w:adjustRightInd w:val="0"/>
        <w:spacing w:after="0" w:line="240" w:lineRule="auto"/>
        <w:rPr>
          <w:rFonts w:eastAsia="Times New Roman"/>
        </w:rPr>
      </w:pPr>
      <w:r w:rsidRPr="006A5FE5">
        <w:rPr>
          <w:rFonts w:eastAsia="Times New Roman"/>
          <w:i/>
          <w:iCs/>
        </w:rPr>
        <w:t>Respondent</w:t>
      </w:r>
      <w:r w:rsidRPr="006A5FE5">
        <w:rPr>
          <w:rFonts w:eastAsia="Times New Roman"/>
        </w:rPr>
        <w:t>.</w:t>
      </w:r>
      <w:r w:rsidRPr="006A5FE5">
        <w:rPr>
          <w:rFonts w:eastAsia="Times New Roman"/>
        </w:rPr>
        <w:tab/>
      </w:r>
      <w:r w:rsidRPr="006A5FE5">
        <w:rPr>
          <w:rFonts w:eastAsia="Times New Roman"/>
        </w:rPr>
        <w:tab/>
      </w:r>
      <w:r w:rsidRPr="006A5FE5">
        <w:rPr>
          <w:rFonts w:eastAsia="Times New Roman"/>
        </w:rPr>
        <w:tab/>
      </w:r>
      <w:r w:rsidRPr="006A5FE5">
        <w:rPr>
          <w:rFonts w:eastAsia="Times New Roman"/>
        </w:rPr>
        <w:tab/>
        <w:t>:</w:t>
      </w:r>
    </w:p>
    <w:p w14:paraId="231EE6CD" w14:textId="77777777" w:rsidR="00432779" w:rsidRPr="006A5FE5" w:rsidRDefault="00432779" w:rsidP="0012141D">
      <w:pPr>
        <w:widowControl w:val="0"/>
        <w:tabs>
          <w:tab w:val="left" w:pos="0"/>
          <w:tab w:val="left" w:pos="660"/>
        </w:tabs>
        <w:autoSpaceDE w:val="0"/>
        <w:autoSpaceDN w:val="0"/>
        <w:adjustRightInd w:val="0"/>
        <w:spacing w:after="0" w:line="240" w:lineRule="auto"/>
        <w:rPr>
          <w:rFonts w:eastAsia="Times New Roman"/>
        </w:rPr>
      </w:pPr>
      <w:r w:rsidRPr="006A5FE5">
        <w:rPr>
          <w:rFonts w:eastAsia="Times New Roman"/>
        </w:rPr>
        <w:t>______________________________:</w:t>
      </w:r>
    </w:p>
    <w:bookmarkEnd w:id="0"/>
    <w:p w14:paraId="7388FDFE" w14:textId="77777777" w:rsidR="00432779" w:rsidRPr="006A5FE5" w:rsidRDefault="00432779" w:rsidP="0012141D">
      <w:pPr>
        <w:spacing w:after="0" w:line="240" w:lineRule="auto"/>
      </w:pPr>
    </w:p>
    <w:p w14:paraId="6984E9F7" w14:textId="77777777" w:rsidR="00432779" w:rsidRPr="006A5FE5" w:rsidRDefault="00432779" w:rsidP="0012141D">
      <w:pPr>
        <w:spacing w:after="0" w:line="240" w:lineRule="auto"/>
      </w:pPr>
      <w:r w:rsidRPr="006A5FE5">
        <w:rPr>
          <w:b/>
        </w:rPr>
        <w:t>Appearance for Petitioner</w:t>
      </w:r>
      <w:r w:rsidRPr="006A5FE5">
        <w:t>:</w:t>
      </w:r>
    </w:p>
    <w:p w14:paraId="2B1089C4" w14:textId="77777777" w:rsidR="00432779" w:rsidRPr="006A5FE5" w:rsidRDefault="00432779" w:rsidP="0012141D">
      <w:pPr>
        <w:spacing w:after="0" w:line="240" w:lineRule="auto"/>
      </w:pPr>
    </w:p>
    <w:p w14:paraId="34E86951" w14:textId="1093B70D" w:rsidR="00432779" w:rsidRPr="006A5FE5" w:rsidRDefault="00432779" w:rsidP="0012141D">
      <w:pPr>
        <w:spacing w:after="0" w:line="240" w:lineRule="auto"/>
      </w:pPr>
      <w:r w:rsidRPr="006A5FE5">
        <w:tab/>
        <w:t>Karen Robinson, Esq.</w:t>
      </w:r>
    </w:p>
    <w:p w14:paraId="0DE214D7" w14:textId="51A9A43D" w:rsidR="00432779" w:rsidRPr="006A5FE5" w:rsidRDefault="00432779" w:rsidP="0012141D">
      <w:pPr>
        <w:spacing w:after="0" w:line="240" w:lineRule="auto"/>
      </w:pPr>
      <w:r w:rsidRPr="006A5FE5">
        <w:tab/>
        <w:t>Board of Registration in Medicine</w:t>
      </w:r>
    </w:p>
    <w:p w14:paraId="740E88DB" w14:textId="4634E431" w:rsidR="00432779" w:rsidRPr="006A5FE5" w:rsidRDefault="00432779" w:rsidP="0012141D">
      <w:pPr>
        <w:spacing w:after="0" w:line="240" w:lineRule="auto"/>
      </w:pPr>
      <w:r w:rsidRPr="006A5FE5">
        <w:tab/>
        <w:t>Wakefield, MA 01880</w:t>
      </w:r>
    </w:p>
    <w:p w14:paraId="531D2530" w14:textId="77777777" w:rsidR="00432779" w:rsidRPr="006A5FE5" w:rsidRDefault="00432779" w:rsidP="0012141D">
      <w:pPr>
        <w:spacing w:after="0" w:line="240" w:lineRule="auto"/>
        <w:rPr>
          <w:b/>
        </w:rPr>
      </w:pPr>
    </w:p>
    <w:p w14:paraId="20287755" w14:textId="77777777" w:rsidR="00432779" w:rsidRPr="006A5FE5" w:rsidRDefault="00432779" w:rsidP="0012141D">
      <w:pPr>
        <w:spacing w:after="0" w:line="240" w:lineRule="auto"/>
      </w:pPr>
      <w:r w:rsidRPr="006A5FE5">
        <w:rPr>
          <w:b/>
        </w:rPr>
        <w:t>Appearance for Respondent</w:t>
      </w:r>
      <w:r w:rsidRPr="006A5FE5">
        <w:t>:</w:t>
      </w:r>
    </w:p>
    <w:p w14:paraId="4B76CA00" w14:textId="77777777" w:rsidR="00432779" w:rsidRPr="006A5FE5" w:rsidRDefault="00432779" w:rsidP="0012141D">
      <w:pPr>
        <w:spacing w:after="0" w:line="240" w:lineRule="auto"/>
      </w:pPr>
    </w:p>
    <w:p w14:paraId="1E4A5C74" w14:textId="599D0E06" w:rsidR="00432779" w:rsidRPr="006A5FE5" w:rsidRDefault="00432779" w:rsidP="0012141D">
      <w:pPr>
        <w:spacing w:after="0" w:line="240" w:lineRule="auto"/>
      </w:pPr>
      <w:r w:rsidRPr="006A5FE5">
        <w:tab/>
        <w:t>Paul Cirel, Esq.</w:t>
      </w:r>
    </w:p>
    <w:p w14:paraId="792FEE71" w14:textId="1673949B" w:rsidR="00432779" w:rsidRPr="006A5FE5" w:rsidRDefault="00432779" w:rsidP="0012141D">
      <w:pPr>
        <w:spacing w:after="0" w:line="240" w:lineRule="auto"/>
      </w:pPr>
      <w:r w:rsidRPr="006A5FE5">
        <w:tab/>
        <w:t>Todd &amp; Weld, LLP</w:t>
      </w:r>
    </w:p>
    <w:p w14:paraId="6B18B228" w14:textId="005B967D" w:rsidR="00432779" w:rsidRPr="006A5FE5" w:rsidRDefault="00432779" w:rsidP="0012141D">
      <w:pPr>
        <w:spacing w:after="0" w:line="240" w:lineRule="auto"/>
      </w:pPr>
      <w:r w:rsidRPr="006A5FE5">
        <w:tab/>
        <w:t>Boston, MA 02110</w:t>
      </w:r>
    </w:p>
    <w:p w14:paraId="54A8F547" w14:textId="70D683A7" w:rsidR="00432779" w:rsidRPr="006A5FE5" w:rsidRDefault="00432779" w:rsidP="0012141D">
      <w:pPr>
        <w:spacing w:after="0" w:line="240" w:lineRule="auto"/>
      </w:pPr>
    </w:p>
    <w:p w14:paraId="7085843E" w14:textId="39F040D6" w:rsidR="00432779" w:rsidRPr="006A5FE5" w:rsidRDefault="00432779" w:rsidP="0012141D">
      <w:pPr>
        <w:spacing w:after="0" w:line="240" w:lineRule="auto"/>
        <w:rPr>
          <w:b/>
          <w:bCs/>
        </w:rPr>
      </w:pPr>
      <w:r w:rsidRPr="006A5FE5">
        <w:rPr>
          <w:b/>
          <w:bCs/>
        </w:rPr>
        <w:t>Magistrate:</w:t>
      </w:r>
    </w:p>
    <w:p w14:paraId="50F42BE1" w14:textId="42444449" w:rsidR="00432779" w:rsidRPr="006A5FE5" w:rsidRDefault="00432779" w:rsidP="0012141D">
      <w:pPr>
        <w:spacing w:after="0" w:line="240" w:lineRule="auto"/>
        <w:rPr>
          <w:b/>
          <w:bCs/>
        </w:rPr>
      </w:pPr>
    </w:p>
    <w:p w14:paraId="4FFC6D6D" w14:textId="3D2A4A88" w:rsidR="00432779" w:rsidRPr="006A5FE5" w:rsidRDefault="00432779" w:rsidP="0012141D">
      <w:pPr>
        <w:spacing w:after="0" w:line="240" w:lineRule="auto"/>
      </w:pPr>
      <w:r w:rsidRPr="006A5FE5">
        <w:rPr>
          <w:b/>
          <w:bCs/>
        </w:rPr>
        <w:tab/>
      </w:r>
      <w:r w:rsidRPr="006A5FE5">
        <w:t>Eric Tennen</w:t>
      </w:r>
    </w:p>
    <w:p w14:paraId="269D8D4E" w14:textId="77777777" w:rsidR="00432779" w:rsidRPr="006A5FE5" w:rsidRDefault="00432779" w:rsidP="0012141D">
      <w:pPr>
        <w:spacing w:after="0" w:line="240" w:lineRule="auto"/>
      </w:pPr>
    </w:p>
    <w:p w14:paraId="25C97F85" w14:textId="34BD2D28" w:rsidR="00432779" w:rsidRPr="006A5FE5" w:rsidRDefault="0017385A"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r>
        <w:rPr>
          <w:b/>
        </w:rPr>
        <w:t xml:space="preserve">Summary of Recommended </w:t>
      </w:r>
      <w:r w:rsidR="00432779" w:rsidRPr="006A5FE5">
        <w:rPr>
          <w:b/>
        </w:rPr>
        <w:t>D</w:t>
      </w:r>
      <w:r>
        <w:rPr>
          <w:b/>
        </w:rPr>
        <w:t>ecision</w:t>
      </w:r>
    </w:p>
    <w:p w14:paraId="3E2DDFB1" w14:textId="77777777" w:rsidR="00432779" w:rsidRPr="006A5FE5"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b/>
        </w:rPr>
      </w:pPr>
    </w:p>
    <w:p w14:paraId="00EB62FE" w14:textId="7789608E" w:rsidR="00432779"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bCs/>
        </w:rPr>
      </w:pPr>
      <w:r w:rsidRPr="006A5FE5">
        <w:rPr>
          <w:b/>
        </w:rPr>
        <w:tab/>
      </w:r>
      <w:r w:rsidR="00527748">
        <w:rPr>
          <w:bCs/>
        </w:rPr>
        <w:t>The Respondent treated Patient A at an urgent care</w:t>
      </w:r>
      <w:r w:rsidR="00A7408A">
        <w:rPr>
          <w:bCs/>
        </w:rPr>
        <w:t xml:space="preserve"> facility</w:t>
      </w:r>
      <w:r w:rsidR="00527748">
        <w:rPr>
          <w:bCs/>
        </w:rPr>
        <w:t xml:space="preserve">. Unfortunately, she passed away a few days later from </w:t>
      </w:r>
      <w:r w:rsidR="00527748" w:rsidRPr="006A5FE5">
        <w:t>streptococcus pneumonia</w:t>
      </w:r>
      <w:r w:rsidR="00C625F5">
        <w:t>, which the Respondent had neither tested for</w:t>
      </w:r>
      <w:r w:rsidR="00272430">
        <w:t xml:space="preserve"> nor diagnosed</w:t>
      </w:r>
      <w:r w:rsidR="00527748" w:rsidRPr="006A5FE5">
        <w:t xml:space="preserve">. </w:t>
      </w:r>
      <w:r w:rsidR="00527748">
        <w:rPr>
          <w:bCs/>
        </w:rPr>
        <w:t>The Board allege</w:t>
      </w:r>
      <w:r w:rsidR="008B47F8">
        <w:rPr>
          <w:bCs/>
        </w:rPr>
        <w:t>s</w:t>
      </w:r>
      <w:r w:rsidR="00527748">
        <w:rPr>
          <w:bCs/>
        </w:rPr>
        <w:t xml:space="preserve"> </w:t>
      </w:r>
      <w:r w:rsidR="008B47F8">
        <w:rPr>
          <w:bCs/>
        </w:rPr>
        <w:t>Respondent’s</w:t>
      </w:r>
      <w:r w:rsidR="00527748">
        <w:rPr>
          <w:bCs/>
        </w:rPr>
        <w:t xml:space="preserve"> conduct fell below the standard of care because he failed to appreciate </w:t>
      </w:r>
      <w:r w:rsidR="008B47F8">
        <w:rPr>
          <w:bCs/>
        </w:rPr>
        <w:t>Patient A’s</w:t>
      </w:r>
      <w:r w:rsidR="00527748">
        <w:rPr>
          <w:bCs/>
        </w:rPr>
        <w:t xml:space="preserve"> susceptibility to a serious infection and should have done testing to rule </w:t>
      </w:r>
      <w:r w:rsidR="008B47F8">
        <w:rPr>
          <w:bCs/>
        </w:rPr>
        <w:t>it out</w:t>
      </w:r>
      <w:r w:rsidR="00527748">
        <w:rPr>
          <w:bCs/>
        </w:rPr>
        <w:t xml:space="preserve">. </w:t>
      </w:r>
      <w:r w:rsidR="008B47F8">
        <w:rPr>
          <w:bCs/>
        </w:rPr>
        <w:t>However, t</w:t>
      </w:r>
      <w:r w:rsidR="00527748">
        <w:rPr>
          <w:bCs/>
        </w:rPr>
        <w:t>he Board failed to carry its burden</w:t>
      </w:r>
      <w:r w:rsidR="00607FBD">
        <w:rPr>
          <w:bCs/>
        </w:rPr>
        <w:t xml:space="preserve"> of proof</w:t>
      </w:r>
      <w:r w:rsidR="00527748">
        <w:rPr>
          <w:bCs/>
        </w:rPr>
        <w:t xml:space="preserve">. Although the Board’s expert was well-qualified and gave a plausible opinion, Respondent’s </w:t>
      </w:r>
      <w:r w:rsidR="008B47F8">
        <w:rPr>
          <w:bCs/>
        </w:rPr>
        <w:t>expert</w:t>
      </w:r>
      <w:r w:rsidR="00527748">
        <w:rPr>
          <w:bCs/>
        </w:rPr>
        <w:t xml:space="preserve"> was more </w:t>
      </w:r>
      <w:r w:rsidR="0054394A">
        <w:rPr>
          <w:bCs/>
        </w:rPr>
        <w:t>credible</w:t>
      </w:r>
      <w:r w:rsidR="00527748">
        <w:rPr>
          <w:bCs/>
        </w:rPr>
        <w:t xml:space="preserve">. Accordingly, even though the results were tragic, the Respondent’s conduct was within the standard of care. </w:t>
      </w:r>
    </w:p>
    <w:p w14:paraId="7FAE2DE7" w14:textId="77777777" w:rsidR="00527748" w:rsidRPr="00527748" w:rsidRDefault="00527748"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bCs/>
        </w:rPr>
      </w:pPr>
    </w:p>
    <w:p w14:paraId="61416E02" w14:textId="77777777" w:rsidR="00432779" w:rsidRPr="006A5FE5"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p>
    <w:p w14:paraId="720049A1" w14:textId="77777777" w:rsidR="00E7190B" w:rsidRDefault="00E7190B"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p>
    <w:p w14:paraId="27999F09" w14:textId="77777777" w:rsidR="00E7190B" w:rsidRDefault="00E7190B"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p>
    <w:p w14:paraId="2A87E77B" w14:textId="77777777" w:rsidR="00E7190B" w:rsidRDefault="00E7190B"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p>
    <w:p w14:paraId="291ABF25" w14:textId="77777777" w:rsidR="00E7190B" w:rsidRDefault="00E7190B"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p>
    <w:p w14:paraId="2626245C" w14:textId="2E044F27" w:rsidR="00432779" w:rsidRPr="006A5FE5"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r w:rsidRPr="006A5FE5">
        <w:rPr>
          <w:b/>
        </w:rPr>
        <w:lastRenderedPageBreak/>
        <w:t xml:space="preserve">RECOMMENDED DECISION </w:t>
      </w:r>
    </w:p>
    <w:p w14:paraId="204DB65D" w14:textId="77777777" w:rsidR="00432779" w:rsidRPr="006A5FE5" w:rsidRDefault="00432779" w:rsidP="0012141D">
      <w:pPr>
        <w:spacing w:after="0"/>
      </w:pPr>
    </w:p>
    <w:p w14:paraId="6059D890" w14:textId="17126684" w:rsidR="00432779" w:rsidRPr="006A5FE5" w:rsidRDefault="00432779" w:rsidP="0012141D">
      <w:pPr>
        <w:spacing w:after="0" w:line="480" w:lineRule="auto"/>
      </w:pPr>
      <w:r w:rsidRPr="006A5FE5">
        <w:tab/>
        <w:t>On October 8, 2020, the Board of Registration in Medicine (“</w:t>
      </w:r>
      <w:r w:rsidR="007015DC">
        <w:t>Board</w:t>
      </w:r>
      <w:r w:rsidRPr="006A5FE5">
        <w:t xml:space="preserve">”) issued a Statement of Allegations seeking to discipline John Shackelford, D.O. (“Respondent”). </w:t>
      </w:r>
      <w:r w:rsidR="00234702">
        <w:t>The Board referred the matter to the Division of Administrative Law Appeals (“DALA”)</w:t>
      </w:r>
      <w:r w:rsidR="00786C4F">
        <w:t xml:space="preserve">, requesting DALA to make recommended findings of fact and </w:t>
      </w:r>
      <w:r w:rsidR="00F04AE4">
        <w:t xml:space="preserve">necessary conclusions of law.  </w:t>
      </w:r>
      <w:r w:rsidRPr="006A5FE5">
        <w:t>The Respondent filed an answer</w:t>
      </w:r>
      <w:r w:rsidR="00F04AE4">
        <w:t xml:space="preserve"> to the Board’s allegations</w:t>
      </w:r>
      <w:r w:rsidRPr="006A5FE5">
        <w:t xml:space="preserve">, admitting some facts but denying misconduct. </w:t>
      </w:r>
    </w:p>
    <w:p w14:paraId="75554749" w14:textId="644DE433" w:rsidR="00432779" w:rsidRDefault="00432779" w:rsidP="0012141D">
      <w:pPr>
        <w:spacing w:after="0" w:line="480" w:lineRule="auto"/>
      </w:pPr>
      <w:r w:rsidRPr="006A5FE5">
        <w:tab/>
        <w:t xml:space="preserve">The matter was assigned to a </w:t>
      </w:r>
      <w:r w:rsidR="00B8264E">
        <w:t>DALA</w:t>
      </w:r>
      <w:r w:rsidRPr="006A5FE5">
        <w:t xml:space="preserve"> magistrate, who held a hearing over the course of three days in 2021.</w:t>
      </w:r>
      <w:r w:rsidR="00B4285B" w:rsidRPr="006A5FE5">
        <w:t xml:space="preserve"> The magistrate admitted 15 exhibits and excluded one (which has been marked ID A).</w:t>
      </w:r>
      <w:r w:rsidRPr="006A5FE5">
        <w:t xml:space="preserve"> The</w:t>
      </w:r>
      <w:r w:rsidR="00FD6846" w:rsidRPr="006A5FE5">
        <w:t xml:space="preserve"> Board called the</w:t>
      </w:r>
      <w:r w:rsidRPr="006A5FE5">
        <w:t xml:space="preserve"> Respondent</w:t>
      </w:r>
      <w:r w:rsidR="00FD6846" w:rsidRPr="006A5FE5">
        <w:t xml:space="preserve"> and Dr. Andrew Angel, M.D. as witnesses</w:t>
      </w:r>
      <w:r w:rsidR="00055905" w:rsidRPr="006A5FE5">
        <w:t>.</w:t>
      </w:r>
      <w:r w:rsidR="00055905" w:rsidRPr="006A5FE5">
        <w:rPr>
          <w:rStyle w:val="FootnoteReference"/>
        </w:rPr>
        <w:footnoteReference w:id="1"/>
      </w:r>
      <w:r w:rsidR="00FD6846" w:rsidRPr="006A5FE5">
        <w:t xml:space="preserve"> </w:t>
      </w:r>
      <w:r w:rsidR="00055905" w:rsidRPr="006A5FE5">
        <w:t>T</w:t>
      </w:r>
      <w:r w:rsidR="00FD6846" w:rsidRPr="006A5FE5">
        <w:t xml:space="preserve">he Respondent called </w:t>
      </w:r>
      <w:r w:rsidR="006357B3" w:rsidRPr="006A5FE5">
        <w:t xml:space="preserve">Michael Jones, </w:t>
      </w:r>
      <w:r w:rsidR="00CC05F0">
        <w:t>E</w:t>
      </w:r>
      <w:r w:rsidR="006357B3" w:rsidRPr="006A5FE5">
        <w:t>sq. and Dr. Steven Van Dam</w:t>
      </w:r>
      <w:r w:rsidR="00FD6846" w:rsidRPr="006A5FE5">
        <w:t>.</w:t>
      </w:r>
      <w:r w:rsidR="00B4285B" w:rsidRPr="006A5FE5">
        <w:t xml:space="preserve"> Following the hearing, the parties submitted closing briefs.</w:t>
      </w:r>
      <w:r w:rsidRPr="006A5FE5">
        <w:t xml:space="preserve"> After the matte</w:t>
      </w:r>
      <w:r w:rsidR="00B4285B" w:rsidRPr="006A5FE5">
        <w:t>r</w:t>
      </w:r>
      <w:r w:rsidRPr="006A5FE5">
        <w:t xml:space="preserve"> was submitted, the </w:t>
      </w:r>
      <w:r w:rsidR="00F37E51">
        <w:t>hearing</w:t>
      </w:r>
      <w:r w:rsidR="00F37E51" w:rsidRPr="006A5FE5">
        <w:t xml:space="preserve"> </w:t>
      </w:r>
      <w:r w:rsidRPr="006A5FE5">
        <w:t xml:space="preserve">magistrate </w:t>
      </w:r>
      <w:r w:rsidR="00B4285B" w:rsidRPr="006A5FE5">
        <w:t>became unavailable to issue a decision</w:t>
      </w:r>
      <w:r w:rsidRPr="006A5FE5">
        <w:t xml:space="preserve">. The matter was reassigned to me. </w:t>
      </w:r>
      <w:r w:rsidRPr="006A5FE5">
        <w:rPr>
          <w:i/>
          <w:iCs/>
        </w:rPr>
        <w:t>See</w:t>
      </w:r>
      <w:r w:rsidRPr="006A5FE5">
        <w:t xml:space="preserve"> 801 Code Mass. Regs. § 1.01(11)(e). The parties agreed I could decide the matter based on the existing record</w:t>
      </w:r>
      <w:r w:rsidR="001E6984" w:rsidRPr="006A5FE5">
        <w:t xml:space="preserve">: </w:t>
      </w:r>
      <w:r w:rsidRPr="006A5FE5">
        <w:t xml:space="preserve">the exhibits and the recordings of the hearing (including transcripts). </w:t>
      </w:r>
    </w:p>
    <w:p w14:paraId="1B386A92" w14:textId="06240E0F" w:rsidR="000006D2" w:rsidRPr="006A5FE5" w:rsidRDefault="000006D2" w:rsidP="0012141D">
      <w:pPr>
        <w:spacing w:after="0" w:line="480" w:lineRule="auto"/>
      </w:pPr>
      <w:r>
        <w:tab/>
      </w:r>
      <w:bookmarkStart w:id="1" w:name="_Hlk136860824"/>
      <w:r>
        <w:t xml:space="preserve">This is a close case. It revolves around one factual dispute—did the Respondent’s conduct fall below the standard of care. That determination, in turn, can be resolved </w:t>
      </w:r>
      <w:r w:rsidR="009C7543">
        <w:t xml:space="preserve">only </w:t>
      </w:r>
      <w:r>
        <w:t xml:space="preserve">by </w:t>
      </w:r>
      <w:r>
        <w:lastRenderedPageBreak/>
        <w:t xml:space="preserve">assessing the credibility of opposing expert opinions. Although it is not standard practice to detail testimony </w:t>
      </w:r>
      <w:r w:rsidR="009C7543">
        <w:t>that</w:t>
      </w:r>
      <w:r>
        <w:t xml:space="preserve"> I do not credit, I nevertheless lay out the competing evidentiary claims by each witness. This will assure the parties that I have carefully considered all the evidence while also setting forth the foundation for my credibility determinations. </w:t>
      </w:r>
      <w:bookmarkEnd w:id="1"/>
    </w:p>
    <w:p w14:paraId="71D5F0CA" w14:textId="77777777" w:rsidR="00432779" w:rsidRPr="006A5FE5" w:rsidRDefault="00432779" w:rsidP="0012141D">
      <w:pPr>
        <w:spacing w:after="0" w:line="480" w:lineRule="auto"/>
        <w:ind w:right="360"/>
        <w:jc w:val="center"/>
        <w:rPr>
          <w:b/>
        </w:rPr>
      </w:pPr>
      <w:r w:rsidRPr="006A5FE5">
        <w:rPr>
          <w:b/>
        </w:rPr>
        <w:t>FINDINGS OF FACT</w:t>
      </w:r>
    </w:p>
    <w:p w14:paraId="3783657A" w14:textId="4AB44D18" w:rsidR="00432779" w:rsidRPr="006A5FE5" w:rsidRDefault="00B4285B"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pPr>
      <w:r w:rsidRPr="006A5FE5">
        <w:tab/>
      </w:r>
      <w:r w:rsidR="00432779" w:rsidRPr="006A5FE5">
        <w:t xml:space="preserve">Based on the </w:t>
      </w:r>
      <w:r w:rsidRPr="006A5FE5">
        <w:t>testimony</w:t>
      </w:r>
      <w:r w:rsidR="00432779" w:rsidRPr="006A5FE5">
        <w:t xml:space="preserve"> and the exhibits, I make the following findings of fact</w:t>
      </w:r>
      <w:r w:rsidR="00E7190B">
        <w:t>. In doing so, I am deviating from the usual practice of only recounting</w:t>
      </w:r>
      <w:r w:rsidR="00432779" w:rsidRPr="006A5FE5">
        <w:t>:</w:t>
      </w:r>
    </w:p>
    <w:p w14:paraId="46D8C8F8" w14:textId="16280F1D" w:rsidR="00432779" w:rsidRPr="006A5FE5" w:rsidRDefault="00432779"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Respondent is </w:t>
      </w:r>
      <w:r w:rsidR="00B4285B" w:rsidRPr="006A5FE5">
        <w:rPr>
          <w:rFonts w:ascii="Times New Roman" w:hAnsi="Times New Roman" w:cs="Times New Roman"/>
          <w:sz w:val="24"/>
          <w:szCs w:val="24"/>
        </w:rPr>
        <w:t>b</w:t>
      </w:r>
      <w:r w:rsidRPr="006A5FE5">
        <w:rPr>
          <w:rFonts w:ascii="Times New Roman" w:hAnsi="Times New Roman" w:cs="Times New Roman"/>
          <w:sz w:val="24"/>
          <w:szCs w:val="24"/>
        </w:rPr>
        <w:t xml:space="preserve">oard-certified in </w:t>
      </w:r>
      <w:r w:rsidR="008B47F8">
        <w:rPr>
          <w:rFonts w:ascii="Times New Roman" w:hAnsi="Times New Roman" w:cs="Times New Roman"/>
          <w:sz w:val="24"/>
          <w:szCs w:val="24"/>
        </w:rPr>
        <w:t>i</w:t>
      </w:r>
      <w:r w:rsidR="00B4285B" w:rsidRPr="006A5FE5">
        <w:rPr>
          <w:rFonts w:ascii="Times New Roman" w:hAnsi="Times New Roman" w:cs="Times New Roman"/>
          <w:sz w:val="24"/>
          <w:szCs w:val="24"/>
        </w:rPr>
        <w:t xml:space="preserve">nternal </w:t>
      </w:r>
      <w:r w:rsidR="008B47F8">
        <w:rPr>
          <w:rFonts w:ascii="Times New Roman" w:hAnsi="Times New Roman" w:cs="Times New Roman"/>
          <w:sz w:val="24"/>
          <w:szCs w:val="24"/>
        </w:rPr>
        <w:t>m</w:t>
      </w:r>
      <w:r w:rsidR="00B4285B" w:rsidRPr="006A5FE5">
        <w:rPr>
          <w:rFonts w:ascii="Times New Roman" w:hAnsi="Times New Roman" w:cs="Times New Roman"/>
          <w:sz w:val="24"/>
          <w:szCs w:val="24"/>
        </w:rPr>
        <w:t>edicine</w:t>
      </w:r>
      <w:r w:rsidRPr="006A5FE5">
        <w:rPr>
          <w:rFonts w:ascii="Times New Roman" w:hAnsi="Times New Roman" w:cs="Times New Roman"/>
          <w:sz w:val="24"/>
          <w:szCs w:val="24"/>
        </w:rPr>
        <w:t>. He has been licensed to practice medicine in Massachusetts since 20</w:t>
      </w:r>
      <w:r w:rsidR="00B4285B" w:rsidRPr="006A5FE5">
        <w:rPr>
          <w:rFonts w:ascii="Times New Roman" w:hAnsi="Times New Roman" w:cs="Times New Roman"/>
          <w:sz w:val="24"/>
          <w:szCs w:val="24"/>
        </w:rPr>
        <w:t>04</w:t>
      </w:r>
      <w:r w:rsidRPr="006A5FE5">
        <w:rPr>
          <w:rFonts w:ascii="Times New Roman" w:hAnsi="Times New Roman" w:cs="Times New Roman"/>
          <w:sz w:val="24"/>
          <w:szCs w:val="24"/>
        </w:rPr>
        <w:t>. (</w:t>
      </w:r>
      <w:r w:rsidR="00B4285B" w:rsidRPr="006A5FE5">
        <w:rPr>
          <w:rFonts w:ascii="Times New Roman" w:hAnsi="Times New Roman" w:cs="Times New Roman"/>
          <w:sz w:val="24"/>
          <w:szCs w:val="24"/>
        </w:rPr>
        <w:t>Stipulated facts.</w:t>
      </w:r>
      <w:r w:rsidRPr="006A5FE5">
        <w:rPr>
          <w:rFonts w:ascii="Times New Roman" w:hAnsi="Times New Roman" w:cs="Times New Roman"/>
          <w:sz w:val="24"/>
          <w:szCs w:val="24"/>
        </w:rPr>
        <w:t>)</w:t>
      </w:r>
    </w:p>
    <w:p w14:paraId="40678897" w14:textId="0FB78CD1" w:rsidR="00B4285B" w:rsidRPr="006A5FE5" w:rsidRDefault="00B4285B"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 allegations revolve around the Respondent’s care for Patient A.</w:t>
      </w:r>
      <w:r w:rsidR="001E6984" w:rsidRPr="006A5FE5">
        <w:rPr>
          <w:rFonts w:ascii="Times New Roman" w:hAnsi="Times New Roman" w:cs="Times New Roman"/>
          <w:sz w:val="24"/>
          <w:szCs w:val="24"/>
        </w:rPr>
        <w:t xml:space="preserve"> (Statement of Allegati</w:t>
      </w:r>
      <w:r w:rsidR="007F19D1" w:rsidRPr="006A5FE5">
        <w:rPr>
          <w:rFonts w:ascii="Times New Roman" w:hAnsi="Times New Roman" w:cs="Times New Roman"/>
          <w:sz w:val="24"/>
          <w:szCs w:val="24"/>
        </w:rPr>
        <w:t>o</w:t>
      </w:r>
      <w:r w:rsidR="001E6984" w:rsidRPr="006A5FE5">
        <w:rPr>
          <w:rFonts w:ascii="Times New Roman" w:hAnsi="Times New Roman" w:cs="Times New Roman"/>
          <w:sz w:val="24"/>
          <w:szCs w:val="24"/>
        </w:rPr>
        <w:t>ns.)</w:t>
      </w:r>
    </w:p>
    <w:p w14:paraId="4C73AAB5" w14:textId="4B4E00D2" w:rsidR="00B4285B" w:rsidRPr="006A5FE5" w:rsidRDefault="00B4285B"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Patient A was a </w:t>
      </w:r>
      <w:r w:rsidR="00CD463C" w:rsidRPr="006A5FE5">
        <w:rPr>
          <w:rFonts w:ascii="Times New Roman" w:hAnsi="Times New Roman" w:cs="Times New Roman"/>
          <w:sz w:val="24"/>
          <w:szCs w:val="24"/>
        </w:rPr>
        <w:t>41-year-old</w:t>
      </w:r>
      <w:r w:rsidRPr="006A5FE5">
        <w:rPr>
          <w:rFonts w:ascii="Times New Roman" w:hAnsi="Times New Roman" w:cs="Times New Roman"/>
          <w:sz w:val="24"/>
          <w:szCs w:val="24"/>
        </w:rPr>
        <w:t xml:space="preserve"> woman. She had a pacemaker. In 1993, she was in a motor vehicle accident </w:t>
      </w:r>
      <w:r w:rsidR="00E7190B">
        <w:rPr>
          <w:rFonts w:ascii="Times New Roman" w:hAnsi="Times New Roman" w:cs="Times New Roman"/>
          <w:sz w:val="24"/>
          <w:szCs w:val="24"/>
        </w:rPr>
        <w:t>that</w:t>
      </w:r>
      <w:r w:rsidRPr="006A5FE5">
        <w:rPr>
          <w:rFonts w:ascii="Times New Roman" w:hAnsi="Times New Roman" w:cs="Times New Roman"/>
          <w:sz w:val="24"/>
          <w:szCs w:val="24"/>
        </w:rPr>
        <w:t xml:space="preserve"> required her to have </w:t>
      </w:r>
      <w:r w:rsidR="009F37F3" w:rsidRPr="006A5FE5">
        <w:rPr>
          <w:rFonts w:ascii="Times New Roman" w:hAnsi="Times New Roman" w:cs="Times New Roman"/>
          <w:sz w:val="24"/>
          <w:szCs w:val="24"/>
        </w:rPr>
        <w:t>her spleen removed, otherwise known as a splenectomy</w:t>
      </w:r>
      <w:r w:rsidRPr="006A5FE5">
        <w:rPr>
          <w:rFonts w:ascii="Times New Roman" w:hAnsi="Times New Roman" w:cs="Times New Roman"/>
          <w:sz w:val="24"/>
          <w:szCs w:val="24"/>
        </w:rPr>
        <w:t>. (Stipulated facts.)</w:t>
      </w:r>
    </w:p>
    <w:p w14:paraId="032EFF75" w14:textId="53838415" w:rsidR="00B4285B" w:rsidRPr="006A5FE5" w:rsidRDefault="00B4285B"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 visited an urgent care clinic</w:t>
      </w:r>
      <w:r w:rsidR="00E7190B">
        <w:rPr>
          <w:rFonts w:ascii="Times New Roman" w:hAnsi="Times New Roman" w:cs="Times New Roman"/>
          <w:sz w:val="24"/>
          <w:szCs w:val="24"/>
        </w:rPr>
        <w:t>, Health Express in Pembroke, MA,</w:t>
      </w:r>
      <w:r w:rsidRPr="006A5FE5">
        <w:rPr>
          <w:rFonts w:ascii="Times New Roman" w:hAnsi="Times New Roman" w:cs="Times New Roman"/>
          <w:sz w:val="24"/>
          <w:szCs w:val="24"/>
        </w:rPr>
        <w:t xml:space="preserve"> </w:t>
      </w:r>
      <w:r w:rsidR="00E7190B">
        <w:rPr>
          <w:rFonts w:ascii="Times New Roman" w:hAnsi="Times New Roman" w:cs="Times New Roman"/>
          <w:sz w:val="24"/>
          <w:szCs w:val="24"/>
        </w:rPr>
        <w:t>o</w:t>
      </w:r>
      <w:r w:rsidRPr="006A5FE5">
        <w:rPr>
          <w:rFonts w:ascii="Times New Roman" w:hAnsi="Times New Roman" w:cs="Times New Roman"/>
          <w:sz w:val="24"/>
          <w:szCs w:val="24"/>
        </w:rPr>
        <w:t>n October 2013 where the Respondent treated her. (Stipulated facts.)</w:t>
      </w:r>
    </w:p>
    <w:p w14:paraId="4B32C1ED" w14:textId="50556F5D" w:rsidR="00B4285B" w:rsidRPr="006A5FE5" w:rsidRDefault="00B4285B"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Her temperature that day was 97.7</w:t>
      </w:r>
      <w:r w:rsidR="00BD336E" w:rsidRPr="006A5FE5">
        <w:rPr>
          <w:rFonts w:ascii="Times New Roman" w:hAnsi="Times New Roman" w:cs="Times New Roman"/>
          <w:sz w:val="24"/>
          <w:szCs w:val="24"/>
        </w:rPr>
        <w:t xml:space="preserve"> and her respiration </w:t>
      </w:r>
      <w:r w:rsidR="003C66F9">
        <w:rPr>
          <w:rFonts w:ascii="Times New Roman" w:hAnsi="Times New Roman" w:cs="Times New Roman"/>
          <w:sz w:val="24"/>
          <w:szCs w:val="24"/>
        </w:rPr>
        <w:t>rate w</w:t>
      </w:r>
      <w:r w:rsidR="00BD336E" w:rsidRPr="006A5FE5">
        <w:rPr>
          <w:rFonts w:ascii="Times New Roman" w:hAnsi="Times New Roman" w:cs="Times New Roman"/>
          <w:sz w:val="24"/>
          <w:szCs w:val="24"/>
        </w:rPr>
        <w:t>as 18</w:t>
      </w:r>
      <w:r w:rsidR="003C66F9">
        <w:rPr>
          <w:rFonts w:ascii="Times New Roman" w:hAnsi="Times New Roman" w:cs="Times New Roman"/>
          <w:sz w:val="24"/>
          <w:szCs w:val="24"/>
        </w:rPr>
        <w:t xml:space="preserve"> breaths per minute</w:t>
      </w:r>
      <w:r w:rsidR="00BD336E" w:rsidRPr="006A5FE5">
        <w:rPr>
          <w:rFonts w:ascii="Times New Roman" w:hAnsi="Times New Roman" w:cs="Times New Roman"/>
          <w:sz w:val="24"/>
          <w:szCs w:val="24"/>
        </w:rPr>
        <w:t>, both recorded as normal. (Stipulated facts.)</w:t>
      </w:r>
    </w:p>
    <w:p w14:paraId="67843FFB" w14:textId="2086C38E" w:rsidR="00BD336E" w:rsidRPr="006A5FE5" w:rsidRDefault="00833A9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 medical records show her “chief complaint” as fever, rash and diarrhea. (Stipulated facts.)</w:t>
      </w:r>
    </w:p>
    <w:p w14:paraId="7FB944ED" w14:textId="6404FE3B" w:rsidR="00CA5E4F" w:rsidRPr="006A5FE5" w:rsidRDefault="00CA5E4F" w:rsidP="00CA5E4F">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“history of present illness” section included the following symptoms: very cold upper and lower extremities for a week, rash to her face, burning, aching, tingling, weakness, </w:t>
      </w:r>
      <w:r w:rsidR="00946C97">
        <w:rPr>
          <w:rFonts w:ascii="Times New Roman" w:hAnsi="Times New Roman" w:cs="Times New Roman"/>
          <w:sz w:val="24"/>
          <w:szCs w:val="24"/>
        </w:rPr>
        <w:t xml:space="preserve">and </w:t>
      </w:r>
      <w:r w:rsidRPr="006A5FE5">
        <w:rPr>
          <w:rFonts w:ascii="Times New Roman" w:hAnsi="Times New Roman" w:cs="Times New Roman"/>
          <w:sz w:val="24"/>
          <w:szCs w:val="24"/>
        </w:rPr>
        <w:t>diarrhea. (Stipulated facts.)</w:t>
      </w:r>
    </w:p>
    <w:p w14:paraId="019639CD" w14:textId="70A7B27B" w:rsidR="00CA5E4F" w:rsidRPr="006A5FE5" w:rsidRDefault="00CA5E4F" w:rsidP="00CA5E4F">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lastRenderedPageBreak/>
        <w:t xml:space="preserve">The “skin and soft tissue exam” section included the following symptoms: </w:t>
      </w:r>
      <w:r w:rsidR="00CF04EB">
        <w:rPr>
          <w:rFonts w:ascii="Times New Roman" w:hAnsi="Times New Roman" w:cs="Times New Roman"/>
          <w:sz w:val="24"/>
          <w:szCs w:val="24"/>
        </w:rPr>
        <w:t>“</w:t>
      </w:r>
      <w:r w:rsidRPr="006A5FE5">
        <w:rPr>
          <w:rFonts w:ascii="Times New Roman" w:hAnsi="Times New Roman" w:cs="Times New Roman"/>
          <w:sz w:val="24"/>
          <w:szCs w:val="24"/>
        </w:rPr>
        <w:t>mottle blue and white with a little red</w:t>
      </w:r>
      <w:r w:rsidR="00CF04EB">
        <w:rPr>
          <w:rFonts w:ascii="Times New Roman" w:hAnsi="Times New Roman" w:cs="Times New Roman"/>
          <w:sz w:val="24"/>
          <w:szCs w:val="24"/>
        </w:rPr>
        <w:t xml:space="preserve"> on</w:t>
      </w:r>
      <w:r w:rsidRPr="006A5FE5">
        <w:rPr>
          <w:rFonts w:ascii="Times New Roman" w:hAnsi="Times New Roman" w:cs="Times New Roman"/>
          <w:sz w:val="24"/>
          <w:szCs w:val="24"/>
        </w:rPr>
        <w:t xml:space="preserve"> pressure very cool to palp, mottle area of hands and feet looks like red/white and blue tender to palp.</w:t>
      </w:r>
      <w:r w:rsidR="00CF04EB">
        <w:rPr>
          <w:rFonts w:ascii="Times New Roman" w:hAnsi="Times New Roman" w:cs="Times New Roman"/>
          <w:sz w:val="24"/>
          <w:szCs w:val="24"/>
        </w:rPr>
        <w:t>”</w:t>
      </w:r>
      <w:r w:rsidRPr="006A5FE5">
        <w:rPr>
          <w:rFonts w:ascii="Times New Roman" w:hAnsi="Times New Roman" w:cs="Times New Roman"/>
          <w:sz w:val="24"/>
          <w:szCs w:val="24"/>
        </w:rPr>
        <w:t xml:space="preserve"> (Stipulated facts.)</w:t>
      </w:r>
    </w:p>
    <w:p w14:paraId="28114BBC" w14:textId="613C95C1" w:rsidR="00C0511E" w:rsidRPr="006A5FE5" w:rsidRDefault="00C0511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Ultimately, </w:t>
      </w:r>
      <w:r w:rsidR="008B47F8">
        <w:rPr>
          <w:rFonts w:ascii="Times New Roman" w:hAnsi="Times New Roman" w:cs="Times New Roman"/>
          <w:sz w:val="24"/>
          <w:szCs w:val="24"/>
        </w:rPr>
        <w:t>t</w:t>
      </w:r>
      <w:r w:rsidR="00CA5E4F" w:rsidRPr="006A5FE5">
        <w:rPr>
          <w:rFonts w:ascii="Times New Roman" w:hAnsi="Times New Roman" w:cs="Times New Roman"/>
          <w:sz w:val="24"/>
          <w:szCs w:val="24"/>
        </w:rPr>
        <w:t xml:space="preserve">he Respondent </w:t>
      </w:r>
      <w:r w:rsidRPr="006A5FE5">
        <w:rPr>
          <w:rFonts w:ascii="Times New Roman" w:hAnsi="Times New Roman" w:cs="Times New Roman"/>
          <w:sz w:val="24"/>
          <w:szCs w:val="24"/>
        </w:rPr>
        <w:t>diagnosed the Patient with Raynaud’s disease and sent her home with instructions to contact her doctor, go to an emergency room</w:t>
      </w:r>
      <w:r w:rsidR="00CF04EB">
        <w:rPr>
          <w:rFonts w:ascii="Times New Roman" w:hAnsi="Times New Roman" w:cs="Times New Roman"/>
          <w:sz w:val="24"/>
          <w:szCs w:val="24"/>
        </w:rPr>
        <w:t xml:space="preserve"> (“ER”)</w:t>
      </w:r>
      <w:r w:rsidRPr="006A5FE5">
        <w:rPr>
          <w:rFonts w:ascii="Times New Roman" w:hAnsi="Times New Roman" w:cs="Times New Roman"/>
          <w:sz w:val="24"/>
          <w:szCs w:val="24"/>
        </w:rPr>
        <w:t>, or return to the clinic if her condition did not improve, or if it worsened. (Stipulated facts.)</w:t>
      </w:r>
    </w:p>
    <w:p w14:paraId="7809FFC7" w14:textId="0922A6F6" w:rsidR="00C0511E" w:rsidRPr="006A5FE5" w:rsidRDefault="00C0511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After leaving the clinic, Patient A’s health deteriorated, but she did not contact a doctor, an </w:t>
      </w:r>
      <w:r w:rsidR="00CF04EB">
        <w:rPr>
          <w:rFonts w:ascii="Times New Roman" w:hAnsi="Times New Roman" w:cs="Times New Roman"/>
          <w:sz w:val="24"/>
          <w:szCs w:val="24"/>
        </w:rPr>
        <w:t>ER</w:t>
      </w:r>
      <w:r w:rsidRPr="006A5FE5">
        <w:rPr>
          <w:rFonts w:ascii="Times New Roman" w:hAnsi="Times New Roman" w:cs="Times New Roman"/>
          <w:sz w:val="24"/>
          <w:szCs w:val="24"/>
        </w:rPr>
        <w:t xml:space="preserve"> or any other health care provider. (Stipulated facts.)</w:t>
      </w:r>
    </w:p>
    <w:p w14:paraId="53E65D14" w14:textId="5519AC5E" w:rsidR="00C0511E" w:rsidRPr="006A5FE5" w:rsidRDefault="00C0511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She passed away a few days later from streptococcus pneumonia. (Stipulated facts; Exhibit 1.)</w:t>
      </w:r>
    </w:p>
    <w:p w14:paraId="54F6737B" w14:textId="25CC7C4B" w:rsidR="00B31A88" w:rsidRPr="006A5FE5" w:rsidRDefault="001156F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Around 2015, Patient A’s estate sued the Respondent for malpractice. (Exhibit 4.)</w:t>
      </w:r>
    </w:p>
    <w:p w14:paraId="54135804" w14:textId="101F6DAD" w:rsidR="00C0511E" w:rsidRPr="006A5FE5" w:rsidRDefault="001156F2" w:rsidP="0012141D">
      <w:pPr>
        <w:pStyle w:val="ListParagraph"/>
        <w:spacing w:line="480" w:lineRule="auto"/>
        <w:ind w:left="720" w:firstLine="0"/>
        <w:rPr>
          <w:rFonts w:ascii="Times New Roman" w:hAnsi="Times New Roman" w:cs="Times New Roman"/>
          <w:sz w:val="24"/>
          <w:szCs w:val="24"/>
        </w:rPr>
      </w:pPr>
      <w:r w:rsidRPr="006A5FE5">
        <w:rPr>
          <w:rFonts w:ascii="Times New Roman" w:hAnsi="Times New Roman" w:cs="Times New Roman"/>
          <w:b/>
          <w:bCs/>
          <w:sz w:val="24"/>
          <w:szCs w:val="24"/>
          <w:u w:val="single"/>
        </w:rPr>
        <w:t>The Respondent’s</w:t>
      </w:r>
      <w:r w:rsidR="00C0511E" w:rsidRPr="006A5FE5">
        <w:rPr>
          <w:rFonts w:ascii="Times New Roman" w:hAnsi="Times New Roman" w:cs="Times New Roman"/>
          <w:b/>
          <w:bCs/>
          <w:sz w:val="24"/>
          <w:szCs w:val="24"/>
          <w:u w:val="single"/>
        </w:rPr>
        <w:t xml:space="preserve"> Testimony</w:t>
      </w:r>
    </w:p>
    <w:p w14:paraId="68BB7919" w14:textId="6310BAE9" w:rsidR="00C0511E" w:rsidRDefault="00CA5E4F"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Respondent </w:t>
      </w:r>
      <w:r w:rsidR="00C0511E" w:rsidRPr="006A5FE5">
        <w:rPr>
          <w:rFonts w:ascii="Times New Roman" w:hAnsi="Times New Roman" w:cs="Times New Roman"/>
          <w:sz w:val="24"/>
          <w:szCs w:val="24"/>
        </w:rPr>
        <w:t xml:space="preserve">had recently begun working at Health Care </w:t>
      </w:r>
      <w:r w:rsidR="004730A3">
        <w:rPr>
          <w:rFonts w:ascii="Times New Roman" w:hAnsi="Times New Roman" w:cs="Times New Roman"/>
          <w:sz w:val="24"/>
          <w:szCs w:val="24"/>
        </w:rPr>
        <w:t>E</w:t>
      </w:r>
      <w:r w:rsidR="00C0511E" w:rsidRPr="006A5FE5">
        <w:rPr>
          <w:rFonts w:ascii="Times New Roman" w:hAnsi="Times New Roman" w:cs="Times New Roman"/>
          <w:sz w:val="24"/>
          <w:szCs w:val="24"/>
        </w:rPr>
        <w:t>xpress when he treated Patient A. (Respondent testimony.)</w:t>
      </w:r>
    </w:p>
    <w:p w14:paraId="12CAF71B" w14:textId="294A5DC2" w:rsidR="008B47F8" w:rsidRDefault="008B47F8"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Before the Respondent treated her, Patient A met with the intake medic who recorded some preliminary data. (Respondent testimony.)</w:t>
      </w:r>
    </w:p>
    <w:p w14:paraId="6254708D" w14:textId="77777777" w:rsidR="008B47F8" w:rsidRPr="006A5FE5" w:rsidRDefault="008B47F8" w:rsidP="008B47F8">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 intake paramedic documents the “chief complaint.” (Respondent testimony.)</w:t>
      </w:r>
    </w:p>
    <w:p w14:paraId="5A9EE2CF" w14:textId="0E0F7F12" w:rsidR="008B47F8" w:rsidRPr="006A5FE5" w:rsidRDefault="008B47F8" w:rsidP="008B47F8">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Patient A’s</w:t>
      </w:r>
      <w:r w:rsidRPr="006A5FE5">
        <w:rPr>
          <w:rFonts w:ascii="Times New Roman" w:hAnsi="Times New Roman" w:cs="Times New Roman"/>
          <w:sz w:val="24"/>
          <w:szCs w:val="24"/>
        </w:rPr>
        <w:t xml:space="preserve"> blood pressure was 130/72, her pulse was 76, and he</w:t>
      </w:r>
      <w:r w:rsidR="00073BF7">
        <w:rPr>
          <w:rFonts w:ascii="Times New Roman" w:hAnsi="Times New Roman" w:cs="Times New Roman"/>
          <w:sz w:val="24"/>
          <w:szCs w:val="24"/>
        </w:rPr>
        <w:t>r</w:t>
      </w:r>
      <w:r w:rsidRPr="006A5FE5">
        <w:rPr>
          <w:rFonts w:ascii="Times New Roman" w:hAnsi="Times New Roman" w:cs="Times New Roman"/>
          <w:sz w:val="24"/>
          <w:szCs w:val="24"/>
        </w:rPr>
        <w:t xml:space="preserve"> pulse oximetry was 99%. Those </w:t>
      </w:r>
      <w:r w:rsidR="00475D58">
        <w:rPr>
          <w:rFonts w:ascii="Times New Roman" w:hAnsi="Times New Roman" w:cs="Times New Roman"/>
          <w:sz w:val="24"/>
          <w:szCs w:val="24"/>
        </w:rPr>
        <w:t xml:space="preserve">measurements </w:t>
      </w:r>
      <w:r w:rsidRPr="006A5FE5">
        <w:rPr>
          <w:rFonts w:ascii="Times New Roman" w:hAnsi="Times New Roman" w:cs="Times New Roman"/>
          <w:sz w:val="24"/>
          <w:szCs w:val="24"/>
        </w:rPr>
        <w:t>are considered within normal limits. (Respondent testimony; Exhibit 6.)</w:t>
      </w:r>
    </w:p>
    <w:p w14:paraId="4FEE1D16" w14:textId="1C96B3B3" w:rsidR="00CD463C" w:rsidRPr="006A5FE5" w:rsidRDefault="00D0561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w:t>
      </w:r>
      <w:r w:rsidR="00CE7888" w:rsidRPr="006A5FE5">
        <w:rPr>
          <w:rFonts w:ascii="Times New Roman" w:hAnsi="Times New Roman" w:cs="Times New Roman"/>
          <w:sz w:val="24"/>
          <w:szCs w:val="24"/>
        </w:rPr>
        <w:t xml:space="preserve">medical </w:t>
      </w:r>
      <w:r w:rsidRPr="006A5FE5">
        <w:rPr>
          <w:rFonts w:ascii="Times New Roman" w:hAnsi="Times New Roman" w:cs="Times New Roman"/>
          <w:sz w:val="24"/>
          <w:szCs w:val="24"/>
        </w:rPr>
        <w:t>record</w:t>
      </w:r>
      <w:r w:rsidR="00CD463C" w:rsidRPr="006A5FE5">
        <w:rPr>
          <w:rFonts w:ascii="Times New Roman" w:hAnsi="Times New Roman" w:cs="Times New Roman"/>
          <w:sz w:val="24"/>
          <w:szCs w:val="24"/>
        </w:rPr>
        <w:t xml:space="preserve"> noted </w:t>
      </w:r>
      <w:r w:rsidR="00CE7888" w:rsidRPr="006A5FE5">
        <w:rPr>
          <w:rFonts w:ascii="Times New Roman" w:hAnsi="Times New Roman" w:cs="Times New Roman"/>
          <w:sz w:val="24"/>
          <w:szCs w:val="24"/>
        </w:rPr>
        <w:t>Patient A</w:t>
      </w:r>
      <w:r w:rsidR="00CD463C" w:rsidRPr="006A5FE5">
        <w:rPr>
          <w:rFonts w:ascii="Times New Roman" w:hAnsi="Times New Roman" w:cs="Times New Roman"/>
          <w:sz w:val="24"/>
          <w:szCs w:val="24"/>
        </w:rPr>
        <w:t xml:space="preserve"> “had tried” </w:t>
      </w:r>
      <w:r w:rsidR="001D1B3B" w:rsidRPr="006A5FE5">
        <w:rPr>
          <w:rFonts w:ascii="Times New Roman" w:hAnsi="Times New Roman" w:cs="Times New Roman"/>
          <w:sz w:val="24"/>
          <w:szCs w:val="24"/>
        </w:rPr>
        <w:t>over</w:t>
      </w:r>
      <w:r w:rsidR="001D1B3B">
        <w:rPr>
          <w:rFonts w:ascii="Times New Roman" w:hAnsi="Times New Roman" w:cs="Times New Roman"/>
          <w:sz w:val="24"/>
          <w:szCs w:val="24"/>
        </w:rPr>
        <w:t xml:space="preserve"> the counter</w:t>
      </w:r>
      <w:r w:rsidR="00CD463C" w:rsidRPr="006A5FE5">
        <w:rPr>
          <w:rFonts w:ascii="Times New Roman" w:hAnsi="Times New Roman" w:cs="Times New Roman"/>
          <w:sz w:val="24"/>
          <w:szCs w:val="24"/>
        </w:rPr>
        <w:t xml:space="preserve"> </w:t>
      </w:r>
      <w:r w:rsidR="00611B88" w:rsidRPr="006A5FE5">
        <w:rPr>
          <w:rFonts w:ascii="Times New Roman" w:hAnsi="Times New Roman" w:cs="Times New Roman"/>
          <w:sz w:val="24"/>
          <w:szCs w:val="24"/>
        </w:rPr>
        <w:t xml:space="preserve">(“OTC”) </w:t>
      </w:r>
      <w:r w:rsidR="00CD463C" w:rsidRPr="006A5FE5">
        <w:rPr>
          <w:rFonts w:ascii="Times New Roman" w:hAnsi="Times New Roman" w:cs="Times New Roman"/>
          <w:sz w:val="24"/>
          <w:szCs w:val="24"/>
        </w:rPr>
        <w:t>medications, but she was not taking them currently. (Respondent testimony; Exhibit 6.)</w:t>
      </w:r>
    </w:p>
    <w:p w14:paraId="7499A01E" w14:textId="3D14DD08" w:rsidR="00D05612" w:rsidRPr="006A5FE5" w:rsidRDefault="00D0561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Respondent understood that to mean she had not taken any medications of any kind </w:t>
      </w:r>
      <w:r w:rsidRPr="006A5FE5">
        <w:rPr>
          <w:rFonts w:ascii="Times New Roman" w:hAnsi="Times New Roman" w:cs="Times New Roman"/>
          <w:sz w:val="24"/>
          <w:szCs w:val="24"/>
        </w:rPr>
        <w:lastRenderedPageBreak/>
        <w:t>within a day prior to coming in. (Respondent testimony.)</w:t>
      </w:r>
    </w:p>
    <w:p w14:paraId="647050CC" w14:textId="57EC6373" w:rsidR="00D05612" w:rsidRPr="006A5FE5" w:rsidRDefault="00D0561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It is important to know whether a patient has taken any kinds of medications because that could impact blood pressure, pulse, temperature, respiration, and other vital signs. (Respondent testimony.)</w:t>
      </w:r>
    </w:p>
    <w:p w14:paraId="463940E7" w14:textId="1683C057" w:rsidR="00136EFA" w:rsidRPr="006A5FE5" w:rsidRDefault="00136EFA"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Whether she </w:t>
      </w:r>
      <w:r w:rsidR="00A27A05">
        <w:rPr>
          <w:rFonts w:ascii="Times New Roman" w:hAnsi="Times New Roman" w:cs="Times New Roman"/>
          <w:sz w:val="24"/>
          <w:szCs w:val="24"/>
        </w:rPr>
        <w:t xml:space="preserve">took </w:t>
      </w:r>
      <w:r w:rsidR="00013D43">
        <w:rPr>
          <w:rFonts w:ascii="Times New Roman" w:hAnsi="Times New Roman" w:cs="Times New Roman"/>
          <w:sz w:val="24"/>
          <w:szCs w:val="24"/>
        </w:rPr>
        <w:t xml:space="preserve">any </w:t>
      </w:r>
      <w:r w:rsidR="00A27A05">
        <w:rPr>
          <w:rFonts w:ascii="Times New Roman" w:hAnsi="Times New Roman" w:cs="Times New Roman"/>
          <w:sz w:val="24"/>
          <w:szCs w:val="24"/>
        </w:rPr>
        <w:t>medication</w:t>
      </w:r>
      <w:r w:rsidRPr="006A5FE5">
        <w:rPr>
          <w:rFonts w:ascii="Times New Roman" w:hAnsi="Times New Roman" w:cs="Times New Roman"/>
          <w:sz w:val="24"/>
          <w:szCs w:val="24"/>
        </w:rPr>
        <w:t xml:space="preserve"> was also potentially significant because some </w:t>
      </w:r>
      <w:r w:rsidR="008B47F8">
        <w:rPr>
          <w:rFonts w:ascii="Times New Roman" w:hAnsi="Times New Roman" w:cs="Times New Roman"/>
          <w:sz w:val="24"/>
          <w:szCs w:val="24"/>
        </w:rPr>
        <w:t>OTC</w:t>
      </w:r>
      <w:r w:rsidRPr="006A5FE5">
        <w:rPr>
          <w:rFonts w:ascii="Times New Roman" w:hAnsi="Times New Roman" w:cs="Times New Roman"/>
          <w:sz w:val="24"/>
          <w:szCs w:val="24"/>
        </w:rPr>
        <w:t xml:space="preserve"> medications can reduce fever. (Respondent testimony.)</w:t>
      </w:r>
    </w:p>
    <w:p w14:paraId="76B94461" w14:textId="790917B6" w:rsidR="00CD463C" w:rsidRPr="006A5FE5" w:rsidRDefault="00CD463C"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 also complained of sore joints and stiffness, which can be symptoms of an infection. (Respondent testimony.)</w:t>
      </w:r>
    </w:p>
    <w:p w14:paraId="6CDFA104" w14:textId="2E05B60D" w:rsidR="00136EFA" w:rsidRPr="006A5FE5" w:rsidRDefault="00136EFA"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 reported she had these symptoms for a week. (Respondent testimony; Exhibit 6.)</w:t>
      </w:r>
    </w:p>
    <w:p w14:paraId="2C25EC10" w14:textId="112B39DF" w:rsidR="00136EFA" w:rsidRPr="006A5FE5" w:rsidRDefault="00136EFA"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This was significant to the Respondent because he would expect someone without a spleen who had an infection to present differently: “in other words, when I see her and her vital signs are perfect, then the likelihood of infection is—with these vital signs is extremely low.” (Respondent testimony.)</w:t>
      </w:r>
    </w:p>
    <w:p w14:paraId="4257D549" w14:textId="06CD9148" w:rsidR="00126D94" w:rsidRPr="006A5FE5" w:rsidRDefault="00126D9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 also denied having a sore throat or any problems with her cardiac and pulmonary systems;</w:t>
      </w:r>
      <w:r w:rsidR="00034677" w:rsidRPr="006A5FE5">
        <w:rPr>
          <w:rFonts w:ascii="Times New Roman" w:hAnsi="Times New Roman" w:cs="Times New Roman"/>
          <w:sz w:val="24"/>
          <w:szCs w:val="24"/>
        </w:rPr>
        <w:t xml:space="preserve"> she was urinating normally.</w:t>
      </w:r>
      <w:r w:rsidRPr="006A5FE5">
        <w:rPr>
          <w:rFonts w:ascii="Times New Roman" w:hAnsi="Times New Roman" w:cs="Times New Roman"/>
          <w:sz w:val="24"/>
          <w:szCs w:val="24"/>
        </w:rPr>
        <w:t xml:space="preserve"> </w:t>
      </w:r>
      <w:r w:rsidR="00034677" w:rsidRPr="006A5FE5">
        <w:rPr>
          <w:rFonts w:ascii="Times New Roman" w:hAnsi="Times New Roman" w:cs="Times New Roman"/>
          <w:sz w:val="24"/>
          <w:szCs w:val="24"/>
        </w:rPr>
        <w:t>A</w:t>
      </w:r>
      <w:r w:rsidRPr="006A5FE5">
        <w:rPr>
          <w:rFonts w:ascii="Times New Roman" w:hAnsi="Times New Roman" w:cs="Times New Roman"/>
          <w:sz w:val="24"/>
          <w:szCs w:val="24"/>
        </w:rPr>
        <w:t>n affirmative answer</w:t>
      </w:r>
      <w:r w:rsidR="00E7190B">
        <w:rPr>
          <w:rFonts w:ascii="Times New Roman" w:hAnsi="Times New Roman" w:cs="Times New Roman"/>
          <w:sz w:val="24"/>
          <w:szCs w:val="24"/>
        </w:rPr>
        <w:t xml:space="preserve"> acknowledging problems with any of these symptoms</w:t>
      </w:r>
      <w:r w:rsidRPr="006A5FE5">
        <w:rPr>
          <w:rFonts w:ascii="Times New Roman" w:hAnsi="Times New Roman" w:cs="Times New Roman"/>
          <w:sz w:val="24"/>
          <w:szCs w:val="24"/>
        </w:rPr>
        <w:t xml:space="preserve"> could have been consistent with an infection. (Respondent testimony.)</w:t>
      </w:r>
    </w:p>
    <w:p w14:paraId="6B6ECDD0" w14:textId="14258436" w:rsidR="00126D94" w:rsidRPr="006A5FE5" w:rsidRDefault="00126D9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After going through these questions, the Respondent conducted a physical examination. The physical examination confirmed she was alert and comfortable</w:t>
      </w:r>
      <w:r w:rsidR="00CE7888" w:rsidRPr="006A5FE5">
        <w:rPr>
          <w:rFonts w:ascii="Times New Roman" w:hAnsi="Times New Roman" w:cs="Times New Roman"/>
          <w:sz w:val="24"/>
          <w:szCs w:val="24"/>
        </w:rPr>
        <w:t xml:space="preserve"> and</w:t>
      </w:r>
      <w:r w:rsidRPr="006A5FE5">
        <w:rPr>
          <w:rFonts w:ascii="Times New Roman" w:hAnsi="Times New Roman" w:cs="Times New Roman"/>
          <w:sz w:val="24"/>
          <w:szCs w:val="24"/>
        </w:rPr>
        <w:t xml:space="preserve"> her systems (</w:t>
      </w:r>
      <w:r w:rsidRPr="006A5FE5">
        <w:rPr>
          <w:rFonts w:ascii="Times New Roman" w:hAnsi="Times New Roman" w:cs="Times New Roman"/>
          <w:i/>
          <w:iCs/>
          <w:sz w:val="24"/>
          <w:szCs w:val="24"/>
        </w:rPr>
        <w:t>e.g.,</w:t>
      </w:r>
      <w:r w:rsidRPr="006A5FE5">
        <w:rPr>
          <w:rFonts w:ascii="Times New Roman" w:hAnsi="Times New Roman" w:cs="Times New Roman"/>
          <w:sz w:val="24"/>
          <w:szCs w:val="24"/>
        </w:rPr>
        <w:t xml:space="preserve"> throat, lungs, etc.) were “normal,” consistent with her answers. (Respondent testimony.)</w:t>
      </w:r>
    </w:p>
    <w:p w14:paraId="5673C1CC" w14:textId="7FCC6092" w:rsidR="00126D94" w:rsidRPr="006A5FE5" w:rsidRDefault="00126D9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In short, according to the Respondent, nothing recorded by the intake </w:t>
      </w:r>
      <w:r w:rsidR="00B31A88" w:rsidRPr="006A5FE5">
        <w:rPr>
          <w:rFonts w:ascii="Times New Roman" w:hAnsi="Times New Roman" w:cs="Times New Roman"/>
          <w:sz w:val="24"/>
          <w:szCs w:val="24"/>
        </w:rPr>
        <w:t>parame</w:t>
      </w:r>
      <w:r w:rsidR="008B47F8">
        <w:rPr>
          <w:rFonts w:ascii="Times New Roman" w:hAnsi="Times New Roman" w:cs="Times New Roman"/>
          <w:sz w:val="24"/>
          <w:szCs w:val="24"/>
        </w:rPr>
        <w:t>d</w:t>
      </w:r>
      <w:r w:rsidR="00B31A88" w:rsidRPr="006A5FE5">
        <w:rPr>
          <w:rFonts w:ascii="Times New Roman" w:hAnsi="Times New Roman" w:cs="Times New Roman"/>
          <w:sz w:val="24"/>
          <w:szCs w:val="24"/>
        </w:rPr>
        <w:t>ic</w:t>
      </w:r>
      <w:r w:rsidRPr="006A5FE5">
        <w:rPr>
          <w:rFonts w:ascii="Times New Roman" w:hAnsi="Times New Roman" w:cs="Times New Roman"/>
          <w:sz w:val="24"/>
          <w:szCs w:val="24"/>
        </w:rPr>
        <w:t xml:space="preserve">, reported by the </w:t>
      </w:r>
      <w:r w:rsidR="00606721">
        <w:rPr>
          <w:rFonts w:ascii="Times New Roman" w:hAnsi="Times New Roman" w:cs="Times New Roman"/>
          <w:sz w:val="24"/>
          <w:szCs w:val="24"/>
        </w:rPr>
        <w:t>p</w:t>
      </w:r>
      <w:r w:rsidRPr="006A5FE5">
        <w:rPr>
          <w:rFonts w:ascii="Times New Roman" w:hAnsi="Times New Roman" w:cs="Times New Roman"/>
          <w:sz w:val="24"/>
          <w:szCs w:val="24"/>
        </w:rPr>
        <w:t xml:space="preserve">atient, or physically observed by the Respondent was consistent with an </w:t>
      </w:r>
      <w:r w:rsidRPr="006A5FE5">
        <w:rPr>
          <w:rFonts w:ascii="Times New Roman" w:hAnsi="Times New Roman" w:cs="Times New Roman"/>
          <w:sz w:val="24"/>
          <w:szCs w:val="24"/>
        </w:rPr>
        <w:lastRenderedPageBreak/>
        <w:t>infection, let alone pneumococcal or streptococcal pneumonia. (Respondent testimony.)</w:t>
      </w:r>
    </w:p>
    <w:p w14:paraId="69C42207" w14:textId="546042D8" w:rsidR="008D017C" w:rsidRPr="006A5FE5" w:rsidRDefault="008D017C"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In the Respondent’s experience, patients with pneumonia do not have pulse oximetry of 99%, </w:t>
      </w:r>
      <w:r w:rsidR="00BB1A49">
        <w:rPr>
          <w:rFonts w:ascii="Times New Roman" w:hAnsi="Times New Roman" w:cs="Times New Roman"/>
          <w:sz w:val="24"/>
          <w:szCs w:val="24"/>
        </w:rPr>
        <w:t xml:space="preserve">a </w:t>
      </w:r>
      <w:r w:rsidRPr="006A5FE5">
        <w:rPr>
          <w:rFonts w:ascii="Times New Roman" w:hAnsi="Times New Roman" w:cs="Times New Roman"/>
          <w:sz w:val="24"/>
          <w:szCs w:val="24"/>
        </w:rPr>
        <w:t xml:space="preserve">temperature of 97.7, </w:t>
      </w:r>
      <w:r w:rsidR="00003842">
        <w:rPr>
          <w:rFonts w:ascii="Times New Roman" w:hAnsi="Times New Roman" w:cs="Times New Roman"/>
          <w:sz w:val="24"/>
          <w:szCs w:val="24"/>
        </w:rPr>
        <w:t xml:space="preserve">a </w:t>
      </w:r>
      <w:r w:rsidRPr="006A5FE5">
        <w:rPr>
          <w:rFonts w:ascii="Times New Roman" w:hAnsi="Times New Roman" w:cs="Times New Roman"/>
          <w:sz w:val="24"/>
          <w:szCs w:val="24"/>
        </w:rPr>
        <w:t xml:space="preserve">respiration </w:t>
      </w:r>
      <w:r w:rsidR="00003842">
        <w:rPr>
          <w:rFonts w:ascii="Times New Roman" w:hAnsi="Times New Roman" w:cs="Times New Roman"/>
          <w:sz w:val="24"/>
          <w:szCs w:val="24"/>
        </w:rPr>
        <w:t xml:space="preserve">rate </w:t>
      </w:r>
      <w:r w:rsidRPr="006A5FE5">
        <w:rPr>
          <w:rFonts w:ascii="Times New Roman" w:hAnsi="Times New Roman" w:cs="Times New Roman"/>
          <w:sz w:val="24"/>
          <w:szCs w:val="24"/>
        </w:rPr>
        <w:t>of 18</w:t>
      </w:r>
      <w:r w:rsidR="00003842">
        <w:rPr>
          <w:rFonts w:ascii="Times New Roman" w:hAnsi="Times New Roman" w:cs="Times New Roman"/>
          <w:sz w:val="24"/>
          <w:szCs w:val="24"/>
        </w:rPr>
        <w:t xml:space="preserve"> breaths per minute</w:t>
      </w:r>
      <w:r w:rsidRPr="006A5FE5">
        <w:rPr>
          <w:rFonts w:ascii="Times New Roman" w:hAnsi="Times New Roman" w:cs="Times New Roman"/>
          <w:sz w:val="24"/>
          <w:szCs w:val="24"/>
        </w:rPr>
        <w:t>, or blood pressure of 130/72</w:t>
      </w:r>
      <w:r w:rsidR="00003842">
        <w:rPr>
          <w:rFonts w:ascii="Times New Roman" w:hAnsi="Times New Roman" w:cs="Times New Roman"/>
          <w:sz w:val="24"/>
          <w:szCs w:val="24"/>
        </w:rPr>
        <w:t xml:space="preserve"> mm Hg</w:t>
      </w:r>
      <w:r w:rsidRPr="006A5FE5">
        <w:rPr>
          <w:rFonts w:ascii="Times New Roman" w:hAnsi="Times New Roman" w:cs="Times New Roman"/>
          <w:sz w:val="24"/>
          <w:szCs w:val="24"/>
        </w:rPr>
        <w:t>. (Respondent testimony.)</w:t>
      </w:r>
    </w:p>
    <w:p w14:paraId="4EFE37FB" w14:textId="4E9F1628" w:rsidR="00034677" w:rsidRPr="006A5FE5" w:rsidRDefault="00034677"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 only remarkable finding of his examination was her skin. She had red, white, and blue on her extremities. Her hands and cheek bones were a little red on pressure and cool and slightly tender on palpation. (Respondent testimony.)</w:t>
      </w:r>
    </w:p>
    <w:p w14:paraId="4821D9D1" w14:textId="4231EE9F" w:rsidR="00034677" w:rsidRPr="006A5FE5" w:rsidRDefault="008D017C"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That rash was consistent with Raynaud’s Syndrome. Specifically, the “malar” rash on her cheekbones indicated it was probably Secondary Raynaud’s Syndrome. (Respondent testimony.)</w:t>
      </w:r>
    </w:p>
    <w:p w14:paraId="382E6B8E" w14:textId="6E09CF3F" w:rsidR="00D84415" w:rsidRPr="006A5FE5" w:rsidRDefault="00833A9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Raynaud’s syndrome </w:t>
      </w:r>
      <w:r w:rsidR="00763077" w:rsidRPr="006A5FE5">
        <w:rPr>
          <w:rFonts w:ascii="Times New Roman" w:hAnsi="Times New Roman" w:cs="Times New Roman"/>
          <w:sz w:val="24"/>
          <w:szCs w:val="24"/>
        </w:rPr>
        <w:t>is a disorder of the blood vessels in the hands and feet</w:t>
      </w:r>
      <w:r w:rsidR="00A45266" w:rsidRPr="006A5FE5">
        <w:rPr>
          <w:rFonts w:ascii="Times New Roman" w:hAnsi="Times New Roman" w:cs="Times New Roman"/>
          <w:sz w:val="24"/>
          <w:szCs w:val="24"/>
        </w:rPr>
        <w:t>.</w:t>
      </w:r>
      <w:r w:rsidR="00CE7888" w:rsidRPr="006A5FE5">
        <w:rPr>
          <w:rFonts w:ascii="Times New Roman" w:hAnsi="Times New Roman" w:cs="Times New Roman"/>
          <w:sz w:val="24"/>
          <w:szCs w:val="24"/>
        </w:rPr>
        <w:t xml:space="preserve"> (</w:t>
      </w:r>
      <w:r w:rsidR="00763077" w:rsidRPr="006A5FE5">
        <w:rPr>
          <w:rFonts w:ascii="Times New Roman" w:hAnsi="Times New Roman" w:cs="Times New Roman"/>
          <w:sz w:val="24"/>
          <w:szCs w:val="24"/>
        </w:rPr>
        <w:t>Exhibit 6</w:t>
      </w:r>
      <w:r w:rsidR="00CE7888" w:rsidRPr="006A5FE5">
        <w:rPr>
          <w:rFonts w:ascii="Times New Roman" w:hAnsi="Times New Roman" w:cs="Times New Roman"/>
          <w:sz w:val="24"/>
          <w:szCs w:val="24"/>
        </w:rPr>
        <w:t>.)</w:t>
      </w:r>
      <w:r w:rsidR="00D84415" w:rsidRPr="006A5FE5">
        <w:rPr>
          <w:rFonts w:ascii="Times New Roman" w:hAnsi="Times New Roman" w:cs="Times New Roman"/>
          <w:sz w:val="24"/>
          <w:szCs w:val="24"/>
        </w:rPr>
        <w:t xml:space="preserve"> </w:t>
      </w:r>
    </w:p>
    <w:p w14:paraId="25EA9759" w14:textId="3D0850B6" w:rsidR="00833A94" w:rsidRPr="006A5FE5" w:rsidRDefault="00D8441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It is not a life-threatening condition. (Respondent testimony.)</w:t>
      </w:r>
    </w:p>
    <w:p w14:paraId="6B469217" w14:textId="344A77DA" w:rsidR="009F37F3" w:rsidRPr="006A5FE5" w:rsidRDefault="009F37F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There are tests available to confirm the presence of Secondary Raynaud’s Syndrome; the Respondent did not perform those on Patient A. (Respondent testimony.)</w:t>
      </w:r>
    </w:p>
    <w:p w14:paraId="27E4B8C5" w14:textId="293DEBD3" w:rsidR="009F37F3" w:rsidRPr="006A5FE5" w:rsidRDefault="009F37F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There are also environmental conditions that can precipitate Secondary Reynaud’s Syndrome; but the Respondent did not inquire about those. (Respondent testimony.)</w:t>
      </w:r>
    </w:p>
    <w:p w14:paraId="20D75439" w14:textId="77777777" w:rsidR="008D017C" w:rsidRPr="006A5FE5" w:rsidRDefault="009F37F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Respondent was aware the patient did not have a spleen. </w:t>
      </w:r>
      <w:r w:rsidR="008D017C" w:rsidRPr="006A5FE5">
        <w:rPr>
          <w:rFonts w:ascii="Times New Roman" w:hAnsi="Times New Roman" w:cs="Times New Roman"/>
          <w:sz w:val="24"/>
          <w:szCs w:val="24"/>
        </w:rPr>
        <w:t>(Respondent testimony.)</w:t>
      </w:r>
    </w:p>
    <w:p w14:paraId="2E5FAF78" w14:textId="5303F20A" w:rsidR="009F37F3" w:rsidRPr="006A5FE5" w:rsidRDefault="009F37F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Spleens help fight infection</w:t>
      </w:r>
      <w:r w:rsidR="00611B88" w:rsidRPr="006A5FE5">
        <w:rPr>
          <w:rFonts w:ascii="Times New Roman" w:hAnsi="Times New Roman" w:cs="Times New Roman"/>
          <w:sz w:val="24"/>
          <w:szCs w:val="24"/>
        </w:rPr>
        <w:t>.</w:t>
      </w:r>
      <w:r w:rsidRPr="006A5FE5">
        <w:rPr>
          <w:rFonts w:ascii="Times New Roman" w:hAnsi="Times New Roman" w:cs="Times New Roman"/>
          <w:sz w:val="24"/>
          <w:szCs w:val="24"/>
        </w:rPr>
        <w:t xml:space="preserve"> </w:t>
      </w:r>
      <w:r w:rsidR="00611B88" w:rsidRPr="006A5FE5">
        <w:rPr>
          <w:rFonts w:ascii="Times New Roman" w:hAnsi="Times New Roman" w:cs="Times New Roman"/>
          <w:sz w:val="24"/>
          <w:szCs w:val="24"/>
        </w:rPr>
        <w:t>P</w:t>
      </w:r>
      <w:r w:rsidRPr="006A5FE5">
        <w:rPr>
          <w:rFonts w:ascii="Times New Roman" w:hAnsi="Times New Roman" w:cs="Times New Roman"/>
          <w:sz w:val="24"/>
          <w:szCs w:val="24"/>
        </w:rPr>
        <w:t>ersons without a spleen have a greater risk of infections.</w:t>
      </w:r>
      <w:r w:rsidR="008D017C" w:rsidRPr="006A5FE5">
        <w:rPr>
          <w:rFonts w:ascii="Times New Roman" w:hAnsi="Times New Roman" w:cs="Times New Roman"/>
          <w:sz w:val="24"/>
          <w:szCs w:val="24"/>
        </w:rPr>
        <w:t xml:space="preserve"> </w:t>
      </w:r>
      <w:r w:rsidR="00D84415" w:rsidRPr="006A5FE5">
        <w:rPr>
          <w:rFonts w:ascii="Times New Roman" w:hAnsi="Times New Roman" w:cs="Times New Roman"/>
          <w:sz w:val="24"/>
          <w:szCs w:val="24"/>
        </w:rPr>
        <w:t xml:space="preserve">Spleens also neutralize or weaken bacteria that cause pneumonia. </w:t>
      </w:r>
      <w:r w:rsidR="00CD463C" w:rsidRPr="006A5FE5">
        <w:rPr>
          <w:rFonts w:ascii="Times New Roman" w:hAnsi="Times New Roman" w:cs="Times New Roman"/>
          <w:sz w:val="24"/>
          <w:szCs w:val="24"/>
        </w:rPr>
        <w:t>Therefore, without a spleen, an infection like pneumonia is more life</w:t>
      </w:r>
      <w:r w:rsidR="00E24A79">
        <w:rPr>
          <w:rFonts w:ascii="Times New Roman" w:hAnsi="Times New Roman" w:cs="Times New Roman"/>
          <w:sz w:val="24"/>
          <w:szCs w:val="24"/>
        </w:rPr>
        <w:t>-</w:t>
      </w:r>
      <w:r w:rsidR="00CD463C" w:rsidRPr="006A5FE5">
        <w:rPr>
          <w:rFonts w:ascii="Times New Roman" w:hAnsi="Times New Roman" w:cs="Times New Roman"/>
          <w:sz w:val="24"/>
          <w:szCs w:val="24"/>
        </w:rPr>
        <w:t>threatening. (Respondent testimony.)</w:t>
      </w:r>
    </w:p>
    <w:p w14:paraId="27B23F60" w14:textId="6E82F427" w:rsidR="00CD463C" w:rsidRPr="006A5FE5" w:rsidRDefault="00CD463C"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 Respondent did not order any blood tests nor send her to a hospital. (Respondent testimony.)</w:t>
      </w:r>
    </w:p>
    <w:p w14:paraId="6831A934" w14:textId="5D2F2273" w:rsidR="00833A94" w:rsidRPr="006A5FE5" w:rsidRDefault="00611B88"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Instead, t</w:t>
      </w:r>
      <w:r w:rsidR="00833A94" w:rsidRPr="006A5FE5">
        <w:rPr>
          <w:rFonts w:ascii="Times New Roman" w:hAnsi="Times New Roman" w:cs="Times New Roman"/>
          <w:sz w:val="24"/>
          <w:szCs w:val="24"/>
        </w:rPr>
        <w:t xml:space="preserve">he Respondent sent Patient A home with </w:t>
      </w:r>
      <w:r w:rsidR="008D017C" w:rsidRPr="006A5FE5">
        <w:rPr>
          <w:rFonts w:ascii="Times New Roman" w:hAnsi="Times New Roman" w:cs="Times New Roman"/>
          <w:sz w:val="24"/>
          <w:szCs w:val="24"/>
        </w:rPr>
        <w:t xml:space="preserve">oral and </w:t>
      </w:r>
      <w:r w:rsidR="00833A94" w:rsidRPr="006A5FE5">
        <w:rPr>
          <w:rFonts w:ascii="Times New Roman" w:hAnsi="Times New Roman" w:cs="Times New Roman"/>
          <w:sz w:val="24"/>
          <w:szCs w:val="24"/>
        </w:rPr>
        <w:t xml:space="preserve">written instructions to contact </w:t>
      </w:r>
      <w:r w:rsidR="00833A94" w:rsidRPr="006A5FE5">
        <w:rPr>
          <w:rFonts w:ascii="Times New Roman" w:hAnsi="Times New Roman" w:cs="Times New Roman"/>
          <w:sz w:val="24"/>
          <w:szCs w:val="24"/>
        </w:rPr>
        <w:lastRenderedPageBreak/>
        <w:t>her doctor</w:t>
      </w:r>
      <w:r w:rsidR="008D017C" w:rsidRPr="006A5FE5">
        <w:rPr>
          <w:rFonts w:ascii="Times New Roman" w:hAnsi="Times New Roman" w:cs="Times New Roman"/>
          <w:sz w:val="24"/>
          <w:szCs w:val="24"/>
        </w:rPr>
        <w:t>,</w:t>
      </w:r>
      <w:r w:rsidR="00833A94" w:rsidRPr="006A5FE5">
        <w:rPr>
          <w:rFonts w:ascii="Times New Roman" w:hAnsi="Times New Roman" w:cs="Times New Roman"/>
          <w:sz w:val="24"/>
          <w:szCs w:val="24"/>
        </w:rPr>
        <w:t xml:space="preserve"> </w:t>
      </w:r>
      <w:r w:rsidR="008D017C" w:rsidRPr="006A5FE5">
        <w:rPr>
          <w:rFonts w:ascii="Times New Roman" w:hAnsi="Times New Roman" w:cs="Times New Roman"/>
          <w:sz w:val="24"/>
          <w:szCs w:val="24"/>
        </w:rPr>
        <w:t>go to a</w:t>
      </w:r>
      <w:r w:rsidR="00833A94" w:rsidRPr="006A5FE5">
        <w:rPr>
          <w:rFonts w:ascii="Times New Roman" w:hAnsi="Times New Roman" w:cs="Times New Roman"/>
          <w:sz w:val="24"/>
          <w:szCs w:val="24"/>
        </w:rPr>
        <w:t xml:space="preserve">n </w:t>
      </w:r>
      <w:r w:rsidR="00CF04EB">
        <w:rPr>
          <w:rFonts w:ascii="Times New Roman" w:hAnsi="Times New Roman" w:cs="Times New Roman"/>
          <w:sz w:val="24"/>
          <w:szCs w:val="24"/>
        </w:rPr>
        <w:t>ER</w:t>
      </w:r>
      <w:r w:rsidR="008D017C" w:rsidRPr="006A5FE5">
        <w:rPr>
          <w:rFonts w:ascii="Times New Roman" w:hAnsi="Times New Roman" w:cs="Times New Roman"/>
          <w:sz w:val="24"/>
          <w:szCs w:val="24"/>
        </w:rPr>
        <w:t>, or return to the clinic</w:t>
      </w:r>
      <w:r w:rsidR="00833A94" w:rsidRPr="006A5FE5">
        <w:rPr>
          <w:rFonts w:ascii="Times New Roman" w:hAnsi="Times New Roman" w:cs="Times New Roman"/>
          <w:sz w:val="24"/>
          <w:szCs w:val="24"/>
        </w:rPr>
        <w:t xml:space="preserve"> if her condition did not improve, or if it worsened. (Stipulated facts</w:t>
      </w:r>
      <w:r w:rsidR="008D017C" w:rsidRPr="006A5FE5">
        <w:rPr>
          <w:rFonts w:ascii="Times New Roman" w:hAnsi="Times New Roman" w:cs="Times New Roman"/>
          <w:sz w:val="24"/>
          <w:szCs w:val="24"/>
        </w:rPr>
        <w:t xml:space="preserve">; </w:t>
      </w:r>
      <w:r w:rsidRPr="006A5FE5">
        <w:rPr>
          <w:rFonts w:ascii="Times New Roman" w:hAnsi="Times New Roman" w:cs="Times New Roman"/>
          <w:sz w:val="24"/>
          <w:szCs w:val="24"/>
        </w:rPr>
        <w:t>R</w:t>
      </w:r>
      <w:r w:rsidR="008D017C" w:rsidRPr="006A5FE5">
        <w:rPr>
          <w:rFonts w:ascii="Times New Roman" w:hAnsi="Times New Roman" w:cs="Times New Roman"/>
          <w:sz w:val="24"/>
          <w:szCs w:val="24"/>
        </w:rPr>
        <w:t>espondent testimony</w:t>
      </w:r>
      <w:r w:rsidR="00833A94" w:rsidRPr="006A5FE5">
        <w:rPr>
          <w:rFonts w:ascii="Times New Roman" w:hAnsi="Times New Roman" w:cs="Times New Roman"/>
          <w:sz w:val="24"/>
          <w:szCs w:val="24"/>
        </w:rPr>
        <w:t>.)</w:t>
      </w:r>
    </w:p>
    <w:p w14:paraId="2FE24CA3" w14:textId="35C72F08" w:rsidR="008D017C" w:rsidRPr="006A5FE5" w:rsidRDefault="008D017C"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He also told her that she needed a work-up for Raynaud’s, which required bloodwork. (Respondent testimony.)</w:t>
      </w:r>
    </w:p>
    <w:p w14:paraId="228B5938" w14:textId="7386DBF7" w:rsidR="00A1547E" w:rsidRPr="006A5FE5" w:rsidRDefault="00A1547E" w:rsidP="0012141D">
      <w:pPr>
        <w:pStyle w:val="ListParagraph"/>
        <w:spacing w:line="480" w:lineRule="auto"/>
        <w:ind w:left="720" w:firstLine="0"/>
        <w:rPr>
          <w:rFonts w:ascii="Times New Roman" w:hAnsi="Times New Roman" w:cs="Times New Roman"/>
          <w:sz w:val="24"/>
          <w:szCs w:val="24"/>
          <w:u w:val="single"/>
        </w:rPr>
      </w:pPr>
      <w:r w:rsidRPr="006A5FE5">
        <w:rPr>
          <w:rFonts w:ascii="Times New Roman" w:hAnsi="Times New Roman" w:cs="Times New Roman"/>
          <w:b/>
          <w:bCs/>
          <w:sz w:val="24"/>
          <w:szCs w:val="24"/>
          <w:u w:val="single"/>
        </w:rPr>
        <w:t>Andrew Angel, M.D.</w:t>
      </w:r>
      <w:r w:rsidR="00376758">
        <w:rPr>
          <w:rStyle w:val="FootnoteReference"/>
          <w:rFonts w:ascii="Times New Roman" w:hAnsi="Times New Roman" w:cs="Times New Roman"/>
          <w:b/>
          <w:bCs/>
          <w:sz w:val="24"/>
          <w:szCs w:val="24"/>
          <w:u w:val="single"/>
        </w:rPr>
        <w:footnoteReference w:id="2"/>
      </w:r>
    </w:p>
    <w:p w14:paraId="455CA871" w14:textId="0F7937FB" w:rsidR="00833A94" w:rsidRPr="006A5FE5" w:rsidRDefault="00A1547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Dr. Angel testified as an expert for the Board. </w:t>
      </w:r>
    </w:p>
    <w:p w14:paraId="386540A5" w14:textId="1B4FC899" w:rsidR="00505682" w:rsidRPr="006A5FE5" w:rsidRDefault="0050568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Angel is board-certified</w:t>
      </w:r>
      <w:r w:rsidR="00E7190B">
        <w:rPr>
          <w:rFonts w:ascii="Times New Roman" w:hAnsi="Times New Roman" w:cs="Times New Roman"/>
          <w:sz w:val="24"/>
          <w:szCs w:val="24"/>
        </w:rPr>
        <w:t>. He</w:t>
      </w:r>
      <w:r w:rsidRPr="006A5FE5">
        <w:rPr>
          <w:rFonts w:ascii="Times New Roman" w:hAnsi="Times New Roman" w:cs="Times New Roman"/>
          <w:sz w:val="24"/>
          <w:szCs w:val="24"/>
        </w:rPr>
        <w:t xml:space="preserve"> practic</w:t>
      </w:r>
      <w:r w:rsidR="00E7190B">
        <w:rPr>
          <w:rFonts w:ascii="Times New Roman" w:hAnsi="Times New Roman" w:cs="Times New Roman"/>
          <w:sz w:val="24"/>
          <w:szCs w:val="24"/>
        </w:rPr>
        <w:t>es</w:t>
      </w:r>
      <w:r w:rsidRPr="006A5FE5">
        <w:rPr>
          <w:rFonts w:ascii="Times New Roman" w:hAnsi="Times New Roman" w:cs="Times New Roman"/>
          <w:sz w:val="24"/>
          <w:szCs w:val="24"/>
        </w:rPr>
        <w:t xml:space="preserve"> internal medicine and primary care. (Angel testimony.)</w:t>
      </w:r>
    </w:p>
    <w:p w14:paraId="19424BF1" w14:textId="6CD1F8B5" w:rsidR="00A1547E" w:rsidRPr="006A5FE5" w:rsidRDefault="00A44EBA"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In his opinion, the Respondent </w:t>
      </w:r>
      <w:r w:rsidR="001E6984" w:rsidRPr="006A5FE5">
        <w:rPr>
          <w:rFonts w:ascii="Times New Roman" w:hAnsi="Times New Roman" w:cs="Times New Roman"/>
          <w:sz w:val="24"/>
          <w:szCs w:val="24"/>
        </w:rPr>
        <w:t>deviated “</w:t>
      </w:r>
      <w:r w:rsidRPr="006A5FE5">
        <w:rPr>
          <w:rFonts w:ascii="Times New Roman" w:hAnsi="Times New Roman" w:cs="Times New Roman"/>
          <w:sz w:val="24"/>
          <w:szCs w:val="24"/>
        </w:rPr>
        <w:t>very significantly</w:t>
      </w:r>
      <w:r w:rsidR="001E6984" w:rsidRPr="006A5FE5">
        <w:rPr>
          <w:rFonts w:ascii="Times New Roman" w:hAnsi="Times New Roman" w:cs="Times New Roman"/>
          <w:sz w:val="24"/>
          <w:szCs w:val="24"/>
        </w:rPr>
        <w:t>”</w:t>
      </w:r>
      <w:r w:rsidRPr="006A5FE5">
        <w:rPr>
          <w:rFonts w:ascii="Times New Roman" w:hAnsi="Times New Roman" w:cs="Times New Roman"/>
          <w:sz w:val="24"/>
          <w:szCs w:val="24"/>
        </w:rPr>
        <w:t xml:space="preserve"> from the standard of care. (Angel testimony.)</w:t>
      </w:r>
    </w:p>
    <w:p w14:paraId="33706B7C" w14:textId="50B7B57C" w:rsidR="00A44EBA" w:rsidRPr="006A5FE5" w:rsidRDefault="001E698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With respect to Patient A’s use of OTC medications, he agreed there was an inconsistency</w:t>
      </w:r>
      <w:r w:rsidR="00CA5E4F" w:rsidRPr="006A5FE5">
        <w:rPr>
          <w:rFonts w:ascii="Times New Roman" w:hAnsi="Times New Roman" w:cs="Times New Roman"/>
          <w:sz w:val="24"/>
          <w:szCs w:val="24"/>
        </w:rPr>
        <w:t xml:space="preserve"> in the record</w:t>
      </w:r>
      <w:r w:rsidRPr="006A5FE5">
        <w:rPr>
          <w:rFonts w:ascii="Times New Roman" w:hAnsi="Times New Roman" w:cs="Times New Roman"/>
          <w:sz w:val="24"/>
          <w:szCs w:val="24"/>
        </w:rPr>
        <w:t>—that the history of present illness said she had tried OTC medications</w:t>
      </w:r>
      <w:r w:rsidR="008B47F8">
        <w:rPr>
          <w:rFonts w:ascii="Times New Roman" w:hAnsi="Times New Roman" w:cs="Times New Roman"/>
          <w:sz w:val="24"/>
          <w:szCs w:val="24"/>
        </w:rPr>
        <w:t>,</w:t>
      </w:r>
      <w:r w:rsidRPr="006A5FE5">
        <w:rPr>
          <w:rFonts w:ascii="Times New Roman" w:hAnsi="Times New Roman" w:cs="Times New Roman"/>
          <w:sz w:val="24"/>
          <w:szCs w:val="24"/>
        </w:rPr>
        <w:t xml:space="preserve"> but the intake said she had not. (Angel testimony.)</w:t>
      </w:r>
    </w:p>
    <w:p w14:paraId="2F9361C7" w14:textId="3AFCB49B" w:rsidR="001E6984" w:rsidRPr="006A5FE5" w:rsidRDefault="00E87ED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He agreed one </w:t>
      </w:r>
      <w:r w:rsidR="00611B88" w:rsidRPr="006A5FE5">
        <w:rPr>
          <w:rFonts w:ascii="Times New Roman" w:hAnsi="Times New Roman" w:cs="Times New Roman"/>
          <w:sz w:val="24"/>
          <w:szCs w:val="24"/>
        </w:rPr>
        <w:t>interpretation</w:t>
      </w:r>
      <w:r w:rsidRPr="006A5FE5">
        <w:rPr>
          <w:rFonts w:ascii="Times New Roman" w:hAnsi="Times New Roman" w:cs="Times New Roman"/>
          <w:sz w:val="24"/>
          <w:szCs w:val="24"/>
        </w:rPr>
        <w:t xml:space="preserve"> of that</w:t>
      </w:r>
      <w:r w:rsidR="00611B88" w:rsidRPr="006A5FE5">
        <w:rPr>
          <w:rFonts w:ascii="Times New Roman" w:hAnsi="Times New Roman" w:cs="Times New Roman"/>
          <w:sz w:val="24"/>
          <w:szCs w:val="24"/>
        </w:rPr>
        <w:t xml:space="preserve"> inconsistency</w:t>
      </w:r>
      <w:r w:rsidRPr="006A5FE5">
        <w:rPr>
          <w:rFonts w:ascii="Times New Roman" w:hAnsi="Times New Roman" w:cs="Times New Roman"/>
          <w:sz w:val="24"/>
          <w:szCs w:val="24"/>
        </w:rPr>
        <w:t xml:space="preserve"> could mean </w:t>
      </w:r>
      <w:r w:rsidR="00611B88" w:rsidRPr="006A5FE5">
        <w:rPr>
          <w:rFonts w:ascii="Times New Roman" w:hAnsi="Times New Roman" w:cs="Times New Roman"/>
          <w:sz w:val="24"/>
          <w:szCs w:val="24"/>
        </w:rPr>
        <w:t>Patient A</w:t>
      </w:r>
      <w:r w:rsidRPr="006A5FE5">
        <w:rPr>
          <w:rFonts w:ascii="Times New Roman" w:hAnsi="Times New Roman" w:cs="Times New Roman"/>
          <w:sz w:val="24"/>
          <w:szCs w:val="24"/>
        </w:rPr>
        <w:t xml:space="preserve"> did not take any OTC that </w:t>
      </w:r>
      <w:r w:rsidR="00611B88" w:rsidRPr="006A5FE5">
        <w:rPr>
          <w:rFonts w:ascii="Times New Roman" w:hAnsi="Times New Roman" w:cs="Times New Roman"/>
          <w:sz w:val="24"/>
          <w:szCs w:val="24"/>
        </w:rPr>
        <w:t>day but</w:t>
      </w:r>
      <w:r w:rsidRPr="006A5FE5">
        <w:rPr>
          <w:rFonts w:ascii="Times New Roman" w:hAnsi="Times New Roman" w:cs="Times New Roman"/>
          <w:sz w:val="24"/>
          <w:szCs w:val="24"/>
        </w:rPr>
        <w:t xml:space="preserve"> did in the past. However, </w:t>
      </w:r>
      <w:r w:rsidR="00CA5E4F" w:rsidRPr="006A5FE5">
        <w:rPr>
          <w:rFonts w:ascii="Times New Roman" w:hAnsi="Times New Roman" w:cs="Times New Roman"/>
          <w:sz w:val="24"/>
          <w:szCs w:val="24"/>
        </w:rPr>
        <w:t xml:space="preserve">in his opinion, </w:t>
      </w:r>
      <w:r w:rsidRPr="006A5FE5">
        <w:rPr>
          <w:rFonts w:ascii="Times New Roman" w:hAnsi="Times New Roman" w:cs="Times New Roman"/>
          <w:sz w:val="24"/>
          <w:szCs w:val="24"/>
        </w:rPr>
        <w:t xml:space="preserve">that would not be a fair reading of that inconsistency. (Angel testimony.) </w:t>
      </w:r>
    </w:p>
    <w:p w14:paraId="744C2A49" w14:textId="56078EB7" w:rsidR="001E6984" w:rsidRPr="006A5FE5" w:rsidRDefault="003E44A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Given her chief complaints, and some additional symptoms, </w:t>
      </w:r>
      <w:r w:rsidR="00031652" w:rsidRPr="006A5FE5">
        <w:rPr>
          <w:rFonts w:ascii="Times New Roman" w:hAnsi="Times New Roman" w:cs="Times New Roman"/>
          <w:sz w:val="24"/>
          <w:szCs w:val="24"/>
        </w:rPr>
        <w:t>Dr. Angel</w:t>
      </w:r>
      <w:r w:rsidRPr="006A5FE5">
        <w:rPr>
          <w:rFonts w:ascii="Times New Roman" w:hAnsi="Times New Roman" w:cs="Times New Roman"/>
          <w:sz w:val="24"/>
          <w:szCs w:val="24"/>
        </w:rPr>
        <w:t xml:space="preserve"> would have been concerned about a possible infection. (Angel testimony.)</w:t>
      </w:r>
    </w:p>
    <w:p w14:paraId="351A37D7" w14:textId="7A242894" w:rsidR="003E44A2" w:rsidRPr="006A5FE5" w:rsidRDefault="00611B88"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Any doctor</w:t>
      </w:r>
      <w:r w:rsidR="003E44A2" w:rsidRPr="006A5FE5">
        <w:rPr>
          <w:rFonts w:ascii="Times New Roman" w:hAnsi="Times New Roman" w:cs="Times New Roman"/>
          <w:sz w:val="24"/>
          <w:szCs w:val="24"/>
        </w:rPr>
        <w:t xml:space="preserve"> </w:t>
      </w:r>
      <w:r w:rsidR="00B8472D" w:rsidRPr="006A5FE5">
        <w:rPr>
          <w:rFonts w:ascii="Times New Roman" w:hAnsi="Times New Roman" w:cs="Times New Roman"/>
          <w:sz w:val="24"/>
          <w:szCs w:val="24"/>
        </w:rPr>
        <w:t>sh</w:t>
      </w:r>
      <w:r w:rsidR="003E44A2" w:rsidRPr="006A5FE5">
        <w:rPr>
          <w:rFonts w:ascii="Times New Roman" w:hAnsi="Times New Roman" w:cs="Times New Roman"/>
          <w:sz w:val="24"/>
          <w:szCs w:val="24"/>
        </w:rPr>
        <w:t xml:space="preserve">ould have been particularly concerned, given </w:t>
      </w:r>
      <w:r w:rsidRPr="006A5FE5">
        <w:rPr>
          <w:rFonts w:ascii="Times New Roman" w:hAnsi="Times New Roman" w:cs="Times New Roman"/>
          <w:sz w:val="24"/>
          <w:szCs w:val="24"/>
        </w:rPr>
        <w:t>Patient A’s</w:t>
      </w:r>
      <w:r w:rsidR="003E44A2" w:rsidRPr="006A5FE5">
        <w:rPr>
          <w:rFonts w:ascii="Times New Roman" w:hAnsi="Times New Roman" w:cs="Times New Roman"/>
          <w:sz w:val="24"/>
          <w:szCs w:val="24"/>
        </w:rPr>
        <w:t xml:space="preserve"> splenectomy, because the spleen protects from infections. Absence of a spleen thus increases risk of bacterial infections. (Angel testimony.)</w:t>
      </w:r>
    </w:p>
    <w:p w14:paraId="70515CA4" w14:textId="11140A3B" w:rsidR="00B8472D" w:rsidRPr="006A5FE5" w:rsidRDefault="00B847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lastRenderedPageBreak/>
        <w:t>History of a “splenectomy” was a “flashing red light” for someone not feeling well. It was the most important factor in this presentation. (Angel testimony.)</w:t>
      </w:r>
    </w:p>
    <w:p w14:paraId="74FC581C" w14:textId="1BB0CCDC" w:rsidR="003E44A2" w:rsidRPr="006A5FE5" w:rsidRDefault="003E44A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 pacemaker was also significant because it controls the heartrate</w:t>
      </w:r>
      <w:r w:rsidR="001F773C" w:rsidRPr="006A5FE5">
        <w:rPr>
          <w:rFonts w:ascii="Times New Roman" w:hAnsi="Times New Roman" w:cs="Times New Roman"/>
          <w:sz w:val="24"/>
          <w:szCs w:val="24"/>
        </w:rPr>
        <w:t xml:space="preserve">. However, </w:t>
      </w:r>
      <w:r w:rsidR="00031652" w:rsidRPr="006A5FE5">
        <w:rPr>
          <w:rFonts w:ascii="Times New Roman" w:hAnsi="Times New Roman" w:cs="Times New Roman"/>
          <w:sz w:val="24"/>
          <w:szCs w:val="24"/>
        </w:rPr>
        <w:t>Dr. Angel</w:t>
      </w:r>
      <w:r w:rsidR="001F773C" w:rsidRPr="006A5FE5">
        <w:rPr>
          <w:rFonts w:ascii="Times New Roman" w:hAnsi="Times New Roman" w:cs="Times New Roman"/>
          <w:sz w:val="24"/>
          <w:szCs w:val="24"/>
        </w:rPr>
        <w:t xml:space="preserve"> was unclear, or did not know, whether that meant her heartrate would have otherwise been irregular </w:t>
      </w:r>
      <w:r w:rsidR="00611B88" w:rsidRPr="006A5FE5">
        <w:rPr>
          <w:rFonts w:ascii="Times New Roman" w:hAnsi="Times New Roman" w:cs="Times New Roman"/>
          <w:sz w:val="24"/>
          <w:szCs w:val="24"/>
        </w:rPr>
        <w:t>here,</w:t>
      </w:r>
      <w:r w:rsidR="001F773C" w:rsidRPr="006A5FE5">
        <w:rPr>
          <w:rFonts w:ascii="Times New Roman" w:hAnsi="Times New Roman" w:cs="Times New Roman"/>
          <w:sz w:val="24"/>
          <w:szCs w:val="24"/>
        </w:rPr>
        <w:t xml:space="preserve"> but the pacemaker covered that up. (Angel testimony.)</w:t>
      </w:r>
    </w:p>
    <w:p w14:paraId="44182CB3" w14:textId="7B36F7A2" w:rsidR="001F773C" w:rsidRPr="006A5FE5" w:rsidRDefault="000316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Nevertheless, </w:t>
      </w:r>
      <w:r w:rsidR="001F773C" w:rsidRPr="006A5FE5">
        <w:rPr>
          <w:rFonts w:ascii="Times New Roman" w:hAnsi="Times New Roman" w:cs="Times New Roman"/>
          <w:sz w:val="24"/>
          <w:szCs w:val="24"/>
        </w:rPr>
        <w:t>whether</w:t>
      </w:r>
      <w:r w:rsidR="00611B88" w:rsidRPr="006A5FE5">
        <w:rPr>
          <w:rFonts w:ascii="Times New Roman" w:hAnsi="Times New Roman" w:cs="Times New Roman"/>
          <w:sz w:val="24"/>
          <w:szCs w:val="24"/>
        </w:rPr>
        <w:t xml:space="preserve"> or not</w:t>
      </w:r>
      <w:r w:rsidR="001F773C" w:rsidRPr="006A5FE5">
        <w:rPr>
          <w:rFonts w:ascii="Times New Roman" w:hAnsi="Times New Roman" w:cs="Times New Roman"/>
          <w:sz w:val="24"/>
          <w:szCs w:val="24"/>
        </w:rPr>
        <w:t xml:space="preserve"> </w:t>
      </w:r>
      <w:r w:rsidR="00611B88" w:rsidRPr="006A5FE5">
        <w:rPr>
          <w:rFonts w:ascii="Times New Roman" w:hAnsi="Times New Roman" w:cs="Times New Roman"/>
          <w:sz w:val="24"/>
          <w:szCs w:val="24"/>
        </w:rPr>
        <w:t>Patient A’s</w:t>
      </w:r>
      <w:r w:rsidR="001F773C" w:rsidRPr="006A5FE5">
        <w:rPr>
          <w:rFonts w:ascii="Times New Roman" w:hAnsi="Times New Roman" w:cs="Times New Roman"/>
          <w:sz w:val="24"/>
          <w:szCs w:val="24"/>
        </w:rPr>
        <w:t xml:space="preserve"> pacemaker was working properly would not have affected whether she showed signs of an infection. (Angel testimony.)</w:t>
      </w:r>
    </w:p>
    <w:p w14:paraId="7FC52602" w14:textId="3176F52A" w:rsidR="001F773C" w:rsidRPr="006A5FE5" w:rsidRDefault="00B847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w:t>
      </w:r>
      <w:r w:rsidR="001F773C" w:rsidRPr="006A5FE5">
        <w:rPr>
          <w:rFonts w:ascii="Times New Roman" w:hAnsi="Times New Roman" w:cs="Times New Roman"/>
          <w:sz w:val="24"/>
          <w:szCs w:val="24"/>
        </w:rPr>
        <w:t xml:space="preserve">o be thorough, </w:t>
      </w:r>
      <w:r w:rsidRPr="006A5FE5">
        <w:rPr>
          <w:rFonts w:ascii="Times New Roman" w:hAnsi="Times New Roman" w:cs="Times New Roman"/>
          <w:sz w:val="24"/>
          <w:szCs w:val="24"/>
        </w:rPr>
        <w:t>a doctor</w:t>
      </w:r>
      <w:r w:rsidR="001F773C" w:rsidRPr="006A5FE5">
        <w:rPr>
          <w:rFonts w:ascii="Times New Roman" w:hAnsi="Times New Roman" w:cs="Times New Roman"/>
          <w:sz w:val="24"/>
          <w:szCs w:val="24"/>
        </w:rPr>
        <w:t xml:space="preserve"> could have performed an electrocardiogram to see if </w:t>
      </w:r>
      <w:r w:rsidR="00031652" w:rsidRPr="006A5FE5">
        <w:rPr>
          <w:rFonts w:ascii="Times New Roman" w:hAnsi="Times New Roman" w:cs="Times New Roman"/>
          <w:sz w:val="24"/>
          <w:szCs w:val="24"/>
        </w:rPr>
        <w:t>the pacemaker</w:t>
      </w:r>
      <w:r w:rsidR="001F773C" w:rsidRPr="006A5FE5">
        <w:rPr>
          <w:rFonts w:ascii="Times New Roman" w:hAnsi="Times New Roman" w:cs="Times New Roman"/>
          <w:sz w:val="24"/>
          <w:szCs w:val="24"/>
        </w:rPr>
        <w:t xml:space="preserve"> was operating correctly</w:t>
      </w:r>
      <w:r w:rsidRPr="006A5FE5">
        <w:rPr>
          <w:rFonts w:ascii="Times New Roman" w:hAnsi="Times New Roman" w:cs="Times New Roman"/>
          <w:sz w:val="24"/>
          <w:szCs w:val="24"/>
        </w:rPr>
        <w:t xml:space="preserve"> and rule this out as a cause of illness</w:t>
      </w:r>
      <w:r w:rsidR="001F773C" w:rsidRPr="006A5FE5">
        <w:rPr>
          <w:rFonts w:ascii="Times New Roman" w:hAnsi="Times New Roman" w:cs="Times New Roman"/>
          <w:sz w:val="24"/>
          <w:szCs w:val="24"/>
        </w:rPr>
        <w:t>. (Angel testimony.)</w:t>
      </w:r>
    </w:p>
    <w:p w14:paraId="560FDBC0" w14:textId="72BCA7AB" w:rsidR="001F773C" w:rsidRPr="006A5FE5" w:rsidRDefault="00611B88"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A’s</w:t>
      </w:r>
      <w:r w:rsidR="001F773C" w:rsidRPr="006A5FE5">
        <w:rPr>
          <w:rFonts w:ascii="Times New Roman" w:hAnsi="Times New Roman" w:cs="Times New Roman"/>
          <w:sz w:val="24"/>
          <w:szCs w:val="24"/>
        </w:rPr>
        <w:t xml:space="preserve"> temperature of 97.7 was slightly lower than normal. That could be significant because</w:t>
      </w:r>
      <w:r w:rsidR="00D70827" w:rsidRPr="006A5FE5">
        <w:rPr>
          <w:rFonts w:ascii="Times New Roman" w:hAnsi="Times New Roman" w:cs="Times New Roman"/>
          <w:sz w:val="24"/>
          <w:szCs w:val="24"/>
        </w:rPr>
        <w:t xml:space="preserve"> infection, or</w:t>
      </w:r>
      <w:r w:rsidR="001F773C" w:rsidRPr="006A5FE5">
        <w:rPr>
          <w:rFonts w:ascii="Times New Roman" w:hAnsi="Times New Roman" w:cs="Times New Roman"/>
          <w:sz w:val="24"/>
          <w:szCs w:val="24"/>
        </w:rPr>
        <w:t xml:space="preserve"> sepsis</w:t>
      </w:r>
      <w:r w:rsidR="00D70827" w:rsidRPr="006A5FE5">
        <w:rPr>
          <w:rFonts w:ascii="Times New Roman" w:hAnsi="Times New Roman" w:cs="Times New Roman"/>
          <w:sz w:val="24"/>
          <w:szCs w:val="24"/>
        </w:rPr>
        <w:t>,</w:t>
      </w:r>
      <w:r w:rsidR="001F773C" w:rsidRPr="006A5FE5">
        <w:rPr>
          <w:rFonts w:ascii="Times New Roman" w:hAnsi="Times New Roman" w:cs="Times New Roman"/>
          <w:sz w:val="24"/>
          <w:szCs w:val="24"/>
        </w:rPr>
        <w:t xml:space="preserve"> can lower or raise temperature. (Angel testimony.)</w:t>
      </w:r>
    </w:p>
    <w:p w14:paraId="08F7BDCF" w14:textId="2AD51DF3" w:rsidR="006A327E" w:rsidRPr="006A5FE5" w:rsidRDefault="00611B88"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Angel</w:t>
      </w:r>
      <w:r w:rsidR="006A327E" w:rsidRPr="006A5FE5">
        <w:rPr>
          <w:rFonts w:ascii="Times New Roman" w:hAnsi="Times New Roman" w:cs="Times New Roman"/>
          <w:sz w:val="24"/>
          <w:szCs w:val="24"/>
        </w:rPr>
        <w:t xml:space="preserve"> later admitted it was a “borderline normal temperature.” (Angel testimony.)</w:t>
      </w:r>
    </w:p>
    <w:p w14:paraId="40A6652F" w14:textId="06B9D878" w:rsidR="00E87ED5" w:rsidRPr="006A5FE5" w:rsidRDefault="00611B88"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Angel</w:t>
      </w:r>
      <w:r w:rsidR="00E87ED5" w:rsidRPr="006A5FE5">
        <w:rPr>
          <w:rFonts w:ascii="Times New Roman" w:hAnsi="Times New Roman" w:cs="Times New Roman"/>
          <w:sz w:val="24"/>
          <w:szCs w:val="24"/>
        </w:rPr>
        <w:t xml:space="preserve"> reluctantly agreed that he has treated healthy patients with a temperature in the high 90’s, but he could not guess what percentage. (Angel testimony.)</w:t>
      </w:r>
    </w:p>
    <w:p w14:paraId="3BEF058E" w14:textId="1499D0BE" w:rsidR="00D6054D" w:rsidRDefault="007B795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In Dr. Angel’s opinion, </w:t>
      </w:r>
      <w:r w:rsidR="001F773C" w:rsidRPr="006A5FE5">
        <w:rPr>
          <w:rFonts w:ascii="Times New Roman" w:hAnsi="Times New Roman" w:cs="Times New Roman"/>
          <w:sz w:val="24"/>
          <w:szCs w:val="24"/>
        </w:rPr>
        <w:t xml:space="preserve">18 breathes </w:t>
      </w:r>
      <w:r w:rsidR="00DA450C">
        <w:rPr>
          <w:rFonts w:ascii="Times New Roman" w:hAnsi="Times New Roman" w:cs="Times New Roman"/>
          <w:sz w:val="24"/>
          <w:szCs w:val="24"/>
        </w:rPr>
        <w:t>per</w:t>
      </w:r>
      <w:r w:rsidR="001F773C" w:rsidRPr="006A5FE5">
        <w:rPr>
          <w:rFonts w:ascii="Times New Roman" w:hAnsi="Times New Roman" w:cs="Times New Roman"/>
          <w:sz w:val="24"/>
          <w:szCs w:val="24"/>
        </w:rPr>
        <w:t xml:space="preserve"> minute </w:t>
      </w:r>
      <w:r w:rsidRPr="006A5FE5">
        <w:rPr>
          <w:rFonts w:ascii="Times New Roman" w:hAnsi="Times New Roman" w:cs="Times New Roman"/>
          <w:sz w:val="24"/>
          <w:szCs w:val="24"/>
        </w:rPr>
        <w:t>is considered</w:t>
      </w:r>
      <w:r w:rsidR="00D70827" w:rsidRPr="006A5FE5">
        <w:rPr>
          <w:rFonts w:ascii="Times New Roman" w:hAnsi="Times New Roman" w:cs="Times New Roman"/>
          <w:sz w:val="24"/>
          <w:szCs w:val="24"/>
        </w:rPr>
        <w:t xml:space="preserve"> high</w:t>
      </w:r>
      <w:r w:rsidR="00D6054D">
        <w:rPr>
          <w:rFonts w:ascii="Times New Roman" w:hAnsi="Times New Roman" w:cs="Times New Roman"/>
          <w:sz w:val="24"/>
          <w:szCs w:val="24"/>
        </w:rPr>
        <w:t xml:space="preserve">, although he later characterized it as </w:t>
      </w:r>
      <w:r w:rsidR="00D6054D" w:rsidRPr="006A5FE5">
        <w:rPr>
          <w:rFonts w:ascii="Times New Roman" w:hAnsi="Times New Roman" w:cs="Times New Roman"/>
          <w:sz w:val="24"/>
          <w:szCs w:val="24"/>
        </w:rPr>
        <w:t>“borderline normal respiration</w:t>
      </w:r>
      <w:r w:rsidR="00D6054D">
        <w:rPr>
          <w:rFonts w:ascii="Times New Roman" w:hAnsi="Times New Roman" w:cs="Times New Roman"/>
          <w:sz w:val="24"/>
          <w:szCs w:val="24"/>
        </w:rPr>
        <w:t>.</w:t>
      </w:r>
      <w:r w:rsidR="00D6054D" w:rsidRPr="006A5FE5">
        <w:rPr>
          <w:rFonts w:ascii="Times New Roman" w:hAnsi="Times New Roman" w:cs="Times New Roman"/>
          <w:sz w:val="24"/>
          <w:szCs w:val="24"/>
        </w:rPr>
        <w:t>”</w:t>
      </w:r>
      <w:r w:rsidR="001F773C" w:rsidRPr="006A5FE5">
        <w:rPr>
          <w:rFonts w:ascii="Times New Roman" w:hAnsi="Times New Roman" w:cs="Times New Roman"/>
          <w:sz w:val="24"/>
          <w:szCs w:val="24"/>
        </w:rPr>
        <w:t xml:space="preserve"> </w:t>
      </w:r>
      <w:r w:rsidR="00D6054D" w:rsidRPr="006A5FE5">
        <w:rPr>
          <w:rFonts w:ascii="Times New Roman" w:hAnsi="Times New Roman" w:cs="Times New Roman"/>
          <w:sz w:val="24"/>
          <w:szCs w:val="24"/>
        </w:rPr>
        <w:t>(Angel testimony.)</w:t>
      </w:r>
    </w:p>
    <w:p w14:paraId="7F89CBFD" w14:textId="448D819E" w:rsidR="008B47F8" w:rsidRDefault="00D6054D"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Twelve</w:t>
      </w:r>
      <w:r w:rsidR="001F773C" w:rsidRPr="006A5FE5">
        <w:rPr>
          <w:rFonts w:ascii="Times New Roman" w:hAnsi="Times New Roman" w:cs="Times New Roman"/>
          <w:sz w:val="24"/>
          <w:szCs w:val="24"/>
        </w:rPr>
        <w:t xml:space="preserve"> to 14</w:t>
      </w:r>
      <w:r>
        <w:rPr>
          <w:rFonts w:ascii="Times New Roman" w:hAnsi="Times New Roman" w:cs="Times New Roman"/>
          <w:sz w:val="24"/>
          <w:szCs w:val="24"/>
        </w:rPr>
        <w:t xml:space="preserve"> breathes a minute</w:t>
      </w:r>
      <w:r w:rsidR="001F773C" w:rsidRPr="006A5FE5">
        <w:rPr>
          <w:rFonts w:ascii="Times New Roman" w:hAnsi="Times New Roman" w:cs="Times New Roman"/>
          <w:sz w:val="24"/>
          <w:szCs w:val="24"/>
        </w:rPr>
        <w:t xml:space="preserve"> is considered normal. </w:t>
      </w:r>
      <w:r w:rsidR="008B47F8" w:rsidRPr="006A5FE5">
        <w:rPr>
          <w:rFonts w:ascii="Times New Roman" w:hAnsi="Times New Roman" w:cs="Times New Roman"/>
          <w:sz w:val="24"/>
          <w:szCs w:val="24"/>
        </w:rPr>
        <w:t>(Angel testimony.)</w:t>
      </w:r>
    </w:p>
    <w:p w14:paraId="21C46A58" w14:textId="40157A43" w:rsidR="001F773C" w:rsidRPr="006A5FE5" w:rsidRDefault="001F773C"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Rapid respiration</w:t>
      </w:r>
      <w:r w:rsidR="007B795E" w:rsidRPr="006A5FE5">
        <w:rPr>
          <w:rFonts w:ascii="Times New Roman" w:hAnsi="Times New Roman" w:cs="Times New Roman"/>
          <w:sz w:val="24"/>
          <w:szCs w:val="24"/>
        </w:rPr>
        <w:t>, o</w:t>
      </w:r>
      <w:r w:rsidR="00611B88" w:rsidRPr="006A5FE5">
        <w:rPr>
          <w:rFonts w:ascii="Times New Roman" w:hAnsi="Times New Roman" w:cs="Times New Roman"/>
          <w:sz w:val="24"/>
          <w:szCs w:val="24"/>
        </w:rPr>
        <w:t>therwise known as</w:t>
      </w:r>
      <w:r w:rsidR="007B795E" w:rsidRPr="006A5FE5">
        <w:rPr>
          <w:rFonts w:ascii="Times New Roman" w:hAnsi="Times New Roman" w:cs="Times New Roman"/>
          <w:sz w:val="24"/>
          <w:szCs w:val="24"/>
        </w:rPr>
        <w:t xml:space="preserve"> tachypnea,</w:t>
      </w:r>
      <w:r w:rsidRPr="006A5FE5">
        <w:rPr>
          <w:rFonts w:ascii="Times New Roman" w:hAnsi="Times New Roman" w:cs="Times New Roman"/>
          <w:sz w:val="24"/>
          <w:szCs w:val="24"/>
        </w:rPr>
        <w:t xml:space="preserve"> could be caused by </w:t>
      </w:r>
      <w:r w:rsidR="00D70827" w:rsidRPr="006A5FE5">
        <w:rPr>
          <w:rFonts w:ascii="Times New Roman" w:hAnsi="Times New Roman" w:cs="Times New Roman"/>
          <w:sz w:val="24"/>
          <w:szCs w:val="24"/>
        </w:rPr>
        <w:t xml:space="preserve">an infection or </w:t>
      </w:r>
      <w:r w:rsidRPr="006A5FE5">
        <w:rPr>
          <w:rFonts w:ascii="Times New Roman" w:hAnsi="Times New Roman" w:cs="Times New Roman"/>
          <w:sz w:val="24"/>
          <w:szCs w:val="24"/>
        </w:rPr>
        <w:t>sepsis. (Angel testimony.)</w:t>
      </w:r>
    </w:p>
    <w:p w14:paraId="284D25F8" w14:textId="349C2C2E" w:rsidR="007B795E" w:rsidRPr="006A5FE5" w:rsidRDefault="007B795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On cross-examination, </w:t>
      </w:r>
      <w:r w:rsidR="00611B88" w:rsidRPr="006A5FE5">
        <w:rPr>
          <w:rFonts w:ascii="Times New Roman" w:hAnsi="Times New Roman" w:cs="Times New Roman"/>
          <w:sz w:val="24"/>
          <w:szCs w:val="24"/>
        </w:rPr>
        <w:t>Dr. Angel</w:t>
      </w:r>
      <w:r w:rsidRPr="006A5FE5">
        <w:rPr>
          <w:rFonts w:ascii="Times New Roman" w:hAnsi="Times New Roman" w:cs="Times New Roman"/>
          <w:sz w:val="24"/>
          <w:szCs w:val="24"/>
        </w:rPr>
        <w:t xml:space="preserve"> admitted that there is a physical examination component that </w:t>
      </w:r>
      <w:r w:rsidR="00CA5E4F" w:rsidRPr="006A5FE5">
        <w:rPr>
          <w:rFonts w:ascii="Times New Roman" w:hAnsi="Times New Roman" w:cs="Times New Roman"/>
          <w:sz w:val="24"/>
          <w:szCs w:val="24"/>
        </w:rPr>
        <w:t>should</w:t>
      </w:r>
      <w:r w:rsidRPr="006A5FE5">
        <w:rPr>
          <w:rFonts w:ascii="Times New Roman" w:hAnsi="Times New Roman" w:cs="Times New Roman"/>
          <w:sz w:val="24"/>
          <w:szCs w:val="24"/>
        </w:rPr>
        <w:t xml:space="preserve"> be considered</w:t>
      </w:r>
      <w:r w:rsidR="00D6054D">
        <w:rPr>
          <w:rFonts w:ascii="Times New Roman" w:hAnsi="Times New Roman" w:cs="Times New Roman"/>
          <w:sz w:val="24"/>
          <w:szCs w:val="24"/>
        </w:rPr>
        <w:t xml:space="preserve"> with respect to respiration</w:t>
      </w:r>
      <w:r w:rsidRPr="006A5FE5">
        <w:rPr>
          <w:rFonts w:ascii="Times New Roman" w:hAnsi="Times New Roman" w:cs="Times New Roman"/>
          <w:sz w:val="24"/>
          <w:szCs w:val="24"/>
        </w:rPr>
        <w:t xml:space="preserve">. Here, the examination showed Patient A had normal, nonlabored respiration. By that note, her breathing was not </w:t>
      </w:r>
      <w:r w:rsidRPr="006A5FE5">
        <w:rPr>
          <w:rFonts w:ascii="Times New Roman" w:hAnsi="Times New Roman" w:cs="Times New Roman"/>
          <w:sz w:val="24"/>
          <w:szCs w:val="24"/>
        </w:rPr>
        <w:lastRenderedPageBreak/>
        <w:t>tachypneic.</w:t>
      </w:r>
      <w:r w:rsidR="006A327E" w:rsidRPr="006A5FE5">
        <w:rPr>
          <w:rFonts w:ascii="Times New Roman" w:hAnsi="Times New Roman" w:cs="Times New Roman"/>
          <w:sz w:val="24"/>
          <w:szCs w:val="24"/>
        </w:rPr>
        <w:t xml:space="preserve"> (Angel testimony.)</w:t>
      </w:r>
    </w:p>
    <w:p w14:paraId="42E3B052" w14:textId="3F6A9C81" w:rsidR="006A327E" w:rsidRPr="006A5FE5" w:rsidRDefault="00D6054D"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Patient A’s</w:t>
      </w:r>
      <w:r w:rsidR="006A327E" w:rsidRPr="006A5FE5">
        <w:rPr>
          <w:rFonts w:ascii="Times New Roman" w:hAnsi="Times New Roman" w:cs="Times New Roman"/>
          <w:sz w:val="24"/>
          <w:szCs w:val="24"/>
        </w:rPr>
        <w:t xml:space="preserve"> temperature, respiration, blood pressure, pulse, pulse oximetry, pulmonary exam, and cardiac exam were not consistent with pneumonia or sepsis</w:t>
      </w:r>
      <w:r w:rsidR="00AD1E2D" w:rsidRPr="006A5FE5">
        <w:rPr>
          <w:rFonts w:ascii="Times New Roman" w:hAnsi="Times New Roman" w:cs="Times New Roman"/>
          <w:sz w:val="24"/>
          <w:szCs w:val="24"/>
        </w:rPr>
        <w:t>—or an infection generally</w:t>
      </w:r>
      <w:r w:rsidR="006A327E" w:rsidRPr="006A5FE5">
        <w:rPr>
          <w:rFonts w:ascii="Times New Roman" w:hAnsi="Times New Roman" w:cs="Times New Roman"/>
          <w:sz w:val="24"/>
          <w:szCs w:val="24"/>
        </w:rPr>
        <w:t>. (Angel testimony.)</w:t>
      </w:r>
    </w:p>
    <w:p w14:paraId="50AAB06F" w14:textId="726859E2" w:rsidR="00031652" w:rsidRPr="006A5FE5" w:rsidRDefault="000316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Even though Patient A did not have a fever when she came in, she reported she had one before. That was concerning because fever can be a symptom of sepsis. (Angel testimony.)</w:t>
      </w:r>
    </w:p>
    <w:p w14:paraId="3D1509BE" w14:textId="1DD52160" w:rsidR="00031652" w:rsidRPr="006A5FE5" w:rsidRDefault="000316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Diarrhea itself is not a sign of infection, but other symptoms of sepsis can cause diarrhea—it </w:t>
      </w:r>
      <w:r w:rsidR="00611B88" w:rsidRPr="006A5FE5">
        <w:rPr>
          <w:rFonts w:ascii="Times New Roman" w:hAnsi="Times New Roman" w:cs="Times New Roman"/>
          <w:sz w:val="24"/>
          <w:szCs w:val="24"/>
        </w:rPr>
        <w:t>i</w:t>
      </w:r>
      <w:r w:rsidRPr="006A5FE5">
        <w:rPr>
          <w:rFonts w:ascii="Times New Roman" w:hAnsi="Times New Roman" w:cs="Times New Roman"/>
          <w:sz w:val="24"/>
          <w:szCs w:val="24"/>
        </w:rPr>
        <w:t>s a secondary phenomenon. (Angel testimony.)</w:t>
      </w:r>
    </w:p>
    <w:p w14:paraId="0AEDE6E0" w14:textId="738641EE" w:rsidR="00C0511E" w:rsidRPr="006A5FE5" w:rsidRDefault="00C0511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Diarrhea is typically associated with a viral infection, not bacterial. (Angel testimony.)</w:t>
      </w:r>
    </w:p>
    <w:p w14:paraId="6411962B" w14:textId="427D3464" w:rsidR="001F773C" w:rsidRPr="006A5FE5" w:rsidRDefault="00CA5E4F"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Respondent’s </w:t>
      </w:r>
      <w:r w:rsidR="001F773C" w:rsidRPr="006A5FE5">
        <w:rPr>
          <w:rFonts w:ascii="Times New Roman" w:hAnsi="Times New Roman" w:cs="Times New Roman"/>
          <w:sz w:val="24"/>
          <w:szCs w:val="24"/>
        </w:rPr>
        <w:t>diagnosis of Raynaud’s was not a good initial thought or diagnosis. Many symptoms were inconsistent with Raynaud</w:t>
      </w:r>
      <w:r w:rsidR="00AD1E2D" w:rsidRPr="006A5FE5">
        <w:rPr>
          <w:rFonts w:ascii="Times New Roman" w:hAnsi="Times New Roman" w:cs="Times New Roman"/>
          <w:sz w:val="24"/>
          <w:szCs w:val="24"/>
        </w:rPr>
        <w:t>’</w:t>
      </w:r>
      <w:r w:rsidR="001F773C" w:rsidRPr="006A5FE5">
        <w:rPr>
          <w:rFonts w:ascii="Times New Roman" w:hAnsi="Times New Roman" w:cs="Times New Roman"/>
          <w:sz w:val="24"/>
          <w:szCs w:val="24"/>
        </w:rPr>
        <w:t>s</w:t>
      </w:r>
      <w:r w:rsidR="00D6054D">
        <w:rPr>
          <w:rFonts w:ascii="Times New Roman" w:hAnsi="Times New Roman" w:cs="Times New Roman"/>
          <w:sz w:val="24"/>
          <w:szCs w:val="24"/>
        </w:rPr>
        <w:t xml:space="preserve"> like</w:t>
      </w:r>
      <w:r w:rsidR="001F773C" w:rsidRPr="006A5FE5">
        <w:rPr>
          <w:rFonts w:ascii="Times New Roman" w:hAnsi="Times New Roman" w:cs="Times New Roman"/>
          <w:sz w:val="24"/>
          <w:szCs w:val="24"/>
        </w:rPr>
        <w:t xml:space="preserve"> fever, diarrhea, rash, </w:t>
      </w:r>
      <w:r w:rsidR="00D6054D">
        <w:rPr>
          <w:rFonts w:ascii="Times New Roman" w:hAnsi="Times New Roman" w:cs="Times New Roman"/>
          <w:sz w:val="24"/>
          <w:szCs w:val="24"/>
        </w:rPr>
        <w:t xml:space="preserve">and </w:t>
      </w:r>
      <w:r w:rsidR="001F773C" w:rsidRPr="006A5FE5">
        <w:rPr>
          <w:rFonts w:ascii="Times New Roman" w:hAnsi="Times New Roman" w:cs="Times New Roman"/>
          <w:sz w:val="24"/>
          <w:szCs w:val="24"/>
        </w:rPr>
        <w:t>painful feet. (Angel testimony.)</w:t>
      </w:r>
    </w:p>
    <w:p w14:paraId="68441545" w14:textId="0294E15F" w:rsidR="00D70827" w:rsidRPr="006A5FE5" w:rsidRDefault="00D70827"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Moreover, </w:t>
      </w:r>
      <w:r w:rsidR="00AD1E2D" w:rsidRPr="006A5FE5">
        <w:rPr>
          <w:rFonts w:ascii="Times New Roman" w:hAnsi="Times New Roman" w:cs="Times New Roman"/>
          <w:sz w:val="24"/>
          <w:szCs w:val="24"/>
        </w:rPr>
        <w:t>Patient A</w:t>
      </w:r>
      <w:r w:rsidRPr="006A5FE5">
        <w:rPr>
          <w:rFonts w:ascii="Times New Roman" w:hAnsi="Times New Roman" w:cs="Times New Roman"/>
          <w:sz w:val="24"/>
          <w:szCs w:val="24"/>
        </w:rPr>
        <w:t xml:space="preserve"> had no history of Raynaud’s and it</w:t>
      </w:r>
      <w:r w:rsidR="003E6542">
        <w:rPr>
          <w:rFonts w:ascii="Times New Roman" w:hAnsi="Times New Roman" w:cs="Times New Roman"/>
          <w:sz w:val="24"/>
          <w:szCs w:val="24"/>
        </w:rPr>
        <w:t xml:space="preserve"> i</w:t>
      </w:r>
      <w:r w:rsidRPr="006A5FE5">
        <w:rPr>
          <w:rFonts w:ascii="Times New Roman" w:hAnsi="Times New Roman" w:cs="Times New Roman"/>
          <w:sz w:val="24"/>
          <w:szCs w:val="24"/>
        </w:rPr>
        <w:t>s unusual to see for the first time in a middle-aged person. (Angel testimony.)</w:t>
      </w:r>
    </w:p>
    <w:p w14:paraId="6DF4E640" w14:textId="1E94662F" w:rsidR="006A327E" w:rsidRPr="006A5FE5" w:rsidRDefault="00692E4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Yet, Dr. Angel</w:t>
      </w:r>
      <w:r w:rsidR="006A327E" w:rsidRPr="006A5FE5">
        <w:rPr>
          <w:rFonts w:ascii="Times New Roman" w:hAnsi="Times New Roman" w:cs="Times New Roman"/>
          <w:sz w:val="24"/>
          <w:szCs w:val="24"/>
        </w:rPr>
        <w:t xml:space="preserve"> agreed someone with Raynaud’s has a rash in their extremities, like Patient A did here; he also agreed the colors of her rash were “possibly” the colors you would find on a patient with Raynaud’s</w:t>
      </w:r>
      <w:r w:rsidRPr="006A5FE5">
        <w:rPr>
          <w:rFonts w:ascii="Times New Roman" w:hAnsi="Times New Roman" w:cs="Times New Roman"/>
          <w:sz w:val="24"/>
          <w:szCs w:val="24"/>
        </w:rPr>
        <w:t>; lastly</w:t>
      </w:r>
      <w:r w:rsidR="00D6054D">
        <w:rPr>
          <w:rFonts w:ascii="Times New Roman" w:hAnsi="Times New Roman" w:cs="Times New Roman"/>
          <w:sz w:val="24"/>
          <w:szCs w:val="24"/>
        </w:rPr>
        <w:t>,</w:t>
      </w:r>
      <w:r w:rsidRPr="006A5FE5">
        <w:rPr>
          <w:rFonts w:ascii="Times New Roman" w:hAnsi="Times New Roman" w:cs="Times New Roman"/>
          <w:sz w:val="24"/>
          <w:szCs w:val="24"/>
        </w:rPr>
        <w:t xml:space="preserve"> he agreed Patient A’s rash was described as “modeling,” which is consistent with </w:t>
      </w:r>
      <w:r w:rsidR="00D6054D">
        <w:rPr>
          <w:rFonts w:ascii="Times New Roman" w:hAnsi="Times New Roman" w:cs="Times New Roman"/>
          <w:sz w:val="24"/>
          <w:szCs w:val="24"/>
        </w:rPr>
        <w:t>S</w:t>
      </w:r>
      <w:r w:rsidRPr="006A5FE5">
        <w:rPr>
          <w:rFonts w:ascii="Times New Roman" w:hAnsi="Times New Roman" w:cs="Times New Roman"/>
          <w:sz w:val="24"/>
          <w:szCs w:val="24"/>
        </w:rPr>
        <w:t>econdary Raynaud’s</w:t>
      </w:r>
      <w:r w:rsidR="006A327E" w:rsidRPr="006A5FE5">
        <w:rPr>
          <w:rFonts w:ascii="Times New Roman" w:hAnsi="Times New Roman" w:cs="Times New Roman"/>
          <w:sz w:val="24"/>
          <w:szCs w:val="24"/>
        </w:rPr>
        <w:t>. (Angel testimony.)</w:t>
      </w:r>
    </w:p>
    <w:p w14:paraId="7B0396F8" w14:textId="6AA236B3" w:rsidR="00031652" w:rsidRPr="006A5FE5" w:rsidRDefault="00AD1E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Angel explained that a</w:t>
      </w:r>
      <w:r w:rsidR="00031652" w:rsidRPr="006A5FE5">
        <w:rPr>
          <w:rFonts w:ascii="Times New Roman" w:hAnsi="Times New Roman" w:cs="Times New Roman"/>
          <w:sz w:val="24"/>
          <w:szCs w:val="24"/>
        </w:rPr>
        <w:t xml:space="preserve">ll doctors should do a differential diagnosis. He could not tell if </w:t>
      </w:r>
      <w:r w:rsidR="00CA5E4F" w:rsidRPr="006A5FE5">
        <w:rPr>
          <w:rFonts w:ascii="Times New Roman" w:hAnsi="Times New Roman" w:cs="Times New Roman"/>
          <w:sz w:val="24"/>
          <w:szCs w:val="24"/>
        </w:rPr>
        <w:t xml:space="preserve">the Respondent </w:t>
      </w:r>
      <w:r w:rsidR="00031652" w:rsidRPr="006A5FE5">
        <w:rPr>
          <w:rFonts w:ascii="Times New Roman" w:hAnsi="Times New Roman" w:cs="Times New Roman"/>
          <w:sz w:val="24"/>
          <w:szCs w:val="24"/>
        </w:rPr>
        <w:t>did a differential diagnosis</w:t>
      </w:r>
      <w:r w:rsidRPr="006A5FE5">
        <w:rPr>
          <w:rFonts w:ascii="Times New Roman" w:hAnsi="Times New Roman" w:cs="Times New Roman"/>
          <w:sz w:val="24"/>
          <w:szCs w:val="24"/>
        </w:rPr>
        <w:t xml:space="preserve"> in this case</w:t>
      </w:r>
      <w:r w:rsidR="00031652" w:rsidRPr="006A5FE5">
        <w:rPr>
          <w:rFonts w:ascii="Times New Roman" w:hAnsi="Times New Roman" w:cs="Times New Roman"/>
          <w:sz w:val="24"/>
          <w:szCs w:val="24"/>
        </w:rPr>
        <w:t>. He only saw a diagnosis, but no elaboration. (Angel testimony.)</w:t>
      </w:r>
    </w:p>
    <w:p w14:paraId="29BF3BE6" w14:textId="250021EB" w:rsidR="00031652" w:rsidRPr="006A5FE5" w:rsidRDefault="000316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In a case like this, a doctor should rule out a life-threatening illness first. </w:t>
      </w:r>
      <w:r w:rsidR="00E7190B" w:rsidRPr="006A5FE5">
        <w:rPr>
          <w:rFonts w:ascii="Times New Roman" w:hAnsi="Times New Roman" w:cs="Times New Roman"/>
          <w:sz w:val="24"/>
          <w:szCs w:val="24"/>
        </w:rPr>
        <w:t xml:space="preserve">But the </w:t>
      </w:r>
      <w:r w:rsidR="00E7190B" w:rsidRPr="006A5FE5">
        <w:rPr>
          <w:rFonts w:ascii="Times New Roman" w:hAnsi="Times New Roman" w:cs="Times New Roman"/>
          <w:sz w:val="24"/>
          <w:szCs w:val="24"/>
        </w:rPr>
        <w:lastRenderedPageBreak/>
        <w:t>Respondent did not take everything into account and recognize there was potentially a life-threating diagnosis to be made here—early sepsis.</w:t>
      </w:r>
      <w:r w:rsidR="00E7190B" w:rsidRPr="006A5FE5">
        <w:rPr>
          <w:rStyle w:val="FootnoteReference"/>
          <w:rFonts w:ascii="Times New Roman" w:hAnsi="Times New Roman" w:cs="Times New Roman"/>
          <w:sz w:val="24"/>
          <w:szCs w:val="24"/>
        </w:rPr>
        <w:footnoteReference w:id="3"/>
      </w:r>
      <w:r w:rsidR="00E7190B" w:rsidRPr="006A5FE5">
        <w:rPr>
          <w:rFonts w:ascii="Times New Roman" w:hAnsi="Times New Roman" w:cs="Times New Roman"/>
          <w:sz w:val="24"/>
          <w:szCs w:val="24"/>
        </w:rPr>
        <w:t xml:space="preserve"> </w:t>
      </w:r>
      <w:r w:rsidRPr="006A5FE5">
        <w:rPr>
          <w:rFonts w:ascii="Times New Roman" w:hAnsi="Times New Roman" w:cs="Times New Roman"/>
          <w:sz w:val="24"/>
          <w:szCs w:val="24"/>
        </w:rPr>
        <w:t>(Angel testimony.)</w:t>
      </w:r>
    </w:p>
    <w:p w14:paraId="471E6564" w14:textId="4E1EBABC" w:rsidR="00AD1E2D" w:rsidRPr="006A5FE5" w:rsidRDefault="00AD1E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Angel was not aware that there were diagnostic screening tools used to evaluated someone’s risk of developing sepsis.</w:t>
      </w:r>
      <w:r w:rsidR="00B31A88" w:rsidRPr="006A5FE5">
        <w:rPr>
          <w:rFonts w:ascii="Times New Roman" w:hAnsi="Times New Roman" w:cs="Times New Roman"/>
          <w:sz w:val="24"/>
          <w:szCs w:val="24"/>
        </w:rPr>
        <w:t xml:space="preserve"> (Angel testimony.)</w:t>
      </w:r>
    </w:p>
    <w:p w14:paraId="1EA9DC64" w14:textId="6D679270" w:rsidR="00AD1E2D" w:rsidRPr="006A5FE5" w:rsidRDefault="00AD1E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Angel conceded that one factor for sepsis is mental status, and Patient A was alert. (Angel testimony.)</w:t>
      </w:r>
    </w:p>
    <w:p w14:paraId="686AB445" w14:textId="3E20E56D" w:rsidR="00031652" w:rsidRPr="006A5FE5" w:rsidRDefault="000316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Angel did not know if the symptoms in this case were a sign of “bacterial” infection. (Angel testimony.)</w:t>
      </w:r>
    </w:p>
    <w:p w14:paraId="16F0F87F" w14:textId="556A96AC" w:rsidR="00D70827" w:rsidRPr="006A5FE5" w:rsidRDefault="00D70827"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Given these symptoms and history, </w:t>
      </w:r>
      <w:r w:rsidR="00031652" w:rsidRPr="006A5FE5">
        <w:rPr>
          <w:rFonts w:ascii="Times New Roman" w:hAnsi="Times New Roman" w:cs="Times New Roman"/>
          <w:sz w:val="24"/>
          <w:szCs w:val="24"/>
        </w:rPr>
        <w:t>Dr. Angel</w:t>
      </w:r>
      <w:r w:rsidRPr="006A5FE5">
        <w:rPr>
          <w:rFonts w:ascii="Times New Roman" w:hAnsi="Times New Roman" w:cs="Times New Roman"/>
          <w:sz w:val="24"/>
          <w:szCs w:val="24"/>
        </w:rPr>
        <w:t xml:space="preserve"> would have referred the patient for lab tests, blood and urine cultures, </w:t>
      </w:r>
      <w:r w:rsidR="00DF624D">
        <w:rPr>
          <w:rFonts w:ascii="Times New Roman" w:hAnsi="Times New Roman" w:cs="Times New Roman"/>
          <w:sz w:val="24"/>
          <w:szCs w:val="24"/>
        </w:rPr>
        <w:t xml:space="preserve">and </w:t>
      </w:r>
      <w:r w:rsidRPr="006A5FE5">
        <w:rPr>
          <w:rFonts w:ascii="Times New Roman" w:hAnsi="Times New Roman" w:cs="Times New Roman"/>
          <w:sz w:val="24"/>
          <w:szCs w:val="24"/>
        </w:rPr>
        <w:t xml:space="preserve">blood counts, and </w:t>
      </w:r>
      <w:r w:rsidR="00031652" w:rsidRPr="006A5FE5">
        <w:rPr>
          <w:rFonts w:ascii="Times New Roman" w:hAnsi="Times New Roman" w:cs="Times New Roman"/>
          <w:sz w:val="24"/>
          <w:szCs w:val="24"/>
        </w:rPr>
        <w:t xml:space="preserve">sent her </w:t>
      </w:r>
      <w:r w:rsidRPr="006A5FE5">
        <w:rPr>
          <w:rFonts w:ascii="Times New Roman" w:hAnsi="Times New Roman" w:cs="Times New Roman"/>
          <w:sz w:val="24"/>
          <w:szCs w:val="24"/>
        </w:rPr>
        <w:t xml:space="preserve">to the </w:t>
      </w:r>
      <w:r w:rsidR="00CF04EB">
        <w:rPr>
          <w:rFonts w:ascii="Times New Roman" w:hAnsi="Times New Roman" w:cs="Times New Roman"/>
          <w:sz w:val="24"/>
          <w:szCs w:val="24"/>
        </w:rPr>
        <w:t>ER</w:t>
      </w:r>
      <w:r w:rsidR="00031652" w:rsidRPr="006A5FE5">
        <w:rPr>
          <w:rFonts w:ascii="Times New Roman" w:hAnsi="Times New Roman" w:cs="Times New Roman"/>
          <w:sz w:val="24"/>
          <w:szCs w:val="24"/>
        </w:rPr>
        <w:t xml:space="preserve"> for concerns of an infection</w:t>
      </w:r>
      <w:r w:rsidRPr="006A5FE5">
        <w:rPr>
          <w:rFonts w:ascii="Times New Roman" w:hAnsi="Times New Roman" w:cs="Times New Roman"/>
          <w:sz w:val="24"/>
          <w:szCs w:val="24"/>
        </w:rPr>
        <w:t>. (Angel testimony.)</w:t>
      </w:r>
    </w:p>
    <w:p w14:paraId="056D0047" w14:textId="76393A4E" w:rsidR="00031652" w:rsidRPr="006A5FE5" w:rsidRDefault="000316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That is what </w:t>
      </w:r>
      <w:r w:rsidR="00B31A88" w:rsidRPr="006A5FE5">
        <w:rPr>
          <w:rFonts w:ascii="Times New Roman" w:hAnsi="Times New Roman" w:cs="Times New Roman"/>
          <w:sz w:val="24"/>
          <w:szCs w:val="24"/>
        </w:rPr>
        <w:t>the Respondent</w:t>
      </w:r>
      <w:r w:rsidRPr="006A5FE5">
        <w:rPr>
          <w:rFonts w:ascii="Times New Roman" w:hAnsi="Times New Roman" w:cs="Times New Roman"/>
          <w:sz w:val="24"/>
          <w:szCs w:val="24"/>
        </w:rPr>
        <w:t xml:space="preserve"> should have done. (Angel testimony.)</w:t>
      </w:r>
    </w:p>
    <w:p w14:paraId="1121A99D" w14:textId="17721B5D" w:rsidR="00D70827" w:rsidRPr="006A5FE5" w:rsidRDefault="003B6BD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Sending the patient home instead was below the standard of care</w:t>
      </w:r>
      <w:r w:rsidR="00D6054D">
        <w:rPr>
          <w:rFonts w:ascii="Times New Roman" w:hAnsi="Times New Roman" w:cs="Times New Roman"/>
          <w:sz w:val="24"/>
          <w:szCs w:val="24"/>
        </w:rPr>
        <w:t xml:space="preserve">, </w:t>
      </w:r>
      <w:r w:rsidR="00D6054D" w:rsidRPr="006A5FE5">
        <w:rPr>
          <w:rFonts w:ascii="Times New Roman" w:hAnsi="Times New Roman" w:cs="Times New Roman"/>
          <w:sz w:val="24"/>
          <w:szCs w:val="24"/>
        </w:rPr>
        <w:t>even with the instructions that were given</w:t>
      </w:r>
      <w:r w:rsidRPr="006A5FE5">
        <w:rPr>
          <w:rFonts w:ascii="Times New Roman" w:hAnsi="Times New Roman" w:cs="Times New Roman"/>
          <w:sz w:val="24"/>
          <w:szCs w:val="24"/>
        </w:rPr>
        <w:t>. (Angel testimony.)</w:t>
      </w:r>
    </w:p>
    <w:p w14:paraId="3F2A88B1" w14:textId="1A162DEA" w:rsidR="003B6BDE" w:rsidRPr="006A5FE5" w:rsidRDefault="003B6BDE"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It was also negligent. (Angel testimony.)</w:t>
      </w:r>
    </w:p>
    <w:p w14:paraId="4C3B7EDD" w14:textId="4FF8BA12" w:rsidR="002E5952" w:rsidRPr="006A5FE5" w:rsidRDefault="005F05D0"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In sum, Dr. Angel opined that sending the patient home—as opposed to sending her to the ER or </w:t>
      </w:r>
      <w:r w:rsidR="006443F2" w:rsidRPr="006A5FE5">
        <w:rPr>
          <w:rFonts w:ascii="Times New Roman" w:hAnsi="Times New Roman" w:cs="Times New Roman"/>
          <w:sz w:val="24"/>
          <w:szCs w:val="24"/>
        </w:rPr>
        <w:t>checking her blood culture or blood count himself</w:t>
      </w:r>
      <w:r w:rsidRPr="006A5FE5">
        <w:rPr>
          <w:rFonts w:ascii="Times New Roman" w:hAnsi="Times New Roman" w:cs="Times New Roman"/>
          <w:sz w:val="24"/>
          <w:szCs w:val="24"/>
        </w:rPr>
        <w:t xml:space="preserve">—fell below the standard of care. He did not articulate any other </w:t>
      </w:r>
      <w:r w:rsidR="006443F2" w:rsidRPr="006A5FE5">
        <w:rPr>
          <w:rFonts w:ascii="Times New Roman" w:hAnsi="Times New Roman" w:cs="Times New Roman"/>
          <w:sz w:val="24"/>
          <w:szCs w:val="24"/>
        </w:rPr>
        <w:t xml:space="preserve">conduct </w:t>
      </w:r>
      <w:r w:rsidR="00E7190B">
        <w:rPr>
          <w:rFonts w:ascii="Times New Roman" w:hAnsi="Times New Roman" w:cs="Times New Roman"/>
          <w:sz w:val="24"/>
          <w:szCs w:val="24"/>
        </w:rPr>
        <w:t>that</w:t>
      </w:r>
      <w:r w:rsidR="006443F2" w:rsidRPr="006A5FE5">
        <w:rPr>
          <w:rFonts w:ascii="Times New Roman" w:hAnsi="Times New Roman" w:cs="Times New Roman"/>
          <w:sz w:val="24"/>
          <w:szCs w:val="24"/>
        </w:rPr>
        <w:t xml:space="preserve"> fell below the standard of care. Nor did he </w:t>
      </w:r>
      <w:r w:rsidR="00EB5FAD" w:rsidRPr="006A5FE5">
        <w:rPr>
          <w:rFonts w:ascii="Times New Roman" w:hAnsi="Times New Roman" w:cs="Times New Roman"/>
          <w:sz w:val="24"/>
          <w:szCs w:val="24"/>
        </w:rPr>
        <w:t>o</w:t>
      </w:r>
      <w:r w:rsidR="006443F2" w:rsidRPr="006A5FE5">
        <w:rPr>
          <w:rFonts w:ascii="Times New Roman" w:hAnsi="Times New Roman" w:cs="Times New Roman"/>
          <w:sz w:val="24"/>
          <w:szCs w:val="24"/>
        </w:rPr>
        <w:t xml:space="preserve">pine whether </w:t>
      </w:r>
      <w:r w:rsidR="00D6054D">
        <w:rPr>
          <w:rFonts w:ascii="Times New Roman" w:hAnsi="Times New Roman" w:cs="Times New Roman"/>
          <w:sz w:val="24"/>
          <w:szCs w:val="24"/>
        </w:rPr>
        <w:t>the Respondent’s</w:t>
      </w:r>
      <w:r w:rsidR="006443F2" w:rsidRPr="006A5FE5">
        <w:rPr>
          <w:rFonts w:ascii="Times New Roman" w:hAnsi="Times New Roman" w:cs="Times New Roman"/>
          <w:sz w:val="24"/>
          <w:szCs w:val="24"/>
        </w:rPr>
        <w:t xml:space="preserve"> negligence “caused” Patient A’s death. </w:t>
      </w:r>
    </w:p>
    <w:p w14:paraId="6D7207BF" w14:textId="1E012EEE" w:rsidR="00AD1E2D" w:rsidRPr="006A5FE5" w:rsidRDefault="00AD1E2D" w:rsidP="0012141D">
      <w:pPr>
        <w:pStyle w:val="ListParagraph"/>
        <w:spacing w:line="480" w:lineRule="auto"/>
        <w:ind w:left="720" w:firstLine="0"/>
        <w:rPr>
          <w:rFonts w:ascii="Times New Roman" w:hAnsi="Times New Roman" w:cs="Times New Roman"/>
          <w:b/>
          <w:bCs/>
          <w:sz w:val="24"/>
          <w:szCs w:val="24"/>
          <w:u w:val="single"/>
        </w:rPr>
      </w:pPr>
      <w:r w:rsidRPr="006A5FE5">
        <w:rPr>
          <w:rFonts w:ascii="Times New Roman" w:hAnsi="Times New Roman" w:cs="Times New Roman"/>
          <w:b/>
          <w:bCs/>
          <w:sz w:val="24"/>
          <w:szCs w:val="24"/>
          <w:u w:val="single"/>
        </w:rPr>
        <w:lastRenderedPageBreak/>
        <w:t xml:space="preserve">Other </w:t>
      </w:r>
      <w:r w:rsidR="00EB5FAD" w:rsidRPr="006A5FE5">
        <w:rPr>
          <w:rFonts w:ascii="Times New Roman" w:hAnsi="Times New Roman" w:cs="Times New Roman"/>
          <w:b/>
          <w:bCs/>
          <w:sz w:val="24"/>
          <w:szCs w:val="24"/>
          <w:u w:val="single"/>
        </w:rPr>
        <w:t>e</w:t>
      </w:r>
      <w:r w:rsidRPr="006A5FE5">
        <w:rPr>
          <w:rFonts w:ascii="Times New Roman" w:hAnsi="Times New Roman" w:cs="Times New Roman"/>
          <w:b/>
          <w:bCs/>
          <w:sz w:val="24"/>
          <w:szCs w:val="24"/>
          <w:u w:val="single"/>
        </w:rPr>
        <w:t xml:space="preserve">xpert </w:t>
      </w:r>
      <w:r w:rsidR="00EB5FAD" w:rsidRPr="006A5FE5">
        <w:rPr>
          <w:rFonts w:ascii="Times New Roman" w:hAnsi="Times New Roman" w:cs="Times New Roman"/>
          <w:b/>
          <w:bCs/>
          <w:sz w:val="24"/>
          <w:szCs w:val="24"/>
          <w:u w:val="single"/>
        </w:rPr>
        <w:t>e</w:t>
      </w:r>
      <w:r w:rsidRPr="006A5FE5">
        <w:rPr>
          <w:rFonts w:ascii="Times New Roman" w:hAnsi="Times New Roman" w:cs="Times New Roman"/>
          <w:b/>
          <w:bCs/>
          <w:sz w:val="24"/>
          <w:szCs w:val="24"/>
          <w:u w:val="single"/>
        </w:rPr>
        <w:t>vidence</w:t>
      </w:r>
      <w:r w:rsidR="00EB5FAD" w:rsidRPr="006A5FE5">
        <w:rPr>
          <w:rFonts w:ascii="Times New Roman" w:hAnsi="Times New Roman" w:cs="Times New Roman"/>
          <w:b/>
          <w:bCs/>
          <w:sz w:val="24"/>
          <w:szCs w:val="24"/>
          <w:u w:val="single"/>
        </w:rPr>
        <w:t xml:space="preserve"> offered by the Board</w:t>
      </w:r>
      <w:r w:rsidR="00376758">
        <w:rPr>
          <w:rStyle w:val="FootnoteReference"/>
          <w:rFonts w:ascii="Times New Roman" w:hAnsi="Times New Roman" w:cs="Times New Roman"/>
          <w:b/>
          <w:bCs/>
          <w:sz w:val="24"/>
          <w:szCs w:val="24"/>
          <w:u w:val="single"/>
        </w:rPr>
        <w:footnoteReference w:id="4"/>
      </w:r>
    </w:p>
    <w:p w14:paraId="407D8868" w14:textId="69BEE718" w:rsidR="00AD1E2D" w:rsidRPr="006A5FE5" w:rsidRDefault="00AD1E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Board submitted two additional expert affidavits, both of which were prepared </w:t>
      </w:r>
      <w:r w:rsidR="001156F2" w:rsidRPr="006A5FE5">
        <w:rPr>
          <w:rFonts w:ascii="Times New Roman" w:hAnsi="Times New Roman" w:cs="Times New Roman"/>
          <w:sz w:val="24"/>
          <w:szCs w:val="24"/>
        </w:rPr>
        <w:t>for</w:t>
      </w:r>
      <w:r w:rsidRPr="006A5FE5">
        <w:rPr>
          <w:rFonts w:ascii="Times New Roman" w:hAnsi="Times New Roman" w:cs="Times New Roman"/>
          <w:sz w:val="24"/>
          <w:szCs w:val="24"/>
        </w:rPr>
        <w:t xml:space="preserve"> the malpractice case. (Exhibits 11 and 12.)</w:t>
      </w:r>
    </w:p>
    <w:p w14:paraId="1EE2F791" w14:textId="77D8D470" w:rsidR="00AD1E2D" w:rsidRPr="006A5FE5" w:rsidRDefault="00AD1E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One affidavit was</w:t>
      </w:r>
      <w:r w:rsidR="00244156" w:rsidRPr="006A5FE5">
        <w:rPr>
          <w:rFonts w:ascii="Times New Roman" w:hAnsi="Times New Roman" w:cs="Times New Roman"/>
          <w:sz w:val="24"/>
          <w:szCs w:val="24"/>
        </w:rPr>
        <w:t xml:space="preserve"> authored</w:t>
      </w:r>
      <w:r w:rsidRPr="006A5FE5">
        <w:rPr>
          <w:rFonts w:ascii="Times New Roman" w:hAnsi="Times New Roman" w:cs="Times New Roman"/>
          <w:sz w:val="24"/>
          <w:szCs w:val="24"/>
        </w:rPr>
        <w:t xml:space="preserve"> by Dr. Robert Janett </w:t>
      </w:r>
      <w:r w:rsidR="001156F2" w:rsidRPr="006A5FE5">
        <w:rPr>
          <w:rFonts w:ascii="Times New Roman" w:hAnsi="Times New Roman" w:cs="Times New Roman"/>
          <w:sz w:val="24"/>
          <w:szCs w:val="24"/>
        </w:rPr>
        <w:t>in</w:t>
      </w:r>
      <w:r w:rsidRPr="006A5FE5">
        <w:rPr>
          <w:rFonts w:ascii="Times New Roman" w:hAnsi="Times New Roman" w:cs="Times New Roman"/>
          <w:sz w:val="24"/>
          <w:szCs w:val="24"/>
        </w:rPr>
        <w:t xml:space="preserve"> January 2015</w:t>
      </w:r>
      <w:r w:rsidR="001D1B3B">
        <w:rPr>
          <w:rFonts w:ascii="Times New Roman" w:hAnsi="Times New Roman" w:cs="Times New Roman"/>
          <w:sz w:val="24"/>
          <w:szCs w:val="24"/>
        </w:rPr>
        <w:t xml:space="preserve"> and</w:t>
      </w:r>
      <w:r w:rsidR="00244156" w:rsidRPr="006A5FE5">
        <w:rPr>
          <w:rFonts w:ascii="Times New Roman" w:hAnsi="Times New Roman" w:cs="Times New Roman"/>
          <w:sz w:val="24"/>
          <w:szCs w:val="24"/>
        </w:rPr>
        <w:t xml:space="preserve"> t</w:t>
      </w:r>
      <w:r w:rsidRPr="006A5FE5">
        <w:rPr>
          <w:rFonts w:ascii="Times New Roman" w:hAnsi="Times New Roman" w:cs="Times New Roman"/>
          <w:sz w:val="24"/>
          <w:szCs w:val="24"/>
        </w:rPr>
        <w:t xml:space="preserve">he other by Dr. Reisman </w:t>
      </w:r>
      <w:r w:rsidR="001156F2" w:rsidRPr="006A5FE5">
        <w:rPr>
          <w:rFonts w:ascii="Times New Roman" w:hAnsi="Times New Roman" w:cs="Times New Roman"/>
          <w:sz w:val="24"/>
          <w:szCs w:val="24"/>
        </w:rPr>
        <w:t>in</w:t>
      </w:r>
      <w:r w:rsidRPr="006A5FE5">
        <w:rPr>
          <w:rFonts w:ascii="Times New Roman" w:hAnsi="Times New Roman" w:cs="Times New Roman"/>
          <w:sz w:val="24"/>
          <w:szCs w:val="24"/>
        </w:rPr>
        <w:t xml:space="preserve"> February 2017. (Exhibits 11 and 12.)</w:t>
      </w:r>
    </w:p>
    <w:p w14:paraId="0AF7BB89" w14:textId="12212E7D" w:rsidR="00AD1E2D" w:rsidRPr="006A5FE5" w:rsidRDefault="00AD1E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Although the Board attempted to call Dr. Reisman as a witness, </w:t>
      </w:r>
      <w:r w:rsidR="00244156" w:rsidRPr="006A5FE5">
        <w:rPr>
          <w:rFonts w:ascii="Times New Roman" w:hAnsi="Times New Roman" w:cs="Times New Roman"/>
          <w:sz w:val="24"/>
          <w:szCs w:val="24"/>
        </w:rPr>
        <w:t>he did not complete his testimony</w:t>
      </w:r>
      <w:r w:rsidRPr="006A5FE5">
        <w:rPr>
          <w:rFonts w:ascii="Times New Roman" w:hAnsi="Times New Roman" w:cs="Times New Roman"/>
          <w:sz w:val="24"/>
          <w:szCs w:val="24"/>
        </w:rPr>
        <w:t>.</w:t>
      </w:r>
      <w:r w:rsidR="001156F2" w:rsidRPr="006A5FE5">
        <w:rPr>
          <w:rFonts w:ascii="Times New Roman" w:hAnsi="Times New Roman" w:cs="Times New Roman"/>
          <w:sz w:val="24"/>
          <w:szCs w:val="24"/>
        </w:rPr>
        <w:t xml:space="preserve"> </w:t>
      </w:r>
      <w:r w:rsidR="001156F2" w:rsidRPr="006A5FE5">
        <w:rPr>
          <w:rFonts w:ascii="Times New Roman" w:hAnsi="Times New Roman" w:cs="Times New Roman"/>
          <w:i/>
          <w:iCs/>
          <w:sz w:val="24"/>
          <w:szCs w:val="24"/>
        </w:rPr>
        <w:t xml:space="preserve">See </w:t>
      </w:r>
      <w:r w:rsidR="001156F2" w:rsidRPr="006A5FE5">
        <w:rPr>
          <w:rFonts w:ascii="Times New Roman" w:hAnsi="Times New Roman" w:cs="Times New Roman"/>
          <w:sz w:val="24"/>
          <w:szCs w:val="24"/>
        </w:rPr>
        <w:t xml:space="preserve">footnote 1, </w:t>
      </w:r>
      <w:r w:rsidR="001156F2" w:rsidRPr="006A5FE5">
        <w:rPr>
          <w:rFonts w:ascii="Times New Roman" w:hAnsi="Times New Roman" w:cs="Times New Roman"/>
          <w:i/>
          <w:iCs/>
          <w:sz w:val="24"/>
          <w:szCs w:val="24"/>
        </w:rPr>
        <w:t>supra</w:t>
      </w:r>
      <w:r w:rsidR="001156F2" w:rsidRPr="006A5FE5">
        <w:rPr>
          <w:rFonts w:ascii="Times New Roman" w:hAnsi="Times New Roman" w:cs="Times New Roman"/>
          <w:sz w:val="24"/>
          <w:szCs w:val="24"/>
        </w:rPr>
        <w:t>.</w:t>
      </w:r>
      <w:r w:rsidRPr="006A5FE5">
        <w:rPr>
          <w:rFonts w:ascii="Times New Roman" w:hAnsi="Times New Roman" w:cs="Times New Roman"/>
          <w:sz w:val="24"/>
          <w:szCs w:val="24"/>
        </w:rPr>
        <w:t xml:space="preserve"> </w:t>
      </w:r>
    </w:p>
    <w:p w14:paraId="574F1EB2" w14:textId="63ED6D04" w:rsidR="00AD1E2D" w:rsidRPr="006A5FE5" w:rsidRDefault="001D1B3B"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Even though I place limited weight on this evidence, t</w:t>
      </w:r>
      <w:r w:rsidR="00AD1E2D" w:rsidRPr="006A5FE5">
        <w:rPr>
          <w:rFonts w:ascii="Times New Roman" w:hAnsi="Times New Roman" w:cs="Times New Roman"/>
          <w:sz w:val="24"/>
          <w:szCs w:val="24"/>
        </w:rPr>
        <w:t xml:space="preserve">he substance of the affidavits </w:t>
      </w:r>
      <w:r w:rsidR="00D6054D" w:rsidRPr="006A5FE5">
        <w:rPr>
          <w:rFonts w:ascii="Times New Roman" w:hAnsi="Times New Roman" w:cs="Times New Roman"/>
          <w:sz w:val="24"/>
          <w:szCs w:val="24"/>
        </w:rPr>
        <w:t>is</w:t>
      </w:r>
      <w:r w:rsidR="00AD1E2D" w:rsidRPr="006A5FE5">
        <w:rPr>
          <w:rFonts w:ascii="Times New Roman" w:hAnsi="Times New Roman" w:cs="Times New Roman"/>
          <w:sz w:val="24"/>
          <w:szCs w:val="24"/>
        </w:rPr>
        <w:t xml:space="preserve"> similar to Dr. Angel’s opinion. Each doctor opined that </w:t>
      </w:r>
      <w:r w:rsidR="001156F2" w:rsidRPr="006A5FE5">
        <w:rPr>
          <w:rFonts w:ascii="Times New Roman" w:hAnsi="Times New Roman" w:cs="Times New Roman"/>
          <w:sz w:val="24"/>
          <w:szCs w:val="24"/>
        </w:rPr>
        <w:t>the Respondent’s</w:t>
      </w:r>
      <w:r w:rsidR="00AD1E2D" w:rsidRPr="006A5FE5">
        <w:rPr>
          <w:rFonts w:ascii="Times New Roman" w:hAnsi="Times New Roman" w:cs="Times New Roman"/>
          <w:sz w:val="24"/>
          <w:szCs w:val="24"/>
        </w:rPr>
        <w:t xml:space="preserve"> conduct fell below the standard of care</w:t>
      </w:r>
      <w:r w:rsidR="00346405">
        <w:rPr>
          <w:rFonts w:ascii="Times New Roman" w:hAnsi="Times New Roman" w:cs="Times New Roman"/>
          <w:sz w:val="24"/>
          <w:szCs w:val="24"/>
        </w:rPr>
        <w:t>,</w:t>
      </w:r>
      <w:r w:rsidR="00AD1E2D" w:rsidRPr="006A5FE5">
        <w:rPr>
          <w:rFonts w:ascii="Times New Roman" w:hAnsi="Times New Roman" w:cs="Times New Roman"/>
          <w:sz w:val="24"/>
          <w:szCs w:val="24"/>
        </w:rPr>
        <w:t xml:space="preserve"> caused Patient A’s death</w:t>
      </w:r>
      <w:r w:rsidR="00346405">
        <w:rPr>
          <w:rFonts w:ascii="Times New Roman" w:hAnsi="Times New Roman" w:cs="Times New Roman"/>
          <w:sz w:val="24"/>
          <w:szCs w:val="24"/>
        </w:rPr>
        <w:t>,</w:t>
      </w:r>
      <w:r w:rsidR="00AD1E2D" w:rsidRPr="006A5FE5">
        <w:rPr>
          <w:rFonts w:ascii="Times New Roman" w:hAnsi="Times New Roman" w:cs="Times New Roman"/>
          <w:sz w:val="24"/>
          <w:szCs w:val="24"/>
        </w:rPr>
        <w:t xml:space="preserve"> </w:t>
      </w:r>
      <w:r w:rsidR="00A77C22">
        <w:rPr>
          <w:rFonts w:ascii="Times New Roman" w:hAnsi="Times New Roman" w:cs="Times New Roman"/>
          <w:sz w:val="24"/>
          <w:szCs w:val="24"/>
        </w:rPr>
        <w:t>and</w:t>
      </w:r>
      <w:r w:rsidR="00AD1E2D" w:rsidRPr="006A5FE5">
        <w:rPr>
          <w:rFonts w:ascii="Times New Roman" w:hAnsi="Times New Roman" w:cs="Times New Roman"/>
          <w:sz w:val="24"/>
          <w:szCs w:val="24"/>
        </w:rPr>
        <w:t xml:space="preserve"> constituted malpractice. (Exhibits 11 and 12.)</w:t>
      </w:r>
    </w:p>
    <w:p w14:paraId="7156A04C" w14:textId="32C50669" w:rsidR="00AD1E2D" w:rsidRPr="006A5FE5" w:rsidRDefault="00AD1E2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Because neither doctor was offering an opinion about whether </w:t>
      </w:r>
      <w:r w:rsidR="001156F2" w:rsidRPr="006A5FE5">
        <w:rPr>
          <w:rFonts w:ascii="Times New Roman" w:hAnsi="Times New Roman" w:cs="Times New Roman"/>
          <w:sz w:val="24"/>
          <w:szCs w:val="24"/>
        </w:rPr>
        <w:t>the Respondent</w:t>
      </w:r>
      <w:r w:rsidRPr="006A5FE5">
        <w:rPr>
          <w:rFonts w:ascii="Times New Roman" w:hAnsi="Times New Roman" w:cs="Times New Roman"/>
          <w:sz w:val="24"/>
          <w:szCs w:val="24"/>
        </w:rPr>
        <w:t xml:space="preserve"> </w:t>
      </w:r>
      <w:r w:rsidR="008A4EE3" w:rsidRPr="006A5FE5">
        <w:rPr>
          <w:rFonts w:ascii="Times New Roman" w:hAnsi="Times New Roman" w:cs="Times New Roman"/>
          <w:sz w:val="24"/>
          <w:szCs w:val="24"/>
        </w:rPr>
        <w:t>violated any statute or regulation, neither opined about whether he committed gross negligence or negligence on repeated occasions.</w:t>
      </w:r>
      <w:r w:rsidR="00D6054D" w:rsidRPr="00D6054D">
        <w:rPr>
          <w:rFonts w:ascii="Times New Roman" w:hAnsi="Times New Roman" w:cs="Times New Roman"/>
          <w:sz w:val="24"/>
          <w:szCs w:val="24"/>
        </w:rPr>
        <w:t xml:space="preserve"> </w:t>
      </w:r>
      <w:r w:rsidR="00D6054D" w:rsidRPr="006A5FE5">
        <w:rPr>
          <w:rFonts w:ascii="Times New Roman" w:hAnsi="Times New Roman" w:cs="Times New Roman"/>
          <w:sz w:val="24"/>
          <w:szCs w:val="24"/>
        </w:rPr>
        <w:t>(Exhibits 11 and 12.)</w:t>
      </w:r>
    </w:p>
    <w:p w14:paraId="264042C4" w14:textId="5B9585CF" w:rsidR="00AD1E2D" w:rsidRPr="006A5FE5" w:rsidRDefault="00E7190B"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The doctors thought that b</w:t>
      </w:r>
      <w:r w:rsidR="008A4EE3" w:rsidRPr="006A5FE5">
        <w:rPr>
          <w:rFonts w:ascii="Times New Roman" w:hAnsi="Times New Roman" w:cs="Times New Roman"/>
          <w:sz w:val="24"/>
          <w:szCs w:val="24"/>
        </w:rPr>
        <w:t xml:space="preserve">ecause Patient A was particularly susceptible to infection, </w:t>
      </w:r>
      <w:r w:rsidR="00D6054D">
        <w:rPr>
          <w:rFonts w:ascii="Times New Roman" w:hAnsi="Times New Roman" w:cs="Times New Roman"/>
          <w:sz w:val="24"/>
          <w:szCs w:val="24"/>
        </w:rPr>
        <w:t>the Respondent</w:t>
      </w:r>
      <w:r w:rsidR="008A4EE3" w:rsidRPr="006A5FE5">
        <w:rPr>
          <w:rFonts w:ascii="Times New Roman" w:hAnsi="Times New Roman" w:cs="Times New Roman"/>
          <w:sz w:val="24"/>
          <w:szCs w:val="24"/>
        </w:rPr>
        <w:t xml:space="preserve"> should have ruled out an infection by conducting blood tests and referring her immediately to the ER. (Exhibits 11 and 12.)</w:t>
      </w:r>
    </w:p>
    <w:p w14:paraId="572B7E0B" w14:textId="77777777" w:rsidR="001156F2" w:rsidRPr="006A5FE5" w:rsidRDefault="001156F2" w:rsidP="001156F2">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Both doctors used almost identical language in noting that, although Patient A’s vital signs were normal, that did not rule out the possibility of an infection. (Exhibits 11 and 12.)</w:t>
      </w:r>
    </w:p>
    <w:p w14:paraId="61320660" w14:textId="26B9457C" w:rsidR="001156F2" w:rsidRPr="006A5FE5" w:rsidRDefault="001156F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Both doctors also used almost identical language in formulating their opinions on </w:t>
      </w:r>
      <w:r w:rsidRPr="006A5FE5">
        <w:rPr>
          <w:rFonts w:ascii="Times New Roman" w:hAnsi="Times New Roman" w:cs="Times New Roman"/>
          <w:sz w:val="24"/>
          <w:szCs w:val="24"/>
        </w:rPr>
        <w:lastRenderedPageBreak/>
        <w:t>causation. (Exhibits 11 and 12.)</w:t>
      </w:r>
    </w:p>
    <w:p w14:paraId="425DAA16" w14:textId="741C5F03" w:rsidR="002E5952" w:rsidRPr="006A5FE5" w:rsidRDefault="002E5952" w:rsidP="0012141D">
      <w:pPr>
        <w:pStyle w:val="ListParagraph"/>
        <w:spacing w:line="480" w:lineRule="auto"/>
        <w:ind w:left="720" w:firstLine="0"/>
        <w:rPr>
          <w:rFonts w:ascii="Times New Roman" w:hAnsi="Times New Roman" w:cs="Times New Roman"/>
          <w:b/>
          <w:bCs/>
          <w:sz w:val="24"/>
          <w:szCs w:val="24"/>
          <w:u w:val="single"/>
        </w:rPr>
      </w:pPr>
      <w:r w:rsidRPr="006A5FE5">
        <w:rPr>
          <w:rFonts w:ascii="Times New Roman" w:hAnsi="Times New Roman" w:cs="Times New Roman"/>
          <w:b/>
          <w:bCs/>
          <w:sz w:val="24"/>
          <w:szCs w:val="24"/>
          <w:u w:val="single"/>
        </w:rPr>
        <w:t>Steven Van Dam, M.D.</w:t>
      </w:r>
    </w:p>
    <w:p w14:paraId="5D7E213B" w14:textId="12C35397" w:rsidR="002E5952" w:rsidRPr="006A5FE5" w:rsidRDefault="002E59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Steven Van Dam testified as an expert for the Respondent.</w:t>
      </w:r>
    </w:p>
    <w:p w14:paraId="6A6A90E9" w14:textId="03F68C53" w:rsidR="002E5952" w:rsidRPr="006A5FE5" w:rsidRDefault="002E595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Dr. Van Dam is </w:t>
      </w:r>
      <w:r w:rsidR="00505682" w:rsidRPr="006A5FE5">
        <w:rPr>
          <w:rFonts w:ascii="Times New Roman" w:hAnsi="Times New Roman" w:cs="Times New Roman"/>
          <w:sz w:val="24"/>
          <w:szCs w:val="24"/>
        </w:rPr>
        <w:t xml:space="preserve">board-certified in internal medicine. He is a </w:t>
      </w:r>
      <w:r w:rsidRPr="006A5FE5">
        <w:rPr>
          <w:rFonts w:ascii="Times New Roman" w:hAnsi="Times New Roman" w:cs="Times New Roman"/>
          <w:sz w:val="24"/>
          <w:szCs w:val="24"/>
        </w:rPr>
        <w:t>full-time practicing internist and primary care physician. (Van Dam testimony.)</w:t>
      </w:r>
    </w:p>
    <w:p w14:paraId="345BB6FB" w14:textId="43716048" w:rsidR="00505682" w:rsidRPr="006A5FE5" w:rsidRDefault="0050568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Dr. Van Dam reviewed various records. </w:t>
      </w:r>
      <w:r w:rsidR="008A4EE3" w:rsidRPr="006A5FE5">
        <w:rPr>
          <w:rFonts w:ascii="Times New Roman" w:hAnsi="Times New Roman" w:cs="Times New Roman"/>
          <w:sz w:val="24"/>
          <w:szCs w:val="24"/>
        </w:rPr>
        <w:t>(Van Dam testimony.)</w:t>
      </w:r>
    </w:p>
    <w:p w14:paraId="2D01FC54" w14:textId="11C39965" w:rsidR="00505682" w:rsidRPr="006A5FE5" w:rsidRDefault="00505682"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He understood that Patient A died of an infection, meningitis and pneumonia. (Van Dam testimony.)</w:t>
      </w:r>
    </w:p>
    <w:p w14:paraId="17E066F9" w14:textId="61D76E8E" w:rsidR="00505682"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Pneumonia is a </w:t>
      </w:r>
      <w:r w:rsidR="008A4EE3" w:rsidRPr="006A5FE5">
        <w:rPr>
          <w:rFonts w:ascii="Times New Roman" w:hAnsi="Times New Roman" w:cs="Times New Roman"/>
          <w:sz w:val="24"/>
          <w:szCs w:val="24"/>
        </w:rPr>
        <w:t>bacterium</w:t>
      </w:r>
      <w:r w:rsidRPr="006A5FE5">
        <w:rPr>
          <w:rFonts w:ascii="Times New Roman" w:hAnsi="Times New Roman" w:cs="Times New Roman"/>
          <w:sz w:val="24"/>
          <w:szCs w:val="24"/>
        </w:rPr>
        <w:t>. Dr. Van Dam presumed Patient A died of pneumococcal or streptococcal bacteria. Because there was no pneumococcal culture taken, Dr. Van Dam was hesitant to say anything more definitively. (Van Dam testimony.)</w:t>
      </w:r>
    </w:p>
    <w:p w14:paraId="491C62ED" w14:textId="0CE1F51F" w:rsidR="00443C45"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Pneumococcal bacteria usually infect the lungs, but t</w:t>
      </w:r>
      <w:r w:rsidR="001156F2" w:rsidRPr="006A5FE5">
        <w:rPr>
          <w:rFonts w:ascii="Times New Roman" w:hAnsi="Times New Roman" w:cs="Times New Roman"/>
          <w:sz w:val="24"/>
          <w:szCs w:val="24"/>
        </w:rPr>
        <w:t>hey</w:t>
      </w:r>
      <w:r w:rsidRPr="006A5FE5">
        <w:rPr>
          <w:rFonts w:ascii="Times New Roman" w:hAnsi="Times New Roman" w:cs="Times New Roman"/>
          <w:sz w:val="24"/>
          <w:szCs w:val="24"/>
        </w:rPr>
        <w:t xml:space="preserve"> can also infect skin, spinal cord, brain and other soft tissues. (Van Dam testimony.)</w:t>
      </w:r>
    </w:p>
    <w:p w14:paraId="38D01598" w14:textId="52101C2E" w:rsidR="00443C45"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When a patient has a pneumococcal bacterial infection in the lungs, symptoms are a productive cough, shortness of breath, hypoxemia (low oxygen level), fevers, chills, rapid breathing, and an abnormal lung exam. (Van Dam testimony.)</w:t>
      </w:r>
    </w:p>
    <w:p w14:paraId="085B7679" w14:textId="767D6070" w:rsidR="00443C45"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 did not exhibit any of these symptoms. She had a normal pulmonary exam. (Van Dam testimony.)</w:t>
      </w:r>
    </w:p>
    <w:p w14:paraId="2A2F2543" w14:textId="4DCF0EA3" w:rsidR="00443C45"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Her ear nose and throat (“ENT”) exam was normal. </w:t>
      </w:r>
      <w:r w:rsidR="008A4EE3" w:rsidRPr="006A5FE5">
        <w:rPr>
          <w:rFonts w:ascii="Times New Roman" w:hAnsi="Times New Roman" w:cs="Times New Roman"/>
          <w:sz w:val="24"/>
          <w:szCs w:val="24"/>
        </w:rPr>
        <w:t>It</w:t>
      </w:r>
      <w:r w:rsidRPr="006A5FE5">
        <w:rPr>
          <w:rFonts w:ascii="Times New Roman" w:hAnsi="Times New Roman" w:cs="Times New Roman"/>
          <w:sz w:val="24"/>
          <w:szCs w:val="24"/>
        </w:rPr>
        <w:t xml:space="preserve"> was reassuring that she did not have a sore throat—meaning she did not have a bacterial infection in her throat. (Van Dam testimony.)</w:t>
      </w:r>
    </w:p>
    <w:p w14:paraId="1EA8A81A" w14:textId="04BFE84D" w:rsidR="00443C45"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He</w:t>
      </w:r>
      <w:r w:rsidR="009D608F">
        <w:rPr>
          <w:rFonts w:ascii="Times New Roman" w:hAnsi="Times New Roman" w:cs="Times New Roman"/>
          <w:sz w:val="24"/>
          <w:szCs w:val="24"/>
        </w:rPr>
        <w:t>r</w:t>
      </w:r>
      <w:r w:rsidRPr="006A5FE5">
        <w:rPr>
          <w:rFonts w:ascii="Times New Roman" w:hAnsi="Times New Roman" w:cs="Times New Roman"/>
          <w:sz w:val="24"/>
          <w:szCs w:val="24"/>
        </w:rPr>
        <w:t xml:space="preserve"> respiration rate of 18 </w:t>
      </w:r>
      <w:r w:rsidR="00554CA1">
        <w:rPr>
          <w:rFonts w:ascii="Times New Roman" w:hAnsi="Times New Roman" w:cs="Times New Roman"/>
          <w:sz w:val="24"/>
          <w:szCs w:val="24"/>
        </w:rPr>
        <w:t xml:space="preserve">breaths per minute </w:t>
      </w:r>
      <w:r w:rsidRPr="006A5FE5">
        <w:rPr>
          <w:rFonts w:ascii="Times New Roman" w:hAnsi="Times New Roman" w:cs="Times New Roman"/>
          <w:sz w:val="24"/>
          <w:szCs w:val="24"/>
        </w:rPr>
        <w:t xml:space="preserve">was not worrisome. </w:t>
      </w:r>
      <w:r w:rsidR="00E7190B">
        <w:rPr>
          <w:rFonts w:ascii="Times New Roman" w:hAnsi="Times New Roman" w:cs="Times New Roman"/>
          <w:sz w:val="24"/>
          <w:szCs w:val="24"/>
        </w:rPr>
        <w:t>According to the doctor,</w:t>
      </w:r>
      <w:r w:rsidRPr="006A5FE5">
        <w:rPr>
          <w:rFonts w:ascii="Times New Roman" w:hAnsi="Times New Roman" w:cs="Times New Roman"/>
          <w:sz w:val="24"/>
          <w:szCs w:val="24"/>
        </w:rPr>
        <w:t xml:space="preserve"> t</w:t>
      </w:r>
      <w:r w:rsidR="00E7190B">
        <w:rPr>
          <w:rFonts w:ascii="Times New Roman" w:hAnsi="Times New Roman" w:cs="Times New Roman"/>
          <w:sz w:val="24"/>
          <w:szCs w:val="24"/>
        </w:rPr>
        <w:t>his</w:t>
      </w:r>
      <w:r w:rsidRPr="006A5FE5">
        <w:rPr>
          <w:rFonts w:ascii="Times New Roman" w:hAnsi="Times New Roman" w:cs="Times New Roman"/>
          <w:sz w:val="24"/>
          <w:szCs w:val="24"/>
        </w:rPr>
        <w:t xml:space="preserve"> was within normal limits. (Van Dam testimony.)</w:t>
      </w:r>
    </w:p>
    <w:p w14:paraId="61717A8D" w14:textId="54E5BB81" w:rsidR="00443C45"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lastRenderedPageBreak/>
        <w:t>Dr. Van Dam was taught normal limits are between 10 and 20</w:t>
      </w:r>
      <w:r w:rsidR="002F369C">
        <w:rPr>
          <w:rFonts w:ascii="Times New Roman" w:hAnsi="Times New Roman" w:cs="Times New Roman"/>
          <w:sz w:val="24"/>
          <w:szCs w:val="24"/>
        </w:rPr>
        <w:t xml:space="preserve"> breaths per minute</w:t>
      </w:r>
      <w:r w:rsidRPr="006A5FE5">
        <w:rPr>
          <w:rFonts w:ascii="Times New Roman" w:hAnsi="Times New Roman" w:cs="Times New Roman"/>
          <w:sz w:val="24"/>
          <w:szCs w:val="24"/>
        </w:rPr>
        <w:t>; anything over 20 would be worrisome. Dr. Van Dam consulted</w:t>
      </w:r>
      <w:r w:rsidR="00F87B4B" w:rsidRPr="006A5FE5">
        <w:rPr>
          <w:rFonts w:ascii="Times New Roman" w:hAnsi="Times New Roman" w:cs="Times New Roman"/>
          <w:sz w:val="24"/>
          <w:szCs w:val="24"/>
        </w:rPr>
        <w:t xml:space="preserve"> medical</w:t>
      </w:r>
      <w:r w:rsidRPr="006A5FE5">
        <w:rPr>
          <w:rFonts w:ascii="Times New Roman" w:hAnsi="Times New Roman" w:cs="Times New Roman"/>
          <w:sz w:val="24"/>
          <w:szCs w:val="24"/>
        </w:rPr>
        <w:t xml:space="preserve"> literature before his testimony to confirm this. (Van Dam testimony.)</w:t>
      </w:r>
    </w:p>
    <w:p w14:paraId="12F9123B" w14:textId="026EF654" w:rsidR="00443C45" w:rsidRPr="006A5FE5" w:rsidRDefault="00443C45"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 was not tachypneic. (Van Dam testimony</w:t>
      </w:r>
      <w:r w:rsidR="00872C14" w:rsidRPr="006A5FE5">
        <w:rPr>
          <w:rFonts w:ascii="Times New Roman" w:hAnsi="Times New Roman" w:cs="Times New Roman"/>
          <w:sz w:val="24"/>
          <w:szCs w:val="24"/>
        </w:rPr>
        <w:t>.)</w:t>
      </w:r>
    </w:p>
    <w:p w14:paraId="2835CA35" w14:textId="125049A4" w:rsidR="00872C14" w:rsidRPr="006A5FE5" w:rsidRDefault="00872C1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A’s temperature was normal. (Van Dam testimony.)</w:t>
      </w:r>
    </w:p>
    <w:p w14:paraId="54259C3D" w14:textId="08D902FB" w:rsidR="00872C14" w:rsidRPr="006A5FE5" w:rsidRDefault="00872C1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Patient A’s pulse rate was normal, even </w:t>
      </w:r>
      <w:r w:rsidR="00E7190B">
        <w:rPr>
          <w:rFonts w:ascii="Times New Roman" w:hAnsi="Times New Roman" w:cs="Times New Roman"/>
          <w:sz w:val="24"/>
          <w:szCs w:val="24"/>
        </w:rPr>
        <w:t>taking into consideration</w:t>
      </w:r>
      <w:r w:rsidRPr="006A5FE5">
        <w:rPr>
          <w:rFonts w:ascii="Times New Roman" w:hAnsi="Times New Roman" w:cs="Times New Roman"/>
          <w:sz w:val="24"/>
          <w:szCs w:val="24"/>
        </w:rPr>
        <w:t xml:space="preserve"> that Patient A had a pacemaker. (Van Dam testimony.)</w:t>
      </w:r>
    </w:p>
    <w:p w14:paraId="5949C40A" w14:textId="651F5472" w:rsidR="00872C14" w:rsidRPr="006A5FE5" w:rsidRDefault="00872C1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Dr. Van Dam characterized the idea that a pacemaker could have been controlling Patient A’s pulse as </w:t>
      </w:r>
      <w:r w:rsidR="00AA695E">
        <w:rPr>
          <w:rFonts w:ascii="Times New Roman" w:hAnsi="Times New Roman" w:cs="Times New Roman"/>
          <w:sz w:val="24"/>
          <w:szCs w:val="24"/>
        </w:rPr>
        <w:t>“</w:t>
      </w:r>
      <w:r w:rsidRPr="006A5FE5">
        <w:rPr>
          <w:rFonts w:ascii="Times New Roman" w:hAnsi="Times New Roman" w:cs="Times New Roman"/>
          <w:sz w:val="24"/>
          <w:szCs w:val="24"/>
        </w:rPr>
        <w:t>ridiculous.</w:t>
      </w:r>
      <w:r w:rsidR="00AA695E">
        <w:rPr>
          <w:rFonts w:ascii="Times New Roman" w:hAnsi="Times New Roman" w:cs="Times New Roman"/>
          <w:sz w:val="24"/>
          <w:szCs w:val="24"/>
        </w:rPr>
        <w:t>”</w:t>
      </w:r>
      <w:r w:rsidRPr="006A5FE5">
        <w:rPr>
          <w:rFonts w:ascii="Times New Roman" w:hAnsi="Times New Roman" w:cs="Times New Roman"/>
          <w:sz w:val="24"/>
          <w:szCs w:val="24"/>
        </w:rPr>
        <w:t xml:space="preserve"> A pacemaker causes the heart to beat; it does not prevent the heart from beating. A pacemaker would not have slowed down Patient A’s </w:t>
      </w:r>
      <w:r w:rsidR="00142E44">
        <w:rPr>
          <w:rFonts w:ascii="Times New Roman" w:hAnsi="Times New Roman" w:cs="Times New Roman"/>
          <w:sz w:val="24"/>
          <w:szCs w:val="24"/>
        </w:rPr>
        <w:t>heartrate</w:t>
      </w:r>
      <w:r w:rsidRPr="006A5FE5">
        <w:rPr>
          <w:rFonts w:ascii="Times New Roman" w:hAnsi="Times New Roman" w:cs="Times New Roman"/>
          <w:sz w:val="24"/>
          <w:szCs w:val="24"/>
        </w:rPr>
        <w:t xml:space="preserve"> if she had an elevated pulse. (Van Dam testimony.)</w:t>
      </w:r>
    </w:p>
    <w:p w14:paraId="75427A6D" w14:textId="1DF2EECE" w:rsidR="00872C14" w:rsidRPr="006A5FE5" w:rsidRDefault="00872C1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He explained there are some specialized pacemakers that prevent the heart from beating too fast. But they do not cap the pulse at 76. And</w:t>
      </w:r>
      <w:r w:rsidR="00F87B4B" w:rsidRPr="006A5FE5">
        <w:rPr>
          <w:rFonts w:ascii="Times New Roman" w:hAnsi="Times New Roman" w:cs="Times New Roman"/>
          <w:sz w:val="24"/>
          <w:szCs w:val="24"/>
        </w:rPr>
        <w:t>,</w:t>
      </w:r>
      <w:r w:rsidRPr="006A5FE5">
        <w:rPr>
          <w:rFonts w:ascii="Times New Roman" w:hAnsi="Times New Roman" w:cs="Times New Roman"/>
          <w:sz w:val="24"/>
          <w:szCs w:val="24"/>
        </w:rPr>
        <w:t xml:space="preserve"> in any event, Patient A did not have </w:t>
      </w:r>
      <w:r w:rsidR="00F87B4B" w:rsidRPr="006A5FE5">
        <w:rPr>
          <w:rFonts w:ascii="Times New Roman" w:hAnsi="Times New Roman" w:cs="Times New Roman"/>
          <w:sz w:val="24"/>
          <w:szCs w:val="24"/>
        </w:rPr>
        <w:t xml:space="preserve">this special kind of </w:t>
      </w:r>
      <w:r w:rsidRPr="006A5FE5">
        <w:rPr>
          <w:rFonts w:ascii="Times New Roman" w:hAnsi="Times New Roman" w:cs="Times New Roman"/>
          <w:sz w:val="24"/>
          <w:szCs w:val="24"/>
        </w:rPr>
        <w:t>pacemaker. (Van Dam testimony.)</w:t>
      </w:r>
    </w:p>
    <w:p w14:paraId="688D7D12" w14:textId="19B0FCD9" w:rsidR="00872C14" w:rsidRPr="006A5FE5" w:rsidRDefault="00872C1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The fact that Patient A had diarrhea was irrelevant. Infectious diarrhea is never bacterial. (Van Dam testimony.)</w:t>
      </w:r>
    </w:p>
    <w:p w14:paraId="3792A1B0" w14:textId="67CF4078" w:rsidR="00872C14" w:rsidRPr="006A5FE5" w:rsidRDefault="00872C14"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Nothing before </w:t>
      </w:r>
      <w:r w:rsidR="001156F2" w:rsidRPr="006A5FE5">
        <w:rPr>
          <w:rFonts w:ascii="Times New Roman" w:hAnsi="Times New Roman" w:cs="Times New Roman"/>
          <w:sz w:val="24"/>
          <w:szCs w:val="24"/>
        </w:rPr>
        <w:t>the Res</w:t>
      </w:r>
      <w:r w:rsidR="00D6054D">
        <w:rPr>
          <w:rFonts w:ascii="Times New Roman" w:hAnsi="Times New Roman" w:cs="Times New Roman"/>
          <w:sz w:val="24"/>
          <w:szCs w:val="24"/>
        </w:rPr>
        <w:t>p</w:t>
      </w:r>
      <w:r w:rsidR="001156F2" w:rsidRPr="006A5FE5">
        <w:rPr>
          <w:rFonts w:ascii="Times New Roman" w:hAnsi="Times New Roman" w:cs="Times New Roman"/>
          <w:sz w:val="24"/>
          <w:szCs w:val="24"/>
        </w:rPr>
        <w:t>ondent</w:t>
      </w:r>
      <w:r w:rsidRPr="006A5FE5">
        <w:rPr>
          <w:rFonts w:ascii="Times New Roman" w:hAnsi="Times New Roman" w:cs="Times New Roman"/>
          <w:sz w:val="24"/>
          <w:szCs w:val="24"/>
        </w:rPr>
        <w:t xml:space="preserve"> would have suggested that Patient A had pneumococcal bacteria in the lungs—or in the brain or spinal cord for that matter. (Van Dam testimony.)</w:t>
      </w:r>
    </w:p>
    <w:p w14:paraId="17F38840" w14:textId="7AE0FB2A" w:rsidR="00872C14" w:rsidRPr="006A5FE5" w:rsidRDefault="00C234A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With respect to sepsis, Dr. Van Dam explained there is no specific definable diagnosis of “early” sepsis; it is a term used loosely. (Van Dam testimony.)</w:t>
      </w:r>
    </w:p>
    <w:p w14:paraId="24106735" w14:textId="729BF731" w:rsidR="00C234A3" w:rsidRPr="006A5FE5" w:rsidRDefault="00C234A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Dr. Van Dam has a lot of experience treating and evaluating patients with sepsis. </w:t>
      </w:r>
      <w:r w:rsidR="001156F2" w:rsidRPr="006A5FE5">
        <w:rPr>
          <w:rFonts w:ascii="Times New Roman" w:hAnsi="Times New Roman" w:cs="Times New Roman"/>
          <w:sz w:val="24"/>
          <w:szCs w:val="24"/>
        </w:rPr>
        <w:t>(Van Dam testimony.)</w:t>
      </w:r>
    </w:p>
    <w:p w14:paraId="08ED9608" w14:textId="7135645E" w:rsidR="00C234A3" w:rsidRPr="006A5FE5" w:rsidRDefault="00C234A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Based on his training and experience, septic patients do not appear the way Patient A </w:t>
      </w:r>
      <w:r w:rsidRPr="006A5FE5">
        <w:rPr>
          <w:rFonts w:ascii="Times New Roman" w:hAnsi="Times New Roman" w:cs="Times New Roman"/>
          <w:sz w:val="24"/>
          <w:szCs w:val="24"/>
        </w:rPr>
        <w:lastRenderedPageBreak/>
        <w:t xml:space="preserve">appeared the day she </w:t>
      </w:r>
      <w:r w:rsidR="006633DE">
        <w:rPr>
          <w:rFonts w:ascii="Times New Roman" w:hAnsi="Times New Roman" w:cs="Times New Roman"/>
          <w:sz w:val="24"/>
          <w:szCs w:val="24"/>
        </w:rPr>
        <w:t>went</w:t>
      </w:r>
      <w:r w:rsidRPr="006A5FE5">
        <w:rPr>
          <w:rFonts w:ascii="Times New Roman" w:hAnsi="Times New Roman" w:cs="Times New Roman"/>
          <w:sz w:val="24"/>
          <w:szCs w:val="24"/>
        </w:rPr>
        <w:t xml:space="preserve"> to the clinic. (Van Dam testimony.)</w:t>
      </w:r>
    </w:p>
    <w:p w14:paraId="5523DFEA" w14:textId="665967EF" w:rsidR="00C234A3" w:rsidRPr="006A5FE5" w:rsidRDefault="00C234A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In fact, based on her presentation, Dr. Van Dam did not think she had a bacterial infection the day she came into the clinic. (Van Dam testimony.)</w:t>
      </w:r>
    </w:p>
    <w:p w14:paraId="0D640E3B" w14:textId="71D80478" w:rsidR="00C234A3" w:rsidRDefault="00F87B4B"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S</w:t>
      </w:r>
      <w:r w:rsidR="00C234A3" w:rsidRPr="006A5FE5">
        <w:rPr>
          <w:rFonts w:ascii="Times New Roman" w:hAnsi="Times New Roman" w:cs="Times New Roman"/>
          <w:sz w:val="24"/>
          <w:szCs w:val="24"/>
        </w:rPr>
        <w:t xml:space="preserve">omeone could </w:t>
      </w:r>
      <w:r w:rsidR="0054394A">
        <w:rPr>
          <w:rFonts w:ascii="Times New Roman" w:hAnsi="Times New Roman" w:cs="Times New Roman"/>
          <w:sz w:val="24"/>
          <w:szCs w:val="24"/>
        </w:rPr>
        <w:t>be fine</w:t>
      </w:r>
      <w:r w:rsidR="00C234A3" w:rsidRPr="006A5FE5">
        <w:rPr>
          <w:rFonts w:ascii="Times New Roman" w:hAnsi="Times New Roman" w:cs="Times New Roman"/>
          <w:sz w:val="24"/>
          <w:szCs w:val="24"/>
        </w:rPr>
        <w:t xml:space="preserve"> one day and then be septic the next day. It is sometimes called a “super infection,” where someone has a viral infection, and because </w:t>
      </w:r>
      <w:r w:rsidRPr="006A5FE5">
        <w:rPr>
          <w:rFonts w:ascii="Times New Roman" w:hAnsi="Times New Roman" w:cs="Times New Roman"/>
          <w:sz w:val="24"/>
          <w:szCs w:val="24"/>
        </w:rPr>
        <w:t>of that</w:t>
      </w:r>
      <w:r w:rsidR="00C234A3" w:rsidRPr="006A5FE5">
        <w:rPr>
          <w:rFonts w:ascii="Times New Roman" w:hAnsi="Times New Roman" w:cs="Times New Roman"/>
          <w:sz w:val="24"/>
          <w:szCs w:val="24"/>
        </w:rPr>
        <w:t xml:space="preserve">, they later become infected with bacteria. It happens sometimes with influenza, where a patient </w:t>
      </w:r>
      <w:r w:rsidR="002649D1" w:rsidRPr="006A5FE5">
        <w:rPr>
          <w:rFonts w:ascii="Times New Roman" w:hAnsi="Times New Roman" w:cs="Times New Roman"/>
          <w:sz w:val="24"/>
          <w:szCs w:val="24"/>
        </w:rPr>
        <w:t xml:space="preserve">with influenza may die </w:t>
      </w:r>
      <w:r w:rsidR="00C234A3" w:rsidRPr="006A5FE5">
        <w:rPr>
          <w:rFonts w:ascii="Times New Roman" w:hAnsi="Times New Roman" w:cs="Times New Roman"/>
          <w:sz w:val="24"/>
          <w:szCs w:val="24"/>
        </w:rPr>
        <w:t xml:space="preserve">a few days later. </w:t>
      </w:r>
      <w:r w:rsidRPr="006A5FE5">
        <w:rPr>
          <w:rFonts w:ascii="Times New Roman" w:hAnsi="Times New Roman" w:cs="Times New Roman"/>
          <w:sz w:val="24"/>
          <w:szCs w:val="24"/>
        </w:rPr>
        <w:t>When that happens, t</w:t>
      </w:r>
      <w:r w:rsidR="00C234A3" w:rsidRPr="006A5FE5">
        <w:rPr>
          <w:rFonts w:ascii="Times New Roman" w:hAnsi="Times New Roman" w:cs="Times New Roman"/>
          <w:sz w:val="24"/>
          <w:szCs w:val="24"/>
        </w:rPr>
        <w:t xml:space="preserve">hey did not die from influenza, but </w:t>
      </w:r>
      <w:r w:rsidR="00BF309A">
        <w:rPr>
          <w:rFonts w:ascii="Times New Roman" w:hAnsi="Times New Roman" w:cs="Times New Roman"/>
          <w:sz w:val="24"/>
          <w:szCs w:val="24"/>
        </w:rPr>
        <w:t xml:space="preserve">rather </w:t>
      </w:r>
      <w:r w:rsidR="00C234A3" w:rsidRPr="006A5FE5">
        <w:rPr>
          <w:rFonts w:ascii="Times New Roman" w:hAnsi="Times New Roman" w:cs="Times New Roman"/>
          <w:sz w:val="24"/>
          <w:szCs w:val="24"/>
        </w:rPr>
        <w:t xml:space="preserve">because they </w:t>
      </w:r>
      <w:r w:rsidR="002649D1" w:rsidRPr="006A5FE5">
        <w:rPr>
          <w:rFonts w:ascii="Times New Roman" w:hAnsi="Times New Roman" w:cs="Times New Roman"/>
          <w:sz w:val="24"/>
          <w:szCs w:val="24"/>
        </w:rPr>
        <w:t xml:space="preserve">were </w:t>
      </w:r>
      <w:r w:rsidR="00C234A3" w:rsidRPr="006A5FE5">
        <w:rPr>
          <w:rFonts w:ascii="Times New Roman" w:hAnsi="Times New Roman" w:cs="Times New Roman"/>
          <w:sz w:val="24"/>
          <w:szCs w:val="24"/>
        </w:rPr>
        <w:t>later infected with bacteria. (Van Dam testimony.)</w:t>
      </w:r>
    </w:p>
    <w:p w14:paraId="06CC64DC" w14:textId="144F04F7" w:rsidR="00D6054D" w:rsidRPr="006A5FE5" w:rsidRDefault="00D6054D" w:rsidP="00D6054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He could not say what was causing </w:t>
      </w:r>
      <w:r>
        <w:rPr>
          <w:rFonts w:ascii="Times New Roman" w:hAnsi="Times New Roman" w:cs="Times New Roman"/>
          <w:sz w:val="24"/>
          <w:szCs w:val="24"/>
        </w:rPr>
        <w:t>Patient A’s</w:t>
      </w:r>
      <w:r w:rsidRPr="006A5FE5">
        <w:rPr>
          <w:rFonts w:ascii="Times New Roman" w:hAnsi="Times New Roman" w:cs="Times New Roman"/>
          <w:sz w:val="24"/>
          <w:szCs w:val="24"/>
        </w:rPr>
        <w:t xml:space="preserve"> symptoms. Her presentation was bizarre. There was no syndrome that would cause a skin rash, pain for two weeks, and normal vital signs. (Van Dam testimony.)</w:t>
      </w:r>
    </w:p>
    <w:p w14:paraId="39B9B49B" w14:textId="2343A6FD" w:rsidR="00872C14" w:rsidRPr="006A5FE5" w:rsidRDefault="00D6054D"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There exist</w:t>
      </w:r>
      <w:r w:rsidR="00C234A3" w:rsidRPr="006A5FE5">
        <w:rPr>
          <w:rFonts w:ascii="Times New Roman" w:hAnsi="Times New Roman" w:cs="Times New Roman"/>
          <w:sz w:val="24"/>
          <w:szCs w:val="24"/>
        </w:rPr>
        <w:t xml:space="preserve"> objective measures, </w:t>
      </w:r>
      <w:r w:rsidR="00F87B4B" w:rsidRPr="006A5FE5">
        <w:rPr>
          <w:rFonts w:ascii="Times New Roman" w:hAnsi="Times New Roman" w:cs="Times New Roman"/>
          <w:sz w:val="24"/>
          <w:szCs w:val="24"/>
        </w:rPr>
        <w:t xml:space="preserve">or </w:t>
      </w:r>
      <w:r w:rsidR="00C234A3" w:rsidRPr="006A5FE5">
        <w:rPr>
          <w:rFonts w:ascii="Times New Roman" w:hAnsi="Times New Roman" w:cs="Times New Roman"/>
          <w:sz w:val="24"/>
          <w:szCs w:val="24"/>
        </w:rPr>
        <w:t>risk assessment</w:t>
      </w:r>
      <w:r w:rsidR="00F87B4B" w:rsidRPr="006A5FE5">
        <w:rPr>
          <w:rFonts w:ascii="Times New Roman" w:hAnsi="Times New Roman" w:cs="Times New Roman"/>
          <w:sz w:val="24"/>
          <w:szCs w:val="24"/>
        </w:rPr>
        <w:t>s,</w:t>
      </w:r>
      <w:r w:rsidR="00C234A3" w:rsidRPr="006A5FE5">
        <w:rPr>
          <w:rFonts w:ascii="Times New Roman" w:hAnsi="Times New Roman" w:cs="Times New Roman"/>
          <w:sz w:val="24"/>
          <w:szCs w:val="24"/>
        </w:rPr>
        <w:t xml:space="preserve"> that look at the presence or absence of certain factors to calculate someone’s risk </w:t>
      </w:r>
      <w:r w:rsidR="00897BA3" w:rsidRPr="006A5FE5">
        <w:rPr>
          <w:rFonts w:ascii="Times New Roman" w:hAnsi="Times New Roman" w:cs="Times New Roman"/>
          <w:sz w:val="24"/>
          <w:szCs w:val="24"/>
        </w:rPr>
        <w:t>to develop a serious infection or sepsis. (Van Dam testimony.)</w:t>
      </w:r>
    </w:p>
    <w:p w14:paraId="329D98E4" w14:textId="3516ABDA" w:rsidR="00897BA3" w:rsidRPr="006A5FE5" w:rsidRDefault="00897BA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Given Patient A’s history, based on these objective measures, she would have presented with 0 or 1% risk of infection when </w:t>
      </w:r>
      <w:r w:rsidR="00D6054D">
        <w:rPr>
          <w:rFonts w:ascii="Times New Roman" w:hAnsi="Times New Roman" w:cs="Times New Roman"/>
          <w:sz w:val="24"/>
          <w:szCs w:val="24"/>
        </w:rPr>
        <w:t>the Respondent</w:t>
      </w:r>
      <w:r w:rsidR="001C1E99" w:rsidRPr="006A5FE5">
        <w:rPr>
          <w:rFonts w:ascii="Times New Roman" w:hAnsi="Times New Roman" w:cs="Times New Roman"/>
          <w:sz w:val="24"/>
          <w:szCs w:val="24"/>
        </w:rPr>
        <w:t xml:space="preserve"> treated her</w:t>
      </w:r>
      <w:r w:rsidRPr="006A5FE5">
        <w:rPr>
          <w:rFonts w:ascii="Times New Roman" w:hAnsi="Times New Roman" w:cs="Times New Roman"/>
          <w:sz w:val="24"/>
          <w:szCs w:val="24"/>
        </w:rPr>
        <w:t xml:space="preserve">. </w:t>
      </w:r>
      <w:r w:rsidR="00F87B4B" w:rsidRPr="006A5FE5">
        <w:rPr>
          <w:rFonts w:ascii="Times New Roman" w:hAnsi="Times New Roman" w:cs="Times New Roman"/>
          <w:sz w:val="24"/>
          <w:szCs w:val="24"/>
        </w:rPr>
        <w:t>(Van Dam testimony.)</w:t>
      </w:r>
    </w:p>
    <w:p w14:paraId="55A3E7D3" w14:textId="3D5285F9" w:rsidR="002E5952" w:rsidRPr="006A5FE5" w:rsidRDefault="001C1E99"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Patient A’s skin presentation was consistent with Raynaud’s. (Van Dam testimony.)</w:t>
      </w:r>
    </w:p>
    <w:p w14:paraId="21EA7022" w14:textId="27D1F870" w:rsidR="001C1E99" w:rsidRPr="006A5FE5" w:rsidRDefault="001C1E99"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Raynaud’s is very common. (Van Dam testimony.)</w:t>
      </w:r>
    </w:p>
    <w:p w14:paraId="73B161D9" w14:textId="52A46715" w:rsidR="001C1E99" w:rsidRPr="006A5FE5" w:rsidRDefault="00F87B4B"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Time is an important piece of information used to make diagnoses. T</w:t>
      </w:r>
      <w:r w:rsidR="001C1E99" w:rsidRPr="006A5FE5">
        <w:rPr>
          <w:rFonts w:ascii="Times New Roman" w:hAnsi="Times New Roman" w:cs="Times New Roman"/>
          <w:sz w:val="24"/>
          <w:szCs w:val="24"/>
        </w:rPr>
        <w:t>he fact Patient A reported having those symptoms for a week was diagnostic and reassuring. The longer someone has had symptoms, the</w:t>
      </w:r>
      <w:r w:rsidRPr="006A5FE5">
        <w:rPr>
          <w:rFonts w:ascii="Times New Roman" w:hAnsi="Times New Roman" w:cs="Times New Roman"/>
          <w:sz w:val="24"/>
          <w:szCs w:val="24"/>
        </w:rPr>
        <w:t xml:space="preserve"> less</w:t>
      </w:r>
      <w:r w:rsidR="001C1E99" w:rsidRPr="006A5FE5">
        <w:rPr>
          <w:rFonts w:ascii="Times New Roman" w:hAnsi="Times New Roman" w:cs="Times New Roman"/>
          <w:sz w:val="24"/>
          <w:szCs w:val="24"/>
        </w:rPr>
        <w:t xml:space="preserve"> serious</w:t>
      </w:r>
      <w:r w:rsidRPr="006A5FE5">
        <w:rPr>
          <w:rFonts w:ascii="Times New Roman" w:hAnsi="Times New Roman" w:cs="Times New Roman"/>
          <w:sz w:val="24"/>
          <w:szCs w:val="24"/>
        </w:rPr>
        <w:t xml:space="preserve"> their condition</w:t>
      </w:r>
      <w:r w:rsidR="001C1E99" w:rsidRPr="006A5FE5">
        <w:rPr>
          <w:rFonts w:ascii="Times New Roman" w:hAnsi="Times New Roman" w:cs="Times New Roman"/>
          <w:sz w:val="24"/>
          <w:szCs w:val="24"/>
        </w:rPr>
        <w:t>. (Van Dam testimony.)</w:t>
      </w:r>
    </w:p>
    <w:p w14:paraId="0459B0F5" w14:textId="089AA4B8" w:rsidR="001C1E99" w:rsidRPr="006A5FE5" w:rsidRDefault="001C1E99"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He agreed </w:t>
      </w:r>
      <w:r w:rsidR="002649D1" w:rsidRPr="006A5FE5">
        <w:rPr>
          <w:rFonts w:ascii="Times New Roman" w:hAnsi="Times New Roman" w:cs="Times New Roman"/>
          <w:sz w:val="24"/>
          <w:szCs w:val="24"/>
        </w:rPr>
        <w:t>the Respondent’s</w:t>
      </w:r>
      <w:r w:rsidRPr="006A5FE5">
        <w:rPr>
          <w:rFonts w:ascii="Times New Roman" w:hAnsi="Times New Roman" w:cs="Times New Roman"/>
          <w:sz w:val="24"/>
          <w:szCs w:val="24"/>
        </w:rPr>
        <w:t xml:space="preserve"> instructions to Patient A upon discharge were important and within the standard of care. (Van Dam testimony.)</w:t>
      </w:r>
    </w:p>
    <w:p w14:paraId="4F8C1A0E" w14:textId="08137A82" w:rsidR="00506CC7" w:rsidRPr="006A5FE5" w:rsidRDefault="00506CC7"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lastRenderedPageBreak/>
        <w:t>With respect to Patient A’s splenectomy, Dr. Van Dam explained that did not mean she automatically had an infection upon presentation. Rather, it just means “the bar is lower for thinking that someone ma</w:t>
      </w:r>
      <w:r w:rsidR="00F87B4B" w:rsidRPr="006A5FE5">
        <w:rPr>
          <w:rFonts w:ascii="Times New Roman" w:hAnsi="Times New Roman" w:cs="Times New Roman"/>
          <w:sz w:val="24"/>
          <w:szCs w:val="24"/>
        </w:rPr>
        <w:t>y</w:t>
      </w:r>
      <w:r w:rsidRPr="006A5FE5">
        <w:rPr>
          <w:rFonts w:ascii="Times New Roman" w:hAnsi="Times New Roman" w:cs="Times New Roman"/>
          <w:sz w:val="24"/>
          <w:szCs w:val="24"/>
        </w:rPr>
        <w:t xml:space="preserve"> have a bacterial infection—but that doesn’t mean every patient—as low as that bar is, not every patient with a splenectomy makes it over the bar.” (Van Dam testimony.)</w:t>
      </w:r>
      <w:r w:rsidRPr="006A5FE5">
        <w:rPr>
          <w:rStyle w:val="FootnoteReference"/>
          <w:rFonts w:ascii="Times New Roman" w:hAnsi="Times New Roman" w:cs="Times New Roman"/>
          <w:sz w:val="24"/>
          <w:szCs w:val="24"/>
        </w:rPr>
        <w:footnoteReference w:id="5"/>
      </w:r>
    </w:p>
    <w:p w14:paraId="6FF1496D" w14:textId="1BBB2277" w:rsidR="006357B3" w:rsidRPr="006A5FE5" w:rsidRDefault="006357B3" w:rsidP="0012141D">
      <w:pPr>
        <w:pStyle w:val="ListParagraph"/>
        <w:spacing w:line="480" w:lineRule="auto"/>
        <w:ind w:left="720" w:firstLine="0"/>
        <w:rPr>
          <w:rFonts w:ascii="Times New Roman" w:hAnsi="Times New Roman" w:cs="Times New Roman"/>
          <w:b/>
          <w:bCs/>
          <w:sz w:val="24"/>
          <w:szCs w:val="24"/>
          <w:u w:val="single"/>
        </w:rPr>
      </w:pPr>
      <w:r w:rsidRPr="006A5FE5">
        <w:rPr>
          <w:rFonts w:ascii="Times New Roman" w:hAnsi="Times New Roman" w:cs="Times New Roman"/>
          <w:b/>
          <w:bCs/>
          <w:sz w:val="24"/>
          <w:szCs w:val="24"/>
          <w:u w:val="single"/>
        </w:rPr>
        <w:t xml:space="preserve">Michael Jones, </w:t>
      </w:r>
      <w:r w:rsidR="007401A6">
        <w:rPr>
          <w:rFonts w:ascii="Times New Roman" w:hAnsi="Times New Roman" w:cs="Times New Roman"/>
          <w:b/>
          <w:bCs/>
          <w:sz w:val="24"/>
          <w:szCs w:val="24"/>
          <w:u w:val="single"/>
        </w:rPr>
        <w:t>E</w:t>
      </w:r>
      <w:r w:rsidRPr="006A5FE5">
        <w:rPr>
          <w:rFonts w:ascii="Times New Roman" w:hAnsi="Times New Roman" w:cs="Times New Roman"/>
          <w:b/>
          <w:bCs/>
          <w:sz w:val="24"/>
          <w:szCs w:val="24"/>
          <w:u w:val="single"/>
        </w:rPr>
        <w:t>sq.</w:t>
      </w:r>
    </w:p>
    <w:p w14:paraId="684F26F7" w14:textId="0C511E13" w:rsidR="006357B3" w:rsidRPr="006A5FE5" w:rsidRDefault="006357B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Michael Jones testified on the Respondent’s behalf. </w:t>
      </w:r>
      <w:r w:rsidR="002649D1" w:rsidRPr="006A5FE5">
        <w:rPr>
          <w:rFonts w:ascii="Times New Roman" w:hAnsi="Times New Roman" w:cs="Times New Roman"/>
          <w:sz w:val="24"/>
          <w:szCs w:val="24"/>
        </w:rPr>
        <w:t>He is an attorney and Chief Legal Officer for Cape Cod Healthcare.</w:t>
      </w:r>
      <w:r w:rsidR="008252FA">
        <w:rPr>
          <w:rFonts w:ascii="Times New Roman" w:hAnsi="Times New Roman" w:cs="Times New Roman"/>
          <w:sz w:val="24"/>
          <w:szCs w:val="24"/>
        </w:rPr>
        <w:t xml:space="preserve"> (Jones testimony.)</w:t>
      </w:r>
    </w:p>
    <w:p w14:paraId="65FDC11D" w14:textId="3FA2FE9B" w:rsidR="006357B3" w:rsidRPr="006A5FE5" w:rsidRDefault="006357B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Mr. Jones </w:t>
      </w:r>
      <w:r w:rsidR="00FD6846" w:rsidRPr="006A5FE5">
        <w:rPr>
          <w:rFonts w:ascii="Times New Roman" w:hAnsi="Times New Roman" w:cs="Times New Roman"/>
          <w:sz w:val="24"/>
          <w:szCs w:val="24"/>
        </w:rPr>
        <w:t xml:space="preserve">met </w:t>
      </w:r>
      <w:r w:rsidR="002649D1" w:rsidRPr="006A5FE5">
        <w:rPr>
          <w:rFonts w:ascii="Times New Roman" w:hAnsi="Times New Roman" w:cs="Times New Roman"/>
          <w:sz w:val="24"/>
          <w:szCs w:val="24"/>
        </w:rPr>
        <w:t>the Respondent</w:t>
      </w:r>
      <w:r w:rsidRPr="006A5FE5">
        <w:rPr>
          <w:rFonts w:ascii="Times New Roman" w:hAnsi="Times New Roman" w:cs="Times New Roman"/>
          <w:sz w:val="24"/>
          <w:szCs w:val="24"/>
        </w:rPr>
        <w:t xml:space="preserve"> </w:t>
      </w:r>
      <w:r w:rsidR="00FD6846" w:rsidRPr="006A5FE5">
        <w:rPr>
          <w:rFonts w:ascii="Times New Roman" w:hAnsi="Times New Roman" w:cs="Times New Roman"/>
          <w:sz w:val="24"/>
          <w:szCs w:val="24"/>
        </w:rPr>
        <w:t>when he began working</w:t>
      </w:r>
      <w:r w:rsidRPr="006A5FE5">
        <w:rPr>
          <w:rFonts w:ascii="Times New Roman" w:hAnsi="Times New Roman" w:cs="Times New Roman"/>
          <w:sz w:val="24"/>
          <w:szCs w:val="24"/>
        </w:rPr>
        <w:t xml:space="preserve"> </w:t>
      </w:r>
      <w:r w:rsidR="00FD6846" w:rsidRPr="006A5FE5">
        <w:rPr>
          <w:rFonts w:ascii="Times New Roman" w:hAnsi="Times New Roman" w:cs="Times New Roman"/>
          <w:sz w:val="24"/>
          <w:szCs w:val="24"/>
        </w:rPr>
        <w:t>a</w:t>
      </w:r>
      <w:r w:rsidRPr="006A5FE5">
        <w:rPr>
          <w:rFonts w:ascii="Times New Roman" w:hAnsi="Times New Roman" w:cs="Times New Roman"/>
          <w:sz w:val="24"/>
          <w:szCs w:val="24"/>
        </w:rPr>
        <w:t>t Cape Cod Healthcare in 2004. (Jones testimony.)</w:t>
      </w:r>
    </w:p>
    <w:p w14:paraId="10023793" w14:textId="4AC8670A" w:rsidR="006357B3" w:rsidRPr="006A5FE5" w:rsidRDefault="006357B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During that time, </w:t>
      </w:r>
      <w:r w:rsidR="002649D1" w:rsidRPr="006A5FE5">
        <w:rPr>
          <w:rFonts w:ascii="Times New Roman" w:hAnsi="Times New Roman" w:cs="Times New Roman"/>
          <w:sz w:val="24"/>
          <w:szCs w:val="24"/>
        </w:rPr>
        <w:t>the Respondent</w:t>
      </w:r>
      <w:r w:rsidRPr="006A5FE5">
        <w:rPr>
          <w:rFonts w:ascii="Times New Roman" w:hAnsi="Times New Roman" w:cs="Times New Roman"/>
          <w:sz w:val="24"/>
          <w:szCs w:val="24"/>
        </w:rPr>
        <w:t xml:space="preserve"> was</w:t>
      </w:r>
      <w:r w:rsidR="00FD6846" w:rsidRPr="006A5FE5">
        <w:rPr>
          <w:rFonts w:ascii="Times New Roman" w:hAnsi="Times New Roman" w:cs="Times New Roman"/>
          <w:sz w:val="24"/>
          <w:szCs w:val="24"/>
        </w:rPr>
        <w:t xml:space="preserve"> also</w:t>
      </w:r>
      <w:r w:rsidRPr="006A5FE5">
        <w:rPr>
          <w:rFonts w:ascii="Times New Roman" w:hAnsi="Times New Roman" w:cs="Times New Roman"/>
          <w:sz w:val="24"/>
          <w:szCs w:val="24"/>
        </w:rPr>
        <w:t xml:space="preserve"> staff at Cape Cod </w:t>
      </w:r>
      <w:r w:rsidR="00931DB0">
        <w:rPr>
          <w:rFonts w:ascii="Times New Roman" w:hAnsi="Times New Roman" w:cs="Times New Roman"/>
          <w:sz w:val="24"/>
          <w:szCs w:val="24"/>
        </w:rPr>
        <w:t>H</w:t>
      </w:r>
      <w:r w:rsidRPr="006A5FE5">
        <w:rPr>
          <w:rFonts w:ascii="Times New Roman" w:hAnsi="Times New Roman" w:cs="Times New Roman"/>
          <w:sz w:val="24"/>
          <w:szCs w:val="24"/>
        </w:rPr>
        <w:t>ospital. (Jones testimony.)</w:t>
      </w:r>
    </w:p>
    <w:p w14:paraId="69C03ADF" w14:textId="3969E116" w:rsidR="00FD6846" w:rsidRPr="006A5FE5" w:rsidRDefault="00D6054D"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w:t>
      </w:r>
      <w:r w:rsidR="002649D1" w:rsidRPr="006A5FE5">
        <w:rPr>
          <w:rFonts w:ascii="Times New Roman" w:hAnsi="Times New Roman" w:cs="Times New Roman"/>
          <w:sz w:val="24"/>
          <w:szCs w:val="24"/>
        </w:rPr>
        <w:t>he Respondent</w:t>
      </w:r>
      <w:r w:rsidR="00FD6846" w:rsidRPr="006A5FE5">
        <w:rPr>
          <w:rFonts w:ascii="Times New Roman" w:hAnsi="Times New Roman" w:cs="Times New Roman"/>
          <w:sz w:val="24"/>
          <w:szCs w:val="24"/>
        </w:rPr>
        <w:t xml:space="preserve"> left Cape Cod Healthcare around 2012 but returned in 2015. In all, </w:t>
      </w:r>
      <w:r w:rsidR="002649D1" w:rsidRPr="006A5FE5">
        <w:rPr>
          <w:rFonts w:ascii="Times New Roman" w:hAnsi="Times New Roman" w:cs="Times New Roman"/>
          <w:sz w:val="24"/>
          <w:szCs w:val="24"/>
        </w:rPr>
        <w:t>the Respondent</w:t>
      </w:r>
      <w:r w:rsidR="00FD6846" w:rsidRPr="006A5FE5">
        <w:rPr>
          <w:rFonts w:ascii="Times New Roman" w:hAnsi="Times New Roman" w:cs="Times New Roman"/>
          <w:sz w:val="24"/>
          <w:szCs w:val="24"/>
        </w:rPr>
        <w:t xml:space="preserve"> worked there for about 12 years. (Jones testimony.) </w:t>
      </w:r>
    </w:p>
    <w:p w14:paraId="5764B574" w14:textId="768E5F50" w:rsidR="006357B3" w:rsidRPr="006A5FE5" w:rsidRDefault="00EB5FA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Attorney Jones</w:t>
      </w:r>
      <w:r w:rsidR="006357B3" w:rsidRPr="006A5FE5">
        <w:rPr>
          <w:rFonts w:ascii="Times New Roman" w:hAnsi="Times New Roman" w:cs="Times New Roman"/>
          <w:sz w:val="24"/>
          <w:szCs w:val="24"/>
        </w:rPr>
        <w:t xml:space="preserve"> worked with </w:t>
      </w:r>
      <w:r w:rsidR="002649D1" w:rsidRPr="006A5FE5">
        <w:rPr>
          <w:rFonts w:ascii="Times New Roman" w:hAnsi="Times New Roman" w:cs="Times New Roman"/>
          <w:sz w:val="24"/>
          <w:szCs w:val="24"/>
        </w:rPr>
        <w:t xml:space="preserve">the Respondent </w:t>
      </w:r>
      <w:r w:rsidR="006357B3" w:rsidRPr="006A5FE5">
        <w:rPr>
          <w:rFonts w:ascii="Times New Roman" w:hAnsi="Times New Roman" w:cs="Times New Roman"/>
          <w:sz w:val="24"/>
          <w:szCs w:val="24"/>
        </w:rPr>
        <w:t xml:space="preserve">professionally. </w:t>
      </w:r>
      <w:r w:rsidR="00E7190B">
        <w:rPr>
          <w:rFonts w:ascii="Times New Roman" w:hAnsi="Times New Roman" w:cs="Times New Roman"/>
          <w:sz w:val="24"/>
          <w:szCs w:val="24"/>
        </w:rPr>
        <w:t>H</w:t>
      </w:r>
      <w:r w:rsidR="006357B3" w:rsidRPr="006A5FE5">
        <w:rPr>
          <w:rFonts w:ascii="Times New Roman" w:hAnsi="Times New Roman" w:cs="Times New Roman"/>
          <w:sz w:val="24"/>
          <w:szCs w:val="24"/>
        </w:rPr>
        <w:t>e also</w:t>
      </w:r>
      <w:r w:rsidR="00E7190B">
        <w:rPr>
          <w:rFonts w:ascii="Times New Roman" w:hAnsi="Times New Roman" w:cs="Times New Roman"/>
          <w:sz w:val="24"/>
          <w:szCs w:val="24"/>
        </w:rPr>
        <w:t xml:space="preserve"> </w:t>
      </w:r>
      <w:r w:rsidR="006357B3" w:rsidRPr="006A5FE5">
        <w:rPr>
          <w:rFonts w:ascii="Times New Roman" w:hAnsi="Times New Roman" w:cs="Times New Roman"/>
          <w:sz w:val="24"/>
          <w:szCs w:val="24"/>
        </w:rPr>
        <w:t>referred patients to him over the years. (Jones testimony.)</w:t>
      </w:r>
    </w:p>
    <w:p w14:paraId="0C4CDB91" w14:textId="3DDE1E7E" w:rsidR="006357B3" w:rsidRPr="006A5FE5" w:rsidRDefault="00FD6846"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Cape Cod Healthcare (and Cape Cod Ho</w:t>
      </w:r>
      <w:r w:rsidR="00EB5FAD" w:rsidRPr="006A5FE5">
        <w:rPr>
          <w:rFonts w:ascii="Times New Roman" w:hAnsi="Times New Roman" w:cs="Times New Roman"/>
          <w:sz w:val="24"/>
          <w:szCs w:val="24"/>
        </w:rPr>
        <w:t>sp</w:t>
      </w:r>
      <w:r w:rsidRPr="006A5FE5">
        <w:rPr>
          <w:rFonts w:ascii="Times New Roman" w:hAnsi="Times New Roman" w:cs="Times New Roman"/>
          <w:sz w:val="24"/>
          <w:szCs w:val="24"/>
        </w:rPr>
        <w:t>ital)</w:t>
      </w:r>
      <w:r w:rsidR="006357B3" w:rsidRPr="006A5FE5">
        <w:rPr>
          <w:rFonts w:ascii="Times New Roman" w:hAnsi="Times New Roman" w:cs="Times New Roman"/>
          <w:sz w:val="24"/>
          <w:szCs w:val="24"/>
        </w:rPr>
        <w:t xml:space="preserve"> would routinely conduct physician</w:t>
      </w:r>
      <w:r w:rsidRPr="006A5FE5">
        <w:rPr>
          <w:rFonts w:ascii="Times New Roman" w:hAnsi="Times New Roman" w:cs="Times New Roman"/>
          <w:sz w:val="24"/>
          <w:szCs w:val="24"/>
        </w:rPr>
        <w:t xml:space="preserve"> audit</w:t>
      </w:r>
      <w:r w:rsidR="006357B3" w:rsidRPr="006A5FE5">
        <w:rPr>
          <w:rFonts w:ascii="Times New Roman" w:hAnsi="Times New Roman" w:cs="Times New Roman"/>
          <w:sz w:val="24"/>
          <w:szCs w:val="24"/>
        </w:rPr>
        <w:t>s, using evaluative tools to compare performance relative to the quality of care the doctor is providing. (Jones testimony.)</w:t>
      </w:r>
    </w:p>
    <w:p w14:paraId="379AC331" w14:textId="335FF43B" w:rsidR="006357B3" w:rsidRPr="006A5FE5" w:rsidRDefault="006357B3"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In </w:t>
      </w:r>
      <w:r w:rsidR="002649D1" w:rsidRPr="006A5FE5">
        <w:rPr>
          <w:rFonts w:ascii="Times New Roman" w:hAnsi="Times New Roman" w:cs="Times New Roman"/>
          <w:sz w:val="24"/>
          <w:szCs w:val="24"/>
        </w:rPr>
        <w:t>the Respondent</w:t>
      </w:r>
      <w:r w:rsidR="00F14A63">
        <w:rPr>
          <w:rFonts w:ascii="Times New Roman" w:hAnsi="Times New Roman" w:cs="Times New Roman"/>
          <w:sz w:val="24"/>
          <w:szCs w:val="24"/>
        </w:rPr>
        <w:t>’</w:t>
      </w:r>
      <w:r w:rsidR="002649D1" w:rsidRPr="006A5FE5">
        <w:rPr>
          <w:rFonts w:ascii="Times New Roman" w:hAnsi="Times New Roman" w:cs="Times New Roman"/>
          <w:sz w:val="24"/>
          <w:szCs w:val="24"/>
        </w:rPr>
        <w:t xml:space="preserve">s </w:t>
      </w:r>
      <w:r w:rsidRPr="006A5FE5">
        <w:rPr>
          <w:rFonts w:ascii="Times New Roman" w:hAnsi="Times New Roman" w:cs="Times New Roman"/>
          <w:sz w:val="24"/>
          <w:szCs w:val="24"/>
        </w:rPr>
        <w:t xml:space="preserve">12 years, there were never any concerns about his skills or </w:t>
      </w:r>
      <w:r w:rsidRPr="006A5FE5">
        <w:rPr>
          <w:rFonts w:ascii="Times New Roman" w:hAnsi="Times New Roman" w:cs="Times New Roman"/>
          <w:sz w:val="24"/>
          <w:szCs w:val="24"/>
        </w:rPr>
        <w:lastRenderedPageBreak/>
        <w:t>competence.</w:t>
      </w:r>
      <w:r w:rsidR="00FD6846" w:rsidRPr="006A5FE5">
        <w:rPr>
          <w:rFonts w:ascii="Times New Roman" w:hAnsi="Times New Roman" w:cs="Times New Roman"/>
          <w:sz w:val="24"/>
          <w:szCs w:val="24"/>
        </w:rPr>
        <w:t xml:space="preserve"> He was never subject to any monitoring or remediation. He was never disciplined by any entity.</w:t>
      </w:r>
      <w:r w:rsidRPr="006A5FE5">
        <w:rPr>
          <w:rFonts w:ascii="Times New Roman" w:hAnsi="Times New Roman" w:cs="Times New Roman"/>
          <w:sz w:val="24"/>
          <w:szCs w:val="24"/>
        </w:rPr>
        <w:t xml:space="preserve"> (Jones testimony.)</w:t>
      </w:r>
    </w:p>
    <w:p w14:paraId="6E668ABC" w14:textId="07DD9205" w:rsidR="006357B3" w:rsidRPr="006A5FE5" w:rsidRDefault="002649D1"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Respondent </w:t>
      </w:r>
      <w:r w:rsidR="00FD6846" w:rsidRPr="006A5FE5">
        <w:rPr>
          <w:rFonts w:ascii="Times New Roman" w:hAnsi="Times New Roman" w:cs="Times New Roman"/>
          <w:sz w:val="24"/>
          <w:szCs w:val="24"/>
        </w:rPr>
        <w:t xml:space="preserve">enjoys a reputation as one of the more caring and compassionate physicians, someone who takes time with each patient talking about their medical conditions and personal life. </w:t>
      </w:r>
      <w:r w:rsidR="006357B3" w:rsidRPr="006A5FE5">
        <w:rPr>
          <w:rFonts w:ascii="Times New Roman" w:hAnsi="Times New Roman" w:cs="Times New Roman"/>
          <w:sz w:val="24"/>
          <w:szCs w:val="24"/>
        </w:rPr>
        <w:t xml:space="preserve"> (Jones testimony.)</w:t>
      </w:r>
    </w:p>
    <w:p w14:paraId="1B15EB70" w14:textId="2DB4DAE7" w:rsidR="00EB5FAD" w:rsidRPr="006A5FE5" w:rsidRDefault="00EB5FAD" w:rsidP="0012141D">
      <w:pPr>
        <w:pStyle w:val="ListParagraph"/>
        <w:spacing w:line="480" w:lineRule="auto"/>
        <w:ind w:left="720" w:firstLine="0"/>
        <w:rPr>
          <w:rFonts w:ascii="Times New Roman" w:hAnsi="Times New Roman" w:cs="Times New Roman"/>
          <w:b/>
          <w:bCs/>
          <w:sz w:val="24"/>
          <w:szCs w:val="24"/>
          <w:u w:val="single"/>
        </w:rPr>
      </w:pPr>
      <w:r w:rsidRPr="006A5FE5">
        <w:rPr>
          <w:rFonts w:ascii="Times New Roman" w:hAnsi="Times New Roman" w:cs="Times New Roman"/>
          <w:b/>
          <w:bCs/>
          <w:sz w:val="24"/>
          <w:szCs w:val="24"/>
          <w:u w:val="single"/>
        </w:rPr>
        <w:t xml:space="preserve">Other expert evidence offered by </w:t>
      </w:r>
      <w:r w:rsidR="002649D1" w:rsidRPr="006A5FE5">
        <w:rPr>
          <w:rFonts w:ascii="Times New Roman" w:hAnsi="Times New Roman" w:cs="Times New Roman"/>
          <w:b/>
          <w:bCs/>
          <w:sz w:val="24"/>
          <w:szCs w:val="24"/>
          <w:u w:val="single"/>
        </w:rPr>
        <w:t>the Respondent</w:t>
      </w:r>
      <w:r w:rsidR="00376758">
        <w:rPr>
          <w:rStyle w:val="FootnoteReference"/>
          <w:rFonts w:ascii="Times New Roman" w:hAnsi="Times New Roman" w:cs="Times New Roman"/>
          <w:b/>
          <w:bCs/>
          <w:sz w:val="24"/>
          <w:szCs w:val="24"/>
          <w:u w:val="single"/>
        </w:rPr>
        <w:footnoteReference w:id="6"/>
      </w:r>
    </w:p>
    <w:p w14:paraId="4CC1D1FA" w14:textId="704FBE1C" w:rsidR="00EB5FAD" w:rsidRPr="006A5FE5" w:rsidRDefault="002649D1"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The Respondent </w:t>
      </w:r>
      <w:r w:rsidR="00EB5FAD" w:rsidRPr="006A5FE5">
        <w:rPr>
          <w:rFonts w:ascii="Times New Roman" w:hAnsi="Times New Roman" w:cs="Times New Roman"/>
          <w:sz w:val="24"/>
          <w:szCs w:val="24"/>
        </w:rPr>
        <w:t xml:space="preserve">also offered an additional expert report </w:t>
      </w:r>
      <w:r w:rsidR="00E85B08">
        <w:rPr>
          <w:rFonts w:ascii="Times New Roman" w:hAnsi="Times New Roman" w:cs="Times New Roman"/>
          <w:sz w:val="24"/>
          <w:szCs w:val="24"/>
        </w:rPr>
        <w:t>by</w:t>
      </w:r>
      <w:r w:rsidR="00EB5FAD" w:rsidRPr="006A5FE5">
        <w:rPr>
          <w:rFonts w:ascii="Times New Roman" w:hAnsi="Times New Roman" w:cs="Times New Roman"/>
          <w:sz w:val="24"/>
          <w:szCs w:val="24"/>
        </w:rPr>
        <w:t xml:space="preserve"> Dr. Mark Friedman. (Exhibit 13.)</w:t>
      </w:r>
    </w:p>
    <w:p w14:paraId="39794F07" w14:textId="1C2718A0" w:rsidR="00EB5FAD" w:rsidRPr="006A5FE5" w:rsidRDefault="001E4E49" w:rsidP="0012141D">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Dr. Friedman’s </w:t>
      </w:r>
      <w:r w:rsidR="00EB5FAD" w:rsidRPr="006A5FE5">
        <w:rPr>
          <w:rFonts w:ascii="Times New Roman" w:hAnsi="Times New Roman" w:cs="Times New Roman"/>
          <w:sz w:val="24"/>
          <w:szCs w:val="24"/>
        </w:rPr>
        <w:t>analysis is</w:t>
      </w:r>
      <w:r w:rsidR="002649D1" w:rsidRPr="006A5FE5">
        <w:rPr>
          <w:rFonts w:ascii="Times New Roman" w:hAnsi="Times New Roman" w:cs="Times New Roman"/>
          <w:sz w:val="24"/>
          <w:szCs w:val="24"/>
        </w:rPr>
        <w:t xml:space="preserve"> </w:t>
      </w:r>
      <w:r w:rsidR="00EB5FAD" w:rsidRPr="006A5FE5">
        <w:rPr>
          <w:rFonts w:ascii="Times New Roman" w:hAnsi="Times New Roman" w:cs="Times New Roman"/>
          <w:sz w:val="24"/>
          <w:szCs w:val="24"/>
        </w:rPr>
        <w:t>substantially similar to Dr. Van Dam’s. (Exhibit 13.)</w:t>
      </w:r>
    </w:p>
    <w:p w14:paraId="4FAD26F2" w14:textId="2FCA90CD" w:rsidR="00EB5FAD" w:rsidRPr="006A5FE5" w:rsidRDefault="00EB5FA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Dr. Friedman did not believe Patient A had pneumonia when she saw </w:t>
      </w:r>
      <w:r w:rsidR="002649D1" w:rsidRPr="006A5FE5">
        <w:rPr>
          <w:rFonts w:ascii="Times New Roman" w:hAnsi="Times New Roman" w:cs="Times New Roman"/>
          <w:sz w:val="24"/>
          <w:szCs w:val="24"/>
        </w:rPr>
        <w:t>the Respondent</w:t>
      </w:r>
      <w:r w:rsidRPr="006A5FE5">
        <w:rPr>
          <w:rFonts w:ascii="Times New Roman" w:hAnsi="Times New Roman" w:cs="Times New Roman"/>
          <w:sz w:val="24"/>
          <w:szCs w:val="24"/>
        </w:rPr>
        <w:t>, since she exhibited no signs</w:t>
      </w:r>
      <w:r w:rsidR="00244156" w:rsidRPr="006A5FE5">
        <w:rPr>
          <w:rFonts w:ascii="Times New Roman" w:hAnsi="Times New Roman" w:cs="Times New Roman"/>
          <w:sz w:val="24"/>
          <w:szCs w:val="24"/>
        </w:rPr>
        <w:t xml:space="preserve"> of it</w:t>
      </w:r>
      <w:r w:rsidRPr="006A5FE5">
        <w:rPr>
          <w:rFonts w:ascii="Times New Roman" w:hAnsi="Times New Roman" w:cs="Times New Roman"/>
          <w:sz w:val="24"/>
          <w:szCs w:val="24"/>
        </w:rPr>
        <w:t xml:space="preserve">. Rather, she could have developed it after she left his office. (Exhibit 13.)  </w:t>
      </w:r>
    </w:p>
    <w:p w14:paraId="2AEF1744" w14:textId="1B28BE5E" w:rsidR="00EB5FAD" w:rsidRPr="006A5FE5" w:rsidRDefault="00EB5FAD"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He was not convinced “that the autopsy demonstrated S pneumonia and that the lungs were the clear source of widespread infection and sepsis.” The source of the strep infection </w:t>
      </w:r>
      <w:r w:rsidR="001E38D5">
        <w:rPr>
          <w:rFonts w:ascii="Times New Roman" w:hAnsi="Times New Roman" w:cs="Times New Roman"/>
          <w:sz w:val="24"/>
          <w:szCs w:val="24"/>
        </w:rPr>
        <w:t xml:space="preserve">itself </w:t>
      </w:r>
      <w:r w:rsidRPr="006A5FE5">
        <w:rPr>
          <w:rFonts w:ascii="Times New Roman" w:hAnsi="Times New Roman" w:cs="Times New Roman"/>
          <w:sz w:val="24"/>
          <w:szCs w:val="24"/>
        </w:rPr>
        <w:t>was unclear. (Exhibit 13.)</w:t>
      </w:r>
    </w:p>
    <w:p w14:paraId="24D8E49D" w14:textId="59D27E6A" w:rsidR="00EB5FAD" w:rsidRPr="006A5FE5" w:rsidRDefault="00CB617B"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Dr. Friedman parted ways with Dr. Van Dam, in that he did not believe Raynaud’s was the likely diagnosis. Rather, h</w:t>
      </w:r>
      <w:r w:rsidR="00EB5FAD" w:rsidRPr="006A5FE5">
        <w:rPr>
          <w:rFonts w:ascii="Times New Roman" w:hAnsi="Times New Roman" w:cs="Times New Roman"/>
          <w:sz w:val="24"/>
          <w:szCs w:val="24"/>
        </w:rPr>
        <w:t>e though</w:t>
      </w:r>
      <w:r w:rsidRPr="006A5FE5">
        <w:rPr>
          <w:rFonts w:ascii="Times New Roman" w:hAnsi="Times New Roman" w:cs="Times New Roman"/>
          <w:sz w:val="24"/>
          <w:szCs w:val="24"/>
        </w:rPr>
        <w:t>t</w:t>
      </w:r>
      <w:r w:rsidR="00EB5FAD" w:rsidRPr="006A5FE5">
        <w:rPr>
          <w:rFonts w:ascii="Times New Roman" w:hAnsi="Times New Roman" w:cs="Times New Roman"/>
          <w:sz w:val="24"/>
          <w:szCs w:val="24"/>
        </w:rPr>
        <w:t xml:space="preserve"> her symptoms were more consistent with a viral syndrome, which likely evolved to sepsis after Patient A left </w:t>
      </w:r>
      <w:r w:rsidR="002649D1" w:rsidRPr="006A5FE5">
        <w:rPr>
          <w:rFonts w:ascii="Times New Roman" w:hAnsi="Times New Roman" w:cs="Times New Roman"/>
          <w:sz w:val="24"/>
          <w:szCs w:val="24"/>
        </w:rPr>
        <w:t xml:space="preserve">the Respondent’s </w:t>
      </w:r>
      <w:r w:rsidR="00EB5FAD" w:rsidRPr="006A5FE5">
        <w:rPr>
          <w:rFonts w:ascii="Times New Roman" w:hAnsi="Times New Roman" w:cs="Times New Roman"/>
          <w:sz w:val="24"/>
          <w:szCs w:val="24"/>
        </w:rPr>
        <w:t>office. (Exhibit 13.)</w:t>
      </w:r>
    </w:p>
    <w:p w14:paraId="0C5AEA88" w14:textId="0004B298" w:rsidR="00763077" w:rsidRPr="006A5FE5" w:rsidRDefault="00763077" w:rsidP="0012141D">
      <w:pPr>
        <w:pStyle w:val="ListParagraph"/>
        <w:numPr>
          <w:ilvl w:val="0"/>
          <w:numId w:val="1"/>
        </w:numPr>
        <w:spacing w:line="480" w:lineRule="auto"/>
        <w:ind w:left="720"/>
        <w:rPr>
          <w:rFonts w:ascii="Times New Roman" w:hAnsi="Times New Roman" w:cs="Times New Roman"/>
          <w:sz w:val="24"/>
          <w:szCs w:val="24"/>
        </w:rPr>
      </w:pPr>
      <w:r w:rsidRPr="006A5FE5">
        <w:rPr>
          <w:rFonts w:ascii="Times New Roman" w:hAnsi="Times New Roman" w:cs="Times New Roman"/>
          <w:sz w:val="24"/>
          <w:szCs w:val="24"/>
        </w:rPr>
        <w:t xml:space="preserve">He concluded that “it is common knowledge that many conditions such as viral </w:t>
      </w:r>
      <w:r w:rsidRPr="006A5FE5">
        <w:rPr>
          <w:rFonts w:ascii="Times New Roman" w:hAnsi="Times New Roman" w:cs="Times New Roman"/>
          <w:sz w:val="24"/>
          <w:szCs w:val="24"/>
        </w:rPr>
        <w:lastRenderedPageBreak/>
        <w:t>conditions can present and progress over a period of a few days and their progression is unpredictable. It is not the standard of care to predict every event that could occur after a patient is seen.” (Exhibit 13.)</w:t>
      </w:r>
    </w:p>
    <w:p w14:paraId="405F2E83" w14:textId="008915FB" w:rsidR="00432779" w:rsidRPr="006A5FE5" w:rsidRDefault="00432779" w:rsidP="0012141D">
      <w:pPr>
        <w:spacing w:after="0" w:line="480" w:lineRule="auto"/>
        <w:jc w:val="center"/>
        <w:rPr>
          <w:b/>
        </w:rPr>
      </w:pPr>
      <w:r w:rsidRPr="006A5FE5">
        <w:rPr>
          <w:b/>
        </w:rPr>
        <w:t>DISCUSSION</w:t>
      </w:r>
    </w:p>
    <w:p w14:paraId="1E882B96" w14:textId="3F4573FD" w:rsidR="00432779" w:rsidRPr="006A5FE5" w:rsidRDefault="00833A94" w:rsidP="0012141D">
      <w:pPr>
        <w:shd w:val="clear" w:color="auto" w:fill="FFFFFF"/>
        <w:spacing w:after="0" w:line="480" w:lineRule="auto"/>
        <w:ind w:firstLine="720"/>
      </w:pPr>
      <w:r w:rsidRPr="006A5FE5">
        <w:t>T</w:t>
      </w:r>
      <w:r w:rsidR="00432779" w:rsidRPr="006A5FE5">
        <w:t xml:space="preserve">he </w:t>
      </w:r>
      <w:r w:rsidR="007015DC">
        <w:t>B</w:t>
      </w:r>
      <w:r w:rsidR="005A394B">
        <w:t>oard</w:t>
      </w:r>
      <w:r w:rsidR="00432779" w:rsidRPr="006A5FE5">
        <w:t xml:space="preserve"> </w:t>
      </w:r>
      <w:r w:rsidRPr="006A5FE5">
        <w:t>puts forth three theories of misconduct:</w:t>
      </w:r>
      <w:r w:rsidR="00165E57" w:rsidRPr="006A5FE5">
        <w:t xml:space="preserve"> </w:t>
      </w:r>
      <w:r w:rsidR="00B57886" w:rsidRPr="006A5FE5">
        <w:t>negligence on repeated occasions,</w:t>
      </w:r>
      <w:r w:rsidR="00165E57" w:rsidRPr="006A5FE5">
        <w:t xml:space="preserve"> gross negligence</w:t>
      </w:r>
      <w:r w:rsidR="001E38D5">
        <w:t xml:space="preserve"> on a particular </w:t>
      </w:r>
      <w:r w:rsidR="00404CEF">
        <w:t>occasion</w:t>
      </w:r>
      <w:r w:rsidR="005B3E28" w:rsidRPr="006A5FE5">
        <w:t>,</w:t>
      </w:r>
      <w:r w:rsidR="00B57886" w:rsidRPr="006A5FE5">
        <w:t xml:space="preserve"> and malpractice. </w:t>
      </w:r>
    </w:p>
    <w:p w14:paraId="59B5F9DC" w14:textId="6C386E1C" w:rsidR="000356A5" w:rsidRPr="006A5FE5" w:rsidRDefault="00833A94" w:rsidP="0012141D">
      <w:pPr>
        <w:pStyle w:val="le-normal-32-level"/>
        <w:shd w:val="clear" w:color="auto" w:fill="FFFFFF"/>
        <w:spacing w:before="0" w:beforeAutospacing="0" w:after="0" w:afterAutospacing="0" w:line="480" w:lineRule="auto"/>
        <w:ind w:firstLine="720"/>
      </w:pPr>
      <w:r w:rsidRPr="006A5FE5">
        <w:t xml:space="preserve">The Board has the burden of proof by a preponderance of the evidence. </w:t>
      </w:r>
      <w:r w:rsidRPr="006A5FE5">
        <w:rPr>
          <w:i/>
          <w:iCs/>
        </w:rPr>
        <w:t>See BRM v. Pahuja</w:t>
      </w:r>
      <w:r w:rsidRPr="006A5FE5">
        <w:t>, RM-20-0258 (DALA Sep. 4, 2020)</w:t>
      </w:r>
      <w:r w:rsidRPr="006A5FE5">
        <w:rPr>
          <w:i/>
          <w:iCs/>
        </w:rPr>
        <w:t>,</w:t>
      </w:r>
      <w:r w:rsidR="005D2D20" w:rsidRPr="006A5FE5">
        <w:rPr>
          <w:i/>
          <w:iCs/>
        </w:rPr>
        <w:t xml:space="preserve"> adopted by </w:t>
      </w:r>
      <w:r w:rsidR="005D2D20" w:rsidRPr="006A5FE5">
        <w:t xml:space="preserve">Board, </w:t>
      </w:r>
      <w:r w:rsidR="000356A5" w:rsidRPr="006A5FE5">
        <w:t>Nov. 19, 2020. Whether the Respondent violated a statute or regulation turns first on whether he met the standard of care, which is “the degree of care and skill of the average qualified practitioner, taking into account the advances in the profession</w:t>
      </w:r>
      <w:r w:rsidR="005A394B">
        <w:t>,</w:t>
      </w:r>
      <w:r w:rsidR="000356A5" w:rsidRPr="006A5FE5">
        <w:t xml:space="preserve">” </w:t>
      </w:r>
      <w:r w:rsidR="000356A5" w:rsidRPr="006A5FE5">
        <w:rPr>
          <w:i/>
          <w:iCs/>
        </w:rPr>
        <w:t>Brune v. Belinkoff</w:t>
      </w:r>
      <w:r w:rsidR="000356A5" w:rsidRPr="006A5FE5">
        <w:t>, 354 Mass. 102, 109 (1968), or the level of care and skill that physicians in the same specialty commonly possess.</w:t>
      </w:r>
      <w:r w:rsidR="005B3E28" w:rsidRPr="006A5FE5">
        <w:t xml:space="preserve"> </w:t>
      </w:r>
      <w:r w:rsidR="005B3E28" w:rsidRPr="006A5FE5">
        <w:rPr>
          <w:i/>
          <w:iCs/>
        </w:rPr>
        <w:t>See</w:t>
      </w:r>
      <w:r w:rsidR="000356A5" w:rsidRPr="006A5FE5">
        <w:t xml:space="preserve"> </w:t>
      </w:r>
      <w:r w:rsidR="000356A5" w:rsidRPr="006A5FE5">
        <w:rPr>
          <w:i/>
          <w:iCs/>
        </w:rPr>
        <w:t>Palandijan v. Foster</w:t>
      </w:r>
      <w:r w:rsidR="000356A5" w:rsidRPr="006A5FE5">
        <w:t xml:space="preserve">, 446 Mass. 100, 104-05 (2006). </w:t>
      </w:r>
    </w:p>
    <w:p w14:paraId="4DC84A2F" w14:textId="34EC200B" w:rsidR="006E2681" w:rsidRPr="006A5FE5" w:rsidRDefault="00F60907" w:rsidP="0012141D">
      <w:pPr>
        <w:pStyle w:val="le-normal-32-level"/>
        <w:shd w:val="clear" w:color="auto" w:fill="FFFFFF"/>
        <w:spacing w:before="0" w:beforeAutospacing="0" w:after="0" w:afterAutospacing="0" w:line="480" w:lineRule="auto"/>
        <w:ind w:firstLine="720"/>
        <w:rPr>
          <w:i/>
          <w:iCs/>
          <w:shd w:val="clear" w:color="auto" w:fill="FFFFFF"/>
        </w:rPr>
      </w:pPr>
      <w:r w:rsidRPr="006A5FE5">
        <w:t>The Board may discipline a physician who commit</w:t>
      </w:r>
      <w:r w:rsidR="005D2D20" w:rsidRPr="006A5FE5">
        <w:t>s</w:t>
      </w:r>
      <w:r w:rsidRPr="006A5FE5">
        <w:t xml:space="preserve"> negligence on repeated occasions.</w:t>
      </w:r>
      <w:r w:rsidR="00CD0454" w:rsidRPr="006A5FE5">
        <w:t xml:space="preserve"> </w:t>
      </w:r>
      <w:r w:rsidR="00CD0454" w:rsidRPr="006A5FE5">
        <w:rPr>
          <w:i/>
          <w:iCs/>
        </w:rPr>
        <w:t>See</w:t>
      </w:r>
      <w:r w:rsidR="00CD0454" w:rsidRPr="006A5FE5">
        <w:t xml:space="preserve"> </w:t>
      </w:r>
      <w:r w:rsidR="00B57886" w:rsidRPr="006A5FE5">
        <w:t xml:space="preserve">G.L. </w:t>
      </w:r>
      <w:r w:rsidR="00B57886" w:rsidRPr="006A5FE5">
        <w:rPr>
          <w:noProof/>
        </w:rPr>
        <w:drawing>
          <wp:inline distT="0" distB="0" distL="0" distR="0" wp14:anchorId="219FF2A9" wp14:editId="102D0973">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57886" w:rsidRPr="006A5FE5">
        <w:t>c. 112, § 5</w:t>
      </w:r>
      <w:r w:rsidR="00261A25" w:rsidRPr="006A5FE5">
        <w:t>, eighth par. (c);</w:t>
      </w:r>
      <w:r w:rsidR="00B57886" w:rsidRPr="006A5FE5">
        <w:t xml:space="preserve"> </w:t>
      </w:r>
      <w:r w:rsidR="00CD0454" w:rsidRPr="006A5FE5">
        <w:t xml:space="preserve">243 Code Mass. Regs. § 1.03(5)(a)(3). </w:t>
      </w:r>
      <w:r w:rsidR="005D2D20" w:rsidRPr="006A5FE5">
        <w:rPr>
          <w:shd w:val="clear" w:color="auto" w:fill="FFFFFF"/>
        </w:rPr>
        <w:t xml:space="preserve">“Negligence occurs when a physician ‘fail[s] to meet generally accepted standards of care within the medical community.’” </w:t>
      </w:r>
      <w:r w:rsidR="005D2D20" w:rsidRPr="006A5FE5">
        <w:rPr>
          <w:i/>
          <w:iCs/>
          <w:shd w:val="clear" w:color="auto" w:fill="FFFFFF"/>
        </w:rPr>
        <w:t>BRM v.</w:t>
      </w:r>
      <w:r w:rsidR="005D2D20" w:rsidRPr="006A5FE5">
        <w:rPr>
          <w:shd w:val="clear" w:color="auto" w:fill="FFFFFF"/>
        </w:rPr>
        <w:t xml:space="preserve"> </w:t>
      </w:r>
      <w:r w:rsidR="005D2D20" w:rsidRPr="006A5FE5">
        <w:rPr>
          <w:i/>
          <w:iCs/>
          <w:shd w:val="clear" w:color="auto" w:fill="FFFFFF"/>
        </w:rPr>
        <w:t>Govindan</w:t>
      </w:r>
      <w:r w:rsidR="005D2D20" w:rsidRPr="006A5FE5">
        <w:rPr>
          <w:shd w:val="clear" w:color="auto" w:fill="FFFFFF"/>
        </w:rPr>
        <w:t>, RM-18-0161 (DALA Apr. 28, 2021</w:t>
      </w:r>
      <w:r w:rsidR="00892947">
        <w:rPr>
          <w:shd w:val="clear" w:color="auto" w:fill="FFFFFF"/>
        </w:rPr>
        <w:t xml:space="preserve">, </w:t>
      </w:r>
      <w:r w:rsidR="00892947" w:rsidRPr="0054394A">
        <w:rPr>
          <w:i/>
          <w:iCs/>
          <w:shd w:val="clear" w:color="auto" w:fill="FFFFFF"/>
        </w:rPr>
        <w:t>adopted by</w:t>
      </w:r>
      <w:r w:rsidR="00892947">
        <w:rPr>
          <w:shd w:val="clear" w:color="auto" w:fill="FFFFFF"/>
        </w:rPr>
        <w:t xml:space="preserve"> </w:t>
      </w:r>
      <w:r w:rsidR="005E0B2F">
        <w:rPr>
          <w:shd w:val="clear" w:color="auto" w:fill="FFFFFF"/>
        </w:rPr>
        <w:t>Board, Nov. 18, 2021</w:t>
      </w:r>
      <w:r w:rsidR="005D2D20" w:rsidRPr="006A5FE5">
        <w:rPr>
          <w:shd w:val="clear" w:color="auto" w:fill="FFFFFF"/>
        </w:rPr>
        <w:t xml:space="preserve">), </w:t>
      </w:r>
      <w:r w:rsidR="005D2D20" w:rsidRPr="006A5FE5">
        <w:rPr>
          <w:i/>
          <w:iCs/>
          <w:shd w:val="clear" w:color="auto" w:fill="FFFFFF"/>
        </w:rPr>
        <w:t>quoting BRM v. Osei-Tutu</w:t>
      </w:r>
      <w:r w:rsidR="005D2D20" w:rsidRPr="006A5FE5">
        <w:rPr>
          <w:shd w:val="clear" w:color="auto" w:fill="FFFFFF"/>
        </w:rPr>
        <w:t xml:space="preserve">, RM-07-64 (DALA Jul. 8, 2008, </w:t>
      </w:r>
      <w:r w:rsidR="005D2D20" w:rsidRPr="006A5FE5">
        <w:rPr>
          <w:i/>
          <w:iCs/>
          <w:shd w:val="clear" w:color="auto" w:fill="FFFFFF"/>
        </w:rPr>
        <w:t xml:space="preserve">adopted by </w:t>
      </w:r>
      <w:r w:rsidR="005D2D20" w:rsidRPr="0054394A">
        <w:rPr>
          <w:shd w:val="clear" w:color="auto" w:fill="FFFFFF"/>
        </w:rPr>
        <w:t>Board</w:t>
      </w:r>
      <w:r w:rsidR="005D2D20" w:rsidRPr="006A5FE5">
        <w:rPr>
          <w:shd w:val="clear" w:color="auto" w:fill="FFFFFF"/>
        </w:rPr>
        <w:t>, Feb. 25, 2009)</w:t>
      </w:r>
      <w:r w:rsidR="00AB5ABB" w:rsidRPr="006A5FE5">
        <w:rPr>
          <w:shd w:val="clear" w:color="auto" w:fill="FFFFFF"/>
        </w:rPr>
        <w:t xml:space="preserve">; </w:t>
      </w:r>
      <w:r w:rsidR="00AB5ABB" w:rsidRPr="006A5FE5">
        <w:rPr>
          <w:i/>
          <w:iCs/>
          <w:shd w:val="clear" w:color="auto" w:fill="FFFFFF"/>
        </w:rPr>
        <w:t>see also</w:t>
      </w:r>
      <w:r w:rsidR="006E2681" w:rsidRPr="006A5FE5">
        <w:rPr>
          <w:i/>
          <w:iCs/>
          <w:shd w:val="clear" w:color="auto" w:fill="FFFFFF"/>
        </w:rPr>
        <w:t xml:space="preserve"> </w:t>
      </w:r>
      <w:r w:rsidR="006E2681" w:rsidRPr="006A5FE5">
        <w:rPr>
          <w:shd w:val="clear" w:color="auto" w:fill="FFFFFF"/>
        </w:rPr>
        <w:t>Superior Court Model Jury Instructions (“general negligence” is failure “</w:t>
      </w:r>
      <w:r w:rsidR="006E2681" w:rsidRPr="006A5FE5">
        <w:t>to use reasonable care under the circumstances. That failure might have occurred through action or inaction.”).</w:t>
      </w:r>
    </w:p>
    <w:p w14:paraId="7347D62F" w14:textId="5A8DD6E1" w:rsidR="000356A5" w:rsidRPr="006A5FE5" w:rsidRDefault="000356A5" w:rsidP="0012141D">
      <w:pPr>
        <w:shd w:val="clear" w:color="auto" w:fill="FFFFFF"/>
        <w:spacing w:after="0" w:line="480" w:lineRule="auto"/>
        <w:ind w:firstLine="720"/>
        <w:rPr>
          <w:rFonts w:eastAsia="Times New Roman"/>
        </w:rPr>
      </w:pPr>
      <w:r w:rsidRPr="006A5FE5">
        <w:rPr>
          <w:rFonts w:eastAsia="Times New Roman"/>
        </w:rPr>
        <w:lastRenderedPageBreak/>
        <w:t>The Board may</w:t>
      </w:r>
      <w:r w:rsidR="00F60907" w:rsidRPr="006A5FE5">
        <w:rPr>
          <w:rFonts w:eastAsia="Times New Roman"/>
        </w:rPr>
        <w:t xml:space="preserve"> also</w:t>
      </w:r>
      <w:r w:rsidRPr="006A5FE5">
        <w:rPr>
          <w:rFonts w:eastAsia="Times New Roman"/>
        </w:rPr>
        <w:t xml:space="preserve"> discipline a physician who </w:t>
      </w:r>
      <w:r w:rsidR="005D2D20" w:rsidRPr="006A5FE5">
        <w:rPr>
          <w:rFonts w:eastAsia="Times New Roman"/>
        </w:rPr>
        <w:t>commits</w:t>
      </w:r>
      <w:r w:rsidRPr="006A5FE5">
        <w:rPr>
          <w:rFonts w:eastAsia="Times New Roman"/>
        </w:rPr>
        <w:t xml:space="preserve"> gross negligence on a single occasion.</w:t>
      </w:r>
      <w:r w:rsidR="005D2D20" w:rsidRPr="006A5FE5">
        <w:rPr>
          <w:rFonts w:eastAsia="Times New Roman"/>
        </w:rPr>
        <w:t xml:space="preserve"> </w:t>
      </w:r>
      <w:r w:rsidR="005D2D20" w:rsidRPr="006A5FE5">
        <w:rPr>
          <w:rFonts w:eastAsia="Times New Roman"/>
          <w:i/>
          <w:iCs/>
        </w:rPr>
        <w:t xml:space="preserve">See </w:t>
      </w:r>
      <w:r w:rsidR="005D2D20" w:rsidRPr="006A5FE5">
        <w:rPr>
          <w:rFonts w:eastAsia="Times New Roman"/>
        </w:rPr>
        <w:t xml:space="preserve">G.L. </w:t>
      </w:r>
      <w:r w:rsidRPr="006A5FE5">
        <w:rPr>
          <w:rFonts w:eastAsia="Times New Roman"/>
          <w:noProof/>
        </w:rPr>
        <w:drawing>
          <wp:inline distT="0" distB="0" distL="0" distR="0" wp14:anchorId="6EE14649" wp14:editId="53525E1F">
            <wp:extent cx="9525" cy="9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A5FE5">
        <w:rPr>
          <w:rFonts w:eastAsia="Times New Roman"/>
        </w:rPr>
        <w:t>c. 112, § 5</w:t>
      </w:r>
      <w:r w:rsidR="00261A25" w:rsidRPr="006A5FE5">
        <w:rPr>
          <w:rFonts w:eastAsia="Times New Roman"/>
        </w:rPr>
        <w:t>, eighth par. (c)</w:t>
      </w:r>
      <w:r w:rsidR="00B57886" w:rsidRPr="006A5FE5">
        <w:rPr>
          <w:rFonts w:eastAsia="Times New Roman"/>
        </w:rPr>
        <w:t>;</w:t>
      </w:r>
      <w:r w:rsidRPr="006A5FE5">
        <w:rPr>
          <w:rFonts w:eastAsia="Times New Roman"/>
        </w:rPr>
        <w:t xml:space="preserve"> 243 </w:t>
      </w:r>
      <w:r w:rsidR="00B57886" w:rsidRPr="006A5FE5">
        <w:t>Code Mass. Regs.</w:t>
      </w:r>
      <w:r w:rsidRPr="006A5FE5">
        <w:rPr>
          <w:rFonts w:eastAsia="Times New Roman"/>
        </w:rPr>
        <w:t xml:space="preserve"> </w:t>
      </w:r>
      <w:r w:rsidR="003218D9">
        <w:rPr>
          <w:rFonts w:eastAsia="Times New Roman"/>
        </w:rPr>
        <w:t xml:space="preserve">§ </w:t>
      </w:r>
      <w:r w:rsidRPr="006A5FE5">
        <w:rPr>
          <w:rFonts w:eastAsia="Times New Roman"/>
        </w:rPr>
        <w:t>1.03(5)(a)</w:t>
      </w:r>
      <w:r w:rsidR="00F60907" w:rsidRPr="006A5FE5">
        <w:rPr>
          <w:rFonts w:eastAsia="Times New Roman"/>
        </w:rPr>
        <w:t>(</w:t>
      </w:r>
      <w:r w:rsidRPr="006A5FE5">
        <w:rPr>
          <w:rFonts w:eastAsia="Times New Roman"/>
        </w:rPr>
        <w:t>3</w:t>
      </w:r>
      <w:r w:rsidR="00F60907" w:rsidRPr="006A5FE5">
        <w:rPr>
          <w:rFonts w:eastAsia="Times New Roman"/>
        </w:rPr>
        <w:t>)</w:t>
      </w:r>
      <w:r w:rsidRPr="006A5FE5">
        <w:rPr>
          <w:rFonts w:eastAsia="Times New Roman"/>
        </w:rPr>
        <w:t>. Gross negligence is:</w:t>
      </w:r>
    </w:p>
    <w:p w14:paraId="25F0D079" w14:textId="156C2496" w:rsidR="000356A5" w:rsidRPr="006A5FE5" w:rsidRDefault="000356A5" w:rsidP="0012141D">
      <w:pPr>
        <w:shd w:val="clear" w:color="auto" w:fill="FFFFFF"/>
        <w:spacing w:after="0" w:line="240" w:lineRule="auto"/>
        <w:ind w:left="720" w:right="720"/>
        <w:rPr>
          <w:rFonts w:eastAsia="Times New Roman"/>
        </w:rPr>
      </w:pPr>
      <w:r w:rsidRPr="006A5FE5">
        <w:rPr>
          <w:rFonts w:eastAsia="Times New Roman"/>
        </w:rPr>
        <w:t>substantially and appreciably higher in magnitude than ordinary negligence. It is materially more want of care than constitutes simple inadvertence. It is an act or omission respecting legal duty of an aggravated character as distinguished from a mere failure to exercise ordinary care. It is very great negligence, or the absence of slight diligence, or the want of even scant care. It amounts to indifference to present legal duty and to utter forgetfulness of legal obligations so far as other persons may be affected. It is a heedless and palpable violation of legal duty respecting the rights of others. The element of culpability which characterizes all negligence is in gross negligence magnified to a high degree as compared with that present in ordinary negligence.</w:t>
      </w:r>
    </w:p>
    <w:p w14:paraId="70C4530D" w14:textId="77777777" w:rsidR="00F60907" w:rsidRPr="006A5FE5" w:rsidRDefault="00F60907" w:rsidP="0012141D">
      <w:pPr>
        <w:shd w:val="clear" w:color="auto" w:fill="FFFFFF"/>
        <w:spacing w:after="0" w:line="240" w:lineRule="auto"/>
        <w:ind w:left="720"/>
        <w:rPr>
          <w:rFonts w:eastAsia="Times New Roman"/>
        </w:rPr>
      </w:pPr>
    </w:p>
    <w:p w14:paraId="227A6E20" w14:textId="68C69D69" w:rsidR="000356A5" w:rsidRPr="006A5FE5" w:rsidRDefault="000356A5" w:rsidP="0012141D">
      <w:pPr>
        <w:shd w:val="clear" w:color="auto" w:fill="FFFFFF"/>
        <w:spacing w:after="0" w:line="480" w:lineRule="auto"/>
        <w:rPr>
          <w:rFonts w:eastAsia="Times New Roman"/>
        </w:rPr>
      </w:pPr>
      <w:r w:rsidRPr="006A5FE5">
        <w:rPr>
          <w:rFonts w:eastAsia="Times New Roman"/>
          <w:i/>
          <w:iCs/>
        </w:rPr>
        <w:t>Altman v. Aronson</w:t>
      </w:r>
      <w:r w:rsidRPr="006A5FE5">
        <w:rPr>
          <w:rFonts w:eastAsia="Times New Roman"/>
        </w:rPr>
        <w:t xml:space="preserve">, 231 Mass. 588, 591-592 (1919). </w:t>
      </w:r>
      <w:r w:rsidR="00F60907" w:rsidRPr="006A5FE5">
        <w:rPr>
          <w:rFonts w:eastAsia="Times New Roman"/>
        </w:rPr>
        <w:t>“</w:t>
      </w:r>
      <w:r w:rsidRPr="006A5FE5">
        <w:rPr>
          <w:rFonts w:eastAsia="Times New Roman"/>
        </w:rPr>
        <w:t>Persistence in a palpably negligent course of conduct over an appreciable period of time</w:t>
      </w:r>
      <w:r w:rsidR="00F60907" w:rsidRPr="006A5FE5">
        <w:rPr>
          <w:rFonts w:eastAsia="Times New Roman"/>
        </w:rPr>
        <w:t>”</w:t>
      </w:r>
      <w:r w:rsidRPr="006A5FE5">
        <w:rPr>
          <w:rFonts w:eastAsia="Times New Roman"/>
        </w:rPr>
        <w:t xml:space="preserve"> can amount to gross negligence. </w:t>
      </w:r>
      <w:r w:rsidRPr="006A5FE5">
        <w:rPr>
          <w:rFonts w:eastAsia="Times New Roman"/>
          <w:i/>
          <w:iCs/>
        </w:rPr>
        <w:t>Parsons v. Amen</w:t>
      </w:r>
      <w:r w:rsidRPr="006A5FE5">
        <w:rPr>
          <w:rFonts w:eastAsia="Times New Roman"/>
        </w:rPr>
        <w:t>, 97 Mass. App. Ct. 96, 109 (2020).</w:t>
      </w:r>
    </w:p>
    <w:p w14:paraId="23E704EA" w14:textId="1A1FDEDF" w:rsidR="00CD0454" w:rsidRPr="006A5FE5" w:rsidRDefault="00F60907" w:rsidP="0012141D">
      <w:pPr>
        <w:pStyle w:val="le-normal-32-level"/>
        <w:shd w:val="clear" w:color="auto" w:fill="FFFFFF"/>
        <w:spacing w:before="0" w:beforeAutospacing="0" w:after="0" w:afterAutospacing="0" w:line="480" w:lineRule="auto"/>
        <w:ind w:firstLine="720"/>
      </w:pPr>
      <w:r w:rsidRPr="006A5FE5">
        <w:t>Finally, the Board may discipline a physician who commits malpractice</w:t>
      </w:r>
      <w:r w:rsidR="00CD0454" w:rsidRPr="006A5FE5">
        <w:t xml:space="preserve"> within the meaning of G.L. c. 112, § 61. </w:t>
      </w:r>
      <w:r w:rsidR="00CD0454" w:rsidRPr="006A5FE5">
        <w:rPr>
          <w:i/>
          <w:iCs/>
        </w:rPr>
        <w:t>See</w:t>
      </w:r>
      <w:r w:rsidR="00CD0454" w:rsidRPr="006A5FE5">
        <w:t xml:space="preserve"> 243 Code Mass. Regs. </w:t>
      </w:r>
      <w:r w:rsidR="001A07AC">
        <w:t xml:space="preserve">§ </w:t>
      </w:r>
      <w:r w:rsidR="00CD0454" w:rsidRPr="006A5FE5">
        <w:t>1.03(5)(a)(17).</w:t>
      </w:r>
      <w:r w:rsidRPr="006A5FE5">
        <w:t xml:space="preserve"> </w:t>
      </w:r>
      <w:r w:rsidR="00CD0454" w:rsidRPr="006A5FE5">
        <w:t>“</w:t>
      </w:r>
      <w:r w:rsidR="00CD0454" w:rsidRPr="006A5FE5">
        <w:rPr>
          <w:noProof/>
        </w:rPr>
        <w:t>Malpractice</w:t>
      </w:r>
      <w:r w:rsidR="00CD0454" w:rsidRPr="006A5FE5">
        <w:rPr>
          <w:noProof/>
        </w:rPr>
        <w:drawing>
          <wp:inline distT="0" distB="0" distL="0" distR="0" wp14:anchorId="7731E8F0" wp14:editId="5F5FE8B3">
            <wp:extent cx="9525" cy="9525"/>
            <wp:effectExtent l="0" t="0" r="0" b="0"/>
            <wp:docPr id="15" name="Picture 15" descr="Next H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xt Hi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D0454" w:rsidRPr="006A5FE5">
        <w:t xml:space="preserve"> has three elements: i) a doctor-patient relationship; ii) failure to conform to good medical practice; and iii) injury that was caused by the defendant physician.” </w:t>
      </w:r>
      <w:r w:rsidR="00CD0454" w:rsidRPr="006A5FE5">
        <w:rPr>
          <w:i/>
          <w:iCs/>
        </w:rPr>
        <w:t>BRM</w:t>
      </w:r>
      <w:r w:rsidR="001D1B3B">
        <w:rPr>
          <w:i/>
          <w:iCs/>
        </w:rPr>
        <w:t xml:space="preserve"> </w:t>
      </w:r>
      <w:r w:rsidR="00CD0454" w:rsidRPr="006A5FE5">
        <w:rPr>
          <w:i/>
          <w:iCs/>
        </w:rPr>
        <w:t>v. Aweh</w:t>
      </w:r>
      <w:r w:rsidR="00CD0454" w:rsidRPr="006A5FE5">
        <w:t>, 2019-040 (RM-19-0353)</w:t>
      </w:r>
      <w:r w:rsidR="00443944">
        <w:t xml:space="preserve"> </w:t>
      </w:r>
      <w:r w:rsidR="00CD0454" w:rsidRPr="006A5FE5">
        <w:t>(</w:t>
      </w:r>
      <w:r w:rsidR="00E834DE">
        <w:t xml:space="preserve">Board </w:t>
      </w:r>
      <w:r w:rsidR="00CD0454" w:rsidRPr="006A5FE5">
        <w:t>Oct</w:t>
      </w:r>
      <w:r w:rsidR="000C4A21">
        <w:t>.</w:t>
      </w:r>
      <w:r w:rsidR="00CD0454" w:rsidRPr="006A5FE5">
        <w:t xml:space="preserve"> 20, 2022), </w:t>
      </w:r>
      <w:r w:rsidR="00CD0454" w:rsidRPr="006A5FE5">
        <w:rPr>
          <w:i/>
          <w:iCs/>
        </w:rPr>
        <w:t>citing</w:t>
      </w:r>
      <w:r w:rsidR="00CD0454" w:rsidRPr="006A5FE5">
        <w:t xml:space="preserve"> </w:t>
      </w:r>
      <w:r w:rsidR="00CD0454" w:rsidRPr="006A5FE5">
        <w:rPr>
          <w:i/>
          <w:iCs/>
        </w:rPr>
        <w:t>Doherty v. Hellman</w:t>
      </w:r>
      <w:r w:rsidR="00CD0454" w:rsidRPr="006A5FE5">
        <w:t xml:space="preserve">, 406 Mass. 330, 333 (1999). </w:t>
      </w:r>
      <w:r w:rsidR="00165E57" w:rsidRPr="006A5FE5">
        <w:t>“W</w:t>
      </w:r>
      <w:r w:rsidR="00CD0454" w:rsidRPr="006A5FE5">
        <w:t>here a physician’s failure to conform to good medical practice causes injury, it constitutes </w:t>
      </w:r>
      <w:bookmarkStart w:id="2" w:name="hit7"/>
      <w:bookmarkEnd w:id="2"/>
      <w:r w:rsidR="00CD0454" w:rsidRPr="006A5FE5">
        <w:rPr>
          <w:noProof/>
        </w:rPr>
        <w:drawing>
          <wp:inline distT="0" distB="0" distL="0" distR="0" wp14:anchorId="30ECC49E" wp14:editId="0939FA20">
            <wp:extent cx="9525" cy="9525"/>
            <wp:effectExtent l="0" t="0" r="0" b="0"/>
            <wp:docPr id="6" name="Picture 6" descr="Previous H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vious Hi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D0454" w:rsidRPr="006A5FE5">
        <w:t xml:space="preserve">malpractice even if the failure to conform to good medical practice is limited to a single act.” </w:t>
      </w:r>
      <w:r w:rsidR="00CD0454" w:rsidRPr="006A5FE5">
        <w:rPr>
          <w:i/>
          <w:iCs/>
        </w:rPr>
        <w:t>Ibid.</w:t>
      </w:r>
      <w:r w:rsidR="00CD0454" w:rsidRPr="006A5FE5">
        <w:t xml:space="preserve"> “Malpractice is a stand-alone ground for discipline, separate and independent from gross negligence or negligence on repeated occasions.” </w:t>
      </w:r>
      <w:r w:rsidR="00CD0454" w:rsidRPr="006A5FE5">
        <w:rPr>
          <w:i/>
          <w:iCs/>
        </w:rPr>
        <w:t>Ibid</w:t>
      </w:r>
      <w:r w:rsidR="00CD0454" w:rsidRPr="006A5FE5">
        <w:t>.</w:t>
      </w:r>
    </w:p>
    <w:p w14:paraId="2CAAAED0" w14:textId="155CC365" w:rsidR="00165E57" w:rsidRPr="006A5FE5" w:rsidRDefault="00165E57" w:rsidP="002442EA">
      <w:pPr>
        <w:pStyle w:val="le-normal-32-level"/>
        <w:numPr>
          <w:ilvl w:val="0"/>
          <w:numId w:val="6"/>
        </w:numPr>
        <w:shd w:val="clear" w:color="auto" w:fill="FFFFFF"/>
        <w:spacing w:before="0" w:beforeAutospacing="0" w:after="0" w:afterAutospacing="0" w:line="480" w:lineRule="auto"/>
        <w:rPr>
          <w:b/>
          <w:bCs/>
          <w:u w:val="single"/>
        </w:rPr>
      </w:pPr>
      <w:r w:rsidRPr="006A5FE5">
        <w:rPr>
          <w:b/>
          <w:bCs/>
          <w:u w:val="single"/>
        </w:rPr>
        <w:t>The Board failed to prove Dr. Shackelford’s conduct fell below the standard of care</w:t>
      </w:r>
    </w:p>
    <w:p w14:paraId="0BD2AAFE" w14:textId="7262C243" w:rsidR="00CB325E" w:rsidRPr="006A5FE5" w:rsidRDefault="005D2D20" w:rsidP="0012141D">
      <w:pPr>
        <w:pStyle w:val="le-normal-32-level"/>
        <w:shd w:val="clear" w:color="auto" w:fill="FFFFFF"/>
        <w:spacing w:before="0" w:beforeAutospacing="0" w:after="0" w:afterAutospacing="0" w:line="480" w:lineRule="auto"/>
      </w:pPr>
      <w:r w:rsidRPr="006A5FE5">
        <w:tab/>
        <w:t xml:space="preserve">The </w:t>
      </w:r>
      <w:r w:rsidR="005D1CD4" w:rsidRPr="006A5FE5">
        <w:t>threshold</w:t>
      </w:r>
      <w:r w:rsidRPr="006A5FE5">
        <w:t xml:space="preserve"> question is whether the Respondent’s conduct fell below the</w:t>
      </w:r>
      <w:r w:rsidR="006214E2" w:rsidRPr="006A5FE5">
        <w:t xml:space="preserve"> standard of care. If it did not, he did </w:t>
      </w:r>
      <w:r w:rsidR="00A0685D">
        <w:t xml:space="preserve">not </w:t>
      </w:r>
      <w:r w:rsidR="006214E2" w:rsidRPr="006A5FE5">
        <w:t xml:space="preserve">violate any </w:t>
      </w:r>
      <w:r w:rsidR="005D1CD4" w:rsidRPr="006A5FE5">
        <w:t>statute or regulation</w:t>
      </w:r>
      <w:r w:rsidR="006214E2" w:rsidRPr="006A5FE5">
        <w:t xml:space="preserve"> under any theory.</w:t>
      </w:r>
      <w:r w:rsidR="001E38D5">
        <w:t xml:space="preserve"> While the results </w:t>
      </w:r>
      <w:r w:rsidR="001E38D5">
        <w:lastRenderedPageBreak/>
        <w:t>of this case are truly tragic,</w:t>
      </w:r>
      <w:r w:rsidR="006214E2" w:rsidRPr="006A5FE5">
        <w:t xml:space="preserve"> </w:t>
      </w:r>
      <w:r w:rsidR="005B3E28" w:rsidRPr="006A5FE5">
        <w:t>I find that the Respondent’s conduct did not fall below the standard of care.</w:t>
      </w:r>
    </w:p>
    <w:p w14:paraId="48093CE9" w14:textId="60AA5B66" w:rsidR="00FE2A86" w:rsidRPr="006A5FE5" w:rsidRDefault="00CB325E" w:rsidP="0012141D">
      <w:pPr>
        <w:pStyle w:val="le-normal-32-level"/>
        <w:shd w:val="clear" w:color="auto" w:fill="FFFFFF"/>
        <w:spacing w:before="0" w:beforeAutospacing="0" w:after="0" w:afterAutospacing="0" w:line="480" w:lineRule="auto"/>
      </w:pPr>
      <w:r w:rsidRPr="006A5FE5">
        <w:tab/>
      </w:r>
      <w:r w:rsidR="0037508E" w:rsidRPr="006A5FE5">
        <w:t xml:space="preserve">Patient A’s symptomology </w:t>
      </w:r>
      <w:r w:rsidR="00165E57" w:rsidRPr="006A5FE5">
        <w:t xml:space="preserve">was unusual or, as </w:t>
      </w:r>
      <w:r w:rsidR="0037508E" w:rsidRPr="006A5FE5">
        <w:t>Dr. Van Dam</w:t>
      </w:r>
      <w:r w:rsidR="00165E57" w:rsidRPr="006A5FE5">
        <w:t xml:space="preserve"> put it,</w:t>
      </w:r>
      <w:r w:rsidR="0037508E" w:rsidRPr="006A5FE5">
        <w:t xml:space="preserve"> “bizarre.” She presented with signs of Raynaud’s syndrome, but some symptoms were incompatible with that</w:t>
      </w:r>
      <w:r w:rsidR="00FE2A86" w:rsidRPr="006A5FE5">
        <w:t xml:space="preserve"> diagnosis</w:t>
      </w:r>
      <w:r w:rsidR="0037508E" w:rsidRPr="006A5FE5">
        <w:t>. Her vitals were normal, which is inconsistent with an infection or sepsis; but she had other symptoms that are sometimes signs of infection. Given Patient A’s presentation, it is no wonder so many experts disagree</w:t>
      </w:r>
      <w:r w:rsidR="00165E57" w:rsidRPr="006A5FE5">
        <w:t>d</w:t>
      </w:r>
      <w:r w:rsidR="005B3E28" w:rsidRPr="006A5FE5">
        <w:t xml:space="preserve"> on the proper course of conduct</w:t>
      </w:r>
      <w:r w:rsidR="00FE2A86" w:rsidRPr="006A5FE5">
        <w:t>.</w:t>
      </w:r>
    </w:p>
    <w:p w14:paraId="32CC8BBE" w14:textId="684412F5" w:rsidR="0017385A" w:rsidRDefault="00FE2A86" w:rsidP="0012141D">
      <w:pPr>
        <w:pStyle w:val="le-normal-32-level"/>
        <w:shd w:val="clear" w:color="auto" w:fill="FFFFFF"/>
        <w:spacing w:before="0" w:beforeAutospacing="0" w:after="0" w:afterAutospacing="0" w:line="480" w:lineRule="auto"/>
      </w:pPr>
      <w:r w:rsidRPr="006A5FE5">
        <w:tab/>
        <w:t xml:space="preserve">As noted, I place little weight on the reports and affidavits unsupported by live testimony. </w:t>
      </w:r>
      <w:r w:rsidR="00404CEF">
        <w:t>Both attorneys</w:t>
      </w:r>
      <w:r w:rsidRPr="006A5FE5">
        <w:t xml:space="preserve"> did an excellent job bringing out important points from the </w:t>
      </w:r>
      <w:r w:rsidR="00165E57" w:rsidRPr="006A5FE5">
        <w:t xml:space="preserve">testifying </w:t>
      </w:r>
      <w:r w:rsidRPr="006A5FE5">
        <w:t xml:space="preserve">witnesses </w:t>
      </w:r>
      <w:r w:rsidR="00D8434A">
        <w:t>(during</w:t>
      </w:r>
      <w:r w:rsidRPr="006A5FE5">
        <w:t xml:space="preserve"> direct and cross-examination</w:t>
      </w:r>
      <w:r w:rsidR="00D8434A">
        <w:t>)</w:t>
      </w:r>
      <w:r w:rsidRPr="006A5FE5">
        <w:t xml:space="preserve">. There are opinions in the written reports </w:t>
      </w:r>
      <w:r w:rsidR="00E7190B">
        <w:t>that were</w:t>
      </w:r>
      <w:r w:rsidRPr="006A5FE5">
        <w:t xml:space="preserve"> contradicted by certain testimony.</w:t>
      </w:r>
      <w:r w:rsidR="005D1CD4" w:rsidRPr="006A5FE5">
        <w:t xml:space="preserve"> But because the authors of these reports did not testify, I do not know how they would have explained or defended these contradictions</w:t>
      </w:r>
      <w:r w:rsidR="00404CEF">
        <w:t xml:space="preserve"> if questioned by counsel</w:t>
      </w:r>
      <w:r w:rsidR="005D1CD4" w:rsidRPr="006A5FE5">
        <w:t>.</w:t>
      </w:r>
      <w:r w:rsidR="0017385A">
        <w:rPr>
          <w:rStyle w:val="FootnoteReference"/>
        </w:rPr>
        <w:footnoteReference w:id="7"/>
      </w:r>
      <w:r w:rsidR="00165E57" w:rsidRPr="006A5FE5">
        <w:t xml:space="preserve"> </w:t>
      </w:r>
      <w:r w:rsidR="00165E57" w:rsidRPr="006A5FE5">
        <w:rPr>
          <w:i/>
          <w:iCs/>
        </w:rPr>
        <w:t>See</w:t>
      </w:r>
      <w:r w:rsidR="0008752A" w:rsidRPr="006A5FE5">
        <w:rPr>
          <w:i/>
          <w:iCs/>
        </w:rPr>
        <w:t xml:space="preserve"> Commonwealth v. Funches</w:t>
      </w:r>
      <w:r w:rsidR="0008752A" w:rsidRPr="006A5FE5">
        <w:t xml:space="preserve">, 379 Mass. 283, 292 (1979), </w:t>
      </w:r>
      <w:r w:rsidR="0008752A" w:rsidRPr="006A5FE5">
        <w:rPr>
          <w:i/>
          <w:iCs/>
        </w:rPr>
        <w:t>quoting Davis v. Alaska</w:t>
      </w:r>
      <w:r w:rsidR="0008752A" w:rsidRPr="006A5FE5">
        <w:t>, 415 U.S. 208, 316 (1974) (cross-examination is “principal means by which the believability of a witness and the truth of his testimony are tested</w:t>
      </w:r>
      <w:r w:rsidR="001E38D5">
        <w:t>”</w:t>
      </w:r>
      <w:r w:rsidR="0008752A" w:rsidRPr="006A5FE5">
        <w:t>)</w:t>
      </w:r>
      <w:r w:rsidR="001E38D5">
        <w:t>.</w:t>
      </w:r>
      <w:r w:rsidRPr="006A5FE5">
        <w:t xml:space="preserve"> </w:t>
      </w:r>
    </w:p>
    <w:p w14:paraId="53CB1DA9" w14:textId="4CBFEC71" w:rsidR="00354BC3" w:rsidRPr="0065549F" w:rsidRDefault="00FE2A86" w:rsidP="0017385A">
      <w:pPr>
        <w:pStyle w:val="le-normal-32-level"/>
        <w:shd w:val="clear" w:color="auto" w:fill="FFFFFF"/>
        <w:spacing w:before="0" w:beforeAutospacing="0" w:after="0" w:afterAutospacing="0" w:line="480" w:lineRule="auto"/>
        <w:ind w:firstLine="720"/>
        <w:rPr>
          <w:i/>
          <w:iCs/>
        </w:rPr>
      </w:pPr>
      <w:r w:rsidRPr="006A5FE5">
        <w:t>Instead, I rely mostly on the testimony of Dr. Angel and Dr. Van Dam.</w:t>
      </w:r>
      <w:r w:rsidR="0017385A">
        <w:t xml:space="preserve"> </w:t>
      </w:r>
      <w:r w:rsidR="002A69D4" w:rsidRPr="006A5FE5">
        <w:t xml:space="preserve">Both doctors </w:t>
      </w:r>
      <w:r w:rsidR="009144D0">
        <w:t>a</w:t>
      </w:r>
      <w:r w:rsidR="002A69D4" w:rsidRPr="006A5FE5">
        <w:t xml:space="preserve">re experienced and qualified to testify as experts. </w:t>
      </w:r>
      <w:r w:rsidR="0017385A">
        <w:t>Both</w:t>
      </w:r>
      <w:r w:rsidR="002A69D4" w:rsidRPr="006A5FE5">
        <w:t xml:space="preserve"> doctors were sincere in their beliefs and their opinions were within the realm of possibility.</w:t>
      </w:r>
      <w:r w:rsidR="00354BC3" w:rsidRPr="006A5FE5">
        <w:t xml:space="preserve"> If nothing else, </w:t>
      </w:r>
      <w:r w:rsidR="002A69D4" w:rsidRPr="006A5FE5">
        <w:t xml:space="preserve">because the </w:t>
      </w:r>
      <w:r w:rsidR="00354BC3" w:rsidRPr="006A5FE5">
        <w:t>B</w:t>
      </w:r>
      <w:r w:rsidR="002A69D4" w:rsidRPr="006A5FE5">
        <w:t xml:space="preserve">oard has the burden of proof, </w:t>
      </w:r>
      <w:r w:rsidR="00354BC3" w:rsidRPr="006A5FE5">
        <w:t>when</w:t>
      </w:r>
      <w:r w:rsidR="002A69D4" w:rsidRPr="006A5FE5">
        <w:t xml:space="preserve"> competing experts </w:t>
      </w:r>
      <w:r w:rsidR="005B3E28" w:rsidRPr="006A5FE5">
        <w:t>offer</w:t>
      </w:r>
      <w:r w:rsidR="002A69D4" w:rsidRPr="006A5FE5">
        <w:t xml:space="preserve"> </w:t>
      </w:r>
      <w:r w:rsidR="005B3E28" w:rsidRPr="006A5FE5">
        <w:t xml:space="preserve">equally </w:t>
      </w:r>
      <w:r w:rsidR="009144D0">
        <w:t>plausible</w:t>
      </w:r>
      <w:r w:rsidR="005B3E28" w:rsidRPr="006A5FE5">
        <w:t xml:space="preserve"> opinions</w:t>
      </w:r>
      <w:r w:rsidR="00354BC3" w:rsidRPr="006A5FE5">
        <w:t xml:space="preserve"> “the</w:t>
      </w:r>
      <w:r w:rsidR="002A69D4" w:rsidRPr="006A5FE5">
        <w:t xml:space="preserve"> preponderance of the evidence</w:t>
      </w:r>
      <w:r w:rsidR="00354BC3" w:rsidRPr="006A5FE5">
        <w:t xml:space="preserve"> would favor neither party.” </w:t>
      </w:r>
      <w:r w:rsidR="00354BC3" w:rsidRPr="006A5FE5">
        <w:rPr>
          <w:i/>
          <w:iCs/>
        </w:rPr>
        <w:t>See BRM v. Peters</w:t>
      </w:r>
      <w:r w:rsidR="00354BC3" w:rsidRPr="006A5FE5">
        <w:t>, RM-20-0299 (DALA Sep</w:t>
      </w:r>
      <w:r w:rsidR="006F04DD">
        <w:t>t</w:t>
      </w:r>
      <w:r w:rsidR="00354BC3" w:rsidRPr="006A5FE5">
        <w:t>. 30, 2021)</w:t>
      </w:r>
      <w:r w:rsidR="00C743A3" w:rsidRPr="006A5FE5">
        <w:t xml:space="preserve"> </w:t>
      </w:r>
      <w:r w:rsidR="00C743A3" w:rsidRPr="006A5FE5">
        <w:rPr>
          <w:i/>
          <w:iCs/>
        </w:rPr>
        <w:t>adopted in part</w:t>
      </w:r>
      <w:r w:rsidR="00C743A3" w:rsidRPr="006A5FE5">
        <w:t xml:space="preserve"> by Board, Feb. 17, </w:t>
      </w:r>
      <w:r w:rsidR="00C743A3" w:rsidRPr="00DC6957">
        <w:t>2022</w:t>
      </w:r>
      <w:r w:rsidR="0065549F" w:rsidRPr="00DC6957">
        <w:t xml:space="preserve">; </w:t>
      </w:r>
      <w:r w:rsidR="0065549F" w:rsidRPr="00DC6957">
        <w:rPr>
          <w:i/>
          <w:iCs/>
        </w:rPr>
        <w:t xml:space="preserve">cf. </w:t>
      </w:r>
      <w:r w:rsidR="00DC6957" w:rsidRPr="00DC6957">
        <w:rPr>
          <w:i/>
          <w:iCs/>
          <w:shd w:val="clear" w:color="auto" w:fill="FFFFFF"/>
        </w:rPr>
        <w:t xml:space="preserve">Commonwealth v. </w:t>
      </w:r>
      <w:r w:rsidR="0065549F" w:rsidRPr="00DC6957">
        <w:rPr>
          <w:rStyle w:val="counderline"/>
          <w:i/>
          <w:iCs/>
          <w:bdr w:val="none" w:sz="0" w:space="0" w:color="auto" w:frame="1"/>
          <w:shd w:val="clear" w:color="auto" w:fill="FFFFFF"/>
        </w:rPr>
        <w:t>Berry</w:t>
      </w:r>
      <w:r w:rsidR="0065549F" w:rsidRPr="00DC6957">
        <w:rPr>
          <w:bdr w:val="none" w:sz="0" w:space="0" w:color="auto" w:frame="1"/>
          <w:shd w:val="clear" w:color="auto" w:fill="FFFFFF"/>
        </w:rPr>
        <w:t xml:space="preserve">, 393 Mass. </w:t>
      </w:r>
      <w:r w:rsidR="00DC6957" w:rsidRPr="00DC6957">
        <w:rPr>
          <w:bdr w:val="none" w:sz="0" w:space="0" w:color="auto" w:frame="1"/>
          <w:shd w:val="clear" w:color="auto" w:fill="FFFFFF"/>
        </w:rPr>
        <w:t xml:space="preserve">793, </w:t>
      </w:r>
      <w:r w:rsidR="0065549F" w:rsidRPr="00DC6957">
        <w:rPr>
          <w:bdr w:val="none" w:sz="0" w:space="0" w:color="auto" w:frame="1"/>
          <w:shd w:val="clear" w:color="auto" w:fill="FFFFFF"/>
        </w:rPr>
        <w:t>796</w:t>
      </w:r>
      <w:r w:rsidR="00DC6957">
        <w:rPr>
          <w:bdr w:val="none" w:sz="0" w:space="0" w:color="auto" w:frame="1"/>
          <w:shd w:val="clear" w:color="auto" w:fill="FFFFFF"/>
        </w:rPr>
        <w:t xml:space="preserve"> </w:t>
      </w:r>
      <w:r w:rsidR="00DC6957">
        <w:rPr>
          <w:bdr w:val="none" w:sz="0" w:space="0" w:color="auto" w:frame="1"/>
          <w:shd w:val="clear" w:color="auto" w:fill="FFFFFF"/>
        </w:rPr>
        <w:lastRenderedPageBreak/>
        <w:t>(1985)</w:t>
      </w:r>
      <w:r w:rsidR="0065549F" w:rsidRPr="00DC6957">
        <w:rPr>
          <w:bdr w:val="none" w:sz="0" w:space="0" w:color="auto" w:frame="1"/>
          <w:shd w:val="clear" w:color="auto" w:fill="FFFFFF"/>
        </w:rPr>
        <w:t>,</w:t>
      </w:r>
      <w:r w:rsidR="00DC6957" w:rsidRPr="00DC6957">
        <w:rPr>
          <w:bdr w:val="none" w:sz="0" w:space="0" w:color="auto" w:frame="1"/>
          <w:shd w:val="clear" w:color="auto" w:fill="FFFFFF"/>
        </w:rPr>
        <w:t xml:space="preserve"> </w:t>
      </w:r>
      <w:r w:rsidR="00DC6957" w:rsidRPr="00DC6957">
        <w:rPr>
          <w:i/>
          <w:iCs/>
          <w:bdr w:val="none" w:sz="0" w:space="0" w:color="auto" w:frame="1"/>
          <w:shd w:val="clear" w:color="auto" w:fill="FFFFFF"/>
        </w:rPr>
        <w:t>citing</w:t>
      </w:r>
      <w:r w:rsidR="00DC6957" w:rsidRPr="00DC6957">
        <w:rPr>
          <w:bdr w:val="none" w:sz="0" w:space="0" w:color="auto" w:frame="1"/>
          <w:shd w:val="clear" w:color="auto" w:fill="FFFFFF"/>
        </w:rPr>
        <w:t xml:space="preserve"> </w:t>
      </w:r>
      <w:r w:rsidR="00DC6957" w:rsidRPr="00DC6957">
        <w:rPr>
          <w:i/>
          <w:iCs/>
          <w:bdr w:val="none" w:sz="0" w:space="0" w:color="auto" w:frame="1"/>
          <w:shd w:val="clear" w:color="auto" w:fill="FFFFFF"/>
        </w:rPr>
        <w:t>Commonwealth v. Carter</w:t>
      </w:r>
      <w:r w:rsidR="0065549F" w:rsidRPr="00DC6957">
        <w:rPr>
          <w:bdr w:val="none" w:sz="0" w:space="0" w:color="auto" w:frame="1"/>
          <w:shd w:val="clear" w:color="auto" w:fill="FFFFFF"/>
        </w:rPr>
        <w:t>, 306 Mass. 141,</w:t>
      </w:r>
      <w:r w:rsidR="00DC6957" w:rsidRPr="00DC6957">
        <w:rPr>
          <w:bdr w:val="none" w:sz="0" w:space="0" w:color="auto" w:frame="1"/>
          <w:shd w:val="clear" w:color="auto" w:fill="FFFFFF"/>
        </w:rPr>
        <w:t xml:space="preserve"> 147 (1940) (“When the evidence tends equally to sustain either of two inconsistent propositions, neither of them can be said to have been established by legitimate proof.”).</w:t>
      </w:r>
    </w:p>
    <w:p w14:paraId="7F9DD612" w14:textId="0B87C645" w:rsidR="00FE2A86" w:rsidRPr="006A5FE5" w:rsidRDefault="00C743A3" w:rsidP="0012141D">
      <w:pPr>
        <w:pStyle w:val="le-normal-32-level"/>
        <w:shd w:val="clear" w:color="auto" w:fill="FFFFFF"/>
        <w:spacing w:before="0" w:beforeAutospacing="0" w:after="0" w:afterAutospacing="0" w:line="480" w:lineRule="auto"/>
        <w:ind w:firstLine="720"/>
        <w:rPr>
          <w:shd w:val="clear" w:color="auto" w:fill="FFFFFF"/>
        </w:rPr>
      </w:pPr>
      <w:r w:rsidRPr="006A5FE5">
        <w:t>However</w:t>
      </w:r>
      <w:r w:rsidR="002A69D4" w:rsidRPr="006A5FE5">
        <w:t xml:space="preserve">, although both experts were </w:t>
      </w:r>
      <w:r w:rsidR="001D1B3B">
        <w:t>qualified</w:t>
      </w:r>
      <w:r w:rsidR="002A69D4" w:rsidRPr="006A5FE5">
        <w:t>, Dr. Van Dam was more knowledgeable and persuasive</w:t>
      </w:r>
      <w:r w:rsidR="00E7190B">
        <w:t>, as I shall explain</w:t>
      </w:r>
      <w:r w:rsidR="002A69D4" w:rsidRPr="006A5FE5">
        <w:t>. Th</w:t>
      </w:r>
      <w:r w:rsidR="00404CEF">
        <w:t>at</w:t>
      </w:r>
      <w:r w:rsidR="002A69D4" w:rsidRPr="006A5FE5">
        <w:t xml:space="preserve"> makes his opinion more c</w:t>
      </w:r>
      <w:r w:rsidR="001D1B3B">
        <w:t>redible</w:t>
      </w:r>
      <w:r w:rsidR="002A69D4" w:rsidRPr="006A5FE5">
        <w:t xml:space="preserve"> as to what occurred here.</w:t>
      </w:r>
      <w:r w:rsidR="005D1CD4" w:rsidRPr="006A5FE5">
        <w:t xml:space="preserve"> I accept his </w:t>
      </w:r>
      <w:r w:rsidR="005B3E28" w:rsidRPr="006A5FE5">
        <w:t xml:space="preserve">ultimate </w:t>
      </w:r>
      <w:r w:rsidR="005D1CD4" w:rsidRPr="006A5FE5">
        <w:t>opinion</w:t>
      </w:r>
      <w:r w:rsidR="005B3E28" w:rsidRPr="006A5FE5">
        <w:t xml:space="preserve"> on the appropriate standard of care in this case</w:t>
      </w:r>
      <w:r w:rsidR="005D1CD4" w:rsidRPr="006A5FE5">
        <w:t xml:space="preserve"> and disregard Dr. Angel’s.</w:t>
      </w:r>
      <w:r w:rsidR="00CA54E4" w:rsidRPr="006A5FE5">
        <w:t xml:space="preserve"> </w:t>
      </w:r>
      <w:r w:rsidR="00CA54E4" w:rsidRPr="006A5FE5">
        <w:rPr>
          <w:i/>
          <w:iCs/>
        </w:rPr>
        <w:t>See</w:t>
      </w:r>
      <w:r w:rsidR="00FE2A86" w:rsidRPr="006A5FE5">
        <w:t xml:space="preserve"> </w:t>
      </w:r>
      <w:r w:rsidR="00FE2A86" w:rsidRPr="006A5FE5">
        <w:rPr>
          <w:i/>
          <w:iCs/>
        </w:rPr>
        <w:t>Robinson v. CRAB</w:t>
      </w:r>
      <w:r w:rsidR="00FE2A86" w:rsidRPr="006A5FE5">
        <w:t>, 20 Mass. App. Ct. 634</w:t>
      </w:r>
      <w:r w:rsidR="00CA54E4" w:rsidRPr="006A5FE5">
        <w:t>, 639</w:t>
      </w:r>
      <w:r w:rsidR="00FE2A86" w:rsidRPr="006A5FE5">
        <w:t xml:space="preserve"> (1985)</w:t>
      </w:r>
      <w:r w:rsidR="0008752A" w:rsidRPr="006A5FE5">
        <w:t xml:space="preserve"> </w:t>
      </w:r>
      <w:r w:rsidR="00CA54E4" w:rsidRPr="006A5FE5">
        <w:t>(“</w:t>
      </w:r>
      <w:r w:rsidR="00FE2A86" w:rsidRPr="006A5FE5">
        <w:rPr>
          <w:shd w:val="clear" w:color="auto" w:fill="FFFFFF"/>
        </w:rPr>
        <w:t>The probative value of the expert testimony is for the fact-finding tribunal to decide, and where there is conflicting expert testimony, the fact finder may completely discount the testimony of one expert and rely exclusively on the other.</w:t>
      </w:r>
      <w:r w:rsidR="00CA54E4" w:rsidRPr="006A5FE5">
        <w:rPr>
          <w:shd w:val="clear" w:color="auto" w:fill="FFFFFF"/>
        </w:rPr>
        <w:t>”).</w:t>
      </w:r>
      <w:r w:rsidR="00FE2A86" w:rsidRPr="006A5FE5">
        <w:rPr>
          <w:shd w:val="clear" w:color="auto" w:fill="FFFFFF"/>
        </w:rPr>
        <w:t xml:space="preserve"> </w:t>
      </w:r>
    </w:p>
    <w:p w14:paraId="0E611144" w14:textId="294C7337" w:rsidR="00CE62AD" w:rsidRPr="006A5FE5" w:rsidRDefault="00CE62AD" w:rsidP="0012141D">
      <w:pPr>
        <w:pStyle w:val="le-normal-32-level"/>
        <w:shd w:val="clear" w:color="auto" w:fill="FFFFFF"/>
        <w:spacing w:before="0" w:beforeAutospacing="0" w:after="0" w:afterAutospacing="0" w:line="480" w:lineRule="auto"/>
      </w:pPr>
      <w:r w:rsidRPr="006A5FE5">
        <w:tab/>
        <w:t>Dr. Angel look</w:t>
      </w:r>
      <w:r w:rsidR="002A69D4" w:rsidRPr="006A5FE5">
        <w:t>ed</w:t>
      </w:r>
      <w:r w:rsidRPr="006A5FE5">
        <w:t xml:space="preserve"> at the case through hindsight, as opposed to </w:t>
      </w:r>
      <w:r w:rsidR="002A69D4" w:rsidRPr="006A5FE5">
        <w:t xml:space="preserve">looking at </w:t>
      </w:r>
      <w:r w:rsidRPr="006A5FE5">
        <w:t xml:space="preserve">what data was in front of </w:t>
      </w:r>
      <w:r w:rsidR="00D052DB" w:rsidRPr="006A5FE5">
        <w:t>the Respondent</w:t>
      </w:r>
      <w:r w:rsidR="002A69D4" w:rsidRPr="006A5FE5">
        <w:t xml:space="preserve"> at the time</w:t>
      </w:r>
      <w:r w:rsidRPr="006A5FE5">
        <w:t>. All of Patient A’s vital signs were normal. Patient A’s pulmonary exam revealed no issues.</w:t>
      </w:r>
      <w:r w:rsidR="002A69D4" w:rsidRPr="006A5FE5">
        <w:t xml:space="preserve"> Nothing in her presentation at the time would have suggested any problems with her lungs, let alone a bacterial infection—and certainly not sepsis.</w:t>
      </w:r>
      <w:r w:rsidRPr="006A5FE5">
        <w:t xml:space="preserve"> The most Dr. Angel c</w:t>
      </w:r>
      <w:r w:rsidR="00CA54E4" w:rsidRPr="006A5FE5">
        <w:t>ould</w:t>
      </w:r>
      <w:r w:rsidRPr="006A5FE5">
        <w:t xml:space="preserve"> say is that some of </w:t>
      </w:r>
      <w:r w:rsidR="002A69D4" w:rsidRPr="006A5FE5">
        <w:t>Patient A’s</w:t>
      </w:r>
      <w:r w:rsidRPr="006A5FE5">
        <w:t xml:space="preserve"> vitals were </w:t>
      </w:r>
      <w:r w:rsidR="002A69D4" w:rsidRPr="006A5FE5">
        <w:t>“</w:t>
      </w:r>
      <w:r w:rsidRPr="006A5FE5">
        <w:t>borderline</w:t>
      </w:r>
      <w:r w:rsidR="002A69D4" w:rsidRPr="006A5FE5">
        <w:t>”</w:t>
      </w:r>
      <w:r w:rsidRPr="006A5FE5">
        <w:t xml:space="preserve"> normal</w:t>
      </w:r>
      <w:r w:rsidR="00105889" w:rsidRPr="006A5FE5">
        <w:t>.</w:t>
      </w:r>
      <w:r w:rsidRPr="006A5FE5">
        <w:t xml:space="preserve"> </w:t>
      </w:r>
      <w:r w:rsidR="00105889" w:rsidRPr="006A5FE5">
        <w:t>B</w:t>
      </w:r>
      <w:r w:rsidRPr="006A5FE5">
        <w:t>ut borderline normal is still normal.</w:t>
      </w:r>
      <w:r w:rsidR="00105889" w:rsidRPr="006A5FE5">
        <w:t xml:space="preserve"> His testimony that “borderline” normal is somehow abnormal was not credible.</w:t>
      </w:r>
      <w:r w:rsidRPr="006A5FE5">
        <w:t xml:space="preserve"> </w:t>
      </w:r>
      <w:r w:rsidR="00CA54E4" w:rsidRPr="006A5FE5">
        <w:t xml:space="preserve">What is </w:t>
      </w:r>
      <w:r w:rsidRPr="006A5FE5">
        <w:t xml:space="preserve">the significance of </w:t>
      </w:r>
      <w:r w:rsidR="0008752A" w:rsidRPr="006A5FE5">
        <w:t>delineating</w:t>
      </w:r>
      <w:r w:rsidRPr="006A5FE5">
        <w:t xml:space="preserve"> a normal range if data within that range </w:t>
      </w:r>
      <w:r w:rsidR="00105889" w:rsidRPr="006A5FE5">
        <w:t>is interpreted as</w:t>
      </w:r>
      <w:r w:rsidRPr="006A5FE5">
        <w:t xml:space="preserve"> problematic</w:t>
      </w:r>
      <w:r w:rsidR="00CA54E4" w:rsidRPr="006A5FE5">
        <w:t>?</w:t>
      </w:r>
      <w:r w:rsidR="00862A65" w:rsidRPr="006A5FE5">
        <w:t xml:space="preserve"> Moreover, h</w:t>
      </w:r>
      <w:r w:rsidR="00CA54E4" w:rsidRPr="006A5FE5">
        <w:t xml:space="preserve">is skepticism </w:t>
      </w:r>
      <w:r w:rsidR="0008752A" w:rsidRPr="006A5FE5">
        <w:t>about whether</w:t>
      </w:r>
      <w:r w:rsidR="00CA54E4" w:rsidRPr="006A5FE5">
        <w:t xml:space="preserve"> her pulse was </w:t>
      </w:r>
      <w:r w:rsidR="0008752A" w:rsidRPr="006A5FE5">
        <w:t>actually</w:t>
      </w:r>
      <w:r w:rsidR="00CA54E4" w:rsidRPr="006A5FE5">
        <w:t xml:space="preserve"> normal</w:t>
      </w:r>
      <w:r w:rsidR="0008752A" w:rsidRPr="006A5FE5">
        <w:t>,</w:t>
      </w:r>
      <w:r w:rsidR="00862A65" w:rsidRPr="006A5FE5">
        <w:t xml:space="preserve"> because she had a pacemaker</w:t>
      </w:r>
      <w:r w:rsidR="0008752A" w:rsidRPr="006A5FE5">
        <w:t>,</w:t>
      </w:r>
      <w:r w:rsidR="00CA54E4" w:rsidRPr="006A5FE5">
        <w:t xml:space="preserve"> reflected a misunderstanding of how pacemakers work</w:t>
      </w:r>
      <w:r w:rsidR="00862A65" w:rsidRPr="006A5FE5">
        <w:t>.</w:t>
      </w:r>
      <w:r w:rsidRPr="006A5FE5">
        <w:t xml:space="preserve"> </w:t>
      </w:r>
    </w:p>
    <w:p w14:paraId="6A525EB5" w14:textId="6B68B04C" w:rsidR="00CE62AD" w:rsidRPr="006A5FE5" w:rsidRDefault="00671CDC" w:rsidP="0012141D">
      <w:pPr>
        <w:pStyle w:val="le-normal-32-level"/>
        <w:shd w:val="clear" w:color="auto" w:fill="FFFFFF"/>
        <w:spacing w:before="0" w:beforeAutospacing="0" w:after="0" w:afterAutospacing="0" w:line="480" w:lineRule="auto"/>
      </w:pPr>
      <w:r w:rsidRPr="006A5FE5">
        <w:tab/>
        <w:t xml:space="preserve">Dr. Angel’s opinion that the “borderline” data was concerning because Patient A had a splenectomy </w:t>
      </w:r>
      <w:r w:rsidR="00CA54E4" w:rsidRPr="006A5FE5">
        <w:t xml:space="preserve">also </w:t>
      </w:r>
      <w:r w:rsidRPr="006A5FE5">
        <w:t xml:space="preserve">misses the point. </w:t>
      </w:r>
      <w:r w:rsidR="00E7190B">
        <w:t>Per Dr. Van Dam, n</w:t>
      </w:r>
      <w:r w:rsidR="00CE62AD" w:rsidRPr="006A5FE5">
        <w:t>ot having a spleen</w:t>
      </w:r>
      <w:r w:rsidR="00D052DB" w:rsidRPr="006A5FE5">
        <w:t>,</w:t>
      </w:r>
      <w:r w:rsidR="00CE62AD" w:rsidRPr="006A5FE5">
        <w:t xml:space="preserve"> in and of itself</w:t>
      </w:r>
      <w:r w:rsidR="00D052DB" w:rsidRPr="006A5FE5">
        <w:t>,</w:t>
      </w:r>
      <w:r w:rsidR="00CE62AD" w:rsidRPr="006A5FE5">
        <w:t xml:space="preserve"> does not ca</w:t>
      </w:r>
      <w:r w:rsidR="00105889" w:rsidRPr="006A5FE5">
        <w:t>u</w:t>
      </w:r>
      <w:r w:rsidR="00CE62AD" w:rsidRPr="006A5FE5">
        <w:t>se infection</w:t>
      </w:r>
      <w:r w:rsidR="00E7190B">
        <w:t xml:space="preserve">. </w:t>
      </w:r>
      <w:r w:rsidR="00CA54E4" w:rsidRPr="006A5FE5">
        <w:t>T</w:t>
      </w:r>
      <w:r w:rsidR="00CE62AD" w:rsidRPr="006A5FE5">
        <w:t xml:space="preserve">he fact that </w:t>
      </w:r>
      <w:r w:rsidR="00CA54E4" w:rsidRPr="006A5FE5">
        <w:t>Patient A</w:t>
      </w:r>
      <w:r w:rsidR="00CE62AD" w:rsidRPr="006A5FE5">
        <w:t xml:space="preserve"> had a splenectomy did</w:t>
      </w:r>
      <w:r w:rsidR="002A69D4" w:rsidRPr="006A5FE5">
        <w:t xml:space="preserve"> no</w:t>
      </w:r>
      <w:r w:rsidR="00CE62AD" w:rsidRPr="006A5FE5">
        <w:t>t matter</w:t>
      </w:r>
      <w:r w:rsidR="0017385A">
        <w:t xml:space="preserve"> </w:t>
      </w:r>
      <w:r w:rsidR="00CE62AD" w:rsidRPr="006A5FE5">
        <w:t>in diagnosing whether she had an infection.</w:t>
      </w:r>
      <w:r w:rsidR="002A69D4" w:rsidRPr="006A5FE5">
        <w:t xml:space="preserve"> </w:t>
      </w:r>
      <w:r w:rsidR="00E7190B">
        <w:t xml:space="preserve">It might have made her more </w:t>
      </w:r>
      <w:r w:rsidR="001B72A0">
        <w:t xml:space="preserve">prone to an infection, but on the day </w:t>
      </w:r>
      <w:r w:rsidR="001B72A0">
        <w:lastRenderedPageBreak/>
        <w:t>the Respondent examiner her, s</w:t>
      </w:r>
      <w:r w:rsidR="002A69D4" w:rsidRPr="006A5FE5">
        <w:t xml:space="preserve">he either had, or did not have, an infection. </w:t>
      </w:r>
      <w:r w:rsidR="00E7190B">
        <w:t>W</w:t>
      </w:r>
      <w:r w:rsidR="009144D0">
        <w:t>hen the Respondent treated Patient A</w:t>
      </w:r>
      <w:r w:rsidR="002A69D4" w:rsidRPr="006A5FE5">
        <w:t>, no data supported a</w:t>
      </w:r>
      <w:r w:rsidR="009144D0">
        <w:t xml:space="preserve"> diagnosis of an</w:t>
      </w:r>
      <w:r w:rsidR="002A69D4" w:rsidRPr="006A5FE5">
        <w:t xml:space="preserve"> infection—certainly not bacterial infection of the lungs</w:t>
      </w:r>
      <w:r w:rsidR="0008752A" w:rsidRPr="006A5FE5">
        <w:t xml:space="preserve"> or sepsis</w:t>
      </w:r>
      <w:r w:rsidR="002A69D4" w:rsidRPr="006A5FE5">
        <w:t xml:space="preserve">. </w:t>
      </w:r>
    </w:p>
    <w:p w14:paraId="11607303" w14:textId="3F8BC235" w:rsidR="00CA54E4" w:rsidRPr="006A5FE5" w:rsidRDefault="00CA54E4" w:rsidP="0012141D">
      <w:pPr>
        <w:pStyle w:val="le-normal-32-level"/>
        <w:shd w:val="clear" w:color="auto" w:fill="FFFFFF"/>
        <w:spacing w:before="0" w:beforeAutospacing="0" w:after="0" w:afterAutospacing="0" w:line="480" w:lineRule="auto"/>
      </w:pPr>
      <w:r w:rsidRPr="006A5FE5">
        <w:tab/>
        <w:t>Dr. Angel’s opinion is basically that if a patient is more susceptible to an infection, you should</w:t>
      </w:r>
      <w:r w:rsidR="0008752A" w:rsidRPr="006A5FE5">
        <w:t xml:space="preserve"> test and/or</w:t>
      </w:r>
      <w:r w:rsidRPr="006A5FE5">
        <w:t xml:space="preserve"> treat them for an infection even if the data does not indicate </w:t>
      </w:r>
      <w:r w:rsidR="0008752A" w:rsidRPr="006A5FE5">
        <w:t xml:space="preserve">they have </w:t>
      </w:r>
      <w:r w:rsidRPr="006A5FE5">
        <w:t xml:space="preserve">an infection. </w:t>
      </w:r>
      <w:r w:rsidR="001B72A0">
        <w:t>He did not present evidence</w:t>
      </w:r>
      <w:r w:rsidRPr="006A5FE5">
        <w:t xml:space="preserve"> that </w:t>
      </w:r>
      <w:r w:rsidR="001B72A0">
        <w:t>th</w:t>
      </w:r>
      <w:r w:rsidRPr="006A5FE5">
        <w:t>is the prevailing standard of care.</w:t>
      </w:r>
    </w:p>
    <w:p w14:paraId="455AC43E" w14:textId="6A77C732" w:rsidR="00CA54E4" w:rsidRPr="006A5FE5" w:rsidRDefault="00C91B93" w:rsidP="0012141D">
      <w:pPr>
        <w:pStyle w:val="le-normal-32-level"/>
        <w:shd w:val="clear" w:color="auto" w:fill="FFFFFF"/>
        <w:spacing w:before="0" w:beforeAutospacing="0" w:after="0" w:afterAutospacing="0" w:line="480" w:lineRule="auto"/>
      </w:pPr>
      <w:r w:rsidRPr="006A5FE5">
        <w:tab/>
        <w:t>Dr. Van Dam was more knowledgeable. His explanation of wh</w:t>
      </w:r>
      <w:r w:rsidR="00862A65" w:rsidRPr="006A5FE5">
        <w:t>ich</w:t>
      </w:r>
      <w:r w:rsidRPr="006A5FE5">
        <w:t xml:space="preserve"> data is considered to be within normal limits made more sense.</w:t>
      </w:r>
      <w:r w:rsidR="00862A65" w:rsidRPr="006A5FE5">
        <w:t xml:space="preserve"> He reinforced his opinion by consulting with research before testifying. </w:t>
      </w:r>
      <w:r w:rsidRPr="006A5FE5">
        <w:t>He understood and explained better how a pacemaker worked</w:t>
      </w:r>
      <w:r w:rsidR="002A69D4" w:rsidRPr="006A5FE5">
        <w:t>;</w:t>
      </w:r>
      <w:r w:rsidRPr="006A5FE5">
        <w:t xml:space="preserve"> </w:t>
      </w:r>
      <w:r w:rsidR="002A69D4" w:rsidRPr="006A5FE5">
        <w:t>he</w:t>
      </w:r>
      <w:r w:rsidRPr="006A5FE5">
        <w:t xml:space="preserve"> pointed out that a pacemaker would never prevent someone’s heart from beating, and certainly not to 76 beats</w:t>
      </w:r>
      <w:r w:rsidR="0008752A" w:rsidRPr="006A5FE5">
        <w:t xml:space="preserve"> per minute</w:t>
      </w:r>
      <w:r w:rsidRPr="006A5FE5">
        <w:t xml:space="preserve">. He was familiar with objective tests which measure someone’s risk of developing an infection. Given </w:t>
      </w:r>
      <w:r w:rsidR="00A50F0B">
        <w:t>P</w:t>
      </w:r>
      <w:r w:rsidRPr="006A5FE5">
        <w:t xml:space="preserve">atient A’s presentation, these objective tests indicated her risk </w:t>
      </w:r>
      <w:r w:rsidR="00105889" w:rsidRPr="006A5FE5">
        <w:t xml:space="preserve">to develop an infection </w:t>
      </w:r>
      <w:r w:rsidRPr="006A5FE5">
        <w:t>when she went to urgent care would have been virtually zero.</w:t>
      </w:r>
    </w:p>
    <w:p w14:paraId="6F840FC7" w14:textId="75B14D7A" w:rsidR="00CE62AD" w:rsidRPr="006A5FE5" w:rsidRDefault="00CA54E4" w:rsidP="0012141D">
      <w:pPr>
        <w:pStyle w:val="le-normal-32-level"/>
        <w:shd w:val="clear" w:color="auto" w:fill="FFFFFF"/>
        <w:spacing w:before="0" w:beforeAutospacing="0" w:after="0" w:afterAutospacing="0" w:line="480" w:lineRule="auto"/>
        <w:ind w:firstLine="720"/>
      </w:pPr>
      <w:r w:rsidRPr="006A5FE5">
        <w:t xml:space="preserve">Dr. Van Dam also paid attention to detail. For example, he noted that Patient A had a residual spleen. He </w:t>
      </w:r>
      <w:r w:rsidR="00D052DB" w:rsidRPr="006A5FE5">
        <w:t xml:space="preserve">also </w:t>
      </w:r>
      <w:r w:rsidRPr="006A5FE5">
        <w:t xml:space="preserve">could not definitively say Patient A died of pneumococcal or streptococcal bacteria because there was no pneumococcal culture taken at her autopsy. </w:t>
      </w:r>
      <w:r w:rsidR="0008752A" w:rsidRPr="006A5FE5">
        <w:t>Yet, h</w:t>
      </w:r>
      <w:r w:rsidRPr="006A5FE5">
        <w:t xml:space="preserve">is attention to detail did not distract </w:t>
      </w:r>
      <w:r w:rsidR="0008752A" w:rsidRPr="006A5FE5">
        <w:t xml:space="preserve">from </w:t>
      </w:r>
      <w:r w:rsidRPr="006A5FE5">
        <w:t xml:space="preserve">his opinion. He still explained that the presence of a residual </w:t>
      </w:r>
      <w:r w:rsidR="001B72A0">
        <w:t>spleen</w:t>
      </w:r>
      <w:r w:rsidRPr="006A5FE5">
        <w:t xml:space="preserve"> in this case made little difference to the ultimate question. And he agreed Patient A likely died of pneumococcal bacteria</w:t>
      </w:r>
      <w:r w:rsidR="0008752A" w:rsidRPr="006A5FE5">
        <w:t>, notwithstanding the lack of testing</w:t>
      </w:r>
      <w:r w:rsidRPr="006A5FE5">
        <w:t xml:space="preserve">. </w:t>
      </w:r>
      <w:r w:rsidR="0017385A">
        <w:t>T</w:t>
      </w:r>
      <w:r w:rsidRPr="006A5FE5">
        <w:t>his attention to detail inform</w:t>
      </w:r>
      <w:r w:rsidR="0008752A" w:rsidRPr="006A5FE5">
        <w:t>s</w:t>
      </w:r>
      <w:r w:rsidRPr="006A5FE5">
        <w:t xml:space="preserve"> my assessment of his entire testimony.</w:t>
      </w:r>
      <w:r w:rsidR="0008752A" w:rsidRPr="006A5FE5">
        <w:t xml:space="preserve"> His overall presentation was more credible because of it.</w:t>
      </w:r>
    </w:p>
    <w:p w14:paraId="7D76851A" w14:textId="0307308E" w:rsidR="00105889" w:rsidRPr="006A5FE5" w:rsidRDefault="00105889" w:rsidP="0012141D">
      <w:pPr>
        <w:pStyle w:val="le-normal-32-level"/>
        <w:shd w:val="clear" w:color="auto" w:fill="FFFFFF"/>
        <w:spacing w:before="0" w:beforeAutospacing="0" w:after="0" w:afterAutospacing="0" w:line="480" w:lineRule="auto"/>
      </w:pPr>
      <w:r w:rsidRPr="006A5FE5">
        <w:lastRenderedPageBreak/>
        <w:tab/>
        <w:t xml:space="preserve">His explanation that it is possible for a patient to </w:t>
      </w:r>
      <w:r w:rsidR="001D1B3B">
        <w:t>be infection-free</w:t>
      </w:r>
      <w:r w:rsidRPr="006A5FE5">
        <w:t xml:space="preserve"> one day, and then have an infection the next day, </w:t>
      </w:r>
      <w:r w:rsidR="00DC6957">
        <w:t>is the most reasonable explanation of what occurred here.</w:t>
      </w:r>
      <w:r w:rsidR="00D8434A">
        <w:rPr>
          <w:rStyle w:val="FootnoteReference"/>
        </w:rPr>
        <w:footnoteReference w:id="8"/>
      </w:r>
      <w:r w:rsidR="00FE653C" w:rsidRPr="006A5FE5">
        <w:t xml:space="preserve"> </w:t>
      </w:r>
      <w:r w:rsidRPr="006A5FE5">
        <w:t xml:space="preserve">Patient A </w:t>
      </w:r>
      <w:r w:rsidR="00862A65" w:rsidRPr="006A5FE5">
        <w:t>could</w:t>
      </w:r>
      <w:r w:rsidRPr="006A5FE5">
        <w:t xml:space="preserve"> have had a virus, for example, which amplified her susceptibility to develop an infection; but she may not have </w:t>
      </w:r>
      <w:r w:rsidR="00CA54E4" w:rsidRPr="006A5FE5">
        <w:t xml:space="preserve">yet </w:t>
      </w:r>
      <w:r w:rsidRPr="006A5FE5">
        <w:t xml:space="preserve">developed the infection when she went to urgent care. </w:t>
      </w:r>
      <w:r w:rsidR="00D052DB" w:rsidRPr="006A5FE5">
        <w:t>The Respondent</w:t>
      </w:r>
      <w:r w:rsidRPr="006A5FE5">
        <w:t xml:space="preserve"> could not foresee that would happen</w:t>
      </w:r>
      <w:r w:rsidR="00862A65" w:rsidRPr="006A5FE5">
        <w:t>.</w:t>
      </w:r>
      <w:r w:rsidRPr="006A5FE5">
        <w:t xml:space="preserve"> </w:t>
      </w:r>
      <w:r w:rsidR="00862A65" w:rsidRPr="006A5FE5">
        <w:t>Yet</w:t>
      </w:r>
      <w:r w:rsidR="001B72A0">
        <w:t>,</w:t>
      </w:r>
      <w:r w:rsidRPr="006A5FE5">
        <w:t xml:space="preserve"> he covered his bases by telling her </w:t>
      </w:r>
      <w:r w:rsidR="0008752A" w:rsidRPr="006A5FE5">
        <w:t xml:space="preserve">that </w:t>
      </w:r>
      <w:r w:rsidRPr="006A5FE5">
        <w:t>if her symptoms persisted or worsen</w:t>
      </w:r>
      <w:r w:rsidR="00862A65" w:rsidRPr="006A5FE5">
        <w:t>ed</w:t>
      </w:r>
      <w:r w:rsidRPr="006A5FE5">
        <w:t xml:space="preserve">, she should go to the ER. </w:t>
      </w:r>
    </w:p>
    <w:p w14:paraId="062BD6F0" w14:textId="16C220E7" w:rsidR="009D631A" w:rsidRPr="006A5FE5" w:rsidRDefault="009D631A" w:rsidP="0012141D">
      <w:pPr>
        <w:pStyle w:val="le-normal-32-level"/>
        <w:shd w:val="clear" w:color="auto" w:fill="FFFFFF"/>
        <w:spacing w:before="0" w:beforeAutospacing="0" w:after="0" w:afterAutospacing="0" w:line="480" w:lineRule="auto"/>
      </w:pPr>
      <w:r w:rsidRPr="006A5FE5">
        <w:tab/>
        <w:t xml:space="preserve">To be sure, this is </w:t>
      </w:r>
      <w:r w:rsidR="00DF3319">
        <w:t xml:space="preserve">a </w:t>
      </w:r>
      <w:r w:rsidRPr="006A5FE5">
        <w:t>close case.</w:t>
      </w:r>
      <w:r w:rsidR="001D1B3B">
        <w:t xml:space="preserve"> However,</w:t>
      </w:r>
      <w:r w:rsidRPr="006A5FE5">
        <w:t xml:space="preserve"> </w:t>
      </w:r>
      <w:r w:rsidR="001D1B3B">
        <w:t>g</w:t>
      </w:r>
      <w:r w:rsidRPr="006A5FE5">
        <w:t xml:space="preserve">iven the “battle of experts,” and my assessment of Dr. Van Dam as more credible, the Board has not met its burden to show </w:t>
      </w:r>
      <w:r w:rsidR="00D052DB" w:rsidRPr="006A5FE5">
        <w:t>the Respondent’s</w:t>
      </w:r>
      <w:r w:rsidRPr="006A5FE5">
        <w:t xml:space="preserve"> conduct fell below the standard of care. </w:t>
      </w:r>
    </w:p>
    <w:p w14:paraId="72185FB6" w14:textId="28954A58" w:rsidR="0008752A" w:rsidRPr="006A5FE5" w:rsidRDefault="0008752A" w:rsidP="002442EA">
      <w:pPr>
        <w:pStyle w:val="le-normal-32-level"/>
        <w:numPr>
          <w:ilvl w:val="0"/>
          <w:numId w:val="6"/>
        </w:numPr>
        <w:shd w:val="clear" w:color="auto" w:fill="FFFFFF"/>
        <w:spacing w:before="0" w:beforeAutospacing="0" w:after="0" w:afterAutospacing="0" w:line="480" w:lineRule="auto"/>
      </w:pPr>
      <w:r w:rsidRPr="006A5FE5">
        <w:rPr>
          <w:b/>
          <w:bCs/>
          <w:u w:val="single"/>
        </w:rPr>
        <w:t>The Board failed to prove their case as a matter of law.</w:t>
      </w:r>
    </w:p>
    <w:p w14:paraId="30244D3D" w14:textId="6FB2C0EF" w:rsidR="00B57886" w:rsidRPr="006A5FE5" w:rsidRDefault="00B57886" w:rsidP="0012141D">
      <w:pPr>
        <w:pStyle w:val="le-normal-32-level"/>
        <w:shd w:val="clear" w:color="auto" w:fill="FFFFFF"/>
        <w:spacing w:before="0" w:beforeAutospacing="0" w:after="0" w:afterAutospacing="0" w:line="480" w:lineRule="auto"/>
        <w:ind w:firstLine="720"/>
      </w:pPr>
      <w:r w:rsidRPr="006A5FE5">
        <w:t xml:space="preserve">Although I find the Respondent’s conduct did not fall below the standard of care, I nevertheless address whether, if it did, he violated any </w:t>
      </w:r>
      <w:r w:rsidR="00124F49" w:rsidRPr="006A5FE5">
        <w:t>statute or regulations</w:t>
      </w:r>
      <w:r w:rsidRPr="006A5FE5">
        <w:t xml:space="preserve"> (should the Board disagree with my initial finding). </w:t>
      </w:r>
      <w:r w:rsidR="00DB0D75" w:rsidRPr="006A5FE5">
        <w:t>As a matter of law,</w:t>
      </w:r>
      <w:r w:rsidR="00DC6957">
        <w:t xml:space="preserve"> I find</w:t>
      </w:r>
      <w:r w:rsidR="00DB0D75" w:rsidRPr="006A5FE5">
        <w:t xml:space="preserve"> the Board did not prove the various elements necessary to support each theory.</w:t>
      </w:r>
    </w:p>
    <w:p w14:paraId="72D2CC92" w14:textId="5CE0B9D5" w:rsidR="00124F49" w:rsidRPr="006A5FE5" w:rsidRDefault="00124F49" w:rsidP="0012141D">
      <w:pPr>
        <w:pStyle w:val="le-normal-32-level"/>
        <w:numPr>
          <w:ilvl w:val="0"/>
          <w:numId w:val="5"/>
        </w:numPr>
        <w:shd w:val="clear" w:color="auto" w:fill="FFFFFF"/>
        <w:spacing w:before="0" w:beforeAutospacing="0" w:after="0" w:afterAutospacing="0" w:line="480" w:lineRule="auto"/>
        <w:rPr>
          <w:u w:val="single"/>
        </w:rPr>
      </w:pPr>
      <w:r w:rsidRPr="006A5FE5">
        <w:rPr>
          <w:u w:val="single"/>
        </w:rPr>
        <w:t>Respondent did not commit Gross Negligence</w:t>
      </w:r>
    </w:p>
    <w:p w14:paraId="01E707B1" w14:textId="53F75F01" w:rsidR="00D052DB" w:rsidRPr="006A5FE5" w:rsidRDefault="00CC6B49" w:rsidP="0012141D">
      <w:pPr>
        <w:pStyle w:val="le-normal-32-level"/>
        <w:shd w:val="clear" w:color="auto" w:fill="FFFFFF"/>
        <w:spacing w:before="0" w:beforeAutospacing="0" w:after="0" w:afterAutospacing="0" w:line="480" w:lineRule="auto"/>
        <w:ind w:firstLine="720"/>
        <w:rPr>
          <w:shd w:val="clear" w:color="auto" w:fill="FFFFFF"/>
        </w:rPr>
      </w:pPr>
      <w:r w:rsidRPr="006A5FE5">
        <w:t>E</w:t>
      </w:r>
      <w:r w:rsidR="00DB0D75" w:rsidRPr="006A5FE5">
        <w:t>ven the Board’s strongest presentation of the evidence does not support a finding of gross negligence. This was not a case where the Respondent</w:t>
      </w:r>
      <w:r w:rsidR="00937CDA" w:rsidRPr="006A5FE5">
        <w:t xml:space="preserve"> exhibited deliberate inattention</w:t>
      </w:r>
      <w:r w:rsidR="00124F49" w:rsidRPr="006A5FE5">
        <w:t>;</w:t>
      </w:r>
      <w:r w:rsidR="00937CDA" w:rsidRPr="006A5FE5">
        <w:t xml:space="preserve"> </w:t>
      </w:r>
      <w:r w:rsidR="00124F49" w:rsidRPr="006A5FE5">
        <w:t>n</w:t>
      </w:r>
      <w:r w:rsidR="00937CDA" w:rsidRPr="006A5FE5">
        <w:t>or</w:t>
      </w:r>
      <w:r w:rsidR="00124F49" w:rsidRPr="006A5FE5">
        <w:t xml:space="preserve"> did </w:t>
      </w:r>
      <w:r w:rsidR="00937CDA" w:rsidRPr="006A5FE5">
        <w:t>his</w:t>
      </w:r>
      <w:r w:rsidR="00DB0D75" w:rsidRPr="006A5FE5">
        <w:t xml:space="preserve"> conduct persist over a period of time. </w:t>
      </w:r>
      <w:r w:rsidR="00DB0D75" w:rsidRPr="006A5FE5">
        <w:rPr>
          <w:i/>
          <w:iCs/>
        </w:rPr>
        <w:t xml:space="preserve">See e.g. </w:t>
      </w:r>
      <w:r w:rsidR="00937CDA" w:rsidRPr="006A5FE5">
        <w:rPr>
          <w:i/>
          <w:iCs/>
        </w:rPr>
        <w:t>BRM v</w:t>
      </w:r>
      <w:r w:rsidR="00073079">
        <w:rPr>
          <w:i/>
          <w:iCs/>
        </w:rPr>
        <w:t>.</w:t>
      </w:r>
      <w:r w:rsidR="00937CDA" w:rsidRPr="006A5FE5">
        <w:rPr>
          <w:i/>
          <w:iCs/>
        </w:rPr>
        <w:t xml:space="preserve"> David</w:t>
      </w:r>
      <w:r w:rsidR="00937CDA" w:rsidRPr="006A5FE5">
        <w:t xml:space="preserve">, RM-18-0604 (DALA June 8, 2020), </w:t>
      </w:r>
      <w:r w:rsidR="00937CDA" w:rsidRPr="006A5FE5">
        <w:rPr>
          <w:i/>
          <w:iCs/>
        </w:rPr>
        <w:t xml:space="preserve">adopted by </w:t>
      </w:r>
      <w:r w:rsidR="00937CDA" w:rsidRPr="006A5FE5">
        <w:t>Board</w:t>
      </w:r>
      <w:r w:rsidR="00937CDA" w:rsidRPr="006A5FE5">
        <w:rPr>
          <w:i/>
          <w:iCs/>
        </w:rPr>
        <w:t xml:space="preserve">, </w:t>
      </w:r>
      <w:r w:rsidR="00937CDA" w:rsidRPr="006A5FE5">
        <w:t xml:space="preserve">Nov. 19, 2020, </w:t>
      </w:r>
      <w:r w:rsidR="00937CDA" w:rsidRPr="006A5FE5">
        <w:rPr>
          <w:i/>
          <w:iCs/>
        </w:rPr>
        <w:t xml:space="preserve">citing </w:t>
      </w:r>
      <w:r w:rsidR="00937CDA" w:rsidRPr="006A5FE5">
        <w:rPr>
          <w:i/>
          <w:iCs/>
          <w:shd w:val="clear" w:color="auto" w:fill="FFFFFF"/>
        </w:rPr>
        <w:t>Parsons v. Ameri</w:t>
      </w:r>
      <w:r w:rsidR="00937CDA" w:rsidRPr="006A5FE5">
        <w:rPr>
          <w:shd w:val="clear" w:color="auto" w:fill="FFFFFF"/>
        </w:rPr>
        <w:t>, 97 Mass. App. Ct. 96, 109 (2020).</w:t>
      </w:r>
      <w:r w:rsidR="00860F86" w:rsidRPr="006A5FE5">
        <w:rPr>
          <w:shd w:val="clear" w:color="auto" w:fill="FFFFFF"/>
        </w:rPr>
        <w:t xml:space="preserve"> The Board cites one case that comes close to the fact pattern here: </w:t>
      </w:r>
      <w:r w:rsidR="00860F86" w:rsidRPr="006A5FE5">
        <w:rPr>
          <w:i/>
          <w:iCs/>
          <w:shd w:val="clear" w:color="auto" w:fill="FFFFFF"/>
        </w:rPr>
        <w:t>BRM v. Williams</w:t>
      </w:r>
      <w:r w:rsidR="00860F86" w:rsidRPr="006A5FE5">
        <w:rPr>
          <w:shd w:val="clear" w:color="auto" w:fill="FFFFFF"/>
        </w:rPr>
        <w:t xml:space="preserve">, </w:t>
      </w:r>
      <w:r w:rsidR="00860F86" w:rsidRPr="006A5FE5">
        <w:rPr>
          <w:shd w:val="clear" w:color="auto" w:fill="FFFFFF"/>
        </w:rPr>
        <w:lastRenderedPageBreak/>
        <w:t>Case No. 2020-020 (</w:t>
      </w:r>
      <w:r w:rsidR="007015DC">
        <w:rPr>
          <w:shd w:val="clear" w:color="auto" w:fill="FFFFFF"/>
        </w:rPr>
        <w:t>B</w:t>
      </w:r>
      <w:r w:rsidR="004B6443">
        <w:rPr>
          <w:shd w:val="clear" w:color="auto" w:fill="FFFFFF"/>
        </w:rPr>
        <w:t>oard</w:t>
      </w:r>
      <w:r w:rsidR="00860F86" w:rsidRPr="006A5FE5">
        <w:rPr>
          <w:shd w:val="clear" w:color="auto" w:fill="FFFFFF"/>
        </w:rPr>
        <w:t xml:space="preserve"> April 8, 2021). Williams faile</w:t>
      </w:r>
      <w:r w:rsidR="00124F49" w:rsidRPr="006A5FE5">
        <w:rPr>
          <w:shd w:val="clear" w:color="auto" w:fill="FFFFFF"/>
        </w:rPr>
        <w:t>d</w:t>
      </w:r>
      <w:r w:rsidR="00860F86" w:rsidRPr="006A5FE5">
        <w:rPr>
          <w:shd w:val="clear" w:color="auto" w:fill="FFFFFF"/>
        </w:rPr>
        <w:t xml:space="preserve"> to properly diagnose a patient; the patient had bilateral pneumonia, but </w:t>
      </w:r>
      <w:r w:rsidR="00DC6957">
        <w:rPr>
          <w:shd w:val="clear" w:color="auto" w:fill="FFFFFF"/>
        </w:rPr>
        <w:t>Williams</w:t>
      </w:r>
      <w:r w:rsidR="00860F86" w:rsidRPr="006A5FE5">
        <w:rPr>
          <w:shd w:val="clear" w:color="auto" w:fill="FFFFFF"/>
        </w:rPr>
        <w:t xml:space="preserve"> failed to order tests to rule it out.</w:t>
      </w:r>
      <w:r w:rsidR="00D052DB" w:rsidRPr="006A5FE5">
        <w:rPr>
          <w:shd w:val="clear" w:color="auto" w:fill="FFFFFF"/>
        </w:rPr>
        <w:t xml:space="preserve"> There </w:t>
      </w:r>
      <w:r w:rsidR="00404CEF" w:rsidRPr="006A5FE5">
        <w:rPr>
          <w:shd w:val="clear" w:color="auto" w:fill="FFFFFF"/>
        </w:rPr>
        <w:t>were</w:t>
      </w:r>
      <w:r w:rsidR="00D052DB" w:rsidRPr="006A5FE5">
        <w:rPr>
          <w:shd w:val="clear" w:color="auto" w:fill="FFFFFF"/>
        </w:rPr>
        <w:t xml:space="preserve"> also additional aggravating factors</w:t>
      </w:r>
      <w:r w:rsidR="001D1B3B">
        <w:rPr>
          <w:shd w:val="clear" w:color="auto" w:fill="FFFFFF"/>
        </w:rPr>
        <w:t xml:space="preserve"> in </w:t>
      </w:r>
      <w:r w:rsidR="001D1B3B" w:rsidRPr="001D1B3B">
        <w:rPr>
          <w:i/>
          <w:iCs/>
          <w:shd w:val="clear" w:color="auto" w:fill="FFFFFF"/>
        </w:rPr>
        <w:t>Williams</w:t>
      </w:r>
      <w:r w:rsidR="001D1B3B">
        <w:rPr>
          <w:shd w:val="clear" w:color="auto" w:fill="FFFFFF"/>
        </w:rPr>
        <w:t xml:space="preserve"> </w:t>
      </w:r>
      <w:r w:rsidR="001B72A0">
        <w:rPr>
          <w:shd w:val="clear" w:color="auto" w:fill="FFFFFF"/>
        </w:rPr>
        <w:t>that</w:t>
      </w:r>
      <w:r w:rsidR="001D1B3B">
        <w:rPr>
          <w:shd w:val="clear" w:color="auto" w:fill="FFFFFF"/>
        </w:rPr>
        <w:t xml:space="preserve"> are</w:t>
      </w:r>
      <w:r w:rsidR="00D052DB" w:rsidRPr="006A5FE5">
        <w:rPr>
          <w:shd w:val="clear" w:color="auto" w:fill="FFFFFF"/>
        </w:rPr>
        <w:t xml:space="preserve"> not present here: Williams did not physically exam the patient directly, but merely relied on conversations with his physician assistant; and some of the patient’s symptoms were factors included in the </w:t>
      </w:r>
      <w:r w:rsidR="001B72A0" w:rsidRPr="001B72A0">
        <w:rPr>
          <w:shd w:val="clear" w:color="auto" w:fill="FFFFFF"/>
        </w:rPr>
        <w:t>Systemic Inflammatory Response Syndrome</w:t>
      </w:r>
      <w:r w:rsidR="001B72A0">
        <w:rPr>
          <w:shd w:val="clear" w:color="auto" w:fill="FFFFFF"/>
        </w:rPr>
        <w:t xml:space="preserve"> (“</w:t>
      </w:r>
      <w:r w:rsidR="00D052DB" w:rsidRPr="006A5FE5">
        <w:rPr>
          <w:shd w:val="clear" w:color="auto" w:fill="FFFFFF"/>
        </w:rPr>
        <w:t>SIRS</w:t>
      </w:r>
      <w:r w:rsidR="001B72A0">
        <w:rPr>
          <w:shd w:val="clear" w:color="auto" w:fill="FFFFFF"/>
        </w:rPr>
        <w:t>”)</w:t>
      </w:r>
      <w:r w:rsidR="00D052DB" w:rsidRPr="006A5FE5">
        <w:rPr>
          <w:shd w:val="clear" w:color="auto" w:fill="FFFFFF"/>
        </w:rPr>
        <w:t xml:space="preserve"> scoring system, an objective measure of risk of infection.</w:t>
      </w:r>
      <w:r w:rsidR="00860F86" w:rsidRPr="006A5FE5">
        <w:rPr>
          <w:shd w:val="clear" w:color="auto" w:fill="FFFFFF"/>
        </w:rPr>
        <w:t xml:space="preserve"> </w:t>
      </w:r>
    </w:p>
    <w:p w14:paraId="13894FA0" w14:textId="748B0A25" w:rsidR="00D052DB" w:rsidRPr="006A5FE5" w:rsidRDefault="00D052DB" w:rsidP="0012141D">
      <w:pPr>
        <w:pStyle w:val="le-normal-32-level"/>
        <w:shd w:val="clear" w:color="auto" w:fill="FFFFFF"/>
        <w:spacing w:before="0" w:beforeAutospacing="0" w:after="0" w:afterAutospacing="0" w:line="480" w:lineRule="auto"/>
        <w:ind w:firstLine="720"/>
        <w:rPr>
          <w:shd w:val="clear" w:color="auto" w:fill="FFFFFF"/>
        </w:rPr>
      </w:pPr>
      <w:r w:rsidRPr="006A5FE5">
        <w:rPr>
          <w:shd w:val="clear" w:color="auto" w:fill="FFFFFF"/>
        </w:rPr>
        <w:t>In contrast, the Respondent personally examined the patient. None of her symptoms were factors in any objective assessment of risk for infection. His diagnosis, even if mistaken, was understandable given the “bizarre” presentation of symptoms.</w:t>
      </w:r>
      <w:r w:rsidRPr="006A5FE5">
        <w:rPr>
          <w:rStyle w:val="FootnoteReference"/>
          <w:shd w:val="clear" w:color="auto" w:fill="FFFFFF"/>
        </w:rPr>
        <w:footnoteReference w:id="9"/>
      </w:r>
    </w:p>
    <w:p w14:paraId="7B150198" w14:textId="4C0D471C" w:rsidR="00124F49" w:rsidRPr="006A5FE5" w:rsidRDefault="00124F49" w:rsidP="0012141D">
      <w:pPr>
        <w:pStyle w:val="le-normal-32-level"/>
        <w:numPr>
          <w:ilvl w:val="0"/>
          <w:numId w:val="5"/>
        </w:numPr>
        <w:shd w:val="clear" w:color="auto" w:fill="FFFFFF"/>
        <w:spacing w:before="0" w:beforeAutospacing="0" w:after="0" w:afterAutospacing="0" w:line="480" w:lineRule="auto"/>
        <w:rPr>
          <w:u w:val="single"/>
        </w:rPr>
      </w:pPr>
      <w:r w:rsidRPr="006A5FE5">
        <w:rPr>
          <w:u w:val="single"/>
        </w:rPr>
        <w:t>Respondent did not commit negligence on repeated occasions</w:t>
      </w:r>
    </w:p>
    <w:p w14:paraId="073F4A2B" w14:textId="4A50F051" w:rsidR="000B0CC6" w:rsidRPr="006A5FE5" w:rsidRDefault="00CC6B49" w:rsidP="0012141D">
      <w:pPr>
        <w:pStyle w:val="le-normal-32-level"/>
        <w:shd w:val="clear" w:color="auto" w:fill="FFFFFF"/>
        <w:spacing w:before="0" w:beforeAutospacing="0" w:after="0" w:afterAutospacing="0" w:line="480" w:lineRule="auto"/>
      </w:pPr>
      <w:r w:rsidRPr="006A5FE5">
        <w:tab/>
        <w:t>I also disagree with the Board’s theory that the Respondent’s conduct could be considered negligence on repeated occasions. There is a</w:t>
      </w:r>
      <w:r w:rsidR="008B008D" w:rsidRPr="006A5FE5">
        <w:t>n open</w:t>
      </w:r>
      <w:r w:rsidRPr="006A5FE5">
        <w:t xml:space="preserve"> question as to whether “repeated occasions” </w:t>
      </w:r>
      <w:r w:rsidR="00404CEF">
        <w:t xml:space="preserve">can </w:t>
      </w:r>
      <w:r w:rsidRPr="006A5FE5">
        <w:t xml:space="preserve">mean multiple acts within one visit or, rather, it refers to acts over multiple visits. I can find no definitive case on point. The </w:t>
      </w:r>
      <w:r w:rsidRPr="006A5FE5">
        <w:rPr>
          <w:i/>
          <w:iCs/>
        </w:rPr>
        <w:t>Williams</w:t>
      </w:r>
      <w:r w:rsidRPr="006A5FE5">
        <w:t xml:space="preserve"> case is close, but it does not explain if </w:t>
      </w:r>
      <w:r w:rsidR="0054394A">
        <w:t>Williams</w:t>
      </w:r>
      <w:r w:rsidRPr="006A5FE5">
        <w:t xml:space="preserve"> committed negligence</w:t>
      </w:r>
      <w:r w:rsidR="008B008D" w:rsidRPr="006A5FE5">
        <w:t xml:space="preserve"> on repeated occasions</w:t>
      </w:r>
      <w:r w:rsidRPr="006A5FE5">
        <w:t xml:space="preserve"> or gross negligence. </w:t>
      </w:r>
      <w:r w:rsidR="000B0CC6" w:rsidRPr="006A5FE5">
        <w:t xml:space="preserve">Similar cases cited in </w:t>
      </w:r>
      <w:r w:rsidR="000B0CC6" w:rsidRPr="006A5FE5">
        <w:rPr>
          <w:i/>
          <w:iCs/>
        </w:rPr>
        <w:t>Williams</w:t>
      </w:r>
      <w:r w:rsidR="000B0CC6" w:rsidRPr="006A5FE5">
        <w:t xml:space="preserve"> are vague. In </w:t>
      </w:r>
      <w:r w:rsidR="000B0CC6" w:rsidRPr="006A5FE5">
        <w:rPr>
          <w:i/>
          <w:iCs/>
        </w:rPr>
        <w:t>Matter of Naiver Imam, M.D.,</w:t>
      </w:r>
      <w:r w:rsidR="000B0CC6" w:rsidRPr="006A5FE5">
        <w:t xml:space="preserve"> Board of Registration in Medicine, Adjudicatory Case No. 2021-009 (Consent Order, Mar</w:t>
      </w:r>
      <w:r w:rsidR="00F53B99">
        <w:t>.</w:t>
      </w:r>
      <w:r w:rsidR="000B0CC6" w:rsidRPr="006A5FE5">
        <w:t xml:space="preserve"> 11, 2021), the Board did not articulate </w:t>
      </w:r>
      <w:r w:rsidR="00404CEF">
        <w:t>the misconduct</w:t>
      </w:r>
      <w:r w:rsidR="00DC6957">
        <w:t>—it could have been gross negligence, negligence on repeated occasions, or malpractice</w:t>
      </w:r>
      <w:r w:rsidR="000B0CC6" w:rsidRPr="006A5FE5">
        <w:t xml:space="preserve">. In </w:t>
      </w:r>
      <w:r w:rsidR="000B0CC6" w:rsidRPr="006A5FE5">
        <w:rPr>
          <w:i/>
          <w:iCs/>
        </w:rPr>
        <w:t>Matter of Robert M. Shalvoy</w:t>
      </w:r>
      <w:r w:rsidR="000B0CC6" w:rsidRPr="006A5FE5">
        <w:t>,</w:t>
      </w:r>
      <w:r w:rsidR="000B0CC6" w:rsidRPr="0054394A">
        <w:rPr>
          <w:i/>
          <w:iCs/>
        </w:rPr>
        <w:t xml:space="preserve"> M.D.</w:t>
      </w:r>
      <w:r w:rsidR="000B0CC6" w:rsidRPr="006A5FE5">
        <w:t>, Board of Registration in Medicine, Adjudicatory Case No. 2009-035 (Consent Order, Nov</w:t>
      </w:r>
      <w:r w:rsidR="006049C9">
        <w:t>.</w:t>
      </w:r>
      <w:r w:rsidR="000B0CC6" w:rsidRPr="006A5FE5">
        <w:t xml:space="preserve"> 18, 2009)</w:t>
      </w:r>
      <w:r w:rsidR="00F4457E" w:rsidRPr="006A5FE5">
        <w:t xml:space="preserve"> and </w:t>
      </w:r>
      <w:r w:rsidR="00F4457E" w:rsidRPr="006A5FE5">
        <w:rPr>
          <w:i/>
          <w:iCs/>
        </w:rPr>
        <w:t>Matter of David Chapin</w:t>
      </w:r>
      <w:r w:rsidR="00F4457E" w:rsidRPr="006A5FE5">
        <w:t xml:space="preserve">, </w:t>
      </w:r>
      <w:r w:rsidR="00F4457E" w:rsidRPr="006A5FE5">
        <w:lastRenderedPageBreak/>
        <w:t>M.D., Board of Registration in Medicine, Adjudicatory Case No</w:t>
      </w:r>
      <w:r w:rsidR="00987209">
        <w:t>.</w:t>
      </w:r>
      <w:r w:rsidR="00F4457E" w:rsidRPr="006A5FE5">
        <w:t xml:space="preserve"> 04-53-XX (Consent Order, Nov</w:t>
      </w:r>
      <w:r w:rsidR="006049C9">
        <w:t>.</w:t>
      </w:r>
      <w:r w:rsidR="00F4457E" w:rsidRPr="006A5FE5">
        <w:t xml:space="preserve"> 7, 2004),</w:t>
      </w:r>
      <w:r w:rsidR="000B0CC6" w:rsidRPr="006A5FE5">
        <w:t xml:space="preserve"> the </w:t>
      </w:r>
      <w:r w:rsidR="00987209">
        <w:t>physicians</w:t>
      </w:r>
      <w:r w:rsidR="00987209" w:rsidRPr="006A5FE5">
        <w:t xml:space="preserve"> </w:t>
      </w:r>
      <w:r w:rsidR="000B0CC6" w:rsidRPr="006A5FE5">
        <w:t>w</w:t>
      </w:r>
      <w:r w:rsidR="00F4457E" w:rsidRPr="006A5FE5">
        <w:t>ere</w:t>
      </w:r>
      <w:r w:rsidR="000B0CC6" w:rsidRPr="006A5FE5">
        <w:t xml:space="preserve"> disciplined for committing malpractice</w:t>
      </w:r>
      <w:r w:rsidR="008B008D" w:rsidRPr="006A5FE5">
        <w:t>, not negligence</w:t>
      </w:r>
      <w:r w:rsidR="000B0CC6" w:rsidRPr="006A5FE5">
        <w:t xml:space="preserve">. In </w:t>
      </w:r>
      <w:r w:rsidR="000B0CC6" w:rsidRPr="006A5FE5">
        <w:rPr>
          <w:i/>
          <w:iCs/>
        </w:rPr>
        <w:t>Matter of John Clapp</w:t>
      </w:r>
      <w:r w:rsidR="000B0CC6" w:rsidRPr="0054394A">
        <w:rPr>
          <w:i/>
          <w:iCs/>
        </w:rPr>
        <w:t>, M.D.</w:t>
      </w:r>
      <w:r w:rsidR="000B0CC6" w:rsidRPr="006A5FE5">
        <w:t>, Board of Registration in Medicine, Adjudicatory Case No. 06-014 (Consent Order, Apr</w:t>
      </w:r>
      <w:r w:rsidR="00F53B99">
        <w:t>.</w:t>
      </w:r>
      <w:r w:rsidR="000B0CC6" w:rsidRPr="006A5FE5">
        <w:t xml:space="preserve"> 12, 2006)</w:t>
      </w:r>
      <w:r w:rsidR="00DA2873" w:rsidRPr="006A5FE5">
        <w:t xml:space="preserve">, </w:t>
      </w:r>
      <w:r w:rsidR="008178E6">
        <w:t xml:space="preserve">the physician’s </w:t>
      </w:r>
      <w:r w:rsidR="00DA2873" w:rsidRPr="006A5FE5">
        <w:t>conduct stretched over years.</w:t>
      </w:r>
    </w:p>
    <w:p w14:paraId="64C7081D" w14:textId="03002A21" w:rsidR="008B008D" w:rsidRPr="006A5FE5" w:rsidRDefault="00527224" w:rsidP="0012141D">
      <w:pPr>
        <w:pStyle w:val="le-normal-32-level"/>
        <w:shd w:val="clear" w:color="auto" w:fill="FFFFFF"/>
        <w:spacing w:before="0" w:beforeAutospacing="0" w:after="0" w:afterAutospacing="0" w:line="480" w:lineRule="auto"/>
      </w:pPr>
      <w:r w:rsidRPr="006A5FE5">
        <w:tab/>
        <w:t>The cases the Board cites are likewise unhelpful</w:t>
      </w:r>
      <w:r w:rsidR="006268A2" w:rsidRPr="006A5FE5">
        <w:t xml:space="preserve">. In </w:t>
      </w:r>
      <w:r w:rsidR="006268A2" w:rsidRPr="006A5FE5">
        <w:rPr>
          <w:i/>
          <w:iCs/>
        </w:rPr>
        <w:t>Matter of Rothchild</w:t>
      </w:r>
      <w:r w:rsidR="006268A2" w:rsidRPr="006A5FE5">
        <w:t>,</w:t>
      </w:r>
      <w:r w:rsidR="006268A2" w:rsidRPr="0054394A">
        <w:rPr>
          <w:i/>
          <w:iCs/>
        </w:rPr>
        <w:t xml:space="preserve"> M.D.</w:t>
      </w:r>
      <w:r w:rsidR="006268A2" w:rsidRPr="006A5FE5">
        <w:t xml:space="preserve">, Board of Registration in Medicine, Adjudicatory Case Nos. 2006-021 and 2008-002, </w:t>
      </w:r>
      <w:r w:rsidR="008178E6">
        <w:t>the physician’s</w:t>
      </w:r>
      <w:r w:rsidR="008178E6" w:rsidRPr="006A5FE5">
        <w:t xml:space="preserve"> </w:t>
      </w:r>
      <w:r w:rsidR="006268A2" w:rsidRPr="006A5FE5">
        <w:t>conduct was characterized as “gross negligence</w:t>
      </w:r>
      <w:r w:rsidR="00024DFE">
        <w:t>,</w:t>
      </w:r>
      <w:r w:rsidR="006268A2" w:rsidRPr="006A5FE5">
        <w:t>”</w:t>
      </w:r>
      <w:r w:rsidR="00024DFE">
        <w:t xml:space="preserve"> not multiple acts of simple negligence.</w:t>
      </w:r>
      <w:r w:rsidR="006268A2" w:rsidRPr="006A5FE5">
        <w:t xml:space="preserve"> In </w:t>
      </w:r>
      <w:r w:rsidR="006268A2" w:rsidRPr="006A5FE5">
        <w:rPr>
          <w:i/>
          <w:iCs/>
        </w:rPr>
        <w:t>Matter of Petit</w:t>
      </w:r>
      <w:r w:rsidR="006268A2" w:rsidRPr="006A5FE5">
        <w:t>,</w:t>
      </w:r>
      <w:r w:rsidR="006268A2" w:rsidRPr="0054394A">
        <w:rPr>
          <w:i/>
          <w:iCs/>
        </w:rPr>
        <w:t xml:space="preserve"> M.D.</w:t>
      </w:r>
      <w:r w:rsidR="006268A2" w:rsidRPr="006A5FE5">
        <w:t>, Board of Registration in Medicine, Adjudicatory Case No. 00-35-XX (Consent Order, Nov</w:t>
      </w:r>
      <w:r w:rsidR="006049C9">
        <w:t>.</w:t>
      </w:r>
      <w:r w:rsidR="006268A2" w:rsidRPr="006A5FE5">
        <w:t xml:space="preserve"> 21, 2000), the level of negligence is unstated. In </w:t>
      </w:r>
      <w:r w:rsidR="006268A2" w:rsidRPr="006A5FE5">
        <w:rPr>
          <w:i/>
          <w:iCs/>
        </w:rPr>
        <w:t>Matter of Osei-Tutu</w:t>
      </w:r>
      <w:r w:rsidR="006268A2" w:rsidRPr="0054394A">
        <w:rPr>
          <w:i/>
          <w:iCs/>
        </w:rPr>
        <w:t>, M.D.</w:t>
      </w:r>
      <w:r w:rsidR="006268A2" w:rsidRPr="006A5FE5">
        <w:t>, Board of Registration in Medicine, Adjudicatory Case No. 2007-004 (Final Decision and Order, Feb</w:t>
      </w:r>
      <w:r w:rsidR="002A0E8E">
        <w:t>.</w:t>
      </w:r>
      <w:r w:rsidR="006268A2" w:rsidRPr="006A5FE5">
        <w:t xml:space="preserve"> 25, 2009), the Respondent committed </w:t>
      </w:r>
      <w:r w:rsidR="00F4457E" w:rsidRPr="006A5FE5">
        <w:t xml:space="preserve">numerous acts of </w:t>
      </w:r>
      <w:r w:rsidR="006268A2" w:rsidRPr="006A5FE5">
        <w:t>negligence</w:t>
      </w:r>
      <w:r w:rsidR="00F4457E" w:rsidRPr="006A5FE5">
        <w:t xml:space="preserve"> spread out over various dates and patient visits</w:t>
      </w:r>
      <w:r w:rsidR="006268A2" w:rsidRPr="006A5FE5">
        <w:t xml:space="preserve">. </w:t>
      </w:r>
    </w:p>
    <w:p w14:paraId="60B026D2" w14:textId="6E939326" w:rsidR="00F45019" w:rsidRPr="006A5FE5" w:rsidRDefault="00C364F5" w:rsidP="0012141D">
      <w:pPr>
        <w:pStyle w:val="le-normal-32-level"/>
        <w:shd w:val="clear" w:color="auto" w:fill="FFFFFF"/>
        <w:spacing w:before="0" w:beforeAutospacing="0" w:after="0" w:afterAutospacing="0" w:line="480" w:lineRule="auto"/>
        <w:ind w:firstLine="720"/>
      </w:pPr>
      <w:r w:rsidRPr="006A5FE5">
        <w:t>Moreover, it does not appear th</w:t>
      </w:r>
      <w:r w:rsidR="006268A2" w:rsidRPr="006A5FE5">
        <w:t>is issue</w:t>
      </w:r>
      <w:r w:rsidRPr="006A5FE5">
        <w:t xml:space="preserve"> w</w:t>
      </w:r>
      <w:r w:rsidR="006268A2" w:rsidRPr="006A5FE5">
        <w:t>as</w:t>
      </w:r>
      <w:r w:rsidRPr="006A5FE5">
        <w:t xml:space="preserve"> directly</w:t>
      </w:r>
      <w:r w:rsidR="006268A2" w:rsidRPr="006A5FE5">
        <w:t xml:space="preserve"> </w:t>
      </w:r>
      <w:r w:rsidR="00F45019" w:rsidRPr="006A5FE5">
        <w:t>considered by</w:t>
      </w:r>
      <w:r w:rsidR="006268A2" w:rsidRPr="006A5FE5">
        <w:t xml:space="preserve"> the Board</w:t>
      </w:r>
      <w:r w:rsidR="00EB3507">
        <w:t xml:space="preserve"> in any of these cases</w:t>
      </w:r>
      <w:r w:rsidR="006268A2" w:rsidRPr="006A5FE5">
        <w:t xml:space="preserve"> or</w:t>
      </w:r>
      <w:r w:rsidRPr="006A5FE5">
        <w:t xml:space="preserve"> </w:t>
      </w:r>
      <w:r w:rsidR="00F4457E" w:rsidRPr="006A5FE5">
        <w:t>rais</w:t>
      </w:r>
      <w:r w:rsidRPr="006A5FE5">
        <w:t>ed by th</w:t>
      </w:r>
      <w:r w:rsidR="006268A2" w:rsidRPr="006A5FE5">
        <w:t>e</w:t>
      </w:r>
      <w:r w:rsidRPr="006A5FE5">
        <w:t xml:space="preserve"> </w:t>
      </w:r>
      <w:r w:rsidR="000F18BC">
        <w:t>physicians</w:t>
      </w:r>
      <w:r w:rsidRPr="006A5FE5">
        <w:t>—</w:t>
      </w:r>
      <w:r w:rsidR="006268A2" w:rsidRPr="006A5FE5">
        <w:t xml:space="preserve">especially since </w:t>
      </w:r>
      <w:r w:rsidRPr="006A5FE5">
        <w:t xml:space="preserve">many cases involve consent orders. </w:t>
      </w:r>
      <w:r w:rsidR="00EB3507">
        <w:t>Because t</w:t>
      </w:r>
      <w:r w:rsidRPr="006A5FE5">
        <w:t xml:space="preserve">he </w:t>
      </w:r>
      <w:r w:rsidR="00EB3507">
        <w:t>issue</w:t>
      </w:r>
      <w:r w:rsidRPr="006A5FE5">
        <w:t xml:space="preserve"> is squarely contested in this case and raised by the Respondent</w:t>
      </w:r>
      <w:r w:rsidR="00EB3507">
        <w:t xml:space="preserve">, it </w:t>
      </w:r>
      <w:r w:rsidR="00F45019" w:rsidRPr="006A5FE5">
        <w:t>deserves a fuller airing tha</w:t>
      </w:r>
      <w:r w:rsidR="00F4457E" w:rsidRPr="006A5FE5">
        <w:t>n</w:t>
      </w:r>
      <w:r w:rsidR="00F45019" w:rsidRPr="006A5FE5">
        <w:t xml:space="preserve"> </w:t>
      </w:r>
      <w:r w:rsidR="00EB3507">
        <w:t>reliance on</w:t>
      </w:r>
      <w:r w:rsidR="00F45019" w:rsidRPr="006A5FE5">
        <w:t xml:space="preserve"> prior cases which gloss over it.</w:t>
      </w:r>
    </w:p>
    <w:p w14:paraId="465F5213" w14:textId="7C0A01BD" w:rsidR="000B0CC6" w:rsidRPr="006A5FE5" w:rsidRDefault="00C364F5" w:rsidP="0012141D">
      <w:pPr>
        <w:pStyle w:val="le-normal-32-level"/>
        <w:shd w:val="clear" w:color="auto" w:fill="FFFFFF"/>
        <w:spacing w:before="0" w:beforeAutospacing="0" w:after="0" w:afterAutospacing="0" w:line="480" w:lineRule="auto"/>
        <w:ind w:firstLine="720"/>
      </w:pPr>
      <w:r w:rsidRPr="006A5FE5">
        <w:t>As a matter of statutory interpretation, I believe the Respondent has the better argument.</w:t>
      </w:r>
      <w:r w:rsidR="00F45019" w:rsidRPr="006A5FE5">
        <w:t xml:space="preserve"> </w:t>
      </w:r>
      <w:r w:rsidR="00EB3507">
        <w:t>The plain meaning of the term “repeated occasions” refers to acts over multiple events or episo</w:t>
      </w:r>
      <w:r w:rsidR="004321B7">
        <w:t>d</w:t>
      </w:r>
      <w:r w:rsidR="00EB3507">
        <w:t xml:space="preserve">es. </w:t>
      </w:r>
      <w:r w:rsidR="00F45019" w:rsidRPr="006A5FE5">
        <w:t xml:space="preserve">Respondent draws an apt analogy from a case about federal sentencing. </w:t>
      </w:r>
      <w:r w:rsidR="00F45019" w:rsidRPr="006A5FE5">
        <w:rPr>
          <w:i/>
          <w:iCs/>
        </w:rPr>
        <w:t>See Wooden v. U.S.</w:t>
      </w:r>
      <w:r w:rsidR="00F45019" w:rsidRPr="006A5FE5">
        <w:t>, 595 U.S. ____</w:t>
      </w:r>
      <w:r w:rsidR="001F1240" w:rsidRPr="006A5FE5">
        <w:t xml:space="preserve">, </w:t>
      </w:r>
      <w:r w:rsidR="001F1240" w:rsidRPr="006A5FE5">
        <w:rPr>
          <w:shd w:val="clear" w:color="auto" w:fill="FFFFFF"/>
        </w:rPr>
        <w:t>142 S.Ct. 1063</w:t>
      </w:r>
      <w:r w:rsidR="00F45019" w:rsidRPr="006A5FE5">
        <w:t xml:space="preserve"> (2022). The issue </w:t>
      </w:r>
      <w:r w:rsidR="00EB3507">
        <w:t xml:space="preserve">in </w:t>
      </w:r>
      <w:r w:rsidR="00F4457E" w:rsidRPr="006A5FE5">
        <w:rPr>
          <w:i/>
          <w:iCs/>
        </w:rPr>
        <w:t>Wooden</w:t>
      </w:r>
      <w:r w:rsidR="00F45019" w:rsidRPr="006A5FE5">
        <w:t xml:space="preserve"> </w:t>
      </w:r>
      <w:r w:rsidR="00F4457E" w:rsidRPr="006A5FE5">
        <w:t>wa</w:t>
      </w:r>
      <w:r w:rsidR="00F45019" w:rsidRPr="006A5FE5">
        <w:t xml:space="preserve">s whether the defendant’s ten burglaries committed on one night (when he broke into one storage facility and stole from ten storage units) were convictions “committed on occasions different from one another.” The Court relied on a commonsense understanding, and dictionary definition, of the word “occasion.”  </w:t>
      </w:r>
    </w:p>
    <w:p w14:paraId="274923D2" w14:textId="1B516D3B" w:rsidR="001F1240" w:rsidRPr="006A5FE5" w:rsidRDefault="001F1240" w:rsidP="0012141D">
      <w:pPr>
        <w:spacing w:after="0"/>
        <w:ind w:left="720" w:right="720"/>
        <w:rPr>
          <w:shd w:val="clear" w:color="auto" w:fill="FFFFFF"/>
        </w:rPr>
      </w:pPr>
      <w:r w:rsidRPr="006A5FE5">
        <w:rPr>
          <w:shd w:val="clear" w:color="auto" w:fill="FFFFFF"/>
        </w:rPr>
        <w:lastRenderedPageBreak/>
        <w:t>Consider first how an ordinary person (a reporter; a police officer; yes, even a lawyer) might describe Wooden’s ten burglaries—and how she would not. The observer might say: “On one occasion, Wooden burglarized ten units in a storage facility.” By contrast, she would never say: “On ten occasions, Wooden burglarized a unit in the facility.” Nor would she say anything like: “On one occasion, Wooden burglarized a storage unit; on a second occasion, he burglarized another unit; on a third occasion, he burglarized yet another; and so on.” She would, using language in its normal way, group his entries into the storage units, even though not simultaneous, all together—as happening on a single occasion, rather than on ten “occasions different from one another.” §924(e)(1).</w:t>
      </w:r>
    </w:p>
    <w:p w14:paraId="1DD83166" w14:textId="77777777" w:rsidR="00F4457E" w:rsidRPr="006A5FE5" w:rsidRDefault="00F4457E" w:rsidP="0012141D">
      <w:pPr>
        <w:spacing w:after="0"/>
        <w:ind w:left="720" w:right="720"/>
      </w:pPr>
    </w:p>
    <w:p w14:paraId="3BEFF832" w14:textId="09EBDC0B" w:rsidR="001F1240" w:rsidRPr="006A5FE5" w:rsidRDefault="001F1240" w:rsidP="0012141D">
      <w:pPr>
        <w:spacing w:after="0" w:line="240" w:lineRule="auto"/>
        <w:ind w:left="720" w:right="720"/>
        <w:rPr>
          <w:shd w:val="clear" w:color="auto" w:fill="FFFFFF"/>
        </w:rPr>
      </w:pPr>
      <w:r w:rsidRPr="006A5FE5">
        <w:rPr>
          <w:shd w:val="clear" w:color="auto" w:fill="FFFFFF"/>
        </w:rPr>
        <w:t>That usage fits the ordinary meaning of “occasion.” The word commonly refers to an event, occurrence, happening, or episode. See, </w:t>
      </w:r>
      <w:r w:rsidRPr="006A5FE5">
        <w:rPr>
          <w:rStyle w:val="Emphasis"/>
          <w:shd w:val="clear" w:color="auto" w:fill="FFFFFF"/>
        </w:rPr>
        <w:t>e.g.</w:t>
      </w:r>
      <w:r w:rsidRPr="006A5FE5">
        <w:rPr>
          <w:shd w:val="clear" w:color="auto" w:fill="FFFFFF"/>
        </w:rPr>
        <w:t>, American Heritage Dictionary 908 (1981); Webster’s Third New International Dictionary 1560 (3d ed. 1986). And such an event, occurrence, happening, or episode—which is simply to say, such an occasion—may itself encompass multiple, temporally distinct activities. The occasion of a wedding, for example, often includes a ceremony, cocktail hour, dinner, and dancing. Those doings are proximate in time and place, and have a shared theme (celebrating the happy couple); their connections are, indeed, what makes them part of a single event. But they do not occur at the same moment: The newlyweds would surely take offense if a guest organized a conga line in the middle of their vows. That is because an occasion may—and the hypothesized one does—encompass a number of non-simultaneous activities; it need not be confined to a single one.</w:t>
      </w:r>
    </w:p>
    <w:p w14:paraId="38653823" w14:textId="77777777" w:rsidR="00F4457E" w:rsidRPr="006A5FE5" w:rsidRDefault="00F4457E" w:rsidP="0012141D">
      <w:pPr>
        <w:spacing w:after="0" w:line="240" w:lineRule="auto"/>
        <w:ind w:left="720" w:right="720"/>
      </w:pPr>
    </w:p>
    <w:p w14:paraId="5A76BFF2" w14:textId="1B66B0BB" w:rsidR="001F1240" w:rsidRPr="006A5FE5" w:rsidRDefault="001F1240" w:rsidP="0012141D">
      <w:pPr>
        <w:pStyle w:val="le-normal-32-level"/>
        <w:shd w:val="clear" w:color="auto" w:fill="FFFFFF"/>
        <w:spacing w:before="0" w:beforeAutospacing="0" w:after="0" w:afterAutospacing="0" w:line="480" w:lineRule="auto"/>
        <w:rPr>
          <w:shd w:val="clear" w:color="auto" w:fill="FFFFFF"/>
        </w:rPr>
      </w:pPr>
      <w:r w:rsidRPr="006A5FE5">
        <w:rPr>
          <w:i/>
          <w:iCs/>
          <w:shd w:val="clear" w:color="auto" w:fill="FFFFFF"/>
        </w:rPr>
        <w:t>Wooden</w:t>
      </w:r>
      <w:r w:rsidRPr="006A5FE5">
        <w:rPr>
          <w:shd w:val="clear" w:color="auto" w:fill="FFFFFF"/>
        </w:rPr>
        <w:t>, at 1069-71.</w:t>
      </w:r>
    </w:p>
    <w:p w14:paraId="4D96AE5B" w14:textId="00B858D4" w:rsidR="001F1240" w:rsidRPr="006A5FE5" w:rsidRDefault="001F1240" w:rsidP="0012141D">
      <w:pPr>
        <w:pStyle w:val="le-normal-32-level"/>
        <w:shd w:val="clear" w:color="auto" w:fill="FFFFFF"/>
        <w:spacing w:before="0" w:beforeAutospacing="0" w:after="0" w:afterAutospacing="0" w:line="480" w:lineRule="auto"/>
      </w:pPr>
      <w:r w:rsidRPr="006A5FE5">
        <w:rPr>
          <w:shd w:val="clear" w:color="auto" w:fill="FFFFFF"/>
        </w:rPr>
        <w:tab/>
        <w:t>The same logic applies here. It would be odd to say</w:t>
      </w:r>
      <w:r w:rsidR="00024DFE">
        <w:rPr>
          <w:shd w:val="clear" w:color="auto" w:fill="FFFFFF"/>
        </w:rPr>
        <w:t xml:space="preserve"> during a single examination of a patient</w:t>
      </w:r>
      <w:r w:rsidRPr="006A5FE5">
        <w:rPr>
          <w:shd w:val="clear" w:color="auto" w:fill="FFFFFF"/>
        </w:rPr>
        <w:t xml:space="preserve"> </w:t>
      </w:r>
      <w:r w:rsidR="002A4F78" w:rsidRPr="006A5FE5">
        <w:rPr>
          <w:shd w:val="clear" w:color="auto" w:fill="FFFFFF"/>
        </w:rPr>
        <w:t xml:space="preserve">that </w:t>
      </w:r>
      <w:r w:rsidRPr="006A5FE5">
        <w:rPr>
          <w:shd w:val="clear" w:color="auto" w:fill="FFFFFF"/>
        </w:rPr>
        <w:t xml:space="preserve">on one occasion, </w:t>
      </w:r>
      <w:r w:rsidR="00F4457E" w:rsidRPr="006A5FE5">
        <w:rPr>
          <w:shd w:val="clear" w:color="auto" w:fill="FFFFFF"/>
        </w:rPr>
        <w:t>the Respondent</w:t>
      </w:r>
      <w:r w:rsidRPr="006A5FE5">
        <w:rPr>
          <w:shd w:val="clear" w:color="auto" w:fill="FFFFFF"/>
        </w:rPr>
        <w:t xml:space="preserve"> was negligent; on a second occasion, he was negligent again; on a third occasion, he was yet again negligent. Rather, “occasion” commonly refers to the entirety of an event, </w:t>
      </w:r>
      <w:r w:rsidR="00F4457E" w:rsidRPr="006A5FE5">
        <w:rPr>
          <w:shd w:val="clear" w:color="auto" w:fill="FFFFFF"/>
        </w:rPr>
        <w:t>even though</w:t>
      </w:r>
      <w:r w:rsidRPr="006A5FE5">
        <w:rPr>
          <w:shd w:val="clear" w:color="auto" w:fill="FFFFFF"/>
        </w:rPr>
        <w:t xml:space="preserve"> multiple acts can occur within that occasion. At least one other state court has interpreted similar language this way:</w:t>
      </w:r>
    </w:p>
    <w:p w14:paraId="1E537B0D" w14:textId="73536188" w:rsidR="00F45019" w:rsidRPr="006A5FE5" w:rsidRDefault="00F45019" w:rsidP="0012141D">
      <w:pPr>
        <w:widowControl w:val="0"/>
        <w:autoSpaceDE w:val="0"/>
        <w:autoSpaceDN w:val="0"/>
        <w:adjustRightInd w:val="0"/>
        <w:spacing w:after="0" w:line="240" w:lineRule="auto"/>
        <w:ind w:left="720" w:right="720"/>
      </w:pPr>
      <w:r w:rsidRPr="006A5FE5">
        <w:t xml:space="preserve">The statutory definition of “negligence” for professional misconduct requires proof of negligence “on more than one occasion.” N.Y. Educ. Law § 6530(3). The Court of Appeals has </w:t>
      </w:r>
      <w:r w:rsidR="00A04EB7">
        <w:t>i</w:t>
      </w:r>
      <w:r w:rsidRPr="006A5FE5">
        <w:t>nterpreted “occasion” to mean “an event of some duration, occurring at a particular time and place, and not simply ... a discrete act of negligence which can occur in an instant”</w:t>
      </w:r>
      <w:r w:rsidR="00B77FC7" w:rsidRPr="006A5FE5">
        <w:t xml:space="preserve"> [</w:t>
      </w:r>
      <w:r w:rsidR="00B77FC7" w:rsidRPr="006A5FE5">
        <w:rPr>
          <w:i/>
          <w:iCs/>
        </w:rPr>
        <w:t>Rho v. Ambach</w:t>
      </w:r>
      <w:r w:rsidR="00B77FC7" w:rsidRPr="006A5FE5">
        <w:t>, 74 N.Y.2d 318, 322 (1989)].</w:t>
      </w:r>
      <w:r w:rsidRPr="006A5FE5">
        <w:t xml:space="preserve"> While several acts of negligence occurring during a single autopsy do not constitute professional misconduct </w:t>
      </w:r>
      <w:r w:rsidRPr="006A5FE5">
        <w:rPr>
          <w:i/>
          <w:iCs/>
        </w:rPr>
        <w:t>(Rho)</w:t>
      </w:r>
      <w:r w:rsidR="00A04EB7">
        <w:t>,</w:t>
      </w:r>
      <w:r w:rsidRPr="006A5FE5">
        <w:t xml:space="preserve"> an act of negligence regarding a single patient repeated on a subsequent occasion, does constitute misconduct</w:t>
      </w:r>
      <w:r w:rsidR="00B77FC7" w:rsidRPr="006A5FE5">
        <w:t>.</w:t>
      </w:r>
      <w:r w:rsidRPr="006A5FE5">
        <w:t xml:space="preserve"> </w:t>
      </w:r>
      <w:r w:rsidRPr="006A5FE5">
        <w:rPr>
          <w:i/>
          <w:iCs/>
        </w:rPr>
        <w:t xml:space="preserve">Orosco v. </w:t>
      </w:r>
      <w:r w:rsidRPr="006A5FE5">
        <w:rPr>
          <w:i/>
          <w:iCs/>
        </w:rPr>
        <w:lastRenderedPageBreak/>
        <w:t>Sobol</w:t>
      </w:r>
      <w:r w:rsidRPr="006A5FE5">
        <w:t>, 557 N.Y.S.2d 738 (3d Dept 1990).</w:t>
      </w:r>
    </w:p>
    <w:p w14:paraId="4BCBF104" w14:textId="77777777" w:rsidR="00F45019" w:rsidRPr="006A5FE5" w:rsidRDefault="00F45019" w:rsidP="0012141D">
      <w:pPr>
        <w:widowControl w:val="0"/>
        <w:autoSpaceDE w:val="0"/>
        <w:autoSpaceDN w:val="0"/>
        <w:adjustRightInd w:val="0"/>
        <w:spacing w:after="0" w:line="240" w:lineRule="auto"/>
      </w:pPr>
    </w:p>
    <w:p w14:paraId="25383F2E" w14:textId="2F28E55D" w:rsidR="00D764B7" w:rsidRPr="006A5FE5" w:rsidRDefault="00B77FC7" w:rsidP="0012141D">
      <w:pPr>
        <w:widowControl w:val="0"/>
        <w:autoSpaceDE w:val="0"/>
        <w:autoSpaceDN w:val="0"/>
        <w:adjustRightInd w:val="0"/>
        <w:spacing w:after="0" w:line="480" w:lineRule="auto"/>
      </w:pPr>
      <w:r w:rsidRPr="006A5FE5">
        <w:rPr>
          <w:i/>
          <w:iCs/>
        </w:rPr>
        <w:t>In the Matter of John Carey, M.D.</w:t>
      </w:r>
      <w:r w:rsidRPr="006A5FE5">
        <w:t>,</w:t>
      </w:r>
      <w:r w:rsidRPr="006A5FE5">
        <w:rPr>
          <w:i/>
          <w:iCs/>
        </w:rPr>
        <w:t xml:space="preserve"> </w:t>
      </w:r>
      <w:r w:rsidR="00F45019" w:rsidRPr="006A5FE5">
        <w:t>2015 WL 399648 (N.Y.</w:t>
      </w:r>
      <w:r w:rsidRPr="006A5FE5">
        <w:t xml:space="preserve"> </w:t>
      </w:r>
      <w:r w:rsidR="00F45019" w:rsidRPr="006A5FE5">
        <w:t>B</w:t>
      </w:r>
      <w:r w:rsidRPr="006A5FE5">
        <w:t>d</w:t>
      </w:r>
      <w:r w:rsidR="00A22AE8">
        <w:t>.</w:t>
      </w:r>
      <w:r w:rsidRPr="006A5FE5">
        <w:t xml:space="preserve"> for </w:t>
      </w:r>
      <w:r w:rsidR="00F45019" w:rsidRPr="006A5FE5">
        <w:t>P</w:t>
      </w:r>
      <w:r w:rsidRPr="006A5FE5">
        <w:t xml:space="preserve">rofessional </w:t>
      </w:r>
      <w:r w:rsidR="00F45019" w:rsidRPr="006A5FE5">
        <w:t>M</w:t>
      </w:r>
      <w:r w:rsidRPr="006A5FE5">
        <w:t>ed</w:t>
      </w:r>
      <w:r w:rsidR="00F45019" w:rsidRPr="006A5FE5">
        <w:t>.</w:t>
      </w:r>
      <w:r w:rsidRPr="006A5FE5">
        <w:t xml:space="preserve"> </w:t>
      </w:r>
      <w:r w:rsidR="00F45019" w:rsidRPr="006A5FE5">
        <w:t>C</w:t>
      </w:r>
      <w:r w:rsidRPr="006A5FE5">
        <w:t>onduct</w:t>
      </w:r>
      <w:r w:rsidR="00F45019" w:rsidRPr="006A5FE5">
        <w:t>)</w:t>
      </w:r>
      <w:r w:rsidRPr="006A5FE5">
        <w:t xml:space="preserve">, </w:t>
      </w:r>
      <w:r w:rsidR="00F45019" w:rsidRPr="006A5FE5">
        <w:t>BPMC No. 15-006</w:t>
      </w:r>
      <w:r w:rsidRPr="006A5FE5">
        <w:t xml:space="preserve">, </w:t>
      </w:r>
      <w:r w:rsidR="00F45019" w:rsidRPr="006A5FE5">
        <w:t>January 12, 2015</w:t>
      </w:r>
      <w:r w:rsidR="002A4F78" w:rsidRPr="006A5FE5">
        <w:t>.</w:t>
      </w:r>
    </w:p>
    <w:p w14:paraId="4AE3A611" w14:textId="3ABA901E" w:rsidR="00D764B7" w:rsidRPr="006A5FE5" w:rsidRDefault="00E91FF0" w:rsidP="00F4457E">
      <w:pPr>
        <w:widowControl w:val="0"/>
        <w:autoSpaceDE w:val="0"/>
        <w:autoSpaceDN w:val="0"/>
        <w:adjustRightInd w:val="0"/>
        <w:spacing w:after="0" w:line="480" w:lineRule="auto"/>
        <w:ind w:firstLine="720"/>
      </w:pPr>
      <w:r w:rsidRPr="006A5FE5">
        <w:t xml:space="preserve">The Board argues that the repeated occasions of negligence occurred when </w:t>
      </w:r>
      <w:r w:rsidR="00F4457E" w:rsidRPr="006A5FE5">
        <w:t>the Respondent</w:t>
      </w:r>
      <w:r w:rsidRPr="006A5FE5">
        <w:t xml:space="preserve"> 1) sent Patient A home with her presentation and lack of a spleen 2) failed to consider she might be suffering from an infection 3) diagnosed her with Raynaud’s Syndrome and 4) failed to perform a differential diagnosis </w:t>
      </w:r>
      <w:r w:rsidR="00024DFE">
        <w:t>that</w:t>
      </w:r>
      <w:r w:rsidRPr="006A5FE5">
        <w:t xml:space="preserve"> contributed to the incorrect diagnosis. </w:t>
      </w:r>
      <w:r w:rsidRPr="006A5FE5">
        <w:rPr>
          <w:i/>
          <w:iCs/>
        </w:rPr>
        <w:t>See</w:t>
      </w:r>
      <w:r w:rsidRPr="006A5FE5">
        <w:t xml:space="preserve"> Petitioner’s Closing Brief, pg. 14. But these were all part of </w:t>
      </w:r>
      <w:r w:rsidR="00D764B7" w:rsidRPr="006A5FE5">
        <w:t>a</w:t>
      </w:r>
      <w:r w:rsidRPr="006A5FE5">
        <w:t xml:space="preserve"> continuous</w:t>
      </w:r>
      <w:r w:rsidR="00D764B7" w:rsidRPr="006A5FE5">
        <w:t xml:space="preserve"> stream of conduct within one event. </w:t>
      </w:r>
      <w:r w:rsidR="00D764B7" w:rsidRPr="006A5FE5">
        <w:rPr>
          <w:i/>
          <w:iCs/>
        </w:rPr>
        <w:t>Cf. Commonwealth v. Howze</w:t>
      </w:r>
      <w:r w:rsidR="00D764B7" w:rsidRPr="006A5FE5">
        <w:t xml:space="preserve">, </w:t>
      </w:r>
      <w:r w:rsidR="00D764B7" w:rsidRPr="006A5FE5">
        <w:rPr>
          <w:bdr w:val="none" w:sz="0" w:space="0" w:color="auto" w:frame="1"/>
        </w:rPr>
        <w:t xml:space="preserve">58 Mass. App .Ct. 147, 152 (2003) </w:t>
      </w:r>
      <w:r w:rsidR="00D764B7" w:rsidRPr="006A5FE5">
        <w:rPr>
          <w:i/>
          <w:iCs/>
          <w:shd w:val="clear" w:color="auto" w:fill="FFFFFF"/>
        </w:rPr>
        <w:t>overruled on other grounds by</w:t>
      </w:r>
      <w:r w:rsidR="00D764B7" w:rsidRPr="006A5FE5">
        <w:rPr>
          <w:shd w:val="clear" w:color="auto" w:fill="FFFFFF"/>
        </w:rPr>
        <w:t xml:space="preserve"> </w:t>
      </w:r>
      <w:r w:rsidR="00D764B7" w:rsidRPr="006A5FE5">
        <w:rPr>
          <w:rStyle w:val="counderline"/>
          <w:i/>
          <w:iCs/>
          <w:bdr w:val="none" w:sz="0" w:space="0" w:color="auto" w:frame="1"/>
          <w:shd w:val="clear" w:color="auto" w:fill="FFFFFF"/>
        </w:rPr>
        <w:t>Commonwealth</w:t>
      </w:r>
      <w:r w:rsidR="00D764B7" w:rsidRPr="006A5FE5">
        <w:rPr>
          <w:i/>
          <w:iCs/>
          <w:bdr w:val="none" w:sz="0" w:space="0" w:color="auto" w:frame="1"/>
          <w:shd w:val="clear" w:color="auto" w:fill="FFFFFF"/>
        </w:rPr>
        <w:t>  v.</w:t>
      </w:r>
      <w:r w:rsidR="00F4457E" w:rsidRPr="006A5FE5">
        <w:rPr>
          <w:i/>
          <w:iCs/>
          <w:bdr w:val="none" w:sz="0" w:space="0" w:color="auto" w:frame="1"/>
          <w:shd w:val="clear" w:color="auto" w:fill="FFFFFF"/>
        </w:rPr>
        <w:t xml:space="preserve"> </w:t>
      </w:r>
      <w:r w:rsidR="00D764B7" w:rsidRPr="006A5FE5">
        <w:rPr>
          <w:rStyle w:val="counderline"/>
          <w:i/>
          <w:iCs/>
          <w:bdr w:val="none" w:sz="0" w:space="0" w:color="auto" w:frame="1"/>
          <w:shd w:val="clear" w:color="auto" w:fill="FFFFFF"/>
        </w:rPr>
        <w:t>Kelly</w:t>
      </w:r>
      <w:r w:rsidR="00D764B7" w:rsidRPr="006A5FE5">
        <w:rPr>
          <w:bdr w:val="none" w:sz="0" w:space="0" w:color="auto" w:frame="1"/>
          <w:shd w:val="clear" w:color="auto" w:fill="FFFFFF"/>
        </w:rPr>
        <w:t>, 470 Mass. 682, 700-701 (2015) (“</w:t>
      </w:r>
      <w:r w:rsidR="004B52A6">
        <w:rPr>
          <w:bdr w:val="none" w:sz="0" w:space="0" w:color="auto" w:frame="1"/>
          <w:shd w:val="clear" w:color="auto" w:fill="FFFFFF"/>
        </w:rPr>
        <w:t>[D]</w:t>
      </w:r>
      <w:r w:rsidR="00D764B7" w:rsidRPr="006A5FE5">
        <w:rPr>
          <w:shd w:val="clear" w:color="auto" w:fill="FFFFFF"/>
        </w:rPr>
        <w:t>ue process forbids separating the conduct into discrete units for prosecution. All were part of a continuous stream of conduct occurring within a short time frame and governed by a single criminal design.”).</w:t>
      </w:r>
      <w:r w:rsidR="00F4457E" w:rsidRPr="006A5FE5">
        <w:rPr>
          <w:shd w:val="clear" w:color="auto" w:fill="FFFFFF"/>
        </w:rPr>
        <w:t xml:space="preserve"> </w:t>
      </w:r>
    </w:p>
    <w:p w14:paraId="7E1C5B23" w14:textId="5F555C1F" w:rsidR="004A6AC7" w:rsidRPr="006A5FE5" w:rsidRDefault="004A6AC7" w:rsidP="0012141D">
      <w:pPr>
        <w:widowControl w:val="0"/>
        <w:autoSpaceDE w:val="0"/>
        <w:autoSpaceDN w:val="0"/>
        <w:adjustRightInd w:val="0"/>
        <w:spacing w:after="0" w:line="480" w:lineRule="auto"/>
      </w:pPr>
      <w:r w:rsidRPr="006A5FE5">
        <w:tab/>
        <w:t xml:space="preserve">In a similar case, the Board characterized different missteps within one visit as a “single act of negligence.” </w:t>
      </w:r>
      <w:r w:rsidRPr="006A5FE5">
        <w:rPr>
          <w:i/>
          <w:iCs/>
        </w:rPr>
        <w:t>See Matter of Edinburgh</w:t>
      </w:r>
      <w:r w:rsidRPr="006A5FE5">
        <w:t>, Board of Registration in Medicine, Adjudicatory Case No. 89-3-TR (Dec. 18, 1991):</w:t>
      </w:r>
    </w:p>
    <w:p w14:paraId="762359EF" w14:textId="4D9BD369" w:rsidR="006A5FE5" w:rsidRDefault="004A6AC7" w:rsidP="006A5FE5">
      <w:pPr>
        <w:pStyle w:val="le-normal-32-level"/>
        <w:shd w:val="clear" w:color="auto" w:fill="FFFFFF"/>
        <w:spacing w:before="20" w:beforeAutospacing="0" w:after="20" w:afterAutospacing="0"/>
        <w:ind w:left="720" w:right="720"/>
        <w:rPr>
          <w:color w:val="000000"/>
        </w:rPr>
      </w:pPr>
      <w:r w:rsidRPr="006A5FE5">
        <w:rPr>
          <w:color w:val="000000"/>
        </w:rPr>
        <w:t>The Respondent</w:t>
      </w:r>
      <w:r w:rsidR="006A5FE5" w:rsidRPr="006A5FE5">
        <w:rPr>
          <w:color w:val="000000"/>
        </w:rPr>
        <w:t>’</w:t>
      </w:r>
      <w:r w:rsidRPr="006A5FE5">
        <w:rPr>
          <w:color w:val="000000"/>
        </w:rPr>
        <w:t>s treatment of Patient B on the night of September 30, 1987, was based on an incomplete set of facts, either because he did not obtain necessary information or he ignored or did not hear information which was given to him. This included a history of elevated blood pressure, nausea, and vomiting in this pregnancy, headaches, and consideration of the possibility that Patient B</w:t>
      </w:r>
      <w:r w:rsidR="006A5FE5" w:rsidRPr="006A5FE5">
        <w:rPr>
          <w:color w:val="000000"/>
        </w:rPr>
        <w:t>’</w:t>
      </w:r>
      <w:r w:rsidRPr="006A5FE5">
        <w:rPr>
          <w:color w:val="000000"/>
        </w:rPr>
        <w:t>s pain was epigastric. Had these matters been considered, the standard of care would have mandated that the Respondent conduct laboratory tests and admit Patient B. Such actions on that evening possibly would have led to a different fetal outcome. </w:t>
      </w:r>
      <w:r w:rsidR="006A5FE5" w:rsidRPr="006A5FE5">
        <w:rPr>
          <w:color w:val="000000"/>
        </w:rPr>
        <w:t> </w:t>
      </w:r>
    </w:p>
    <w:p w14:paraId="6E0A3BB5" w14:textId="77777777" w:rsidR="006A5FE5" w:rsidRDefault="006A5FE5" w:rsidP="006A5FE5">
      <w:pPr>
        <w:pStyle w:val="le-normal-32-level"/>
        <w:shd w:val="clear" w:color="auto" w:fill="FFFFFF"/>
        <w:spacing w:before="20" w:beforeAutospacing="0" w:after="20" w:afterAutospacing="0"/>
        <w:ind w:left="720" w:right="720"/>
        <w:rPr>
          <w:color w:val="000000"/>
        </w:rPr>
      </w:pPr>
    </w:p>
    <w:p w14:paraId="22FD957C" w14:textId="4E713233" w:rsidR="006A5FE5" w:rsidRDefault="004A6AC7" w:rsidP="006A5FE5">
      <w:pPr>
        <w:pStyle w:val="le-normal-32-level"/>
        <w:shd w:val="clear" w:color="auto" w:fill="FFFFFF"/>
        <w:spacing w:before="20" w:beforeAutospacing="0" w:after="20" w:afterAutospacing="0" w:line="480" w:lineRule="auto"/>
        <w:rPr>
          <w:color w:val="000000"/>
        </w:rPr>
      </w:pPr>
      <w:r w:rsidRPr="006A5FE5">
        <w:rPr>
          <w:color w:val="000000"/>
        </w:rPr>
        <w:t> </w:t>
      </w:r>
      <w:r w:rsidR="006A5FE5" w:rsidRPr="006A5FE5">
        <w:rPr>
          <w:color w:val="000000"/>
        </w:rPr>
        <w:t xml:space="preserve">The Board concluded that </w:t>
      </w:r>
      <w:r w:rsidR="00184643">
        <w:rPr>
          <w:color w:val="000000"/>
        </w:rPr>
        <w:t xml:space="preserve">the </w:t>
      </w:r>
      <w:r w:rsidR="006A5FE5" w:rsidRPr="006A5FE5">
        <w:rPr>
          <w:color w:val="000000"/>
        </w:rPr>
        <w:t xml:space="preserve">“law will not support a sanction for a single act of negligence,” implying that all of </w:t>
      </w:r>
      <w:r w:rsidR="001E0468">
        <w:rPr>
          <w:color w:val="000000"/>
        </w:rPr>
        <w:t xml:space="preserve">the physician’s </w:t>
      </w:r>
      <w:r w:rsidR="006A5FE5" w:rsidRPr="006A5FE5">
        <w:rPr>
          <w:color w:val="000000"/>
        </w:rPr>
        <w:t>errors were part of a single</w:t>
      </w:r>
      <w:r w:rsidR="00EB3507">
        <w:rPr>
          <w:color w:val="000000"/>
        </w:rPr>
        <w:t xml:space="preserve"> episode</w:t>
      </w:r>
      <w:r w:rsidR="006A5FE5" w:rsidRPr="006A5FE5">
        <w:rPr>
          <w:color w:val="000000"/>
        </w:rPr>
        <w:t>.</w:t>
      </w:r>
      <w:r w:rsidR="006A5FE5">
        <w:rPr>
          <w:color w:val="000000"/>
        </w:rPr>
        <w:t xml:space="preserve"> Although </w:t>
      </w:r>
      <w:r w:rsidR="004321B7">
        <w:rPr>
          <w:i/>
          <w:iCs/>
          <w:color w:val="000000"/>
        </w:rPr>
        <w:t>Edinburgh</w:t>
      </w:r>
      <w:r w:rsidR="006A5FE5">
        <w:rPr>
          <w:color w:val="000000"/>
        </w:rPr>
        <w:t xml:space="preserve"> did </w:t>
      </w:r>
      <w:r w:rsidR="006A5FE5">
        <w:rPr>
          <w:color w:val="000000"/>
        </w:rPr>
        <w:lastRenderedPageBreak/>
        <w:t xml:space="preserve">not directly consider whether the </w:t>
      </w:r>
      <w:r w:rsidR="00776461">
        <w:rPr>
          <w:color w:val="000000"/>
        </w:rPr>
        <w:t xml:space="preserve">physician’s </w:t>
      </w:r>
      <w:r w:rsidR="006A5FE5">
        <w:rPr>
          <w:color w:val="000000"/>
        </w:rPr>
        <w:t>conduct was “negligent on repeated occasions,” its ultimate holding comports with my interpretation.</w:t>
      </w:r>
      <w:r w:rsidR="006A5FE5" w:rsidRPr="006A5FE5">
        <w:rPr>
          <w:color w:val="000000"/>
        </w:rPr>
        <w:t> </w:t>
      </w:r>
    </w:p>
    <w:p w14:paraId="578CCD54" w14:textId="0E12AB5C" w:rsidR="00EB3507" w:rsidRPr="006A5FE5" w:rsidRDefault="00EB3507" w:rsidP="006A5FE5">
      <w:pPr>
        <w:pStyle w:val="le-normal-32-level"/>
        <w:shd w:val="clear" w:color="auto" w:fill="FFFFFF"/>
        <w:spacing w:before="20" w:beforeAutospacing="0" w:after="20" w:afterAutospacing="0" w:line="480" w:lineRule="auto"/>
        <w:rPr>
          <w:color w:val="000000"/>
        </w:rPr>
      </w:pPr>
      <w:r>
        <w:rPr>
          <w:color w:val="000000"/>
        </w:rPr>
        <w:tab/>
        <w:t xml:space="preserve">In short, the phrase </w:t>
      </w:r>
      <w:r w:rsidR="0037356C">
        <w:rPr>
          <w:color w:val="000000"/>
        </w:rPr>
        <w:t>“</w:t>
      </w:r>
      <w:r>
        <w:rPr>
          <w:color w:val="000000"/>
        </w:rPr>
        <w:t>on repeated occasions” cannot apply to the conduct in this case, whe</w:t>
      </w:r>
      <w:r w:rsidR="00024DFE">
        <w:rPr>
          <w:color w:val="000000"/>
        </w:rPr>
        <w:t>n</w:t>
      </w:r>
      <w:r>
        <w:rPr>
          <w:color w:val="000000"/>
        </w:rPr>
        <w:t xml:space="preserve"> there is only one occasion to consider.</w:t>
      </w:r>
    </w:p>
    <w:p w14:paraId="74CDD148" w14:textId="4E11B79A" w:rsidR="00F45019" w:rsidRPr="006A5FE5" w:rsidRDefault="00D764B7" w:rsidP="0012141D">
      <w:pPr>
        <w:pStyle w:val="ListParagraph"/>
        <w:numPr>
          <w:ilvl w:val="0"/>
          <w:numId w:val="5"/>
        </w:numPr>
        <w:adjustRightInd w:val="0"/>
        <w:spacing w:line="480" w:lineRule="auto"/>
        <w:jc w:val="both"/>
        <w:rPr>
          <w:rFonts w:ascii="Times New Roman" w:hAnsi="Times New Roman" w:cs="Times New Roman"/>
          <w:sz w:val="24"/>
          <w:szCs w:val="24"/>
          <w:u w:val="single"/>
        </w:rPr>
      </w:pPr>
      <w:r w:rsidRPr="006A5FE5">
        <w:rPr>
          <w:rFonts w:ascii="Times New Roman" w:hAnsi="Times New Roman" w:cs="Times New Roman"/>
          <w:sz w:val="24"/>
          <w:szCs w:val="24"/>
          <w:u w:val="single"/>
        </w:rPr>
        <w:t xml:space="preserve">The Board failed to prove </w:t>
      </w:r>
      <w:r w:rsidR="006A5FE5">
        <w:rPr>
          <w:rFonts w:ascii="Times New Roman" w:hAnsi="Times New Roman" w:cs="Times New Roman"/>
          <w:sz w:val="24"/>
          <w:szCs w:val="24"/>
          <w:u w:val="single"/>
        </w:rPr>
        <w:t>the Respondent’s</w:t>
      </w:r>
      <w:r w:rsidRPr="006A5FE5">
        <w:rPr>
          <w:rFonts w:ascii="Times New Roman" w:hAnsi="Times New Roman" w:cs="Times New Roman"/>
          <w:sz w:val="24"/>
          <w:szCs w:val="24"/>
          <w:u w:val="single"/>
        </w:rPr>
        <w:t xml:space="preserve"> conduct caused Patient A’s injury</w:t>
      </w:r>
    </w:p>
    <w:p w14:paraId="16D2DB94" w14:textId="24704CEC" w:rsidR="0012141D" w:rsidRPr="006A5FE5" w:rsidRDefault="00D764B7" w:rsidP="0012141D">
      <w:pPr>
        <w:adjustRightInd w:val="0"/>
        <w:spacing w:after="0" w:line="480" w:lineRule="auto"/>
        <w:ind w:firstLine="720"/>
      </w:pPr>
      <w:r w:rsidRPr="006A5FE5">
        <w:t xml:space="preserve">Finally, even if </w:t>
      </w:r>
      <w:r w:rsidR="006A5FE5">
        <w:t>the Respondent</w:t>
      </w:r>
      <w:r w:rsidRPr="006A5FE5">
        <w:t xml:space="preserve">’s conduct </w:t>
      </w:r>
      <w:r w:rsidR="00D8434A">
        <w:t>fell below the standard of care</w:t>
      </w:r>
      <w:r w:rsidRPr="006A5FE5">
        <w:t>, the Board failed to prove his conduct caused Patient A’s injury (</w:t>
      </w:r>
      <w:r w:rsidRPr="006A5FE5">
        <w:rPr>
          <w:i/>
          <w:iCs/>
        </w:rPr>
        <w:t>i.e.,</w:t>
      </w:r>
      <w:r w:rsidRPr="006A5FE5">
        <w:t xml:space="preserve"> her death).</w:t>
      </w:r>
      <w:r w:rsidR="0012141D" w:rsidRPr="006A5FE5">
        <w:t xml:space="preserve"> “</w:t>
      </w:r>
      <w:r w:rsidR="0012141D" w:rsidRPr="006A5FE5">
        <w:rPr>
          <w:shd w:val="clear" w:color="auto" w:fill="FFFFFF"/>
        </w:rPr>
        <w:t xml:space="preserve">This causal link generally must be established by expert testimony that the injury was more probably than not a result of the physician’s negligence.” </w:t>
      </w:r>
      <w:r w:rsidR="0012141D" w:rsidRPr="006A5FE5">
        <w:rPr>
          <w:rStyle w:val="Emphasis"/>
          <w:bdr w:val="none" w:sz="0" w:space="0" w:color="auto" w:frame="1"/>
        </w:rPr>
        <w:t>Harlow v. Chin,</w:t>
      </w:r>
      <w:r w:rsidR="0012141D" w:rsidRPr="006A5FE5">
        <w:rPr>
          <w:bdr w:val="none" w:sz="0" w:space="0" w:color="auto" w:frame="1"/>
        </w:rPr>
        <w:t> 405 Mass. 697, 702 (1989). Dr. Angel</w:t>
      </w:r>
      <w:r w:rsidR="0012141D" w:rsidRPr="006A5FE5">
        <w:t xml:space="preserve"> did not opine on causation, just standard of care. The only opinions on causation came from the expert affidavits</w:t>
      </w:r>
      <w:r w:rsidR="006A5FE5">
        <w:t xml:space="preserve"> to </w:t>
      </w:r>
      <w:r w:rsidR="0012141D" w:rsidRPr="006A5FE5">
        <w:t>which, as noted, I give little weight.</w:t>
      </w:r>
    </w:p>
    <w:p w14:paraId="4B079405" w14:textId="0343C09F" w:rsidR="00B57886" w:rsidRPr="006A5FE5" w:rsidRDefault="00AD75D8" w:rsidP="0012141D">
      <w:pPr>
        <w:pStyle w:val="le-normal-32-level"/>
        <w:shd w:val="clear" w:color="auto" w:fill="FFFFFF"/>
        <w:spacing w:before="0" w:beforeAutospacing="0" w:after="0" w:afterAutospacing="0" w:line="480" w:lineRule="auto"/>
      </w:pPr>
      <w:r w:rsidRPr="006A5FE5">
        <w:tab/>
        <w:t>For example, Dr. Janet believed Patient A</w:t>
      </w:r>
      <w:r w:rsidR="00CA2121">
        <w:t>’s symptoms were consistent with an infection generally, and specifically</w:t>
      </w:r>
      <w:r w:rsidRPr="006A5FE5">
        <w:t xml:space="preserve"> pneumonia</w:t>
      </w:r>
      <w:r w:rsidR="00CA2121">
        <w:t>,</w:t>
      </w:r>
      <w:r w:rsidRPr="006A5FE5">
        <w:t xml:space="preserve"> at the time of </w:t>
      </w:r>
      <w:r w:rsidR="007F34D1">
        <w:t>the Respondent</w:t>
      </w:r>
      <w:r w:rsidRPr="006A5FE5">
        <w:t>’s evaluation (again, even though she had no signs of pneumonia). In any event, he explains that, more likely than not, “streptococcus bacteria had crossed the blo</w:t>
      </w:r>
      <w:r w:rsidR="00AE4BD4" w:rsidRPr="006A5FE5">
        <w:t>o</w:t>
      </w:r>
      <w:r w:rsidRPr="006A5FE5">
        <w:t>d-brain barrier and were infecting Patient A’s brain and surrounding tissue, leading to tissue necrosis. The blood stream infection had been present long enough to also cause abscesses to form in other organs, including the kidneys and heart.” He then says he believes Patient A would have survived if she was sent to the hospital for empirical antibiotic therapy.</w:t>
      </w:r>
      <w:r w:rsidR="006A5FE5">
        <w:t xml:space="preserve"> Dr. Reisman’s affidavit is virtually identical. </w:t>
      </w:r>
    </w:p>
    <w:p w14:paraId="026A42AF" w14:textId="0CA6FD69" w:rsidR="00AD75D8" w:rsidRPr="006A5FE5" w:rsidRDefault="002D7C9A" w:rsidP="00AD75D8">
      <w:pPr>
        <w:adjustRightInd w:val="0"/>
        <w:spacing w:after="0" w:line="480" w:lineRule="auto"/>
        <w:ind w:firstLine="720"/>
        <w:rPr>
          <w:shd w:val="clear" w:color="auto" w:fill="FFFFFF"/>
        </w:rPr>
      </w:pPr>
      <w:r>
        <w:t>Th</w:t>
      </w:r>
      <w:r w:rsidR="002442EA">
        <w:t>e</w:t>
      </w:r>
      <w:r>
        <w:t>s</w:t>
      </w:r>
      <w:r w:rsidR="002442EA">
        <w:t>e</w:t>
      </w:r>
      <w:r>
        <w:t xml:space="preserve"> opinion</w:t>
      </w:r>
      <w:r w:rsidR="002442EA">
        <w:t>s</w:t>
      </w:r>
      <w:r>
        <w:t xml:space="preserve"> presume Patient A had an infection when she arrived at urgent care—which I doubt.</w:t>
      </w:r>
      <w:r w:rsidR="00AD75D8" w:rsidRPr="006A5FE5">
        <w:t xml:space="preserve"> </w:t>
      </w:r>
      <w:r w:rsidR="002442EA">
        <w:t>Nevertheless, t</w:t>
      </w:r>
      <w:r w:rsidR="00AD75D8" w:rsidRPr="006A5FE5">
        <w:t>here was</w:t>
      </w:r>
      <w:r>
        <w:t xml:space="preserve"> also</w:t>
      </w:r>
      <w:r w:rsidR="00AD75D8" w:rsidRPr="006A5FE5">
        <w:t xml:space="preserve"> no explanation about </w:t>
      </w:r>
      <w:r w:rsidR="00AE4BD4" w:rsidRPr="006A5FE5">
        <w:t>how</w:t>
      </w:r>
      <w:r w:rsidR="00AD75D8" w:rsidRPr="006A5FE5">
        <w:t xml:space="preserve"> immediat</w:t>
      </w:r>
      <w:r w:rsidR="00266DC8" w:rsidRPr="006A5FE5">
        <w:t>ely</w:t>
      </w:r>
      <w:r w:rsidR="00AD75D8" w:rsidRPr="006A5FE5">
        <w:t xml:space="preserve"> antibiotics</w:t>
      </w:r>
      <w:r w:rsidR="00AE4BD4" w:rsidRPr="006A5FE5">
        <w:t xml:space="preserve"> would</w:t>
      </w:r>
      <w:r w:rsidR="00AD75D8" w:rsidRPr="006A5FE5">
        <w:t xml:space="preserve"> have helped</w:t>
      </w:r>
      <w:r w:rsidR="00D41A75">
        <w:t>.</w:t>
      </w:r>
      <w:r w:rsidR="00AE4BD4" w:rsidRPr="006A5FE5">
        <w:t xml:space="preserve"> How serious were the abscesses in her other organs? At what point does an infection in the brain become irreversible? What is the survival rate for a splenectomy patient </w:t>
      </w:r>
      <w:r w:rsidR="00AE4BD4" w:rsidRPr="006A5FE5">
        <w:lastRenderedPageBreak/>
        <w:t xml:space="preserve">who has an untreated infection? </w:t>
      </w:r>
      <w:r w:rsidR="006A5FE5">
        <w:t xml:space="preserve">Without testimony and further exploration of these opinions, I do not credit them with respect to the issue of causation. Absent these opinions, there is no other evidence to support this element. </w:t>
      </w:r>
    </w:p>
    <w:p w14:paraId="39DDB2EF" w14:textId="77777777" w:rsidR="00432779" w:rsidRPr="006A5FE5" w:rsidRDefault="00432779" w:rsidP="0012141D">
      <w:pPr>
        <w:shd w:val="clear" w:color="auto" w:fill="FFFFFF"/>
        <w:spacing w:after="0" w:line="480" w:lineRule="auto"/>
        <w:jc w:val="center"/>
        <w:rPr>
          <w:b/>
          <w:bCs/>
        </w:rPr>
      </w:pPr>
      <w:r w:rsidRPr="006A5FE5">
        <w:rPr>
          <w:b/>
          <w:bCs/>
        </w:rPr>
        <w:t>CONCLUSION</w:t>
      </w:r>
    </w:p>
    <w:p w14:paraId="09264CB9" w14:textId="0578C6FA" w:rsidR="00432779" w:rsidRPr="006A5FE5" w:rsidRDefault="00C266ED" w:rsidP="0012141D">
      <w:pPr>
        <w:shd w:val="clear" w:color="auto" w:fill="FFFFFF"/>
        <w:spacing w:after="0" w:line="480" w:lineRule="auto"/>
        <w:ind w:firstLine="720"/>
      </w:pPr>
      <w:r>
        <w:t xml:space="preserve">I recommend the Board find that the Respondent’s </w:t>
      </w:r>
      <w:r w:rsidR="00767F26">
        <w:t>actions</w:t>
      </w:r>
      <w:r>
        <w:t xml:space="preserve"> did not fall below the standard of care</w:t>
      </w:r>
      <w:r w:rsidR="00F80F4F">
        <w:t xml:space="preserve"> and that he did not </w:t>
      </w:r>
      <w:r w:rsidR="00B238BB">
        <w:t xml:space="preserve">commit misconduct by </w:t>
      </w:r>
      <w:r w:rsidR="00F80F4F">
        <w:t>violat</w:t>
      </w:r>
      <w:r w:rsidR="00B238BB">
        <w:t>ing</w:t>
      </w:r>
      <w:r w:rsidR="00F80F4F">
        <w:t xml:space="preserve"> any statute or regulation. </w:t>
      </w:r>
    </w:p>
    <w:p w14:paraId="005B8865" w14:textId="77777777" w:rsidR="00266DC8" w:rsidRPr="006A5FE5" w:rsidRDefault="00266DC8" w:rsidP="0012141D">
      <w:pPr>
        <w:shd w:val="clear" w:color="auto" w:fill="FFFFFF"/>
        <w:spacing w:after="0" w:line="480" w:lineRule="auto"/>
        <w:ind w:firstLine="720"/>
      </w:pPr>
    </w:p>
    <w:p w14:paraId="1D5A1D24" w14:textId="77777777" w:rsidR="00432779" w:rsidRPr="006A5FE5" w:rsidRDefault="00432779" w:rsidP="0012141D">
      <w:pPr>
        <w:spacing w:after="0" w:line="240" w:lineRule="auto"/>
        <w:ind w:left="2880" w:firstLine="720"/>
      </w:pPr>
      <w:bookmarkStart w:id="3" w:name="_Hlk119657137"/>
      <w:r w:rsidRPr="006A5FE5">
        <w:t>DIVISION OF ADMINISTRATIVE LAW APPEALS</w:t>
      </w:r>
    </w:p>
    <w:p w14:paraId="4AF74DD2" w14:textId="77777777" w:rsidR="00262034"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sidRPr="006A5FE5">
        <w:tab/>
      </w:r>
      <w:r w:rsidRPr="006A5FE5">
        <w:tab/>
      </w:r>
      <w:r w:rsidRPr="006A5FE5">
        <w:tab/>
      </w:r>
      <w:r w:rsidRPr="006A5FE5">
        <w:tab/>
      </w:r>
      <w:r w:rsidRPr="006A5FE5">
        <w:tab/>
      </w:r>
    </w:p>
    <w:p w14:paraId="251CAFF1" w14:textId="0401DBEF" w:rsidR="00432779" w:rsidRPr="00262034" w:rsidRDefault="00262034"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Brush Script MT" w:hAnsi="Brush Script MT"/>
          <w:sz w:val="48"/>
          <w:szCs w:val="48"/>
        </w:rPr>
      </w:pPr>
      <w:r>
        <w:tab/>
      </w:r>
      <w:r>
        <w:tab/>
      </w:r>
      <w:r>
        <w:tab/>
      </w:r>
      <w:r>
        <w:tab/>
      </w:r>
      <w:r>
        <w:tab/>
      </w:r>
      <w:r w:rsidR="00432779" w:rsidRPr="00262034">
        <w:rPr>
          <w:rFonts w:ascii="Brush Script MT" w:hAnsi="Brush Script MT"/>
          <w:sz w:val="48"/>
          <w:szCs w:val="48"/>
        </w:rPr>
        <w:t>Eric Tennen</w:t>
      </w:r>
    </w:p>
    <w:p w14:paraId="58967D6D" w14:textId="77777777" w:rsidR="00432779" w:rsidRPr="006A5FE5"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sidRPr="006A5FE5">
        <w:tab/>
      </w:r>
      <w:r w:rsidRPr="006A5FE5">
        <w:tab/>
      </w:r>
      <w:r w:rsidRPr="006A5FE5">
        <w:tab/>
      </w:r>
      <w:r w:rsidRPr="006A5FE5">
        <w:tab/>
      </w:r>
      <w:r w:rsidRPr="006A5FE5">
        <w:tab/>
        <w:t>__________________________________</w:t>
      </w:r>
    </w:p>
    <w:p w14:paraId="2056A660" w14:textId="77777777" w:rsidR="00432779" w:rsidRPr="006A5FE5"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sidRPr="006A5FE5">
        <w:tab/>
      </w:r>
      <w:r w:rsidRPr="006A5FE5">
        <w:tab/>
      </w:r>
      <w:r w:rsidRPr="006A5FE5">
        <w:tab/>
      </w:r>
      <w:r w:rsidRPr="006A5FE5">
        <w:tab/>
      </w:r>
      <w:r w:rsidRPr="006A5FE5">
        <w:tab/>
        <w:t>Eric Tennen</w:t>
      </w:r>
    </w:p>
    <w:p w14:paraId="37397A4E" w14:textId="00CB0CD0" w:rsidR="00432779"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sidRPr="006A5FE5">
        <w:tab/>
      </w:r>
      <w:r w:rsidRPr="006A5FE5">
        <w:tab/>
      </w:r>
      <w:r w:rsidRPr="006A5FE5">
        <w:tab/>
      </w:r>
      <w:r w:rsidRPr="006A5FE5">
        <w:tab/>
      </w:r>
      <w:r w:rsidRPr="006A5FE5">
        <w:tab/>
        <w:t>Administrative Magistrate</w:t>
      </w:r>
    </w:p>
    <w:p w14:paraId="08B73E31" w14:textId="574BE6F7" w:rsidR="005402BB" w:rsidRDefault="005402BB"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
    <w:p w14:paraId="15E87085" w14:textId="1FB080AF" w:rsidR="005402BB" w:rsidRPr="006A5FE5" w:rsidRDefault="005402BB"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t>JUN 06 2023</w:t>
      </w:r>
    </w:p>
    <w:bookmarkEnd w:id="3"/>
    <w:p w14:paraId="3315DC7A" w14:textId="77777777" w:rsidR="00432779" w:rsidRPr="006A5FE5" w:rsidRDefault="00432779" w:rsidP="0012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pPr>
      <w:r w:rsidRPr="006A5FE5">
        <w:br/>
      </w:r>
    </w:p>
    <w:p w14:paraId="68B7FB80" w14:textId="77777777" w:rsidR="00432779" w:rsidRPr="006A5FE5" w:rsidRDefault="00432779" w:rsidP="0012141D">
      <w:pPr>
        <w:spacing w:after="0" w:line="480" w:lineRule="auto"/>
      </w:pPr>
    </w:p>
    <w:p w14:paraId="315457F9" w14:textId="50839787" w:rsidR="00003DD6" w:rsidRPr="006A5FE5" w:rsidRDefault="00003DD6" w:rsidP="0012141D">
      <w:pPr>
        <w:spacing w:after="0"/>
      </w:pPr>
    </w:p>
    <w:p w14:paraId="6358FB6B" w14:textId="56508778" w:rsidR="00D0737C" w:rsidRPr="006A5FE5" w:rsidRDefault="00D0737C" w:rsidP="0012141D">
      <w:pPr>
        <w:spacing w:after="0"/>
      </w:pPr>
    </w:p>
    <w:sectPr w:rsidR="00D0737C" w:rsidRPr="006A5FE5" w:rsidSect="00B4285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D1B3" w14:textId="77777777" w:rsidR="00712D2B" w:rsidRDefault="00712D2B" w:rsidP="00432779">
      <w:pPr>
        <w:spacing w:after="0" w:line="240" w:lineRule="auto"/>
      </w:pPr>
      <w:r>
        <w:separator/>
      </w:r>
    </w:p>
  </w:endnote>
  <w:endnote w:type="continuationSeparator" w:id="0">
    <w:p w14:paraId="3CDA101C" w14:textId="77777777" w:rsidR="00712D2B" w:rsidRDefault="00712D2B" w:rsidP="0043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77157"/>
      <w:docPartObj>
        <w:docPartGallery w:val="Page Numbers (Bottom of Page)"/>
        <w:docPartUnique/>
      </w:docPartObj>
    </w:sdtPr>
    <w:sdtEndPr>
      <w:rPr>
        <w:noProof/>
      </w:rPr>
    </w:sdtEndPr>
    <w:sdtContent>
      <w:p w14:paraId="4BE05AE1" w14:textId="48B7EF68" w:rsidR="00B4285B" w:rsidRDefault="00B42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ECE78" w14:textId="77777777" w:rsidR="00B4285B" w:rsidRDefault="00B42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3F20" w14:textId="77777777" w:rsidR="00712D2B" w:rsidRDefault="00712D2B" w:rsidP="00432779">
      <w:pPr>
        <w:spacing w:after="0" w:line="240" w:lineRule="auto"/>
      </w:pPr>
      <w:r>
        <w:separator/>
      </w:r>
    </w:p>
  </w:footnote>
  <w:footnote w:type="continuationSeparator" w:id="0">
    <w:p w14:paraId="21945550" w14:textId="77777777" w:rsidR="00712D2B" w:rsidRDefault="00712D2B" w:rsidP="00432779">
      <w:pPr>
        <w:spacing w:after="0" w:line="240" w:lineRule="auto"/>
      </w:pPr>
      <w:r>
        <w:continuationSeparator/>
      </w:r>
    </w:p>
  </w:footnote>
  <w:footnote w:id="1">
    <w:p w14:paraId="62F1FE68" w14:textId="0BB9266D" w:rsidR="00CA5E4F" w:rsidRDefault="00055905" w:rsidP="00055905">
      <w:pPr>
        <w:pStyle w:val="FootnoteText"/>
        <w:rPr>
          <w:sz w:val="24"/>
        </w:rPr>
      </w:pPr>
      <w:r w:rsidRPr="00341DC2">
        <w:rPr>
          <w:rStyle w:val="FootnoteReference"/>
          <w:sz w:val="24"/>
        </w:rPr>
        <w:footnoteRef/>
      </w:r>
      <w:r w:rsidRPr="00341DC2">
        <w:rPr>
          <w:sz w:val="24"/>
        </w:rPr>
        <w:t xml:space="preserve"> </w:t>
      </w:r>
      <w:r w:rsidRPr="00341DC2">
        <w:rPr>
          <w:sz w:val="24"/>
        </w:rPr>
        <w:tab/>
      </w:r>
      <w:r w:rsidR="00CA5E4F">
        <w:rPr>
          <w:sz w:val="24"/>
        </w:rPr>
        <w:t>On the third day of hearings, t</w:t>
      </w:r>
      <w:r w:rsidR="00341DC2" w:rsidRPr="00341DC2">
        <w:rPr>
          <w:sz w:val="24"/>
        </w:rPr>
        <w:t>he Board</w:t>
      </w:r>
      <w:r w:rsidRPr="00341DC2">
        <w:rPr>
          <w:sz w:val="24"/>
        </w:rPr>
        <w:t xml:space="preserve"> </w:t>
      </w:r>
      <w:r w:rsidR="00341DC2">
        <w:rPr>
          <w:sz w:val="24"/>
        </w:rPr>
        <w:t>call</w:t>
      </w:r>
      <w:r w:rsidR="00CA5E4F">
        <w:rPr>
          <w:sz w:val="24"/>
        </w:rPr>
        <w:t>ed</w:t>
      </w:r>
      <w:r w:rsidR="00341DC2">
        <w:rPr>
          <w:sz w:val="24"/>
        </w:rPr>
        <w:t xml:space="preserve"> Dr. Jerald Reisman as a witness</w:t>
      </w:r>
      <w:r w:rsidR="001E38D5">
        <w:rPr>
          <w:sz w:val="24"/>
        </w:rPr>
        <w:t>; he was testifying</w:t>
      </w:r>
      <w:r w:rsidR="00341DC2">
        <w:rPr>
          <w:sz w:val="24"/>
        </w:rPr>
        <w:t xml:space="preserve"> virtually. Dr. Reisman had drafted an expert affidavit </w:t>
      </w:r>
      <w:r w:rsidR="00B730CF">
        <w:rPr>
          <w:sz w:val="24"/>
        </w:rPr>
        <w:t xml:space="preserve">in 2017 as part of </w:t>
      </w:r>
      <w:r w:rsidR="008B47F8">
        <w:rPr>
          <w:sz w:val="24"/>
        </w:rPr>
        <w:t>a</w:t>
      </w:r>
      <w:r w:rsidR="00B730CF">
        <w:rPr>
          <w:sz w:val="24"/>
        </w:rPr>
        <w:t xml:space="preserve"> medical malpractice case against the Respondent</w:t>
      </w:r>
      <w:r w:rsidR="00774490">
        <w:rPr>
          <w:sz w:val="24"/>
        </w:rPr>
        <w:t>. (Exhibit 12.) Unfortunately, there were several technological difficulties that delayed the testimony</w:t>
      </w:r>
      <w:r w:rsidR="00B730CF">
        <w:rPr>
          <w:sz w:val="24"/>
        </w:rPr>
        <w:t xml:space="preserve"> by almost 30 minutes</w:t>
      </w:r>
      <w:r w:rsidR="00774490">
        <w:rPr>
          <w:sz w:val="24"/>
        </w:rPr>
        <w:t xml:space="preserve">. </w:t>
      </w:r>
    </w:p>
    <w:p w14:paraId="084526F6" w14:textId="77777777" w:rsidR="001E38D5" w:rsidRDefault="001E38D5" w:rsidP="00055905">
      <w:pPr>
        <w:pStyle w:val="FootnoteText"/>
        <w:rPr>
          <w:sz w:val="24"/>
        </w:rPr>
      </w:pPr>
    </w:p>
    <w:p w14:paraId="045AF2B6" w14:textId="6EBC4211" w:rsidR="00055905" w:rsidRPr="00261A25" w:rsidRDefault="008B47F8" w:rsidP="00CA5E4F">
      <w:pPr>
        <w:pStyle w:val="FootnoteText"/>
        <w:ind w:firstLine="720"/>
        <w:rPr>
          <w:sz w:val="24"/>
        </w:rPr>
      </w:pPr>
      <w:r>
        <w:rPr>
          <w:sz w:val="24"/>
        </w:rPr>
        <w:t>Dr. Reisman</w:t>
      </w:r>
      <w:r w:rsidR="00774490">
        <w:rPr>
          <w:sz w:val="24"/>
        </w:rPr>
        <w:t xml:space="preserve"> began by saying he could not recall the case in “complete detail.” The</w:t>
      </w:r>
      <w:r>
        <w:rPr>
          <w:sz w:val="24"/>
        </w:rPr>
        <w:t>n Dr. Reisman</w:t>
      </w:r>
      <w:r w:rsidR="00774490">
        <w:rPr>
          <w:sz w:val="24"/>
        </w:rPr>
        <w:t>, understandably frustrated, complained about the meeting being a “disaster”</w:t>
      </w:r>
      <w:r w:rsidR="004B52A6">
        <w:rPr>
          <w:sz w:val="24"/>
        </w:rPr>
        <w:t>;</w:t>
      </w:r>
      <w:r w:rsidR="00774490">
        <w:rPr>
          <w:sz w:val="24"/>
        </w:rPr>
        <w:t xml:space="preserve"> he did not have time for it</w:t>
      </w:r>
      <w:r>
        <w:rPr>
          <w:sz w:val="24"/>
        </w:rPr>
        <w:t xml:space="preserve"> since he had only scheduled one hour and it was clearly not going to end soon</w:t>
      </w:r>
      <w:r w:rsidR="00774490">
        <w:rPr>
          <w:sz w:val="24"/>
        </w:rPr>
        <w:t>. He lamented he was doing it for free</w:t>
      </w:r>
      <w:r w:rsidR="00B730CF">
        <w:rPr>
          <w:sz w:val="24"/>
        </w:rPr>
        <w:t>. He was angry over the situation</w:t>
      </w:r>
      <w:r w:rsidR="00774490">
        <w:rPr>
          <w:sz w:val="24"/>
        </w:rPr>
        <w:t xml:space="preserve"> and </w:t>
      </w:r>
      <w:r w:rsidR="00B730CF">
        <w:rPr>
          <w:sz w:val="24"/>
        </w:rPr>
        <w:t>w</w:t>
      </w:r>
      <w:r w:rsidR="00774490">
        <w:rPr>
          <w:sz w:val="24"/>
        </w:rPr>
        <w:t xml:space="preserve">ould not reschedule. His testimony abruptly ended without finishing his direct or a single question of cross-examination. The Board indicated it would </w:t>
      </w:r>
      <w:r w:rsidR="00B730CF">
        <w:rPr>
          <w:sz w:val="24"/>
        </w:rPr>
        <w:t>simply rely</w:t>
      </w:r>
      <w:r w:rsidR="00774490">
        <w:rPr>
          <w:sz w:val="24"/>
        </w:rPr>
        <w:t xml:space="preserve"> on his affidavit</w:t>
      </w:r>
      <w:r w:rsidR="00B730CF">
        <w:rPr>
          <w:sz w:val="24"/>
        </w:rPr>
        <w:t>.</w:t>
      </w:r>
      <w:r w:rsidR="00261A25">
        <w:rPr>
          <w:sz w:val="24"/>
        </w:rPr>
        <w:t xml:space="preserve"> I place no weight on Dr. Reisman’s testimony, other than to note his demeanor. I address the import of his affidavit </w:t>
      </w:r>
      <w:r w:rsidR="00261A25">
        <w:rPr>
          <w:i/>
          <w:iCs/>
          <w:sz w:val="24"/>
        </w:rPr>
        <w:t>infra</w:t>
      </w:r>
      <w:r w:rsidR="00261A25">
        <w:rPr>
          <w:sz w:val="24"/>
        </w:rPr>
        <w:t xml:space="preserve">. </w:t>
      </w:r>
    </w:p>
  </w:footnote>
  <w:footnote w:id="2">
    <w:p w14:paraId="17B1957C" w14:textId="4D4EE650" w:rsidR="00376758" w:rsidRPr="00376758" w:rsidRDefault="00376758">
      <w:pPr>
        <w:pStyle w:val="FootnoteText"/>
        <w:rPr>
          <w:sz w:val="24"/>
        </w:rPr>
      </w:pPr>
      <w:r w:rsidRPr="00376758">
        <w:rPr>
          <w:rStyle w:val="FootnoteReference"/>
          <w:sz w:val="24"/>
        </w:rPr>
        <w:footnoteRef/>
      </w:r>
      <w:r w:rsidRPr="00376758">
        <w:rPr>
          <w:sz w:val="24"/>
        </w:rPr>
        <w:t xml:space="preserve"> </w:t>
      </w:r>
      <w:r w:rsidRPr="00376758">
        <w:rPr>
          <w:sz w:val="24"/>
        </w:rPr>
        <w:tab/>
        <w:t>I do not ultimately credit Dr. Angel’s opinion that the Respondent’s conduct fell below the standard of care. I nevertheless summarize the basis and reasoning for his opinion.</w:t>
      </w:r>
    </w:p>
  </w:footnote>
  <w:footnote w:id="3">
    <w:p w14:paraId="1121FA22" w14:textId="77777777" w:rsidR="00E7190B" w:rsidRPr="00B8472D" w:rsidRDefault="00E7190B" w:rsidP="00E7190B">
      <w:pPr>
        <w:pStyle w:val="FootnoteText"/>
        <w:rPr>
          <w:sz w:val="24"/>
        </w:rPr>
      </w:pPr>
      <w:r w:rsidRPr="00B8472D">
        <w:rPr>
          <w:rStyle w:val="FootnoteReference"/>
          <w:sz w:val="24"/>
        </w:rPr>
        <w:footnoteRef/>
      </w:r>
      <w:r w:rsidRPr="00B8472D">
        <w:rPr>
          <w:sz w:val="24"/>
        </w:rPr>
        <w:t xml:space="preserve"> </w:t>
      </w:r>
      <w:r w:rsidRPr="00B8472D">
        <w:rPr>
          <w:sz w:val="24"/>
        </w:rPr>
        <w:tab/>
        <w:t xml:space="preserve">Some of her symptoms were signs of early sepsis. Signs of late sepsis are septic shock or collapse, low blood pressure, </w:t>
      </w:r>
      <w:r>
        <w:rPr>
          <w:sz w:val="24"/>
        </w:rPr>
        <w:t xml:space="preserve">and </w:t>
      </w:r>
      <w:r w:rsidRPr="00B8472D">
        <w:rPr>
          <w:sz w:val="24"/>
        </w:rPr>
        <w:t>mental status changes. One can go from early sepsis to late sepsis in a matter of hours. (Angel testimony.)</w:t>
      </w:r>
    </w:p>
  </w:footnote>
  <w:footnote w:id="4">
    <w:p w14:paraId="2E7218CF" w14:textId="24C1408F" w:rsidR="00376758" w:rsidRDefault="00376758" w:rsidP="00376758">
      <w:pPr>
        <w:pStyle w:val="FootnoteText"/>
      </w:pPr>
      <w:r>
        <w:rPr>
          <w:rStyle w:val="FootnoteReference"/>
        </w:rPr>
        <w:footnoteRef/>
      </w:r>
      <w:r>
        <w:t xml:space="preserve"> </w:t>
      </w:r>
      <w:r>
        <w:tab/>
      </w:r>
      <w:r w:rsidRPr="006A5FE5">
        <w:rPr>
          <w:sz w:val="24"/>
        </w:rPr>
        <w:t xml:space="preserve">I give each </w:t>
      </w:r>
      <w:r w:rsidR="00767F26">
        <w:rPr>
          <w:sz w:val="24"/>
        </w:rPr>
        <w:t>of these opinions</w:t>
      </w:r>
      <w:r w:rsidRPr="006A5FE5">
        <w:rPr>
          <w:sz w:val="24"/>
        </w:rPr>
        <w:t xml:space="preserve"> limited weight since the </w:t>
      </w:r>
      <w:r w:rsidR="00767F26">
        <w:rPr>
          <w:sz w:val="24"/>
        </w:rPr>
        <w:t>experts</w:t>
      </w:r>
      <w:r w:rsidRPr="006A5FE5">
        <w:rPr>
          <w:sz w:val="24"/>
        </w:rPr>
        <w:t xml:space="preserve"> did not testify and were not subject to cross-examination.</w:t>
      </w:r>
      <w:r>
        <w:rPr>
          <w:sz w:val="24"/>
        </w:rPr>
        <w:t xml:space="preserve"> </w:t>
      </w:r>
      <w:r w:rsidRPr="00376758">
        <w:rPr>
          <w:sz w:val="24"/>
        </w:rPr>
        <w:t xml:space="preserve">I nevertheless summarize the basis and reasoning for </w:t>
      </w:r>
      <w:r w:rsidR="00FD51C5">
        <w:rPr>
          <w:sz w:val="24"/>
        </w:rPr>
        <w:t>their</w:t>
      </w:r>
      <w:r w:rsidRPr="00376758">
        <w:rPr>
          <w:sz w:val="24"/>
        </w:rPr>
        <w:t xml:space="preserve"> opinion</w:t>
      </w:r>
      <w:r w:rsidR="00FD51C5">
        <w:rPr>
          <w:sz w:val="24"/>
        </w:rPr>
        <w:t>s</w:t>
      </w:r>
      <w:r w:rsidRPr="00376758">
        <w:rPr>
          <w:sz w:val="24"/>
        </w:rPr>
        <w:t>.</w:t>
      </w:r>
    </w:p>
  </w:footnote>
  <w:footnote w:id="5">
    <w:p w14:paraId="35EE8BD6" w14:textId="08540A70" w:rsidR="00506CC7" w:rsidRPr="00506CC7" w:rsidRDefault="00506CC7" w:rsidP="00506CC7">
      <w:pPr>
        <w:spacing w:line="240" w:lineRule="auto"/>
      </w:pPr>
      <w:r>
        <w:rPr>
          <w:rStyle w:val="FootnoteReference"/>
        </w:rPr>
        <w:footnoteRef/>
      </w:r>
      <w:r>
        <w:t xml:space="preserve"> </w:t>
      </w:r>
      <w:r>
        <w:tab/>
      </w:r>
      <w:r w:rsidRPr="00506CC7">
        <w:t>On cross and redirect, he clarified that someone who has had a splenectomy may still have a residual spleen</w:t>
      </w:r>
      <w:r w:rsidR="00F87B4B">
        <w:t xml:space="preserve">: </w:t>
      </w:r>
      <w:r>
        <w:t>a piece of the original spleen which was not removed or a whole other spleen</w:t>
      </w:r>
      <w:r w:rsidRPr="00506CC7">
        <w:t>. Patient A</w:t>
      </w:r>
      <w:r>
        <w:t>’s autopsy indicated she</w:t>
      </w:r>
      <w:r w:rsidRPr="00506CC7">
        <w:t xml:space="preserve"> had a residual spleen.</w:t>
      </w:r>
      <w:r w:rsidR="004B52A6">
        <w:t xml:space="preserve"> (</w:t>
      </w:r>
      <w:r w:rsidR="004B52A6" w:rsidRPr="00506CC7">
        <w:t>Exhibit 1.)</w:t>
      </w:r>
      <w:r>
        <w:t xml:space="preserve"> That fact made little difference in this case because </w:t>
      </w:r>
      <w:r w:rsidR="002649D1">
        <w:t>the Respondent</w:t>
      </w:r>
      <w:r>
        <w:t xml:space="preserve"> would not have known that, nor would it have changed Patient A’s symptomology. However, </w:t>
      </w:r>
      <w:r w:rsidR="00E7190B">
        <w:t>t</w:t>
      </w:r>
      <w:r>
        <w:t xml:space="preserve">his testimony reflected his attention to detail and scope of knowledge. </w:t>
      </w:r>
      <w:r w:rsidRPr="00506CC7">
        <w:t>(Van Dam testimony</w:t>
      </w:r>
      <w:r w:rsidR="004B52A6">
        <w:t>.</w:t>
      </w:r>
      <w:r w:rsidRPr="00506CC7">
        <w:t>)</w:t>
      </w:r>
    </w:p>
    <w:p w14:paraId="58520ECE" w14:textId="1B777154" w:rsidR="00506CC7" w:rsidRDefault="00506CC7">
      <w:pPr>
        <w:pStyle w:val="FootnoteText"/>
      </w:pPr>
    </w:p>
  </w:footnote>
  <w:footnote w:id="6">
    <w:p w14:paraId="4CFD6FD6" w14:textId="5E9A539D" w:rsidR="00376758" w:rsidRPr="00376758" w:rsidRDefault="00376758" w:rsidP="00376758">
      <w:pPr>
        <w:spacing w:line="240" w:lineRule="auto"/>
      </w:pPr>
      <w:r>
        <w:rPr>
          <w:rStyle w:val="FootnoteReference"/>
        </w:rPr>
        <w:footnoteRef/>
      </w:r>
      <w:r>
        <w:t xml:space="preserve"> </w:t>
      </w:r>
      <w:r>
        <w:tab/>
      </w:r>
      <w:r w:rsidRPr="00376758">
        <w:t xml:space="preserve">Like the </w:t>
      </w:r>
      <w:r w:rsidR="00767F26">
        <w:t>affidavits</w:t>
      </w:r>
      <w:r w:rsidRPr="00376758">
        <w:t xml:space="preserve"> put forth by the Board, I do not put much weight on this opinion because Dr. Friedman did not testify and was not subject to cross-examination. Additionally, his report was not made under the pains and penalties of perjury. </w:t>
      </w:r>
      <w:r w:rsidR="009144D0">
        <w:t>Like the other documentary expert evidence, I</w:t>
      </w:r>
      <w:r w:rsidR="00FD51C5">
        <w:t xml:space="preserve"> summarize </w:t>
      </w:r>
      <w:r w:rsidR="00FD51C5" w:rsidRPr="00376758">
        <w:t>the basis and reasoning for his opinion</w:t>
      </w:r>
      <w:r w:rsidR="00FD51C5">
        <w:t>.</w:t>
      </w:r>
    </w:p>
    <w:p w14:paraId="0E3EAB09" w14:textId="31B8415B" w:rsidR="00376758" w:rsidRDefault="00376758">
      <w:pPr>
        <w:pStyle w:val="FootnoteText"/>
      </w:pPr>
    </w:p>
  </w:footnote>
  <w:footnote w:id="7">
    <w:p w14:paraId="02E5CA84" w14:textId="77777777" w:rsidR="0017385A" w:rsidRPr="009144D0" w:rsidRDefault="0017385A" w:rsidP="0017385A">
      <w:pPr>
        <w:pStyle w:val="FootnoteText"/>
        <w:rPr>
          <w:sz w:val="24"/>
        </w:rPr>
      </w:pPr>
      <w:r w:rsidRPr="009144D0">
        <w:rPr>
          <w:rStyle w:val="FootnoteReference"/>
          <w:sz w:val="24"/>
        </w:rPr>
        <w:footnoteRef/>
      </w:r>
      <w:r w:rsidRPr="009144D0">
        <w:rPr>
          <w:sz w:val="24"/>
        </w:rPr>
        <w:t xml:space="preserve"> </w:t>
      </w:r>
      <w:r w:rsidRPr="009144D0">
        <w:rPr>
          <w:sz w:val="24"/>
        </w:rPr>
        <w:tab/>
        <w:t xml:space="preserve">In any event, the documentary expert evidence provided by each party largely mirrors the opinion of each party’s testifying expert. </w:t>
      </w:r>
    </w:p>
  </w:footnote>
  <w:footnote w:id="8">
    <w:p w14:paraId="45DE7AF2" w14:textId="645EED3C" w:rsidR="00D8434A" w:rsidRPr="002D7C9A" w:rsidRDefault="00D8434A">
      <w:pPr>
        <w:pStyle w:val="FootnoteText"/>
        <w:rPr>
          <w:sz w:val="24"/>
        </w:rPr>
      </w:pPr>
      <w:r w:rsidRPr="00D8434A">
        <w:rPr>
          <w:rStyle w:val="FootnoteReference"/>
          <w:sz w:val="24"/>
        </w:rPr>
        <w:footnoteRef/>
      </w:r>
      <w:r w:rsidRPr="00D8434A">
        <w:rPr>
          <w:sz w:val="24"/>
        </w:rPr>
        <w:t xml:space="preserve"> </w:t>
      </w:r>
      <w:r w:rsidRPr="00D8434A">
        <w:rPr>
          <w:sz w:val="24"/>
        </w:rPr>
        <w:tab/>
        <w:t>Dr. Angel agreed an infection can develop quickly, but somehow discounted the possibility that it developed after Patient A left urgent care—even though the timing made sense.</w:t>
      </w:r>
      <w:r w:rsidR="002D7C9A">
        <w:rPr>
          <w:sz w:val="24"/>
        </w:rPr>
        <w:t xml:space="preserve"> </w:t>
      </w:r>
      <w:r w:rsidR="002D7C9A">
        <w:rPr>
          <w:i/>
          <w:iCs/>
          <w:sz w:val="24"/>
        </w:rPr>
        <w:t>See BRM v. Govindan</w:t>
      </w:r>
      <w:r w:rsidR="002D7C9A">
        <w:rPr>
          <w:sz w:val="24"/>
        </w:rPr>
        <w:t>, RB-18-0161 (DALA Apr. 28, 2021)(expert’s “explanation appears to assume negligence because of the occurrence of a bad outcome.”)</w:t>
      </w:r>
    </w:p>
  </w:footnote>
  <w:footnote w:id="9">
    <w:p w14:paraId="3E182B28" w14:textId="05A603DA" w:rsidR="00D052DB" w:rsidRPr="00D764B7" w:rsidRDefault="00D052DB" w:rsidP="00D052DB">
      <w:pPr>
        <w:pStyle w:val="le-normal-32-level"/>
        <w:shd w:val="clear" w:color="auto" w:fill="FFFFFF"/>
        <w:spacing w:before="0" w:beforeAutospacing="0" w:after="0" w:afterAutospacing="0"/>
        <w:rPr>
          <w:shd w:val="clear" w:color="auto" w:fill="FFFFFF"/>
        </w:rPr>
      </w:pPr>
      <w:r>
        <w:rPr>
          <w:rStyle w:val="FootnoteReference"/>
        </w:rPr>
        <w:footnoteRef/>
      </w:r>
      <w:r>
        <w:t xml:space="preserve"> </w:t>
      </w:r>
      <w:r>
        <w:tab/>
        <w:t>I</w:t>
      </w:r>
      <w:r>
        <w:rPr>
          <w:shd w:val="clear" w:color="auto" w:fill="FFFFFF"/>
        </w:rPr>
        <w:t>t is also</w:t>
      </w:r>
      <w:r w:rsidRPr="00D764B7">
        <w:rPr>
          <w:shd w:val="clear" w:color="auto" w:fill="FFFFFF"/>
        </w:rPr>
        <w:t xml:space="preserve"> unclear if</w:t>
      </w:r>
      <w:r>
        <w:rPr>
          <w:shd w:val="clear" w:color="auto" w:fill="FFFFFF"/>
        </w:rPr>
        <w:t xml:space="preserve"> the Board disciplined Williams</w:t>
      </w:r>
      <w:r w:rsidRPr="00D764B7">
        <w:rPr>
          <w:shd w:val="clear" w:color="auto" w:fill="FFFFFF"/>
        </w:rPr>
        <w:t xml:space="preserve"> because he committed one act of gross negligence or negligence</w:t>
      </w:r>
      <w:r>
        <w:rPr>
          <w:shd w:val="clear" w:color="auto" w:fill="FFFFFF"/>
        </w:rPr>
        <w:t xml:space="preserve"> on repeated occasions for </w:t>
      </w:r>
      <w:r w:rsidRPr="00D764B7">
        <w:rPr>
          <w:shd w:val="clear" w:color="auto" w:fill="FFFFFF"/>
        </w:rPr>
        <w:t xml:space="preserve">multiple acts </w:t>
      </w:r>
      <w:r>
        <w:rPr>
          <w:shd w:val="clear" w:color="auto" w:fill="FFFFFF"/>
        </w:rPr>
        <w:t>during that</w:t>
      </w:r>
      <w:r w:rsidRPr="00D764B7">
        <w:rPr>
          <w:shd w:val="clear" w:color="auto" w:fill="FFFFFF"/>
        </w:rPr>
        <w:t xml:space="preserve"> patient</w:t>
      </w:r>
      <w:r>
        <w:rPr>
          <w:shd w:val="clear" w:color="auto" w:fill="FFFFFF"/>
        </w:rPr>
        <w:t>’s one visit</w:t>
      </w:r>
      <w:r w:rsidRPr="00D764B7">
        <w:rPr>
          <w:shd w:val="clear" w:color="auto" w:fill="FFFFFF"/>
        </w:rPr>
        <w:t xml:space="preserve">. </w:t>
      </w:r>
      <w:r>
        <w:rPr>
          <w:shd w:val="clear" w:color="auto" w:fill="FFFFFF"/>
        </w:rPr>
        <w:t>If it was one act of gross negligence, this case is distinguishable. If it is for repeated acts of negligence in one visit, I reject that as a basis for discipline as explained below.</w:t>
      </w:r>
    </w:p>
    <w:p w14:paraId="77F399AD" w14:textId="403C72E0" w:rsidR="00D052DB" w:rsidRDefault="00D052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3DCC" w14:textId="3557720A" w:rsidR="00B4285B" w:rsidRPr="00B4285B" w:rsidRDefault="00B4285B">
    <w:pPr>
      <w:pStyle w:val="Header"/>
    </w:pPr>
    <w:r>
      <w:rPr>
        <w:i/>
        <w:iCs/>
      </w:rPr>
      <w:t>Bd. of Reg. in Medicine v. Shackelford</w:t>
    </w:r>
    <w:r>
      <w:t>,</w:t>
    </w:r>
    <w:r>
      <w:tab/>
    </w:r>
    <w:r>
      <w:tab/>
      <w:t>RM-20-0424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pt;height:.55pt;visibility:visible;mso-wrap-style:square" o:bullet="t">
        <v:imagedata r:id="rId1" o:title=""/>
      </v:shape>
    </w:pict>
  </w:numPicBullet>
  <w:abstractNum w:abstractNumId="0" w15:restartNumberingAfterBreak="0">
    <w:nsid w:val="01512342"/>
    <w:multiLevelType w:val="hybridMultilevel"/>
    <w:tmpl w:val="A54E3F8C"/>
    <w:lvl w:ilvl="0" w:tplc="5370732A">
      <w:start w:val="1"/>
      <w:numFmt w:val="bullet"/>
      <w:lvlText w:val=""/>
      <w:lvlPicBulletId w:val="0"/>
      <w:lvlJc w:val="left"/>
      <w:pPr>
        <w:tabs>
          <w:tab w:val="num" w:pos="720"/>
        </w:tabs>
        <w:ind w:left="720" w:hanging="360"/>
      </w:pPr>
      <w:rPr>
        <w:rFonts w:ascii="Symbol" w:hAnsi="Symbol" w:hint="default"/>
      </w:rPr>
    </w:lvl>
    <w:lvl w:ilvl="1" w:tplc="97C63560" w:tentative="1">
      <w:start w:val="1"/>
      <w:numFmt w:val="bullet"/>
      <w:lvlText w:val=""/>
      <w:lvlJc w:val="left"/>
      <w:pPr>
        <w:tabs>
          <w:tab w:val="num" w:pos="1440"/>
        </w:tabs>
        <w:ind w:left="1440" w:hanging="360"/>
      </w:pPr>
      <w:rPr>
        <w:rFonts w:ascii="Symbol" w:hAnsi="Symbol" w:hint="default"/>
      </w:rPr>
    </w:lvl>
    <w:lvl w:ilvl="2" w:tplc="167284A2" w:tentative="1">
      <w:start w:val="1"/>
      <w:numFmt w:val="bullet"/>
      <w:lvlText w:val=""/>
      <w:lvlJc w:val="left"/>
      <w:pPr>
        <w:tabs>
          <w:tab w:val="num" w:pos="2160"/>
        </w:tabs>
        <w:ind w:left="2160" w:hanging="360"/>
      </w:pPr>
      <w:rPr>
        <w:rFonts w:ascii="Symbol" w:hAnsi="Symbol" w:hint="default"/>
      </w:rPr>
    </w:lvl>
    <w:lvl w:ilvl="3" w:tplc="E0825DCC" w:tentative="1">
      <w:start w:val="1"/>
      <w:numFmt w:val="bullet"/>
      <w:lvlText w:val=""/>
      <w:lvlJc w:val="left"/>
      <w:pPr>
        <w:tabs>
          <w:tab w:val="num" w:pos="2880"/>
        </w:tabs>
        <w:ind w:left="2880" w:hanging="360"/>
      </w:pPr>
      <w:rPr>
        <w:rFonts w:ascii="Symbol" w:hAnsi="Symbol" w:hint="default"/>
      </w:rPr>
    </w:lvl>
    <w:lvl w:ilvl="4" w:tplc="B9E874D8" w:tentative="1">
      <w:start w:val="1"/>
      <w:numFmt w:val="bullet"/>
      <w:lvlText w:val=""/>
      <w:lvlJc w:val="left"/>
      <w:pPr>
        <w:tabs>
          <w:tab w:val="num" w:pos="3600"/>
        </w:tabs>
        <w:ind w:left="3600" w:hanging="360"/>
      </w:pPr>
      <w:rPr>
        <w:rFonts w:ascii="Symbol" w:hAnsi="Symbol" w:hint="default"/>
      </w:rPr>
    </w:lvl>
    <w:lvl w:ilvl="5" w:tplc="0C3EF232" w:tentative="1">
      <w:start w:val="1"/>
      <w:numFmt w:val="bullet"/>
      <w:lvlText w:val=""/>
      <w:lvlJc w:val="left"/>
      <w:pPr>
        <w:tabs>
          <w:tab w:val="num" w:pos="4320"/>
        </w:tabs>
        <w:ind w:left="4320" w:hanging="360"/>
      </w:pPr>
      <w:rPr>
        <w:rFonts w:ascii="Symbol" w:hAnsi="Symbol" w:hint="default"/>
      </w:rPr>
    </w:lvl>
    <w:lvl w:ilvl="6" w:tplc="FBAED18E" w:tentative="1">
      <w:start w:val="1"/>
      <w:numFmt w:val="bullet"/>
      <w:lvlText w:val=""/>
      <w:lvlJc w:val="left"/>
      <w:pPr>
        <w:tabs>
          <w:tab w:val="num" w:pos="5040"/>
        </w:tabs>
        <w:ind w:left="5040" w:hanging="360"/>
      </w:pPr>
      <w:rPr>
        <w:rFonts w:ascii="Symbol" w:hAnsi="Symbol" w:hint="default"/>
      </w:rPr>
    </w:lvl>
    <w:lvl w:ilvl="7" w:tplc="C1569F64" w:tentative="1">
      <w:start w:val="1"/>
      <w:numFmt w:val="bullet"/>
      <w:lvlText w:val=""/>
      <w:lvlJc w:val="left"/>
      <w:pPr>
        <w:tabs>
          <w:tab w:val="num" w:pos="5760"/>
        </w:tabs>
        <w:ind w:left="5760" w:hanging="360"/>
      </w:pPr>
      <w:rPr>
        <w:rFonts w:ascii="Symbol" w:hAnsi="Symbol" w:hint="default"/>
      </w:rPr>
    </w:lvl>
    <w:lvl w:ilvl="8" w:tplc="676645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552700F"/>
    <w:multiLevelType w:val="hybridMultilevel"/>
    <w:tmpl w:val="6ABAD474"/>
    <w:lvl w:ilvl="0" w:tplc="E5AA5172">
      <w:start w:val="1"/>
      <w:numFmt w:val="decimal"/>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2A3777"/>
    <w:multiLevelType w:val="hybridMultilevel"/>
    <w:tmpl w:val="4E626618"/>
    <w:lvl w:ilvl="0" w:tplc="072C95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F32C6"/>
    <w:multiLevelType w:val="hybridMultilevel"/>
    <w:tmpl w:val="1722E1B0"/>
    <w:lvl w:ilvl="0" w:tplc="D744D246">
      <w:start w:val="1"/>
      <w:numFmt w:val="bullet"/>
      <w:lvlText w:val=""/>
      <w:lvlPicBulletId w:val="0"/>
      <w:lvlJc w:val="left"/>
      <w:pPr>
        <w:tabs>
          <w:tab w:val="num" w:pos="720"/>
        </w:tabs>
        <w:ind w:left="720" w:hanging="360"/>
      </w:pPr>
      <w:rPr>
        <w:rFonts w:ascii="Symbol" w:hAnsi="Symbol" w:hint="default"/>
      </w:rPr>
    </w:lvl>
    <w:lvl w:ilvl="1" w:tplc="76E81BF8" w:tentative="1">
      <w:start w:val="1"/>
      <w:numFmt w:val="bullet"/>
      <w:lvlText w:val=""/>
      <w:lvlJc w:val="left"/>
      <w:pPr>
        <w:tabs>
          <w:tab w:val="num" w:pos="1440"/>
        </w:tabs>
        <w:ind w:left="1440" w:hanging="360"/>
      </w:pPr>
      <w:rPr>
        <w:rFonts w:ascii="Symbol" w:hAnsi="Symbol" w:hint="default"/>
      </w:rPr>
    </w:lvl>
    <w:lvl w:ilvl="2" w:tplc="449EB7C0" w:tentative="1">
      <w:start w:val="1"/>
      <w:numFmt w:val="bullet"/>
      <w:lvlText w:val=""/>
      <w:lvlJc w:val="left"/>
      <w:pPr>
        <w:tabs>
          <w:tab w:val="num" w:pos="2160"/>
        </w:tabs>
        <w:ind w:left="2160" w:hanging="360"/>
      </w:pPr>
      <w:rPr>
        <w:rFonts w:ascii="Symbol" w:hAnsi="Symbol" w:hint="default"/>
      </w:rPr>
    </w:lvl>
    <w:lvl w:ilvl="3" w:tplc="D3889DF6" w:tentative="1">
      <w:start w:val="1"/>
      <w:numFmt w:val="bullet"/>
      <w:lvlText w:val=""/>
      <w:lvlJc w:val="left"/>
      <w:pPr>
        <w:tabs>
          <w:tab w:val="num" w:pos="2880"/>
        </w:tabs>
        <w:ind w:left="2880" w:hanging="360"/>
      </w:pPr>
      <w:rPr>
        <w:rFonts w:ascii="Symbol" w:hAnsi="Symbol" w:hint="default"/>
      </w:rPr>
    </w:lvl>
    <w:lvl w:ilvl="4" w:tplc="54B6277C" w:tentative="1">
      <w:start w:val="1"/>
      <w:numFmt w:val="bullet"/>
      <w:lvlText w:val=""/>
      <w:lvlJc w:val="left"/>
      <w:pPr>
        <w:tabs>
          <w:tab w:val="num" w:pos="3600"/>
        </w:tabs>
        <w:ind w:left="3600" w:hanging="360"/>
      </w:pPr>
      <w:rPr>
        <w:rFonts w:ascii="Symbol" w:hAnsi="Symbol" w:hint="default"/>
      </w:rPr>
    </w:lvl>
    <w:lvl w:ilvl="5" w:tplc="32B234EA" w:tentative="1">
      <w:start w:val="1"/>
      <w:numFmt w:val="bullet"/>
      <w:lvlText w:val=""/>
      <w:lvlJc w:val="left"/>
      <w:pPr>
        <w:tabs>
          <w:tab w:val="num" w:pos="4320"/>
        </w:tabs>
        <w:ind w:left="4320" w:hanging="360"/>
      </w:pPr>
      <w:rPr>
        <w:rFonts w:ascii="Symbol" w:hAnsi="Symbol" w:hint="default"/>
      </w:rPr>
    </w:lvl>
    <w:lvl w:ilvl="6" w:tplc="5128DA8C" w:tentative="1">
      <w:start w:val="1"/>
      <w:numFmt w:val="bullet"/>
      <w:lvlText w:val=""/>
      <w:lvlJc w:val="left"/>
      <w:pPr>
        <w:tabs>
          <w:tab w:val="num" w:pos="5040"/>
        </w:tabs>
        <w:ind w:left="5040" w:hanging="360"/>
      </w:pPr>
      <w:rPr>
        <w:rFonts w:ascii="Symbol" w:hAnsi="Symbol" w:hint="default"/>
      </w:rPr>
    </w:lvl>
    <w:lvl w:ilvl="7" w:tplc="E814E642" w:tentative="1">
      <w:start w:val="1"/>
      <w:numFmt w:val="bullet"/>
      <w:lvlText w:val=""/>
      <w:lvlJc w:val="left"/>
      <w:pPr>
        <w:tabs>
          <w:tab w:val="num" w:pos="5760"/>
        </w:tabs>
        <w:ind w:left="5760" w:hanging="360"/>
      </w:pPr>
      <w:rPr>
        <w:rFonts w:ascii="Symbol" w:hAnsi="Symbol" w:hint="default"/>
      </w:rPr>
    </w:lvl>
    <w:lvl w:ilvl="8" w:tplc="2FD0A26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DF0907"/>
    <w:multiLevelType w:val="hybridMultilevel"/>
    <w:tmpl w:val="FE221626"/>
    <w:lvl w:ilvl="0" w:tplc="2B12DF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76C"/>
    <w:multiLevelType w:val="hybridMultilevel"/>
    <w:tmpl w:val="1ADCACAE"/>
    <w:lvl w:ilvl="0" w:tplc="A50C28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370424">
    <w:abstractNumId w:val="1"/>
  </w:num>
  <w:num w:numId="2" w16cid:durableId="1748264284">
    <w:abstractNumId w:val="3"/>
  </w:num>
  <w:num w:numId="3" w16cid:durableId="1244685845">
    <w:abstractNumId w:val="0"/>
  </w:num>
  <w:num w:numId="4" w16cid:durableId="1474369806">
    <w:abstractNumId w:val="5"/>
  </w:num>
  <w:num w:numId="5" w16cid:durableId="1830628998">
    <w:abstractNumId w:val="4"/>
  </w:num>
  <w:num w:numId="6" w16cid:durableId="12369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7C"/>
    <w:rsid w:val="000006D2"/>
    <w:rsid w:val="00003842"/>
    <w:rsid w:val="00003DD6"/>
    <w:rsid w:val="00013D43"/>
    <w:rsid w:val="00024DFE"/>
    <w:rsid w:val="00031652"/>
    <w:rsid w:val="00034677"/>
    <w:rsid w:val="000356A5"/>
    <w:rsid w:val="000475E1"/>
    <w:rsid w:val="00055905"/>
    <w:rsid w:val="00073079"/>
    <w:rsid w:val="00073BF7"/>
    <w:rsid w:val="0008752A"/>
    <w:rsid w:val="00094936"/>
    <w:rsid w:val="000A47E2"/>
    <w:rsid w:val="000B0CC6"/>
    <w:rsid w:val="000B3253"/>
    <w:rsid w:val="000C19C3"/>
    <w:rsid w:val="000C4A21"/>
    <w:rsid w:val="000F18BC"/>
    <w:rsid w:val="00105889"/>
    <w:rsid w:val="00111D58"/>
    <w:rsid w:val="001156F2"/>
    <w:rsid w:val="0012141D"/>
    <w:rsid w:val="001219DA"/>
    <w:rsid w:val="00124F49"/>
    <w:rsid w:val="00126D94"/>
    <w:rsid w:val="00136EFA"/>
    <w:rsid w:val="00142E44"/>
    <w:rsid w:val="001602DF"/>
    <w:rsid w:val="00165E57"/>
    <w:rsid w:val="0017385A"/>
    <w:rsid w:val="00184643"/>
    <w:rsid w:val="001A07AC"/>
    <w:rsid w:val="001B72A0"/>
    <w:rsid w:val="001C1E99"/>
    <w:rsid w:val="001C4003"/>
    <w:rsid w:val="001D1B3B"/>
    <w:rsid w:val="001E0468"/>
    <w:rsid w:val="001E38D5"/>
    <w:rsid w:val="001E4E49"/>
    <w:rsid w:val="001E6984"/>
    <w:rsid w:val="001F1240"/>
    <w:rsid w:val="001F773C"/>
    <w:rsid w:val="00234702"/>
    <w:rsid w:val="00244156"/>
    <w:rsid w:val="002442EA"/>
    <w:rsid w:val="002539B2"/>
    <w:rsid w:val="00261A25"/>
    <w:rsid w:val="00262034"/>
    <w:rsid w:val="002649D1"/>
    <w:rsid w:val="00266DC8"/>
    <w:rsid w:val="00272430"/>
    <w:rsid w:val="002842F3"/>
    <w:rsid w:val="00290764"/>
    <w:rsid w:val="002A0E8E"/>
    <w:rsid w:val="002A4F78"/>
    <w:rsid w:val="002A69D4"/>
    <w:rsid w:val="002C2DB5"/>
    <w:rsid w:val="002C49B2"/>
    <w:rsid w:val="002D7C9A"/>
    <w:rsid w:val="002E5952"/>
    <w:rsid w:val="002F369C"/>
    <w:rsid w:val="003218D9"/>
    <w:rsid w:val="00341DC2"/>
    <w:rsid w:val="0034416A"/>
    <w:rsid w:val="00346405"/>
    <w:rsid w:val="00354BC3"/>
    <w:rsid w:val="0037356C"/>
    <w:rsid w:val="0037508E"/>
    <w:rsid w:val="0037622C"/>
    <w:rsid w:val="00376758"/>
    <w:rsid w:val="003B6BDE"/>
    <w:rsid w:val="003C224C"/>
    <w:rsid w:val="003C3A3E"/>
    <w:rsid w:val="003C66F9"/>
    <w:rsid w:val="003D69A7"/>
    <w:rsid w:val="003E44A2"/>
    <w:rsid w:val="003E6542"/>
    <w:rsid w:val="003E7986"/>
    <w:rsid w:val="00404CEF"/>
    <w:rsid w:val="00415195"/>
    <w:rsid w:val="004321B7"/>
    <w:rsid w:val="00432779"/>
    <w:rsid w:val="00443944"/>
    <w:rsid w:val="00443C45"/>
    <w:rsid w:val="0046543C"/>
    <w:rsid w:val="004730A3"/>
    <w:rsid w:val="00475D58"/>
    <w:rsid w:val="00480F73"/>
    <w:rsid w:val="004A6AC7"/>
    <w:rsid w:val="004B2118"/>
    <w:rsid w:val="004B52A6"/>
    <w:rsid w:val="004B6443"/>
    <w:rsid w:val="00505682"/>
    <w:rsid w:val="00506CC7"/>
    <w:rsid w:val="00512120"/>
    <w:rsid w:val="00527224"/>
    <w:rsid w:val="00527748"/>
    <w:rsid w:val="005402BB"/>
    <w:rsid w:val="0054394A"/>
    <w:rsid w:val="00554CA1"/>
    <w:rsid w:val="00563A9A"/>
    <w:rsid w:val="00581C5D"/>
    <w:rsid w:val="00590011"/>
    <w:rsid w:val="005A394B"/>
    <w:rsid w:val="005A6A67"/>
    <w:rsid w:val="005B2EDF"/>
    <w:rsid w:val="005B3E28"/>
    <w:rsid w:val="005D1CD4"/>
    <w:rsid w:val="005D2D20"/>
    <w:rsid w:val="005E0B2F"/>
    <w:rsid w:val="005E1CA7"/>
    <w:rsid w:val="005E27B3"/>
    <w:rsid w:val="005F05D0"/>
    <w:rsid w:val="006049C9"/>
    <w:rsid w:val="00605C70"/>
    <w:rsid w:val="00606721"/>
    <w:rsid w:val="00607FBD"/>
    <w:rsid w:val="00611B88"/>
    <w:rsid w:val="006214E2"/>
    <w:rsid w:val="006268A2"/>
    <w:rsid w:val="006357B3"/>
    <w:rsid w:val="006367FF"/>
    <w:rsid w:val="006443F2"/>
    <w:rsid w:val="00652525"/>
    <w:rsid w:val="0065549F"/>
    <w:rsid w:val="00656374"/>
    <w:rsid w:val="006633DE"/>
    <w:rsid w:val="00671CDC"/>
    <w:rsid w:val="00692E43"/>
    <w:rsid w:val="00697552"/>
    <w:rsid w:val="006A327E"/>
    <w:rsid w:val="006A5FE5"/>
    <w:rsid w:val="006E2681"/>
    <w:rsid w:val="006F04DD"/>
    <w:rsid w:val="007015DC"/>
    <w:rsid w:val="00706BFB"/>
    <w:rsid w:val="007121FC"/>
    <w:rsid w:val="00712D2B"/>
    <w:rsid w:val="007401A6"/>
    <w:rsid w:val="00763077"/>
    <w:rsid w:val="00767F26"/>
    <w:rsid w:val="00774490"/>
    <w:rsid w:val="00776461"/>
    <w:rsid w:val="00786C4F"/>
    <w:rsid w:val="007B410C"/>
    <w:rsid w:val="007B795E"/>
    <w:rsid w:val="007D5DA9"/>
    <w:rsid w:val="007F19D1"/>
    <w:rsid w:val="007F34D1"/>
    <w:rsid w:val="008178E6"/>
    <w:rsid w:val="008252FA"/>
    <w:rsid w:val="00833A94"/>
    <w:rsid w:val="00860F86"/>
    <w:rsid w:val="00862A65"/>
    <w:rsid w:val="00872C14"/>
    <w:rsid w:val="00872DE8"/>
    <w:rsid w:val="00892947"/>
    <w:rsid w:val="00893BE8"/>
    <w:rsid w:val="008968F3"/>
    <w:rsid w:val="00897BA3"/>
    <w:rsid w:val="008A4EE3"/>
    <w:rsid w:val="008B008D"/>
    <w:rsid w:val="008B47F8"/>
    <w:rsid w:val="008D017C"/>
    <w:rsid w:val="009144D0"/>
    <w:rsid w:val="00914608"/>
    <w:rsid w:val="00923C10"/>
    <w:rsid w:val="00924A6C"/>
    <w:rsid w:val="00931DB0"/>
    <w:rsid w:val="00937CDA"/>
    <w:rsid w:val="00946C97"/>
    <w:rsid w:val="0096342E"/>
    <w:rsid w:val="00987209"/>
    <w:rsid w:val="009959AC"/>
    <w:rsid w:val="009C7543"/>
    <w:rsid w:val="009D608F"/>
    <w:rsid w:val="009D631A"/>
    <w:rsid w:val="009F0AA5"/>
    <w:rsid w:val="009F11DB"/>
    <w:rsid w:val="009F37F3"/>
    <w:rsid w:val="00A04EB7"/>
    <w:rsid w:val="00A0685D"/>
    <w:rsid w:val="00A1547E"/>
    <w:rsid w:val="00A1710B"/>
    <w:rsid w:val="00A22AE8"/>
    <w:rsid w:val="00A27A05"/>
    <w:rsid w:val="00A44EBA"/>
    <w:rsid w:val="00A45266"/>
    <w:rsid w:val="00A50F0B"/>
    <w:rsid w:val="00A54192"/>
    <w:rsid w:val="00A610D3"/>
    <w:rsid w:val="00A7408A"/>
    <w:rsid w:val="00A77C22"/>
    <w:rsid w:val="00AA695E"/>
    <w:rsid w:val="00AB5ABB"/>
    <w:rsid w:val="00AD1E2D"/>
    <w:rsid w:val="00AD75D8"/>
    <w:rsid w:val="00AE4BD4"/>
    <w:rsid w:val="00AF4597"/>
    <w:rsid w:val="00B13F55"/>
    <w:rsid w:val="00B238BB"/>
    <w:rsid w:val="00B25F0C"/>
    <w:rsid w:val="00B31A88"/>
    <w:rsid w:val="00B4285B"/>
    <w:rsid w:val="00B46CBC"/>
    <w:rsid w:val="00B57886"/>
    <w:rsid w:val="00B63942"/>
    <w:rsid w:val="00B730CF"/>
    <w:rsid w:val="00B774C8"/>
    <w:rsid w:val="00B77FC7"/>
    <w:rsid w:val="00B8264E"/>
    <w:rsid w:val="00B8472D"/>
    <w:rsid w:val="00B930DB"/>
    <w:rsid w:val="00BA63FA"/>
    <w:rsid w:val="00BB1A49"/>
    <w:rsid w:val="00BD336E"/>
    <w:rsid w:val="00BF309A"/>
    <w:rsid w:val="00C0511E"/>
    <w:rsid w:val="00C234A3"/>
    <w:rsid w:val="00C266ED"/>
    <w:rsid w:val="00C35E28"/>
    <w:rsid w:val="00C364F5"/>
    <w:rsid w:val="00C53EBD"/>
    <w:rsid w:val="00C625F5"/>
    <w:rsid w:val="00C743A3"/>
    <w:rsid w:val="00C83149"/>
    <w:rsid w:val="00C91B93"/>
    <w:rsid w:val="00CA2121"/>
    <w:rsid w:val="00CA54E4"/>
    <w:rsid w:val="00CA5E4F"/>
    <w:rsid w:val="00CB325E"/>
    <w:rsid w:val="00CB5531"/>
    <w:rsid w:val="00CB617B"/>
    <w:rsid w:val="00CC05F0"/>
    <w:rsid w:val="00CC4877"/>
    <w:rsid w:val="00CC6B49"/>
    <w:rsid w:val="00CC7748"/>
    <w:rsid w:val="00CD0454"/>
    <w:rsid w:val="00CD463C"/>
    <w:rsid w:val="00CE0A11"/>
    <w:rsid w:val="00CE62AD"/>
    <w:rsid w:val="00CE7888"/>
    <w:rsid w:val="00CF04EB"/>
    <w:rsid w:val="00D03A21"/>
    <w:rsid w:val="00D052DB"/>
    <w:rsid w:val="00D05612"/>
    <w:rsid w:val="00D0737C"/>
    <w:rsid w:val="00D13A1E"/>
    <w:rsid w:val="00D41A75"/>
    <w:rsid w:val="00D456E4"/>
    <w:rsid w:val="00D51036"/>
    <w:rsid w:val="00D6054D"/>
    <w:rsid w:val="00D64063"/>
    <w:rsid w:val="00D70827"/>
    <w:rsid w:val="00D764B7"/>
    <w:rsid w:val="00D8434A"/>
    <w:rsid w:val="00D84415"/>
    <w:rsid w:val="00DA118F"/>
    <w:rsid w:val="00DA2873"/>
    <w:rsid w:val="00DA2B94"/>
    <w:rsid w:val="00DA450C"/>
    <w:rsid w:val="00DB0D75"/>
    <w:rsid w:val="00DC2D54"/>
    <w:rsid w:val="00DC6957"/>
    <w:rsid w:val="00DD4903"/>
    <w:rsid w:val="00DF3319"/>
    <w:rsid w:val="00DF624D"/>
    <w:rsid w:val="00E22D3C"/>
    <w:rsid w:val="00E24A79"/>
    <w:rsid w:val="00E56154"/>
    <w:rsid w:val="00E7190B"/>
    <w:rsid w:val="00E748F5"/>
    <w:rsid w:val="00E76B8D"/>
    <w:rsid w:val="00E834DE"/>
    <w:rsid w:val="00E85B08"/>
    <w:rsid w:val="00E87ED5"/>
    <w:rsid w:val="00E91FF0"/>
    <w:rsid w:val="00EB3507"/>
    <w:rsid w:val="00EB5FAD"/>
    <w:rsid w:val="00F04356"/>
    <w:rsid w:val="00F04AE4"/>
    <w:rsid w:val="00F05DC0"/>
    <w:rsid w:val="00F14A63"/>
    <w:rsid w:val="00F37E51"/>
    <w:rsid w:val="00F4457E"/>
    <w:rsid w:val="00F45019"/>
    <w:rsid w:val="00F53B99"/>
    <w:rsid w:val="00F60907"/>
    <w:rsid w:val="00F65F7A"/>
    <w:rsid w:val="00F76FD0"/>
    <w:rsid w:val="00F80F4F"/>
    <w:rsid w:val="00F87B4B"/>
    <w:rsid w:val="00FD0303"/>
    <w:rsid w:val="00FD2E29"/>
    <w:rsid w:val="00FD51C5"/>
    <w:rsid w:val="00FD6846"/>
    <w:rsid w:val="00FE2A86"/>
    <w:rsid w:val="00FE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D5FF3D"/>
  <w15:chartTrackingRefBased/>
  <w15:docId w15:val="{437B9E2F-C0E3-4DF2-8E79-F2557BD7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E2A86"/>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FE2A8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737C"/>
    <w:rPr>
      <w:color w:val="0000FF"/>
      <w:u w:val="single"/>
    </w:rPr>
  </w:style>
  <w:style w:type="character" w:customStyle="1" w:styleId="fieldvalue">
    <w:name w:val="field_value"/>
    <w:basedOn w:val="DefaultParagraphFont"/>
    <w:rsid w:val="00D0737C"/>
  </w:style>
  <w:style w:type="character" w:customStyle="1" w:styleId="fieldlabel">
    <w:name w:val="field_label"/>
    <w:basedOn w:val="DefaultParagraphFont"/>
    <w:rsid w:val="00D0737C"/>
  </w:style>
  <w:style w:type="character" w:customStyle="1" w:styleId="searchhit">
    <w:name w:val="searchhit"/>
    <w:basedOn w:val="DefaultParagraphFont"/>
    <w:rsid w:val="00D0737C"/>
  </w:style>
  <w:style w:type="paragraph" w:styleId="FootnoteText">
    <w:name w:val="footnote text"/>
    <w:basedOn w:val="Normal"/>
    <w:link w:val="FootnoteTextChar"/>
    <w:uiPriority w:val="99"/>
    <w:unhideWhenUsed/>
    <w:rsid w:val="00432779"/>
    <w:pPr>
      <w:spacing w:after="0" w:line="240" w:lineRule="auto"/>
    </w:pPr>
    <w:rPr>
      <w:sz w:val="20"/>
    </w:rPr>
  </w:style>
  <w:style w:type="character" w:customStyle="1" w:styleId="FootnoteTextChar">
    <w:name w:val="Footnote Text Char"/>
    <w:basedOn w:val="DefaultParagraphFont"/>
    <w:link w:val="FootnoteText"/>
    <w:uiPriority w:val="99"/>
    <w:rsid w:val="00432779"/>
    <w:rPr>
      <w:sz w:val="20"/>
    </w:rPr>
  </w:style>
  <w:style w:type="character" w:styleId="FootnoteReference">
    <w:name w:val="footnote reference"/>
    <w:basedOn w:val="DefaultParagraphFont"/>
    <w:uiPriority w:val="99"/>
    <w:semiHidden/>
    <w:unhideWhenUsed/>
    <w:rsid w:val="00432779"/>
    <w:rPr>
      <w:vertAlign w:val="superscript"/>
    </w:rPr>
  </w:style>
  <w:style w:type="paragraph" w:styleId="ListParagraph">
    <w:name w:val="List Paragraph"/>
    <w:basedOn w:val="Normal"/>
    <w:uiPriority w:val="1"/>
    <w:qFormat/>
    <w:rsid w:val="00432779"/>
    <w:pPr>
      <w:widowControl w:val="0"/>
      <w:autoSpaceDE w:val="0"/>
      <w:autoSpaceDN w:val="0"/>
      <w:spacing w:after="0" w:line="240" w:lineRule="auto"/>
      <w:ind w:left="461" w:hanging="342"/>
    </w:pPr>
    <w:rPr>
      <w:rFonts w:ascii="Arial" w:eastAsia="Arial" w:hAnsi="Arial" w:cs="Arial"/>
      <w:sz w:val="22"/>
      <w:szCs w:val="22"/>
    </w:rPr>
  </w:style>
  <w:style w:type="paragraph" w:customStyle="1" w:styleId="le-normal-32-level">
    <w:name w:val="le-normal-32-level"/>
    <w:basedOn w:val="Normal"/>
    <w:rsid w:val="00432779"/>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B42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5B"/>
  </w:style>
  <w:style w:type="paragraph" w:styleId="Footer">
    <w:name w:val="footer"/>
    <w:basedOn w:val="Normal"/>
    <w:link w:val="FooterChar"/>
    <w:uiPriority w:val="99"/>
    <w:unhideWhenUsed/>
    <w:rsid w:val="00B42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5B"/>
  </w:style>
  <w:style w:type="character" w:customStyle="1" w:styleId="fd-citesto">
    <w:name w:val="fd-citesto"/>
    <w:basedOn w:val="DefaultParagraphFont"/>
    <w:rsid w:val="00AB5ABB"/>
  </w:style>
  <w:style w:type="character" w:styleId="Emphasis">
    <w:name w:val="Emphasis"/>
    <w:basedOn w:val="DefaultParagraphFont"/>
    <w:uiPriority w:val="20"/>
    <w:qFormat/>
    <w:rsid w:val="00FE2A86"/>
    <w:rPr>
      <w:i/>
      <w:iCs/>
    </w:rPr>
  </w:style>
  <w:style w:type="character" w:customStyle="1" w:styleId="Heading2Char">
    <w:name w:val="Heading 2 Char"/>
    <w:basedOn w:val="DefaultParagraphFont"/>
    <w:link w:val="Heading2"/>
    <w:uiPriority w:val="9"/>
    <w:rsid w:val="00FE2A86"/>
    <w:rPr>
      <w:rFonts w:eastAsia="Times New Roman"/>
      <w:b/>
      <w:bCs/>
      <w:sz w:val="36"/>
      <w:szCs w:val="36"/>
    </w:rPr>
  </w:style>
  <w:style w:type="character" w:customStyle="1" w:styleId="Heading3Char">
    <w:name w:val="Heading 3 Char"/>
    <w:basedOn w:val="DefaultParagraphFont"/>
    <w:link w:val="Heading3"/>
    <w:uiPriority w:val="9"/>
    <w:rsid w:val="00FE2A86"/>
    <w:rPr>
      <w:rFonts w:eastAsia="Times New Roman"/>
      <w:b/>
      <w:bCs/>
      <w:sz w:val="27"/>
      <w:szCs w:val="27"/>
    </w:rPr>
  </w:style>
  <w:style w:type="character" w:customStyle="1" w:styleId="cosearchterm">
    <w:name w:val="co_searchterm"/>
    <w:basedOn w:val="DefaultParagraphFont"/>
    <w:rsid w:val="00165E57"/>
  </w:style>
  <w:style w:type="character" w:customStyle="1" w:styleId="costarpage">
    <w:name w:val="co_starpage"/>
    <w:basedOn w:val="DefaultParagraphFont"/>
    <w:rsid w:val="00DB0D75"/>
  </w:style>
  <w:style w:type="character" w:customStyle="1" w:styleId="counderline">
    <w:name w:val="co_underline"/>
    <w:basedOn w:val="DefaultParagraphFont"/>
    <w:rsid w:val="00D764B7"/>
  </w:style>
  <w:style w:type="character" w:customStyle="1" w:styleId="copinpointicon">
    <w:name w:val="co_pinpointicon"/>
    <w:basedOn w:val="DefaultParagraphFont"/>
    <w:rsid w:val="0012141D"/>
  </w:style>
  <w:style w:type="paragraph" w:styleId="Revision">
    <w:name w:val="Revision"/>
    <w:hidden/>
    <w:uiPriority w:val="99"/>
    <w:semiHidden/>
    <w:rsid w:val="00605C70"/>
    <w:pPr>
      <w:spacing w:after="0" w:line="240" w:lineRule="auto"/>
    </w:pPr>
  </w:style>
  <w:style w:type="character" w:styleId="CommentReference">
    <w:name w:val="annotation reference"/>
    <w:basedOn w:val="DefaultParagraphFont"/>
    <w:uiPriority w:val="99"/>
    <w:semiHidden/>
    <w:unhideWhenUsed/>
    <w:rsid w:val="00563A9A"/>
    <w:rPr>
      <w:sz w:val="16"/>
      <w:szCs w:val="16"/>
    </w:rPr>
  </w:style>
  <w:style w:type="paragraph" w:styleId="CommentText">
    <w:name w:val="annotation text"/>
    <w:basedOn w:val="Normal"/>
    <w:link w:val="CommentTextChar"/>
    <w:uiPriority w:val="99"/>
    <w:unhideWhenUsed/>
    <w:rsid w:val="00563A9A"/>
    <w:pPr>
      <w:spacing w:line="240" w:lineRule="auto"/>
    </w:pPr>
    <w:rPr>
      <w:sz w:val="20"/>
      <w:szCs w:val="20"/>
    </w:rPr>
  </w:style>
  <w:style w:type="character" w:customStyle="1" w:styleId="CommentTextChar">
    <w:name w:val="Comment Text Char"/>
    <w:basedOn w:val="DefaultParagraphFont"/>
    <w:link w:val="CommentText"/>
    <w:uiPriority w:val="99"/>
    <w:rsid w:val="00563A9A"/>
    <w:rPr>
      <w:sz w:val="20"/>
      <w:szCs w:val="20"/>
    </w:rPr>
  </w:style>
  <w:style w:type="paragraph" w:styleId="CommentSubject">
    <w:name w:val="annotation subject"/>
    <w:basedOn w:val="CommentText"/>
    <w:next w:val="CommentText"/>
    <w:link w:val="CommentSubjectChar"/>
    <w:uiPriority w:val="99"/>
    <w:semiHidden/>
    <w:unhideWhenUsed/>
    <w:rsid w:val="00563A9A"/>
    <w:rPr>
      <w:b/>
      <w:bCs/>
    </w:rPr>
  </w:style>
  <w:style w:type="character" w:customStyle="1" w:styleId="CommentSubjectChar">
    <w:name w:val="Comment Subject Char"/>
    <w:basedOn w:val="CommentTextChar"/>
    <w:link w:val="CommentSubject"/>
    <w:uiPriority w:val="99"/>
    <w:semiHidden/>
    <w:rsid w:val="00563A9A"/>
    <w:rPr>
      <w:b/>
      <w:bCs/>
      <w:sz w:val="20"/>
      <w:szCs w:val="20"/>
    </w:rPr>
  </w:style>
  <w:style w:type="character" w:customStyle="1" w:styleId="Heading1Char">
    <w:name w:val="Heading 1 Char"/>
    <w:basedOn w:val="DefaultParagraphFont"/>
    <w:link w:val="Heading1"/>
    <w:uiPriority w:val="9"/>
    <w:rsid w:val="001B72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848">
      <w:bodyDiv w:val="1"/>
      <w:marLeft w:val="0"/>
      <w:marRight w:val="0"/>
      <w:marTop w:val="0"/>
      <w:marBottom w:val="0"/>
      <w:divBdr>
        <w:top w:val="none" w:sz="0" w:space="0" w:color="auto"/>
        <w:left w:val="none" w:sz="0" w:space="0" w:color="auto"/>
        <w:bottom w:val="none" w:sz="0" w:space="0" w:color="auto"/>
        <w:right w:val="none" w:sz="0" w:space="0" w:color="auto"/>
      </w:divBdr>
    </w:div>
    <w:div w:id="53361875">
      <w:bodyDiv w:val="1"/>
      <w:marLeft w:val="0"/>
      <w:marRight w:val="0"/>
      <w:marTop w:val="0"/>
      <w:marBottom w:val="0"/>
      <w:divBdr>
        <w:top w:val="none" w:sz="0" w:space="0" w:color="auto"/>
        <w:left w:val="none" w:sz="0" w:space="0" w:color="auto"/>
        <w:bottom w:val="none" w:sz="0" w:space="0" w:color="auto"/>
        <w:right w:val="none" w:sz="0" w:space="0" w:color="auto"/>
      </w:divBdr>
      <w:divsChild>
        <w:div w:id="529612136">
          <w:marLeft w:val="0"/>
          <w:marRight w:val="0"/>
          <w:marTop w:val="0"/>
          <w:marBottom w:val="0"/>
          <w:divBdr>
            <w:top w:val="none" w:sz="0" w:space="0" w:color="auto"/>
            <w:left w:val="none" w:sz="0" w:space="0" w:color="auto"/>
            <w:bottom w:val="none" w:sz="0" w:space="0" w:color="auto"/>
            <w:right w:val="none" w:sz="0" w:space="0" w:color="auto"/>
          </w:divBdr>
        </w:div>
        <w:div w:id="1188057418">
          <w:marLeft w:val="0"/>
          <w:marRight w:val="0"/>
          <w:marTop w:val="0"/>
          <w:marBottom w:val="0"/>
          <w:divBdr>
            <w:top w:val="none" w:sz="0" w:space="0" w:color="auto"/>
            <w:left w:val="none" w:sz="0" w:space="0" w:color="auto"/>
            <w:bottom w:val="none" w:sz="0" w:space="0" w:color="auto"/>
            <w:right w:val="none" w:sz="0" w:space="0" w:color="auto"/>
          </w:divBdr>
        </w:div>
        <w:div w:id="322008583">
          <w:marLeft w:val="0"/>
          <w:marRight w:val="0"/>
          <w:marTop w:val="0"/>
          <w:marBottom w:val="0"/>
          <w:divBdr>
            <w:top w:val="none" w:sz="0" w:space="0" w:color="auto"/>
            <w:left w:val="none" w:sz="0" w:space="0" w:color="auto"/>
            <w:bottom w:val="none" w:sz="0" w:space="0" w:color="auto"/>
            <w:right w:val="none" w:sz="0" w:space="0" w:color="auto"/>
          </w:divBdr>
        </w:div>
      </w:divsChild>
    </w:div>
    <w:div w:id="361513319">
      <w:bodyDiv w:val="1"/>
      <w:marLeft w:val="0"/>
      <w:marRight w:val="0"/>
      <w:marTop w:val="0"/>
      <w:marBottom w:val="0"/>
      <w:divBdr>
        <w:top w:val="none" w:sz="0" w:space="0" w:color="auto"/>
        <w:left w:val="none" w:sz="0" w:space="0" w:color="auto"/>
        <w:bottom w:val="none" w:sz="0" w:space="0" w:color="auto"/>
        <w:right w:val="none" w:sz="0" w:space="0" w:color="auto"/>
      </w:divBdr>
      <w:divsChild>
        <w:div w:id="1305237941">
          <w:marLeft w:val="0"/>
          <w:marRight w:val="0"/>
          <w:marTop w:val="20"/>
          <w:marBottom w:val="20"/>
          <w:divBdr>
            <w:top w:val="none" w:sz="0" w:space="0" w:color="auto"/>
            <w:left w:val="none" w:sz="0" w:space="0" w:color="auto"/>
            <w:bottom w:val="none" w:sz="0" w:space="0" w:color="auto"/>
            <w:right w:val="none" w:sz="0" w:space="0" w:color="auto"/>
          </w:divBdr>
        </w:div>
        <w:div w:id="463040147">
          <w:marLeft w:val="0"/>
          <w:marRight w:val="0"/>
          <w:marTop w:val="20"/>
          <w:marBottom w:val="20"/>
          <w:divBdr>
            <w:top w:val="none" w:sz="0" w:space="0" w:color="auto"/>
            <w:left w:val="none" w:sz="0" w:space="0" w:color="auto"/>
            <w:bottom w:val="none" w:sz="0" w:space="0" w:color="auto"/>
            <w:right w:val="none" w:sz="0" w:space="0" w:color="auto"/>
          </w:divBdr>
        </w:div>
        <w:div w:id="523371538">
          <w:marLeft w:val="0"/>
          <w:marRight w:val="0"/>
          <w:marTop w:val="20"/>
          <w:marBottom w:val="20"/>
          <w:divBdr>
            <w:top w:val="none" w:sz="0" w:space="0" w:color="auto"/>
            <w:left w:val="none" w:sz="0" w:space="0" w:color="auto"/>
            <w:bottom w:val="none" w:sz="0" w:space="0" w:color="auto"/>
            <w:right w:val="none" w:sz="0" w:space="0" w:color="auto"/>
          </w:divBdr>
        </w:div>
        <w:div w:id="1021542009">
          <w:marLeft w:val="0"/>
          <w:marRight w:val="0"/>
          <w:marTop w:val="20"/>
          <w:marBottom w:val="20"/>
          <w:divBdr>
            <w:top w:val="none" w:sz="0" w:space="0" w:color="auto"/>
            <w:left w:val="none" w:sz="0" w:space="0" w:color="auto"/>
            <w:bottom w:val="none" w:sz="0" w:space="0" w:color="auto"/>
            <w:right w:val="none" w:sz="0" w:space="0" w:color="auto"/>
          </w:divBdr>
        </w:div>
      </w:divsChild>
    </w:div>
    <w:div w:id="404569743">
      <w:bodyDiv w:val="1"/>
      <w:marLeft w:val="0"/>
      <w:marRight w:val="0"/>
      <w:marTop w:val="0"/>
      <w:marBottom w:val="0"/>
      <w:divBdr>
        <w:top w:val="none" w:sz="0" w:space="0" w:color="auto"/>
        <w:left w:val="none" w:sz="0" w:space="0" w:color="auto"/>
        <w:bottom w:val="none" w:sz="0" w:space="0" w:color="auto"/>
        <w:right w:val="none" w:sz="0" w:space="0" w:color="auto"/>
      </w:divBdr>
      <w:divsChild>
        <w:div w:id="2025546935">
          <w:marLeft w:val="0"/>
          <w:marRight w:val="0"/>
          <w:marTop w:val="0"/>
          <w:marBottom w:val="0"/>
          <w:divBdr>
            <w:top w:val="none" w:sz="0" w:space="0" w:color="auto"/>
            <w:left w:val="none" w:sz="0" w:space="0" w:color="auto"/>
            <w:bottom w:val="none" w:sz="0" w:space="0" w:color="auto"/>
            <w:right w:val="none" w:sz="0" w:space="0" w:color="auto"/>
          </w:divBdr>
        </w:div>
        <w:div w:id="1568494715">
          <w:marLeft w:val="0"/>
          <w:marRight w:val="0"/>
          <w:marTop w:val="0"/>
          <w:marBottom w:val="0"/>
          <w:divBdr>
            <w:top w:val="none" w:sz="0" w:space="0" w:color="auto"/>
            <w:left w:val="none" w:sz="0" w:space="0" w:color="auto"/>
            <w:bottom w:val="none" w:sz="0" w:space="0" w:color="auto"/>
            <w:right w:val="none" w:sz="0" w:space="0" w:color="auto"/>
          </w:divBdr>
        </w:div>
        <w:div w:id="232860252">
          <w:marLeft w:val="0"/>
          <w:marRight w:val="0"/>
          <w:marTop w:val="0"/>
          <w:marBottom w:val="0"/>
          <w:divBdr>
            <w:top w:val="none" w:sz="0" w:space="0" w:color="auto"/>
            <w:left w:val="none" w:sz="0" w:space="0" w:color="auto"/>
            <w:bottom w:val="none" w:sz="0" w:space="0" w:color="auto"/>
            <w:right w:val="none" w:sz="0" w:space="0" w:color="auto"/>
          </w:divBdr>
        </w:div>
      </w:divsChild>
    </w:div>
    <w:div w:id="454757331">
      <w:bodyDiv w:val="1"/>
      <w:marLeft w:val="0"/>
      <w:marRight w:val="0"/>
      <w:marTop w:val="0"/>
      <w:marBottom w:val="0"/>
      <w:divBdr>
        <w:top w:val="none" w:sz="0" w:space="0" w:color="auto"/>
        <w:left w:val="none" w:sz="0" w:space="0" w:color="auto"/>
        <w:bottom w:val="none" w:sz="0" w:space="0" w:color="auto"/>
        <w:right w:val="none" w:sz="0" w:space="0" w:color="auto"/>
      </w:divBdr>
    </w:div>
    <w:div w:id="655374476">
      <w:bodyDiv w:val="1"/>
      <w:marLeft w:val="0"/>
      <w:marRight w:val="0"/>
      <w:marTop w:val="0"/>
      <w:marBottom w:val="0"/>
      <w:divBdr>
        <w:top w:val="none" w:sz="0" w:space="0" w:color="auto"/>
        <w:left w:val="none" w:sz="0" w:space="0" w:color="auto"/>
        <w:bottom w:val="none" w:sz="0" w:space="0" w:color="auto"/>
        <w:right w:val="none" w:sz="0" w:space="0" w:color="auto"/>
      </w:divBdr>
      <w:divsChild>
        <w:div w:id="584926211">
          <w:marLeft w:val="0"/>
          <w:marRight w:val="0"/>
          <w:marTop w:val="20"/>
          <w:marBottom w:val="20"/>
          <w:divBdr>
            <w:top w:val="none" w:sz="0" w:space="0" w:color="auto"/>
            <w:left w:val="none" w:sz="0" w:space="0" w:color="auto"/>
            <w:bottom w:val="none" w:sz="0" w:space="0" w:color="auto"/>
            <w:right w:val="none" w:sz="0" w:space="0" w:color="auto"/>
          </w:divBdr>
        </w:div>
        <w:div w:id="1370453950">
          <w:marLeft w:val="0"/>
          <w:marRight w:val="0"/>
          <w:marTop w:val="20"/>
          <w:marBottom w:val="20"/>
          <w:divBdr>
            <w:top w:val="none" w:sz="0" w:space="0" w:color="auto"/>
            <w:left w:val="none" w:sz="0" w:space="0" w:color="auto"/>
            <w:bottom w:val="none" w:sz="0" w:space="0" w:color="auto"/>
            <w:right w:val="none" w:sz="0" w:space="0" w:color="auto"/>
          </w:divBdr>
        </w:div>
        <w:div w:id="1772357516">
          <w:marLeft w:val="0"/>
          <w:marRight w:val="0"/>
          <w:marTop w:val="20"/>
          <w:marBottom w:val="20"/>
          <w:divBdr>
            <w:top w:val="none" w:sz="0" w:space="0" w:color="auto"/>
            <w:left w:val="none" w:sz="0" w:space="0" w:color="auto"/>
            <w:bottom w:val="none" w:sz="0" w:space="0" w:color="auto"/>
            <w:right w:val="none" w:sz="0" w:space="0" w:color="auto"/>
          </w:divBdr>
        </w:div>
        <w:div w:id="412624163">
          <w:marLeft w:val="0"/>
          <w:marRight w:val="0"/>
          <w:marTop w:val="20"/>
          <w:marBottom w:val="20"/>
          <w:divBdr>
            <w:top w:val="none" w:sz="0" w:space="0" w:color="auto"/>
            <w:left w:val="none" w:sz="0" w:space="0" w:color="auto"/>
            <w:bottom w:val="none" w:sz="0" w:space="0" w:color="auto"/>
            <w:right w:val="none" w:sz="0" w:space="0" w:color="auto"/>
          </w:divBdr>
        </w:div>
        <w:div w:id="1185442061">
          <w:marLeft w:val="0"/>
          <w:marRight w:val="0"/>
          <w:marTop w:val="20"/>
          <w:marBottom w:val="20"/>
          <w:divBdr>
            <w:top w:val="none" w:sz="0" w:space="0" w:color="auto"/>
            <w:left w:val="none" w:sz="0" w:space="0" w:color="auto"/>
            <w:bottom w:val="none" w:sz="0" w:space="0" w:color="auto"/>
            <w:right w:val="none" w:sz="0" w:space="0" w:color="auto"/>
          </w:divBdr>
        </w:div>
        <w:div w:id="814374073">
          <w:marLeft w:val="0"/>
          <w:marRight w:val="0"/>
          <w:marTop w:val="20"/>
          <w:marBottom w:val="20"/>
          <w:divBdr>
            <w:top w:val="none" w:sz="0" w:space="0" w:color="auto"/>
            <w:left w:val="none" w:sz="0" w:space="0" w:color="auto"/>
            <w:bottom w:val="none" w:sz="0" w:space="0" w:color="auto"/>
            <w:right w:val="none" w:sz="0" w:space="0" w:color="auto"/>
          </w:divBdr>
        </w:div>
        <w:div w:id="1018972585">
          <w:marLeft w:val="0"/>
          <w:marRight w:val="0"/>
          <w:marTop w:val="20"/>
          <w:marBottom w:val="20"/>
          <w:divBdr>
            <w:top w:val="none" w:sz="0" w:space="0" w:color="auto"/>
            <w:left w:val="none" w:sz="0" w:space="0" w:color="auto"/>
            <w:bottom w:val="none" w:sz="0" w:space="0" w:color="auto"/>
            <w:right w:val="none" w:sz="0" w:space="0" w:color="auto"/>
          </w:divBdr>
        </w:div>
        <w:div w:id="41709995">
          <w:marLeft w:val="0"/>
          <w:marRight w:val="0"/>
          <w:marTop w:val="20"/>
          <w:marBottom w:val="20"/>
          <w:divBdr>
            <w:top w:val="none" w:sz="0" w:space="0" w:color="auto"/>
            <w:left w:val="none" w:sz="0" w:space="0" w:color="auto"/>
            <w:bottom w:val="none" w:sz="0" w:space="0" w:color="auto"/>
            <w:right w:val="none" w:sz="0" w:space="0" w:color="auto"/>
          </w:divBdr>
        </w:div>
        <w:div w:id="1413700810">
          <w:marLeft w:val="0"/>
          <w:marRight w:val="0"/>
          <w:marTop w:val="20"/>
          <w:marBottom w:val="20"/>
          <w:divBdr>
            <w:top w:val="none" w:sz="0" w:space="0" w:color="auto"/>
            <w:left w:val="none" w:sz="0" w:space="0" w:color="auto"/>
            <w:bottom w:val="none" w:sz="0" w:space="0" w:color="auto"/>
            <w:right w:val="none" w:sz="0" w:space="0" w:color="auto"/>
          </w:divBdr>
        </w:div>
        <w:div w:id="1481844463">
          <w:marLeft w:val="0"/>
          <w:marRight w:val="0"/>
          <w:marTop w:val="20"/>
          <w:marBottom w:val="20"/>
          <w:divBdr>
            <w:top w:val="none" w:sz="0" w:space="0" w:color="auto"/>
            <w:left w:val="none" w:sz="0" w:space="0" w:color="auto"/>
            <w:bottom w:val="none" w:sz="0" w:space="0" w:color="auto"/>
            <w:right w:val="none" w:sz="0" w:space="0" w:color="auto"/>
          </w:divBdr>
        </w:div>
        <w:div w:id="1100026588">
          <w:marLeft w:val="0"/>
          <w:marRight w:val="0"/>
          <w:marTop w:val="20"/>
          <w:marBottom w:val="20"/>
          <w:divBdr>
            <w:top w:val="none" w:sz="0" w:space="0" w:color="auto"/>
            <w:left w:val="none" w:sz="0" w:space="0" w:color="auto"/>
            <w:bottom w:val="none" w:sz="0" w:space="0" w:color="auto"/>
            <w:right w:val="none" w:sz="0" w:space="0" w:color="auto"/>
          </w:divBdr>
        </w:div>
        <w:div w:id="201285043">
          <w:marLeft w:val="0"/>
          <w:marRight w:val="0"/>
          <w:marTop w:val="20"/>
          <w:marBottom w:val="20"/>
          <w:divBdr>
            <w:top w:val="none" w:sz="0" w:space="0" w:color="auto"/>
            <w:left w:val="none" w:sz="0" w:space="0" w:color="auto"/>
            <w:bottom w:val="none" w:sz="0" w:space="0" w:color="auto"/>
            <w:right w:val="none" w:sz="0" w:space="0" w:color="auto"/>
          </w:divBdr>
        </w:div>
        <w:div w:id="813379138">
          <w:marLeft w:val="0"/>
          <w:marRight w:val="0"/>
          <w:marTop w:val="20"/>
          <w:marBottom w:val="20"/>
          <w:divBdr>
            <w:top w:val="none" w:sz="0" w:space="0" w:color="auto"/>
            <w:left w:val="none" w:sz="0" w:space="0" w:color="auto"/>
            <w:bottom w:val="none" w:sz="0" w:space="0" w:color="auto"/>
            <w:right w:val="none" w:sz="0" w:space="0" w:color="auto"/>
          </w:divBdr>
        </w:div>
        <w:div w:id="780802292">
          <w:marLeft w:val="0"/>
          <w:marRight w:val="0"/>
          <w:marTop w:val="20"/>
          <w:marBottom w:val="20"/>
          <w:divBdr>
            <w:top w:val="none" w:sz="0" w:space="0" w:color="auto"/>
            <w:left w:val="none" w:sz="0" w:space="0" w:color="auto"/>
            <w:bottom w:val="none" w:sz="0" w:space="0" w:color="auto"/>
            <w:right w:val="none" w:sz="0" w:space="0" w:color="auto"/>
          </w:divBdr>
        </w:div>
        <w:div w:id="1322855411">
          <w:marLeft w:val="0"/>
          <w:marRight w:val="0"/>
          <w:marTop w:val="20"/>
          <w:marBottom w:val="20"/>
          <w:divBdr>
            <w:top w:val="none" w:sz="0" w:space="0" w:color="auto"/>
            <w:left w:val="none" w:sz="0" w:space="0" w:color="auto"/>
            <w:bottom w:val="none" w:sz="0" w:space="0" w:color="auto"/>
            <w:right w:val="none" w:sz="0" w:space="0" w:color="auto"/>
          </w:divBdr>
        </w:div>
        <w:div w:id="587814961">
          <w:marLeft w:val="0"/>
          <w:marRight w:val="0"/>
          <w:marTop w:val="20"/>
          <w:marBottom w:val="20"/>
          <w:divBdr>
            <w:top w:val="none" w:sz="0" w:space="0" w:color="auto"/>
            <w:left w:val="none" w:sz="0" w:space="0" w:color="auto"/>
            <w:bottom w:val="none" w:sz="0" w:space="0" w:color="auto"/>
            <w:right w:val="none" w:sz="0" w:space="0" w:color="auto"/>
          </w:divBdr>
        </w:div>
        <w:div w:id="2129473537">
          <w:marLeft w:val="0"/>
          <w:marRight w:val="0"/>
          <w:marTop w:val="20"/>
          <w:marBottom w:val="20"/>
          <w:divBdr>
            <w:top w:val="none" w:sz="0" w:space="0" w:color="auto"/>
            <w:left w:val="none" w:sz="0" w:space="0" w:color="auto"/>
            <w:bottom w:val="none" w:sz="0" w:space="0" w:color="auto"/>
            <w:right w:val="none" w:sz="0" w:space="0" w:color="auto"/>
          </w:divBdr>
        </w:div>
      </w:divsChild>
    </w:div>
    <w:div w:id="703140089">
      <w:bodyDiv w:val="1"/>
      <w:marLeft w:val="0"/>
      <w:marRight w:val="0"/>
      <w:marTop w:val="0"/>
      <w:marBottom w:val="0"/>
      <w:divBdr>
        <w:top w:val="none" w:sz="0" w:space="0" w:color="auto"/>
        <w:left w:val="none" w:sz="0" w:space="0" w:color="auto"/>
        <w:bottom w:val="none" w:sz="0" w:space="0" w:color="auto"/>
        <w:right w:val="none" w:sz="0" w:space="0" w:color="auto"/>
      </w:divBdr>
      <w:divsChild>
        <w:div w:id="406728816">
          <w:marLeft w:val="0"/>
          <w:marRight w:val="0"/>
          <w:marTop w:val="0"/>
          <w:marBottom w:val="0"/>
          <w:divBdr>
            <w:top w:val="none" w:sz="0" w:space="0" w:color="auto"/>
            <w:left w:val="none" w:sz="0" w:space="0" w:color="auto"/>
            <w:bottom w:val="none" w:sz="0" w:space="0" w:color="auto"/>
            <w:right w:val="none" w:sz="0" w:space="0" w:color="auto"/>
          </w:divBdr>
        </w:div>
        <w:div w:id="1434739637">
          <w:marLeft w:val="0"/>
          <w:marRight w:val="0"/>
          <w:marTop w:val="0"/>
          <w:marBottom w:val="0"/>
          <w:divBdr>
            <w:top w:val="none" w:sz="0" w:space="0" w:color="auto"/>
            <w:left w:val="none" w:sz="0" w:space="0" w:color="auto"/>
            <w:bottom w:val="none" w:sz="0" w:space="0" w:color="auto"/>
            <w:right w:val="none" w:sz="0" w:space="0" w:color="auto"/>
          </w:divBdr>
        </w:div>
        <w:div w:id="905457972">
          <w:marLeft w:val="0"/>
          <w:marRight w:val="0"/>
          <w:marTop w:val="0"/>
          <w:marBottom w:val="0"/>
          <w:divBdr>
            <w:top w:val="none" w:sz="0" w:space="0" w:color="auto"/>
            <w:left w:val="none" w:sz="0" w:space="0" w:color="auto"/>
            <w:bottom w:val="none" w:sz="0" w:space="0" w:color="auto"/>
            <w:right w:val="none" w:sz="0" w:space="0" w:color="auto"/>
          </w:divBdr>
        </w:div>
      </w:divsChild>
    </w:div>
    <w:div w:id="734550469">
      <w:bodyDiv w:val="1"/>
      <w:marLeft w:val="0"/>
      <w:marRight w:val="0"/>
      <w:marTop w:val="0"/>
      <w:marBottom w:val="0"/>
      <w:divBdr>
        <w:top w:val="none" w:sz="0" w:space="0" w:color="auto"/>
        <w:left w:val="none" w:sz="0" w:space="0" w:color="auto"/>
        <w:bottom w:val="none" w:sz="0" w:space="0" w:color="auto"/>
        <w:right w:val="none" w:sz="0" w:space="0" w:color="auto"/>
      </w:divBdr>
      <w:divsChild>
        <w:div w:id="1095856341">
          <w:marLeft w:val="0"/>
          <w:marRight w:val="0"/>
          <w:marTop w:val="0"/>
          <w:marBottom w:val="0"/>
          <w:divBdr>
            <w:top w:val="none" w:sz="0" w:space="0" w:color="auto"/>
            <w:left w:val="none" w:sz="0" w:space="0" w:color="auto"/>
            <w:bottom w:val="none" w:sz="0" w:space="0" w:color="auto"/>
            <w:right w:val="none" w:sz="0" w:space="0" w:color="auto"/>
          </w:divBdr>
        </w:div>
        <w:div w:id="1233084746">
          <w:marLeft w:val="0"/>
          <w:marRight w:val="0"/>
          <w:marTop w:val="0"/>
          <w:marBottom w:val="0"/>
          <w:divBdr>
            <w:top w:val="none" w:sz="0" w:space="0" w:color="auto"/>
            <w:left w:val="none" w:sz="0" w:space="0" w:color="auto"/>
            <w:bottom w:val="none" w:sz="0" w:space="0" w:color="auto"/>
            <w:right w:val="none" w:sz="0" w:space="0" w:color="auto"/>
          </w:divBdr>
        </w:div>
        <w:div w:id="1755324956">
          <w:marLeft w:val="0"/>
          <w:marRight w:val="0"/>
          <w:marTop w:val="0"/>
          <w:marBottom w:val="0"/>
          <w:divBdr>
            <w:top w:val="none" w:sz="0" w:space="0" w:color="auto"/>
            <w:left w:val="none" w:sz="0" w:space="0" w:color="auto"/>
            <w:bottom w:val="none" w:sz="0" w:space="0" w:color="auto"/>
            <w:right w:val="none" w:sz="0" w:space="0" w:color="auto"/>
          </w:divBdr>
        </w:div>
      </w:divsChild>
    </w:div>
    <w:div w:id="806625251">
      <w:bodyDiv w:val="1"/>
      <w:marLeft w:val="0"/>
      <w:marRight w:val="0"/>
      <w:marTop w:val="0"/>
      <w:marBottom w:val="0"/>
      <w:divBdr>
        <w:top w:val="none" w:sz="0" w:space="0" w:color="auto"/>
        <w:left w:val="none" w:sz="0" w:space="0" w:color="auto"/>
        <w:bottom w:val="none" w:sz="0" w:space="0" w:color="auto"/>
        <w:right w:val="none" w:sz="0" w:space="0" w:color="auto"/>
      </w:divBdr>
      <w:divsChild>
        <w:div w:id="1203127793">
          <w:marLeft w:val="0"/>
          <w:marRight w:val="0"/>
          <w:marTop w:val="0"/>
          <w:marBottom w:val="0"/>
          <w:divBdr>
            <w:top w:val="none" w:sz="0" w:space="0" w:color="auto"/>
            <w:left w:val="none" w:sz="0" w:space="0" w:color="auto"/>
            <w:bottom w:val="none" w:sz="0" w:space="0" w:color="auto"/>
            <w:right w:val="none" w:sz="0" w:space="0" w:color="auto"/>
          </w:divBdr>
        </w:div>
        <w:div w:id="1289318311">
          <w:marLeft w:val="0"/>
          <w:marRight w:val="0"/>
          <w:marTop w:val="0"/>
          <w:marBottom w:val="0"/>
          <w:divBdr>
            <w:top w:val="none" w:sz="0" w:space="0" w:color="auto"/>
            <w:left w:val="none" w:sz="0" w:space="0" w:color="auto"/>
            <w:bottom w:val="none" w:sz="0" w:space="0" w:color="auto"/>
            <w:right w:val="none" w:sz="0" w:space="0" w:color="auto"/>
          </w:divBdr>
        </w:div>
        <w:div w:id="201095284">
          <w:marLeft w:val="0"/>
          <w:marRight w:val="0"/>
          <w:marTop w:val="0"/>
          <w:marBottom w:val="0"/>
          <w:divBdr>
            <w:top w:val="none" w:sz="0" w:space="0" w:color="auto"/>
            <w:left w:val="none" w:sz="0" w:space="0" w:color="auto"/>
            <w:bottom w:val="none" w:sz="0" w:space="0" w:color="auto"/>
            <w:right w:val="none" w:sz="0" w:space="0" w:color="auto"/>
          </w:divBdr>
        </w:div>
        <w:div w:id="839153011">
          <w:marLeft w:val="0"/>
          <w:marRight w:val="0"/>
          <w:marTop w:val="0"/>
          <w:marBottom w:val="0"/>
          <w:divBdr>
            <w:top w:val="none" w:sz="0" w:space="0" w:color="auto"/>
            <w:left w:val="none" w:sz="0" w:space="0" w:color="auto"/>
            <w:bottom w:val="none" w:sz="0" w:space="0" w:color="auto"/>
            <w:right w:val="none" w:sz="0" w:space="0" w:color="auto"/>
          </w:divBdr>
        </w:div>
        <w:div w:id="1851019754">
          <w:marLeft w:val="0"/>
          <w:marRight w:val="0"/>
          <w:marTop w:val="0"/>
          <w:marBottom w:val="0"/>
          <w:divBdr>
            <w:top w:val="none" w:sz="0" w:space="0" w:color="auto"/>
            <w:left w:val="none" w:sz="0" w:space="0" w:color="auto"/>
            <w:bottom w:val="none" w:sz="0" w:space="0" w:color="auto"/>
            <w:right w:val="none" w:sz="0" w:space="0" w:color="auto"/>
          </w:divBdr>
        </w:div>
      </w:divsChild>
    </w:div>
    <w:div w:id="876627892">
      <w:bodyDiv w:val="1"/>
      <w:marLeft w:val="0"/>
      <w:marRight w:val="0"/>
      <w:marTop w:val="0"/>
      <w:marBottom w:val="0"/>
      <w:divBdr>
        <w:top w:val="none" w:sz="0" w:space="0" w:color="auto"/>
        <w:left w:val="none" w:sz="0" w:space="0" w:color="auto"/>
        <w:bottom w:val="none" w:sz="0" w:space="0" w:color="auto"/>
        <w:right w:val="none" w:sz="0" w:space="0" w:color="auto"/>
      </w:divBdr>
    </w:div>
    <w:div w:id="943732703">
      <w:bodyDiv w:val="1"/>
      <w:marLeft w:val="0"/>
      <w:marRight w:val="0"/>
      <w:marTop w:val="0"/>
      <w:marBottom w:val="0"/>
      <w:divBdr>
        <w:top w:val="none" w:sz="0" w:space="0" w:color="auto"/>
        <w:left w:val="none" w:sz="0" w:space="0" w:color="auto"/>
        <w:bottom w:val="none" w:sz="0" w:space="0" w:color="auto"/>
        <w:right w:val="none" w:sz="0" w:space="0" w:color="auto"/>
      </w:divBdr>
      <w:divsChild>
        <w:div w:id="260576993">
          <w:marLeft w:val="0"/>
          <w:marRight w:val="0"/>
          <w:marTop w:val="0"/>
          <w:marBottom w:val="0"/>
          <w:divBdr>
            <w:top w:val="none" w:sz="0" w:space="0" w:color="auto"/>
            <w:left w:val="none" w:sz="0" w:space="0" w:color="auto"/>
            <w:bottom w:val="none" w:sz="0" w:space="0" w:color="auto"/>
            <w:right w:val="none" w:sz="0" w:space="0" w:color="auto"/>
          </w:divBdr>
        </w:div>
        <w:div w:id="992752614">
          <w:marLeft w:val="0"/>
          <w:marRight w:val="0"/>
          <w:marTop w:val="0"/>
          <w:marBottom w:val="0"/>
          <w:divBdr>
            <w:top w:val="none" w:sz="0" w:space="0" w:color="auto"/>
            <w:left w:val="none" w:sz="0" w:space="0" w:color="auto"/>
            <w:bottom w:val="none" w:sz="0" w:space="0" w:color="auto"/>
            <w:right w:val="none" w:sz="0" w:space="0" w:color="auto"/>
          </w:divBdr>
        </w:div>
        <w:div w:id="569386919">
          <w:marLeft w:val="0"/>
          <w:marRight w:val="0"/>
          <w:marTop w:val="0"/>
          <w:marBottom w:val="0"/>
          <w:divBdr>
            <w:top w:val="none" w:sz="0" w:space="0" w:color="auto"/>
            <w:left w:val="none" w:sz="0" w:space="0" w:color="auto"/>
            <w:bottom w:val="none" w:sz="0" w:space="0" w:color="auto"/>
            <w:right w:val="none" w:sz="0" w:space="0" w:color="auto"/>
          </w:divBdr>
        </w:div>
      </w:divsChild>
    </w:div>
    <w:div w:id="1206522713">
      <w:bodyDiv w:val="1"/>
      <w:marLeft w:val="0"/>
      <w:marRight w:val="0"/>
      <w:marTop w:val="0"/>
      <w:marBottom w:val="0"/>
      <w:divBdr>
        <w:top w:val="none" w:sz="0" w:space="0" w:color="auto"/>
        <w:left w:val="none" w:sz="0" w:space="0" w:color="auto"/>
        <w:bottom w:val="none" w:sz="0" w:space="0" w:color="auto"/>
        <w:right w:val="none" w:sz="0" w:space="0" w:color="auto"/>
      </w:divBdr>
    </w:div>
    <w:div w:id="1356924738">
      <w:bodyDiv w:val="1"/>
      <w:marLeft w:val="0"/>
      <w:marRight w:val="0"/>
      <w:marTop w:val="0"/>
      <w:marBottom w:val="0"/>
      <w:divBdr>
        <w:top w:val="none" w:sz="0" w:space="0" w:color="auto"/>
        <w:left w:val="none" w:sz="0" w:space="0" w:color="auto"/>
        <w:bottom w:val="none" w:sz="0" w:space="0" w:color="auto"/>
        <w:right w:val="none" w:sz="0" w:space="0" w:color="auto"/>
      </w:divBdr>
    </w:div>
    <w:div w:id="1359156539">
      <w:bodyDiv w:val="1"/>
      <w:marLeft w:val="0"/>
      <w:marRight w:val="0"/>
      <w:marTop w:val="0"/>
      <w:marBottom w:val="0"/>
      <w:divBdr>
        <w:top w:val="none" w:sz="0" w:space="0" w:color="auto"/>
        <w:left w:val="none" w:sz="0" w:space="0" w:color="auto"/>
        <w:bottom w:val="none" w:sz="0" w:space="0" w:color="auto"/>
        <w:right w:val="none" w:sz="0" w:space="0" w:color="auto"/>
      </w:divBdr>
      <w:divsChild>
        <w:div w:id="1798722126">
          <w:marLeft w:val="0"/>
          <w:marRight w:val="0"/>
          <w:marTop w:val="0"/>
          <w:marBottom w:val="0"/>
          <w:divBdr>
            <w:top w:val="none" w:sz="0" w:space="0" w:color="auto"/>
            <w:left w:val="none" w:sz="0" w:space="0" w:color="auto"/>
            <w:bottom w:val="none" w:sz="0" w:space="0" w:color="auto"/>
            <w:right w:val="none" w:sz="0" w:space="0" w:color="auto"/>
          </w:divBdr>
        </w:div>
        <w:div w:id="581986054">
          <w:marLeft w:val="0"/>
          <w:marRight w:val="0"/>
          <w:marTop w:val="0"/>
          <w:marBottom w:val="0"/>
          <w:divBdr>
            <w:top w:val="none" w:sz="0" w:space="0" w:color="auto"/>
            <w:left w:val="none" w:sz="0" w:space="0" w:color="auto"/>
            <w:bottom w:val="none" w:sz="0" w:space="0" w:color="auto"/>
            <w:right w:val="none" w:sz="0" w:space="0" w:color="auto"/>
          </w:divBdr>
        </w:div>
        <w:div w:id="175005130">
          <w:marLeft w:val="0"/>
          <w:marRight w:val="0"/>
          <w:marTop w:val="0"/>
          <w:marBottom w:val="0"/>
          <w:divBdr>
            <w:top w:val="none" w:sz="0" w:space="0" w:color="auto"/>
            <w:left w:val="none" w:sz="0" w:space="0" w:color="auto"/>
            <w:bottom w:val="none" w:sz="0" w:space="0" w:color="auto"/>
            <w:right w:val="none" w:sz="0" w:space="0" w:color="auto"/>
          </w:divBdr>
        </w:div>
        <w:div w:id="719862592">
          <w:marLeft w:val="0"/>
          <w:marRight w:val="0"/>
          <w:marTop w:val="0"/>
          <w:marBottom w:val="0"/>
          <w:divBdr>
            <w:top w:val="none" w:sz="0" w:space="0" w:color="auto"/>
            <w:left w:val="none" w:sz="0" w:space="0" w:color="auto"/>
            <w:bottom w:val="none" w:sz="0" w:space="0" w:color="auto"/>
            <w:right w:val="none" w:sz="0" w:space="0" w:color="auto"/>
          </w:divBdr>
        </w:div>
        <w:div w:id="717323345">
          <w:marLeft w:val="0"/>
          <w:marRight w:val="0"/>
          <w:marTop w:val="0"/>
          <w:marBottom w:val="0"/>
          <w:divBdr>
            <w:top w:val="none" w:sz="0" w:space="0" w:color="auto"/>
            <w:left w:val="none" w:sz="0" w:space="0" w:color="auto"/>
            <w:bottom w:val="none" w:sz="0" w:space="0" w:color="auto"/>
            <w:right w:val="none" w:sz="0" w:space="0" w:color="auto"/>
          </w:divBdr>
        </w:div>
        <w:div w:id="1669557086">
          <w:marLeft w:val="0"/>
          <w:marRight w:val="0"/>
          <w:marTop w:val="0"/>
          <w:marBottom w:val="0"/>
          <w:divBdr>
            <w:top w:val="none" w:sz="0" w:space="0" w:color="auto"/>
            <w:left w:val="none" w:sz="0" w:space="0" w:color="auto"/>
            <w:bottom w:val="none" w:sz="0" w:space="0" w:color="auto"/>
            <w:right w:val="none" w:sz="0" w:space="0" w:color="auto"/>
          </w:divBdr>
        </w:div>
        <w:div w:id="401757542">
          <w:marLeft w:val="0"/>
          <w:marRight w:val="0"/>
          <w:marTop w:val="0"/>
          <w:marBottom w:val="0"/>
          <w:divBdr>
            <w:top w:val="none" w:sz="0" w:space="0" w:color="auto"/>
            <w:left w:val="none" w:sz="0" w:space="0" w:color="auto"/>
            <w:bottom w:val="none" w:sz="0" w:space="0" w:color="auto"/>
            <w:right w:val="none" w:sz="0" w:space="0" w:color="auto"/>
          </w:divBdr>
        </w:div>
        <w:div w:id="1066342893">
          <w:marLeft w:val="0"/>
          <w:marRight w:val="0"/>
          <w:marTop w:val="0"/>
          <w:marBottom w:val="0"/>
          <w:divBdr>
            <w:top w:val="none" w:sz="0" w:space="0" w:color="auto"/>
            <w:left w:val="none" w:sz="0" w:space="0" w:color="auto"/>
            <w:bottom w:val="none" w:sz="0" w:space="0" w:color="auto"/>
            <w:right w:val="none" w:sz="0" w:space="0" w:color="auto"/>
          </w:divBdr>
        </w:div>
        <w:div w:id="929580614">
          <w:marLeft w:val="0"/>
          <w:marRight w:val="0"/>
          <w:marTop w:val="0"/>
          <w:marBottom w:val="0"/>
          <w:divBdr>
            <w:top w:val="none" w:sz="0" w:space="0" w:color="auto"/>
            <w:left w:val="none" w:sz="0" w:space="0" w:color="auto"/>
            <w:bottom w:val="none" w:sz="0" w:space="0" w:color="auto"/>
            <w:right w:val="none" w:sz="0" w:space="0" w:color="auto"/>
          </w:divBdr>
        </w:div>
        <w:div w:id="313485873">
          <w:marLeft w:val="0"/>
          <w:marRight w:val="0"/>
          <w:marTop w:val="0"/>
          <w:marBottom w:val="0"/>
          <w:divBdr>
            <w:top w:val="none" w:sz="0" w:space="0" w:color="auto"/>
            <w:left w:val="none" w:sz="0" w:space="0" w:color="auto"/>
            <w:bottom w:val="none" w:sz="0" w:space="0" w:color="auto"/>
            <w:right w:val="none" w:sz="0" w:space="0" w:color="auto"/>
          </w:divBdr>
        </w:div>
        <w:div w:id="2094281301">
          <w:marLeft w:val="0"/>
          <w:marRight w:val="0"/>
          <w:marTop w:val="0"/>
          <w:marBottom w:val="0"/>
          <w:divBdr>
            <w:top w:val="none" w:sz="0" w:space="0" w:color="auto"/>
            <w:left w:val="none" w:sz="0" w:space="0" w:color="auto"/>
            <w:bottom w:val="none" w:sz="0" w:space="0" w:color="auto"/>
            <w:right w:val="none" w:sz="0" w:space="0" w:color="auto"/>
          </w:divBdr>
        </w:div>
        <w:div w:id="2079477338">
          <w:marLeft w:val="0"/>
          <w:marRight w:val="0"/>
          <w:marTop w:val="0"/>
          <w:marBottom w:val="0"/>
          <w:divBdr>
            <w:top w:val="none" w:sz="0" w:space="0" w:color="auto"/>
            <w:left w:val="none" w:sz="0" w:space="0" w:color="auto"/>
            <w:bottom w:val="none" w:sz="0" w:space="0" w:color="auto"/>
            <w:right w:val="none" w:sz="0" w:space="0" w:color="auto"/>
          </w:divBdr>
        </w:div>
        <w:div w:id="2124881230">
          <w:marLeft w:val="0"/>
          <w:marRight w:val="0"/>
          <w:marTop w:val="0"/>
          <w:marBottom w:val="0"/>
          <w:divBdr>
            <w:top w:val="none" w:sz="0" w:space="0" w:color="auto"/>
            <w:left w:val="none" w:sz="0" w:space="0" w:color="auto"/>
            <w:bottom w:val="none" w:sz="0" w:space="0" w:color="auto"/>
            <w:right w:val="none" w:sz="0" w:space="0" w:color="auto"/>
          </w:divBdr>
        </w:div>
        <w:div w:id="1476408449">
          <w:marLeft w:val="0"/>
          <w:marRight w:val="0"/>
          <w:marTop w:val="0"/>
          <w:marBottom w:val="0"/>
          <w:divBdr>
            <w:top w:val="none" w:sz="0" w:space="0" w:color="auto"/>
            <w:left w:val="none" w:sz="0" w:space="0" w:color="auto"/>
            <w:bottom w:val="none" w:sz="0" w:space="0" w:color="auto"/>
            <w:right w:val="none" w:sz="0" w:space="0" w:color="auto"/>
          </w:divBdr>
        </w:div>
        <w:div w:id="1447773336">
          <w:marLeft w:val="720"/>
          <w:marRight w:val="0"/>
          <w:marTop w:val="0"/>
          <w:marBottom w:val="0"/>
          <w:divBdr>
            <w:top w:val="none" w:sz="0" w:space="0" w:color="auto"/>
            <w:left w:val="none" w:sz="0" w:space="0" w:color="auto"/>
            <w:bottom w:val="none" w:sz="0" w:space="0" w:color="auto"/>
            <w:right w:val="none" w:sz="0" w:space="0" w:color="auto"/>
          </w:divBdr>
        </w:div>
        <w:div w:id="147598357">
          <w:marLeft w:val="0"/>
          <w:marRight w:val="0"/>
          <w:marTop w:val="0"/>
          <w:marBottom w:val="0"/>
          <w:divBdr>
            <w:top w:val="none" w:sz="0" w:space="0" w:color="auto"/>
            <w:left w:val="none" w:sz="0" w:space="0" w:color="auto"/>
            <w:bottom w:val="none" w:sz="0" w:space="0" w:color="auto"/>
            <w:right w:val="none" w:sz="0" w:space="0" w:color="auto"/>
          </w:divBdr>
        </w:div>
        <w:div w:id="721637213">
          <w:marLeft w:val="0"/>
          <w:marRight w:val="0"/>
          <w:marTop w:val="0"/>
          <w:marBottom w:val="0"/>
          <w:divBdr>
            <w:top w:val="none" w:sz="0" w:space="0" w:color="auto"/>
            <w:left w:val="none" w:sz="0" w:space="0" w:color="auto"/>
            <w:bottom w:val="none" w:sz="0" w:space="0" w:color="auto"/>
            <w:right w:val="none" w:sz="0" w:space="0" w:color="auto"/>
          </w:divBdr>
        </w:div>
      </w:divsChild>
    </w:div>
    <w:div w:id="1409424987">
      <w:bodyDiv w:val="1"/>
      <w:marLeft w:val="0"/>
      <w:marRight w:val="0"/>
      <w:marTop w:val="0"/>
      <w:marBottom w:val="0"/>
      <w:divBdr>
        <w:top w:val="none" w:sz="0" w:space="0" w:color="auto"/>
        <w:left w:val="none" w:sz="0" w:space="0" w:color="auto"/>
        <w:bottom w:val="none" w:sz="0" w:space="0" w:color="auto"/>
        <w:right w:val="none" w:sz="0" w:space="0" w:color="auto"/>
      </w:divBdr>
      <w:divsChild>
        <w:div w:id="2047638420">
          <w:marLeft w:val="0"/>
          <w:marRight w:val="0"/>
          <w:marTop w:val="0"/>
          <w:marBottom w:val="0"/>
          <w:divBdr>
            <w:top w:val="none" w:sz="0" w:space="0" w:color="auto"/>
            <w:left w:val="none" w:sz="0" w:space="0" w:color="auto"/>
            <w:bottom w:val="none" w:sz="0" w:space="0" w:color="auto"/>
            <w:right w:val="none" w:sz="0" w:space="0" w:color="auto"/>
          </w:divBdr>
          <w:divsChild>
            <w:div w:id="589629634">
              <w:marLeft w:val="0"/>
              <w:marRight w:val="0"/>
              <w:marTop w:val="0"/>
              <w:marBottom w:val="0"/>
              <w:divBdr>
                <w:top w:val="none" w:sz="0" w:space="0" w:color="auto"/>
                <w:left w:val="none" w:sz="0" w:space="0" w:color="auto"/>
                <w:bottom w:val="none" w:sz="0" w:space="0" w:color="auto"/>
                <w:right w:val="none" w:sz="0" w:space="0" w:color="auto"/>
              </w:divBdr>
              <w:divsChild>
                <w:div w:id="9187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9910">
          <w:marLeft w:val="0"/>
          <w:marRight w:val="0"/>
          <w:marTop w:val="0"/>
          <w:marBottom w:val="0"/>
          <w:divBdr>
            <w:top w:val="none" w:sz="0" w:space="0" w:color="auto"/>
            <w:left w:val="none" w:sz="0" w:space="0" w:color="auto"/>
            <w:bottom w:val="none" w:sz="0" w:space="0" w:color="auto"/>
            <w:right w:val="none" w:sz="0" w:space="0" w:color="auto"/>
          </w:divBdr>
          <w:divsChild>
            <w:div w:id="2732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6834">
      <w:bodyDiv w:val="1"/>
      <w:marLeft w:val="0"/>
      <w:marRight w:val="0"/>
      <w:marTop w:val="0"/>
      <w:marBottom w:val="0"/>
      <w:divBdr>
        <w:top w:val="none" w:sz="0" w:space="0" w:color="auto"/>
        <w:left w:val="none" w:sz="0" w:space="0" w:color="auto"/>
        <w:bottom w:val="none" w:sz="0" w:space="0" w:color="auto"/>
        <w:right w:val="none" w:sz="0" w:space="0" w:color="auto"/>
      </w:divBdr>
      <w:divsChild>
        <w:div w:id="1704331557">
          <w:marLeft w:val="0"/>
          <w:marRight w:val="0"/>
          <w:marTop w:val="0"/>
          <w:marBottom w:val="0"/>
          <w:divBdr>
            <w:top w:val="none" w:sz="0" w:space="0" w:color="auto"/>
            <w:left w:val="none" w:sz="0" w:space="0" w:color="auto"/>
            <w:bottom w:val="none" w:sz="0" w:space="0" w:color="auto"/>
            <w:right w:val="none" w:sz="0" w:space="0" w:color="auto"/>
          </w:divBdr>
        </w:div>
        <w:div w:id="1554078167">
          <w:marLeft w:val="0"/>
          <w:marRight w:val="0"/>
          <w:marTop w:val="0"/>
          <w:marBottom w:val="0"/>
          <w:divBdr>
            <w:top w:val="none" w:sz="0" w:space="0" w:color="auto"/>
            <w:left w:val="none" w:sz="0" w:space="0" w:color="auto"/>
            <w:bottom w:val="none" w:sz="0" w:space="0" w:color="auto"/>
            <w:right w:val="none" w:sz="0" w:space="0" w:color="auto"/>
          </w:divBdr>
        </w:div>
        <w:div w:id="1083602686">
          <w:marLeft w:val="0"/>
          <w:marRight w:val="0"/>
          <w:marTop w:val="0"/>
          <w:marBottom w:val="0"/>
          <w:divBdr>
            <w:top w:val="none" w:sz="0" w:space="0" w:color="auto"/>
            <w:left w:val="none" w:sz="0" w:space="0" w:color="auto"/>
            <w:bottom w:val="none" w:sz="0" w:space="0" w:color="auto"/>
            <w:right w:val="none" w:sz="0" w:space="0" w:color="auto"/>
          </w:divBdr>
        </w:div>
        <w:div w:id="386925573">
          <w:marLeft w:val="0"/>
          <w:marRight w:val="0"/>
          <w:marTop w:val="0"/>
          <w:marBottom w:val="0"/>
          <w:divBdr>
            <w:top w:val="none" w:sz="0" w:space="0" w:color="auto"/>
            <w:left w:val="none" w:sz="0" w:space="0" w:color="auto"/>
            <w:bottom w:val="none" w:sz="0" w:space="0" w:color="auto"/>
            <w:right w:val="none" w:sz="0" w:space="0" w:color="auto"/>
          </w:divBdr>
        </w:div>
        <w:div w:id="1230266859">
          <w:marLeft w:val="0"/>
          <w:marRight w:val="0"/>
          <w:marTop w:val="0"/>
          <w:marBottom w:val="0"/>
          <w:divBdr>
            <w:top w:val="none" w:sz="0" w:space="0" w:color="auto"/>
            <w:left w:val="none" w:sz="0" w:space="0" w:color="auto"/>
            <w:bottom w:val="none" w:sz="0" w:space="0" w:color="auto"/>
            <w:right w:val="none" w:sz="0" w:space="0" w:color="auto"/>
          </w:divBdr>
        </w:div>
        <w:div w:id="418866106">
          <w:marLeft w:val="0"/>
          <w:marRight w:val="0"/>
          <w:marTop w:val="0"/>
          <w:marBottom w:val="0"/>
          <w:divBdr>
            <w:top w:val="none" w:sz="0" w:space="0" w:color="auto"/>
            <w:left w:val="none" w:sz="0" w:space="0" w:color="auto"/>
            <w:bottom w:val="none" w:sz="0" w:space="0" w:color="auto"/>
            <w:right w:val="none" w:sz="0" w:space="0" w:color="auto"/>
          </w:divBdr>
        </w:div>
        <w:div w:id="2098550206">
          <w:marLeft w:val="0"/>
          <w:marRight w:val="0"/>
          <w:marTop w:val="0"/>
          <w:marBottom w:val="0"/>
          <w:divBdr>
            <w:top w:val="none" w:sz="0" w:space="0" w:color="auto"/>
            <w:left w:val="none" w:sz="0" w:space="0" w:color="auto"/>
            <w:bottom w:val="none" w:sz="0" w:space="0" w:color="auto"/>
            <w:right w:val="none" w:sz="0" w:space="0" w:color="auto"/>
          </w:divBdr>
        </w:div>
        <w:div w:id="2083259576">
          <w:marLeft w:val="0"/>
          <w:marRight w:val="0"/>
          <w:marTop w:val="0"/>
          <w:marBottom w:val="0"/>
          <w:divBdr>
            <w:top w:val="none" w:sz="0" w:space="0" w:color="auto"/>
            <w:left w:val="none" w:sz="0" w:space="0" w:color="auto"/>
            <w:bottom w:val="none" w:sz="0" w:space="0" w:color="auto"/>
            <w:right w:val="none" w:sz="0" w:space="0" w:color="auto"/>
          </w:divBdr>
        </w:div>
        <w:div w:id="307587065">
          <w:marLeft w:val="0"/>
          <w:marRight w:val="0"/>
          <w:marTop w:val="0"/>
          <w:marBottom w:val="0"/>
          <w:divBdr>
            <w:top w:val="none" w:sz="0" w:space="0" w:color="auto"/>
            <w:left w:val="none" w:sz="0" w:space="0" w:color="auto"/>
            <w:bottom w:val="none" w:sz="0" w:space="0" w:color="auto"/>
            <w:right w:val="none" w:sz="0" w:space="0" w:color="auto"/>
          </w:divBdr>
        </w:div>
      </w:divsChild>
    </w:div>
    <w:div w:id="1917014528">
      <w:bodyDiv w:val="1"/>
      <w:marLeft w:val="0"/>
      <w:marRight w:val="0"/>
      <w:marTop w:val="0"/>
      <w:marBottom w:val="0"/>
      <w:divBdr>
        <w:top w:val="none" w:sz="0" w:space="0" w:color="auto"/>
        <w:left w:val="none" w:sz="0" w:space="0" w:color="auto"/>
        <w:bottom w:val="none" w:sz="0" w:space="0" w:color="auto"/>
        <w:right w:val="none" w:sz="0" w:space="0" w:color="auto"/>
      </w:divBdr>
      <w:divsChild>
        <w:div w:id="1449541685">
          <w:marLeft w:val="0"/>
          <w:marRight w:val="0"/>
          <w:marTop w:val="20"/>
          <w:marBottom w:val="20"/>
          <w:divBdr>
            <w:top w:val="none" w:sz="0" w:space="0" w:color="auto"/>
            <w:left w:val="none" w:sz="0" w:space="0" w:color="auto"/>
            <w:bottom w:val="none" w:sz="0" w:space="0" w:color="auto"/>
            <w:right w:val="none" w:sz="0" w:space="0" w:color="auto"/>
          </w:divBdr>
        </w:div>
        <w:div w:id="1578975627">
          <w:marLeft w:val="0"/>
          <w:marRight w:val="0"/>
          <w:marTop w:val="20"/>
          <w:marBottom w:val="20"/>
          <w:divBdr>
            <w:top w:val="none" w:sz="0" w:space="0" w:color="auto"/>
            <w:left w:val="none" w:sz="0" w:space="0" w:color="auto"/>
            <w:bottom w:val="none" w:sz="0" w:space="0" w:color="auto"/>
            <w:right w:val="none" w:sz="0" w:space="0" w:color="auto"/>
          </w:divBdr>
        </w:div>
        <w:div w:id="453443684">
          <w:marLeft w:val="0"/>
          <w:marRight w:val="0"/>
          <w:marTop w:val="20"/>
          <w:marBottom w:val="20"/>
          <w:divBdr>
            <w:top w:val="none" w:sz="0" w:space="0" w:color="auto"/>
            <w:left w:val="none" w:sz="0" w:space="0" w:color="auto"/>
            <w:bottom w:val="none" w:sz="0" w:space="0" w:color="auto"/>
            <w:right w:val="none" w:sz="0" w:space="0" w:color="auto"/>
          </w:divBdr>
        </w:div>
      </w:divsChild>
    </w:div>
    <w:div w:id="1991522292">
      <w:bodyDiv w:val="1"/>
      <w:marLeft w:val="0"/>
      <w:marRight w:val="0"/>
      <w:marTop w:val="0"/>
      <w:marBottom w:val="0"/>
      <w:divBdr>
        <w:top w:val="none" w:sz="0" w:space="0" w:color="auto"/>
        <w:left w:val="none" w:sz="0" w:space="0" w:color="auto"/>
        <w:bottom w:val="none" w:sz="0" w:space="0" w:color="auto"/>
        <w:right w:val="none" w:sz="0" w:space="0" w:color="auto"/>
      </w:divBdr>
      <w:divsChild>
        <w:div w:id="1754355292">
          <w:marLeft w:val="0"/>
          <w:marRight w:val="0"/>
          <w:marTop w:val="0"/>
          <w:marBottom w:val="0"/>
          <w:divBdr>
            <w:top w:val="none" w:sz="0" w:space="0" w:color="auto"/>
            <w:left w:val="none" w:sz="0" w:space="0" w:color="auto"/>
            <w:bottom w:val="none" w:sz="0" w:space="0" w:color="auto"/>
            <w:right w:val="none" w:sz="0" w:space="0" w:color="auto"/>
          </w:divBdr>
        </w:div>
        <w:div w:id="700936496">
          <w:marLeft w:val="0"/>
          <w:marRight w:val="0"/>
          <w:marTop w:val="0"/>
          <w:marBottom w:val="0"/>
          <w:divBdr>
            <w:top w:val="none" w:sz="0" w:space="0" w:color="auto"/>
            <w:left w:val="none" w:sz="0" w:space="0" w:color="auto"/>
            <w:bottom w:val="none" w:sz="0" w:space="0" w:color="auto"/>
            <w:right w:val="none" w:sz="0" w:space="0" w:color="auto"/>
          </w:divBdr>
        </w:div>
        <w:div w:id="1655066259">
          <w:marLeft w:val="0"/>
          <w:marRight w:val="0"/>
          <w:marTop w:val="0"/>
          <w:marBottom w:val="0"/>
          <w:divBdr>
            <w:top w:val="none" w:sz="0" w:space="0" w:color="auto"/>
            <w:left w:val="none" w:sz="0" w:space="0" w:color="auto"/>
            <w:bottom w:val="none" w:sz="0" w:space="0" w:color="auto"/>
            <w:right w:val="none" w:sz="0" w:space="0" w:color="auto"/>
          </w:divBdr>
        </w:div>
      </w:divsChild>
    </w:div>
    <w:div w:id="20427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ocialaw.com/document.php?id=brm:brm22m-1&amp;type=hitlist&amp;num=2#hit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6905</Words>
  <Characters>39361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Tennen, Eric (ALA)</dc:creator>
  <cp:keywords/>
  <dc:description/>
  <cp:lastModifiedBy>LaPointe, Donald (DPH)</cp:lastModifiedBy>
  <cp:revision>3</cp:revision>
  <dcterms:created xsi:type="dcterms:W3CDTF">2023-09-26T15:43:00Z</dcterms:created>
  <dcterms:modified xsi:type="dcterms:W3CDTF">2023-09-26T15:44:00Z</dcterms:modified>
</cp:coreProperties>
</file>