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179" w14:textId="77777777" w:rsidR="00112839" w:rsidRDefault="00112839" w:rsidP="00792621">
      <w:pPr>
        <w:jc w:val="center"/>
      </w:pPr>
      <w:bookmarkStart w:id="0" w:name="_Hlk82612419"/>
    </w:p>
    <w:p w14:paraId="070C7E41" w14:textId="51C06FF1" w:rsidR="00792621" w:rsidRPr="00E004B9" w:rsidRDefault="00792621" w:rsidP="00792621">
      <w:pPr>
        <w:jc w:val="center"/>
      </w:pPr>
      <w:r w:rsidRPr="00E004B9">
        <w:t>COMMONWEALTH OF MASSACHUSETTS</w:t>
      </w:r>
    </w:p>
    <w:p w14:paraId="463ABFCF" w14:textId="77777777" w:rsidR="00792621" w:rsidRDefault="00792621" w:rsidP="00792621">
      <w:pPr>
        <w:widowControl w:val="0"/>
        <w:tabs>
          <w:tab w:val="left" w:pos="90"/>
          <w:tab w:val="left" w:pos="1980"/>
          <w:tab w:val="left" w:pos="4680"/>
        </w:tabs>
        <w:autoSpaceDE w:val="0"/>
        <w:autoSpaceDN w:val="0"/>
        <w:adjustRightInd w:val="0"/>
        <w:spacing w:line="240" w:lineRule="auto"/>
        <w:rPr>
          <w:rFonts w:eastAsia="Times New Roman" w:cs="Times New Roman"/>
          <w:color w:val="000000"/>
          <w:szCs w:val="24"/>
          <w:lang w:val="en"/>
        </w:rPr>
      </w:pPr>
      <w:r w:rsidRPr="00AC6D33">
        <w:rPr>
          <w:rFonts w:eastAsia="Times New Roman" w:cs="Times New Roman"/>
          <w:color w:val="000000"/>
          <w:szCs w:val="24"/>
          <w:lang w:val="en"/>
        </w:rPr>
        <w:t>Middlesex, ss.</w:t>
      </w:r>
      <w:r w:rsidRPr="00AC6D33">
        <w:rPr>
          <w:rFonts w:eastAsia="Times New Roman" w:cs="Times New Roman"/>
          <w:color w:val="000000"/>
          <w:szCs w:val="24"/>
          <w:lang w:val="en"/>
        </w:rPr>
        <w:tab/>
      </w:r>
      <w:r w:rsidRPr="00AC6D33">
        <w:rPr>
          <w:rFonts w:eastAsia="Times New Roman" w:cs="Times New Roman"/>
          <w:color w:val="000000"/>
          <w:szCs w:val="24"/>
          <w:lang w:val="en"/>
        </w:rPr>
        <w:tab/>
        <w:t>Division of Administrative Law Appeals</w:t>
      </w:r>
      <w:r w:rsidRPr="00AC6D33">
        <w:rPr>
          <w:rFonts w:eastAsia="Times New Roman" w:cs="Times New Roman"/>
          <w:color w:val="000000"/>
          <w:szCs w:val="24"/>
          <w:lang w:val="en"/>
        </w:rPr>
        <w:tab/>
      </w:r>
    </w:p>
    <w:p w14:paraId="08E0F568" w14:textId="77777777" w:rsidR="00792621" w:rsidRPr="00792621" w:rsidRDefault="00792621" w:rsidP="00792621">
      <w:pPr>
        <w:spacing w:line="240" w:lineRule="auto"/>
        <w:ind w:left="4680"/>
        <w:rPr>
          <w:bCs/>
        </w:rPr>
      </w:pPr>
      <w:r w:rsidRPr="00792621">
        <w:rPr>
          <w:bCs/>
        </w:rPr>
        <w:t>14 Summer Street, 4th Floor</w:t>
      </w:r>
    </w:p>
    <w:p w14:paraId="393339D9" w14:textId="77777777" w:rsidR="00792621" w:rsidRPr="00792621" w:rsidRDefault="00792621" w:rsidP="00792621">
      <w:pPr>
        <w:spacing w:line="240" w:lineRule="auto"/>
        <w:ind w:left="4680"/>
        <w:rPr>
          <w:bCs/>
        </w:rPr>
      </w:pPr>
      <w:r w:rsidRPr="00792621">
        <w:rPr>
          <w:bCs/>
        </w:rPr>
        <w:t>Malden, MA 02148</w:t>
      </w:r>
    </w:p>
    <w:p w14:paraId="7D3F13F8" w14:textId="77777777" w:rsidR="00792621" w:rsidRPr="00792621" w:rsidRDefault="00792621" w:rsidP="00792621">
      <w:pPr>
        <w:spacing w:line="240" w:lineRule="auto"/>
        <w:ind w:left="4680"/>
        <w:rPr>
          <w:bCs/>
        </w:rPr>
      </w:pPr>
      <w:r w:rsidRPr="00792621">
        <w:rPr>
          <w:bCs/>
        </w:rPr>
        <w:t>www.mass.gov/dala</w:t>
      </w:r>
    </w:p>
    <w:p w14:paraId="4D1A65B8" w14:textId="77777777" w:rsidR="00792621" w:rsidRPr="00AC6D33" w:rsidRDefault="00792621" w:rsidP="00792621">
      <w:pPr>
        <w:widowControl w:val="0"/>
        <w:tabs>
          <w:tab w:val="left" w:pos="90"/>
          <w:tab w:val="left" w:pos="360"/>
          <w:tab w:val="left" w:pos="720"/>
          <w:tab w:val="left" w:pos="4680"/>
        </w:tabs>
        <w:autoSpaceDE w:val="0"/>
        <w:autoSpaceDN w:val="0"/>
        <w:adjustRightInd w:val="0"/>
        <w:spacing w:line="240" w:lineRule="auto"/>
        <w:rPr>
          <w:rFonts w:eastAsia="Times New Roman" w:cs="Times New Roman"/>
          <w:b/>
          <w:bCs/>
          <w:color w:val="000000"/>
          <w:szCs w:val="24"/>
          <w:lang w:val="en"/>
        </w:rPr>
      </w:pPr>
      <w:r w:rsidRPr="00AC6D33">
        <w:rPr>
          <w:rFonts w:eastAsia="Times New Roman" w:cs="Times New Roman"/>
          <w:b/>
          <w:bCs/>
          <w:color w:val="000000"/>
          <w:szCs w:val="24"/>
          <w:lang w:val="en"/>
        </w:rPr>
        <w:t>_____________________________________</w:t>
      </w:r>
      <w:r w:rsidRPr="00AC6D33">
        <w:rPr>
          <w:rFonts w:eastAsia="Times New Roman" w:cs="Times New Roman"/>
          <w:b/>
          <w:bCs/>
          <w:color w:val="000000"/>
          <w:szCs w:val="24"/>
          <w:lang w:val="en"/>
        </w:rPr>
        <w:tab/>
      </w:r>
    </w:p>
    <w:p w14:paraId="08BD227B" w14:textId="77777777" w:rsidR="00792621" w:rsidRPr="00AC6D33" w:rsidRDefault="00792621" w:rsidP="00792621">
      <w:pPr>
        <w:widowControl w:val="0"/>
        <w:tabs>
          <w:tab w:val="left" w:pos="90"/>
          <w:tab w:val="left" w:pos="360"/>
          <w:tab w:val="left" w:pos="720"/>
          <w:tab w:val="left" w:pos="4680"/>
        </w:tabs>
        <w:autoSpaceDE w:val="0"/>
        <w:autoSpaceDN w:val="0"/>
        <w:adjustRightInd w:val="0"/>
        <w:spacing w:line="240" w:lineRule="auto"/>
        <w:rPr>
          <w:rFonts w:eastAsia="Times New Roman" w:cs="Times New Roman"/>
          <w:color w:val="000000"/>
          <w:szCs w:val="24"/>
          <w:lang w:val="en"/>
        </w:rPr>
      </w:pPr>
    </w:p>
    <w:p w14:paraId="57DA9E7D" w14:textId="77777777" w:rsidR="006D311E" w:rsidRDefault="006D311E" w:rsidP="00792621">
      <w:pPr>
        <w:widowControl w:val="0"/>
        <w:tabs>
          <w:tab w:val="left" w:pos="90"/>
          <w:tab w:val="left" w:pos="360"/>
          <w:tab w:val="left" w:pos="720"/>
          <w:tab w:val="left" w:pos="4680"/>
        </w:tabs>
        <w:autoSpaceDE w:val="0"/>
        <w:autoSpaceDN w:val="0"/>
        <w:adjustRightInd w:val="0"/>
        <w:spacing w:line="240" w:lineRule="auto"/>
        <w:rPr>
          <w:szCs w:val="24"/>
        </w:rPr>
      </w:pPr>
      <w:r>
        <w:rPr>
          <w:szCs w:val="24"/>
        </w:rPr>
        <w:t>BOARD OF REGISTRATION IN</w:t>
      </w:r>
    </w:p>
    <w:p w14:paraId="73668747" w14:textId="301C5A76" w:rsidR="00792621" w:rsidRPr="00755998" w:rsidRDefault="006D311E" w:rsidP="00792621">
      <w:pPr>
        <w:widowControl w:val="0"/>
        <w:tabs>
          <w:tab w:val="left" w:pos="90"/>
          <w:tab w:val="left" w:pos="360"/>
          <w:tab w:val="left" w:pos="720"/>
          <w:tab w:val="left" w:pos="4680"/>
        </w:tabs>
        <w:autoSpaceDE w:val="0"/>
        <w:autoSpaceDN w:val="0"/>
        <w:adjustRightInd w:val="0"/>
        <w:spacing w:line="240" w:lineRule="auto"/>
        <w:rPr>
          <w:rFonts w:eastAsia="Times New Roman" w:cs="Times New Roman"/>
          <w:b/>
          <w:bCs/>
          <w:color w:val="000000"/>
          <w:szCs w:val="24"/>
          <w:lang w:val="en"/>
        </w:rPr>
      </w:pPr>
      <w:r>
        <w:rPr>
          <w:szCs w:val="24"/>
        </w:rPr>
        <w:t>MEDICINE</w:t>
      </w:r>
      <w:r w:rsidR="00792621" w:rsidRPr="00AC6D33">
        <w:rPr>
          <w:rFonts w:eastAsia="Times New Roman" w:cs="Times New Roman"/>
          <w:b/>
          <w:bCs/>
          <w:color w:val="000000"/>
          <w:szCs w:val="24"/>
          <w:lang w:val="en"/>
        </w:rPr>
        <w:t>,</w:t>
      </w:r>
    </w:p>
    <w:p w14:paraId="3F6094FF" w14:textId="77777777" w:rsidR="00792621" w:rsidRPr="00AC6D33" w:rsidRDefault="00792621" w:rsidP="00792621">
      <w:pPr>
        <w:widowControl w:val="0"/>
        <w:tabs>
          <w:tab w:val="left" w:pos="90"/>
          <w:tab w:val="left" w:pos="360"/>
          <w:tab w:val="left" w:pos="720"/>
          <w:tab w:val="left" w:pos="4680"/>
        </w:tabs>
        <w:autoSpaceDE w:val="0"/>
        <w:autoSpaceDN w:val="0"/>
        <w:adjustRightInd w:val="0"/>
        <w:spacing w:line="240" w:lineRule="auto"/>
        <w:rPr>
          <w:rFonts w:eastAsia="Times New Roman" w:cs="Times New Roman"/>
          <w:szCs w:val="24"/>
        </w:rPr>
      </w:pPr>
      <w:r>
        <w:rPr>
          <w:rFonts w:eastAsia="Times New Roman" w:cs="Times New Roman"/>
          <w:color w:val="000000"/>
          <w:szCs w:val="24"/>
          <w:lang w:val="en"/>
        </w:rPr>
        <w:tab/>
      </w:r>
      <w:r>
        <w:rPr>
          <w:rFonts w:eastAsia="Times New Roman" w:cs="Times New Roman"/>
          <w:color w:val="000000"/>
          <w:szCs w:val="24"/>
          <w:lang w:val="en"/>
        </w:rPr>
        <w:tab/>
      </w:r>
      <w:r>
        <w:rPr>
          <w:rFonts w:eastAsia="Times New Roman" w:cs="Times New Roman"/>
          <w:color w:val="000000"/>
          <w:szCs w:val="24"/>
          <w:lang w:val="en"/>
        </w:rPr>
        <w:tab/>
        <w:t>Petitioner,</w:t>
      </w:r>
    </w:p>
    <w:p w14:paraId="7740CB2E" w14:textId="6C58F7A6" w:rsidR="00792621" w:rsidRPr="00AC6D33" w:rsidRDefault="00792621" w:rsidP="00792621">
      <w:pPr>
        <w:widowControl w:val="0"/>
        <w:tabs>
          <w:tab w:val="left" w:pos="420"/>
          <w:tab w:val="left" w:pos="4680"/>
          <w:tab w:val="left" w:pos="6180"/>
        </w:tabs>
        <w:autoSpaceDE w:val="0"/>
        <w:autoSpaceDN w:val="0"/>
        <w:adjustRightInd w:val="0"/>
        <w:spacing w:line="240" w:lineRule="auto"/>
        <w:rPr>
          <w:rFonts w:eastAsia="Times New Roman" w:cs="Times New Roman"/>
          <w:szCs w:val="24"/>
        </w:rPr>
      </w:pPr>
      <w:r w:rsidRPr="00AC6D33">
        <w:rPr>
          <w:rFonts w:eastAsia="Times New Roman" w:cs="Times New Roman"/>
          <w:szCs w:val="24"/>
        </w:rPr>
        <w:tab/>
      </w:r>
      <w:r w:rsidRPr="00AC6D33">
        <w:rPr>
          <w:rFonts w:eastAsia="Times New Roman" w:cs="Times New Roman"/>
          <w:szCs w:val="24"/>
        </w:rPr>
        <w:tab/>
      </w:r>
      <w:r w:rsidR="007A0C1F">
        <w:rPr>
          <w:rFonts w:eastAsia="Times New Roman" w:cs="Times New Roman"/>
          <w:szCs w:val="24"/>
        </w:rPr>
        <w:t>Docket No.: RM-18-0579</w:t>
      </w:r>
    </w:p>
    <w:p w14:paraId="0BBFAE08" w14:textId="2AD7CA6C" w:rsidR="00792621" w:rsidRDefault="00792621" w:rsidP="00792621">
      <w:pPr>
        <w:widowControl w:val="0"/>
        <w:tabs>
          <w:tab w:val="left" w:pos="720"/>
          <w:tab w:val="left" w:pos="4680"/>
        </w:tabs>
        <w:autoSpaceDE w:val="0"/>
        <w:autoSpaceDN w:val="0"/>
        <w:adjustRightInd w:val="0"/>
        <w:spacing w:line="240" w:lineRule="auto"/>
        <w:rPr>
          <w:rFonts w:eastAsia="Times New Roman" w:cs="Times New Roman"/>
          <w:iCs/>
          <w:color w:val="000000"/>
          <w:szCs w:val="24"/>
        </w:rPr>
      </w:pPr>
      <w:r w:rsidRPr="00AC6D33">
        <w:rPr>
          <w:rFonts w:eastAsia="Times New Roman" w:cs="Times New Roman"/>
          <w:iCs/>
          <w:color w:val="000000"/>
          <w:szCs w:val="24"/>
        </w:rPr>
        <w:t>v.</w:t>
      </w:r>
      <w:r w:rsidRPr="00AC6D33">
        <w:rPr>
          <w:rFonts w:eastAsia="Times New Roman" w:cs="Times New Roman"/>
          <w:iCs/>
          <w:color w:val="000000"/>
          <w:szCs w:val="24"/>
        </w:rPr>
        <w:tab/>
      </w:r>
      <w:r>
        <w:rPr>
          <w:rFonts w:eastAsia="Times New Roman" w:cs="Times New Roman"/>
          <w:iCs/>
          <w:color w:val="000000"/>
          <w:szCs w:val="24"/>
        </w:rPr>
        <w:tab/>
      </w:r>
    </w:p>
    <w:p w14:paraId="5384285F" w14:textId="77777777" w:rsidR="00792621" w:rsidRDefault="00792621" w:rsidP="00792621">
      <w:pPr>
        <w:widowControl w:val="0"/>
        <w:tabs>
          <w:tab w:val="left" w:pos="720"/>
          <w:tab w:val="left" w:pos="4680"/>
        </w:tabs>
        <w:autoSpaceDE w:val="0"/>
        <w:autoSpaceDN w:val="0"/>
        <w:adjustRightInd w:val="0"/>
        <w:spacing w:line="240" w:lineRule="auto"/>
        <w:rPr>
          <w:rFonts w:eastAsia="Times New Roman" w:cs="Times New Roman"/>
          <w:iCs/>
          <w:color w:val="000000"/>
          <w:szCs w:val="24"/>
        </w:rPr>
      </w:pPr>
    </w:p>
    <w:p w14:paraId="5DDFDB98" w14:textId="6EE39774" w:rsidR="004B0D17" w:rsidRDefault="006D311E" w:rsidP="004B0D17">
      <w:pPr>
        <w:widowControl w:val="0"/>
        <w:tabs>
          <w:tab w:val="left" w:pos="720"/>
          <w:tab w:val="left" w:pos="4680"/>
        </w:tabs>
        <w:autoSpaceDE w:val="0"/>
        <w:autoSpaceDN w:val="0"/>
        <w:adjustRightInd w:val="0"/>
        <w:spacing w:line="240" w:lineRule="auto"/>
        <w:rPr>
          <w:szCs w:val="24"/>
        </w:rPr>
      </w:pPr>
      <w:r>
        <w:rPr>
          <w:szCs w:val="24"/>
        </w:rPr>
        <w:t>JOSEPH V. THAKURIA</w:t>
      </w:r>
      <w:r w:rsidR="004B0D17">
        <w:rPr>
          <w:szCs w:val="24"/>
        </w:rPr>
        <w:t>,</w:t>
      </w:r>
      <w:r w:rsidR="007A0C1F">
        <w:rPr>
          <w:szCs w:val="24"/>
        </w:rPr>
        <w:t xml:space="preserve"> M.D.</w:t>
      </w:r>
      <w:r w:rsidR="004B0D17">
        <w:rPr>
          <w:szCs w:val="24"/>
        </w:rPr>
        <w:tab/>
      </w:r>
    </w:p>
    <w:p w14:paraId="200804C4" w14:textId="1A1A5443" w:rsidR="00792621" w:rsidRPr="00AC6D33" w:rsidRDefault="00792621" w:rsidP="00792621">
      <w:pPr>
        <w:widowControl w:val="0"/>
        <w:tabs>
          <w:tab w:val="left" w:pos="420"/>
        </w:tabs>
        <w:autoSpaceDE w:val="0"/>
        <w:autoSpaceDN w:val="0"/>
        <w:adjustRightInd w:val="0"/>
        <w:spacing w:line="240" w:lineRule="auto"/>
        <w:rPr>
          <w:rFonts w:eastAsia="Times New Roman" w:cs="Times New Roman"/>
          <w:iCs/>
          <w:color w:val="000000"/>
          <w:szCs w:val="24"/>
        </w:rPr>
      </w:pPr>
      <w:r>
        <w:rPr>
          <w:rFonts w:eastAsia="Times New Roman" w:cs="Times New Roman"/>
          <w:iCs/>
          <w:color w:val="000000"/>
          <w:szCs w:val="24"/>
        </w:rPr>
        <w:tab/>
      </w:r>
      <w:r>
        <w:rPr>
          <w:rFonts w:eastAsia="Times New Roman" w:cs="Times New Roman"/>
          <w:iCs/>
          <w:color w:val="000000"/>
          <w:szCs w:val="24"/>
        </w:rPr>
        <w:tab/>
      </w:r>
      <w:r w:rsidRPr="00AC6D33">
        <w:rPr>
          <w:rFonts w:eastAsia="Times New Roman" w:cs="Times New Roman"/>
          <w:iCs/>
          <w:color w:val="000000"/>
          <w:szCs w:val="24"/>
        </w:rPr>
        <w:t>Respondent</w:t>
      </w:r>
      <w:r>
        <w:rPr>
          <w:rFonts w:eastAsia="Times New Roman" w:cs="Times New Roman"/>
          <w:iCs/>
          <w:color w:val="000000"/>
          <w:szCs w:val="24"/>
        </w:rPr>
        <w:t>.</w:t>
      </w:r>
    </w:p>
    <w:p w14:paraId="6D0B9603" w14:textId="77777777" w:rsidR="00792621" w:rsidRPr="00AC6D33" w:rsidRDefault="00792621" w:rsidP="00792621">
      <w:pPr>
        <w:spacing w:line="240" w:lineRule="auto"/>
        <w:rPr>
          <w:rFonts w:eastAsia="Times New Roman" w:cs="Times New Roman"/>
          <w:b/>
          <w:szCs w:val="24"/>
        </w:rPr>
      </w:pPr>
      <w:r w:rsidRPr="00AC6D33">
        <w:rPr>
          <w:rFonts w:eastAsia="Times New Roman" w:cs="Times New Roman"/>
          <w:b/>
          <w:szCs w:val="24"/>
        </w:rPr>
        <w:t>_____________________________________</w:t>
      </w:r>
      <w:r w:rsidRPr="00AC6D33">
        <w:rPr>
          <w:rFonts w:eastAsia="Times New Roman" w:cs="Times New Roman"/>
          <w:b/>
          <w:szCs w:val="24"/>
        </w:rPr>
        <w:tab/>
      </w:r>
    </w:p>
    <w:p w14:paraId="4554D324" w14:textId="77777777" w:rsidR="00792621" w:rsidRDefault="00792621" w:rsidP="00792621">
      <w:pPr>
        <w:spacing w:line="240" w:lineRule="auto"/>
      </w:pPr>
    </w:p>
    <w:p w14:paraId="10E0F4BA" w14:textId="0B8FD431" w:rsidR="00792621" w:rsidRPr="00792621" w:rsidRDefault="00113130" w:rsidP="00792621">
      <w:pPr>
        <w:spacing w:line="240" w:lineRule="auto"/>
        <w:rPr>
          <w:rFonts w:cs="Times New Roman"/>
          <w:szCs w:val="24"/>
        </w:rPr>
      </w:pPr>
      <w:r>
        <w:rPr>
          <w:rFonts w:cs="Times New Roman"/>
          <w:b/>
          <w:szCs w:val="24"/>
        </w:rPr>
        <w:t xml:space="preserve">Appearance for </w:t>
      </w:r>
      <w:r w:rsidR="00792621" w:rsidRPr="00792621">
        <w:rPr>
          <w:rFonts w:cs="Times New Roman"/>
          <w:b/>
          <w:szCs w:val="24"/>
        </w:rPr>
        <w:t>Petitioner</w:t>
      </w:r>
      <w:r w:rsidR="00792621" w:rsidRPr="00792621">
        <w:rPr>
          <w:rFonts w:cs="Times New Roman"/>
          <w:szCs w:val="24"/>
        </w:rPr>
        <w:t>:</w:t>
      </w:r>
      <w:r w:rsidR="00792621" w:rsidRPr="00792621">
        <w:rPr>
          <w:rFonts w:cs="Times New Roman"/>
          <w:szCs w:val="24"/>
        </w:rPr>
        <w:tab/>
      </w:r>
      <w:r w:rsidR="00792621" w:rsidRPr="00792621">
        <w:rPr>
          <w:rFonts w:cs="Times New Roman"/>
          <w:szCs w:val="24"/>
        </w:rPr>
        <w:tab/>
      </w:r>
      <w:r w:rsidR="00792621" w:rsidRPr="00792621">
        <w:rPr>
          <w:rFonts w:cs="Times New Roman"/>
          <w:szCs w:val="24"/>
        </w:rPr>
        <w:tab/>
      </w:r>
    </w:p>
    <w:p w14:paraId="21194AFB" w14:textId="77777777" w:rsidR="00792621" w:rsidRPr="00792621" w:rsidRDefault="00792621" w:rsidP="00792621">
      <w:pPr>
        <w:spacing w:line="240" w:lineRule="auto"/>
        <w:rPr>
          <w:rFonts w:cs="Times New Roman"/>
          <w:szCs w:val="24"/>
          <w:highlight w:val="lightGray"/>
        </w:rPr>
      </w:pPr>
    </w:p>
    <w:p w14:paraId="4460523E" w14:textId="77777777" w:rsidR="00AE19B3" w:rsidRDefault="00AE19B3" w:rsidP="00AE19B3">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Karen A. Robinson, Esq.</w:t>
      </w:r>
    </w:p>
    <w:p w14:paraId="3E3FE479" w14:textId="77777777" w:rsidR="00AE19B3" w:rsidRDefault="00AE19B3" w:rsidP="00AE19B3">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Board of Registration in Medicine</w:t>
      </w:r>
    </w:p>
    <w:p w14:paraId="342CC887" w14:textId="77777777" w:rsidR="00AE19B3" w:rsidRDefault="00AE19B3" w:rsidP="00AE19B3">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200 Harvard Mill Square, Suite 330</w:t>
      </w:r>
    </w:p>
    <w:p w14:paraId="24F95ECC" w14:textId="6BF1BD24" w:rsidR="0026288D" w:rsidRPr="00792621" w:rsidRDefault="00AE19B3" w:rsidP="00AE19B3">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Wakefield, MA 01880</w:t>
      </w:r>
    </w:p>
    <w:p w14:paraId="0ADC04C6" w14:textId="77777777" w:rsidR="00792621" w:rsidRPr="00792621" w:rsidRDefault="00792621" w:rsidP="00792621">
      <w:pPr>
        <w:spacing w:line="240" w:lineRule="auto"/>
        <w:rPr>
          <w:rFonts w:cs="Times New Roman"/>
          <w:szCs w:val="24"/>
          <w:highlight w:val="lightGray"/>
        </w:rPr>
      </w:pPr>
    </w:p>
    <w:p w14:paraId="6B36D4EF" w14:textId="4E505ADC" w:rsidR="00D7107D" w:rsidRPr="00D7107D" w:rsidRDefault="00D7107D" w:rsidP="00D7107D">
      <w:pPr>
        <w:spacing w:line="240" w:lineRule="auto"/>
        <w:rPr>
          <w:rFonts w:cs="Times New Roman"/>
          <w:szCs w:val="24"/>
        </w:rPr>
      </w:pPr>
      <w:r w:rsidRPr="00D7107D">
        <w:rPr>
          <w:rFonts w:cs="Times New Roman"/>
          <w:b/>
          <w:szCs w:val="24"/>
        </w:rPr>
        <w:t>Respondent</w:t>
      </w:r>
      <w:r w:rsidRPr="00D7107D">
        <w:rPr>
          <w:rFonts w:cs="Times New Roman"/>
          <w:szCs w:val="24"/>
        </w:rPr>
        <w:t>:</w:t>
      </w:r>
      <w:r w:rsidRPr="00D7107D">
        <w:rPr>
          <w:rFonts w:cs="Times New Roman"/>
          <w:szCs w:val="24"/>
        </w:rPr>
        <w:tab/>
      </w:r>
      <w:r w:rsidRPr="00D7107D">
        <w:rPr>
          <w:rFonts w:cs="Times New Roman"/>
          <w:szCs w:val="24"/>
        </w:rPr>
        <w:tab/>
      </w:r>
      <w:r w:rsidRPr="00D7107D">
        <w:rPr>
          <w:rFonts w:cs="Times New Roman"/>
          <w:szCs w:val="24"/>
        </w:rPr>
        <w:tab/>
      </w:r>
    </w:p>
    <w:p w14:paraId="3193CFEF" w14:textId="77777777" w:rsidR="00D7107D" w:rsidRPr="00D7107D" w:rsidRDefault="00D7107D" w:rsidP="00D7107D">
      <w:pPr>
        <w:spacing w:line="240" w:lineRule="auto"/>
        <w:rPr>
          <w:rFonts w:cs="Times New Roman"/>
          <w:szCs w:val="24"/>
        </w:rPr>
      </w:pPr>
    </w:p>
    <w:p w14:paraId="2D5ACB17" w14:textId="27BD0A7B" w:rsidR="00AE19B3" w:rsidRPr="00792621" w:rsidRDefault="00AE19B3" w:rsidP="00AE19B3">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 xml:space="preserve">Joseph V. </w:t>
      </w:r>
      <w:proofErr w:type="spellStart"/>
      <w:r>
        <w:rPr>
          <w:rFonts w:eastAsia="Times New Roman" w:cs="Times New Roman"/>
          <w:color w:val="333333"/>
          <w:szCs w:val="24"/>
        </w:rPr>
        <w:t>Thakuria</w:t>
      </w:r>
      <w:proofErr w:type="spellEnd"/>
      <w:r w:rsidR="0026288D">
        <w:rPr>
          <w:rFonts w:eastAsia="Times New Roman" w:cs="Times New Roman"/>
          <w:color w:val="333333"/>
          <w:szCs w:val="24"/>
        </w:rPr>
        <w:t>, M.D.</w:t>
      </w:r>
    </w:p>
    <w:p w14:paraId="3B7D328C" w14:textId="7FCFF09E" w:rsidR="00AE19B3" w:rsidRDefault="0026288D" w:rsidP="001B7D8D">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44 Varnum St</w:t>
      </w:r>
      <w:r w:rsidR="00CE31A8">
        <w:rPr>
          <w:rFonts w:eastAsia="Times New Roman" w:cs="Times New Roman"/>
          <w:color w:val="333333"/>
          <w:szCs w:val="24"/>
        </w:rPr>
        <w:t>reet</w:t>
      </w:r>
    </w:p>
    <w:p w14:paraId="5FF52AFA" w14:textId="7EF24CFF" w:rsidR="0026288D" w:rsidRDefault="0026288D" w:rsidP="001B7D8D">
      <w:pPr>
        <w:shd w:val="clear" w:color="auto" w:fill="FFFFFF"/>
        <w:spacing w:line="240" w:lineRule="auto"/>
        <w:ind w:left="720"/>
        <w:rPr>
          <w:rFonts w:eastAsia="Times New Roman" w:cs="Times New Roman"/>
          <w:color w:val="333333"/>
          <w:szCs w:val="24"/>
        </w:rPr>
      </w:pPr>
      <w:r>
        <w:rPr>
          <w:rFonts w:eastAsia="Times New Roman" w:cs="Times New Roman"/>
          <w:color w:val="333333"/>
          <w:szCs w:val="24"/>
        </w:rPr>
        <w:t>Arlington, MA 02474</w:t>
      </w:r>
    </w:p>
    <w:p w14:paraId="4343F8D7" w14:textId="77777777" w:rsidR="00D7107D" w:rsidRPr="00D7107D" w:rsidRDefault="00D7107D" w:rsidP="00D7107D">
      <w:pPr>
        <w:spacing w:line="240" w:lineRule="auto"/>
        <w:rPr>
          <w:rFonts w:cs="Times New Roman"/>
          <w:szCs w:val="24"/>
        </w:rPr>
      </w:pPr>
    </w:p>
    <w:p w14:paraId="65098BBC" w14:textId="77777777" w:rsidR="00792621" w:rsidRPr="00D7107D" w:rsidRDefault="00792621" w:rsidP="00792621">
      <w:pPr>
        <w:spacing w:line="240" w:lineRule="auto"/>
        <w:rPr>
          <w:rFonts w:cs="Times New Roman"/>
          <w:szCs w:val="24"/>
        </w:rPr>
      </w:pPr>
      <w:r w:rsidRPr="00D7107D">
        <w:rPr>
          <w:rFonts w:cs="Times New Roman"/>
          <w:b/>
          <w:szCs w:val="24"/>
        </w:rPr>
        <w:t>Administrative Magistrate</w:t>
      </w:r>
      <w:r w:rsidRPr="00D7107D">
        <w:rPr>
          <w:rFonts w:cs="Times New Roman"/>
          <w:szCs w:val="24"/>
        </w:rPr>
        <w:t>:</w:t>
      </w:r>
      <w:r w:rsidRPr="00D7107D">
        <w:rPr>
          <w:rFonts w:cs="Times New Roman"/>
          <w:szCs w:val="24"/>
        </w:rPr>
        <w:tab/>
      </w:r>
      <w:r w:rsidRPr="00D7107D">
        <w:rPr>
          <w:rFonts w:cs="Times New Roman"/>
          <w:szCs w:val="24"/>
        </w:rPr>
        <w:tab/>
      </w:r>
      <w:r w:rsidRPr="00D7107D">
        <w:rPr>
          <w:rFonts w:cs="Times New Roman"/>
          <w:szCs w:val="24"/>
        </w:rPr>
        <w:tab/>
      </w:r>
    </w:p>
    <w:p w14:paraId="3A429253" w14:textId="77777777" w:rsidR="00792621" w:rsidRPr="00FD3CDE" w:rsidRDefault="00792621" w:rsidP="00792621">
      <w:pPr>
        <w:spacing w:line="240" w:lineRule="auto"/>
      </w:pPr>
    </w:p>
    <w:p w14:paraId="26F44AA1" w14:textId="73439824" w:rsidR="00792621" w:rsidRDefault="00D7107D" w:rsidP="008365F2">
      <w:pPr>
        <w:spacing w:line="240" w:lineRule="auto"/>
        <w:ind w:firstLine="720"/>
      </w:pPr>
      <w:r>
        <w:t>Edward B. McGrath</w:t>
      </w:r>
      <w:r w:rsidR="008365F2">
        <w:t>, Esq.</w:t>
      </w:r>
      <w:r w:rsidR="00792621" w:rsidRPr="000D620E">
        <w:t xml:space="preserve">                                          </w:t>
      </w:r>
    </w:p>
    <w:p w14:paraId="0E1C84E0" w14:textId="4422404C" w:rsidR="00336A5A" w:rsidRPr="00CB566F" w:rsidRDefault="008365F2" w:rsidP="00CB566F">
      <w:pPr>
        <w:ind w:firstLine="720"/>
      </w:pPr>
      <w:r>
        <w:t>Chief Administrative Magistrate</w:t>
      </w:r>
      <w:bookmarkEnd w:id="0"/>
    </w:p>
    <w:p w14:paraId="2932070E" w14:textId="16CE9450" w:rsidR="00113130" w:rsidRDefault="00113130" w:rsidP="00113130">
      <w:pPr>
        <w:jc w:val="center"/>
        <w:rPr>
          <w:b/>
        </w:rPr>
      </w:pPr>
      <w:r>
        <w:rPr>
          <w:b/>
        </w:rPr>
        <w:t>SUMMARY OF RECOMMENDED DECISION</w:t>
      </w:r>
    </w:p>
    <w:p w14:paraId="7F4567D1" w14:textId="00578780" w:rsidR="00113130" w:rsidRDefault="00113130" w:rsidP="00113130">
      <w:pPr>
        <w:spacing w:line="240" w:lineRule="auto"/>
      </w:pPr>
      <w:r>
        <w:rPr>
          <w:b/>
        </w:rPr>
        <w:tab/>
      </w:r>
      <w:r>
        <w:t>The Petitioner</w:t>
      </w:r>
      <w:r w:rsidR="005A328E">
        <w:t>, Board of Registration in Medicine,</w:t>
      </w:r>
      <w:r>
        <w:t xml:space="preserve"> proved by a preponderance of the evidence that the </w:t>
      </w:r>
      <w:proofErr w:type="spellStart"/>
      <w:r>
        <w:t>Responent</w:t>
      </w:r>
      <w:proofErr w:type="spellEnd"/>
      <w:r w:rsidR="00CE31A8">
        <w:t xml:space="preserve">, Joseph V. </w:t>
      </w:r>
      <w:proofErr w:type="spellStart"/>
      <w:r w:rsidR="00CE31A8">
        <w:t>Thakuria</w:t>
      </w:r>
      <w:proofErr w:type="spellEnd"/>
      <w:r w:rsidR="00CE31A8">
        <w:t>, M.D.,</w:t>
      </w:r>
      <w:r>
        <w:t xml:space="preserve"> </w:t>
      </w:r>
      <w:r w:rsidR="007D51E0">
        <w:t xml:space="preserve">violated the Board’s regulations by </w:t>
      </w:r>
      <w:r>
        <w:t>fail</w:t>
      </w:r>
      <w:r w:rsidR="007D51E0">
        <w:t>ing</w:t>
      </w:r>
      <w:r w:rsidR="001372C4">
        <w:t xml:space="preserve"> to timely complete clinical documentation </w:t>
      </w:r>
      <w:r w:rsidR="005A328E">
        <w:t xml:space="preserve">for patients </w:t>
      </w:r>
      <w:r w:rsidR="001372C4">
        <w:t xml:space="preserve">and </w:t>
      </w:r>
      <w:r w:rsidR="00996682">
        <w:t>by</w:t>
      </w:r>
      <w:r w:rsidR="001372C4">
        <w:t xml:space="preserve"> fail</w:t>
      </w:r>
      <w:r w:rsidR="005A328E">
        <w:t xml:space="preserve">ing </w:t>
      </w:r>
      <w:r>
        <w:t xml:space="preserve">to make required disclosures in his </w:t>
      </w:r>
      <w:r w:rsidR="001372C4">
        <w:t xml:space="preserve">2014 and 2016 </w:t>
      </w:r>
      <w:r>
        <w:t>applications for renewal of his medical license.  I</w:t>
      </w:r>
      <w:r w:rsidR="006328A5">
        <w:t>,</w:t>
      </w:r>
      <w:r>
        <w:t xml:space="preserve"> </w:t>
      </w:r>
      <w:r w:rsidR="006C44DB">
        <w:t>therefore</w:t>
      </w:r>
      <w:r w:rsidR="006328A5">
        <w:t>,</w:t>
      </w:r>
      <w:r w:rsidR="006C44DB">
        <w:t xml:space="preserve"> </w:t>
      </w:r>
      <w:r>
        <w:t>recommend that the Board of Registration in Medicine impose the discipline it believes is appropriat</w:t>
      </w:r>
      <w:r w:rsidR="00F772E5">
        <w:t xml:space="preserve">e.  </w:t>
      </w:r>
    </w:p>
    <w:p w14:paraId="24ACC4EC" w14:textId="77777777" w:rsidR="00113130" w:rsidRDefault="00113130" w:rsidP="00113130">
      <w:pPr>
        <w:spacing w:line="240" w:lineRule="auto"/>
      </w:pPr>
    </w:p>
    <w:p w14:paraId="12B6CC38" w14:textId="11A0BCFA" w:rsidR="00113130" w:rsidRDefault="00113130" w:rsidP="006C44DB">
      <w:pPr>
        <w:spacing w:line="240" w:lineRule="auto"/>
        <w:ind w:left="360"/>
      </w:pPr>
      <w:r>
        <w:tab/>
      </w:r>
      <w:r>
        <w:tab/>
      </w:r>
      <w:r>
        <w:tab/>
        <w:t xml:space="preserve">     </w:t>
      </w:r>
    </w:p>
    <w:p w14:paraId="09C54E33" w14:textId="77777777" w:rsidR="00113130" w:rsidRDefault="00113130" w:rsidP="00113130">
      <w:pPr>
        <w:spacing w:line="240" w:lineRule="auto"/>
        <w:ind w:left="360"/>
        <w:jc w:val="center"/>
        <w:rPr>
          <w:i/>
        </w:rPr>
      </w:pPr>
      <w:r>
        <w:rPr>
          <w:b/>
        </w:rPr>
        <w:t>RECOMMENDED DECISION</w:t>
      </w:r>
    </w:p>
    <w:p w14:paraId="7155A36F" w14:textId="77777777" w:rsidR="00113130" w:rsidRDefault="00113130" w:rsidP="00113130">
      <w:pPr>
        <w:spacing w:line="240" w:lineRule="auto"/>
        <w:rPr>
          <w:b/>
          <w:bCs/>
          <w:u w:val="single"/>
        </w:rPr>
      </w:pPr>
    </w:p>
    <w:p w14:paraId="378E9E9B" w14:textId="62389A91" w:rsidR="00113130" w:rsidRDefault="00113130" w:rsidP="001E34E5">
      <w:pPr>
        <w:spacing w:after="240"/>
        <w:rPr>
          <w:szCs w:val="20"/>
        </w:rPr>
      </w:pPr>
      <w:r>
        <w:t xml:space="preserve">           Pursuant to G. L. c. 112, § 5</w:t>
      </w:r>
      <w:r w:rsidR="006C44DB">
        <w:t>,</w:t>
      </w:r>
      <w:r>
        <w:t xml:space="preserve"> and 243 </w:t>
      </w:r>
      <w:r w:rsidR="00A52BE5">
        <w:t xml:space="preserve">CMR </w:t>
      </w:r>
      <w:r>
        <w:t xml:space="preserve">1.03(5)(a)(3), the Petitioner, Board of Registration in Medicine (“Board”), issued </w:t>
      </w:r>
      <w:r w:rsidR="006C44DB">
        <w:t xml:space="preserve">on October 11, 2018, </w:t>
      </w:r>
      <w:r>
        <w:t xml:space="preserve">a Statement of Allegations </w:t>
      </w:r>
      <w:r w:rsidR="006C44DB">
        <w:t xml:space="preserve">and </w:t>
      </w:r>
      <w:r>
        <w:t xml:space="preserve">an Order of Reference to the Division of Administrative Law Appeals (“DALA”) regarding the Respondent, </w:t>
      </w:r>
      <w:r w:rsidR="00EC6696">
        <w:t xml:space="preserve">Joseph V. </w:t>
      </w:r>
      <w:proofErr w:type="spellStart"/>
      <w:r w:rsidR="00EC6696">
        <w:t>Thakuria</w:t>
      </w:r>
      <w:proofErr w:type="spellEnd"/>
      <w:r w:rsidR="00CB3A4C">
        <w:t>, M.D.</w:t>
      </w:r>
      <w:r w:rsidR="00F65280">
        <w:t>,</w:t>
      </w:r>
      <w:r>
        <w:t xml:space="preserve">  </w:t>
      </w:r>
      <w:r w:rsidR="00476FE1">
        <w:t xml:space="preserve">In its Statement of Allegations, the Board charged that </w:t>
      </w:r>
      <w:r w:rsidR="00CE31A8">
        <w:t xml:space="preserve">Dr. </w:t>
      </w:r>
      <w:proofErr w:type="spellStart"/>
      <w:r w:rsidR="00CE31A8">
        <w:t>Thakuria</w:t>
      </w:r>
      <w:proofErr w:type="spellEnd"/>
      <w:r>
        <w:t xml:space="preserve"> had </w:t>
      </w:r>
      <w:r w:rsidR="00476FE1">
        <w:t>failed</w:t>
      </w:r>
      <w:r w:rsidR="00156A15">
        <w:t xml:space="preserve"> to report </w:t>
      </w:r>
      <w:r w:rsidR="00622390">
        <w:t>a hospital</w:t>
      </w:r>
      <w:r w:rsidR="00821F03">
        <w:t xml:space="preserve"> investigation and </w:t>
      </w:r>
      <w:r w:rsidR="00156A15">
        <w:t xml:space="preserve">disciplinary action taken against </w:t>
      </w:r>
      <w:r w:rsidR="00622390">
        <w:t xml:space="preserve">him </w:t>
      </w:r>
      <w:r w:rsidR="00156A15">
        <w:t>in his license renewal application filed in 2014</w:t>
      </w:r>
      <w:r w:rsidR="00622390">
        <w:t>, and failed to adequately disclose criminal charges</w:t>
      </w:r>
      <w:r w:rsidR="00CB3A4C">
        <w:t xml:space="preserve"> filed against him </w:t>
      </w:r>
      <w:r w:rsidR="00622390">
        <w:t xml:space="preserve">in his </w:t>
      </w:r>
      <w:r w:rsidR="00156A15">
        <w:t>2016</w:t>
      </w:r>
      <w:r w:rsidR="00622390">
        <w:t xml:space="preserve"> application</w:t>
      </w:r>
      <w:r w:rsidR="008E0984">
        <w:t xml:space="preserve">. It further alleged that Dr. </w:t>
      </w:r>
      <w:proofErr w:type="spellStart"/>
      <w:r w:rsidR="008E0984">
        <w:t>Thakuria</w:t>
      </w:r>
      <w:proofErr w:type="spellEnd"/>
      <w:r w:rsidR="00D8711C">
        <w:t xml:space="preserve"> failed to maintain </w:t>
      </w:r>
      <w:r w:rsidR="007F7542">
        <w:t>adequate</w:t>
      </w:r>
      <w:r w:rsidR="00D8711C">
        <w:t xml:space="preserve"> medical records.</w:t>
      </w:r>
      <w:r w:rsidR="003831F7">
        <w:t xml:space="preserve"> </w:t>
      </w:r>
      <w:r w:rsidR="00F21BA0">
        <w:t>In addition</w:t>
      </w:r>
      <w:r w:rsidR="001E34E5">
        <w:t>,</w:t>
      </w:r>
      <w:r w:rsidR="00F21BA0">
        <w:t xml:space="preserve"> the board asserted that </w:t>
      </w:r>
      <w:r w:rsidR="001E34E5">
        <w:t xml:space="preserve">Dr. </w:t>
      </w:r>
      <w:proofErr w:type="spellStart"/>
      <w:r w:rsidR="001E34E5">
        <w:t>Thakuria</w:t>
      </w:r>
      <w:proofErr w:type="spellEnd"/>
      <w:r w:rsidR="001E34E5">
        <w:t xml:space="preserve"> p</w:t>
      </w:r>
      <w:r w:rsidR="00F12D66">
        <w:t>ractic</w:t>
      </w:r>
      <w:r w:rsidR="001E34E5">
        <w:t>ed</w:t>
      </w:r>
      <w:r w:rsidR="00F12D66">
        <w:t xml:space="preserve"> medicine deceitfully, or engag</w:t>
      </w:r>
      <w:r w:rsidR="00DB2AD9">
        <w:t>ed</w:t>
      </w:r>
      <w:r w:rsidR="00F12D66">
        <w:t xml:space="preserve"> in conduct which ha</w:t>
      </w:r>
      <w:r w:rsidR="00DB2AD9">
        <w:t>d</w:t>
      </w:r>
      <w:r w:rsidR="00F12D66">
        <w:t xml:space="preserve"> the capacity to deceive or defraud</w:t>
      </w:r>
      <w:r w:rsidR="001E34E5">
        <w:t xml:space="preserve"> and</w:t>
      </w:r>
      <w:r w:rsidR="00F12D66">
        <w:t xml:space="preserve"> lack</w:t>
      </w:r>
      <w:r w:rsidR="001E34E5">
        <w:t>ed</w:t>
      </w:r>
      <w:r w:rsidR="00F12D66">
        <w:t xml:space="preserve"> “good moral character” and engag</w:t>
      </w:r>
      <w:r w:rsidR="001E34E5">
        <w:t>ed</w:t>
      </w:r>
      <w:r w:rsidR="00F12D66">
        <w:t xml:space="preserve"> in “conduct that undermines the public confidence in the integrity of the medical profession</w:t>
      </w:r>
      <w:r w:rsidR="001E34E5">
        <w:t>.</w:t>
      </w:r>
      <w:r w:rsidR="00F12D66">
        <w:t xml:space="preserve">” </w:t>
      </w:r>
    </w:p>
    <w:p w14:paraId="1E24B136" w14:textId="6AD9F471" w:rsidR="00113130" w:rsidRPr="00B215FE" w:rsidRDefault="00113130" w:rsidP="00113130">
      <w:pPr>
        <w:ind w:firstLine="720"/>
        <w:rPr>
          <w:szCs w:val="24"/>
        </w:rPr>
      </w:pPr>
      <w:r>
        <w:t>A</w:t>
      </w:r>
      <w:r w:rsidR="00262A7C">
        <w:t xml:space="preserve">n evidentiary </w:t>
      </w:r>
      <w:r>
        <w:t xml:space="preserve">hearing was conducted on </w:t>
      </w:r>
      <w:r w:rsidR="00262A7C">
        <w:t>September 27 and December 17, 2019, at the D</w:t>
      </w:r>
      <w:r>
        <w:t>ivision of Administrative Law Appeals</w:t>
      </w:r>
      <w:r w:rsidR="00262A7C">
        <w:t xml:space="preserve"> in Malden, Massachusetts.  The </w:t>
      </w:r>
      <w:r w:rsidR="005A328E">
        <w:t>Board</w:t>
      </w:r>
      <w:r w:rsidR="00262A7C">
        <w:t xml:space="preserve"> called four witnesses to testify at the hearing</w:t>
      </w:r>
      <w:r w:rsidR="009802D7">
        <w:t xml:space="preserve">: (1) John D. Landers, Jr., Compliance Officer </w:t>
      </w:r>
      <w:r w:rsidR="003F1105">
        <w:t xml:space="preserve">for </w:t>
      </w:r>
      <w:r w:rsidR="009802D7">
        <w:t>the Board of Registration in Medicine</w:t>
      </w:r>
      <w:r w:rsidR="003F1105">
        <w:t>;</w:t>
      </w:r>
      <w:r w:rsidR="009802D7">
        <w:t xml:space="preserve"> (2) </w:t>
      </w:r>
      <w:r w:rsidR="006A0E2A">
        <w:t xml:space="preserve">Dr. </w:t>
      </w:r>
      <w:r w:rsidR="003F1105">
        <w:t xml:space="preserve">Elizabeth L. Hohmann, Senior Chair and Physician Director of the Partners Human Research Committee; (3) David Sweetser, M.D., Chief of Medical Genetics at </w:t>
      </w:r>
      <w:r w:rsidR="003831F7">
        <w:t>MGH</w:t>
      </w:r>
      <w:r w:rsidR="003F1105">
        <w:t xml:space="preserve">; and (4) </w:t>
      </w:r>
      <w:r w:rsidR="006A0E2A">
        <w:t xml:space="preserve">Jacquelyn Held, </w:t>
      </w:r>
      <w:r w:rsidR="0078410C">
        <w:t xml:space="preserve">Litigation and E-Discovery Specialist at the Partners Office of the General Counsel.  </w:t>
      </w:r>
      <w:r w:rsidR="00CE31A8">
        <w:t xml:space="preserve">Dr. </w:t>
      </w:r>
      <w:proofErr w:type="spellStart"/>
      <w:r w:rsidR="00CE31A8">
        <w:t>Thakuria</w:t>
      </w:r>
      <w:proofErr w:type="spellEnd"/>
      <w:r w:rsidR="0078410C">
        <w:t xml:space="preserve"> </w:t>
      </w:r>
      <w:r w:rsidR="0078410C" w:rsidRPr="00B215FE">
        <w:rPr>
          <w:szCs w:val="24"/>
        </w:rPr>
        <w:t>testified on his own behalf</w:t>
      </w:r>
      <w:r w:rsidR="004E0D8E" w:rsidRPr="00B215FE">
        <w:rPr>
          <w:szCs w:val="24"/>
        </w:rPr>
        <w:t>.</w:t>
      </w:r>
      <w:r w:rsidR="0078410C" w:rsidRPr="00B215FE">
        <w:rPr>
          <w:szCs w:val="24"/>
        </w:rPr>
        <w:t xml:space="preserve"> </w:t>
      </w:r>
      <w:r w:rsidR="00B215FE" w:rsidRPr="00B215FE">
        <w:rPr>
          <w:szCs w:val="24"/>
        </w:rPr>
        <w:t xml:space="preserve">The hearing was recorded </w:t>
      </w:r>
      <w:proofErr w:type="spellStart"/>
      <w:r w:rsidR="00B215FE" w:rsidRPr="00B215FE">
        <w:rPr>
          <w:szCs w:val="24"/>
        </w:rPr>
        <w:t>stenographically</w:t>
      </w:r>
      <w:proofErr w:type="spellEnd"/>
      <w:r w:rsidR="00B215FE" w:rsidRPr="00B215FE">
        <w:rPr>
          <w:szCs w:val="24"/>
        </w:rPr>
        <w:t>.</w:t>
      </w:r>
    </w:p>
    <w:p w14:paraId="00AF292E" w14:textId="632534E4" w:rsidR="00113130" w:rsidRDefault="00113130" w:rsidP="00113130">
      <w:pPr>
        <w:ind w:firstLine="720"/>
      </w:pPr>
      <w:r>
        <w:t xml:space="preserve">At the hearing, </w:t>
      </w:r>
      <w:r w:rsidR="008132C9">
        <w:t>I admitted 3</w:t>
      </w:r>
      <w:r w:rsidR="003342A9">
        <w:t>5</w:t>
      </w:r>
      <w:r w:rsidR="008132C9">
        <w:t xml:space="preserve"> exhibits into evidence, 29 of which were filed by the </w:t>
      </w:r>
      <w:r w:rsidR="00CE31A8">
        <w:t>Board</w:t>
      </w:r>
      <w:r w:rsidR="008132C9">
        <w:t xml:space="preserve"> and </w:t>
      </w:r>
      <w:r w:rsidR="003342A9">
        <w:t>6</w:t>
      </w:r>
      <w:r w:rsidR="008132C9">
        <w:t xml:space="preserve"> filed by </w:t>
      </w:r>
      <w:r w:rsidR="00CE31A8">
        <w:t xml:space="preserve">Dr. </w:t>
      </w:r>
      <w:proofErr w:type="spellStart"/>
      <w:r w:rsidR="00CE31A8">
        <w:t>Thakuria</w:t>
      </w:r>
      <w:proofErr w:type="spellEnd"/>
      <w:r w:rsidR="008132C9">
        <w:t>.</w:t>
      </w:r>
      <w:r w:rsidR="00BD58E0">
        <w:t xml:space="preserve"> </w:t>
      </w:r>
      <w:r w:rsidR="00813125">
        <w:t xml:space="preserve"> During the first day of testimony, </w:t>
      </w:r>
      <w:r w:rsidR="00193E65">
        <w:t>I marked</w:t>
      </w:r>
      <w:r w:rsidR="00CB3A4C">
        <w:t xml:space="preserve"> for identification </w:t>
      </w:r>
      <w:r w:rsidR="00193E65">
        <w:t xml:space="preserve">three </w:t>
      </w:r>
      <w:r w:rsidR="00193E65">
        <w:lastRenderedPageBreak/>
        <w:t xml:space="preserve">additional documents </w:t>
      </w:r>
      <w:r w:rsidR="00CB3A4C">
        <w:t xml:space="preserve">submitted by Dr. </w:t>
      </w:r>
      <w:proofErr w:type="spellStart"/>
      <w:r w:rsidR="00CB3A4C">
        <w:t>Thakuria</w:t>
      </w:r>
      <w:proofErr w:type="spellEnd"/>
      <w:r>
        <w:t xml:space="preserve">.  </w:t>
      </w:r>
      <w:r w:rsidR="003342A9">
        <w:t xml:space="preserve">With the exception of </w:t>
      </w:r>
      <w:r w:rsidR="00CE31A8">
        <w:t xml:space="preserve">Dr. </w:t>
      </w:r>
      <w:proofErr w:type="spellStart"/>
      <w:r w:rsidR="00CE31A8">
        <w:t>Thakuria’s</w:t>
      </w:r>
      <w:proofErr w:type="spellEnd"/>
      <w:r w:rsidR="003342A9">
        <w:t xml:space="preserve"> pre-hearing memorandum, </w:t>
      </w:r>
      <w:r w:rsidR="00B236EB">
        <w:t xml:space="preserve">which I marked as Exhibit A, </w:t>
      </w:r>
      <w:r w:rsidR="003342A9">
        <w:t xml:space="preserve">these </w:t>
      </w:r>
      <w:r w:rsidR="00CB3A4C">
        <w:t xml:space="preserve">additional </w:t>
      </w:r>
      <w:r w:rsidR="003342A9">
        <w:t>documents are duplicative of other exhibits admitted into evidence in this case</w:t>
      </w:r>
      <w:r w:rsidR="001F18C8">
        <w:t>.</w:t>
      </w:r>
      <w:r w:rsidR="00AC38A5">
        <w:t xml:space="preserve"> </w:t>
      </w:r>
    </w:p>
    <w:p w14:paraId="2319B1C1" w14:textId="79DC6B28" w:rsidR="00334B6A" w:rsidRDefault="00113130" w:rsidP="00113130">
      <w:r>
        <w:tab/>
      </w:r>
      <w:r w:rsidR="00A52405">
        <w:t xml:space="preserve">At the end of the </w:t>
      </w:r>
      <w:r>
        <w:t>hearing</w:t>
      </w:r>
      <w:r w:rsidR="00A52405">
        <w:t xml:space="preserve">, the </w:t>
      </w:r>
      <w:r w:rsidR="000F5DDA">
        <w:t>record</w:t>
      </w:r>
      <w:r w:rsidR="00A52405">
        <w:t xml:space="preserve"> was kept open to provide the parties an opportunity to file</w:t>
      </w:r>
      <w:r w:rsidR="00692DC4">
        <w:t xml:space="preserve"> </w:t>
      </w:r>
      <w:r w:rsidR="00B236EB">
        <w:t xml:space="preserve">hearing briefs, pursuant to 801 Code Mass. Regs. § 1.01(10)(j).  </w:t>
      </w:r>
      <w:r>
        <w:t xml:space="preserve">The </w:t>
      </w:r>
      <w:r w:rsidR="00CE31A8">
        <w:t>Board</w:t>
      </w:r>
      <w:r>
        <w:t xml:space="preserve"> filed</w:t>
      </w:r>
      <w:r w:rsidR="00B236EB">
        <w:t xml:space="preserve"> a </w:t>
      </w:r>
      <w:r w:rsidR="00BE3594">
        <w:t xml:space="preserve">closing </w:t>
      </w:r>
      <w:r w:rsidR="00B236EB">
        <w:t>brief on February 14, 2020</w:t>
      </w:r>
      <w:r w:rsidR="007D51E0">
        <w:t xml:space="preserve">.  </w:t>
      </w:r>
      <w:r w:rsidR="00CE31A8">
        <w:t xml:space="preserve">Dr. </w:t>
      </w:r>
      <w:proofErr w:type="spellStart"/>
      <w:r w:rsidR="00CE31A8">
        <w:t>Thakuria</w:t>
      </w:r>
      <w:proofErr w:type="spellEnd"/>
      <w:r w:rsidR="007D51E0">
        <w:t xml:space="preserve"> did not file a </w:t>
      </w:r>
      <w:r w:rsidR="00BE3594">
        <w:t xml:space="preserve">closing </w:t>
      </w:r>
      <w:r w:rsidR="007D51E0">
        <w:t xml:space="preserve">brief, </w:t>
      </w:r>
      <w:r w:rsidR="00AC38A5">
        <w:t xml:space="preserve">and the record is now closed.  </w:t>
      </w:r>
    </w:p>
    <w:p w14:paraId="02790142" w14:textId="6C7EBCC7" w:rsidR="0079271E" w:rsidRPr="0079271E" w:rsidRDefault="00E16A82" w:rsidP="0079271E">
      <w:pPr>
        <w:jc w:val="center"/>
        <w:rPr>
          <w:b/>
          <w:bCs/>
          <w:u w:val="single"/>
        </w:rPr>
      </w:pPr>
      <w:r>
        <w:rPr>
          <w:b/>
          <w:bCs/>
          <w:u w:val="single"/>
        </w:rPr>
        <w:t>FINDINGS OF FACT</w:t>
      </w:r>
    </w:p>
    <w:p w14:paraId="7152BED4" w14:textId="77777777" w:rsidR="00ED5A74" w:rsidRDefault="00ED5A74" w:rsidP="00ED5A74">
      <w:pPr>
        <w:ind w:firstLine="720"/>
      </w:pPr>
      <w:r>
        <w:t>Based upon the documents in evidence, the testimony of the witnesses, and my assessment of their credibility, I make the following findings of fact:</w:t>
      </w:r>
    </w:p>
    <w:p w14:paraId="23E4CF61" w14:textId="22A3D6FA" w:rsidR="00A943A4" w:rsidRDefault="00A943A4" w:rsidP="00A943A4">
      <w:pPr>
        <w:pStyle w:val="ListParagraph"/>
        <w:numPr>
          <w:ilvl w:val="0"/>
          <w:numId w:val="4"/>
        </w:numPr>
      </w:pPr>
      <w:r>
        <w:t xml:space="preserve">Dr. </w:t>
      </w:r>
      <w:proofErr w:type="spellStart"/>
      <w:r>
        <w:t>Thakuria</w:t>
      </w:r>
      <w:proofErr w:type="spellEnd"/>
      <w:r>
        <w:t xml:space="preserve"> received his medical degree from St. Georges University School of Medicine in 1995.  </w:t>
      </w:r>
      <w:r w:rsidR="008C3038">
        <w:t xml:space="preserve">He then completed a medical residency in internal medicine at the University of Pennsylvania, followed by a residency and fellowship in clinical genetics and biochemical genetics at Harvard Medical School.  </w:t>
      </w:r>
      <w:r>
        <w:t xml:space="preserve">He has been licensed to practice medicine in Massachusetts since June 2005.  </w:t>
      </w:r>
      <w:r w:rsidR="00890246">
        <w:t>(</w:t>
      </w:r>
      <w:r w:rsidR="0019727C">
        <w:t>Tr.</w:t>
      </w:r>
      <w:r w:rsidR="00890246">
        <w:t xml:space="preserve"> vol. II p. 141-142</w:t>
      </w:r>
      <w:r w:rsidR="00613422">
        <w:t>.)</w:t>
      </w:r>
      <w:r w:rsidR="00B24A9A" w:rsidRPr="00B24A9A">
        <w:rPr>
          <w:rStyle w:val="FootnoteReference"/>
        </w:rPr>
        <w:t xml:space="preserve"> </w:t>
      </w:r>
      <w:r w:rsidR="00B24A9A">
        <w:rPr>
          <w:rStyle w:val="FootnoteReference"/>
        </w:rPr>
        <w:footnoteReference w:id="1"/>
      </w:r>
    </w:p>
    <w:p w14:paraId="765581B7" w14:textId="66D2CEB4" w:rsidR="009B203E" w:rsidRDefault="00634857" w:rsidP="00503142">
      <w:pPr>
        <w:pStyle w:val="ListParagraph"/>
        <w:numPr>
          <w:ilvl w:val="0"/>
          <w:numId w:val="4"/>
        </w:numPr>
      </w:pPr>
      <w:r>
        <w:t>D</w:t>
      </w:r>
      <w:r w:rsidR="000B2469">
        <w:t xml:space="preserve">r. </w:t>
      </w:r>
      <w:proofErr w:type="spellStart"/>
      <w:r w:rsidR="000B2469">
        <w:t>Thakuria</w:t>
      </w:r>
      <w:proofErr w:type="spellEnd"/>
      <w:r w:rsidR="00503142">
        <w:t xml:space="preserve"> is a faculty member at </w:t>
      </w:r>
      <w:r w:rsidR="004108E4">
        <w:t>Massachuset</w:t>
      </w:r>
      <w:r>
        <w:t>ts General Hospital</w:t>
      </w:r>
      <w:r w:rsidR="00503142">
        <w:t xml:space="preserve"> (“MGH”).  Prior to 2014, he held a clinical position as Assistant in Pediatrics at MGH, in the </w:t>
      </w:r>
      <w:r w:rsidR="000B2469">
        <w:t xml:space="preserve">division of medical genetics.  </w:t>
      </w:r>
      <w:r w:rsidR="009B203E">
        <w:t>(Tr. vol. II p. 83, 142</w:t>
      </w:r>
      <w:r w:rsidR="00683933">
        <w:t>; Pet.’s Ex. 27.)</w:t>
      </w:r>
    </w:p>
    <w:p w14:paraId="193CE6E4" w14:textId="77777777" w:rsidR="00084E74" w:rsidRDefault="0019727C" w:rsidP="008A59EE">
      <w:pPr>
        <w:pStyle w:val="ListParagraph"/>
        <w:numPr>
          <w:ilvl w:val="0"/>
          <w:numId w:val="4"/>
        </w:numPr>
      </w:pPr>
      <w:r>
        <w:t>In early 2011,</w:t>
      </w:r>
      <w:r w:rsidR="00E075E1">
        <w:t xml:space="preserve"> </w:t>
      </w:r>
      <w:r>
        <w:t>Dr. David Sweet</w:t>
      </w:r>
      <w:r w:rsidR="00786C7F">
        <w:t>ser</w:t>
      </w:r>
      <w:r w:rsidR="006B4D43">
        <w:t xml:space="preserve"> took over as </w:t>
      </w:r>
      <w:r w:rsidR="00E63B9A">
        <w:t>chief of the division of medical genetics and metabolism at M</w:t>
      </w:r>
      <w:r w:rsidR="000A25D5">
        <w:t>G</w:t>
      </w:r>
      <w:r w:rsidR="00E63B9A">
        <w:t>H</w:t>
      </w:r>
      <w:r w:rsidR="000A25D5">
        <w:t>, thereby</w:t>
      </w:r>
      <w:r w:rsidR="004C6BD5">
        <w:t xml:space="preserve"> becoming </w:t>
      </w:r>
      <w:r w:rsidR="001431DA">
        <w:t xml:space="preserve">the </w:t>
      </w:r>
      <w:r w:rsidR="004C6BD5">
        <w:t xml:space="preserve">supervisor </w:t>
      </w:r>
      <w:r w:rsidR="001431DA">
        <w:t xml:space="preserve">for </w:t>
      </w:r>
      <w:r w:rsidR="004C6BD5">
        <w:t xml:space="preserve">Dr. </w:t>
      </w:r>
      <w:proofErr w:type="spellStart"/>
      <w:r w:rsidR="004C6BD5">
        <w:t>Thakuria</w:t>
      </w:r>
      <w:proofErr w:type="spellEnd"/>
      <w:r w:rsidR="004C6BD5">
        <w:t xml:space="preserve"> and the other physicians in that division.  </w:t>
      </w:r>
      <w:r w:rsidR="000A25D5">
        <w:t xml:space="preserve">As chief, Dr. Sweetser </w:t>
      </w:r>
      <w:r w:rsidR="004C6BD5">
        <w:t xml:space="preserve">oversaw the </w:t>
      </w:r>
      <w:r w:rsidR="00793099">
        <w:t xml:space="preserve">entire </w:t>
      </w:r>
      <w:r w:rsidR="004C6BD5">
        <w:t xml:space="preserve">operations of the </w:t>
      </w:r>
      <w:r w:rsidR="004C6BD5">
        <w:lastRenderedPageBreak/>
        <w:t>division, in</w:t>
      </w:r>
      <w:r w:rsidR="00793099">
        <w:t>cluding</w:t>
      </w:r>
      <w:r w:rsidR="00664C0A">
        <w:t xml:space="preserve"> the </w:t>
      </w:r>
      <w:r w:rsidR="00793099">
        <w:t xml:space="preserve">responsibility for maintaining regulatory compliance with respect to both clinical and research activities, overseeing patient scheduling and clinical care, ensuring that physician credentials </w:t>
      </w:r>
      <w:r w:rsidR="00B3436B">
        <w:t>we</w:t>
      </w:r>
      <w:r w:rsidR="00793099">
        <w:t>re up-to-date, confirming</w:t>
      </w:r>
      <w:r w:rsidR="00664C0A">
        <w:t xml:space="preserve"> that requirements have been met for timely preparation and maintenance of medical records and billing for services,</w:t>
      </w:r>
      <w:r w:rsidR="008A59EE">
        <w:t xml:space="preserve"> and determining whether to grant approval for the physicians’ proposed research activities.  (Tr. vol. II p. 82-86.) </w:t>
      </w:r>
    </w:p>
    <w:p w14:paraId="3E4E3A44" w14:textId="2EADD794" w:rsidR="008A59EE" w:rsidRPr="00084E74" w:rsidRDefault="008A59EE" w:rsidP="00084E74">
      <w:pPr>
        <w:pStyle w:val="ListParagraph"/>
        <w:rPr>
          <w:i/>
          <w:iCs/>
        </w:rPr>
      </w:pPr>
      <w:r>
        <w:t xml:space="preserve"> </w:t>
      </w:r>
      <w:r w:rsidR="00084E74" w:rsidRPr="00422F1F">
        <w:rPr>
          <w:i/>
          <w:iCs/>
        </w:rPr>
        <w:t xml:space="preserve">Clinical documentation  </w:t>
      </w:r>
    </w:p>
    <w:p w14:paraId="204E3160" w14:textId="01AEE02D" w:rsidR="00BD5BB2" w:rsidRDefault="00C754EF" w:rsidP="008A59EE">
      <w:pPr>
        <w:pStyle w:val="ListParagraph"/>
        <w:numPr>
          <w:ilvl w:val="0"/>
          <w:numId w:val="4"/>
        </w:numPr>
      </w:pPr>
      <w:r>
        <w:t xml:space="preserve">During </w:t>
      </w:r>
      <w:r w:rsidR="00BE3594">
        <w:t>his onboarding</w:t>
      </w:r>
      <w:r>
        <w:t>, Dr. Sweetser had a series of meetings with</w:t>
      </w:r>
      <w:r w:rsidR="00EC4D8D">
        <w:t xml:space="preserve"> the outgoing chief of medical genetics, Dr. Lewis Holmes, during which he was informed of “chronic deficiencies” </w:t>
      </w:r>
      <w:r w:rsidR="001431DA">
        <w:t xml:space="preserve">in </w:t>
      </w:r>
      <w:r w:rsidR="00EC4D8D">
        <w:t xml:space="preserve">Dr. </w:t>
      </w:r>
      <w:proofErr w:type="spellStart"/>
      <w:r w:rsidR="00EC4D8D">
        <w:t>Thakuria</w:t>
      </w:r>
      <w:r w:rsidR="001431DA">
        <w:t>’s</w:t>
      </w:r>
      <w:proofErr w:type="spellEnd"/>
      <w:r w:rsidR="00EC4D8D">
        <w:t xml:space="preserve"> clinical documentation.  </w:t>
      </w:r>
      <w:r w:rsidR="000114E8">
        <w:t xml:space="preserve">In particular, </w:t>
      </w:r>
      <w:r w:rsidR="00A74C7A">
        <w:t xml:space="preserve"> </w:t>
      </w:r>
      <w:r w:rsidR="000114E8">
        <w:t>Dr</w:t>
      </w:r>
      <w:r w:rsidR="00A74C7A">
        <w:t>.</w:t>
      </w:r>
      <w:r w:rsidR="000114E8">
        <w:t xml:space="preserve"> </w:t>
      </w:r>
      <w:proofErr w:type="spellStart"/>
      <w:r w:rsidR="000114E8">
        <w:t>Thakuria</w:t>
      </w:r>
      <w:proofErr w:type="spellEnd"/>
      <w:r w:rsidR="000114E8">
        <w:t xml:space="preserve"> had been delinquent in dictating </w:t>
      </w:r>
      <w:r w:rsidR="003A19DE">
        <w:t xml:space="preserve">clinical notes </w:t>
      </w:r>
      <w:r w:rsidR="000114E8">
        <w:t xml:space="preserve">for the patients he had evaluated.  </w:t>
      </w:r>
      <w:r w:rsidR="00E071EE">
        <w:t xml:space="preserve">Dr. Sweetser participated in </w:t>
      </w:r>
      <w:r w:rsidR="001431DA">
        <w:t xml:space="preserve">a meeting that Dr. Holmes had </w:t>
      </w:r>
      <w:r w:rsidR="00E071EE">
        <w:t xml:space="preserve">scheduled with Dr. </w:t>
      </w:r>
      <w:proofErr w:type="spellStart"/>
      <w:r w:rsidR="00E071EE">
        <w:t>Thakuria</w:t>
      </w:r>
      <w:proofErr w:type="spellEnd"/>
      <w:r w:rsidR="00E071EE">
        <w:t xml:space="preserve"> to discuss the deficiencies in his </w:t>
      </w:r>
      <w:r w:rsidR="001431DA">
        <w:t xml:space="preserve">clinical </w:t>
      </w:r>
      <w:r w:rsidR="00E071EE">
        <w:t xml:space="preserve">documentation and </w:t>
      </w:r>
      <w:r w:rsidR="001431DA">
        <w:t xml:space="preserve">to </w:t>
      </w:r>
      <w:r w:rsidR="00E071EE">
        <w:t xml:space="preserve">develop plans </w:t>
      </w:r>
      <w:r w:rsidR="00665E96">
        <w:t>to</w:t>
      </w:r>
      <w:r w:rsidR="00E071EE">
        <w:t xml:space="preserve"> rectify</w:t>
      </w:r>
      <w:r w:rsidR="00665E96">
        <w:t xml:space="preserve"> </w:t>
      </w:r>
      <w:r w:rsidR="00E071EE">
        <w:t xml:space="preserve">them.  </w:t>
      </w:r>
      <w:r w:rsidR="000114E8">
        <w:t>(Tr. vol. II p. 83-8</w:t>
      </w:r>
      <w:r w:rsidR="00E071EE">
        <w:t>6</w:t>
      </w:r>
      <w:r w:rsidR="000114E8">
        <w:t>.)</w:t>
      </w:r>
    </w:p>
    <w:p w14:paraId="4948963D" w14:textId="4B734531" w:rsidR="008E25EB" w:rsidRDefault="008E25EB" w:rsidP="008A59EE">
      <w:pPr>
        <w:pStyle w:val="ListParagraph"/>
        <w:numPr>
          <w:ilvl w:val="0"/>
          <w:numId w:val="4"/>
        </w:numPr>
      </w:pPr>
      <w:r>
        <w:t>The hospital required physicians</w:t>
      </w:r>
      <w:r w:rsidR="004A15B0">
        <w:t xml:space="preserve"> to complete</w:t>
      </w:r>
      <w:r w:rsidR="00CB699F">
        <w:t xml:space="preserve"> </w:t>
      </w:r>
      <w:r w:rsidR="00207933">
        <w:t>inpatient service notes within 24 hours and</w:t>
      </w:r>
      <w:r w:rsidR="006466CC">
        <w:t xml:space="preserve"> to complete</w:t>
      </w:r>
      <w:r w:rsidR="00207933">
        <w:t xml:space="preserve"> notes from seeing patients in the clinics within eight days.  (Tr. vol. II p. 85.)  </w:t>
      </w:r>
    </w:p>
    <w:p w14:paraId="28C03310" w14:textId="7C1A86B1" w:rsidR="00207933" w:rsidRDefault="00894291" w:rsidP="008A59EE">
      <w:pPr>
        <w:pStyle w:val="ListParagraph"/>
        <w:numPr>
          <w:ilvl w:val="0"/>
          <w:numId w:val="4"/>
        </w:numPr>
      </w:pPr>
      <w:r>
        <w:t xml:space="preserve">When Dr. Sweetser took over as chief, he identified 64 patients that Dr. </w:t>
      </w:r>
      <w:proofErr w:type="spellStart"/>
      <w:r>
        <w:t>Thakuria</w:t>
      </w:r>
      <w:proofErr w:type="spellEnd"/>
      <w:r>
        <w:t xml:space="preserve"> had seen previously</w:t>
      </w:r>
      <w:r w:rsidR="005D33A3">
        <w:t xml:space="preserve"> </w:t>
      </w:r>
      <w:r>
        <w:t xml:space="preserve">but had yet to </w:t>
      </w:r>
      <w:r w:rsidR="00A56549">
        <w:t xml:space="preserve">complete clinical notes </w:t>
      </w:r>
      <w:r w:rsidR="006466CC">
        <w:t xml:space="preserve">or submit bills for those appointments.  </w:t>
      </w:r>
      <w:r w:rsidR="00A56549">
        <w:t>(Tr. vol. II p. 87-88.)</w:t>
      </w:r>
    </w:p>
    <w:p w14:paraId="6C9D754E" w14:textId="0192C53E" w:rsidR="0074676D" w:rsidRDefault="0074676D" w:rsidP="008A59EE">
      <w:pPr>
        <w:pStyle w:val="ListParagraph"/>
        <w:numPr>
          <w:ilvl w:val="0"/>
          <w:numId w:val="4"/>
        </w:numPr>
      </w:pPr>
      <w:r>
        <w:t>On several occasions,</w:t>
      </w:r>
      <w:r w:rsidR="00310395">
        <w:t xml:space="preserve"> </w:t>
      </w:r>
      <w:r w:rsidR="0008319E">
        <w:t>the hospital was contacted by patients and referring physician</w:t>
      </w:r>
      <w:r w:rsidR="006466CC">
        <w:t xml:space="preserve">s who were seeking the records from visits with Dr. </w:t>
      </w:r>
      <w:proofErr w:type="spellStart"/>
      <w:r w:rsidR="006466CC">
        <w:t>Thakuria</w:t>
      </w:r>
      <w:proofErr w:type="spellEnd"/>
      <w:r w:rsidR="00EC62CF">
        <w:t xml:space="preserve">, but the records were not available due to </w:t>
      </w:r>
      <w:r w:rsidR="00F6051E">
        <w:t xml:space="preserve">his failure to complete them in a timely manner.  </w:t>
      </w:r>
      <w:r>
        <w:t xml:space="preserve">The hospital also lost revenue </w:t>
      </w:r>
      <w:r w:rsidR="00710D9A">
        <w:lastRenderedPageBreak/>
        <w:t>because of</w:t>
      </w:r>
      <w:r>
        <w:t xml:space="preserve"> delays in Dr. </w:t>
      </w:r>
      <w:proofErr w:type="spellStart"/>
      <w:r>
        <w:t>Thakuria’s</w:t>
      </w:r>
      <w:proofErr w:type="spellEnd"/>
      <w:r>
        <w:t xml:space="preserve"> clinical documentation, </w:t>
      </w:r>
      <w:r w:rsidR="00B95339">
        <w:t xml:space="preserve">because it was unable to </w:t>
      </w:r>
      <w:r>
        <w:t xml:space="preserve">bill for </w:t>
      </w:r>
      <w:r w:rsidR="00B95339">
        <w:t xml:space="preserve">those </w:t>
      </w:r>
      <w:r>
        <w:t>services or collect payment on untimely bills.  (Tr. vol. II p. 85-86, 90</w:t>
      </w:r>
      <w:r w:rsidR="00B60F9E">
        <w:t>, 121</w:t>
      </w:r>
      <w:r>
        <w:t xml:space="preserve">.)  </w:t>
      </w:r>
    </w:p>
    <w:p w14:paraId="700A9D33" w14:textId="77E8DCAD" w:rsidR="00554805" w:rsidRDefault="00E071EE" w:rsidP="00CB5223">
      <w:pPr>
        <w:pStyle w:val="ListParagraph"/>
        <w:numPr>
          <w:ilvl w:val="0"/>
          <w:numId w:val="4"/>
        </w:numPr>
      </w:pPr>
      <w:r>
        <w:t xml:space="preserve">Dr. Sweetser and Dr. Holmes co-authored a memorandum of understanding and plan of action issued to Dr. </w:t>
      </w:r>
      <w:proofErr w:type="spellStart"/>
      <w:r>
        <w:t>Thakuria</w:t>
      </w:r>
      <w:proofErr w:type="spellEnd"/>
      <w:r>
        <w:t xml:space="preserve"> on January 14, 2011</w:t>
      </w:r>
      <w:r w:rsidR="0074676D">
        <w:t>.</w:t>
      </w:r>
      <w:r w:rsidR="003D4396">
        <w:t xml:space="preserve">  </w:t>
      </w:r>
      <w:r w:rsidR="00A32B91">
        <w:t xml:space="preserve">The memo outlined the deficiencies at that time, and set forth a plan of action and a timeframe for completion, in order for Dr. </w:t>
      </w:r>
      <w:proofErr w:type="spellStart"/>
      <w:r w:rsidR="00A32B91">
        <w:t>Thakuria</w:t>
      </w:r>
      <w:proofErr w:type="spellEnd"/>
      <w:r w:rsidR="00A32B91">
        <w:t xml:space="preserve"> to bring his clinical documentation up to date. </w:t>
      </w:r>
      <w:r w:rsidR="00CB5223">
        <w:t xml:space="preserve">For perspective, they noted that </w:t>
      </w:r>
      <w:r w:rsidR="00A32B91">
        <w:t>there were</w:t>
      </w:r>
      <w:r w:rsidR="00CB5223">
        <w:t xml:space="preserve"> 64 patients for whom Dr. </w:t>
      </w:r>
      <w:proofErr w:type="spellStart"/>
      <w:r w:rsidR="00CB5223">
        <w:t>Thakuria</w:t>
      </w:r>
      <w:proofErr w:type="spellEnd"/>
      <w:r w:rsidR="00CB5223">
        <w:t xml:space="preserve"> needed to dictate letters </w:t>
      </w:r>
      <w:r w:rsidR="00A32B91">
        <w:t xml:space="preserve">based on his </w:t>
      </w:r>
      <w:r w:rsidR="00CB5223">
        <w:t xml:space="preserve">clinical evaluations over the past year.  </w:t>
      </w:r>
      <w:r w:rsidR="003D4396">
        <w:t xml:space="preserve">(Tr. vol. II p. 87-88; Pet.’s Ex. 26.)  </w:t>
      </w:r>
    </w:p>
    <w:p w14:paraId="6A5A2C2D" w14:textId="709CFB91" w:rsidR="00C06A85" w:rsidRDefault="00A67444" w:rsidP="0019727C">
      <w:pPr>
        <w:pStyle w:val="ListParagraph"/>
        <w:numPr>
          <w:ilvl w:val="0"/>
          <w:numId w:val="4"/>
        </w:numPr>
      </w:pPr>
      <w:r>
        <w:t xml:space="preserve">Dr. </w:t>
      </w:r>
      <w:proofErr w:type="spellStart"/>
      <w:r>
        <w:t>Thakuria</w:t>
      </w:r>
      <w:proofErr w:type="spellEnd"/>
      <w:r w:rsidR="009F0354">
        <w:t xml:space="preserve"> remedied the deficiencies </w:t>
      </w:r>
      <w:r w:rsidR="003D4396">
        <w:t xml:space="preserve">in accordance with the memorandum, </w:t>
      </w:r>
      <w:r w:rsidR="00755701">
        <w:t xml:space="preserve">but then continued to fall delinquent </w:t>
      </w:r>
      <w:r w:rsidR="003D4396">
        <w:t xml:space="preserve">in his documentation </w:t>
      </w:r>
      <w:r w:rsidR="00755701">
        <w:t xml:space="preserve">on a number of occasions over the course </w:t>
      </w:r>
      <w:r w:rsidR="00904BCE">
        <w:t>of the next two years</w:t>
      </w:r>
      <w:r w:rsidR="00755701">
        <w:t xml:space="preserve">.  </w:t>
      </w:r>
      <w:r w:rsidR="00C06A85">
        <w:t xml:space="preserve">(Tr. vol. II p. 86-87.)  </w:t>
      </w:r>
    </w:p>
    <w:p w14:paraId="1314625E" w14:textId="6640A238" w:rsidR="001D1648" w:rsidRDefault="0063588D" w:rsidP="0019727C">
      <w:pPr>
        <w:pStyle w:val="ListParagraph"/>
        <w:numPr>
          <w:ilvl w:val="0"/>
          <w:numId w:val="4"/>
        </w:numPr>
      </w:pPr>
      <w:r>
        <w:t>Due to the</w:t>
      </w:r>
      <w:r w:rsidR="00554805">
        <w:t xml:space="preserve">se ongoing </w:t>
      </w:r>
      <w:r>
        <w:t>deficiencies</w:t>
      </w:r>
      <w:r w:rsidR="00554805">
        <w:t xml:space="preserve"> in his </w:t>
      </w:r>
      <w:r w:rsidR="00F6051E">
        <w:t xml:space="preserve">clinical </w:t>
      </w:r>
      <w:r w:rsidR="00554805">
        <w:t>documentation</w:t>
      </w:r>
      <w:r>
        <w:t>,</w:t>
      </w:r>
      <w:r w:rsidR="00554805">
        <w:t xml:space="preserve"> </w:t>
      </w:r>
      <w:r w:rsidR="001C5F95">
        <w:t xml:space="preserve">Dr. Sweetser notified Dr. </w:t>
      </w:r>
      <w:proofErr w:type="spellStart"/>
      <w:r w:rsidR="001C5F95">
        <w:t>Thakuria</w:t>
      </w:r>
      <w:proofErr w:type="spellEnd"/>
      <w:r w:rsidR="001C5F95">
        <w:t xml:space="preserve"> </w:t>
      </w:r>
      <w:r w:rsidR="00A32B91">
        <w:t xml:space="preserve">by letter on January 6, 2013, that he was “officially being placed on probation due to longstanding unsatisfactory documentation of [his] clinic and inpatient consultations as well as [his] billing for services.”  </w:t>
      </w:r>
      <w:r w:rsidR="00193ABC">
        <w:t>Dr. Sweetser indicated that MGH would give him “one last chance to come into compliance,</w:t>
      </w:r>
      <w:r w:rsidR="00A60C26">
        <w:t>” and would</w:t>
      </w:r>
      <w:r w:rsidR="00DA4AC6">
        <w:t xml:space="preserve"> thus </w:t>
      </w:r>
      <w:r w:rsidR="00A60C26">
        <w:t xml:space="preserve">extend his employment </w:t>
      </w:r>
      <w:r w:rsidR="00DA4AC6">
        <w:t xml:space="preserve">at the hospital </w:t>
      </w:r>
      <w:r w:rsidR="00A60C26">
        <w:t>through the en</w:t>
      </w:r>
      <w:r w:rsidR="00DA4AC6">
        <w:t>d of the month, but at a reduced rate of salar</w:t>
      </w:r>
      <w:r w:rsidR="0000466D">
        <w:t>y</w:t>
      </w:r>
      <w:r w:rsidR="00F6051E">
        <w:t xml:space="preserve">.  The letter stressed that this was his </w:t>
      </w:r>
      <w:r w:rsidR="0000466D">
        <w:t>final chance to achieve “absolute compliance” with the requirements</w:t>
      </w:r>
      <w:r w:rsidR="00865555">
        <w:t xml:space="preserve"> and deadlines specified in the letter.  If Dr. </w:t>
      </w:r>
      <w:proofErr w:type="spellStart"/>
      <w:r w:rsidR="00865555">
        <w:t>Thakuria</w:t>
      </w:r>
      <w:proofErr w:type="spellEnd"/>
      <w:r w:rsidR="00865555">
        <w:t xml:space="preserve"> was able to achieve full compliance</w:t>
      </w:r>
      <w:r w:rsidR="00DA6571">
        <w:t>, Dr. Sweetser agreed only to “consider extending” the agreement for further employment, and that MGH “may consider reinstating” his salary</w:t>
      </w:r>
      <w:r w:rsidR="00E2540C">
        <w:t xml:space="preserve"> at</w:t>
      </w:r>
      <w:r w:rsidR="00DA6571">
        <w:t xml:space="preserve"> its prior rate</w:t>
      </w:r>
      <w:r w:rsidR="00DA4AC6">
        <w:t xml:space="preserve">.  </w:t>
      </w:r>
      <w:r w:rsidR="001D1648">
        <w:t>(Tr. vol. II p. 89-91, 99; Pet.’s Ex. 2.)</w:t>
      </w:r>
      <w:r w:rsidR="001C5F95">
        <w:t xml:space="preserve"> </w:t>
      </w:r>
    </w:p>
    <w:p w14:paraId="7D43DB21" w14:textId="77777777" w:rsidR="00377D91" w:rsidRDefault="008A661E" w:rsidP="0019727C">
      <w:pPr>
        <w:pStyle w:val="ListParagraph"/>
        <w:numPr>
          <w:ilvl w:val="0"/>
          <w:numId w:val="4"/>
        </w:numPr>
      </w:pPr>
      <w:r>
        <w:lastRenderedPageBreak/>
        <w:t xml:space="preserve">Dr. </w:t>
      </w:r>
      <w:proofErr w:type="spellStart"/>
      <w:r>
        <w:t>Thakaria</w:t>
      </w:r>
      <w:proofErr w:type="spellEnd"/>
      <w:r>
        <w:t xml:space="preserve"> brought his documentation back into compliance </w:t>
      </w:r>
      <w:r w:rsidR="00DA6571">
        <w:t xml:space="preserve">before the end of the month, and MGH </w:t>
      </w:r>
      <w:r w:rsidR="00226930">
        <w:t>therefore reinstated his prior salary and continued his employment</w:t>
      </w:r>
      <w:r>
        <w:t xml:space="preserve">.  </w:t>
      </w:r>
      <w:r w:rsidR="001D1648">
        <w:t>(Tr. vol. II p. 91.)</w:t>
      </w:r>
    </w:p>
    <w:p w14:paraId="48298130" w14:textId="41DE1E66" w:rsidR="0019727C" w:rsidRPr="00377D91" w:rsidRDefault="00377D91" w:rsidP="00377D91">
      <w:pPr>
        <w:pStyle w:val="ListParagraph"/>
        <w:rPr>
          <w:i/>
          <w:iCs/>
        </w:rPr>
      </w:pPr>
      <w:r w:rsidRPr="00377D91">
        <w:rPr>
          <w:i/>
          <w:iCs/>
        </w:rPr>
        <w:t>Research Project Initiative</w:t>
      </w:r>
      <w:r w:rsidR="001D1648" w:rsidRPr="00377D91">
        <w:rPr>
          <w:i/>
          <w:iCs/>
        </w:rPr>
        <w:t xml:space="preserve">  </w:t>
      </w:r>
      <w:r w:rsidR="0019727C" w:rsidRPr="00377D91">
        <w:rPr>
          <w:i/>
          <w:iCs/>
        </w:rPr>
        <w:t xml:space="preserve">  </w:t>
      </w:r>
    </w:p>
    <w:p w14:paraId="1A612450" w14:textId="2A532042" w:rsidR="00E20F78" w:rsidRDefault="001C52E6" w:rsidP="00E20F78">
      <w:pPr>
        <w:pStyle w:val="ListParagraph"/>
        <w:numPr>
          <w:ilvl w:val="0"/>
          <w:numId w:val="4"/>
        </w:numPr>
      </w:pPr>
      <w:r>
        <w:t xml:space="preserve">The </w:t>
      </w:r>
      <w:r w:rsidR="00E34D85">
        <w:t>P</w:t>
      </w:r>
      <w:r w:rsidR="00E20F78">
        <w:t xml:space="preserve">artners </w:t>
      </w:r>
      <w:r>
        <w:t xml:space="preserve">Institutional Review Board (Partners </w:t>
      </w:r>
      <w:r w:rsidR="00E20F78">
        <w:t>IRB</w:t>
      </w:r>
      <w:r>
        <w:t>)</w:t>
      </w:r>
      <w:r w:rsidR="00E20F78">
        <w:t xml:space="preserve"> oversees research projects involving human subjects at </w:t>
      </w:r>
      <w:r w:rsidR="003831F7">
        <w:t>MGH</w:t>
      </w:r>
      <w:r w:rsidR="00E20F78">
        <w:t xml:space="preserve"> and affiliated facilities, including through review the prospective project’s protocol</w:t>
      </w:r>
      <w:r w:rsidR="00D807C2">
        <w:t>. I</w:t>
      </w:r>
      <w:r w:rsidR="00E20F78">
        <w:t>ts approval is required before the research may begin.  (Tr. vol. I p. 49 &amp; vol. II p. 103.)</w:t>
      </w:r>
    </w:p>
    <w:p w14:paraId="1BBAD58D" w14:textId="309C6C60" w:rsidR="00E20F78" w:rsidRDefault="003229B4" w:rsidP="00152A9C">
      <w:pPr>
        <w:pStyle w:val="ListParagraph"/>
        <w:numPr>
          <w:ilvl w:val="0"/>
          <w:numId w:val="4"/>
        </w:numPr>
      </w:pPr>
      <w:r>
        <w:t xml:space="preserve">On February 13, 2013, </w:t>
      </w:r>
      <w:r w:rsidR="00E20F78">
        <w:t xml:space="preserve">Dr. </w:t>
      </w:r>
      <w:proofErr w:type="spellStart"/>
      <w:r w:rsidR="00E20F78">
        <w:t>Thakaria</w:t>
      </w:r>
      <w:proofErr w:type="spellEnd"/>
      <w:r w:rsidR="00E20F78">
        <w:t xml:space="preserve"> </w:t>
      </w:r>
      <w:r w:rsidR="00C53147">
        <w:t xml:space="preserve">contacted </w:t>
      </w:r>
      <w:r w:rsidR="00E34D85">
        <w:t xml:space="preserve">the </w:t>
      </w:r>
      <w:r w:rsidR="00E20F78">
        <w:t>Director of Human Research Affairs</w:t>
      </w:r>
      <w:r w:rsidR="00E34D85">
        <w:t xml:space="preserve"> at Partners IRB</w:t>
      </w:r>
      <w:r w:rsidR="00E20F78">
        <w:t xml:space="preserve">, Pearl O’Rourke, M.D., </w:t>
      </w:r>
      <w:r w:rsidR="00E34D85">
        <w:t xml:space="preserve">regarding a research protocol he was working on for </w:t>
      </w:r>
      <w:r w:rsidR="000B244F">
        <w:t xml:space="preserve">a proposal to conduct a new clinical genomics study </w:t>
      </w:r>
      <w:r w:rsidR="00E34D85">
        <w:t>he planned to submit for ap</w:t>
      </w:r>
      <w:r w:rsidR="00C53147">
        <w:t>proval</w:t>
      </w:r>
      <w:r w:rsidR="00E34D85">
        <w:t xml:space="preserve">.  Dr. </w:t>
      </w:r>
      <w:proofErr w:type="spellStart"/>
      <w:r w:rsidR="00E34D85">
        <w:t>Thakuria</w:t>
      </w:r>
      <w:proofErr w:type="spellEnd"/>
      <w:r w:rsidR="00E34D85">
        <w:t xml:space="preserve"> </w:t>
      </w:r>
      <w:r w:rsidR="00DD734F">
        <w:t xml:space="preserve">asked </w:t>
      </w:r>
      <w:r w:rsidR="00E34D85">
        <w:t xml:space="preserve">her </w:t>
      </w:r>
      <w:r w:rsidR="00DD734F">
        <w:t xml:space="preserve">whether </w:t>
      </w:r>
      <w:r w:rsidR="00020A56">
        <w:t>she could provide an estimat</w:t>
      </w:r>
      <w:r w:rsidR="000B244F">
        <w:t>e</w:t>
      </w:r>
      <w:r w:rsidR="00020A56">
        <w:t xml:space="preserve"> of the expected turnaround time from submission of the protocol </w:t>
      </w:r>
      <w:r w:rsidR="000B244F">
        <w:t xml:space="preserve">to Partners IRB to the time </w:t>
      </w:r>
      <w:r w:rsidR="00DD734F">
        <w:t xml:space="preserve">for </w:t>
      </w:r>
      <w:r w:rsidR="000B244F">
        <w:t xml:space="preserve">prospective approval of the project.  </w:t>
      </w:r>
      <w:r w:rsidR="00CC105B">
        <w:t xml:space="preserve">Dr. O’Rourke responded that </w:t>
      </w:r>
      <w:r w:rsidR="00B56AE9">
        <w:t xml:space="preserve">Dr. </w:t>
      </w:r>
      <w:proofErr w:type="spellStart"/>
      <w:r w:rsidR="00B56AE9">
        <w:t>Thakuria</w:t>
      </w:r>
      <w:proofErr w:type="spellEnd"/>
      <w:r w:rsidR="00CC105B">
        <w:t xml:space="preserve"> would need to describe what</w:t>
      </w:r>
      <w:r w:rsidR="00073E32">
        <w:t xml:space="preserve"> the proposed research entail</w:t>
      </w:r>
      <w:r w:rsidR="00DD734F">
        <w:t>s</w:t>
      </w:r>
      <w:r w:rsidR="00073E32">
        <w:t xml:space="preserve"> before she would be able to</w:t>
      </w:r>
      <w:r w:rsidR="001F01F3">
        <w:t xml:space="preserve"> determine whether it would be subject to full board review or expedited review, which would affect the time</w:t>
      </w:r>
      <w:r w:rsidR="00DD734F">
        <w:t xml:space="preserve">frame for </w:t>
      </w:r>
      <w:r w:rsidR="001F01F3">
        <w:t xml:space="preserve">potential IRB approval.  </w:t>
      </w:r>
      <w:r w:rsidR="00E20F78">
        <w:t>(</w:t>
      </w:r>
      <w:r w:rsidR="000B244F">
        <w:t xml:space="preserve">Tr. vol. II p. 142-143; </w:t>
      </w:r>
      <w:r w:rsidR="00E20F78">
        <w:t xml:space="preserve">Resp.’s Ex. 1.)  </w:t>
      </w:r>
    </w:p>
    <w:p w14:paraId="6ED48856" w14:textId="0448D4DC" w:rsidR="00DD734F" w:rsidRDefault="00276431" w:rsidP="00DD734F">
      <w:pPr>
        <w:pStyle w:val="ListParagraph"/>
        <w:numPr>
          <w:ilvl w:val="0"/>
          <w:numId w:val="4"/>
        </w:numPr>
      </w:pPr>
      <w:r>
        <w:t xml:space="preserve">In late 2013, </w:t>
      </w:r>
      <w:r w:rsidR="00DD734F">
        <w:t xml:space="preserve">Dr. </w:t>
      </w:r>
      <w:proofErr w:type="spellStart"/>
      <w:r w:rsidR="00DD734F">
        <w:t>Thakuria</w:t>
      </w:r>
      <w:proofErr w:type="spellEnd"/>
      <w:r w:rsidR="00DD734F">
        <w:t xml:space="preserve"> </w:t>
      </w:r>
      <w:r>
        <w:t xml:space="preserve">approached </w:t>
      </w:r>
      <w:r w:rsidR="00DD734F">
        <w:t xml:space="preserve">Dr. Sweetser </w:t>
      </w:r>
      <w:r>
        <w:t xml:space="preserve">to discuss </w:t>
      </w:r>
      <w:r w:rsidR="00DD734F">
        <w:t xml:space="preserve">a potential research project he wished to pursue involving the collection of saliva samples from members of the Young Presidents’ Organization for genomic </w:t>
      </w:r>
      <w:r>
        <w:t>sequencing and i</w:t>
      </w:r>
      <w:r w:rsidR="00DD734F">
        <w:t xml:space="preserve">nquired whether the hospital’s existing research protocols would be sufficient for him to pursue the project.  Dr. Sweetser informed him that they were not, and told him that he would need to submit </w:t>
      </w:r>
      <w:r w:rsidR="00DD734F">
        <w:lastRenderedPageBreak/>
        <w:t xml:space="preserve">a research protocol </w:t>
      </w:r>
      <w:r>
        <w:t xml:space="preserve">to </w:t>
      </w:r>
      <w:r w:rsidR="00DD734F">
        <w:t xml:space="preserve">Partners </w:t>
      </w:r>
      <w:r w:rsidR="001C52E6">
        <w:t>I</w:t>
      </w:r>
      <w:r w:rsidR="00DD734F">
        <w:t>RB</w:t>
      </w:r>
      <w:r>
        <w:t xml:space="preserve"> for approval</w:t>
      </w:r>
      <w:r w:rsidR="00DD734F">
        <w:t xml:space="preserve">.  (Tr. vol. I p. 49-51 &amp; vol. II p. 102-104.)  </w:t>
      </w:r>
    </w:p>
    <w:p w14:paraId="2AA09DDA" w14:textId="27ACA0E7" w:rsidR="00DD734F" w:rsidRDefault="00276431" w:rsidP="00E20F78">
      <w:pPr>
        <w:pStyle w:val="ListParagraph"/>
        <w:numPr>
          <w:ilvl w:val="0"/>
          <w:numId w:val="4"/>
        </w:numPr>
      </w:pPr>
      <w:r>
        <w:t xml:space="preserve">On January 9, 2014, </w:t>
      </w:r>
      <w:r w:rsidR="00707A59">
        <w:t xml:space="preserve">Dr. </w:t>
      </w:r>
      <w:proofErr w:type="spellStart"/>
      <w:r w:rsidR="00707A59">
        <w:t>Thakurkia</w:t>
      </w:r>
      <w:proofErr w:type="spellEnd"/>
      <w:r w:rsidR="00707A59">
        <w:t xml:space="preserve"> sent an email to Dr. O’Rourke at Partners IRB, indicating that he had a “different and more time-sensitive project to discuss.”  He reported</w:t>
      </w:r>
      <w:r w:rsidR="00541E31">
        <w:t xml:space="preserve"> that a member of the Austin chapter of the Young Presidents’ Organization</w:t>
      </w:r>
      <w:r w:rsidR="001C52E6">
        <w:t xml:space="preserve"> (“YPO”)</w:t>
      </w:r>
      <w:r w:rsidR="00541E31">
        <w:t xml:space="preserve">, Kevin </w:t>
      </w:r>
      <w:proofErr w:type="spellStart"/>
      <w:r w:rsidR="00541E31">
        <w:t>Lalande</w:t>
      </w:r>
      <w:proofErr w:type="spellEnd"/>
      <w:r w:rsidR="00541E31">
        <w:t>, had approached him regarding the organization’s plan to collect saliva samples from member</w:t>
      </w:r>
      <w:r w:rsidR="006E3D86">
        <w:t>-volunteers during an upcoming chapter meeting</w:t>
      </w:r>
      <w:r w:rsidR="001C52E6">
        <w:t>,</w:t>
      </w:r>
      <w:r w:rsidR="006E3D86">
        <w:t xml:space="preserve"> for </w:t>
      </w:r>
      <w:r w:rsidR="00BA77A5">
        <w:t>e</w:t>
      </w:r>
      <w:r w:rsidR="006E3D86">
        <w:t>xome sequencing research through Ambry Genetics.</w:t>
      </w:r>
      <w:r w:rsidR="00680103">
        <w:t xml:space="preserve">  Dr. </w:t>
      </w:r>
      <w:proofErr w:type="spellStart"/>
      <w:r w:rsidR="00680103">
        <w:t>Thakuria</w:t>
      </w:r>
      <w:proofErr w:type="spellEnd"/>
      <w:r w:rsidR="00680103">
        <w:t xml:space="preserve"> </w:t>
      </w:r>
      <w:r w:rsidR="003C0D64">
        <w:t xml:space="preserve">further stated that he had </w:t>
      </w:r>
      <w:r w:rsidR="00680103">
        <w:t xml:space="preserve">proposed </w:t>
      </w:r>
      <w:r w:rsidR="003C0D64">
        <w:t xml:space="preserve">to Mr. </w:t>
      </w:r>
      <w:proofErr w:type="spellStart"/>
      <w:r w:rsidR="003C0D64">
        <w:t>Lalande</w:t>
      </w:r>
      <w:proofErr w:type="spellEnd"/>
      <w:r w:rsidR="003C0D64">
        <w:t xml:space="preserve"> </w:t>
      </w:r>
      <w:r w:rsidR="00680103">
        <w:t xml:space="preserve">that </w:t>
      </w:r>
      <w:r w:rsidR="003C0D64">
        <w:t>the YPO instead do this project through him and his colleagues u</w:t>
      </w:r>
      <w:r w:rsidR="00407CCF">
        <w:t>sing</w:t>
      </w:r>
      <w:r w:rsidR="003C0D64">
        <w:t xml:space="preserve"> an MGH protocol.  Dr. </w:t>
      </w:r>
      <w:proofErr w:type="spellStart"/>
      <w:r w:rsidR="003C0D64">
        <w:t>Thakuria</w:t>
      </w:r>
      <w:proofErr w:type="spellEnd"/>
      <w:r w:rsidR="003C0D64">
        <w:t xml:space="preserve"> inquired whether</w:t>
      </w:r>
      <w:r w:rsidR="00EC584E">
        <w:t xml:space="preserve"> he could </w:t>
      </w:r>
      <w:r w:rsidR="003C0D64">
        <w:t>pursue the project through the point of sample collection under an existing</w:t>
      </w:r>
      <w:r w:rsidR="00EC584E">
        <w:t xml:space="preserve"> IRB approved </w:t>
      </w:r>
      <w:r w:rsidR="003C0D64">
        <w:t>protocol</w:t>
      </w:r>
      <w:r w:rsidR="00EC584E">
        <w:t xml:space="preserve"> at MGH</w:t>
      </w:r>
      <w:r w:rsidR="001C52E6">
        <w:t>,</w:t>
      </w:r>
      <w:r w:rsidR="00EC584E">
        <w:t xml:space="preserve"> and </w:t>
      </w:r>
      <w:r w:rsidR="001C52E6">
        <w:t xml:space="preserve">then </w:t>
      </w:r>
      <w:r w:rsidR="00EC584E">
        <w:t xml:space="preserve">have the remainder of the work covered under a separate protocol that he would submit to Partners IRB for approval.  </w:t>
      </w:r>
      <w:r w:rsidR="00707A59">
        <w:t>(Resp.’s Ex. 1.</w:t>
      </w:r>
      <w:r w:rsidR="006E3D86">
        <w:t>)</w:t>
      </w:r>
    </w:p>
    <w:p w14:paraId="2E97A20F" w14:textId="178A8C4B" w:rsidR="004A0C2D" w:rsidRDefault="004A0C2D" w:rsidP="00E20F78">
      <w:pPr>
        <w:pStyle w:val="ListParagraph"/>
        <w:numPr>
          <w:ilvl w:val="0"/>
          <w:numId w:val="4"/>
        </w:numPr>
      </w:pPr>
      <w:r>
        <w:t xml:space="preserve">After discussing the project in some detail, Dr. O’Rourke advised Dr. </w:t>
      </w:r>
      <w:proofErr w:type="spellStart"/>
      <w:r>
        <w:t>Thakuria</w:t>
      </w:r>
      <w:proofErr w:type="spellEnd"/>
      <w:r>
        <w:t xml:space="preserve">, on January 10, 2014, that he would need to submit a new research protocol for the project to Partners IRB for approval.  (Resp.’s Ex. 1.) </w:t>
      </w:r>
    </w:p>
    <w:p w14:paraId="3934DE7B" w14:textId="4E98EF3B" w:rsidR="004A0C2D" w:rsidRDefault="004A0C2D" w:rsidP="00E20F78">
      <w:pPr>
        <w:pStyle w:val="ListParagraph"/>
        <w:numPr>
          <w:ilvl w:val="0"/>
          <w:numId w:val="4"/>
        </w:numPr>
      </w:pPr>
      <w:r>
        <w:t xml:space="preserve">On January 12, 2014, Dr. </w:t>
      </w:r>
      <w:proofErr w:type="spellStart"/>
      <w:r>
        <w:t>Thakuria</w:t>
      </w:r>
      <w:proofErr w:type="spellEnd"/>
      <w:r>
        <w:t xml:space="preserve"> proposed an alternative arrangement to Dr. O’Rourke, in which the first phase of the project, through sample collection, would be </w:t>
      </w:r>
      <w:r w:rsidR="000025C2">
        <w:t>done</w:t>
      </w:r>
      <w:r>
        <w:t xml:space="preserve"> through a biotech company he worked for, </w:t>
      </w:r>
      <w:proofErr w:type="spellStart"/>
      <w:r>
        <w:t>AbVitro</w:t>
      </w:r>
      <w:proofErr w:type="spellEnd"/>
      <w:r>
        <w:t xml:space="preserve">, </w:t>
      </w:r>
      <w:r w:rsidR="00DD6E81">
        <w:t xml:space="preserve">under a protocol approved by an external IRB, Liberty IRB.  Dr. </w:t>
      </w:r>
      <w:proofErr w:type="spellStart"/>
      <w:r w:rsidR="00DD6E81">
        <w:t>Thakuria</w:t>
      </w:r>
      <w:proofErr w:type="spellEnd"/>
      <w:r w:rsidR="00DD6E81">
        <w:t xml:space="preserve"> proposed having the remainder of the project covered under a separate protocol that he would submit to Partners IRB, or alternatively to Liberty IRB, for approval.  (Resp.’s Ex. 1.)</w:t>
      </w:r>
    </w:p>
    <w:p w14:paraId="5C1E7DAD" w14:textId="034C40E7" w:rsidR="00C95EDB" w:rsidRDefault="00C95EDB" w:rsidP="00E20F78">
      <w:pPr>
        <w:pStyle w:val="ListParagraph"/>
        <w:numPr>
          <w:ilvl w:val="0"/>
          <w:numId w:val="4"/>
        </w:numPr>
      </w:pPr>
      <w:r>
        <w:t xml:space="preserve">Dr. </w:t>
      </w:r>
      <w:proofErr w:type="spellStart"/>
      <w:r>
        <w:t>Thakuria</w:t>
      </w:r>
      <w:proofErr w:type="spellEnd"/>
      <w:r>
        <w:t xml:space="preserve"> was the chief medical officer at </w:t>
      </w:r>
      <w:proofErr w:type="spellStart"/>
      <w:r>
        <w:t>AbVitro</w:t>
      </w:r>
      <w:proofErr w:type="spellEnd"/>
      <w:r>
        <w:t>.  (Tr. vol. II p. 141-142.)</w:t>
      </w:r>
    </w:p>
    <w:p w14:paraId="06499BB4" w14:textId="3318B3AF" w:rsidR="00DD6E81" w:rsidRDefault="00DD6E81" w:rsidP="00DD6E81">
      <w:pPr>
        <w:pStyle w:val="ListParagraph"/>
        <w:numPr>
          <w:ilvl w:val="0"/>
          <w:numId w:val="4"/>
        </w:numPr>
      </w:pPr>
      <w:r>
        <w:lastRenderedPageBreak/>
        <w:t xml:space="preserve">Dr. O’Rourke responded, on January 12, that </w:t>
      </w:r>
      <w:r w:rsidR="001C52E6">
        <w:t xml:space="preserve">Dr. </w:t>
      </w:r>
      <w:proofErr w:type="spellStart"/>
      <w:r w:rsidR="001C52E6">
        <w:t>Thakuria</w:t>
      </w:r>
      <w:proofErr w:type="spellEnd"/>
      <w:r w:rsidR="001C52E6">
        <w:t xml:space="preserve"> would need </w:t>
      </w:r>
      <w:r>
        <w:t xml:space="preserve">to develop a single protocol that covered the entire project, and that the use of an external IRB would require a formal reliance agreement between MGH and the external IRB.  (Resp.’s Ex. 1.) </w:t>
      </w:r>
    </w:p>
    <w:p w14:paraId="699F3672" w14:textId="3C5F5B49" w:rsidR="00E20F78" w:rsidRDefault="00ED7EED" w:rsidP="00E20F78">
      <w:pPr>
        <w:pStyle w:val="ListParagraph"/>
        <w:numPr>
          <w:ilvl w:val="0"/>
          <w:numId w:val="4"/>
        </w:numPr>
      </w:pPr>
      <w:r>
        <w:t xml:space="preserve">Due to time constraints, </w:t>
      </w:r>
      <w:r w:rsidR="00E20F78">
        <w:t xml:space="preserve">Dr. </w:t>
      </w:r>
      <w:proofErr w:type="spellStart"/>
      <w:r w:rsidR="00E20F78">
        <w:t>Thakuria</w:t>
      </w:r>
      <w:proofErr w:type="spellEnd"/>
      <w:r w:rsidR="00E20F78">
        <w:t xml:space="preserve"> did not submit a protocol to </w:t>
      </w:r>
      <w:r w:rsidR="0023114F">
        <w:t>P</w:t>
      </w:r>
      <w:r w:rsidR="00E20F78">
        <w:t>artners IRB before commencing the salivary sampling project</w:t>
      </w:r>
      <w:r w:rsidR="0023114F">
        <w:t xml:space="preserve">.  He </w:t>
      </w:r>
      <w:r w:rsidR="00E20F78">
        <w:t xml:space="preserve">instead submitted it to </w:t>
      </w:r>
      <w:r>
        <w:t>Liberty IRB</w:t>
      </w:r>
      <w:r w:rsidR="0023114F">
        <w:t>, and Liberty IRB approved his protocol.  (</w:t>
      </w:r>
      <w:r w:rsidR="00E20F78">
        <w:t xml:space="preserve">Tr. vol. I p. 51-52.)  </w:t>
      </w:r>
    </w:p>
    <w:p w14:paraId="07469068" w14:textId="589521AF" w:rsidR="00112839" w:rsidRDefault="00112839" w:rsidP="00E20F78">
      <w:pPr>
        <w:pStyle w:val="ListParagraph"/>
        <w:numPr>
          <w:ilvl w:val="0"/>
          <w:numId w:val="4"/>
        </w:numPr>
      </w:pPr>
      <w:r>
        <w:t xml:space="preserve">On February 14, 2014, Dr. O’Rourke notified Dr. </w:t>
      </w:r>
      <w:proofErr w:type="spellStart"/>
      <w:r>
        <w:t>Thakuria</w:t>
      </w:r>
      <w:proofErr w:type="spellEnd"/>
      <w:r>
        <w:t xml:space="preserve"> that she was reporting the project as noncompliant to the physician chair of Partners IRB, Dr. Libby Hohmann, and requested him to cease any further activity on the study </w:t>
      </w:r>
      <w:r w:rsidR="0023114F">
        <w:t>that L</w:t>
      </w:r>
      <w:r>
        <w:t>iberty IR</w:t>
      </w:r>
      <w:r w:rsidR="0023114F">
        <w:t>B had approved</w:t>
      </w:r>
      <w:r>
        <w:t xml:space="preserve">.  (Resp.’s Ex. 1.)  </w:t>
      </w:r>
    </w:p>
    <w:p w14:paraId="6F4EE88D" w14:textId="4353B981" w:rsidR="000B215A" w:rsidRDefault="000B215A" w:rsidP="00E20F78">
      <w:pPr>
        <w:pStyle w:val="ListParagraph"/>
        <w:numPr>
          <w:ilvl w:val="0"/>
          <w:numId w:val="4"/>
        </w:numPr>
      </w:pPr>
      <w:r>
        <w:t xml:space="preserve">Dr. </w:t>
      </w:r>
      <w:proofErr w:type="spellStart"/>
      <w:r>
        <w:t>Thakuria</w:t>
      </w:r>
      <w:proofErr w:type="spellEnd"/>
      <w:r>
        <w:t xml:space="preserve"> terminated the project effective March 10, 2014</w:t>
      </w:r>
      <w:r w:rsidR="00F63E96">
        <w:t>.  (Tr. vol. I p. 54, 64-65; Pet.’s Ex. 1.)</w:t>
      </w:r>
    </w:p>
    <w:p w14:paraId="26468B94" w14:textId="18DC4690" w:rsidR="00F63E96" w:rsidRDefault="00F63E96" w:rsidP="00F63E96">
      <w:pPr>
        <w:pStyle w:val="ListParagraph"/>
        <w:numPr>
          <w:ilvl w:val="0"/>
          <w:numId w:val="4"/>
        </w:numPr>
      </w:pPr>
      <w:r>
        <w:t xml:space="preserve">An IRB panel at </w:t>
      </w:r>
      <w:r w:rsidR="003831F7">
        <w:t>MGH</w:t>
      </w:r>
      <w:r>
        <w:t xml:space="preserve"> investigated the matter and, during a meeting on March 11, 2014, concluded that Dr. </w:t>
      </w:r>
      <w:proofErr w:type="spellStart"/>
      <w:r>
        <w:t>Thakuria</w:t>
      </w:r>
      <w:proofErr w:type="spellEnd"/>
      <w:r>
        <w:t xml:space="preserve"> had violated institutional policy</w:t>
      </w:r>
      <w:r w:rsidR="00202220">
        <w:t xml:space="preserve"> by commencing the project without obtaining prospective approval of his protocol </w:t>
      </w:r>
      <w:r>
        <w:t>from Partners IRB</w:t>
      </w:r>
      <w:r w:rsidR="00202220">
        <w:t xml:space="preserve"> or a reliance agreement for approved use of an external IRB</w:t>
      </w:r>
      <w:r w:rsidR="0023114F">
        <w:t xml:space="preserve"> such as Liberty IRB</w:t>
      </w:r>
      <w:r>
        <w:t>.  (Tr. vol. I p. 52-53</w:t>
      </w:r>
      <w:r w:rsidR="00202220">
        <w:t>; Pet.’s Ex. 1</w:t>
      </w:r>
      <w:r>
        <w:t xml:space="preserve">.)  </w:t>
      </w:r>
    </w:p>
    <w:p w14:paraId="2C700C87" w14:textId="65C04408" w:rsidR="0063588D" w:rsidRDefault="006974A8" w:rsidP="0019727C">
      <w:pPr>
        <w:pStyle w:val="ListParagraph"/>
        <w:numPr>
          <w:ilvl w:val="0"/>
          <w:numId w:val="4"/>
        </w:numPr>
      </w:pPr>
      <w:r>
        <w:t xml:space="preserve">On </w:t>
      </w:r>
      <w:r w:rsidR="0063588D">
        <w:t xml:space="preserve">April </w:t>
      </w:r>
      <w:r>
        <w:t xml:space="preserve">29, </w:t>
      </w:r>
      <w:r w:rsidR="0063588D">
        <w:t xml:space="preserve">2014, Dr. </w:t>
      </w:r>
      <w:proofErr w:type="spellStart"/>
      <w:r w:rsidR="0063588D">
        <w:t>Thakuria</w:t>
      </w:r>
      <w:proofErr w:type="spellEnd"/>
      <w:r w:rsidR="0063588D">
        <w:t xml:space="preserve"> </w:t>
      </w:r>
      <w:r>
        <w:t xml:space="preserve">requested a change in his position </w:t>
      </w:r>
      <w:r w:rsidR="00776813">
        <w:t xml:space="preserve">at </w:t>
      </w:r>
      <w:r>
        <w:t xml:space="preserve">MGH from a clinical to a nonclinical role, so that he could devote more time and attention to his research </w:t>
      </w:r>
      <w:r w:rsidR="002B067B">
        <w:t>activities</w:t>
      </w:r>
      <w:r w:rsidR="00ED7EED">
        <w:t>.</w:t>
      </w:r>
      <w:r w:rsidR="00051497">
        <w:t xml:space="preserve">  He had stopped seeing patients at the hospital several months prior, around January 2014.  </w:t>
      </w:r>
      <w:r w:rsidR="00ED7EED">
        <w:t xml:space="preserve">MGH approved </w:t>
      </w:r>
      <w:r w:rsidR="00051497">
        <w:t xml:space="preserve">Dr. </w:t>
      </w:r>
      <w:proofErr w:type="spellStart"/>
      <w:r w:rsidR="00051497">
        <w:t>Thakuria’s</w:t>
      </w:r>
      <w:proofErr w:type="spellEnd"/>
      <w:r w:rsidR="00ED7EED">
        <w:t xml:space="preserve"> </w:t>
      </w:r>
      <w:r w:rsidR="000607AA">
        <w:t>request</w:t>
      </w:r>
      <w:r w:rsidR="0023114F">
        <w:t xml:space="preserve"> and changed his </w:t>
      </w:r>
      <w:r w:rsidR="00834390">
        <w:t xml:space="preserve">position at the hospital from “Assistant in Pediatrics Clinical” to “Assistant in Pediatrics Non Clinical.”  </w:t>
      </w:r>
      <w:r w:rsidR="0063588D">
        <w:t xml:space="preserve">(Tr. vol. II p. 92-94; Pet.’s </w:t>
      </w:r>
      <w:proofErr w:type="spellStart"/>
      <w:r w:rsidR="0063588D">
        <w:t>Ex</w:t>
      </w:r>
      <w:r w:rsidR="00ED7EED">
        <w:t>s</w:t>
      </w:r>
      <w:proofErr w:type="spellEnd"/>
      <w:r w:rsidR="0063588D">
        <w:t xml:space="preserve">. </w:t>
      </w:r>
      <w:r w:rsidR="00ED7EED">
        <w:t xml:space="preserve">3, </w:t>
      </w:r>
      <w:r w:rsidR="0063588D">
        <w:t>23</w:t>
      </w:r>
      <w:r w:rsidR="00ED7EED">
        <w:t>, 27</w:t>
      </w:r>
      <w:r w:rsidR="00834390">
        <w:t>, 28</w:t>
      </w:r>
      <w:r w:rsidR="0063588D">
        <w:t>.)</w:t>
      </w:r>
    </w:p>
    <w:p w14:paraId="1BFEC672" w14:textId="57496A1E" w:rsidR="002701C1" w:rsidRPr="00A46BD0" w:rsidRDefault="002701C1" w:rsidP="002701C1">
      <w:pPr>
        <w:pStyle w:val="ListParagraph"/>
        <w:rPr>
          <w:i/>
          <w:iCs/>
        </w:rPr>
      </w:pPr>
      <w:r w:rsidRPr="00A46BD0">
        <w:rPr>
          <w:i/>
          <w:iCs/>
        </w:rPr>
        <w:lastRenderedPageBreak/>
        <w:t xml:space="preserve">2014 </w:t>
      </w:r>
      <w:r w:rsidR="00A46BD0" w:rsidRPr="00A46BD0">
        <w:rPr>
          <w:i/>
          <w:iCs/>
        </w:rPr>
        <w:t>L</w:t>
      </w:r>
      <w:r w:rsidRPr="00A46BD0">
        <w:rPr>
          <w:i/>
          <w:iCs/>
        </w:rPr>
        <w:t xml:space="preserve">icense </w:t>
      </w:r>
      <w:r w:rsidR="00A46BD0" w:rsidRPr="00A46BD0">
        <w:rPr>
          <w:i/>
          <w:iCs/>
        </w:rPr>
        <w:t>Renewal</w:t>
      </w:r>
    </w:p>
    <w:p w14:paraId="15082DFE" w14:textId="70844594" w:rsidR="0025632D" w:rsidRDefault="0025632D" w:rsidP="0025632D">
      <w:pPr>
        <w:pStyle w:val="ListParagraph"/>
        <w:numPr>
          <w:ilvl w:val="0"/>
          <w:numId w:val="4"/>
        </w:numPr>
      </w:pPr>
      <w:r>
        <w:t xml:space="preserve">Dr. </w:t>
      </w:r>
      <w:proofErr w:type="spellStart"/>
      <w:r>
        <w:t>Thakuria</w:t>
      </w:r>
      <w:proofErr w:type="spellEnd"/>
      <w:r w:rsidR="00356177">
        <w:t xml:space="preserve"> filed a Physician Renewal Application with the Board, </w:t>
      </w:r>
      <w:r>
        <w:t>dated May 16, 2014,</w:t>
      </w:r>
      <w:r w:rsidR="00C5285C">
        <w:t xml:space="preserve"> to renew his medical license for another two-year term</w:t>
      </w:r>
      <w:r w:rsidR="00356177">
        <w:t xml:space="preserve">.  </w:t>
      </w:r>
      <w:r>
        <w:t xml:space="preserve">(Pet.’s Ex. 4.) </w:t>
      </w:r>
    </w:p>
    <w:p w14:paraId="1D6E299E" w14:textId="43C48B90" w:rsidR="000025C2" w:rsidRDefault="000025C2" w:rsidP="000025C2">
      <w:pPr>
        <w:pStyle w:val="ListParagraph"/>
        <w:numPr>
          <w:ilvl w:val="0"/>
          <w:numId w:val="4"/>
        </w:numPr>
      </w:pPr>
      <w:r>
        <w:t xml:space="preserve">The 2014 application completed by Dr. </w:t>
      </w:r>
      <w:proofErr w:type="spellStart"/>
      <w:r>
        <w:t>Thakuria</w:t>
      </w:r>
      <w:proofErr w:type="spellEnd"/>
      <w:r>
        <w:t xml:space="preserve"> contained a series of specific inquiries by the Board into matters that potentially implicate the applicant’s professional conduct or competency to practice medicine. </w:t>
      </w:r>
      <w:r w:rsidRPr="00C711F7">
        <w:t xml:space="preserve"> </w:t>
      </w:r>
      <w:r>
        <w:t xml:space="preserve">Among other things, the application required Dr. </w:t>
      </w:r>
      <w:proofErr w:type="spellStart"/>
      <w:r>
        <w:t>Thakuria</w:t>
      </w:r>
      <w:proofErr w:type="spellEnd"/>
      <w:r>
        <w:t xml:space="preserve"> to disclose whether he had “been the subject of an investigation by any governmental authority, . . . health care facility, group practice, employer or professional association,” and whether he had “been the subject of a disciplinary action taken” by</w:t>
      </w:r>
      <w:r w:rsidR="00A20688">
        <w:t xml:space="preserve"> any </w:t>
      </w:r>
      <w:r w:rsidR="00C6555D">
        <w:t xml:space="preserve">such authority.  </w:t>
      </w:r>
      <w:r>
        <w:t>(Pet.’s Ex. 4, p. 2.)</w:t>
      </w:r>
    </w:p>
    <w:p w14:paraId="75D92AC2" w14:textId="1AD7AB91" w:rsidR="0025632D" w:rsidRDefault="0025632D" w:rsidP="0025632D">
      <w:pPr>
        <w:pStyle w:val="ListParagraph"/>
        <w:numPr>
          <w:ilvl w:val="0"/>
          <w:numId w:val="4"/>
        </w:numPr>
      </w:pPr>
      <w:r>
        <w:t xml:space="preserve">Dr. </w:t>
      </w:r>
      <w:proofErr w:type="spellStart"/>
      <w:r>
        <w:t>Thakuria</w:t>
      </w:r>
      <w:proofErr w:type="spellEnd"/>
      <w:r>
        <w:t xml:space="preserve"> did not report </w:t>
      </w:r>
      <w:r w:rsidR="00867FDC">
        <w:t xml:space="preserve">on his 2014 license renewal application that he had been placed on probation and had his salary temporarily reduced at MGH in January 2013.  In addition, he did not report </w:t>
      </w:r>
      <w:r w:rsidR="003657E4">
        <w:t xml:space="preserve">the IRB panel’s investigation or its determination that he had </w:t>
      </w:r>
      <w:r>
        <w:t>violated institutional policy</w:t>
      </w:r>
      <w:r w:rsidR="00867FDC">
        <w:t xml:space="preserve"> concerning IRB review and approval</w:t>
      </w:r>
      <w:r>
        <w:t xml:space="preserve">.  </w:t>
      </w:r>
      <w:r w:rsidR="00867FDC">
        <w:t xml:space="preserve">In particular, he responded “No” when </w:t>
      </w:r>
      <w:r w:rsidR="00C6555D">
        <w:t xml:space="preserve">specifically </w:t>
      </w:r>
      <w:r w:rsidR="00867FDC">
        <w:t xml:space="preserve">asked on the application whether he </w:t>
      </w:r>
      <w:r>
        <w:t xml:space="preserve">had </w:t>
      </w:r>
      <w:r w:rsidR="00C31FF8">
        <w:t xml:space="preserve">been the subject of an investigation or of a disciplinary action taken by any </w:t>
      </w:r>
      <w:r w:rsidR="00A20688">
        <w:t xml:space="preserve">health care facility or employer.  </w:t>
      </w:r>
      <w:r>
        <w:t>(Pet.’s Ex. 4</w:t>
      </w:r>
      <w:r w:rsidR="00846976">
        <w:t>; Tr. vol. II p. 155</w:t>
      </w:r>
      <w:r>
        <w:t>.)</w:t>
      </w:r>
    </w:p>
    <w:p w14:paraId="5EDD880E" w14:textId="6D4962FD" w:rsidR="00A46BD0" w:rsidRPr="00BC645A" w:rsidRDefault="001B3EC3" w:rsidP="00BC645A">
      <w:pPr>
        <w:ind w:left="720"/>
        <w:rPr>
          <w:i/>
          <w:iCs/>
        </w:rPr>
      </w:pPr>
      <w:r w:rsidRPr="00BC645A">
        <w:rPr>
          <w:i/>
          <w:iCs/>
        </w:rPr>
        <w:t>Motor vehicle charges</w:t>
      </w:r>
    </w:p>
    <w:p w14:paraId="1E9261BA" w14:textId="17AFFD49" w:rsidR="000F0994" w:rsidRDefault="000F0994" w:rsidP="000F0994">
      <w:pPr>
        <w:pStyle w:val="ListParagraph"/>
        <w:numPr>
          <w:ilvl w:val="0"/>
          <w:numId w:val="4"/>
        </w:numPr>
      </w:pPr>
      <w:r>
        <w:t xml:space="preserve">In August 2015, Dr. </w:t>
      </w:r>
      <w:proofErr w:type="spellStart"/>
      <w:r>
        <w:t>Thakuria</w:t>
      </w:r>
      <w:proofErr w:type="spellEnd"/>
      <w:r>
        <w:t xml:space="preserve"> was arrested and charged in Gloucester District Court with: (a) operating a motor vehicle under the influence of alcohol, (b) marked lane violations</w:t>
      </w:r>
      <w:r w:rsidR="00C6555D">
        <w:t xml:space="preserve"> (a civil offense)</w:t>
      </w:r>
      <w:r>
        <w:t>, and (c) driving with a suspended license.</w:t>
      </w:r>
      <w:r w:rsidR="00120465">
        <w:t xml:space="preserve">  (Tr. vol. II p. 156; Pet.’s Ex. 6; Resp.’s Ex. 4.) </w:t>
      </w:r>
    </w:p>
    <w:p w14:paraId="778BA715" w14:textId="3B132F02" w:rsidR="00465DB0" w:rsidRDefault="00C11672" w:rsidP="000F0994">
      <w:pPr>
        <w:pStyle w:val="ListParagraph"/>
        <w:numPr>
          <w:ilvl w:val="0"/>
          <w:numId w:val="4"/>
        </w:numPr>
      </w:pPr>
      <w:r>
        <w:lastRenderedPageBreak/>
        <w:t xml:space="preserve">On December 14, 2015, </w:t>
      </w:r>
      <w:r w:rsidR="000F0994">
        <w:t xml:space="preserve">Dr. </w:t>
      </w:r>
      <w:proofErr w:type="spellStart"/>
      <w:r w:rsidR="000F0994">
        <w:t>Thakuria</w:t>
      </w:r>
      <w:proofErr w:type="spellEnd"/>
      <w:r w:rsidR="000F0994">
        <w:t xml:space="preserve"> admitted to sufficient facts to support conviction</w:t>
      </w:r>
      <w:r w:rsidR="00120465">
        <w:t>s</w:t>
      </w:r>
      <w:r w:rsidR="000F0994">
        <w:t xml:space="preserve"> </w:t>
      </w:r>
      <w:r w:rsidR="00120465">
        <w:t xml:space="preserve">on </w:t>
      </w:r>
      <w:r w:rsidR="000F0994">
        <w:t xml:space="preserve">the </w:t>
      </w:r>
      <w:r w:rsidR="00F2450E">
        <w:t xml:space="preserve">criminal </w:t>
      </w:r>
      <w:r w:rsidR="000F0994">
        <w:t>charges of operating under the influence and driving with a suspended license.</w:t>
      </w:r>
      <w:r w:rsidR="00465DB0">
        <w:t xml:space="preserve">  (</w:t>
      </w:r>
      <w:r w:rsidR="0078410C">
        <w:t xml:space="preserve">Tr. </w:t>
      </w:r>
      <w:r w:rsidR="00890246">
        <w:t xml:space="preserve">vol. I </w:t>
      </w:r>
      <w:r w:rsidR="00465DB0">
        <w:t xml:space="preserve">p. 22; </w:t>
      </w:r>
      <w:r w:rsidR="00B24A9A">
        <w:t xml:space="preserve">Tr. vol. II p. 156-157; </w:t>
      </w:r>
      <w:r w:rsidR="00FD0B35">
        <w:t xml:space="preserve">Pet.’s </w:t>
      </w:r>
      <w:r w:rsidR="00465DB0">
        <w:t>Ex. 6</w:t>
      </w:r>
      <w:r w:rsidR="00B24A9A">
        <w:t>; Resp.’s Ex. 4</w:t>
      </w:r>
      <w:r w:rsidR="00465DB0">
        <w:t>.)</w:t>
      </w:r>
    </w:p>
    <w:p w14:paraId="29C22C41" w14:textId="77777777" w:rsidR="00F24A01" w:rsidRDefault="00F24A01" w:rsidP="00F24A01">
      <w:pPr>
        <w:pStyle w:val="ListParagraph"/>
        <w:numPr>
          <w:ilvl w:val="0"/>
          <w:numId w:val="4"/>
        </w:numPr>
      </w:pPr>
      <w:r>
        <w:t xml:space="preserve">The court continued the matter without a finding until December 13, 2016, at which time the case was dismissed.  (Tr. vol. I p. 23; Tr. vol. II p. 140; Pet.’s Ex. 6; Resp.’s Ex. 4.) </w:t>
      </w:r>
    </w:p>
    <w:p w14:paraId="2E57F3DE" w14:textId="77777777" w:rsidR="00F24A01" w:rsidRDefault="00F24A01" w:rsidP="00F24A01">
      <w:pPr>
        <w:pStyle w:val="ListParagraph"/>
        <w:numPr>
          <w:ilvl w:val="0"/>
          <w:numId w:val="4"/>
        </w:numPr>
      </w:pPr>
      <w:r>
        <w:t xml:space="preserve">The court found Dr. </w:t>
      </w:r>
      <w:proofErr w:type="spellStart"/>
      <w:r>
        <w:t>Thakuria</w:t>
      </w:r>
      <w:proofErr w:type="spellEnd"/>
      <w:r>
        <w:t xml:space="preserve"> “not responsible” for the civil charge of marked lane violations.  (Tr. vol. I p. 22-23; Pet.’s Ex. 6; Resp.’s Ex. 4.)  </w:t>
      </w:r>
    </w:p>
    <w:p w14:paraId="69FF21A9" w14:textId="7969D305" w:rsidR="00BE10F8" w:rsidRDefault="00BE10F8" w:rsidP="000F0994">
      <w:pPr>
        <w:pStyle w:val="ListParagraph"/>
        <w:numPr>
          <w:ilvl w:val="0"/>
          <w:numId w:val="4"/>
        </w:numPr>
      </w:pPr>
      <w:r>
        <w:t>The criminal matter prompted an investigation by the Board</w:t>
      </w:r>
      <w:r w:rsidR="005D0E61">
        <w:t>’s Enforcement Division</w:t>
      </w:r>
      <w:r>
        <w:t xml:space="preserve">, which assigned Compliance Officer John Landers to investigate.  Among other things, Mr. Landers obtained the case docket from the Gloucester District Court and interviewed Dr. </w:t>
      </w:r>
      <w:proofErr w:type="spellStart"/>
      <w:r>
        <w:t>Thakuria</w:t>
      </w:r>
      <w:proofErr w:type="spellEnd"/>
      <w:r w:rsidR="00D41978">
        <w:t xml:space="preserve"> on at least two occasions (</w:t>
      </w:r>
      <w:r>
        <w:t>February 18</w:t>
      </w:r>
      <w:r w:rsidR="00D41978">
        <w:t xml:space="preserve"> </w:t>
      </w:r>
      <w:r>
        <w:t>and December 21, 2016</w:t>
      </w:r>
      <w:r w:rsidR="00D41978">
        <w:t>)</w:t>
      </w:r>
      <w:r>
        <w:t>.  (Tr. vol. I p. 20-24</w:t>
      </w:r>
      <w:r w:rsidR="005D0E61">
        <w:t>, 33</w:t>
      </w:r>
      <w:r>
        <w:t xml:space="preserve">; Pet.’s </w:t>
      </w:r>
      <w:proofErr w:type="spellStart"/>
      <w:r>
        <w:t>Exs</w:t>
      </w:r>
      <w:proofErr w:type="spellEnd"/>
      <w:r>
        <w:t xml:space="preserve">. 7 &amp; 11.)  </w:t>
      </w:r>
    </w:p>
    <w:p w14:paraId="364E6A6B" w14:textId="7869090D" w:rsidR="00F24A01" w:rsidRDefault="00E86581" w:rsidP="000F0994">
      <w:pPr>
        <w:pStyle w:val="ListParagraph"/>
        <w:numPr>
          <w:ilvl w:val="0"/>
          <w:numId w:val="4"/>
        </w:numPr>
      </w:pPr>
      <w:r>
        <w:t xml:space="preserve">When interviewed by Mr. Landers, Dr. </w:t>
      </w:r>
      <w:proofErr w:type="spellStart"/>
      <w:r>
        <w:t>Thakuria</w:t>
      </w:r>
      <w:proofErr w:type="spellEnd"/>
      <w:r>
        <w:t xml:space="preserve"> confirmed that he had admitted to sufficient facts </w:t>
      </w:r>
      <w:r w:rsidR="00A31973">
        <w:t xml:space="preserve">to support </w:t>
      </w:r>
      <w:r w:rsidR="004B213F">
        <w:t>the criminal charges</w:t>
      </w:r>
      <w:r w:rsidR="00A31973">
        <w:t xml:space="preserve">, </w:t>
      </w:r>
      <w:r w:rsidR="004B213F">
        <w:t xml:space="preserve">but </w:t>
      </w:r>
      <w:r w:rsidR="00A31973">
        <w:t xml:space="preserve">maintained his innocence on the </w:t>
      </w:r>
      <w:r w:rsidR="004B213F">
        <w:t xml:space="preserve">charge of operating under the influence.  </w:t>
      </w:r>
      <w:r w:rsidR="00A31973">
        <w:t xml:space="preserve">Dr. </w:t>
      </w:r>
      <w:proofErr w:type="spellStart"/>
      <w:r w:rsidR="00A31973">
        <w:t>Thakuria</w:t>
      </w:r>
      <w:proofErr w:type="spellEnd"/>
      <w:r w:rsidR="00A31973">
        <w:t xml:space="preserve"> </w:t>
      </w:r>
      <w:r w:rsidR="00F24A01">
        <w:t>explained</w:t>
      </w:r>
      <w:r w:rsidR="005D0E61">
        <w:t xml:space="preserve"> how the case was continued without a finding, and reported that during the probationary period he had to </w:t>
      </w:r>
      <w:r w:rsidR="00F24A01">
        <w:t>take a driver’s safety course, a brain injury class, a Mother’s Against Drunk Driving class, and attend two Alcoholics Anonymous meeting</w:t>
      </w:r>
      <w:r w:rsidR="00D34F9E">
        <w:t>s</w:t>
      </w:r>
      <w:r w:rsidR="00F24A01">
        <w:t xml:space="preserve">.  (Tr. vol. I p. 23-24; Pet.’s </w:t>
      </w:r>
      <w:proofErr w:type="spellStart"/>
      <w:r w:rsidR="00F24A01">
        <w:t>Exs</w:t>
      </w:r>
      <w:proofErr w:type="spellEnd"/>
      <w:r w:rsidR="00F24A01">
        <w:t>. 7 &amp; 11.)</w:t>
      </w:r>
    </w:p>
    <w:p w14:paraId="708D4004" w14:textId="275795EF" w:rsidR="005D0E61" w:rsidRDefault="006E1269" w:rsidP="000F0994">
      <w:pPr>
        <w:pStyle w:val="ListParagraph"/>
        <w:numPr>
          <w:ilvl w:val="0"/>
          <w:numId w:val="4"/>
        </w:numPr>
      </w:pPr>
      <w:r>
        <w:t xml:space="preserve">Mr. Landers did not discover any other evidence or allegations of substance </w:t>
      </w:r>
      <w:r w:rsidR="0053290A">
        <w:t xml:space="preserve">abuse </w:t>
      </w:r>
      <w:r>
        <w:t xml:space="preserve">during his investigation of Dr. </w:t>
      </w:r>
      <w:proofErr w:type="spellStart"/>
      <w:r>
        <w:t>Thakuria</w:t>
      </w:r>
      <w:proofErr w:type="spellEnd"/>
      <w:r>
        <w:t>.  (Tr. vol. I p. 35.)</w:t>
      </w:r>
    </w:p>
    <w:p w14:paraId="661FB688" w14:textId="71D74922" w:rsidR="00077A7C" w:rsidRPr="00E0081D" w:rsidRDefault="00077A7C" w:rsidP="00077A7C">
      <w:pPr>
        <w:pStyle w:val="ListParagraph"/>
        <w:rPr>
          <w:i/>
          <w:iCs/>
        </w:rPr>
      </w:pPr>
      <w:r w:rsidRPr="00E0081D">
        <w:rPr>
          <w:i/>
          <w:iCs/>
        </w:rPr>
        <w:t>2016 License Renewal</w:t>
      </w:r>
    </w:p>
    <w:p w14:paraId="37FC5226" w14:textId="2E8603E9" w:rsidR="00D34F9E" w:rsidRDefault="00080A8F" w:rsidP="001636F1">
      <w:pPr>
        <w:pStyle w:val="ListParagraph"/>
        <w:numPr>
          <w:ilvl w:val="0"/>
          <w:numId w:val="4"/>
        </w:numPr>
      </w:pPr>
      <w:r>
        <w:lastRenderedPageBreak/>
        <w:t xml:space="preserve">In a Lapsed License Application Supplement dated December 15, 2016, Dr. </w:t>
      </w:r>
      <w:proofErr w:type="spellStart"/>
      <w:r>
        <w:t>Thakuria</w:t>
      </w:r>
      <w:proofErr w:type="spellEnd"/>
      <w:r w:rsidR="004B213F">
        <w:t xml:space="preserve"> responded affirmatively when asked whether he </w:t>
      </w:r>
      <w:r>
        <w:t>had been charged with a criminal offense</w:t>
      </w:r>
      <w:r w:rsidR="004B213F">
        <w:t>.</w:t>
      </w:r>
      <w:r w:rsidR="00F2450E">
        <w:t xml:space="preserve">  In his supplemental response to this question, Dr. </w:t>
      </w:r>
      <w:proofErr w:type="spellStart"/>
      <w:r w:rsidR="00F2450E">
        <w:t>Thakuria</w:t>
      </w:r>
      <w:proofErr w:type="spellEnd"/>
      <w:r w:rsidR="00D34F9E">
        <w:t xml:space="preserve"> reported the </w:t>
      </w:r>
      <w:r w:rsidR="00F2450E">
        <w:t xml:space="preserve">criminal charge of operating under the influence, but </w:t>
      </w:r>
      <w:r w:rsidR="00D34F9E">
        <w:t xml:space="preserve">did not mention the additional criminal charge of </w:t>
      </w:r>
      <w:r w:rsidR="007A5CC2">
        <w:t>driving with a suspended license.</w:t>
      </w:r>
      <w:r w:rsidR="00002970">
        <w:t xml:space="preserve">  </w:t>
      </w:r>
      <w:r w:rsidR="001636F1">
        <w:t xml:space="preserve">He </w:t>
      </w:r>
      <w:r w:rsidR="00D41978">
        <w:t xml:space="preserve">further </w:t>
      </w:r>
      <w:r w:rsidR="00002970">
        <w:t xml:space="preserve">described the </w:t>
      </w:r>
      <w:r w:rsidR="00D34F9E">
        <w:t>“</w:t>
      </w:r>
      <w:r w:rsidR="00002970">
        <w:t xml:space="preserve">circumstances leading </w:t>
      </w:r>
      <w:r w:rsidR="00D34F9E">
        <w:t xml:space="preserve">up </w:t>
      </w:r>
      <w:r w:rsidR="00002970">
        <w:t>to criminal proceedings</w:t>
      </w:r>
      <w:r w:rsidR="00D34F9E">
        <w:t>”</w:t>
      </w:r>
      <w:r w:rsidR="00002970">
        <w:t xml:space="preserve"> as follows: </w:t>
      </w:r>
    </w:p>
    <w:p w14:paraId="77AF3403" w14:textId="1BE01310" w:rsidR="00D34F9E" w:rsidRDefault="00002970" w:rsidP="00D34F9E">
      <w:pPr>
        <w:spacing w:line="240" w:lineRule="auto"/>
        <w:ind w:left="1440" w:right="720"/>
      </w:pPr>
      <w:r>
        <w:t xml:space="preserve">“Got into an accident hitting a telephone pole along narrow, winding, poorly lit roads I was unfamiliar with.  No other passengers, cars, or persons involved or injured.  Case is now dismissed.”  </w:t>
      </w:r>
    </w:p>
    <w:p w14:paraId="7E4816C3" w14:textId="77777777" w:rsidR="00D34F9E" w:rsidRDefault="00D34F9E" w:rsidP="00D34F9E">
      <w:pPr>
        <w:spacing w:line="240" w:lineRule="auto"/>
        <w:ind w:left="720" w:right="720"/>
      </w:pPr>
    </w:p>
    <w:p w14:paraId="79710181" w14:textId="00F599DB" w:rsidR="00A364F7" w:rsidRDefault="001636F1" w:rsidP="00D34F9E">
      <w:pPr>
        <w:ind w:left="720"/>
      </w:pPr>
      <w:r>
        <w:t>(</w:t>
      </w:r>
      <w:r w:rsidR="00FD0B35">
        <w:t xml:space="preserve">Pet.’s </w:t>
      </w:r>
      <w:r>
        <w:t xml:space="preserve">Ex. 10, p. 1 &amp; 6.)  </w:t>
      </w:r>
    </w:p>
    <w:p w14:paraId="1B62C9A4" w14:textId="7985265D" w:rsidR="00D34F9E" w:rsidRDefault="00D34F9E" w:rsidP="00D34F9E">
      <w:pPr>
        <w:pStyle w:val="ListParagraph"/>
        <w:numPr>
          <w:ilvl w:val="0"/>
          <w:numId w:val="4"/>
        </w:numPr>
      </w:pPr>
      <w:r>
        <w:t xml:space="preserve">Dr. </w:t>
      </w:r>
      <w:proofErr w:type="spellStart"/>
      <w:r>
        <w:t>Thakuria</w:t>
      </w:r>
      <w:proofErr w:type="spellEnd"/>
      <w:r w:rsidR="00A40B04">
        <w:t xml:space="preserve"> did not</w:t>
      </w:r>
      <w:r w:rsidR="00D41978">
        <w:t xml:space="preserve"> mention the continuance without a finding, his admission to s</w:t>
      </w:r>
      <w:r w:rsidR="00A40B04">
        <w:t>ufficient facts</w:t>
      </w:r>
      <w:r w:rsidR="00D41978">
        <w:t>, or the</w:t>
      </w:r>
      <w:r w:rsidR="0007148C">
        <w:t xml:space="preserve"> period of </w:t>
      </w:r>
      <w:r w:rsidR="00D41978">
        <w:t xml:space="preserve">probation and </w:t>
      </w:r>
      <w:r w:rsidR="0007148C">
        <w:t>other</w:t>
      </w:r>
      <w:r w:rsidR="00D41978">
        <w:t xml:space="preserve"> requirements he had to satisfy to </w:t>
      </w:r>
      <w:r w:rsidR="00A40B04">
        <w:t>secure dismissal of the charges.</w:t>
      </w:r>
      <w:r w:rsidR="00063498">
        <w:t xml:space="preserve">  </w:t>
      </w:r>
      <w:r w:rsidR="0007148C">
        <w:t>(Pet.’s Ex. 10.)</w:t>
      </w:r>
    </w:p>
    <w:p w14:paraId="47CCA3C9" w14:textId="35046D11" w:rsidR="00357943" w:rsidRDefault="00357943" w:rsidP="00D34F9E">
      <w:pPr>
        <w:pStyle w:val="ListParagraph"/>
        <w:numPr>
          <w:ilvl w:val="0"/>
          <w:numId w:val="4"/>
        </w:numPr>
      </w:pPr>
      <w:r>
        <w:t xml:space="preserve">In support of his </w:t>
      </w:r>
      <w:r w:rsidR="00C6555D">
        <w:t>lap</w:t>
      </w:r>
      <w:r>
        <w:t xml:space="preserve">sed license application, Dr. </w:t>
      </w:r>
      <w:proofErr w:type="spellStart"/>
      <w:r>
        <w:t>Thakuria</w:t>
      </w:r>
      <w:proofErr w:type="spellEnd"/>
      <w:r>
        <w:t xml:space="preserve"> submitted an evaluation form completed by Dr. Sweetser, dated December 20, 2016.  Dr. Sweetser rated Dr. </w:t>
      </w:r>
      <w:proofErr w:type="spellStart"/>
      <w:r>
        <w:t>Thakuria</w:t>
      </w:r>
      <w:proofErr w:type="spellEnd"/>
      <w:r>
        <w:t xml:space="preserve"> as “superior” (i.e., the highest rank) in each of the listed categories of professional competenc</w:t>
      </w:r>
      <w:r w:rsidR="00D25E72">
        <w:t>y:  clinical knowledge, clinical competency, professional judgment, character and ethics, technical skills, relationships with staff, relationship with patients, and cooperativeness/ability to work with others.  He noted the</w:t>
      </w:r>
      <w:r w:rsidR="00864CF3">
        <w:t xml:space="preserve"> issue of Dr. </w:t>
      </w:r>
      <w:proofErr w:type="spellStart"/>
      <w:r w:rsidR="00864CF3">
        <w:t>Thakuria’s</w:t>
      </w:r>
      <w:proofErr w:type="spellEnd"/>
      <w:r w:rsidR="00864CF3">
        <w:t xml:space="preserve"> timely clinical documentation, however, which he describe</w:t>
      </w:r>
      <w:r w:rsidR="00A57440">
        <w:t>d</w:t>
      </w:r>
      <w:r w:rsidR="00864CF3">
        <w:t xml:space="preserve"> as follows:</w:t>
      </w:r>
    </w:p>
    <w:p w14:paraId="2D056231" w14:textId="1D850E41" w:rsidR="00864CF3" w:rsidRDefault="00A57440" w:rsidP="00A57440">
      <w:pPr>
        <w:pStyle w:val="ListParagraph"/>
        <w:spacing w:line="240" w:lineRule="auto"/>
        <w:ind w:left="1440" w:right="720"/>
      </w:pPr>
      <w:r>
        <w:t>“</w:t>
      </w:r>
      <w:r w:rsidR="00864CF3">
        <w:t xml:space="preserve">Dr. </w:t>
      </w:r>
      <w:proofErr w:type="spellStart"/>
      <w:r w:rsidR="00864CF3">
        <w:t>Thakuria’s</w:t>
      </w:r>
      <w:proofErr w:type="spellEnd"/>
      <w:r w:rsidR="00864CF3">
        <w:t xml:space="preserve"> privileges were never formally suspended or restricted, however, the Dept. of Pediatrics did adjust his clinical time on a number of occasions to allow him to catch up on his documentation[.]  His </w:t>
      </w:r>
      <w:r>
        <w:t>timely documentation became an ongoing challenge over many years.  . . . .”</w:t>
      </w:r>
    </w:p>
    <w:p w14:paraId="14809C4C" w14:textId="77777777" w:rsidR="00A57440" w:rsidRDefault="00A57440" w:rsidP="00A57440">
      <w:pPr>
        <w:pStyle w:val="ListParagraph"/>
        <w:spacing w:line="240" w:lineRule="auto"/>
        <w:ind w:left="1440" w:right="720"/>
      </w:pPr>
    </w:p>
    <w:p w14:paraId="15CABB6D" w14:textId="5A857CEE" w:rsidR="00A57440" w:rsidRDefault="00A57440" w:rsidP="00D34F9E">
      <w:pPr>
        <w:ind w:left="720"/>
      </w:pPr>
      <w:r>
        <w:t xml:space="preserve">(Tr. vol. II p. 97-99; Pet.’s Ex. 15; Resp.’s Ex. 5.)  </w:t>
      </w:r>
    </w:p>
    <w:p w14:paraId="4A7A0BD5" w14:textId="77777777" w:rsidR="00A57440" w:rsidRDefault="00A57440" w:rsidP="00A57440">
      <w:pPr>
        <w:pStyle w:val="ListParagraph"/>
        <w:numPr>
          <w:ilvl w:val="0"/>
          <w:numId w:val="4"/>
        </w:numPr>
      </w:pPr>
      <w:r>
        <w:lastRenderedPageBreak/>
        <w:t xml:space="preserve">During his testimony, Dr. Sweetser stressed how highly MGH valued Dr. </w:t>
      </w:r>
      <w:proofErr w:type="spellStart"/>
      <w:r>
        <w:t>Thakuria</w:t>
      </w:r>
      <w:proofErr w:type="spellEnd"/>
      <w:r>
        <w:t xml:space="preserve"> as faculty member and how instrumental his research had been in the relatively novel field of genomic sequencing.  He characterized Dr. </w:t>
      </w:r>
      <w:proofErr w:type="spellStart"/>
      <w:r>
        <w:t>Thakuria</w:t>
      </w:r>
      <w:proofErr w:type="spellEnd"/>
      <w:r>
        <w:t xml:space="preserve"> as being “uniquely talented” for this work, based on both his substantial clinical background as well as his substantial research background with respect to bioinformatics.  He opined that there were very few people who were capable of doing what Dr. </w:t>
      </w:r>
      <w:proofErr w:type="spellStart"/>
      <w:r>
        <w:t>Thakuria</w:t>
      </w:r>
      <w:proofErr w:type="spellEnd"/>
      <w:r>
        <w:t xml:space="preserve"> could do in terms of analyzing and interpreting sequencing data and then applying it in a clinical setting in order to diagnose and provide treatment to patients, some of whom had life-threatening decompensations and had remained undiagnosed for a long period of time.  (Tr. vol. II p. 95-96.)  </w:t>
      </w:r>
    </w:p>
    <w:p w14:paraId="4E16AECC" w14:textId="77777777" w:rsidR="00A57440" w:rsidRDefault="00A57440" w:rsidP="00D34F9E">
      <w:pPr>
        <w:ind w:left="720"/>
      </w:pPr>
    </w:p>
    <w:p w14:paraId="4947776F" w14:textId="77777777" w:rsidR="005A5C55" w:rsidRPr="005A5C55" w:rsidRDefault="005A5C55" w:rsidP="005A5C55">
      <w:pPr>
        <w:jc w:val="center"/>
        <w:rPr>
          <w:b/>
          <w:u w:val="single"/>
        </w:rPr>
      </w:pPr>
      <w:r w:rsidRPr="005A5C55">
        <w:rPr>
          <w:b/>
          <w:u w:val="single"/>
        </w:rPr>
        <w:t>ANALYSIS</w:t>
      </w:r>
    </w:p>
    <w:p w14:paraId="7CF16F4F" w14:textId="00FE5E5A" w:rsidR="00C8795B" w:rsidRDefault="00053BF0" w:rsidP="00C8795B">
      <w:pPr>
        <w:ind w:firstLine="720"/>
      </w:pPr>
      <w:r>
        <w:t>Pursuant to G. L. c. 112, § 5, the Board of Registration in Medicine may discipline a physician</w:t>
      </w:r>
      <w:r w:rsidR="00962B0C">
        <w:t xml:space="preserve"> upon proof satisfactory to the Board that the physician</w:t>
      </w:r>
      <w:r w:rsidR="001C355B">
        <w:t xml:space="preserve"> </w:t>
      </w:r>
      <w:r w:rsidR="00CA7078">
        <w:t xml:space="preserve">has engaged in certain misconduct or has violated any of the Board’s rules or regulations </w:t>
      </w:r>
      <w:r w:rsidR="00AE429E">
        <w:t>governing the practice of medicine</w:t>
      </w:r>
      <w:r w:rsidR="005048B0">
        <w:t xml:space="preserve">.  </w:t>
      </w:r>
      <w:r w:rsidR="001B43A3">
        <w:t xml:space="preserve">The statute delineates </w:t>
      </w:r>
      <w:r w:rsidR="00C57BF9">
        <w:t>specific</w:t>
      </w:r>
      <w:r w:rsidR="001B43A3">
        <w:t xml:space="preserve"> grounds for</w:t>
      </w:r>
      <w:r w:rsidR="001A6CA3">
        <w:t xml:space="preserve"> </w:t>
      </w:r>
      <w:r w:rsidR="001B43A3">
        <w:t>taking disciplinary action against a physician</w:t>
      </w:r>
      <w:r w:rsidR="00C57BF9">
        <w:t>.</w:t>
      </w:r>
      <w:r w:rsidR="005048B0">
        <w:t xml:space="preserve">  In addition, the Board has adopted a regulation that specifies additional grounds for discipline, </w:t>
      </w:r>
      <w:r w:rsidR="007334F3">
        <w:t xml:space="preserve">in </w:t>
      </w:r>
      <w:r w:rsidR="005048B0">
        <w:t>a</w:t>
      </w:r>
      <w:r w:rsidR="00C57BF9">
        <w:t xml:space="preserve">ccordance with </w:t>
      </w:r>
      <w:r w:rsidR="007334F3">
        <w:t>the statute’s delegation of re</w:t>
      </w:r>
      <w:r w:rsidR="00C57BF9">
        <w:t>gulatory authority</w:t>
      </w:r>
      <w:r w:rsidR="007334F3">
        <w:t>.</w:t>
      </w:r>
      <w:r w:rsidR="0030536F">
        <w:t xml:space="preserve">  </w:t>
      </w:r>
      <w:r w:rsidR="001A6CA3">
        <w:t xml:space="preserve">The </w:t>
      </w:r>
      <w:r w:rsidR="00AF525D">
        <w:t>Board</w:t>
      </w:r>
      <w:r w:rsidR="001B43A3">
        <w:t xml:space="preserve"> </w:t>
      </w:r>
      <w:r w:rsidR="001A6CA3">
        <w:t>has raised</w:t>
      </w:r>
      <w:r w:rsidR="005A09CD">
        <w:t xml:space="preserve"> the </w:t>
      </w:r>
      <w:r w:rsidR="009169B8">
        <w:t>follow</w:t>
      </w:r>
      <w:r w:rsidR="00AF525D">
        <w:t>ing</w:t>
      </w:r>
      <w:r w:rsidR="005634A2">
        <w:t xml:space="preserve"> statutory and regulatory grounds</w:t>
      </w:r>
      <w:r w:rsidR="00AF525D">
        <w:t xml:space="preserve"> </w:t>
      </w:r>
      <w:r w:rsidR="00C8795B">
        <w:t xml:space="preserve">for imposing discipline against Dr. </w:t>
      </w:r>
      <w:proofErr w:type="spellStart"/>
      <w:r w:rsidR="00C8795B">
        <w:t>Thakuria</w:t>
      </w:r>
      <w:proofErr w:type="spellEnd"/>
      <w:r w:rsidR="00C8795B">
        <w:t xml:space="preserve"> in this case</w:t>
      </w:r>
      <w:r w:rsidR="005A09CD">
        <w:t>:</w:t>
      </w:r>
    </w:p>
    <w:p w14:paraId="58B64B3F" w14:textId="58DABCF1" w:rsidR="005B12B9" w:rsidRDefault="005B12B9" w:rsidP="00DC0A5C">
      <w:pPr>
        <w:pStyle w:val="ListParagraph"/>
        <w:numPr>
          <w:ilvl w:val="0"/>
          <w:numId w:val="8"/>
        </w:numPr>
        <w:spacing w:after="240" w:line="240" w:lineRule="auto"/>
        <w:ind w:right="720"/>
        <w:contextualSpacing w:val="0"/>
      </w:pPr>
      <w:r>
        <w:t>Failure to report to the Board disciplinary action taken against him by a health care institution</w:t>
      </w:r>
      <w:r w:rsidR="000F3476">
        <w:t xml:space="preserve"> for acts or conduct substantially the same as acts or conduct that would constitute grounds for </w:t>
      </w:r>
      <w:r w:rsidR="00A80448">
        <w:t xml:space="preserve">a Board complaint against him, pursuant to </w:t>
      </w:r>
      <w:r>
        <w:t xml:space="preserve">243 </w:t>
      </w:r>
      <w:r w:rsidR="00A52BE5">
        <w:t>CMR</w:t>
      </w:r>
      <w:r>
        <w:t xml:space="preserve"> 1.03(5)(a)(15)</w:t>
      </w:r>
      <w:r w:rsidR="000F3476">
        <w:t xml:space="preserve">.  </w:t>
      </w:r>
    </w:p>
    <w:p w14:paraId="760A18EE" w14:textId="74AF6C5B" w:rsidR="009169B8" w:rsidRDefault="000D0563" w:rsidP="00DC0A5C">
      <w:pPr>
        <w:pStyle w:val="ListParagraph"/>
        <w:numPr>
          <w:ilvl w:val="0"/>
          <w:numId w:val="8"/>
        </w:numPr>
        <w:spacing w:after="240" w:line="240" w:lineRule="auto"/>
        <w:ind w:right="720"/>
        <w:contextualSpacing w:val="0"/>
      </w:pPr>
      <w:r>
        <w:t xml:space="preserve">Fraudulent procurement </w:t>
      </w:r>
      <w:r w:rsidR="009169B8">
        <w:t xml:space="preserve">of </w:t>
      </w:r>
      <w:r w:rsidR="000A5D19">
        <w:t>his</w:t>
      </w:r>
      <w:r w:rsidR="009169B8">
        <w:t xml:space="preserve"> </w:t>
      </w:r>
      <w:r w:rsidR="000A5D19">
        <w:t>certificate of registration or its renewa</w:t>
      </w:r>
      <w:r w:rsidR="009169B8">
        <w:t>l</w:t>
      </w:r>
      <w:r>
        <w:t xml:space="preserve">, pursuant to G. L. c. 112, § 5, ¶ 8(a) and 243 </w:t>
      </w:r>
      <w:r w:rsidR="00A52BE5">
        <w:t>CMR</w:t>
      </w:r>
      <w:r>
        <w:t xml:space="preserve"> 1.03(5)(a)(1)</w:t>
      </w:r>
      <w:r w:rsidR="000A5D19">
        <w:t>;</w:t>
      </w:r>
    </w:p>
    <w:p w14:paraId="7233FE7F" w14:textId="0A21C878" w:rsidR="005B12B9" w:rsidRDefault="005B12B9" w:rsidP="00DC0A5C">
      <w:pPr>
        <w:pStyle w:val="ListParagraph"/>
        <w:numPr>
          <w:ilvl w:val="0"/>
          <w:numId w:val="8"/>
        </w:numPr>
        <w:spacing w:after="240" w:line="240" w:lineRule="auto"/>
        <w:ind w:right="720"/>
        <w:contextualSpacing w:val="0"/>
      </w:pPr>
      <w:r>
        <w:lastRenderedPageBreak/>
        <w:t xml:space="preserve">Practicing medicine deceitfully, or engaging in conduct which has the capacity to deceive or defraud, pursuant to 243 </w:t>
      </w:r>
      <w:r w:rsidR="00A52BE5">
        <w:t xml:space="preserve">CMR </w:t>
      </w:r>
      <w:r>
        <w:t>1.03(5)(a)(10);</w:t>
      </w:r>
    </w:p>
    <w:p w14:paraId="0A1EA9D8" w14:textId="1E40B787" w:rsidR="005B12B9" w:rsidRDefault="00C545D7" w:rsidP="00DC0A5C">
      <w:pPr>
        <w:pStyle w:val="ListParagraph"/>
        <w:numPr>
          <w:ilvl w:val="0"/>
          <w:numId w:val="8"/>
        </w:numPr>
        <w:spacing w:after="240" w:line="240" w:lineRule="auto"/>
        <w:ind w:right="720"/>
        <w:contextualSpacing w:val="0"/>
      </w:pPr>
      <w:r>
        <w:t>Violating Board regulations concerning the maintenance of patient medical records, pursuant to G. L. c. 112, § 5, ¶ 8(h) and 243</w:t>
      </w:r>
      <w:r w:rsidR="00A52BE5">
        <w:t xml:space="preserve"> CMR</w:t>
      </w:r>
      <w:r>
        <w:t xml:space="preserve"> 1.03(5)(a)(11);</w:t>
      </w:r>
      <w:r w:rsidR="00832805">
        <w:t xml:space="preserve"> and</w:t>
      </w:r>
    </w:p>
    <w:p w14:paraId="235F3E03" w14:textId="435587B3" w:rsidR="00C545D7" w:rsidRDefault="00832805" w:rsidP="00DC0A5C">
      <w:pPr>
        <w:pStyle w:val="ListParagraph"/>
        <w:numPr>
          <w:ilvl w:val="0"/>
          <w:numId w:val="8"/>
        </w:numPr>
        <w:spacing w:after="240" w:line="240" w:lineRule="auto"/>
        <w:ind w:right="720"/>
        <w:contextualSpacing w:val="0"/>
      </w:pPr>
      <w:r>
        <w:t>For lack of “good moral character” and engaging in “conduct that undermines the public confidence in the integrity of the medical profession</w:t>
      </w:r>
      <w:r w:rsidR="00DC0A5C">
        <w:t xml:space="preserve">,” citing </w:t>
      </w:r>
      <w:r w:rsidR="00DC0A5C" w:rsidRPr="00DC0A5C">
        <w:rPr>
          <w:i/>
          <w:iCs/>
        </w:rPr>
        <w:t>Levy</w:t>
      </w:r>
      <w:r w:rsidR="00DC0A5C">
        <w:t xml:space="preserve"> v. </w:t>
      </w:r>
      <w:r w:rsidR="00DC0A5C" w:rsidRPr="00DC0A5C">
        <w:rPr>
          <w:i/>
          <w:iCs/>
        </w:rPr>
        <w:t>Board of Registration in Medicine</w:t>
      </w:r>
      <w:r w:rsidR="00DC0A5C">
        <w:t xml:space="preserve">, 378 Mass. 519 (1979) and </w:t>
      </w:r>
      <w:r w:rsidR="00DC0A5C" w:rsidRPr="00DC0A5C">
        <w:rPr>
          <w:i/>
          <w:iCs/>
        </w:rPr>
        <w:t>Raymond</w:t>
      </w:r>
      <w:r w:rsidR="00DC0A5C">
        <w:t xml:space="preserve"> v. </w:t>
      </w:r>
      <w:r w:rsidR="00DC0A5C" w:rsidRPr="00DC0A5C">
        <w:rPr>
          <w:i/>
          <w:iCs/>
        </w:rPr>
        <w:t>Board of Registration in Medicine</w:t>
      </w:r>
      <w:r w:rsidR="00DC0A5C">
        <w:t xml:space="preserve">, 387 Mass. 708 (1982).  </w:t>
      </w:r>
      <w:r>
        <w:t xml:space="preserve">  </w:t>
      </w:r>
    </w:p>
    <w:p w14:paraId="0E475AE0" w14:textId="4CCC01CC" w:rsidR="00A3745D" w:rsidRDefault="005A0116" w:rsidP="00272C8A">
      <w:pPr>
        <w:tabs>
          <w:tab w:val="left" w:pos="720"/>
          <w:tab w:val="left" w:pos="1440"/>
          <w:tab w:val="left" w:pos="2160"/>
          <w:tab w:val="left" w:pos="3300"/>
        </w:tabs>
        <w:jc w:val="both"/>
      </w:pPr>
      <w:r>
        <w:tab/>
      </w:r>
      <w:r w:rsidR="005634A2">
        <w:t>The Board has the burden of</w:t>
      </w:r>
      <w:r w:rsidR="00316C13">
        <w:t xml:space="preserve"> provin</w:t>
      </w:r>
      <w:r w:rsidR="00010178">
        <w:t>g</w:t>
      </w:r>
      <w:r w:rsidR="00ED4579">
        <w:t xml:space="preserve"> </w:t>
      </w:r>
      <w:r w:rsidR="00F20784">
        <w:t xml:space="preserve">by a preponderance of the </w:t>
      </w:r>
      <w:r w:rsidR="000236D7">
        <w:t>evidence</w:t>
      </w:r>
      <w:r w:rsidR="005F722D">
        <w:t xml:space="preserve"> the specific grounds and factual allegations for which it seeks to take </w:t>
      </w:r>
      <w:r w:rsidR="00F20784">
        <w:t xml:space="preserve">disciplinary action against Dr. </w:t>
      </w:r>
      <w:proofErr w:type="spellStart"/>
      <w:r w:rsidR="00F20784">
        <w:t>Thakuria</w:t>
      </w:r>
      <w:proofErr w:type="spellEnd"/>
      <w:r w:rsidR="00F20784">
        <w:t xml:space="preserve">, pursuant to G. L. c. 112, § 5.  </w:t>
      </w:r>
      <w:r w:rsidR="009946A6" w:rsidRPr="00C8685C">
        <w:rPr>
          <w:i/>
          <w:iCs/>
        </w:rPr>
        <w:t>See Craven v. State Ethics Commission</w:t>
      </w:r>
      <w:r w:rsidR="009946A6">
        <w:t>, 390 Mass. 191</w:t>
      </w:r>
      <w:r w:rsidR="003D12CB">
        <w:t>, 200</w:t>
      </w:r>
      <w:r w:rsidR="009946A6">
        <w:t xml:space="preserve"> (1983) </w:t>
      </w:r>
      <w:r w:rsidR="003D12CB">
        <w:t xml:space="preserve">(“Proof by a preponderance of the evidence is the standard generally applicable to administrative proceedings.”).  </w:t>
      </w:r>
      <w:r w:rsidR="00365786">
        <w:rPr>
          <w:szCs w:val="24"/>
        </w:rPr>
        <w:t>To meet this burden, the Board must produce sufficient evi</w:t>
      </w:r>
      <w:r w:rsidR="00CA2A72">
        <w:rPr>
          <w:szCs w:val="24"/>
        </w:rPr>
        <w:t>den</w:t>
      </w:r>
      <w:r w:rsidR="00536EDB">
        <w:rPr>
          <w:szCs w:val="24"/>
        </w:rPr>
        <w:t>ce to show,</w:t>
      </w:r>
      <w:r w:rsidR="0048561F">
        <w:rPr>
          <w:szCs w:val="24"/>
        </w:rPr>
        <w:t xml:space="preserve"> after </w:t>
      </w:r>
      <w:r w:rsidR="003F7ED8">
        <w:rPr>
          <w:szCs w:val="24"/>
        </w:rPr>
        <w:t xml:space="preserve">due consideration of the weight of the evidence, that the proposition at issue appears </w:t>
      </w:r>
      <w:r w:rsidR="003F7ED8">
        <w:t>“</w:t>
      </w:r>
      <w:r w:rsidR="003F7ED8">
        <w:rPr>
          <w:rStyle w:val="cohighlightpoints"/>
        </w:rPr>
        <w:t xml:space="preserve">more likely or probable in the sense that actual belief in its truth, derived from the evidence, exists in the mind or minds of the tribunal notwithstanding any doubts that may still linger there.”  </w:t>
      </w:r>
      <w:r w:rsidR="00365786" w:rsidRPr="00C57C0D">
        <w:rPr>
          <w:i/>
          <w:szCs w:val="24"/>
        </w:rPr>
        <w:t>Sargent v</w:t>
      </w:r>
      <w:r w:rsidR="00B200E3" w:rsidRPr="00C57C0D">
        <w:rPr>
          <w:i/>
          <w:szCs w:val="24"/>
        </w:rPr>
        <w:t>.</w:t>
      </w:r>
      <w:r w:rsidR="00B200E3" w:rsidRPr="00B200E3">
        <w:rPr>
          <w:i/>
          <w:szCs w:val="24"/>
        </w:rPr>
        <w:t xml:space="preserve"> Massachusetts Accident Co.,</w:t>
      </w:r>
      <w:r w:rsidR="00365786" w:rsidRPr="00F004B5">
        <w:rPr>
          <w:iCs/>
          <w:szCs w:val="24"/>
        </w:rPr>
        <w:t xml:space="preserve"> </w:t>
      </w:r>
      <w:r w:rsidR="00365786">
        <w:rPr>
          <w:szCs w:val="24"/>
        </w:rPr>
        <w:t xml:space="preserve">307 Mass. 246, 250 (1940).  </w:t>
      </w:r>
      <w:r w:rsidR="00B403F7">
        <w:t xml:space="preserve">After careful review and consideration of all of the evidence </w:t>
      </w:r>
      <w:r w:rsidR="00D77827">
        <w:t>in this case, I have concluded that the Board has</w:t>
      </w:r>
      <w:r w:rsidR="007575C9">
        <w:t xml:space="preserve"> met its burden of proof </w:t>
      </w:r>
      <w:r w:rsidR="00AA7D46">
        <w:t xml:space="preserve">with respect to each of the grounds set forth above for taking disciplinary action against Dr. </w:t>
      </w:r>
      <w:proofErr w:type="spellStart"/>
      <w:r w:rsidR="00AA7D46">
        <w:t>Thakuria</w:t>
      </w:r>
      <w:proofErr w:type="spellEnd"/>
      <w:r w:rsidR="00AA7D46">
        <w:t>.</w:t>
      </w:r>
      <w:r w:rsidR="00A3745D">
        <w:t xml:space="preserve">  </w:t>
      </w:r>
    </w:p>
    <w:p w14:paraId="00800C1A" w14:textId="48B4179E" w:rsidR="0046062F" w:rsidRDefault="00A3745D" w:rsidP="00272C8A">
      <w:pPr>
        <w:tabs>
          <w:tab w:val="left" w:pos="720"/>
          <w:tab w:val="left" w:pos="1440"/>
          <w:tab w:val="left" w:pos="2160"/>
          <w:tab w:val="left" w:pos="3300"/>
        </w:tabs>
        <w:jc w:val="both"/>
      </w:pPr>
      <w:r>
        <w:tab/>
      </w:r>
      <w:r w:rsidR="00AA7D46">
        <w:t>First</w:t>
      </w:r>
      <w:r w:rsidR="00D83182">
        <w:t>, the Boar</w:t>
      </w:r>
      <w:r w:rsidR="00CD2FAA">
        <w:t xml:space="preserve">d </w:t>
      </w:r>
      <w:r w:rsidR="006C25FD">
        <w:t xml:space="preserve">proved </w:t>
      </w:r>
      <w:r w:rsidR="00CD2FAA">
        <w:t xml:space="preserve">that </w:t>
      </w:r>
      <w:r w:rsidR="00D83182">
        <w:t xml:space="preserve">Dr. </w:t>
      </w:r>
      <w:proofErr w:type="spellStart"/>
      <w:r w:rsidR="00D83182">
        <w:t>Thakuri</w:t>
      </w:r>
      <w:r w:rsidR="00EC1EFC">
        <w:t>a</w:t>
      </w:r>
      <w:proofErr w:type="spellEnd"/>
      <w:r w:rsidR="00EC1EFC">
        <w:t xml:space="preserve"> violated </w:t>
      </w:r>
      <w:r w:rsidR="00D83182">
        <w:t>243</w:t>
      </w:r>
      <w:r w:rsidR="00C57C0D">
        <w:t xml:space="preserve"> CMR</w:t>
      </w:r>
      <w:r w:rsidR="00D83182">
        <w:t xml:space="preserve"> 2.07(13</w:t>
      </w:r>
      <w:r w:rsidR="005843C6">
        <w:t>)</w:t>
      </w:r>
      <w:r w:rsidR="006C25FD">
        <w:t xml:space="preserve"> </w:t>
      </w:r>
      <w:r w:rsidR="00E6173B">
        <w:t xml:space="preserve">by failing to timely complete </w:t>
      </w:r>
      <w:r w:rsidR="009A104D">
        <w:t xml:space="preserve">clinical notes </w:t>
      </w:r>
      <w:r w:rsidR="006C25FD">
        <w:t xml:space="preserve">for </w:t>
      </w:r>
      <w:r w:rsidR="00EC1EFC">
        <w:t>patients and referring physicians</w:t>
      </w:r>
      <w:r w:rsidR="00CD2FAA">
        <w:t xml:space="preserve"> </w:t>
      </w:r>
      <w:r w:rsidR="006C25FD">
        <w:t xml:space="preserve">regarding </w:t>
      </w:r>
      <w:r w:rsidR="00D4579F">
        <w:t xml:space="preserve">his </w:t>
      </w:r>
      <w:r w:rsidR="006C25FD">
        <w:t>evaluations</w:t>
      </w:r>
      <w:r w:rsidR="00D4579F">
        <w:t xml:space="preserve">, and </w:t>
      </w:r>
      <w:r w:rsidR="00E6173B">
        <w:t xml:space="preserve">he </w:t>
      </w:r>
      <w:r w:rsidR="00D4579F">
        <w:t>is therefore subject to discipline under</w:t>
      </w:r>
      <w:r w:rsidR="006C25FD">
        <w:t xml:space="preserve"> G. L. c. 112, § 5, ¶ 8(h) and 243 </w:t>
      </w:r>
      <w:r w:rsidR="00911F51">
        <w:t xml:space="preserve">CMR </w:t>
      </w:r>
      <w:r w:rsidR="006C25FD">
        <w:t xml:space="preserve">1.03(5)(a)(11).  </w:t>
      </w:r>
      <w:r w:rsidR="0046062F">
        <w:t>The Board’s regulations require physicians to maintain patient medical records that are “complete, timely, legible, and adequate to enable” proper diagnosis and treatment and to provide copies of such records to patients in a timely manner upon request.  243</w:t>
      </w:r>
      <w:r w:rsidR="00D2609A">
        <w:t xml:space="preserve"> CMR </w:t>
      </w:r>
      <w:r w:rsidR="0046062F">
        <w:t>§ 2.07(13)(a)</w:t>
      </w:r>
      <w:r w:rsidR="00AA7D46">
        <w:t xml:space="preserve">, </w:t>
      </w:r>
      <w:r w:rsidR="0046062F">
        <w:t>(b).</w:t>
      </w:r>
      <w:r w:rsidR="00B9045A">
        <w:t xml:space="preserve">  The Board</w:t>
      </w:r>
      <w:r w:rsidR="00EA39EF">
        <w:t xml:space="preserve"> presented evidence that </w:t>
      </w:r>
      <w:r w:rsidR="00B9045A">
        <w:t xml:space="preserve">showed substantial deficiencies in the timeliness of Dr. </w:t>
      </w:r>
      <w:proofErr w:type="spellStart"/>
      <w:r w:rsidR="00B9045A">
        <w:t>Thakuria’s</w:t>
      </w:r>
      <w:proofErr w:type="spellEnd"/>
      <w:r w:rsidR="00B9045A">
        <w:t xml:space="preserve"> clinical </w:t>
      </w:r>
      <w:r w:rsidR="00B9045A">
        <w:lastRenderedPageBreak/>
        <w:t>documentation, which</w:t>
      </w:r>
      <w:r w:rsidR="001F26A3">
        <w:t xml:space="preserve"> on several occasions resulted in MGH being unable to provide</w:t>
      </w:r>
      <w:r w:rsidR="00AC1016">
        <w:t xml:space="preserve"> medical records </w:t>
      </w:r>
      <w:r w:rsidR="00E42DD7">
        <w:t xml:space="preserve">from his clinical evaluations </w:t>
      </w:r>
      <w:r w:rsidR="00AC1016">
        <w:t xml:space="preserve">to </w:t>
      </w:r>
      <w:r w:rsidR="00B9045A">
        <w:t>patients and referring physicians</w:t>
      </w:r>
      <w:r w:rsidR="00E42DD7">
        <w:t xml:space="preserve"> </w:t>
      </w:r>
      <w:r w:rsidR="001F26A3">
        <w:t>who</w:t>
      </w:r>
      <w:r w:rsidR="00AC1016">
        <w:t xml:space="preserve"> requested</w:t>
      </w:r>
      <w:r w:rsidR="00E42DD7">
        <w:t xml:space="preserve"> these records from the hospital.  As a result, Dr. </w:t>
      </w:r>
      <w:proofErr w:type="spellStart"/>
      <w:r w:rsidR="00E42DD7">
        <w:t>Thakuria’s</w:t>
      </w:r>
      <w:proofErr w:type="spellEnd"/>
      <w:r w:rsidR="00E42DD7">
        <w:t xml:space="preserve"> clinical documentation failed to comply with 243</w:t>
      </w:r>
      <w:r w:rsidR="006751C9">
        <w:t xml:space="preserve"> CMR </w:t>
      </w:r>
      <w:r w:rsidR="00E42DD7">
        <w:t>2.07(13)(a) and (b)</w:t>
      </w:r>
      <w:r w:rsidR="006751C9">
        <w:t xml:space="preserve"> and </w:t>
      </w:r>
      <w:r w:rsidR="00B77A62">
        <w:t xml:space="preserve">the Board may impose discipline pursuant to </w:t>
      </w:r>
      <w:r w:rsidR="0046062F">
        <w:t>G. L. c. 112, § 5, ¶ 8(h) and 243</w:t>
      </w:r>
      <w:r w:rsidR="00CF33B6">
        <w:t xml:space="preserve"> CMR </w:t>
      </w:r>
      <w:r w:rsidR="0046062F">
        <w:t>§ 1.03(5)(a)(11)</w:t>
      </w:r>
      <w:r w:rsidR="00CF33B6">
        <w:t xml:space="preserve"> for those failures</w:t>
      </w:r>
      <w:r w:rsidR="0046062F">
        <w:t xml:space="preserve">.  </w:t>
      </w:r>
    </w:p>
    <w:p w14:paraId="758DD102" w14:textId="002469AC" w:rsidR="00697865" w:rsidRDefault="00B77A62" w:rsidP="00B77A62">
      <w:pPr>
        <w:tabs>
          <w:tab w:val="left" w:pos="720"/>
          <w:tab w:val="left" w:pos="1440"/>
          <w:tab w:val="left" w:pos="2160"/>
          <w:tab w:val="left" w:pos="3300"/>
        </w:tabs>
        <w:jc w:val="both"/>
      </w:pPr>
      <w:r>
        <w:tab/>
      </w:r>
      <w:r w:rsidR="009A104D">
        <w:t>Second, t</w:t>
      </w:r>
      <w:r w:rsidR="00CD2FAA">
        <w:t xml:space="preserve">he </w:t>
      </w:r>
      <w:r w:rsidR="009A104D">
        <w:t xml:space="preserve">Board </w:t>
      </w:r>
      <w:r w:rsidR="00CD2FAA">
        <w:t>established</w:t>
      </w:r>
      <w:r w:rsidR="00D4579F">
        <w:t xml:space="preserve"> </w:t>
      </w:r>
      <w:r w:rsidR="00A76F3F">
        <w:t xml:space="preserve">ground for discipline under </w:t>
      </w:r>
      <w:r w:rsidR="003451C0">
        <w:t>243</w:t>
      </w:r>
      <w:r w:rsidR="00CF33B6">
        <w:t xml:space="preserve"> CMR </w:t>
      </w:r>
      <w:r w:rsidR="003451C0">
        <w:t>1.03(5)(a)(15)</w:t>
      </w:r>
      <w:r w:rsidR="00A76F3F">
        <w:t xml:space="preserve">, based on Dr. </w:t>
      </w:r>
      <w:proofErr w:type="spellStart"/>
      <w:r w:rsidR="00A76F3F">
        <w:t>Thakuria’s</w:t>
      </w:r>
      <w:proofErr w:type="spellEnd"/>
      <w:r w:rsidR="00A76F3F">
        <w:t xml:space="preserve"> failure </w:t>
      </w:r>
      <w:r w:rsidR="00B02CD4">
        <w:t xml:space="preserve">to report </w:t>
      </w:r>
      <w:r w:rsidR="005236FE">
        <w:t>in his 2014 license renewal application that</w:t>
      </w:r>
      <w:r w:rsidR="00CD2FAA">
        <w:t xml:space="preserve"> he had been subject to disciplinary action </w:t>
      </w:r>
      <w:r w:rsidR="00A76F3F">
        <w:t>at MGH</w:t>
      </w:r>
      <w:r w:rsidR="00CD2FAA">
        <w:t xml:space="preserve"> in January 2013</w:t>
      </w:r>
      <w:r>
        <w:t xml:space="preserve">.  In his license </w:t>
      </w:r>
      <w:r w:rsidR="00697865">
        <w:t xml:space="preserve">renewal application, which he filed in May 2014, Dr. </w:t>
      </w:r>
      <w:proofErr w:type="spellStart"/>
      <w:r w:rsidR="00697865">
        <w:t>Thakuria</w:t>
      </w:r>
      <w:proofErr w:type="spellEnd"/>
      <w:r w:rsidR="00697865">
        <w:t xml:space="preserve"> was specifically asked whether he had “been the subject of a disciplinary action taken by any . . . health care facility,” to which he responded “No”.  The Board’s regulations require applicants for either an initial license or a renewal to supply “all required information” and that the application be “sworn to by the applicant.” </w:t>
      </w:r>
      <w:r>
        <w:t xml:space="preserve"> </w:t>
      </w:r>
      <w:r w:rsidR="00697865">
        <w:t>243</w:t>
      </w:r>
      <w:r w:rsidR="00A016C2">
        <w:t xml:space="preserve"> CMR </w:t>
      </w:r>
      <w:r w:rsidR="00697865">
        <w:t xml:space="preserve">2.04(4)(a) and (b).  Dr. </w:t>
      </w:r>
      <w:proofErr w:type="spellStart"/>
      <w:r w:rsidR="00697865">
        <w:t>Thakuria</w:t>
      </w:r>
      <w:proofErr w:type="spellEnd"/>
      <w:r w:rsidR="00BF09E6">
        <w:t xml:space="preserve"> </w:t>
      </w:r>
      <w:r w:rsidR="008B026B">
        <w:t xml:space="preserve">argued at the hearing </w:t>
      </w:r>
      <w:r w:rsidR="00BF09E6">
        <w:t xml:space="preserve">that this matter did not need to be reported because it was an </w:t>
      </w:r>
      <w:r w:rsidR="00697865">
        <w:t xml:space="preserve">“informal issue” that had been resolved, </w:t>
      </w:r>
      <w:r>
        <w:t xml:space="preserve">but </w:t>
      </w:r>
      <w:r w:rsidR="00697865">
        <w:t xml:space="preserve">he has not offered any legal authority or argument for this position.  </w:t>
      </w:r>
      <w:r w:rsidR="009A104D">
        <w:t xml:space="preserve">Contrary to his position, </w:t>
      </w:r>
      <w:r w:rsidR="00697865">
        <w:t xml:space="preserve">the Board’s </w:t>
      </w:r>
      <w:r w:rsidR="009A104D">
        <w:t xml:space="preserve">regulations </w:t>
      </w:r>
      <w:r w:rsidR="00697865">
        <w:t>defin</w:t>
      </w:r>
      <w:r w:rsidR="009A104D">
        <w:t>e</w:t>
      </w:r>
      <w:r w:rsidR="00697865">
        <w:t xml:space="preserve"> “disciplinary action” </w:t>
      </w:r>
      <w:r w:rsidR="009A104D">
        <w:t xml:space="preserve">to </w:t>
      </w:r>
      <w:r w:rsidR="00697865">
        <w:t xml:space="preserve">include both formal and informal </w:t>
      </w:r>
      <w:r w:rsidR="002816C2">
        <w:t>action</w:t>
      </w:r>
      <w:r w:rsidR="004E0CE2">
        <w:t xml:space="preserve"> and </w:t>
      </w:r>
      <w:r w:rsidR="00EE5EBF">
        <w:t xml:space="preserve">include a </w:t>
      </w:r>
      <w:r w:rsidR="004E0CE2">
        <w:t xml:space="preserve">broad array of </w:t>
      </w:r>
      <w:r w:rsidR="00EE5EBF">
        <w:t xml:space="preserve">disciplinary </w:t>
      </w:r>
      <w:r w:rsidR="004E0CE2">
        <w:t xml:space="preserve">measures such as suspension, </w:t>
      </w:r>
      <w:r w:rsidR="00697865">
        <w:t>restriction of privileges, censure, reprimand, admonition, and fines.</w:t>
      </w:r>
      <w:r w:rsidR="004122EA">
        <w:t xml:space="preserve"> </w:t>
      </w:r>
      <w:r w:rsidR="00697865">
        <w:t>243</w:t>
      </w:r>
      <w:r w:rsidR="00150228">
        <w:t xml:space="preserve"> CMR </w:t>
      </w:r>
      <w:r w:rsidR="00697865">
        <w:t xml:space="preserve">1.01(2).  </w:t>
      </w:r>
      <w:r w:rsidR="007D0310">
        <w:t xml:space="preserve">Accordingly, </w:t>
      </w:r>
      <w:r w:rsidR="00697865">
        <w:t>I conclud</w:t>
      </w:r>
      <w:r>
        <w:t>e</w:t>
      </w:r>
      <w:r w:rsidR="00C3429A">
        <w:t xml:space="preserve"> that</w:t>
      </w:r>
      <w:r w:rsidR="00470A7C">
        <w:t xml:space="preserve"> Dr. </w:t>
      </w:r>
      <w:proofErr w:type="spellStart"/>
      <w:r w:rsidR="00470A7C">
        <w:t>Thakuria</w:t>
      </w:r>
      <w:proofErr w:type="spellEnd"/>
      <w:r w:rsidR="00470A7C">
        <w:t xml:space="preserve"> was required to report</w:t>
      </w:r>
      <w:r w:rsidR="00F84A36">
        <w:t xml:space="preserve"> </w:t>
      </w:r>
      <w:r w:rsidR="007D0310">
        <w:t xml:space="preserve">in his 2014 renewal application </w:t>
      </w:r>
      <w:r w:rsidR="00470A7C">
        <w:t>tha</w:t>
      </w:r>
      <w:r w:rsidR="00F84A36">
        <w:t>t</w:t>
      </w:r>
      <w:r w:rsidR="00470A7C">
        <w:t xml:space="preserve"> he had been placed on </w:t>
      </w:r>
      <w:r w:rsidR="00C3429A">
        <w:t>probation</w:t>
      </w:r>
      <w:r w:rsidR="009A10A1">
        <w:t xml:space="preserve"> and had his salary reduced at MGH during January 2013.  He failed to do so, </w:t>
      </w:r>
      <w:r w:rsidR="00EE5EBF">
        <w:t xml:space="preserve">and the Board may </w:t>
      </w:r>
      <w:r w:rsidR="00AF2B09">
        <w:t xml:space="preserve">therefore </w:t>
      </w:r>
      <w:r w:rsidR="00EE5EBF">
        <w:t xml:space="preserve">impose </w:t>
      </w:r>
      <w:r w:rsidR="00AF2B09">
        <w:t xml:space="preserve">discipline </w:t>
      </w:r>
      <w:r w:rsidR="00697865">
        <w:t>pursuant to 243 C</w:t>
      </w:r>
      <w:r w:rsidR="004122EA">
        <w:t xml:space="preserve">MR </w:t>
      </w:r>
      <w:r w:rsidR="00697865">
        <w:t xml:space="preserve">1.03(a)(15).  </w:t>
      </w:r>
    </w:p>
    <w:p w14:paraId="47AB5A83" w14:textId="6B02C749" w:rsidR="007D7448" w:rsidRDefault="002B0457" w:rsidP="002D2C38">
      <w:pPr>
        <w:tabs>
          <w:tab w:val="left" w:pos="720"/>
          <w:tab w:val="left" w:pos="1440"/>
          <w:tab w:val="left" w:pos="2160"/>
          <w:tab w:val="left" w:pos="3300"/>
        </w:tabs>
      </w:pPr>
      <w:r>
        <w:tab/>
      </w:r>
      <w:r w:rsidR="0098253D">
        <w:t xml:space="preserve">With respect to the additional reporting </w:t>
      </w:r>
      <w:r>
        <w:t>violations</w:t>
      </w:r>
      <w:r w:rsidR="009D27B8">
        <w:t xml:space="preserve"> alleged by the Board</w:t>
      </w:r>
      <w:r>
        <w:t>,</w:t>
      </w:r>
      <w:r w:rsidR="00086346">
        <w:t xml:space="preserve"> Dr. </w:t>
      </w:r>
      <w:proofErr w:type="spellStart"/>
      <w:r w:rsidR="00086346">
        <w:t>Thakuria</w:t>
      </w:r>
      <w:proofErr w:type="spellEnd"/>
      <w:r w:rsidR="00086346">
        <w:t xml:space="preserve"> does not</w:t>
      </w:r>
      <w:r w:rsidR="00397F97">
        <w:t xml:space="preserve"> dispute</w:t>
      </w:r>
      <w:r w:rsidR="00066E5B">
        <w:t xml:space="preserve"> </w:t>
      </w:r>
      <w:r w:rsidR="00FC022C">
        <w:t xml:space="preserve">either </w:t>
      </w:r>
      <w:r w:rsidR="00926FAE">
        <w:t xml:space="preserve">that his 2014 license renewal application made no mention of the </w:t>
      </w:r>
      <w:r w:rsidR="00926FAE">
        <w:lastRenderedPageBreak/>
        <w:t>investigation by Partners IRB or that his disclosure of the August 2015 criminal matter in his 2016 application omitted</w:t>
      </w:r>
      <w:r w:rsidR="007F3554">
        <w:t xml:space="preserve"> the specific details that the Board claims were necessary (i.e., </w:t>
      </w:r>
      <w:r w:rsidR="00FC022C">
        <w:t>identification of the</w:t>
      </w:r>
      <w:r w:rsidR="007F3554">
        <w:t xml:space="preserve"> criminal charge of driving with</w:t>
      </w:r>
      <w:r w:rsidR="00EE5EBF">
        <w:t xml:space="preserve"> a suspended </w:t>
      </w:r>
      <w:r w:rsidR="007F3554">
        <w:t xml:space="preserve">license </w:t>
      </w:r>
      <w:r w:rsidR="003D0A2B">
        <w:t>and</w:t>
      </w:r>
      <w:r w:rsidR="009D27B8">
        <w:t xml:space="preserve"> details concerning the disposition</w:t>
      </w:r>
      <w:r w:rsidR="00EE5EBF">
        <w:t xml:space="preserve"> of the charges</w:t>
      </w:r>
      <w:r w:rsidR="003D0A2B">
        <w:t>).</w:t>
      </w:r>
      <w:r w:rsidR="0076109F">
        <w:rPr>
          <w:rStyle w:val="FootnoteReference"/>
        </w:rPr>
        <w:footnoteReference w:id="2"/>
      </w:r>
      <w:r w:rsidR="00D500E3">
        <w:t xml:space="preserve">  Rather, Dr. </w:t>
      </w:r>
      <w:proofErr w:type="spellStart"/>
      <w:r w:rsidR="00D500E3">
        <w:t>Thakuria</w:t>
      </w:r>
      <w:proofErr w:type="spellEnd"/>
      <w:r w:rsidR="00D500E3">
        <w:t xml:space="preserve"> </w:t>
      </w:r>
      <w:r w:rsidR="00ED671E">
        <w:t xml:space="preserve">claims that he </w:t>
      </w:r>
      <w:r w:rsidR="00D500E3">
        <w:t xml:space="preserve">did not consider the IRB </w:t>
      </w:r>
      <w:r w:rsidR="00EE5EBF">
        <w:t>p</w:t>
      </w:r>
      <w:r w:rsidR="00D500E3">
        <w:t>anel’s inquiry</w:t>
      </w:r>
      <w:r w:rsidR="007D009A">
        <w:t xml:space="preserve"> to be a matter that he would need to disclose to the Board, and he believed his disclosure of the criminal matter on his </w:t>
      </w:r>
      <w:r w:rsidR="00926FAE">
        <w:t>2016 application</w:t>
      </w:r>
      <w:r w:rsidR="007D009A">
        <w:t xml:space="preserve"> provided sufficient detail in light of the</w:t>
      </w:r>
      <w:r w:rsidR="00FC022C">
        <w:t xml:space="preserve"> Board’s ongoing investigation of the criminal charges</w:t>
      </w:r>
      <w:r w:rsidR="002D35BA">
        <w:t xml:space="preserve"> at that time</w:t>
      </w:r>
      <w:r w:rsidR="00FC022C">
        <w:t xml:space="preserve">.  </w:t>
      </w:r>
      <w:r w:rsidR="007D7448">
        <w:t>(</w:t>
      </w:r>
      <w:r w:rsidR="00EE5EBF">
        <w:t xml:space="preserve">See </w:t>
      </w:r>
      <w:r w:rsidR="007D7448">
        <w:t xml:space="preserve">Tr. vol. II p. 157-158, 173-174.) </w:t>
      </w:r>
      <w:r w:rsidR="00DC24B6">
        <w:t>I did not fi</w:t>
      </w:r>
      <w:r w:rsidR="00FC1780">
        <w:t xml:space="preserve">nd Dr. </w:t>
      </w:r>
      <w:proofErr w:type="spellStart"/>
      <w:r w:rsidR="00FC1780">
        <w:t>Thakuria’s</w:t>
      </w:r>
      <w:proofErr w:type="spellEnd"/>
      <w:r w:rsidR="00FC1780">
        <w:t xml:space="preserve"> testimony on these points credible</w:t>
      </w:r>
      <w:r w:rsidR="00872E98">
        <w:t xml:space="preserve"> and</w:t>
      </w:r>
      <w:r w:rsidR="00F22364">
        <w:t xml:space="preserve"> I </w:t>
      </w:r>
      <w:r w:rsidR="008F43D0">
        <w:t xml:space="preserve">am persuaded that he knew that </w:t>
      </w:r>
      <w:r w:rsidR="00912FED">
        <w:t>the Board asked for the information</w:t>
      </w:r>
      <w:r w:rsidR="008F43D0">
        <w:t xml:space="preserve"> and that he should provide it</w:t>
      </w:r>
      <w:r w:rsidR="00530732">
        <w:t xml:space="preserve">.  The intent to deceive or defraud may be shown “by proof that a party knowingly made a false statement and that the subject of that statement was susceptible of actual knowledge.  No further proof of actual intent to deceive is required.” </w:t>
      </w:r>
      <w:r w:rsidR="00530732" w:rsidRPr="005A6D5E">
        <w:rPr>
          <w:rFonts w:eastAsia="Times New Roman" w:cs="Times New Roman"/>
          <w:color w:val="000000"/>
          <w:szCs w:val="24"/>
        </w:rPr>
        <w:t xml:space="preserve"> </w:t>
      </w:r>
      <w:r w:rsidR="00530732" w:rsidRPr="005A6D5E">
        <w:rPr>
          <w:rFonts w:eastAsia="Times New Roman" w:cs="Times New Roman"/>
          <w:i/>
          <w:iCs/>
          <w:color w:val="000000"/>
          <w:szCs w:val="24"/>
        </w:rPr>
        <w:t>Fisch v. Board of Registration in Med</w:t>
      </w:r>
      <w:r w:rsidR="00530732" w:rsidRPr="005A6D5E">
        <w:rPr>
          <w:rFonts w:eastAsia="Times New Roman" w:cs="Times New Roman"/>
          <w:color w:val="000000"/>
          <w:szCs w:val="24"/>
        </w:rPr>
        <w:t xml:space="preserve">., </w:t>
      </w:r>
      <w:r w:rsidR="00530732" w:rsidRPr="00310748">
        <w:rPr>
          <w:rFonts w:eastAsia="Times New Roman" w:cs="Times New Roman"/>
          <w:color w:val="000000"/>
          <w:szCs w:val="24"/>
        </w:rPr>
        <w:t>437 Mass. 128, 139 (2002)</w:t>
      </w:r>
      <w:r w:rsidR="00530732">
        <w:rPr>
          <w:rFonts w:eastAsia="Times New Roman" w:cs="Times New Roman"/>
          <w:color w:val="000000"/>
          <w:szCs w:val="24"/>
        </w:rPr>
        <w:t xml:space="preserve"> (citation omitted).  </w:t>
      </w:r>
    </w:p>
    <w:p w14:paraId="09DF705D" w14:textId="645FA56D" w:rsidR="00804860" w:rsidRDefault="007D7448" w:rsidP="002D2C38">
      <w:pPr>
        <w:tabs>
          <w:tab w:val="left" w:pos="720"/>
          <w:tab w:val="left" w:pos="1440"/>
          <w:tab w:val="left" w:pos="2160"/>
          <w:tab w:val="left" w:pos="3300"/>
        </w:tabs>
      </w:pPr>
      <w:r>
        <w:tab/>
      </w:r>
      <w:r w:rsidR="00D97CB5">
        <w:t>I agree</w:t>
      </w:r>
      <w:r w:rsidR="008B3684">
        <w:t xml:space="preserve"> with the Board that Dr. </w:t>
      </w:r>
      <w:proofErr w:type="spellStart"/>
      <w:r w:rsidR="008B3684">
        <w:t>Thakuria</w:t>
      </w:r>
      <w:proofErr w:type="spellEnd"/>
      <w:r w:rsidR="008B3684">
        <w:t xml:space="preserve"> failed to satisfy his reporting obligations with respect to both the omission of the IRB panel investigation on his 2014 license renewal application </w:t>
      </w:r>
      <w:r w:rsidR="00594C4F">
        <w:t xml:space="preserve">as well as the lack of sufficient detail </w:t>
      </w:r>
      <w:r w:rsidR="000C582C">
        <w:t>in</w:t>
      </w:r>
      <w:r w:rsidR="00594C4F">
        <w:t xml:space="preserve"> his disclosure of the criminal charges</w:t>
      </w:r>
      <w:r w:rsidR="00EB5509">
        <w:t xml:space="preserve"> on</w:t>
      </w:r>
      <w:r w:rsidR="00594C4F">
        <w:t xml:space="preserve"> his 2016 license application</w:t>
      </w:r>
      <w:r w:rsidR="00711DAA">
        <w:t>.</w:t>
      </w:r>
      <w:r w:rsidR="000A406A">
        <w:t xml:space="preserve">  In the 2014 applicatio</w:t>
      </w:r>
      <w:r w:rsidR="00084E81">
        <w:t xml:space="preserve">n, </w:t>
      </w:r>
      <w:r w:rsidR="00EE6864">
        <w:t xml:space="preserve">the Board’s inquiry concerning investigations </w:t>
      </w:r>
      <w:r w:rsidR="00804860">
        <w:t>was broad in scop</w:t>
      </w:r>
      <w:r w:rsidR="00EE5EBF">
        <w:t xml:space="preserve">e.  It was not limited to </w:t>
      </w:r>
      <w:r w:rsidR="0008022A">
        <w:t>matter</w:t>
      </w:r>
      <w:r w:rsidR="00EE6864">
        <w:t>s</w:t>
      </w:r>
      <w:r w:rsidR="0008022A">
        <w:t xml:space="preserve"> that would necessitate a mandated report under 243</w:t>
      </w:r>
      <w:r w:rsidR="00694F38">
        <w:t xml:space="preserve"> CMR </w:t>
      </w:r>
      <w:r w:rsidR="0008022A">
        <w:t>2.14</w:t>
      </w:r>
      <w:r w:rsidR="00785802">
        <w:t>, or to matters that are punitive or disciplinary in nature</w:t>
      </w:r>
      <w:r w:rsidR="0008022A">
        <w:t>.</w:t>
      </w:r>
      <w:r w:rsidR="00785802">
        <w:t xml:space="preserve">  The Board sought disclosure of any instances in which the applicant was the subject of an investigation by a health </w:t>
      </w:r>
      <w:r w:rsidR="00785802">
        <w:lastRenderedPageBreak/>
        <w:t xml:space="preserve">care facility.  The IRB panel’s investigation falls within the scope of this inquiry, and </w:t>
      </w:r>
      <w:r w:rsidR="00804860">
        <w:t xml:space="preserve">Dr. </w:t>
      </w:r>
      <w:proofErr w:type="spellStart"/>
      <w:r w:rsidR="00804860">
        <w:t>Takuria</w:t>
      </w:r>
      <w:proofErr w:type="spellEnd"/>
      <w:r w:rsidR="00804860">
        <w:t xml:space="preserve"> was </w:t>
      </w:r>
      <w:r w:rsidR="00785802">
        <w:t xml:space="preserve">therefore </w:t>
      </w:r>
      <w:r w:rsidR="00804860">
        <w:t xml:space="preserve">required to disclose </w:t>
      </w:r>
      <w:r w:rsidR="00785802">
        <w:t xml:space="preserve">the </w:t>
      </w:r>
      <w:r w:rsidR="00804860">
        <w:t>investigation</w:t>
      </w:r>
      <w:r w:rsidR="00785802">
        <w:t xml:space="preserve"> </w:t>
      </w:r>
      <w:r w:rsidR="00804860">
        <w:t xml:space="preserve">in his </w:t>
      </w:r>
      <w:r w:rsidR="00084E81">
        <w:t>2014 renewal application</w:t>
      </w:r>
      <w:r w:rsidR="0007699E">
        <w:t>.</w:t>
      </w:r>
      <w:r w:rsidR="0007699E">
        <w:rPr>
          <w:rStyle w:val="FootnoteReference"/>
        </w:rPr>
        <w:footnoteReference w:id="3"/>
      </w:r>
      <w:r w:rsidR="00841D12">
        <w:t xml:space="preserve">  </w:t>
      </w:r>
    </w:p>
    <w:p w14:paraId="2CF9F1C9" w14:textId="77777777" w:rsidR="00283526" w:rsidRDefault="00804860" w:rsidP="002D2C38">
      <w:pPr>
        <w:tabs>
          <w:tab w:val="left" w:pos="720"/>
          <w:tab w:val="left" w:pos="1440"/>
          <w:tab w:val="left" w:pos="2160"/>
          <w:tab w:val="left" w:pos="3300"/>
        </w:tabs>
      </w:pPr>
      <w:r>
        <w:tab/>
      </w:r>
      <w:r w:rsidR="00841D12">
        <w:t>Similarly, the Board’s Lapsed License Application Supplement</w:t>
      </w:r>
      <w:r w:rsidR="00785802">
        <w:t xml:space="preserve">, which </w:t>
      </w:r>
      <w:r w:rsidR="00841D12">
        <w:t xml:space="preserve">Dr. </w:t>
      </w:r>
      <w:proofErr w:type="spellStart"/>
      <w:r w:rsidR="00841D12">
        <w:t>Thakuria</w:t>
      </w:r>
      <w:proofErr w:type="spellEnd"/>
      <w:r w:rsidR="00841D12">
        <w:t xml:space="preserve"> filed in late 2016</w:t>
      </w:r>
      <w:r w:rsidR="00785802">
        <w:t>,</w:t>
      </w:r>
      <w:r w:rsidR="00841D12">
        <w:t xml:space="preserve"> required disclosure of the criminal “charge(s)” at issue, as well as the “status” of the criminal proceeding.  Dr. </w:t>
      </w:r>
      <w:proofErr w:type="spellStart"/>
      <w:r w:rsidR="00841D12">
        <w:t>Thakuria</w:t>
      </w:r>
      <w:proofErr w:type="spellEnd"/>
      <w:r w:rsidR="00841D12">
        <w:t xml:space="preserve"> correctly identified the OUI charge, but </w:t>
      </w:r>
      <w:r w:rsidR="00283526">
        <w:t xml:space="preserve">made no mention of the </w:t>
      </w:r>
      <w:r w:rsidR="00841D12">
        <w:t xml:space="preserve">charge of driving with </w:t>
      </w:r>
      <w:r w:rsidR="00283526">
        <w:t xml:space="preserve">a </w:t>
      </w:r>
      <w:r w:rsidR="00841D12">
        <w:t>suspended license.  He identified the “status” as “case dismissed</w:t>
      </w:r>
      <w:r w:rsidR="00283526">
        <w:t>,</w:t>
      </w:r>
      <w:r w:rsidR="00841D12">
        <w:t xml:space="preserve">” </w:t>
      </w:r>
      <w:r w:rsidR="00C75B6C">
        <w:t>which was a true but incomplete description of the disposition.  Both the Lapsed License Application form,</w:t>
      </w:r>
      <w:r w:rsidR="00E84DA9">
        <w:rPr>
          <w:rStyle w:val="FootnoteReference"/>
        </w:rPr>
        <w:footnoteReference w:id="4"/>
      </w:r>
      <w:r w:rsidR="00C75B6C">
        <w:t xml:space="preserve"> and the Board’s instructions for completion of that form, clearly seek disclosure of the full disposition and “court action” taken, not just the end result.</w:t>
      </w:r>
      <w:r w:rsidR="0023506E">
        <w:rPr>
          <w:rStyle w:val="FootnoteReference"/>
        </w:rPr>
        <w:footnoteReference w:id="5"/>
      </w:r>
      <w:r w:rsidR="00C75B6C">
        <w:t xml:space="preserve">  </w:t>
      </w:r>
    </w:p>
    <w:p w14:paraId="0A2F9D6E" w14:textId="5B5CD07E" w:rsidR="00B72943" w:rsidRDefault="00283526" w:rsidP="002D2C38">
      <w:pPr>
        <w:tabs>
          <w:tab w:val="left" w:pos="720"/>
          <w:tab w:val="left" w:pos="1440"/>
          <w:tab w:val="left" w:pos="2160"/>
          <w:tab w:val="left" w:pos="3300"/>
        </w:tabs>
      </w:pPr>
      <w:r>
        <w:tab/>
        <w:t xml:space="preserve">I conclude that Dr. </w:t>
      </w:r>
      <w:proofErr w:type="spellStart"/>
      <w:r>
        <w:t>T</w:t>
      </w:r>
      <w:r w:rsidR="00486026">
        <w:t>h</w:t>
      </w:r>
      <w:r>
        <w:t>akuria</w:t>
      </w:r>
      <w:proofErr w:type="spellEnd"/>
      <w:r>
        <w:t xml:space="preserve"> failed to include sufficient </w:t>
      </w:r>
      <w:r w:rsidR="00171E2B">
        <w:t>detail</w:t>
      </w:r>
      <w:r>
        <w:t xml:space="preserve">s of the criminal charges in his application, </w:t>
      </w:r>
      <w:r w:rsidR="00171E2B">
        <w:t xml:space="preserve">which should have identified </w:t>
      </w:r>
      <w:r w:rsidR="00171E2B" w:rsidRPr="00283526">
        <w:rPr>
          <w:i/>
          <w:iCs/>
        </w:rPr>
        <w:t>both</w:t>
      </w:r>
      <w:r w:rsidR="00171E2B">
        <w:t xml:space="preserve"> criminal charges </w:t>
      </w:r>
      <w:r w:rsidR="00A25029">
        <w:t>and disclose</w:t>
      </w:r>
      <w:r w:rsidR="00616193">
        <w:t>d</w:t>
      </w:r>
      <w:r w:rsidR="00A25029">
        <w:t xml:space="preserve"> the process by which the case resolved</w:t>
      </w:r>
      <w:r w:rsidR="00616193">
        <w:t xml:space="preserve"> (</w:t>
      </w:r>
      <w:r w:rsidR="00A25029">
        <w:t xml:space="preserve">i.e., </w:t>
      </w:r>
      <w:r w:rsidR="00A95318">
        <w:t>through the alternative disposition authorized by G. L. c. 90, § 24</w:t>
      </w:r>
      <w:r w:rsidR="00616193">
        <w:t>)</w:t>
      </w:r>
      <w:r w:rsidR="004737A6">
        <w:t>.</w:t>
      </w:r>
      <w:r w:rsidR="00B72943">
        <w:t xml:space="preserve">  Pertinent details concerning the disposition include, for example, his </w:t>
      </w:r>
      <w:r w:rsidR="00616193">
        <w:t xml:space="preserve">admission </w:t>
      </w:r>
      <w:r w:rsidR="00B72943">
        <w:t xml:space="preserve">to </w:t>
      </w:r>
      <w:r w:rsidR="002C49D0">
        <w:t xml:space="preserve">sufficient facts to support the </w:t>
      </w:r>
      <w:r w:rsidR="00B72943">
        <w:t xml:space="preserve">criminal </w:t>
      </w:r>
      <w:r w:rsidR="002C49D0">
        <w:t xml:space="preserve">charges, </w:t>
      </w:r>
      <w:r w:rsidR="00B72943">
        <w:t xml:space="preserve">the </w:t>
      </w:r>
      <w:r w:rsidR="004737A6">
        <w:t xml:space="preserve">subsequent entry of a continuance without a finding by the </w:t>
      </w:r>
      <w:r w:rsidR="004737A6">
        <w:lastRenderedPageBreak/>
        <w:t xml:space="preserve">court, </w:t>
      </w:r>
      <w:r w:rsidR="002C49D0">
        <w:t>and</w:t>
      </w:r>
      <w:r w:rsidR="004737A6">
        <w:t xml:space="preserve"> the </w:t>
      </w:r>
      <w:r w:rsidR="00B72943">
        <w:t xml:space="preserve">terms of the probationary period that </w:t>
      </w:r>
      <w:r w:rsidR="004737A6">
        <w:t xml:space="preserve">Dr. </w:t>
      </w:r>
      <w:proofErr w:type="spellStart"/>
      <w:r w:rsidR="004737A6">
        <w:t>Thakuria</w:t>
      </w:r>
      <w:proofErr w:type="spellEnd"/>
      <w:r w:rsidR="004737A6">
        <w:t xml:space="preserve"> needed to satisfy </w:t>
      </w:r>
      <w:r w:rsidR="00B72943">
        <w:t>to</w:t>
      </w:r>
      <w:r w:rsidR="002C49D0">
        <w:t xml:space="preserve"> obtain dismissal of the charges.  </w:t>
      </w:r>
    </w:p>
    <w:p w14:paraId="61B56509" w14:textId="03B7C4F8" w:rsidR="00755D3E" w:rsidRDefault="0089324E" w:rsidP="00336A5A">
      <w:pPr>
        <w:shd w:val="clear" w:color="auto" w:fill="FFFFFF"/>
        <w:spacing w:after="240"/>
        <w:rPr>
          <w:rFonts w:eastAsia="Times New Roman" w:cs="Times New Roman"/>
          <w:color w:val="000000"/>
          <w:szCs w:val="24"/>
        </w:rPr>
      </w:pPr>
      <w:r>
        <w:tab/>
      </w:r>
      <w:r w:rsidR="00D91512">
        <w:t>I further conclude that the omissions in his 2014 and 2016 applications</w:t>
      </w:r>
      <w:r w:rsidR="009A0C50">
        <w:t xml:space="preserve"> </w:t>
      </w:r>
      <w:r w:rsidR="00D91512">
        <w:t>establish ground</w:t>
      </w:r>
      <w:r w:rsidR="006122D1">
        <w:t>s</w:t>
      </w:r>
      <w:r w:rsidR="00D91512">
        <w:t xml:space="preserve"> for the Board to impose discipline for fraudulent procurement of his license renewal and </w:t>
      </w:r>
      <w:r w:rsidR="00283526">
        <w:t xml:space="preserve">for </w:t>
      </w:r>
      <w:r w:rsidR="0053754B">
        <w:t xml:space="preserve">engaging in deceptive conduct, pursuant to 243 </w:t>
      </w:r>
      <w:r w:rsidR="00795523">
        <w:t xml:space="preserve">CMR </w:t>
      </w:r>
      <w:r w:rsidR="0053754B">
        <w:t>1.03(5)(a)(1)</w:t>
      </w:r>
      <w:r w:rsidR="00260D41">
        <w:t xml:space="preserve">, </w:t>
      </w:r>
      <w:r w:rsidR="0053754B">
        <w:t>(10</w:t>
      </w:r>
      <w:r w:rsidR="001747A8">
        <w:rPr>
          <w:rFonts w:eastAsia="Times New Roman" w:cs="Times New Roman"/>
          <w:color w:val="000000"/>
          <w:szCs w:val="24"/>
        </w:rPr>
        <w:t xml:space="preserve">Dr. </w:t>
      </w:r>
      <w:proofErr w:type="spellStart"/>
      <w:r w:rsidR="001747A8">
        <w:rPr>
          <w:rFonts w:eastAsia="Times New Roman" w:cs="Times New Roman"/>
          <w:color w:val="000000"/>
          <w:szCs w:val="24"/>
        </w:rPr>
        <w:t>Thakuria</w:t>
      </w:r>
      <w:proofErr w:type="spellEnd"/>
      <w:r w:rsidR="001747A8">
        <w:rPr>
          <w:rFonts w:eastAsia="Times New Roman" w:cs="Times New Roman"/>
          <w:color w:val="000000"/>
          <w:szCs w:val="24"/>
        </w:rPr>
        <w:t xml:space="preserve"> did not provide sufficient justification </w:t>
      </w:r>
      <w:r w:rsidR="006C46A6">
        <w:rPr>
          <w:rFonts w:eastAsia="Times New Roman" w:cs="Times New Roman"/>
          <w:color w:val="000000"/>
          <w:szCs w:val="24"/>
        </w:rPr>
        <w:t>for omitting the IRB panel investigation and disciplinary action by MGH on his 2014 application</w:t>
      </w:r>
      <w:r w:rsidR="007712C2">
        <w:rPr>
          <w:rFonts w:eastAsia="Times New Roman" w:cs="Times New Roman"/>
          <w:color w:val="000000"/>
          <w:szCs w:val="24"/>
        </w:rPr>
        <w:t>, or for the lack of detail concerning the criminal charges on his 2016 application</w:t>
      </w:r>
      <w:r w:rsidR="006C46A6">
        <w:rPr>
          <w:rFonts w:eastAsia="Times New Roman" w:cs="Times New Roman"/>
          <w:color w:val="000000"/>
          <w:szCs w:val="24"/>
        </w:rPr>
        <w:t>.</w:t>
      </w:r>
    </w:p>
    <w:p w14:paraId="5AB9B435" w14:textId="05794F0D" w:rsidR="00C5086B" w:rsidRDefault="00755D3E" w:rsidP="005A4929">
      <w:pPr>
        <w:shd w:val="clear" w:color="auto" w:fill="FFFFFF"/>
        <w:spacing w:after="240"/>
        <w:rPr>
          <w:rFonts w:eastAsia="Times New Roman" w:cs="Times New Roman"/>
          <w:color w:val="000000"/>
          <w:szCs w:val="24"/>
        </w:rPr>
      </w:pPr>
      <w:r>
        <w:rPr>
          <w:rFonts w:eastAsia="Times New Roman" w:cs="Times New Roman"/>
          <w:color w:val="000000"/>
          <w:szCs w:val="24"/>
        </w:rPr>
        <w:tab/>
      </w:r>
      <w:r w:rsidR="006C46A6">
        <w:rPr>
          <w:rFonts w:eastAsia="Times New Roman" w:cs="Times New Roman"/>
          <w:color w:val="000000"/>
          <w:szCs w:val="24"/>
        </w:rPr>
        <w:t xml:space="preserve">The </w:t>
      </w:r>
      <w:r w:rsidR="007712C2">
        <w:rPr>
          <w:rFonts w:eastAsia="Times New Roman" w:cs="Times New Roman"/>
          <w:color w:val="000000"/>
          <w:szCs w:val="24"/>
        </w:rPr>
        <w:t xml:space="preserve">2014 </w:t>
      </w:r>
      <w:r w:rsidR="006C46A6">
        <w:rPr>
          <w:rFonts w:eastAsia="Times New Roman" w:cs="Times New Roman"/>
          <w:color w:val="000000"/>
          <w:szCs w:val="24"/>
        </w:rPr>
        <w:t xml:space="preserve">application </w:t>
      </w:r>
      <w:r w:rsidR="00090FB8">
        <w:rPr>
          <w:rFonts w:eastAsia="Times New Roman" w:cs="Times New Roman"/>
          <w:color w:val="000000"/>
          <w:szCs w:val="24"/>
        </w:rPr>
        <w:t>included</w:t>
      </w:r>
      <w:r w:rsidR="006C46A6">
        <w:rPr>
          <w:rFonts w:eastAsia="Times New Roman" w:cs="Times New Roman"/>
          <w:color w:val="000000"/>
          <w:szCs w:val="24"/>
        </w:rPr>
        <w:t xml:space="preserve"> questions </w:t>
      </w:r>
      <w:r w:rsidR="00090FB8">
        <w:rPr>
          <w:rFonts w:eastAsia="Times New Roman" w:cs="Times New Roman"/>
          <w:color w:val="000000"/>
          <w:szCs w:val="24"/>
        </w:rPr>
        <w:t xml:space="preserve">that specifically asked whether </w:t>
      </w:r>
      <w:r w:rsidR="006C46A6">
        <w:rPr>
          <w:rFonts w:eastAsia="Times New Roman" w:cs="Times New Roman"/>
          <w:color w:val="000000"/>
          <w:szCs w:val="24"/>
        </w:rPr>
        <w:t xml:space="preserve">he was subject to an investigation or to disciplinary action by a health care facility or employer, </w:t>
      </w:r>
      <w:r w:rsidR="00090FB8">
        <w:rPr>
          <w:rFonts w:eastAsia="Times New Roman" w:cs="Times New Roman"/>
          <w:color w:val="000000"/>
          <w:szCs w:val="24"/>
        </w:rPr>
        <w:t>and he responded “No” to each of these questions.  His only explanation was that he did not believe these matters needed to be reported.  He did not provide any evidence</w:t>
      </w:r>
      <w:r w:rsidR="007712C2">
        <w:rPr>
          <w:rFonts w:eastAsia="Times New Roman" w:cs="Times New Roman"/>
          <w:color w:val="000000"/>
          <w:szCs w:val="24"/>
        </w:rPr>
        <w:t xml:space="preserve"> or legal authority in support of his position, and I did not find his testimony credible</w:t>
      </w:r>
      <w:r w:rsidR="006E1BBD">
        <w:rPr>
          <w:rFonts w:eastAsia="Times New Roman" w:cs="Times New Roman"/>
          <w:color w:val="000000"/>
          <w:szCs w:val="24"/>
        </w:rPr>
        <w:t xml:space="preserve"> with respect to his reasons for the omissions.  </w:t>
      </w:r>
      <w:r w:rsidR="00F66708">
        <w:rPr>
          <w:rFonts w:eastAsia="Times New Roman" w:cs="Times New Roman"/>
          <w:color w:val="000000"/>
          <w:szCs w:val="24"/>
        </w:rPr>
        <w:t xml:space="preserve">The Board relies on self-reporting by physicians on their license renewal forms, and a physician’s lack of candor in responding to the Board’s inquiries on the application warrants disciplinary action for such deceit, under </w:t>
      </w:r>
      <w:r w:rsidR="00260D41">
        <w:t xml:space="preserve">243 </w:t>
      </w:r>
      <w:r w:rsidR="00634DA4">
        <w:t xml:space="preserve">CMR </w:t>
      </w:r>
      <w:r w:rsidR="00260D41">
        <w:t>1.03(5)(a)(1) &amp; (a)(10).</w:t>
      </w:r>
      <w:r w:rsidR="005A4929">
        <w:t xml:space="preserve"> </w:t>
      </w:r>
      <w:r w:rsidR="00E8227D">
        <w:t xml:space="preserve">It also establishes a lack of “good moral character” and constitutes “conduct that undermines the public confidence in the integrity of the medical profession.” </w:t>
      </w:r>
      <w:r w:rsidR="00260D41" w:rsidRPr="00634DA4">
        <w:rPr>
          <w:i/>
          <w:iCs/>
        </w:rPr>
        <w:t>See</w:t>
      </w:r>
      <w:r w:rsidR="00C5086B">
        <w:rPr>
          <w:i/>
          <w:iCs/>
        </w:rPr>
        <w:t xml:space="preserve"> </w:t>
      </w:r>
      <w:r w:rsidR="00260D41" w:rsidRPr="00634DA4">
        <w:rPr>
          <w:rFonts w:eastAsia="Times New Roman" w:cs="Times New Roman"/>
          <w:i/>
          <w:iCs/>
          <w:color w:val="000000"/>
          <w:szCs w:val="24"/>
        </w:rPr>
        <w:t>Kellogg</w:t>
      </w:r>
      <w:r w:rsidR="00260D41" w:rsidRPr="00260D41">
        <w:rPr>
          <w:rFonts w:eastAsia="Times New Roman" w:cs="Times New Roman"/>
          <w:color w:val="000000"/>
          <w:szCs w:val="24"/>
        </w:rPr>
        <w:t xml:space="preserve"> </w:t>
      </w:r>
      <w:r w:rsidR="00260D41" w:rsidRPr="00634DA4">
        <w:rPr>
          <w:rFonts w:eastAsia="Times New Roman" w:cs="Times New Roman"/>
          <w:i/>
          <w:iCs/>
          <w:color w:val="000000"/>
          <w:szCs w:val="24"/>
        </w:rPr>
        <w:t>v</w:t>
      </w:r>
      <w:r w:rsidR="00260D41" w:rsidRPr="00260D41">
        <w:rPr>
          <w:rFonts w:eastAsia="Times New Roman" w:cs="Times New Roman"/>
          <w:color w:val="000000"/>
          <w:szCs w:val="24"/>
        </w:rPr>
        <w:t xml:space="preserve">. </w:t>
      </w:r>
      <w:r w:rsidR="00260D41" w:rsidRPr="00634DA4">
        <w:rPr>
          <w:rFonts w:eastAsia="Times New Roman" w:cs="Times New Roman"/>
          <w:i/>
          <w:iCs/>
          <w:color w:val="000000"/>
          <w:szCs w:val="24"/>
        </w:rPr>
        <w:t>Board of Registration in</w:t>
      </w:r>
      <w:r w:rsidR="00260D41" w:rsidRPr="00C5086B">
        <w:rPr>
          <w:rFonts w:eastAsia="Times New Roman" w:cs="Times New Roman"/>
          <w:color w:val="000000"/>
          <w:szCs w:val="24"/>
        </w:rPr>
        <w:t xml:space="preserve"> </w:t>
      </w:r>
      <w:r w:rsidR="00260D41" w:rsidRPr="00634DA4">
        <w:rPr>
          <w:rFonts w:eastAsia="Times New Roman" w:cs="Times New Roman"/>
          <w:i/>
          <w:iCs/>
          <w:color w:val="000000"/>
          <w:szCs w:val="24"/>
        </w:rPr>
        <w:t>Med.,</w:t>
      </w:r>
      <w:r w:rsidR="00260D41" w:rsidRPr="00260D41">
        <w:rPr>
          <w:rFonts w:eastAsia="Times New Roman" w:cs="Times New Roman"/>
          <w:color w:val="000000"/>
          <w:szCs w:val="24"/>
        </w:rPr>
        <w:t xml:space="preserve"> No. SJ-2010-0382, 2011 WL 13224166, at *10 </w:t>
      </w:r>
      <w:r w:rsidR="003D70CD">
        <w:rPr>
          <w:rFonts w:eastAsia="Times New Roman" w:cs="Times New Roman"/>
          <w:color w:val="000000"/>
          <w:szCs w:val="24"/>
        </w:rPr>
        <w:t>(</w:t>
      </w:r>
      <w:r w:rsidR="00260D41" w:rsidRPr="00260D41">
        <w:rPr>
          <w:rFonts w:eastAsia="Times New Roman" w:cs="Times New Roman"/>
          <w:color w:val="000000"/>
          <w:szCs w:val="24"/>
        </w:rPr>
        <w:t xml:space="preserve">Feb. 4, 2011), </w:t>
      </w:r>
      <w:r w:rsidR="00260D41" w:rsidRPr="003D70CD">
        <w:rPr>
          <w:rFonts w:eastAsia="Times New Roman" w:cs="Times New Roman"/>
          <w:i/>
          <w:iCs/>
          <w:color w:val="000000"/>
          <w:szCs w:val="24"/>
        </w:rPr>
        <w:t>aff’d</w:t>
      </w:r>
      <w:r w:rsidR="00260D41" w:rsidRPr="00260D41">
        <w:rPr>
          <w:rFonts w:eastAsia="Times New Roman" w:cs="Times New Roman"/>
          <w:color w:val="000000"/>
          <w:szCs w:val="24"/>
        </w:rPr>
        <w:t>, 461 Mass. 1001 (2011)</w:t>
      </w:r>
      <w:r w:rsidR="00260D41">
        <w:rPr>
          <w:rFonts w:eastAsia="Times New Roman" w:cs="Times New Roman"/>
          <w:color w:val="000000"/>
          <w:szCs w:val="24"/>
        </w:rPr>
        <w:t xml:space="preserve"> (upholding discipline imposed under 243</w:t>
      </w:r>
      <w:r w:rsidR="003D70CD">
        <w:rPr>
          <w:rFonts w:eastAsia="Times New Roman" w:cs="Times New Roman"/>
          <w:color w:val="000000"/>
          <w:szCs w:val="24"/>
        </w:rPr>
        <w:t xml:space="preserve"> CMR </w:t>
      </w:r>
      <w:r w:rsidR="00260D41">
        <w:rPr>
          <w:rFonts w:eastAsia="Times New Roman" w:cs="Times New Roman"/>
          <w:color w:val="000000"/>
          <w:szCs w:val="24"/>
        </w:rPr>
        <w:t>1.03(5)(a)(1), (10) for false information in license renewal forms)</w:t>
      </w:r>
      <w:r w:rsidR="00C5086B">
        <w:rPr>
          <w:rFonts w:eastAsia="Times New Roman" w:cs="Times New Roman"/>
          <w:color w:val="000000"/>
          <w:szCs w:val="24"/>
        </w:rPr>
        <w:t>.</w:t>
      </w:r>
    </w:p>
    <w:p w14:paraId="19DA47F8" w14:textId="77777777" w:rsidR="005A4929" w:rsidRPr="00B436AB" w:rsidRDefault="005A4929" w:rsidP="005A4929">
      <w:pPr>
        <w:shd w:val="clear" w:color="auto" w:fill="FFFFFF"/>
        <w:spacing w:after="240"/>
      </w:pPr>
    </w:p>
    <w:p w14:paraId="3E5FAC90" w14:textId="5BE67BBF" w:rsidR="00607CBB" w:rsidRPr="009D69A5" w:rsidRDefault="009D69A5" w:rsidP="009D69A5">
      <w:pPr>
        <w:jc w:val="center"/>
        <w:rPr>
          <w:b/>
          <w:bCs/>
          <w:u w:val="single"/>
        </w:rPr>
      </w:pPr>
      <w:r w:rsidRPr="009D69A5">
        <w:rPr>
          <w:b/>
          <w:bCs/>
          <w:u w:val="single"/>
        </w:rPr>
        <w:lastRenderedPageBreak/>
        <w:t>CONCLUSION</w:t>
      </w:r>
      <w:r w:rsidR="00A8217D">
        <w:rPr>
          <w:b/>
          <w:bCs/>
          <w:u w:val="single"/>
        </w:rPr>
        <w:t xml:space="preserve"> AND ORDER</w:t>
      </w:r>
    </w:p>
    <w:p w14:paraId="1A5351F2" w14:textId="1A60B9E6" w:rsidR="00FB6480" w:rsidRDefault="00E23037" w:rsidP="00E23037">
      <w:r>
        <w:tab/>
      </w:r>
      <w:r w:rsidR="00BF4377">
        <w:t xml:space="preserve">For the reasons stated above, </w:t>
      </w:r>
      <w:r w:rsidR="00F772E5">
        <w:t xml:space="preserve">I recommend the Board impose </w:t>
      </w:r>
      <w:r w:rsidR="007F0D69">
        <w:t xml:space="preserve">upon Dr. </w:t>
      </w:r>
      <w:proofErr w:type="spellStart"/>
      <w:r w:rsidR="007F0D69">
        <w:t>Thakuria</w:t>
      </w:r>
      <w:proofErr w:type="spellEnd"/>
      <w:r w:rsidR="007F0D69">
        <w:t xml:space="preserve"> </w:t>
      </w:r>
      <w:r w:rsidR="00F772E5">
        <w:t>the discipline it deems appropriate</w:t>
      </w:r>
      <w:r w:rsidR="00D042D5">
        <w:t>.</w:t>
      </w:r>
      <w:r w:rsidR="00336A5A">
        <w:t xml:space="preserve"> </w:t>
      </w:r>
    </w:p>
    <w:p w14:paraId="6BB580FE" w14:textId="73270A2C" w:rsidR="006F7C54" w:rsidRDefault="006F7C54" w:rsidP="00336A5A">
      <w:pPr>
        <w:spacing w:line="240" w:lineRule="auto"/>
        <w:ind w:left="2880" w:firstLine="720"/>
      </w:pPr>
      <w:r>
        <w:t>DIVISON OF ADMINISTRATIVE LAW APPEALS</w:t>
      </w:r>
    </w:p>
    <w:p w14:paraId="6BB580FF" w14:textId="77777777" w:rsidR="006F7C54" w:rsidRDefault="006F7C54" w:rsidP="006F7C54">
      <w:pPr>
        <w:spacing w:line="240" w:lineRule="auto"/>
      </w:pPr>
    </w:p>
    <w:p w14:paraId="6BB58100" w14:textId="77777777" w:rsidR="006F7C54" w:rsidRDefault="006F7C54" w:rsidP="006F7C54">
      <w:pPr>
        <w:spacing w:line="240" w:lineRule="auto"/>
      </w:pPr>
    </w:p>
    <w:p w14:paraId="6BB58101" w14:textId="77777777" w:rsidR="006F7C54" w:rsidRDefault="006F7C54" w:rsidP="006F7C54">
      <w:pPr>
        <w:spacing w:line="240" w:lineRule="auto"/>
      </w:pPr>
    </w:p>
    <w:p w14:paraId="6BB58102" w14:textId="42CB7369" w:rsidR="006F7C54" w:rsidRPr="00802DF8" w:rsidRDefault="00802DF8" w:rsidP="00336A5A">
      <w:pPr>
        <w:spacing w:line="240" w:lineRule="auto"/>
        <w:ind w:left="2880" w:firstLine="720"/>
        <w:rPr>
          <w:u w:val="single"/>
        </w:rPr>
      </w:pPr>
      <w:r>
        <w:rPr>
          <w:u w:val="single"/>
        </w:rPr>
        <w:t>Signed by Edward B. McGrath</w:t>
      </w:r>
      <w:r>
        <w:rPr>
          <w:u w:val="single"/>
        </w:rPr>
        <w:tab/>
      </w:r>
      <w:r>
        <w:rPr>
          <w:u w:val="single"/>
        </w:rPr>
        <w:tab/>
      </w:r>
    </w:p>
    <w:p w14:paraId="6BB58103" w14:textId="3BBE371D" w:rsidR="006F7C54" w:rsidRDefault="009A3394" w:rsidP="00336A5A">
      <w:pPr>
        <w:spacing w:line="240" w:lineRule="auto"/>
        <w:ind w:left="2880" w:firstLine="720"/>
      </w:pPr>
      <w:r>
        <w:t xml:space="preserve">Edward </w:t>
      </w:r>
      <w:r w:rsidR="00B90DB9">
        <w:t xml:space="preserve">B. </w:t>
      </w:r>
      <w:r>
        <w:t>McGrath</w:t>
      </w:r>
    </w:p>
    <w:p w14:paraId="6BB58104" w14:textId="4752D179" w:rsidR="00875BA6" w:rsidRDefault="009A3394" w:rsidP="00336A5A">
      <w:pPr>
        <w:spacing w:line="240" w:lineRule="auto"/>
        <w:ind w:left="2880" w:firstLine="720"/>
      </w:pPr>
      <w:r>
        <w:t xml:space="preserve">Chief </w:t>
      </w:r>
      <w:r w:rsidR="00875BA6">
        <w:t>Administrative Magistrate</w:t>
      </w:r>
    </w:p>
    <w:p w14:paraId="4F3AD90F" w14:textId="77777777" w:rsidR="00466B1B" w:rsidRDefault="00466B1B" w:rsidP="00336A5A">
      <w:pPr>
        <w:spacing w:line="240" w:lineRule="auto"/>
        <w:ind w:left="2880" w:firstLine="720"/>
      </w:pPr>
    </w:p>
    <w:p w14:paraId="6BB58105" w14:textId="1C7AA7B0" w:rsidR="00875BA6" w:rsidRDefault="00875BA6" w:rsidP="006F7C54">
      <w:pPr>
        <w:spacing w:line="240" w:lineRule="auto"/>
      </w:pPr>
    </w:p>
    <w:p w14:paraId="5B749459" w14:textId="21F8C570" w:rsidR="00FB6480" w:rsidRDefault="00466B1B" w:rsidP="008133F6">
      <w:pPr>
        <w:spacing w:line="240" w:lineRule="auto"/>
      </w:pPr>
      <w:proofErr w:type="spellStart"/>
      <w:r>
        <w:t>Dated:</w:t>
      </w:r>
      <w:r w:rsidR="00802DF8">
        <w:t>MAR</w:t>
      </w:r>
      <w:proofErr w:type="spellEnd"/>
      <w:r w:rsidR="00802DF8">
        <w:t xml:space="preserve"> 11 2022</w:t>
      </w:r>
    </w:p>
    <w:sectPr w:rsidR="00FB6480" w:rsidSect="00C7701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D8A9" w14:textId="77777777" w:rsidR="00CA37E4" w:rsidRDefault="00CA37E4" w:rsidP="002D68AC">
      <w:pPr>
        <w:spacing w:line="240" w:lineRule="auto"/>
      </w:pPr>
      <w:r>
        <w:separator/>
      </w:r>
    </w:p>
  </w:endnote>
  <w:endnote w:type="continuationSeparator" w:id="0">
    <w:p w14:paraId="4AD32A39" w14:textId="77777777" w:rsidR="00CA37E4" w:rsidRDefault="00CA37E4" w:rsidP="002D6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01112"/>
      <w:docPartObj>
        <w:docPartGallery w:val="Page Numbers (Bottom of Page)"/>
        <w:docPartUnique/>
      </w:docPartObj>
    </w:sdtPr>
    <w:sdtEndPr>
      <w:rPr>
        <w:noProof/>
      </w:rPr>
    </w:sdtEndPr>
    <w:sdtContent>
      <w:p w14:paraId="30067558" w14:textId="161F10BA" w:rsidR="00AC6D33" w:rsidRDefault="00AC6D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91ACF" w14:textId="77777777" w:rsidR="00AC6D33" w:rsidRDefault="00AC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80BC" w14:textId="77777777" w:rsidR="00CA37E4" w:rsidRDefault="00CA37E4" w:rsidP="002D68AC">
      <w:pPr>
        <w:spacing w:line="240" w:lineRule="auto"/>
      </w:pPr>
      <w:r>
        <w:separator/>
      </w:r>
    </w:p>
  </w:footnote>
  <w:footnote w:type="continuationSeparator" w:id="0">
    <w:p w14:paraId="52B1D008" w14:textId="77777777" w:rsidR="00CA37E4" w:rsidRDefault="00CA37E4" w:rsidP="002D68AC">
      <w:pPr>
        <w:spacing w:line="240" w:lineRule="auto"/>
      </w:pPr>
      <w:r>
        <w:continuationSeparator/>
      </w:r>
    </w:p>
  </w:footnote>
  <w:footnote w:id="1">
    <w:p w14:paraId="5C795B68" w14:textId="0F5B4ABD" w:rsidR="00B24A9A" w:rsidRPr="0023506E" w:rsidRDefault="00B24A9A" w:rsidP="0023506E">
      <w:pPr>
        <w:pStyle w:val="FootnoteText"/>
        <w:spacing w:after="240"/>
        <w:rPr>
          <w:sz w:val="22"/>
          <w:szCs w:val="22"/>
        </w:rPr>
      </w:pPr>
      <w:r w:rsidRPr="0023506E">
        <w:rPr>
          <w:rStyle w:val="FootnoteReference"/>
          <w:sz w:val="22"/>
          <w:szCs w:val="22"/>
        </w:rPr>
        <w:footnoteRef/>
      </w:r>
      <w:r w:rsidRPr="0023506E">
        <w:rPr>
          <w:sz w:val="22"/>
          <w:szCs w:val="22"/>
        </w:rPr>
        <w:t xml:space="preserve"> I refer to the transcript in this decision using the abbreviation “Tr.” followed by the volume and page number.   </w:t>
      </w:r>
    </w:p>
  </w:footnote>
  <w:footnote w:id="2">
    <w:p w14:paraId="4E782A46" w14:textId="425FBC7F" w:rsidR="0076109F" w:rsidRPr="0023506E" w:rsidRDefault="0076109F" w:rsidP="0023506E">
      <w:pPr>
        <w:pStyle w:val="FootnoteText"/>
        <w:spacing w:after="240"/>
        <w:rPr>
          <w:sz w:val="22"/>
          <w:szCs w:val="22"/>
        </w:rPr>
      </w:pPr>
      <w:r w:rsidRPr="0023506E">
        <w:rPr>
          <w:rStyle w:val="FootnoteReference"/>
          <w:sz w:val="22"/>
          <w:szCs w:val="22"/>
        </w:rPr>
        <w:footnoteRef/>
      </w:r>
      <w:r w:rsidRPr="0023506E">
        <w:rPr>
          <w:sz w:val="22"/>
          <w:szCs w:val="22"/>
        </w:rPr>
        <w:t xml:space="preserve"> In its statement of allegations, the Board alleged that Dr. </w:t>
      </w:r>
      <w:proofErr w:type="spellStart"/>
      <w:r w:rsidRPr="0023506E">
        <w:rPr>
          <w:sz w:val="22"/>
          <w:szCs w:val="22"/>
        </w:rPr>
        <w:t>Thakuria</w:t>
      </w:r>
      <w:proofErr w:type="spellEnd"/>
      <w:r w:rsidRPr="0023506E">
        <w:rPr>
          <w:sz w:val="22"/>
          <w:szCs w:val="22"/>
        </w:rPr>
        <w:t xml:space="preserve"> did not identify the criminal charges his license renewal application.  Dr. </w:t>
      </w:r>
      <w:proofErr w:type="spellStart"/>
      <w:r w:rsidRPr="0023506E">
        <w:rPr>
          <w:sz w:val="22"/>
          <w:szCs w:val="22"/>
        </w:rPr>
        <w:t>Thakuria</w:t>
      </w:r>
      <w:proofErr w:type="spellEnd"/>
      <w:r w:rsidRPr="0023506E">
        <w:rPr>
          <w:sz w:val="22"/>
          <w:szCs w:val="22"/>
        </w:rPr>
        <w:t xml:space="preserve"> clearly identified the charge of operating under the influence</w:t>
      </w:r>
      <w:r w:rsidR="00C93E01" w:rsidRPr="0023506E">
        <w:rPr>
          <w:sz w:val="22"/>
          <w:szCs w:val="22"/>
        </w:rPr>
        <w:t xml:space="preserve"> in the appropriate location by using the common and well-recognized abbreviation “OUI.”  </w:t>
      </w:r>
    </w:p>
  </w:footnote>
  <w:footnote w:id="3">
    <w:p w14:paraId="66B4AABD" w14:textId="6A96DD2C" w:rsidR="0007699E" w:rsidRPr="0023506E" w:rsidRDefault="0007699E" w:rsidP="0023506E">
      <w:pPr>
        <w:pStyle w:val="FootnoteText"/>
        <w:spacing w:after="240"/>
        <w:rPr>
          <w:sz w:val="22"/>
          <w:szCs w:val="22"/>
        </w:rPr>
      </w:pPr>
      <w:r w:rsidRPr="0023506E">
        <w:rPr>
          <w:rStyle w:val="FootnoteReference"/>
          <w:sz w:val="22"/>
          <w:szCs w:val="22"/>
        </w:rPr>
        <w:footnoteRef/>
      </w:r>
      <w:r w:rsidRPr="0023506E">
        <w:rPr>
          <w:sz w:val="22"/>
          <w:szCs w:val="22"/>
        </w:rPr>
        <w:t xml:space="preserve"> Question 18(c) on the 2014 Physician Renewal Application</w:t>
      </w:r>
      <w:r w:rsidR="00680516" w:rsidRPr="0023506E">
        <w:rPr>
          <w:sz w:val="22"/>
          <w:szCs w:val="22"/>
        </w:rPr>
        <w:t xml:space="preserve"> </w:t>
      </w:r>
      <w:r w:rsidRPr="0023506E">
        <w:rPr>
          <w:sz w:val="22"/>
          <w:szCs w:val="22"/>
        </w:rPr>
        <w:t xml:space="preserve">asked: “Have you been the subject of an investigation by any governmental authority, including the Massachusetts Board of Registration in Medicine or any other state medical board, health care facility, group practice, employer or professional association.”  </w:t>
      </w:r>
      <w:r w:rsidR="00171E2B" w:rsidRPr="0023506E">
        <w:rPr>
          <w:sz w:val="22"/>
          <w:szCs w:val="22"/>
        </w:rPr>
        <w:t>(Pet.’s Ex. 4.)</w:t>
      </w:r>
    </w:p>
  </w:footnote>
  <w:footnote w:id="4">
    <w:p w14:paraId="2A002E4F" w14:textId="471C1C59" w:rsidR="00E84DA9" w:rsidRPr="004E5F91" w:rsidRDefault="00E84DA9" w:rsidP="004E5F91">
      <w:pPr>
        <w:pStyle w:val="FootnoteText"/>
        <w:spacing w:after="240"/>
        <w:rPr>
          <w:sz w:val="22"/>
          <w:szCs w:val="22"/>
        </w:rPr>
      </w:pPr>
      <w:r w:rsidRPr="004E5F91">
        <w:rPr>
          <w:rStyle w:val="FootnoteReference"/>
          <w:sz w:val="22"/>
          <w:szCs w:val="22"/>
        </w:rPr>
        <w:footnoteRef/>
      </w:r>
      <w:r w:rsidRPr="004E5F91">
        <w:rPr>
          <w:sz w:val="22"/>
          <w:szCs w:val="22"/>
        </w:rPr>
        <w:t xml:space="preserve"> The application form</w:t>
      </w:r>
      <w:r w:rsidR="002063BF" w:rsidRPr="004E5F91">
        <w:rPr>
          <w:sz w:val="22"/>
          <w:szCs w:val="22"/>
        </w:rPr>
        <w:t xml:space="preserve"> requests the applicant to identify the criminal charges at issue and the court in which the action is pending, describe the circumstances leading to the criminal proceedings, and spe</w:t>
      </w:r>
      <w:r w:rsidR="00072E1E" w:rsidRPr="004E5F91">
        <w:rPr>
          <w:sz w:val="22"/>
          <w:szCs w:val="22"/>
        </w:rPr>
        <w:t xml:space="preserve">cify the current status of the matter.  In addition, the applicant is required to “submit copies of the indictment, complaint, judgment or other disposition in any criminal proceeding” </w:t>
      </w:r>
      <w:r w:rsidR="004E5F91" w:rsidRPr="004E5F91">
        <w:rPr>
          <w:sz w:val="22"/>
          <w:szCs w:val="22"/>
        </w:rPr>
        <w:t xml:space="preserve">in which the applicant is a defendant.  </w:t>
      </w:r>
    </w:p>
  </w:footnote>
  <w:footnote w:id="5">
    <w:p w14:paraId="36C3D721" w14:textId="1905F543" w:rsidR="0023506E" w:rsidRDefault="0023506E" w:rsidP="0023506E">
      <w:pPr>
        <w:pStyle w:val="FootnoteText"/>
        <w:spacing w:after="240"/>
      </w:pPr>
      <w:r w:rsidRPr="0023506E">
        <w:rPr>
          <w:rStyle w:val="FootnoteReference"/>
          <w:sz w:val="22"/>
          <w:szCs w:val="22"/>
        </w:rPr>
        <w:footnoteRef/>
      </w:r>
      <w:r w:rsidRPr="0023506E">
        <w:rPr>
          <w:sz w:val="22"/>
          <w:szCs w:val="22"/>
        </w:rPr>
        <w:t xml:space="preserve"> The Board’s instruction in effect at the time (revision date of March 2015) provide</w:t>
      </w:r>
      <w:r w:rsidR="004E5F91">
        <w:rPr>
          <w:sz w:val="22"/>
          <w:szCs w:val="22"/>
        </w:rPr>
        <w:t xml:space="preserve"> (on page 5)</w:t>
      </w:r>
      <w:r w:rsidRPr="0023506E">
        <w:rPr>
          <w:sz w:val="22"/>
          <w:szCs w:val="22"/>
        </w:rPr>
        <w:t>: “For each criminal proceeding in which you were named a defendant, certified copies of the complaint, judgment or other disposition must be sent to the Board by your lawyer, the police department, the court, or other appropriate agency. You must also provide a detailed explanation of the incident, including date, time, place, who was with you, and the court 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562"/>
    <w:multiLevelType w:val="hybridMultilevel"/>
    <w:tmpl w:val="D85A8006"/>
    <w:lvl w:ilvl="0" w:tplc="7B10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246B0"/>
    <w:multiLevelType w:val="hybridMultilevel"/>
    <w:tmpl w:val="8B8AAD64"/>
    <w:lvl w:ilvl="0" w:tplc="D1B8F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F5418"/>
    <w:multiLevelType w:val="hybridMultilevel"/>
    <w:tmpl w:val="C44C0E60"/>
    <w:lvl w:ilvl="0" w:tplc="54E6867A">
      <w:start w:val="1"/>
      <w:numFmt w:val="decimal"/>
      <w:lvlText w:val="%1."/>
      <w:lvlJc w:val="left"/>
      <w:pPr>
        <w:ind w:left="1080" w:hanging="360"/>
      </w:pPr>
      <w:rPr>
        <w:b w:val="0"/>
      </w:rPr>
    </w:lvl>
    <w:lvl w:ilvl="1" w:tplc="48486C50">
      <w:start w:val="1"/>
      <w:numFmt w:val="lowerLetter"/>
      <w:lvlText w:val="%2."/>
      <w:lvlJc w:val="left"/>
      <w:pPr>
        <w:ind w:left="1860" w:hanging="360"/>
      </w:pPr>
      <w:rPr>
        <w:i/>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 w15:restartNumberingAfterBreak="0">
    <w:nsid w:val="22CB76C6"/>
    <w:multiLevelType w:val="hybridMultilevel"/>
    <w:tmpl w:val="DA00D33C"/>
    <w:lvl w:ilvl="0" w:tplc="0408E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B0DAC"/>
    <w:multiLevelType w:val="hybridMultilevel"/>
    <w:tmpl w:val="EC424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90A7F"/>
    <w:multiLevelType w:val="hybridMultilevel"/>
    <w:tmpl w:val="79B0C32C"/>
    <w:lvl w:ilvl="0" w:tplc="7B10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075B7A"/>
    <w:multiLevelType w:val="hybridMultilevel"/>
    <w:tmpl w:val="639849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870DFF"/>
    <w:multiLevelType w:val="hybridMultilevel"/>
    <w:tmpl w:val="85966C54"/>
    <w:lvl w:ilvl="0" w:tplc="3D148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675B89"/>
    <w:multiLevelType w:val="hybridMultilevel"/>
    <w:tmpl w:val="4E185308"/>
    <w:lvl w:ilvl="0" w:tplc="F3BAA8A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80D1E"/>
    <w:multiLevelType w:val="hybridMultilevel"/>
    <w:tmpl w:val="58CC1C14"/>
    <w:lvl w:ilvl="0" w:tplc="B552C3CC">
      <w:start w:val="4"/>
      <w:numFmt w:val="decimal"/>
      <w:lvlText w:val="%1."/>
      <w:lvlJc w:val="left"/>
      <w:pPr>
        <w:ind w:left="0" w:hanging="705"/>
      </w:pPr>
      <w:rPr>
        <w:rFonts w:ascii="Times New Roman" w:eastAsia="Times New Roman" w:hAnsi="Times New Roman" w:cs="Times New Roman" w:hint="default"/>
        <w:w w:val="95"/>
        <w:sz w:val="24"/>
        <w:szCs w:val="24"/>
      </w:rPr>
    </w:lvl>
    <w:lvl w:ilvl="1" w:tplc="23E4293C">
      <w:start w:val="12"/>
      <w:numFmt w:val="decimal"/>
      <w:lvlText w:val="%2."/>
      <w:lvlJc w:val="left"/>
      <w:pPr>
        <w:ind w:left="0" w:hanging="682"/>
      </w:pPr>
      <w:rPr>
        <w:rFonts w:ascii="Times New Roman" w:eastAsia="Times New Roman" w:hAnsi="Times New Roman" w:cs="Times New Roman" w:hint="default"/>
        <w:w w:val="93"/>
        <w:sz w:val="24"/>
        <w:szCs w:val="24"/>
      </w:rPr>
    </w:lvl>
    <w:lvl w:ilvl="2" w:tplc="70BE9374">
      <w:start w:val="1"/>
      <w:numFmt w:val="lowerLetter"/>
      <w:lvlText w:val="%3."/>
      <w:lvlJc w:val="left"/>
      <w:pPr>
        <w:ind w:left="0" w:hanging="703"/>
      </w:pPr>
      <w:rPr>
        <w:rFonts w:ascii="Times New Roman" w:eastAsia="Times New Roman" w:hAnsi="Times New Roman" w:cs="Times New Roman" w:hint="default"/>
        <w:w w:val="93"/>
        <w:sz w:val="24"/>
        <w:szCs w:val="24"/>
      </w:rPr>
    </w:lvl>
    <w:lvl w:ilvl="3" w:tplc="2CD67D08">
      <w:start w:val="1"/>
      <w:numFmt w:val="bullet"/>
      <w:lvlText w:val="•"/>
      <w:lvlJc w:val="left"/>
      <w:pPr>
        <w:ind w:left="0" w:firstLine="0"/>
      </w:pPr>
    </w:lvl>
    <w:lvl w:ilvl="4" w:tplc="3EC44216">
      <w:start w:val="1"/>
      <w:numFmt w:val="bullet"/>
      <w:lvlText w:val="•"/>
      <w:lvlJc w:val="left"/>
      <w:pPr>
        <w:ind w:left="0" w:firstLine="0"/>
      </w:pPr>
    </w:lvl>
    <w:lvl w:ilvl="5" w:tplc="C1DE10C4">
      <w:start w:val="1"/>
      <w:numFmt w:val="bullet"/>
      <w:lvlText w:val="•"/>
      <w:lvlJc w:val="left"/>
      <w:pPr>
        <w:ind w:left="0" w:firstLine="0"/>
      </w:pPr>
    </w:lvl>
    <w:lvl w:ilvl="6" w:tplc="8DAEDB76">
      <w:start w:val="1"/>
      <w:numFmt w:val="bullet"/>
      <w:lvlText w:val="•"/>
      <w:lvlJc w:val="left"/>
      <w:pPr>
        <w:ind w:left="0" w:firstLine="0"/>
      </w:pPr>
    </w:lvl>
    <w:lvl w:ilvl="7" w:tplc="BA0C0D94">
      <w:start w:val="1"/>
      <w:numFmt w:val="bullet"/>
      <w:lvlText w:val="•"/>
      <w:lvlJc w:val="left"/>
      <w:pPr>
        <w:ind w:left="0" w:firstLine="0"/>
      </w:pPr>
    </w:lvl>
    <w:lvl w:ilvl="8" w:tplc="5360FBE8">
      <w:start w:val="1"/>
      <w:numFmt w:val="bullet"/>
      <w:lvlText w:val="•"/>
      <w:lvlJc w:val="left"/>
      <w:pPr>
        <w:ind w:left="0" w:firstLine="0"/>
      </w:pPr>
    </w:lvl>
  </w:abstractNum>
  <w:num w:numId="1" w16cid:durableId="1611283766">
    <w:abstractNumId w:val="3"/>
  </w:num>
  <w:num w:numId="2" w16cid:durableId="918291038">
    <w:abstractNumId w:val="7"/>
  </w:num>
  <w:num w:numId="3" w16cid:durableId="1883788925">
    <w:abstractNumId w:val="1"/>
  </w:num>
  <w:num w:numId="4" w16cid:durableId="1319381966">
    <w:abstractNumId w:val="4"/>
  </w:num>
  <w:num w:numId="5" w16cid:durableId="282734662">
    <w:abstractNumId w:val="8"/>
  </w:num>
  <w:num w:numId="6" w16cid:durableId="1619489143">
    <w:abstractNumId w:val="9"/>
    <w:lvlOverride w:ilvl="0">
      <w:startOverride w:val="4"/>
    </w:lvlOverride>
    <w:lvlOverride w:ilvl="1">
      <w:startOverride w:val="12"/>
    </w:lvlOverride>
    <w:lvlOverride w:ilvl="2">
      <w:startOverride w:val="1"/>
    </w:lvlOverride>
    <w:lvlOverride w:ilvl="3"/>
    <w:lvlOverride w:ilvl="4"/>
    <w:lvlOverride w:ilvl="5"/>
    <w:lvlOverride w:ilvl="6"/>
    <w:lvlOverride w:ilvl="7"/>
    <w:lvlOverride w:ilvl="8"/>
  </w:num>
  <w:num w:numId="7" w16cid:durableId="1935094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926058">
    <w:abstractNumId w:val="0"/>
  </w:num>
  <w:num w:numId="9" w16cid:durableId="2142458300">
    <w:abstractNumId w:val="6"/>
  </w:num>
  <w:num w:numId="10" w16cid:durableId="760833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3B"/>
    <w:rsid w:val="000014C7"/>
    <w:rsid w:val="000025C2"/>
    <w:rsid w:val="00002970"/>
    <w:rsid w:val="0000466D"/>
    <w:rsid w:val="00005022"/>
    <w:rsid w:val="00010178"/>
    <w:rsid w:val="000114E8"/>
    <w:rsid w:val="00015B4B"/>
    <w:rsid w:val="00016069"/>
    <w:rsid w:val="00020556"/>
    <w:rsid w:val="00020A56"/>
    <w:rsid w:val="000236D7"/>
    <w:rsid w:val="00027B31"/>
    <w:rsid w:val="00030A52"/>
    <w:rsid w:val="00044686"/>
    <w:rsid w:val="00046E06"/>
    <w:rsid w:val="00046E83"/>
    <w:rsid w:val="00051497"/>
    <w:rsid w:val="00052B16"/>
    <w:rsid w:val="00052DF0"/>
    <w:rsid w:val="00053BF0"/>
    <w:rsid w:val="000552D0"/>
    <w:rsid w:val="000607AA"/>
    <w:rsid w:val="00063498"/>
    <w:rsid w:val="00066E5B"/>
    <w:rsid w:val="0007148C"/>
    <w:rsid w:val="00072E1E"/>
    <w:rsid w:val="00073E32"/>
    <w:rsid w:val="000762B7"/>
    <w:rsid w:val="0007699E"/>
    <w:rsid w:val="00077A7C"/>
    <w:rsid w:val="00080107"/>
    <w:rsid w:val="0008022A"/>
    <w:rsid w:val="00080A8F"/>
    <w:rsid w:val="00081713"/>
    <w:rsid w:val="000826F5"/>
    <w:rsid w:val="0008319E"/>
    <w:rsid w:val="00084E74"/>
    <w:rsid w:val="00084E81"/>
    <w:rsid w:val="00086346"/>
    <w:rsid w:val="00087455"/>
    <w:rsid w:val="00090FB8"/>
    <w:rsid w:val="000914BA"/>
    <w:rsid w:val="0009285B"/>
    <w:rsid w:val="00093311"/>
    <w:rsid w:val="000939DD"/>
    <w:rsid w:val="000A25D5"/>
    <w:rsid w:val="000A2AEE"/>
    <w:rsid w:val="000A3B23"/>
    <w:rsid w:val="000A406A"/>
    <w:rsid w:val="000A5C17"/>
    <w:rsid w:val="000A5D19"/>
    <w:rsid w:val="000B16A5"/>
    <w:rsid w:val="000B215A"/>
    <w:rsid w:val="000B244F"/>
    <w:rsid w:val="000B2469"/>
    <w:rsid w:val="000B7A86"/>
    <w:rsid w:val="000C4C66"/>
    <w:rsid w:val="000C582C"/>
    <w:rsid w:val="000C6426"/>
    <w:rsid w:val="000C689F"/>
    <w:rsid w:val="000D0563"/>
    <w:rsid w:val="000D46E1"/>
    <w:rsid w:val="000D5F25"/>
    <w:rsid w:val="000D733D"/>
    <w:rsid w:val="000E15D2"/>
    <w:rsid w:val="000E24B1"/>
    <w:rsid w:val="000E42E8"/>
    <w:rsid w:val="000E6D77"/>
    <w:rsid w:val="000F03E3"/>
    <w:rsid w:val="000F0994"/>
    <w:rsid w:val="000F3476"/>
    <w:rsid w:val="000F5DDA"/>
    <w:rsid w:val="001005D3"/>
    <w:rsid w:val="001014F0"/>
    <w:rsid w:val="00105C05"/>
    <w:rsid w:val="00107684"/>
    <w:rsid w:val="00110763"/>
    <w:rsid w:val="001126D2"/>
    <w:rsid w:val="00112839"/>
    <w:rsid w:val="00113130"/>
    <w:rsid w:val="0011388C"/>
    <w:rsid w:val="001159C6"/>
    <w:rsid w:val="0011661D"/>
    <w:rsid w:val="00120465"/>
    <w:rsid w:val="00120665"/>
    <w:rsid w:val="00121DB3"/>
    <w:rsid w:val="001243F2"/>
    <w:rsid w:val="00124AC2"/>
    <w:rsid w:val="00126490"/>
    <w:rsid w:val="001307B4"/>
    <w:rsid w:val="001317C9"/>
    <w:rsid w:val="0013660D"/>
    <w:rsid w:val="001372C4"/>
    <w:rsid w:val="00141358"/>
    <w:rsid w:val="00142965"/>
    <w:rsid w:val="001431DA"/>
    <w:rsid w:val="001456C0"/>
    <w:rsid w:val="00147C25"/>
    <w:rsid w:val="00150228"/>
    <w:rsid w:val="001510B6"/>
    <w:rsid w:val="00151696"/>
    <w:rsid w:val="0015207A"/>
    <w:rsid w:val="00154C13"/>
    <w:rsid w:val="00156A15"/>
    <w:rsid w:val="00156FC2"/>
    <w:rsid w:val="001636F1"/>
    <w:rsid w:val="001640C6"/>
    <w:rsid w:val="001704B6"/>
    <w:rsid w:val="00171E2B"/>
    <w:rsid w:val="00172013"/>
    <w:rsid w:val="001731FE"/>
    <w:rsid w:val="00173510"/>
    <w:rsid w:val="00173D4C"/>
    <w:rsid w:val="001747A8"/>
    <w:rsid w:val="001755CA"/>
    <w:rsid w:val="00176DB6"/>
    <w:rsid w:val="0018174F"/>
    <w:rsid w:val="00187E85"/>
    <w:rsid w:val="00190703"/>
    <w:rsid w:val="001923F4"/>
    <w:rsid w:val="00193645"/>
    <w:rsid w:val="00193ABC"/>
    <w:rsid w:val="00193E65"/>
    <w:rsid w:val="00195A18"/>
    <w:rsid w:val="0019727C"/>
    <w:rsid w:val="001A0676"/>
    <w:rsid w:val="001A0BB6"/>
    <w:rsid w:val="001A33FA"/>
    <w:rsid w:val="001A3A04"/>
    <w:rsid w:val="001A578C"/>
    <w:rsid w:val="001A6CA3"/>
    <w:rsid w:val="001B0805"/>
    <w:rsid w:val="001B3EC3"/>
    <w:rsid w:val="001B43A3"/>
    <w:rsid w:val="001B5513"/>
    <w:rsid w:val="001B7541"/>
    <w:rsid w:val="001B7D8D"/>
    <w:rsid w:val="001C03E2"/>
    <w:rsid w:val="001C1438"/>
    <w:rsid w:val="001C1FCA"/>
    <w:rsid w:val="001C2EE8"/>
    <w:rsid w:val="001C31F5"/>
    <w:rsid w:val="001C355B"/>
    <w:rsid w:val="001C52E6"/>
    <w:rsid w:val="001C5F95"/>
    <w:rsid w:val="001D02FF"/>
    <w:rsid w:val="001D1648"/>
    <w:rsid w:val="001D2ECB"/>
    <w:rsid w:val="001D48C3"/>
    <w:rsid w:val="001D7680"/>
    <w:rsid w:val="001D7E01"/>
    <w:rsid w:val="001E2F49"/>
    <w:rsid w:val="001E30B1"/>
    <w:rsid w:val="001E34E5"/>
    <w:rsid w:val="001E38DD"/>
    <w:rsid w:val="001E3A04"/>
    <w:rsid w:val="001E7FD1"/>
    <w:rsid w:val="001F01F3"/>
    <w:rsid w:val="001F18C8"/>
    <w:rsid w:val="001F206C"/>
    <w:rsid w:val="001F26A3"/>
    <w:rsid w:val="001F27E0"/>
    <w:rsid w:val="001F339C"/>
    <w:rsid w:val="001F3BB8"/>
    <w:rsid w:val="001F3F7F"/>
    <w:rsid w:val="002010CC"/>
    <w:rsid w:val="00202220"/>
    <w:rsid w:val="00203801"/>
    <w:rsid w:val="002056A6"/>
    <w:rsid w:val="002063BF"/>
    <w:rsid w:val="00207070"/>
    <w:rsid w:val="00207933"/>
    <w:rsid w:val="002079A4"/>
    <w:rsid w:val="002236A1"/>
    <w:rsid w:val="00223AB6"/>
    <w:rsid w:val="00226930"/>
    <w:rsid w:val="00227843"/>
    <w:rsid w:val="0023114F"/>
    <w:rsid w:val="002338E6"/>
    <w:rsid w:val="0023506E"/>
    <w:rsid w:val="00235B63"/>
    <w:rsid w:val="002365CF"/>
    <w:rsid w:val="002372F3"/>
    <w:rsid w:val="00240CFE"/>
    <w:rsid w:val="00241506"/>
    <w:rsid w:val="002416AD"/>
    <w:rsid w:val="002436FA"/>
    <w:rsid w:val="00245D5C"/>
    <w:rsid w:val="00246016"/>
    <w:rsid w:val="00250853"/>
    <w:rsid w:val="00253469"/>
    <w:rsid w:val="0025632D"/>
    <w:rsid w:val="00260D41"/>
    <w:rsid w:val="00260EC3"/>
    <w:rsid w:val="0026288D"/>
    <w:rsid w:val="00262A7C"/>
    <w:rsid w:val="002631C5"/>
    <w:rsid w:val="002701C1"/>
    <w:rsid w:val="00272C8A"/>
    <w:rsid w:val="0027636D"/>
    <w:rsid w:val="00276431"/>
    <w:rsid w:val="002816C2"/>
    <w:rsid w:val="00281937"/>
    <w:rsid w:val="00282197"/>
    <w:rsid w:val="00283526"/>
    <w:rsid w:val="002929BB"/>
    <w:rsid w:val="00295D70"/>
    <w:rsid w:val="00297372"/>
    <w:rsid w:val="002A1EF0"/>
    <w:rsid w:val="002A2464"/>
    <w:rsid w:val="002A27EB"/>
    <w:rsid w:val="002A3C1B"/>
    <w:rsid w:val="002A6158"/>
    <w:rsid w:val="002B0457"/>
    <w:rsid w:val="002B067B"/>
    <w:rsid w:val="002B06B1"/>
    <w:rsid w:val="002B178B"/>
    <w:rsid w:val="002B28D3"/>
    <w:rsid w:val="002B4B6D"/>
    <w:rsid w:val="002B61D7"/>
    <w:rsid w:val="002C49D0"/>
    <w:rsid w:val="002C4C30"/>
    <w:rsid w:val="002D10CA"/>
    <w:rsid w:val="002D168E"/>
    <w:rsid w:val="002D2C38"/>
    <w:rsid w:val="002D35BA"/>
    <w:rsid w:val="002D68AC"/>
    <w:rsid w:val="002E5C3B"/>
    <w:rsid w:val="002E66C6"/>
    <w:rsid w:val="002F0DCF"/>
    <w:rsid w:val="002F6192"/>
    <w:rsid w:val="002F72F7"/>
    <w:rsid w:val="002F7FC0"/>
    <w:rsid w:val="0030461B"/>
    <w:rsid w:val="0030536F"/>
    <w:rsid w:val="00310395"/>
    <w:rsid w:val="00310748"/>
    <w:rsid w:val="00311A2B"/>
    <w:rsid w:val="00315AAC"/>
    <w:rsid w:val="00316C13"/>
    <w:rsid w:val="003229B4"/>
    <w:rsid w:val="0032500E"/>
    <w:rsid w:val="0032662F"/>
    <w:rsid w:val="00330B57"/>
    <w:rsid w:val="003342A9"/>
    <w:rsid w:val="00334B6A"/>
    <w:rsid w:val="00336A5A"/>
    <w:rsid w:val="003372B5"/>
    <w:rsid w:val="003432B8"/>
    <w:rsid w:val="003435C9"/>
    <w:rsid w:val="00343E64"/>
    <w:rsid w:val="003443E6"/>
    <w:rsid w:val="003451C0"/>
    <w:rsid w:val="003459E3"/>
    <w:rsid w:val="00345D91"/>
    <w:rsid w:val="0034661E"/>
    <w:rsid w:val="003477B0"/>
    <w:rsid w:val="00351174"/>
    <w:rsid w:val="0035490D"/>
    <w:rsid w:val="00356177"/>
    <w:rsid w:val="00356D4B"/>
    <w:rsid w:val="00357943"/>
    <w:rsid w:val="00365786"/>
    <w:rsid w:val="003657E4"/>
    <w:rsid w:val="00367CC4"/>
    <w:rsid w:val="00373DFE"/>
    <w:rsid w:val="003752E0"/>
    <w:rsid w:val="003769BF"/>
    <w:rsid w:val="00377D91"/>
    <w:rsid w:val="003801DA"/>
    <w:rsid w:val="003803FD"/>
    <w:rsid w:val="00382A3F"/>
    <w:rsid w:val="003831F7"/>
    <w:rsid w:val="00384E7F"/>
    <w:rsid w:val="00387173"/>
    <w:rsid w:val="00390022"/>
    <w:rsid w:val="00391CA9"/>
    <w:rsid w:val="00397628"/>
    <w:rsid w:val="0039787E"/>
    <w:rsid w:val="00397ACC"/>
    <w:rsid w:val="00397F97"/>
    <w:rsid w:val="003A0087"/>
    <w:rsid w:val="003A05C6"/>
    <w:rsid w:val="003A19DE"/>
    <w:rsid w:val="003A1CB8"/>
    <w:rsid w:val="003A1FFC"/>
    <w:rsid w:val="003A7DC0"/>
    <w:rsid w:val="003B0D63"/>
    <w:rsid w:val="003B23FF"/>
    <w:rsid w:val="003B2F86"/>
    <w:rsid w:val="003B5648"/>
    <w:rsid w:val="003B6E0A"/>
    <w:rsid w:val="003B7F5E"/>
    <w:rsid w:val="003C019C"/>
    <w:rsid w:val="003C0D64"/>
    <w:rsid w:val="003C10DE"/>
    <w:rsid w:val="003C110D"/>
    <w:rsid w:val="003C432B"/>
    <w:rsid w:val="003C4EDB"/>
    <w:rsid w:val="003C63B6"/>
    <w:rsid w:val="003D0A2B"/>
    <w:rsid w:val="003D12CB"/>
    <w:rsid w:val="003D4008"/>
    <w:rsid w:val="003D4396"/>
    <w:rsid w:val="003D4693"/>
    <w:rsid w:val="003D52DB"/>
    <w:rsid w:val="003D6065"/>
    <w:rsid w:val="003D6B17"/>
    <w:rsid w:val="003D70CD"/>
    <w:rsid w:val="003D7B3B"/>
    <w:rsid w:val="003E167C"/>
    <w:rsid w:val="003E7C1C"/>
    <w:rsid w:val="003F1105"/>
    <w:rsid w:val="003F1DE7"/>
    <w:rsid w:val="003F3E52"/>
    <w:rsid w:val="003F4364"/>
    <w:rsid w:val="003F7B9A"/>
    <w:rsid w:val="003F7ED8"/>
    <w:rsid w:val="00402BD1"/>
    <w:rsid w:val="00403437"/>
    <w:rsid w:val="00403A3D"/>
    <w:rsid w:val="0040646A"/>
    <w:rsid w:val="004069E4"/>
    <w:rsid w:val="00407CCF"/>
    <w:rsid w:val="00407E3B"/>
    <w:rsid w:val="004108E4"/>
    <w:rsid w:val="004122EA"/>
    <w:rsid w:val="00414A7B"/>
    <w:rsid w:val="0041638B"/>
    <w:rsid w:val="00416637"/>
    <w:rsid w:val="00416807"/>
    <w:rsid w:val="0041744B"/>
    <w:rsid w:val="00417BFE"/>
    <w:rsid w:val="004207CC"/>
    <w:rsid w:val="00421611"/>
    <w:rsid w:val="00422F1F"/>
    <w:rsid w:val="004240F4"/>
    <w:rsid w:val="0042428B"/>
    <w:rsid w:val="00424815"/>
    <w:rsid w:val="00427B9D"/>
    <w:rsid w:val="00430925"/>
    <w:rsid w:val="00430BFA"/>
    <w:rsid w:val="00432CB9"/>
    <w:rsid w:val="004352BC"/>
    <w:rsid w:val="0043571C"/>
    <w:rsid w:val="00444816"/>
    <w:rsid w:val="00445C62"/>
    <w:rsid w:val="004460A5"/>
    <w:rsid w:val="00453183"/>
    <w:rsid w:val="004537E4"/>
    <w:rsid w:val="0046062F"/>
    <w:rsid w:val="00461C89"/>
    <w:rsid w:val="0046210D"/>
    <w:rsid w:val="00465DB0"/>
    <w:rsid w:val="00466603"/>
    <w:rsid w:val="0046681A"/>
    <w:rsid w:val="00466B1B"/>
    <w:rsid w:val="00467F79"/>
    <w:rsid w:val="00470A7C"/>
    <w:rsid w:val="00470ADA"/>
    <w:rsid w:val="00471309"/>
    <w:rsid w:val="00472ABB"/>
    <w:rsid w:val="004737A6"/>
    <w:rsid w:val="00474CD1"/>
    <w:rsid w:val="004766D6"/>
    <w:rsid w:val="00476FE1"/>
    <w:rsid w:val="00477E70"/>
    <w:rsid w:val="004854C7"/>
    <w:rsid w:val="0048561F"/>
    <w:rsid w:val="00485737"/>
    <w:rsid w:val="00486026"/>
    <w:rsid w:val="004903CA"/>
    <w:rsid w:val="00490CD6"/>
    <w:rsid w:val="004A0C2D"/>
    <w:rsid w:val="004A15B0"/>
    <w:rsid w:val="004A381F"/>
    <w:rsid w:val="004B0D17"/>
    <w:rsid w:val="004B20A0"/>
    <w:rsid w:val="004B213F"/>
    <w:rsid w:val="004B6E4C"/>
    <w:rsid w:val="004B7D76"/>
    <w:rsid w:val="004C0468"/>
    <w:rsid w:val="004C23CB"/>
    <w:rsid w:val="004C37CC"/>
    <w:rsid w:val="004C63CF"/>
    <w:rsid w:val="004C6BD5"/>
    <w:rsid w:val="004D0560"/>
    <w:rsid w:val="004D1550"/>
    <w:rsid w:val="004D546C"/>
    <w:rsid w:val="004E0CE2"/>
    <w:rsid w:val="004E0D8E"/>
    <w:rsid w:val="004E1950"/>
    <w:rsid w:val="004E4A5D"/>
    <w:rsid w:val="004E5F91"/>
    <w:rsid w:val="004F34A4"/>
    <w:rsid w:val="004F4FB9"/>
    <w:rsid w:val="004F6CAF"/>
    <w:rsid w:val="00503142"/>
    <w:rsid w:val="005048B0"/>
    <w:rsid w:val="00504E9F"/>
    <w:rsid w:val="00512C04"/>
    <w:rsid w:val="0051312D"/>
    <w:rsid w:val="00516268"/>
    <w:rsid w:val="005236FE"/>
    <w:rsid w:val="0053005C"/>
    <w:rsid w:val="00530732"/>
    <w:rsid w:val="00532347"/>
    <w:rsid w:val="0053290A"/>
    <w:rsid w:val="005334DB"/>
    <w:rsid w:val="00536EDB"/>
    <w:rsid w:val="00537231"/>
    <w:rsid w:val="0053754B"/>
    <w:rsid w:val="00541E31"/>
    <w:rsid w:val="005452CD"/>
    <w:rsid w:val="00546D86"/>
    <w:rsid w:val="00547D2B"/>
    <w:rsid w:val="00554805"/>
    <w:rsid w:val="005563A1"/>
    <w:rsid w:val="005634A2"/>
    <w:rsid w:val="005639B4"/>
    <w:rsid w:val="00563A58"/>
    <w:rsid w:val="0056407D"/>
    <w:rsid w:val="00565003"/>
    <w:rsid w:val="00566706"/>
    <w:rsid w:val="00570EAA"/>
    <w:rsid w:val="00571737"/>
    <w:rsid w:val="00571D17"/>
    <w:rsid w:val="00572E16"/>
    <w:rsid w:val="00575033"/>
    <w:rsid w:val="0057602D"/>
    <w:rsid w:val="005843C6"/>
    <w:rsid w:val="00587F79"/>
    <w:rsid w:val="005917A8"/>
    <w:rsid w:val="00591CF2"/>
    <w:rsid w:val="00592A0E"/>
    <w:rsid w:val="005937D1"/>
    <w:rsid w:val="00594C4F"/>
    <w:rsid w:val="00597469"/>
    <w:rsid w:val="005A0116"/>
    <w:rsid w:val="005A09CD"/>
    <w:rsid w:val="005A21EB"/>
    <w:rsid w:val="005A328E"/>
    <w:rsid w:val="005A3DCC"/>
    <w:rsid w:val="005A4929"/>
    <w:rsid w:val="005A4DD5"/>
    <w:rsid w:val="005A5C55"/>
    <w:rsid w:val="005A6CD2"/>
    <w:rsid w:val="005A6D5E"/>
    <w:rsid w:val="005B0705"/>
    <w:rsid w:val="005B12B9"/>
    <w:rsid w:val="005B1592"/>
    <w:rsid w:val="005B25FB"/>
    <w:rsid w:val="005C12AD"/>
    <w:rsid w:val="005C4DCF"/>
    <w:rsid w:val="005C7E0F"/>
    <w:rsid w:val="005D0E61"/>
    <w:rsid w:val="005D1512"/>
    <w:rsid w:val="005D16E8"/>
    <w:rsid w:val="005D33A3"/>
    <w:rsid w:val="005D6026"/>
    <w:rsid w:val="005D6905"/>
    <w:rsid w:val="005D7583"/>
    <w:rsid w:val="005D78D5"/>
    <w:rsid w:val="005E0701"/>
    <w:rsid w:val="005E2663"/>
    <w:rsid w:val="005E403A"/>
    <w:rsid w:val="005E4F96"/>
    <w:rsid w:val="005E6D78"/>
    <w:rsid w:val="005E7559"/>
    <w:rsid w:val="005F0450"/>
    <w:rsid w:val="005F22C1"/>
    <w:rsid w:val="005F441C"/>
    <w:rsid w:val="005F5950"/>
    <w:rsid w:val="005F722D"/>
    <w:rsid w:val="005F74BD"/>
    <w:rsid w:val="00601227"/>
    <w:rsid w:val="00602AEF"/>
    <w:rsid w:val="006076E1"/>
    <w:rsid w:val="00607CBB"/>
    <w:rsid w:val="00607E23"/>
    <w:rsid w:val="00610AEC"/>
    <w:rsid w:val="006115FB"/>
    <w:rsid w:val="006122D1"/>
    <w:rsid w:val="00613422"/>
    <w:rsid w:val="006151E8"/>
    <w:rsid w:val="00615E9A"/>
    <w:rsid w:val="00616193"/>
    <w:rsid w:val="00617B08"/>
    <w:rsid w:val="00622390"/>
    <w:rsid w:val="00622BEF"/>
    <w:rsid w:val="00624B5A"/>
    <w:rsid w:val="00625A3B"/>
    <w:rsid w:val="00625B13"/>
    <w:rsid w:val="00625E21"/>
    <w:rsid w:val="006328A5"/>
    <w:rsid w:val="00634112"/>
    <w:rsid w:val="00634857"/>
    <w:rsid w:val="00634DA4"/>
    <w:rsid w:val="0063534A"/>
    <w:rsid w:val="0063588D"/>
    <w:rsid w:val="006424E1"/>
    <w:rsid w:val="0064353E"/>
    <w:rsid w:val="006452B0"/>
    <w:rsid w:val="00646128"/>
    <w:rsid w:val="006466CC"/>
    <w:rsid w:val="00647D9D"/>
    <w:rsid w:val="006548BE"/>
    <w:rsid w:val="0065510A"/>
    <w:rsid w:val="006633A0"/>
    <w:rsid w:val="00664A6B"/>
    <w:rsid w:val="00664C0A"/>
    <w:rsid w:val="006658B1"/>
    <w:rsid w:val="00665E96"/>
    <w:rsid w:val="00666113"/>
    <w:rsid w:val="006751C9"/>
    <w:rsid w:val="00675FA9"/>
    <w:rsid w:val="00680103"/>
    <w:rsid w:val="00680516"/>
    <w:rsid w:val="00680AC0"/>
    <w:rsid w:val="00682595"/>
    <w:rsid w:val="00683933"/>
    <w:rsid w:val="006915F8"/>
    <w:rsid w:val="00691844"/>
    <w:rsid w:val="00692DC4"/>
    <w:rsid w:val="00694F38"/>
    <w:rsid w:val="0069510E"/>
    <w:rsid w:val="006974A8"/>
    <w:rsid w:val="00697865"/>
    <w:rsid w:val="00697BC3"/>
    <w:rsid w:val="006A0E2A"/>
    <w:rsid w:val="006A137D"/>
    <w:rsid w:val="006A297D"/>
    <w:rsid w:val="006A2FB5"/>
    <w:rsid w:val="006A4BD1"/>
    <w:rsid w:val="006A6975"/>
    <w:rsid w:val="006A70C3"/>
    <w:rsid w:val="006B09B4"/>
    <w:rsid w:val="006B265D"/>
    <w:rsid w:val="006B4D43"/>
    <w:rsid w:val="006B5CA5"/>
    <w:rsid w:val="006B6688"/>
    <w:rsid w:val="006C0690"/>
    <w:rsid w:val="006C0C71"/>
    <w:rsid w:val="006C25FD"/>
    <w:rsid w:val="006C44DB"/>
    <w:rsid w:val="006C46A6"/>
    <w:rsid w:val="006C637F"/>
    <w:rsid w:val="006D311E"/>
    <w:rsid w:val="006D3C84"/>
    <w:rsid w:val="006D4119"/>
    <w:rsid w:val="006D4570"/>
    <w:rsid w:val="006D4E10"/>
    <w:rsid w:val="006D4E72"/>
    <w:rsid w:val="006D5395"/>
    <w:rsid w:val="006D78BF"/>
    <w:rsid w:val="006E1269"/>
    <w:rsid w:val="006E1BBD"/>
    <w:rsid w:val="006E32E3"/>
    <w:rsid w:val="006E3D86"/>
    <w:rsid w:val="006F09D7"/>
    <w:rsid w:val="006F154D"/>
    <w:rsid w:val="006F1A81"/>
    <w:rsid w:val="006F7C54"/>
    <w:rsid w:val="007003E0"/>
    <w:rsid w:val="00701A36"/>
    <w:rsid w:val="00702F0B"/>
    <w:rsid w:val="0070523C"/>
    <w:rsid w:val="00706A64"/>
    <w:rsid w:val="00707A59"/>
    <w:rsid w:val="00710D9A"/>
    <w:rsid w:val="007114D5"/>
    <w:rsid w:val="00711DAA"/>
    <w:rsid w:val="00713E0F"/>
    <w:rsid w:val="00715063"/>
    <w:rsid w:val="007172C2"/>
    <w:rsid w:val="0071778F"/>
    <w:rsid w:val="007226EE"/>
    <w:rsid w:val="007265F5"/>
    <w:rsid w:val="00726B88"/>
    <w:rsid w:val="00730613"/>
    <w:rsid w:val="00731B14"/>
    <w:rsid w:val="007333C3"/>
    <w:rsid w:val="007334F3"/>
    <w:rsid w:val="0073393C"/>
    <w:rsid w:val="00735192"/>
    <w:rsid w:val="00736783"/>
    <w:rsid w:val="00740458"/>
    <w:rsid w:val="00740D76"/>
    <w:rsid w:val="00740E52"/>
    <w:rsid w:val="00741DE5"/>
    <w:rsid w:val="0074676D"/>
    <w:rsid w:val="0074728E"/>
    <w:rsid w:val="00752782"/>
    <w:rsid w:val="007538B1"/>
    <w:rsid w:val="00755701"/>
    <w:rsid w:val="00755998"/>
    <w:rsid w:val="00755B17"/>
    <w:rsid w:val="00755D3E"/>
    <w:rsid w:val="007575C9"/>
    <w:rsid w:val="007577C4"/>
    <w:rsid w:val="007605F3"/>
    <w:rsid w:val="0076109F"/>
    <w:rsid w:val="007618C5"/>
    <w:rsid w:val="00762CC4"/>
    <w:rsid w:val="00762D3D"/>
    <w:rsid w:val="00764346"/>
    <w:rsid w:val="0076454B"/>
    <w:rsid w:val="00766FCA"/>
    <w:rsid w:val="00767F06"/>
    <w:rsid w:val="00767F10"/>
    <w:rsid w:val="00770F30"/>
    <w:rsid w:val="007712C2"/>
    <w:rsid w:val="00771B42"/>
    <w:rsid w:val="00773784"/>
    <w:rsid w:val="00776813"/>
    <w:rsid w:val="00777581"/>
    <w:rsid w:val="00781449"/>
    <w:rsid w:val="00782400"/>
    <w:rsid w:val="0078342C"/>
    <w:rsid w:val="00783808"/>
    <w:rsid w:val="0078410C"/>
    <w:rsid w:val="007850CE"/>
    <w:rsid w:val="00785276"/>
    <w:rsid w:val="007852CF"/>
    <w:rsid w:val="00785504"/>
    <w:rsid w:val="00785802"/>
    <w:rsid w:val="00786C7F"/>
    <w:rsid w:val="00790424"/>
    <w:rsid w:val="00791558"/>
    <w:rsid w:val="00791905"/>
    <w:rsid w:val="00792621"/>
    <w:rsid w:val="0079271E"/>
    <w:rsid w:val="00793099"/>
    <w:rsid w:val="00794721"/>
    <w:rsid w:val="00795523"/>
    <w:rsid w:val="007A0C1F"/>
    <w:rsid w:val="007A10C1"/>
    <w:rsid w:val="007A164D"/>
    <w:rsid w:val="007A2F52"/>
    <w:rsid w:val="007A417D"/>
    <w:rsid w:val="007A4804"/>
    <w:rsid w:val="007A5CC2"/>
    <w:rsid w:val="007A667D"/>
    <w:rsid w:val="007A740D"/>
    <w:rsid w:val="007B3479"/>
    <w:rsid w:val="007B4FD4"/>
    <w:rsid w:val="007B7C3C"/>
    <w:rsid w:val="007C2F4C"/>
    <w:rsid w:val="007D009A"/>
    <w:rsid w:val="007D0310"/>
    <w:rsid w:val="007D1440"/>
    <w:rsid w:val="007D41CC"/>
    <w:rsid w:val="007D51E0"/>
    <w:rsid w:val="007D7448"/>
    <w:rsid w:val="007E04AF"/>
    <w:rsid w:val="007E42F9"/>
    <w:rsid w:val="007E6F2E"/>
    <w:rsid w:val="007E72EA"/>
    <w:rsid w:val="007F0837"/>
    <w:rsid w:val="007F0D69"/>
    <w:rsid w:val="007F2552"/>
    <w:rsid w:val="007F3554"/>
    <w:rsid w:val="007F3693"/>
    <w:rsid w:val="007F4F41"/>
    <w:rsid w:val="007F7542"/>
    <w:rsid w:val="008014D2"/>
    <w:rsid w:val="00802DF8"/>
    <w:rsid w:val="00804860"/>
    <w:rsid w:val="00805C61"/>
    <w:rsid w:val="00811558"/>
    <w:rsid w:val="00813125"/>
    <w:rsid w:val="008132C9"/>
    <w:rsid w:val="008133F6"/>
    <w:rsid w:val="00816493"/>
    <w:rsid w:val="00820BB0"/>
    <w:rsid w:val="00820E50"/>
    <w:rsid w:val="008218DD"/>
    <w:rsid w:val="00821F03"/>
    <w:rsid w:val="0082236C"/>
    <w:rsid w:val="00822778"/>
    <w:rsid w:val="00825070"/>
    <w:rsid w:val="00825269"/>
    <w:rsid w:val="00831A33"/>
    <w:rsid w:val="00832805"/>
    <w:rsid w:val="008336EB"/>
    <w:rsid w:val="00834390"/>
    <w:rsid w:val="008365F2"/>
    <w:rsid w:val="008402F1"/>
    <w:rsid w:val="00841506"/>
    <w:rsid w:val="00841A93"/>
    <w:rsid w:val="00841D12"/>
    <w:rsid w:val="00842354"/>
    <w:rsid w:val="00846157"/>
    <w:rsid w:val="00846976"/>
    <w:rsid w:val="00847099"/>
    <w:rsid w:val="00863D5D"/>
    <w:rsid w:val="00864BAA"/>
    <w:rsid w:val="00864CF3"/>
    <w:rsid w:val="00865555"/>
    <w:rsid w:val="00867328"/>
    <w:rsid w:val="00867FDC"/>
    <w:rsid w:val="00872E98"/>
    <w:rsid w:val="00875BA6"/>
    <w:rsid w:val="00876F9A"/>
    <w:rsid w:val="008774D4"/>
    <w:rsid w:val="008803C3"/>
    <w:rsid w:val="00883C99"/>
    <w:rsid w:val="00883F1D"/>
    <w:rsid w:val="00885A49"/>
    <w:rsid w:val="008862CD"/>
    <w:rsid w:val="0089006A"/>
    <w:rsid w:val="00890246"/>
    <w:rsid w:val="00891081"/>
    <w:rsid w:val="008924FA"/>
    <w:rsid w:val="0089318F"/>
    <w:rsid w:val="0089324E"/>
    <w:rsid w:val="00894291"/>
    <w:rsid w:val="00895016"/>
    <w:rsid w:val="008A2792"/>
    <w:rsid w:val="008A4FB7"/>
    <w:rsid w:val="008A59EE"/>
    <w:rsid w:val="008A5AA2"/>
    <w:rsid w:val="008A661E"/>
    <w:rsid w:val="008A781A"/>
    <w:rsid w:val="008B026B"/>
    <w:rsid w:val="008B08AD"/>
    <w:rsid w:val="008B18AD"/>
    <w:rsid w:val="008B2069"/>
    <w:rsid w:val="008B2296"/>
    <w:rsid w:val="008B3684"/>
    <w:rsid w:val="008B39E8"/>
    <w:rsid w:val="008B414C"/>
    <w:rsid w:val="008B56B0"/>
    <w:rsid w:val="008B5C22"/>
    <w:rsid w:val="008B7AD3"/>
    <w:rsid w:val="008C216B"/>
    <w:rsid w:val="008C3038"/>
    <w:rsid w:val="008C5D22"/>
    <w:rsid w:val="008D5D8C"/>
    <w:rsid w:val="008E0415"/>
    <w:rsid w:val="008E0984"/>
    <w:rsid w:val="008E25EB"/>
    <w:rsid w:val="008E26EE"/>
    <w:rsid w:val="008E6435"/>
    <w:rsid w:val="008E6BE7"/>
    <w:rsid w:val="008F43D0"/>
    <w:rsid w:val="008F5C35"/>
    <w:rsid w:val="0090079E"/>
    <w:rsid w:val="0090186D"/>
    <w:rsid w:val="00903FA9"/>
    <w:rsid w:val="00904BCE"/>
    <w:rsid w:val="00906249"/>
    <w:rsid w:val="00911B90"/>
    <w:rsid w:val="00911F51"/>
    <w:rsid w:val="00912FED"/>
    <w:rsid w:val="009131ED"/>
    <w:rsid w:val="00913F0F"/>
    <w:rsid w:val="009169B8"/>
    <w:rsid w:val="00923D98"/>
    <w:rsid w:val="0092610E"/>
    <w:rsid w:val="0092684F"/>
    <w:rsid w:val="00926B7F"/>
    <w:rsid w:val="00926FAE"/>
    <w:rsid w:val="00930552"/>
    <w:rsid w:val="009306C3"/>
    <w:rsid w:val="009421F9"/>
    <w:rsid w:val="00946170"/>
    <w:rsid w:val="00947212"/>
    <w:rsid w:val="009503BF"/>
    <w:rsid w:val="00962B0C"/>
    <w:rsid w:val="00963829"/>
    <w:rsid w:val="0096644A"/>
    <w:rsid w:val="0097029D"/>
    <w:rsid w:val="00970837"/>
    <w:rsid w:val="00972519"/>
    <w:rsid w:val="00973BEA"/>
    <w:rsid w:val="00974332"/>
    <w:rsid w:val="009802D7"/>
    <w:rsid w:val="00980935"/>
    <w:rsid w:val="00980BA9"/>
    <w:rsid w:val="0098253D"/>
    <w:rsid w:val="00987795"/>
    <w:rsid w:val="00990656"/>
    <w:rsid w:val="00990BEF"/>
    <w:rsid w:val="009946A6"/>
    <w:rsid w:val="00994A12"/>
    <w:rsid w:val="009960D8"/>
    <w:rsid w:val="00996682"/>
    <w:rsid w:val="009A0C50"/>
    <w:rsid w:val="009A104D"/>
    <w:rsid w:val="009A10A1"/>
    <w:rsid w:val="009A1AED"/>
    <w:rsid w:val="009A24E5"/>
    <w:rsid w:val="009A2663"/>
    <w:rsid w:val="009A3394"/>
    <w:rsid w:val="009A39A2"/>
    <w:rsid w:val="009A44EB"/>
    <w:rsid w:val="009A68FE"/>
    <w:rsid w:val="009A6CBC"/>
    <w:rsid w:val="009B203E"/>
    <w:rsid w:val="009B208A"/>
    <w:rsid w:val="009B43BB"/>
    <w:rsid w:val="009C0C94"/>
    <w:rsid w:val="009C1A55"/>
    <w:rsid w:val="009D27B8"/>
    <w:rsid w:val="009D39F2"/>
    <w:rsid w:val="009D3D1E"/>
    <w:rsid w:val="009D3F86"/>
    <w:rsid w:val="009D6034"/>
    <w:rsid w:val="009D69A5"/>
    <w:rsid w:val="009E047E"/>
    <w:rsid w:val="009E1707"/>
    <w:rsid w:val="009E1C4B"/>
    <w:rsid w:val="009E1D13"/>
    <w:rsid w:val="009E200D"/>
    <w:rsid w:val="009E33AE"/>
    <w:rsid w:val="009E4AB5"/>
    <w:rsid w:val="009E52D7"/>
    <w:rsid w:val="009F0354"/>
    <w:rsid w:val="009F562A"/>
    <w:rsid w:val="009F7F99"/>
    <w:rsid w:val="00A006B0"/>
    <w:rsid w:val="00A00D0A"/>
    <w:rsid w:val="00A00FD5"/>
    <w:rsid w:val="00A016C2"/>
    <w:rsid w:val="00A06781"/>
    <w:rsid w:val="00A1146E"/>
    <w:rsid w:val="00A11BD4"/>
    <w:rsid w:val="00A12BB9"/>
    <w:rsid w:val="00A12C5B"/>
    <w:rsid w:val="00A1419F"/>
    <w:rsid w:val="00A1531A"/>
    <w:rsid w:val="00A15A04"/>
    <w:rsid w:val="00A160CE"/>
    <w:rsid w:val="00A17A52"/>
    <w:rsid w:val="00A20688"/>
    <w:rsid w:val="00A21A35"/>
    <w:rsid w:val="00A226E6"/>
    <w:rsid w:val="00A229CB"/>
    <w:rsid w:val="00A2477C"/>
    <w:rsid w:val="00A25029"/>
    <w:rsid w:val="00A2684A"/>
    <w:rsid w:val="00A26884"/>
    <w:rsid w:val="00A271F7"/>
    <w:rsid w:val="00A30A24"/>
    <w:rsid w:val="00A31973"/>
    <w:rsid w:val="00A32ACA"/>
    <w:rsid w:val="00A32B91"/>
    <w:rsid w:val="00A3481B"/>
    <w:rsid w:val="00A364F7"/>
    <w:rsid w:val="00A36C0B"/>
    <w:rsid w:val="00A3745D"/>
    <w:rsid w:val="00A37EE6"/>
    <w:rsid w:val="00A40B04"/>
    <w:rsid w:val="00A42326"/>
    <w:rsid w:val="00A43C20"/>
    <w:rsid w:val="00A44636"/>
    <w:rsid w:val="00A46BD0"/>
    <w:rsid w:val="00A51A77"/>
    <w:rsid w:val="00A52405"/>
    <w:rsid w:val="00A52BE5"/>
    <w:rsid w:val="00A536A9"/>
    <w:rsid w:val="00A56549"/>
    <w:rsid w:val="00A57440"/>
    <w:rsid w:val="00A60C26"/>
    <w:rsid w:val="00A61D48"/>
    <w:rsid w:val="00A66687"/>
    <w:rsid w:val="00A67444"/>
    <w:rsid w:val="00A67E4D"/>
    <w:rsid w:val="00A71D64"/>
    <w:rsid w:val="00A74C7A"/>
    <w:rsid w:val="00A76F3F"/>
    <w:rsid w:val="00A777F7"/>
    <w:rsid w:val="00A80448"/>
    <w:rsid w:val="00A8217D"/>
    <w:rsid w:val="00A82DD8"/>
    <w:rsid w:val="00A943A4"/>
    <w:rsid w:val="00A95318"/>
    <w:rsid w:val="00A9764D"/>
    <w:rsid w:val="00AA079D"/>
    <w:rsid w:val="00AA4157"/>
    <w:rsid w:val="00AA6952"/>
    <w:rsid w:val="00AA7D46"/>
    <w:rsid w:val="00AB5DCB"/>
    <w:rsid w:val="00AC1016"/>
    <w:rsid w:val="00AC2C25"/>
    <w:rsid w:val="00AC38A5"/>
    <w:rsid w:val="00AC6057"/>
    <w:rsid w:val="00AC6D33"/>
    <w:rsid w:val="00AD00D8"/>
    <w:rsid w:val="00AD1326"/>
    <w:rsid w:val="00AD759C"/>
    <w:rsid w:val="00AE19B3"/>
    <w:rsid w:val="00AE2942"/>
    <w:rsid w:val="00AE39C3"/>
    <w:rsid w:val="00AE429E"/>
    <w:rsid w:val="00AE614F"/>
    <w:rsid w:val="00AE68F7"/>
    <w:rsid w:val="00AF0411"/>
    <w:rsid w:val="00AF0C06"/>
    <w:rsid w:val="00AF12D6"/>
    <w:rsid w:val="00AF2398"/>
    <w:rsid w:val="00AF2B09"/>
    <w:rsid w:val="00AF364B"/>
    <w:rsid w:val="00AF525D"/>
    <w:rsid w:val="00AF6690"/>
    <w:rsid w:val="00AF6876"/>
    <w:rsid w:val="00B0132F"/>
    <w:rsid w:val="00B0290B"/>
    <w:rsid w:val="00B02CD4"/>
    <w:rsid w:val="00B04EED"/>
    <w:rsid w:val="00B10489"/>
    <w:rsid w:val="00B1107F"/>
    <w:rsid w:val="00B1255E"/>
    <w:rsid w:val="00B12D10"/>
    <w:rsid w:val="00B130B7"/>
    <w:rsid w:val="00B13801"/>
    <w:rsid w:val="00B15230"/>
    <w:rsid w:val="00B200E3"/>
    <w:rsid w:val="00B215FE"/>
    <w:rsid w:val="00B22979"/>
    <w:rsid w:val="00B236EB"/>
    <w:rsid w:val="00B24A9A"/>
    <w:rsid w:val="00B25799"/>
    <w:rsid w:val="00B25A8C"/>
    <w:rsid w:val="00B3436B"/>
    <w:rsid w:val="00B37882"/>
    <w:rsid w:val="00B403F7"/>
    <w:rsid w:val="00B42226"/>
    <w:rsid w:val="00B436AB"/>
    <w:rsid w:val="00B43A2C"/>
    <w:rsid w:val="00B46953"/>
    <w:rsid w:val="00B5147C"/>
    <w:rsid w:val="00B53E60"/>
    <w:rsid w:val="00B54855"/>
    <w:rsid w:val="00B56AE9"/>
    <w:rsid w:val="00B60563"/>
    <w:rsid w:val="00B60F9E"/>
    <w:rsid w:val="00B64C33"/>
    <w:rsid w:val="00B705E4"/>
    <w:rsid w:val="00B72943"/>
    <w:rsid w:val="00B7544E"/>
    <w:rsid w:val="00B76978"/>
    <w:rsid w:val="00B77A62"/>
    <w:rsid w:val="00B80BAD"/>
    <w:rsid w:val="00B81FD0"/>
    <w:rsid w:val="00B826A2"/>
    <w:rsid w:val="00B83D00"/>
    <w:rsid w:val="00B8682E"/>
    <w:rsid w:val="00B9045A"/>
    <w:rsid w:val="00B90DB9"/>
    <w:rsid w:val="00B91724"/>
    <w:rsid w:val="00B95339"/>
    <w:rsid w:val="00B96E8A"/>
    <w:rsid w:val="00B97C54"/>
    <w:rsid w:val="00BA19C5"/>
    <w:rsid w:val="00BA1DEE"/>
    <w:rsid w:val="00BA2382"/>
    <w:rsid w:val="00BA58AF"/>
    <w:rsid w:val="00BA77A5"/>
    <w:rsid w:val="00BB275D"/>
    <w:rsid w:val="00BB4BB6"/>
    <w:rsid w:val="00BC0D77"/>
    <w:rsid w:val="00BC39C9"/>
    <w:rsid w:val="00BC3AAC"/>
    <w:rsid w:val="00BC645A"/>
    <w:rsid w:val="00BC650B"/>
    <w:rsid w:val="00BC6B70"/>
    <w:rsid w:val="00BD58E0"/>
    <w:rsid w:val="00BD5B4D"/>
    <w:rsid w:val="00BD5BB2"/>
    <w:rsid w:val="00BD648B"/>
    <w:rsid w:val="00BE10F8"/>
    <w:rsid w:val="00BE145F"/>
    <w:rsid w:val="00BE1899"/>
    <w:rsid w:val="00BE2742"/>
    <w:rsid w:val="00BE34F9"/>
    <w:rsid w:val="00BE3594"/>
    <w:rsid w:val="00BE3E05"/>
    <w:rsid w:val="00BE60DF"/>
    <w:rsid w:val="00BE7AC1"/>
    <w:rsid w:val="00BF09E6"/>
    <w:rsid w:val="00BF1E9F"/>
    <w:rsid w:val="00BF4377"/>
    <w:rsid w:val="00C06A85"/>
    <w:rsid w:val="00C06E4E"/>
    <w:rsid w:val="00C11672"/>
    <w:rsid w:val="00C11917"/>
    <w:rsid w:val="00C138FF"/>
    <w:rsid w:val="00C14372"/>
    <w:rsid w:val="00C14389"/>
    <w:rsid w:val="00C15BA4"/>
    <w:rsid w:val="00C17865"/>
    <w:rsid w:val="00C24A27"/>
    <w:rsid w:val="00C2542D"/>
    <w:rsid w:val="00C25A81"/>
    <w:rsid w:val="00C25D68"/>
    <w:rsid w:val="00C26667"/>
    <w:rsid w:val="00C3000B"/>
    <w:rsid w:val="00C30421"/>
    <w:rsid w:val="00C30F3D"/>
    <w:rsid w:val="00C31C49"/>
    <w:rsid w:val="00C31FF8"/>
    <w:rsid w:val="00C3429A"/>
    <w:rsid w:val="00C355E4"/>
    <w:rsid w:val="00C42368"/>
    <w:rsid w:val="00C42500"/>
    <w:rsid w:val="00C42BF3"/>
    <w:rsid w:val="00C42E6C"/>
    <w:rsid w:val="00C44B09"/>
    <w:rsid w:val="00C471B2"/>
    <w:rsid w:val="00C5086B"/>
    <w:rsid w:val="00C5285C"/>
    <w:rsid w:val="00C53147"/>
    <w:rsid w:val="00C5371B"/>
    <w:rsid w:val="00C545D7"/>
    <w:rsid w:val="00C57BF9"/>
    <w:rsid w:val="00C57C01"/>
    <w:rsid w:val="00C57C0D"/>
    <w:rsid w:val="00C608FE"/>
    <w:rsid w:val="00C61E67"/>
    <w:rsid w:val="00C63148"/>
    <w:rsid w:val="00C64096"/>
    <w:rsid w:val="00C653A9"/>
    <w:rsid w:val="00C654AE"/>
    <w:rsid w:val="00C6555D"/>
    <w:rsid w:val="00C674AE"/>
    <w:rsid w:val="00C676F7"/>
    <w:rsid w:val="00C67E73"/>
    <w:rsid w:val="00C70C70"/>
    <w:rsid w:val="00C711F7"/>
    <w:rsid w:val="00C72C02"/>
    <w:rsid w:val="00C745DE"/>
    <w:rsid w:val="00C74815"/>
    <w:rsid w:val="00C754EF"/>
    <w:rsid w:val="00C75B6C"/>
    <w:rsid w:val="00C77011"/>
    <w:rsid w:val="00C8156F"/>
    <w:rsid w:val="00C8593F"/>
    <w:rsid w:val="00C8685C"/>
    <w:rsid w:val="00C8795B"/>
    <w:rsid w:val="00C87999"/>
    <w:rsid w:val="00C90009"/>
    <w:rsid w:val="00C93E01"/>
    <w:rsid w:val="00C95EDB"/>
    <w:rsid w:val="00C96AD8"/>
    <w:rsid w:val="00CA2A72"/>
    <w:rsid w:val="00CA37E4"/>
    <w:rsid w:val="00CA4290"/>
    <w:rsid w:val="00CA7078"/>
    <w:rsid w:val="00CB09CF"/>
    <w:rsid w:val="00CB373D"/>
    <w:rsid w:val="00CB3A4C"/>
    <w:rsid w:val="00CB5000"/>
    <w:rsid w:val="00CB5223"/>
    <w:rsid w:val="00CB566F"/>
    <w:rsid w:val="00CB699F"/>
    <w:rsid w:val="00CC105B"/>
    <w:rsid w:val="00CC1965"/>
    <w:rsid w:val="00CC1BFB"/>
    <w:rsid w:val="00CD13D3"/>
    <w:rsid w:val="00CD2FAA"/>
    <w:rsid w:val="00CD6C79"/>
    <w:rsid w:val="00CD7D09"/>
    <w:rsid w:val="00CE2699"/>
    <w:rsid w:val="00CE31A8"/>
    <w:rsid w:val="00CE3578"/>
    <w:rsid w:val="00CE3EB1"/>
    <w:rsid w:val="00CE49FD"/>
    <w:rsid w:val="00CE4EC5"/>
    <w:rsid w:val="00CE581D"/>
    <w:rsid w:val="00CE66E8"/>
    <w:rsid w:val="00CE6A11"/>
    <w:rsid w:val="00CE7D0D"/>
    <w:rsid w:val="00CF0D11"/>
    <w:rsid w:val="00CF33B6"/>
    <w:rsid w:val="00CF3C2A"/>
    <w:rsid w:val="00CF4322"/>
    <w:rsid w:val="00CF631D"/>
    <w:rsid w:val="00CF7393"/>
    <w:rsid w:val="00D00890"/>
    <w:rsid w:val="00D0388B"/>
    <w:rsid w:val="00D042D5"/>
    <w:rsid w:val="00D04975"/>
    <w:rsid w:val="00D11237"/>
    <w:rsid w:val="00D131E7"/>
    <w:rsid w:val="00D150C4"/>
    <w:rsid w:val="00D17649"/>
    <w:rsid w:val="00D17865"/>
    <w:rsid w:val="00D20DF4"/>
    <w:rsid w:val="00D238C9"/>
    <w:rsid w:val="00D239E9"/>
    <w:rsid w:val="00D250D9"/>
    <w:rsid w:val="00D25E72"/>
    <w:rsid w:val="00D2609A"/>
    <w:rsid w:val="00D318F7"/>
    <w:rsid w:val="00D34F9E"/>
    <w:rsid w:val="00D40132"/>
    <w:rsid w:val="00D41978"/>
    <w:rsid w:val="00D4233F"/>
    <w:rsid w:val="00D4293F"/>
    <w:rsid w:val="00D4392F"/>
    <w:rsid w:val="00D4579F"/>
    <w:rsid w:val="00D45E6D"/>
    <w:rsid w:val="00D500E3"/>
    <w:rsid w:val="00D527EB"/>
    <w:rsid w:val="00D53523"/>
    <w:rsid w:val="00D53977"/>
    <w:rsid w:val="00D5745B"/>
    <w:rsid w:val="00D57FFC"/>
    <w:rsid w:val="00D63489"/>
    <w:rsid w:val="00D63F1F"/>
    <w:rsid w:val="00D661B5"/>
    <w:rsid w:val="00D704DD"/>
    <w:rsid w:val="00D7107D"/>
    <w:rsid w:val="00D7141E"/>
    <w:rsid w:val="00D71BB7"/>
    <w:rsid w:val="00D7269F"/>
    <w:rsid w:val="00D72752"/>
    <w:rsid w:val="00D735D6"/>
    <w:rsid w:val="00D76C88"/>
    <w:rsid w:val="00D7714F"/>
    <w:rsid w:val="00D77827"/>
    <w:rsid w:val="00D807C2"/>
    <w:rsid w:val="00D83182"/>
    <w:rsid w:val="00D84230"/>
    <w:rsid w:val="00D8446E"/>
    <w:rsid w:val="00D8608E"/>
    <w:rsid w:val="00D8711C"/>
    <w:rsid w:val="00D8756C"/>
    <w:rsid w:val="00D912A8"/>
    <w:rsid w:val="00D91512"/>
    <w:rsid w:val="00D91B57"/>
    <w:rsid w:val="00D93DB9"/>
    <w:rsid w:val="00D97CB5"/>
    <w:rsid w:val="00DA39D5"/>
    <w:rsid w:val="00DA4AC6"/>
    <w:rsid w:val="00DA6571"/>
    <w:rsid w:val="00DB0E75"/>
    <w:rsid w:val="00DB10A6"/>
    <w:rsid w:val="00DB1606"/>
    <w:rsid w:val="00DB2AD9"/>
    <w:rsid w:val="00DB2C7D"/>
    <w:rsid w:val="00DB34D7"/>
    <w:rsid w:val="00DB66A9"/>
    <w:rsid w:val="00DB7E26"/>
    <w:rsid w:val="00DC067A"/>
    <w:rsid w:val="00DC0A5C"/>
    <w:rsid w:val="00DC2165"/>
    <w:rsid w:val="00DC24B6"/>
    <w:rsid w:val="00DC313B"/>
    <w:rsid w:val="00DC3AAE"/>
    <w:rsid w:val="00DC634A"/>
    <w:rsid w:val="00DD5764"/>
    <w:rsid w:val="00DD6E81"/>
    <w:rsid w:val="00DD734F"/>
    <w:rsid w:val="00DE4F88"/>
    <w:rsid w:val="00DE57DD"/>
    <w:rsid w:val="00DE5DF9"/>
    <w:rsid w:val="00DE6DFA"/>
    <w:rsid w:val="00DF6F29"/>
    <w:rsid w:val="00E000C8"/>
    <w:rsid w:val="00E0081D"/>
    <w:rsid w:val="00E00F01"/>
    <w:rsid w:val="00E02912"/>
    <w:rsid w:val="00E03CE4"/>
    <w:rsid w:val="00E0601D"/>
    <w:rsid w:val="00E071EE"/>
    <w:rsid w:val="00E075E1"/>
    <w:rsid w:val="00E15484"/>
    <w:rsid w:val="00E1605A"/>
    <w:rsid w:val="00E16A82"/>
    <w:rsid w:val="00E16D52"/>
    <w:rsid w:val="00E20F78"/>
    <w:rsid w:val="00E22278"/>
    <w:rsid w:val="00E23037"/>
    <w:rsid w:val="00E244D4"/>
    <w:rsid w:val="00E2540C"/>
    <w:rsid w:val="00E2556D"/>
    <w:rsid w:val="00E27992"/>
    <w:rsid w:val="00E3057D"/>
    <w:rsid w:val="00E34D85"/>
    <w:rsid w:val="00E36DC5"/>
    <w:rsid w:val="00E36EFD"/>
    <w:rsid w:val="00E37463"/>
    <w:rsid w:val="00E412DA"/>
    <w:rsid w:val="00E42DD7"/>
    <w:rsid w:val="00E459B8"/>
    <w:rsid w:val="00E46E30"/>
    <w:rsid w:val="00E47307"/>
    <w:rsid w:val="00E51A4C"/>
    <w:rsid w:val="00E52443"/>
    <w:rsid w:val="00E52B31"/>
    <w:rsid w:val="00E54CA7"/>
    <w:rsid w:val="00E56B1E"/>
    <w:rsid w:val="00E605AF"/>
    <w:rsid w:val="00E6173B"/>
    <w:rsid w:val="00E6262C"/>
    <w:rsid w:val="00E63B9A"/>
    <w:rsid w:val="00E64E58"/>
    <w:rsid w:val="00E66BC9"/>
    <w:rsid w:val="00E70E8F"/>
    <w:rsid w:val="00E746D4"/>
    <w:rsid w:val="00E75356"/>
    <w:rsid w:val="00E80959"/>
    <w:rsid w:val="00E8227D"/>
    <w:rsid w:val="00E84DA9"/>
    <w:rsid w:val="00E8540E"/>
    <w:rsid w:val="00E860A5"/>
    <w:rsid w:val="00E86581"/>
    <w:rsid w:val="00E8674D"/>
    <w:rsid w:val="00E87C19"/>
    <w:rsid w:val="00E87CD0"/>
    <w:rsid w:val="00E92458"/>
    <w:rsid w:val="00E940FC"/>
    <w:rsid w:val="00E94E2D"/>
    <w:rsid w:val="00E9696F"/>
    <w:rsid w:val="00E97D83"/>
    <w:rsid w:val="00EA39EF"/>
    <w:rsid w:val="00EA47EC"/>
    <w:rsid w:val="00EB26A7"/>
    <w:rsid w:val="00EB4200"/>
    <w:rsid w:val="00EB5509"/>
    <w:rsid w:val="00EB6288"/>
    <w:rsid w:val="00EB69BB"/>
    <w:rsid w:val="00EC1937"/>
    <w:rsid w:val="00EC1EFC"/>
    <w:rsid w:val="00EC2631"/>
    <w:rsid w:val="00EC4D8D"/>
    <w:rsid w:val="00EC5827"/>
    <w:rsid w:val="00EC584E"/>
    <w:rsid w:val="00EC62CF"/>
    <w:rsid w:val="00EC6696"/>
    <w:rsid w:val="00ED4579"/>
    <w:rsid w:val="00ED4ADD"/>
    <w:rsid w:val="00ED5A74"/>
    <w:rsid w:val="00ED671E"/>
    <w:rsid w:val="00ED6B99"/>
    <w:rsid w:val="00ED6D21"/>
    <w:rsid w:val="00ED6F86"/>
    <w:rsid w:val="00ED7EED"/>
    <w:rsid w:val="00EE4A36"/>
    <w:rsid w:val="00EE5EBF"/>
    <w:rsid w:val="00EE6864"/>
    <w:rsid w:val="00EF05B6"/>
    <w:rsid w:val="00EF11E1"/>
    <w:rsid w:val="00EF2BEC"/>
    <w:rsid w:val="00EF4637"/>
    <w:rsid w:val="00F004B5"/>
    <w:rsid w:val="00F0295D"/>
    <w:rsid w:val="00F031A7"/>
    <w:rsid w:val="00F0600A"/>
    <w:rsid w:val="00F10678"/>
    <w:rsid w:val="00F109D4"/>
    <w:rsid w:val="00F12D66"/>
    <w:rsid w:val="00F20784"/>
    <w:rsid w:val="00F21BA0"/>
    <w:rsid w:val="00F22364"/>
    <w:rsid w:val="00F2262F"/>
    <w:rsid w:val="00F2450E"/>
    <w:rsid w:val="00F24A01"/>
    <w:rsid w:val="00F305D1"/>
    <w:rsid w:val="00F30C46"/>
    <w:rsid w:val="00F35DB6"/>
    <w:rsid w:val="00F365AC"/>
    <w:rsid w:val="00F36944"/>
    <w:rsid w:val="00F36E34"/>
    <w:rsid w:val="00F409F1"/>
    <w:rsid w:val="00F423E7"/>
    <w:rsid w:val="00F42F4E"/>
    <w:rsid w:val="00F46FE3"/>
    <w:rsid w:val="00F50FF9"/>
    <w:rsid w:val="00F51332"/>
    <w:rsid w:val="00F52D12"/>
    <w:rsid w:val="00F54095"/>
    <w:rsid w:val="00F5565A"/>
    <w:rsid w:val="00F6051E"/>
    <w:rsid w:val="00F63E96"/>
    <w:rsid w:val="00F64724"/>
    <w:rsid w:val="00F65280"/>
    <w:rsid w:val="00F659D2"/>
    <w:rsid w:val="00F66708"/>
    <w:rsid w:val="00F671B7"/>
    <w:rsid w:val="00F7213B"/>
    <w:rsid w:val="00F772E5"/>
    <w:rsid w:val="00F773F7"/>
    <w:rsid w:val="00F832F7"/>
    <w:rsid w:val="00F8364D"/>
    <w:rsid w:val="00F844D8"/>
    <w:rsid w:val="00F8479C"/>
    <w:rsid w:val="00F84A36"/>
    <w:rsid w:val="00F84CB5"/>
    <w:rsid w:val="00F944B1"/>
    <w:rsid w:val="00F979BC"/>
    <w:rsid w:val="00FA092D"/>
    <w:rsid w:val="00FA1AAC"/>
    <w:rsid w:val="00FA5882"/>
    <w:rsid w:val="00FA70DF"/>
    <w:rsid w:val="00FB1797"/>
    <w:rsid w:val="00FB4ACE"/>
    <w:rsid w:val="00FB5DC8"/>
    <w:rsid w:val="00FB6169"/>
    <w:rsid w:val="00FB6480"/>
    <w:rsid w:val="00FB76B1"/>
    <w:rsid w:val="00FC0146"/>
    <w:rsid w:val="00FC022C"/>
    <w:rsid w:val="00FC1780"/>
    <w:rsid w:val="00FC62E4"/>
    <w:rsid w:val="00FC6759"/>
    <w:rsid w:val="00FD0B35"/>
    <w:rsid w:val="00FD328A"/>
    <w:rsid w:val="00FD3C1F"/>
    <w:rsid w:val="00FD5948"/>
    <w:rsid w:val="00FD59A5"/>
    <w:rsid w:val="00FE293A"/>
    <w:rsid w:val="00FE4FA9"/>
    <w:rsid w:val="00FE6345"/>
    <w:rsid w:val="00FF0EF3"/>
    <w:rsid w:val="00FF42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580EC"/>
  <w15:docId w15:val="{C1209607-6531-4C1F-801A-43AF9E3A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354"/>
    <w:rPr>
      <w:color w:val="0000FF" w:themeColor="hyperlink"/>
      <w:u w:val="single"/>
    </w:rPr>
  </w:style>
  <w:style w:type="character" w:styleId="UnresolvedMention">
    <w:name w:val="Unresolved Mention"/>
    <w:basedOn w:val="DefaultParagraphFont"/>
    <w:uiPriority w:val="99"/>
    <w:semiHidden/>
    <w:unhideWhenUsed/>
    <w:rsid w:val="00842354"/>
    <w:rPr>
      <w:color w:val="605E5C"/>
      <w:shd w:val="clear" w:color="auto" w:fill="E1DFDD"/>
    </w:rPr>
  </w:style>
  <w:style w:type="paragraph" w:styleId="FootnoteText">
    <w:name w:val="footnote text"/>
    <w:basedOn w:val="Normal"/>
    <w:link w:val="FootnoteTextChar"/>
    <w:semiHidden/>
    <w:unhideWhenUsed/>
    <w:rsid w:val="002D68AC"/>
    <w:pPr>
      <w:spacing w:line="240" w:lineRule="auto"/>
    </w:pPr>
    <w:rPr>
      <w:sz w:val="20"/>
      <w:szCs w:val="20"/>
    </w:rPr>
  </w:style>
  <w:style w:type="character" w:customStyle="1" w:styleId="FootnoteTextChar">
    <w:name w:val="Footnote Text Char"/>
    <w:basedOn w:val="DefaultParagraphFont"/>
    <w:link w:val="FootnoteText"/>
    <w:semiHidden/>
    <w:rsid w:val="002D68AC"/>
    <w:rPr>
      <w:rFonts w:ascii="Times New Roman" w:hAnsi="Times New Roman"/>
      <w:sz w:val="20"/>
      <w:szCs w:val="20"/>
    </w:rPr>
  </w:style>
  <w:style w:type="character" w:styleId="FootnoteReference">
    <w:name w:val="footnote reference"/>
    <w:basedOn w:val="DefaultParagraphFont"/>
    <w:semiHidden/>
    <w:unhideWhenUsed/>
    <w:rsid w:val="002D68AC"/>
    <w:rPr>
      <w:vertAlign w:val="superscript"/>
    </w:rPr>
  </w:style>
  <w:style w:type="paragraph" w:styleId="Header">
    <w:name w:val="header"/>
    <w:basedOn w:val="Normal"/>
    <w:link w:val="HeaderChar"/>
    <w:uiPriority w:val="99"/>
    <w:unhideWhenUsed/>
    <w:rsid w:val="00AC6D33"/>
    <w:pPr>
      <w:tabs>
        <w:tab w:val="center" w:pos="4680"/>
        <w:tab w:val="right" w:pos="9360"/>
      </w:tabs>
      <w:spacing w:line="240" w:lineRule="auto"/>
    </w:pPr>
  </w:style>
  <w:style w:type="character" w:customStyle="1" w:styleId="HeaderChar">
    <w:name w:val="Header Char"/>
    <w:basedOn w:val="DefaultParagraphFont"/>
    <w:link w:val="Header"/>
    <w:uiPriority w:val="99"/>
    <w:rsid w:val="00AC6D33"/>
    <w:rPr>
      <w:rFonts w:ascii="Times New Roman" w:hAnsi="Times New Roman"/>
      <w:sz w:val="24"/>
    </w:rPr>
  </w:style>
  <w:style w:type="paragraph" w:styleId="Footer">
    <w:name w:val="footer"/>
    <w:basedOn w:val="Normal"/>
    <w:link w:val="FooterChar"/>
    <w:uiPriority w:val="99"/>
    <w:unhideWhenUsed/>
    <w:rsid w:val="00AC6D33"/>
    <w:pPr>
      <w:tabs>
        <w:tab w:val="center" w:pos="4680"/>
        <w:tab w:val="right" w:pos="9360"/>
      </w:tabs>
      <w:spacing w:line="240" w:lineRule="auto"/>
    </w:pPr>
  </w:style>
  <w:style w:type="character" w:customStyle="1" w:styleId="FooterChar">
    <w:name w:val="Footer Char"/>
    <w:basedOn w:val="DefaultParagraphFont"/>
    <w:link w:val="Footer"/>
    <w:uiPriority w:val="99"/>
    <w:rsid w:val="00AC6D33"/>
    <w:rPr>
      <w:rFonts w:ascii="Times New Roman" w:hAnsi="Times New Roman"/>
      <w:sz w:val="24"/>
    </w:rPr>
  </w:style>
  <w:style w:type="paragraph" w:styleId="ListParagraph">
    <w:name w:val="List Paragraph"/>
    <w:basedOn w:val="Normal"/>
    <w:uiPriority w:val="34"/>
    <w:qFormat/>
    <w:rsid w:val="004A381F"/>
    <w:pPr>
      <w:ind w:left="720"/>
      <w:contextualSpacing/>
    </w:pPr>
  </w:style>
  <w:style w:type="character" w:styleId="CommentReference">
    <w:name w:val="annotation reference"/>
    <w:basedOn w:val="DefaultParagraphFont"/>
    <w:uiPriority w:val="99"/>
    <w:semiHidden/>
    <w:unhideWhenUsed/>
    <w:rsid w:val="005E4F96"/>
    <w:rPr>
      <w:sz w:val="16"/>
      <w:szCs w:val="16"/>
    </w:rPr>
  </w:style>
  <w:style w:type="paragraph" w:styleId="CommentText">
    <w:name w:val="annotation text"/>
    <w:basedOn w:val="Normal"/>
    <w:link w:val="CommentTextChar"/>
    <w:uiPriority w:val="99"/>
    <w:semiHidden/>
    <w:unhideWhenUsed/>
    <w:rsid w:val="005E4F96"/>
    <w:pPr>
      <w:spacing w:line="240" w:lineRule="auto"/>
    </w:pPr>
    <w:rPr>
      <w:sz w:val="20"/>
      <w:szCs w:val="20"/>
    </w:rPr>
  </w:style>
  <w:style w:type="character" w:customStyle="1" w:styleId="CommentTextChar">
    <w:name w:val="Comment Text Char"/>
    <w:basedOn w:val="DefaultParagraphFont"/>
    <w:link w:val="CommentText"/>
    <w:uiPriority w:val="99"/>
    <w:semiHidden/>
    <w:rsid w:val="005E4F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4F96"/>
    <w:rPr>
      <w:b/>
      <w:bCs/>
    </w:rPr>
  </w:style>
  <w:style w:type="character" w:customStyle="1" w:styleId="CommentSubjectChar">
    <w:name w:val="Comment Subject Char"/>
    <w:basedOn w:val="CommentTextChar"/>
    <w:link w:val="CommentSubject"/>
    <w:uiPriority w:val="99"/>
    <w:semiHidden/>
    <w:rsid w:val="005E4F96"/>
    <w:rPr>
      <w:rFonts w:ascii="Times New Roman" w:hAnsi="Times New Roman"/>
      <w:b/>
      <w:bCs/>
      <w:sz w:val="20"/>
      <w:szCs w:val="20"/>
    </w:rPr>
  </w:style>
  <w:style w:type="paragraph" w:styleId="Revision">
    <w:name w:val="Revision"/>
    <w:hidden/>
    <w:uiPriority w:val="99"/>
    <w:semiHidden/>
    <w:rsid w:val="00792621"/>
    <w:pPr>
      <w:spacing w:line="240" w:lineRule="auto"/>
    </w:pPr>
    <w:rPr>
      <w:rFonts w:ascii="Times New Roman" w:hAnsi="Times New Roman"/>
      <w:sz w:val="24"/>
    </w:rPr>
  </w:style>
  <w:style w:type="paragraph" w:styleId="NoSpacing">
    <w:name w:val="No Spacing"/>
    <w:uiPriority w:val="1"/>
    <w:qFormat/>
    <w:rsid w:val="00113130"/>
    <w:pPr>
      <w:spacing w:line="240" w:lineRule="auto"/>
      <w:jc w:val="both"/>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5A5C55"/>
    <w:pPr>
      <w:spacing w:after="150" w:line="240" w:lineRule="auto"/>
    </w:pPr>
    <w:rPr>
      <w:rFonts w:eastAsia="Times New Roman" w:cs="Times New Roman"/>
      <w:szCs w:val="24"/>
    </w:rPr>
  </w:style>
  <w:style w:type="paragraph" w:customStyle="1" w:styleId="Default">
    <w:name w:val="Default"/>
    <w:uiPriority w:val="99"/>
    <w:rsid w:val="005A5C55"/>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cohighlightpoints">
    <w:name w:val="co_highlightpoints"/>
    <w:basedOn w:val="DefaultParagraphFont"/>
    <w:rsid w:val="003F7ED8"/>
  </w:style>
  <w:style w:type="character" w:styleId="Emphasis">
    <w:name w:val="Emphasis"/>
    <w:basedOn w:val="DefaultParagraphFont"/>
    <w:uiPriority w:val="20"/>
    <w:qFormat/>
    <w:rsid w:val="00537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91688">
      <w:bodyDiv w:val="1"/>
      <w:marLeft w:val="0"/>
      <w:marRight w:val="0"/>
      <w:marTop w:val="0"/>
      <w:marBottom w:val="0"/>
      <w:divBdr>
        <w:top w:val="none" w:sz="0" w:space="0" w:color="auto"/>
        <w:left w:val="none" w:sz="0" w:space="0" w:color="auto"/>
        <w:bottom w:val="none" w:sz="0" w:space="0" w:color="auto"/>
        <w:right w:val="none" w:sz="0" w:space="0" w:color="auto"/>
      </w:divBdr>
      <w:divsChild>
        <w:div w:id="1784764009">
          <w:marLeft w:val="0"/>
          <w:marRight w:val="0"/>
          <w:marTop w:val="0"/>
          <w:marBottom w:val="0"/>
          <w:divBdr>
            <w:top w:val="none" w:sz="0" w:space="0" w:color="auto"/>
            <w:left w:val="none" w:sz="0" w:space="0" w:color="auto"/>
            <w:bottom w:val="none" w:sz="0" w:space="0" w:color="auto"/>
            <w:right w:val="none" w:sz="0" w:space="0" w:color="auto"/>
          </w:divBdr>
          <w:divsChild>
            <w:div w:id="407970748">
              <w:marLeft w:val="0"/>
              <w:marRight w:val="0"/>
              <w:marTop w:val="0"/>
              <w:marBottom w:val="0"/>
              <w:divBdr>
                <w:top w:val="none" w:sz="0" w:space="0" w:color="auto"/>
                <w:left w:val="none" w:sz="0" w:space="0" w:color="auto"/>
                <w:bottom w:val="none" w:sz="0" w:space="0" w:color="auto"/>
                <w:right w:val="none" w:sz="0" w:space="0" w:color="auto"/>
              </w:divBdr>
              <w:divsChild>
                <w:div w:id="20495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3305">
      <w:bodyDiv w:val="1"/>
      <w:marLeft w:val="0"/>
      <w:marRight w:val="0"/>
      <w:marTop w:val="0"/>
      <w:marBottom w:val="0"/>
      <w:divBdr>
        <w:top w:val="none" w:sz="0" w:space="0" w:color="auto"/>
        <w:left w:val="none" w:sz="0" w:space="0" w:color="auto"/>
        <w:bottom w:val="none" w:sz="0" w:space="0" w:color="auto"/>
        <w:right w:val="none" w:sz="0" w:space="0" w:color="auto"/>
      </w:divBdr>
      <w:divsChild>
        <w:div w:id="2102140933">
          <w:marLeft w:val="0"/>
          <w:marRight w:val="0"/>
          <w:marTop w:val="0"/>
          <w:marBottom w:val="0"/>
          <w:divBdr>
            <w:top w:val="none" w:sz="0" w:space="0" w:color="auto"/>
            <w:left w:val="none" w:sz="0" w:space="0" w:color="auto"/>
            <w:bottom w:val="none" w:sz="0" w:space="0" w:color="auto"/>
            <w:right w:val="none" w:sz="0" w:space="0" w:color="auto"/>
          </w:divBdr>
        </w:div>
        <w:div w:id="1666400513">
          <w:marLeft w:val="0"/>
          <w:marRight w:val="0"/>
          <w:marTop w:val="0"/>
          <w:marBottom w:val="0"/>
          <w:divBdr>
            <w:top w:val="none" w:sz="0" w:space="0" w:color="auto"/>
            <w:left w:val="none" w:sz="0" w:space="0" w:color="auto"/>
            <w:bottom w:val="none" w:sz="0" w:space="0" w:color="auto"/>
            <w:right w:val="none" w:sz="0" w:space="0" w:color="auto"/>
          </w:divBdr>
        </w:div>
        <w:div w:id="1494640688">
          <w:marLeft w:val="0"/>
          <w:marRight w:val="0"/>
          <w:marTop w:val="0"/>
          <w:marBottom w:val="0"/>
          <w:divBdr>
            <w:top w:val="none" w:sz="0" w:space="0" w:color="auto"/>
            <w:left w:val="none" w:sz="0" w:space="0" w:color="auto"/>
            <w:bottom w:val="none" w:sz="0" w:space="0" w:color="auto"/>
            <w:right w:val="none" w:sz="0" w:space="0" w:color="auto"/>
          </w:divBdr>
        </w:div>
      </w:divsChild>
    </w:div>
    <w:div w:id="468981310">
      <w:bodyDiv w:val="1"/>
      <w:marLeft w:val="0"/>
      <w:marRight w:val="0"/>
      <w:marTop w:val="0"/>
      <w:marBottom w:val="0"/>
      <w:divBdr>
        <w:top w:val="none" w:sz="0" w:space="0" w:color="auto"/>
        <w:left w:val="none" w:sz="0" w:space="0" w:color="auto"/>
        <w:bottom w:val="none" w:sz="0" w:space="0" w:color="auto"/>
        <w:right w:val="none" w:sz="0" w:space="0" w:color="auto"/>
      </w:divBdr>
      <w:divsChild>
        <w:div w:id="1078134201">
          <w:marLeft w:val="0"/>
          <w:marRight w:val="0"/>
          <w:marTop w:val="0"/>
          <w:marBottom w:val="0"/>
          <w:divBdr>
            <w:top w:val="none" w:sz="0" w:space="0" w:color="auto"/>
            <w:left w:val="none" w:sz="0" w:space="0" w:color="auto"/>
            <w:bottom w:val="none" w:sz="0" w:space="0" w:color="auto"/>
            <w:right w:val="none" w:sz="0" w:space="0" w:color="auto"/>
          </w:divBdr>
        </w:div>
      </w:divsChild>
    </w:div>
    <w:div w:id="507797014">
      <w:bodyDiv w:val="1"/>
      <w:marLeft w:val="0"/>
      <w:marRight w:val="0"/>
      <w:marTop w:val="0"/>
      <w:marBottom w:val="0"/>
      <w:divBdr>
        <w:top w:val="none" w:sz="0" w:space="0" w:color="auto"/>
        <w:left w:val="none" w:sz="0" w:space="0" w:color="auto"/>
        <w:bottom w:val="none" w:sz="0" w:space="0" w:color="auto"/>
        <w:right w:val="none" w:sz="0" w:space="0" w:color="auto"/>
      </w:divBdr>
      <w:divsChild>
        <w:div w:id="1968390239">
          <w:marLeft w:val="0"/>
          <w:marRight w:val="0"/>
          <w:marTop w:val="0"/>
          <w:marBottom w:val="0"/>
          <w:divBdr>
            <w:top w:val="none" w:sz="0" w:space="0" w:color="auto"/>
            <w:left w:val="none" w:sz="0" w:space="0" w:color="auto"/>
            <w:bottom w:val="none" w:sz="0" w:space="0" w:color="auto"/>
            <w:right w:val="none" w:sz="0" w:space="0" w:color="auto"/>
          </w:divBdr>
        </w:div>
        <w:div w:id="595555189">
          <w:marLeft w:val="0"/>
          <w:marRight w:val="0"/>
          <w:marTop w:val="0"/>
          <w:marBottom w:val="0"/>
          <w:divBdr>
            <w:top w:val="none" w:sz="0" w:space="0" w:color="auto"/>
            <w:left w:val="none" w:sz="0" w:space="0" w:color="auto"/>
            <w:bottom w:val="none" w:sz="0" w:space="0" w:color="auto"/>
            <w:right w:val="none" w:sz="0" w:space="0" w:color="auto"/>
          </w:divBdr>
        </w:div>
        <w:div w:id="1987313952">
          <w:marLeft w:val="0"/>
          <w:marRight w:val="0"/>
          <w:marTop w:val="0"/>
          <w:marBottom w:val="0"/>
          <w:divBdr>
            <w:top w:val="none" w:sz="0" w:space="0" w:color="auto"/>
            <w:left w:val="none" w:sz="0" w:space="0" w:color="auto"/>
            <w:bottom w:val="none" w:sz="0" w:space="0" w:color="auto"/>
            <w:right w:val="none" w:sz="0" w:space="0" w:color="auto"/>
          </w:divBdr>
        </w:div>
      </w:divsChild>
    </w:div>
    <w:div w:id="582027065">
      <w:bodyDiv w:val="1"/>
      <w:marLeft w:val="0"/>
      <w:marRight w:val="0"/>
      <w:marTop w:val="0"/>
      <w:marBottom w:val="0"/>
      <w:divBdr>
        <w:top w:val="none" w:sz="0" w:space="0" w:color="auto"/>
        <w:left w:val="none" w:sz="0" w:space="0" w:color="auto"/>
        <w:bottom w:val="none" w:sz="0" w:space="0" w:color="auto"/>
        <w:right w:val="none" w:sz="0" w:space="0" w:color="auto"/>
      </w:divBdr>
    </w:div>
    <w:div w:id="613245490">
      <w:bodyDiv w:val="1"/>
      <w:marLeft w:val="0"/>
      <w:marRight w:val="0"/>
      <w:marTop w:val="0"/>
      <w:marBottom w:val="0"/>
      <w:divBdr>
        <w:top w:val="none" w:sz="0" w:space="0" w:color="auto"/>
        <w:left w:val="none" w:sz="0" w:space="0" w:color="auto"/>
        <w:bottom w:val="none" w:sz="0" w:space="0" w:color="auto"/>
        <w:right w:val="none" w:sz="0" w:space="0" w:color="auto"/>
      </w:divBdr>
      <w:divsChild>
        <w:div w:id="1568881660">
          <w:marLeft w:val="0"/>
          <w:marRight w:val="0"/>
          <w:marTop w:val="0"/>
          <w:marBottom w:val="0"/>
          <w:divBdr>
            <w:top w:val="none" w:sz="0" w:space="0" w:color="auto"/>
            <w:left w:val="none" w:sz="0" w:space="0" w:color="auto"/>
            <w:bottom w:val="none" w:sz="0" w:space="0" w:color="auto"/>
            <w:right w:val="none" w:sz="0" w:space="0" w:color="auto"/>
          </w:divBdr>
        </w:div>
        <w:div w:id="1470198505">
          <w:marLeft w:val="0"/>
          <w:marRight w:val="0"/>
          <w:marTop w:val="0"/>
          <w:marBottom w:val="0"/>
          <w:divBdr>
            <w:top w:val="none" w:sz="0" w:space="0" w:color="auto"/>
            <w:left w:val="none" w:sz="0" w:space="0" w:color="auto"/>
            <w:bottom w:val="none" w:sz="0" w:space="0" w:color="auto"/>
            <w:right w:val="none" w:sz="0" w:space="0" w:color="auto"/>
          </w:divBdr>
        </w:div>
        <w:div w:id="196509632">
          <w:marLeft w:val="0"/>
          <w:marRight w:val="0"/>
          <w:marTop w:val="0"/>
          <w:marBottom w:val="0"/>
          <w:divBdr>
            <w:top w:val="none" w:sz="0" w:space="0" w:color="auto"/>
            <w:left w:val="none" w:sz="0" w:space="0" w:color="auto"/>
            <w:bottom w:val="none" w:sz="0" w:space="0" w:color="auto"/>
            <w:right w:val="none" w:sz="0" w:space="0" w:color="auto"/>
          </w:divBdr>
        </w:div>
      </w:divsChild>
    </w:div>
    <w:div w:id="843711831">
      <w:bodyDiv w:val="1"/>
      <w:marLeft w:val="0"/>
      <w:marRight w:val="0"/>
      <w:marTop w:val="0"/>
      <w:marBottom w:val="0"/>
      <w:divBdr>
        <w:top w:val="none" w:sz="0" w:space="0" w:color="auto"/>
        <w:left w:val="none" w:sz="0" w:space="0" w:color="auto"/>
        <w:bottom w:val="none" w:sz="0" w:space="0" w:color="auto"/>
        <w:right w:val="none" w:sz="0" w:space="0" w:color="auto"/>
      </w:divBdr>
      <w:divsChild>
        <w:div w:id="316154734">
          <w:marLeft w:val="0"/>
          <w:marRight w:val="0"/>
          <w:marTop w:val="0"/>
          <w:marBottom w:val="0"/>
          <w:divBdr>
            <w:top w:val="none" w:sz="0" w:space="0" w:color="auto"/>
            <w:left w:val="none" w:sz="0" w:space="0" w:color="auto"/>
            <w:bottom w:val="none" w:sz="0" w:space="0" w:color="auto"/>
            <w:right w:val="none" w:sz="0" w:space="0" w:color="auto"/>
          </w:divBdr>
          <w:divsChild>
            <w:div w:id="1181628250">
              <w:marLeft w:val="0"/>
              <w:marRight w:val="0"/>
              <w:marTop w:val="0"/>
              <w:marBottom w:val="0"/>
              <w:divBdr>
                <w:top w:val="none" w:sz="0" w:space="0" w:color="auto"/>
                <w:left w:val="none" w:sz="0" w:space="0" w:color="auto"/>
                <w:bottom w:val="none" w:sz="0" w:space="0" w:color="auto"/>
                <w:right w:val="none" w:sz="0" w:space="0" w:color="auto"/>
              </w:divBdr>
              <w:divsChild>
                <w:div w:id="17308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5539">
      <w:bodyDiv w:val="1"/>
      <w:marLeft w:val="0"/>
      <w:marRight w:val="0"/>
      <w:marTop w:val="0"/>
      <w:marBottom w:val="0"/>
      <w:divBdr>
        <w:top w:val="none" w:sz="0" w:space="0" w:color="auto"/>
        <w:left w:val="none" w:sz="0" w:space="0" w:color="auto"/>
        <w:bottom w:val="none" w:sz="0" w:space="0" w:color="auto"/>
        <w:right w:val="none" w:sz="0" w:space="0" w:color="auto"/>
      </w:divBdr>
      <w:divsChild>
        <w:div w:id="1312250231">
          <w:marLeft w:val="0"/>
          <w:marRight w:val="0"/>
          <w:marTop w:val="0"/>
          <w:marBottom w:val="0"/>
          <w:divBdr>
            <w:top w:val="none" w:sz="0" w:space="0" w:color="auto"/>
            <w:left w:val="none" w:sz="0" w:space="0" w:color="auto"/>
            <w:bottom w:val="none" w:sz="0" w:space="0" w:color="auto"/>
            <w:right w:val="none" w:sz="0" w:space="0" w:color="auto"/>
          </w:divBdr>
        </w:div>
        <w:div w:id="1240866950">
          <w:marLeft w:val="0"/>
          <w:marRight w:val="0"/>
          <w:marTop w:val="0"/>
          <w:marBottom w:val="0"/>
          <w:divBdr>
            <w:top w:val="none" w:sz="0" w:space="0" w:color="auto"/>
            <w:left w:val="none" w:sz="0" w:space="0" w:color="auto"/>
            <w:bottom w:val="none" w:sz="0" w:space="0" w:color="auto"/>
            <w:right w:val="none" w:sz="0" w:space="0" w:color="auto"/>
          </w:divBdr>
        </w:div>
        <w:div w:id="1283610668">
          <w:marLeft w:val="0"/>
          <w:marRight w:val="0"/>
          <w:marTop w:val="0"/>
          <w:marBottom w:val="0"/>
          <w:divBdr>
            <w:top w:val="none" w:sz="0" w:space="0" w:color="auto"/>
            <w:left w:val="none" w:sz="0" w:space="0" w:color="auto"/>
            <w:bottom w:val="none" w:sz="0" w:space="0" w:color="auto"/>
            <w:right w:val="none" w:sz="0" w:space="0" w:color="auto"/>
          </w:divBdr>
        </w:div>
      </w:divsChild>
    </w:div>
    <w:div w:id="1218320865">
      <w:bodyDiv w:val="1"/>
      <w:marLeft w:val="0"/>
      <w:marRight w:val="0"/>
      <w:marTop w:val="0"/>
      <w:marBottom w:val="0"/>
      <w:divBdr>
        <w:top w:val="none" w:sz="0" w:space="0" w:color="auto"/>
        <w:left w:val="none" w:sz="0" w:space="0" w:color="auto"/>
        <w:bottom w:val="none" w:sz="0" w:space="0" w:color="auto"/>
        <w:right w:val="none" w:sz="0" w:space="0" w:color="auto"/>
      </w:divBdr>
      <w:divsChild>
        <w:div w:id="542715305">
          <w:marLeft w:val="0"/>
          <w:marRight w:val="0"/>
          <w:marTop w:val="0"/>
          <w:marBottom w:val="0"/>
          <w:divBdr>
            <w:top w:val="none" w:sz="0" w:space="0" w:color="auto"/>
            <w:left w:val="none" w:sz="0" w:space="0" w:color="auto"/>
            <w:bottom w:val="none" w:sz="0" w:space="0" w:color="auto"/>
            <w:right w:val="none" w:sz="0" w:space="0" w:color="auto"/>
          </w:divBdr>
          <w:divsChild>
            <w:div w:id="864295785">
              <w:marLeft w:val="0"/>
              <w:marRight w:val="0"/>
              <w:marTop w:val="0"/>
              <w:marBottom w:val="0"/>
              <w:divBdr>
                <w:top w:val="none" w:sz="0" w:space="0" w:color="auto"/>
                <w:left w:val="none" w:sz="0" w:space="0" w:color="auto"/>
                <w:bottom w:val="none" w:sz="0" w:space="0" w:color="auto"/>
                <w:right w:val="none" w:sz="0" w:space="0" w:color="auto"/>
              </w:divBdr>
              <w:divsChild>
                <w:div w:id="8070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5439">
      <w:bodyDiv w:val="1"/>
      <w:marLeft w:val="0"/>
      <w:marRight w:val="0"/>
      <w:marTop w:val="0"/>
      <w:marBottom w:val="0"/>
      <w:divBdr>
        <w:top w:val="none" w:sz="0" w:space="0" w:color="auto"/>
        <w:left w:val="none" w:sz="0" w:space="0" w:color="auto"/>
        <w:bottom w:val="none" w:sz="0" w:space="0" w:color="auto"/>
        <w:right w:val="none" w:sz="0" w:space="0" w:color="auto"/>
      </w:divBdr>
      <w:divsChild>
        <w:div w:id="493960278">
          <w:marLeft w:val="0"/>
          <w:marRight w:val="0"/>
          <w:marTop w:val="0"/>
          <w:marBottom w:val="0"/>
          <w:divBdr>
            <w:top w:val="none" w:sz="0" w:space="0" w:color="auto"/>
            <w:left w:val="none" w:sz="0" w:space="0" w:color="auto"/>
            <w:bottom w:val="none" w:sz="0" w:space="0" w:color="auto"/>
            <w:right w:val="none" w:sz="0" w:space="0" w:color="auto"/>
          </w:divBdr>
        </w:div>
      </w:divsChild>
    </w:div>
    <w:div w:id="1375930930">
      <w:bodyDiv w:val="1"/>
      <w:marLeft w:val="0"/>
      <w:marRight w:val="0"/>
      <w:marTop w:val="0"/>
      <w:marBottom w:val="0"/>
      <w:divBdr>
        <w:top w:val="none" w:sz="0" w:space="0" w:color="auto"/>
        <w:left w:val="none" w:sz="0" w:space="0" w:color="auto"/>
        <w:bottom w:val="none" w:sz="0" w:space="0" w:color="auto"/>
        <w:right w:val="none" w:sz="0" w:space="0" w:color="auto"/>
      </w:divBdr>
    </w:div>
    <w:div w:id="1562130709">
      <w:bodyDiv w:val="1"/>
      <w:marLeft w:val="0"/>
      <w:marRight w:val="0"/>
      <w:marTop w:val="0"/>
      <w:marBottom w:val="0"/>
      <w:divBdr>
        <w:top w:val="none" w:sz="0" w:space="0" w:color="auto"/>
        <w:left w:val="none" w:sz="0" w:space="0" w:color="auto"/>
        <w:bottom w:val="none" w:sz="0" w:space="0" w:color="auto"/>
        <w:right w:val="none" w:sz="0" w:space="0" w:color="auto"/>
      </w:divBdr>
      <w:divsChild>
        <w:div w:id="689642754">
          <w:marLeft w:val="0"/>
          <w:marRight w:val="0"/>
          <w:marTop w:val="0"/>
          <w:marBottom w:val="0"/>
          <w:divBdr>
            <w:top w:val="none" w:sz="0" w:space="0" w:color="auto"/>
            <w:left w:val="none" w:sz="0" w:space="0" w:color="auto"/>
            <w:bottom w:val="none" w:sz="0" w:space="0" w:color="auto"/>
            <w:right w:val="none" w:sz="0" w:space="0" w:color="auto"/>
          </w:divBdr>
        </w:div>
        <w:div w:id="1845511562">
          <w:marLeft w:val="0"/>
          <w:marRight w:val="0"/>
          <w:marTop w:val="0"/>
          <w:marBottom w:val="0"/>
          <w:divBdr>
            <w:top w:val="none" w:sz="0" w:space="0" w:color="auto"/>
            <w:left w:val="none" w:sz="0" w:space="0" w:color="auto"/>
            <w:bottom w:val="none" w:sz="0" w:space="0" w:color="auto"/>
            <w:right w:val="none" w:sz="0" w:space="0" w:color="auto"/>
          </w:divBdr>
        </w:div>
        <w:div w:id="1390110289">
          <w:marLeft w:val="0"/>
          <w:marRight w:val="0"/>
          <w:marTop w:val="0"/>
          <w:marBottom w:val="0"/>
          <w:divBdr>
            <w:top w:val="none" w:sz="0" w:space="0" w:color="auto"/>
            <w:left w:val="none" w:sz="0" w:space="0" w:color="auto"/>
            <w:bottom w:val="none" w:sz="0" w:space="0" w:color="auto"/>
            <w:right w:val="none" w:sz="0" w:space="0" w:color="auto"/>
          </w:divBdr>
        </w:div>
      </w:divsChild>
    </w:div>
    <w:div w:id="1879665689">
      <w:bodyDiv w:val="1"/>
      <w:marLeft w:val="0"/>
      <w:marRight w:val="0"/>
      <w:marTop w:val="0"/>
      <w:marBottom w:val="0"/>
      <w:divBdr>
        <w:top w:val="none" w:sz="0" w:space="0" w:color="auto"/>
        <w:left w:val="none" w:sz="0" w:space="0" w:color="auto"/>
        <w:bottom w:val="none" w:sz="0" w:space="0" w:color="auto"/>
        <w:right w:val="none" w:sz="0" w:space="0" w:color="auto"/>
      </w:divBdr>
    </w:div>
    <w:div w:id="1896232887">
      <w:bodyDiv w:val="1"/>
      <w:marLeft w:val="0"/>
      <w:marRight w:val="0"/>
      <w:marTop w:val="0"/>
      <w:marBottom w:val="0"/>
      <w:divBdr>
        <w:top w:val="none" w:sz="0" w:space="0" w:color="auto"/>
        <w:left w:val="none" w:sz="0" w:space="0" w:color="auto"/>
        <w:bottom w:val="none" w:sz="0" w:space="0" w:color="auto"/>
        <w:right w:val="none" w:sz="0" w:space="0" w:color="auto"/>
      </w:divBdr>
      <w:divsChild>
        <w:div w:id="1407144772">
          <w:marLeft w:val="0"/>
          <w:marRight w:val="0"/>
          <w:marTop w:val="0"/>
          <w:marBottom w:val="0"/>
          <w:divBdr>
            <w:top w:val="none" w:sz="0" w:space="0" w:color="auto"/>
            <w:left w:val="none" w:sz="0" w:space="0" w:color="auto"/>
            <w:bottom w:val="none" w:sz="0" w:space="0" w:color="auto"/>
            <w:right w:val="none" w:sz="0" w:space="0" w:color="auto"/>
          </w:divBdr>
        </w:div>
      </w:divsChild>
    </w:div>
    <w:div w:id="1941133878">
      <w:bodyDiv w:val="1"/>
      <w:marLeft w:val="0"/>
      <w:marRight w:val="0"/>
      <w:marTop w:val="0"/>
      <w:marBottom w:val="0"/>
      <w:divBdr>
        <w:top w:val="none" w:sz="0" w:space="0" w:color="auto"/>
        <w:left w:val="none" w:sz="0" w:space="0" w:color="auto"/>
        <w:bottom w:val="none" w:sz="0" w:space="0" w:color="auto"/>
        <w:right w:val="none" w:sz="0" w:space="0" w:color="auto"/>
      </w:divBdr>
      <w:divsChild>
        <w:div w:id="18169173">
          <w:marLeft w:val="0"/>
          <w:marRight w:val="0"/>
          <w:marTop w:val="0"/>
          <w:marBottom w:val="0"/>
          <w:divBdr>
            <w:top w:val="none" w:sz="0" w:space="0" w:color="auto"/>
            <w:left w:val="none" w:sz="0" w:space="0" w:color="auto"/>
            <w:bottom w:val="none" w:sz="0" w:space="0" w:color="auto"/>
            <w:right w:val="none" w:sz="0" w:space="0" w:color="auto"/>
          </w:divBdr>
        </w:div>
      </w:divsChild>
    </w:div>
    <w:div w:id="1966038295">
      <w:bodyDiv w:val="1"/>
      <w:marLeft w:val="0"/>
      <w:marRight w:val="0"/>
      <w:marTop w:val="0"/>
      <w:marBottom w:val="0"/>
      <w:divBdr>
        <w:top w:val="none" w:sz="0" w:space="0" w:color="auto"/>
        <w:left w:val="none" w:sz="0" w:space="0" w:color="auto"/>
        <w:bottom w:val="none" w:sz="0" w:space="0" w:color="auto"/>
        <w:right w:val="none" w:sz="0" w:space="0" w:color="auto"/>
      </w:divBdr>
      <w:divsChild>
        <w:div w:id="22172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18</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Wheatley, John (ALA)</dc:creator>
  <cp:lastModifiedBy>LaPointe, Donald (DPH)</cp:lastModifiedBy>
  <cp:revision>106</cp:revision>
  <cp:lastPrinted>2022-03-10T16:17:00Z</cp:lastPrinted>
  <dcterms:created xsi:type="dcterms:W3CDTF">2022-03-07T15:00:00Z</dcterms:created>
  <dcterms:modified xsi:type="dcterms:W3CDTF">2022-09-07T14:50:00Z</dcterms:modified>
</cp:coreProperties>
</file>