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77B5" w:rsidRDefault="004377B5">
      <w:pPr>
        <w:jc w:val="center"/>
        <w:rPr>
          <w:rFonts w:ascii="PMingLiU" w:eastAsia="PMingLiU" w:cs="PMingLiU"/>
        </w:rPr>
      </w:pPr>
      <w:r>
        <w:rPr>
          <w:rFonts w:ascii="PMingLiU" w:eastAsia="PMingLiU" w:cs="PMingLiU"/>
          <w:b/>
          <w:bCs/>
        </w:rPr>
        <w:t>COMMONWEALTH OF MASSACHUSETTS</w:t>
      </w:r>
    </w:p>
    <w:p w:rsidR="004377B5" w:rsidRDefault="004377B5">
      <w:pPr>
        <w:jc w:val="center"/>
        <w:rPr>
          <w:rFonts w:ascii="PMingLiU" w:eastAsia="PMingLiU" w:cs="PMingLiU"/>
        </w:rPr>
      </w:pPr>
      <w:r>
        <w:rPr>
          <w:b/>
          <w:bCs/>
        </w:rPr>
        <w:t>DIVISION OF ADMINISTRATIVE LAW APPEALS</w:t>
      </w:r>
    </w:p>
    <w:p w:rsidR="004377B5" w:rsidRDefault="004377B5"/>
    <w:p w:rsidR="004377B5" w:rsidRDefault="004377B5">
      <w:pPr>
        <w:rPr>
          <w:b/>
          <w:bCs/>
        </w:rPr>
      </w:pPr>
    </w:p>
    <w:p w:rsidR="004377B5" w:rsidRPr="00310D45" w:rsidRDefault="004377B5" w:rsidP="00310D45">
      <w:pPr>
        <w:jc w:val="right"/>
        <w:rPr>
          <w:b/>
          <w:bCs/>
        </w:rPr>
      </w:pPr>
      <w:r>
        <w:rPr>
          <w:b/>
          <w:bCs/>
        </w:rPr>
        <w:t xml:space="preserve">                                                                                                                           July 2, 2020</w:t>
      </w:r>
    </w:p>
    <w:p w:rsidR="004377B5" w:rsidRDefault="004377B5">
      <w:pPr>
        <w:tabs>
          <w:tab w:val="left" w:pos="-1440"/>
        </w:tabs>
        <w:ind w:left="7920" w:hanging="7920"/>
        <w:rPr>
          <w:b/>
          <w:bCs/>
        </w:rPr>
      </w:pPr>
      <w:r>
        <w:rPr>
          <w:b/>
          <w:bCs/>
        </w:rPr>
        <w:t>Middlesex, ss.</w:t>
      </w:r>
      <w:r w:rsidR="00310D45">
        <w:rPr>
          <w:b/>
          <w:bCs/>
        </w:rPr>
        <w:tab/>
      </w:r>
      <w:r>
        <w:rPr>
          <w:b/>
          <w:bCs/>
        </w:rPr>
        <w:tab/>
      </w:r>
      <w:r>
        <w:rPr>
          <w:b/>
          <w:bCs/>
        </w:rPr>
        <w:tab/>
      </w:r>
    </w:p>
    <w:p w:rsidR="004377B5" w:rsidRDefault="004377B5">
      <w:pPr>
        <w:rPr>
          <w:b/>
          <w:bCs/>
        </w:rPr>
      </w:pPr>
    </w:p>
    <w:p w:rsidR="004377B5" w:rsidRDefault="004377B5">
      <w:pPr>
        <w:tabs>
          <w:tab w:val="left" w:pos="-1440"/>
        </w:tabs>
        <w:ind w:left="4320" w:hanging="4320"/>
        <w:rPr>
          <w:b/>
          <w:bCs/>
        </w:rPr>
      </w:pPr>
      <w:r>
        <w:rPr>
          <w:b/>
          <w:bCs/>
        </w:rPr>
        <w:t>Docket No. RM-17-1004</w:t>
      </w:r>
      <w:r>
        <w:rPr>
          <w:b/>
          <w:bCs/>
        </w:rPr>
        <w:tab/>
      </w:r>
      <w:r>
        <w:rPr>
          <w:b/>
          <w:bCs/>
        </w:rPr>
        <w:tab/>
      </w:r>
      <w:r>
        <w:rPr>
          <w:b/>
          <w:bCs/>
        </w:rPr>
        <w:tab/>
      </w:r>
    </w:p>
    <w:p w:rsidR="004377B5" w:rsidRDefault="004377B5">
      <w:pPr>
        <w:rPr>
          <w:b/>
          <w:bCs/>
        </w:rPr>
      </w:pPr>
    </w:p>
    <w:p w:rsidR="004377B5" w:rsidRDefault="00794611">
      <w:pPr>
        <w:spacing w:line="19" w:lineRule="exact"/>
        <w:rPr>
          <w:b/>
          <w:bCs/>
        </w:rPr>
      </w:pPr>
      <w:r>
        <w:rPr>
          <w:noProof/>
        </w:rPr>
        <mc:AlternateContent>
          <mc:Choice Requires="wps">
            <w:drawing>
              <wp:anchor distT="0" distB="0" distL="114300" distR="114300" simplePos="0" relativeHeight="251655680"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97CD7" id="Rectangle 2" o:spid="_x0000_s1026" style="position:absolute;margin-left:1in;margin-top:0;width:468pt;height:.9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PKZ/gEAAOgDAAAOAAAAZHJzL2Uyb0RvYy54bWysU8GO0zAQvSPxD5bvNElpCxs1Xa26WoS0&#10;wIqFD3AdJ7FwPGbsNi1fz9hJS4EbIgfL4xk/v3nzsr499oYdFHoNtuLFLOdMWQm1tm3Fv355ePWW&#10;Mx+ErYUBqyp+Up7fbl6+WA+uVHPowNQKGYFYXw6u4l0IrswyLzvVCz8DpywlG8BeBAqxzWoUA6H3&#10;Jpvn+SobAGuHIJX3dHo/Jvkm4TeNkuFT03gVmKk4cQtpxbTu4ppt1qJsUbhOy4mG+AcWvdCWHr1A&#10;3Ysg2B71X1C9lggemjCT0GfQNFqq1AN1U+R/dPPcCadSLySOdxeZ/P+DlR8PT8h0XfElZ1b0NKLP&#10;JJqwrVFsHuUZnC+p6tk9YWzQu0eQ3zyzsO2oSt0hwtApUROpItZnv12IgaerbDd8gJrQxT5AUurY&#10;YB8BSQN2TAM5XQaijoFJOlzeLF6vcpqbpFwxz1fL9IIoz5cd+vBOQc/ipuJI1BO4ODz6EMmI8lyS&#10;yIPR9YM2JgXY7rYG2UFEb6RvQvfXZcbGYgvx2og4nqjkrumZc5ujXDuoT9Qywmg3+j1o0wH+4Gwg&#10;q1Xcf98LVJyZ95ZkuykWi+jNFCyWb+YU4HVmd50RVhJUxQNn43YbRj/vHeq2o5eKJIGFO5K60UmG&#10;yG9kNQ2I7JTUmawf/Xodp6pfP+jmJwAAAP//AwBQSwMEFAAGAAgAAAAhAN6QXaPZAAAABwEAAA8A&#10;AABkcnMvZG93bnJldi54bWxMj0FPwzAMhe9I/IfISNxYAitV6ZpOgMQVaR0Xbmlj2mqNE5psK/8e&#10;7wQX61nPeu9ztV3cJE44x9GThvuVAoHUeTtSr+Fj/3ZXgIjJkDWTJ9TwgxG29fVVZUrrz7TDU5N6&#10;wSEUS6NhSCmUUsZuQGfiygck9r787Ezide6lnc2Zw90kH5TKpTMjccNgAr4O2B2ao+Pez3WjQvH9&#10;0pN7z3ZtHtZt/qj17c3yvAGRcEl/x3DBZ3Soman1R7JRTLxnGf+SNPC82KpQrFpWTyDrSv7nr38B&#10;AAD//wMAUEsBAi0AFAAGAAgAAAAhALaDOJL+AAAA4QEAABMAAAAAAAAAAAAAAAAAAAAAAFtDb250&#10;ZW50X1R5cGVzXS54bWxQSwECLQAUAAYACAAAACEAOP0h/9YAAACUAQAACwAAAAAAAAAAAAAAAAAv&#10;AQAAX3JlbHMvLnJlbHNQSwECLQAUAAYACAAAACEAAGjymf4BAADoAwAADgAAAAAAAAAAAAAAAAAu&#10;AgAAZHJzL2Uyb0RvYy54bWxQSwECLQAUAAYACAAAACEA3pBdo9kAAAAHAQAADwAAAAAAAAAAAAAA&#10;AABYBAAAZHJzL2Rvd25yZXYueG1sUEsFBgAAAAAEAAQA8wAAAF4FAAAAAA==&#10;" o:allowincell="f" fillcolor="black" stroked="f" strokeweight="0">
                <w10:wrap anchorx="page"/>
                <w10:anchorlock/>
              </v:rect>
            </w:pict>
          </mc:Fallback>
        </mc:AlternateContent>
      </w:r>
    </w:p>
    <w:p w:rsidR="004377B5" w:rsidRDefault="004377B5">
      <w:pPr>
        <w:rPr>
          <w:b/>
          <w:bCs/>
        </w:rPr>
      </w:pPr>
    </w:p>
    <w:p w:rsidR="004377B5" w:rsidRDefault="004377B5">
      <w:pPr>
        <w:rPr>
          <w:b/>
          <w:bCs/>
        </w:rPr>
      </w:pPr>
      <w:r>
        <w:rPr>
          <w:b/>
          <w:bCs/>
        </w:rPr>
        <w:t>BOARD OF REGISTRATION IN MEDICINE, Petitioner</w:t>
      </w:r>
    </w:p>
    <w:p w:rsidR="004377B5" w:rsidRDefault="004377B5">
      <w:pPr>
        <w:rPr>
          <w:b/>
          <w:bCs/>
        </w:rPr>
      </w:pPr>
    </w:p>
    <w:p w:rsidR="004377B5" w:rsidRDefault="004377B5">
      <w:pPr>
        <w:rPr>
          <w:b/>
          <w:bCs/>
        </w:rPr>
      </w:pPr>
      <w:r>
        <w:rPr>
          <w:b/>
          <w:bCs/>
        </w:rPr>
        <w:t xml:space="preserve">            v.</w:t>
      </w:r>
    </w:p>
    <w:p w:rsidR="004377B5" w:rsidRDefault="004377B5">
      <w:pPr>
        <w:rPr>
          <w:b/>
          <w:bCs/>
        </w:rPr>
      </w:pPr>
    </w:p>
    <w:p w:rsidR="004377B5" w:rsidRDefault="004377B5">
      <w:pPr>
        <w:rPr>
          <w:rFonts w:ascii="PMingLiU" w:eastAsia="PMingLiU" w:cs="PMingLiU"/>
          <w:b/>
          <w:bCs/>
        </w:rPr>
      </w:pPr>
      <w:r>
        <w:rPr>
          <w:b/>
          <w:bCs/>
        </w:rPr>
        <w:t>JORG C. WINTERER, M.D., Respondent</w:t>
      </w:r>
      <w:r>
        <w:rPr>
          <w:b/>
          <w:bCs/>
        </w:rPr>
        <w:tab/>
      </w:r>
      <w:r>
        <w:rPr>
          <w:b/>
          <w:bCs/>
        </w:rPr>
        <w:tab/>
      </w:r>
    </w:p>
    <w:p w:rsidR="004377B5" w:rsidRDefault="004377B5">
      <w:pPr>
        <w:ind w:firstLine="720"/>
        <w:rPr>
          <w:rFonts w:ascii="PMingLiU" w:eastAsia="PMingLiU" w:cs="PMingLiU"/>
          <w:b/>
          <w:bCs/>
        </w:rPr>
      </w:pPr>
    </w:p>
    <w:p w:rsidR="004377B5" w:rsidRDefault="00794611">
      <w:pPr>
        <w:spacing w:line="19" w:lineRule="exact"/>
        <w:rPr>
          <w:rFonts w:ascii="PMingLiU" w:eastAsia="PMingLiU" w:cs="PMingLiU"/>
          <w:b/>
          <w:bCs/>
        </w:rPr>
      </w:pPr>
      <w:r>
        <w:rPr>
          <w:noProof/>
        </w:rPr>
        <mc:AlternateContent>
          <mc:Choice Requires="wps">
            <w:drawing>
              <wp:anchor distT="0" distB="0" distL="114300" distR="114300" simplePos="0" relativeHeight="251656704"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1F841" id="Rectangle 3" o:spid="_x0000_s1026" style="position:absolute;margin-left:1in;margin-top:0;width:468pt;height:.9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2Y2/wEAAOgDAAAOAAAAZHJzL2Uyb0RvYy54bWysU1Fv0zAQfkfiP1h+p0m6trCo6TR1GkIa&#10;bGLsB7iOk1g4PnN2m5Zfz9lpS2FviDxYPt/583fffVne7HvDdgq9BlvxYpJzpqyEWtu24i/f7t99&#10;4MwHYWthwKqKH5TnN6u3b5aDK9UUOjC1QkYg1peDq3gXgiuzzMtO9cJPwClLyQawF4FCbLMaxUDo&#10;vcmmeb7IBsDaIUjlPZ3ejUm+SvhNo2R4bBqvAjMVJ24hrZjWTVyz1VKULQrXaXmkIf6BRS+0pUfP&#10;UHciCLZF/Qqq1xLBQxMmEvoMmkZLlXqgbor8r26eO+FU6oXE8e4sk/9/sPLL7gmZris+48yKnkb0&#10;lUQTtjWKXUV5BudLqnp2Txgb9O4B5HfPLKw7qlK3iDB0StREqoj12R8XYuDpKtsMn6EmdLENkJTa&#10;N9hHQNKA7dNADueBqH1gkg7n17OrRU5zk5Qrpvlinl4Q5emyQx8+KuhZ3FQciXoCF7sHHyIZUZ5K&#10;Enkwur7XxqQA283aINuJ6I30HdH9ZZmxsdhCvDYijicquev4zKnNUa4N1AdqGWG0G/0etOkAf3I2&#10;kNUq7n9sBSrOzCdLsl0Xs1n0Zgpm8/dTCvAys7nMCCsJquKBs3G7DqOftw5129FLRZLAwi1J3egk&#10;Q+Q3sjoOiOyU1DlaP/r1Mk5Vv3/Q1S8AAAD//wMAUEsDBBQABgAIAAAAIQDekF2j2QAAAAcBAAAP&#10;AAAAZHJzL2Rvd25yZXYueG1sTI9BT8MwDIXvSPyHyEjcWAIrVemaToDEFWkdF25pY9pqjROabCv/&#10;Hu8EF+tZz3rvc7Vd3CROOMfRk4b7lQKB1Hk7Uq/hY/92V4CIyZA1kyfU8IMRtvX1VWVK68+0w1OT&#10;esEhFEujYUgplFLGbkBn4soHJPa+/OxM4nXupZ3NmcPdJB+UyqUzI3HDYAK+DtgdmqPj3s91o0Lx&#10;/dKTe892bR7Wbf6o9e3N8rwBkXBJf8dwwWd0qJmp9UeyUUy8Zxn/kjTwvNiqUKxaVk8g60r+569/&#10;AQAA//8DAFBLAQItABQABgAIAAAAIQC2gziS/gAAAOEBAAATAAAAAAAAAAAAAAAAAAAAAABbQ29u&#10;dGVudF9UeXBlc10ueG1sUEsBAi0AFAAGAAgAAAAhADj9If/WAAAAlAEAAAsAAAAAAAAAAAAAAAAA&#10;LwEAAF9yZWxzLy5yZWxzUEsBAi0AFAAGAAgAAAAhAMXrZjb/AQAA6AMAAA4AAAAAAAAAAAAAAAAA&#10;LgIAAGRycy9lMm9Eb2MueG1sUEsBAi0AFAAGAAgAAAAhAN6QXaPZAAAABwEAAA8AAAAAAAAAAAAA&#10;AAAAWQQAAGRycy9kb3ducmV2LnhtbFBLBQYAAAAABAAEAPMAAABfBQAAAAA=&#10;" o:allowincell="f" fillcolor="black" stroked="f" strokeweight="0">
                <w10:wrap anchorx="page"/>
                <w10:anchorlock/>
              </v:rect>
            </w:pict>
          </mc:Fallback>
        </mc:AlternateContent>
      </w:r>
    </w:p>
    <w:p w:rsidR="004377B5" w:rsidRDefault="004377B5"/>
    <w:p w:rsidR="004377B5" w:rsidRDefault="004377B5"/>
    <w:p w:rsidR="004377B5" w:rsidRDefault="004377B5">
      <w:pPr>
        <w:jc w:val="center"/>
      </w:pPr>
      <w:r>
        <w:rPr>
          <w:b/>
          <w:bCs/>
          <w:sz w:val="28"/>
          <w:szCs w:val="28"/>
        </w:rPr>
        <w:t>RECOMMENDED DECISION</w:t>
      </w:r>
    </w:p>
    <w:p w:rsidR="004377B5" w:rsidRDefault="004377B5">
      <w:pPr>
        <w:jc w:val="center"/>
      </w:pPr>
    </w:p>
    <w:p w:rsidR="004377B5" w:rsidRDefault="004377B5">
      <w:pPr>
        <w:jc w:val="center"/>
      </w:pPr>
    </w:p>
    <w:p w:rsidR="004377B5" w:rsidRDefault="00794611">
      <w:pPr>
        <w:spacing w:line="19" w:lineRule="exact"/>
      </w:pPr>
      <w:r>
        <w:rPr>
          <w:noProof/>
        </w:rPr>
        <mc:AlternateContent>
          <mc:Choice Requires="wps">
            <w:drawing>
              <wp:anchor distT="0" distB="0" distL="114300" distR="114300" simplePos="0" relativeHeight="251657728"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8B056" id="Rectangle 4" o:spid="_x0000_s1026" style="position:absolute;margin-left:1in;margin-top:0;width:46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GvO/wEAAOgDAAAOAAAAZHJzL2Uyb0RvYy54bWysU1Fv0zAQfkfiP1h+p0m6trCo6TR1GkIa&#10;bGLsB7iOk1g4PnN2m5Zfz9lpS2FviDxYPt/583fffVne7HvDdgq9BlvxYpJzpqyEWtu24i/f7t99&#10;4MwHYWthwKqKH5TnN6u3b5aDK9UUOjC1QkYg1peDq3gXgiuzzMtO9cJPwClLyQawF4FCbLMaxUDo&#10;vcmmeb7IBsDaIUjlPZ3ejUm+SvhNo2R4bBqvAjMVJ24hrZjWTVyz1VKULQrXaXmkIf6BRS+0pUfP&#10;UHciCLZF/Qqq1xLBQxMmEvoMmkZLlXqgbor8r26eO+FU6oXE8e4sk/9/sPLL7gmZrit+xZkVPY3o&#10;K4kmbGsUm0V5BudLqnp2Txgb9O4B5HfPLKw7qlK3iDB0StREqoj12R8XYuDpKtsMn6EmdLENkJTa&#10;N9hHQNKA7dNADueBqH1gkg7n17OrRU5zk5Qrpvlinl4Q5emyQx8+KuhZ3FQciXoCF7sHHyIZUZ5K&#10;Enkwur7XxqQA283aINuJ6I30HdH9ZZmxsdhCvDYijicquev4zKnNUa4N1AdqGWG0G/0etOkAf3I2&#10;kNUq7n9sBSrOzCdLsl0Xs1n0Zgpm8/dTCvAys7nMCCsJquKBs3G7DqOftw5129FLRZLAwi1J3egk&#10;Q+Q3sjoOiOyU1DlaP/r1Mk5Vv3/Q1S8AAAD//wMAUEsDBBQABgAIAAAAIQDekF2j2QAAAAcBAAAP&#10;AAAAZHJzL2Rvd25yZXYueG1sTI9BT8MwDIXvSPyHyEjcWAIrVemaToDEFWkdF25pY9pqjROabCv/&#10;Hu8EF+tZz3rvc7Vd3CROOMfRk4b7lQKB1Hk7Uq/hY/92V4CIyZA1kyfU8IMRtvX1VWVK68+0w1OT&#10;esEhFEujYUgplFLGbkBn4soHJPa+/OxM4nXupZ3NmcPdJB+UyqUzI3HDYAK+DtgdmqPj3s91o0Lx&#10;/dKTe892bR7Wbf6o9e3N8rwBkXBJf8dwwWd0qJmp9UeyUUy8Zxn/kjTwvNiqUKxaVk8g60r+569/&#10;AQAA//8DAFBLAQItABQABgAIAAAAIQC2gziS/gAAAOEBAAATAAAAAAAAAAAAAAAAAAAAAABbQ29u&#10;dGVudF9UeXBlc10ueG1sUEsBAi0AFAAGAAgAAAAhADj9If/WAAAAlAEAAAsAAAAAAAAAAAAAAAAA&#10;LwEAAF9yZWxzLy5yZWxzUEsBAi0AFAAGAAgAAAAhABxsa87/AQAA6AMAAA4AAAAAAAAAAAAAAAAA&#10;LgIAAGRycy9lMm9Eb2MueG1sUEsBAi0AFAAGAAgAAAAhAN6QXaPZAAAABwEAAA8AAAAAAAAAAAAA&#10;AAAAWQQAAGRycy9kb3ducmV2LnhtbFBLBQYAAAAABAAEAPMAAABfBQAAAAA=&#10;" o:allowincell="f" fillcolor="black" stroked="f" strokeweight="0">
                <w10:wrap anchorx="page"/>
                <w10:anchorlock/>
              </v:rect>
            </w:pict>
          </mc:Fallback>
        </mc:AlternateContent>
      </w:r>
    </w:p>
    <w:p w:rsidR="004377B5" w:rsidRDefault="004377B5"/>
    <w:p w:rsidR="004377B5" w:rsidRDefault="004377B5"/>
    <w:tbl>
      <w:tblPr>
        <w:tblW w:w="0" w:type="auto"/>
        <w:jc w:val="center"/>
        <w:tblLayout w:type="fixed"/>
        <w:tblCellMar>
          <w:left w:w="120" w:type="dxa"/>
          <w:right w:w="120" w:type="dxa"/>
        </w:tblCellMar>
        <w:tblLook w:val="0000" w:firstRow="0" w:lastRow="0" w:firstColumn="0" w:lastColumn="0" w:noHBand="0" w:noVBand="0"/>
      </w:tblPr>
      <w:tblGrid>
        <w:gridCol w:w="5310"/>
        <w:gridCol w:w="4050"/>
      </w:tblGrid>
      <w:tr w:rsidR="004377B5">
        <w:trPr>
          <w:jc w:val="center"/>
        </w:trPr>
        <w:tc>
          <w:tcPr>
            <w:tcW w:w="5310" w:type="dxa"/>
            <w:tcBorders>
              <w:top w:val="single" w:sz="7" w:space="0" w:color="000000"/>
              <w:left w:val="single" w:sz="7" w:space="0" w:color="000000"/>
              <w:bottom w:val="single" w:sz="7" w:space="0" w:color="000000"/>
              <w:right w:val="single" w:sz="7" w:space="0" w:color="000000"/>
            </w:tcBorders>
          </w:tcPr>
          <w:p w:rsidR="004377B5" w:rsidRDefault="004377B5">
            <w:pPr>
              <w:spacing w:line="120" w:lineRule="exact"/>
            </w:pPr>
          </w:p>
          <w:p w:rsidR="004377B5" w:rsidRDefault="004377B5">
            <w:pPr>
              <w:spacing w:after="58"/>
              <w:rPr>
                <w:rFonts w:ascii="PMingLiU" w:eastAsia="PMingLiU" w:cs="PMingLiU"/>
              </w:rPr>
            </w:pPr>
            <w:r>
              <w:rPr>
                <w:b/>
                <w:bCs/>
              </w:rPr>
              <w:t xml:space="preserve">Appearance for the Petitioner </w:t>
            </w:r>
          </w:p>
        </w:tc>
        <w:tc>
          <w:tcPr>
            <w:tcW w:w="4050" w:type="dxa"/>
            <w:tcBorders>
              <w:top w:val="single" w:sz="7" w:space="0" w:color="000000"/>
              <w:left w:val="single" w:sz="7" w:space="0" w:color="000000"/>
              <w:bottom w:val="single" w:sz="7" w:space="0" w:color="000000"/>
              <w:right w:val="single" w:sz="7" w:space="0" w:color="000000"/>
            </w:tcBorders>
          </w:tcPr>
          <w:p w:rsidR="004377B5" w:rsidRDefault="004377B5">
            <w:pPr>
              <w:spacing w:line="120" w:lineRule="exact"/>
              <w:rPr>
                <w:rFonts w:ascii="PMingLiU" w:eastAsia="PMingLiU" w:cs="PMingLiU"/>
              </w:rPr>
            </w:pPr>
          </w:p>
          <w:p w:rsidR="004377B5" w:rsidRDefault="004377B5">
            <w:pPr>
              <w:spacing w:after="58"/>
              <w:rPr>
                <w:rFonts w:ascii="PMingLiU" w:eastAsia="PMingLiU" w:cs="PMingLiU"/>
              </w:rPr>
            </w:pPr>
          </w:p>
        </w:tc>
      </w:tr>
      <w:tr w:rsidR="004377B5">
        <w:trPr>
          <w:jc w:val="center"/>
        </w:trPr>
        <w:tc>
          <w:tcPr>
            <w:tcW w:w="5310" w:type="dxa"/>
            <w:tcBorders>
              <w:top w:val="single" w:sz="7" w:space="0" w:color="000000"/>
              <w:left w:val="single" w:sz="7" w:space="0" w:color="000000"/>
              <w:bottom w:val="single" w:sz="7" w:space="0" w:color="000000"/>
              <w:right w:val="single" w:sz="7" w:space="0" w:color="000000"/>
            </w:tcBorders>
          </w:tcPr>
          <w:p w:rsidR="004377B5" w:rsidRDefault="004377B5">
            <w:pPr>
              <w:spacing w:line="120" w:lineRule="exact"/>
              <w:rPr>
                <w:rFonts w:ascii="PMingLiU" w:eastAsia="PMingLiU" w:cs="PMingLiU"/>
              </w:rPr>
            </w:pPr>
          </w:p>
          <w:p w:rsidR="004377B5" w:rsidRDefault="004377B5">
            <w:pPr>
              <w:rPr>
                <w:rFonts w:ascii="PMingLiU" w:eastAsia="PMingLiU" w:cs="PMingLiU"/>
              </w:rPr>
            </w:pPr>
            <w:r>
              <w:rPr>
                <w:rFonts w:ascii="PMingLiU" w:eastAsia="PMingLiU" w:cs="PMingLiU"/>
              </w:rPr>
              <w:t>Lisa L. Fuccione, Esq.</w:t>
            </w:r>
          </w:p>
          <w:p w:rsidR="004377B5" w:rsidRDefault="004377B5">
            <w:pPr>
              <w:rPr>
                <w:rFonts w:ascii="PMingLiU" w:eastAsia="PMingLiU" w:cs="PMingLiU"/>
              </w:rPr>
            </w:pPr>
            <w:r>
              <w:rPr>
                <w:rFonts w:ascii="PMingLiU" w:eastAsia="PMingLiU" w:cs="PMingLiU"/>
              </w:rPr>
              <w:t>Complaint Counsel</w:t>
            </w:r>
          </w:p>
          <w:p w:rsidR="004377B5" w:rsidRDefault="004377B5">
            <w:pPr>
              <w:rPr>
                <w:rFonts w:ascii="PMingLiU" w:eastAsia="PMingLiU" w:cs="PMingLiU"/>
              </w:rPr>
            </w:pPr>
            <w:r>
              <w:rPr>
                <w:rFonts w:ascii="PMingLiU" w:eastAsia="PMingLiU" w:cs="PMingLiU"/>
              </w:rPr>
              <w:t>Board of Registration in Medicine</w:t>
            </w:r>
          </w:p>
          <w:p w:rsidR="004377B5" w:rsidRDefault="004377B5">
            <w:pPr>
              <w:rPr>
                <w:rFonts w:ascii="PMingLiU" w:eastAsia="PMingLiU" w:cs="PMingLiU"/>
              </w:rPr>
            </w:pPr>
            <w:r>
              <w:rPr>
                <w:rFonts w:ascii="PMingLiU" w:eastAsia="PMingLiU" w:cs="PMingLiU"/>
              </w:rPr>
              <w:t>200 Harvard Mill Square, Suite 330</w:t>
            </w:r>
          </w:p>
          <w:p w:rsidR="004377B5" w:rsidRDefault="004377B5">
            <w:pPr>
              <w:rPr>
                <w:rFonts w:ascii="PMingLiU" w:eastAsia="PMingLiU" w:cs="PMingLiU"/>
              </w:rPr>
            </w:pPr>
            <w:r>
              <w:rPr>
                <w:rFonts w:ascii="PMingLiU" w:eastAsia="PMingLiU" w:cs="PMingLiU"/>
              </w:rPr>
              <w:t>Wakefield, MA 01880</w:t>
            </w:r>
          </w:p>
          <w:p w:rsidR="004377B5" w:rsidRDefault="004377B5">
            <w:pPr>
              <w:spacing w:after="58"/>
              <w:rPr>
                <w:rFonts w:ascii="PMingLiU" w:eastAsia="PMingLiU" w:cs="PMingLiU"/>
              </w:rPr>
            </w:pPr>
          </w:p>
        </w:tc>
        <w:tc>
          <w:tcPr>
            <w:tcW w:w="4050" w:type="dxa"/>
            <w:tcBorders>
              <w:top w:val="single" w:sz="7" w:space="0" w:color="000000"/>
              <w:left w:val="single" w:sz="7" w:space="0" w:color="000000"/>
              <w:bottom w:val="single" w:sz="7" w:space="0" w:color="000000"/>
              <w:right w:val="single" w:sz="7" w:space="0" w:color="000000"/>
            </w:tcBorders>
          </w:tcPr>
          <w:p w:rsidR="004377B5" w:rsidRDefault="004377B5">
            <w:pPr>
              <w:spacing w:line="120" w:lineRule="exact"/>
              <w:rPr>
                <w:rFonts w:ascii="PMingLiU" w:eastAsia="PMingLiU" w:cs="PMingLiU"/>
              </w:rPr>
            </w:pPr>
          </w:p>
          <w:p w:rsidR="004377B5" w:rsidRDefault="004377B5">
            <w:pPr>
              <w:spacing w:after="58"/>
              <w:rPr>
                <w:rFonts w:ascii="PMingLiU" w:eastAsia="PMingLiU" w:cs="PMingLiU"/>
              </w:rPr>
            </w:pPr>
          </w:p>
        </w:tc>
      </w:tr>
      <w:tr w:rsidR="004377B5">
        <w:trPr>
          <w:jc w:val="center"/>
        </w:trPr>
        <w:tc>
          <w:tcPr>
            <w:tcW w:w="5310" w:type="dxa"/>
            <w:tcBorders>
              <w:top w:val="single" w:sz="7" w:space="0" w:color="000000"/>
              <w:left w:val="single" w:sz="7" w:space="0" w:color="000000"/>
              <w:bottom w:val="single" w:sz="7" w:space="0" w:color="000000"/>
              <w:right w:val="single" w:sz="7" w:space="0" w:color="000000"/>
            </w:tcBorders>
          </w:tcPr>
          <w:p w:rsidR="004377B5" w:rsidRDefault="004377B5">
            <w:pPr>
              <w:spacing w:line="120" w:lineRule="exact"/>
              <w:rPr>
                <w:rFonts w:ascii="PMingLiU" w:eastAsia="PMingLiU" w:cs="PMingLiU"/>
              </w:rPr>
            </w:pPr>
          </w:p>
          <w:p w:rsidR="004377B5" w:rsidRDefault="004377B5">
            <w:pPr>
              <w:rPr>
                <w:b/>
                <w:bCs/>
              </w:rPr>
            </w:pPr>
            <w:r>
              <w:rPr>
                <w:b/>
                <w:bCs/>
              </w:rPr>
              <w:t>Appearance for Respondent:</w:t>
            </w:r>
          </w:p>
          <w:p w:rsidR="004377B5" w:rsidRDefault="004377B5">
            <w:pPr>
              <w:rPr>
                <w:rFonts w:ascii="PMingLiU" w:eastAsia="PMingLiU" w:cs="PMingLiU"/>
              </w:rPr>
            </w:pPr>
          </w:p>
          <w:p w:rsidR="004377B5" w:rsidRDefault="004377B5">
            <w:pPr>
              <w:rPr>
                <w:rFonts w:ascii="PMingLiU" w:eastAsia="PMingLiU" w:cs="PMingLiU"/>
              </w:rPr>
            </w:pPr>
            <w:r>
              <w:rPr>
                <w:rFonts w:ascii="PMingLiU" w:eastAsia="PMingLiU" w:cs="PMingLiU"/>
              </w:rPr>
              <w:t>Timothy J. Connors, Esq.</w:t>
            </w:r>
          </w:p>
          <w:p w:rsidR="004377B5" w:rsidRDefault="004377B5">
            <w:pPr>
              <w:rPr>
                <w:rFonts w:ascii="PMingLiU" w:eastAsia="PMingLiU" w:cs="PMingLiU"/>
              </w:rPr>
            </w:pPr>
            <w:r>
              <w:rPr>
                <w:rFonts w:ascii="PMingLiU" w:eastAsia="PMingLiU" w:cs="PMingLiU"/>
              </w:rPr>
              <w:t>Law Office of Timothy J. Connors</w:t>
            </w:r>
          </w:p>
          <w:p w:rsidR="004377B5" w:rsidRDefault="004377B5">
            <w:pPr>
              <w:rPr>
                <w:rFonts w:ascii="PMingLiU" w:eastAsia="PMingLiU" w:cs="PMingLiU"/>
              </w:rPr>
            </w:pPr>
            <w:r>
              <w:rPr>
                <w:rFonts w:ascii="PMingLiU" w:eastAsia="PMingLiU" w:cs="PMingLiU"/>
              </w:rPr>
              <w:t xml:space="preserve">105 </w:t>
            </w:r>
            <w:proofErr w:type="spellStart"/>
            <w:r>
              <w:rPr>
                <w:rFonts w:ascii="PMingLiU" w:eastAsia="PMingLiU" w:cs="PMingLiU"/>
              </w:rPr>
              <w:t>Kenoza</w:t>
            </w:r>
            <w:proofErr w:type="spellEnd"/>
            <w:r>
              <w:rPr>
                <w:rFonts w:ascii="PMingLiU" w:eastAsia="PMingLiU" w:cs="PMingLiU"/>
              </w:rPr>
              <w:t xml:space="preserve"> Ave.</w:t>
            </w:r>
          </w:p>
          <w:p w:rsidR="004377B5" w:rsidRDefault="004377B5">
            <w:pPr>
              <w:rPr>
                <w:rFonts w:ascii="PMingLiU" w:eastAsia="PMingLiU" w:cs="PMingLiU"/>
              </w:rPr>
            </w:pPr>
            <w:r>
              <w:rPr>
                <w:rFonts w:ascii="PMingLiU" w:eastAsia="PMingLiU" w:cs="PMingLiU"/>
              </w:rPr>
              <w:t>Haverhill, MA 01830</w:t>
            </w:r>
          </w:p>
          <w:p w:rsidR="004377B5" w:rsidRDefault="004377B5">
            <w:pPr>
              <w:spacing w:after="58"/>
              <w:rPr>
                <w:rFonts w:ascii="PMingLiU" w:eastAsia="PMingLiU" w:cs="PMingLiU"/>
              </w:rPr>
            </w:pPr>
          </w:p>
        </w:tc>
        <w:tc>
          <w:tcPr>
            <w:tcW w:w="4050" w:type="dxa"/>
            <w:tcBorders>
              <w:top w:val="single" w:sz="7" w:space="0" w:color="000000"/>
              <w:left w:val="single" w:sz="7" w:space="0" w:color="000000"/>
              <w:bottom w:val="single" w:sz="7" w:space="0" w:color="000000"/>
              <w:right w:val="single" w:sz="7" w:space="0" w:color="000000"/>
            </w:tcBorders>
          </w:tcPr>
          <w:p w:rsidR="004377B5" w:rsidRDefault="004377B5">
            <w:pPr>
              <w:spacing w:line="120" w:lineRule="exact"/>
              <w:rPr>
                <w:rFonts w:ascii="PMingLiU" w:eastAsia="PMingLiU" w:cs="PMingLiU"/>
              </w:rPr>
            </w:pPr>
          </w:p>
          <w:p w:rsidR="004377B5" w:rsidRDefault="004377B5">
            <w:pPr>
              <w:spacing w:after="58"/>
              <w:rPr>
                <w:rFonts w:ascii="PMingLiU" w:eastAsia="PMingLiU" w:cs="PMingLiU"/>
              </w:rPr>
            </w:pPr>
          </w:p>
        </w:tc>
      </w:tr>
    </w:tbl>
    <w:p w:rsidR="004377B5" w:rsidRDefault="004377B5">
      <w:pPr>
        <w:rPr>
          <w:rFonts w:ascii="PMingLiU" w:eastAsia="PMingLiU" w:cs="PMingLiU"/>
        </w:rPr>
      </w:pPr>
    </w:p>
    <w:p w:rsidR="004377B5" w:rsidRDefault="004377B5">
      <w:r>
        <w:rPr>
          <w:b/>
          <w:bCs/>
        </w:rPr>
        <w:t xml:space="preserve">  Administrative Magistrate:</w:t>
      </w:r>
    </w:p>
    <w:p w:rsidR="004377B5" w:rsidRDefault="004377B5">
      <w:r>
        <w:lastRenderedPageBreak/>
        <w:t xml:space="preserve">  Mark L. Silverstein, Esq.</w:t>
      </w:r>
    </w:p>
    <w:p w:rsidR="00310D45" w:rsidRDefault="00310D45"/>
    <w:p w:rsidR="004377B5" w:rsidRDefault="004377B5">
      <w:pPr>
        <w:sectPr w:rsidR="004377B5">
          <w:pgSz w:w="12240" w:h="15840"/>
          <w:pgMar w:top="1440" w:right="1440" w:bottom="1440" w:left="1440" w:header="1440" w:footer="1440" w:gutter="0"/>
          <w:cols w:space="720"/>
          <w:noEndnote/>
        </w:sectPr>
      </w:pPr>
    </w:p>
    <w:p w:rsidR="004377B5" w:rsidRDefault="004377B5"/>
    <w:p w:rsidR="004377B5" w:rsidRDefault="00794611">
      <w:pPr>
        <w:spacing w:line="19" w:lineRule="exact"/>
      </w:pPr>
      <w:r>
        <w:rPr>
          <w:noProof/>
        </w:rPr>
        <mc:AlternateContent>
          <mc:Choice Requires="wps">
            <w:drawing>
              <wp:anchor distT="0" distB="0" distL="114300" distR="114300" simplePos="0" relativeHeight="251658752"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49C06A" id="Rectangle 5" o:spid="_x0000_s1026" style="position:absolute;margin-left:1in;margin-top:0;width:468pt;height:.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9h/gEAAOgDAAAOAAAAZHJzL2Uyb0RvYy54bWysU8GO0zAQvSPxD5bvNElpCxs1Xa26WoS0&#10;wIqFD3AcJ7FwPGbsNi1fz9hpS4EbIgfL4xk/v3nzsr49DIbtFXoNtuLFLOdMWQmNtl3Fv355ePWW&#10;Mx+EbYQBqyp+VJ7fbl6+WI+uVHPowTQKGYFYX46u4n0IrswyL3s1CD8DpywlW8BBBAqxyxoUI6EP&#10;Jpvn+SobARuHIJX3dHo/Jfkm4betkuFT23oVmKk4cQtpxbTWcc02a1F2KFyv5YmG+AcWg9CWHr1A&#10;3Ysg2A71X1CDlgge2jCTMGTQtlqq1AN1U+R/dPPcC6dSLySOdxeZ/P+DlR/3T8h0U/E5Z1YMNKLP&#10;JJqwnVFsGeUZnS+p6tk9YWzQu0eQ3zyzsO2pSt0hwtgr0RCpItZnv12IgaerrB4/QEPoYhcgKXVo&#10;cYiApAE7pIEcLwNRh8AkHS5vFq9XOc1NUq6Y56vEKBPl+bJDH94pGFjcVByJegIX+0cfIhlRnksS&#10;eTC6edDGpAC7emuQ7UX0RvoSf+rxuszYWGwhXpsQpxOV3HV65tzmJFcNzZFaRpjsRr8HbXrAH5yN&#10;ZLWK++87gYoz896SbDfFYhG9mYLF8s2cArzO1NcZYSVBVTxwNm23YfLzzqHuenqpSBJYuCOpW51k&#10;iPwmVqcBkZ2SOifrR79ex6nq1w+6+QkAAP//AwBQSwMEFAAGAAgAAAAhAN6QXaPZAAAABwEAAA8A&#10;AABkcnMvZG93bnJldi54bWxMj0FPwzAMhe9I/IfISNxYAitV6ZpOgMQVaR0Xbmlj2mqNE5psK/8e&#10;7wQX61nPeu9ztV3cJE44x9GThvuVAoHUeTtSr+Fj/3ZXgIjJkDWTJ9TwgxG29fVVZUrrz7TDU5N6&#10;wSEUS6NhSCmUUsZuQGfiygck9r787Ezide6lnc2Zw90kH5TKpTMjccNgAr4O2B2ao+Pez3WjQvH9&#10;0pN7z3ZtHtZt/qj17c3yvAGRcEl/x3DBZ3Soman1R7JRTLxnGf+SNPC82KpQrFpWTyDrSv7nr38B&#10;AAD//wMAUEsBAi0AFAAGAAgAAAAhALaDOJL+AAAA4QEAABMAAAAAAAAAAAAAAAAAAAAAAFtDb250&#10;ZW50X1R5cGVzXS54bWxQSwECLQAUAAYACAAAACEAOP0h/9YAAACUAQAACwAAAAAAAAAAAAAAAAAv&#10;AQAAX3JlbHMvLnJlbHNQSwECLQAUAAYACAAAACEA2e//Yf4BAADoAwAADgAAAAAAAAAAAAAAAAAu&#10;AgAAZHJzL2Uyb0RvYy54bWxQSwECLQAUAAYACAAAACEA3pBdo9kAAAAHAQAADwAAAAAAAAAAAAAA&#10;AABYBAAAZHJzL2Rvd25yZXYueG1sUEsFBgAAAAAEAAQA8wAAAF4FAAAAAA==&#10;" o:allowincell="f" fillcolor="black" stroked="f" strokeweight="0">
                <w10:wrap anchorx="page"/>
                <w10:anchorlock/>
              </v:rect>
            </w:pict>
          </mc:Fallback>
        </mc:AlternateContent>
      </w:r>
    </w:p>
    <w:p w:rsidR="004377B5" w:rsidRDefault="004377B5"/>
    <w:p w:rsidR="004377B5" w:rsidRDefault="004377B5">
      <w:pPr>
        <w:rPr>
          <w:sz w:val="22"/>
          <w:szCs w:val="22"/>
        </w:rPr>
      </w:pPr>
      <w:r>
        <w:rPr>
          <w:i/>
          <w:iCs/>
          <w:sz w:val="22"/>
          <w:szCs w:val="22"/>
        </w:rPr>
        <w:t>Summary of Decision</w:t>
      </w:r>
    </w:p>
    <w:p w:rsidR="004377B5" w:rsidRDefault="004377B5">
      <w:pPr>
        <w:rPr>
          <w:sz w:val="22"/>
          <w:szCs w:val="22"/>
        </w:rPr>
      </w:pPr>
    </w:p>
    <w:p w:rsidR="004377B5" w:rsidRDefault="004377B5">
      <w:pPr>
        <w:jc w:val="both"/>
        <w:rPr>
          <w:sz w:val="22"/>
          <w:szCs w:val="22"/>
        </w:rPr>
      </w:pPr>
      <w:r>
        <w:rPr>
          <w:sz w:val="22"/>
          <w:szCs w:val="22"/>
        </w:rPr>
        <w:t xml:space="preserve">Physician Discipline - Suspension </w:t>
      </w:r>
      <w:proofErr w:type="gramStart"/>
      <w:r>
        <w:rPr>
          <w:sz w:val="22"/>
          <w:szCs w:val="22"/>
        </w:rPr>
        <w:t>of  license</w:t>
      </w:r>
      <w:proofErr w:type="gramEnd"/>
      <w:r>
        <w:rPr>
          <w:sz w:val="22"/>
          <w:szCs w:val="22"/>
        </w:rPr>
        <w:t xml:space="preserve"> to practice medicine in the Commonwealth and conduct placing into question the physician’s competence to practice medicine - Mootness dismissal for lack of jurisdiction recommended  - Uncontested suggestion of physician’s death during prehearing discovery phase of adjudicatory proceeding.</w:t>
      </w:r>
    </w:p>
    <w:p w:rsidR="004377B5" w:rsidRDefault="004377B5">
      <w:pPr>
        <w:jc w:val="both"/>
        <w:rPr>
          <w:sz w:val="22"/>
          <w:szCs w:val="22"/>
        </w:rPr>
      </w:pPr>
    </w:p>
    <w:p w:rsidR="004377B5" w:rsidRDefault="00794611">
      <w:pPr>
        <w:spacing w:line="19" w:lineRule="exact"/>
      </w:pPr>
      <w:r>
        <w:rPr>
          <w:noProof/>
        </w:rPr>
        <mc:AlternateContent>
          <mc:Choice Requires="wps">
            <w:drawing>
              <wp:anchor distT="0" distB="0" distL="114300" distR="114300" simplePos="0" relativeHeight="251659776"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3791EF" id="Rectangle 6" o:spid="_x0000_s1026" style="position:absolute;margin-left:1in;margin-top:0;width:468pt;height:.9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TNK/QEAAOgDAAAOAAAAZHJzL2Uyb0RvYy54bWysU8GO0zAQvSPxD5bvNElpCxs1Xa26WoS0&#10;wIqFD3AdJ7FwPGbsNi1fz9hJS4EbIgfL4xk/v3nzsr499oYdFHoNtuLFLOdMWQm1tm3Fv355ePWW&#10;Mx+ErYUBqyp+Up7fbl6+WA+uVHPowNQKGYFYXw6u4l0IrswyLzvVCz8DpywlG8BeBAqxzWoUA6H3&#10;Jpvn+SobAGuHIJX3dHo/Jvkm4TeNkuFT03gVmKk4cQtpxbTu4ppt1qJsUbhOy4mG+AcWvdCWHr1A&#10;3Ysg2B71X1C9lggemjCT0GfQNFqq1AN1U+R/dPPcCadSLySOdxeZ/P+DlR8PT8h0TbPjzIqeRvSZ&#10;RBO2NYqtojyD8yVVPbsnjA169wjym2cWth1VqTtEGDolaiJVxPrstwsx8HSV7YYPUBO62AdISh0b&#10;7CMgacCOaSCny0DUMTBJh8ubxetVTnOTlCvm+WqZXhDl+bJDH94p6FncVByJegIXh0cfIhlRnksS&#10;eTC6ftDGpADb3dYgO4jojfRN6P66zNhYbCFeGxHHE5XcNT1zbnOUawf1iVpGGO1GvwdtOsAfnA1k&#10;tYr773uBijPz3pJsN8ViEb2ZgsXyzZwCvM7srjPCSoKqeOBs3G7D6Oe9Q9129FKRJLBwR1I3OskQ&#10;+Y2spgGRnZI6k/WjX6/jVPXrB938BAAA//8DAFBLAwQUAAYACAAAACEA3pBdo9kAAAAHAQAADwAA&#10;AGRycy9kb3ducmV2LnhtbEyPQU/DMAyF70j8h8hI3FgCK1Xpmk6AxBVpHRduaWPaao0Tmmwr/x7v&#10;BBfrWc9673O1XdwkTjjH0ZOG+5UCgdR5O1Kv4WP/dleAiMmQNZMn1PCDEbb19VVlSuvPtMNTk3rB&#10;IRRLo2FIKZRSxm5AZ+LKByT2vvzsTOJ17qWdzZnD3SQflMqlMyNxw2ACvg7YHZqj497PdaNC8f3S&#10;k3vPdm0e1m3+qPXtzfK8AZFwSX/HcMFndKiZqfVHslFMvGcZ/5I08LzYqlCsWlZPIOtK/uevfwEA&#10;AP//AwBQSwECLQAUAAYACAAAACEAtoM4kv4AAADhAQAAEwAAAAAAAAAAAAAAAAAAAAAAW0NvbnRl&#10;bnRfVHlwZXNdLnhtbFBLAQItABQABgAIAAAAIQA4/SH/1gAAAJQBAAALAAAAAAAAAAAAAAAAAC8B&#10;AABfcmVscy8ucmVsc1BLAQItABQABgAIAAAAIQDXbTNK/QEAAOgDAAAOAAAAAAAAAAAAAAAAAC4C&#10;AABkcnMvZTJvRG9jLnhtbFBLAQItABQABgAIAAAAIQDekF2j2QAAAAcBAAAPAAAAAAAAAAAAAAAA&#10;AFcEAABkcnMvZG93bnJldi54bWxQSwUGAAAAAAQABADzAAAAXQUAAAAA&#10;" o:allowincell="f" fillcolor="black" stroked="f" strokeweight="0">
                <w10:wrap anchorx="page"/>
                <w10:anchorlock/>
              </v:rect>
            </w:pict>
          </mc:Fallback>
        </mc:AlternateContent>
      </w:r>
    </w:p>
    <w:p w:rsidR="004377B5" w:rsidRDefault="004377B5">
      <w:pPr>
        <w:ind w:firstLine="5040"/>
      </w:pPr>
    </w:p>
    <w:p w:rsidR="004377B5" w:rsidRDefault="004377B5"/>
    <w:p w:rsidR="004377B5" w:rsidRDefault="004377B5">
      <w:pPr>
        <w:ind w:firstLine="720"/>
        <w:rPr>
          <w:b/>
          <w:bCs/>
        </w:rPr>
      </w:pPr>
      <w:r>
        <w:rPr>
          <w:i/>
          <w:iCs/>
        </w:rPr>
        <w:t>Background</w:t>
      </w:r>
    </w:p>
    <w:p w:rsidR="004377B5" w:rsidRDefault="004377B5"/>
    <w:p w:rsidR="004377B5" w:rsidRDefault="004377B5">
      <w:pPr>
        <w:spacing w:line="480" w:lineRule="auto"/>
        <w:ind w:firstLine="720"/>
        <w:jc w:val="both"/>
      </w:pPr>
      <w:r>
        <w:t xml:space="preserve">This proceeding arises out of the Board of Registration in Medicine’s November 22, 2017 suspension of Dr. </w:t>
      </w:r>
      <w:proofErr w:type="spellStart"/>
      <w:r>
        <w:t>Jorg</w:t>
      </w:r>
      <w:proofErr w:type="spellEnd"/>
      <w:r>
        <w:t xml:space="preserve"> Winterer’s license to practice medicine in the Commonwealth, and its Statement of Allegations against him that included conduct placing into question the physician’s competence to practice medicine.  This conduct allegedly occurred at Partners Urgent Care, LLC’s clinics in Newton and Watertown, Massachusetts in late December 2015, and in January and February 2016 and included (a) failure to maintain a sterile surgical field during the suturing of a lacerated finger, resulting in an infection; (b) taking a chest x-ray of a patient without covering the lower portion of her body with a protective shield, and misdiagnosing her with pneumonia; and (c) using Dermabond on a child’s face too close to one of his eyes, resulting in the eye being glued shut and requiring eye repair by an </w:t>
      </w:r>
      <w:proofErr w:type="spellStart"/>
      <w:r>
        <w:t>opthamalogist</w:t>
      </w:r>
      <w:proofErr w:type="spellEnd"/>
      <w:r>
        <w:t xml:space="preserve">.  </w:t>
      </w:r>
      <w:r>
        <w:rPr>
          <w:i/>
          <w:iCs/>
        </w:rPr>
        <w:t>See</w:t>
      </w:r>
      <w:r>
        <w:t xml:space="preserve"> </w:t>
      </w:r>
      <w:r>
        <w:rPr>
          <w:i/>
          <w:iCs/>
        </w:rPr>
        <w:t>Statement of Allegations</w:t>
      </w:r>
      <w:r>
        <w:t xml:space="preserve"> (Nov. 22, 2017, at paras. 13-15.)  </w:t>
      </w:r>
    </w:p>
    <w:p w:rsidR="004377B5" w:rsidRDefault="004377B5">
      <w:pPr>
        <w:spacing w:line="480" w:lineRule="auto"/>
        <w:ind w:firstLine="720"/>
        <w:jc w:val="both"/>
        <w:sectPr w:rsidR="004377B5">
          <w:headerReference w:type="default" r:id="rId6"/>
          <w:footerReference w:type="default" r:id="rId7"/>
          <w:type w:val="continuous"/>
          <w:pgSz w:w="12240" w:h="15840"/>
          <w:pgMar w:top="1440" w:right="1440" w:bottom="1440" w:left="1440" w:header="1440" w:footer="1440" w:gutter="0"/>
          <w:cols w:space="720"/>
          <w:noEndnote/>
        </w:sectPr>
      </w:pPr>
    </w:p>
    <w:p w:rsidR="004377B5" w:rsidRDefault="004377B5">
      <w:pPr>
        <w:spacing w:line="480" w:lineRule="auto"/>
        <w:ind w:firstLine="720"/>
        <w:jc w:val="both"/>
      </w:pPr>
      <w:r>
        <w:t xml:space="preserve">Dr. Winterer denied these allegations in an answer he filed on December 20, 2017. The Board referred this matter to DALA on November 22, 2017 for making recommended findings of fact and necessary conclusions of law.  Among the facts to be found in the recommended decision to be issued here would have been whether the physician’s alleged conduct at the urgent care </w:t>
      </w:r>
      <w:r>
        <w:lastRenderedPageBreak/>
        <w:t xml:space="preserve">clinics occurred.  </w:t>
      </w:r>
    </w:p>
    <w:p w:rsidR="004377B5" w:rsidRDefault="004377B5">
      <w:pPr>
        <w:spacing w:line="480" w:lineRule="auto"/>
        <w:ind w:firstLine="720"/>
        <w:jc w:val="both"/>
      </w:pPr>
      <w:r>
        <w:t xml:space="preserve">I began the prehearing conference in this proceeding on December 26, 2017, but did not conclude it at the time, because Dr. Winterer was in the process of seeking one or more evaluations, and also because the Board was seeking leave to serve records-only subpoenas regarding Dr. Winterer’s treatment of three patients in 2015 and 2016,  at several urgent care centers.  I allowed the issuance of these subpoenas upon various motions filed by the Board, beginning in late 2017 and continuing through late February 2019.  </w:t>
      </w:r>
    </w:p>
    <w:p w:rsidR="004377B5" w:rsidRDefault="004377B5">
      <w:pPr>
        <w:spacing w:line="480" w:lineRule="auto"/>
        <w:ind w:firstLine="720"/>
        <w:jc w:val="both"/>
      </w:pPr>
      <w:r>
        <w:t xml:space="preserve">On May 6, 2020, Board Compliant Counsel filed a status report advising that, per an online search, it had learned that Dr. Winterer had died on July 30, 2019.  Complaint counsel attached a copy of the obituary it had found online.  Complaint counsel served a copy of the status report upon counsel for Dr. Winterer in this proceeding by email (in view of the ongoing COVID-19 Coronavirus health emergency that had shut down many offices, DALA included), but did not move, at the time, to dismiss this matter based upon Dr. Winterer’s death.  </w:t>
      </w:r>
    </w:p>
    <w:p w:rsidR="004377B5" w:rsidRDefault="004377B5">
      <w:pPr>
        <w:spacing w:line="480" w:lineRule="auto"/>
        <w:ind w:firstLine="720"/>
        <w:jc w:val="both"/>
      </w:pPr>
      <w:r>
        <w:t>Dr. Winterer’s counsel filed no response to the status report and did not otherwise contest the suggestion of Dr. Winterer’s death on July 30, 2019.  The Board has inquired as to the status of this matter so that it can proceed with its final disposition.  The inquiry suggests that although the Board has not moved formally to dismiss for mootness, it seeks a recommended decision to this effect and understood that its suggestion of death in its earlier status report proposed this outcome in effect.</w:t>
      </w:r>
    </w:p>
    <w:p w:rsidR="004377B5" w:rsidRDefault="004377B5">
      <w:pPr>
        <w:spacing w:line="480" w:lineRule="auto"/>
        <w:ind w:firstLine="720"/>
        <w:jc w:val="both"/>
        <w:sectPr w:rsidR="004377B5">
          <w:type w:val="continuous"/>
          <w:pgSz w:w="12240" w:h="15840"/>
          <w:pgMar w:top="1440" w:right="1440" w:bottom="1440" w:left="1440" w:header="1440" w:footer="1440" w:gutter="0"/>
          <w:cols w:space="720"/>
          <w:noEndnote/>
        </w:sectPr>
      </w:pPr>
    </w:p>
    <w:p w:rsidR="004377B5" w:rsidRPr="00310D45" w:rsidRDefault="004377B5">
      <w:pPr>
        <w:spacing w:line="480" w:lineRule="auto"/>
        <w:ind w:firstLine="720"/>
        <w:jc w:val="both"/>
      </w:pPr>
      <w:r>
        <w:t xml:space="preserve">The suggestion of Dr. Winterer’s death is uncontested.  His death makes this proceeding moot, and suggests strongly that the Statement of Allegations against the physician is moot as </w:t>
      </w:r>
      <w:r>
        <w:lastRenderedPageBreak/>
        <w:t xml:space="preserve">well.  There remains nothing for DALA to adjudicate here as a result of the physician’s death.  In the circumstances, this proceeding is moot and should be dismissed as such by the Administrative Magistrate </w:t>
      </w:r>
      <w:proofErr w:type="spellStart"/>
      <w:r>
        <w:rPr>
          <w:i/>
          <w:iCs/>
        </w:rPr>
        <w:t>sua</w:t>
      </w:r>
      <w:proofErr w:type="spellEnd"/>
      <w:r>
        <w:rPr>
          <w:i/>
          <w:iCs/>
        </w:rPr>
        <w:t xml:space="preserve"> sponte, </w:t>
      </w:r>
      <w:r>
        <w:t>and without further notice, as the physician’s death is uncontested despite sufficient opportunity to do so, pursuant to 801 C.M.R. § 1.01(7)(g)3.  Neither party has suggested any outcome here other than a mootness dismissal.  Accordingly, this proceeding is moot, and I recommend that the Board make its dismis</w:t>
      </w:r>
      <w:r w:rsidR="00310D45">
        <w:t xml:space="preserve">sal for mootness final. </w:t>
      </w:r>
      <w:r w:rsidR="00310D45">
        <w:rPr>
          <w:i/>
          <w:iCs/>
        </w:rPr>
        <w:t xml:space="preserve">See </w:t>
      </w:r>
      <w:r>
        <w:rPr>
          <w:i/>
          <w:iCs/>
        </w:rPr>
        <w:t>Bd. of Registration in Medicine v. Fraser</w:t>
      </w:r>
      <w:r>
        <w:t xml:space="preserve">, Docket No. RM-13-224, Recommended Decision (Mass. Div. of Admin. Law App., May 4, 2017) </w:t>
      </w:r>
      <w:r w:rsidRPr="00310D45">
        <w:rPr>
          <w:i/>
          <w:iCs/>
        </w:rPr>
        <w:t>citing Bd. of Registration in Medicine v. Levy</w:t>
      </w:r>
      <w:r w:rsidRPr="00310D45">
        <w:t xml:space="preserve">, Docket No. RM-94-521, Recommended Final Decision (Mass. Div. of Admin. Law App., Dec. 5, 1996).  I also recommend that the Board resolve the Statement of Allegations against Dr. Winterer, and his licensing status, in view of the physician’s death. </w:t>
      </w:r>
    </w:p>
    <w:p w:rsidR="004377B5" w:rsidRPr="00310D45" w:rsidRDefault="004377B5">
      <w:pPr>
        <w:spacing w:line="480" w:lineRule="auto"/>
        <w:ind w:firstLine="720"/>
        <w:jc w:val="both"/>
      </w:pPr>
      <w:r w:rsidRPr="00310D45">
        <w:t xml:space="preserve">In accordance with the provisions of 801 C.M.R. § 1.01(11)(c)(1), each of the parties has 30 days to file written objections to this Recommended Decision (if any) with the Board of Registration in Medicine. </w:t>
      </w:r>
    </w:p>
    <w:p w:rsidR="004377B5" w:rsidRDefault="004377B5">
      <w:pPr>
        <w:spacing w:line="480" w:lineRule="auto"/>
        <w:ind w:firstLine="720"/>
        <w:jc w:val="both"/>
      </w:pPr>
      <w:proofErr w:type="gramStart"/>
      <w:r>
        <w:t>SO</w:t>
      </w:r>
      <w:proofErr w:type="gramEnd"/>
      <w:r>
        <w:t xml:space="preserve"> ORDERED.</w:t>
      </w:r>
      <w:r>
        <w:tab/>
      </w:r>
    </w:p>
    <w:p w:rsidR="004377B5" w:rsidRDefault="004377B5">
      <w:pPr>
        <w:ind w:firstLine="3600"/>
        <w:jc w:val="both"/>
      </w:pPr>
      <w:r>
        <w:t>DIVISION OF ADMINISTRATIVE LAW APPEALS</w:t>
      </w:r>
    </w:p>
    <w:p w:rsidR="004377B5" w:rsidRDefault="004377B5">
      <w:pPr>
        <w:jc w:val="both"/>
      </w:pPr>
    </w:p>
    <w:p w:rsidR="004377B5" w:rsidRDefault="004377B5">
      <w:pPr>
        <w:jc w:val="both"/>
      </w:pPr>
    </w:p>
    <w:p w:rsidR="004377B5" w:rsidRDefault="004377B5">
      <w:pPr>
        <w:jc w:val="both"/>
      </w:pPr>
    </w:p>
    <w:p w:rsidR="004377B5" w:rsidRDefault="000D414C" w:rsidP="00310D45">
      <w:pPr>
        <w:ind w:firstLine="3600"/>
        <w:jc w:val="both"/>
      </w:pPr>
      <w:r>
        <w:rPr>
          <w:u w:val="single"/>
        </w:rPr>
        <w:t>Signed by Mark L. Silverstein</w:t>
      </w:r>
      <w:bookmarkStart w:id="0" w:name="_GoBack"/>
      <w:bookmarkEnd w:id="0"/>
      <w:r w:rsidR="004377B5">
        <w:rPr>
          <w:u w:val="single"/>
        </w:rPr>
        <w:t xml:space="preserve">                        </w:t>
      </w:r>
    </w:p>
    <w:p w:rsidR="004377B5" w:rsidRDefault="004377B5">
      <w:pPr>
        <w:ind w:firstLine="3600"/>
        <w:jc w:val="both"/>
      </w:pPr>
      <w:r>
        <w:t>Mark L. Silverstein</w:t>
      </w:r>
    </w:p>
    <w:p w:rsidR="004377B5" w:rsidRDefault="00310D45" w:rsidP="00310D45">
      <w:pPr>
        <w:jc w:val="both"/>
      </w:pPr>
      <w:r>
        <w:t xml:space="preserve">                                     </w:t>
      </w:r>
      <w:r w:rsidR="004377B5">
        <w:t>Administrative Magistrate</w:t>
      </w:r>
    </w:p>
    <w:p w:rsidR="00310D45" w:rsidRDefault="00310D45" w:rsidP="00310D45">
      <w:pPr>
        <w:jc w:val="both"/>
      </w:pPr>
    </w:p>
    <w:p w:rsidR="004377B5" w:rsidRDefault="004377B5">
      <w:pPr>
        <w:jc w:val="both"/>
      </w:pPr>
      <w:r>
        <w:t xml:space="preserve">Dated: July 2, 2020 </w:t>
      </w:r>
    </w:p>
    <w:sectPr w:rsidR="004377B5" w:rsidSect="004377B5">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77B5" w:rsidRDefault="004377B5" w:rsidP="004377B5">
      <w:r>
        <w:separator/>
      </w:r>
    </w:p>
  </w:endnote>
  <w:endnote w:type="continuationSeparator" w:id="0">
    <w:p w:rsidR="004377B5" w:rsidRDefault="004377B5" w:rsidP="00437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7B5" w:rsidRDefault="004377B5">
    <w:pPr>
      <w:spacing w:line="240" w:lineRule="exact"/>
    </w:pPr>
  </w:p>
  <w:p w:rsidR="004377B5" w:rsidRDefault="004377B5">
    <w:pPr>
      <w:framePr w:w="9361" w:wrap="notBeside" w:vAnchor="text" w:hAnchor="text" w:x="1" w:y="1"/>
      <w:jc w:val="center"/>
    </w:pPr>
    <w:r>
      <w:sym w:font="Symbol" w:char="F02D"/>
    </w:r>
    <w:r>
      <w:fldChar w:fldCharType="begin"/>
    </w:r>
    <w:r>
      <w:instrText xml:space="preserve">PAGE </w:instrText>
    </w:r>
    <w:r>
      <w:fldChar w:fldCharType="separate"/>
    </w:r>
    <w:r w:rsidR="00310D45">
      <w:rPr>
        <w:noProof/>
      </w:rPr>
      <w:t>2</w:t>
    </w:r>
    <w:r>
      <w:fldChar w:fldCharType="end"/>
    </w:r>
    <w:r>
      <w:sym w:font="Symbol" w:char="F02D"/>
    </w:r>
  </w:p>
  <w:p w:rsidR="004377B5" w:rsidRDefault="004377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77B5" w:rsidRDefault="004377B5" w:rsidP="004377B5">
      <w:r>
        <w:separator/>
      </w:r>
    </w:p>
  </w:footnote>
  <w:footnote w:type="continuationSeparator" w:id="0">
    <w:p w:rsidR="004377B5" w:rsidRDefault="004377B5" w:rsidP="00437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7B5" w:rsidRDefault="004377B5">
    <w:pPr>
      <w:rPr>
        <w:sz w:val="20"/>
        <w:szCs w:val="20"/>
      </w:rPr>
    </w:pPr>
    <w:r>
      <w:rPr>
        <w:sz w:val="20"/>
        <w:szCs w:val="20"/>
      </w:rPr>
      <w:t>Board of Registration in Me</w:t>
    </w:r>
    <w:r w:rsidR="00310D45">
      <w:rPr>
        <w:sz w:val="20"/>
        <w:szCs w:val="20"/>
      </w:rPr>
      <w:t xml:space="preserve">dicine v. Winterer (Dr. </w:t>
    </w:r>
    <w:proofErr w:type="spellStart"/>
    <w:r w:rsidR="00310D45">
      <w:rPr>
        <w:sz w:val="20"/>
        <w:szCs w:val="20"/>
      </w:rPr>
      <w:t>Jorg</w:t>
    </w:r>
    <w:proofErr w:type="spellEnd"/>
    <w:r w:rsidR="00310D45">
      <w:rPr>
        <w:sz w:val="20"/>
        <w:szCs w:val="20"/>
      </w:rPr>
      <w:t xml:space="preserve"> C.</w:t>
    </w:r>
    <w:r>
      <w:rPr>
        <w:sz w:val="20"/>
        <w:szCs w:val="20"/>
      </w:rPr>
      <w:t>)</w:t>
    </w:r>
    <w:r w:rsidR="00310D45">
      <w:rPr>
        <w:sz w:val="20"/>
        <w:szCs w:val="20"/>
      </w:rPr>
      <w:t xml:space="preserve">                              </w:t>
    </w:r>
    <w:r>
      <w:rPr>
        <w:sz w:val="20"/>
        <w:szCs w:val="20"/>
      </w:rPr>
      <w:t xml:space="preserve">           </w:t>
    </w:r>
    <w:r w:rsidR="00310D45">
      <w:rPr>
        <w:sz w:val="20"/>
        <w:szCs w:val="20"/>
      </w:rPr>
      <w:t xml:space="preserve">  </w:t>
    </w:r>
    <w:r>
      <w:rPr>
        <w:sz w:val="20"/>
        <w:szCs w:val="20"/>
      </w:rPr>
      <w:t># RM-17-1004</w:t>
    </w:r>
  </w:p>
  <w:p w:rsidR="004377B5" w:rsidRDefault="004377B5"/>
  <w:p w:rsidR="004377B5" w:rsidRDefault="004377B5">
    <w:pPr>
      <w:spacing w:line="20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77B5"/>
    <w:rsid w:val="000D414C"/>
    <w:rsid w:val="00310D45"/>
    <w:rsid w:val="004377B5"/>
    <w:rsid w:val="004B4017"/>
    <w:rsid w:val="00794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47B49A"/>
  <w14:defaultImageDpi w14:val="96"/>
  <w15:docId w15:val="{5BEF9230-076C-420E-B5BD-E02D9C1D4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310D45"/>
    <w:pPr>
      <w:tabs>
        <w:tab w:val="center" w:pos="4680"/>
        <w:tab w:val="right" w:pos="9360"/>
      </w:tabs>
    </w:pPr>
  </w:style>
  <w:style w:type="character" w:customStyle="1" w:styleId="HeaderChar">
    <w:name w:val="Header Char"/>
    <w:basedOn w:val="DefaultParagraphFont"/>
    <w:link w:val="Header"/>
    <w:uiPriority w:val="99"/>
    <w:rsid w:val="00310D45"/>
    <w:rPr>
      <w:rFonts w:ascii="Times New Roman" w:hAnsi="Times New Roman" w:cs="Times New Roman"/>
      <w:sz w:val="24"/>
      <w:szCs w:val="24"/>
    </w:rPr>
  </w:style>
  <w:style w:type="paragraph" w:styleId="Footer">
    <w:name w:val="footer"/>
    <w:basedOn w:val="Normal"/>
    <w:link w:val="FooterChar"/>
    <w:uiPriority w:val="99"/>
    <w:unhideWhenUsed/>
    <w:rsid w:val="00310D45"/>
    <w:pPr>
      <w:tabs>
        <w:tab w:val="center" w:pos="4680"/>
        <w:tab w:val="right" w:pos="9360"/>
      </w:tabs>
    </w:pPr>
  </w:style>
  <w:style w:type="character" w:customStyle="1" w:styleId="FooterChar">
    <w:name w:val="Footer Char"/>
    <w:basedOn w:val="DefaultParagraphFont"/>
    <w:link w:val="Footer"/>
    <w:uiPriority w:val="99"/>
    <w:rsid w:val="00310D4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842</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LaPointe, Donald (MED)</cp:lastModifiedBy>
  <cp:revision>5</cp:revision>
  <dcterms:created xsi:type="dcterms:W3CDTF">2020-12-08T14:21:00Z</dcterms:created>
  <dcterms:modified xsi:type="dcterms:W3CDTF">2020-12-08T14:52:00Z</dcterms:modified>
</cp:coreProperties>
</file>