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D1F" w:rsidRDefault="002A4D1F">
      <w:pPr>
        <w:widowControl w:val="0"/>
        <w:autoSpaceDE w:val="0"/>
        <w:autoSpaceDN w:val="0"/>
        <w:adjustRightInd w:val="0"/>
        <w:spacing w:after="0" w:line="240" w:lineRule="auto"/>
        <w:rPr>
          <w:rFonts w:ascii="Times New Roman" w:hAnsi="Times New Roman"/>
          <w:sz w:val="24"/>
          <w:szCs w:val="24"/>
        </w:rPr>
      </w:pPr>
      <w:bookmarkStart w:id="0" w:name="page1"/>
      <w:bookmarkStart w:id="1" w:name="_GoBack"/>
      <w:bookmarkEnd w:id="0"/>
      <w:bookmarkEnd w:id="1"/>
      <w:r>
        <w:rPr>
          <w:rFonts w:ascii="Times New Roman" w:hAnsi="Times New Roman"/>
        </w:rPr>
        <w:t>pharmacoepidemiology and drug safety 2014; 23: 1238</w:t>
      </w:r>
      <w:r>
        <w:rPr>
          <w:rFonts w:ascii="Arial" w:hAnsi="Arial" w:cs="Arial"/>
        </w:rPr>
        <w:t>–</w:t>
      </w:r>
      <w:r>
        <w:rPr>
          <w:rFonts w:ascii="Times New Roman" w:hAnsi="Times New Roman"/>
        </w:rPr>
        <w:t>1246</w:t>
      </w:r>
    </w:p>
    <w:p w:rsidR="002A4D1F" w:rsidRDefault="002A4D1F">
      <w:pPr>
        <w:widowControl w:val="0"/>
        <w:autoSpaceDE w:val="0"/>
        <w:autoSpaceDN w:val="0"/>
        <w:adjustRightInd w:val="0"/>
        <w:spacing w:after="0" w:line="5" w:lineRule="exact"/>
        <w:rPr>
          <w:rFonts w:ascii="Times New Roman" w:hAnsi="Times New Roman"/>
          <w:sz w:val="24"/>
          <w:szCs w:val="24"/>
        </w:rPr>
      </w:pPr>
    </w:p>
    <w:p w:rsidR="002A4D1F" w:rsidRDefault="002A4D1F">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18"/>
          <w:szCs w:val="18"/>
        </w:rPr>
        <w:t>Published online 11 June 2014 in Wiley Online Library (wileyonlinelibrary.com) DOI: 10.1002/pds.3658</w:t>
      </w:r>
    </w:p>
    <w:p w:rsidR="002A4D1F" w:rsidRDefault="004B391B">
      <w:pPr>
        <w:widowControl w:val="0"/>
        <w:autoSpaceDE w:val="0"/>
        <w:autoSpaceDN w:val="0"/>
        <w:adjustRightInd w:val="0"/>
        <w:spacing w:after="0" w:line="216" w:lineRule="exact"/>
        <w:rPr>
          <w:rFonts w:ascii="Times New Roman" w:hAnsi="Times New Roman"/>
          <w:sz w:val="24"/>
          <w:szCs w:val="24"/>
        </w:rPr>
      </w:pPr>
      <w:r>
        <w:rPr>
          <w:noProof/>
        </w:rPr>
        <mc:AlternateContent>
          <mc:Choice Requires="wps">
            <w:drawing>
              <wp:anchor distT="0" distB="0" distL="114300" distR="114300" simplePos="0" relativeHeight="251658240" behindDoc="1" locked="0" layoutInCell="0" allowOverlap="1">
                <wp:simplePos x="0" y="0"/>
                <wp:positionH relativeFrom="column">
                  <wp:posOffset>3175</wp:posOffset>
                </wp:positionH>
                <wp:positionV relativeFrom="paragraph">
                  <wp:posOffset>127000</wp:posOffset>
                </wp:positionV>
                <wp:extent cx="635000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0" cy="0"/>
                        </a:xfrm>
                        <a:prstGeom prst="line">
                          <a:avLst/>
                        </a:prstGeom>
                        <a:noFill/>
                        <a:ln w="64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pt" to="500.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P0EQ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" o:allowincell="f" strokeweight=".17997mm"/>
            </w:pict>
          </mc:Fallback>
        </mc:AlternateContent>
      </w:r>
    </w:p>
    <w:p w:rsidR="002A4D1F" w:rsidRDefault="002A4D1F">
      <w:pPr>
        <w:widowControl w:val="0"/>
        <w:autoSpaceDE w:val="0"/>
        <w:autoSpaceDN w:val="0"/>
        <w:adjustRightInd w:val="0"/>
        <w:spacing w:after="0" w:line="239" w:lineRule="auto"/>
        <w:ind w:left="4040"/>
        <w:rPr>
          <w:rFonts w:ascii="Times New Roman" w:hAnsi="Times New Roman"/>
          <w:sz w:val="24"/>
          <w:szCs w:val="24"/>
        </w:rPr>
      </w:pPr>
      <w:r>
        <w:rPr>
          <w:rFonts w:ascii="Arial" w:hAnsi="Arial" w:cs="Arial"/>
        </w:rPr>
        <w:t>ORIGINAL REPORT</w:t>
      </w:r>
    </w:p>
    <w:p w:rsidR="002A4D1F" w:rsidRDefault="004B391B">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59264" behindDoc="1" locked="0" layoutInCell="0" allowOverlap="1">
                <wp:simplePos x="0" y="0"/>
                <wp:positionH relativeFrom="column">
                  <wp:posOffset>3175</wp:posOffset>
                </wp:positionH>
                <wp:positionV relativeFrom="paragraph">
                  <wp:posOffset>20320</wp:posOffset>
                </wp:positionV>
                <wp:extent cx="6350000" cy="0"/>
                <wp:effectExtent l="0" t="0" r="0" b="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0"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pt" to="500.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JEQ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" o:allowincell="f" strokeweight=".18mm"/>
            </w:pict>
          </mc:Fallback>
        </mc:AlternateContent>
      </w: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16"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4" w:lineRule="auto"/>
        <w:rPr>
          <w:rFonts w:ascii="Times New Roman" w:hAnsi="Times New Roman"/>
          <w:sz w:val="24"/>
          <w:szCs w:val="24"/>
        </w:rPr>
      </w:pPr>
      <w:r>
        <w:rPr>
          <w:rFonts w:ascii="Times New Roman" w:hAnsi="Times New Roman"/>
          <w:sz w:val="35"/>
          <w:szCs w:val="35"/>
        </w:rPr>
        <w:t>Reductions in reported deaths following the introduction of extended-release oxycodone (OxyContin) with an abuse-deterrent formulation</w:t>
      </w:r>
      <w:r>
        <w:rPr>
          <w:rFonts w:ascii="Arial" w:hAnsi="Arial" w:cs="Arial"/>
          <w:sz w:val="46"/>
          <w:szCs w:val="46"/>
          <w:vertAlign w:val="superscript"/>
        </w:rPr>
        <w:t>†</w:t>
      </w:r>
    </w:p>
    <w:p w:rsidR="002A4D1F" w:rsidRDefault="002A4D1F">
      <w:pPr>
        <w:widowControl w:val="0"/>
        <w:autoSpaceDE w:val="0"/>
        <w:autoSpaceDN w:val="0"/>
        <w:adjustRightInd w:val="0"/>
        <w:spacing w:after="0" w:line="203" w:lineRule="exact"/>
        <w:rPr>
          <w:rFonts w:ascii="Times New Roman" w:hAnsi="Times New Roman"/>
          <w:sz w:val="24"/>
          <w:szCs w:val="24"/>
        </w:rPr>
      </w:pPr>
    </w:p>
    <w:p w:rsidR="002A4D1F" w:rsidRDefault="002A4D1F">
      <w:pPr>
        <w:widowControl w:val="0"/>
        <w:overflowPunct w:val="0"/>
        <w:autoSpaceDE w:val="0"/>
        <w:autoSpaceDN w:val="0"/>
        <w:adjustRightInd w:val="0"/>
        <w:spacing w:after="0" w:line="198" w:lineRule="auto"/>
        <w:ind w:right="640"/>
        <w:rPr>
          <w:rFonts w:ascii="Times New Roman" w:hAnsi="Times New Roman"/>
          <w:sz w:val="24"/>
          <w:szCs w:val="24"/>
        </w:rPr>
      </w:pPr>
      <w:r>
        <w:rPr>
          <w:rFonts w:ascii="Times New Roman" w:hAnsi="Times New Roman"/>
        </w:rPr>
        <w:t>Nelson E. Sessler</w:t>
      </w:r>
      <w:r>
        <w:rPr>
          <w:rFonts w:ascii="Times New Roman" w:hAnsi="Times New Roman"/>
          <w:sz w:val="29"/>
          <w:szCs w:val="29"/>
          <w:vertAlign w:val="superscript"/>
        </w:rPr>
        <w:t>1</w:t>
      </w:r>
      <w:r>
        <w:rPr>
          <w:rFonts w:ascii="Times New Roman" w:hAnsi="Times New Roman"/>
        </w:rPr>
        <w:t>, Jerod M. Downing</w:t>
      </w:r>
      <w:r>
        <w:rPr>
          <w:rFonts w:ascii="Times New Roman" w:hAnsi="Times New Roman"/>
          <w:sz w:val="29"/>
          <w:szCs w:val="29"/>
          <w:vertAlign w:val="superscript"/>
        </w:rPr>
        <w:t>1</w:t>
      </w:r>
      <w:r>
        <w:rPr>
          <w:rFonts w:ascii="Times New Roman" w:hAnsi="Times New Roman"/>
        </w:rPr>
        <w:t>, Hrishikesh Kale</w:t>
      </w:r>
      <w:r>
        <w:rPr>
          <w:rFonts w:ascii="Times New Roman" w:hAnsi="Times New Roman"/>
          <w:sz w:val="29"/>
          <w:szCs w:val="29"/>
          <w:vertAlign w:val="superscript"/>
        </w:rPr>
        <w:t>1</w:t>
      </w:r>
      <w:r>
        <w:rPr>
          <w:rFonts w:ascii="Times New Roman" w:hAnsi="Times New Roman"/>
        </w:rPr>
        <w:t>, Howard D. Chilcoat</w:t>
      </w:r>
      <w:r>
        <w:rPr>
          <w:rFonts w:ascii="Times New Roman" w:hAnsi="Times New Roman"/>
          <w:sz w:val="29"/>
          <w:szCs w:val="29"/>
          <w:vertAlign w:val="superscript"/>
        </w:rPr>
        <w:t>1,3</w:t>
      </w:r>
      <w:r>
        <w:rPr>
          <w:rFonts w:ascii="Times New Roman" w:hAnsi="Times New Roman"/>
        </w:rPr>
        <w:t>, Todd F. Baumgartner</w:t>
      </w:r>
      <w:r>
        <w:rPr>
          <w:rFonts w:ascii="Times New Roman" w:hAnsi="Times New Roman"/>
          <w:sz w:val="29"/>
          <w:szCs w:val="29"/>
          <w:vertAlign w:val="superscript"/>
        </w:rPr>
        <w:t>4</w:t>
      </w:r>
      <w:r>
        <w:rPr>
          <w:rFonts w:ascii="Times New Roman" w:hAnsi="Times New Roman"/>
        </w:rPr>
        <w:t xml:space="preserve"> and Paul M. Coplan</w:t>
      </w:r>
      <w:r>
        <w:rPr>
          <w:rFonts w:ascii="Times New Roman" w:hAnsi="Times New Roman"/>
          <w:sz w:val="29"/>
          <w:szCs w:val="29"/>
          <w:vertAlign w:val="superscript"/>
        </w:rPr>
        <w:t>1,2</w:t>
      </w:r>
      <w:r>
        <w:rPr>
          <w:rFonts w:ascii="Times New Roman" w:hAnsi="Times New Roman"/>
        </w:rPr>
        <w:t>*</w:t>
      </w:r>
    </w:p>
    <w:p w:rsidR="002A4D1F" w:rsidRDefault="002A4D1F">
      <w:pPr>
        <w:widowControl w:val="0"/>
        <w:autoSpaceDE w:val="0"/>
        <w:autoSpaceDN w:val="0"/>
        <w:adjustRightInd w:val="0"/>
        <w:spacing w:after="0" w:line="81" w:lineRule="exact"/>
        <w:rPr>
          <w:rFonts w:ascii="Times New Roman" w:hAnsi="Times New Roman"/>
          <w:sz w:val="24"/>
          <w:szCs w:val="24"/>
        </w:rPr>
      </w:pPr>
    </w:p>
    <w:p w:rsidR="002A4D1F" w:rsidRDefault="002A4D1F">
      <w:pPr>
        <w:widowControl w:val="0"/>
        <w:numPr>
          <w:ilvl w:val="0"/>
          <w:numId w:val="1"/>
        </w:numPr>
        <w:tabs>
          <w:tab w:val="clear" w:pos="720"/>
          <w:tab w:val="num" w:pos="80"/>
        </w:tabs>
        <w:overflowPunct w:val="0"/>
        <w:autoSpaceDE w:val="0"/>
        <w:autoSpaceDN w:val="0"/>
        <w:adjustRightInd w:val="0"/>
        <w:spacing w:after="0" w:line="240" w:lineRule="auto"/>
        <w:ind w:left="80" w:hanging="74"/>
        <w:jc w:val="both"/>
        <w:rPr>
          <w:rFonts w:ascii="Times New Roman" w:hAnsi="Times New Roman"/>
          <w:vertAlign w:val="superscript"/>
        </w:rPr>
      </w:pPr>
      <w:r>
        <w:rPr>
          <w:rFonts w:ascii="Times New Roman" w:hAnsi="Times New Roman"/>
          <w:sz w:val="16"/>
          <w:szCs w:val="16"/>
        </w:rPr>
        <w:t xml:space="preserve">Department of Risk Management and Epidemiology, Purdue Pharma L.P., Stamford, CT, USA </w:t>
      </w:r>
    </w:p>
    <w:p w:rsidR="002A4D1F" w:rsidRDefault="002A4D1F">
      <w:pPr>
        <w:widowControl w:val="0"/>
        <w:autoSpaceDE w:val="0"/>
        <w:autoSpaceDN w:val="0"/>
        <w:adjustRightInd w:val="0"/>
        <w:spacing w:after="0" w:line="31" w:lineRule="exact"/>
        <w:rPr>
          <w:rFonts w:ascii="Times New Roman" w:hAnsi="Times New Roman"/>
          <w:vertAlign w:val="superscript"/>
        </w:rPr>
      </w:pPr>
    </w:p>
    <w:p w:rsidR="002A4D1F" w:rsidRDefault="002A4D1F">
      <w:pPr>
        <w:widowControl w:val="0"/>
        <w:numPr>
          <w:ilvl w:val="0"/>
          <w:numId w:val="1"/>
        </w:numPr>
        <w:tabs>
          <w:tab w:val="clear" w:pos="720"/>
          <w:tab w:val="num" w:pos="83"/>
        </w:tabs>
        <w:overflowPunct w:val="0"/>
        <w:autoSpaceDE w:val="0"/>
        <w:autoSpaceDN w:val="0"/>
        <w:adjustRightInd w:val="0"/>
        <w:spacing w:after="0" w:line="192" w:lineRule="auto"/>
        <w:ind w:left="0" w:firstLine="6"/>
        <w:jc w:val="both"/>
        <w:rPr>
          <w:rFonts w:ascii="Times New Roman" w:hAnsi="Times New Roman"/>
          <w:sz w:val="23"/>
          <w:szCs w:val="23"/>
          <w:vertAlign w:val="superscript"/>
        </w:rPr>
      </w:pPr>
      <w:r>
        <w:rPr>
          <w:rFonts w:ascii="Times New Roman" w:hAnsi="Times New Roman"/>
          <w:sz w:val="17"/>
          <w:szCs w:val="17"/>
        </w:rPr>
        <w:t xml:space="preserve">Department of Clinical Biostatistics and Epidemiology University of Pennsylvania Perelman School of Medicine (Adjunct) Philadelphia, PA, USA </w:t>
      </w:r>
    </w:p>
    <w:p w:rsidR="002A4D1F" w:rsidRDefault="002A4D1F">
      <w:pPr>
        <w:widowControl w:val="0"/>
        <w:numPr>
          <w:ilvl w:val="0"/>
          <w:numId w:val="1"/>
        </w:numPr>
        <w:tabs>
          <w:tab w:val="clear" w:pos="720"/>
          <w:tab w:val="num" w:pos="80"/>
        </w:tabs>
        <w:overflowPunct w:val="0"/>
        <w:autoSpaceDE w:val="0"/>
        <w:autoSpaceDN w:val="0"/>
        <w:adjustRightInd w:val="0"/>
        <w:spacing w:after="0" w:line="189" w:lineRule="auto"/>
        <w:ind w:left="80" w:hanging="74"/>
        <w:jc w:val="both"/>
        <w:rPr>
          <w:rFonts w:ascii="Times New Roman" w:hAnsi="Times New Roman"/>
          <w:vertAlign w:val="superscript"/>
        </w:rPr>
      </w:pPr>
      <w:r>
        <w:rPr>
          <w:rFonts w:ascii="Times New Roman" w:hAnsi="Times New Roman"/>
          <w:sz w:val="16"/>
          <w:szCs w:val="16"/>
        </w:rPr>
        <w:t xml:space="preserve">Department of Mental Health, Johns Hopkins Bloomberg School of Public Health (Adjunct), Baltimore, MD, USA </w:t>
      </w:r>
    </w:p>
    <w:p w:rsidR="002A4D1F" w:rsidRDefault="002A4D1F">
      <w:pPr>
        <w:widowControl w:val="0"/>
        <w:autoSpaceDE w:val="0"/>
        <w:autoSpaceDN w:val="0"/>
        <w:adjustRightInd w:val="0"/>
        <w:spacing w:after="0" w:line="31" w:lineRule="exact"/>
        <w:rPr>
          <w:rFonts w:ascii="Times New Roman" w:hAnsi="Times New Roman"/>
          <w:vertAlign w:val="superscript"/>
        </w:rPr>
      </w:pPr>
    </w:p>
    <w:p w:rsidR="002A4D1F" w:rsidRDefault="002A4D1F">
      <w:pPr>
        <w:widowControl w:val="0"/>
        <w:numPr>
          <w:ilvl w:val="0"/>
          <w:numId w:val="1"/>
        </w:numPr>
        <w:tabs>
          <w:tab w:val="clear" w:pos="720"/>
          <w:tab w:val="num" w:pos="80"/>
        </w:tabs>
        <w:overflowPunct w:val="0"/>
        <w:autoSpaceDE w:val="0"/>
        <w:autoSpaceDN w:val="0"/>
        <w:adjustRightInd w:val="0"/>
        <w:spacing w:after="0" w:line="196" w:lineRule="auto"/>
        <w:ind w:left="80" w:hanging="74"/>
        <w:jc w:val="both"/>
        <w:rPr>
          <w:rFonts w:ascii="Times New Roman" w:hAnsi="Times New Roman"/>
          <w:sz w:val="18"/>
          <w:szCs w:val="18"/>
          <w:vertAlign w:val="superscript"/>
        </w:rPr>
      </w:pPr>
      <w:r>
        <w:rPr>
          <w:rFonts w:ascii="Times New Roman" w:hAnsi="Times New Roman"/>
          <w:sz w:val="14"/>
          <w:szCs w:val="14"/>
        </w:rPr>
        <w:t xml:space="preserve">Department of Regulatory Affairs, Purdue Pharma L.P., Stamford, CT, USA </w:t>
      </w: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14" w:lineRule="exact"/>
        <w:rPr>
          <w:rFonts w:ascii="Times New Roman" w:hAnsi="Times New Roman"/>
          <w:sz w:val="24"/>
          <w:szCs w:val="24"/>
        </w:rPr>
      </w:pPr>
    </w:p>
    <w:p w:rsidR="002A4D1F" w:rsidRDefault="002A4D1F">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0"/>
          <w:szCs w:val="20"/>
        </w:rPr>
        <w:t>ABSTRACT</w:t>
      </w:r>
    </w:p>
    <w:p w:rsidR="002A4D1F" w:rsidRDefault="002A4D1F">
      <w:pPr>
        <w:widowControl w:val="0"/>
        <w:autoSpaceDE w:val="0"/>
        <w:autoSpaceDN w:val="0"/>
        <w:adjustRightInd w:val="0"/>
        <w:spacing w:after="0" w:line="56" w:lineRule="exact"/>
        <w:rPr>
          <w:rFonts w:ascii="Times New Roman" w:hAnsi="Times New Roman"/>
          <w:sz w:val="24"/>
          <w:szCs w:val="24"/>
        </w:rPr>
      </w:pPr>
    </w:p>
    <w:p w:rsidR="002A4D1F" w:rsidRDefault="002A4D1F">
      <w:pPr>
        <w:widowControl w:val="0"/>
        <w:overflowPunct w:val="0"/>
        <w:autoSpaceDE w:val="0"/>
        <w:autoSpaceDN w:val="0"/>
        <w:adjustRightInd w:val="0"/>
        <w:spacing w:after="0" w:line="217" w:lineRule="auto"/>
        <w:jc w:val="both"/>
        <w:rPr>
          <w:rFonts w:ascii="Times New Roman" w:hAnsi="Times New Roman"/>
          <w:sz w:val="24"/>
          <w:szCs w:val="24"/>
        </w:rPr>
      </w:pPr>
      <w:r>
        <w:rPr>
          <w:rFonts w:ascii="Times New Roman" w:hAnsi="Times New Roman"/>
          <w:sz w:val="18"/>
          <w:szCs w:val="18"/>
        </w:rPr>
        <w:t>Purpose Abuse of opioid analgesics for their psychoactive effects is associated with a large number of fatalities. The effect of making opi-oid tablets harder to crush/dissolve on opioid-related fatalities has not been assessed. The objective of this study was to assess the impact of introducing extended-release oxycodone (ERO [OxyContin</w:t>
      </w:r>
      <w:r>
        <w:rPr>
          <w:rFonts w:ascii="Times New Roman" w:hAnsi="Times New Roman"/>
          <w:sz w:val="23"/>
          <w:szCs w:val="23"/>
          <w:vertAlign w:val="superscript"/>
        </w:rPr>
        <w:t>®</w:t>
      </w:r>
      <w:r>
        <w:rPr>
          <w:rFonts w:ascii="Times New Roman" w:hAnsi="Times New Roman"/>
          <w:sz w:val="18"/>
          <w:szCs w:val="18"/>
        </w:rPr>
        <w:t>]) tablets containing physicochemical barriers to crushing/dissolving (reformulated ERO) on deaths reported to the manufacturer.</w:t>
      </w:r>
    </w:p>
    <w:p w:rsidR="002A4D1F" w:rsidRDefault="002A4D1F">
      <w:pPr>
        <w:widowControl w:val="0"/>
        <w:autoSpaceDE w:val="0"/>
        <w:autoSpaceDN w:val="0"/>
        <w:adjustRightInd w:val="0"/>
        <w:spacing w:after="0" w:line="1"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1" w:lineRule="auto"/>
        <w:jc w:val="both"/>
        <w:rPr>
          <w:rFonts w:ascii="Times New Roman" w:hAnsi="Times New Roman"/>
          <w:sz w:val="24"/>
          <w:szCs w:val="24"/>
        </w:rPr>
      </w:pPr>
      <w:r>
        <w:rPr>
          <w:rFonts w:ascii="Times New Roman" w:hAnsi="Times New Roman"/>
          <w:sz w:val="18"/>
          <w:szCs w:val="18"/>
        </w:rPr>
        <w:t>Methods All spontaneous adverse event reports of death in the US reported to the manufacturer between 3Q2009 and 3Q2013 involving ERO were used. The mean numbers of deaths/quarter in the 3 years after reformulated ERO introduction were compared with the year before. Changes in the slope of trends in deaths were assessed using spline regression. Comparison groups consisted of non-fatal reports involving ERO and fatality reports involving ER morphine.</w:t>
      </w:r>
    </w:p>
    <w:p w:rsidR="002A4D1F" w:rsidRDefault="002A4D1F">
      <w:pPr>
        <w:widowControl w:val="0"/>
        <w:autoSpaceDE w:val="0"/>
        <w:autoSpaceDN w:val="0"/>
        <w:adjustRightInd w:val="0"/>
        <w:spacing w:after="0" w:line="3"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1" w:lineRule="auto"/>
        <w:jc w:val="both"/>
        <w:rPr>
          <w:rFonts w:ascii="Times New Roman" w:hAnsi="Times New Roman"/>
          <w:sz w:val="24"/>
          <w:szCs w:val="24"/>
        </w:rPr>
      </w:pPr>
      <w:r>
        <w:rPr>
          <w:rFonts w:ascii="Times New Roman" w:hAnsi="Times New Roman"/>
          <w:sz w:val="18"/>
          <w:szCs w:val="18"/>
        </w:rPr>
        <w:t>Results Reports of death decreased 82% (95% CI: 89, 73) from the year before to the third year after (131 to 23 deaths per year) reformulation; overdose death reports decreased 87% (95% CI: 93, 78) and overdose deaths with mention of abuse-related behavior decreased 86% (95% CI: 92, 75). In contrast, non-fatal ERO reports did not decrease post-reformulation, and reported ER morphine fa-talities remained unchanged. The ratio of ERO fatalities to all oxycodone fatalities decreased from 21% to 8% in the year pre-reformulation to the second year post-reformulation.</w:t>
      </w:r>
    </w:p>
    <w:p w:rsidR="002A4D1F" w:rsidRDefault="002A4D1F">
      <w:pPr>
        <w:widowControl w:val="0"/>
        <w:autoSpaceDE w:val="0"/>
        <w:autoSpaceDN w:val="0"/>
        <w:adjustRightInd w:val="0"/>
        <w:spacing w:after="0" w:line="4" w:lineRule="exact"/>
        <w:rPr>
          <w:rFonts w:ascii="Times New Roman" w:hAnsi="Times New Roman"/>
          <w:sz w:val="24"/>
          <w:szCs w:val="24"/>
        </w:rPr>
      </w:pPr>
    </w:p>
    <w:p w:rsidR="002A4D1F" w:rsidRDefault="002A4D1F">
      <w:pPr>
        <w:widowControl w:val="0"/>
        <w:overflowPunct w:val="0"/>
        <w:autoSpaceDE w:val="0"/>
        <w:autoSpaceDN w:val="0"/>
        <w:adjustRightInd w:val="0"/>
        <w:spacing w:after="0" w:line="246" w:lineRule="auto"/>
        <w:jc w:val="both"/>
        <w:rPr>
          <w:rFonts w:ascii="Times New Roman" w:hAnsi="Times New Roman"/>
          <w:sz w:val="24"/>
          <w:szCs w:val="24"/>
        </w:rPr>
      </w:pPr>
      <w:r>
        <w:rPr>
          <w:rFonts w:ascii="Times New Roman" w:hAnsi="Times New Roman"/>
          <w:sz w:val="17"/>
          <w:szCs w:val="17"/>
        </w:rPr>
        <w:t xml:space="preserve">Conclusions These </w:t>
      </w:r>
      <w:r>
        <w:rPr>
          <w:rFonts w:ascii="Arial" w:hAnsi="Arial" w:cs="Arial"/>
          <w:sz w:val="17"/>
          <w:szCs w:val="17"/>
        </w:rPr>
        <w:t>fi</w:t>
      </w:r>
      <w:r>
        <w:rPr>
          <w:rFonts w:ascii="Times New Roman" w:hAnsi="Times New Roman"/>
          <w:sz w:val="17"/>
          <w:szCs w:val="17"/>
        </w:rPr>
        <w:t>ndings, when considered in the context of previously published studies using other surveillance systems, suggest that the abuse-deterrent characteristics of reformulated ERO have decreased the fatalities associated with its misuse/abuse. © 2014 The Authors.</w:t>
      </w:r>
    </w:p>
    <w:p w:rsidR="002A4D1F" w:rsidRDefault="002A4D1F">
      <w:pPr>
        <w:widowControl w:val="0"/>
        <w:autoSpaceDE w:val="0"/>
        <w:autoSpaceDN w:val="0"/>
        <w:adjustRightInd w:val="0"/>
        <w:spacing w:after="0" w:line="229" w:lineRule="auto"/>
        <w:rPr>
          <w:rFonts w:ascii="Times New Roman" w:hAnsi="Times New Roman"/>
          <w:sz w:val="24"/>
          <w:szCs w:val="24"/>
        </w:rPr>
      </w:pPr>
      <w:r>
        <w:rPr>
          <w:rFonts w:ascii="Times New Roman" w:hAnsi="Times New Roman"/>
          <w:sz w:val="18"/>
          <w:szCs w:val="18"/>
        </w:rPr>
        <w:t>Pharmacoepidemiology and Drug Safety published by John Wiley &amp; Sons, Ltd.</w:t>
      </w:r>
    </w:p>
    <w:p w:rsidR="002A4D1F" w:rsidRDefault="002A4D1F">
      <w:pPr>
        <w:widowControl w:val="0"/>
        <w:autoSpaceDE w:val="0"/>
        <w:autoSpaceDN w:val="0"/>
        <w:adjustRightInd w:val="0"/>
        <w:spacing w:after="0" w:line="233" w:lineRule="exact"/>
        <w:rPr>
          <w:rFonts w:ascii="Times New Roman" w:hAnsi="Times New Roman"/>
          <w:sz w:val="24"/>
          <w:szCs w:val="24"/>
        </w:rPr>
      </w:pPr>
    </w:p>
    <w:p w:rsidR="002A4D1F" w:rsidRDefault="002A4D1F">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18"/>
          <w:szCs w:val="18"/>
        </w:rPr>
        <w:t>key words</w:t>
      </w:r>
      <w:r>
        <w:rPr>
          <w:rFonts w:ascii="Arial" w:hAnsi="Arial" w:cs="Arial"/>
          <w:sz w:val="18"/>
          <w:szCs w:val="18"/>
        </w:rPr>
        <w:t>—</w:t>
      </w:r>
      <w:r>
        <w:rPr>
          <w:rFonts w:ascii="Times New Roman" w:hAnsi="Times New Roman"/>
          <w:sz w:val="18"/>
          <w:szCs w:val="18"/>
        </w:rPr>
        <w:t>OxyContin; extended-release oxycodone; abuse-deterrent; overdose death; pharmacovigilance; pharmacoepidemiology</w:t>
      </w:r>
    </w:p>
    <w:p w:rsidR="002A4D1F" w:rsidRDefault="002A4D1F">
      <w:pPr>
        <w:widowControl w:val="0"/>
        <w:autoSpaceDE w:val="0"/>
        <w:autoSpaceDN w:val="0"/>
        <w:adjustRightInd w:val="0"/>
        <w:spacing w:after="0" w:line="235" w:lineRule="exact"/>
        <w:rPr>
          <w:rFonts w:ascii="Times New Roman" w:hAnsi="Times New Roman"/>
          <w:sz w:val="24"/>
          <w:szCs w:val="24"/>
        </w:rPr>
      </w:pPr>
    </w:p>
    <w:p w:rsidR="002A4D1F" w:rsidRDefault="002A4D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8"/>
          <w:szCs w:val="18"/>
        </w:rPr>
        <w:t>Received 11 September 2013; Revised 1 May 2014; Accepted 12 May 2014</w:t>
      </w:r>
    </w:p>
    <w:p w:rsidR="002A4D1F" w:rsidRDefault="002A4D1F">
      <w:pPr>
        <w:widowControl w:val="0"/>
        <w:autoSpaceDE w:val="0"/>
        <w:autoSpaceDN w:val="0"/>
        <w:adjustRightInd w:val="0"/>
        <w:spacing w:after="0" w:line="240" w:lineRule="auto"/>
        <w:rPr>
          <w:rFonts w:ascii="Times New Roman" w:hAnsi="Times New Roman"/>
          <w:sz w:val="24"/>
          <w:szCs w:val="24"/>
        </w:rPr>
        <w:sectPr w:rsidR="002A4D1F">
          <w:pgSz w:w="11900" w:h="15817"/>
          <w:pgMar w:top="1149" w:right="900" w:bottom="369" w:left="1000" w:header="720" w:footer="720" w:gutter="0"/>
          <w:cols w:space="720" w:equalWidth="0">
            <w:col w:w="10000"/>
          </w:cols>
          <w:noEndnote/>
        </w:sect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35" w:lineRule="exact"/>
        <w:rPr>
          <w:rFonts w:ascii="Times New Roman" w:hAnsi="Times New Roman"/>
          <w:sz w:val="24"/>
          <w:szCs w:val="24"/>
        </w:rPr>
      </w:pPr>
    </w:p>
    <w:p w:rsidR="002A4D1F" w:rsidRDefault="002A4D1F">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INTRODUCTION</w:t>
      </w:r>
    </w:p>
    <w:p w:rsidR="002A4D1F" w:rsidRDefault="002A4D1F">
      <w:pPr>
        <w:widowControl w:val="0"/>
        <w:autoSpaceDE w:val="0"/>
        <w:autoSpaceDN w:val="0"/>
        <w:adjustRightInd w:val="0"/>
        <w:spacing w:after="0" w:line="220"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8" w:lineRule="auto"/>
        <w:jc w:val="both"/>
        <w:rPr>
          <w:rFonts w:ascii="Times New Roman" w:hAnsi="Times New Roman"/>
          <w:sz w:val="24"/>
          <w:szCs w:val="24"/>
        </w:rPr>
      </w:pPr>
      <w:r>
        <w:rPr>
          <w:rFonts w:ascii="Times New Roman" w:hAnsi="Times New Roman"/>
        </w:rPr>
        <w:t>Opioid analgesics are recommended for the treatment of serious, persistent pain after non-pharmacologic therapies and non-opioid medications have been</w:t>
      </w:r>
    </w:p>
    <w:p w:rsidR="002A4D1F" w:rsidRDefault="004B391B">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60288" behindDoc="1" locked="0" layoutInCell="0" allowOverlap="1">
            <wp:simplePos x="0" y="0"/>
            <wp:positionH relativeFrom="column">
              <wp:posOffset>3810</wp:posOffset>
            </wp:positionH>
            <wp:positionV relativeFrom="paragraph">
              <wp:posOffset>171450</wp:posOffset>
            </wp:positionV>
            <wp:extent cx="3022600" cy="79375"/>
            <wp:effectExtent l="0" t="0" r="635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2600" cy="79375"/>
                    </a:xfrm>
                    <a:prstGeom prst="rect">
                      <a:avLst/>
                    </a:prstGeom>
                    <a:noFill/>
                  </pic:spPr>
                </pic:pic>
              </a:graphicData>
            </a:graphic>
            <wp14:sizeRelH relativeFrom="page">
              <wp14:pctWidth>0</wp14:pctWidth>
            </wp14:sizeRelH>
            <wp14:sizeRelV relativeFrom="page">
              <wp14:pctHeight>0</wp14:pctHeight>
            </wp14:sizeRelV>
          </wp:anchor>
        </w:drawing>
      </w:r>
    </w:p>
    <w:p w:rsidR="002A4D1F" w:rsidRDefault="002A4D1F">
      <w:pPr>
        <w:widowControl w:val="0"/>
        <w:autoSpaceDE w:val="0"/>
        <w:autoSpaceDN w:val="0"/>
        <w:adjustRightInd w:val="0"/>
        <w:spacing w:after="0" w:line="226" w:lineRule="exact"/>
        <w:rPr>
          <w:rFonts w:ascii="Times New Roman" w:hAnsi="Times New Roman"/>
          <w:sz w:val="24"/>
          <w:szCs w:val="24"/>
        </w:rPr>
      </w:pPr>
    </w:p>
    <w:p w:rsidR="002A4D1F" w:rsidRDefault="002A4D1F">
      <w:pPr>
        <w:widowControl w:val="0"/>
        <w:overflowPunct w:val="0"/>
        <w:autoSpaceDE w:val="0"/>
        <w:autoSpaceDN w:val="0"/>
        <w:adjustRightInd w:val="0"/>
        <w:spacing w:after="0" w:line="243" w:lineRule="auto"/>
        <w:jc w:val="both"/>
        <w:rPr>
          <w:rFonts w:ascii="Times New Roman" w:hAnsi="Times New Roman"/>
          <w:sz w:val="24"/>
          <w:szCs w:val="24"/>
        </w:rPr>
      </w:pPr>
      <w:r>
        <w:rPr>
          <w:rFonts w:ascii="Times New Roman" w:hAnsi="Times New Roman"/>
          <w:sz w:val="15"/>
          <w:szCs w:val="15"/>
        </w:rPr>
        <w:t>*Correspondence to: P. Coplan, Executive Director, Department of Risk Management and Epidemiology, Purdue Pharma L.P, One Stamford Forum, Stamford, CT 06901, USA. E-mail: Paul.Coplan@pharma.com</w:t>
      </w:r>
    </w:p>
    <w:p w:rsidR="002A4D1F" w:rsidRDefault="002A4D1F">
      <w:pPr>
        <w:widowControl w:val="0"/>
        <w:autoSpaceDE w:val="0"/>
        <w:autoSpaceDN w:val="0"/>
        <w:adjustRightInd w:val="0"/>
        <w:spacing w:after="0" w:line="37"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5" w:lineRule="auto"/>
        <w:jc w:val="both"/>
        <w:rPr>
          <w:rFonts w:ascii="Times New Roman" w:hAnsi="Times New Roman"/>
          <w:sz w:val="24"/>
          <w:szCs w:val="24"/>
        </w:rPr>
      </w:pPr>
      <w:r>
        <w:rPr>
          <w:rFonts w:ascii="Arial" w:hAnsi="Arial" w:cs="Arial"/>
          <w:sz w:val="19"/>
          <w:szCs w:val="19"/>
          <w:vertAlign w:val="superscript"/>
        </w:rPr>
        <w:t>†</w:t>
      </w:r>
      <w:r>
        <w:rPr>
          <w:rFonts w:ascii="Times New Roman" w:hAnsi="Times New Roman"/>
          <w:sz w:val="15"/>
          <w:szCs w:val="15"/>
        </w:rPr>
        <w:t>Prior Presentation: A portion of these data was presented at PAINWeek 2012 in Las Vegas, NV, USA 2012; the second International Conference on Opioids Boston, MA, USA 2012; the 29th International Conference on Pharma-coepidemiology and Therapeutic Risk Management in Montreal, Canada 2013.</w:t>
      </w:r>
    </w:p>
    <w:p w:rsidR="002A4D1F" w:rsidRDefault="002A4D1F">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55"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7" w:lineRule="auto"/>
        <w:jc w:val="both"/>
        <w:rPr>
          <w:rFonts w:ascii="Times New Roman" w:hAnsi="Times New Roman"/>
          <w:sz w:val="24"/>
          <w:szCs w:val="24"/>
        </w:rPr>
      </w:pPr>
      <w:r>
        <w:rPr>
          <w:rFonts w:ascii="Times New Roman" w:hAnsi="Times New Roman"/>
          <w:sz w:val="21"/>
          <w:szCs w:val="21"/>
        </w:rPr>
        <w:t>used.</w:t>
      </w:r>
      <w:r>
        <w:rPr>
          <w:rFonts w:ascii="Times New Roman" w:hAnsi="Times New Roman"/>
          <w:sz w:val="28"/>
          <w:szCs w:val="28"/>
          <w:vertAlign w:val="superscript"/>
        </w:rPr>
        <w:t>1</w:t>
      </w:r>
      <w:r>
        <w:rPr>
          <w:rFonts w:ascii="Arial" w:hAnsi="Arial" w:cs="Arial"/>
          <w:sz w:val="28"/>
          <w:szCs w:val="28"/>
          <w:vertAlign w:val="superscript"/>
        </w:rPr>
        <w:t>–</w:t>
      </w:r>
      <w:r>
        <w:rPr>
          <w:rFonts w:ascii="Times New Roman" w:hAnsi="Times New Roman"/>
          <w:sz w:val="28"/>
          <w:szCs w:val="28"/>
          <w:vertAlign w:val="superscript"/>
        </w:rPr>
        <w:t>5</w:t>
      </w:r>
      <w:r>
        <w:rPr>
          <w:rFonts w:ascii="Times New Roman" w:hAnsi="Times New Roman"/>
          <w:sz w:val="21"/>
          <w:szCs w:val="21"/>
        </w:rPr>
        <w:t xml:space="preserve"> Extended-release (ER) and immediate-release (IR) opioid analgesics are dispensed to over 4 million and 56 million patients in the USA per year, respec-tively (IMS health). However, over the last decade, prescription opioid abuse (for psychoactive effects) has increased greatly, resulting in increased deaths and burden to public health.</w:t>
      </w:r>
      <w:r>
        <w:rPr>
          <w:rFonts w:ascii="Times New Roman" w:hAnsi="Times New Roman"/>
          <w:sz w:val="28"/>
          <w:szCs w:val="28"/>
          <w:vertAlign w:val="superscript"/>
        </w:rPr>
        <w:t>6</w:t>
      </w:r>
      <w:r>
        <w:rPr>
          <w:rFonts w:ascii="Arial" w:hAnsi="Arial" w:cs="Arial"/>
          <w:sz w:val="28"/>
          <w:szCs w:val="28"/>
          <w:vertAlign w:val="superscript"/>
        </w:rPr>
        <w:t>–</w:t>
      </w:r>
      <w:r>
        <w:rPr>
          <w:rFonts w:ascii="Times New Roman" w:hAnsi="Times New Roman"/>
          <w:sz w:val="28"/>
          <w:szCs w:val="28"/>
          <w:vertAlign w:val="superscript"/>
        </w:rPr>
        <w:t>9</w:t>
      </w:r>
      <w:r>
        <w:rPr>
          <w:rFonts w:ascii="Times New Roman" w:hAnsi="Times New Roman"/>
          <w:sz w:val="21"/>
          <w:szCs w:val="21"/>
        </w:rPr>
        <w:t xml:space="preserve"> The addiction potential and sequelae of abuse increase exponentially when tablets are crushed/dissolved for non-oral administra-tion (e.g., snorting, injecting, and smoking) to obtain rapid absorption of the opioid experienced as a </w:t>
      </w:r>
      <w:r>
        <w:rPr>
          <w:rFonts w:ascii="Arial" w:hAnsi="Arial" w:cs="Arial"/>
          <w:sz w:val="21"/>
          <w:szCs w:val="21"/>
        </w:rPr>
        <w:t>“</w:t>
      </w:r>
      <w:r>
        <w:rPr>
          <w:rFonts w:ascii="Times New Roman" w:hAnsi="Times New Roman"/>
          <w:sz w:val="21"/>
          <w:szCs w:val="21"/>
        </w:rPr>
        <w:t>high.</w:t>
      </w:r>
      <w:r>
        <w:rPr>
          <w:rFonts w:ascii="Arial" w:hAnsi="Arial" w:cs="Arial"/>
          <w:sz w:val="21"/>
          <w:szCs w:val="21"/>
        </w:rPr>
        <w:t>”</w:t>
      </w:r>
      <w:r>
        <w:rPr>
          <w:rFonts w:ascii="Times New Roman" w:hAnsi="Times New Roman"/>
          <w:sz w:val="28"/>
          <w:szCs w:val="28"/>
          <w:vertAlign w:val="superscript"/>
        </w:rPr>
        <w:t>10</w:t>
      </w:r>
      <w:r>
        <w:rPr>
          <w:rFonts w:ascii="Arial" w:hAnsi="Arial" w:cs="Arial"/>
          <w:sz w:val="28"/>
          <w:szCs w:val="28"/>
          <w:vertAlign w:val="superscript"/>
        </w:rPr>
        <w:t>–</w:t>
      </w:r>
      <w:r>
        <w:rPr>
          <w:rFonts w:ascii="Times New Roman" w:hAnsi="Times New Roman"/>
          <w:sz w:val="28"/>
          <w:szCs w:val="28"/>
          <w:vertAlign w:val="superscript"/>
        </w:rPr>
        <w:t>12</w:t>
      </w:r>
      <w:r>
        <w:rPr>
          <w:rFonts w:ascii="Arial" w:hAnsi="Arial" w:cs="Arial"/>
          <w:sz w:val="21"/>
          <w:szCs w:val="21"/>
        </w:rPr>
        <w:t xml:space="preserve"> </w:t>
      </w:r>
      <w:r>
        <w:rPr>
          <w:rFonts w:ascii="Times New Roman" w:hAnsi="Times New Roman"/>
          <w:sz w:val="21"/>
          <w:szCs w:val="21"/>
        </w:rPr>
        <w:t>Initial oral abuse often progresses to</w:t>
      </w:r>
    </w:p>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49" w:right="900" w:bottom="369" w:left="1000" w:header="720" w:footer="720" w:gutter="0"/>
          <w:cols w:num="2" w:space="480" w:equalWidth="0">
            <w:col w:w="4760" w:space="480"/>
            <w:col w:w="4760"/>
          </w:cols>
          <w:noEndnote/>
        </w:sect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25" w:lineRule="exact"/>
        <w:rPr>
          <w:rFonts w:ascii="Times New Roman" w:hAnsi="Times New Roman"/>
          <w:sz w:val="24"/>
          <w:szCs w:val="24"/>
        </w:rPr>
      </w:pPr>
    </w:p>
    <w:p w:rsidR="002A4D1F" w:rsidRDefault="002A4D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8"/>
          <w:szCs w:val="18"/>
        </w:rPr>
        <w:t>© 2014 The Authors. Pharmacoepidemiology and Drug Safety published by John Wiley &amp; Sons, Ltd.</w:t>
      </w:r>
    </w:p>
    <w:p w:rsidR="002A4D1F" w:rsidRDefault="002A4D1F">
      <w:pPr>
        <w:widowControl w:val="0"/>
        <w:autoSpaceDE w:val="0"/>
        <w:autoSpaceDN w:val="0"/>
        <w:adjustRightInd w:val="0"/>
        <w:spacing w:after="0" w:line="46"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9" w:lineRule="auto"/>
        <w:rPr>
          <w:rFonts w:ascii="Times New Roman" w:hAnsi="Times New Roman"/>
          <w:sz w:val="24"/>
          <w:szCs w:val="24"/>
        </w:rPr>
      </w:pPr>
      <w:r>
        <w:rPr>
          <w:rFonts w:ascii="Times New Roman" w:hAnsi="Times New Roman"/>
          <w:sz w:val="17"/>
          <w:szCs w:val="17"/>
        </w:rPr>
        <w:t xml:space="preserve">This is an open access article under the terms of the </w:t>
      </w:r>
      <w:hyperlink r:id="rId7" w:history="1">
        <w:r>
          <w:rPr>
            <w:rFonts w:ascii="Times New Roman" w:hAnsi="Times New Roman"/>
            <w:sz w:val="17"/>
            <w:szCs w:val="17"/>
          </w:rPr>
          <w:t xml:space="preserve"> Creative Commons Attribution-NonCommercial-NoDerivs</w:t>
        </w:r>
      </w:hyperlink>
      <w:r>
        <w:rPr>
          <w:rFonts w:ascii="Times New Roman" w:hAnsi="Times New Roman"/>
          <w:sz w:val="17"/>
          <w:szCs w:val="17"/>
        </w:rPr>
        <w:t xml:space="preserve"> License, which permits use and distribution in any medium, provided the original work is properly cited, the use is non-commercial and no modi</w:t>
      </w:r>
      <w:r>
        <w:rPr>
          <w:rFonts w:ascii="Arial" w:hAnsi="Arial" w:cs="Arial"/>
          <w:sz w:val="17"/>
          <w:szCs w:val="17"/>
        </w:rPr>
        <w:t>fi</w:t>
      </w:r>
      <w:r>
        <w:rPr>
          <w:rFonts w:ascii="Times New Roman" w:hAnsi="Times New Roman"/>
          <w:sz w:val="17"/>
          <w:szCs w:val="17"/>
        </w:rPr>
        <w:t>cations or adaptations are made.</w:t>
      </w:r>
    </w:p>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49" w:right="900" w:bottom="369" w:left="1000" w:header="720" w:footer="720" w:gutter="0"/>
          <w:cols w:space="480" w:equalWidth="0">
            <w:col w:w="10000"/>
          </w:cols>
          <w:noEndnote/>
        </w:sectPr>
      </w:pPr>
    </w:p>
    <w:tbl>
      <w:tblPr>
        <w:tblW w:w="0" w:type="auto"/>
        <w:tblLayout w:type="fixed"/>
        <w:tblCellMar>
          <w:left w:w="0" w:type="dxa"/>
          <w:right w:w="0" w:type="dxa"/>
        </w:tblCellMar>
        <w:tblLook w:val="0000" w:firstRow="0" w:lastRow="0" w:firstColumn="0" w:lastColumn="0" w:noHBand="0" w:noVBand="0"/>
      </w:tblPr>
      <w:tblGrid>
        <w:gridCol w:w="6140"/>
        <w:gridCol w:w="1420"/>
      </w:tblGrid>
      <w:tr w:rsidR="002A4D1F">
        <w:tblPrEx>
          <w:tblCellMar>
            <w:top w:w="0" w:type="dxa"/>
            <w:left w:w="0" w:type="dxa"/>
            <w:bottom w:w="0" w:type="dxa"/>
            <w:right w:w="0" w:type="dxa"/>
          </w:tblCellMar>
        </w:tblPrEx>
        <w:trPr>
          <w:trHeight w:val="230"/>
        </w:trPr>
        <w:tc>
          <w:tcPr>
            <w:tcW w:w="6140" w:type="dxa"/>
            <w:tcBorders>
              <w:top w:val="nil"/>
              <w:left w:val="nil"/>
              <w:bottom w:val="nil"/>
              <w:right w:val="nil"/>
            </w:tcBorders>
            <w:vAlign w:val="bottom"/>
          </w:tcPr>
          <w:p w:rsidR="002A4D1F" w:rsidRDefault="002A4D1F">
            <w:pPr>
              <w:widowControl w:val="0"/>
              <w:autoSpaceDE w:val="0"/>
              <w:autoSpaceDN w:val="0"/>
              <w:adjustRightInd w:val="0"/>
              <w:spacing w:after="0" w:line="229" w:lineRule="exact"/>
              <w:rPr>
                <w:rFonts w:ascii="Times New Roman" w:hAnsi="Times New Roman"/>
                <w:sz w:val="24"/>
                <w:szCs w:val="24"/>
              </w:rPr>
            </w:pPr>
            <w:bookmarkStart w:id="2" w:name="page2"/>
            <w:bookmarkEnd w:id="2"/>
            <w:r>
              <w:rPr>
                <w:rFonts w:ascii="Times New Roman" w:hAnsi="Times New Roman"/>
                <w:sz w:val="20"/>
                <w:szCs w:val="20"/>
              </w:rPr>
              <w:lastRenderedPageBreak/>
              <w:t>fatality report decrease with reformulated oxycontin</w:t>
            </w:r>
          </w:p>
        </w:tc>
        <w:tc>
          <w:tcPr>
            <w:tcW w:w="1420" w:type="dxa"/>
            <w:tcBorders>
              <w:top w:val="nil"/>
              <w:left w:val="nil"/>
              <w:bottom w:val="nil"/>
              <w:right w:val="nil"/>
            </w:tcBorders>
            <w:vAlign w:val="bottom"/>
          </w:tcPr>
          <w:p w:rsidR="002A4D1F" w:rsidRDefault="002A4D1F">
            <w:pPr>
              <w:widowControl w:val="0"/>
              <w:autoSpaceDE w:val="0"/>
              <w:autoSpaceDN w:val="0"/>
              <w:adjustRightInd w:val="0"/>
              <w:spacing w:after="0" w:line="229" w:lineRule="exact"/>
              <w:jc w:val="right"/>
              <w:rPr>
                <w:rFonts w:ascii="Times New Roman" w:hAnsi="Times New Roman"/>
                <w:sz w:val="24"/>
                <w:szCs w:val="24"/>
              </w:rPr>
            </w:pPr>
            <w:r>
              <w:rPr>
                <w:rFonts w:ascii="Times New Roman" w:hAnsi="Times New Roman"/>
                <w:sz w:val="20"/>
                <w:szCs w:val="20"/>
              </w:rPr>
              <w:t>1239</w:t>
            </w:r>
          </w:p>
        </w:tc>
      </w:tr>
    </w:tbl>
    <w:p w:rsidR="002A4D1F" w:rsidRDefault="002A4D1F">
      <w:pPr>
        <w:widowControl w:val="0"/>
        <w:autoSpaceDE w:val="0"/>
        <w:autoSpaceDN w:val="0"/>
        <w:adjustRightInd w:val="0"/>
        <w:spacing w:after="0" w:line="240" w:lineRule="auto"/>
        <w:rPr>
          <w:rFonts w:ascii="Times New Roman" w:hAnsi="Times New Roman"/>
          <w:sz w:val="24"/>
          <w:szCs w:val="24"/>
        </w:rPr>
        <w:sectPr w:rsidR="002A4D1F">
          <w:pgSz w:w="11900" w:h="15817"/>
          <w:pgMar w:top="1169" w:right="1000" w:bottom="584" w:left="3340" w:header="720" w:footer="720" w:gutter="0"/>
          <w:cols w:space="720" w:equalWidth="0">
            <w:col w:w="7560"/>
          </w:cols>
          <w:noEndnote/>
        </w:sectPr>
      </w:pPr>
    </w:p>
    <w:p w:rsidR="002A4D1F" w:rsidRDefault="002A4D1F">
      <w:pPr>
        <w:widowControl w:val="0"/>
        <w:autoSpaceDE w:val="0"/>
        <w:autoSpaceDN w:val="0"/>
        <w:adjustRightInd w:val="0"/>
        <w:spacing w:after="0" w:line="145" w:lineRule="exact"/>
        <w:rPr>
          <w:rFonts w:ascii="Times New Roman" w:hAnsi="Times New Roman"/>
          <w:sz w:val="24"/>
          <w:szCs w:val="24"/>
        </w:rPr>
      </w:pPr>
    </w:p>
    <w:p w:rsidR="002A4D1F" w:rsidRDefault="002A4D1F">
      <w:pPr>
        <w:widowControl w:val="0"/>
        <w:overflowPunct w:val="0"/>
        <w:autoSpaceDE w:val="0"/>
        <w:autoSpaceDN w:val="0"/>
        <w:adjustRightInd w:val="0"/>
        <w:spacing w:after="0" w:line="214" w:lineRule="auto"/>
        <w:jc w:val="both"/>
        <w:rPr>
          <w:rFonts w:ascii="Times New Roman" w:hAnsi="Times New Roman"/>
          <w:sz w:val="24"/>
          <w:szCs w:val="24"/>
        </w:rPr>
      </w:pPr>
      <w:r>
        <w:rPr>
          <w:rFonts w:ascii="Times New Roman" w:hAnsi="Times New Roman"/>
        </w:rPr>
        <w:t>non-oral abuse by the time of admission to a substance abuse treatment facility.</w:t>
      </w:r>
      <w:r>
        <w:rPr>
          <w:rFonts w:ascii="Times New Roman" w:hAnsi="Times New Roman"/>
          <w:sz w:val="29"/>
          <w:szCs w:val="29"/>
          <w:vertAlign w:val="superscript"/>
        </w:rPr>
        <w:t>11,13</w:t>
      </w:r>
      <w:r>
        <w:rPr>
          <w:rFonts w:ascii="Arial" w:hAnsi="Arial" w:cs="Arial"/>
          <w:sz w:val="29"/>
          <w:szCs w:val="29"/>
          <w:vertAlign w:val="superscript"/>
        </w:rPr>
        <w:t>–</w:t>
      </w:r>
      <w:r>
        <w:rPr>
          <w:rFonts w:ascii="Times New Roman" w:hAnsi="Times New Roman"/>
          <w:sz w:val="29"/>
          <w:szCs w:val="29"/>
          <w:vertAlign w:val="superscript"/>
        </w:rPr>
        <w:t>15</w:t>
      </w:r>
    </w:p>
    <w:p w:rsidR="002A4D1F" w:rsidRDefault="002A4D1F">
      <w:pPr>
        <w:widowControl w:val="0"/>
        <w:autoSpaceDE w:val="0"/>
        <w:autoSpaceDN w:val="0"/>
        <w:adjustRightInd w:val="0"/>
        <w:spacing w:after="0" w:line="1" w:lineRule="exact"/>
        <w:rPr>
          <w:rFonts w:ascii="Times New Roman" w:hAnsi="Times New Roman"/>
          <w:sz w:val="24"/>
          <w:szCs w:val="24"/>
        </w:rPr>
      </w:pPr>
    </w:p>
    <w:p w:rsidR="002A4D1F" w:rsidRDefault="002A4D1F">
      <w:pPr>
        <w:widowControl w:val="0"/>
        <w:overflowPunct w:val="0"/>
        <w:autoSpaceDE w:val="0"/>
        <w:autoSpaceDN w:val="0"/>
        <w:adjustRightInd w:val="0"/>
        <w:spacing w:after="0" w:line="215" w:lineRule="auto"/>
        <w:ind w:firstLine="200"/>
        <w:jc w:val="both"/>
        <w:rPr>
          <w:rFonts w:ascii="Times New Roman" w:hAnsi="Times New Roman"/>
          <w:sz w:val="24"/>
          <w:szCs w:val="24"/>
        </w:rPr>
      </w:pPr>
      <w:r>
        <w:rPr>
          <w:rFonts w:ascii="Times New Roman" w:hAnsi="Times New Roman"/>
          <w:sz w:val="21"/>
          <w:szCs w:val="21"/>
        </w:rPr>
        <w:t>Scienti</w:t>
      </w:r>
      <w:r>
        <w:rPr>
          <w:rFonts w:ascii="Arial" w:hAnsi="Arial" w:cs="Arial"/>
          <w:sz w:val="21"/>
          <w:szCs w:val="21"/>
        </w:rPr>
        <w:t>fi</w:t>
      </w:r>
      <w:r>
        <w:rPr>
          <w:rFonts w:ascii="Times New Roman" w:hAnsi="Times New Roman"/>
          <w:sz w:val="21"/>
          <w:szCs w:val="21"/>
        </w:rPr>
        <w:t>c innovation of abuse-deterrent formulations to promote safe prescription opioid use is a focus of re-search and development among pharmaceutical compa-nies.</w:t>
      </w:r>
      <w:r>
        <w:rPr>
          <w:rFonts w:ascii="Times New Roman" w:hAnsi="Times New Roman"/>
          <w:sz w:val="28"/>
          <w:szCs w:val="28"/>
          <w:vertAlign w:val="superscript"/>
        </w:rPr>
        <w:t>16,17</w:t>
      </w:r>
      <w:r>
        <w:rPr>
          <w:rFonts w:ascii="Times New Roman" w:hAnsi="Times New Roman"/>
          <w:sz w:val="21"/>
          <w:szCs w:val="21"/>
        </w:rPr>
        <w:t xml:space="preserve"> Pharmacological approaches to incorporate characteristics designed to deter abuse have included:</w:t>
      </w:r>
    </w:p>
    <w:p w:rsidR="002A4D1F" w:rsidRDefault="002A4D1F">
      <w:pPr>
        <w:widowControl w:val="0"/>
        <w:autoSpaceDE w:val="0"/>
        <w:autoSpaceDN w:val="0"/>
        <w:adjustRightInd w:val="0"/>
        <w:spacing w:after="0" w:line="1" w:lineRule="exact"/>
        <w:rPr>
          <w:rFonts w:ascii="Times New Roman" w:hAnsi="Times New Roman"/>
          <w:sz w:val="24"/>
          <w:szCs w:val="24"/>
        </w:rPr>
      </w:pPr>
    </w:p>
    <w:p w:rsidR="002A4D1F" w:rsidRDefault="002A4D1F">
      <w:pPr>
        <w:widowControl w:val="0"/>
        <w:overflowPunct w:val="0"/>
        <w:autoSpaceDE w:val="0"/>
        <w:autoSpaceDN w:val="0"/>
        <w:adjustRightInd w:val="0"/>
        <w:spacing w:after="0" w:line="202" w:lineRule="auto"/>
        <w:jc w:val="both"/>
        <w:rPr>
          <w:rFonts w:ascii="Times New Roman" w:hAnsi="Times New Roman"/>
          <w:sz w:val="24"/>
          <w:szCs w:val="24"/>
        </w:rPr>
      </w:pPr>
      <w:r>
        <w:rPr>
          <w:rFonts w:ascii="Times New Roman" w:hAnsi="Times New Roman"/>
          <w:sz w:val="21"/>
          <w:szCs w:val="21"/>
        </w:rPr>
        <w:t>(i) adding an opioid antagonist (e.g., buprenorphine and naloxone [Suboxone</w:t>
      </w:r>
      <w:r>
        <w:rPr>
          <w:rFonts w:ascii="Times New Roman" w:hAnsi="Times New Roman"/>
          <w:sz w:val="28"/>
          <w:szCs w:val="28"/>
          <w:vertAlign w:val="superscript"/>
        </w:rPr>
        <w:t>®</w:t>
      </w:r>
      <w:r>
        <w:rPr>
          <w:rFonts w:ascii="Times New Roman" w:hAnsi="Times New Roman"/>
          <w:sz w:val="21"/>
          <w:szCs w:val="21"/>
        </w:rPr>
        <w:t>], ER morphine and seques-tered naltrexone [Embeda</w:t>
      </w:r>
      <w:r>
        <w:rPr>
          <w:rFonts w:ascii="Times New Roman" w:hAnsi="Times New Roman"/>
          <w:sz w:val="28"/>
          <w:szCs w:val="28"/>
          <w:vertAlign w:val="superscript"/>
        </w:rPr>
        <w:t>®</w:t>
      </w:r>
      <w:r>
        <w:rPr>
          <w:rFonts w:ascii="Times New Roman" w:hAnsi="Times New Roman"/>
          <w:sz w:val="21"/>
          <w:szCs w:val="21"/>
        </w:rPr>
        <w:t>], as well as pentazocine and naloxone [Talwin</w:t>
      </w:r>
      <w:r>
        <w:rPr>
          <w:rFonts w:ascii="Times New Roman" w:hAnsi="Times New Roman"/>
          <w:sz w:val="28"/>
          <w:szCs w:val="28"/>
          <w:vertAlign w:val="superscript"/>
        </w:rPr>
        <w:t>®</w:t>
      </w:r>
      <w:r>
        <w:rPr>
          <w:rFonts w:ascii="Times New Roman" w:hAnsi="Times New Roman"/>
          <w:sz w:val="21"/>
          <w:szCs w:val="21"/>
        </w:rPr>
        <w:t xml:space="preserve"> NX]); (ii) adding agents that in-duce unpleasant symptoms with excessive intake (e.g., IR oxycodone and aversive agent [Oxecta</w:t>
      </w:r>
      <w:r>
        <w:rPr>
          <w:rFonts w:ascii="Times New Roman" w:hAnsi="Times New Roman"/>
          <w:sz w:val="28"/>
          <w:szCs w:val="28"/>
          <w:vertAlign w:val="superscript"/>
        </w:rPr>
        <w:t>®</w:t>
      </w:r>
      <w:r>
        <w:rPr>
          <w:rFonts w:ascii="Times New Roman" w:hAnsi="Times New Roman"/>
          <w:sz w:val="21"/>
          <w:szCs w:val="21"/>
        </w:rPr>
        <w:t>]); and (iii) incorporating physicochemical barriers intended to con-fer resistance to tablet tampering (e.g., ER oxycodone [OxyContin</w:t>
      </w:r>
      <w:r>
        <w:rPr>
          <w:rFonts w:ascii="Times New Roman" w:hAnsi="Times New Roman"/>
          <w:sz w:val="28"/>
          <w:szCs w:val="28"/>
          <w:vertAlign w:val="superscript"/>
        </w:rPr>
        <w:t>®</w:t>
      </w:r>
      <w:r>
        <w:rPr>
          <w:rFonts w:ascii="Times New Roman" w:hAnsi="Times New Roman"/>
          <w:sz w:val="21"/>
          <w:szCs w:val="21"/>
        </w:rPr>
        <w:t>], ER oxymorphone [Opana</w:t>
      </w:r>
      <w:r>
        <w:rPr>
          <w:rFonts w:ascii="Times New Roman" w:hAnsi="Times New Roman"/>
          <w:sz w:val="28"/>
          <w:szCs w:val="28"/>
          <w:vertAlign w:val="superscript"/>
        </w:rPr>
        <w:t>®</w:t>
      </w:r>
      <w:r>
        <w:rPr>
          <w:rFonts w:ascii="Times New Roman" w:hAnsi="Times New Roman"/>
          <w:sz w:val="21"/>
          <w:szCs w:val="21"/>
        </w:rPr>
        <w:t xml:space="preserve"> ER], and ER tapentadol [Nucynta</w:t>
      </w:r>
      <w:r>
        <w:rPr>
          <w:rFonts w:ascii="Times New Roman" w:hAnsi="Times New Roman"/>
          <w:sz w:val="28"/>
          <w:szCs w:val="28"/>
          <w:vertAlign w:val="superscript"/>
        </w:rPr>
        <w:t>®</w:t>
      </w:r>
      <w:r>
        <w:rPr>
          <w:rFonts w:ascii="Times New Roman" w:hAnsi="Times New Roman"/>
          <w:sz w:val="21"/>
          <w:szCs w:val="21"/>
        </w:rPr>
        <w:t xml:space="preserve"> ER]).</w:t>
      </w:r>
    </w:p>
    <w:p w:rsidR="002A4D1F" w:rsidRDefault="002A4D1F">
      <w:pPr>
        <w:widowControl w:val="0"/>
        <w:autoSpaceDE w:val="0"/>
        <w:autoSpaceDN w:val="0"/>
        <w:adjustRightInd w:val="0"/>
        <w:spacing w:after="0" w:line="6" w:lineRule="exact"/>
        <w:rPr>
          <w:rFonts w:ascii="Times New Roman" w:hAnsi="Times New Roman"/>
          <w:sz w:val="24"/>
          <w:szCs w:val="24"/>
        </w:rPr>
      </w:pPr>
    </w:p>
    <w:p w:rsidR="002A4D1F" w:rsidRDefault="002A4D1F">
      <w:pPr>
        <w:widowControl w:val="0"/>
        <w:overflowPunct w:val="0"/>
        <w:autoSpaceDE w:val="0"/>
        <w:autoSpaceDN w:val="0"/>
        <w:adjustRightInd w:val="0"/>
        <w:spacing w:after="0" w:line="219" w:lineRule="auto"/>
        <w:ind w:firstLine="200"/>
        <w:jc w:val="both"/>
        <w:rPr>
          <w:rFonts w:ascii="Times New Roman" w:hAnsi="Times New Roman"/>
          <w:sz w:val="24"/>
          <w:szCs w:val="24"/>
        </w:rPr>
      </w:pPr>
      <w:r>
        <w:rPr>
          <w:rFonts w:ascii="Times New Roman" w:hAnsi="Times New Roman"/>
          <w:sz w:val="21"/>
          <w:szCs w:val="21"/>
        </w:rPr>
        <w:t>OxyContin (ERO) is ER-formulated oxycodone ap-proved in the USA in 1995 for the treatment of moder-ate-to-severe chronic pain,</w:t>
      </w:r>
      <w:r>
        <w:rPr>
          <w:rFonts w:ascii="Times New Roman" w:hAnsi="Times New Roman"/>
          <w:sz w:val="28"/>
          <w:szCs w:val="28"/>
          <w:vertAlign w:val="superscript"/>
        </w:rPr>
        <w:t>18</w:t>
      </w:r>
      <w:r>
        <w:rPr>
          <w:rFonts w:ascii="Times New Roman" w:hAnsi="Times New Roman"/>
          <w:sz w:val="21"/>
          <w:szCs w:val="21"/>
        </w:rPr>
        <w:t xml:space="preserve"> which has been widely abused,</w:t>
      </w:r>
      <w:r>
        <w:rPr>
          <w:rFonts w:ascii="Times New Roman" w:hAnsi="Times New Roman"/>
          <w:sz w:val="28"/>
          <w:szCs w:val="28"/>
          <w:vertAlign w:val="superscript"/>
        </w:rPr>
        <w:t>19</w:t>
      </w:r>
      <w:r>
        <w:rPr>
          <w:rFonts w:ascii="Arial" w:hAnsi="Arial" w:cs="Arial"/>
          <w:sz w:val="28"/>
          <w:szCs w:val="28"/>
          <w:vertAlign w:val="superscript"/>
        </w:rPr>
        <w:t>–</w:t>
      </w:r>
      <w:r>
        <w:rPr>
          <w:rFonts w:ascii="Times New Roman" w:hAnsi="Times New Roman"/>
          <w:sz w:val="28"/>
          <w:szCs w:val="28"/>
          <w:vertAlign w:val="superscript"/>
        </w:rPr>
        <w:t>21</w:t>
      </w:r>
      <w:r>
        <w:rPr>
          <w:rFonts w:ascii="Times New Roman" w:hAnsi="Times New Roman"/>
          <w:sz w:val="21"/>
          <w:szCs w:val="21"/>
        </w:rPr>
        <w:t xml:space="preserve"> especially by snorting/injecting, requiring tablet crushing/dissolving.</w:t>
      </w:r>
      <w:r>
        <w:rPr>
          <w:rFonts w:ascii="Times New Roman" w:hAnsi="Times New Roman"/>
          <w:sz w:val="28"/>
          <w:szCs w:val="28"/>
          <w:vertAlign w:val="superscript"/>
        </w:rPr>
        <w:t>22</w:t>
      </w:r>
      <w:r>
        <w:rPr>
          <w:rFonts w:ascii="Arial" w:hAnsi="Arial" w:cs="Arial"/>
          <w:sz w:val="28"/>
          <w:szCs w:val="28"/>
          <w:vertAlign w:val="superscript"/>
        </w:rPr>
        <w:t>–</w:t>
      </w:r>
      <w:r>
        <w:rPr>
          <w:rFonts w:ascii="Times New Roman" w:hAnsi="Times New Roman"/>
          <w:sz w:val="28"/>
          <w:szCs w:val="28"/>
          <w:vertAlign w:val="superscript"/>
        </w:rPr>
        <w:t>25</w:t>
      </w:r>
      <w:r>
        <w:rPr>
          <w:rFonts w:ascii="Times New Roman" w:hAnsi="Times New Roman"/>
          <w:sz w:val="21"/>
          <w:szCs w:val="21"/>
        </w:rPr>
        <w:t xml:space="preserve"> In April 2010, the Food and Drug Administration (FDA) approved a re-formulated ERO containing physicochemical barriers to breaking, crushing/dissolving to deter abuse, which remains the only available ER form of oxycodone available in the USA. Pre-approval studies demon-strated that reformulated ERO is bioequivalent to, is more dif</w:t>
      </w:r>
      <w:r>
        <w:rPr>
          <w:rFonts w:ascii="Arial" w:hAnsi="Arial" w:cs="Arial"/>
          <w:sz w:val="21"/>
          <w:szCs w:val="21"/>
        </w:rPr>
        <w:t>fi</w:t>
      </w:r>
      <w:r>
        <w:rPr>
          <w:rFonts w:ascii="Times New Roman" w:hAnsi="Times New Roman"/>
          <w:sz w:val="21"/>
          <w:szCs w:val="21"/>
        </w:rPr>
        <w:t>cult to extract oxycodone from, and is less liked by abusers than the original formulation.</w:t>
      </w:r>
      <w:r>
        <w:rPr>
          <w:rFonts w:ascii="Times New Roman" w:hAnsi="Times New Roman"/>
          <w:sz w:val="28"/>
          <w:szCs w:val="28"/>
          <w:vertAlign w:val="superscript"/>
        </w:rPr>
        <w:t>26</w:t>
      </w:r>
      <w:r>
        <w:rPr>
          <w:rFonts w:ascii="Arial" w:hAnsi="Arial" w:cs="Arial"/>
          <w:sz w:val="28"/>
          <w:szCs w:val="28"/>
          <w:vertAlign w:val="superscript"/>
        </w:rPr>
        <w:t>–</w:t>
      </w:r>
      <w:r>
        <w:rPr>
          <w:rFonts w:ascii="Times New Roman" w:hAnsi="Times New Roman"/>
          <w:sz w:val="28"/>
          <w:szCs w:val="28"/>
          <w:vertAlign w:val="superscript"/>
        </w:rPr>
        <w:t>28</w:t>
      </w:r>
      <w:r>
        <w:rPr>
          <w:rFonts w:ascii="Times New Roman" w:hAnsi="Times New Roman"/>
          <w:sz w:val="21"/>
          <w:szCs w:val="21"/>
        </w:rPr>
        <w:t xml:space="preserve"> All shipments of original ERO to wholesalers stopped on 5 August, and shipments of reformulated ERO started on 9 August 2010. The transition to the reformu-lation was conducted without noti</w:t>
      </w:r>
      <w:r>
        <w:rPr>
          <w:rFonts w:ascii="Arial" w:hAnsi="Arial" w:cs="Arial"/>
          <w:sz w:val="21"/>
          <w:szCs w:val="21"/>
        </w:rPr>
        <w:t>fi</w:t>
      </w:r>
      <w:r>
        <w:rPr>
          <w:rFonts w:ascii="Times New Roman" w:hAnsi="Times New Roman"/>
          <w:sz w:val="21"/>
          <w:szCs w:val="21"/>
        </w:rPr>
        <w:t>cation of the general public. Post-marketing studies have demonstrated a</w:t>
      </w:r>
    </w:p>
    <w:p w:rsidR="002A4D1F" w:rsidRDefault="002A4D1F">
      <w:pPr>
        <w:widowControl w:val="0"/>
        <w:autoSpaceDE w:val="0"/>
        <w:autoSpaceDN w:val="0"/>
        <w:adjustRightInd w:val="0"/>
        <w:spacing w:after="0" w:line="145" w:lineRule="exact"/>
        <w:rPr>
          <w:rFonts w:ascii="Times New Roman" w:hAnsi="Times New Roman"/>
          <w:sz w:val="24"/>
          <w:szCs w:val="24"/>
        </w:rPr>
      </w:pPr>
      <w:r>
        <w:rPr>
          <w:rFonts w:ascii="Times New Roman" w:hAnsi="Times New Roman"/>
          <w:sz w:val="24"/>
          <w:szCs w:val="24"/>
        </w:rPr>
        <w:br w:type="column"/>
      </w:r>
    </w:p>
    <w:p w:rsidR="002A4D1F" w:rsidRDefault="002A4D1F">
      <w:pPr>
        <w:widowControl w:val="0"/>
        <w:overflowPunct w:val="0"/>
        <w:autoSpaceDE w:val="0"/>
        <w:autoSpaceDN w:val="0"/>
        <w:adjustRightInd w:val="0"/>
        <w:spacing w:after="0" w:line="214" w:lineRule="auto"/>
        <w:jc w:val="both"/>
        <w:rPr>
          <w:rFonts w:ascii="Times New Roman" w:hAnsi="Times New Roman"/>
          <w:sz w:val="24"/>
          <w:szCs w:val="24"/>
        </w:rPr>
      </w:pPr>
      <w:r>
        <w:rPr>
          <w:rFonts w:ascii="Times New Roman" w:hAnsi="Times New Roman"/>
          <w:sz w:val="21"/>
          <w:szCs w:val="21"/>
        </w:rPr>
        <w:t>reduction in reported ERO abuse in drug treatment cen-ter populations and calls to poison centers.</w:t>
      </w:r>
      <w:r>
        <w:rPr>
          <w:rFonts w:ascii="Times New Roman" w:hAnsi="Times New Roman"/>
          <w:sz w:val="28"/>
          <w:szCs w:val="28"/>
          <w:vertAlign w:val="superscript"/>
        </w:rPr>
        <w:t>29</w:t>
      </w:r>
      <w:r>
        <w:rPr>
          <w:rFonts w:ascii="Arial" w:hAnsi="Arial" w:cs="Arial"/>
          <w:sz w:val="28"/>
          <w:szCs w:val="28"/>
          <w:vertAlign w:val="superscript"/>
        </w:rPr>
        <w:t>–</w:t>
      </w:r>
      <w:r>
        <w:rPr>
          <w:rFonts w:ascii="Times New Roman" w:hAnsi="Times New Roman"/>
          <w:sz w:val="28"/>
          <w:szCs w:val="28"/>
          <w:vertAlign w:val="superscript"/>
        </w:rPr>
        <w:t>32</w:t>
      </w:r>
      <w:r>
        <w:rPr>
          <w:rFonts w:ascii="Times New Roman" w:hAnsi="Times New Roman"/>
          <w:sz w:val="21"/>
          <w:szCs w:val="21"/>
        </w:rPr>
        <w:t xml:space="preserve"> In April 2013, ERO received FDA-approved labeling, indicat-ing that it is expected to be abuse-deterrent via intrana-sal and intravenous routes of administration.</w:t>
      </w:r>
      <w:r>
        <w:rPr>
          <w:rFonts w:ascii="Times New Roman" w:hAnsi="Times New Roman"/>
          <w:sz w:val="28"/>
          <w:szCs w:val="28"/>
          <w:vertAlign w:val="superscript"/>
        </w:rPr>
        <w:t>33</w:t>
      </w:r>
      <w:r>
        <w:rPr>
          <w:rFonts w:ascii="Times New Roman" w:hAnsi="Times New Roman"/>
          <w:sz w:val="21"/>
          <w:szCs w:val="21"/>
        </w:rPr>
        <w:t xml:space="preserve"> However, the effects on fatality have not been reported.</w:t>
      </w:r>
    </w:p>
    <w:p w:rsidR="002A4D1F" w:rsidRDefault="002A4D1F">
      <w:pPr>
        <w:widowControl w:val="0"/>
        <w:autoSpaceDE w:val="0"/>
        <w:autoSpaceDN w:val="0"/>
        <w:adjustRightInd w:val="0"/>
        <w:spacing w:after="0" w:line="3"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8" w:lineRule="auto"/>
        <w:ind w:firstLine="201"/>
        <w:jc w:val="both"/>
        <w:rPr>
          <w:rFonts w:ascii="Times New Roman" w:hAnsi="Times New Roman"/>
          <w:sz w:val="24"/>
          <w:szCs w:val="24"/>
        </w:rPr>
      </w:pPr>
      <w:r>
        <w:rPr>
          <w:rFonts w:ascii="Times New Roman" w:hAnsi="Times New Roman"/>
        </w:rPr>
        <w:t>This report focuses on the impact of reformulated ERO on reports of US fatalities submitted to the manufacturer</w:t>
      </w:r>
      <w:r>
        <w:rPr>
          <w:rFonts w:ascii="Arial" w:hAnsi="Arial" w:cs="Arial"/>
        </w:rPr>
        <w:t>’</w:t>
      </w:r>
      <w:r>
        <w:rPr>
          <w:rFonts w:ascii="Times New Roman" w:hAnsi="Times New Roman"/>
        </w:rPr>
        <w:t>s pharmacovigilance database. Mortality databases, such as the National Death Index and state medical examiner databases were not used because they do not differentiate between IR and ER oxyco-done, and only 5% of patients prescribed oxycodone in the USA received ER oxycodone (IMS Health). However, the ratio of deaths associated with ERO re-ported to the manufacturer versus all oxycodone deaths reported to the FDA</w:t>
      </w:r>
      <w:r>
        <w:rPr>
          <w:rFonts w:ascii="Arial" w:hAnsi="Arial" w:cs="Arial"/>
        </w:rPr>
        <w:t>’</w:t>
      </w:r>
      <w:r>
        <w:rPr>
          <w:rFonts w:ascii="Times New Roman" w:hAnsi="Times New Roman"/>
        </w:rPr>
        <w:t xml:space="preserve">s Adverse Event Reporting System (AERS) was assessed to provide additional context to the </w:t>
      </w:r>
      <w:r>
        <w:rPr>
          <w:rFonts w:ascii="Arial" w:hAnsi="Arial" w:cs="Arial"/>
        </w:rPr>
        <w:t>fi</w:t>
      </w:r>
      <w:r>
        <w:rPr>
          <w:rFonts w:ascii="Times New Roman" w:hAnsi="Times New Roman"/>
        </w:rPr>
        <w:t>ndings.</w:t>
      </w:r>
    </w:p>
    <w:p w:rsidR="002A4D1F" w:rsidRDefault="002A4D1F">
      <w:pPr>
        <w:widowControl w:val="0"/>
        <w:autoSpaceDE w:val="0"/>
        <w:autoSpaceDN w:val="0"/>
        <w:adjustRightInd w:val="0"/>
        <w:spacing w:after="0" w:line="240" w:lineRule="exact"/>
        <w:rPr>
          <w:rFonts w:ascii="Times New Roman" w:hAnsi="Times New Roman"/>
          <w:sz w:val="24"/>
          <w:szCs w:val="24"/>
        </w:rPr>
      </w:pPr>
    </w:p>
    <w:p w:rsidR="002A4D1F" w:rsidRDefault="002A4D1F">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METHODS</w:t>
      </w:r>
    </w:p>
    <w:p w:rsidR="002A4D1F" w:rsidRDefault="002A4D1F">
      <w:pPr>
        <w:widowControl w:val="0"/>
        <w:autoSpaceDE w:val="0"/>
        <w:autoSpaceDN w:val="0"/>
        <w:adjustRightInd w:val="0"/>
        <w:spacing w:after="0" w:line="220"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2" w:lineRule="auto"/>
        <w:jc w:val="both"/>
        <w:rPr>
          <w:rFonts w:ascii="Times New Roman" w:hAnsi="Times New Roman"/>
          <w:sz w:val="24"/>
          <w:szCs w:val="24"/>
        </w:rPr>
      </w:pPr>
      <w:r>
        <w:rPr>
          <w:rFonts w:ascii="Times New Roman" w:hAnsi="Times New Roman"/>
        </w:rPr>
        <w:t>Manufacturers receive, archive, and submit spontane-ous reports of adverse events on marketed drugs to national drug-regulatory authorities, such as the FDA in the USA.</w:t>
      </w:r>
      <w:r>
        <w:rPr>
          <w:rFonts w:ascii="Times New Roman" w:hAnsi="Times New Roman"/>
          <w:sz w:val="29"/>
          <w:szCs w:val="29"/>
          <w:vertAlign w:val="superscript"/>
        </w:rPr>
        <w:t>34,35</w:t>
      </w:r>
      <w:r>
        <w:rPr>
          <w:rFonts w:ascii="Times New Roman" w:hAnsi="Times New Roman"/>
        </w:rPr>
        <w:t xml:space="preserve"> Searching the manufacturer</w:t>
      </w:r>
      <w:r>
        <w:rPr>
          <w:rFonts w:ascii="Arial" w:hAnsi="Arial" w:cs="Arial"/>
        </w:rPr>
        <w:t>’</w:t>
      </w:r>
      <w:r>
        <w:rPr>
          <w:rFonts w:ascii="Times New Roman" w:hAnsi="Times New Roman"/>
        </w:rPr>
        <w:t>s adverse event reporting database identi</w:t>
      </w:r>
      <w:r>
        <w:rPr>
          <w:rFonts w:ascii="Arial" w:hAnsi="Arial" w:cs="Arial"/>
        </w:rPr>
        <w:t>fi</w:t>
      </w:r>
      <w:r>
        <w:rPr>
          <w:rFonts w:ascii="Times New Roman" w:hAnsi="Times New Roman"/>
        </w:rPr>
        <w:t>ed all reports of fatal events originating in the USA involving ERO from 3Q2009</w:t>
      </w:r>
      <w:r>
        <w:rPr>
          <w:rFonts w:ascii="Arial" w:hAnsi="Arial" w:cs="Arial"/>
        </w:rPr>
        <w:t>–</w:t>
      </w:r>
      <w:r>
        <w:rPr>
          <w:rFonts w:ascii="Times New Roman" w:hAnsi="Times New Roman"/>
        </w:rPr>
        <w:t>3Q2013. Individual case report narrative de-scriptions were reviewed and categorized as mention-ing an opioid overdose-related event and/or drug abuse-related behavior using criteria developed a priori (Table 1). This review was conducted by the two primary authors with any disagreements resolved by consensus.</w:t>
      </w:r>
    </w:p>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69" w:right="1000" w:bottom="584" w:left="900" w:header="720" w:footer="720" w:gutter="0"/>
          <w:cols w:num="2" w:space="480" w:equalWidth="0">
            <w:col w:w="4760" w:space="480"/>
            <w:col w:w="4760"/>
          </w:cols>
          <w:noEndnote/>
        </w:sect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47" w:lineRule="exact"/>
        <w:rPr>
          <w:rFonts w:ascii="Times New Roman" w:hAnsi="Times New Roman"/>
          <w:sz w:val="24"/>
          <w:szCs w:val="24"/>
        </w:rPr>
      </w:pPr>
    </w:p>
    <w:p w:rsidR="002A4D1F" w:rsidRDefault="002A4D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Table 1.  Criteria to identify overdose-related event and abuse-related behavior mentions</w:t>
      </w:r>
    </w:p>
    <w:p w:rsidR="002A4D1F" w:rsidRDefault="004B391B">
      <w:pPr>
        <w:widowControl w:val="0"/>
        <w:autoSpaceDE w:val="0"/>
        <w:autoSpaceDN w:val="0"/>
        <w:adjustRightInd w:val="0"/>
        <w:spacing w:after="0" w:line="135" w:lineRule="exact"/>
        <w:rPr>
          <w:rFonts w:ascii="Times New Roman" w:hAnsi="Times New Roman"/>
          <w:sz w:val="24"/>
          <w:szCs w:val="24"/>
        </w:rPr>
      </w:pPr>
      <w:r>
        <w:rPr>
          <w:noProof/>
        </w:rPr>
        <mc:AlternateContent>
          <mc:Choice Requires="wps">
            <w:drawing>
              <wp:anchor distT="0" distB="0" distL="114300" distR="114300" simplePos="0" relativeHeight="251661312" behindDoc="1" locked="0" layoutInCell="0" allowOverlap="1">
                <wp:simplePos x="0" y="0"/>
                <wp:positionH relativeFrom="column">
                  <wp:posOffset>0</wp:posOffset>
                </wp:positionH>
                <wp:positionV relativeFrom="paragraph">
                  <wp:posOffset>48895</wp:posOffset>
                </wp:positionV>
                <wp:extent cx="6349365"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9365" cy="0"/>
                        </a:xfrm>
                        <a:prstGeom prst="line">
                          <a:avLst/>
                        </a:prstGeom>
                        <a:noFill/>
                        <a:ln w="129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499.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So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" o:allowincell="f" strokeweight=".35997mm"/>
            </w:pict>
          </mc:Fallback>
        </mc:AlternateContent>
      </w:r>
    </w:p>
    <w:tbl>
      <w:tblPr>
        <w:tblW w:w="0" w:type="auto"/>
        <w:tblLayout w:type="fixed"/>
        <w:tblCellMar>
          <w:left w:w="0" w:type="dxa"/>
          <w:right w:w="0" w:type="dxa"/>
        </w:tblCellMar>
        <w:tblLook w:val="0000" w:firstRow="0" w:lastRow="0" w:firstColumn="0" w:lastColumn="0" w:noHBand="0" w:noVBand="0"/>
      </w:tblPr>
      <w:tblGrid>
        <w:gridCol w:w="1860"/>
        <w:gridCol w:w="8140"/>
      </w:tblGrid>
      <w:tr w:rsidR="002A4D1F">
        <w:tblPrEx>
          <w:tblCellMar>
            <w:top w:w="0" w:type="dxa"/>
            <w:left w:w="0" w:type="dxa"/>
            <w:bottom w:w="0" w:type="dxa"/>
            <w:right w:w="0" w:type="dxa"/>
          </w:tblCellMar>
        </w:tblPrEx>
        <w:trPr>
          <w:trHeight w:val="185"/>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Overdose-related event</w:t>
            </w: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ind w:left="380"/>
              <w:rPr>
                <w:rFonts w:ascii="Times New Roman" w:hAnsi="Times New Roman"/>
                <w:sz w:val="24"/>
                <w:szCs w:val="24"/>
              </w:rPr>
            </w:pPr>
            <w:r>
              <w:rPr>
                <w:rFonts w:ascii="Arial" w:hAnsi="Arial" w:cs="Arial"/>
                <w:sz w:val="16"/>
                <w:szCs w:val="16"/>
              </w:rPr>
              <w:t xml:space="preserve">• </w:t>
            </w:r>
            <w:r>
              <w:rPr>
                <w:rFonts w:ascii="Times New Roman" w:hAnsi="Times New Roman"/>
                <w:sz w:val="16"/>
                <w:szCs w:val="16"/>
              </w:rPr>
              <w:t>Reporter described event using verbatim term</w:t>
            </w:r>
            <w:r>
              <w:rPr>
                <w:rFonts w:ascii="Arial" w:hAnsi="Arial" w:cs="Arial"/>
                <w:sz w:val="16"/>
                <w:szCs w:val="16"/>
              </w:rPr>
              <w:t xml:space="preserve"> “</w:t>
            </w:r>
            <w:r>
              <w:rPr>
                <w:rFonts w:ascii="Times New Roman" w:hAnsi="Times New Roman"/>
                <w:sz w:val="16"/>
                <w:szCs w:val="16"/>
              </w:rPr>
              <w:t>overdose</w:t>
            </w:r>
            <w:r>
              <w:rPr>
                <w:rFonts w:ascii="Arial" w:hAnsi="Arial" w:cs="Arial"/>
                <w:sz w:val="16"/>
                <w:szCs w:val="16"/>
              </w:rPr>
              <w:t xml:space="preserve">” </w:t>
            </w:r>
            <w:r>
              <w:rPr>
                <w:rFonts w:ascii="Times New Roman" w:hAnsi="Times New Roman"/>
                <w:sz w:val="16"/>
                <w:szCs w:val="16"/>
              </w:rPr>
              <w:t>or a medically related term (e.g., drug poisoning, polydrug</w:t>
            </w:r>
          </w:p>
        </w:tc>
      </w:tr>
      <w:tr w:rsidR="002A4D1F">
        <w:tblPrEx>
          <w:tblCellMar>
            <w:top w:w="0" w:type="dxa"/>
            <w:left w:w="0" w:type="dxa"/>
            <w:bottom w:w="0" w:type="dxa"/>
            <w:right w:w="0" w:type="dxa"/>
          </w:tblCellMar>
        </w:tblPrEx>
        <w:trPr>
          <w:trHeight w:val="180"/>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380"/>
              <w:rPr>
                <w:rFonts w:ascii="Times New Roman" w:hAnsi="Times New Roman"/>
                <w:sz w:val="24"/>
                <w:szCs w:val="24"/>
              </w:rPr>
            </w:pPr>
            <w:r>
              <w:rPr>
                <w:rFonts w:ascii="Times New Roman" w:hAnsi="Times New Roman"/>
                <w:sz w:val="16"/>
                <w:szCs w:val="16"/>
              </w:rPr>
              <w:t>toxicity, drug intoxication, and overmedicated); or</w:t>
            </w:r>
          </w:p>
        </w:tc>
      </w:tr>
      <w:tr w:rsidR="002A4D1F">
        <w:tblPrEx>
          <w:tblCellMar>
            <w:top w:w="0" w:type="dxa"/>
            <w:left w:w="0" w:type="dxa"/>
            <w:bottom w:w="0" w:type="dxa"/>
            <w:right w:w="0" w:type="dxa"/>
          </w:tblCellMar>
        </w:tblPrEx>
        <w:trPr>
          <w:trHeight w:val="179"/>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left="380"/>
              <w:rPr>
                <w:rFonts w:ascii="Times New Roman" w:hAnsi="Times New Roman"/>
                <w:sz w:val="24"/>
                <w:szCs w:val="24"/>
              </w:rPr>
            </w:pPr>
            <w:r>
              <w:rPr>
                <w:rFonts w:ascii="Arial" w:hAnsi="Arial" w:cs="Arial"/>
                <w:w w:val="97"/>
                <w:sz w:val="16"/>
                <w:szCs w:val="16"/>
              </w:rPr>
              <w:t xml:space="preserve">• </w:t>
            </w:r>
            <w:r>
              <w:rPr>
                <w:rFonts w:ascii="Times New Roman" w:hAnsi="Times New Roman"/>
                <w:w w:val="97"/>
                <w:sz w:val="16"/>
                <w:szCs w:val="16"/>
              </w:rPr>
              <w:t>Circumstances surrounding death suggest an overdose-related event (e.g., ingested many pills, dosing mistake, tampering/</w:t>
            </w:r>
          </w:p>
        </w:tc>
      </w:tr>
      <w:tr w:rsidR="002A4D1F">
        <w:tblPrEx>
          <w:tblCellMar>
            <w:top w:w="0" w:type="dxa"/>
            <w:left w:w="0" w:type="dxa"/>
            <w:bottom w:w="0" w:type="dxa"/>
            <w:right w:w="0" w:type="dxa"/>
          </w:tblCellMar>
        </w:tblPrEx>
        <w:trPr>
          <w:trHeight w:val="180"/>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380"/>
              <w:rPr>
                <w:rFonts w:ascii="Times New Roman" w:hAnsi="Times New Roman"/>
                <w:sz w:val="24"/>
                <w:szCs w:val="24"/>
              </w:rPr>
            </w:pPr>
            <w:r>
              <w:rPr>
                <w:rFonts w:ascii="Times New Roman" w:hAnsi="Times New Roman"/>
                <w:sz w:val="16"/>
                <w:szCs w:val="16"/>
              </w:rPr>
              <w:t>snorting/injection of drug, and drug obtained and ingested at a party); or</w:t>
            </w:r>
          </w:p>
        </w:tc>
      </w:tr>
      <w:tr w:rsidR="002A4D1F">
        <w:tblPrEx>
          <w:tblCellMar>
            <w:top w:w="0" w:type="dxa"/>
            <w:left w:w="0" w:type="dxa"/>
            <w:bottom w:w="0" w:type="dxa"/>
            <w:right w:w="0" w:type="dxa"/>
          </w:tblCellMar>
        </w:tblPrEx>
        <w:trPr>
          <w:trHeight w:val="180"/>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380"/>
              <w:rPr>
                <w:rFonts w:ascii="Times New Roman" w:hAnsi="Times New Roman"/>
                <w:sz w:val="24"/>
                <w:szCs w:val="24"/>
              </w:rPr>
            </w:pPr>
            <w:r>
              <w:rPr>
                <w:rFonts w:ascii="Arial" w:hAnsi="Arial" w:cs="Arial"/>
                <w:sz w:val="16"/>
                <w:szCs w:val="16"/>
              </w:rPr>
              <w:t xml:space="preserve">• </w:t>
            </w:r>
            <w:r>
              <w:rPr>
                <w:rFonts w:ascii="Times New Roman" w:hAnsi="Times New Roman"/>
                <w:sz w:val="16"/>
                <w:szCs w:val="16"/>
              </w:rPr>
              <w:t>Coroner or physician deemed fatality was associated with opioid overdose or polydrug overdose (with or without</w:t>
            </w:r>
          </w:p>
        </w:tc>
      </w:tr>
      <w:tr w:rsidR="002A4D1F">
        <w:tblPrEx>
          <w:tblCellMar>
            <w:top w:w="0" w:type="dxa"/>
            <w:left w:w="0" w:type="dxa"/>
            <w:bottom w:w="0" w:type="dxa"/>
            <w:right w:w="0" w:type="dxa"/>
          </w:tblCellMar>
        </w:tblPrEx>
        <w:trPr>
          <w:trHeight w:val="180"/>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380"/>
              <w:rPr>
                <w:rFonts w:ascii="Times New Roman" w:hAnsi="Times New Roman"/>
                <w:sz w:val="24"/>
                <w:szCs w:val="24"/>
              </w:rPr>
            </w:pPr>
            <w:r>
              <w:rPr>
                <w:rFonts w:ascii="Times New Roman" w:hAnsi="Times New Roman"/>
                <w:sz w:val="16"/>
                <w:szCs w:val="16"/>
              </w:rPr>
              <w:t>toxicology evidence of oxycodone or opioid ingestion).</w:t>
            </w:r>
          </w:p>
        </w:tc>
      </w:tr>
      <w:tr w:rsidR="002A4D1F">
        <w:tblPrEx>
          <w:tblCellMar>
            <w:top w:w="0" w:type="dxa"/>
            <w:left w:w="0" w:type="dxa"/>
            <w:bottom w:w="0" w:type="dxa"/>
            <w:right w:w="0" w:type="dxa"/>
          </w:tblCellMar>
        </w:tblPrEx>
        <w:trPr>
          <w:trHeight w:val="179"/>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rPr>
                <w:rFonts w:ascii="Times New Roman" w:hAnsi="Times New Roman"/>
                <w:sz w:val="24"/>
                <w:szCs w:val="24"/>
              </w:rPr>
            </w:pPr>
            <w:r>
              <w:rPr>
                <w:rFonts w:ascii="Times New Roman" w:hAnsi="Times New Roman"/>
                <w:sz w:val="16"/>
                <w:szCs w:val="16"/>
              </w:rPr>
              <w:t>Abuse-related behavior</w:t>
            </w: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left="380"/>
              <w:rPr>
                <w:rFonts w:ascii="Times New Roman" w:hAnsi="Times New Roman"/>
                <w:sz w:val="24"/>
                <w:szCs w:val="24"/>
              </w:rPr>
            </w:pPr>
            <w:r>
              <w:rPr>
                <w:rFonts w:ascii="Arial" w:hAnsi="Arial" w:cs="Arial"/>
                <w:sz w:val="16"/>
                <w:szCs w:val="16"/>
              </w:rPr>
              <w:t xml:space="preserve">• </w:t>
            </w:r>
            <w:r>
              <w:rPr>
                <w:rFonts w:ascii="Times New Roman" w:hAnsi="Times New Roman"/>
                <w:sz w:val="16"/>
                <w:szCs w:val="16"/>
              </w:rPr>
              <w:t>Subject currently or previously manipulated extended-release oxycodone with intention of abuse (e.g., crushed and</w:t>
            </w:r>
          </w:p>
        </w:tc>
      </w:tr>
      <w:tr w:rsidR="002A4D1F">
        <w:tblPrEx>
          <w:tblCellMar>
            <w:top w:w="0" w:type="dxa"/>
            <w:left w:w="0" w:type="dxa"/>
            <w:bottom w:w="0" w:type="dxa"/>
            <w:right w:w="0" w:type="dxa"/>
          </w:tblCellMar>
        </w:tblPrEx>
        <w:trPr>
          <w:trHeight w:val="180"/>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380"/>
              <w:rPr>
                <w:rFonts w:ascii="Times New Roman" w:hAnsi="Times New Roman"/>
                <w:sz w:val="24"/>
                <w:szCs w:val="24"/>
              </w:rPr>
            </w:pPr>
            <w:r>
              <w:rPr>
                <w:rFonts w:ascii="Times New Roman" w:hAnsi="Times New Roman"/>
                <w:sz w:val="16"/>
                <w:szCs w:val="16"/>
              </w:rPr>
              <w:t>snorted, dissolved and injected); or</w:t>
            </w:r>
          </w:p>
        </w:tc>
      </w:tr>
      <w:tr w:rsidR="002A4D1F">
        <w:tblPrEx>
          <w:tblCellMar>
            <w:top w:w="0" w:type="dxa"/>
            <w:left w:w="0" w:type="dxa"/>
            <w:bottom w:w="0" w:type="dxa"/>
            <w:right w:w="0" w:type="dxa"/>
          </w:tblCellMar>
        </w:tblPrEx>
        <w:trPr>
          <w:trHeight w:val="180"/>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380"/>
              <w:rPr>
                <w:rFonts w:ascii="Times New Roman" w:hAnsi="Times New Roman"/>
                <w:sz w:val="24"/>
                <w:szCs w:val="24"/>
              </w:rPr>
            </w:pPr>
            <w:r>
              <w:rPr>
                <w:rFonts w:ascii="Arial" w:hAnsi="Arial" w:cs="Arial"/>
                <w:sz w:val="16"/>
                <w:szCs w:val="16"/>
              </w:rPr>
              <w:t xml:space="preserve">• </w:t>
            </w:r>
            <w:r>
              <w:rPr>
                <w:rFonts w:ascii="Times New Roman" w:hAnsi="Times New Roman"/>
                <w:sz w:val="16"/>
                <w:szCs w:val="16"/>
              </w:rPr>
              <w:t>Extended-release oxycodone was not prescribed to the subject and/or subject was obtaining drug via unlawful transfer</w:t>
            </w:r>
          </w:p>
        </w:tc>
      </w:tr>
      <w:tr w:rsidR="002A4D1F">
        <w:tblPrEx>
          <w:tblCellMar>
            <w:top w:w="0" w:type="dxa"/>
            <w:left w:w="0" w:type="dxa"/>
            <w:bottom w:w="0" w:type="dxa"/>
            <w:right w:w="0" w:type="dxa"/>
          </w:tblCellMar>
        </w:tblPrEx>
        <w:trPr>
          <w:trHeight w:val="180"/>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380"/>
              <w:rPr>
                <w:rFonts w:ascii="Times New Roman" w:hAnsi="Times New Roman"/>
                <w:sz w:val="24"/>
                <w:szCs w:val="24"/>
              </w:rPr>
            </w:pPr>
            <w:r>
              <w:rPr>
                <w:rFonts w:ascii="Times New Roman" w:hAnsi="Times New Roman"/>
                <w:sz w:val="16"/>
                <w:szCs w:val="16"/>
              </w:rPr>
              <w:t>(e.g., stolen, at a party, from parents supply, and from the street); or</w:t>
            </w:r>
          </w:p>
        </w:tc>
      </w:tr>
      <w:tr w:rsidR="002A4D1F">
        <w:tblPrEx>
          <w:tblCellMar>
            <w:top w:w="0" w:type="dxa"/>
            <w:left w:w="0" w:type="dxa"/>
            <w:bottom w:w="0" w:type="dxa"/>
            <w:right w:w="0" w:type="dxa"/>
          </w:tblCellMar>
        </w:tblPrEx>
        <w:trPr>
          <w:trHeight w:val="179"/>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left="380"/>
              <w:rPr>
                <w:rFonts w:ascii="Times New Roman" w:hAnsi="Times New Roman"/>
                <w:sz w:val="24"/>
                <w:szCs w:val="24"/>
              </w:rPr>
            </w:pPr>
            <w:r>
              <w:rPr>
                <w:rFonts w:ascii="Arial" w:hAnsi="Arial" w:cs="Arial"/>
                <w:sz w:val="16"/>
                <w:szCs w:val="16"/>
              </w:rPr>
              <w:t xml:space="preserve">• </w:t>
            </w:r>
            <w:r>
              <w:rPr>
                <w:rFonts w:ascii="Times New Roman" w:hAnsi="Times New Roman"/>
                <w:sz w:val="16"/>
                <w:szCs w:val="16"/>
              </w:rPr>
              <w:t>Subject was obtaining extended-release oxycodone prescriptions from a pill mill, multiple healthcare providers, and/or</w:t>
            </w:r>
          </w:p>
        </w:tc>
      </w:tr>
      <w:tr w:rsidR="002A4D1F">
        <w:tblPrEx>
          <w:tblCellMar>
            <w:top w:w="0" w:type="dxa"/>
            <w:left w:w="0" w:type="dxa"/>
            <w:bottom w:w="0" w:type="dxa"/>
            <w:right w:w="0" w:type="dxa"/>
          </w:tblCellMar>
        </w:tblPrEx>
        <w:trPr>
          <w:trHeight w:val="180"/>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380"/>
              <w:rPr>
                <w:rFonts w:ascii="Times New Roman" w:hAnsi="Times New Roman"/>
                <w:sz w:val="24"/>
                <w:szCs w:val="24"/>
              </w:rPr>
            </w:pPr>
            <w:r>
              <w:rPr>
                <w:rFonts w:ascii="Times New Roman" w:hAnsi="Times New Roman"/>
                <w:sz w:val="16"/>
                <w:szCs w:val="16"/>
              </w:rPr>
              <w:t>multiple pharmacies; or</w:t>
            </w:r>
          </w:p>
        </w:tc>
      </w:tr>
      <w:tr w:rsidR="002A4D1F">
        <w:tblPrEx>
          <w:tblCellMar>
            <w:top w:w="0" w:type="dxa"/>
            <w:left w:w="0" w:type="dxa"/>
            <w:bottom w:w="0" w:type="dxa"/>
            <w:right w:w="0" w:type="dxa"/>
          </w:tblCellMar>
        </w:tblPrEx>
        <w:trPr>
          <w:trHeight w:val="180"/>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380"/>
              <w:rPr>
                <w:rFonts w:ascii="Times New Roman" w:hAnsi="Times New Roman"/>
                <w:sz w:val="24"/>
                <w:szCs w:val="24"/>
              </w:rPr>
            </w:pPr>
            <w:r>
              <w:rPr>
                <w:rFonts w:ascii="Arial" w:hAnsi="Arial" w:cs="Arial"/>
                <w:sz w:val="16"/>
                <w:szCs w:val="16"/>
              </w:rPr>
              <w:t xml:space="preserve">• </w:t>
            </w:r>
            <w:r>
              <w:rPr>
                <w:rFonts w:ascii="Times New Roman" w:hAnsi="Times New Roman"/>
                <w:sz w:val="16"/>
                <w:szCs w:val="16"/>
              </w:rPr>
              <w:t>Reporter states subject has history of addiction disorder and/or drug rehabilitation or indicates that subject is currently</w:t>
            </w:r>
          </w:p>
        </w:tc>
      </w:tr>
      <w:tr w:rsidR="002A4D1F">
        <w:tblPrEx>
          <w:tblCellMar>
            <w:top w:w="0" w:type="dxa"/>
            <w:left w:w="0" w:type="dxa"/>
            <w:bottom w:w="0" w:type="dxa"/>
            <w:right w:w="0" w:type="dxa"/>
          </w:tblCellMar>
        </w:tblPrEx>
        <w:trPr>
          <w:trHeight w:val="180"/>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380"/>
              <w:rPr>
                <w:rFonts w:ascii="Times New Roman" w:hAnsi="Times New Roman"/>
                <w:sz w:val="24"/>
                <w:szCs w:val="24"/>
              </w:rPr>
            </w:pPr>
            <w:r>
              <w:rPr>
                <w:rFonts w:ascii="Times New Roman" w:hAnsi="Times New Roman"/>
                <w:sz w:val="16"/>
                <w:szCs w:val="16"/>
              </w:rPr>
              <w:t>addicted; or</w:t>
            </w:r>
          </w:p>
        </w:tc>
      </w:tr>
      <w:tr w:rsidR="002A4D1F">
        <w:tblPrEx>
          <w:tblCellMar>
            <w:top w:w="0" w:type="dxa"/>
            <w:left w:w="0" w:type="dxa"/>
            <w:bottom w:w="0" w:type="dxa"/>
            <w:right w:w="0" w:type="dxa"/>
          </w:tblCellMar>
        </w:tblPrEx>
        <w:trPr>
          <w:trHeight w:val="179"/>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left="380"/>
              <w:rPr>
                <w:rFonts w:ascii="Times New Roman" w:hAnsi="Times New Roman"/>
                <w:sz w:val="24"/>
                <w:szCs w:val="24"/>
              </w:rPr>
            </w:pPr>
            <w:r>
              <w:rPr>
                <w:rFonts w:ascii="Arial" w:hAnsi="Arial" w:cs="Arial"/>
                <w:sz w:val="16"/>
                <w:szCs w:val="16"/>
              </w:rPr>
              <w:t xml:space="preserve">• </w:t>
            </w:r>
            <w:r>
              <w:rPr>
                <w:rFonts w:ascii="Times New Roman" w:hAnsi="Times New Roman"/>
                <w:sz w:val="16"/>
                <w:szCs w:val="16"/>
              </w:rPr>
              <w:t>Reporter states subject had been using illicit drugs or alcohol in combination with extended-release oxycodone</w:t>
            </w:r>
          </w:p>
        </w:tc>
      </w:tr>
      <w:tr w:rsidR="002A4D1F">
        <w:tblPrEx>
          <w:tblCellMar>
            <w:top w:w="0" w:type="dxa"/>
            <w:left w:w="0" w:type="dxa"/>
            <w:bottom w:w="0" w:type="dxa"/>
            <w:right w:w="0" w:type="dxa"/>
          </w:tblCellMar>
        </w:tblPrEx>
        <w:trPr>
          <w:trHeight w:val="180"/>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380"/>
              <w:rPr>
                <w:rFonts w:ascii="Times New Roman" w:hAnsi="Times New Roman"/>
                <w:sz w:val="24"/>
                <w:szCs w:val="24"/>
              </w:rPr>
            </w:pPr>
            <w:r>
              <w:rPr>
                <w:rFonts w:ascii="Times New Roman" w:hAnsi="Times New Roman"/>
                <w:sz w:val="16"/>
                <w:szCs w:val="16"/>
              </w:rPr>
              <w:t>(e.g., heroin, cocaine, marijuana, and amphetamines), or</w:t>
            </w:r>
          </w:p>
        </w:tc>
      </w:tr>
      <w:tr w:rsidR="002A4D1F">
        <w:tblPrEx>
          <w:tblCellMar>
            <w:top w:w="0" w:type="dxa"/>
            <w:left w:w="0" w:type="dxa"/>
            <w:bottom w:w="0" w:type="dxa"/>
            <w:right w:w="0" w:type="dxa"/>
          </w:tblCellMar>
        </w:tblPrEx>
        <w:trPr>
          <w:trHeight w:val="180"/>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380"/>
              <w:rPr>
                <w:rFonts w:ascii="Times New Roman" w:hAnsi="Times New Roman"/>
                <w:sz w:val="24"/>
                <w:szCs w:val="24"/>
              </w:rPr>
            </w:pPr>
            <w:r>
              <w:rPr>
                <w:rFonts w:ascii="Arial" w:hAnsi="Arial" w:cs="Arial"/>
                <w:sz w:val="16"/>
                <w:szCs w:val="16"/>
              </w:rPr>
              <w:t xml:space="preserve">• </w:t>
            </w:r>
            <w:r>
              <w:rPr>
                <w:rFonts w:ascii="Times New Roman" w:hAnsi="Times New Roman"/>
                <w:sz w:val="16"/>
                <w:szCs w:val="16"/>
              </w:rPr>
              <w:t>There was evidence of subject exposure to a benzodiazepine, an opioid other than oxycodone, and/or muscle relaxant/</w:t>
            </w:r>
          </w:p>
        </w:tc>
      </w:tr>
      <w:tr w:rsidR="002A4D1F">
        <w:tblPrEx>
          <w:tblCellMar>
            <w:top w:w="0" w:type="dxa"/>
            <w:left w:w="0" w:type="dxa"/>
            <w:bottom w:w="0" w:type="dxa"/>
            <w:right w:w="0" w:type="dxa"/>
          </w:tblCellMar>
        </w:tblPrEx>
        <w:trPr>
          <w:trHeight w:val="186"/>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ind w:left="380"/>
              <w:rPr>
                <w:rFonts w:ascii="Times New Roman" w:hAnsi="Times New Roman"/>
                <w:sz w:val="24"/>
                <w:szCs w:val="24"/>
              </w:rPr>
            </w:pPr>
            <w:r>
              <w:rPr>
                <w:rFonts w:ascii="Times New Roman" w:hAnsi="Times New Roman"/>
                <w:w w:val="99"/>
                <w:sz w:val="16"/>
                <w:szCs w:val="16"/>
              </w:rPr>
              <w:t>hypnotic in absence of mention of prescription. For this purpose, an exposure was de</w:t>
            </w:r>
            <w:r>
              <w:rPr>
                <w:rFonts w:ascii="Arial" w:hAnsi="Arial" w:cs="Arial"/>
                <w:w w:val="99"/>
                <w:sz w:val="16"/>
                <w:szCs w:val="16"/>
              </w:rPr>
              <w:t>fi</w:t>
            </w:r>
            <w:r>
              <w:rPr>
                <w:rFonts w:ascii="Times New Roman" w:hAnsi="Times New Roman"/>
                <w:w w:val="99"/>
                <w:sz w:val="16"/>
                <w:szCs w:val="16"/>
              </w:rPr>
              <w:t>ned as: the individual was observed</w:t>
            </w:r>
          </w:p>
        </w:tc>
      </w:tr>
      <w:tr w:rsidR="002A4D1F">
        <w:tblPrEx>
          <w:tblCellMar>
            <w:top w:w="0" w:type="dxa"/>
            <w:left w:w="0" w:type="dxa"/>
            <w:bottom w:w="0" w:type="dxa"/>
            <w:right w:w="0" w:type="dxa"/>
          </w:tblCellMar>
        </w:tblPrEx>
        <w:trPr>
          <w:trHeight w:val="173"/>
        </w:trPr>
        <w:tc>
          <w:tcPr>
            <w:tcW w:w="1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1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380"/>
              <w:rPr>
                <w:rFonts w:ascii="Times New Roman" w:hAnsi="Times New Roman"/>
                <w:sz w:val="24"/>
                <w:szCs w:val="24"/>
              </w:rPr>
            </w:pPr>
            <w:r>
              <w:rPr>
                <w:rFonts w:ascii="Times New Roman" w:hAnsi="Times New Roman"/>
                <w:sz w:val="16"/>
                <w:szCs w:val="16"/>
              </w:rPr>
              <w:t>taking drug, or reported to have taken the drug, or drug was revealed in toxicological results.</w:t>
            </w:r>
          </w:p>
        </w:tc>
      </w:tr>
      <w:tr w:rsidR="002A4D1F">
        <w:tblPrEx>
          <w:tblCellMar>
            <w:top w:w="0" w:type="dxa"/>
            <w:left w:w="0" w:type="dxa"/>
            <w:bottom w:w="0" w:type="dxa"/>
            <w:right w:w="0" w:type="dxa"/>
          </w:tblCellMar>
        </w:tblPrEx>
        <w:trPr>
          <w:trHeight w:val="69"/>
        </w:trPr>
        <w:tc>
          <w:tcPr>
            <w:tcW w:w="186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5"/>
                <w:szCs w:val="5"/>
              </w:rPr>
            </w:pPr>
          </w:p>
        </w:tc>
        <w:tc>
          <w:tcPr>
            <w:tcW w:w="814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5"/>
                <w:szCs w:val="5"/>
              </w:rPr>
            </w:pPr>
          </w:p>
        </w:tc>
      </w:tr>
    </w:tbl>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69" w:right="1000" w:bottom="584" w:left="900" w:header="720" w:footer="720" w:gutter="0"/>
          <w:cols w:space="480" w:equalWidth="0">
            <w:col w:w="10000"/>
          </w:cols>
          <w:noEndnote/>
        </w:sectPr>
      </w:pPr>
    </w:p>
    <w:p w:rsidR="002A4D1F" w:rsidRDefault="002A4D1F">
      <w:pPr>
        <w:widowControl w:val="0"/>
        <w:autoSpaceDE w:val="0"/>
        <w:autoSpaceDN w:val="0"/>
        <w:adjustRightInd w:val="0"/>
        <w:spacing w:after="0" w:line="332"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80"/>
        <w:gridCol w:w="5020"/>
      </w:tblGrid>
      <w:tr w:rsidR="002A4D1F">
        <w:tblPrEx>
          <w:tblCellMar>
            <w:top w:w="0" w:type="dxa"/>
            <w:left w:w="0" w:type="dxa"/>
            <w:bottom w:w="0" w:type="dxa"/>
            <w:right w:w="0" w:type="dxa"/>
          </w:tblCellMar>
        </w:tblPrEx>
        <w:trPr>
          <w:trHeight w:val="208"/>
        </w:trPr>
        <w:tc>
          <w:tcPr>
            <w:tcW w:w="4980" w:type="dxa"/>
            <w:tcBorders>
              <w:top w:val="nil"/>
              <w:left w:val="nil"/>
              <w:bottom w:val="nil"/>
              <w:right w:val="nil"/>
            </w:tcBorders>
            <w:vAlign w:val="bottom"/>
          </w:tcPr>
          <w:p w:rsidR="002A4D1F" w:rsidRDefault="002A4D1F">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18"/>
                <w:szCs w:val="18"/>
              </w:rPr>
              <w:t>© 2014 The Authors. Pharmacoepidemiology and Drug Safety</w:t>
            </w:r>
          </w:p>
        </w:tc>
        <w:tc>
          <w:tcPr>
            <w:tcW w:w="50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8"/>
                <w:szCs w:val="18"/>
              </w:rPr>
              <w:t>Pharmacoepidemiology and Drug Safety, 2014; 23: 1238</w:t>
            </w:r>
            <w:r>
              <w:rPr>
                <w:rFonts w:ascii="Arial" w:hAnsi="Arial" w:cs="Arial"/>
                <w:sz w:val="18"/>
                <w:szCs w:val="18"/>
              </w:rPr>
              <w:t>–</w:t>
            </w:r>
            <w:r>
              <w:rPr>
                <w:rFonts w:ascii="Times New Roman" w:hAnsi="Times New Roman"/>
                <w:sz w:val="18"/>
                <w:szCs w:val="18"/>
              </w:rPr>
              <w:t>1246</w:t>
            </w:r>
          </w:p>
        </w:tc>
      </w:tr>
      <w:tr w:rsidR="002A4D1F">
        <w:tblPrEx>
          <w:tblCellMar>
            <w:top w:w="0" w:type="dxa"/>
            <w:left w:w="0" w:type="dxa"/>
            <w:bottom w:w="0" w:type="dxa"/>
            <w:right w:w="0" w:type="dxa"/>
          </w:tblCellMar>
        </w:tblPrEx>
        <w:trPr>
          <w:trHeight w:val="197"/>
        </w:trPr>
        <w:tc>
          <w:tcPr>
            <w:tcW w:w="4980" w:type="dxa"/>
            <w:tcBorders>
              <w:top w:val="nil"/>
              <w:left w:val="nil"/>
              <w:bottom w:val="nil"/>
              <w:right w:val="nil"/>
            </w:tcBorders>
            <w:vAlign w:val="bottom"/>
          </w:tcPr>
          <w:p w:rsidR="002A4D1F" w:rsidRDefault="002A4D1F">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18"/>
                <w:szCs w:val="18"/>
              </w:rPr>
              <w:t>published by John Wiley &amp; Sons, Ltd.</w:t>
            </w:r>
          </w:p>
        </w:tc>
        <w:tc>
          <w:tcPr>
            <w:tcW w:w="5020" w:type="dxa"/>
            <w:tcBorders>
              <w:top w:val="nil"/>
              <w:left w:val="nil"/>
              <w:bottom w:val="nil"/>
              <w:right w:val="nil"/>
            </w:tcBorders>
            <w:vAlign w:val="bottom"/>
          </w:tcPr>
          <w:p w:rsidR="002A4D1F" w:rsidRDefault="002A4D1F">
            <w:pPr>
              <w:widowControl w:val="0"/>
              <w:autoSpaceDE w:val="0"/>
              <w:autoSpaceDN w:val="0"/>
              <w:adjustRightInd w:val="0"/>
              <w:spacing w:after="0" w:line="197" w:lineRule="exact"/>
              <w:jc w:val="right"/>
              <w:rPr>
                <w:rFonts w:ascii="Times New Roman" w:hAnsi="Times New Roman"/>
                <w:sz w:val="24"/>
                <w:szCs w:val="24"/>
              </w:rPr>
            </w:pPr>
            <w:r>
              <w:rPr>
                <w:rFonts w:ascii="Times New Roman" w:hAnsi="Times New Roman"/>
                <w:sz w:val="18"/>
                <w:szCs w:val="18"/>
              </w:rPr>
              <w:t>DOI: 10.1002/pds</w:t>
            </w:r>
          </w:p>
        </w:tc>
      </w:tr>
    </w:tbl>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69" w:right="1000" w:bottom="584" w:left="900" w:header="720" w:footer="720" w:gutter="0"/>
          <w:cols w:space="480" w:equalWidth="0">
            <w:col w:w="10000"/>
          </w:cols>
          <w:noEndnote/>
        </w:sectPr>
      </w:pPr>
    </w:p>
    <w:p w:rsidR="002A4D1F" w:rsidRDefault="002A4D1F">
      <w:pPr>
        <w:widowControl w:val="0"/>
        <w:tabs>
          <w:tab w:val="left" w:pos="4160"/>
        </w:tabs>
        <w:autoSpaceDE w:val="0"/>
        <w:autoSpaceDN w:val="0"/>
        <w:adjustRightInd w:val="0"/>
        <w:spacing w:after="0" w:line="239" w:lineRule="auto"/>
        <w:rPr>
          <w:rFonts w:ascii="Times New Roman" w:hAnsi="Times New Roman"/>
          <w:sz w:val="24"/>
          <w:szCs w:val="24"/>
        </w:rPr>
      </w:pPr>
      <w:bookmarkStart w:id="3" w:name="page3"/>
      <w:bookmarkEnd w:id="3"/>
      <w:r>
        <w:rPr>
          <w:rFonts w:ascii="Times New Roman" w:hAnsi="Times New Roman"/>
          <w:sz w:val="20"/>
          <w:szCs w:val="20"/>
        </w:rPr>
        <w:lastRenderedPageBreak/>
        <w:t>1240</w:t>
      </w:r>
      <w:r>
        <w:rPr>
          <w:rFonts w:ascii="Times New Roman" w:hAnsi="Times New Roman"/>
          <w:sz w:val="24"/>
          <w:szCs w:val="24"/>
        </w:rPr>
        <w:tab/>
      </w:r>
      <w:r>
        <w:rPr>
          <w:rFonts w:ascii="Times New Roman" w:hAnsi="Times New Roman"/>
          <w:sz w:val="20"/>
          <w:szCs w:val="20"/>
        </w:rPr>
        <w:t xml:space="preserve">n. e. sessler </w:t>
      </w:r>
      <w:r>
        <w:rPr>
          <w:rFonts w:ascii="Times New Roman" w:hAnsi="Times New Roman"/>
          <w:i/>
          <w:iCs/>
          <w:sz w:val="20"/>
          <w:szCs w:val="20"/>
        </w:rPr>
        <w:t>et al.</w:t>
      </w:r>
    </w:p>
    <w:p w:rsidR="002A4D1F" w:rsidRDefault="002A4D1F">
      <w:pPr>
        <w:widowControl w:val="0"/>
        <w:autoSpaceDE w:val="0"/>
        <w:autoSpaceDN w:val="0"/>
        <w:adjustRightInd w:val="0"/>
        <w:spacing w:after="0" w:line="240" w:lineRule="auto"/>
        <w:rPr>
          <w:rFonts w:ascii="Times New Roman" w:hAnsi="Times New Roman"/>
          <w:sz w:val="24"/>
          <w:szCs w:val="24"/>
        </w:rPr>
        <w:sectPr w:rsidR="002A4D1F">
          <w:pgSz w:w="11900" w:h="15817"/>
          <w:pgMar w:top="1168" w:right="5060" w:bottom="584" w:left="1000" w:header="720" w:footer="720" w:gutter="0"/>
          <w:cols w:space="720" w:equalWidth="0">
            <w:col w:w="5840"/>
          </w:cols>
          <w:noEndnote/>
        </w:sectPr>
      </w:pPr>
    </w:p>
    <w:p w:rsidR="002A4D1F" w:rsidRDefault="002A4D1F">
      <w:pPr>
        <w:widowControl w:val="0"/>
        <w:autoSpaceDE w:val="0"/>
        <w:autoSpaceDN w:val="0"/>
        <w:adjustRightInd w:val="0"/>
        <w:spacing w:after="0" w:line="147"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8" w:lineRule="auto"/>
        <w:ind w:firstLine="199"/>
        <w:jc w:val="both"/>
        <w:rPr>
          <w:rFonts w:ascii="Times New Roman" w:hAnsi="Times New Roman"/>
          <w:sz w:val="24"/>
          <w:szCs w:val="24"/>
        </w:rPr>
      </w:pPr>
      <w:r>
        <w:rPr>
          <w:rFonts w:ascii="Times New Roman" w:hAnsi="Times New Roman"/>
          <w:sz w:val="21"/>
          <w:szCs w:val="21"/>
        </w:rPr>
        <w:t>The analysis focused on spontaneous fatality reports that included month/year of death, as time trends in mortality cannot be ascertained where this information is unknown and the date when the report was received by the manufacturer does not necessarily correlate with the date of death. Reports associated with post-market-ing studies (including the manufacturer</w:t>
      </w:r>
      <w:r>
        <w:rPr>
          <w:rFonts w:ascii="Arial" w:hAnsi="Arial" w:cs="Arial"/>
          <w:sz w:val="21"/>
          <w:szCs w:val="21"/>
        </w:rPr>
        <w:t>’</w:t>
      </w:r>
      <w:r>
        <w:rPr>
          <w:rFonts w:ascii="Times New Roman" w:hAnsi="Times New Roman"/>
          <w:sz w:val="21"/>
          <w:szCs w:val="21"/>
        </w:rPr>
        <w:t>s individual pa-tient assistance program), litigation (because these were not spontaneous reports), and those lacking a core reporting element (patient, reporter, suspect product, or adverse event) were excluded. All reports containing month/year of death from 3Q2009</w:t>
      </w:r>
      <w:r>
        <w:rPr>
          <w:rFonts w:ascii="Arial" w:hAnsi="Arial" w:cs="Arial"/>
          <w:sz w:val="21"/>
          <w:szCs w:val="21"/>
        </w:rPr>
        <w:t>–</w:t>
      </w:r>
      <w:r>
        <w:rPr>
          <w:rFonts w:ascii="Times New Roman" w:hAnsi="Times New Roman"/>
          <w:sz w:val="21"/>
          <w:szCs w:val="21"/>
        </w:rPr>
        <w:t>2Q2013 were ana-lyzed using SAS v9.2 (SAS Institute, Inc, Cary, NC).</w:t>
      </w:r>
    </w:p>
    <w:p w:rsidR="002A4D1F" w:rsidRDefault="002A4D1F">
      <w:pPr>
        <w:widowControl w:val="0"/>
        <w:autoSpaceDE w:val="0"/>
        <w:autoSpaceDN w:val="0"/>
        <w:adjustRightInd w:val="0"/>
        <w:spacing w:after="0" w:line="5" w:lineRule="exact"/>
        <w:rPr>
          <w:rFonts w:ascii="Times New Roman" w:hAnsi="Times New Roman"/>
          <w:sz w:val="24"/>
          <w:szCs w:val="24"/>
        </w:rPr>
      </w:pPr>
    </w:p>
    <w:p w:rsidR="002A4D1F" w:rsidRDefault="002A4D1F">
      <w:pPr>
        <w:widowControl w:val="0"/>
        <w:overflowPunct w:val="0"/>
        <w:autoSpaceDE w:val="0"/>
        <w:autoSpaceDN w:val="0"/>
        <w:adjustRightInd w:val="0"/>
        <w:spacing w:after="0" w:line="246" w:lineRule="auto"/>
        <w:ind w:firstLine="199"/>
        <w:jc w:val="both"/>
        <w:rPr>
          <w:rFonts w:ascii="Times New Roman" w:hAnsi="Times New Roman"/>
          <w:sz w:val="24"/>
          <w:szCs w:val="24"/>
        </w:rPr>
      </w:pPr>
      <w:r>
        <w:rPr>
          <w:rFonts w:ascii="Times New Roman" w:hAnsi="Times New Roman"/>
          <w:sz w:val="20"/>
          <w:szCs w:val="20"/>
        </w:rPr>
        <w:t>Fatalities were divided into four periods corresponding to 1 year pre-reformulation (3Q2009</w:t>
      </w:r>
      <w:r>
        <w:rPr>
          <w:rFonts w:ascii="Arial" w:hAnsi="Arial" w:cs="Arial"/>
          <w:sz w:val="20"/>
          <w:szCs w:val="20"/>
        </w:rPr>
        <w:t>–</w:t>
      </w:r>
      <w:r>
        <w:rPr>
          <w:rFonts w:ascii="Times New Roman" w:hAnsi="Times New Roman"/>
          <w:sz w:val="20"/>
          <w:szCs w:val="20"/>
        </w:rPr>
        <w:t xml:space="preserve">2Q2010) and the </w:t>
      </w:r>
      <w:r>
        <w:rPr>
          <w:rFonts w:ascii="Arial" w:hAnsi="Arial" w:cs="Arial"/>
          <w:sz w:val="20"/>
          <w:szCs w:val="20"/>
        </w:rPr>
        <w:t>fi</w:t>
      </w:r>
      <w:r>
        <w:rPr>
          <w:rFonts w:ascii="Times New Roman" w:hAnsi="Times New Roman"/>
          <w:sz w:val="20"/>
          <w:szCs w:val="20"/>
        </w:rPr>
        <w:t>rst (3Q2010</w:t>
      </w:r>
      <w:r>
        <w:rPr>
          <w:rFonts w:ascii="Arial" w:hAnsi="Arial" w:cs="Arial"/>
          <w:sz w:val="20"/>
          <w:szCs w:val="20"/>
        </w:rPr>
        <w:t>–</w:t>
      </w:r>
      <w:r>
        <w:rPr>
          <w:rFonts w:ascii="Times New Roman" w:hAnsi="Times New Roman"/>
          <w:sz w:val="20"/>
          <w:szCs w:val="20"/>
        </w:rPr>
        <w:t>2Q2011), second (3Q2011</w:t>
      </w:r>
      <w:r>
        <w:rPr>
          <w:rFonts w:ascii="Arial" w:hAnsi="Arial" w:cs="Arial"/>
          <w:sz w:val="20"/>
          <w:szCs w:val="20"/>
        </w:rPr>
        <w:t>–</w:t>
      </w:r>
      <w:r>
        <w:rPr>
          <w:rFonts w:ascii="Times New Roman" w:hAnsi="Times New Roman"/>
          <w:sz w:val="20"/>
          <w:szCs w:val="20"/>
        </w:rPr>
        <w:t>2Q2012),</w:t>
      </w:r>
      <w:r>
        <w:rPr>
          <w:rFonts w:ascii="Arial" w:hAnsi="Arial" w:cs="Arial"/>
          <w:sz w:val="20"/>
          <w:szCs w:val="20"/>
        </w:rPr>
        <w:t xml:space="preserve"> </w:t>
      </w:r>
      <w:r>
        <w:rPr>
          <w:rFonts w:ascii="Times New Roman" w:hAnsi="Times New Roman"/>
          <w:sz w:val="20"/>
          <w:szCs w:val="20"/>
        </w:rPr>
        <w:t>and third (3Q2012</w:t>
      </w:r>
      <w:r>
        <w:rPr>
          <w:rFonts w:ascii="Arial" w:hAnsi="Arial" w:cs="Arial"/>
          <w:sz w:val="20"/>
          <w:szCs w:val="20"/>
        </w:rPr>
        <w:t>–</w:t>
      </w:r>
      <w:r>
        <w:rPr>
          <w:rFonts w:ascii="Times New Roman" w:hAnsi="Times New Roman"/>
          <w:sz w:val="20"/>
          <w:szCs w:val="20"/>
        </w:rPr>
        <w:t>2Q2013) year post-reformulation. The mean fatalities per quarter and changes in the slope of trends in fatalities were calculated by spline regression using a Poisson model with the in</w:t>
      </w:r>
      <w:r>
        <w:rPr>
          <w:rFonts w:ascii="Arial" w:hAnsi="Arial" w:cs="Arial"/>
          <w:sz w:val="20"/>
          <w:szCs w:val="20"/>
        </w:rPr>
        <w:t>fl</w:t>
      </w:r>
      <w:r>
        <w:rPr>
          <w:rFonts w:ascii="Times New Roman" w:hAnsi="Times New Roman"/>
          <w:sz w:val="20"/>
          <w:szCs w:val="20"/>
        </w:rPr>
        <w:t>ection point corre-sponding to the time of ERO reformulation.</w:t>
      </w:r>
      <w:r>
        <w:rPr>
          <w:rFonts w:ascii="Times New Roman" w:hAnsi="Times New Roman"/>
          <w:sz w:val="26"/>
          <w:szCs w:val="26"/>
          <w:vertAlign w:val="superscript"/>
        </w:rPr>
        <w:t>36,37</w:t>
      </w:r>
    </w:p>
    <w:p w:rsidR="002A4D1F" w:rsidRDefault="002A4D1F">
      <w:pPr>
        <w:widowControl w:val="0"/>
        <w:autoSpaceDE w:val="0"/>
        <w:autoSpaceDN w:val="0"/>
        <w:adjustRightInd w:val="0"/>
        <w:spacing w:after="0" w:line="6"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1" w:lineRule="auto"/>
        <w:ind w:firstLine="199"/>
        <w:jc w:val="both"/>
        <w:rPr>
          <w:rFonts w:ascii="Times New Roman" w:hAnsi="Times New Roman"/>
          <w:sz w:val="24"/>
          <w:szCs w:val="24"/>
        </w:rPr>
      </w:pPr>
      <w:r>
        <w:rPr>
          <w:rFonts w:ascii="Times New Roman" w:hAnsi="Times New Roman"/>
          <w:sz w:val="21"/>
          <w:szCs w:val="21"/>
        </w:rPr>
        <w:t>Several sensitivity analyses were conducted to as-sess the robustness of the results. To assess the impact of prescription changes on fatalities, counts were adjusted for 100,000 ERO prescriptions dispensed (IMS National Prescription Audit database system).</w:t>
      </w:r>
      <w:r>
        <w:rPr>
          <w:rFonts w:ascii="Times New Roman" w:hAnsi="Times New Roman"/>
          <w:sz w:val="28"/>
          <w:szCs w:val="28"/>
          <w:vertAlign w:val="superscript"/>
        </w:rPr>
        <w:t>38</w:t>
      </w:r>
      <w:r>
        <w:rPr>
          <w:rFonts w:ascii="Times New Roman" w:hAnsi="Times New Roman"/>
          <w:sz w:val="21"/>
          <w:szCs w:val="21"/>
        </w:rPr>
        <w:t xml:space="preserve"> Because reporting accuracy varies by source, cases reported by healthcare professionals were analyzed separately. To assess the impact of intentional harm, fatalities excluding suicide/homicide were analyzed separately. The impact of cases without date of death was assessed by combining all cases and using report receipt date as a proxy for date of death. To assess the impact of cases containing missing or nonspeci</w:t>
      </w:r>
      <w:r>
        <w:rPr>
          <w:rFonts w:ascii="Arial" w:hAnsi="Arial" w:cs="Arial"/>
          <w:sz w:val="21"/>
          <w:szCs w:val="21"/>
        </w:rPr>
        <w:t>fi</w:t>
      </w:r>
      <w:r>
        <w:rPr>
          <w:rFonts w:ascii="Times New Roman" w:hAnsi="Times New Roman"/>
          <w:sz w:val="21"/>
          <w:szCs w:val="21"/>
        </w:rPr>
        <w:t xml:space="preserve">c formulation information, fatality changes were calcu-lated for cases in which the reporter mentioned brand name </w:t>
      </w:r>
      <w:r>
        <w:rPr>
          <w:rFonts w:ascii="Arial" w:hAnsi="Arial" w:cs="Arial"/>
          <w:sz w:val="21"/>
          <w:szCs w:val="21"/>
        </w:rPr>
        <w:t>“</w:t>
      </w:r>
      <w:r>
        <w:rPr>
          <w:rFonts w:ascii="Times New Roman" w:hAnsi="Times New Roman"/>
          <w:sz w:val="21"/>
          <w:szCs w:val="21"/>
        </w:rPr>
        <w:t>OxyContin.</w:t>
      </w:r>
      <w:r>
        <w:rPr>
          <w:rFonts w:ascii="Arial" w:hAnsi="Arial" w:cs="Arial"/>
          <w:sz w:val="21"/>
          <w:szCs w:val="21"/>
        </w:rPr>
        <w:t>”</w:t>
      </w:r>
      <w:r>
        <w:rPr>
          <w:rFonts w:ascii="Times New Roman" w:hAnsi="Times New Roman"/>
          <w:sz w:val="21"/>
          <w:szCs w:val="21"/>
        </w:rPr>
        <w:t xml:space="preserve"> A sensitivity analysis assessed the impact of delayed reporting by removing cases that were reported more than 3 months (or 6 months) after each quarter in the study period.</w:t>
      </w:r>
    </w:p>
    <w:p w:rsidR="002A4D1F" w:rsidRDefault="002A4D1F">
      <w:pPr>
        <w:widowControl w:val="0"/>
        <w:autoSpaceDE w:val="0"/>
        <w:autoSpaceDN w:val="0"/>
        <w:adjustRightInd w:val="0"/>
        <w:spacing w:after="0" w:line="19"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7" w:lineRule="auto"/>
        <w:ind w:firstLine="199"/>
        <w:jc w:val="both"/>
        <w:rPr>
          <w:rFonts w:ascii="Times New Roman" w:hAnsi="Times New Roman"/>
          <w:sz w:val="24"/>
          <w:szCs w:val="24"/>
        </w:rPr>
      </w:pPr>
      <w:r>
        <w:rPr>
          <w:rFonts w:ascii="Times New Roman" w:hAnsi="Times New Roman"/>
        </w:rPr>
        <w:t>The ratio of deaths associated with ERO reported to the manufacturer versus all oxycodone deaths reported to the FDA</w:t>
      </w:r>
      <w:r>
        <w:rPr>
          <w:rFonts w:ascii="Arial" w:hAnsi="Arial" w:cs="Arial"/>
        </w:rPr>
        <w:t>’</w:t>
      </w:r>
      <w:r>
        <w:rPr>
          <w:rFonts w:ascii="Times New Roman" w:hAnsi="Times New Roman"/>
        </w:rPr>
        <w:t>s AERS system (data available through 4Q2012) was calculated. Date of death is not included in the FDA AERS data because of privacy regulations; therefore, report receipt date by the FDA was used in the analysis.</w:t>
      </w:r>
    </w:p>
    <w:p w:rsidR="002A4D1F" w:rsidRDefault="002A4D1F">
      <w:pPr>
        <w:widowControl w:val="0"/>
        <w:autoSpaceDE w:val="0"/>
        <w:autoSpaceDN w:val="0"/>
        <w:adjustRightInd w:val="0"/>
        <w:spacing w:after="0" w:line="271" w:lineRule="exact"/>
        <w:rPr>
          <w:rFonts w:ascii="Times New Roman" w:hAnsi="Times New Roman"/>
          <w:sz w:val="24"/>
          <w:szCs w:val="24"/>
        </w:rPr>
      </w:pPr>
    </w:p>
    <w:p w:rsidR="002A4D1F" w:rsidRDefault="002A4D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RESULTS</w:t>
      </w:r>
    </w:p>
    <w:p w:rsidR="002A4D1F" w:rsidRDefault="002A4D1F">
      <w:pPr>
        <w:widowControl w:val="0"/>
        <w:autoSpaceDE w:val="0"/>
        <w:autoSpaceDN w:val="0"/>
        <w:adjustRightInd w:val="0"/>
        <w:spacing w:after="0" w:line="87" w:lineRule="exact"/>
        <w:rPr>
          <w:rFonts w:ascii="Times New Roman" w:hAnsi="Times New Roman"/>
          <w:sz w:val="24"/>
          <w:szCs w:val="24"/>
        </w:rPr>
      </w:pPr>
    </w:p>
    <w:p w:rsidR="002A4D1F" w:rsidRDefault="002A4D1F">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Population characteristics</w:t>
      </w:r>
    </w:p>
    <w:p w:rsidR="002A4D1F" w:rsidRDefault="002A4D1F">
      <w:pPr>
        <w:widowControl w:val="0"/>
        <w:autoSpaceDE w:val="0"/>
        <w:autoSpaceDN w:val="0"/>
        <w:adjustRightInd w:val="0"/>
        <w:spacing w:after="0" w:line="101"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7" w:lineRule="auto"/>
        <w:jc w:val="both"/>
        <w:rPr>
          <w:rFonts w:ascii="Times New Roman" w:hAnsi="Times New Roman"/>
          <w:sz w:val="24"/>
          <w:szCs w:val="24"/>
        </w:rPr>
      </w:pPr>
      <w:r>
        <w:rPr>
          <w:rFonts w:ascii="Times New Roman" w:hAnsi="Times New Roman"/>
        </w:rPr>
        <w:t>A total of 326 unique fatalities involving ERO, origi-nating in the USA, were spontaneously reported to</w:t>
      </w:r>
    </w:p>
    <w:p w:rsidR="002A4D1F" w:rsidRDefault="002A4D1F">
      <w:pPr>
        <w:widowControl w:val="0"/>
        <w:autoSpaceDE w:val="0"/>
        <w:autoSpaceDN w:val="0"/>
        <w:adjustRightInd w:val="0"/>
        <w:spacing w:after="0" w:line="147" w:lineRule="exact"/>
        <w:rPr>
          <w:rFonts w:ascii="Times New Roman" w:hAnsi="Times New Roman"/>
          <w:sz w:val="24"/>
          <w:szCs w:val="24"/>
        </w:rPr>
      </w:pPr>
      <w:r>
        <w:rPr>
          <w:rFonts w:ascii="Times New Roman" w:hAnsi="Times New Roman"/>
          <w:sz w:val="24"/>
          <w:szCs w:val="24"/>
        </w:rPr>
        <w:br w:type="column"/>
      </w:r>
    </w:p>
    <w:p w:rsidR="002A4D1F" w:rsidRDefault="002A4D1F">
      <w:pPr>
        <w:widowControl w:val="0"/>
        <w:overflowPunct w:val="0"/>
        <w:autoSpaceDE w:val="0"/>
        <w:autoSpaceDN w:val="0"/>
        <w:adjustRightInd w:val="0"/>
        <w:spacing w:after="0" w:line="227" w:lineRule="auto"/>
        <w:jc w:val="both"/>
        <w:rPr>
          <w:rFonts w:ascii="Times New Roman" w:hAnsi="Times New Roman"/>
          <w:sz w:val="24"/>
          <w:szCs w:val="24"/>
        </w:rPr>
      </w:pPr>
      <w:r>
        <w:rPr>
          <w:rFonts w:ascii="Times New Roman" w:hAnsi="Times New Roman"/>
        </w:rPr>
        <w:t>the manufacturer with a month/year of death from 3Q2009</w:t>
      </w:r>
      <w:r>
        <w:rPr>
          <w:rFonts w:ascii="Arial" w:hAnsi="Arial" w:cs="Arial"/>
        </w:rPr>
        <w:t>–</w:t>
      </w:r>
      <w:r>
        <w:rPr>
          <w:rFonts w:ascii="Times New Roman" w:hAnsi="Times New Roman"/>
        </w:rPr>
        <w:t>2Q2013 (Table 2). Overdose was mentioned in 240 reports, and abuse-related behavior was men-tioned in 206 reports. Reports involving fatal over-doses were most frequently received from a healthcare professional, more frequently involving an adult (age 18</w:t>
      </w:r>
      <w:r>
        <w:rPr>
          <w:rFonts w:ascii="Arial" w:hAnsi="Arial" w:cs="Arial"/>
        </w:rPr>
        <w:t>–</w:t>
      </w:r>
      <w:r>
        <w:rPr>
          <w:rFonts w:ascii="Times New Roman" w:hAnsi="Times New Roman"/>
        </w:rPr>
        <w:t>64 years) and often involving polysubstance use.</w:t>
      </w:r>
    </w:p>
    <w:p w:rsidR="002A4D1F" w:rsidRDefault="002A4D1F">
      <w:pPr>
        <w:widowControl w:val="0"/>
        <w:autoSpaceDE w:val="0"/>
        <w:autoSpaceDN w:val="0"/>
        <w:adjustRightInd w:val="0"/>
        <w:spacing w:after="0" w:line="4"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7" w:lineRule="auto"/>
        <w:ind w:firstLine="201"/>
        <w:jc w:val="both"/>
        <w:rPr>
          <w:rFonts w:ascii="Times New Roman" w:hAnsi="Times New Roman"/>
          <w:sz w:val="24"/>
          <w:szCs w:val="24"/>
        </w:rPr>
      </w:pPr>
      <w:r>
        <w:rPr>
          <w:rFonts w:ascii="Times New Roman" w:hAnsi="Times New Roman"/>
        </w:rPr>
        <w:t>Overall, there were no large differences in report characteristics between the pre-reformulation and post-reformulation periods in terms of report source, gender, age, report source/type, and source of toxicol-ogy information. However, for fatal overdoses, nota-ble decreases in the proportion of reports from southern regions (40% to 29%) and those with mentions of benzodiazepines (42% to 33%) or other opioids (37% to 24%) were observed.</w:t>
      </w:r>
    </w:p>
    <w:p w:rsidR="002A4D1F" w:rsidRDefault="002A4D1F">
      <w:pPr>
        <w:widowControl w:val="0"/>
        <w:autoSpaceDE w:val="0"/>
        <w:autoSpaceDN w:val="0"/>
        <w:adjustRightInd w:val="0"/>
        <w:spacing w:after="0" w:line="374" w:lineRule="exact"/>
        <w:rPr>
          <w:rFonts w:ascii="Times New Roman" w:hAnsi="Times New Roman"/>
          <w:sz w:val="24"/>
          <w:szCs w:val="24"/>
        </w:rPr>
      </w:pPr>
    </w:p>
    <w:p w:rsidR="002A4D1F" w:rsidRDefault="002A4D1F">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Decrease in reports of fatalities</w:t>
      </w:r>
    </w:p>
    <w:p w:rsidR="002A4D1F" w:rsidRDefault="002A4D1F">
      <w:pPr>
        <w:widowControl w:val="0"/>
        <w:autoSpaceDE w:val="0"/>
        <w:autoSpaceDN w:val="0"/>
        <w:adjustRightInd w:val="0"/>
        <w:spacing w:after="0" w:line="101"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8" w:lineRule="auto"/>
        <w:jc w:val="both"/>
        <w:rPr>
          <w:rFonts w:ascii="Times New Roman" w:hAnsi="Times New Roman"/>
          <w:sz w:val="24"/>
          <w:szCs w:val="24"/>
        </w:rPr>
      </w:pPr>
      <w:r>
        <w:rPr>
          <w:rFonts w:ascii="Times New Roman" w:hAnsi="Times New Roman"/>
          <w:sz w:val="21"/>
          <w:szCs w:val="21"/>
        </w:rPr>
        <w:t xml:space="preserve">There was a reduction in reports of fatalities involving ERO in the post-reformulation periods, particularly for the subset of cases of overdose and overdose with mention of abuse (Figure 1). These reductions began the </w:t>
      </w:r>
      <w:r>
        <w:rPr>
          <w:rFonts w:ascii="Arial" w:hAnsi="Arial" w:cs="Arial"/>
          <w:sz w:val="21"/>
          <w:szCs w:val="21"/>
        </w:rPr>
        <w:t>fi</w:t>
      </w:r>
      <w:r>
        <w:rPr>
          <w:rFonts w:ascii="Times New Roman" w:hAnsi="Times New Roman"/>
          <w:sz w:val="21"/>
          <w:szCs w:val="21"/>
        </w:rPr>
        <w:t>rst year post-reformulation and were more pro-nounced in subsequent years. Speci</w:t>
      </w:r>
      <w:r>
        <w:rPr>
          <w:rFonts w:ascii="Arial" w:hAnsi="Arial" w:cs="Arial"/>
          <w:sz w:val="21"/>
          <w:szCs w:val="21"/>
        </w:rPr>
        <w:t>fi</w:t>
      </w:r>
      <w:r>
        <w:rPr>
          <w:rFonts w:ascii="Times New Roman" w:hAnsi="Times New Roman"/>
          <w:sz w:val="21"/>
          <w:szCs w:val="21"/>
        </w:rPr>
        <w:t>cally, the mean of all reports of fatalities in the year pre-reformulation was 32.8 per quarter, which decreased by 82% (95% CI: 89% to 73%) to 5.8 reports per quarter in the third year post-reformulation; the mean of fatality re-ports involving overdose in the year pre-reformulation was 26.0 per quarter, which decreased by 87% (95% CI: 93% to 78%) to 3.3 reports per quarter in the third year post-reformulation; and the mean number of fatality reports involving both overdose and abuse-related behavior in the year pre-reformulation was 23.3 per quarter, decreasing by 86% (95% CI: 92% to 75%) to 3.3 reports per quarter in the third year post-reformulation (Table 3).</w:t>
      </w:r>
    </w:p>
    <w:p w:rsidR="002A4D1F" w:rsidRDefault="002A4D1F">
      <w:pPr>
        <w:widowControl w:val="0"/>
        <w:autoSpaceDE w:val="0"/>
        <w:autoSpaceDN w:val="0"/>
        <w:adjustRightInd w:val="0"/>
        <w:spacing w:after="0" w:line="9"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7" w:lineRule="auto"/>
        <w:ind w:firstLine="201"/>
        <w:jc w:val="both"/>
        <w:rPr>
          <w:rFonts w:ascii="Times New Roman" w:hAnsi="Times New Roman"/>
          <w:sz w:val="24"/>
          <w:szCs w:val="24"/>
        </w:rPr>
      </w:pPr>
      <w:r>
        <w:rPr>
          <w:rFonts w:ascii="Times New Roman" w:hAnsi="Times New Roman"/>
        </w:rPr>
        <w:t>Increasing trends in mean quarterly fatality reports were observed in the pre-reformulation year. In con-trast, in the post-reformulation years, the slope of the 3-year trend for all ERO fatal reports decreased an average of 15.6% (95% CI: 18.7%, 12.3%) per quarter, representing a change of 20.7% (95% CI: 31.3% to 8.5%) from pre-reformulation to post-re-</w:t>
      </w:r>
    </w:p>
    <w:tbl>
      <w:tblPr>
        <w:tblW w:w="0" w:type="auto"/>
        <w:tblLayout w:type="fixed"/>
        <w:tblCellMar>
          <w:left w:w="0" w:type="dxa"/>
          <w:right w:w="0" w:type="dxa"/>
        </w:tblCellMar>
        <w:tblLook w:val="0000" w:firstRow="0" w:lastRow="0" w:firstColumn="0" w:lastColumn="0" w:noHBand="0" w:noVBand="0"/>
      </w:tblPr>
      <w:tblGrid>
        <w:gridCol w:w="1160"/>
        <w:gridCol w:w="740"/>
        <w:gridCol w:w="2860"/>
      </w:tblGrid>
      <w:tr w:rsidR="002A4D1F">
        <w:tblPrEx>
          <w:tblCellMar>
            <w:top w:w="0" w:type="dxa"/>
            <w:left w:w="0" w:type="dxa"/>
            <w:bottom w:w="0" w:type="dxa"/>
            <w:right w:w="0" w:type="dxa"/>
          </w:tblCellMar>
        </w:tblPrEx>
        <w:trPr>
          <w:trHeight w:val="245"/>
        </w:trPr>
        <w:tc>
          <w:tcPr>
            <w:tcW w:w="1160" w:type="dxa"/>
            <w:tcBorders>
              <w:top w:val="nil"/>
              <w:left w:val="nil"/>
              <w:bottom w:val="nil"/>
              <w:right w:val="nil"/>
            </w:tcBorders>
            <w:vAlign w:val="bottom"/>
          </w:tcPr>
          <w:p w:rsidR="002A4D1F" w:rsidRDefault="002A4D1F">
            <w:pPr>
              <w:widowControl w:val="0"/>
              <w:autoSpaceDE w:val="0"/>
              <w:autoSpaceDN w:val="0"/>
              <w:adjustRightInd w:val="0"/>
              <w:spacing w:after="0" w:line="245" w:lineRule="exact"/>
              <w:rPr>
                <w:rFonts w:ascii="Times New Roman" w:hAnsi="Times New Roman"/>
                <w:sz w:val="24"/>
                <w:szCs w:val="24"/>
              </w:rPr>
            </w:pPr>
            <w:r>
              <w:rPr>
                <w:rFonts w:ascii="Times New Roman" w:hAnsi="Times New Roman"/>
              </w:rPr>
              <w:t>formulation,</w:t>
            </w:r>
          </w:p>
        </w:tc>
        <w:tc>
          <w:tcPr>
            <w:tcW w:w="740" w:type="dxa"/>
            <w:tcBorders>
              <w:top w:val="nil"/>
              <w:left w:val="nil"/>
              <w:bottom w:val="nil"/>
              <w:right w:val="nil"/>
            </w:tcBorders>
            <w:vAlign w:val="bottom"/>
          </w:tcPr>
          <w:p w:rsidR="002A4D1F" w:rsidRDefault="002A4D1F">
            <w:pPr>
              <w:widowControl w:val="0"/>
              <w:autoSpaceDE w:val="0"/>
              <w:autoSpaceDN w:val="0"/>
              <w:adjustRightInd w:val="0"/>
              <w:spacing w:after="0" w:line="245" w:lineRule="exact"/>
              <w:jc w:val="right"/>
              <w:rPr>
                <w:rFonts w:ascii="Times New Roman" w:hAnsi="Times New Roman"/>
                <w:sz w:val="24"/>
                <w:szCs w:val="24"/>
              </w:rPr>
            </w:pPr>
            <w:r>
              <w:rPr>
                <w:rFonts w:ascii="Times New Roman" w:hAnsi="Times New Roman"/>
              </w:rPr>
              <w:t>which</w:t>
            </w:r>
          </w:p>
        </w:tc>
        <w:tc>
          <w:tcPr>
            <w:tcW w:w="2860" w:type="dxa"/>
            <w:tcBorders>
              <w:top w:val="nil"/>
              <w:left w:val="nil"/>
              <w:bottom w:val="nil"/>
              <w:right w:val="nil"/>
            </w:tcBorders>
            <w:vAlign w:val="bottom"/>
          </w:tcPr>
          <w:p w:rsidR="002A4D1F" w:rsidRDefault="002A4D1F">
            <w:pPr>
              <w:widowControl w:val="0"/>
              <w:autoSpaceDE w:val="0"/>
              <w:autoSpaceDN w:val="0"/>
              <w:adjustRightInd w:val="0"/>
              <w:spacing w:after="0" w:line="244" w:lineRule="exact"/>
              <w:jc w:val="right"/>
              <w:rPr>
                <w:rFonts w:ascii="Times New Roman" w:hAnsi="Times New Roman"/>
                <w:sz w:val="24"/>
                <w:szCs w:val="24"/>
              </w:rPr>
            </w:pPr>
            <w:r>
              <w:rPr>
                <w:rFonts w:ascii="Times New Roman" w:hAnsi="Times New Roman"/>
              </w:rPr>
              <w:t>was  statistically  signi</w:t>
            </w:r>
            <w:r>
              <w:rPr>
                <w:rFonts w:ascii="Arial" w:hAnsi="Arial" w:cs="Arial"/>
              </w:rPr>
              <w:t>fi</w:t>
            </w:r>
            <w:r>
              <w:rPr>
                <w:rFonts w:ascii="Times New Roman" w:hAnsi="Times New Roman"/>
              </w:rPr>
              <w:t>cant</w:t>
            </w:r>
          </w:p>
        </w:tc>
      </w:tr>
      <w:tr w:rsidR="002A4D1F">
        <w:tblPrEx>
          <w:tblCellMar>
            <w:top w:w="0" w:type="dxa"/>
            <w:left w:w="0" w:type="dxa"/>
            <w:bottom w:w="0" w:type="dxa"/>
            <w:right w:w="0" w:type="dxa"/>
          </w:tblCellMar>
        </w:tblPrEx>
        <w:trPr>
          <w:trHeight w:val="256"/>
        </w:trPr>
        <w:tc>
          <w:tcPr>
            <w:tcW w:w="1160" w:type="dxa"/>
            <w:tcBorders>
              <w:top w:val="nil"/>
              <w:left w:val="nil"/>
              <w:bottom w:val="nil"/>
              <w:right w:val="nil"/>
            </w:tcBorders>
            <w:vAlign w:val="bottom"/>
          </w:tcPr>
          <w:p w:rsidR="002A4D1F" w:rsidRDefault="002A4D1F">
            <w:pPr>
              <w:widowControl w:val="0"/>
              <w:autoSpaceDE w:val="0"/>
              <w:autoSpaceDN w:val="0"/>
              <w:adjustRightInd w:val="0"/>
              <w:spacing w:after="0" w:line="239" w:lineRule="exact"/>
              <w:rPr>
                <w:rFonts w:ascii="Times New Roman" w:hAnsi="Times New Roman"/>
                <w:sz w:val="24"/>
                <w:szCs w:val="24"/>
              </w:rPr>
            </w:pPr>
            <w:r>
              <w:rPr>
                <w:rFonts w:ascii="Times New Roman" w:hAnsi="Times New Roman"/>
                <w:w w:val="99"/>
              </w:rPr>
              <w:t>(p = 0.0015).</w:t>
            </w:r>
          </w:p>
        </w:tc>
        <w:tc>
          <w:tcPr>
            <w:tcW w:w="740" w:type="dxa"/>
            <w:tcBorders>
              <w:top w:val="nil"/>
              <w:left w:val="nil"/>
              <w:bottom w:val="nil"/>
              <w:right w:val="nil"/>
            </w:tcBorders>
            <w:vAlign w:val="bottom"/>
          </w:tcPr>
          <w:p w:rsidR="002A4D1F" w:rsidRDefault="002A4D1F">
            <w:pPr>
              <w:widowControl w:val="0"/>
              <w:autoSpaceDE w:val="0"/>
              <w:autoSpaceDN w:val="0"/>
              <w:adjustRightInd w:val="0"/>
              <w:spacing w:after="0" w:line="239" w:lineRule="exact"/>
              <w:jc w:val="right"/>
              <w:rPr>
                <w:rFonts w:ascii="Times New Roman" w:hAnsi="Times New Roman"/>
                <w:sz w:val="24"/>
                <w:szCs w:val="24"/>
              </w:rPr>
            </w:pPr>
            <w:r>
              <w:rPr>
                <w:rFonts w:ascii="Times New Roman" w:hAnsi="Times New Roman"/>
              </w:rPr>
              <w:t>Similar</w:t>
            </w:r>
          </w:p>
        </w:tc>
        <w:tc>
          <w:tcPr>
            <w:tcW w:w="28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rPr>
              <w:t>statistically signi</w:t>
            </w:r>
            <w:r>
              <w:rPr>
                <w:rFonts w:ascii="Arial" w:hAnsi="Arial" w:cs="Arial"/>
              </w:rPr>
              <w:t>fi</w:t>
            </w:r>
            <w:r>
              <w:rPr>
                <w:rFonts w:ascii="Times New Roman" w:hAnsi="Times New Roman"/>
              </w:rPr>
              <w:t>cant changes</w:t>
            </w:r>
          </w:p>
        </w:tc>
      </w:tr>
    </w:tbl>
    <w:p w:rsidR="002A4D1F" w:rsidRDefault="002A4D1F">
      <w:pPr>
        <w:widowControl w:val="0"/>
        <w:overflowPunct w:val="0"/>
        <w:autoSpaceDE w:val="0"/>
        <w:autoSpaceDN w:val="0"/>
        <w:adjustRightInd w:val="0"/>
        <w:spacing w:after="0" w:line="224" w:lineRule="auto"/>
        <w:jc w:val="both"/>
        <w:rPr>
          <w:rFonts w:ascii="Times New Roman" w:hAnsi="Times New Roman"/>
          <w:sz w:val="24"/>
          <w:szCs w:val="24"/>
        </w:rPr>
      </w:pPr>
      <w:r>
        <w:rPr>
          <w:rFonts w:ascii="Times New Roman" w:hAnsi="Times New Roman"/>
        </w:rPr>
        <w:t>in quarterly slopes were observed for reports of fatali-ties involving overdose ( 22.9%; CI: 34.7 % to 8.9%, p = 0.0022) and of fatalities involving both overdose and abuse ( 22.2%; CI: 34.9% to 7%, p = 0.0058). Changes for non-overdose fatalities (e.g.,</w:t>
      </w:r>
    </w:p>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68" w:right="900" w:bottom="584" w:left="1000" w:header="720" w:footer="720" w:gutter="0"/>
          <w:cols w:num="2" w:space="480" w:equalWidth="0">
            <w:col w:w="4760" w:space="480"/>
            <w:col w:w="4760"/>
          </w:cols>
          <w:noEndnote/>
        </w:sectPr>
      </w:pPr>
    </w:p>
    <w:p w:rsidR="002A4D1F" w:rsidRDefault="002A4D1F">
      <w:pPr>
        <w:widowControl w:val="0"/>
        <w:autoSpaceDE w:val="0"/>
        <w:autoSpaceDN w:val="0"/>
        <w:adjustRightInd w:val="0"/>
        <w:spacing w:after="0" w:line="289"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80"/>
        <w:gridCol w:w="5020"/>
      </w:tblGrid>
      <w:tr w:rsidR="002A4D1F">
        <w:tblPrEx>
          <w:tblCellMar>
            <w:top w:w="0" w:type="dxa"/>
            <w:left w:w="0" w:type="dxa"/>
            <w:bottom w:w="0" w:type="dxa"/>
            <w:right w:w="0" w:type="dxa"/>
          </w:tblCellMar>
        </w:tblPrEx>
        <w:trPr>
          <w:trHeight w:val="208"/>
        </w:trPr>
        <w:tc>
          <w:tcPr>
            <w:tcW w:w="4980" w:type="dxa"/>
            <w:tcBorders>
              <w:top w:val="nil"/>
              <w:left w:val="nil"/>
              <w:bottom w:val="nil"/>
              <w:right w:val="nil"/>
            </w:tcBorders>
            <w:vAlign w:val="bottom"/>
          </w:tcPr>
          <w:p w:rsidR="002A4D1F" w:rsidRDefault="002A4D1F">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18"/>
                <w:szCs w:val="18"/>
              </w:rPr>
              <w:t>© 2014 The Authors. Pharmacoepidemiology and Drug Safety</w:t>
            </w:r>
          </w:p>
        </w:tc>
        <w:tc>
          <w:tcPr>
            <w:tcW w:w="50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8"/>
                <w:szCs w:val="18"/>
              </w:rPr>
              <w:t>Pharmacoepidemiology and Drug Safety, 2014; 23: 1238</w:t>
            </w:r>
            <w:r>
              <w:rPr>
                <w:rFonts w:ascii="Arial" w:hAnsi="Arial" w:cs="Arial"/>
                <w:sz w:val="18"/>
                <w:szCs w:val="18"/>
              </w:rPr>
              <w:t>–</w:t>
            </w:r>
            <w:r>
              <w:rPr>
                <w:rFonts w:ascii="Times New Roman" w:hAnsi="Times New Roman"/>
                <w:sz w:val="18"/>
                <w:szCs w:val="18"/>
              </w:rPr>
              <w:t>1246</w:t>
            </w:r>
          </w:p>
        </w:tc>
      </w:tr>
      <w:tr w:rsidR="002A4D1F">
        <w:tblPrEx>
          <w:tblCellMar>
            <w:top w:w="0" w:type="dxa"/>
            <w:left w:w="0" w:type="dxa"/>
            <w:bottom w:w="0" w:type="dxa"/>
            <w:right w:w="0" w:type="dxa"/>
          </w:tblCellMar>
        </w:tblPrEx>
        <w:trPr>
          <w:trHeight w:val="197"/>
        </w:trPr>
        <w:tc>
          <w:tcPr>
            <w:tcW w:w="4980" w:type="dxa"/>
            <w:tcBorders>
              <w:top w:val="nil"/>
              <w:left w:val="nil"/>
              <w:bottom w:val="nil"/>
              <w:right w:val="nil"/>
            </w:tcBorders>
            <w:vAlign w:val="bottom"/>
          </w:tcPr>
          <w:p w:rsidR="002A4D1F" w:rsidRDefault="002A4D1F">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18"/>
                <w:szCs w:val="18"/>
              </w:rPr>
              <w:t>published by John Wiley &amp; Sons, Ltd.</w:t>
            </w:r>
          </w:p>
        </w:tc>
        <w:tc>
          <w:tcPr>
            <w:tcW w:w="5020" w:type="dxa"/>
            <w:tcBorders>
              <w:top w:val="nil"/>
              <w:left w:val="nil"/>
              <w:bottom w:val="nil"/>
              <w:right w:val="nil"/>
            </w:tcBorders>
            <w:vAlign w:val="bottom"/>
          </w:tcPr>
          <w:p w:rsidR="002A4D1F" w:rsidRDefault="002A4D1F">
            <w:pPr>
              <w:widowControl w:val="0"/>
              <w:autoSpaceDE w:val="0"/>
              <w:autoSpaceDN w:val="0"/>
              <w:adjustRightInd w:val="0"/>
              <w:spacing w:after="0" w:line="197" w:lineRule="exact"/>
              <w:jc w:val="right"/>
              <w:rPr>
                <w:rFonts w:ascii="Times New Roman" w:hAnsi="Times New Roman"/>
                <w:sz w:val="24"/>
                <w:szCs w:val="24"/>
              </w:rPr>
            </w:pPr>
            <w:r>
              <w:rPr>
                <w:rFonts w:ascii="Times New Roman" w:hAnsi="Times New Roman"/>
                <w:sz w:val="18"/>
                <w:szCs w:val="18"/>
              </w:rPr>
              <w:t>DOI: 10.1002/pds</w:t>
            </w:r>
          </w:p>
        </w:tc>
      </w:tr>
    </w:tbl>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68" w:right="900" w:bottom="584" w:left="1000" w:header="720" w:footer="720" w:gutter="0"/>
          <w:cols w:space="480" w:equalWidth="0">
            <w:col w:w="10000"/>
          </w:cols>
          <w:noEndnote/>
        </w:sectPr>
      </w:pPr>
    </w:p>
    <w:tbl>
      <w:tblPr>
        <w:tblW w:w="0" w:type="auto"/>
        <w:tblInd w:w="2440" w:type="dxa"/>
        <w:tblLayout w:type="fixed"/>
        <w:tblCellMar>
          <w:left w:w="0" w:type="dxa"/>
          <w:right w:w="0" w:type="dxa"/>
        </w:tblCellMar>
        <w:tblLook w:val="0000" w:firstRow="0" w:lastRow="0" w:firstColumn="0" w:lastColumn="0" w:noHBand="0" w:noVBand="0"/>
      </w:tblPr>
      <w:tblGrid>
        <w:gridCol w:w="6140"/>
        <w:gridCol w:w="1420"/>
      </w:tblGrid>
      <w:tr w:rsidR="002A4D1F">
        <w:tblPrEx>
          <w:tblCellMar>
            <w:top w:w="0" w:type="dxa"/>
            <w:left w:w="0" w:type="dxa"/>
            <w:bottom w:w="0" w:type="dxa"/>
            <w:right w:w="0" w:type="dxa"/>
          </w:tblCellMar>
        </w:tblPrEx>
        <w:trPr>
          <w:trHeight w:val="230"/>
        </w:trPr>
        <w:tc>
          <w:tcPr>
            <w:tcW w:w="6140" w:type="dxa"/>
            <w:tcBorders>
              <w:top w:val="nil"/>
              <w:left w:val="nil"/>
              <w:bottom w:val="nil"/>
              <w:right w:val="nil"/>
            </w:tcBorders>
            <w:vAlign w:val="bottom"/>
          </w:tcPr>
          <w:p w:rsidR="002A4D1F" w:rsidRDefault="002A4D1F">
            <w:pPr>
              <w:widowControl w:val="0"/>
              <w:autoSpaceDE w:val="0"/>
              <w:autoSpaceDN w:val="0"/>
              <w:adjustRightInd w:val="0"/>
              <w:spacing w:after="0" w:line="229" w:lineRule="exact"/>
              <w:rPr>
                <w:rFonts w:ascii="Times New Roman" w:hAnsi="Times New Roman"/>
                <w:sz w:val="24"/>
                <w:szCs w:val="24"/>
              </w:rPr>
            </w:pPr>
            <w:bookmarkStart w:id="4" w:name="page4"/>
            <w:bookmarkEnd w:id="4"/>
            <w:r>
              <w:rPr>
                <w:rFonts w:ascii="Times New Roman" w:hAnsi="Times New Roman"/>
                <w:sz w:val="20"/>
                <w:szCs w:val="20"/>
              </w:rPr>
              <w:t>fatality report decrease with reformulated oxycontin</w:t>
            </w:r>
          </w:p>
        </w:tc>
        <w:tc>
          <w:tcPr>
            <w:tcW w:w="1420" w:type="dxa"/>
            <w:tcBorders>
              <w:top w:val="nil"/>
              <w:left w:val="nil"/>
              <w:bottom w:val="nil"/>
              <w:right w:val="nil"/>
            </w:tcBorders>
            <w:vAlign w:val="bottom"/>
          </w:tcPr>
          <w:p w:rsidR="002A4D1F" w:rsidRDefault="002A4D1F">
            <w:pPr>
              <w:widowControl w:val="0"/>
              <w:autoSpaceDE w:val="0"/>
              <w:autoSpaceDN w:val="0"/>
              <w:adjustRightInd w:val="0"/>
              <w:spacing w:after="0" w:line="229" w:lineRule="exact"/>
              <w:jc w:val="right"/>
              <w:rPr>
                <w:rFonts w:ascii="Times New Roman" w:hAnsi="Times New Roman"/>
                <w:sz w:val="24"/>
                <w:szCs w:val="24"/>
              </w:rPr>
            </w:pPr>
            <w:r>
              <w:rPr>
                <w:rFonts w:ascii="Times New Roman" w:hAnsi="Times New Roman"/>
                <w:sz w:val="20"/>
                <w:szCs w:val="20"/>
              </w:rPr>
              <w:t>1241</w:t>
            </w:r>
          </w:p>
        </w:tc>
      </w:tr>
    </w:tbl>
    <w:p w:rsidR="002A4D1F" w:rsidRDefault="002A4D1F">
      <w:pPr>
        <w:widowControl w:val="0"/>
        <w:autoSpaceDE w:val="0"/>
        <w:autoSpaceDN w:val="0"/>
        <w:adjustRightInd w:val="0"/>
        <w:spacing w:after="0" w:line="140"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9" w:lineRule="auto"/>
        <w:jc w:val="both"/>
        <w:rPr>
          <w:rFonts w:ascii="Times New Roman" w:hAnsi="Times New Roman"/>
          <w:sz w:val="24"/>
          <w:szCs w:val="24"/>
        </w:rPr>
      </w:pPr>
      <w:r>
        <w:rPr>
          <w:rFonts w:ascii="Times New Roman" w:hAnsi="Times New Roman"/>
          <w:sz w:val="16"/>
          <w:szCs w:val="16"/>
        </w:rPr>
        <w:t>Table 2. Characteristics of extended-release oxycodone fatality reports received by manufacturer with date of death during 1-year period before and 3-year period after introduction of reformulated extended-release oxycodone</w:t>
      </w:r>
    </w:p>
    <w:p w:rsidR="002A4D1F" w:rsidRDefault="004B391B">
      <w:pPr>
        <w:widowControl w:val="0"/>
        <w:autoSpaceDE w:val="0"/>
        <w:autoSpaceDN w:val="0"/>
        <w:adjustRightInd w:val="0"/>
        <w:spacing w:after="0" w:line="138" w:lineRule="exact"/>
        <w:rPr>
          <w:rFonts w:ascii="Times New Roman" w:hAnsi="Times New Roman"/>
          <w:sz w:val="24"/>
          <w:szCs w:val="24"/>
        </w:rPr>
      </w:pPr>
      <w:r>
        <w:rPr>
          <w:noProof/>
        </w:rPr>
        <mc:AlternateContent>
          <mc:Choice Requires="wps">
            <w:drawing>
              <wp:anchor distT="0" distB="0" distL="114300" distR="114300" simplePos="0" relativeHeight="251662336" behindDoc="1" locked="0" layoutInCell="0" allowOverlap="1">
                <wp:simplePos x="0" y="0"/>
                <wp:positionH relativeFrom="column">
                  <wp:posOffset>0</wp:posOffset>
                </wp:positionH>
                <wp:positionV relativeFrom="paragraph">
                  <wp:posOffset>50165</wp:posOffset>
                </wp:positionV>
                <wp:extent cx="634936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9365" cy="0"/>
                        </a:xfrm>
                        <a:prstGeom prst="line">
                          <a:avLst/>
                        </a:prstGeom>
                        <a:noFill/>
                        <a:ln w="12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9.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ZVEgIAACk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" o:allowincell="f" strokeweight=".34mm"/>
            </w:pict>
          </mc:Fallback>
        </mc:AlternateContent>
      </w:r>
    </w:p>
    <w:tbl>
      <w:tblPr>
        <w:tblW w:w="0" w:type="auto"/>
        <w:tblLayout w:type="fixed"/>
        <w:tblCellMar>
          <w:left w:w="0" w:type="dxa"/>
          <w:right w:w="0" w:type="dxa"/>
        </w:tblCellMar>
        <w:tblLook w:val="0000" w:firstRow="0" w:lastRow="0" w:firstColumn="0" w:lastColumn="0" w:noHBand="0" w:noVBand="0"/>
      </w:tblPr>
      <w:tblGrid>
        <w:gridCol w:w="2200"/>
        <w:gridCol w:w="400"/>
        <w:gridCol w:w="1620"/>
        <w:gridCol w:w="1620"/>
        <w:gridCol w:w="840"/>
        <w:gridCol w:w="1660"/>
        <w:gridCol w:w="1660"/>
      </w:tblGrid>
      <w:tr w:rsidR="002A4D1F">
        <w:tblPrEx>
          <w:tblCellMar>
            <w:top w:w="0" w:type="dxa"/>
            <w:left w:w="0" w:type="dxa"/>
            <w:bottom w:w="0" w:type="dxa"/>
            <w:right w:w="0" w:type="dxa"/>
          </w:tblCellMar>
        </w:tblPrEx>
        <w:trPr>
          <w:trHeight w:val="184"/>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4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4080" w:type="dxa"/>
            <w:gridSpan w:val="3"/>
            <w:tcBorders>
              <w:top w:val="nil"/>
              <w:left w:val="nil"/>
              <w:bottom w:val="nil"/>
              <w:right w:val="nil"/>
            </w:tcBorders>
            <w:vAlign w:val="bottom"/>
          </w:tcPr>
          <w:p w:rsidR="002A4D1F" w:rsidRDefault="002A4D1F">
            <w:pPr>
              <w:widowControl w:val="0"/>
              <w:autoSpaceDE w:val="0"/>
              <w:autoSpaceDN w:val="0"/>
              <w:adjustRightInd w:val="0"/>
              <w:spacing w:after="0" w:line="240" w:lineRule="auto"/>
              <w:ind w:left="860"/>
              <w:rPr>
                <w:rFonts w:ascii="Times New Roman" w:hAnsi="Times New Roman"/>
                <w:sz w:val="24"/>
                <w:szCs w:val="24"/>
              </w:rPr>
            </w:pPr>
            <w:r>
              <w:rPr>
                <w:rFonts w:ascii="Times New Roman" w:hAnsi="Times New Roman"/>
                <w:sz w:val="16"/>
                <w:szCs w:val="16"/>
              </w:rPr>
              <w:t>All fatal cases (N = 326)</w:t>
            </w:r>
          </w:p>
        </w:tc>
        <w:tc>
          <w:tcPr>
            <w:tcW w:w="33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240" w:lineRule="auto"/>
              <w:ind w:right="220"/>
              <w:jc w:val="right"/>
              <w:rPr>
                <w:rFonts w:ascii="Times New Roman" w:hAnsi="Times New Roman"/>
                <w:sz w:val="24"/>
                <w:szCs w:val="24"/>
              </w:rPr>
            </w:pPr>
            <w:r>
              <w:rPr>
                <w:rFonts w:ascii="Times New Roman" w:hAnsi="Times New Roman"/>
                <w:sz w:val="16"/>
                <w:szCs w:val="16"/>
              </w:rPr>
              <w:t>Subset of fatal cases of overdose (N = 240)</w:t>
            </w:r>
          </w:p>
        </w:tc>
      </w:tr>
      <w:tr w:rsidR="002A4D1F">
        <w:tblPrEx>
          <w:tblCellMar>
            <w:top w:w="0" w:type="dxa"/>
            <w:left w:w="0" w:type="dxa"/>
            <w:bottom w:w="0" w:type="dxa"/>
            <w:right w:w="0" w:type="dxa"/>
          </w:tblCellMar>
        </w:tblPrEx>
        <w:trPr>
          <w:trHeight w:val="83"/>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4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162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162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166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166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r>
      <w:tr w:rsidR="002A4D1F">
        <w:tblPrEx>
          <w:tblCellMar>
            <w:top w:w="0" w:type="dxa"/>
            <w:left w:w="0" w:type="dxa"/>
            <w:bottom w:w="0" w:type="dxa"/>
            <w:right w:w="0" w:type="dxa"/>
          </w:tblCellMar>
        </w:tblPrEx>
        <w:trPr>
          <w:trHeight w:val="257"/>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4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ind w:right="360"/>
              <w:jc w:val="right"/>
              <w:rPr>
                <w:rFonts w:ascii="Times New Roman" w:hAnsi="Times New Roman"/>
                <w:sz w:val="24"/>
                <w:szCs w:val="24"/>
              </w:rPr>
            </w:pPr>
            <w:r>
              <w:rPr>
                <w:rFonts w:ascii="Times New Roman" w:hAnsi="Times New Roman"/>
                <w:sz w:val="16"/>
                <w:szCs w:val="16"/>
              </w:rPr>
              <w:t>Pre-reformulation</w:t>
            </w:r>
          </w:p>
        </w:tc>
        <w:tc>
          <w:tcPr>
            <w:tcW w:w="2460" w:type="dxa"/>
            <w:gridSpan w:val="2"/>
            <w:tcBorders>
              <w:top w:val="nil"/>
              <w:left w:val="nil"/>
              <w:bottom w:val="nil"/>
              <w:right w:val="nil"/>
            </w:tcBorders>
            <w:vAlign w:val="bottom"/>
          </w:tcPr>
          <w:p w:rsidR="002A4D1F" w:rsidRDefault="002A4D1F">
            <w:pPr>
              <w:widowControl w:val="0"/>
              <w:autoSpaceDE w:val="0"/>
              <w:autoSpaceDN w:val="0"/>
              <w:adjustRightInd w:val="0"/>
              <w:spacing w:after="0" w:line="240" w:lineRule="auto"/>
              <w:ind w:left="420"/>
              <w:rPr>
                <w:rFonts w:ascii="Times New Roman" w:hAnsi="Times New Roman"/>
                <w:sz w:val="24"/>
                <w:szCs w:val="24"/>
              </w:rPr>
            </w:pPr>
            <w:r>
              <w:rPr>
                <w:rFonts w:ascii="Times New Roman" w:hAnsi="Times New Roman"/>
                <w:sz w:val="16"/>
                <w:szCs w:val="16"/>
              </w:rPr>
              <w:t>Post-reformulation</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ind w:right="400"/>
              <w:jc w:val="right"/>
              <w:rPr>
                <w:rFonts w:ascii="Times New Roman" w:hAnsi="Times New Roman"/>
                <w:sz w:val="24"/>
                <w:szCs w:val="24"/>
              </w:rPr>
            </w:pPr>
            <w:r>
              <w:rPr>
                <w:rFonts w:ascii="Times New Roman" w:hAnsi="Times New Roman"/>
                <w:sz w:val="16"/>
                <w:szCs w:val="16"/>
              </w:rPr>
              <w:t>Pre-reformulation</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Post-reformulation</w:t>
            </w: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320"/>
              <w:jc w:val="right"/>
              <w:rPr>
                <w:rFonts w:ascii="Times New Roman" w:hAnsi="Times New Roman"/>
                <w:sz w:val="24"/>
                <w:szCs w:val="24"/>
              </w:rPr>
            </w:pPr>
            <w:r>
              <w:rPr>
                <w:rFonts w:ascii="Times New Roman" w:hAnsi="Times New Roman"/>
                <w:sz w:val="16"/>
                <w:szCs w:val="16"/>
              </w:rPr>
              <w:t>(3Q2009</w:t>
            </w:r>
            <w:r>
              <w:rPr>
                <w:rFonts w:ascii="Arial" w:hAnsi="Arial" w:cs="Arial"/>
                <w:sz w:val="16"/>
                <w:szCs w:val="16"/>
              </w:rPr>
              <w:t>–</w:t>
            </w:r>
            <w:r>
              <w:rPr>
                <w:rFonts w:ascii="Times New Roman" w:hAnsi="Times New Roman"/>
                <w:sz w:val="16"/>
                <w:szCs w:val="16"/>
              </w:rPr>
              <w:t>2Q2010)</w:t>
            </w:r>
          </w:p>
        </w:tc>
        <w:tc>
          <w:tcPr>
            <w:tcW w:w="246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420"/>
              <w:rPr>
                <w:rFonts w:ascii="Times New Roman" w:hAnsi="Times New Roman"/>
                <w:sz w:val="24"/>
                <w:szCs w:val="24"/>
              </w:rPr>
            </w:pPr>
            <w:r>
              <w:rPr>
                <w:rFonts w:ascii="Times New Roman" w:hAnsi="Times New Roman"/>
                <w:sz w:val="16"/>
                <w:szCs w:val="16"/>
              </w:rPr>
              <w:t>(3Q2010</w:t>
            </w:r>
            <w:r>
              <w:rPr>
                <w:rFonts w:ascii="Arial" w:hAnsi="Arial" w:cs="Arial"/>
                <w:sz w:val="16"/>
                <w:szCs w:val="16"/>
              </w:rPr>
              <w:t>–</w:t>
            </w:r>
            <w:r>
              <w:rPr>
                <w:rFonts w:ascii="Times New Roman" w:hAnsi="Times New Roman"/>
                <w:sz w:val="16"/>
                <w:szCs w:val="16"/>
              </w:rPr>
              <w:t>2Q2013)</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360"/>
              <w:jc w:val="right"/>
              <w:rPr>
                <w:rFonts w:ascii="Times New Roman" w:hAnsi="Times New Roman"/>
                <w:sz w:val="24"/>
                <w:szCs w:val="24"/>
              </w:rPr>
            </w:pPr>
            <w:r>
              <w:rPr>
                <w:rFonts w:ascii="Times New Roman" w:hAnsi="Times New Roman"/>
                <w:w w:val="97"/>
                <w:sz w:val="16"/>
                <w:szCs w:val="16"/>
              </w:rPr>
              <w:t>(3Q2009</w:t>
            </w:r>
            <w:r>
              <w:rPr>
                <w:rFonts w:ascii="Arial" w:hAnsi="Arial" w:cs="Arial"/>
                <w:w w:val="97"/>
                <w:sz w:val="16"/>
                <w:szCs w:val="16"/>
              </w:rPr>
              <w:t>–</w:t>
            </w:r>
            <w:r>
              <w:rPr>
                <w:rFonts w:ascii="Times New Roman" w:hAnsi="Times New Roman"/>
                <w:w w:val="97"/>
                <w:sz w:val="16"/>
                <w:szCs w:val="16"/>
              </w:rPr>
              <w:t>2Q2010)</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jc w:val="right"/>
              <w:rPr>
                <w:rFonts w:ascii="Times New Roman" w:hAnsi="Times New Roman"/>
                <w:sz w:val="24"/>
                <w:szCs w:val="24"/>
              </w:rPr>
            </w:pPr>
            <w:r>
              <w:rPr>
                <w:rFonts w:ascii="Times New Roman" w:hAnsi="Times New Roman"/>
                <w:sz w:val="16"/>
                <w:szCs w:val="16"/>
              </w:rPr>
              <w:t>(3Q2010</w:t>
            </w:r>
            <w:r>
              <w:rPr>
                <w:rFonts w:ascii="Arial" w:hAnsi="Arial" w:cs="Arial"/>
                <w:sz w:val="16"/>
                <w:szCs w:val="16"/>
              </w:rPr>
              <w:t>–</w:t>
            </w:r>
            <w:r>
              <w:rPr>
                <w:rFonts w:ascii="Times New Roman" w:hAnsi="Times New Roman"/>
                <w:sz w:val="16"/>
                <w:szCs w:val="16"/>
              </w:rPr>
              <w:t>2Q2013)</w:t>
            </w:r>
          </w:p>
        </w:tc>
      </w:tr>
      <w:tr w:rsidR="002A4D1F">
        <w:tblPrEx>
          <w:tblCellMar>
            <w:top w:w="0" w:type="dxa"/>
            <w:left w:w="0" w:type="dxa"/>
            <w:bottom w:w="0" w:type="dxa"/>
            <w:right w:w="0" w:type="dxa"/>
          </w:tblCellMar>
        </w:tblPrEx>
        <w:trPr>
          <w:trHeight w:val="83"/>
        </w:trPr>
        <w:tc>
          <w:tcPr>
            <w:tcW w:w="220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40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162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162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84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166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166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r>
      <w:tr w:rsidR="002A4D1F">
        <w:tblPrEx>
          <w:tblCellMar>
            <w:top w:w="0" w:type="dxa"/>
            <w:left w:w="0" w:type="dxa"/>
            <w:bottom w:w="0" w:type="dxa"/>
            <w:right w:w="0" w:type="dxa"/>
          </w:tblCellMar>
        </w:tblPrEx>
        <w:trPr>
          <w:trHeight w:val="257"/>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Fatality reports</w:t>
            </w:r>
          </w:p>
        </w:tc>
        <w:tc>
          <w:tcPr>
            <w:tcW w:w="4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Total (N)</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820"/>
              <w:jc w:val="right"/>
              <w:rPr>
                <w:rFonts w:ascii="Times New Roman" w:hAnsi="Times New Roman"/>
                <w:sz w:val="24"/>
                <w:szCs w:val="24"/>
              </w:rPr>
            </w:pPr>
            <w:r>
              <w:rPr>
                <w:rFonts w:ascii="Times New Roman" w:hAnsi="Times New Roman"/>
                <w:sz w:val="16"/>
                <w:szCs w:val="16"/>
              </w:rPr>
              <w:t>131</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400"/>
              <w:jc w:val="right"/>
              <w:rPr>
                <w:rFonts w:ascii="Times New Roman" w:hAnsi="Times New Roman"/>
                <w:sz w:val="24"/>
                <w:szCs w:val="24"/>
              </w:rPr>
            </w:pPr>
            <w:r>
              <w:rPr>
                <w:rFonts w:ascii="Times New Roman" w:hAnsi="Times New Roman"/>
                <w:sz w:val="16"/>
                <w:szCs w:val="16"/>
              </w:rPr>
              <w:t>195</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840"/>
              <w:jc w:val="right"/>
              <w:rPr>
                <w:rFonts w:ascii="Times New Roman" w:hAnsi="Times New Roman"/>
                <w:sz w:val="24"/>
                <w:szCs w:val="24"/>
              </w:rPr>
            </w:pPr>
            <w:r>
              <w:rPr>
                <w:rFonts w:ascii="Times New Roman" w:hAnsi="Times New Roman"/>
                <w:sz w:val="16"/>
                <w:szCs w:val="16"/>
              </w:rPr>
              <w:t>104</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420"/>
              <w:jc w:val="right"/>
              <w:rPr>
                <w:rFonts w:ascii="Times New Roman" w:hAnsi="Times New Roman"/>
                <w:sz w:val="24"/>
                <w:szCs w:val="24"/>
              </w:rPr>
            </w:pPr>
            <w:r>
              <w:rPr>
                <w:rFonts w:ascii="Times New Roman" w:hAnsi="Times New Roman"/>
                <w:sz w:val="16"/>
                <w:szCs w:val="16"/>
              </w:rPr>
              <w:t>136</w:t>
            </w: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Gender</w:t>
            </w:r>
          </w:p>
        </w:tc>
        <w:tc>
          <w:tcPr>
            <w:tcW w:w="4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Male</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80"/>
              <w:jc w:val="right"/>
              <w:rPr>
                <w:rFonts w:ascii="Times New Roman" w:hAnsi="Times New Roman"/>
                <w:sz w:val="24"/>
                <w:szCs w:val="24"/>
              </w:rPr>
            </w:pPr>
            <w:r>
              <w:rPr>
                <w:rFonts w:ascii="Times New Roman" w:hAnsi="Times New Roman"/>
                <w:sz w:val="16"/>
                <w:szCs w:val="16"/>
              </w:rPr>
              <w:t>63%</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66%</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720"/>
              <w:jc w:val="right"/>
              <w:rPr>
                <w:rFonts w:ascii="Times New Roman" w:hAnsi="Times New Roman"/>
                <w:sz w:val="24"/>
                <w:szCs w:val="24"/>
              </w:rPr>
            </w:pPr>
            <w:r>
              <w:rPr>
                <w:rFonts w:ascii="Times New Roman" w:hAnsi="Times New Roman"/>
                <w:sz w:val="16"/>
                <w:szCs w:val="16"/>
              </w:rPr>
              <w:t>65%</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68%</w:t>
            </w:r>
          </w:p>
        </w:tc>
      </w:tr>
      <w:tr w:rsidR="002A4D1F">
        <w:tblPrEx>
          <w:tblCellMar>
            <w:top w:w="0" w:type="dxa"/>
            <w:left w:w="0" w:type="dxa"/>
            <w:bottom w:w="0" w:type="dxa"/>
            <w:right w:w="0" w:type="dxa"/>
          </w:tblCellMar>
        </w:tblPrEx>
        <w:trPr>
          <w:trHeight w:val="179"/>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left="160"/>
              <w:rPr>
                <w:rFonts w:ascii="Times New Roman" w:hAnsi="Times New Roman"/>
                <w:sz w:val="24"/>
                <w:szCs w:val="24"/>
              </w:rPr>
            </w:pPr>
            <w:r>
              <w:rPr>
                <w:rFonts w:ascii="Times New Roman" w:hAnsi="Times New Roman"/>
                <w:sz w:val="16"/>
                <w:szCs w:val="16"/>
              </w:rPr>
              <w:t>Female</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680"/>
              <w:jc w:val="right"/>
              <w:rPr>
                <w:rFonts w:ascii="Times New Roman" w:hAnsi="Times New Roman"/>
                <w:sz w:val="24"/>
                <w:szCs w:val="24"/>
              </w:rPr>
            </w:pPr>
            <w:r>
              <w:rPr>
                <w:rFonts w:ascii="Times New Roman" w:hAnsi="Times New Roman"/>
                <w:sz w:val="16"/>
                <w:szCs w:val="16"/>
              </w:rPr>
              <w:t>37%</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280"/>
              <w:jc w:val="right"/>
              <w:rPr>
                <w:rFonts w:ascii="Times New Roman" w:hAnsi="Times New Roman"/>
                <w:sz w:val="24"/>
                <w:szCs w:val="24"/>
              </w:rPr>
            </w:pPr>
            <w:r>
              <w:rPr>
                <w:rFonts w:ascii="Times New Roman" w:hAnsi="Times New Roman"/>
                <w:sz w:val="16"/>
                <w:szCs w:val="16"/>
              </w:rPr>
              <w:t>33%</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720"/>
              <w:jc w:val="right"/>
              <w:rPr>
                <w:rFonts w:ascii="Times New Roman" w:hAnsi="Times New Roman"/>
                <w:sz w:val="24"/>
                <w:szCs w:val="24"/>
              </w:rPr>
            </w:pPr>
            <w:r>
              <w:rPr>
                <w:rFonts w:ascii="Times New Roman" w:hAnsi="Times New Roman"/>
                <w:sz w:val="16"/>
                <w:szCs w:val="16"/>
              </w:rPr>
              <w:t>35%</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280"/>
              <w:jc w:val="right"/>
              <w:rPr>
                <w:rFonts w:ascii="Times New Roman" w:hAnsi="Times New Roman"/>
                <w:sz w:val="24"/>
                <w:szCs w:val="24"/>
              </w:rPr>
            </w:pPr>
            <w:r>
              <w:rPr>
                <w:rFonts w:ascii="Times New Roman" w:hAnsi="Times New Roman"/>
                <w:sz w:val="16"/>
                <w:szCs w:val="16"/>
              </w:rPr>
              <w:t>32%</w:t>
            </w: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Unknown</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80"/>
              <w:jc w:val="right"/>
              <w:rPr>
                <w:rFonts w:ascii="Times New Roman" w:hAnsi="Times New Roman"/>
                <w:sz w:val="24"/>
                <w:szCs w:val="24"/>
              </w:rPr>
            </w:pPr>
            <w:r>
              <w:rPr>
                <w:rFonts w:ascii="Times New Roman" w:hAnsi="Times New Roman"/>
                <w:sz w:val="16"/>
                <w:szCs w:val="16"/>
              </w:rPr>
              <w:t>0%</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1%</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720"/>
              <w:jc w:val="right"/>
              <w:rPr>
                <w:rFonts w:ascii="Times New Roman" w:hAnsi="Times New Roman"/>
                <w:sz w:val="24"/>
                <w:szCs w:val="24"/>
              </w:rPr>
            </w:pPr>
            <w:r>
              <w:rPr>
                <w:rFonts w:ascii="Times New Roman" w:hAnsi="Times New Roman"/>
                <w:sz w:val="16"/>
                <w:szCs w:val="16"/>
              </w:rPr>
              <w:t>0%</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300"/>
              <w:jc w:val="right"/>
              <w:rPr>
                <w:rFonts w:ascii="Times New Roman" w:hAnsi="Times New Roman"/>
                <w:sz w:val="24"/>
                <w:szCs w:val="24"/>
              </w:rPr>
            </w:pPr>
            <w:r>
              <w:rPr>
                <w:rFonts w:ascii="Times New Roman" w:hAnsi="Times New Roman"/>
                <w:sz w:val="16"/>
                <w:szCs w:val="16"/>
              </w:rPr>
              <w:t>1%</w:t>
            </w: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Age distribution</w:t>
            </w:r>
          </w:p>
        </w:tc>
        <w:tc>
          <w:tcPr>
            <w:tcW w:w="4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r>
      <w:tr w:rsidR="002A4D1F">
        <w:tblPrEx>
          <w:tblCellMar>
            <w:top w:w="0" w:type="dxa"/>
            <w:left w:w="0" w:type="dxa"/>
            <w:bottom w:w="0" w:type="dxa"/>
            <w:right w:w="0" w:type="dxa"/>
          </w:tblCellMar>
        </w:tblPrEx>
        <w:trPr>
          <w:trHeight w:val="186"/>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ind w:left="160"/>
              <w:rPr>
                <w:rFonts w:ascii="Times New Roman" w:hAnsi="Times New Roman"/>
                <w:sz w:val="24"/>
                <w:szCs w:val="24"/>
              </w:rPr>
            </w:pPr>
            <w:r>
              <w:rPr>
                <w:rFonts w:ascii="Arial" w:hAnsi="Arial" w:cs="Arial"/>
                <w:sz w:val="16"/>
                <w:szCs w:val="16"/>
              </w:rPr>
              <w:t>&lt;</w:t>
            </w:r>
            <w:r>
              <w:rPr>
                <w:rFonts w:ascii="Times New Roman" w:hAnsi="Times New Roman"/>
                <w:sz w:val="16"/>
                <w:szCs w:val="16"/>
              </w:rPr>
              <w:t>13 years</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80"/>
              <w:jc w:val="right"/>
              <w:rPr>
                <w:rFonts w:ascii="Times New Roman" w:hAnsi="Times New Roman"/>
                <w:sz w:val="24"/>
                <w:szCs w:val="24"/>
              </w:rPr>
            </w:pPr>
            <w:r>
              <w:rPr>
                <w:rFonts w:ascii="Times New Roman" w:hAnsi="Times New Roman"/>
                <w:sz w:val="16"/>
                <w:szCs w:val="16"/>
              </w:rPr>
              <w:t>2%</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6%</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720"/>
              <w:jc w:val="right"/>
              <w:rPr>
                <w:rFonts w:ascii="Times New Roman" w:hAnsi="Times New Roman"/>
                <w:sz w:val="24"/>
                <w:szCs w:val="24"/>
              </w:rPr>
            </w:pPr>
            <w:r>
              <w:rPr>
                <w:rFonts w:ascii="Times New Roman" w:hAnsi="Times New Roman"/>
                <w:sz w:val="16"/>
                <w:szCs w:val="16"/>
              </w:rPr>
              <w:t>3%</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300"/>
              <w:jc w:val="right"/>
              <w:rPr>
                <w:rFonts w:ascii="Times New Roman" w:hAnsi="Times New Roman"/>
                <w:sz w:val="24"/>
                <w:szCs w:val="24"/>
              </w:rPr>
            </w:pPr>
            <w:r>
              <w:rPr>
                <w:rFonts w:ascii="Times New Roman" w:hAnsi="Times New Roman"/>
                <w:sz w:val="16"/>
                <w:szCs w:val="16"/>
              </w:rPr>
              <w:t>7%</w:t>
            </w:r>
          </w:p>
        </w:tc>
      </w:tr>
      <w:tr w:rsidR="002A4D1F">
        <w:tblPrEx>
          <w:tblCellMar>
            <w:top w:w="0" w:type="dxa"/>
            <w:left w:w="0" w:type="dxa"/>
            <w:bottom w:w="0" w:type="dxa"/>
            <w:right w:w="0" w:type="dxa"/>
          </w:tblCellMar>
        </w:tblPrEx>
        <w:trPr>
          <w:trHeight w:val="179"/>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left="160"/>
              <w:rPr>
                <w:rFonts w:ascii="Times New Roman" w:hAnsi="Times New Roman"/>
                <w:sz w:val="24"/>
                <w:szCs w:val="24"/>
              </w:rPr>
            </w:pPr>
            <w:r>
              <w:rPr>
                <w:rFonts w:ascii="Times New Roman" w:hAnsi="Times New Roman"/>
                <w:sz w:val="16"/>
                <w:szCs w:val="16"/>
              </w:rPr>
              <w:t xml:space="preserve">13 to </w:t>
            </w:r>
            <w:r>
              <w:rPr>
                <w:rFonts w:ascii="Arial" w:hAnsi="Arial" w:cs="Arial"/>
                <w:sz w:val="16"/>
                <w:szCs w:val="16"/>
              </w:rPr>
              <w:t>&lt;</w:t>
            </w:r>
            <w:r>
              <w:rPr>
                <w:rFonts w:ascii="Times New Roman" w:hAnsi="Times New Roman"/>
                <w:sz w:val="16"/>
                <w:szCs w:val="16"/>
              </w:rPr>
              <w:t>18 years</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80"/>
              <w:jc w:val="right"/>
              <w:rPr>
                <w:rFonts w:ascii="Times New Roman" w:hAnsi="Times New Roman"/>
                <w:sz w:val="24"/>
                <w:szCs w:val="24"/>
              </w:rPr>
            </w:pPr>
            <w:r>
              <w:rPr>
                <w:rFonts w:ascii="Times New Roman" w:hAnsi="Times New Roman"/>
                <w:sz w:val="16"/>
                <w:szCs w:val="16"/>
              </w:rPr>
              <w:t>5%</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80"/>
              <w:jc w:val="right"/>
              <w:rPr>
                <w:rFonts w:ascii="Times New Roman" w:hAnsi="Times New Roman"/>
                <w:sz w:val="24"/>
                <w:szCs w:val="24"/>
              </w:rPr>
            </w:pPr>
            <w:r>
              <w:rPr>
                <w:rFonts w:ascii="Times New Roman" w:hAnsi="Times New Roman"/>
                <w:sz w:val="16"/>
                <w:szCs w:val="16"/>
              </w:rPr>
              <w:t>6%</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720"/>
              <w:jc w:val="right"/>
              <w:rPr>
                <w:rFonts w:ascii="Times New Roman" w:hAnsi="Times New Roman"/>
                <w:sz w:val="24"/>
                <w:szCs w:val="24"/>
              </w:rPr>
            </w:pPr>
            <w:r>
              <w:rPr>
                <w:rFonts w:ascii="Times New Roman" w:hAnsi="Times New Roman"/>
                <w:sz w:val="16"/>
                <w:szCs w:val="16"/>
              </w:rPr>
              <w:t>6%</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300"/>
              <w:jc w:val="right"/>
              <w:rPr>
                <w:rFonts w:ascii="Times New Roman" w:hAnsi="Times New Roman"/>
                <w:sz w:val="24"/>
                <w:szCs w:val="24"/>
              </w:rPr>
            </w:pPr>
            <w:r>
              <w:rPr>
                <w:rFonts w:ascii="Times New Roman" w:hAnsi="Times New Roman"/>
                <w:sz w:val="16"/>
                <w:szCs w:val="16"/>
              </w:rPr>
              <w:t>9%</w:t>
            </w: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 xml:space="preserve">18 to </w:t>
            </w:r>
            <w:r>
              <w:rPr>
                <w:rFonts w:ascii="Arial" w:hAnsi="Arial" w:cs="Arial"/>
                <w:sz w:val="16"/>
                <w:szCs w:val="16"/>
              </w:rPr>
              <w:t>&lt;</w:t>
            </w:r>
            <w:r>
              <w:rPr>
                <w:rFonts w:ascii="Times New Roman" w:hAnsi="Times New Roman"/>
                <w:sz w:val="16"/>
                <w:szCs w:val="16"/>
              </w:rPr>
              <w:t>65 years</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4" w:lineRule="exact"/>
              <w:ind w:right="680"/>
              <w:jc w:val="right"/>
              <w:rPr>
                <w:rFonts w:ascii="Times New Roman" w:hAnsi="Times New Roman"/>
                <w:sz w:val="24"/>
                <w:szCs w:val="24"/>
              </w:rPr>
            </w:pPr>
            <w:r>
              <w:rPr>
                <w:rFonts w:ascii="Times New Roman" w:hAnsi="Times New Roman"/>
                <w:sz w:val="16"/>
                <w:szCs w:val="16"/>
              </w:rPr>
              <w:t>69%</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74" w:lineRule="exact"/>
              <w:ind w:right="280"/>
              <w:jc w:val="right"/>
              <w:rPr>
                <w:rFonts w:ascii="Times New Roman" w:hAnsi="Times New Roman"/>
                <w:sz w:val="24"/>
                <w:szCs w:val="24"/>
              </w:rPr>
            </w:pPr>
            <w:r>
              <w:rPr>
                <w:rFonts w:ascii="Times New Roman" w:hAnsi="Times New Roman"/>
                <w:sz w:val="16"/>
                <w:szCs w:val="16"/>
              </w:rPr>
              <w:t>68%</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74" w:lineRule="exact"/>
              <w:ind w:right="720"/>
              <w:jc w:val="right"/>
              <w:rPr>
                <w:rFonts w:ascii="Times New Roman" w:hAnsi="Times New Roman"/>
                <w:sz w:val="24"/>
                <w:szCs w:val="24"/>
              </w:rPr>
            </w:pPr>
            <w:r>
              <w:rPr>
                <w:rFonts w:ascii="Times New Roman" w:hAnsi="Times New Roman"/>
                <w:sz w:val="16"/>
                <w:szCs w:val="16"/>
              </w:rPr>
              <w:t>77%</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74" w:lineRule="exact"/>
              <w:ind w:right="280"/>
              <w:jc w:val="right"/>
              <w:rPr>
                <w:rFonts w:ascii="Times New Roman" w:hAnsi="Times New Roman"/>
                <w:sz w:val="24"/>
                <w:szCs w:val="24"/>
              </w:rPr>
            </w:pPr>
            <w:r>
              <w:rPr>
                <w:rFonts w:ascii="Times New Roman" w:hAnsi="Times New Roman"/>
                <w:sz w:val="16"/>
                <w:szCs w:val="16"/>
              </w:rPr>
              <w:t>71%</w:t>
            </w:r>
          </w:p>
        </w:tc>
      </w:tr>
      <w:tr w:rsidR="002A4D1F">
        <w:tblPrEx>
          <w:tblCellMar>
            <w:top w:w="0" w:type="dxa"/>
            <w:left w:w="0" w:type="dxa"/>
            <w:bottom w:w="0" w:type="dxa"/>
            <w:right w:w="0" w:type="dxa"/>
          </w:tblCellMar>
        </w:tblPrEx>
        <w:trPr>
          <w:trHeight w:val="174"/>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74" w:lineRule="exact"/>
              <w:ind w:left="160"/>
              <w:rPr>
                <w:rFonts w:ascii="Times New Roman" w:hAnsi="Times New Roman"/>
                <w:sz w:val="24"/>
                <w:szCs w:val="24"/>
              </w:rPr>
            </w:pPr>
            <w:r>
              <w:rPr>
                <w:rFonts w:ascii="Times New Roman" w:hAnsi="Times New Roman"/>
                <w:sz w:val="16"/>
                <w:szCs w:val="16"/>
              </w:rPr>
              <w:t>65 years or older</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4" w:lineRule="exact"/>
              <w:ind w:right="680"/>
              <w:jc w:val="right"/>
              <w:rPr>
                <w:rFonts w:ascii="Times New Roman" w:hAnsi="Times New Roman"/>
                <w:sz w:val="24"/>
                <w:szCs w:val="24"/>
              </w:rPr>
            </w:pPr>
            <w:r>
              <w:rPr>
                <w:rFonts w:ascii="Times New Roman" w:hAnsi="Times New Roman"/>
                <w:sz w:val="16"/>
                <w:szCs w:val="16"/>
              </w:rPr>
              <w:t>6%</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74" w:lineRule="exact"/>
              <w:ind w:right="280"/>
              <w:jc w:val="right"/>
              <w:rPr>
                <w:rFonts w:ascii="Times New Roman" w:hAnsi="Times New Roman"/>
                <w:sz w:val="24"/>
                <w:szCs w:val="24"/>
              </w:rPr>
            </w:pPr>
            <w:r>
              <w:rPr>
                <w:rFonts w:ascii="Times New Roman" w:hAnsi="Times New Roman"/>
                <w:sz w:val="16"/>
                <w:szCs w:val="16"/>
              </w:rPr>
              <w:t>3%</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74" w:lineRule="exact"/>
              <w:ind w:right="720"/>
              <w:jc w:val="right"/>
              <w:rPr>
                <w:rFonts w:ascii="Times New Roman" w:hAnsi="Times New Roman"/>
                <w:sz w:val="24"/>
                <w:szCs w:val="24"/>
              </w:rPr>
            </w:pPr>
            <w:r>
              <w:rPr>
                <w:rFonts w:ascii="Times New Roman" w:hAnsi="Times New Roman"/>
                <w:sz w:val="16"/>
                <w:szCs w:val="16"/>
              </w:rPr>
              <w:t>3%</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74" w:lineRule="exact"/>
              <w:ind w:right="300"/>
              <w:jc w:val="right"/>
              <w:rPr>
                <w:rFonts w:ascii="Times New Roman" w:hAnsi="Times New Roman"/>
                <w:sz w:val="24"/>
                <w:szCs w:val="24"/>
              </w:rPr>
            </w:pPr>
            <w:r>
              <w:rPr>
                <w:rFonts w:ascii="Times New Roman" w:hAnsi="Times New Roman"/>
                <w:sz w:val="16"/>
                <w:szCs w:val="16"/>
              </w:rPr>
              <w:t>1%</w:t>
            </w: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Unknown</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80"/>
              <w:jc w:val="right"/>
              <w:rPr>
                <w:rFonts w:ascii="Times New Roman" w:hAnsi="Times New Roman"/>
                <w:sz w:val="24"/>
                <w:szCs w:val="24"/>
              </w:rPr>
            </w:pPr>
            <w:r>
              <w:rPr>
                <w:rFonts w:ascii="Times New Roman" w:hAnsi="Times New Roman"/>
                <w:sz w:val="16"/>
                <w:szCs w:val="16"/>
              </w:rPr>
              <w:t>18%</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17%</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720"/>
              <w:jc w:val="right"/>
              <w:rPr>
                <w:rFonts w:ascii="Times New Roman" w:hAnsi="Times New Roman"/>
                <w:sz w:val="24"/>
                <w:szCs w:val="24"/>
              </w:rPr>
            </w:pPr>
            <w:r>
              <w:rPr>
                <w:rFonts w:ascii="Times New Roman" w:hAnsi="Times New Roman"/>
                <w:sz w:val="16"/>
                <w:szCs w:val="16"/>
              </w:rPr>
              <w:t>12%</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13%</w:t>
            </w:r>
          </w:p>
        </w:tc>
      </w:tr>
      <w:tr w:rsidR="002A4D1F">
        <w:tblPrEx>
          <w:tblCellMar>
            <w:top w:w="0" w:type="dxa"/>
            <w:left w:w="0" w:type="dxa"/>
            <w:bottom w:w="0" w:type="dxa"/>
            <w:right w:w="0" w:type="dxa"/>
          </w:tblCellMar>
        </w:tblPrEx>
        <w:trPr>
          <w:trHeight w:val="179"/>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rPr>
                <w:rFonts w:ascii="Times New Roman" w:hAnsi="Times New Roman"/>
                <w:sz w:val="24"/>
                <w:szCs w:val="24"/>
              </w:rPr>
            </w:pPr>
            <w:r>
              <w:rPr>
                <w:rFonts w:ascii="Times New Roman" w:hAnsi="Times New Roman"/>
                <w:sz w:val="16"/>
                <w:szCs w:val="16"/>
              </w:rPr>
              <w:t>Reporter type</w:t>
            </w:r>
          </w:p>
        </w:tc>
        <w:tc>
          <w:tcPr>
            <w:tcW w:w="4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Health care professional</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80"/>
              <w:jc w:val="right"/>
              <w:rPr>
                <w:rFonts w:ascii="Times New Roman" w:hAnsi="Times New Roman"/>
                <w:sz w:val="24"/>
                <w:szCs w:val="24"/>
              </w:rPr>
            </w:pPr>
            <w:r>
              <w:rPr>
                <w:rFonts w:ascii="Times New Roman" w:hAnsi="Times New Roman"/>
                <w:sz w:val="16"/>
                <w:szCs w:val="16"/>
              </w:rPr>
              <w:t>60%</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50%</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720"/>
              <w:jc w:val="right"/>
              <w:rPr>
                <w:rFonts w:ascii="Times New Roman" w:hAnsi="Times New Roman"/>
                <w:sz w:val="24"/>
                <w:szCs w:val="24"/>
              </w:rPr>
            </w:pPr>
            <w:r>
              <w:rPr>
                <w:rFonts w:ascii="Times New Roman" w:hAnsi="Times New Roman"/>
                <w:sz w:val="16"/>
                <w:szCs w:val="16"/>
              </w:rPr>
              <w:t>61%</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54%</w:t>
            </w: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Other</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80"/>
              <w:jc w:val="right"/>
              <w:rPr>
                <w:rFonts w:ascii="Times New Roman" w:hAnsi="Times New Roman"/>
                <w:sz w:val="24"/>
                <w:szCs w:val="24"/>
              </w:rPr>
            </w:pPr>
            <w:r>
              <w:rPr>
                <w:rFonts w:ascii="Times New Roman" w:hAnsi="Times New Roman"/>
                <w:sz w:val="16"/>
                <w:szCs w:val="16"/>
              </w:rPr>
              <w:t>40%</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50%</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720"/>
              <w:jc w:val="right"/>
              <w:rPr>
                <w:rFonts w:ascii="Times New Roman" w:hAnsi="Times New Roman"/>
                <w:sz w:val="24"/>
                <w:szCs w:val="24"/>
              </w:rPr>
            </w:pPr>
            <w:r>
              <w:rPr>
                <w:rFonts w:ascii="Times New Roman" w:hAnsi="Times New Roman"/>
                <w:sz w:val="16"/>
                <w:szCs w:val="16"/>
              </w:rPr>
              <w:t>39%</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46%</w:t>
            </w: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Reporter region</w:t>
            </w:r>
          </w:p>
        </w:tc>
        <w:tc>
          <w:tcPr>
            <w:tcW w:w="4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r>
      <w:tr w:rsidR="002A4D1F">
        <w:tblPrEx>
          <w:tblCellMar>
            <w:top w:w="0" w:type="dxa"/>
            <w:left w:w="0" w:type="dxa"/>
            <w:bottom w:w="0" w:type="dxa"/>
            <w:right w:w="0" w:type="dxa"/>
          </w:tblCellMar>
        </w:tblPrEx>
        <w:trPr>
          <w:trHeight w:val="179"/>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left="160"/>
              <w:rPr>
                <w:rFonts w:ascii="Times New Roman" w:hAnsi="Times New Roman"/>
                <w:sz w:val="24"/>
                <w:szCs w:val="24"/>
              </w:rPr>
            </w:pPr>
            <w:r>
              <w:rPr>
                <w:rFonts w:ascii="Times New Roman" w:hAnsi="Times New Roman"/>
                <w:sz w:val="16"/>
                <w:szCs w:val="16"/>
              </w:rPr>
              <w:t>Northeast</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680"/>
              <w:jc w:val="right"/>
              <w:rPr>
                <w:rFonts w:ascii="Times New Roman" w:hAnsi="Times New Roman"/>
                <w:sz w:val="24"/>
                <w:szCs w:val="24"/>
              </w:rPr>
            </w:pPr>
            <w:r>
              <w:rPr>
                <w:rFonts w:ascii="Times New Roman" w:hAnsi="Times New Roman"/>
                <w:sz w:val="16"/>
                <w:szCs w:val="16"/>
              </w:rPr>
              <w:t>17%</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280"/>
              <w:jc w:val="right"/>
              <w:rPr>
                <w:rFonts w:ascii="Times New Roman" w:hAnsi="Times New Roman"/>
                <w:sz w:val="24"/>
                <w:szCs w:val="24"/>
              </w:rPr>
            </w:pPr>
            <w:r>
              <w:rPr>
                <w:rFonts w:ascii="Times New Roman" w:hAnsi="Times New Roman"/>
                <w:sz w:val="16"/>
                <w:szCs w:val="16"/>
              </w:rPr>
              <w:t>20%</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720"/>
              <w:jc w:val="right"/>
              <w:rPr>
                <w:rFonts w:ascii="Times New Roman" w:hAnsi="Times New Roman"/>
                <w:sz w:val="24"/>
                <w:szCs w:val="24"/>
              </w:rPr>
            </w:pPr>
            <w:r>
              <w:rPr>
                <w:rFonts w:ascii="Times New Roman" w:hAnsi="Times New Roman"/>
                <w:sz w:val="16"/>
                <w:szCs w:val="16"/>
              </w:rPr>
              <w:t>15%</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280"/>
              <w:jc w:val="right"/>
              <w:rPr>
                <w:rFonts w:ascii="Times New Roman" w:hAnsi="Times New Roman"/>
                <w:sz w:val="24"/>
                <w:szCs w:val="24"/>
              </w:rPr>
            </w:pPr>
            <w:r>
              <w:rPr>
                <w:rFonts w:ascii="Times New Roman" w:hAnsi="Times New Roman"/>
                <w:sz w:val="16"/>
                <w:szCs w:val="16"/>
              </w:rPr>
              <w:t>18%</w:t>
            </w: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Midwest</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80"/>
              <w:jc w:val="right"/>
              <w:rPr>
                <w:rFonts w:ascii="Times New Roman" w:hAnsi="Times New Roman"/>
                <w:sz w:val="24"/>
                <w:szCs w:val="24"/>
              </w:rPr>
            </w:pPr>
            <w:r>
              <w:rPr>
                <w:rFonts w:ascii="Times New Roman" w:hAnsi="Times New Roman"/>
                <w:sz w:val="16"/>
                <w:szCs w:val="16"/>
              </w:rPr>
              <w:t>16%</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19%</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720"/>
              <w:jc w:val="right"/>
              <w:rPr>
                <w:rFonts w:ascii="Times New Roman" w:hAnsi="Times New Roman"/>
                <w:sz w:val="24"/>
                <w:szCs w:val="24"/>
              </w:rPr>
            </w:pPr>
            <w:r>
              <w:rPr>
                <w:rFonts w:ascii="Times New Roman" w:hAnsi="Times New Roman"/>
                <w:sz w:val="16"/>
                <w:szCs w:val="16"/>
              </w:rPr>
              <w:t>17%</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20%</w:t>
            </w: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South</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80"/>
              <w:jc w:val="right"/>
              <w:rPr>
                <w:rFonts w:ascii="Times New Roman" w:hAnsi="Times New Roman"/>
                <w:sz w:val="24"/>
                <w:szCs w:val="24"/>
              </w:rPr>
            </w:pPr>
            <w:r>
              <w:rPr>
                <w:rFonts w:ascii="Times New Roman" w:hAnsi="Times New Roman"/>
                <w:sz w:val="16"/>
                <w:szCs w:val="16"/>
              </w:rPr>
              <w:t>39%</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30%</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720"/>
              <w:jc w:val="right"/>
              <w:rPr>
                <w:rFonts w:ascii="Times New Roman" w:hAnsi="Times New Roman"/>
                <w:sz w:val="24"/>
                <w:szCs w:val="24"/>
              </w:rPr>
            </w:pPr>
            <w:r>
              <w:rPr>
                <w:rFonts w:ascii="Times New Roman" w:hAnsi="Times New Roman"/>
                <w:sz w:val="16"/>
                <w:szCs w:val="16"/>
              </w:rPr>
              <w:t>40%</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29%</w:t>
            </w: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West</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80"/>
              <w:jc w:val="right"/>
              <w:rPr>
                <w:rFonts w:ascii="Times New Roman" w:hAnsi="Times New Roman"/>
                <w:sz w:val="24"/>
                <w:szCs w:val="24"/>
              </w:rPr>
            </w:pPr>
            <w:r>
              <w:rPr>
                <w:rFonts w:ascii="Times New Roman" w:hAnsi="Times New Roman"/>
                <w:sz w:val="16"/>
                <w:szCs w:val="16"/>
              </w:rPr>
              <w:t>18%</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17%</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720"/>
              <w:jc w:val="right"/>
              <w:rPr>
                <w:rFonts w:ascii="Times New Roman" w:hAnsi="Times New Roman"/>
                <w:sz w:val="24"/>
                <w:szCs w:val="24"/>
              </w:rPr>
            </w:pPr>
            <w:r>
              <w:rPr>
                <w:rFonts w:ascii="Times New Roman" w:hAnsi="Times New Roman"/>
                <w:sz w:val="16"/>
                <w:szCs w:val="16"/>
              </w:rPr>
              <w:t>18%</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18%</w:t>
            </w:r>
          </w:p>
        </w:tc>
      </w:tr>
      <w:tr w:rsidR="002A4D1F">
        <w:tblPrEx>
          <w:tblCellMar>
            <w:top w:w="0" w:type="dxa"/>
            <w:left w:w="0" w:type="dxa"/>
            <w:bottom w:w="0" w:type="dxa"/>
            <w:right w:w="0" w:type="dxa"/>
          </w:tblCellMar>
        </w:tblPrEx>
        <w:trPr>
          <w:trHeight w:val="179"/>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left="160"/>
              <w:rPr>
                <w:rFonts w:ascii="Times New Roman" w:hAnsi="Times New Roman"/>
                <w:sz w:val="24"/>
                <w:szCs w:val="24"/>
              </w:rPr>
            </w:pPr>
            <w:r>
              <w:rPr>
                <w:rFonts w:ascii="Times New Roman" w:hAnsi="Times New Roman"/>
                <w:sz w:val="16"/>
                <w:szCs w:val="16"/>
              </w:rPr>
              <w:t>Not reported (missing)</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680"/>
              <w:jc w:val="right"/>
              <w:rPr>
                <w:rFonts w:ascii="Times New Roman" w:hAnsi="Times New Roman"/>
                <w:sz w:val="24"/>
                <w:szCs w:val="24"/>
              </w:rPr>
            </w:pPr>
            <w:r>
              <w:rPr>
                <w:rFonts w:ascii="Times New Roman" w:hAnsi="Times New Roman"/>
                <w:sz w:val="16"/>
                <w:szCs w:val="16"/>
              </w:rPr>
              <w:t>10%</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280"/>
              <w:jc w:val="right"/>
              <w:rPr>
                <w:rFonts w:ascii="Times New Roman" w:hAnsi="Times New Roman"/>
                <w:sz w:val="24"/>
                <w:szCs w:val="24"/>
              </w:rPr>
            </w:pPr>
            <w:r>
              <w:rPr>
                <w:rFonts w:ascii="Times New Roman" w:hAnsi="Times New Roman"/>
                <w:sz w:val="16"/>
                <w:szCs w:val="16"/>
              </w:rPr>
              <w:t>13%</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720"/>
              <w:jc w:val="right"/>
              <w:rPr>
                <w:rFonts w:ascii="Times New Roman" w:hAnsi="Times New Roman"/>
                <w:sz w:val="24"/>
                <w:szCs w:val="24"/>
              </w:rPr>
            </w:pPr>
            <w:r>
              <w:rPr>
                <w:rFonts w:ascii="Times New Roman" w:hAnsi="Times New Roman"/>
                <w:sz w:val="16"/>
                <w:szCs w:val="16"/>
              </w:rPr>
              <w:t>9%</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280"/>
              <w:jc w:val="right"/>
              <w:rPr>
                <w:rFonts w:ascii="Times New Roman" w:hAnsi="Times New Roman"/>
                <w:sz w:val="24"/>
                <w:szCs w:val="24"/>
              </w:rPr>
            </w:pPr>
            <w:r>
              <w:rPr>
                <w:rFonts w:ascii="Times New Roman" w:hAnsi="Times New Roman"/>
                <w:sz w:val="16"/>
                <w:szCs w:val="16"/>
              </w:rPr>
              <w:t>14%</w:t>
            </w: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Oxycodone mention</w:t>
            </w:r>
          </w:p>
        </w:tc>
        <w:tc>
          <w:tcPr>
            <w:tcW w:w="4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OxyContin</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80"/>
              <w:jc w:val="right"/>
              <w:rPr>
                <w:rFonts w:ascii="Times New Roman" w:hAnsi="Times New Roman"/>
                <w:sz w:val="24"/>
                <w:szCs w:val="24"/>
              </w:rPr>
            </w:pPr>
            <w:r>
              <w:rPr>
                <w:rFonts w:ascii="Times New Roman" w:hAnsi="Times New Roman"/>
                <w:sz w:val="16"/>
                <w:szCs w:val="16"/>
              </w:rPr>
              <w:t>52%</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52%</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720"/>
              <w:jc w:val="right"/>
              <w:rPr>
                <w:rFonts w:ascii="Times New Roman" w:hAnsi="Times New Roman"/>
                <w:sz w:val="24"/>
                <w:szCs w:val="24"/>
              </w:rPr>
            </w:pPr>
            <w:r>
              <w:rPr>
                <w:rFonts w:ascii="Times New Roman" w:hAnsi="Times New Roman"/>
                <w:sz w:val="16"/>
                <w:szCs w:val="16"/>
              </w:rPr>
              <w:t>44%</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41%</w:t>
            </w: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oxycodone NOS*</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80"/>
              <w:jc w:val="right"/>
              <w:rPr>
                <w:rFonts w:ascii="Times New Roman" w:hAnsi="Times New Roman"/>
                <w:sz w:val="24"/>
                <w:szCs w:val="24"/>
              </w:rPr>
            </w:pPr>
            <w:r>
              <w:rPr>
                <w:rFonts w:ascii="Times New Roman" w:hAnsi="Times New Roman"/>
                <w:sz w:val="16"/>
                <w:szCs w:val="16"/>
              </w:rPr>
              <w:t>48%</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48%</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720"/>
              <w:jc w:val="right"/>
              <w:rPr>
                <w:rFonts w:ascii="Times New Roman" w:hAnsi="Times New Roman"/>
                <w:sz w:val="24"/>
                <w:szCs w:val="24"/>
              </w:rPr>
            </w:pPr>
            <w:r>
              <w:rPr>
                <w:rFonts w:ascii="Times New Roman" w:hAnsi="Times New Roman"/>
                <w:sz w:val="16"/>
                <w:szCs w:val="16"/>
              </w:rPr>
              <w:t>54%</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57%</w:t>
            </w:r>
          </w:p>
        </w:tc>
      </w:tr>
      <w:tr w:rsidR="002A4D1F">
        <w:tblPrEx>
          <w:tblCellMar>
            <w:top w:w="0" w:type="dxa"/>
            <w:left w:w="0" w:type="dxa"/>
            <w:bottom w:w="0" w:type="dxa"/>
            <w:right w:w="0" w:type="dxa"/>
          </w:tblCellMar>
        </w:tblPrEx>
        <w:trPr>
          <w:trHeight w:val="179"/>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rPr>
                <w:rFonts w:ascii="Times New Roman" w:hAnsi="Times New Roman"/>
                <w:sz w:val="24"/>
                <w:szCs w:val="24"/>
              </w:rPr>
            </w:pPr>
            <w:r>
              <w:rPr>
                <w:rFonts w:ascii="Times New Roman" w:hAnsi="Times New Roman"/>
                <w:sz w:val="16"/>
                <w:szCs w:val="16"/>
              </w:rPr>
              <w:t>Other product mentions</w:t>
            </w:r>
          </w:p>
        </w:tc>
        <w:tc>
          <w:tcPr>
            <w:tcW w:w="4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Alcohol</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80"/>
              <w:jc w:val="right"/>
              <w:rPr>
                <w:rFonts w:ascii="Times New Roman" w:hAnsi="Times New Roman"/>
                <w:sz w:val="24"/>
                <w:szCs w:val="24"/>
              </w:rPr>
            </w:pPr>
            <w:r>
              <w:rPr>
                <w:rFonts w:ascii="Times New Roman" w:hAnsi="Times New Roman"/>
                <w:sz w:val="16"/>
                <w:szCs w:val="16"/>
              </w:rPr>
              <w:t>15%</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13%</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720"/>
              <w:jc w:val="right"/>
              <w:rPr>
                <w:rFonts w:ascii="Times New Roman" w:hAnsi="Times New Roman"/>
                <w:sz w:val="24"/>
                <w:szCs w:val="24"/>
              </w:rPr>
            </w:pPr>
            <w:r>
              <w:rPr>
                <w:rFonts w:ascii="Times New Roman" w:hAnsi="Times New Roman"/>
                <w:sz w:val="16"/>
                <w:szCs w:val="16"/>
              </w:rPr>
              <w:t>19%</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19%</w:t>
            </w: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Benzodiazepine</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80"/>
              <w:jc w:val="right"/>
              <w:rPr>
                <w:rFonts w:ascii="Times New Roman" w:hAnsi="Times New Roman"/>
                <w:sz w:val="24"/>
                <w:szCs w:val="24"/>
              </w:rPr>
            </w:pPr>
            <w:r>
              <w:rPr>
                <w:rFonts w:ascii="Times New Roman" w:hAnsi="Times New Roman"/>
                <w:sz w:val="16"/>
                <w:szCs w:val="16"/>
              </w:rPr>
              <w:t>34%</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23%</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720"/>
              <w:jc w:val="right"/>
              <w:rPr>
                <w:rFonts w:ascii="Times New Roman" w:hAnsi="Times New Roman"/>
                <w:sz w:val="24"/>
                <w:szCs w:val="24"/>
              </w:rPr>
            </w:pPr>
            <w:r>
              <w:rPr>
                <w:rFonts w:ascii="Times New Roman" w:hAnsi="Times New Roman"/>
                <w:sz w:val="16"/>
                <w:szCs w:val="16"/>
              </w:rPr>
              <w:t>42%</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33%</w:t>
            </w: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Opioid</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80"/>
              <w:jc w:val="right"/>
              <w:rPr>
                <w:rFonts w:ascii="Times New Roman" w:hAnsi="Times New Roman"/>
                <w:sz w:val="24"/>
                <w:szCs w:val="24"/>
              </w:rPr>
            </w:pPr>
            <w:r>
              <w:rPr>
                <w:rFonts w:ascii="Times New Roman" w:hAnsi="Times New Roman"/>
                <w:sz w:val="16"/>
                <w:szCs w:val="16"/>
              </w:rPr>
              <w:t>30%</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18%</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720"/>
              <w:jc w:val="right"/>
              <w:rPr>
                <w:rFonts w:ascii="Times New Roman" w:hAnsi="Times New Roman"/>
                <w:sz w:val="24"/>
                <w:szCs w:val="24"/>
              </w:rPr>
            </w:pPr>
            <w:r>
              <w:rPr>
                <w:rFonts w:ascii="Times New Roman" w:hAnsi="Times New Roman"/>
                <w:sz w:val="16"/>
                <w:szCs w:val="16"/>
              </w:rPr>
              <w:t>37%</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24%</w:t>
            </w:r>
          </w:p>
        </w:tc>
      </w:tr>
      <w:tr w:rsidR="002A4D1F">
        <w:tblPrEx>
          <w:tblCellMar>
            <w:top w:w="0" w:type="dxa"/>
            <w:left w:w="0" w:type="dxa"/>
            <w:bottom w:w="0" w:type="dxa"/>
            <w:right w:w="0" w:type="dxa"/>
          </w:tblCellMar>
        </w:tblPrEx>
        <w:trPr>
          <w:trHeight w:val="166"/>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66" w:lineRule="exact"/>
              <w:ind w:left="160"/>
              <w:rPr>
                <w:rFonts w:ascii="Times New Roman" w:hAnsi="Times New Roman"/>
                <w:sz w:val="24"/>
                <w:szCs w:val="24"/>
              </w:rPr>
            </w:pPr>
            <w:r>
              <w:rPr>
                <w:rFonts w:ascii="Times New Roman" w:hAnsi="Times New Roman"/>
                <w:sz w:val="16"/>
                <w:szCs w:val="16"/>
              </w:rPr>
              <w:t>Muscle relaxant/hypnotic</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66" w:lineRule="exact"/>
              <w:ind w:right="680"/>
              <w:jc w:val="right"/>
              <w:rPr>
                <w:rFonts w:ascii="Times New Roman" w:hAnsi="Times New Roman"/>
                <w:sz w:val="24"/>
                <w:szCs w:val="24"/>
              </w:rPr>
            </w:pPr>
            <w:r>
              <w:rPr>
                <w:rFonts w:ascii="Times New Roman" w:hAnsi="Times New Roman"/>
                <w:sz w:val="16"/>
                <w:szCs w:val="16"/>
              </w:rPr>
              <w:t>7%</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66" w:lineRule="exact"/>
              <w:ind w:right="280"/>
              <w:jc w:val="right"/>
              <w:rPr>
                <w:rFonts w:ascii="Times New Roman" w:hAnsi="Times New Roman"/>
                <w:sz w:val="24"/>
                <w:szCs w:val="24"/>
              </w:rPr>
            </w:pPr>
            <w:r>
              <w:rPr>
                <w:rFonts w:ascii="Times New Roman" w:hAnsi="Times New Roman"/>
                <w:sz w:val="16"/>
                <w:szCs w:val="16"/>
              </w:rPr>
              <w:t>8%</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4"/>
                <w:szCs w:val="14"/>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66" w:lineRule="exact"/>
              <w:ind w:right="720"/>
              <w:jc w:val="right"/>
              <w:rPr>
                <w:rFonts w:ascii="Times New Roman" w:hAnsi="Times New Roman"/>
                <w:sz w:val="24"/>
                <w:szCs w:val="24"/>
              </w:rPr>
            </w:pPr>
            <w:r>
              <w:rPr>
                <w:rFonts w:ascii="Times New Roman" w:hAnsi="Times New Roman"/>
                <w:sz w:val="16"/>
                <w:szCs w:val="16"/>
              </w:rPr>
              <w:t>9%</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66" w:lineRule="exact"/>
              <w:ind w:right="280"/>
              <w:jc w:val="right"/>
              <w:rPr>
                <w:rFonts w:ascii="Times New Roman" w:hAnsi="Times New Roman"/>
                <w:sz w:val="24"/>
                <w:szCs w:val="24"/>
              </w:rPr>
            </w:pPr>
            <w:r>
              <w:rPr>
                <w:rFonts w:ascii="Times New Roman" w:hAnsi="Times New Roman"/>
                <w:sz w:val="16"/>
                <w:szCs w:val="16"/>
              </w:rPr>
              <w:t>12%</w:t>
            </w:r>
          </w:p>
        </w:tc>
      </w:tr>
      <w:tr w:rsidR="002A4D1F">
        <w:tblPrEx>
          <w:tblCellMar>
            <w:top w:w="0" w:type="dxa"/>
            <w:left w:w="0" w:type="dxa"/>
            <w:bottom w:w="0" w:type="dxa"/>
            <w:right w:w="0" w:type="dxa"/>
          </w:tblCellMar>
        </w:tblPrEx>
        <w:trPr>
          <w:trHeight w:val="20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200" w:lineRule="exact"/>
              <w:ind w:left="160"/>
              <w:rPr>
                <w:rFonts w:ascii="Times New Roman" w:hAnsi="Times New Roman"/>
                <w:sz w:val="24"/>
                <w:szCs w:val="24"/>
              </w:rPr>
            </w:pPr>
            <w:r>
              <w:rPr>
                <w:rFonts w:ascii="Times New Roman" w:hAnsi="Times New Roman"/>
                <w:sz w:val="16"/>
                <w:szCs w:val="16"/>
              </w:rPr>
              <w:t>Illicit</w:t>
            </w:r>
            <w:r>
              <w:rPr>
                <w:rFonts w:ascii="Arial" w:hAnsi="Arial" w:cs="Arial"/>
                <w:sz w:val="21"/>
                <w:szCs w:val="21"/>
                <w:vertAlign w:val="superscript"/>
              </w:rPr>
              <w:t>†</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240" w:lineRule="auto"/>
              <w:ind w:right="680"/>
              <w:jc w:val="right"/>
              <w:rPr>
                <w:rFonts w:ascii="Times New Roman" w:hAnsi="Times New Roman"/>
                <w:sz w:val="24"/>
                <w:szCs w:val="24"/>
              </w:rPr>
            </w:pPr>
            <w:r>
              <w:rPr>
                <w:rFonts w:ascii="Times New Roman" w:hAnsi="Times New Roman"/>
                <w:sz w:val="16"/>
                <w:szCs w:val="16"/>
              </w:rPr>
              <w:t>18%</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ind w:right="280"/>
              <w:jc w:val="right"/>
              <w:rPr>
                <w:rFonts w:ascii="Times New Roman" w:hAnsi="Times New Roman"/>
                <w:sz w:val="24"/>
                <w:szCs w:val="24"/>
              </w:rPr>
            </w:pPr>
            <w:r>
              <w:rPr>
                <w:rFonts w:ascii="Times New Roman" w:hAnsi="Times New Roman"/>
                <w:sz w:val="16"/>
                <w:szCs w:val="16"/>
              </w:rPr>
              <w:t>16%</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7"/>
                <w:szCs w:val="17"/>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ind w:right="720"/>
              <w:jc w:val="right"/>
              <w:rPr>
                <w:rFonts w:ascii="Times New Roman" w:hAnsi="Times New Roman"/>
                <w:sz w:val="24"/>
                <w:szCs w:val="24"/>
              </w:rPr>
            </w:pPr>
            <w:r>
              <w:rPr>
                <w:rFonts w:ascii="Times New Roman" w:hAnsi="Times New Roman"/>
                <w:sz w:val="16"/>
                <w:szCs w:val="16"/>
              </w:rPr>
              <w:t>22%</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ind w:right="280"/>
              <w:jc w:val="right"/>
              <w:rPr>
                <w:rFonts w:ascii="Times New Roman" w:hAnsi="Times New Roman"/>
                <w:sz w:val="24"/>
                <w:szCs w:val="24"/>
              </w:rPr>
            </w:pPr>
            <w:r>
              <w:rPr>
                <w:rFonts w:ascii="Times New Roman" w:hAnsi="Times New Roman"/>
                <w:sz w:val="16"/>
                <w:szCs w:val="16"/>
              </w:rPr>
              <w:t>21%</w:t>
            </w:r>
          </w:p>
        </w:tc>
      </w:tr>
      <w:tr w:rsidR="002A4D1F">
        <w:tblPrEx>
          <w:tblCellMar>
            <w:top w:w="0" w:type="dxa"/>
            <w:left w:w="0" w:type="dxa"/>
            <w:bottom w:w="0" w:type="dxa"/>
            <w:right w:w="0" w:type="dxa"/>
          </w:tblCellMar>
        </w:tblPrEx>
        <w:trPr>
          <w:trHeight w:val="173"/>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60"/>
              <w:rPr>
                <w:rFonts w:ascii="Times New Roman" w:hAnsi="Times New Roman"/>
                <w:sz w:val="24"/>
                <w:szCs w:val="24"/>
              </w:rPr>
            </w:pPr>
            <w:r>
              <w:rPr>
                <w:rFonts w:ascii="Times New Roman" w:hAnsi="Times New Roman"/>
                <w:sz w:val="16"/>
                <w:szCs w:val="16"/>
              </w:rPr>
              <w:t>Any of above</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80"/>
              <w:jc w:val="right"/>
              <w:rPr>
                <w:rFonts w:ascii="Times New Roman" w:hAnsi="Times New Roman"/>
                <w:sz w:val="24"/>
                <w:szCs w:val="24"/>
              </w:rPr>
            </w:pPr>
            <w:r>
              <w:rPr>
                <w:rFonts w:ascii="Times New Roman" w:hAnsi="Times New Roman"/>
                <w:sz w:val="16"/>
                <w:szCs w:val="16"/>
              </w:rPr>
              <w:t>58%</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80"/>
              <w:jc w:val="right"/>
              <w:rPr>
                <w:rFonts w:ascii="Times New Roman" w:hAnsi="Times New Roman"/>
                <w:sz w:val="24"/>
                <w:szCs w:val="24"/>
              </w:rPr>
            </w:pPr>
            <w:r>
              <w:rPr>
                <w:rFonts w:ascii="Times New Roman" w:hAnsi="Times New Roman"/>
                <w:sz w:val="16"/>
                <w:szCs w:val="16"/>
              </w:rPr>
              <w:t>44%</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720"/>
              <w:jc w:val="right"/>
              <w:rPr>
                <w:rFonts w:ascii="Times New Roman" w:hAnsi="Times New Roman"/>
                <w:sz w:val="24"/>
                <w:szCs w:val="24"/>
              </w:rPr>
            </w:pPr>
            <w:r>
              <w:rPr>
                <w:rFonts w:ascii="Times New Roman" w:hAnsi="Times New Roman"/>
                <w:sz w:val="16"/>
                <w:szCs w:val="16"/>
              </w:rPr>
              <w:t>73%</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80"/>
              <w:jc w:val="right"/>
              <w:rPr>
                <w:rFonts w:ascii="Times New Roman" w:hAnsi="Times New Roman"/>
                <w:sz w:val="24"/>
                <w:szCs w:val="24"/>
              </w:rPr>
            </w:pPr>
            <w:r>
              <w:rPr>
                <w:rFonts w:ascii="Times New Roman" w:hAnsi="Times New Roman"/>
                <w:sz w:val="16"/>
                <w:szCs w:val="16"/>
              </w:rPr>
              <w:t>60%</w:t>
            </w:r>
          </w:p>
        </w:tc>
      </w:tr>
      <w:tr w:rsidR="002A4D1F">
        <w:tblPrEx>
          <w:tblCellMar>
            <w:top w:w="0" w:type="dxa"/>
            <w:left w:w="0" w:type="dxa"/>
            <w:bottom w:w="0" w:type="dxa"/>
            <w:right w:w="0" w:type="dxa"/>
          </w:tblCellMar>
        </w:tblPrEx>
        <w:trPr>
          <w:trHeight w:val="186"/>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4" w:lineRule="exact"/>
              <w:rPr>
                <w:rFonts w:ascii="Times New Roman" w:hAnsi="Times New Roman"/>
                <w:sz w:val="24"/>
                <w:szCs w:val="24"/>
              </w:rPr>
            </w:pPr>
            <w:r>
              <w:rPr>
                <w:rFonts w:ascii="Times New Roman" w:hAnsi="Times New Roman"/>
                <w:sz w:val="16"/>
                <w:szCs w:val="16"/>
              </w:rPr>
              <w:t xml:space="preserve">Additional </w:t>
            </w:r>
            <w:r>
              <w:rPr>
                <w:rFonts w:ascii="Arial" w:hAnsi="Arial" w:cs="Arial"/>
                <w:sz w:val="16"/>
                <w:szCs w:val="16"/>
              </w:rPr>
              <w:t>fi</w:t>
            </w:r>
            <w:r>
              <w:rPr>
                <w:rFonts w:ascii="Times New Roman" w:hAnsi="Times New Roman"/>
                <w:sz w:val="16"/>
                <w:szCs w:val="16"/>
              </w:rPr>
              <w:t>ndings</w:t>
            </w:r>
          </w:p>
        </w:tc>
        <w:tc>
          <w:tcPr>
            <w:tcW w:w="4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r>
      <w:tr w:rsidR="002A4D1F">
        <w:tblPrEx>
          <w:tblCellMar>
            <w:top w:w="0" w:type="dxa"/>
            <w:left w:w="0" w:type="dxa"/>
            <w:bottom w:w="0" w:type="dxa"/>
            <w:right w:w="0" w:type="dxa"/>
          </w:tblCellMar>
        </w:tblPrEx>
        <w:trPr>
          <w:trHeight w:val="173"/>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60"/>
              <w:rPr>
                <w:rFonts w:ascii="Times New Roman" w:hAnsi="Times New Roman"/>
                <w:sz w:val="24"/>
                <w:szCs w:val="24"/>
              </w:rPr>
            </w:pPr>
            <w:r>
              <w:rPr>
                <w:rFonts w:ascii="Times New Roman" w:hAnsi="Times New Roman"/>
                <w:sz w:val="16"/>
                <w:szCs w:val="16"/>
              </w:rPr>
              <w:t>Autopsy reports</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80"/>
              <w:jc w:val="right"/>
              <w:rPr>
                <w:rFonts w:ascii="Times New Roman" w:hAnsi="Times New Roman"/>
                <w:sz w:val="24"/>
                <w:szCs w:val="24"/>
              </w:rPr>
            </w:pPr>
            <w:r>
              <w:rPr>
                <w:rFonts w:ascii="Times New Roman" w:hAnsi="Times New Roman"/>
                <w:sz w:val="16"/>
                <w:szCs w:val="16"/>
              </w:rPr>
              <w:t>37%</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80"/>
              <w:jc w:val="right"/>
              <w:rPr>
                <w:rFonts w:ascii="Times New Roman" w:hAnsi="Times New Roman"/>
                <w:sz w:val="24"/>
                <w:szCs w:val="24"/>
              </w:rPr>
            </w:pPr>
            <w:r>
              <w:rPr>
                <w:rFonts w:ascii="Times New Roman" w:hAnsi="Times New Roman"/>
                <w:sz w:val="16"/>
                <w:szCs w:val="16"/>
              </w:rPr>
              <w:t>35%</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720"/>
              <w:jc w:val="right"/>
              <w:rPr>
                <w:rFonts w:ascii="Times New Roman" w:hAnsi="Times New Roman"/>
                <w:sz w:val="24"/>
                <w:szCs w:val="24"/>
              </w:rPr>
            </w:pPr>
            <w:r>
              <w:rPr>
                <w:rFonts w:ascii="Times New Roman" w:hAnsi="Times New Roman"/>
                <w:sz w:val="16"/>
                <w:szCs w:val="16"/>
              </w:rPr>
              <w:t>43%</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80"/>
              <w:jc w:val="right"/>
              <w:rPr>
                <w:rFonts w:ascii="Times New Roman" w:hAnsi="Times New Roman"/>
                <w:sz w:val="24"/>
                <w:szCs w:val="24"/>
              </w:rPr>
            </w:pPr>
            <w:r>
              <w:rPr>
                <w:rFonts w:ascii="Times New Roman" w:hAnsi="Times New Roman"/>
                <w:sz w:val="16"/>
                <w:szCs w:val="16"/>
              </w:rPr>
              <w:t>46%</w:t>
            </w:r>
          </w:p>
        </w:tc>
      </w:tr>
      <w:tr w:rsidR="002A4D1F">
        <w:tblPrEx>
          <w:tblCellMar>
            <w:top w:w="0" w:type="dxa"/>
            <w:left w:w="0" w:type="dxa"/>
            <w:bottom w:w="0" w:type="dxa"/>
            <w:right w:w="0" w:type="dxa"/>
          </w:tblCellMar>
        </w:tblPrEx>
        <w:trPr>
          <w:trHeight w:val="180"/>
        </w:trPr>
        <w:tc>
          <w:tcPr>
            <w:tcW w:w="22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Toxicology reports</w:t>
            </w:r>
          </w:p>
        </w:tc>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80"/>
              <w:jc w:val="right"/>
              <w:rPr>
                <w:rFonts w:ascii="Times New Roman" w:hAnsi="Times New Roman"/>
                <w:sz w:val="24"/>
                <w:szCs w:val="24"/>
              </w:rPr>
            </w:pPr>
            <w:r>
              <w:rPr>
                <w:rFonts w:ascii="Times New Roman" w:hAnsi="Times New Roman"/>
                <w:sz w:val="16"/>
                <w:szCs w:val="16"/>
              </w:rPr>
              <w:t>44%</w:t>
            </w:r>
          </w:p>
        </w:tc>
        <w:tc>
          <w:tcPr>
            <w:tcW w:w="16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40%</w:t>
            </w:r>
          </w:p>
        </w:tc>
        <w:tc>
          <w:tcPr>
            <w:tcW w:w="8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720"/>
              <w:jc w:val="right"/>
              <w:rPr>
                <w:rFonts w:ascii="Times New Roman" w:hAnsi="Times New Roman"/>
                <w:sz w:val="24"/>
                <w:szCs w:val="24"/>
              </w:rPr>
            </w:pPr>
            <w:r>
              <w:rPr>
                <w:rFonts w:ascii="Times New Roman" w:hAnsi="Times New Roman"/>
                <w:sz w:val="16"/>
                <w:szCs w:val="16"/>
              </w:rPr>
              <w:t>49%</w:t>
            </w:r>
          </w:p>
        </w:tc>
        <w:tc>
          <w:tcPr>
            <w:tcW w:w="166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80"/>
              <w:jc w:val="right"/>
              <w:rPr>
                <w:rFonts w:ascii="Times New Roman" w:hAnsi="Times New Roman"/>
                <w:sz w:val="24"/>
                <w:szCs w:val="24"/>
              </w:rPr>
            </w:pPr>
            <w:r>
              <w:rPr>
                <w:rFonts w:ascii="Times New Roman" w:hAnsi="Times New Roman"/>
                <w:sz w:val="16"/>
                <w:szCs w:val="16"/>
              </w:rPr>
              <w:t>46%</w:t>
            </w:r>
          </w:p>
        </w:tc>
      </w:tr>
      <w:tr w:rsidR="002A4D1F">
        <w:tblPrEx>
          <w:tblCellMar>
            <w:top w:w="0" w:type="dxa"/>
            <w:left w:w="0" w:type="dxa"/>
            <w:bottom w:w="0" w:type="dxa"/>
            <w:right w:w="0" w:type="dxa"/>
          </w:tblCellMar>
        </w:tblPrEx>
        <w:trPr>
          <w:trHeight w:val="68"/>
        </w:trPr>
        <w:tc>
          <w:tcPr>
            <w:tcW w:w="220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5"/>
                <w:szCs w:val="5"/>
              </w:rPr>
            </w:pPr>
          </w:p>
        </w:tc>
        <w:tc>
          <w:tcPr>
            <w:tcW w:w="40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5"/>
                <w:szCs w:val="5"/>
              </w:rPr>
            </w:pPr>
          </w:p>
        </w:tc>
        <w:tc>
          <w:tcPr>
            <w:tcW w:w="162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5"/>
                <w:szCs w:val="5"/>
              </w:rPr>
            </w:pPr>
          </w:p>
        </w:tc>
        <w:tc>
          <w:tcPr>
            <w:tcW w:w="162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5"/>
                <w:szCs w:val="5"/>
              </w:rPr>
            </w:pPr>
          </w:p>
        </w:tc>
        <w:tc>
          <w:tcPr>
            <w:tcW w:w="84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5"/>
                <w:szCs w:val="5"/>
              </w:rPr>
            </w:pPr>
          </w:p>
        </w:tc>
        <w:tc>
          <w:tcPr>
            <w:tcW w:w="166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5"/>
                <w:szCs w:val="5"/>
              </w:rPr>
            </w:pPr>
          </w:p>
        </w:tc>
        <w:tc>
          <w:tcPr>
            <w:tcW w:w="166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5"/>
                <w:szCs w:val="5"/>
              </w:rPr>
            </w:pPr>
          </w:p>
        </w:tc>
      </w:tr>
    </w:tbl>
    <w:p w:rsidR="002A4D1F" w:rsidRDefault="002A4D1F">
      <w:pPr>
        <w:widowControl w:val="0"/>
        <w:autoSpaceDE w:val="0"/>
        <w:autoSpaceDN w:val="0"/>
        <w:adjustRightInd w:val="0"/>
        <w:spacing w:after="0" w:line="79"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7" w:lineRule="auto"/>
        <w:jc w:val="both"/>
        <w:rPr>
          <w:rFonts w:ascii="Times New Roman" w:hAnsi="Times New Roman"/>
          <w:sz w:val="24"/>
          <w:szCs w:val="24"/>
        </w:rPr>
      </w:pPr>
      <w:r>
        <w:rPr>
          <w:rFonts w:ascii="Times New Roman" w:hAnsi="Times New Roman"/>
          <w:sz w:val="16"/>
          <w:szCs w:val="16"/>
        </w:rPr>
        <w:t>*Oxycodone not otherwise speci</w:t>
      </w:r>
      <w:r>
        <w:rPr>
          <w:rFonts w:ascii="Arial" w:hAnsi="Arial" w:cs="Arial"/>
          <w:sz w:val="16"/>
          <w:szCs w:val="16"/>
        </w:rPr>
        <w:t>fi</w:t>
      </w:r>
      <w:r>
        <w:rPr>
          <w:rFonts w:ascii="Times New Roman" w:hAnsi="Times New Roman"/>
          <w:sz w:val="16"/>
          <w:szCs w:val="16"/>
        </w:rPr>
        <w:t>ed. Reports involving oxycodone tablets that do not specify formulation (e.g., immediate-release or extended-release formulation) are implied to have involved extended-release oxycodone (OxyContin) because the reporter has taken the time to speci</w:t>
      </w:r>
      <w:r>
        <w:rPr>
          <w:rFonts w:ascii="Arial" w:hAnsi="Arial" w:cs="Arial"/>
          <w:sz w:val="16"/>
          <w:szCs w:val="16"/>
        </w:rPr>
        <w:t>fi</w:t>
      </w:r>
      <w:r>
        <w:rPr>
          <w:rFonts w:ascii="Times New Roman" w:hAnsi="Times New Roman"/>
          <w:sz w:val="16"/>
          <w:szCs w:val="16"/>
        </w:rPr>
        <w:t>cally transmit the information to the manufacturer. During the evaluation period of this study, only extended-release oxycodone was sold by the manufacturer, and no generic extended-release oxycodone product was approved or sold.</w:t>
      </w:r>
    </w:p>
    <w:p w:rsidR="002A4D1F" w:rsidRDefault="002A4D1F">
      <w:pPr>
        <w:widowControl w:val="0"/>
        <w:autoSpaceDE w:val="0"/>
        <w:autoSpaceDN w:val="0"/>
        <w:adjustRightInd w:val="0"/>
        <w:spacing w:after="0" w:line="3" w:lineRule="exact"/>
        <w:rPr>
          <w:rFonts w:ascii="Times New Roman" w:hAnsi="Times New Roman"/>
          <w:sz w:val="24"/>
          <w:szCs w:val="24"/>
        </w:rPr>
      </w:pPr>
    </w:p>
    <w:p w:rsidR="002A4D1F" w:rsidRDefault="002A4D1F">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vertAlign w:val="superscript"/>
        </w:rPr>
        <w:t>†</w:t>
      </w:r>
      <w:r>
        <w:rPr>
          <w:rFonts w:ascii="Times New Roman" w:hAnsi="Times New Roman"/>
          <w:sz w:val="16"/>
          <w:szCs w:val="16"/>
        </w:rPr>
        <w:t>Illicit drugs include marijuana, cocaine, amphetamines, and heroin.</w:t>
      </w:r>
    </w:p>
    <w:p w:rsidR="002A4D1F" w:rsidRDefault="002A4D1F">
      <w:pPr>
        <w:widowControl w:val="0"/>
        <w:autoSpaceDE w:val="0"/>
        <w:autoSpaceDN w:val="0"/>
        <w:adjustRightInd w:val="0"/>
        <w:spacing w:after="0" w:line="240" w:lineRule="auto"/>
        <w:rPr>
          <w:rFonts w:ascii="Times New Roman" w:hAnsi="Times New Roman"/>
          <w:sz w:val="24"/>
          <w:szCs w:val="24"/>
        </w:rPr>
        <w:sectPr w:rsidR="002A4D1F">
          <w:pgSz w:w="11900" w:h="15817"/>
          <w:pgMar w:top="1169" w:right="1000" w:bottom="584" w:left="900" w:header="720" w:footer="720" w:gutter="0"/>
          <w:cols w:space="720" w:equalWidth="0">
            <w:col w:w="10000"/>
          </w:cols>
          <w:noEndnote/>
        </w:sect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343"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7" w:lineRule="auto"/>
        <w:jc w:val="both"/>
        <w:rPr>
          <w:rFonts w:ascii="Times New Roman" w:hAnsi="Times New Roman"/>
          <w:sz w:val="24"/>
          <w:szCs w:val="24"/>
        </w:rPr>
      </w:pPr>
      <w:r>
        <w:rPr>
          <w:rFonts w:ascii="Times New Roman" w:hAnsi="Times New Roman"/>
        </w:rPr>
        <w:t>death not otherwise speci</w:t>
      </w:r>
      <w:r>
        <w:rPr>
          <w:rFonts w:ascii="Arial" w:hAnsi="Arial" w:cs="Arial"/>
        </w:rPr>
        <w:t>fi</w:t>
      </w:r>
      <w:r>
        <w:rPr>
          <w:rFonts w:ascii="Times New Roman" w:hAnsi="Times New Roman"/>
        </w:rPr>
        <w:t>ed, suicide/homicide, and cancer) were not statistically signi</w:t>
      </w:r>
      <w:r>
        <w:rPr>
          <w:rFonts w:ascii="Arial" w:hAnsi="Arial" w:cs="Arial"/>
        </w:rPr>
        <w:t>fi</w:t>
      </w:r>
      <w:r>
        <w:rPr>
          <w:rFonts w:ascii="Times New Roman" w:hAnsi="Times New Roman"/>
        </w:rPr>
        <w:t>cant ( 15.8%; CI: 36.8% to 12.3%, p = 0.2421) but trended down.</w:t>
      </w:r>
    </w:p>
    <w:p w:rsidR="002A4D1F" w:rsidRDefault="002A4D1F">
      <w:pPr>
        <w:widowControl w:val="0"/>
        <w:autoSpaceDE w:val="0"/>
        <w:autoSpaceDN w:val="0"/>
        <w:adjustRightInd w:val="0"/>
        <w:spacing w:after="0" w:line="367" w:lineRule="exact"/>
        <w:rPr>
          <w:rFonts w:ascii="Times New Roman" w:hAnsi="Times New Roman"/>
          <w:sz w:val="24"/>
          <w:szCs w:val="24"/>
        </w:rPr>
      </w:pPr>
    </w:p>
    <w:p w:rsidR="002A4D1F" w:rsidRDefault="002A4D1F">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Trends in comparators</w:t>
      </w:r>
    </w:p>
    <w:p w:rsidR="002A4D1F" w:rsidRDefault="002A4D1F">
      <w:pPr>
        <w:widowControl w:val="0"/>
        <w:autoSpaceDE w:val="0"/>
        <w:autoSpaceDN w:val="0"/>
        <w:adjustRightInd w:val="0"/>
        <w:spacing w:after="0" w:line="101"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8" w:lineRule="auto"/>
        <w:jc w:val="both"/>
        <w:rPr>
          <w:rFonts w:ascii="Times New Roman" w:hAnsi="Times New Roman"/>
          <w:sz w:val="24"/>
          <w:szCs w:val="24"/>
        </w:rPr>
      </w:pPr>
      <w:r>
        <w:rPr>
          <w:rFonts w:ascii="Times New Roman" w:hAnsi="Times New Roman"/>
          <w:sz w:val="21"/>
          <w:szCs w:val="21"/>
        </w:rPr>
        <w:t xml:space="preserve">No substantial change in adverse event case handling or pharmacovigilance procedures were made by the manufacturer during the study period. Non-fatal re-ports to the manufacturer for ERO were 384 per quar-ter in the year pre-reformulation compared with 3129, 395, and 294 per quarter in the </w:t>
      </w:r>
      <w:r>
        <w:rPr>
          <w:rFonts w:ascii="Arial" w:hAnsi="Arial" w:cs="Arial"/>
          <w:sz w:val="21"/>
          <w:szCs w:val="21"/>
        </w:rPr>
        <w:t>fi</w:t>
      </w:r>
      <w:r>
        <w:rPr>
          <w:rFonts w:ascii="Times New Roman" w:hAnsi="Times New Roman"/>
          <w:sz w:val="21"/>
          <w:szCs w:val="21"/>
        </w:rPr>
        <w:t>rst, second, and third year post-reformulation, respectively. These compara-tor results suggest that the reductions in fatalities</w:t>
      </w:r>
    </w:p>
    <w:p w:rsidR="002A4D1F" w:rsidRDefault="002A4D1F">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343"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7" w:lineRule="auto"/>
        <w:jc w:val="both"/>
        <w:rPr>
          <w:rFonts w:ascii="Times New Roman" w:hAnsi="Times New Roman"/>
          <w:sz w:val="24"/>
          <w:szCs w:val="24"/>
        </w:rPr>
      </w:pPr>
      <w:r>
        <w:rPr>
          <w:rFonts w:ascii="Times New Roman" w:hAnsi="Times New Roman"/>
        </w:rPr>
        <w:t>involving ERO post-reformulation were not due to temporal changes in reporting patterns.</w:t>
      </w:r>
    </w:p>
    <w:p w:rsidR="002A4D1F" w:rsidRDefault="002A4D1F">
      <w:pPr>
        <w:widowControl w:val="0"/>
        <w:autoSpaceDE w:val="0"/>
        <w:autoSpaceDN w:val="0"/>
        <w:adjustRightInd w:val="0"/>
        <w:spacing w:after="0" w:line="1"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7" w:lineRule="auto"/>
        <w:ind w:firstLine="201"/>
        <w:jc w:val="both"/>
        <w:rPr>
          <w:rFonts w:ascii="Times New Roman" w:hAnsi="Times New Roman"/>
          <w:sz w:val="24"/>
          <w:szCs w:val="24"/>
        </w:rPr>
      </w:pPr>
      <w:r>
        <w:rPr>
          <w:rFonts w:ascii="Times New Roman" w:hAnsi="Times New Roman"/>
        </w:rPr>
        <w:t>A spike in adverse event reports appeared shortly after reformulation, most of which occurred within 3 months of the marketplace transition. A survey of 1967 subjects who reported adverse events at that time indicated that 93% were from individuals who had used ERO for some time and were reporting changes from what they were accustomed to. The transition to the reformulation was conducted without noti</w:t>
      </w:r>
      <w:r>
        <w:rPr>
          <w:rFonts w:ascii="Arial" w:hAnsi="Arial" w:cs="Arial"/>
        </w:rPr>
        <w:t>fi</w:t>
      </w:r>
      <w:r>
        <w:rPr>
          <w:rFonts w:ascii="Times New Roman" w:hAnsi="Times New Roman"/>
        </w:rPr>
        <w:t>cation of the general public.</w:t>
      </w:r>
    </w:p>
    <w:p w:rsidR="002A4D1F" w:rsidRDefault="002A4D1F">
      <w:pPr>
        <w:widowControl w:val="0"/>
        <w:autoSpaceDE w:val="0"/>
        <w:autoSpaceDN w:val="0"/>
        <w:adjustRightInd w:val="0"/>
        <w:spacing w:after="0" w:line="6" w:lineRule="exact"/>
        <w:rPr>
          <w:rFonts w:ascii="Times New Roman" w:hAnsi="Times New Roman"/>
          <w:sz w:val="24"/>
          <w:szCs w:val="24"/>
        </w:rPr>
      </w:pPr>
    </w:p>
    <w:p w:rsidR="002A4D1F" w:rsidRDefault="002A4D1F">
      <w:pPr>
        <w:widowControl w:val="0"/>
        <w:overflowPunct w:val="0"/>
        <w:autoSpaceDE w:val="0"/>
        <w:autoSpaceDN w:val="0"/>
        <w:adjustRightInd w:val="0"/>
        <w:spacing w:after="0" w:line="214" w:lineRule="auto"/>
        <w:ind w:firstLine="201"/>
        <w:jc w:val="both"/>
        <w:rPr>
          <w:rFonts w:ascii="Times New Roman" w:hAnsi="Times New Roman"/>
          <w:sz w:val="24"/>
          <w:szCs w:val="24"/>
        </w:rPr>
      </w:pPr>
      <w:r>
        <w:rPr>
          <w:rFonts w:ascii="Times New Roman" w:hAnsi="Times New Roman"/>
          <w:sz w:val="21"/>
          <w:szCs w:val="21"/>
        </w:rPr>
        <w:t>Reports of fatalities to the manufacturer for ER mor-phine (MSContin</w:t>
      </w:r>
      <w:r>
        <w:rPr>
          <w:rFonts w:ascii="Times New Roman" w:hAnsi="Times New Roman"/>
          <w:sz w:val="28"/>
          <w:szCs w:val="28"/>
          <w:vertAlign w:val="superscript"/>
        </w:rPr>
        <w:t>®</w:t>
      </w:r>
      <w:r>
        <w:rPr>
          <w:rFonts w:ascii="Times New Roman" w:hAnsi="Times New Roman"/>
          <w:sz w:val="21"/>
          <w:szCs w:val="21"/>
        </w:rPr>
        <w:t>) were too few to provide a statisti-cal comparator trend (2.7, 1.5, 2.5, and 2.0 per quarter</w:t>
      </w:r>
    </w:p>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69" w:right="1000" w:bottom="584" w:left="900" w:header="720" w:footer="720" w:gutter="0"/>
          <w:cols w:num="2" w:space="480" w:equalWidth="0">
            <w:col w:w="4760" w:space="480"/>
            <w:col w:w="4760"/>
          </w:cols>
          <w:noEndnote/>
        </w:sectPr>
      </w:pPr>
    </w:p>
    <w:p w:rsidR="002A4D1F" w:rsidRDefault="002A4D1F">
      <w:pPr>
        <w:widowControl w:val="0"/>
        <w:autoSpaceDE w:val="0"/>
        <w:autoSpaceDN w:val="0"/>
        <w:adjustRightInd w:val="0"/>
        <w:spacing w:after="0" w:line="290"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80"/>
        <w:gridCol w:w="5020"/>
      </w:tblGrid>
      <w:tr w:rsidR="002A4D1F">
        <w:tblPrEx>
          <w:tblCellMar>
            <w:top w:w="0" w:type="dxa"/>
            <w:left w:w="0" w:type="dxa"/>
            <w:bottom w:w="0" w:type="dxa"/>
            <w:right w:w="0" w:type="dxa"/>
          </w:tblCellMar>
        </w:tblPrEx>
        <w:trPr>
          <w:trHeight w:val="208"/>
        </w:trPr>
        <w:tc>
          <w:tcPr>
            <w:tcW w:w="4980" w:type="dxa"/>
            <w:tcBorders>
              <w:top w:val="nil"/>
              <w:left w:val="nil"/>
              <w:bottom w:val="nil"/>
              <w:right w:val="nil"/>
            </w:tcBorders>
            <w:vAlign w:val="bottom"/>
          </w:tcPr>
          <w:p w:rsidR="002A4D1F" w:rsidRDefault="002A4D1F">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18"/>
                <w:szCs w:val="18"/>
              </w:rPr>
              <w:t>© 2014 The Authors. Pharmacoepidemiology and Drug Safety</w:t>
            </w:r>
          </w:p>
        </w:tc>
        <w:tc>
          <w:tcPr>
            <w:tcW w:w="50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8"/>
                <w:szCs w:val="18"/>
              </w:rPr>
              <w:t>Pharmacoepidemiology and Drug Safety, 2014; 23: 1238</w:t>
            </w:r>
            <w:r>
              <w:rPr>
                <w:rFonts w:ascii="Arial" w:hAnsi="Arial" w:cs="Arial"/>
                <w:sz w:val="18"/>
                <w:szCs w:val="18"/>
              </w:rPr>
              <w:t>–</w:t>
            </w:r>
            <w:r>
              <w:rPr>
                <w:rFonts w:ascii="Times New Roman" w:hAnsi="Times New Roman"/>
                <w:sz w:val="18"/>
                <w:szCs w:val="18"/>
              </w:rPr>
              <w:t>1246</w:t>
            </w:r>
          </w:p>
        </w:tc>
      </w:tr>
      <w:tr w:rsidR="002A4D1F">
        <w:tblPrEx>
          <w:tblCellMar>
            <w:top w:w="0" w:type="dxa"/>
            <w:left w:w="0" w:type="dxa"/>
            <w:bottom w:w="0" w:type="dxa"/>
            <w:right w:w="0" w:type="dxa"/>
          </w:tblCellMar>
        </w:tblPrEx>
        <w:trPr>
          <w:trHeight w:val="197"/>
        </w:trPr>
        <w:tc>
          <w:tcPr>
            <w:tcW w:w="4980" w:type="dxa"/>
            <w:tcBorders>
              <w:top w:val="nil"/>
              <w:left w:val="nil"/>
              <w:bottom w:val="nil"/>
              <w:right w:val="nil"/>
            </w:tcBorders>
            <w:vAlign w:val="bottom"/>
          </w:tcPr>
          <w:p w:rsidR="002A4D1F" w:rsidRDefault="002A4D1F">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18"/>
                <w:szCs w:val="18"/>
              </w:rPr>
              <w:t>published by John Wiley &amp; Sons, Ltd.</w:t>
            </w:r>
          </w:p>
        </w:tc>
        <w:tc>
          <w:tcPr>
            <w:tcW w:w="5020" w:type="dxa"/>
            <w:tcBorders>
              <w:top w:val="nil"/>
              <w:left w:val="nil"/>
              <w:bottom w:val="nil"/>
              <w:right w:val="nil"/>
            </w:tcBorders>
            <w:vAlign w:val="bottom"/>
          </w:tcPr>
          <w:p w:rsidR="002A4D1F" w:rsidRDefault="002A4D1F">
            <w:pPr>
              <w:widowControl w:val="0"/>
              <w:autoSpaceDE w:val="0"/>
              <w:autoSpaceDN w:val="0"/>
              <w:adjustRightInd w:val="0"/>
              <w:spacing w:after="0" w:line="197" w:lineRule="exact"/>
              <w:jc w:val="right"/>
              <w:rPr>
                <w:rFonts w:ascii="Times New Roman" w:hAnsi="Times New Roman"/>
                <w:sz w:val="24"/>
                <w:szCs w:val="24"/>
              </w:rPr>
            </w:pPr>
            <w:r>
              <w:rPr>
                <w:rFonts w:ascii="Times New Roman" w:hAnsi="Times New Roman"/>
                <w:sz w:val="18"/>
                <w:szCs w:val="18"/>
              </w:rPr>
              <w:t>DOI: 10.1002/pds</w:t>
            </w:r>
          </w:p>
        </w:tc>
      </w:tr>
    </w:tbl>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69" w:right="1000" w:bottom="584" w:left="900" w:header="720" w:footer="720" w:gutter="0"/>
          <w:cols w:space="480" w:equalWidth="0">
            <w:col w:w="10000"/>
          </w:cols>
          <w:noEndnote/>
        </w:sectPr>
      </w:pPr>
    </w:p>
    <w:p w:rsidR="002A4D1F" w:rsidRDefault="002A4D1F">
      <w:pPr>
        <w:widowControl w:val="0"/>
        <w:tabs>
          <w:tab w:val="left" w:pos="4160"/>
        </w:tabs>
        <w:autoSpaceDE w:val="0"/>
        <w:autoSpaceDN w:val="0"/>
        <w:adjustRightInd w:val="0"/>
        <w:spacing w:after="0" w:line="239" w:lineRule="auto"/>
        <w:rPr>
          <w:rFonts w:ascii="Times New Roman" w:hAnsi="Times New Roman"/>
          <w:sz w:val="24"/>
          <w:szCs w:val="24"/>
        </w:rPr>
      </w:pPr>
      <w:bookmarkStart w:id="5" w:name="page5"/>
      <w:bookmarkEnd w:id="5"/>
      <w:r>
        <w:rPr>
          <w:rFonts w:ascii="Times New Roman" w:hAnsi="Times New Roman"/>
          <w:sz w:val="20"/>
          <w:szCs w:val="20"/>
        </w:rPr>
        <w:t>1242</w:t>
      </w:r>
      <w:r>
        <w:rPr>
          <w:rFonts w:ascii="Times New Roman" w:hAnsi="Times New Roman"/>
          <w:sz w:val="24"/>
          <w:szCs w:val="24"/>
        </w:rPr>
        <w:tab/>
      </w:r>
      <w:r>
        <w:rPr>
          <w:rFonts w:ascii="Times New Roman" w:hAnsi="Times New Roman"/>
          <w:sz w:val="20"/>
          <w:szCs w:val="20"/>
        </w:rPr>
        <w:t xml:space="preserve">n. e. sessler </w:t>
      </w:r>
      <w:r>
        <w:rPr>
          <w:rFonts w:ascii="Times New Roman" w:hAnsi="Times New Roman"/>
          <w:i/>
          <w:iCs/>
          <w:sz w:val="20"/>
          <w:szCs w:val="20"/>
        </w:rPr>
        <w:t>et al.</w:t>
      </w:r>
    </w:p>
    <w:p w:rsidR="002A4D1F" w:rsidRDefault="004B391B">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63360" behindDoc="1" locked="0" layoutInCell="0" allowOverlap="1">
            <wp:simplePos x="0" y="0"/>
            <wp:positionH relativeFrom="column">
              <wp:posOffset>437515</wp:posOffset>
            </wp:positionH>
            <wp:positionV relativeFrom="paragraph">
              <wp:posOffset>65405</wp:posOffset>
            </wp:positionV>
            <wp:extent cx="5481955" cy="3347085"/>
            <wp:effectExtent l="0" t="0" r="4445" b="5715"/>
            <wp:wrapNone/>
            <wp:docPr id="7" name="Picture 7" descr="Figure 1. Number of extended-release oxycodone (ERO) fatality reports per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1. Number of extended-release oxycodone (ERO) fatality reports per quar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1955" cy="3347085"/>
                    </a:xfrm>
                    <a:prstGeom prst="rect">
                      <a:avLst/>
                    </a:prstGeom>
                    <a:noFill/>
                  </pic:spPr>
                </pic:pic>
              </a:graphicData>
            </a:graphic>
            <wp14:sizeRelH relativeFrom="page">
              <wp14:pctWidth>0</wp14:pctWidth>
            </wp14:sizeRelH>
            <wp14:sizeRelV relativeFrom="page">
              <wp14:pctHeight>0</wp14:pctHeight>
            </wp14:sizeRelV>
          </wp:anchor>
        </w:drawing>
      </w: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331"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7" w:lineRule="auto"/>
        <w:rPr>
          <w:rFonts w:ascii="Times New Roman" w:hAnsi="Times New Roman"/>
          <w:sz w:val="24"/>
          <w:szCs w:val="24"/>
        </w:rPr>
      </w:pPr>
      <w:r>
        <w:rPr>
          <w:rFonts w:ascii="Times New Roman" w:hAnsi="Times New Roman"/>
          <w:sz w:val="16"/>
          <w:szCs w:val="16"/>
        </w:rPr>
        <w:t>Figure 1. Number of extended-release oxycodone (ERO) fatality reports per quarter. Categories entitled overdose and overdose with mention of abuse-related behavior are de</w:t>
      </w:r>
      <w:r>
        <w:rPr>
          <w:rFonts w:ascii="Arial" w:hAnsi="Arial" w:cs="Arial"/>
          <w:sz w:val="16"/>
          <w:szCs w:val="16"/>
        </w:rPr>
        <w:t>fi</w:t>
      </w:r>
      <w:r>
        <w:rPr>
          <w:rFonts w:ascii="Times New Roman" w:hAnsi="Times New Roman"/>
          <w:sz w:val="16"/>
          <w:szCs w:val="16"/>
        </w:rPr>
        <w:t>ned in methods. Distribution of reformulated ERO to wholesalers was initiated 9 August 2010 (indicated by the arrow).</w:t>
      </w:r>
    </w:p>
    <w:p w:rsidR="002A4D1F" w:rsidRDefault="002A4D1F">
      <w:pPr>
        <w:widowControl w:val="0"/>
        <w:autoSpaceDE w:val="0"/>
        <w:autoSpaceDN w:val="0"/>
        <w:adjustRightInd w:val="0"/>
        <w:spacing w:after="0" w:line="240" w:lineRule="auto"/>
        <w:rPr>
          <w:rFonts w:ascii="Times New Roman" w:hAnsi="Times New Roman"/>
          <w:sz w:val="24"/>
          <w:szCs w:val="24"/>
        </w:rPr>
        <w:sectPr w:rsidR="002A4D1F">
          <w:pgSz w:w="11900" w:h="15817"/>
          <w:pgMar w:top="1168" w:right="900" w:bottom="584" w:left="1000" w:header="720" w:footer="720" w:gutter="0"/>
          <w:cols w:space="720" w:equalWidth="0">
            <w:col w:w="10000"/>
          </w:cols>
          <w:noEndnote/>
        </w:sect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91"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7" w:lineRule="auto"/>
        <w:jc w:val="both"/>
        <w:rPr>
          <w:rFonts w:ascii="Times New Roman" w:hAnsi="Times New Roman"/>
          <w:sz w:val="24"/>
          <w:szCs w:val="24"/>
        </w:rPr>
      </w:pPr>
      <w:r>
        <w:rPr>
          <w:rFonts w:ascii="Times New Roman" w:hAnsi="Times New Roman"/>
        </w:rPr>
        <w:t xml:space="preserve">in the year pre-reformulation, and </w:t>
      </w:r>
      <w:r>
        <w:rPr>
          <w:rFonts w:ascii="Arial" w:hAnsi="Arial" w:cs="Arial"/>
        </w:rPr>
        <w:t>fi</w:t>
      </w:r>
      <w:r>
        <w:rPr>
          <w:rFonts w:ascii="Times New Roman" w:hAnsi="Times New Roman"/>
        </w:rPr>
        <w:t>rst, second, and third year post-reformulation, respectively), though there was no substantial decrease.</w:t>
      </w:r>
    </w:p>
    <w:p w:rsidR="002A4D1F" w:rsidRDefault="002A4D1F">
      <w:pPr>
        <w:widowControl w:val="0"/>
        <w:autoSpaceDE w:val="0"/>
        <w:autoSpaceDN w:val="0"/>
        <w:adjustRightInd w:val="0"/>
        <w:spacing w:after="0" w:line="275" w:lineRule="exact"/>
        <w:rPr>
          <w:rFonts w:ascii="Times New Roman" w:hAnsi="Times New Roman"/>
          <w:sz w:val="24"/>
          <w:szCs w:val="24"/>
        </w:rPr>
      </w:pPr>
    </w:p>
    <w:p w:rsidR="002A4D1F" w:rsidRDefault="002A4D1F">
      <w:pPr>
        <w:widowControl w:val="0"/>
        <w:overflowPunct w:val="0"/>
        <w:autoSpaceDE w:val="0"/>
        <w:autoSpaceDN w:val="0"/>
        <w:adjustRightInd w:val="0"/>
        <w:spacing w:after="0" w:line="216" w:lineRule="auto"/>
        <w:ind w:right="500"/>
        <w:rPr>
          <w:rFonts w:ascii="Times New Roman" w:hAnsi="Times New Roman"/>
          <w:sz w:val="24"/>
          <w:szCs w:val="24"/>
        </w:rPr>
      </w:pPr>
      <w:r>
        <w:rPr>
          <w:rFonts w:ascii="Times New Roman" w:hAnsi="Times New Roman"/>
        </w:rPr>
        <w:t>Fatality reports for extended-release oxycodone versus all oxycodone</w:t>
      </w:r>
    </w:p>
    <w:p w:rsidR="002A4D1F" w:rsidRDefault="002A4D1F">
      <w:pPr>
        <w:widowControl w:val="0"/>
        <w:autoSpaceDE w:val="0"/>
        <w:autoSpaceDN w:val="0"/>
        <w:adjustRightInd w:val="0"/>
        <w:spacing w:after="0" w:line="101"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7" w:lineRule="auto"/>
        <w:jc w:val="both"/>
        <w:rPr>
          <w:rFonts w:ascii="Times New Roman" w:hAnsi="Times New Roman"/>
          <w:sz w:val="24"/>
          <w:szCs w:val="24"/>
        </w:rPr>
      </w:pPr>
      <w:r>
        <w:rPr>
          <w:rFonts w:ascii="Times New Roman" w:hAnsi="Times New Roman"/>
        </w:rPr>
        <w:t>The ratio of the numbers of fatalities involving ERO reported to the manufacturer relative to fatalities with any oxycodone categorized as suspect drug reported to FDA decreased signi</w:t>
      </w:r>
      <w:r>
        <w:rPr>
          <w:rFonts w:ascii="Arial" w:hAnsi="Arial" w:cs="Arial"/>
        </w:rPr>
        <w:t>fi</w:t>
      </w:r>
      <w:r>
        <w:rPr>
          <w:rFonts w:ascii="Times New Roman" w:hAnsi="Times New Roman"/>
        </w:rPr>
        <w:t xml:space="preserve">cantly (p </w:t>
      </w:r>
      <w:r>
        <w:rPr>
          <w:rFonts w:ascii="Arial" w:hAnsi="Arial" w:cs="Arial"/>
        </w:rPr>
        <w:t>&lt;</w:t>
      </w:r>
      <w:r>
        <w:rPr>
          <w:rFonts w:ascii="Times New Roman" w:hAnsi="Times New Roman"/>
        </w:rPr>
        <w:t xml:space="preserve"> 0.0001) from 21% (131/637) in the year pre-reformulation to 22% (122/551), 8% (50/616), and 10% (12/120) in the </w:t>
      </w:r>
      <w:r>
        <w:rPr>
          <w:rFonts w:ascii="Arial" w:hAnsi="Arial" w:cs="Arial"/>
        </w:rPr>
        <w:t>fi</w:t>
      </w:r>
      <w:r>
        <w:rPr>
          <w:rFonts w:ascii="Times New Roman" w:hAnsi="Times New Roman"/>
        </w:rPr>
        <w:t xml:space="preserve">rst, second, and </w:t>
      </w:r>
      <w:r>
        <w:rPr>
          <w:rFonts w:ascii="Arial" w:hAnsi="Arial" w:cs="Arial"/>
        </w:rPr>
        <w:t>fi</w:t>
      </w:r>
      <w:r>
        <w:rPr>
          <w:rFonts w:ascii="Times New Roman" w:hAnsi="Times New Roman"/>
        </w:rPr>
        <w:t>rst 6 months of third year post-reformu-lation, respectively.</w:t>
      </w:r>
    </w:p>
    <w:p w:rsidR="002A4D1F" w:rsidRDefault="002A4D1F">
      <w:pPr>
        <w:widowControl w:val="0"/>
        <w:autoSpaceDE w:val="0"/>
        <w:autoSpaceDN w:val="0"/>
        <w:adjustRightInd w:val="0"/>
        <w:spacing w:after="0" w:line="261" w:lineRule="exact"/>
        <w:rPr>
          <w:rFonts w:ascii="Times New Roman" w:hAnsi="Times New Roman"/>
          <w:sz w:val="24"/>
          <w:szCs w:val="24"/>
        </w:rPr>
      </w:pPr>
    </w:p>
    <w:p w:rsidR="002A4D1F" w:rsidRDefault="002A4D1F">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Sensitivity analyses</w:t>
      </w:r>
    </w:p>
    <w:p w:rsidR="002A4D1F" w:rsidRDefault="002A4D1F">
      <w:pPr>
        <w:widowControl w:val="0"/>
        <w:autoSpaceDE w:val="0"/>
        <w:autoSpaceDN w:val="0"/>
        <w:adjustRightInd w:val="0"/>
        <w:spacing w:after="0" w:line="101"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0" w:lineRule="auto"/>
        <w:jc w:val="both"/>
        <w:rPr>
          <w:rFonts w:ascii="Times New Roman" w:hAnsi="Times New Roman"/>
          <w:sz w:val="24"/>
          <w:szCs w:val="24"/>
        </w:rPr>
      </w:pPr>
      <w:r>
        <w:rPr>
          <w:rFonts w:ascii="Times New Roman" w:hAnsi="Times New Roman"/>
        </w:rPr>
        <w:t>To assess the robustness of the primary results, sensi-tivity analyses were conducted adjusting for the num-ber of dispensed ERO prescriptions, missing date of death information, reporter type, reporter source, for-mulation speci</w:t>
      </w:r>
      <w:r>
        <w:rPr>
          <w:rFonts w:ascii="Arial" w:hAnsi="Arial" w:cs="Arial"/>
        </w:rPr>
        <w:t>fi</w:t>
      </w:r>
      <w:r>
        <w:rPr>
          <w:rFonts w:ascii="Times New Roman" w:hAnsi="Times New Roman"/>
        </w:rPr>
        <w:t>city, and reporting time lag (Table 3).</w:t>
      </w:r>
    </w:p>
    <w:p w:rsidR="002A4D1F" w:rsidRDefault="002A4D1F">
      <w:pPr>
        <w:widowControl w:val="0"/>
        <w:autoSpaceDE w:val="0"/>
        <w:autoSpaceDN w:val="0"/>
        <w:adjustRightInd w:val="0"/>
        <w:spacing w:after="0" w:line="4"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7" w:lineRule="auto"/>
        <w:ind w:firstLine="199"/>
        <w:jc w:val="both"/>
        <w:rPr>
          <w:rFonts w:ascii="Times New Roman" w:hAnsi="Times New Roman"/>
          <w:sz w:val="24"/>
          <w:szCs w:val="24"/>
        </w:rPr>
      </w:pPr>
      <w:r>
        <w:rPr>
          <w:rFonts w:ascii="Times New Roman" w:hAnsi="Times New Roman"/>
        </w:rPr>
        <w:t xml:space="preserve">Relative to the pre-reformulation year, the number of ERO prescriptions dispensed in retail, long-term care, and mail-order pharmacies decreased by 2% from 1.72 million to 1.69 million per quarter in the </w:t>
      </w:r>
      <w:r>
        <w:rPr>
          <w:rFonts w:ascii="Arial" w:hAnsi="Arial" w:cs="Arial"/>
        </w:rPr>
        <w:t>fi</w:t>
      </w:r>
      <w:r>
        <w:rPr>
          <w:rFonts w:ascii="Times New Roman" w:hAnsi="Times New Roman"/>
        </w:rPr>
        <w:t>rst, by 9% to 1.57 million per quarter in the second,</w:t>
      </w:r>
    </w:p>
    <w:p w:rsidR="002A4D1F" w:rsidRDefault="002A4D1F">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2A4D1F" w:rsidRDefault="002A4D1F">
      <w:pPr>
        <w:widowControl w:val="0"/>
        <w:autoSpaceDE w:val="0"/>
        <w:autoSpaceDN w:val="0"/>
        <w:adjustRightInd w:val="0"/>
        <w:spacing w:after="0" w:line="291"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8" w:lineRule="auto"/>
        <w:jc w:val="both"/>
        <w:rPr>
          <w:rFonts w:ascii="Times New Roman" w:hAnsi="Times New Roman"/>
          <w:sz w:val="24"/>
          <w:szCs w:val="24"/>
        </w:rPr>
      </w:pPr>
      <w:r>
        <w:rPr>
          <w:rFonts w:ascii="Times New Roman" w:hAnsi="Times New Roman"/>
          <w:sz w:val="21"/>
          <w:szCs w:val="21"/>
        </w:rPr>
        <w:t>and by 12% to 1.51 million per quarter in the third post-reformulation year (Figure 2). Decreasing trends in fatality counts were detectably, but not substan-tially, altered when adjusted for ERO prescription numbers. The prescription-adjusted rate of all fatality reports decreased by 80% (95% CI: 87% to 69%) comparing the year pre-reformulation to the third year post-reformulation. Signi</w:t>
      </w:r>
      <w:r>
        <w:rPr>
          <w:rFonts w:ascii="Arial" w:hAnsi="Arial" w:cs="Arial"/>
          <w:sz w:val="21"/>
          <w:szCs w:val="21"/>
        </w:rPr>
        <w:t>fi</w:t>
      </w:r>
      <w:r>
        <w:rPr>
          <w:rFonts w:ascii="Times New Roman" w:hAnsi="Times New Roman"/>
          <w:sz w:val="21"/>
          <w:szCs w:val="21"/>
        </w:rPr>
        <w:t>cant decreases in reported fatal overdose cases and fatal overdose cases that also mentioned abuse-related behavior were also observed.</w:t>
      </w:r>
    </w:p>
    <w:p w:rsidR="002A4D1F" w:rsidRDefault="002A4D1F">
      <w:pPr>
        <w:widowControl w:val="0"/>
        <w:autoSpaceDE w:val="0"/>
        <w:autoSpaceDN w:val="0"/>
        <w:adjustRightInd w:val="0"/>
        <w:spacing w:after="0" w:line="5"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7" w:lineRule="auto"/>
        <w:ind w:firstLine="201"/>
        <w:jc w:val="both"/>
        <w:rPr>
          <w:rFonts w:ascii="Times New Roman" w:hAnsi="Times New Roman"/>
          <w:sz w:val="24"/>
          <w:szCs w:val="24"/>
        </w:rPr>
      </w:pPr>
      <w:r>
        <w:rPr>
          <w:rFonts w:ascii="Times New Roman" w:hAnsi="Times New Roman"/>
        </w:rPr>
        <w:t>Limiting the analysis to reports received from healthcare professionals, con</w:t>
      </w:r>
      <w:r>
        <w:rPr>
          <w:rFonts w:ascii="Arial" w:hAnsi="Arial" w:cs="Arial"/>
        </w:rPr>
        <w:t>fi</w:t>
      </w:r>
      <w:r>
        <w:rPr>
          <w:rFonts w:ascii="Times New Roman" w:hAnsi="Times New Roman"/>
        </w:rPr>
        <w:t xml:space="preserve">ning the analysis to fa-tality cases where brand name </w:t>
      </w:r>
      <w:r>
        <w:rPr>
          <w:rFonts w:ascii="Arial" w:hAnsi="Arial" w:cs="Arial"/>
        </w:rPr>
        <w:t>“</w:t>
      </w:r>
      <w:r>
        <w:rPr>
          <w:rFonts w:ascii="Times New Roman" w:hAnsi="Times New Roman"/>
        </w:rPr>
        <w:t>OxyContin</w:t>
      </w:r>
      <w:r>
        <w:rPr>
          <w:rFonts w:ascii="Arial" w:hAnsi="Arial" w:cs="Arial"/>
        </w:rPr>
        <w:t>”</w:t>
      </w:r>
      <w:r>
        <w:rPr>
          <w:rFonts w:ascii="Times New Roman" w:hAnsi="Times New Roman"/>
        </w:rPr>
        <w:t xml:space="preserve"> was men-tioned, removing fatality reports with textual mention of suicide or homicide (42 cases), or inclusion of post-marketing studies (82 cases) did not change the results substantially. Imposing a consistent reporting lag period of 3 or 6 months for all quarters across the study period showed similar decreases in fatality re-ports post-reformulation, suggesting that the observed decreases were not affected by a reporting lag.</w:t>
      </w:r>
    </w:p>
    <w:p w:rsidR="002A4D1F" w:rsidRDefault="002A4D1F">
      <w:pPr>
        <w:widowControl w:val="0"/>
        <w:autoSpaceDE w:val="0"/>
        <w:autoSpaceDN w:val="0"/>
        <w:adjustRightInd w:val="0"/>
        <w:spacing w:after="0" w:line="6"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8" w:lineRule="auto"/>
        <w:ind w:firstLine="201"/>
        <w:jc w:val="both"/>
        <w:rPr>
          <w:rFonts w:ascii="Times New Roman" w:hAnsi="Times New Roman"/>
          <w:sz w:val="24"/>
          <w:szCs w:val="24"/>
        </w:rPr>
      </w:pPr>
      <w:r>
        <w:rPr>
          <w:rFonts w:ascii="Times New Roman" w:hAnsi="Times New Roman"/>
          <w:sz w:val="21"/>
          <w:szCs w:val="21"/>
        </w:rPr>
        <w:t xml:space="preserve">During the study period, the manufacturer received 376 fatality cases missing the date of death. In compar-ison with reports that included this information, these reports, in general, lacked detailed information regard-ing autopsy </w:t>
      </w:r>
      <w:r>
        <w:rPr>
          <w:rFonts w:ascii="Arial" w:hAnsi="Arial" w:cs="Arial"/>
          <w:sz w:val="21"/>
          <w:szCs w:val="21"/>
        </w:rPr>
        <w:t>fi</w:t>
      </w:r>
      <w:r>
        <w:rPr>
          <w:rFonts w:ascii="Times New Roman" w:hAnsi="Times New Roman"/>
          <w:sz w:val="21"/>
          <w:szCs w:val="21"/>
        </w:rPr>
        <w:t>ndings, toxicology results, patient age, and concomitant drugs. Analysis combining the</w:t>
      </w:r>
    </w:p>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68" w:right="900" w:bottom="584" w:left="1000" w:header="720" w:footer="720" w:gutter="0"/>
          <w:cols w:num="2" w:space="480" w:equalWidth="0">
            <w:col w:w="4760" w:space="480"/>
            <w:col w:w="4760"/>
          </w:cols>
          <w:noEndnote/>
        </w:sectPr>
      </w:pPr>
    </w:p>
    <w:p w:rsidR="002A4D1F" w:rsidRDefault="002A4D1F">
      <w:pPr>
        <w:widowControl w:val="0"/>
        <w:autoSpaceDE w:val="0"/>
        <w:autoSpaceDN w:val="0"/>
        <w:adjustRightInd w:val="0"/>
        <w:spacing w:after="0" w:line="274"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80"/>
        <w:gridCol w:w="5020"/>
      </w:tblGrid>
      <w:tr w:rsidR="002A4D1F">
        <w:tblPrEx>
          <w:tblCellMar>
            <w:top w:w="0" w:type="dxa"/>
            <w:left w:w="0" w:type="dxa"/>
            <w:bottom w:w="0" w:type="dxa"/>
            <w:right w:w="0" w:type="dxa"/>
          </w:tblCellMar>
        </w:tblPrEx>
        <w:trPr>
          <w:trHeight w:val="208"/>
        </w:trPr>
        <w:tc>
          <w:tcPr>
            <w:tcW w:w="4980" w:type="dxa"/>
            <w:tcBorders>
              <w:top w:val="nil"/>
              <w:left w:val="nil"/>
              <w:bottom w:val="nil"/>
              <w:right w:val="nil"/>
            </w:tcBorders>
            <w:vAlign w:val="bottom"/>
          </w:tcPr>
          <w:p w:rsidR="002A4D1F" w:rsidRDefault="002A4D1F">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18"/>
                <w:szCs w:val="18"/>
              </w:rPr>
              <w:t>© 2014 The Authors. Pharmacoepidemiology and Drug Safety</w:t>
            </w:r>
          </w:p>
        </w:tc>
        <w:tc>
          <w:tcPr>
            <w:tcW w:w="50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8"/>
                <w:szCs w:val="18"/>
              </w:rPr>
              <w:t>Pharmacoepidemiology and Drug Safety, 2014; 23: 1238</w:t>
            </w:r>
            <w:r>
              <w:rPr>
                <w:rFonts w:ascii="Arial" w:hAnsi="Arial" w:cs="Arial"/>
                <w:sz w:val="18"/>
                <w:szCs w:val="18"/>
              </w:rPr>
              <w:t>–</w:t>
            </w:r>
            <w:r>
              <w:rPr>
                <w:rFonts w:ascii="Times New Roman" w:hAnsi="Times New Roman"/>
                <w:sz w:val="18"/>
                <w:szCs w:val="18"/>
              </w:rPr>
              <w:t>1246</w:t>
            </w:r>
          </w:p>
        </w:tc>
      </w:tr>
      <w:tr w:rsidR="002A4D1F">
        <w:tblPrEx>
          <w:tblCellMar>
            <w:top w:w="0" w:type="dxa"/>
            <w:left w:w="0" w:type="dxa"/>
            <w:bottom w:w="0" w:type="dxa"/>
            <w:right w:w="0" w:type="dxa"/>
          </w:tblCellMar>
        </w:tblPrEx>
        <w:trPr>
          <w:trHeight w:val="197"/>
        </w:trPr>
        <w:tc>
          <w:tcPr>
            <w:tcW w:w="4980" w:type="dxa"/>
            <w:tcBorders>
              <w:top w:val="nil"/>
              <w:left w:val="nil"/>
              <w:bottom w:val="nil"/>
              <w:right w:val="nil"/>
            </w:tcBorders>
            <w:vAlign w:val="bottom"/>
          </w:tcPr>
          <w:p w:rsidR="002A4D1F" w:rsidRDefault="002A4D1F">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18"/>
                <w:szCs w:val="18"/>
              </w:rPr>
              <w:t>published by John Wiley &amp; Sons, Ltd.</w:t>
            </w:r>
          </w:p>
        </w:tc>
        <w:tc>
          <w:tcPr>
            <w:tcW w:w="5020" w:type="dxa"/>
            <w:tcBorders>
              <w:top w:val="nil"/>
              <w:left w:val="nil"/>
              <w:bottom w:val="nil"/>
              <w:right w:val="nil"/>
            </w:tcBorders>
            <w:vAlign w:val="bottom"/>
          </w:tcPr>
          <w:p w:rsidR="002A4D1F" w:rsidRDefault="002A4D1F">
            <w:pPr>
              <w:widowControl w:val="0"/>
              <w:autoSpaceDE w:val="0"/>
              <w:autoSpaceDN w:val="0"/>
              <w:adjustRightInd w:val="0"/>
              <w:spacing w:after="0" w:line="197" w:lineRule="exact"/>
              <w:jc w:val="right"/>
              <w:rPr>
                <w:rFonts w:ascii="Times New Roman" w:hAnsi="Times New Roman"/>
                <w:sz w:val="24"/>
                <w:szCs w:val="24"/>
              </w:rPr>
            </w:pPr>
            <w:r>
              <w:rPr>
                <w:rFonts w:ascii="Times New Roman" w:hAnsi="Times New Roman"/>
                <w:sz w:val="18"/>
                <w:szCs w:val="18"/>
              </w:rPr>
              <w:t>DOI: 10.1002/pds</w:t>
            </w:r>
          </w:p>
        </w:tc>
      </w:tr>
    </w:tbl>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68" w:right="900" w:bottom="584" w:left="1000" w:header="720" w:footer="720" w:gutter="0"/>
          <w:cols w:space="480" w:equalWidth="0">
            <w:col w:w="10000"/>
          </w:cols>
          <w:noEndnote/>
        </w:sectPr>
      </w:pPr>
    </w:p>
    <w:tbl>
      <w:tblPr>
        <w:tblW w:w="0" w:type="auto"/>
        <w:tblInd w:w="2440" w:type="dxa"/>
        <w:tblLayout w:type="fixed"/>
        <w:tblCellMar>
          <w:left w:w="0" w:type="dxa"/>
          <w:right w:w="0" w:type="dxa"/>
        </w:tblCellMar>
        <w:tblLook w:val="0000" w:firstRow="0" w:lastRow="0" w:firstColumn="0" w:lastColumn="0" w:noHBand="0" w:noVBand="0"/>
      </w:tblPr>
      <w:tblGrid>
        <w:gridCol w:w="6140"/>
        <w:gridCol w:w="1420"/>
      </w:tblGrid>
      <w:tr w:rsidR="002A4D1F">
        <w:tblPrEx>
          <w:tblCellMar>
            <w:top w:w="0" w:type="dxa"/>
            <w:left w:w="0" w:type="dxa"/>
            <w:bottom w:w="0" w:type="dxa"/>
            <w:right w:w="0" w:type="dxa"/>
          </w:tblCellMar>
        </w:tblPrEx>
        <w:trPr>
          <w:trHeight w:val="230"/>
        </w:trPr>
        <w:tc>
          <w:tcPr>
            <w:tcW w:w="6140" w:type="dxa"/>
            <w:tcBorders>
              <w:top w:val="nil"/>
              <w:left w:val="nil"/>
              <w:bottom w:val="nil"/>
              <w:right w:val="nil"/>
            </w:tcBorders>
            <w:vAlign w:val="bottom"/>
          </w:tcPr>
          <w:p w:rsidR="002A4D1F" w:rsidRDefault="002A4D1F">
            <w:pPr>
              <w:widowControl w:val="0"/>
              <w:autoSpaceDE w:val="0"/>
              <w:autoSpaceDN w:val="0"/>
              <w:adjustRightInd w:val="0"/>
              <w:spacing w:after="0" w:line="229" w:lineRule="exact"/>
              <w:rPr>
                <w:rFonts w:ascii="Times New Roman" w:hAnsi="Times New Roman"/>
                <w:sz w:val="24"/>
                <w:szCs w:val="24"/>
              </w:rPr>
            </w:pPr>
            <w:bookmarkStart w:id="6" w:name="page6"/>
            <w:bookmarkEnd w:id="6"/>
            <w:r>
              <w:rPr>
                <w:rFonts w:ascii="Times New Roman" w:hAnsi="Times New Roman"/>
                <w:sz w:val="20"/>
                <w:szCs w:val="20"/>
              </w:rPr>
              <w:t>fatality report decrease with reformulated oxycontin</w:t>
            </w:r>
          </w:p>
        </w:tc>
        <w:tc>
          <w:tcPr>
            <w:tcW w:w="1420" w:type="dxa"/>
            <w:tcBorders>
              <w:top w:val="nil"/>
              <w:left w:val="nil"/>
              <w:bottom w:val="nil"/>
              <w:right w:val="nil"/>
            </w:tcBorders>
            <w:vAlign w:val="bottom"/>
          </w:tcPr>
          <w:p w:rsidR="002A4D1F" w:rsidRDefault="002A4D1F">
            <w:pPr>
              <w:widowControl w:val="0"/>
              <w:autoSpaceDE w:val="0"/>
              <w:autoSpaceDN w:val="0"/>
              <w:adjustRightInd w:val="0"/>
              <w:spacing w:after="0" w:line="229" w:lineRule="exact"/>
              <w:jc w:val="right"/>
              <w:rPr>
                <w:rFonts w:ascii="Times New Roman" w:hAnsi="Times New Roman"/>
                <w:sz w:val="24"/>
                <w:szCs w:val="24"/>
              </w:rPr>
            </w:pPr>
            <w:r>
              <w:rPr>
                <w:rFonts w:ascii="Times New Roman" w:hAnsi="Times New Roman"/>
                <w:sz w:val="20"/>
                <w:szCs w:val="20"/>
              </w:rPr>
              <w:t>1243</w:t>
            </w:r>
          </w:p>
        </w:tc>
      </w:tr>
    </w:tbl>
    <w:p w:rsidR="002A4D1F" w:rsidRDefault="002A4D1F">
      <w:pPr>
        <w:widowControl w:val="0"/>
        <w:autoSpaceDE w:val="0"/>
        <w:autoSpaceDN w:val="0"/>
        <w:adjustRightInd w:val="0"/>
        <w:spacing w:after="0" w:line="140"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9" w:lineRule="auto"/>
        <w:jc w:val="both"/>
        <w:rPr>
          <w:rFonts w:ascii="Times New Roman" w:hAnsi="Times New Roman"/>
          <w:sz w:val="24"/>
          <w:szCs w:val="24"/>
        </w:rPr>
      </w:pPr>
      <w:r>
        <w:rPr>
          <w:rFonts w:ascii="Times New Roman" w:hAnsi="Times New Roman"/>
          <w:sz w:val="16"/>
          <w:szCs w:val="16"/>
        </w:rPr>
        <w:t>Table 3. Changes in the number of extended-release oxycodone fatality reports per quarter received by the manufacturer from 1 year before to 3 years after introduction of reformulated extended-release oxycodone</w:t>
      </w:r>
    </w:p>
    <w:p w:rsidR="002A4D1F" w:rsidRDefault="004B391B">
      <w:pPr>
        <w:widowControl w:val="0"/>
        <w:autoSpaceDE w:val="0"/>
        <w:autoSpaceDN w:val="0"/>
        <w:adjustRightInd w:val="0"/>
        <w:spacing w:after="0" w:line="138" w:lineRule="exact"/>
        <w:rPr>
          <w:rFonts w:ascii="Times New Roman" w:hAnsi="Times New Roman"/>
          <w:sz w:val="24"/>
          <w:szCs w:val="24"/>
        </w:rPr>
      </w:pPr>
      <w:r>
        <w:rPr>
          <w:noProof/>
        </w:rPr>
        <mc:AlternateContent>
          <mc:Choice Requires="wps">
            <w:drawing>
              <wp:anchor distT="0" distB="0" distL="114300" distR="114300" simplePos="0" relativeHeight="251664384" behindDoc="1" locked="0" layoutInCell="0" allowOverlap="1">
                <wp:simplePos x="0" y="0"/>
                <wp:positionH relativeFrom="column">
                  <wp:posOffset>0</wp:posOffset>
                </wp:positionH>
                <wp:positionV relativeFrom="paragraph">
                  <wp:posOffset>50165</wp:posOffset>
                </wp:positionV>
                <wp:extent cx="6349365" cy="0"/>
                <wp:effectExtent l="0" t="0" r="0" b="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9365" cy="0"/>
                        </a:xfrm>
                        <a:prstGeom prst="line">
                          <a:avLst/>
                        </a:prstGeom>
                        <a:noFill/>
                        <a:ln w="12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9.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" o:allowincell="f" strokeweight=".34mm"/>
            </w:pict>
          </mc:Fallback>
        </mc:AlternateContent>
      </w:r>
    </w:p>
    <w:tbl>
      <w:tblPr>
        <w:tblW w:w="0" w:type="auto"/>
        <w:tblLayout w:type="fixed"/>
        <w:tblCellMar>
          <w:left w:w="0" w:type="dxa"/>
          <w:right w:w="0" w:type="dxa"/>
        </w:tblCellMar>
        <w:tblLook w:val="0000" w:firstRow="0" w:lastRow="0" w:firstColumn="0" w:lastColumn="0" w:noHBand="0" w:noVBand="0"/>
      </w:tblPr>
      <w:tblGrid>
        <w:gridCol w:w="1900"/>
        <w:gridCol w:w="120"/>
        <w:gridCol w:w="1700"/>
        <w:gridCol w:w="240"/>
        <w:gridCol w:w="640"/>
        <w:gridCol w:w="420"/>
        <w:gridCol w:w="420"/>
        <w:gridCol w:w="340"/>
        <w:gridCol w:w="240"/>
        <w:gridCol w:w="600"/>
        <w:gridCol w:w="1340"/>
        <w:gridCol w:w="240"/>
        <w:gridCol w:w="500"/>
        <w:gridCol w:w="500"/>
        <w:gridCol w:w="800"/>
        <w:gridCol w:w="20"/>
      </w:tblGrid>
      <w:tr w:rsidR="002A4D1F">
        <w:tblPrEx>
          <w:tblCellMar>
            <w:top w:w="0" w:type="dxa"/>
            <w:left w:w="0" w:type="dxa"/>
            <w:bottom w:w="0" w:type="dxa"/>
            <w:right w:w="0" w:type="dxa"/>
          </w:tblCellMar>
        </w:tblPrEx>
        <w:trPr>
          <w:trHeight w:val="184"/>
        </w:trPr>
        <w:tc>
          <w:tcPr>
            <w:tcW w:w="19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1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19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w w:val="99"/>
                <w:sz w:val="16"/>
                <w:szCs w:val="16"/>
              </w:rPr>
              <w:t>Second year post-</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1800" w:type="dxa"/>
            <w:gridSpan w:val="3"/>
            <w:tcBorders>
              <w:top w:val="nil"/>
              <w:left w:val="nil"/>
              <w:bottom w:val="nil"/>
              <w:right w:val="nil"/>
            </w:tcBorders>
            <w:vAlign w:val="bottom"/>
          </w:tcPr>
          <w:p w:rsidR="002A4D1F" w:rsidRDefault="002A4D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16"/>
                <w:szCs w:val="16"/>
              </w:rPr>
              <w:t>Third year post-</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79"/>
        </w:trPr>
        <w:tc>
          <w:tcPr>
            <w:tcW w:w="19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9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120"/>
              <w:jc w:val="center"/>
              <w:rPr>
                <w:rFonts w:ascii="Times New Roman" w:hAnsi="Times New Roman"/>
                <w:sz w:val="24"/>
                <w:szCs w:val="24"/>
              </w:rPr>
            </w:pPr>
            <w:r>
              <w:rPr>
                <w:rFonts w:ascii="Times New Roman" w:hAnsi="Times New Roman"/>
                <w:w w:val="99"/>
                <w:sz w:val="16"/>
                <w:szCs w:val="16"/>
              </w:rPr>
              <w:t>1-year pre-reformulation</w:t>
            </w:r>
          </w:p>
        </w:tc>
        <w:tc>
          <w:tcPr>
            <w:tcW w:w="2060" w:type="dxa"/>
            <w:gridSpan w:val="5"/>
            <w:tcBorders>
              <w:top w:val="nil"/>
              <w:left w:val="nil"/>
              <w:bottom w:val="nil"/>
              <w:right w:val="nil"/>
            </w:tcBorders>
            <w:vAlign w:val="bottom"/>
          </w:tcPr>
          <w:p w:rsidR="002A4D1F" w:rsidRDefault="002A4D1F">
            <w:pPr>
              <w:widowControl w:val="0"/>
              <w:autoSpaceDE w:val="0"/>
              <w:autoSpaceDN w:val="0"/>
              <w:adjustRightInd w:val="0"/>
              <w:spacing w:after="0" w:line="179" w:lineRule="exact"/>
              <w:rPr>
                <w:rFonts w:ascii="Times New Roman" w:hAnsi="Times New Roman"/>
                <w:sz w:val="24"/>
                <w:szCs w:val="24"/>
              </w:rPr>
            </w:pPr>
            <w:r>
              <w:rPr>
                <w:rFonts w:ascii="Times New Roman" w:hAnsi="Times New Roman"/>
                <w:sz w:val="16"/>
                <w:szCs w:val="16"/>
              </w:rPr>
              <w:t>First year post-reformulation</w:t>
            </w:r>
          </w:p>
        </w:tc>
        <w:tc>
          <w:tcPr>
            <w:tcW w:w="19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9" w:lineRule="exact"/>
              <w:jc w:val="center"/>
              <w:rPr>
                <w:rFonts w:ascii="Times New Roman" w:hAnsi="Times New Roman"/>
                <w:sz w:val="24"/>
                <w:szCs w:val="24"/>
              </w:rPr>
            </w:pPr>
            <w:r>
              <w:rPr>
                <w:rFonts w:ascii="Times New Roman" w:hAnsi="Times New Roman"/>
                <w:w w:val="97"/>
                <w:sz w:val="16"/>
                <w:szCs w:val="16"/>
              </w:rPr>
              <w:t>reformulation (3Q2011</w:t>
            </w:r>
            <w:r>
              <w:rPr>
                <w:rFonts w:ascii="Arial" w:hAnsi="Arial" w:cs="Arial"/>
                <w:w w:val="97"/>
                <w:sz w:val="16"/>
                <w:szCs w:val="16"/>
              </w:rPr>
              <w:t>–</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800" w:type="dxa"/>
            <w:gridSpan w:val="3"/>
            <w:tcBorders>
              <w:top w:val="nil"/>
              <w:left w:val="nil"/>
              <w:bottom w:val="nil"/>
              <w:right w:val="nil"/>
            </w:tcBorders>
            <w:vAlign w:val="bottom"/>
          </w:tcPr>
          <w:p w:rsidR="002A4D1F" w:rsidRDefault="002A4D1F">
            <w:pPr>
              <w:widowControl w:val="0"/>
              <w:autoSpaceDE w:val="0"/>
              <w:autoSpaceDN w:val="0"/>
              <w:adjustRightInd w:val="0"/>
              <w:spacing w:after="0" w:line="179" w:lineRule="exact"/>
              <w:jc w:val="center"/>
              <w:rPr>
                <w:rFonts w:ascii="Times New Roman" w:hAnsi="Times New Roman"/>
                <w:sz w:val="24"/>
                <w:szCs w:val="24"/>
              </w:rPr>
            </w:pPr>
            <w:r>
              <w:rPr>
                <w:rFonts w:ascii="Times New Roman" w:hAnsi="Times New Roman"/>
                <w:w w:val="98"/>
                <w:sz w:val="16"/>
                <w:szCs w:val="16"/>
              </w:rPr>
              <w:t>reformulation (3Q2012</w:t>
            </w:r>
            <w:r>
              <w:rPr>
                <w:rFonts w:ascii="Arial" w:hAnsi="Arial" w:cs="Arial"/>
                <w:w w:val="98"/>
                <w:sz w:val="16"/>
                <w:szCs w:val="16"/>
              </w:rPr>
              <w:t>–</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0"/>
        </w:trPr>
        <w:tc>
          <w:tcPr>
            <w:tcW w:w="19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9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120"/>
              <w:jc w:val="center"/>
              <w:rPr>
                <w:rFonts w:ascii="Times New Roman" w:hAnsi="Times New Roman"/>
                <w:sz w:val="24"/>
                <w:szCs w:val="24"/>
              </w:rPr>
            </w:pPr>
            <w:r>
              <w:rPr>
                <w:rFonts w:ascii="Times New Roman" w:hAnsi="Times New Roman"/>
                <w:w w:val="99"/>
                <w:sz w:val="16"/>
                <w:szCs w:val="16"/>
              </w:rPr>
              <w:t>(3Q2009</w:t>
            </w:r>
            <w:r>
              <w:rPr>
                <w:rFonts w:ascii="Arial" w:hAnsi="Arial" w:cs="Arial"/>
                <w:w w:val="99"/>
                <w:sz w:val="16"/>
                <w:szCs w:val="16"/>
              </w:rPr>
              <w:t>–</w:t>
            </w:r>
            <w:r>
              <w:rPr>
                <w:rFonts w:ascii="Times New Roman" w:hAnsi="Times New Roman"/>
                <w:w w:val="99"/>
                <w:sz w:val="16"/>
                <w:szCs w:val="16"/>
              </w:rPr>
              <w:t>2Q2010)</w:t>
            </w:r>
          </w:p>
        </w:tc>
        <w:tc>
          <w:tcPr>
            <w:tcW w:w="2060" w:type="dxa"/>
            <w:gridSpan w:val="5"/>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540"/>
              <w:jc w:val="right"/>
              <w:rPr>
                <w:rFonts w:ascii="Times New Roman" w:hAnsi="Times New Roman"/>
                <w:sz w:val="24"/>
                <w:szCs w:val="24"/>
              </w:rPr>
            </w:pPr>
            <w:r>
              <w:rPr>
                <w:rFonts w:ascii="Times New Roman" w:hAnsi="Times New Roman"/>
                <w:sz w:val="16"/>
                <w:szCs w:val="16"/>
              </w:rPr>
              <w:t>(3Q2010</w:t>
            </w:r>
            <w:r>
              <w:rPr>
                <w:rFonts w:ascii="Arial" w:hAnsi="Arial" w:cs="Arial"/>
                <w:sz w:val="16"/>
                <w:szCs w:val="16"/>
              </w:rPr>
              <w:t>–</w:t>
            </w:r>
            <w:r>
              <w:rPr>
                <w:rFonts w:ascii="Times New Roman" w:hAnsi="Times New Roman"/>
                <w:sz w:val="16"/>
                <w:szCs w:val="16"/>
              </w:rPr>
              <w:t>2Q2011)</w:t>
            </w: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520"/>
              <w:jc w:val="center"/>
              <w:rPr>
                <w:rFonts w:ascii="Times New Roman" w:hAnsi="Times New Roman"/>
                <w:sz w:val="24"/>
                <w:szCs w:val="24"/>
              </w:rPr>
            </w:pPr>
            <w:r>
              <w:rPr>
                <w:rFonts w:ascii="Times New Roman" w:hAnsi="Times New Roman"/>
                <w:sz w:val="16"/>
                <w:szCs w:val="16"/>
              </w:rPr>
              <w:t>2Q2012)</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30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420"/>
              <w:jc w:val="center"/>
              <w:rPr>
                <w:rFonts w:ascii="Times New Roman" w:hAnsi="Times New Roman"/>
                <w:sz w:val="24"/>
                <w:szCs w:val="24"/>
              </w:rPr>
            </w:pPr>
            <w:r>
              <w:rPr>
                <w:rFonts w:ascii="Times New Roman" w:hAnsi="Times New Roman"/>
                <w:w w:val="98"/>
                <w:sz w:val="16"/>
                <w:szCs w:val="16"/>
              </w:rPr>
              <w:t>2Q2013)</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84"/>
        </w:trPr>
        <w:tc>
          <w:tcPr>
            <w:tcW w:w="19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12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170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64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1180" w:type="dxa"/>
            <w:gridSpan w:val="3"/>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60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134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50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1300" w:type="dxa"/>
            <w:gridSpan w:val="2"/>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257"/>
        </w:trPr>
        <w:tc>
          <w:tcPr>
            <w:tcW w:w="19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1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1420" w:type="dxa"/>
            <w:gridSpan w:val="4"/>
            <w:tcBorders>
              <w:top w:val="nil"/>
              <w:left w:val="nil"/>
              <w:bottom w:val="nil"/>
              <w:right w:val="nil"/>
            </w:tcBorders>
            <w:vAlign w:val="bottom"/>
          </w:tcPr>
          <w:p w:rsidR="002A4D1F" w:rsidRDefault="002A4D1F">
            <w:pPr>
              <w:widowControl w:val="0"/>
              <w:autoSpaceDE w:val="0"/>
              <w:autoSpaceDN w:val="0"/>
              <w:adjustRightInd w:val="0"/>
              <w:spacing w:after="0" w:line="240" w:lineRule="auto"/>
              <w:ind w:right="140"/>
              <w:jc w:val="center"/>
              <w:rPr>
                <w:rFonts w:ascii="Times New Roman" w:hAnsi="Times New Roman"/>
                <w:sz w:val="24"/>
                <w:szCs w:val="24"/>
              </w:rPr>
            </w:pPr>
            <w:r>
              <w:rPr>
                <w:rFonts w:ascii="Times New Roman" w:hAnsi="Times New Roman"/>
                <w:sz w:val="16"/>
                <w:szCs w:val="16"/>
              </w:rPr>
              <w:t>% change</w:t>
            </w: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ind w:left="440"/>
              <w:rPr>
                <w:rFonts w:ascii="Times New Roman" w:hAnsi="Times New Roman"/>
                <w:sz w:val="24"/>
                <w:szCs w:val="24"/>
              </w:rPr>
            </w:pPr>
            <w:r>
              <w:rPr>
                <w:rFonts w:ascii="Times New Roman" w:hAnsi="Times New Roman"/>
                <w:sz w:val="16"/>
                <w:szCs w:val="16"/>
              </w:rPr>
              <w:t>% change</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1300" w:type="dxa"/>
            <w:gridSpan w:val="2"/>
            <w:tcBorders>
              <w:top w:val="nil"/>
              <w:left w:val="nil"/>
              <w:bottom w:val="nil"/>
              <w:right w:val="nil"/>
            </w:tcBorders>
            <w:vAlign w:val="bottom"/>
          </w:tcPr>
          <w:p w:rsidR="002A4D1F" w:rsidRDefault="002A4D1F">
            <w:pPr>
              <w:widowControl w:val="0"/>
              <w:autoSpaceDE w:val="0"/>
              <w:autoSpaceDN w:val="0"/>
              <w:adjustRightInd w:val="0"/>
              <w:spacing w:after="0" w:line="240" w:lineRule="auto"/>
              <w:ind w:right="180"/>
              <w:jc w:val="right"/>
              <w:rPr>
                <w:rFonts w:ascii="Times New Roman" w:hAnsi="Times New Roman"/>
                <w:sz w:val="24"/>
                <w:szCs w:val="24"/>
              </w:rPr>
            </w:pPr>
            <w:r>
              <w:rPr>
                <w:rFonts w:ascii="Times New Roman" w:hAnsi="Times New Roman"/>
                <w:sz w:val="16"/>
                <w:szCs w:val="16"/>
              </w:rPr>
              <w:t>% change</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79"/>
        </w:trPr>
        <w:tc>
          <w:tcPr>
            <w:tcW w:w="19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9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120"/>
              <w:jc w:val="center"/>
              <w:rPr>
                <w:rFonts w:ascii="Times New Roman" w:hAnsi="Times New Roman"/>
                <w:sz w:val="24"/>
                <w:szCs w:val="24"/>
              </w:rPr>
            </w:pPr>
            <w:r>
              <w:rPr>
                <w:rFonts w:ascii="Times New Roman" w:hAnsi="Times New Roman"/>
                <w:sz w:val="16"/>
                <w:szCs w:val="16"/>
              </w:rPr>
              <w:t>Mean*</w:t>
            </w: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140"/>
              <w:jc w:val="right"/>
              <w:rPr>
                <w:rFonts w:ascii="Times New Roman" w:hAnsi="Times New Roman"/>
                <w:sz w:val="24"/>
                <w:szCs w:val="24"/>
              </w:rPr>
            </w:pPr>
            <w:r>
              <w:rPr>
                <w:rFonts w:ascii="Times New Roman" w:hAnsi="Times New Roman"/>
                <w:sz w:val="16"/>
                <w:szCs w:val="16"/>
              </w:rPr>
              <w:t>Mean</w:t>
            </w:r>
          </w:p>
        </w:tc>
        <w:tc>
          <w:tcPr>
            <w:tcW w:w="1420" w:type="dxa"/>
            <w:gridSpan w:val="4"/>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140"/>
              <w:jc w:val="center"/>
              <w:rPr>
                <w:rFonts w:ascii="Times New Roman" w:hAnsi="Times New Roman"/>
                <w:sz w:val="24"/>
                <w:szCs w:val="24"/>
              </w:rPr>
            </w:pPr>
            <w:r>
              <w:rPr>
                <w:rFonts w:ascii="Times New Roman" w:hAnsi="Times New Roman"/>
                <w:w w:val="99"/>
                <w:sz w:val="16"/>
                <w:szCs w:val="16"/>
              </w:rPr>
              <w:t>(95%CI)</w:t>
            </w: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60"/>
              <w:jc w:val="right"/>
              <w:rPr>
                <w:rFonts w:ascii="Times New Roman" w:hAnsi="Times New Roman"/>
                <w:sz w:val="24"/>
                <w:szCs w:val="24"/>
              </w:rPr>
            </w:pPr>
            <w:r>
              <w:rPr>
                <w:rFonts w:ascii="Times New Roman" w:hAnsi="Times New Roman"/>
                <w:sz w:val="16"/>
                <w:szCs w:val="16"/>
              </w:rPr>
              <w:t>Mean</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left="100"/>
              <w:jc w:val="center"/>
              <w:rPr>
                <w:rFonts w:ascii="Times New Roman" w:hAnsi="Times New Roman"/>
                <w:sz w:val="24"/>
                <w:szCs w:val="24"/>
              </w:rPr>
            </w:pPr>
            <w:r>
              <w:rPr>
                <w:rFonts w:ascii="Times New Roman" w:hAnsi="Times New Roman"/>
                <w:w w:val="99"/>
                <w:sz w:val="16"/>
                <w:szCs w:val="16"/>
              </w:rPr>
              <w:t>(95%CI)</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40"/>
              <w:jc w:val="right"/>
              <w:rPr>
                <w:rFonts w:ascii="Times New Roman" w:hAnsi="Times New Roman"/>
                <w:sz w:val="24"/>
                <w:szCs w:val="24"/>
              </w:rPr>
            </w:pPr>
            <w:r>
              <w:rPr>
                <w:rFonts w:ascii="Times New Roman" w:hAnsi="Times New Roman"/>
                <w:w w:val="98"/>
                <w:sz w:val="16"/>
                <w:szCs w:val="16"/>
              </w:rPr>
              <w:t>Mean</w:t>
            </w:r>
          </w:p>
        </w:tc>
        <w:tc>
          <w:tcPr>
            <w:tcW w:w="130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220"/>
              <w:jc w:val="right"/>
              <w:rPr>
                <w:rFonts w:ascii="Times New Roman" w:hAnsi="Times New Roman"/>
                <w:sz w:val="24"/>
                <w:szCs w:val="24"/>
              </w:rPr>
            </w:pPr>
            <w:r>
              <w:rPr>
                <w:rFonts w:ascii="Times New Roman" w:hAnsi="Times New Roman"/>
                <w:sz w:val="16"/>
                <w:szCs w:val="16"/>
              </w:rPr>
              <w:t>(95%CI)</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84"/>
        </w:trPr>
        <w:tc>
          <w:tcPr>
            <w:tcW w:w="3960" w:type="dxa"/>
            <w:gridSpan w:val="4"/>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64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42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42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34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24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60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134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24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50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50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80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257"/>
        </w:trPr>
        <w:tc>
          <w:tcPr>
            <w:tcW w:w="3960" w:type="dxa"/>
            <w:gridSpan w:val="4"/>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Cases with date of death reported (n = 326)</w:t>
            </w: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All fatal reports</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42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7</w:t>
            </w:r>
          </w:p>
        </w:tc>
        <w:tc>
          <w:tcPr>
            <w:tcW w:w="42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ind w:left="20"/>
              <w:rPr>
                <w:rFonts w:ascii="Times New Roman" w:hAnsi="Times New Roman"/>
                <w:sz w:val="24"/>
                <w:szCs w:val="24"/>
              </w:rPr>
            </w:pPr>
            <w:r>
              <w:rPr>
                <w:rFonts w:ascii="Times New Roman" w:hAnsi="Times New Roman"/>
                <w:sz w:val="16"/>
                <w:szCs w:val="16"/>
              </w:rPr>
              <w:t>(  27,</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34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ind w:left="100"/>
              <w:jc w:val="center"/>
              <w:rPr>
                <w:rFonts w:ascii="Times New Roman" w:hAnsi="Times New Roman"/>
                <w:sz w:val="24"/>
                <w:szCs w:val="24"/>
              </w:rPr>
            </w:pPr>
            <w:r>
              <w:rPr>
                <w:rFonts w:ascii="Times New Roman" w:hAnsi="Times New Roman"/>
                <w:sz w:val="16"/>
                <w:szCs w:val="16"/>
              </w:rPr>
              <w:t>62 (  72,  47)</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50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82</w:t>
            </w:r>
          </w:p>
        </w:tc>
        <w:tc>
          <w:tcPr>
            <w:tcW w:w="80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  89,  73)</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6"/>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9" w:lineRule="exact"/>
              <w:ind w:left="160"/>
              <w:rPr>
                <w:rFonts w:ascii="Times New Roman" w:hAnsi="Times New Roman"/>
                <w:sz w:val="24"/>
                <w:szCs w:val="24"/>
              </w:rPr>
            </w:pPr>
            <w:r>
              <w:rPr>
                <w:rFonts w:ascii="Times New Roman" w:hAnsi="Times New Roman"/>
                <w:sz w:val="16"/>
                <w:szCs w:val="16"/>
              </w:rPr>
              <w:t>All</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640"/>
              <w:jc w:val="right"/>
              <w:rPr>
                <w:rFonts w:ascii="Times New Roman" w:hAnsi="Times New Roman"/>
                <w:sz w:val="24"/>
                <w:szCs w:val="24"/>
              </w:rPr>
            </w:pPr>
            <w:r>
              <w:rPr>
                <w:rFonts w:ascii="Times New Roman" w:hAnsi="Times New Roman"/>
                <w:sz w:val="16"/>
                <w:szCs w:val="16"/>
              </w:rPr>
              <w:t>32.8</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260"/>
              <w:jc w:val="right"/>
              <w:rPr>
                <w:rFonts w:ascii="Times New Roman" w:hAnsi="Times New Roman"/>
                <w:sz w:val="24"/>
                <w:szCs w:val="24"/>
              </w:rPr>
            </w:pPr>
            <w:r>
              <w:rPr>
                <w:rFonts w:ascii="Times New Roman" w:hAnsi="Times New Roman"/>
                <w:w w:val="99"/>
                <w:sz w:val="16"/>
                <w:szCs w:val="16"/>
              </w:rPr>
              <w:t>30.5</w:t>
            </w:r>
          </w:p>
        </w:tc>
        <w:tc>
          <w:tcPr>
            <w:tcW w:w="42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42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left="20"/>
              <w:rPr>
                <w:rFonts w:ascii="Times New Roman" w:hAnsi="Times New Roman"/>
                <w:sz w:val="24"/>
                <w:szCs w:val="24"/>
              </w:rPr>
            </w:pPr>
            <w:r>
              <w:rPr>
                <w:rFonts w:ascii="Times New Roman" w:hAnsi="Times New Roman"/>
                <w:sz w:val="16"/>
                <w:szCs w:val="16"/>
              </w:rPr>
              <w:t>19)</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160"/>
              <w:jc w:val="right"/>
              <w:rPr>
                <w:rFonts w:ascii="Times New Roman" w:hAnsi="Times New Roman"/>
                <w:sz w:val="24"/>
                <w:szCs w:val="24"/>
              </w:rPr>
            </w:pPr>
            <w:r>
              <w:rPr>
                <w:rFonts w:ascii="Times New Roman" w:hAnsi="Times New Roman"/>
                <w:sz w:val="16"/>
                <w:szCs w:val="16"/>
              </w:rPr>
              <w:t>12.5</w:t>
            </w:r>
          </w:p>
        </w:tc>
        <w:tc>
          <w:tcPr>
            <w:tcW w:w="134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9" w:lineRule="exact"/>
              <w:ind w:right="200"/>
              <w:jc w:val="right"/>
              <w:rPr>
                <w:rFonts w:ascii="Times New Roman" w:hAnsi="Times New Roman"/>
                <w:sz w:val="24"/>
                <w:szCs w:val="24"/>
              </w:rPr>
            </w:pPr>
            <w:r>
              <w:rPr>
                <w:rFonts w:ascii="Times New Roman" w:hAnsi="Times New Roman"/>
                <w:sz w:val="16"/>
                <w:szCs w:val="16"/>
              </w:rPr>
              <w:t>5.8</w:t>
            </w:r>
          </w:p>
        </w:tc>
        <w:tc>
          <w:tcPr>
            <w:tcW w:w="50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80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80"/>
              <w:rPr>
                <w:rFonts w:ascii="Times New Roman" w:hAnsi="Times New Roman"/>
                <w:sz w:val="24"/>
                <w:szCs w:val="24"/>
              </w:rPr>
            </w:pPr>
            <w:r>
              <w:rPr>
                <w:rFonts w:ascii="Times New Roman" w:hAnsi="Times New Roman"/>
                <w:sz w:val="16"/>
                <w:szCs w:val="16"/>
              </w:rPr>
              <w:t>Overdose</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40"/>
              <w:jc w:val="right"/>
              <w:rPr>
                <w:rFonts w:ascii="Times New Roman" w:hAnsi="Times New Roman"/>
                <w:sz w:val="24"/>
                <w:szCs w:val="24"/>
              </w:rPr>
            </w:pPr>
            <w:r>
              <w:rPr>
                <w:rFonts w:ascii="Times New Roman" w:hAnsi="Times New Roman"/>
                <w:sz w:val="16"/>
                <w:szCs w:val="16"/>
              </w:rPr>
              <w:t>26.0</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w w:val="99"/>
                <w:sz w:val="16"/>
                <w:szCs w:val="16"/>
              </w:rPr>
              <w:t>21.0</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19</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39,</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8)</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9.8</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62 (  74,  46)</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3.3</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87</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93,  78)</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420"/>
              <w:rPr>
                <w:rFonts w:ascii="Times New Roman" w:hAnsi="Times New Roman"/>
                <w:sz w:val="24"/>
                <w:szCs w:val="24"/>
              </w:rPr>
            </w:pPr>
            <w:r>
              <w:rPr>
                <w:rFonts w:ascii="Times New Roman" w:hAnsi="Times New Roman"/>
                <w:sz w:val="16"/>
                <w:szCs w:val="16"/>
              </w:rPr>
              <w:t>Abuse-related behavior</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40"/>
              <w:jc w:val="right"/>
              <w:rPr>
                <w:rFonts w:ascii="Times New Roman" w:hAnsi="Times New Roman"/>
                <w:sz w:val="24"/>
                <w:szCs w:val="24"/>
              </w:rPr>
            </w:pPr>
            <w:r>
              <w:rPr>
                <w:rFonts w:ascii="Times New Roman" w:hAnsi="Times New Roman"/>
                <w:sz w:val="16"/>
                <w:szCs w:val="16"/>
              </w:rPr>
              <w:t>23.3</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w w:val="99"/>
                <w:sz w:val="16"/>
                <w:szCs w:val="16"/>
              </w:rPr>
              <w:t>17.5</w:t>
            </w:r>
          </w:p>
        </w:tc>
        <w:tc>
          <w:tcPr>
            <w:tcW w:w="8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25(  45,</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3)</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7.5</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68 (  79,  51)</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3.3</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86</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92,  75)</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22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80"/>
              <w:rPr>
                <w:rFonts w:ascii="Times New Roman" w:hAnsi="Times New Roman"/>
                <w:sz w:val="24"/>
                <w:szCs w:val="24"/>
              </w:rPr>
            </w:pPr>
            <w:r>
              <w:rPr>
                <w:rFonts w:ascii="Times New Roman" w:hAnsi="Times New Roman"/>
                <w:sz w:val="16"/>
                <w:szCs w:val="16"/>
              </w:rPr>
              <w:t>Non-overdose</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60"/>
              <w:jc w:val="right"/>
              <w:rPr>
                <w:rFonts w:ascii="Times New Roman" w:hAnsi="Times New Roman"/>
                <w:sz w:val="24"/>
                <w:szCs w:val="24"/>
              </w:rPr>
            </w:pPr>
            <w:r>
              <w:rPr>
                <w:rFonts w:ascii="Times New Roman" w:hAnsi="Times New Roman"/>
                <w:sz w:val="16"/>
                <w:szCs w:val="16"/>
              </w:rPr>
              <w:t>6.8</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9"/>
                <w:szCs w:val="19"/>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sz w:val="16"/>
                <w:szCs w:val="16"/>
              </w:rPr>
              <w:t>9.5</w:t>
            </w:r>
          </w:p>
        </w:tc>
        <w:tc>
          <w:tcPr>
            <w:tcW w:w="8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41(  14,</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130)</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9"/>
                <w:szCs w:val="19"/>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2.8</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59 (  80,  18)</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2.5</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63</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82,  23)</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99"/>
        </w:trPr>
        <w:tc>
          <w:tcPr>
            <w:tcW w:w="3960" w:type="dxa"/>
            <w:gridSpan w:val="4"/>
            <w:tcBorders>
              <w:top w:val="nil"/>
              <w:left w:val="nil"/>
              <w:bottom w:val="nil"/>
              <w:right w:val="nil"/>
            </w:tcBorders>
            <w:vAlign w:val="bottom"/>
          </w:tcPr>
          <w:p w:rsidR="002A4D1F" w:rsidRDefault="002A4D1F">
            <w:pPr>
              <w:widowControl w:val="0"/>
              <w:autoSpaceDE w:val="0"/>
              <w:autoSpaceDN w:val="0"/>
              <w:adjustRightInd w:val="0"/>
              <w:spacing w:after="0" w:line="199" w:lineRule="exact"/>
              <w:rPr>
                <w:rFonts w:ascii="Times New Roman" w:hAnsi="Times New Roman"/>
                <w:sz w:val="24"/>
                <w:szCs w:val="24"/>
              </w:rPr>
            </w:pPr>
            <w:r>
              <w:rPr>
                <w:rFonts w:ascii="Times New Roman" w:hAnsi="Times New Roman"/>
                <w:sz w:val="16"/>
                <w:szCs w:val="16"/>
              </w:rPr>
              <w:t>All fatal reports, per 100 000 prescriptions of OxyContin</w:t>
            </w:r>
            <w:r>
              <w:rPr>
                <w:rFonts w:ascii="Arial" w:hAnsi="Arial" w:cs="Arial"/>
                <w:sz w:val="21"/>
                <w:szCs w:val="21"/>
                <w:vertAlign w:val="superscript"/>
              </w:rPr>
              <w:t>†</w:t>
            </w: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7"/>
                <w:szCs w:val="17"/>
              </w:rPr>
            </w:pPr>
          </w:p>
        </w:tc>
        <w:tc>
          <w:tcPr>
            <w:tcW w:w="42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5</w:t>
            </w:r>
          </w:p>
        </w:tc>
        <w:tc>
          <w:tcPr>
            <w:tcW w:w="42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ind w:left="20"/>
              <w:rPr>
                <w:rFonts w:ascii="Times New Roman" w:hAnsi="Times New Roman"/>
                <w:sz w:val="24"/>
                <w:szCs w:val="24"/>
              </w:rPr>
            </w:pPr>
            <w:r>
              <w:rPr>
                <w:rFonts w:ascii="Times New Roman" w:hAnsi="Times New Roman"/>
                <w:sz w:val="16"/>
                <w:szCs w:val="16"/>
              </w:rPr>
              <w:t>(  26,</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7"/>
                <w:szCs w:val="17"/>
              </w:rPr>
            </w:pP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7"/>
                <w:szCs w:val="17"/>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7"/>
                <w:szCs w:val="17"/>
              </w:rPr>
            </w:pPr>
          </w:p>
        </w:tc>
        <w:tc>
          <w:tcPr>
            <w:tcW w:w="134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ind w:left="100"/>
              <w:jc w:val="center"/>
              <w:rPr>
                <w:rFonts w:ascii="Times New Roman" w:hAnsi="Times New Roman"/>
                <w:sz w:val="24"/>
                <w:szCs w:val="24"/>
              </w:rPr>
            </w:pPr>
            <w:r>
              <w:rPr>
                <w:rFonts w:ascii="Times New Roman" w:hAnsi="Times New Roman"/>
                <w:sz w:val="16"/>
                <w:szCs w:val="16"/>
              </w:rPr>
              <w:t>58 (  70,  42)</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7"/>
                <w:szCs w:val="17"/>
              </w:rPr>
            </w:pP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7"/>
                <w:szCs w:val="17"/>
              </w:rPr>
            </w:pPr>
          </w:p>
        </w:tc>
        <w:tc>
          <w:tcPr>
            <w:tcW w:w="50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80</w:t>
            </w:r>
          </w:p>
        </w:tc>
        <w:tc>
          <w:tcPr>
            <w:tcW w:w="80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  87,  69)</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60"/>
              <w:rPr>
                <w:rFonts w:ascii="Times New Roman" w:hAnsi="Times New Roman"/>
                <w:sz w:val="24"/>
                <w:szCs w:val="24"/>
              </w:rPr>
            </w:pPr>
            <w:r>
              <w:rPr>
                <w:rFonts w:ascii="Times New Roman" w:hAnsi="Times New Roman"/>
                <w:sz w:val="16"/>
                <w:szCs w:val="16"/>
              </w:rPr>
              <w:t>All</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760"/>
              <w:rPr>
                <w:rFonts w:ascii="Times New Roman" w:hAnsi="Times New Roman"/>
                <w:sz w:val="24"/>
                <w:szCs w:val="24"/>
              </w:rPr>
            </w:pPr>
            <w:r>
              <w:rPr>
                <w:rFonts w:ascii="Times New Roman" w:hAnsi="Times New Roman"/>
                <w:sz w:val="16"/>
                <w:szCs w:val="16"/>
              </w:rPr>
              <w:t>1.903</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00"/>
              <w:jc w:val="right"/>
              <w:rPr>
                <w:rFonts w:ascii="Times New Roman" w:hAnsi="Times New Roman"/>
                <w:sz w:val="24"/>
                <w:szCs w:val="24"/>
              </w:rPr>
            </w:pPr>
            <w:r>
              <w:rPr>
                <w:rFonts w:ascii="Times New Roman" w:hAnsi="Times New Roman"/>
                <w:sz w:val="16"/>
                <w:szCs w:val="16"/>
              </w:rPr>
              <w:t>1.802</w:t>
            </w:r>
          </w:p>
        </w:tc>
        <w:tc>
          <w:tcPr>
            <w:tcW w:w="42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42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21)</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0.794</w:t>
            </w:r>
          </w:p>
        </w:tc>
        <w:tc>
          <w:tcPr>
            <w:tcW w:w="134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40"/>
              <w:jc w:val="right"/>
              <w:rPr>
                <w:rFonts w:ascii="Times New Roman" w:hAnsi="Times New Roman"/>
                <w:sz w:val="24"/>
                <w:szCs w:val="24"/>
              </w:rPr>
            </w:pPr>
            <w:r>
              <w:rPr>
                <w:rFonts w:ascii="Times New Roman" w:hAnsi="Times New Roman"/>
                <w:sz w:val="16"/>
                <w:szCs w:val="16"/>
              </w:rPr>
              <w:t>0.380</w:t>
            </w:r>
          </w:p>
        </w:tc>
        <w:tc>
          <w:tcPr>
            <w:tcW w:w="50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0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80"/>
              <w:rPr>
                <w:rFonts w:ascii="Times New Roman" w:hAnsi="Times New Roman"/>
                <w:sz w:val="24"/>
                <w:szCs w:val="24"/>
              </w:rPr>
            </w:pPr>
            <w:r>
              <w:rPr>
                <w:rFonts w:ascii="Times New Roman" w:hAnsi="Times New Roman"/>
                <w:sz w:val="16"/>
                <w:szCs w:val="16"/>
              </w:rPr>
              <w:t>Overdose</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760"/>
              <w:rPr>
                <w:rFonts w:ascii="Times New Roman" w:hAnsi="Times New Roman"/>
                <w:sz w:val="24"/>
                <w:szCs w:val="24"/>
              </w:rPr>
            </w:pPr>
            <w:r>
              <w:rPr>
                <w:rFonts w:ascii="Times New Roman" w:hAnsi="Times New Roman"/>
                <w:sz w:val="16"/>
                <w:szCs w:val="16"/>
              </w:rPr>
              <w:t>1.516</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00"/>
              <w:jc w:val="right"/>
              <w:rPr>
                <w:rFonts w:ascii="Times New Roman" w:hAnsi="Times New Roman"/>
                <w:sz w:val="24"/>
                <w:szCs w:val="24"/>
              </w:rPr>
            </w:pPr>
            <w:r>
              <w:rPr>
                <w:rFonts w:ascii="Times New Roman" w:hAnsi="Times New Roman"/>
                <w:sz w:val="16"/>
                <w:szCs w:val="16"/>
              </w:rPr>
              <w:t>1.241</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18</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38,</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10)</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0.619</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59 (  72,  41)</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40"/>
              <w:jc w:val="right"/>
              <w:rPr>
                <w:rFonts w:ascii="Times New Roman" w:hAnsi="Times New Roman"/>
                <w:sz w:val="24"/>
                <w:szCs w:val="24"/>
              </w:rPr>
            </w:pPr>
            <w:r>
              <w:rPr>
                <w:rFonts w:ascii="Times New Roman" w:hAnsi="Times New Roman"/>
                <w:sz w:val="16"/>
                <w:szCs w:val="16"/>
              </w:rPr>
              <w:t>0.213</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86</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92,  75)</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79"/>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420"/>
              <w:rPr>
                <w:rFonts w:ascii="Times New Roman" w:hAnsi="Times New Roman"/>
                <w:sz w:val="24"/>
                <w:szCs w:val="24"/>
              </w:rPr>
            </w:pPr>
            <w:r>
              <w:rPr>
                <w:rFonts w:ascii="Times New Roman" w:hAnsi="Times New Roman"/>
                <w:sz w:val="16"/>
                <w:szCs w:val="16"/>
              </w:rPr>
              <w:t>Abuse-related behavior</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760"/>
              <w:rPr>
                <w:rFonts w:ascii="Times New Roman" w:hAnsi="Times New Roman"/>
                <w:sz w:val="24"/>
                <w:szCs w:val="24"/>
              </w:rPr>
            </w:pPr>
            <w:r>
              <w:rPr>
                <w:rFonts w:ascii="Times New Roman" w:hAnsi="Times New Roman"/>
                <w:sz w:val="16"/>
                <w:szCs w:val="16"/>
              </w:rPr>
              <w:t>1.359</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00"/>
              <w:jc w:val="right"/>
              <w:rPr>
                <w:rFonts w:ascii="Times New Roman" w:hAnsi="Times New Roman"/>
                <w:sz w:val="24"/>
                <w:szCs w:val="24"/>
              </w:rPr>
            </w:pPr>
            <w:r>
              <w:rPr>
                <w:rFonts w:ascii="Times New Roman" w:hAnsi="Times New Roman"/>
                <w:sz w:val="16"/>
                <w:szCs w:val="16"/>
              </w:rPr>
              <w:t>1.033</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23</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44,</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5)</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0.475</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65 (  77,  47)</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40"/>
              <w:jc w:val="right"/>
              <w:rPr>
                <w:rFonts w:ascii="Times New Roman" w:hAnsi="Times New Roman"/>
                <w:sz w:val="24"/>
                <w:szCs w:val="24"/>
              </w:rPr>
            </w:pPr>
            <w:r>
              <w:rPr>
                <w:rFonts w:ascii="Times New Roman" w:hAnsi="Times New Roman"/>
                <w:sz w:val="16"/>
                <w:szCs w:val="16"/>
              </w:rPr>
              <w:t>0.213</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84</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91,  72)</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22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80"/>
              <w:rPr>
                <w:rFonts w:ascii="Times New Roman" w:hAnsi="Times New Roman"/>
                <w:sz w:val="24"/>
                <w:szCs w:val="24"/>
              </w:rPr>
            </w:pPr>
            <w:r>
              <w:rPr>
                <w:rFonts w:ascii="Times New Roman" w:hAnsi="Times New Roman"/>
                <w:sz w:val="16"/>
                <w:szCs w:val="16"/>
              </w:rPr>
              <w:t>Non-overdose</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760"/>
              <w:rPr>
                <w:rFonts w:ascii="Times New Roman" w:hAnsi="Times New Roman"/>
                <w:sz w:val="24"/>
                <w:szCs w:val="24"/>
              </w:rPr>
            </w:pPr>
            <w:r>
              <w:rPr>
                <w:rFonts w:ascii="Times New Roman" w:hAnsi="Times New Roman"/>
                <w:sz w:val="16"/>
                <w:szCs w:val="16"/>
              </w:rPr>
              <w:t>0.387</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9"/>
                <w:szCs w:val="19"/>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00"/>
              <w:jc w:val="right"/>
              <w:rPr>
                <w:rFonts w:ascii="Times New Roman" w:hAnsi="Times New Roman"/>
                <w:sz w:val="24"/>
                <w:szCs w:val="24"/>
              </w:rPr>
            </w:pPr>
            <w:r>
              <w:rPr>
                <w:rFonts w:ascii="Times New Roman" w:hAnsi="Times New Roman"/>
                <w:sz w:val="16"/>
                <w:szCs w:val="16"/>
              </w:rPr>
              <w:t>0.561</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43</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12,</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135)</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9"/>
                <w:szCs w:val="19"/>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0.176</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55 (  78,  10)</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40"/>
              <w:jc w:val="right"/>
              <w:rPr>
                <w:rFonts w:ascii="Times New Roman" w:hAnsi="Times New Roman"/>
                <w:sz w:val="24"/>
                <w:szCs w:val="24"/>
              </w:rPr>
            </w:pPr>
            <w:r>
              <w:rPr>
                <w:rFonts w:ascii="Times New Roman" w:hAnsi="Times New Roman"/>
                <w:sz w:val="16"/>
                <w:szCs w:val="16"/>
              </w:rPr>
              <w:t>0.167</w:t>
            </w:r>
          </w:p>
        </w:tc>
        <w:tc>
          <w:tcPr>
            <w:tcW w:w="130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58(  80,  13)</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73"/>
        </w:trPr>
        <w:tc>
          <w:tcPr>
            <w:tcW w:w="3960" w:type="dxa"/>
            <w:gridSpan w:val="4"/>
            <w:tcBorders>
              <w:top w:val="nil"/>
              <w:left w:val="nil"/>
              <w:bottom w:val="nil"/>
              <w:right w:val="nil"/>
            </w:tcBorders>
            <w:vAlign w:val="bottom"/>
          </w:tcPr>
          <w:p w:rsidR="002A4D1F" w:rsidRDefault="002A4D1F">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Subset of all fatal reports from healthcare professionals</w:t>
            </w: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42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183" w:lineRule="exact"/>
              <w:jc w:val="right"/>
              <w:rPr>
                <w:rFonts w:ascii="Times New Roman" w:hAnsi="Times New Roman"/>
                <w:sz w:val="24"/>
                <w:szCs w:val="24"/>
              </w:rPr>
            </w:pPr>
            <w:r>
              <w:rPr>
                <w:rFonts w:ascii="Times New Roman" w:hAnsi="Times New Roman"/>
                <w:sz w:val="16"/>
                <w:szCs w:val="16"/>
              </w:rPr>
              <w:t>20</w:t>
            </w:r>
          </w:p>
        </w:tc>
        <w:tc>
          <w:tcPr>
            <w:tcW w:w="42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183" w:lineRule="exact"/>
              <w:ind w:left="20"/>
              <w:rPr>
                <w:rFonts w:ascii="Times New Roman" w:hAnsi="Times New Roman"/>
                <w:sz w:val="24"/>
                <w:szCs w:val="24"/>
              </w:rPr>
            </w:pPr>
            <w:r>
              <w:rPr>
                <w:rFonts w:ascii="Times New Roman" w:hAnsi="Times New Roman"/>
                <w:sz w:val="16"/>
                <w:szCs w:val="16"/>
              </w:rPr>
              <w:t>(  43,</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34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183" w:lineRule="exact"/>
              <w:ind w:left="100"/>
              <w:jc w:val="center"/>
              <w:rPr>
                <w:rFonts w:ascii="Times New Roman" w:hAnsi="Times New Roman"/>
                <w:sz w:val="24"/>
                <w:szCs w:val="24"/>
              </w:rPr>
            </w:pPr>
            <w:r>
              <w:rPr>
                <w:rFonts w:ascii="Times New Roman" w:hAnsi="Times New Roman"/>
                <w:sz w:val="16"/>
                <w:szCs w:val="16"/>
              </w:rPr>
              <w:t>70 (  81,  52)</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50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183" w:lineRule="exact"/>
              <w:jc w:val="right"/>
              <w:rPr>
                <w:rFonts w:ascii="Times New Roman" w:hAnsi="Times New Roman"/>
                <w:sz w:val="24"/>
                <w:szCs w:val="24"/>
              </w:rPr>
            </w:pPr>
            <w:r>
              <w:rPr>
                <w:rFonts w:ascii="Times New Roman" w:hAnsi="Times New Roman"/>
                <w:sz w:val="16"/>
                <w:szCs w:val="16"/>
              </w:rPr>
              <w:t>86</w:t>
            </w:r>
          </w:p>
        </w:tc>
        <w:tc>
          <w:tcPr>
            <w:tcW w:w="80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183" w:lineRule="exact"/>
              <w:jc w:val="right"/>
              <w:rPr>
                <w:rFonts w:ascii="Times New Roman" w:hAnsi="Times New Roman"/>
                <w:sz w:val="24"/>
                <w:szCs w:val="24"/>
              </w:rPr>
            </w:pPr>
            <w:r>
              <w:rPr>
                <w:rFonts w:ascii="Times New Roman" w:hAnsi="Times New Roman"/>
                <w:sz w:val="16"/>
                <w:szCs w:val="16"/>
              </w:rPr>
              <w:t>(  93,  74)</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7"/>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All</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40"/>
              <w:jc w:val="right"/>
              <w:rPr>
                <w:rFonts w:ascii="Times New Roman" w:hAnsi="Times New Roman"/>
                <w:sz w:val="24"/>
                <w:szCs w:val="24"/>
              </w:rPr>
            </w:pPr>
            <w:r>
              <w:rPr>
                <w:rFonts w:ascii="Times New Roman" w:hAnsi="Times New Roman"/>
                <w:sz w:val="16"/>
                <w:szCs w:val="16"/>
              </w:rPr>
              <w:t>19.8</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60"/>
              <w:jc w:val="right"/>
              <w:rPr>
                <w:rFonts w:ascii="Times New Roman" w:hAnsi="Times New Roman"/>
                <w:sz w:val="24"/>
                <w:szCs w:val="24"/>
              </w:rPr>
            </w:pPr>
            <w:r>
              <w:rPr>
                <w:rFonts w:ascii="Times New Roman" w:hAnsi="Times New Roman"/>
                <w:w w:val="99"/>
                <w:sz w:val="16"/>
                <w:szCs w:val="16"/>
              </w:rPr>
              <w:t>15.8</w:t>
            </w:r>
          </w:p>
        </w:tc>
        <w:tc>
          <w:tcPr>
            <w:tcW w:w="42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42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20"/>
              <w:rPr>
                <w:rFonts w:ascii="Times New Roman" w:hAnsi="Times New Roman"/>
                <w:sz w:val="24"/>
                <w:szCs w:val="24"/>
              </w:rPr>
            </w:pPr>
            <w:r>
              <w:rPr>
                <w:rFonts w:ascii="Times New Roman" w:hAnsi="Times New Roman"/>
                <w:sz w:val="16"/>
                <w:szCs w:val="16"/>
              </w:rPr>
              <w:t>11)</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160"/>
              <w:jc w:val="right"/>
              <w:rPr>
                <w:rFonts w:ascii="Times New Roman" w:hAnsi="Times New Roman"/>
                <w:sz w:val="24"/>
                <w:szCs w:val="24"/>
              </w:rPr>
            </w:pPr>
            <w:r>
              <w:rPr>
                <w:rFonts w:ascii="Times New Roman" w:hAnsi="Times New Roman"/>
                <w:sz w:val="16"/>
                <w:szCs w:val="16"/>
              </w:rPr>
              <w:t>6.0</w:t>
            </w:r>
          </w:p>
        </w:tc>
        <w:tc>
          <w:tcPr>
            <w:tcW w:w="134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00"/>
              <w:jc w:val="right"/>
              <w:rPr>
                <w:rFonts w:ascii="Times New Roman" w:hAnsi="Times New Roman"/>
                <w:sz w:val="24"/>
                <w:szCs w:val="24"/>
              </w:rPr>
            </w:pPr>
            <w:r>
              <w:rPr>
                <w:rFonts w:ascii="Times New Roman" w:hAnsi="Times New Roman"/>
                <w:sz w:val="16"/>
                <w:szCs w:val="16"/>
              </w:rPr>
              <w:t>2.8</w:t>
            </w:r>
          </w:p>
        </w:tc>
        <w:tc>
          <w:tcPr>
            <w:tcW w:w="50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80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80"/>
              <w:rPr>
                <w:rFonts w:ascii="Times New Roman" w:hAnsi="Times New Roman"/>
                <w:sz w:val="24"/>
                <w:szCs w:val="24"/>
              </w:rPr>
            </w:pPr>
            <w:r>
              <w:rPr>
                <w:rFonts w:ascii="Times New Roman" w:hAnsi="Times New Roman"/>
                <w:sz w:val="16"/>
                <w:szCs w:val="16"/>
              </w:rPr>
              <w:t>Overdose</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40"/>
              <w:jc w:val="right"/>
              <w:rPr>
                <w:rFonts w:ascii="Times New Roman" w:hAnsi="Times New Roman"/>
                <w:sz w:val="24"/>
                <w:szCs w:val="24"/>
              </w:rPr>
            </w:pPr>
            <w:r>
              <w:rPr>
                <w:rFonts w:ascii="Times New Roman" w:hAnsi="Times New Roman"/>
                <w:sz w:val="16"/>
                <w:szCs w:val="16"/>
              </w:rPr>
              <w:t>15.8</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w w:val="99"/>
                <w:sz w:val="16"/>
                <w:szCs w:val="16"/>
              </w:rPr>
              <w:t>11.3</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29</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51,</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5)</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5.0</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68 (  81,  42)</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2.0</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87</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94,  74)</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79"/>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420"/>
              <w:rPr>
                <w:rFonts w:ascii="Times New Roman" w:hAnsi="Times New Roman"/>
                <w:sz w:val="24"/>
                <w:szCs w:val="24"/>
              </w:rPr>
            </w:pPr>
            <w:r>
              <w:rPr>
                <w:rFonts w:ascii="Times New Roman" w:hAnsi="Times New Roman"/>
                <w:sz w:val="16"/>
                <w:szCs w:val="16"/>
              </w:rPr>
              <w:t>Abuse-related behavior</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40"/>
              <w:jc w:val="right"/>
              <w:rPr>
                <w:rFonts w:ascii="Times New Roman" w:hAnsi="Times New Roman"/>
                <w:sz w:val="24"/>
                <w:szCs w:val="24"/>
              </w:rPr>
            </w:pPr>
            <w:r>
              <w:rPr>
                <w:rFonts w:ascii="Times New Roman" w:hAnsi="Times New Roman"/>
                <w:sz w:val="16"/>
                <w:szCs w:val="16"/>
              </w:rPr>
              <w:t>14.8</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w w:val="99"/>
                <w:sz w:val="16"/>
                <w:szCs w:val="16"/>
              </w:rPr>
              <w:t>11.0</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25</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50,</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10)</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4.0</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73 (  84,  53)</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2.0</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86</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94,  72)</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22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80"/>
              <w:rPr>
                <w:rFonts w:ascii="Times New Roman" w:hAnsi="Times New Roman"/>
                <w:sz w:val="24"/>
                <w:szCs w:val="24"/>
              </w:rPr>
            </w:pPr>
            <w:r>
              <w:rPr>
                <w:rFonts w:ascii="Times New Roman" w:hAnsi="Times New Roman"/>
                <w:sz w:val="16"/>
                <w:szCs w:val="16"/>
              </w:rPr>
              <w:t>Non-overdose</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60"/>
              <w:jc w:val="right"/>
              <w:rPr>
                <w:rFonts w:ascii="Times New Roman" w:hAnsi="Times New Roman"/>
                <w:sz w:val="24"/>
                <w:szCs w:val="24"/>
              </w:rPr>
            </w:pPr>
            <w:r>
              <w:rPr>
                <w:rFonts w:ascii="Times New Roman" w:hAnsi="Times New Roman"/>
                <w:sz w:val="16"/>
                <w:szCs w:val="16"/>
              </w:rPr>
              <w:t>4.0</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9"/>
                <w:szCs w:val="19"/>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sz w:val="16"/>
                <w:szCs w:val="16"/>
              </w:rPr>
              <w:t>4.5</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12</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43,</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121)</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9"/>
                <w:szCs w:val="19"/>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1.0</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75 (  92,  25)</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0.8</w:t>
            </w:r>
          </w:p>
        </w:tc>
        <w:tc>
          <w:tcPr>
            <w:tcW w:w="130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81(  95,  36)</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73"/>
        </w:trPr>
        <w:tc>
          <w:tcPr>
            <w:tcW w:w="4600" w:type="dxa"/>
            <w:gridSpan w:val="5"/>
            <w:tcBorders>
              <w:top w:val="nil"/>
              <w:left w:val="nil"/>
              <w:bottom w:val="nil"/>
              <w:right w:val="nil"/>
            </w:tcBorders>
            <w:vAlign w:val="bottom"/>
          </w:tcPr>
          <w:p w:rsidR="002A4D1F" w:rsidRDefault="002A4D1F">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 xml:space="preserve">Subset of all fatal reports mentioning brand name </w:t>
            </w:r>
            <w:r>
              <w:rPr>
                <w:rFonts w:ascii="Arial" w:hAnsi="Arial" w:cs="Arial"/>
                <w:sz w:val="16"/>
                <w:szCs w:val="16"/>
              </w:rPr>
              <w:t>“</w:t>
            </w:r>
            <w:r>
              <w:rPr>
                <w:rFonts w:ascii="Times New Roman" w:hAnsi="Times New Roman"/>
                <w:sz w:val="16"/>
                <w:szCs w:val="16"/>
              </w:rPr>
              <w:t>OxyContin</w:t>
            </w:r>
            <w:r>
              <w:rPr>
                <w:rFonts w:ascii="Arial" w:hAnsi="Arial" w:cs="Arial"/>
                <w:sz w:val="16"/>
                <w:szCs w:val="16"/>
              </w:rPr>
              <w:t>”</w:t>
            </w:r>
          </w:p>
        </w:tc>
        <w:tc>
          <w:tcPr>
            <w:tcW w:w="42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7</w:t>
            </w:r>
          </w:p>
        </w:tc>
        <w:tc>
          <w:tcPr>
            <w:tcW w:w="42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ind w:left="20"/>
              <w:rPr>
                <w:rFonts w:ascii="Times New Roman" w:hAnsi="Times New Roman"/>
                <w:sz w:val="24"/>
                <w:szCs w:val="24"/>
              </w:rPr>
            </w:pPr>
            <w:r>
              <w:rPr>
                <w:rFonts w:ascii="Times New Roman" w:hAnsi="Times New Roman"/>
                <w:sz w:val="16"/>
                <w:szCs w:val="16"/>
              </w:rPr>
              <w:t>(  34,</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34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ind w:left="100"/>
              <w:jc w:val="center"/>
              <w:rPr>
                <w:rFonts w:ascii="Times New Roman" w:hAnsi="Times New Roman"/>
                <w:sz w:val="24"/>
                <w:szCs w:val="24"/>
              </w:rPr>
            </w:pPr>
            <w:r>
              <w:rPr>
                <w:rFonts w:ascii="Times New Roman" w:hAnsi="Times New Roman"/>
                <w:sz w:val="16"/>
                <w:szCs w:val="16"/>
              </w:rPr>
              <w:t>62 (  76,  40)</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50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82</w:t>
            </w:r>
          </w:p>
        </w:tc>
        <w:tc>
          <w:tcPr>
            <w:tcW w:w="80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  90,  67)</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7"/>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All</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40"/>
              <w:jc w:val="right"/>
              <w:rPr>
                <w:rFonts w:ascii="Times New Roman" w:hAnsi="Times New Roman"/>
                <w:sz w:val="24"/>
                <w:szCs w:val="24"/>
              </w:rPr>
            </w:pPr>
            <w:r>
              <w:rPr>
                <w:rFonts w:ascii="Times New Roman" w:hAnsi="Times New Roman"/>
                <w:sz w:val="16"/>
                <w:szCs w:val="16"/>
              </w:rPr>
              <w:t>17.0</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60"/>
              <w:jc w:val="right"/>
              <w:rPr>
                <w:rFonts w:ascii="Times New Roman" w:hAnsi="Times New Roman"/>
                <w:sz w:val="24"/>
                <w:szCs w:val="24"/>
              </w:rPr>
            </w:pPr>
            <w:r>
              <w:rPr>
                <w:rFonts w:ascii="Times New Roman" w:hAnsi="Times New Roman"/>
                <w:w w:val="99"/>
                <w:sz w:val="16"/>
                <w:szCs w:val="16"/>
              </w:rPr>
              <w:t>15.8</w:t>
            </w:r>
          </w:p>
        </w:tc>
        <w:tc>
          <w:tcPr>
            <w:tcW w:w="42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42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20"/>
              <w:rPr>
                <w:rFonts w:ascii="Times New Roman" w:hAnsi="Times New Roman"/>
                <w:sz w:val="24"/>
                <w:szCs w:val="24"/>
              </w:rPr>
            </w:pPr>
            <w:r>
              <w:rPr>
                <w:rFonts w:ascii="Times New Roman" w:hAnsi="Times New Roman"/>
                <w:sz w:val="16"/>
                <w:szCs w:val="16"/>
              </w:rPr>
              <w:t>31)</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160"/>
              <w:jc w:val="right"/>
              <w:rPr>
                <w:rFonts w:ascii="Times New Roman" w:hAnsi="Times New Roman"/>
                <w:sz w:val="24"/>
                <w:szCs w:val="24"/>
              </w:rPr>
            </w:pPr>
            <w:r>
              <w:rPr>
                <w:rFonts w:ascii="Times New Roman" w:hAnsi="Times New Roman"/>
                <w:sz w:val="16"/>
                <w:szCs w:val="16"/>
              </w:rPr>
              <w:t>6.5</w:t>
            </w:r>
          </w:p>
        </w:tc>
        <w:tc>
          <w:tcPr>
            <w:tcW w:w="134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00"/>
              <w:jc w:val="right"/>
              <w:rPr>
                <w:rFonts w:ascii="Times New Roman" w:hAnsi="Times New Roman"/>
                <w:sz w:val="24"/>
                <w:szCs w:val="24"/>
              </w:rPr>
            </w:pPr>
            <w:r>
              <w:rPr>
                <w:rFonts w:ascii="Times New Roman" w:hAnsi="Times New Roman"/>
                <w:sz w:val="16"/>
                <w:szCs w:val="16"/>
              </w:rPr>
              <w:t>3.0</w:t>
            </w:r>
          </w:p>
        </w:tc>
        <w:tc>
          <w:tcPr>
            <w:tcW w:w="50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80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80"/>
              <w:rPr>
                <w:rFonts w:ascii="Times New Roman" w:hAnsi="Times New Roman"/>
                <w:sz w:val="24"/>
                <w:szCs w:val="24"/>
              </w:rPr>
            </w:pPr>
            <w:r>
              <w:rPr>
                <w:rFonts w:ascii="Times New Roman" w:hAnsi="Times New Roman"/>
                <w:sz w:val="16"/>
                <w:szCs w:val="16"/>
              </w:rPr>
              <w:t>Overdose</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40"/>
              <w:jc w:val="right"/>
              <w:rPr>
                <w:rFonts w:ascii="Times New Roman" w:hAnsi="Times New Roman"/>
                <w:sz w:val="24"/>
                <w:szCs w:val="24"/>
              </w:rPr>
            </w:pPr>
            <w:r>
              <w:rPr>
                <w:rFonts w:ascii="Times New Roman" w:hAnsi="Times New Roman"/>
                <w:sz w:val="16"/>
                <w:szCs w:val="16"/>
              </w:rPr>
              <w:t>12.0</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sz w:val="16"/>
                <w:szCs w:val="16"/>
              </w:rPr>
              <w:t>9.0</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25</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51,</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16)</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4.3</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65 (  80,  38)</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1.3</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90</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96,  74)</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79"/>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420"/>
              <w:rPr>
                <w:rFonts w:ascii="Times New Roman" w:hAnsi="Times New Roman"/>
                <w:sz w:val="24"/>
                <w:szCs w:val="24"/>
              </w:rPr>
            </w:pPr>
            <w:r>
              <w:rPr>
                <w:rFonts w:ascii="Times New Roman" w:hAnsi="Times New Roman"/>
                <w:sz w:val="16"/>
                <w:szCs w:val="16"/>
              </w:rPr>
              <w:t>Abuse-related behavior</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40"/>
              <w:jc w:val="right"/>
              <w:rPr>
                <w:rFonts w:ascii="Times New Roman" w:hAnsi="Times New Roman"/>
                <w:sz w:val="24"/>
                <w:szCs w:val="24"/>
              </w:rPr>
            </w:pPr>
            <w:r>
              <w:rPr>
                <w:rFonts w:ascii="Times New Roman" w:hAnsi="Times New Roman"/>
                <w:sz w:val="16"/>
                <w:szCs w:val="16"/>
              </w:rPr>
              <w:t>10.5</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sz w:val="16"/>
                <w:szCs w:val="16"/>
              </w:rPr>
              <w:t>7.8</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26</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54,</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17)</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3.3</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69 (  83,  42)</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1.3</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88</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95,  70)</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22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80"/>
              <w:rPr>
                <w:rFonts w:ascii="Times New Roman" w:hAnsi="Times New Roman"/>
                <w:sz w:val="24"/>
                <w:szCs w:val="24"/>
              </w:rPr>
            </w:pPr>
            <w:r>
              <w:rPr>
                <w:rFonts w:ascii="Times New Roman" w:hAnsi="Times New Roman"/>
                <w:sz w:val="16"/>
                <w:szCs w:val="16"/>
              </w:rPr>
              <w:t>Non-overdose</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760"/>
              <w:rPr>
                <w:rFonts w:ascii="Times New Roman" w:hAnsi="Times New Roman"/>
                <w:sz w:val="24"/>
                <w:szCs w:val="24"/>
              </w:rPr>
            </w:pPr>
            <w:r>
              <w:rPr>
                <w:rFonts w:ascii="Times New Roman" w:hAnsi="Times New Roman"/>
                <w:sz w:val="16"/>
                <w:szCs w:val="16"/>
              </w:rPr>
              <w:t>5</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9"/>
                <w:szCs w:val="19"/>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sz w:val="16"/>
                <w:szCs w:val="16"/>
              </w:rPr>
              <w:t>6.8</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35</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24,</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141)</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9"/>
                <w:szCs w:val="19"/>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2.3</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20"/>
              <w:rPr>
                <w:rFonts w:ascii="Times New Roman" w:hAnsi="Times New Roman"/>
                <w:sz w:val="24"/>
                <w:szCs w:val="24"/>
              </w:rPr>
            </w:pPr>
            <w:r>
              <w:rPr>
                <w:rFonts w:ascii="Times New Roman" w:hAnsi="Times New Roman"/>
                <w:sz w:val="16"/>
                <w:szCs w:val="16"/>
              </w:rPr>
              <w:t>55 (  80,  1)</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1.8</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65</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85,  17)</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0"/>
        </w:trPr>
        <w:tc>
          <w:tcPr>
            <w:tcW w:w="7960" w:type="dxa"/>
            <w:gridSpan w:val="11"/>
            <w:tcBorders>
              <w:top w:val="nil"/>
              <w:left w:val="nil"/>
              <w:bottom w:val="nil"/>
              <w:right w:val="nil"/>
            </w:tcBorders>
            <w:vAlign w:val="bottom"/>
          </w:tcPr>
          <w:p w:rsidR="002A4D1F" w:rsidRDefault="002A4D1F">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Subset of all fatal reports with data con</w:t>
            </w:r>
            <w:r>
              <w:rPr>
                <w:rFonts w:ascii="Arial" w:hAnsi="Arial" w:cs="Arial"/>
                <w:sz w:val="16"/>
                <w:szCs w:val="16"/>
              </w:rPr>
              <w:t>fi</w:t>
            </w:r>
            <w:r>
              <w:rPr>
                <w:rFonts w:ascii="Times New Roman" w:hAnsi="Times New Roman"/>
                <w:sz w:val="16"/>
                <w:szCs w:val="16"/>
              </w:rPr>
              <w:t>ned to cases received during 3-month period following date of death</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50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65</w:t>
            </w:r>
          </w:p>
        </w:tc>
        <w:tc>
          <w:tcPr>
            <w:tcW w:w="80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  80,  39)</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60"/>
              <w:rPr>
                <w:rFonts w:ascii="Times New Roman" w:hAnsi="Times New Roman"/>
                <w:sz w:val="24"/>
                <w:szCs w:val="24"/>
              </w:rPr>
            </w:pPr>
            <w:r>
              <w:rPr>
                <w:rFonts w:ascii="Times New Roman" w:hAnsi="Times New Roman"/>
                <w:sz w:val="16"/>
                <w:szCs w:val="16"/>
              </w:rPr>
              <w:t>All</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40"/>
              <w:jc w:val="right"/>
              <w:rPr>
                <w:rFonts w:ascii="Times New Roman" w:hAnsi="Times New Roman"/>
                <w:sz w:val="24"/>
                <w:szCs w:val="24"/>
              </w:rPr>
            </w:pPr>
            <w:r>
              <w:rPr>
                <w:rFonts w:ascii="Times New Roman" w:hAnsi="Times New Roman"/>
                <w:sz w:val="16"/>
                <w:szCs w:val="16"/>
              </w:rPr>
              <w:t>11.5</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w w:val="99"/>
                <w:sz w:val="16"/>
                <w:szCs w:val="16"/>
              </w:rPr>
              <w:t>18.0</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57</w:t>
            </w:r>
          </w:p>
        </w:tc>
        <w:tc>
          <w:tcPr>
            <w:tcW w:w="76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(8, 127)</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4.0</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65 (  80,  39)</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4.0</w:t>
            </w:r>
          </w:p>
        </w:tc>
        <w:tc>
          <w:tcPr>
            <w:tcW w:w="50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0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80"/>
              <w:rPr>
                <w:rFonts w:ascii="Times New Roman" w:hAnsi="Times New Roman"/>
                <w:sz w:val="24"/>
                <w:szCs w:val="24"/>
              </w:rPr>
            </w:pPr>
            <w:r>
              <w:rPr>
                <w:rFonts w:ascii="Times New Roman" w:hAnsi="Times New Roman"/>
                <w:sz w:val="16"/>
                <w:szCs w:val="16"/>
              </w:rPr>
              <w:t>Overdose</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60"/>
              <w:jc w:val="right"/>
              <w:rPr>
                <w:rFonts w:ascii="Times New Roman" w:hAnsi="Times New Roman"/>
                <w:sz w:val="24"/>
                <w:szCs w:val="24"/>
              </w:rPr>
            </w:pPr>
            <w:r>
              <w:rPr>
                <w:rFonts w:ascii="Times New Roman" w:hAnsi="Times New Roman"/>
                <w:sz w:val="16"/>
                <w:szCs w:val="16"/>
              </w:rPr>
              <w:t>9.5</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w w:val="99"/>
                <w:sz w:val="16"/>
                <w:szCs w:val="16"/>
              </w:rPr>
              <w:t>10.5</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11</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29,</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71)</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3.3</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66 (  82,  36)</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2.0</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79</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90,  55)</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79"/>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420"/>
              <w:rPr>
                <w:rFonts w:ascii="Times New Roman" w:hAnsi="Times New Roman"/>
                <w:sz w:val="24"/>
                <w:szCs w:val="24"/>
              </w:rPr>
            </w:pPr>
            <w:r>
              <w:rPr>
                <w:rFonts w:ascii="Times New Roman" w:hAnsi="Times New Roman"/>
                <w:sz w:val="16"/>
                <w:szCs w:val="16"/>
              </w:rPr>
              <w:t>Abuse-related behavior</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60"/>
              <w:jc w:val="right"/>
              <w:rPr>
                <w:rFonts w:ascii="Times New Roman" w:hAnsi="Times New Roman"/>
                <w:sz w:val="24"/>
                <w:szCs w:val="24"/>
              </w:rPr>
            </w:pPr>
            <w:r>
              <w:rPr>
                <w:rFonts w:ascii="Times New Roman" w:hAnsi="Times New Roman"/>
                <w:sz w:val="16"/>
                <w:szCs w:val="16"/>
              </w:rPr>
              <w:t>9.0</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sz w:val="16"/>
                <w:szCs w:val="16"/>
              </w:rPr>
              <w:t>8.5</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6</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41,</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51)</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2.8</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69 (  84,  40)</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2.0</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78</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90,  52)</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22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80"/>
              <w:rPr>
                <w:rFonts w:ascii="Times New Roman" w:hAnsi="Times New Roman"/>
                <w:sz w:val="24"/>
                <w:szCs w:val="24"/>
              </w:rPr>
            </w:pPr>
            <w:r>
              <w:rPr>
                <w:rFonts w:ascii="Times New Roman" w:hAnsi="Times New Roman"/>
                <w:sz w:val="16"/>
                <w:szCs w:val="16"/>
              </w:rPr>
              <w:t>Non-overdose</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60"/>
              <w:jc w:val="right"/>
              <w:rPr>
                <w:rFonts w:ascii="Times New Roman" w:hAnsi="Times New Roman"/>
                <w:sz w:val="24"/>
                <w:szCs w:val="24"/>
              </w:rPr>
            </w:pPr>
            <w:r>
              <w:rPr>
                <w:rFonts w:ascii="Times New Roman" w:hAnsi="Times New Roman"/>
                <w:sz w:val="16"/>
                <w:szCs w:val="16"/>
              </w:rPr>
              <w:t>2.0</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9"/>
                <w:szCs w:val="19"/>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sz w:val="16"/>
                <w:szCs w:val="16"/>
              </w:rPr>
              <w:t>7.5</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275</w:t>
            </w:r>
          </w:p>
        </w:tc>
        <w:tc>
          <w:tcPr>
            <w:tcW w:w="76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(72, 718)</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9"/>
                <w:szCs w:val="19"/>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0.8</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20"/>
              <w:rPr>
                <w:rFonts w:ascii="Times New Roman" w:hAnsi="Times New Roman"/>
                <w:sz w:val="24"/>
                <w:szCs w:val="24"/>
              </w:rPr>
            </w:pPr>
            <w:r>
              <w:rPr>
                <w:rFonts w:ascii="Times New Roman" w:hAnsi="Times New Roman"/>
                <w:sz w:val="16"/>
                <w:szCs w:val="16"/>
              </w:rPr>
              <w:t>62 (  90, 41)</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2.0</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0</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62, 166)</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0"/>
        </w:trPr>
        <w:tc>
          <w:tcPr>
            <w:tcW w:w="7960" w:type="dxa"/>
            <w:gridSpan w:val="11"/>
            <w:tcBorders>
              <w:top w:val="nil"/>
              <w:left w:val="nil"/>
              <w:bottom w:val="nil"/>
              <w:right w:val="nil"/>
            </w:tcBorders>
            <w:vAlign w:val="bottom"/>
          </w:tcPr>
          <w:p w:rsidR="002A4D1F" w:rsidRDefault="002A4D1F">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Subset of all fatal reports with data con</w:t>
            </w:r>
            <w:r>
              <w:rPr>
                <w:rFonts w:ascii="Arial" w:hAnsi="Arial" w:cs="Arial"/>
                <w:sz w:val="16"/>
                <w:szCs w:val="16"/>
              </w:rPr>
              <w:t>fi</w:t>
            </w:r>
            <w:r>
              <w:rPr>
                <w:rFonts w:ascii="Times New Roman" w:hAnsi="Times New Roman"/>
                <w:sz w:val="16"/>
                <w:szCs w:val="16"/>
              </w:rPr>
              <w:t>ned to cases received during 6-month period following date of death</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50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71</w:t>
            </w:r>
          </w:p>
        </w:tc>
        <w:tc>
          <w:tcPr>
            <w:tcW w:w="80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  82,  52)</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60"/>
              <w:rPr>
                <w:rFonts w:ascii="Times New Roman" w:hAnsi="Times New Roman"/>
                <w:sz w:val="24"/>
                <w:szCs w:val="24"/>
              </w:rPr>
            </w:pPr>
            <w:r>
              <w:rPr>
                <w:rFonts w:ascii="Times New Roman" w:hAnsi="Times New Roman"/>
                <w:sz w:val="16"/>
                <w:szCs w:val="16"/>
              </w:rPr>
              <w:t>All</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40"/>
              <w:jc w:val="right"/>
              <w:rPr>
                <w:rFonts w:ascii="Times New Roman" w:hAnsi="Times New Roman"/>
                <w:sz w:val="24"/>
                <w:szCs w:val="24"/>
              </w:rPr>
            </w:pPr>
            <w:r>
              <w:rPr>
                <w:rFonts w:ascii="Times New Roman" w:hAnsi="Times New Roman"/>
                <w:sz w:val="16"/>
                <w:szCs w:val="16"/>
              </w:rPr>
              <w:t>17.3</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w w:val="99"/>
                <w:sz w:val="16"/>
                <w:szCs w:val="16"/>
              </w:rPr>
              <w:t>21.5</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25</w:t>
            </w:r>
          </w:p>
        </w:tc>
        <w:tc>
          <w:tcPr>
            <w:tcW w:w="1000" w:type="dxa"/>
            <w:gridSpan w:val="3"/>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9, 71)</w:t>
            </w: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7.3</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58 (  73,  35)</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5.0</w:t>
            </w:r>
          </w:p>
        </w:tc>
        <w:tc>
          <w:tcPr>
            <w:tcW w:w="50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0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80"/>
              <w:rPr>
                <w:rFonts w:ascii="Times New Roman" w:hAnsi="Times New Roman"/>
                <w:sz w:val="24"/>
                <w:szCs w:val="24"/>
              </w:rPr>
            </w:pPr>
            <w:r>
              <w:rPr>
                <w:rFonts w:ascii="Times New Roman" w:hAnsi="Times New Roman"/>
                <w:sz w:val="16"/>
                <w:szCs w:val="16"/>
              </w:rPr>
              <w:t>Overdose</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40"/>
              <w:jc w:val="right"/>
              <w:rPr>
                <w:rFonts w:ascii="Times New Roman" w:hAnsi="Times New Roman"/>
                <w:sz w:val="24"/>
                <w:szCs w:val="24"/>
              </w:rPr>
            </w:pPr>
            <w:r>
              <w:rPr>
                <w:rFonts w:ascii="Times New Roman" w:hAnsi="Times New Roman"/>
                <w:sz w:val="16"/>
                <w:szCs w:val="16"/>
              </w:rPr>
              <w:t>13.8</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w w:val="99"/>
                <w:sz w:val="16"/>
                <w:szCs w:val="16"/>
              </w:rPr>
              <w:t>13.5</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2</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33,</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43)</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5.3</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62 (  77,  37)</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2.5</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82</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91,  64)</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79"/>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420"/>
              <w:rPr>
                <w:rFonts w:ascii="Times New Roman" w:hAnsi="Times New Roman"/>
                <w:sz w:val="24"/>
                <w:szCs w:val="24"/>
              </w:rPr>
            </w:pPr>
            <w:r>
              <w:rPr>
                <w:rFonts w:ascii="Times New Roman" w:hAnsi="Times New Roman"/>
                <w:sz w:val="16"/>
                <w:szCs w:val="16"/>
              </w:rPr>
              <w:t>Abuse-related behavior</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40"/>
              <w:jc w:val="right"/>
              <w:rPr>
                <w:rFonts w:ascii="Times New Roman" w:hAnsi="Times New Roman"/>
                <w:sz w:val="24"/>
                <w:szCs w:val="24"/>
              </w:rPr>
            </w:pPr>
            <w:r>
              <w:rPr>
                <w:rFonts w:ascii="Times New Roman" w:hAnsi="Times New Roman"/>
                <w:sz w:val="16"/>
                <w:szCs w:val="16"/>
              </w:rPr>
              <w:t>12.8</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w w:val="99"/>
                <w:sz w:val="16"/>
                <w:szCs w:val="16"/>
              </w:rPr>
              <w:t>11.0</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14</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42,</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29)</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4.8</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63 (  78,  37)</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2.5</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80</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90, 61)</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22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80"/>
              <w:rPr>
                <w:rFonts w:ascii="Times New Roman" w:hAnsi="Times New Roman"/>
                <w:sz w:val="24"/>
                <w:szCs w:val="24"/>
              </w:rPr>
            </w:pPr>
            <w:r>
              <w:rPr>
                <w:rFonts w:ascii="Times New Roman" w:hAnsi="Times New Roman"/>
                <w:sz w:val="16"/>
                <w:szCs w:val="16"/>
              </w:rPr>
              <w:t>Non-overdose</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60"/>
              <w:jc w:val="right"/>
              <w:rPr>
                <w:rFonts w:ascii="Times New Roman" w:hAnsi="Times New Roman"/>
                <w:sz w:val="24"/>
                <w:szCs w:val="24"/>
              </w:rPr>
            </w:pPr>
            <w:r>
              <w:rPr>
                <w:rFonts w:ascii="Times New Roman" w:hAnsi="Times New Roman"/>
                <w:sz w:val="16"/>
                <w:szCs w:val="16"/>
              </w:rPr>
              <w:t>3.5</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9"/>
                <w:szCs w:val="19"/>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sz w:val="16"/>
                <w:szCs w:val="16"/>
              </w:rPr>
              <w:t>8.0</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129</w:t>
            </w:r>
          </w:p>
        </w:tc>
        <w:tc>
          <w:tcPr>
            <w:tcW w:w="76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(22, 328)</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9"/>
                <w:szCs w:val="19"/>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2.0</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20"/>
              <w:rPr>
                <w:rFonts w:ascii="Times New Roman" w:hAnsi="Times New Roman"/>
                <w:sz w:val="24"/>
                <w:szCs w:val="24"/>
              </w:rPr>
            </w:pPr>
            <w:r>
              <w:rPr>
                <w:rFonts w:ascii="Times New Roman" w:hAnsi="Times New Roman"/>
                <w:sz w:val="16"/>
                <w:szCs w:val="16"/>
              </w:rPr>
              <w:t>43 (  76, 36)</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2.5</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29</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68,  61)</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73"/>
        </w:trPr>
        <w:tc>
          <w:tcPr>
            <w:tcW w:w="4600" w:type="dxa"/>
            <w:gridSpan w:val="5"/>
            <w:tcBorders>
              <w:top w:val="nil"/>
              <w:left w:val="nil"/>
              <w:bottom w:val="nil"/>
              <w:right w:val="nil"/>
            </w:tcBorders>
            <w:vAlign w:val="bottom"/>
          </w:tcPr>
          <w:p w:rsidR="002A4D1F" w:rsidRDefault="002A4D1F">
            <w:pPr>
              <w:widowControl w:val="0"/>
              <w:autoSpaceDE w:val="0"/>
              <w:autoSpaceDN w:val="0"/>
              <w:adjustRightInd w:val="0"/>
              <w:spacing w:after="0" w:line="173" w:lineRule="exact"/>
              <w:rPr>
                <w:rFonts w:ascii="Times New Roman" w:hAnsi="Times New Roman"/>
                <w:sz w:val="24"/>
                <w:szCs w:val="24"/>
              </w:rPr>
            </w:pPr>
            <w:r>
              <w:rPr>
                <w:rFonts w:ascii="Times New Roman" w:hAnsi="Times New Roman"/>
                <w:sz w:val="16"/>
                <w:szCs w:val="16"/>
              </w:rPr>
              <w:t>Cases with date of death reported (n = 326) and not reported (n = 376)</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0"/>
        </w:trPr>
        <w:tc>
          <w:tcPr>
            <w:tcW w:w="7960" w:type="dxa"/>
            <w:gridSpan w:val="11"/>
            <w:tcBorders>
              <w:top w:val="nil"/>
              <w:left w:val="nil"/>
              <w:bottom w:val="nil"/>
              <w:right w:val="nil"/>
            </w:tcBorders>
            <w:vAlign w:val="bottom"/>
          </w:tcPr>
          <w:p w:rsidR="002A4D1F" w:rsidRDefault="002A4D1F">
            <w:pPr>
              <w:widowControl w:val="0"/>
              <w:autoSpaceDE w:val="0"/>
              <w:autoSpaceDN w:val="0"/>
              <w:adjustRightInd w:val="0"/>
              <w:spacing w:after="0" w:line="180" w:lineRule="exact"/>
              <w:rPr>
                <w:rFonts w:ascii="Times New Roman" w:hAnsi="Times New Roman"/>
                <w:sz w:val="24"/>
                <w:szCs w:val="24"/>
              </w:rPr>
            </w:pPr>
            <w:r>
              <w:rPr>
                <w:rFonts w:ascii="Times New Roman" w:hAnsi="Times New Roman"/>
                <w:sz w:val="16"/>
                <w:szCs w:val="16"/>
              </w:rPr>
              <w:t>Fatal reports with date of death + fatal reports without date of death (using manufacturer receipt date as proxy)</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50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47</w:t>
            </w:r>
          </w:p>
        </w:tc>
        <w:tc>
          <w:tcPr>
            <w:tcW w:w="800" w:type="dxa"/>
            <w:vMerge w:val="restart"/>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6"/>
                <w:szCs w:val="16"/>
              </w:rPr>
              <w:t>(  58,  34)</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7"/>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160"/>
              <w:rPr>
                <w:rFonts w:ascii="Times New Roman" w:hAnsi="Times New Roman"/>
                <w:sz w:val="24"/>
                <w:szCs w:val="24"/>
              </w:rPr>
            </w:pPr>
            <w:r>
              <w:rPr>
                <w:rFonts w:ascii="Times New Roman" w:hAnsi="Times New Roman"/>
                <w:sz w:val="16"/>
                <w:szCs w:val="16"/>
              </w:rPr>
              <w:t>All</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640"/>
              <w:jc w:val="right"/>
              <w:rPr>
                <w:rFonts w:ascii="Times New Roman" w:hAnsi="Times New Roman"/>
                <w:sz w:val="24"/>
                <w:szCs w:val="24"/>
              </w:rPr>
            </w:pPr>
            <w:r>
              <w:rPr>
                <w:rFonts w:ascii="Times New Roman" w:hAnsi="Times New Roman"/>
                <w:sz w:val="16"/>
                <w:szCs w:val="16"/>
              </w:rPr>
              <w:t>55.3</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60"/>
              <w:jc w:val="right"/>
              <w:rPr>
                <w:rFonts w:ascii="Times New Roman" w:hAnsi="Times New Roman"/>
                <w:sz w:val="24"/>
                <w:szCs w:val="24"/>
              </w:rPr>
            </w:pPr>
            <w:r>
              <w:rPr>
                <w:rFonts w:ascii="Times New Roman" w:hAnsi="Times New Roman"/>
                <w:w w:val="99"/>
                <w:sz w:val="16"/>
                <w:szCs w:val="16"/>
              </w:rPr>
              <w:t>59.3</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jc w:val="right"/>
              <w:rPr>
                <w:rFonts w:ascii="Times New Roman" w:hAnsi="Times New Roman"/>
                <w:sz w:val="24"/>
                <w:szCs w:val="24"/>
              </w:rPr>
            </w:pPr>
            <w:r>
              <w:rPr>
                <w:rFonts w:ascii="Times New Roman" w:hAnsi="Times New Roman"/>
                <w:sz w:val="16"/>
                <w:szCs w:val="16"/>
              </w:rPr>
              <w:t>7</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11,</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left="20"/>
              <w:rPr>
                <w:rFonts w:ascii="Times New Roman" w:hAnsi="Times New Roman"/>
                <w:sz w:val="24"/>
                <w:szCs w:val="24"/>
              </w:rPr>
            </w:pPr>
            <w:r>
              <w:rPr>
                <w:rFonts w:ascii="Times New Roman" w:hAnsi="Times New Roman"/>
                <w:sz w:val="16"/>
                <w:szCs w:val="16"/>
              </w:rPr>
              <w:t>29)</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160"/>
              <w:jc w:val="right"/>
              <w:rPr>
                <w:rFonts w:ascii="Times New Roman" w:hAnsi="Times New Roman"/>
                <w:sz w:val="24"/>
                <w:szCs w:val="24"/>
              </w:rPr>
            </w:pPr>
            <w:r>
              <w:rPr>
                <w:rFonts w:ascii="Times New Roman" w:hAnsi="Times New Roman"/>
                <w:sz w:val="16"/>
                <w:szCs w:val="16"/>
              </w:rPr>
              <w:t>31.8</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43 (  54,  29)</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80" w:lineRule="exact"/>
              <w:ind w:right="200"/>
              <w:jc w:val="right"/>
              <w:rPr>
                <w:rFonts w:ascii="Times New Roman" w:hAnsi="Times New Roman"/>
                <w:sz w:val="24"/>
                <w:szCs w:val="24"/>
              </w:rPr>
            </w:pPr>
            <w:r>
              <w:rPr>
                <w:rFonts w:ascii="Times New Roman" w:hAnsi="Times New Roman"/>
                <w:sz w:val="16"/>
                <w:szCs w:val="16"/>
              </w:rPr>
              <w:t>29.3</w:t>
            </w:r>
          </w:p>
        </w:tc>
        <w:tc>
          <w:tcPr>
            <w:tcW w:w="50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800" w:type="dxa"/>
            <w:vMerge/>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6"/>
                <w:szCs w:val="16"/>
              </w:rPr>
            </w:pP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79"/>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80"/>
              <w:rPr>
                <w:rFonts w:ascii="Times New Roman" w:hAnsi="Times New Roman"/>
                <w:sz w:val="24"/>
                <w:szCs w:val="24"/>
              </w:rPr>
            </w:pPr>
            <w:r>
              <w:rPr>
                <w:rFonts w:ascii="Times New Roman" w:hAnsi="Times New Roman"/>
                <w:sz w:val="16"/>
                <w:szCs w:val="16"/>
              </w:rPr>
              <w:t>Overdose</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40"/>
              <w:jc w:val="right"/>
              <w:rPr>
                <w:rFonts w:ascii="Times New Roman" w:hAnsi="Times New Roman"/>
                <w:sz w:val="24"/>
                <w:szCs w:val="24"/>
              </w:rPr>
            </w:pPr>
            <w:r>
              <w:rPr>
                <w:rFonts w:ascii="Times New Roman" w:hAnsi="Times New Roman"/>
                <w:sz w:val="16"/>
                <w:szCs w:val="16"/>
              </w:rPr>
              <w:t>40.3</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w w:val="99"/>
                <w:sz w:val="16"/>
                <w:szCs w:val="16"/>
              </w:rPr>
              <w:t>39.8</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1</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21,</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23)</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22.8</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43 (  56,  27)</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17.0</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58</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68,  44)</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180"/>
        </w:trPr>
        <w:tc>
          <w:tcPr>
            <w:tcW w:w="202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420"/>
              <w:rPr>
                <w:rFonts w:ascii="Times New Roman" w:hAnsi="Times New Roman"/>
                <w:sz w:val="24"/>
                <w:szCs w:val="24"/>
              </w:rPr>
            </w:pPr>
            <w:r>
              <w:rPr>
                <w:rFonts w:ascii="Times New Roman" w:hAnsi="Times New Roman"/>
                <w:sz w:val="16"/>
                <w:szCs w:val="16"/>
              </w:rPr>
              <w:t>Abuse-related behavior</w:t>
            </w:r>
          </w:p>
        </w:tc>
        <w:tc>
          <w:tcPr>
            <w:tcW w:w="17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640"/>
              <w:jc w:val="right"/>
              <w:rPr>
                <w:rFonts w:ascii="Times New Roman" w:hAnsi="Times New Roman"/>
                <w:sz w:val="24"/>
                <w:szCs w:val="24"/>
              </w:rPr>
            </w:pPr>
            <w:r>
              <w:rPr>
                <w:rFonts w:ascii="Times New Roman" w:hAnsi="Times New Roman"/>
                <w:sz w:val="16"/>
                <w:szCs w:val="16"/>
              </w:rPr>
              <w:t>31.8</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w w:val="99"/>
                <w:sz w:val="16"/>
                <w:szCs w:val="16"/>
              </w:rPr>
              <w:t>29.0</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9</w:t>
            </w:r>
          </w:p>
        </w:tc>
        <w:tc>
          <w:tcPr>
            <w:tcW w:w="42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29,</w:t>
            </w:r>
          </w:p>
        </w:tc>
        <w:tc>
          <w:tcPr>
            <w:tcW w:w="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17)</w:t>
            </w:r>
          </w:p>
        </w:tc>
        <w:tc>
          <w:tcPr>
            <w:tcW w:w="24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15"/>
                <w:szCs w:val="15"/>
              </w:rPr>
            </w:pPr>
          </w:p>
        </w:tc>
        <w:tc>
          <w:tcPr>
            <w:tcW w:w="6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16.3</w:t>
            </w:r>
          </w:p>
        </w:tc>
        <w:tc>
          <w:tcPr>
            <w:tcW w:w="134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49 (  62,  31)</w:t>
            </w:r>
          </w:p>
        </w:tc>
        <w:tc>
          <w:tcPr>
            <w:tcW w:w="740" w:type="dxa"/>
            <w:gridSpan w:val="2"/>
            <w:tcBorders>
              <w:top w:val="nil"/>
              <w:left w:val="nil"/>
              <w:bottom w:val="nil"/>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11.3</w:t>
            </w:r>
          </w:p>
        </w:tc>
        <w:tc>
          <w:tcPr>
            <w:tcW w:w="5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65</w:t>
            </w:r>
          </w:p>
        </w:tc>
        <w:tc>
          <w:tcPr>
            <w:tcW w:w="800" w:type="dxa"/>
            <w:tcBorders>
              <w:top w:val="nil"/>
              <w:left w:val="nil"/>
              <w:bottom w:val="nil"/>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75,  50)</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r w:rsidR="002A4D1F">
        <w:tblPrEx>
          <w:tblCellMar>
            <w:top w:w="0" w:type="dxa"/>
            <w:left w:w="0" w:type="dxa"/>
            <w:bottom w:w="0" w:type="dxa"/>
            <w:right w:w="0" w:type="dxa"/>
          </w:tblCellMar>
        </w:tblPrEx>
        <w:trPr>
          <w:trHeight w:val="241"/>
        </w:trPr>
        <w:tc>
          <w:tcPr>
            <w:tcW w:w="2020" w:type="dxa"/>
            <w:gridSpan w:val="2"/>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173" w:lineRule="exact"/>
              <w:ind w:left="280"/>
              <w:rPr>
                <w:rFonts w:ascii="Times New Roman" w:hAnsi="Times New Roman"/>
                <w:sz w:val="24"/>
                <w:szCs w:val="24"/>
              </w:rPr>
            </w:pPr>
            <w:r>
              <w:rPr>
                <w:rFonts w:ascii="Times New Roman" w:hAnsi="Times New Roman"/>
                <w:sz w:val="16"/>
                <w:szCs w:val="16"/>
              </w:rPr>
              <w:t>Non-overdose</w:t>
            </w:r>
          </w:p>
        </w:tc>
        <w:tc>
          <w:tcPr>
            <w:tcW w:w="170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173" w:lineRule="exact"/>
              <w:ind w:right="640"/>
              <w:jc w:val="right"/>
              <w:rPr>
                <w:rFonts w:ascii="Times New Roman" w:hAnsi="Times New Roman"/>
                <w:sz w:val="24"/>
                <w:szCs w:val="24"/>
              </w:rPr>
            </w:pPr>
            <w:r>
              <w:rPr>
                <w:rFonts w:ascii="Times New Roman" w:hAnsi="Times New Roman"/>
                <w:sz w:val="16"/>
                <w:szCs w:val="16"/>
              </w:rPr>
              <w:t>22.3</w:t>
            </w:r>
          </w:p>
        </w:tc>
        <w:tc>
          <w:tcPr>
            <w:tcW w:w="24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0"/>
                <w:szCs w:val="20"/>
              </w:rPr>
            </w:pPr>
          </w:p>
        </w:tc>
        <w:tc>
          <w:tcPr>
            <w:tcW w:w="64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173" w:lineRule="exact"/>
              <w:ind w:right="260"/>
              <w:jc w:val="right"/>
              <w:rPr>
                <w:rFonts w:ascii="Times New Roman" w:hAnsi="Times New Roman"/>
                <w:sz w:val="24"/>
                <w:szCs w:val="24"/>
              </w:rPr>
            </w:pPr>
            <w:r>
              <w:rPr>
                <w:rFonts w:ascii="Times New Roman" w:hAnsi="Times New Roman"/>
                <w:w w:val="99"/>
                <w:sz w:val="16"/>
                <w:szCs w:val="16"/>
              </w:rPr>
              <w:t>26.5</w:t>
            </w:r>
          </w:p>
        </w:tc>
        <w:tc>
          <w:tcPr>
            <w:tcW w:w="42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19</w:t>
            </w:r>
          </w:p>
        </w:tc>
        <w:tc>
          <w:tcPr>
            <w:tcW w:w="42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  10,</w:t>
            </w:r>
          </w:p>
        </w:tc>
        <w:tc>
          <w:tcPr>
            <w:tcW w:w="34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173" w:lineRule="exact"/>
              <w:ind w:left="20"/>
              <w:rPr>
                <w:rFonts w:ascii="Times New Roman" w:hAnsi="Times New Roman"/>
                <w:sz w:val="24"/>
                <w:szCs w:val="24"/>
              </w:rPr>
            </w:pPr>
            <w:r>
              <w:rPr>
                <w:rFonts w:ascii="Times New Roman" w:hAnsi="Times New Roman"/>
                <w:sz w:val="16"/>
                <w:szCs w:val="16"/>
              </w:rPr>
              <w:t>58)</w:t>
            </w:r>
          </w:p>
        </w:tc>
        <w:tc>
          <w:tcPr>
            <w:tcW w:w="24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0"/>
                <w:szCs w:val="20"/>
              </w:rPr>
            </w:pPr>
          </w:p>
        </w:tc>
        <w:tc>
          <w:tcPr>
            <w:tcW w:w="60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173" w:lineRule="exact"/>
              <w:ind w:right="160"/>
              <w:jc w:val="right"/>
              <w:rPr>
                <w:rFonts w:ascii="Times New Roman" w:hAnsi="Times New Roman"/>
                <w:sz w:val="24"/>
                <w:szCs w:val="24"/>
              </w:rPr>
            </w:pPr>
            <w:r>
              <w:rPr>
                <w:rFonts w:ascii="Times New Roman" w:hAnsi="Times New Roman"/>
                <w:sz w:val="16"/>
                <w:szCs w:val="16"/>
              </w:rPr>
              <w:t>11.0</w:t>
            </w:r>
          </w:p>
        </w:tc>
        <w:tc>
          <w:tcPr>
            <w:tcW w:w="134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173" w:lineRule="exact"/>
              <w:ind w:left="100"/>
              <w:jc w:val="center"/>
              <w:rPr>
                <w:rFonts w:ascii="Times New Roman" w:hAnsi="Times New Roman"/>
                <w:sz w:val="24"/>
                <w:szCs w:val="24"/>
              </w:rPr>
            </w:pPr>
            <w:r>
              <w:rPr>
                <w:rFonts w:ascii="Times New Roman" w:hAnsi="Times New Roman"/>
                <w:sz w:val="16"/>
                <w:szCs w:val="16"/>
              </w:rPr>
              <w:t>51 (  66,  29)</w:t>
            </w:r>
          </w:p>
        </w:tc>
        <w:tc>
          <w:tcPr>
            <w:tcW w:w="740" w:type="dxa"/>
            <w:gridSpan w:val="2"/>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173" w:lineRule="exact"/>
              <w:ind w:right="200"/>
              <w:jc w:val="right"/>
              <w:rPr>
                <w:rFonts w:ascii="Times New Roman" w:hAnsi="Times New Roman"/>
                <w:sz w:val="24"/>
                <w:szCs w:val="24"/>
              </w:rPr>
            </w:pPr>
            <w:r>
              <w:rPr>
                <w:rFonts w:ascii="Times New Roman" w:hAnsi="Times New Roman"/>
                <w:sz w:val="16"/>
                <w:szCs w:val="16"/>
              </w:rPr>
              <w:t>10.5</w:t>
            </w:r>
          </w:p>
        </w:tc>
        <w:tc>
          <w:tcPr>
            <w:tcW w:w="50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53</w:t>
            </w:r>
          </w:p>
        </w:tc>
        <w:tc>
          <w:tcPr>
            <w:tcW w:w="800" w:type="dxa"/>
            <w:tcBorders>
              <w:top w:val="nil"/>
              <w:left w:val="nil"/>
              <w:bottom w:val="single" w:sz="8" w:space="0" w:color="auto"/>
              <w:right w:val="nil"/>
            </w:tcBorders>
            <w:vAlign w:val="bottom"/>
          </w:tcPr>
          <w:p w:rsidR="002A4D1F" w:rsidRDefault="002A4D1F">
            <w:pPr>
              <w:widowControl w:val="0"/>
              <w:autoSpaceDE w:val="0"/>
              <w:autoSpaceDN w:val="0"/>
              <w:adjustRightInd w:val="0"/>
              <w:spacing w:after="0" w:line="173" w:lineRule="exact"/>
              <w:jc w:val="right"/>
              <w:rPr>
                <w:rFonts w:ascii="Times New Roman" w:hAnsi="Times New Roman"/>
                <w:sz w:val="24"/>
                <w:szCs w:val="24"/>
              </w:rPr>
            </w:pPr>
            <w:r>
              <w:rPr>
                <w:rFonts w:ascii="Times New Roman" w:hAnsi="Times New Roman"/>
                <w:sz w:val="16"/>
                <w:szCs w:val="16"/>
              </w:rPr>
              <w:t>(  67,  32)</w:t>
            </w:r>
          </w:p>
        </w:tc>
        <w:tc>
          <w:tcPr>
            <w:tcW w:w="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rPr>
                <w:rFonts w:ascii="Times New Roman" w:hAnsi="Times New Roman"/>
                <w:sz w:val="2"/>
                <w:szCs w:val="2"/>
              </w:rPr>
            </w:pPr>
          </w:p>
        </w:tc>
      </w:tr>
    </w:tbl>
    <w:p w:rsidR="002A4D1F" w:rsidRDefault="002A4D1F">
      <w:pPr>
        <w:widowControl w:val="0"/>
        <w:autoSpaceDE w:val="0"/>
        <w:autoSpaceDN w:val="0"/>
        <w:adjustRightInd w:val="0"/>
        <w:spacing w:after="0" w:line="55" w:lineRule="exact"/>
        <w:rPr>
          <w:rFonts w:ascii="Times New Roman" w:hAnsi="Times New Roman"/>
          <w:sz w:val="24"/>
          <w:szCs w:val="24"/>
        </w:rPr>
      </w:pPr>
    </w:p>
    <w:p w:rsidR="002A4D1F" w:rsidRDefault="002A4D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*Mean number of fatality cases per quarter with values rounded up to one decimal.</w:t>
      </w:r>
    </w:p>
    <w:p w:rsidR="002A4D1F" w:rsidRDefault="002A4D1F">
      <w:pPr>
        <w:widowControl w:val="0"/>
        <w:autoSpaceDE w:val="0"/>
        <w:autoSpaceDN w:val="0"/>
        <w:adjustRightInd w:val="0"/>
        <w:spacing w:after="0" w:line="240" w:lineRule="auto"/>
        <w:rPr>
          <w:rFonts w:ascii="Times New Roman" w:hAnsi="Times New Roman"/>
          <w:sz w:val="24"/>
          <w:szCs w:val="24"/>
        </w:rPr>
      </w:pPr>
      <w:r>
        <w:rPr>
          <w:rFonts w:ascii="Arial" w:hAnsi="Arial" w:cs="Arial"/>
          <w:sz w:val="21"/>
          <w:szCs w:val="21"/>
          <w:vertAlign w:val="superscript"/>
        </w:rPr>
        <w:t>†</w:t>
      </w:r>
      <w:r>
        <w:rPr>
          <w:rFonts w:ascii="Times New Roman" w:hAnsi="Times New Roman"/>
          <w:sz w:val="16"/>
          <w:szCs w:val="16"/>
        </w:rPr>
        <w:t>IMS National Prescription Audit database (includes retail, mail order and long-term care pharmacy prescriptions).</w:t>
      </w:r>
    </w:p>
    <w:p w:rsidR="002A4D1F" w:rsidRDefault="002A4D1F">
      <w:pPr>
        <w:widowControl w:val="0"/>
        <w:autoSpaceDE w:val="0"/>
        <w:autoSpaceDN w:val="0"/>
        <w:adjustRightInd w:val="0"/>
        <w:spacing w:after="0" w:line="240" w:lineRule="auto"/>
        <w:rPr>
          <w:rFonts w:ascii="Times New Roman" w:hAnsi="Times New Roman"/>
          <w:sz w:val="24"/>
          <w:szCs w:val="24"/>
        </w:rPr>
        <w:sectPr w:rsidR="002A4D1F">
          <w:pgSz w:w="11900" w:h="15817"/>
          <w:pgMar w:top="1169" w:right="1000" w:bottom="584" w:left="900" w:header="720" w:footer="720" w:gutter="0"/>
          <w:cols w:space="720" w:equalWidth="0">
            <w:col w:w="10000"/>
          </w:cols>
          <w:noEndnote/>
        </w:sectPr>
      </w:pPr>
    </w:p>
    <w:p w:rsidR="002A4D1F" w:rsidRDefault="002A4D1F">
      <w:pPr>
        <w:widowControl w:val="0"/>
        <w:autoSpaceDE w:val="0"/>
        <w:autoSpaceDN w:val="0"/>
        <w:adjustRightInd w:val="0"/>
        <w:spacing w:after="0" w:line="362"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8" w:lineRule="auto"/>
        <w:jc w:val="both"/>
        <w:rPr>
          <w:rFonts w:ascii="Times New Roman" w:hAnsi="Times New Roman"/>
          <w:sz w:val="24"/>
          <w:szCs w:val="24"/>
        </w:rPr>
      </w:pPr>
      <w:r>
        <w:rPr>
          <w:rFonts w:ascii="Times New Roman" w:hAnsi="Times New Roman"/>
          <w:sz w:val="21"/>
          <w:szCs w:val="21"/>
        </w:rPr>
        <w:t>fatality reports without date of death, using manufac-turer report-receipt date as a proxy for date of death, with those reports containing date of death, showed a 47% (95% CI: 58% to 34%) decrease in all fatality reports in the third year post-reformulation. Signi</w:t>
      </w:r>
      <w:r>
        <w:rPr>
          <w:rFonts w:ascii="Arial" w:hAnsi="Arial" w:cs="Arial"/>
          <w:sz w:val="21"/>
          <w:szCs w:val="21"/>
        </w:rPr>
        <w:t>fi</w:t>
      </w:r>
      <w:r>
        <w:rPr>
          <w:rFonts w:ascii="Times New Roman" w:hAnsi="Times New Roman"/>
          <w:sz w:val="21"/>
          <w:szCs w:val="21"/>
        </w:rPr>
        <w:t>cant decreases in the number of overdose fatalities, over-dose fatalities with mention of abuse-related behavior, and non-overdose fatalities were also observed.</w:t>
      </w:r>
    </w:p>
    <w:p w:rsidR="002A4D1F" w:rsidRDefault="002A4D1F">
      <w:pPr>
        <w:widowControl w:val="0"/>
        <w:autoSpaceDE w:val="0"/>
        <w:autoSpaceDN w:val="0"/>
        <w:adjustRightInd w:val="0"/>
        <w:spacing w:after="0" w:line="251" w:lineRule="exact"/>
        <w:rPr>
          <w:rFonts w:ascii="Times New Roman" w:hAnsi="Times New Roman"/>
          <w:sz w:val="24"/>
          <w:szCs w:val="24"/>
        </w:rPr>
      </w:pPr>
    </w:p>
    <w:p w:rsidR="002A4D1F" w:rsidRDefault="002A4D1F">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DISCUSSION</w:t>
      </w:r>
    </w:p>
    <w:p w:rsidR="002A4D1F" w:rsidRDefault="002A4D1F">
      <w:pPr>
        <w:widowControl w:val="0"/>
        <w:autoSpaceDE w:val="0"/>
        <w:autoSpaceDN w:val="0"/>
        <w:adjustRightInd w:val="0"/>
        <w:spacing w:after="0" w:line="221"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8" w:lineRule="auto"/>
        <w:jc w:val="both"/>
        <w:rPr>
          <w:rFonts w:ascii="Times New Roman" w:hAnsi="Times New Roman"/>
          <w:sz w:val="24"/>
          <w:szCs w:val="24"/>
        </w:rPr>
      </w:pPr>
      <w:r>
        <w:rPr>
          <w:rFonts w:ascii="Times New Roman" w:hAnsi="Times New Roman"/>
          <w:sz w:val="21"/>
          <w:szCs w:val="21"/>
        </w:rPr>
        <w:t>The number of spontaneous reports of death involving ERO reported to the manufacturer decreased after</w:t>
      </w:r>
    </w:p>
    <w:p w:rsidR="002A4D1F" w:rsidRDefault="002A4D1F">
      <w:pPr>
        <w:widowControl w:val="0"/>
        <w:autoSpaceDE w:val="0"/>
        <w:autoSpaceDN w:val="0"/>
        <w:adjustRightInd w:val="0"/>
        <w:spacing w:after="0" w:line="362" w:lineRule="exact"/>
        <w:rPr>
          <w:rFonts w:ascii="Times New Roman" w:hAnsi="Times New Roman"/>
          <w:sz w:val="24"/>
          <w:szCs w:val="24"/>
        </w:rPr>
      </w:pPr>
      <w:r>
        <w:rPr>
          <w:rFonts w:ascii="Times New Roman" w:hAnsi="Times New Roman"/>
          <w:sz w:val="24"/>
          <w:szCs w:val="24"/>
        </w:rPr>
        <w:br w:type="column"/>
      </w:r>
    </w:p>
    <w:p w:rsidR="002A4D1F" w:rsidRDefault="002A4D1F">
      <w:pPr>
        <w:widowControl w:val="0"/>
        <w:overflowPunct w:val="0"/>
        <w:autoSpaceDE w:val="0"/>
        <w:autoSpaceDN w:val="0"/>
        <w:adjustRightInd w:val="0"/>
        <w:spacing w:after="0" w:line="232" w:lineRule="auto"/>
        <w:jc w:val="both"/>
        <w:rPr>
          <w:rFonts w:ascii="Times New Roman" w:hAnsi="Times New Roman"/>
          <w:sz w:val="24"/>
          <w:szCs w:val="24"/>
        </w:rPr>
      </w:pPr>
      <w:r>
        <w:rPr>
          <w:rFonts w:ascii="Times New Roman" w:hAnsi="Times New Roman"/>
          <w:sz w:val="21"/>
          <w:szCs w:val="21"/>
        </w:rPr>
        <w:t>introduction of a reformulated ERO that was designed to be abuse-deterrent. As voluntary spontaneous ad-verse reports do not capture all events, temporal trends in these reports may not be a reliable source for causal interpretation.</w:t>
      </w:r>
      <w:r>
        <w:rPr>
          <w:rFonts w:ascii="Times New Roman" w:hAnsi="Times New Roman"/>
          <w:sz w:val="28"/>
          <w:szCs w:val="28"/>
          <w:vertAlign w:val="superscript"/>
        </w:rPr>
        <w:t>39</w:t>
      </w:r>
      <w:r>
        <w:rPr>
          <w:rFonts w:ascii="Times New Roman" w:hAnsi="Times New Roman"/>
          <w:sz w:val="21"/>
          <w:szCs w:val="21"/>
        </w:rPr>
        <w:t xml:space="preserve"> </w:t>
      </w:r>
      <w:r>
        <w:rPr>
          <w:rFonts w:ascii="Arial" w:hAnsi="Arial" w:cs="Arial"/>
          <w:sz w:val="28"/>
          <w:szCs w:val="28"/>
          <w:vertAlign w:val="superscript"/>
        </w:rPr>
        <w:t>–</w:t>
      </w:r>
      <w:r>
        <w:rPr>
          <w:rFonts w:ascii="Times New Roman" w:hAnsi="Times New Roman"/>
          <w:sz w:val="28"/>
          <w:szCs w:val="28"/>
          <w:vertAlign w:val="superscript"/>
        </w:rPr>
        <w:t>41</w:t>
      </w:r>
      <w:r>
        <w:rPr>
          <w:rFonts w:ascii="Times New Roman" w:hAnsi="Times New Roman"/>
          <w:sz w:val="21"/>
          <w:szCs w:val="21"/>
        </w:rPr>
        <w:t xml:space="preserve"> However, the large magnitude of the decrease in reported fatalities, while non-fatality adverse events remained unchanged or increased, sug-gests the decrease was not due to changing processes for reporting/collecting of ERO adverse events. The relative stability of death reports for another opioid product during the same period, though much fewer (because of fewer prescriptions), suggests that there was no systematic process change for reporting or</w:t>
      </w:r>
    </w:p>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69" w:right="1000" w:bottom="584" w:left="900" w:header="720" w:footer="720" w:gutter="0"/>
          <w:cols w:num="2" w:space="480" w:equalWidth="0">
            <w:col w:w="4760" w:space="480"/>
            <w:col w:w="4760"/>
          </w:cols>
          <w:noEndnote/>
        </w:sectPr>
      </w:pPr>
    </w:p>
    <w:p w:rsidR="002A4D1F" w:rsidRDefault="002A4D1F">
      <w:pPr>
        <w:widowControl w:val="0"/>
        <w:autoSpaceDE w:val="0"/>
        <w:autoSpaceDN w:val="0"/>
        <w:adjustRightInd w:val="0"/>
        <w:spacing w:after="0" w:line="289"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80"/>
        <w:gridCol w:w="5020"/>
      </w:tblGrid>
      <w:tr w:rsidR="002A4D1F">
        <w:tblPrEx>
          <w:tblCellMar>
            <w:top w:w="0" w:type="dxa"/>
            <w:left w:w="0" w:type="dxa"/>
            <w:bottom w:w="0" w:type="dxa"/>
            <w:right w:w="0" w:type="dxa"/>
          </w:tblCellMar>
        </w:tblPrEx>
        <w:trPr>
          <w:trHeight w:val="208"/>
        </w:trPr>
        <w:tc>
          <w:tcPr>
            <w:tcW w:w="4980" w:type="dxa"/>
            <w:tcBorders>
              <w:top w:val="nil"/>
              <w:left w:val="nil"/>
              <w:bottom w:val="nil"/>
              <w:right w:val="nil"/>
            </w:tcBorders>
            <w:vAlign w:val="bottom"/>
          </w:tcPr>
          <w:p w:rsidR="002A4D1F" w:rsidRDefault="002A4D1F">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18"/>
                <w:szCs w:val="18"/>
              </w:rPr>
              <w:t>© 2014 The Authors. Pharmacoepidemiology and Drug Safety</w:t>
            </w:r>
          </w:p>
        </w:tc>
        <w:tc>
          <w:tcPr>
            <w:tcW w:w="50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8"/>
                <w:szCs w:val="18"/>
              </w:rPr>
              <w:t>Pharmacoepidemiology and Drug Safety, 2014; 23: 1238</w:t>
            </w:r>
            <w:r>
              <w:rPr>
                <w:rFonts w:ascii="Arial" w:hAnsi="Arial" w:cs="Arial"/>
                <w:sz w:val="18"/>
                <w:szCs w:val="18"/>
              </w:rPr>
              <w:t>–</w:t>
            </w:r>
            <w:r>
              <w:rPr>
                <w:rFonts w:ascii="Times New Roman" w:hAnsi="Times New Roman"/>
                <w:sz w:val="18"/>
                <w:szCs w:val="18"/>
              </w:rPr>
              <w:t>1246</w:t>
            </w:r>
          </w:p>
        </w:tc>
      </w:tr>
      <w:tr w:rsidR="002A4D1F">
        <w:tblPrEx>
          <w:tblCellMar>
            <w:top w:w="0" w:type="dxa"/>
            <w:left w:w="0" w:type="dxa"/>
            <w:bottom w:w="0" w:type="dxa"/>
            <w:right w:w="0" w:type="dxa"/>
          </w:tblCellMar>
        </w:tblPrEx>
        <w:trPr>
          <w:trHeight w:val="197"/>
        </w:trPr>
        <w:tc>
          <w:tcPr>
            <w:tcW w:w="4980" w:type="dxa"/>
            <w:tcBorders>
              <w:top w:val="nil"/>
              <w:left w:val="nil"/>
              <w:bottom w:val="nil"/>
              <w:right w:val="nil"/>
            </w:tcBorders>
            <w:vAlign w:val="bottom"/>
          </w:tcPr>
          <w:p w:rsidR="002A4D1F" w:rsidRDefault="002A4D1F">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18"/>
                <w:szCs w:val="18"/>
              </w:rPr>
              <w:t>published by John Wiley &amp; Sons, Ltd.</w:t>
            </w:r>
          </w:p>
        </w:tc>
        <w:tc>
          <w:tcPr>
            <w:tcW w:w="5020" w:type="dxa"/>
            <w:tcBorders>
              <w:top w:val="nil"/>
              <w:left w:val="nil"/>
              <w:bottom w:val="nil"/>
              <w:right w:val="nil"/>
            </w:tcBorders>
            <w:vAlign w:val="bottom"/>
          </w:tcPr>
          <w:p w:rsidR="002A4D1F" w:rsidRDefault="002A4D1F">
            <w:pPr>
              <w:widowControl w:val="0"/>
              <w:autoSpaceDE w:val="0"/>
              <w:autoSpaceDN w:val="0"/>
              <w:adjustRightInd w:val="0"/>
              <w:spacing w:after="0" w:line="197" w:lineRule="exact"/>
              <w:jc w:val="right"/>
              <w:rPr>
                <w:rFonts w:ascii="Times New Roman" w:hAnsi="Times New Roman"/>
                <w:sz w:val="24"/>
                <w:szCs w:val="24"/>
              </w:rPr>
            </w:pPr>
            <w:r>
              <w:rPr>
                <w:rFonts w:ascii="Times New Roman" w:hAnsi="Times New Roman"/>
                <w:sz w:val="18"/>
                <w:szCs w:val="18"/>
              </w:rPr>
              <w:t>DOI: 10.1002/pds</w:t>
            </w:r>
          </w:p>
        </w:tc>
      </w:tr>
    </w:tbl>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69" w:right="1000" w:bottom="584" w:left="900" w:header="720" w:footer="720" w:gutter="0"/>
          <w:cols w:space="480" w:equalWidth="0">
            <w:col w:w="10000"/>
          </w:cols>
          <w:noEndnote/>
        </w:sectPr>
      </w:pPr>
    </w:p>
    <w:p w:rsidR="002A4D1F" w:rsidRDefault="002A4D1F">
      <w:pPr>
        <w:widowControl w:val="0"/>
        <w:tabs>
          <w:tab w:val="left" w:pos="4160"/>
        </w:tabs>
        <w:autoSpaceDE w:val="0"/>
        <w:autoSpaceDN w:val="0"/>
        <w:adjustRightInd w:val="0"/>
        <w:spacing w:after="0" w:line="239" w:lineRule="auto"/>
        <w:rPr>
          <w:rFonts w:ascii="Times New Roman" w:hAnsi="Times New Roman"/>
          <w:sz w:val="24"/>
          <w:szCs w:val="24"/>
        </w:rPr>
      </w:pPr>
      <w:bookmarkStart w:id="7" w:name="page7"/>
      <w:bookmarkEnd w:id="7"/>
      <w:r>
        <w:rPr>
          <w:rFonts w:ascii="Times New Roman" w:hAnsi="Times New Roman"/>
          <w:sz w:val="20"/>
          <w:szCs w:val="20"/>
        </w:rPr>
        <w:t>1244</w:t>
      </w:r>
      <w:r>
        <w:rPr>
          <w:rFonts w:ascii="Times New Roman" w:hAnsi="Times New Roman"/>
          <w:sz w:val="24"/>
          <w:szCs w:val="24"/>
        </w:rPr>
        <w:tab/>
      </w:r>
      <w:r>
        <w:rPr>
          <w:rFonts w:ascii="Times New Roman" w:hAnsi="Times New Roman"/>
          <w:sz w:val="20"/>
          <w:szCs w:val="20"/>
        </w:rPr>
        <w:t xml:space="preserve">n. e. sessler </w:t>
      </w:r>
      <w:r>
        <w:rPr>
          <w:rFonts w:ascii="Times New Roman" w:hAnsi="Times New Roman"/>
          <w:i/>
          <w:iCs/>
          <w:sz w:val="20"/>
          <w:szCs w:val="20"/>
        </w:rPr>
        <w:t>et al.</w:t>
      </w:r>
    </w:p>
    <w:p w:rsidR="002A4D1F" w:rsidRDefault="004B391B">
      <w:pPr>
        <w:widowControl w:val="0"/>
        <w:autoSpaceDE w:val="0"/>
        <w:autoSpaceDN w:val="0"/>
        <w:adjustRightInd w:val="0"/>
        <w:spacing w:after="0" w:line="240" w:lineRule="auto"/>
        <w:rPr>
          <w:rFonts w:ascii="Times New Roman" w:hAnsi="Times New Roman"/>
          <w:sz w:val="24"/>
          <w:szCs w:val="24"/>
        </w:rPr>
        <w:sectPr w:rsidR="002A4D1F">
          <w:pgSz w:w="11900" w:h="15817"/>
          <w:pgMar w:top="1168" w:right="5060" w:bottom="584" w:left="1000" w:header="720" w:footer="720" w:gutter="0"/>
          <w:cols w:space="720" w:equalWidth="0">
            <w:col w:w="5840"/>
          </w:cols>
          <w:noEndnote/>
        </w:sectPr>
      </w:pPr>
      <w:r>
        <w:rPr>
          <w:noProof/>
        </w:rPr>
        <w:drawing>
          <wp:anchor distT="0" distB="0" distL="114300" distR="114300" simplePos="0" relativeHeight="251665408" behindDoc="1" locked="0" layoutInCell="0" allowOverlap="1">
            <wp:simplePos x="0" y="0"/>
            <wp:positionH relativeFrom="column">
              <wp:posOffset>73025</wp:posOffset>
            </wp:positionH>
            <wp:positionV relativeFrom="paragraph">
              <wp:posOffset>65405</wp:posOffset>
            </wp:positionV>
            <wp:extent cx="2884170" cy="1711960"/>
            <wp:effectExtent l="0" t="0" r="0" b="2540"/>
            <wp:wrapNone/>
            <wp:docPr id="9" name="Picture 9" descr="Figure 2. OxyContin prescriptions per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2. OxyContin prescriptions per quar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4170" cy="1711960"/>
                    </a:xfrm>
                    <a:prstGeom prst="rect">
                      <a:avLst/>
                    </a:prstGeom>
                    <a:noFill/>
                  </pic:spPr>
                </pic:pic>
              </a:graphicData>
            </a:graphic>
            <wp14:sizeRelH relativeFrom="page">
              <wp14:pctWidth>0</wp14:pctWidth>
            </wp14:sizeRelH>
            <wp14:sizeRelV relativeFrom="page">
              <wp14:pctHeight>0</wp14:pctHeight>
            </wp14:sizeRelV>
          </wp:anchor>
        </w:drawing>
      </w: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357"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2" w:lineRule="auto"/>
        <w:jc w:val="both"/>
        <w:rPr>
          <w:rFonts w:ascii="Times New Roman" w:hAnsi="Times New Roman"/>
          <w:sz w:val="24"/>
          <w:szCs w:val="24"/>
        </w:rPr>
      </w:pPr>
      <w:r>
        <w:rPr>
          <w:rFonts w:ascii="Times New Roman" w:hAnsi="Times New Roman"/>
          <w:sz w:val="16"/>
          <w:szCs w:val="16"/>
        </w:rPr>
        <w:t>Figure 2. OxyContin prescriptions per quarter. Retail, mail order, and long-term care pharmacy dispensing of OxyContin prescriptions for 3Q2009</w:t>
      </w:r>
      <w:r>
        <w:rPr>
          <w:rFonts w:ascii="Arial" w:hAnsi="Arial" w:cs="Arial"/>
          <w:sz w:val="16"/>
          <w:szCs w:val="16"/>
        </w:rPr>
        <w:t>–</w:t>
      </w:r>
      <w:r>
        <w:rPr>
          <w:rFonts w:ascii="Times New Roman" w:hAnsi="Times New Roman"/>
          <w:sz w:val="16"/>
          <w:szCs w:val="16"/>
        </w:rPr>
        <w:t>2Q2013 extracted from IMS National Prescription Audit data-base. Distribution of reformulated OxyContin to wholesalers was initiated 9 August 2010 (indicated by the arrow).</w:t>
      </w:r>
    </w:p>
    <w:p w:rsidR="002A4D1F" w:rsidRDefault="002A4D1F">
      <w:pPr>
        <w:widowControl w:val="0"/>
        <w:autoSpaceDE w:val="0"/>
        <w:autoSpaceDN w:val="0"/>
        <w:adjustRightInd w:val="0"/>
        <w:spacing w:after="0" w:line="379"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8" w:lineRule="auto"/>
        <w:jc w:val="both"/>
        <w:rPr>
          <w:rFonts w:ascii="Times New Roman" w:hAnsi="Times New Roman"/>
          <w:sz w:val="24"/>
          <w:szCs w:val="24"/>
        </w:rPr>
      </w:pPr>
      <w:r>
        <w:rPr>
          <w:rFonts w:ascii="Times New Roman" w:hAnsi="Times New Roman"/>
          <w:sz w:val="21"/>
          <w:szCs w:val="21"/>
        </w:rPr>
        <w:t>collecting reports of deaths by the manufacturer during this period. Furthermore, analyses conducted to assess whether methodological artifacts might be responsible for the decline showed little impact of potential arti-facts, such as changes in prescription numbers, re-porter type or source, formulation speci</w:t>
      </w:r>
      <w:r>
        <w:rPr>
          <w:rFonts w:ascii="Arial" w:hAnsi="Arial" w:cs="Arial"/>
          <w:sz w:val="21"/>
          <w:szCs w:val="21"/>
        </w:rPr>
        <w:t>fi</w:t>
      </w:r>
      <w:r>
        <w:rPr>
          <w:rFonts w:ascii="Times New Roman" w:hAnsi="Times New Roman"/>
          <w:sz w:val="21"/>
          <w:szCs w:val="21"/>
        </w:rPr>
        <w:t>city, missing date of death, and reporting time lag. Therefore, these results suggest a decrease in the number of fatalities associated with ERO abuse/misuse as a result of its re-formulation with physicochemical properties that deter crushing/dissolving.</w:t>
      </w:r>
    </w:p>
    <w:p w:rsidR="002A4D1F" w:rsidRDefault="002A4D1F">
      <w:pPr>
        <w:widowControl w:val="0"/>
        <w:autoSpaceDE w:val="0"/>
        <w:autoSpaceDN w:val="0"/>
        <w:adjustRightInd w:val="0"/>
        <w:spacing w:after="0" w:line="6"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6" w:lineRule="auto"/>
        <w:ind w:firstLine="200"/>
        <w:jc w:val="both"/>
        <w:rPr>
          <w:rFonts w:ascii="Times New Roman" w:hAnsi="Times New Roman"/>
          <w:sz w:val="24"/>
          <w:szCs w:val="24"/>
        </w:rPr>
      </w:pPr>
      <w:r>
        <w:rPr>
          <w:rFonts w:ascii="Times New Roman" w:hAnsi="Times New Roman"/>
          <w:sz w:val="21"/>
          <w:szCs w:val="21"/>
        </w:rPr>
        <w:t>Other studies have reported similar decreases in abuse/misuse of ERO post-reformulation. Cicero et al.</w:t>
      </w:r>
      <w:r>
        <w:rPr>
          <w:rFonts w:ascii="Times New Roman" w:hAnsi="Times New Roman"/>
          <w:sz w:val="28"/>
          <w:szCs w:val="28"/>
          <w:vertAlign w:val="superscript"/>
        </w:rPr>
        <w:t>29</w:t>
      </w:r>
      <w:r>
        <w:rPr>
          <w:rFonts w:ascii="Times New Roman" w:hAnsi="Times New Roman"/>
          <w:sz w:val="21"/>
          <w:szCs w:val="21"/>
        </w:rPr>
        <w:t xml:space="preserve"> reported that in patients with opioid depen-dence who were entering treatment, the choice of ERO as the primary drug of abuse and use of ERO to get high at least once in the last 30 days, decreased signi</w:t>
      </w:r>
      <w:r>
        <w:rPr>
          <w:rFonts w:ascii="Arial" w:hAnsi="Arial" w:cs="Arial"/>
          <w:sz w:val="21"/>
          <w:szCs w:val="21"/>
        </w:rPr>
        <w:t>fi</w:t>
      </w:r>
      <w:r>
        <w:rPr>
          <w:rFonts w:ascii="Times New Roman" w:hAnsi="Times New Roman"/>
          <w:sz w:val="21"/>
          <w:szCs w:val="21"/>
        </w:rPr>
        <w:t>cantly post-reformulation (Survey of Key Infor-mants Patients</w:t>
      </w:r>
      <w:r>
        <w:rPr>
          <w:rFonts w:ascii="Arial" w:hAnsi="Arial" w:cs="Arial"/>
          <w:sz w:val="21"/>
          <w:szCs w:val="21"/>
        </w:rPr>
        <w:t>’</w:t>
      </w:r>
      <w:r>
        <w:rPr>
          <w:rFonts w:ascii="Times New Roman" w:hAnsi="Times New Roman"/>
          <w:sz w:val="21"/>
          <w:szCs w:val="21"/>
        </w:rPr>
        <w:t xml:space="preserve"> Program of the RADARS</w:t>
      </w:r>
      <w:r>
        <w:rPr>
          <w:rFonts w:ascii="Times New Roman" w:hAnsi="Times New Roman"/>
          <w:sz w:val="28"/>
          <w:szCs w:val="28"/>
          <w:vertAlign w:val="superscript"/>
        </w:rPr>
        <w:t>®</w:t>
      </w:r>
      <w:r>
        <w:rPr>
          <w:rFonts w:ascii="Times New Roman" w:hAnsi="Times New Roman"/>
          <w:sz w:val="21"/>
          <w:szCs w:val="21"/>
        </w:rPr>
        <w:t xml:space="preserve"> System). Butler et al.</w:t>
      </w:r>
      <w:r>
        <w:rPr>
          <w:rFonts w:ascii="Times New Roman" w:hAnsi="Times New Roman"/>
          <w:sz w:val="28"/>
          <w:szCs w:val="28"/>
          <w:vertAlign w:val="superscript"/>
        </w:rPr>
        <w:t>30</w:t>
      </w:r>
      <w:r>
        <w:rPr>
          <w:rFonts w:ascii="Times New Roman" w:hAnsi="Times New Roman"/>
          <w:sz w:val="21"/>
          <w:szCs w:val="21"/>
        </w:rPr>
        <w:t xml:space="preserve"> reported that for individuals assessed for substance abuse treatment, oral and non-oral abuse of reformulated ERO were 17% and 66% lower, re-spectively, than historic abuse of original ERO (NAVIPPRO Surveillance System), whereas abuse of ER oxymorphone and ER morphine increased or remained relatively unchanged, respectively. Severtson et al.</w:t>
      </w:r>
      <w:r>
        <w:rPr>
          <w:rFonts w:ascii="Times New Roman" w:hAnsi="Times New Roman"/>
          <w:sz w:val="28"/>
          <w:szCs w:val="28"/>
          <w:vertAlign w:val="superscript"/>
        </w:rPr>
        <w:t>31</w:t>
      </w:r>
      <w:r>
        <w:rPr>
          <w:rFonts w:ascii="Times New Roman" w:hAnsi="Times New Roman"/>
          <w:sz w:val="21"/>
          <w:szCs w:val="21"/>
        </w:rPr>
        <w:t xml:space="preserve"> reported that ERO abuse exposure calls to poison centers and reports of diversion of ERO, on a per-catchment area population basis, de-creased 38% and 53%, respectively, and that the street price for reformulated ERO was signi</w:t>
      </w:r>
      <w:r>
        <w:rPr>
          <w:rFonts w:ascii="Arial" w:hAnsi="Arial" w:cs="Arial"/>
          <w:sz w:val="21"/>
          <w:szCs w:val="21"/>
        </w:rPr>
        <w:t>fi</w:t>
      </w:r>
      <w:r>
        <w:rPr>
          <w:rFonts w:ascii="Times New Roman" w:hAnsi="Times New Roman"/>
          <w:sz w:val="21"/>
          <w:szCs w:val="21"/>
        </w:rPr>
        <w:t>cantly lower than original ERO (Poison Center Study and Drug Diversion Program of RADARS System). Coplan et al.</w:t>
      </w:r>
      <w:r>
        <w:rPr>
          <w:rFonts w:ascii="Times New Roman" w:hAnsi="Times New Roman"/>
          <w:sz w:val="28"/>
          <w:szCs w:val="28"/>
          <w:vertAlign w:val="superscript"/>
        </w:rPr>
        <w:t>32</w:t>
      </w:r>
      <w:r>
        <w:rPr>
          <w:rFonts w:ascii="Times New Roman" w:hAnsi="Times New Roman"/>
          <w:sz w:val="21"/>
          <w:szCs w:val="21"/>
        </w:rPr>
        <w:t xml:space="preserve"> reported that poison center ERO abuse, suicide, therapeutic errors among patients, accidental expo-sures among children, and adverse reaction exposures</w:t>
      </w:r>
    </w:p>
    <w:p w:rsidR="002A4D1F" w:rsidRDefault="002A4D1F">
      <w:pPr>
        <w:widowControl w:val="0"/>
        <w:autoSpaceDE w:val="0"/>
        <w:autoSpaceDN w:val="0"/>
        <w:adjustRightInd w:val="0"/>
        <w:spacing w:after="0" w:line="147" w:lineRule="exact"/>
        <w:rPr>
          <w:rFonts w:ascii="Times New Roman" w:hAnsi="Times New Roman"/>
          <w:sz w:val="24"/>
          <w:szCs w:val="24"/>
        </w:rPr>
      </w:pPr>
      <w:r>
        <w:rPr>
          <w:rFonts w:ascii="Times New Roman" w:hAnsi="Times New Roman"/>
          <w:sz w:val="24"/>
          <w:szCs w:val="24"/>
        </w:rPr>
        <w:br w:type="column"/>
      </w:r>
    </w:p>
    <w:p w:rsidR="002A4D1F" w:rsidRDefault="002A4D1F">
      <w:pPr>
        <w:widowControl w:val="0"/>
        <w:overflowPunct w:val="0"/>
        <w:autoSpaceDE w:val="0"/>
        <w:autoSpaceDN w:val="0"/>
        <w:adjustRightInd w:val="0"/>
        <w:spacing w:after="0" w:line="226" w:lineRule="auto"/>
        <w:jc w:val="both"/>
        <w:rPr>
          <w:rFonts w:ascii="Times New Roman" w:hAnsi="Times New Roman"/>
          <w:sz w:val="24"/>
          <w:szCs w:val="24"/>
        </w:rPr>
      </w:pPr>
      <w:r>
        <w:rPr>
          <w:rFonts w:ascii="Times New Roman" w:hAnsi="Times New Roman"/>
          <w:sz w:val="21"/>
          <w:szCs w:val="21"/>
        </w:rPr>
        <w:t>decreased signi</w:t>
      </w:r>
      <w:r>
        <w:rPr>
          <w:rFonts w:ascii="Arial" w:hAnsi="Arial" w:cs="Arial"/>
          <w:sz w:val="21"/>
          <w:szCs w:val="21"/>
        </w:rPr>
        <w:t>fi</w:t>
      </w:r>
      <w:r>
        <w:rPr>
          <w:rFonts w:ascii="Times New Roman" w:hAnsi="Times New Roman"/>
          <w:sz w:val="21"/>
          <w:szCs w:val="21"/>
        </w:rPr>
        <w:t>cantly post-reformulation but in-creased or remained steady for other single-entity oxy-codone products (National Poison Data System). Havens et al.</w:t>
      </w:r>
      <w:r>
        <w:rPr>
          <w:rFonts w:ascii="Times New Roman" w:hAnsi="Times New Roman"/>
          <w:sz w:val="28"/>
          <w:szCs w:val="28"/>
          <w:vertAlign w:val="superscript"/>
        </w:rPr>
        <w:t>42</w:t>
      </w:r>
      <w:r>
        <w:rPr>
          <w:rFonts w:ascii="Times New Roman" w:hAnsi="Times New Roman"/>
          <w:sz w:val="21"/>
          <w:szCs w:val="21"/>
        </w:rPr>
        <w:t xml:space="preserve"> reported that experienced opioid abusers in a rural Kentucky county self-reported a low frequency of abuse of reformulated ERO while maintaining a consistently high frequency of abuse of IR oxycodone. The Florida Medical Examiners Com-mission Report showed a decrease in deaths due to all forms of oxycodone, both ER and IR formulations, from a peak of 1516 in 2010 to 735 in 2012.</w:t>
      </w:r>
      <w:r>
        <w:rPr>
          <w:rFonts w:ascii="Times New Roman" w:hAnsi="Times New Roman"/>
          <w:sz w:val="28"/>
          <w:szCs w:val="28"/>
          <w:vertAlign w:val="superscript"/>
        </w:rPr>
        <w:t>43</w:t>
      </w:r>
      <w:r>
        <w:rPr>
          <w:rFonts w:ascii="Times New Roman" w:hAnsi="Times New Roman"/>
          <w:sz w:val="21"/>
          <w:szCs w:val="21"/>
        </w:rPr>
        <w:t xml:space="preserve"> How-ever, during this period, a state law was enacted to im-pose stricter requirements for dispensing of controlled substances targeted speci</w:t>
      </w:r>
      <w:r>
        <w:rPr>
          <w:rFonts w:ascii="Arial" w:hAnsi="Arial" w:cs="Arial"/>
          <w:sz w:val="21"/>
          <w:szCs w:val="21"/>
        </w:rPr>
        <w:t>fi</w:t>
      </w:r>
      <w:r>
        <w:rPr>
          <w:rFonts w:ascii="Times New Roman" w:hAnsi="Times New Roman"/>
          <w:sz w:val="21"/>
          <w:szCs w:val="21"/>
        </w:rPr>
        <w:t>cally at pill mills that were primarily prescribing or dispensing IR oxycodone.</w:t>
      </w:r>
      <w:r>
        <w:rPr>
          <w:rFonts w:ascii="Times New Roman" w:hAnsi="Times New Roman"/>
          <w:sz w:val="28"/>
          <w:szCs w:val="28"/>
          <w:vertAlign w:val="superscript"/>
        </w:rPr>
        <w:t>50</w:t>
      </w:r>
      <w:r>
        <w:rPr>
          <w:rFonts w:ascii="Times New Roman" w:hAnsi="Times New Roman"/>
          <w:sz w:val="21"/>
          <w:szCs w:val="21"/>
        </w:rPr>
        <w:t xml:space="preserve"> Nationally, the ratio of fatalities involving ERO versus any oxycodone more than halved (from 21% to 8%) after reformulation, further endorsing the speci</w:t>
      </w:r>
      <w:r>
        <w:rPr>
          <w:rFonts w:ascii="Arial" w:hAnsi="Arial" w:cs="Arial"/>
          <w:sz w:val="21"/>
          <w:szCs w:val="21"/>
        </w:rPr>
        <w:t>fi</w:t>
      </w:r>
      <w:r>
        <w:rPr>
          <w:rFonts w:ascii="Times New Roman" w:hAnsi="Times New Roman"/>
          <w:sz w:val="21"/>
          <w:szCs w:val="21"/>
        </w:rPr>
        <w:t>city of the effect of the reformulation.</w:t>
      </w:r>
    </w:p>
    <w:p w:rsidR="002A4D1F" w:rsidRDefault="002A4D1F">
      <w:pPr>
        <w:widowControl w:val="0"/>
        <w:autoSpaceDE w:val="0"/>
        <w:autoSpaceDN w:val="0"/>
        <w:adjustRightInd w:val="0"/>
        <w:spacing w:after="0" w:line="10"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3" w:lineRule="auto"/>
        <w:ind w:firstLine="201"/>
        <w:jc w:val="both"/>
        <w:rPr>
          <w:rFonts w:ascii="Times New Roman" w:hAnsi="Times New Roman"/>
          <w:sz w:val="24"/>
          <w:szCs w:val="24"/>
        </w:rPr>
      </w:pPr>
      <w:r>
        <w:rPr>
          <w:rFonts w:ascii="Times New Roman" w:hAnsi="Times New Roman"/>
          <w:sz w:val="21"/>
          <w:szCs w:val="21"/>
        </w:rPr>
        <w:t>Other researchers have used spontaneous adverse event reports to assess the effects of opioid formula-tions intended to deter abuse. Post-marketing adverse event reports received for an ER morphine capsule combined with naltrexone (an opioid antagonist) indi-cated a low number of product tampering reports and no cases of con</w:t>
      </w:r>
      <w:r>
        <w:rPr>
          <w:rFonts w:ascii="Arial" w:hAnsi="Arial" w:cs="Arial"/>
          <w:sz w:val="21"/>
          <w:szCs w:val="21"/>
        </w:rPr>
        <w:t>fi</w:t>
      </w:r>
      <w:r>
        <w:rPr>
          <w:rFonts w:ascii="Times New Roman" w:hAnsi="Times New Roman"/>
          <w:sz w:val="21"/>
          <w:szCs w:val="21"/>
        </w:rPr>
        <w:t>rmed tampering resulting in fatality.</w:t>
      </w:r>
      <w:r>
        <w:rPr>
          <w:rFonts w:ascii="Times New Roman" w:hAnsi="Times New Roman"/>
          <w:sz w:val="28"/>
          <w:szCs w:val="28"/>
          <w:vertAlign w:val="superscript"/>
        </w:rPr>
        <w:t>44</w:t>
      </w:r>
    </w:p>
    <w:p w:rsidR="002A4D1F" w:rsidRDefault="002A4D1F">
      <w:pPr>
        <w:widowControl w:val="0"/>
        <w:autoSpaceDE w:val="0"/>
        <w:autoSpaceDN w:val="0"/>
        <w:adjustRightInd w:val="0"/>
        <w:spacing w:after="0" w:line="6"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8" w:lineRule="auto"/>
        <w:ind w:firstLine="201"/>
        <w:jc w:val="both"/>
        <w:rPr>
          <w:rFonts w:ascii="Times New Roman" w:hAnsi="Times New Roman"/>
          <w:sz w:val="24"/>
          <w:szCs w:val="24"/>
        </w:rPr>
      </w:pPr>
      <w:r>
        <w:rPr>
          <w:rFonts w:ascii="Times New Roman" w:hAnsi="Times New Roman"/>
          <w:sz w:val="21"/>
          <w:szCs w:val="21"/>
        </w:rPr>
        <w:t xml:space="preserve">There are limitations to causal inference from volun-tary spontaneous fatality reports. However, when the results of this study are considered in the context of the </w:t>
      </w:r>
      <w:r>
        <w:rPr>
          <w:rFonts w:ascii="Arial" w:hAnsi="Arial" w:cs="Arial"/>
          <w:sz w:val="21"/>
          <w:szCs w:val="21"/>
        </w:rPr>
        <w:t>fi</w:t>
      </w:r>
      <w:r>
        <w:rPr>
          <w:rFonts w:ascii="Times New Roman" w:hAnsi="Times New Roman"/>
          <w:sz w:val="21"/>
          <w:szCs w:val="21"/>
        </w:rPr>
        <w:t>ve additional published articles and the one state surveillance report that demonstrate an abuse-deterrent impact of reformulated ERO, the Bayesian prior that the observed change in reported fatalities is caused by the reformulation is increased.</w:t>
      </w:r>
      <w:r>
        <w:rPr>
          <w:rFonts w:ascii="Times New Roman" w:hAnsi="Times New Roman"/>
          <w:sz w:val="28"/>
          <w:szCs w:val="28"/>
          <w:vertAlign w:val="superscript"/>
        </w:rPr>
        <w:t>45</w:t>
      </w:r>
    </w:p>
    <w:p w:rsidR="002A4D1F" w:rsidRDefault="002A4D1F">
      <w:pPr>
        <w:widowControl w:val="0"/>
        <w:autoSpaceDE w:val="0"/>
        <w:autoSpaceDN w:val="0"/>
        <w:adjustRightInd w:val="0"/>
        <w:spacing w:after="0" w:line="7"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5" w:lineRule="auto"/>
        <w:ind w:firstLine="201"/>
        <w:jc w:val="both"/>
        <w:rPr>
          <w:rFonts w:ascii="Times New Roman" w:hAnsi="Times New Roman"/>
          <w:sz w:val="24"/>
          <w:szCs w:val="24"/>
        </w:rPr>
      </w:pPr>
      <w:r>
        <w:rPr>
          <w:rFonts w:ascii="Times New Roman" w:hAnsi="Times New Roman"/>
          <w:sz w:val="21"/>
          <w:szCs w:val="21"/>
        </w:rPr>
        <w:t xml:space="preserve">Alternate explanations for the decline in fatality reporting were considered. A reduction in ERO dis-pensing occurred during the study period. However, combined prescription reductions of original and reformulated ERO (2%, 9%, and 12% in the </w:t>
      </w:r>
      <w:r>
        <w:rPr>
          <w:rFonts w:ascii="Arial" w:hAnsi="Arial" w:cs="Arial"/>
          <w:sz w:val="21"/>
          <w:szCs w:val="21"/>
        </w:rPr>
        <w:t>fi</w:t>
      </w:r>
      <w:r>
        <w:rPr>
          <w:rFonts w:ascii="Times New Roman" w:hAnsi="Times New Roman"/>
          <w:sz w:val="21"/>
          <w:szCs w:val="21"/>
        </w:rPr>
        <w:t>rst, second, and third year post-reformulation, respectively) were insuf</w:t>
      </w:r>
      <w:r>
        <w:rPr>
          <w:rFonts w:ascii="Arial" w:hAnsi="Arial" w:cs="Arial"/>
          <w:sz w:val="21"/>
          <w:szCs w:val="21"/>
        </w:rPr>
        <w:t>fi</w:t>
      </w:r>
      <w:r>
        <w:rPr>
          <w:rFonts w:ascii="Times New Roman" w:hAnsi="Times New Roman"/>
          <w:sz w:val="21"/>
          <w:szCs w:val="21"/>
        </w:rPr>
        <w:t>cient to account for the much larger reduc-tion in fatalities. Dispensing of original ERO gradually decreased in the 18 months after wholesale shipments stopped. Of note, reports received by the manufacturer post-reformulation included exposures to both original and reformulated ERO and therefore a portion of the fatal reports in the post-period likely involved original ERO, which may account for the gradual decrease in fatalities post-reformulation.</w:t>
      </w:r>
    </w:p>
    <w:p w:rsidR="002A4D1F" w:rsidRDefault="002A4D1F">
      <w:pPr>
        <w:widowControl w:val="0"/>
        <w:autoSpaceDE w:val="0"/>
        <w:autoSpaceDN w:val="0"/>
        <w:adjustRightInd w:val="0"/>
        <w:spacing w:after="0" w:line="6"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7" w:lineRule="auto"/>
        <w:ind w:firstLine="201"/>
        <w:jc w:val="both"/>
        <w:rPr>
          <w:rFonts w:ascii="Times New Roman" w:hAnsi="Times New Roman"/>
          <w:sz w:val="24"/>
          <w:szCs w:val="24"/>
        </w:rPr>
      </w:pPr>
      <w:r>
        <w:rPr>
          <w:rFonts w:ascii="Times New Roman" w:hAnsi="Times New Roman"/>
        </w:rPr>
        <w:t>Several initiatives to deter opioid abuse/overdose commenced or were ongoing during the study period. The FDA</w:t>
      </w:r>
      <w:r>
        <w:rPr>
          <w:rFonts w:ascii="Arial" w:hAnsi="Arial" w:cs="Arial"/>
        </w:rPr>
        <w:t>’</w:t>
      </w:r>
      <w:r>
        <w:rPr>
          <w:rFonts w:ascii="Times New Roman" w:hAnsi="Times New Roman"/>
        </w:rPr>
        <w:t>s Risk Evaluation and Mitigation Strategy for ER and long-acting opioids was approved in July</w:t>
      </w:r>
    </w:p>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68" w:right="900" w:bottom="584" w:left="1000" w:header="720" w:footer="720" w:gutter="0"/>
          <w:cols w:num="2" w:space="480" w:equalWidth="0">
            <w:col w:w="4760" w:space="480"/>
            <w:col w:w="4760"/>
          </w:cols>
          <w:noEndnote/>
        </w:sectPr>
      </w:pPr>
    </w:p>
    <w:p w:rsidR="002A4D1F" w:rsidRDefault="002A4D1F">
      <w:pPr>
        <w:widowControl w:val="0"/>
        <w:autoSpaceDE w:val="0"/>
        <w:autoSpaceDN w:val="0"/>
        <w:adjustRightInd w:val="0"/>
        <w:spacing w:after="0" w:line="289"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80"/>
        <w:gridCol w:w="5020"/>
      </w:tblGrid>
      <w:tr w:rsidR="002A4D1F">
        <w:tblPrEx>
          <w:tblCellMar>
            <w:top w:w="0" w:type="dxa"/>
            <w:left w:w="0" w:type="dxa"/>
            <w:bottom w:w="0" w:type="dxa"/>
            <w:right w:w="0" w:type="dxa"/>
          </w:tblCellMar>
        </w:tblPrEx>
        <w:trPr>
          <w:trHeight w:val="208"/>
        </w:trPr>
        <w:tc>
          <w:tcPr>
            <w:tcW w:w="4980" w:type="dxa"/>
            <w:tcBorders>
              <w:top w:val="nil"/>
              <w:left w:val="nil"/>
              <w:bottom w:val="nil"/>
              <w:right w:val="nil"/>
            </w:tcBorders>
            <w:vAlign w:val="bottom"/>
          </w:tcPr>
          <w:p w:rsidR="002A4D1F" w:rsidRDefault="002A4D1F">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18"/>
                <w:szCs w:val="18"/>
              </w:rPr>
              <w:t>© 2014 The Authors. Pharmacoepidemiology and Drug Safety</w:t>
            </w:r>
          </w:p>
        </w:tc>
        <w:tc>
          <w:tcPr>
            <w:tcW w:w="50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8"/>
                <w:szCs w:val="18"/>
              </w:rPr>
              <w:t>Pharmacoepidemiology and Drug Safety, 2014; 23: 1238</w:t>
            </w:r>
            <w:r>
              <w:rPr>
                <w:rFonts w:ascii="Arial" w:hAnsi="Arial" w:cs="Arial"/>
                <w:sz w:val="18"/>
                <w:szCs w:val="18"/>
              </w:rPr>
              <w:t>–</w:t>
            </w:r>
            <w:r>
              <w:rPr>
                <w:rFonts w:ascii="Times New Roman" w:hAnsi="Times New Roman"/>
                <w:sz w:val="18"/>
                <w:szCs w:val="18"/>
              </w:rPr>
              <w:t>1246</w:t>
            </w:r>
          </w:p>
        </w:tc>
      </w:tr>
      <w:tr w:rsidR="002A4D1F">
        <w:tblPrEx>
          <w:tblCellMar>
            <w:top w:w="0" w:type="dxa"/>
            <w:left w:w="0" w:type="dxa"/>
            <w:bottom w:w="0" w:type="dxa"/>
            <w:right w:w="0" w:type="dxa"/>
          </w:tblCellMar>
        </w:tblPrEx>
        <w:trPr>
          <w:trHeight w:val="197"/>
        </w:trPr>
        <w:tc>
          <w:tcPr>
            <w:tcW w:w="4980" w:type="dxa"/>
            <w:tcBorders>
              <w:top w:val="nil"/>
              <w:left w:val="nil"/>
              <w:bottom w:val="nil"/>
              <w:right w:val="nil"/>
            </w:tcBorders>
            <w:vAlign w:val="bottom"/>
          </w:tcPr>
          <w:p w:rsidR="002A4D1F" w:rsidRDefault="002A4D1F">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18"/>
                <w:szCs w:val="18"/>
              </w:rPr>
              <w:t>published by John Wiley &amp; Sons, Ltd.</w:t>
            </w:r>
          </w:p>
        </w:tc>
        <w:tc>
          <w:tcPr>
            <w:tcW w:w="5020" w:type="dxa"/>
            <w:tcBorders>
              <w:top w:val="nil"/>
              <w:left w:val="nil"/>
              <w:bottom w:val="nil"/>
              <w:right w:val="nil"/>
            </w:tcBorders>
            <w:vAlign w:val="bottom"/>
          </w:tcPr>
          <w:p w:rsidR="002A4D1F" w:rsidRDefault="002A4D1F">
            <w:pPr>
              <w:widowControl w:val="0"/>
              <w:autoSpaceDE w:val="0"/>
              <w:autoSpaceDN w:val="0"/>
              <w:adjustRightInd w:val="0"/>
              <w:spacing w:after="0" w:line="197" w:lineRule="exact"/>
              <w:jc w:val="right"/>
              <w:rPr>
                <w:rFonts w:ascii="Times New Roman" w:hAnsi="Times New Roman"/>
                <w:sz w:val="24"/>
                <w:szCs w:val="24"/>
              </w:rPr>
            </w:pPr>
            <w:r>
              <w:rPr>
                <w:rFonts w:ascii="Times New Roman" w:hAnsi="Times New Roman"/>
                <w:sz w:val="18"/>
                <w:szCs w:val="18"/>
              </w:rPr>
              <w:t>DOI: 10.1002/pds</w:t>
            </w:r>
          </w:p>
        </w:tc>
      </w:tr>
    </w:tbl>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68" w:right="900" w:bottom="584" w:left="1000" w:header="720" w:footer="720" w:gutter="0"/>
          <w:cols w:space="480" w:equalWidth="0">
            <w:col w:w="10000"/>
          </w:cols>
          <w:noEndnote/>
        </w:sectPr>
      </w:pPr>
    </w:p>
    <w:tbl>
      <w:tblPr>
        <w:tblW w:w="0" w:type="auto"/>
        <w:tblLayout w:type="fixed"/>
        <w:tblCellMar>
          <w:left w:w="0" w:type="dxa"/>
          <w:right w:w="0" w:type="dxa"/>
        </w:tblCellMar>
        <w:tblLook w:val="0000" w:firstRow="0" w:lastRow="0" w:firstColumn="0" w:lastColumn="0" w:noHBand="0" w:noVBand="0"/>
      </w:tblPr>
      <w:tblGrid>
        <w:gridCol w:w="6140"/>
        <w:gridCol w:w="1420"/>
      </w:tblGrid>
      <w:tr w:rsidR="002A4D1F">
        <w:tblPrEx>
          <w:tblCellMar>
            <w:top w:w="0" w:type="dxa"/>
            <w:left w:w="0" w:type="dxa"/>
            <w:bottom w:w="0" w:type="dxa"/>
            <w:right w:w="0" w:type="dxa"/>
          </w:tblCellMar>
        </w:tblPrEx>
        <w:trPr>
          <w:trHeight w:val="230"/>
        </w:trPr>
        <w:tc>
          <w:tcPr>
            <w:tcW w:w="6140" w:type="dxa"/>
            <w:tcBorders>
              <w:top w:val="nil"/>
              <w:left w:val="nil"/>
              <w:bottom w:val="nil"/>
              <w:right w:val="nil"/>
            </w:tcBorders>
            <w:vAlign w:val="bottom"/>
          </w:tcPr>
          <w:p w:rsidR="002A4D1F" w:rsidRDefault="002A4D1F">
            <w:pPr>
              <w:widowControl w:val="0"/>
              <w:autoSpaceDE w:val="0"/>
              <w:autoSpaceDN w:val="0"/>
              <w:adjustRightInd w:val="0"/>
              <w:spacing w:after="0" w:line="229" w:lineRule="exact"/>
              <w:rPr>
                <w:rFonts w:ascii="Times New Roman" w:hAnsi="Times New Roman"/>
                <w:sz w:val="24"/>
                <w:szCs w:val="24"/>
              </w:rPr>
            </w:pPr>
            <w:bookmarkStart w:id="8" w:name="page8"/>
            <w:bookmarkEnd w:id="8"/>
            <w:r>
              <w:rPr>
                <w:rFonts w:ascii="Times New Roman" w:hAnsi="Times New Roman"/>
                <w:sz w:val="20"/>
                <w:szCs w:val="20"/>
              </w:rPr>
              <w:t>fatality report decrease with reformulated oxycontin</w:t>
            </w:r>
          </w:p>
        </w:tc>
        <w:tc>
          <w:tcPr>
            <w:tcW w:w="1420" w:type="dxa"/>
            <w:tcBorders>
              <w:top w:val="nil"/>
              <w:left w:val="nil"/>
              <w:bottom w:val="nil"/>
              <w:right w:val="nil"/>
            </w:tcBorders>
            <w:vAlign w:val="bottom"/>
          </w:tcPr>
          <w:p w:rsidR="002A4D1F" w:rsidRDefault="002A4D1F">
            <w:pPr>
              <w:widowControl w:val="0"/>
              <w:autoSpaceDE w:val="0"/>
              <w:autoSpaceDN w:val="0"/>
              <w:adjustRightInd w:val="0"/>
              <w:spacing w:after="0" w:line="229" w:lineRule="exact"/>
              <w:jc w:val="right"/>
              <w:rPr>
                <w:rFonts w:ascii="Times New Roman" w:hAnsi="Times New Roman"/>
                <w:sz w:val="24"/>
                <w:szCs w:val="24"/>
              </w:rPr>
            </w:pPr>
            <w:r>
              <w:rPr>
                <w:rFonts w:ascii="Times New Roman" w:hAnsi="Times New Roman"/>
                <w:sz w:val="20"/>
                <w:szCs w:val="20"/>
              </w:rPr>
              <w:t>1245</w:t>
            </w:r>
          </w:p>
        </w:tc>
      </w:tr>
    </w:tbl>
    <w:p w:rsidR="002A4D1F" w:rsidRDefault="002A4D1F">
      <w:pPr>
        <w:widowControl w:val="0"/>
        <w:autoSpaceDE w:val="0"/>
        <w:autoSpaceDN w:val="0"/>
        <w:adjustRightInd w:val="0"/>
        <w:spacing w:after="0" w:line="240" w:lineRule="auto"/>
        <w:rPr>
          <w:rFonts w:ascii="Times New Roman" w:hAnsi="Times New Roman"/>
          <w:sz w:val="24"/>
          <w:szCs w:val="24"/>
        </w:rPr>
        <w:sectPr w:rsidR="002A4D1F">
          <w:pgSz w:w="11900" w:h="15817"/>
          <w:pgMar w:top="1169" w:right="1000" w:bottom="584" w:left="3340" w:header="720" w:footer="720" w:gutter="0"/>
          <w:cols w:space="720" w:equalWidth="0">
            <w:col w:w="7560"/>
          </w:cols>
          <w:noEndnote/>
        </w:sectPr>
      </w:pPr>
    </w:p>
    <w:p w:rsidR="002A4D1F" w:rsidRDefault="002A4D1F">
      <w:pPr>
        <w:widowControl w:val="0"/>
        <w:autoSpaceDE w:val="0"/>
        <w:autoSpaceDN w:val="0"/>
        <w:adjustRightInd w:val="0"/>
        <w:spacing w:after="0" w:line="133" w:lineRule="exact"/>
        <w:rPr>
          <w:rFonts w:ascii="Times New Roman" w:hAnsi="Times New Roman"/>
          <w:sz w:val="24"/>
          <w:szCs w:val="24"/>
        </w:rPr>
      </w:pPr>
    </w:p>
    <w:p w:rsidR="002A4D1F" w:rsidRDefault="002A4D1F">
      <w:pPr>
        <w:widowControl w:val="0"/>
        <w:overflowPunct w:val="0"/>
        <w:autoSpaceDE w:val="0"/>
        <w:autoSpaceDN w:val="0"/>
        <w:adjustRightInd w:val="0"/>
        <w:spacing w:after="0" w:line="208" w:lineRule="auto"/>
        <w:jc w:val="both"/>
        <w:rPr>
          <w:rFonts w:ascii="Times New Roman" w:hAnsi="Times New Roman"/>
          <w:sz w:val="24"/>
          <w:szCs w:val="24"/>
        </w:rPr>
      </w:pPr>
      <w:r>
        <w:rPr>
          <w:rFonts w:ascii="Times New Roman" w:hAnsi="Times New Roman"/>
        </w:rPr>
        <w:t>2012.</w:t>
      </w:r>
      <w:r>
        <w:rPr>
          <w:rFonts w:ascii="Times New Roman" w:hAnsi="Times New Roman"/>
          <w:sz w:val="29"/>
          <w:szCs w:val="29"/>
          <w:vertAlign w:val="superscript"/>
        </w:rPr>
        <w:t>46</w:t>
      </w:r>
      <w:r>
        <w:rPr>
          <w:rFonts w:ascii="Times New Roman" w:hAnsi="Times New Roman"/>
        </w:rPr>
        <w:t xml:space="preserve"> However, its primary component is continuing education of prescribers, which began in March 2013, subsequent to the reduction in ERO deaths. State prescription drug monitoring programs were operating or initiated during the study period.</w:t>
      </w:r>
      <w:r>
        <w:rPr>
          <w:rFonts w:ascii="Times New Roman" w:hAnsi="Times New Roman"/>
          <w:sz w:val="29"/>
          <w:szCs w:val="29"/>
          <w:vertAlign w:val="superscript"/>
        </w:rPr>
        <w:t>47</w:t>
      </w:r>
      <w:r>
        <w:rPr>
          <w:rFonts w:ascii="Times New Roman" w:hAnsi="Times New Roman"/>
        </w:rPr>
        <w:t xml:space="preserve"> Preliminary evaluation of these programs indicate a positive impact on opioid abuse/misuse,</w:t>
      </w:r>
      <w:r>
        <w:rPr>
          <w:rFonts w:ascii="Times New Roman" w:hAnsi="Times New Roman"/>
          <w:sz w:val="29"/>
          <w:szCs w:val="29"/>
          <w:vertAlign w:val="superscript"/>
        </w:rPr>
        <w:t>48</w:t>
      </w:r>
      <w:r>
        <w:rPr>
          <w:rFonts w:ascii="Times New Roman" w:hAnsi="Times New Roman"/>
        </w:rPr>
        <w:t xml:space="preserve"> but their effect on fatalities is not clear.</w:t>
      </w:r>
      <w:r>
        <w:rPr>
          <w:rFonts w:ascii="Times New Roman" w:hAnsi="Times New Roman"/>
          <w:sz w:val="29"/>
          <w:szCs w:val="29"/>
          <w:vertAlign w:val="superscript"/>
        </w:rPr>
        <w:t>49,50</w:t>
      </w:r>
      <w:r>
        <w:rPr>
          <w:rFonts w:ascii="Times New Roman" w:hAnsi="Times New Roman"/>
        </w:rPr>
        <w:t xml:space="preserve"> Community-based opioid overdose prevention programs have reduced deaths in the few local regions where implemented but cannot account for large national changes.</w:t>
      </w:r>
      <w:r>
        <w:rPr>
          <w:rFonts w:ascii="Times New Roman" w:hAnsi="Times New Roman"/>
          <w:sz w:val="29"/>
          <w:szCs w:val="29"/>
          <w:vertAlign w:val="superscript"/>
        </w:rPr>
        <w:t>51,52</w:t>
      </w:r>
      <w:r>
        <w:rPr>
          <w:rFonts w:ascii="Times New Roman" w:hAnsi="Times New Roman"/>
        </w:rPr>
        <w:t xml:space="preserve"> Drug disposal programs have been established but have not focused speci</w:t>
      </w:r>
      <w:r>
        <w:rPr>
          <w:rFonts w:ascii="Arial" w:hAnsi="Arial" w:cs="Arial"/>
        </w:rPr>
        <w:t>fi</w:t>
      </w:r>
      <w:r>
        <w:rPr>
          <w:rFonts w:ascii="Times New Roman" w:hAnsi="Times New Roman"/>
        </w:rPr>
        <w:t>cally on ERO and have not been shown to impact deaths associated with opioids.</w:t>
      </w:r>
      <w:r>
        <w:rPr>
          <w:rFonts w:ascii="Times New Roman" w:hAnsi="Times New Roman"/>
          <w:sz w:val="29"/>
          <w:szCs w:val="29"/>
          <w:vertAlign w:val="superscript"/>
        </w:rPr>
        <w:t>53,54</w:t>
      </w:r>
      <w:r>
        <w:rPr>
          <w:rFonts w:ascii="Times New Roman" w:hAnsi="Times New Roman"/>
        </w:rPr>
        <w:t xml:space="preserve"> These initiatives may have contributed to decreases in opioid-related fatalities; however, they are un-likely to account for the level of decrease in ERO fatalities. The ratio of fatalities involving ERO versus any oxycodone more than halved after reformulation.</w:t>
      </w:r>
    </w:p>
    <w:p w:rsidR="002A4D1F" w:rsidRDefault="002A4D1F">
      <w:pPr>
        <w:widowControl w:val="0"/>
        <w:autoSpaceDE w:val="0"/>
        <w:autoSpaceDN w:val="0"/>
        <w:adjustRightInd w:val="0"/>
        <w:spacing w:after="0" w:line="7" w:lineRule="exact"/>
        <w:rPr>
          <w:rFonts w:ascii="Times New Roman" w:hAnsi="Times New Roman"/>
          <w:sz w:val="24"/>
          <w:szCs w:val="24"/>
        </w:rPr>
      </w:pPr>
    </w:p>
    <w:p w:rsidR="002A4D1F" w:rsidRDefault="002A4D1F">
      <w:pPr>
        <w:widowControl w:val="0"/>
        <w:overflowPunct w:val="0"/>
        <w:autoSpaceDE w:val="0"/>
        <w:autoSpaceDN w:val="0"/>
        <w:adjustRightInd w:val="0"/>
        <w:spacing w:after="0" w:line="216" w:lineRule="auto"/>
        <w:ind w:firstLine="200"/>
        <w:jc w:val="both"/>
        <w:rPr>
          <w:rFonts w:ascii="Times New Roman" w:hAnsi="Times New Roman"/>
          <w:sz w:val="24"/>
          <w:szCs w:val="24"/>
        </w:rPr>
      </w:pPr>
      <w:r>
        <w:rPr>
          <w:rFonts w:ascii="Times New Roman" w:hAnsi="Times New Roman"/>
        </w:rPr>
        <w:t xml:space="preserve">Some authors attributed an increase in heroin abuse to the reformulation of ERO when it was </w:t>
      </w:r>
      <w:r>
        <w:rPr>
          <w:rFonts w:ascii="Arial" w:hAnsi="Arial" w:cs="Arial"/>
        </w:rPr>
        <w:t>fi</w:t>
      </w:r>
      <w:r>
        <w:rPr>
          <w:rFonts w:ascii="Times New Roman" w:hAnsi="Times New Roman"/>
        </w:rPr>
        <w:t>rst intro-duced,</w:t>
      </w:r>
      <w:r>
        <w:rPr>
          <w:rFonts w:ascii="Times New Roman" w:hAnsi="Times New Roman"/>
          <w:sz w:val="29"/>
          <w:szCs w:val="29"/>
          <w:vertAlign w:val="superscript"/>
        </w:rPr>
        <w:t>29</w:t>
      </w:r>
      <w:r>
        <w:rPr>
          <w:rFonts w:ascii="Times New Roman" w:hAnsi="Times New Roman"/>
        </w:rPr>
        <w:t xml:space="preserve"> and this has led to widespread attribution of the cause of the rapidly escalating heroin abuse to ERO in media reports.</w:t>
      </w:r>
      <w:r>
        <w:rPr>
          <w:rFonts w:ascii="Times New Roman" w:hAnsi="Times New Roman"/>
          <w:sz w:val="29"/>
          <w:szCs w:val="29"/>
          <w:vertAlign w:val="superscript"/>
        </w:rPr>
        <w:t>55</w:t>
      </w:r>
      <w:r>
        <w:rPr>
          <w:rFonts w:ascii="Times New Roman" w:hAnsi="Times New Roman"/>
        </w:rPr>
        <w:t xml:space="preserve"> However, currently, 1.7% of individuals dispensed opioid analgesics in the USA receive ERO, and 2.5% of opioid prescriptions dis-pensed are for ERO. These proportions have remained roughly constant over the past 5 years (IMS Health, unpublished data). Furthermore, approximately 4.3% of diagnosed overdose events in insurance claims data-bases in 2011 were among people prescribed ERO (MarketScan, unpublished data) and the prevalence of reformulated ERO abuse among prescription opioid abusers in drug treatment centers is 12.1%.</w:t>
      </w:r>
      <w:r>
        <w:rPr>
          <w:rFonts w:ascii="Times New Roman" w:hAnsi="Times New Roman"/>
          <w:sz w:val="29"/>
          <w:szCs w:val="29"/>
          <w:vertAlign w:val="superscript"/>
        </w:rPr>
        <w:t>22</w:t>
      </w:r>
      <w:r>
        <w:rPr>
          <w:rFonts w:ascii="Times New Roman" w:hAnsi="Times New Roman"/>
        </w:rPr>
        <w:t xml:space="preserve"> There-fore, it is unlikely that reduced abuse of ERO, which occurred in a single, abrupt intervention beginning in August 2010, could account for spikes in heroin abuse 3½ years later.</w:t>
      </w:r>
    </w:p>
    <w:p w:rsidR="002A4D1F" w:rsidRDefault="002A4D1F">
      <w:pPr>
        <w:widowControl w:val="0"/>
        <w:autoSpaceDE w:val="0"/>
        <w:autoSpaceDN w:val="0"/>
        <w:adjustRightInd w:val="0"/>
        <w:spacing w:after="0" w:line="16"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6" w:lineRule="auto"/>
        <w:ind w:firstLine="200"/>
        <w:jc w:val="both"/>
        <w:rPr>
          <w:rFonts w:ascii="Times New Roman" w:hAnsi="Times New Roman"/>
          <w:sz w:val="24"/>
          <w:szCs w:val="24"/>
        </w:rPr>
      </w:pPr>
      <w:r>
        <w:rPr>
          <w:rFonts w:ascii="Times New Roman" w:hAnsi="Times New Roman"/>
        </w:rPr>
        <w:t>In conclusion, the number of spontaneous reports of fatalities involving ERO has signi</w:t>
      </w:r>
      <w:r>
        <w:rPr>
          <w:rFonts w:ascii="Arial" w:hAnsi="Arial" w:cs="Arial"/>
        </w:rPr>
        <w:t>fi</w:t>
      </w:r>
      <w:r>
        <w:rPr>
          <w:rFonts w:ascii="Times New Roman" w:hAnsi="Times New Roman"/>
        </w:rPr>
        <w:t xml:space="preserve">cantly de-creased after its reformulation, whereas non-fatal reports involving ERO remained unchanged or increased. These </w:t>
      </w:r>
      <w:r>
        <w:rPr>
          <w:rFonts w:ascii="Arial" w:hAnsi="Arial" w:cs="Arial"/>
        </w:rPr>
        <w:t>fi</w:t>
      </w:r>
      <w:r>
        <w:rPr>
          <w:rFonts w:ascii="Times New Roman" w:hAnsi="Times New Roman"/>
        </w:rPr>
        <w:t>ndings, when considered in the context of previously published studies using other surveillance systems, suggest that the abuse-deterrent characteristics of reformulated ERO have decreased fatalities associated with its misuse/abuse. Abuse-deterrent formulations may be a valuable risk management tool, such that innovation, policing, regulation, careful prescribing, and education can be combined to mitigate serious risk and improve the bene</w:t>
      </w:r>
      <w:r>
        <w:rPr>
          <w:rFonts w:ascii="Arial" w:hAnsi="Arial" w:cs="Arial"/>
        </w:rPr>
        <w:t>fi</w:t>
      </w:r>
      <w:r>
        <w:rPr>
          <w:rFonts w:ascii="Times New Roman" w:hAnsi="Times New Roman"/>
        </w:rPr>
        <w:t>t-risk balance of opioid analgesics.</w:t>
      </w:r>
      <w:r>
        <w:rPr>
          <w:rFonts w:ascii="Times New Roman" w:hAnsi="Times New Roman"/>
          <w:sz w:val="29"/>
          <w:szCs w:val="29"/>
          <w:vertAlign w:val="superscript"/>
        </w:rPr>
        <w:t>56</w:t>
      </w:r>
    </w:p>
    <w:p w:rsidR="002A4D1F" w:rsidRDefault="002A4D1F">
      <w:pPr>
        <w:widowControl w:val="0"/>
        <w:autoSpaceDE w:val="0"/>
        <w:autoSpaceDN w:val="0"/>
        <w:adjustRightInd w:val="0"/>
        <w:spacing w:after="0" w:line="112" w:lineRule="exact"/>
        <w:rPr>
          <w:rFonts w:ascii="Times New Roman" w:hAnsi="Times New Roman"/>
          <w:sz w:val="24"/>
          <w:szCs w:val="24"/>
        </w:rPr>
      </w:pPr>
      <w:r>
        <w:rPr>
          <w:rFonts w:ascii="Times New Roman" w:hAnsi="Times New Roman"/>
          <w:sz w:val="24"/>
          <w:szCs w:val="24"/>
        </w:rPr>
        <w:br w:type="column"/>
      </w:r>
    </w:p>
    <w:p w:rsidR="002A4D1F" w:rsidRDefault="002A4D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CONFLICT OF INTEREST</w:t>
      </w:r>
    </w:p>
    <w:p w:rsidR="002A4D1F" w:rsidRDefault="002A4D1F">
      <w:pPr>
        <w:widowControl w:val="0"/>
        <w:autoSpaceDE w:val="0"/>
        <w:autoSpaceDN w:val="0"/>
        <w:adjustRightInd w:val="0"/>
        <w:spacing w:after="0" w:line="220" w:lineRule="exact"/>
        <w:rPr>
          <w:rFonts w:ascii="Times New Roman" w:hAnsi="Times New Roman"/>
          <w:sz w:val="24"/>
          <w:szCs w:val="24"/>
        </w:rPr>
      </w:pPr>
    </w:p>
    <w:p w:rsidR="002A4D1F" w:rsidRDefault="002A4D1F">
      <w:pPr>
        <w:widowControl w:val="0"/>
        <w:overflowPunct w:val="0"/>
        <w:autoSpaceDE w:val="0"/>
        <w:autoSpaceDN w:val="0"/>
        <w:adjustRightInd w:val="0"/>
        <w:spacing w:after="0" w:line="238" w:lineRule="auto"/>
        <w:jc w:val="both"/>
        <w:rPr>
          <w:rFonts w:ascii="Times New Roman" w:hAnsi="Times New Roman"/>
          <w:sz w:val="24"/>
          <w:szCs w:val="24"/>
        </w:rPr>
      </w:pPr>
      <w:r>
        <w:rPr>
          <w:rFonts w:ascii="Times New Roman" w:hAnsi="Times New Roman"/>
          <w:sz w:val="21"/>
          <w:szCs w:val="21"/>
        </w:rPr>
        <w:t>Nelson Sessler, Jerod Downing, Hrishikesh Kale, Howard Chilcoat, Todd Baumgartner, and Paul Coplan are full-time employees of Purdue Pharma L.P.</w:t>
      </w:r>
    </w:p>
    <w:p w:rsidR="002A4D1F" w:rsidRDefault="004B391B">
      <w:pPr>
        <w:widowControl w:val="0"/>
        <w:autoSpaceDE w:val="0"/>
        <w:autoSpaceDN w:val="0"/>
        <w:adjustRightInd w:val="0"/>
        <w:spacing w:after="0" w:line="348" w:lineRule="exact"/>
        <w:rPr>
          <w:rFonts w:ascii="Times New Roman" w:hAnsi="Times New Roman"/>
          <w:sz w:val="24"/>
          <w:szCs w:val="24"/>
        </w:rPr>
      </w:pPr>
      <w:r>
        <w:rPr>
          <w:noProof/>
        </w:rPr>
        <mc:AlternateContent>
          <mc:Choice Requires="wps">
            <w:drawing>
              <wp:anchor distT="0" distB="0" distL="114300" distR="114300" simplePos="0" relativeHeight="251666432" behindDoc="1" locked="0" layoutInCell="0" allowOverlap="1">
                <wp:simplePos x="0" y="0"/>
                <wp:positionH relativeFrom="column">
                  <wp:posOffset>0</wp:posOffset>
                </wp:positionH>
                <wp:positionV relativeFrom="paragraph">
                  <wp:posOffset>203835</wp:posOffset>
                </wp:positionV>
                <wp:extent cx="3021965"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1965"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05pt" to="237.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" o:allowincell="f" strokeweight=".18mm"/>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0</wp:posOffset>
                </wp:positionH>
                <wp:positionV relativeFrom="paragraph">
                  <wp:posOffset>3506470</wp:posOffset>
                </wp:positionV>
                <wp:extent cx="3021965"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1965" cy="0"/>
                        </a:xfrm>
                        <a:prstGeom prst="line">
                          <a:avLst/>
                        </a:prstGeom>
                        <a:noFill/>
                        <a:ln w="57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6.1pt" to="237.95pt,2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7tFAIAACk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" o:allowincell="f" strokeweight=".16mm"/>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column">
                  <wp:posOffset>2540</wp:posOffset>
                </wp:positionH>
                <wp:positionV relativeFrom="paragraph">
                  <wp:posOffset>200660</wp:posOffset>
                </wp:positionV>
                <wp:extent cx="0" cy="330835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5.8pt" to=".2pt,2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" o:allowincell="f" strokeweight=".18mm"/>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column">
                  <wp:posOffset>3018790</wp:posOffset>
                </wp:positionH>
                <wp:positionV relativeFrom="paragraph">
                  <wp:posOffset>200660</wp:posOffset>
                </wp:positionV>
                <wp:extent cx="0" cy="330835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0"/>
                        </a:xfrm>
                        <a:prstGeom prst="line">
                          <a:avLst/>
                        </a:prstGeom>
                        <a:noFill/>
                        <a:ln w="64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7pt,15.8pt" to="237.7pt,2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" o:allowincell="f" strokeweight=".18003mm"/>
            </w:pict>
          </mc:Fallback>
        </mc:AlternateContent>
      </w:r>
    </w:p>
    <w:p w:rsidR="002A4D1F" w:rsidRDefault="002A4D1F">
      <w:pPr>
        <w:widowControl w:val="0"/>
        <w:autoSpaceDE w:val="0"/>
        <w:autoSpaceDN w:val="0"/>
        <w:adjustRightInd w:val="0"/>
        <w:spacing w:after="0" w:line="240" w:lineRule="auto"/>
        <w:ind w:left="140"/>
        <w:rPr>
          <w:rFonts w:ascii="Times New Roman" w:hAnsi="Times New Roman"/>
          <w:sz w:val="24"/>
          <w:szCs w:val="24"/>
        </w:rPr>
      </w:pPr>
      <w:r>
        <w:rPr>
          <w:rFonts w:ascii="Times New Roman" w:hAnsi="Times New Roman"/>
        </w:rPr>
        <w:t>KEY POINTS</w:t>
      </w:r>
    </w:p>
    <w:p w:rsidR="002A4D1F" w:rsidRDefault="002A4D1F">
      <w:pPr>
        <w:widowControl w:val="0"/>
        <w:autoSpaceDE w:val="0"/>
        <w:autoSpaceDN w:val="0"/>
        <w:adjustRightInd w:val="0"/>
        <w:spacing w:after="0" w:line="40" w:lineRule="exact"/>
        <w:rPr>
          <w:rFonts w:ascii="Times New Roman" w:hAnsi="Times New Roman"/>
          <w:sz w:val="24"/>
          <w:szCs w:val="24"/>
        </w:rPr>
      </w:pPr>
    </w:p>
    <w:p w:rsidR="002A4D1F" w:rsidRDefault="002A4D1F">
      <w:pPr>
        <w:widowControl w:val="0"/>
        <w:numPr>
          <w:ilvl w:val="0"/>
          <w:numId w:val="2"/>
        </w:numPr>
        <w:tabs>
          <w:tab w:val="clear" w:pos="720"/>
          <w:tab w:val="num" w:pos="340"/>
        </w:tabs>
        <w:overflowPunct w:val="0"/>
        <w:autoSpaceDE w:val="0"/>
        <w:autoSpaceDN w:val="0"/>
        <w:adjustRightInd w:val="0"/>
        <w:spacing w:after="0" w:line="250" w:lineRule="auto"/>
        <w:ind w:left="340" w:right="120" w:hanging="210"/>
        <w:jc w:val="both"/>
        <w:rPr>
          <w:rFonts w:ascii="Arial" w:hAnsi="Arial" w:cs="Arial"/>
          <w:sz w:val="24"/>
          <w:szCs w:val="24"/>
        </w:rPr>
      </w:pPr>
      <w:r>
        <w:rPr>
          <w:rFonts w:ascii="Times New Roman" w:hAnsi="Times New Roman"/>
          <w:sz w:val="19"/>
          <w:szCs w:val="19"/>
        </w:rPr>
        <w:t xml:space="preserve">Abuse of prescription opioid analgesics for the psy-choactive effects is associated with a large number of fatalities. However, the effect of making opioid tablets harder to crush or dissolve in order to deter abuse on opioid-related fatalities has not been assessed. </w:t>
      </w:r>
    </w:p>
    <w:p w:rsidR="002A4D1F" w:rsidRDefault="002A4D1F">
      <w:pPr>
        <w:widowControl w:val="0"/>
        <w:autoSpaceDE w:val="0"/>
        <w:autoSpaceDN w:val="0"/>
        <w:adjustRightInd w:val="0"/>
        <w:spacing w:after="0" w:line="2" w:lineRule="exact"/>
        <w:rPr>
          <w:rFonts w:ascii="Arial" w:hAnsi="Arial" w:cs="Arial"/>
          <w:sz w:val="24"/>
          <w:szCs w:val="24"/>
        </w:rPr>
      </w:pPr>
    </w:p>
    <w:p w:rsidR="002A4D1F" w:rsidRDefault="002A4D1F">
      <w:pPr>
        <w:widowControl w:val="0"/>
        <w:numPr>
          <w:ilvl w:val="0"/>
          <w:numId w:val="2"/>
        </w:numPr>
        <w:tabs>
          <w:tab w:val="clear" w:pos="720"/>
          <w:tab w:val="num" w:pos="340"/>
        </w:tabs>
        <w:overflowPunct w:val="0"/>
        <w:autoSpaceDE w:val="0"/>
        <w:autoSpaceDN w:val="0"/>
        <w:adjustRightInd w:val="0"/>
        <w:spacing w:after="0" w:line="215" w:lineRule="auto"/>
        <w:ind w:left="340" w:right="140" w:hanging="210"/>
        <w:jc w:val="both"/>
        <w:rPr>
          <w:rFonts w:ascii="Arial" w:hAnsi="Arial" w:cs="Arial"/>
          <w:sz w:val="28"/>
          <w:szCs w:val="28"/>
        </w:rPr>
      </w:pPr>
      <w:r>
        <w:rPr>
          <w:rFonts w:ascii="Times New Roman" w:hAnsi="Times New Roman"/>
        </w:rPr>
        <w:t>The manufacturer</w:t>
      </w:r>
      <w:r>
        <w:rPr>
          <w:rFonts w:ascii="Arial" w:hAnsi="Arial" w:cs="Arial"/>
        </w:rPr>
        <w:t>’</w:t>
      </w:r>
      <w:r>
        <w:rPr>
          <w:rFonts w:ascii="Times New Roman" w:hAnsi="Times New Roman"/>
        </w:rPr>
        <w:t xml:space="preserve">s pharmacovigilance database was used to assess changes in fatalities associ-ated with extended-release oxycodone (ERO, OxyContin) after the product was reformulated to be harder to crush or dissolve. </w:t>
      </w:r>
    </w:p>
    <w:p w:rsidR="002A4D1F" w:rsidRDefault="002A4D1F">
      <w:pPr>
        <w:widowControl w:val="0"/>
        <w:autoSpaceDE w:val="0"/>
        <w:autoSpaceDN w:val="0"/>
        <w:adjustRightInd w:val="0"/>
        <w:spacing w:after="0" w:line="4" w:lineRule="exact"/>
        <w:rPr>
          <w:rFonts w:ascii="Arial" w:hAnsi="Arial" w:cs="Arial"/>
          <w:sz w:val="28"/>
          <w:szCs w:val="28"/>
        </w:rPr>
      </w:pPr>
    </w:p>
    <w:p w:rsidR="002A4D1F" w:rsidRDefault="002A4D1F">
      <w:pPr>
        <w:widowControl w:val="0"/>
        <w:numPr>
          <w:ilvl w:val="0"/>
          <w:numId w:val="2"/>
        </w:numPr>
        <w:tabs>
          <w:tab w:val="clear" w:pos="720"/>
          <w:tab w:val="num" w:pos="340"/>
        </w:tabs>
        <w:overflowPunct w:val="0"/>
        <w:autoSpaceDE w:val="0"/>
        <w:autoSpaceDN w:val="0"/>
        <w:adjustRightInd w:val="0"/>
        <w:spacing w:after="0" w:line="215" w:lineRule="auto"/>
        <w:ind w:left="340" w:right="140" w:hanging="210"/>
        <w:jc w:val="both"/>
        <w:rPr>
          <w:rFonts w:ascii="Arial" w:hAnsi="Arial" w:cs="Arial"/>
          <w:sz w:val="28"/>
          <w:szCs w:val="28"/>
        </w:rPr>
      </w:pPr>
      <w:r>
        <w:rPr>
          <w:rFonts w:ascii="Times New Roman" w:hAnsi="Times New Roman"/>
        </w:rPr>
        <w:t xml:space="preserve">A large decrease in the number of fatality reports associated with ERO occurred following intro-duction of reformulated OxyContin, especially reports of fatalities involving overdose-related events and involving abuse. </w:t>
      </w:r>
    </w:p>
    <w:p w:rsidR="002A4D1F" w:rsidRDefault="002A4D1F">
      <w:pPr>
        <w:widowControl w:val="0"/>
        <w:autoSpaceDE w:val="0"/>
        <w:autoSpaceDN w:val="0"/>
        <w:adjustRightInd w:val="0"/>
        <w:spacing w:after="0" w:line="4" w:lineRule="exact"/>
        <w:rPr>
          <w:rFonts w:ascii="Arial" w:hAnsi="Arial" w:cs="Arial"/>
          <w:sz w:val="28"/>
          <w:szCs w:val="28"/>
        </w:rPr>
      </w:pPr>
    </w:p>
    <w:p w:rsidR="002A4D1F" w:rsidRDefault="002A4D1F">
      <w:pPr>
        <w:widowControl w:val="0"/>
        <w:numPr>
          <w:ilvl w:val="0"/>
          <w:numId w:val="2"/>
        </w:numPr>
        <w:tabs>
          <w:tab w:val="clear" w:pos="720"/>
          <w:tab w:val="num" w:pos="340"/>
        </w:tabs>
        <w:overflowPunct w:val="0"/>
        <w:autoSpaceDE w:val="0"/>
        <w:autoSpaceDN w:val="0"/>
        <w:adjustRightInd w:val="0"/>
        <w:spacing w:after="0" w:line="238" w:lineRule="auto"/>
        <w:ind w:left="340" w:right="120" w:hanging="210"/>
        <w:jc w:val="both"/>
        <w:rPr>
          <w:rFonts w:ascii="Arial" w:hAnsi="Arial" w:cs="Arial"/>
          <w:sz w:val="25"/>
          <w:szCs w:val="25"/>
        </w:rPr>
      </w:pPr>
      <w:r>
        <w:rPr>
          <w:rFonts w:ascii="Times New Roman" w:hAnsi="Times New Roman"/>
          <w:sz w:val="20"/>
          <w:szCs w:val="20"/>
        </w:rPr>
        <w:t xml:space="preserve">These </w:t>
      </w:r>
      <w:r>
        <w:rPr>
          <w:rFonts w:ascii="Arial" w:hAnsi="Arial" w:cs="Arial"/>
          <w:sz w:val="20"/>
          <w:szCs w:val="20"/>
        </w:rPr>
        <w:t>fi</w:t>
      </w:r>
      <w:r>
        <w:rPr>
          <w:rFonts w:ascii="Times New Roman" w:hAnsi="Times New Roman"/>
          <w:sz w:val="20"/>
          <w:szCs w:val="20"/>
        </w:rPr>
        <w:t xml:space="preserve">ndings, when considered in the context of previously published studies using other surveillance systems, suggest that the abuse-deterrent characteris-tics of reformulated ERO have decreased the fatalities associated with its misuse and abuse. </w:t>
      </w: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40" w:lineRule="exact"/>
        <w:rPr>
          <w:rFonts w:ascii="Times New Roman" w:hAnsi="Times New Roman"/>
          <w:sz w:val="24"/>
          <w:szCs w:val="24"/>
        </w:rPr>
      </w:pPr>
    </w:p>
    <w:p w:rsidR="002A4D1F" w:rsidRDefault="002A4D1F">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ETHICS STATEMENT</w:t>
      </w:r>
    </w:p>
    <w:p w:rsidR="002A4D1F" w:rsidRDefault="002A4D1F">
      <w:pPr>
        <w:widowControl w:val="0"/>
        <w:autoSpaceDE w:val="0"/>
        <w:autoSpaceDN w:val="0"/>
        <w:adjustRightInd w:val="0"/>
        <w:spacing w:after="0" w:line="207" w:lineRule="exact"/>
        <w:rPr>
          <w:rFonts w:ascii="Times New Roman" w:hAnsi="Times New Roman"/>
          <w:sz w:val="24"/>
          <w:szCs w:val="24"/>
        </w:rPr>
      </w:pPr>
    </w:p>
    <w:p w:rsidR="002A4D1F" w:rsidRDefault="002A4D1F">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The authors state that no ethical approval was needed.</w:t>
      </w:r>
    </w:p>
    <w:p w:rsidR="002A4D1F" w:rsidRDefault="002A4D1F">
      <w:pPr>
        <w:widowControl w:val="0"/>
        <w:autoSpaceDE w:val="0"/>
        <w:autoSpaceDN w:val="0"/>
        <w:adjustRightInd w:val="0"/>
        <w:spacing w:after="0" w:line="229" w:lineRule="exact"/>
        <w:rPr>
          <w:rFonts w:ascii="Times New Roman" w:hAnsi="Times New Roman"/>
          <w:sz w:val="24"/>
          <w:szCs w:val="24"/>
        </w:rPr>
      </w:pPr>
    </w:p>
    <w:p w:rsidR="002A4D1F" w:rsidRDefault="002A4D1F">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ACKNOWLEDGEMENTS</w:t>
      </w:r>
    </w:p>
    <w:p w:rsidR="002A4D1F" w:rsidRDefault="002A4D1F">
      <w:pPr>
        <w:widowControl w:val="0"/>
        <w:autoSpaceDE w:val="0"/>
        <w:autoSpaceDN w:val="0"/>
        <w:adjustRightInd w:val="0"/>
        <w:spacing w:after="0" w:line="101" w:lineRule="exact"/>
        <w:rPr>
          <w:rFonts w:ascii="Times New Roman" w:hAnsi="Times New Roman"/>
          <w:sz w:val="24"/>
          <w:szCs w:val="24"/>
        </w:rPr>
      </w:pPr>
    </w:p>
    <w:p w:rsidR="002A4D1F" w:rsidRDefault="002A4D1F">
      <w:pPr>
        <w:widowControl w:val="0"/>
        <w:overflowPunct w:val="0"/>
        <w:autoSpaceDE w:val="0"/>
        <w:autoSpaceDN w:val="0"/>
        <w:adjustRightInd w:val="0"/>
        <w:spacing w:after="0" w:line="227" w:lineRule="auto"/>
        <w:jc w:val="both"/>
        <w:rPr>
          <w:rFonts w:ascii="Times New Roman" w:hAnsi="Times New Roman"/>
          <w:sz w:val="24"/>
          <w:szCs w:val="24"/>
        </w:rPr>
      </w:pPr>
      <w:r>
        <w:rPr>
          <w:rFonts w:ascii="Times New Roman" w:hAnsi="Times New Roman"/>
        </w:rPr>
        <w:t>Case review assistance was provided by Barbara Har-ding. Manuscript preparation assistance was provided by Melinda Philbrook. Writing assistance was pro-vided by Louis Alexander. This study was sponsored by Purdue Pharma L.P.</w:t>
      </w: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41" w:lineRule="exact"/>
        <w:rPr>
          <w:rFonts w:ascii="Times New Roman" w:hAnsi="Times New Roman"/>
          <w:sz w:val="24"/>
          <w:szCs w:val="24"/>
        </w:rPr>
      </w:pPr>
    </w:p>
    <w:p w:rsidR="002A4D1F" w:rsidRDefault="002A4D1F">
      <w:pPr>
        <w:widowControl w:val="0"/>
        <w:autoSpaceDE w:val="0"/>
        <w:autoSpaceDN w:val="0"/>
        <w:adjustRightInd w:val="0"/>
        <w:spacing w:after="0" w:line="239" w:lineRule="auto"/>
        <w:rPr>
          <w:rFonts w:ascii="Times New Roman" w:hAnsi="Times New Roman"/>
          <w:sz w:val="24"/>
          <w:szCs w:val="24"/>
        </w:rPr>
      </w:pPr>
      <w:r>
        <w:rPr>
          <w:rFonts w:ascii="Times New Roman" w:hAnsi="Times New Roman"/>
        </w:rPr>
        <w:t>REFERENCES</w:t>
      </w:r>
    </w:p>
    <w:p w:rsidR="002A4D1F" w:rsidRDefault="002A4D1F">
      <w:pPr>
        <w:widowControl w:val="0"/>
        <w:autoSpaceDE w:val="0"/>
        <w:autoSpaceDN w:val="0"/>
        <w:adjustRightInd w:val="0"/>
        <w:spacing w:after="0" w:line="174" w:lineRule="exact"/>
        <w:rPr>
          <w:rFonts w:ascii="Times New Roman" w:hAnsi="Times New Roman"/>
          <w:sz w:val="24"/>
          <w:szCs w:val="24"/>
        </w:rPr>
      </w:pPr>
    </w:p>
    <w:p w:rsidR="002A4D1F" w:rsidRDefault="002A4D1F">
      <w:pPr>
        <w:widowControl w:val="0"/>
        <w:numPr>
          <w:ilvl w:val="0"/>
          <w:numId w:val="3"/>
        </w:numPr>
        <w:tabs>
          <w:tab w:val="clear" w:pos="720"/>
          <w:tab w:val="num" w:pos="260"/>
        </w:tabs>
        <w:overflowPunct w:val="0"/>
        <w:autoSpaceDE w:val="0"/>
        <w:autoSpaceDN w:val="0"/>
        <w:adjustRightInd w:val="0"/>
        <w:spacing w:after="0" w:line="232" w:lineRule="auto"/>
        <w:ind w:left="260" w:hanging="190"/>
        <w:jc w:val="both"/>
        <w:rPr>
          <w:rFonts w:ascii="Times New Roman" w:hAnsi="Times New Roman"/>
          <w:sz w:val="14"/>
          <w:szCs w:val="14"/>
        </w:rPr>
      </w:pPr>
      <w:r>
        <w:rPr>
          <w:rFonts w:ascii="Times New Roman" w:hAnsi="Times New Roman"/>
          <w:sz w:val="14"/>
          <w:szCs w:val="14"/>
        </w:rPr>
        <w:t xml:space="preserve">American Academy of Pain Medicine. Use of Opioids for the Treatment of Chronic Pain. American Academy of Pain Medicine: Chicago, IL, 2013. </w:t>
      </w:r>
    </w:p>
    <w:p w:rsidR="002A4D1F" w:rsidRDefault="002A4D1F">
      <w:pPr>
        <w:widowControl w:val="0"/>
        <w:autoSpaceDE w:val="0"/>
        <w:autoSpaceDN w:val="0"/>
        <w:adjustRightInd w:val="0"/>
        <w:spacing w:after="0" w:line="8" w:lineRule="exact"/>
        <w:rPr>
          <w:rFonts w:ascii="Times New Roman" w:hAnsi="Times New Roman"/>
          <w:sz w:val="14"/>
          <w:szCs w:val="14"/>
        </w:rPr>
      </w:pPr>
    </w:p>
    <w:p w:rsidR="002A4D1F" w:rsidRDefault="002A4D1F">
      <w:pPr>
        <w:widowControl w:val="0"/>
        <w:numPr>
          <w:ilvl w:val="0"/>
          <w:numId w:val="3"/>
        </w:numPr>
        <w:tabs>
          <w:tab w:val="clear" w:pos="720"/>
          <w:tab w:val="num" w:pos="260"/>
        </w:tabs>
        <w:overflowPunct w:val="0"/>
        <w:autoSpaceDE w:val="0"/>
        <w:autoSpaceDN w:val="0"/>
        <w:adjustRightInd w:val="0"/>
        <w:spacing w:after="0" w:line="235" w:lineRule="auto"/>
        <w:ind w:left="260" w:hanging="190"/>
        <w:jc w:val="both"/>
        <w:rPr>
          <w:rFonts w:ascii="Times New Roman" w:hAnsi="Times New Roman"/>
          <w:sz w:val="14"/>
          <w:szCs w:val="14"/>
        </w:rPr>
      </w:pPr>
      <w:r>
        <w:rPr>
          <w:rFonts w:ascii="Times New Roman" w:hAnsi="Times New Roman"/>
          <w:sz w:val="14"/>
          <w:szCs w:val="14"/>
        </w:rPr>
        <w:t>American Geriatrics Society Panel on Pharmacological Management of Persis-tent Pain in Older Persons. Pharmacological management of persistent pain in older persons. J Am Geriatr Soc 2009; 57: 1331</w:t>
      </w:r>
      <w:r>
        <w:rPr>
          <w:rFonts w:ascii="Arial" w:hAnsi="Arial" w:cs="Arial"/>
          <w:sz w:val="14"/>
          <w:szCs w:val="14"/>
        </w:rPr>
        <w:t>–</w:t>
      </w:r>
      <w:r>
        <w:rPr>
          <w:rFonts w:ascii="Times New Roman" w:hAnsi="Times New Roman"/>
          <w:sz w:val="14"/>
          <w:szCs w:val="14"/>
        </w:rPr>
        <w:t xml:space="preserve">1346. doi. 10.1111/j.1532-5415.2009.02376.x. </w:t>
      </w:r>
    </w:p>
    <w:p w:rsidR="002A4D1F" w:rsidRDefault="002A4D1F">
      <w:pPr>
        <w:widowControl w:val="0"/>
        <w:autoSpaceDE w:val="0"/>
        <w:autoSpaceDN w:val="0"/>
        <w:adjustRightInd w:val="0"/>
        <w:spacing w:after="0" w:line="9" w:lineRule="exact"/>
        <w:rPr>
          <w:rFonts w:ascii="Times New Roman" w:hAnsi="Times New Roman"/>
          <w:sz w:val="14"/>
          <w:szCs w:val="14"/>
        </w:rPr>
      </w:pPr>
    </w:p>
    <w:p w:rsidR="002A4D1F" w:rsidRDefault="002A4D1F">
      <w:pPr>
        <w:widowControl w:val="0"/>
        <w:numPr>
          <w:ilvl w:val="0"/>
          <w:numId w:val="3"/>
        </w:numPr>
        <w:tabs>
          <w:tab w:val="clear" w:pos="720"/>
          <w:tab w:val="num" w:pos="260"/>
        </w:tabs>
        <w:overflowPunct w:val="0"/>
        <w:autoSpaceDE w:val="0"/>
        <w:autoSpaceDN w:val="0"/>
        <w:adjustRightInd w:val="0"/>
        <w:spacing w:after="0" w:line="233" w:lineRule="auto"/>
        <w:ind w:left="260" w:hanging="190"/>
        <w:jc w:val="both"/>
        <w:rPr>
          <w:rFonts w:ascii="Times New Roman" w:hAnsi="Times New Roman"/>
          <w:sz w:val="14"/>
          <w:szCs w:val="14"/>
        </w:rPr>
      </w:pPr>
      <w:r>
        <w:rPr>
          <w:rFonts w:ascii="Times New Roman" w:hAnsi="Times New Roman"/>
          <w:sz w:val="14"/>
          <w:szCs w:val="14"/>
        </w:rPr>
        <w:t>Chou R, Fanciullo GJ, Fine PG, et al. Clinical guidelines for the use of chronic opioid therapy in chronic noncancer pain. J Pain 2009; 10: 113</w:t>
      </w:r>
      <w:r>
        <w:rPr>
          <w:rFonts w:ascii="Arial" w:hAnsi="Arial" w:cs="Arial"/>
          <w:sz w:val="14"/>
          <w:szCs w:val="14"/>
        </w:rPr>
        <w:t>–</w:t>
      </w:r>
      <w:r>
        <w:rPr>
          <w:rFonts w:ascii="Times New Roman" w:hAnsi="Times New Roman"/>
          <w:sz w:val="14"/>
          <w:szCs w:val="14"/>
        </w:rPr>
        <w:t xml:space="preserve">130. doi:10.1016/j.jpain.2008.10.008. </w:t>
      </w:r>
    </w:p>
    <w:p w:rsidR="002A4D1F" w:rsidRDefault="002A4D1F">
      <w:pPr>
        <w:widowControl w:val="0"/>
        <w:autoSpaceDE w:val="0"/>
        <w:autoSpaceDN w:val="0"/>
        <w:adjustRightInd w:val="0"/>
        <w:spacing w:after="0" w:line="10" w:lineRule="exact"/>
        <w:rPr>
          <w:rFonts w:ascii="Times New Roman" w:hAnsi="Times New Roman"/>
          <w:sz w:val="14"/>
          <w:szCs w:val="14"/>
        </w:rPr>
      </w:pPr>
    </w:p>
    <w:p w:rsidR="002A4D1F" w:rsidRDefault="002A4D1F">
      <w:pPr>
        <w:widowControl w:val="0"/>
        <w:numPr>
          <w:ilvl w:val="0"/>
          <w:numId w:val="3"/>
        </w:numPr>
        <w:tabs>
          <w:tab w:val="clear" w:pos="720"/>
          <w:tab w:val="num" w:pos="260"/>
        </w:tabs>
        <w:overflowPunct w:val="0"/>
        <w:autoSpaceDE w:val="0"/>
        <w:autoSpaceDN w:val="0"/>
        <w:adjustRightInd w:val="0"/>
        <w:spacing w:after="0" w:line="258" w:lineRule="auto"/>
        <w:ind w:left="260" w:hanging="190"/>
        <w:jc w:val="both"/>
        <w:rPr>
          <w:rFonts w:ascii="Times New Roman" w:hAnsi="Times New Roman"/>
          <w:sz w:val="13"/>
          <w:szCs w:val="13"/>
        </w:rPr>
      </w:pPr>
      <w:r>
        <w:rPr>
          <w:rFonts w:ascii="Times New Roman" w:hAnsi="Times New Roman"/>
          <w:sz w:val="13"/>
          <w:szCs w:val="13"/>
        </w:rPr>
        <w:t xml:space="preserve">Management of Opioid Therapy for Chronic Pain Working Group. VA/DoD clinical practice guideline for management of opioid therapy for chronic pain. Department of Veterans Affairs, Department of Defense: Washington, DC, 2010. </w:t>
      </w:r>
    </w:p>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69" w:right="1000" w:bottom="584" w:left="900" w:header="720" w:footer="720" w:gutter="0"/>
          <w:cols w:num="2" w:space="480" w:equalWidth="0">
            <w:col w:w="4760" w:space="480"/>
            <w:col w:w="4760"/>
          </w:cols>
          <w:noEndnote/>
        </w:sectPr>
      </w:pPr>
    </w:p>
    <w:p w:rsidR="002A4D1F" w:rsidRDefault="002A4D1F">
      <w:pPr>
        <w:widowControl w:val="0"/>
        <w:autoSpaceDE w:val="0"/>
        <w:autoSpaceDN w:val="0"/>
        <w:adjustRightInd w:val="0"/>
        <w:spacing w:after="0" w:line="235"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80"/>
        <w:gridCol w:w="5020"/>
      </w:tblGrid>
      <w:tr w:rsidR="002A4D1F">
        <w:tblPrEx>
          <w:tblCellMar>
            <w:top w:w="0" w:type="dxa"/>
            <w:left w:w="0" w:type="dxa"/>
            <w:bottom w:w="0" w:type="dxa"/>
            <w:right w:w="0" w:type="dxa"/>
          </w:tblCellMar>
        </w:tblPrEx>
        <w:trPr>
          <w:trHeight w:val="208"/>
        </w:trPr>
        <w:tc>
          <w:tcPr>
            <w:tcW w:w="4980" w:type="dxa"/>
            <w:tcBorders>
              <w:top w:val="nil"/>
              <w:left w:val="nil"/>
              <w:bottom w:val="nil"/>
              <w:right w:val="nil"/>
            </w:tcBorders>
            <w:vAlign w:val="bottom"/>
          </w:tcPr>
          <w:p w:rsidR="002A4D1F" w:rsidRDefault="002A4D1F">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18"/>
                <w:szCs w:val="18"/>
              </w:rPr>
              <w:t>© 2014 The Authors. Pharmacoepidemiology and Drug Safety</w:t>
            </w:r>
          </w:p>
        </w:tc>
        <w:tc>
          <w:tcPr>
            <w:tcW w:w="50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8"/>
                <w:szCs w:val="18"/>
              </w:rPr>
              <w:t>Pharmacoepidemiology and Drug Safety, 2014; 23: 1238</w:t>
            </w:r>
            <w:r>
              <w:rPr>
                <w:rFonts w:ascii="Arial" w:hAnsi="Arial" w:cs="Arial"/>
                <w:sz w:val="18"/>
                <w:szCs w:val="18"/>
              </w:rPr>
              <w:t>–</w:t>
            </w:r>
            <w:r>
              <w:rPr>
                <w:rFonts w:ascii="Times New Roman" w:hAnsi="Times New Roman"/>
                <w:sz w:val="18"/>
                <w:szCs w:val="18"/>
              </w:rPr>
              <w:t>1246</w:t>
            </w:r>
          </w:p>
        </w:tc>
      </w:tr>
      <w:tr w:rsidR="002A4D1F">
        <w:tblPrEx>
          <w:tblCellMar>
            <w:top w:w="0" w:type="dxa"/>
            <w:left w:w="0" w:type="dxa"/>
            <w:bottom w:w="0" w:type="dxa"/>
            <w:right w:w="0" w:type="dxa"/>
          </w:tblCellMar>
        </w:tblPrEx>
        <w:trPr>
          <w:trHeight w:val="197"/>
        </w:trPr>
        <w:tc>
          <w:tcPr>
            <w:tcW w:w="4980" w:type="dxa"/>
            <w:tcBorders>
              <w:top w:val="nil"/>
              <w:left w:val="nil"/>
              <w:bottom w:val="nil"/>
              <w:right w:val="nil"/>
            </w:tcBorders>
            <w:vAlign w:val="bottom"/>
          </w:tcPr>
          <w:p w:rsidR="002A4D1F" w:rsidRDefault="002A4D1F">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18"/>
                <w:szCs w:val="18"/>
              </w:rPr>
              <w:t>published by John Wiley &amp; Sons, Ltd.</w:t>
            </w:r>
          </w:p>
        </w:tc>
        <w:tc>
          <w:tcPr>
            <w:tcW w:w="5020" w:type="dxa"/>
            <w:tcBorders>
              <w:top w:val="nil"/>
              <w:left w:val="nil"/>
              <w:bottom w:val="nil"/>
              <w:right w:val="nil"/>
            </w:tcBorders>
            <w:vAlign w:val="bottom"/>
          </w:tcPr>
          <w:p w:rsidR="002A4D1F" w:rsidRDefault="002A4D1F">
            <w:pPr>
              <w:widowControl w:val="0"/>
              <w:autoSpaceDE w:val="0"/>
              <w:autoSpaceDN w:val="0"/>
              <w:adjustRightInd w:val="0"/>
              <w:spacing w:after="0" w:line="197" w:lineRule="exact"/>
              <w:jc w:val="right"/>
              <w:rPr>
                <w:rFonts w:ascii="Times New Roman" w:hAnsi="Times New Roman"/>
                <w:sz w:val="24"/>
                <w:szCs w:val="24"/>
              </w:rPr>
            </w:pPr>
            <w:r>
              <w:rPr>
                <w:rFonts w:ascii="Times New Roman" w:hAnsi="Times New Roman"/>
                <w:sz w:val="18"/>
                <w:szCs w:val="18"/>
              </w:rPr>
              <w:t>DOI: 10.1002/pds</w:t>
            </w:r>
          </w:p>
        </w:tc>
      </w:tr>
    </w:tbl>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69" w:right="1000" w:bottom="584" w:left="900" w:header="720" w:footer="720" w:gutter="0"/>
          <w:cols w:space="480" w:equalWidth="0">
            <w:col w:w="10000"/>
          </w:cols>
          <w:noEndnote/>
        </w:sectPr>
      </w:pPr>
    </w:p>
    <w:p w:rsidR="002A4D1F" w:rsidRDefault="002A4D1F">
      <w:pPr>
        <w:widowControl w:val="0"/>
        <w:tabs>
          <w:tab w:val="left" w:pos="4160"/>
        </w:tabs>
        <w:autoSpaceDE w:val="0"/>
        <w:autoSpaceDN w:val="0"/>
        <w:adjustRightInd w:val="0"/>
        <w:spacing w:after="0" w:line="239" w:lineRule="auto"/>
        <w:rPr>
          <w:rFonts w:ascii="Times New Roman" w:hAnsi="Times New Roman"/>
          <w:sz w:val="24"/>
          <w:szCs w:val="24"/>
        </w:rPr>
      </w:pPr>
      <w:bookmarkStart w:id="9" w:name="page9"/>
      <w:bookmarkEnd w:id="9"/>
      <w:r>
        <w:rPr>
          <w:rFonts w:ascii="Times New Roman" w:hAnsi="Times New Roman"/>
          <w:sz w:val="20"/>
          <w:szCs w:val="20"/>
        </w:rPr>
        <w:t>1246</w:t>
      </w:r>
      <w:r>
        <w:rPr>
          <w:rFonts w:ascii="Times New Roman" w:hAnsi="Times New Roman"/>
          <w:sz w:val="24"/>
          <w:szCs w:val="24"/>
        </w:rPr>
        <w:tab/>
      </w:r>
      <w:r>
        <w:rPr>
          <w:rFonts w:ascii="Times New Roman" w:hAnsi="Times New Roman"/>
          <w:sz w:val="20"/>
          <w:szCs w:val="20"/>
        </w:rPr>
        <w:t xml:space="preserve">n. e. sessler </w:t>
      </w:r>
      <w:r>
        <w:rPr>
          <w:rFonts w:ascii="Times New Roman" w:hAnsi="Times New Roman"/>
          <w:i/>
          <w:iCs/>
          <w:sz w:val="20"/>
          <w:szCs w:val="20"/>
        </w:rPr>
        <w:t>et al.</w:t>
      </w:r>
    </w:p>
    <w:p w:rsidR="002A4D1F" w:rsidRDefault="002A4D1F">
      <w:pPr>
        <w:widowControl w:val="0"/>
        <w:autoSpaceDE w:val="0"/>
        <w:autoSpaceDN w:val="0"/>
        <w:adjustRightInd w:val="0"/>
        <w:spacing w:after="0" w:line="240" w:lineRule="auto"/>
        <w:rPr>
          <w:rFonts w:ascii="Times New Roman" w:hAnsi="Times New Roman"/>
          <w:sz w:val="24"/>
          <w:szCs w:val="24"/>
        </w:rPr>
        <w:sectPr w:rsidR="002A4D1F">
          <w:pgSz w:w="11900" w:h="15817"/>
          <w:pgMar w:top="1168" w:right="5060" w:bottom="584" w:left="1000" w:header="720" w:footer="720" w:gutter="0"/>
          <w:cols w:space="720" w:equalWidth="0">
            <w:col w:w="5840"/>
          </w:cols>
          <w:noEndnote/>
        </w:sectPr>
      </w:pPr>
    </w:p>
    <w:p w:rsidR="002A4D1F" w:rsidRDefault="002A4D1F">
      <w:pPr>
        <w:widowControl w:val="0"/>
        <w:autoSpaceDE w:val="0"/>
        <w:autoSpaceDN w:val="0"/>
        <w:adjustRightInd w:val="0"/>
        <w:spacing w:after="0" w:line="199" w:lineRule="exact"/>
        <w:rPr>
          <w:rFonts w:ascii="Times New Roman" w:hAnsi="Times New Roman"/>
          <w:sz w:val="24"/>
          <w:szCs w:val="24"/>
        </w:rPr>
      </w:pPr>
    </w:p>
    <w:p w:rsidR="002A4D1F" w:rsidRDefault="002A4D1F">
      <w:pPr>
        <w:widowControl w:val="0"/>
        <w:numPr>
          <w:ilvl w:val="0"/>
          <w:numId w:val="4"/>
        </w:numPr>
        <w:tabs>
          <w:tab w:val="clear" w:pos="720"/>
          <w:tab w:val="num" w:pos="274"/>
        </w:tabs>
        <w:overflowPunct w:val="0"/>
        <w:autoSpaceDE w:val="0"/>
        <w:autoSpaceDN w:val="0"/>
        <w:adjustRightInd w:val="0"/>
        <w:spacing w:after="0" w:line="256" w:lineRule="auto"/>
        <w:ind w:left="274" w:hanging="204"/>
        <w:jc w:val="both"/>
        <w:rPr>
          <w:rFonts w:ascii="Times New Roman" w:hAnsi="Times New Roman"/>
          <w:sz w:val="13"/>
          <w:szCs w:val="13"/>
        </w:rPr>
      </w:pPr>
      <w:r>
        <w:rPr>
          <w:rFonts w:ascii="Times New Roman" w:hAnsi="Times New Roman"/>
          <w:sz w:val="13"/>
          <w:szCs w:val="13"/>
        </w:rPr>
        <w:t xml:space="preserve">National Opioid Use Guideline Group. Canadian guideline for safe and effective use of opioids for chronic non-cancer pain. Part B: recommendations for practice. National Opioid Use Guideline Group (NOUGG): Hamilton, Canada, 2010. </w:t>
      </w:r>
    </w:p>
    <w:p w:rsidR="002A4D1F" w:rsidRDefault="002A4D1F">
      <w:pPr>
        <w:widowControl w:val="0"/>
        <w:autoSpaceDE w:val="0"/>
        <w:autoSpaceDN w:val="0"/>
        <w:adjustRightInd w:val="0"/>
        <w:spacing w:after="0" w:line="1" w:lineRule="exact"/>
        <w:rPr>
          <w:rFonts w:ascii="Times New Roman" w:hAnsi="Times New Roman"/>
          <w:sz w:val="13"/>
          <w:szCs w:val="13"/>
        </w:rPr>
      </w:pPr>
    </w:p>
    <w:p w:rsidR="002A4D1F" w:rsidRDefault="002A4D1F">
      <w:pPr>
        <w:widowControl w:val="0"/>
        <w:numPr>
          <w:ilvl w:val="0"/>
          <w:numId w:val="4"/>
        </w:numPr>
        <w:tabs>
          <w:tab w:val="clear" w:pos="720"/>
          <w:tab w:val="num" w:pos="274"/>
        </w:tabs>
        <w:overflowPunct w:val="0"/>
        <w:autoSpaceDE w:val="0"/>
        <w:autoSpaceDN w:val="0"/>
        <w:adjustRightInd w:val="0"/>
        <w:spacing w:after="0" w:line="231" w:lineRule="auto"/>
        <w:ind w:left="274" w:hanging="204"/>
        <w:jc w:val="both"/>
        <w:rPr>
          <w:rFonts w:ascii="Times New Roman" w:hAnsi="Times New Roman"/>
          <w:sz w:val="14"/>
          <w:szCs w:val="14"/>
        </w:rPr>
      </w:pPr>
      <w:r>
        <w:rPr>
          <w:rFonts w:ascii="Times New Roman" w:hAnsi="Times New Roman"/>
          <w:sz w:val="14"/>
          <w:szCs w:val="14"/>
        </w:rPr>
        <w:t>Jones CM, Mack KA, Paulozzi LJ. Pharmaceutical overdose deaths, United States, 2010. JAMA 2013; 309: 657</w:t>
      </w:r>
      <w:r>
        <w:rPr>
          <w:rFonts w:ascii="Arial" w:hAnsi="Arial" w:cs="Arial"/>
          <w:sz w:val="14"/>
          <w:szCs w:val="14"/>
        </w:rPr>
        <w:t>–</w:t>
      </w:r>
      <w:r>
        <w:rPr>
          <w:rFonts w:ascii="Times New Roman" w:hAnsi="Times New Roman"/>
          <w:sz w:val="14"/>
          <w:szCs w:val="14"/>
        </w:rPr>
        <w:t xml:space="preserve">659. doi:10.1001/jama.2013.272. </w:t>
      </w:r>
    </w:p>
    <w:p w:rsidR="002A4D1F" w:rsidRDefault="002A4D1F">
      <w:pPr>
        <w:widowControl w:val="0"/>
        <w:autoSpaceDE w:val="0"/>
        <w:autoSpaceDN w:val="0"/>
        <w:adjustRightInd w:val="0"/>
        <w:spacing w:after="0" w:line="4"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35" w:lineRule="auto"/>
        <w:ind w:left="274" w:hanging="204"/>
        <w:jc w:val="both"/>
        <w:rPr>
          <w:rFonts w:ascii="Times New Roman" w:hAnsi="Times New Roman"/>
          <w:sz w:val="14"/>
          <w:szCs w:val="14"/>
        </w:rPr>
      </w:pPr>
      <w:r>
        <w:rPr>
          <w:rFonts w:ascii="Times New Roman" w:hAnsi="Times New Roman"/>
          <w:sz w:val="14"/>
          <w:szCs w:val="14"/>
        </w:rPr>
        <w:t xml:space="preserve">Okie S. A </w:t>
      </w:r>
      <w:r>
        <w:rPr>
          <w:rFonts w:ascii="Arial" w:hAnsi="Arial" w:cs="Arial"/>
          <w:sz w:val="14"/>
          <w:szCs w:val="14"/>
        </w:rPr>
        <w:t>fl</w:t>
      </w:r>
      <w:r>
        <w:rPr>
          <w:rFonts w:ascii="Times New Roman" w:hAnsi="Times New Roman"/>
          <w:sz w:val="14"/>
          <w:szCs w:val="14"/>
        </w:rPr>
        <w:t>ood of opioids, a rising tide of deaths. N Engl J Med 2010; 363: 1981</w:t>
      </w:r>
      <w:r>
        <w:rPr>
          <w:rFonts w:ascii="Arial" w:hAnsi="Arial" w:cs="Arial"/>
          <w:sz w:val="14"/>
          <w:szCs w:val="14"/>
        </w:rPr>
        <w:t>–</w:t>
      </w:r>
      <w:r>
        <w:rPr>
          <w:rFonts w:ascii="Times New Roman" w:hAnsi="Times New Roman"/>
          <w:sz w:val="14"/>
          <w:szCs w:val="14"/>
        </w:rPr>
        <w:t xml:space="preserve">1983. doi:10.1056/NEJMp1011512. </w:t>
      </w:r>
    </w:p>
    <w:p w:rsidR="002A4D1F" w:rsidRDefault="002A4D1F">
      <w:pPr>
        <w:widowControl w:val="0"/>
        <w:autoSpaceDE w:val="0"/>
        <w:autoSpaceDN w:val="0"/>
        <w:adjustRightInd w:val="0"/>
        <w:spacing w:after="0" w:line="9"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56" w:lineRule="auto"/>
        <w:ind w:left="274" w:hanging="204"/>
        <w:jc w:val="both"/>
        <w:rPr>
          <w:rFonts w:ascii="Times New Roman" w:hAnsi="Times New Roman"/>
          <w:sz w:val="13"/>
          <w:szCs w:val="13"/>
        </w:rPr>
      </w:pPr>
      <w:r>
        <w:rPr>
          <w:rFonts w:ascii="Times New Roman" w:hAnsi="Times New Roman"/>
          <w:sz w:val="13"/>
          <w:szCs w:val="13"/>
        </w:rPr>
        <w:t>White AG, Birnbaum HG, Mareva MN, et al. Direct costs of opioid abuse in an insured population in the United States. J Manag Care Pharm 2005; 11: 469</w:t>
      </w:r>
      <w:r>
        <w:rPr>
          <w:rFonts w:ascii="Arial" w:hAnsi="Arial" w:cs="Arial"/>
          <w:sz w:val="13"/>
          <w:szCs w:val="13"/>
        </w:rPr>
        <w:t>–</w:t>
      </w:r>
      <w:r>
        <w:rPr>
          <w:rFonts w:ascii="Times New Roman" w:hAnsi="Times New Roman"/>
          <w:sz w:val="13"/>
          <w:szCs w:val="13"/>
        </w:rPr>
        <w:t xml:space="preserve">479. </w:t>
      </w:r>
    </w:p>
    <w:p w:rsidR="002A4D1F" w:rsidRDefault="002A4D1F">
      <w:pPr>
        <w:widowControl w:val="0"/>
        <w:numPr>
          <w:ilvl w:val="0"/>
          <w:numId w:val="4"/>
        </w:numPr>
        <w:tabs>
          <w:tab w:val="clear" w:pos="720"/>
          <w:tab w:val="num" w:pos="274"/>
        </w:tabs>
        <w:overflowPunct w:val="0"/>
        <w:autoSpaceDE w:val="0"/>
        <w:autoSpaceDN w:val="0"/>
        <w:adjustRightInd w:val="0"/>
        <w:spacing w:after="0" w:line="233" w:lineRule="auto"/>
        <w:ind w:left="274" w:hanging="204"/>
        <w:jc w:val="both"/>
        <w:rPr>
          <w:rFonts w:ascii="Times New Roman" w:hAnsi="Times New Roman"/>
          <w:sz w:val="14"/>
          <w:szCs w:val="14"/>
        </w:rPr>
      </w:pPr>
      <w:r>
        <w:rPr>
          <w:rFonts w:ascii="Times New Roman" w:hAnsi="Times New Roman"/>
          <w:sz w:val="14"/>
          <w:szCs w:val="14"/>
        </w:rPr>
        <w:t>Birnbaum HG, White AG, Reynolds JL, et al. Estimated costs of prescription opioid analgesic abuse in the United States in 2001: a societal perspective. Clin J Pain 2006; 22: 667</w:t>
      </w:r>
      <w:r>
        <w:rPr>
          <w:rFonts w:ascii="Arial" w:hAnsi="Arial" w:cs="Arial"/>
          <w:sz w:val="14"/>
          <w:szCs w:val="14"/>
        </w:rPr>
        <w:t>–</w:t>
      </w:r>
      <w:r>
        <w:rPr>
          <w:rFonts w:ascii="Times New Roman" w:hAnsi="Times New Roman"/>
          <w:sz w:val="14"/>
          <w:szCs w:val="14"/>
        </w:rPr>
        <w:t xml:space="preserve">676. </w:t>
      </w:r>
    </w:p>
    <w:p w:rsidR="002A4D1F" w:rsidRDefault="002A4D1F">
      <w:pPr>
        <w:widowControl w:val="0"/>
        <w:autoSpaceDE w:val="0"/>
        <w:autoSpaceDN w:val="0"/>
        <w:adjustRightInd w:val="0"/>
        <w:spacing w:after="0" w:line="10"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31" w:lineRule="auto"/>
        <w:ind w:left="274" w:hanging="274"/>
        <w:jc w:val="both"/>
        <w:rPr>
          <w:rFonts w:ascii="Times New Roman" w:hAnsi="Times New Roman"/>
          <w:sz w:val="14"/>
          <w:szCs w:val="14"/>
        </w:rPr>
      </w:pPr>
      <w:r>
        <w:rPr>
          <w:rFonts w:ascii="Times New Roman" w:hAnsi="Times New Roman"/>
          <w:sz w:val="14"/>
          <w:szCs w:val="14"/>
        </w:rPr>
        <w:t>Raffa RB, Pergolizzi JV. Opioid formulations designed to resist/deter abuse. Drugs 2010; 70: 1657</w:t>
      </w:r>
      <w:r>
        <w:rPr>
          <w:rFonts w:ascii="Arial" w:hAnsi="Arial" w:cs="Arial"/>
          <w:sz w:val="14"/>
          <w:szCs w:val="14"/>
        </w:rPr>
        <w:t>–</w:t>
      </w:r>
      <w:r>
        <w:rPr>
          <w:rFonts w:ascii="Times New Roman" w:hAnsi="Times New Roman"/>
          <w:sz w:val="14"/>
          <w:szCs w:val="14"/>
        </w:rPr>
        <w:t xml:space="preserve">1675. doi:10.2165/11537940-000000000-00000. </w:t>
      </w:r>
    </w:p>
    <w:p w:rsidR="002A4D1F" w:rsidRDefault="002A4D1F">
      <w:pPr>
        <w:widowControl w:val="0"/>
        <w:autoSpaceDE w:val="0"/>
        <w:autoSpaceDN w:val="0"/>
        <w:adjustRightInd w:val="0"/>
        <w:spacing w:after="0" w:line="9"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34" w:lineRule="auto"/>
        <w:ind w:left="274" w:hanging="274"/>
        <w:jc w:val="both"/>
        <w:rPr>
          <w:rFonts w:ascii="Times New Roman" w:hAnsi="Times New Roman"/>
          <w:sz w:val="14"/>
          <w:szCs w:val="14"/>
        </w:rPr>
      </w:pPr>
      <w:r>
        <w:rPr>
          <w:rFonts w:ascii="Times New Roman" w:hAnsi="Times New Roman"/>
          <w:sz w:val="14"/>
          <w:szCs w:val="14"/>
        </w:rPr>
        <w:t>Katz N, Dart RC, Bailey E, et al. Tampering with prescription opioids: nature and extent of the problem, health consequences, and solutions. Am J Drug Alco-hol Abuse 2011; 37: 205</w:t>
      </w:r>
      <w:r>
        <w:rPr>
          <w:rFonts w:ascii="Arial" w:hAnsi="Arial" w:cs="Arial"/>
          <w:sz w:val="14"/>
          <w:szCs w:val="14"/>
        </w:rPr>
        <w:t>–</w:t>
      </w:r>
      <w:r>
        <w:rPr>
          <w:rFonts w:ascii="Times New Roman" w:hAnsi="Times New Roman"/>
          <w:sz w:val="14"/>
          <w:szCs w:val="14"/>
        </w:rPr>
        <w:t xml:space="preserve">217. doi:10.3109/00952990.2011.569623. </w:t>
      </w:r>
    </w:p>
    <w:p w:rsidR="002A4D1F" w:rsidRDefault="002A4D1F">
      <w:pPr>
        <w:widowControl w:val="0"/>
        <w:autoSpaceDE w:val="0"/>
        <w:autoSpaceDN w:val="0"/>
        <w:adjustRightInd w:val="0"/>
        <w:spacing w:after="0" w:line="9"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56" w:lineRule="auto"/>
        <w:ind w:left="274" w:hanging="274"/>
        <w:jc w:val="both"/>
        <w:rPr>
          <w:rFonts w:ascii="Times New Roman" w:hAnsi="Times New Roman"/>
          <w:sz w:val="13"/>
          <w:szCs w:val="13"/>
        </w:rPr>
      </w:pPr>
      <w:r>
        <w:rPr>
          <w:rFonts w:ascii="Times New Roman" w:hAnsi="Times New Roman"/>
          <w:sz w:val="13"/>
          <w:szCs w:val="13"/>
        </w:rPr>
        <w:t xml:space="preserve">National Drug Intelligence Center. OxyContin diversion and abuse. January 2001. http://www.justice.gov/archive/ndic/pubs/651/abuse.htm [23 February 2012]. </w:t>
      </w:r>
    </w:p>
    <w:p w:rsidR="002A4D1F" w:rsidRDefault="002A4D1F">
      <w:pPr>
        <w:widowControl w:val="0"/>
        <w:numPr>
          <w:ilvl w:val="0"/>
          <w:numId w:val="4"/>
        </w:numPr>
        <w:tabs>
          <w:tab w:val="clear" w:pos="720"/>
          <w:tab w:val="num" w:pos="274"/>
        </w:tabs>
        <w:overflowPunct w:val="0"/>
        <w:autoSpaceDE w:val="0"/>
        <w:autoSpaceDN w:val="0"/>
        <w:adjustRightInd w:val="0"/>
        <w:spacing w:after="0" w:line="233" w:lineRule="auto"/>
        <w:ind w:left="274" w:hanging="274"/>
        <w:jc w:val="both"/>
        <w:rPr>
          <w:rFonts w:ascii="Times New Roman" w:hAnsi="Times New Roman"/>
          <w:sz w:val="14"/>
          <w:szCs w:val="14"/>
        </w:rPr>
      </w:pPr>
      <w:r>
        <w:rPr>
          <w:rFonts w:ascii="Times New Roman" w:hAnsi="Times New Roman"/>
          <w:sz w:val="14"/>
          <w:szCs w:val="14"/>
        </w:rPr>
        <w:t>Hays L, Kirsh KL, Passik SD. Seeking drug treatment for OxyContin abuse: a chart review of consecutive admissions to a substance abuse treatment facility in Kentucky. J Natl Compr Canc Netw 2003; 1: 423</w:t>
      </w:r>
      <w:r>
        <w:rPr>
          <w:rFonts w:ascii="Arial" w:hAnsi="Arial" w:cs="Arial"/>
          <w:sz w:val="14"/>
          <w:szCs w:val="14"/>
        </w:rPr>
        <w:t>–</w:t>
      </w:r>
      <w:r>
        <w:rPr>
          <w:rFonts w:ascii="Times New Roman" w:hAnsi="Times New Roman"/>
          <w:sz w:val="14"/>
          <w:szCs w:val="14"/>
        </w:rPr>
        <w:t xml:space="preserve">428. </w:t>
      </w:r>
    </w:p>
    <w:p w:rsidR="002A4D1F" w:rsidRDefault="002A4D1F">
      <w:pPr>
        <w:widowControl w:val="0"/>
        <w:autoSpaceDE w:val="0"/>
        <w:autoSpaceDN w:val="0"/>
        <w:adjustRightInd w:val="0"/>
        <w:spacing w:after="0" w:line="5"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40" w:lineRule="auto"/>
        <w:ind w:left="274" w:hanging="274"/>
        <w:jc w:val="both"/>
        <w:rPr>
          <w:rFonts w:ascii="Times New Roman" w:hAnsi="Times New Roman"/>
          <w:sz w:val="14"/>
          <w:szCs w:val="14"/>
        </w:rPr>
      </w:pPr>
      <w:r>
        <w:rPr>
          <w:rFonts w:ascii="Times New Roman" w:hAnsi="Times New Roman"/>
          <w:sz w:val="14"/>
          <w:szCs w:val="14"/>
        </w:rPr>
        <w:t>Hays LR. A pro</w:t>
      </w:r>
      <w:r>
        <w:rPr>
          <w:rFonts w:ascii="Arial" w:hAnsi="Arial" w:cs="Arial"/>
          <w:sz w:val="14"/>
          <w:szCs w:val="14"/>
        </w:rPr>
        <w:t>fi</w:t>
      </w:r>
      <w:r>
        <w:rPr>
          <w:rFonts w:ascii="Times New Roman" w:hAnsi="Times New Roman"/>
          <w:sz w:val="14"/>
          <w:szCs w:val="14"/>
        </w:rPr>
        <w:t>le of OxyContin addiction. J Addict Dis 2004; 23: 1</w:t>
      </w:r>
      <w:r>
        <w:rPr>
          <w:rFonts w:ascii="Arial" w:hAnsi="Arial" w:cs="Arial"/>
          <w:sz w:val="14"/>
          <w:szCs w:val="14"/>
        </w:rPr>
        <w:t>–</w:t>
      </w:r>
      <w:r>
        <w:rPr>
          <w:rFonts w:ascii="Times New Roman" w:hAnsi="Times New Roman"/>
          <w:sz w:val="14"/>
          <w:szCs w:val="14"/>
        </w:rPr>
        <w:t xml:space="preserve">9. </w:t>
      </w:r>
    </w:p>
    <w:p w:rsidR="002A4D1F" w:rsidRDefault="002A4D1F">
      <w:pPr>
        <w:widowControl w:val="0"/>
        <w:autoSpaceDE w:val="0"/>
        <w:autoSpaceDN w:val="0"/>
        <w:adjustRightInd w:val="0"/>
        <w:spacing w:after="0" w:line="5"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33" w:lineRule="auto"/>
        <w:ind w:left="274" w:hanging="274"/>
        <w:jc w:val="both"/>
        <w:rPr>
          <w:rFonts w:ascii="Times New Roman" w:hAnsi="Times New Roman"/>
          <w:sz w:val="14"/>
          <w:szCs w:val="14"/>
        </w:rPr>
      </w:pPr>
      <w:r>
        <w:rPr>
          <w:rFonts w:ascii="Times New Roman" w:hAnsi="Times New Roman"/>
          <w:sz w:val="14"/>
          <w:szCs w:val="14"/>
        </w:rPr>
        <w:t>Butler SF, Black RA, Grimes Serrano JM, et al. Characteristics of prescription opioid abusers in treatment: prescription opioid use history, age, use patterns and functional severity. J Opioid Manag 2010; 6: 239</w:t>
      </w:r>
      <w:r>
        <w:rPr>
          <w:rFonts w:ascii="Arial" w:hAnsi="Arial" w:cs="Arial"/>
          <w:sz w:val="14"/>
          <w:szCs w:val="14"/>
        </w:rPr>
        <w:t>–</w:t>
      </w:r>
      <w:r>
        <w:rPr>
          <w:rFonts w:ascii="Times New Roman" w:hAnsi="Times New Roman"/>
          <w:sz w:val="14"/>
          <w:szCs w:val="14"/>
        </w:rPr>
        <w:t xml:space="preserve">252. </w:t>
      </w:r>
    </w:p>
    <w:p w:rsidR="002A4D1F" w:rsidRDefault="002A4D1F">
      <w:pPr>
        <w:widowControl w:val="0"/>
        <w:autoSpaceDE w:val="0"/>
        <w:autoSpaceDN w:val="0"/>
        <w:adjustRightInd w:val="0"/>
        <w:spacing w:after="0" w:line="9"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33" w:lineRule="auto"/>
        <w:ind w:left="274" w:hanging="274"/>
        <w:jc w:val="both"/>
        <w:rPr>
          <w:rFonts w:ascii="Times New Roman" w:hAnsi="Times New Roman"/>
          <w:sz w:val="14"/>
          <w:szCs w:val="14"/>
        </w:rPr>
      </w:pPr>
      <w:r>
        <w:rPr>
          <w:rFonts w:ascii="Times New Roman" w:hAnsi="Times New Roman"/>
          <w:sz w:val="14"/>
          <w:szCs w:val="14"/>
        </w:rPr>
        <w:t>Romach MB, Schoedel KA, Seller EM. Update on tamper-resistant drug formulations. Drug Alcohol Depend 2013; 130: 13</w:t>
      </w:r>
      <w:r>
        <w:rPr>
          <w:rFonts w:ascii="Arial" w:hAnsi="Arial" w:cs="Arial"/>
          <w:sz w:val="14"/>
          <w:szCs w:val="14"/>
        </w:rPr>
        <w:t>–</w:t>
      </w:r>
      <w:r>
        <w:rPr>
          <w:rFonts w:ascii="Times New Roman" w:hAnsi="Times New Roman"/>
          <w:sz w:val="14"/>
          <w:szCs w:val="14"/>
        </w:rPr>
        <w:t xml:space="preserve">23. doi:10.1016/j. drugalcdep.2012.12.028. </w:t>
      </w:r>
    </w:p>
    <w:p w:rsidR="002A4D1F" w:rsidRDefault="002A4D1F">
      <w:pPr>
        <w:widowControl w:val="0"/>
        <w:autoSpaceDE w:val="0"/>
        <w:autoSpaceDN w:val="0"/>
        <w:adjustRightInd w:val="0"/>
        <w:spacing w:after="0" w:line="10"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31" w:lineRule="auto"/>
        <w:ind w:left="274" w:hanging="274"/>
        <w:jc w:val="both"/>
        <w:rPr>
          <w:rFonts w:ascii="Times New Roman" w:hAnsi="Times New Roman"/>
          <w:sz w:val="14"/>
          <w:szCs w:val="14"/>
        </w:rPr>
      </w:pPr>
      <w:r>
        <w:rPr>
          <w:rFonts w:ascii="Times New Roman" w:hAnsi="Times New Roman"/>
          <w:sz w:val="14"/>
          <w:szCs w:val="14"/>
        </w:rPr>
        <w:t>Moorman-Li R, Motycka CA, Inge LD, et al. A review of abuse-deterrent opi-oids for chronic nonmalignant pain. PT 2012; 37: 412</w:t>
      </w:r>
      <w:r>
        <w:rPr>
          <w:rFonts w:ascii="Arial" w:hAnsi="Arial" w:cs="Arial"/>
          <w:sz w:val="14"/>
          <w:szCs w:val="14"/>
        </w:rPr>
        <w:t>–</w:t>
      </w:r>
      <w:r>
        <w:rPr>
          <w:rFonts w:ascii="Times New Roman" w:hAnsi="Times New Roman"/>
          <w:sz w:val="14"/>
          <w:szCs w:val="14"/>
        </w:rPr>
        <w:t xml:space="preserve">418. </w:t>
      </w:r>
    </w:p>
    <w:p w:rsidR="002A4D1F" w:rsidRDefault="002A4D1F">
      <w:pPr>
        <w:widowControl w:val="0"/>
        <w:autoSpaceDE w:val="0"/>
        <w:autoSpaceDN w:val="0"/>
        <w:adjustRightInd w:val="0"/>
        <w:spacing w:after="0" w:line="9"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40" w:lineRule="auto"/>
        <w:ind w:left="274" w:hanging="274"/>
        <w:jc w:val="both"/>
        <w:rPr>
          <w:rFonts w:ascii="Times New Roman" w:hAnsi="Times New Roman"/>
          <w:sz w:val="13"/>
          <w:szCs w:val="13"/>
        </w:rPr>
      </w:pPr>
      <w:r>
        <w:rPr>
          <w:rFonts w:ascii="Times New Roman" w:hAnsi="Times New Roman"/>
          <w:sz w:val="13"/>
          <w:szCs w:val="13"/>
        </w:rPr>
        <w:t xml:space="preserve">OxyContin [full prescribing information]. Stamford, CT: Purdue Pharma L.P. 7/2013. </w:t>
      </w:r>
    </w:p>
    <w:p w:rsidR="002A4D1F" w:rsidRDefault="002A4D1F">
      <w:pPr>
        <w:widowControl w:val="0"/>
        <w:autoSpaceDE w:val="0"/>
        <w:autoSpaceDN w:val="0"/>
        <w:adjustRightInd w:val="0"/>
        <w:spacing w:after="0" w:line="10" w:lineRule="exact"/>
        <w:rPr>
          <w:rFonts w:ascii="Times New Roman" w:hAnsi="Times New Roman"/>
          <w:sz w:val="13"/>
          <w:szCs w:val="13"/>
        </w:rPr>
      </w:pPr>
    </w:p>
    <w:p w:rsidR="002A4D1F" w:rsidRDefault="002A4D1F">
      <w:pPr>
        <w:widowControl w:val="0"/>
        <w:numPr>
          <w:ilvl w:val="0"/>
          <w:numId w:val="4"/>
        </w:numPr>
        <w:tabs>
          <w:tab w:val="clear" w:pos="720"/>
          <w:tab w:val="num" w:pos="274"/>
        </w:tabs>
        <w:overflowPunct w:val="0"/>
        <w:autoSpaceDE w:val="0"/>
        <w:autoSpaceDN w:val="0"/>
        <w:adjustRightInd w:val="0"/>
        <w:spacing w:after="0" w:line="232" w:lineRule="auto"/>
        <w:ind w:left="274" w:hanging="274"/>
        <w:jc w:val="both"/>
        <w:rPr>
          <w:rFonts w:ascii="Times New Roman" w:hAnsi="Times New Roman"/>
          <w:sz w:val="14"/>
          <w:szCs w:val="14"/>
        </w:rPr>
      </w:pPr>
      <w:r>
        <w:rPr>
          <w:rFonts w:ascii="Times New Roman" w:hAnsi="Times New Roman"/>
          <w:sz w:val="14"/>
          <w:szCs w:val="14"/>
        </w:rPr>
        <w:t>Centers for Disease Control and Prevention. CDC grand rounds: prescription drug overdoses</w:t>
      </w:r>
      <w:r>
        <w:rPr>
          <w:rFonts w:ascii="Arial" w:hAnsi="Arial" w:cs="Arial"/>
          <w:sz w:val="14"/>
          <w:szCs w:val="14"/>
        </w:rPr>
        <w:t>—</w:t>
      </w:r>
      <w:r>
        <w:rPr>
          <w:rFonts w:ascii="Times New Roman" w:hAnsi="Times New Roman"/>
          <w:sz w:val="14"/>
          <w:szCs w:val="14"/>
        </w:rPr>
        <w:t>a U.S. Epidemic. Morb Mortal Wkly Rep 2012; 61: 10</w:t>
      </w:r>
      <w:r>
        <w:rPr>
          <w:rFonts w:ascii="Arial" w:hAnsi="Arial" w:cs="Arial"/>
          <w:sz w:val="14"/>
          <w:szCs w:val="14"/>
        </w:rPr>
        <w:t>–</w:t>
      </w:r>
      <w:r>
        <w:rPr>
          <w:rFonts w:ascii="Times New Roman" w:hAnsi="Times New Roman"/>
          <w:sz w:val="14"/>
          <w:szCs w:val="14"/>
        </w:rPr>
        <w:t xml:space="preserve">13. </w:t>
      </w:r>
    </w:p>
    <w:p w:rsidR="002A4D1F" w:rsidRDefault="002A4D1F">
      <w:pPr>
        <w:widowControl w:val="0"/>
        <w:autoSpaceDE w:val="0"/>
        <w:autoSpaceDN w:val="0"/>
        <w:adjustRightInd w:val="0"/>
        <w:spacing w:after="0" w:line="9"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34" w:lineRule="auto"/>
        <w:ind w:left="274" w:hanging="274"/>
        <w:jc w:val="both"/>
        <w:rPr>
          <w:rFonts w:ascii="Times New Roman" w:hAnsi="Times New Roman"/>
          <w:sz w:val="14"/>
          <w:szCs w:val="14"/>
        </w:rPr>
      </w:pPr>
      <w:r>
        <w:rPr>
          <w:rFonts w:ascii="Times New Roman" w:hAnsi="Times New Roman"/>
          <w:sz w:val="14"/>
          <w:szCs w:val="14"/>
        </w:rPr>
        <w:t>Cone EJ, Fant RV, Rohay JM, et al. Oxycodone involvement in drug abuse deaths: a DAWN-based classi</w:t>
      </w:r>
      <w:r>
        <w:rPr>
          <w:rFonts w:ascii="Arial" w:hAnsi="Arial" w:cs="Arial"/>
          <w:sz w:val="14"/>
          <w:szCs w:val="14"/>
        </w:rPr>
        <w:t>fi</w:t>
      </w:r>
      <w:r>
        <w:rPr>
          <w:rFonts w:ascii="Times New Roman" w:hAnsi="Times New Roman"/>
          <w:sz w:val="14"/>
          <w:szCs w:val="14"/>
        </w:rPr>
        <w:t>cation scheme applied to an oxycodone postmor-tem database containing over 1000 cases. J Anal Toxicol 2003; 27: 57</w:t>
      </w:r>
      <w:r>
        <w:rPr>
          <w:rFonts w:ascii="Arial" w:hAnsi="Arial" w:cs="Arial"/>
          <w:sz w:val="14"/>
          <w:szCs w:val="14"/>
        </w:rPr>
        <w:t>–</w:t>
      </w:r>
      <w:r>
        <w:rPr>
          <w:rFonts w:ascii="Times New Roman" w:hAnsi="Times New Roman"/>
          <w:sz w:val="14"/>
          <w:szCs w:val="14"/>
        </w:rPr>
        <w:t xml:space="preserve">67; discussion 67. </w:t>
      </w:r>
    </w:p>
    <w:p w:rsidR="002A4D1F" w:rsidRDefault="002A4D1F">
      <w:pPr>
        <w:widowControl w:val="0"/>
        <w:autoSpaceDE w:val="0"/>
        <w:autoSpaceDN w:val="0"/>
        <w:adjustRightInd w:val="0"/>
        <w:spacing w:after="0" w:line="10"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33" w:lineRule="auto"/>
        <w:ind w:left="274" w:hanging="274"/>
        <w:jc w:val="both"/>
        <w:rPr>
          <w:rFonts w:ascii="Times New Roman" w:hAnsi="Times New Roman"/>
          <w:sz w:val="14"/>
          <w:szCs w:val="14"/>
        </w:rPr>
      </w:pPr>
      <w:r>
        <w:rPr>
          <w:rFonts w:ascii="Times New Roman" w:hAnsi="Times New Roman"/>
          <w:sz w:val="14"/>
          <w:szCs w:val="14"/>
        </w:rPr>
        <w:t>Dhalla IA, Mamdani MM, Sivilotti ML, et al. Prescribing of opioid analgesics and related mortality before and after the introduction of long-acting oxycodone. CMAJ 2009; 181: 891</w:t>
      </w:r>
      <w:r>
        <w:rPr>
          <w:rFonts w:ascii="Arial" w:hAnsi="Arial" w:cs="Arial"/>
          <w:sz w:val="14"/>
          <w:szCs w:val="14"/>
        </w:rPr>
        <w:t>–</w:t>
      </w:r>
      <w:r>
        <w:rPr>
          <w:rFonts w:ascii="Times New Roman" w:hAnsi="Times New Roman"/>
          <w:sz w:val="14"/>
          <w:szCs w:val="14"/>
        </w:rPr>
        <w:t xml:space="preserve">896. doi:10.1503/cmaj.090784. </w:t>
      </w:r>
    </w:p>
    <w:p w:rsidR="002A4D1F" w:rsidRDefault="002A4D1F">
      <w:pPr>
        <w:widowControl w:val="0"/>
        <w:autoSpaceDE w:val="0"/>
        <w:autoSpaceDN w:val="0"/>
        <w:adjustRightInd w:val="0"/>
        <w:spacing w:after="0" w:line="10"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34" w:lineRule="auto"/>
        <w:ind w:left="274" w:hanging="274"/>
        <w:jc w:val="both"/>
        <w:rPr>
          <w:rFonts w:ascii="Times New Roman" w:hAnsi="Times New Roman"/>
          <w:sz w:val="14"/>
          <w:szCs w:val="14"/>
        </w:rPr>
      </w:pPr>
      <w:r>
        <w:rPr>
          <w:rFonts w:ascii="Times New Roman" w:hAnsi="Times New Roman"/>
          <w:sz w:val="14"/>
          <w:szCs w:val="14"/>
        </w:rPr>
        <w:t>Butler SF, Black RA, Cassidy TA, et al. Abuse risks and routes of administration of different prescription opioid compounds and formulations. Harm Reduct J 2011; 8: 29</w:t>
      </w:r>
      <w:r>
        <w:rPr>
          <w:rFonts w:ascii="Arial" w:hAnsi="Arial" w:cs="Arial"/>
          <w:sz w:val="14"/>
          <w:szCs w:val="14"/>
        </w:rPr>
        <w:t>–</w:t>
      </w:r>
      <w:r>
        <w:rPr>
          <w:rFonts w:ascii="Times New Roman" w:hAnsi="Times New Roman"/>
          <w:sz w:val="14"/>
          <w:szCs w:val="14"/>
        </w:rPr>
        <w:t xml:space="preserve">45. doi:10.1186/1477-7517-8-29. </w:t>
      </w:r>
    </w:p>
    <w:p w:rsidR="002A4D1F" w:rsidRDefault="002A4D1F">
      <w:pPr>
        <w:widowControl w:val="0"/>
        <w:autoSpaceDE w:val="0"/>
        <w:autoSpaceDN w:val="0"/>
        <w:adjustRightInd w:val="0"/>
        <w:spacing w:after="0" w:line="9"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34" w:lineRule="auto"/>
        <w:ind w:left="274" w:hanging="274"/>
        <w:jc w:val="both"/>
        <w:rPr>
          <w:rFonts w:ascii="Times New Roman" w:hAnsi="Times New Roman"/>
          <w:sz w:val="14"/>
          <w:szCs w:val="14"/>
        </w:rPr>
      </w:pPr>
      <w:r>
        <w:rPr>
          <w:rFonts w:ascii="Times New Roman" w:hAnsi="Times New Roman"/>
          <w:sz w:val="14"/>
          <w:szCs w:val="14"/>
        </w:rPr>
        <w:t>Butler SF, Budman SH, Licari A, et al. National addictions vigilance interven-tion and prevention program (NAVIPPRO): a real-time, product-speci</w:t>
      </w:r>
      <w:r>
        <w:rPr>
          <w:rFonts w:ascii="Arial" w:hAnsi="Arial" w:cs="Arial"/>
          <w:sz w:val="14"/>
          <w:szCs w:val="14"/>
        </w:rPr>
        <w:t>fi</w:t>
      </w:r>
      <w:r>
        <w:rPr>
          <w:rFonts w:ascii="Times New Roman" w:hAnsi="Times New Roman"/>
          <w:sz w:val="14"/>
          <w:szCs w:val="14"/>
        </w:rPr>
        <w:t>c public health surveillance system for monitoring prescription drug abuse. Pharmacoepidemiol Drug Saf 2008; 17: 1142</w:t>
      </w:r>
      <w:r>
        <w:rPr>
          <w:rFonts w:ascii="Arial" w:hAnsi="Arial" w:cs="Arial"/>
          <w:sz w:val="14"/>
          <w:szCs w:val="14"/>
        </w:rPr>
        <w:t>–</w:t>
      </w:r>
      <w:r>
        <w:rPr>
          <w:rFonts w:ascii="Times New Roman" w:hAnsi="Times New Roman"/>
          <w:sz w:val="14"/>
          <w:szCs w:val="14"/>
        </w:rPr>
        <w:t xml:space="preserve">1154. doi:10.1002/pds.1659. </w:t>
      </w:r>
    </w:p>
    <w:p w:rsidR="002A4D1F" w:rsidRDefault="002A4D1F">
      <w:pPr>
        <w:widowControl w:val="0"/>
        <w:autoSpaceDE w:val="0"/>
        <w:autoSpaceDN w:val="0"/>
        <w:adjustRightInd w:val="0"/>
        <w:spacing w:after="0" w:line="10"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33" w:lineRule="auto"/>
        <w:ind w:left="274" w:hanging="274"/>
        <w:jc w:val="both"/>
        <w:rPr>
          <w:rFonts w:ascii="Times New Roman" w:hAnsi="Times New Roman"/>
          <w:sz w:val="14"/>
          <w:szCs w:val="14"/>
        </w:rPr>
      </w:pPr>
      <w:r>
        <w:rPr>
          <w:rFonts w:ascii="Times New Roman" w:hAnsi="Times New Roman"/>
          <w:sz w:val="14"/>
          <w:szCs w:val="14"/>
        </w:rPr>
        <w:t>Katz N, Fernandez K, Chang A, et al. Internet-based survey of nonmedical pre-scription opioid use in the United States. Clin J Pain 2008; 24: 528</w:t>
      </w:r>
      <w:r>
        <w:rPr>
          <w:rFonts w:ascii="Arial" w:hAnsi="Arial" w:cs="Arial"/>
          <w:sz w:val="14"/>
          <w:szCs w:val="14"/>
        </w:rPr>
        <w:t>–</w:t>
      </w:r>
      <w:r>
        <w:rPr>
          <w:rFonts w:ascii="Times New Roman" w:hAnsi="Times New Roman"/>
          <w:sz w:val="14"/>
          <w:szCs w:val="14"/>
        </w:rPr>
        <w:t xml:space="preserve">535. doi:10.1097/AJP.0b013e318167a087. </w:t>
      </w:r>
    </w:p>
    <w:p w:rsidR="002A4D1F" w:rsidRDefault="002A4D1F">
      <w:pPr>
        <w:widowControl w:val="0"/>
        <w:autoSpaceDE w:val="0"/>
        <w:autoSpaceDN w:val="0"/>
        <w:adjustRightInd w:val="0"/>
        <w:spacing w:after="0" w:line="11"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33" w:lineRule="auto"/>
        <w:ind w:left="274" w:hanging="274"/>
        <w:jc w:val="both"/>
        <w:rPr>
          <w:rFonts w:ascii="Times New Roman" w:hAnsi="Times New Roman"/>
          <w:sz w:val="14"/>
          <w:szCs w:val="14"/>
        </w:rPr>
      </w:pPr>
      <w:r>
        <w:rPr>
          <w:rFonts w:ascii="Times New Roman" w:hAnsi="Times New Roman"/>
          <w:sz w:val="14"/>
          <w:szCs w:val="14"/>
        </w:rPr>
        <w:t>Passik SD, Hays L, Eisner N, et al. Psychiatric and pain characteristics of pre-scription drug abusers entering drug rehabilitation. J Pain Palliat Care Pharmacother 2006; 20: 5</w:t>
      </w:r>
      <w:r>
        <w:rPr>
          <w:rFonts w:ascii="Arial" w:hAnsi="Arial" w:cs="Arial"/>
          <w:sz w:val="14"/>
          <w:szCs w:val="14"/>
        </w:rPr>
        <w:t>–</w:t>
      </w:r>
      <w:r>
        <w:rPr>
          <w:rFonts w:ascii="Times New Roman" w:hAnsi="Times New Roman"/>
          <w:sz w:val="14"/>
          <w:szCs w:val="14"/>
        </w:rPr>
        <w:t xml:space="preserve">13. </w:t>
      </w:r>
    </w:p>
    <w:p w:rsidR="002A4D1F" w:rsidRDefault="002A4D1F">
      <w:pPr>
        <w:widowControl w:val="0"/>
        <w:autoSpaceDE w:val="0"/>
        <w:autoSpaceDN w:val="0"/>
        <w:adjustRightInd w:val="0"/>
        <w:spacing w:after="0" w:line="10"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33" w:lineRule="auto"/>
        <w:ind w:left="274" w:hanging="274"/>
        <w:jc w:val="both"/>
        <w:rPr>
          <w:rFonts w:ascii="Times New Roman" w:hAnsi="Times New Roman"/>
          <w:sz w:val="14"/>
          <w:szCs w:val="14"/>
        </w:rPr>
      </w:pPr>
      <w:r>
        <w:rPr>
          <w:rFonts w:ascii="Times New Roman" w:hAnsi="Times New Roman"/>
          <w:sz w:val="14"/>
          <w:szCs w:val="14"/>
        </w:rPr>
        <w:t>Cone EJ, Giordano J, Weingarten B. An iterative model for in vitro laboratory assessment of tamper deterrent formulations. Drug Alcohol Depend 2013; 131: 100</w:t>
      </w:r>
      <w:r>
        <w:rPr>
          <w:rFonts w:ascii="Arial" w:hAnsi="Arial" w:cs="Arial"/>
          <w:sz w:val="14"/>
          <w:szCs w:val="14"/>
        </w:rPr>
        <w:t>–</w:t>
      </w:r>
      <w:r>
        <w:rPr>
          <w:rFonts w:ascii="Times New Roman" w:hAnsi="Times New Roman"/>
          <w:sz w:val="14"/>
          <w:szCs w:val="14"/>
        </w:rPr>
        <w:t xml:space="preserve">105. doi:10.1016/j.drugalcdep.2012.12.006. </w:t>
      </w:r>
    </w:p>
    <w:p w:rsidR="002A4D1F" w:rsidRDefault="002A4D1F">
      <w:pPr>
        <w:widowControl w:val="0"/>
        <w:autoSpaceDE w:val="0"/>
        <w:autoSpaceDN w:val="0"/>
        <w:adjustRightInd w:val="0"/>
        <w:spacing w:after="0" w:line="10"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56" w:lineRule="auto"/>
        <w:ind w:left="274" w:hanging="274"/>
        <w:jc w:val="both"/>
        <w:rPr>
          <w:rFonts w:ascii="Times New Roman" w:hAnsi="Times New Roman"/>
          <w:sz w:val="13"/>
          <w:szCs w:val="13"/>
        </w:rPr>
      </w:pPr>
      <w:r>
        <w:rPr>
          <w:rFonts w:ascii="Times New Roman" w:hAnsi="Times New Roman"/>
          <w:sz w:val="13"/>
          <w:szCs w:val="13"/>
        </w:rPr>
        <w:t>Sellers EM, Perrino PJ, Colucci SV, Harris SC. Attractiveness of reformulated OxyContin(R) tablets: assessing comparative preferences and tampering potential. J Psychopharmacol 2013; 27(9): 808</w:t>
      </w:r>
      <w:r>
        <w:rPr>
          <w:rFonts w:ascii="Arial" w:hAnsi="Arial" w:cs="Arial"/>
          <w:sz w:val="13"/>
          <w:szCs w:val="13"/>
        </w:rPr>
        <w:t>–</w:t>
      </w:r>
      <w:r>
        <w:rPr>
          <w:rFonts w:ascii="Times New Roman" w:hAnsi="Times New Roman"/>
          <w:sz w:val="13"/>
          <w:szCs w:val="13"/>
        </w:rPr>
        <w:t xml:space="preserve">816. doi: 10.1177/0269881113493364. </w:t>
      </w:r>
    </w:p>
    <w:p w:rsidR="002A4D1F" w:rsidRDefault="002A4D1F">
      <w:pPr>
        <w:widowControl w:val="0"/>
        <w:autoSpaceDE w:val="0"/>
        <w:autoSpaceDN w:val="0"/>
        <w:adjustRightInd w:val="0"/>
        <w:spacing w:after="0" w:line="1" w:lineRule="exact"/>
        <w:rPr>
          <w:rFonts w:ascii="Times New Roman" w:hAnsi="Times New Roman"/>
          <w:sz w:val="13"/>
          <w:szCs w:val="13"/>
        </w:rPr>
      </w:pPr>
    </w:p>
    <w:p w:rsidR="002A4D1F" w:rsidRDefault="002A4D1F">
      <w:pPr>
        <w:widowControl w:val="0"/>
        <w:numPr>
          <w:ilvl w:val="0"/>
          <w:numId w:val="4"/>
        </w:numPr>
        <w:tabs>
          <w:tab w:val="clear" w:pos="720"/>
          <w:tab w:val="num" w:pos="274"/>
        </w:tabs>
        <w:overflowPunct w:val="0"/>
        <w:autoSpaceDE w:val="0"/>
        <w:autoSpaceDN w:val="0"/>
        <w:adjustRightInd w:val="0"/>
        <w:spacing w:after="0" w:line="205" w:lineRule="auto"/>
        <w:ind w:left="274" w:hanging="274"/>
        <w:jc w:val="both"/>
        <w:rPr>
          <w:rFonts w:ascii="Times New Roman" w:hAnsi="Times New Roman"/>
          <w:sz w:val="14"/>
          <w:szCs w:val="14"/>
        </w:rPr>
      </w:pPr>
      <w:r>
        <w:rPr>
          <w:rFonts w:ascii="Times New Roman" w:hAnsi="Times New Roman"/>
          <w:sz w:val="14"/>
          <w:szCs w:val="14"/>
        </w:rPr>
        <w:t>Perrino PJ, Colucci SV, Apseloff G, et al. Pharmacokinetics, tolerability, and safety of intranasal administration of reformulated OxyContin</w:t>
      </w:r>
      <w:r>
        <w:rPr>
          <w:rFonts w:ascii="Times New Roman" w:hAnsi="Times New Roman"/>
          <w:sz w:val="18"/>
          <w:szCs w:val="18"/>
          <w:vertAlign w:val="superscript"/>
        </w:rPr>
        <w:t>®</w:t>
      </w:r>
      <w:r>
        <w:rPr>
          <w:rFonts w:ascii="Times New Roman" w:hAnsi="Times New Roman"/>
          <w:sz w:val="14"/>
          <w:szCs w:val="14"/>
        </w:rPr>
        <w:t xml:space="preserve"> tablets compared with original OxyContin</w:t>
      </w:r>
      <w:r>
        <w:rPr>
          <w:rFonts w:ascii="Times New Roman" w:hAnsi="Times New Roman"/>
          <w:sz w:val="18"/>
          <w:szCs w:val="18"/>
          <w:vertAlign w:val="superscript"/>
        </w:rPr>
        <w:t>®</w:t>
      </w:r>
      <w:r>
        <w:rPr>
          <w:rFonts w:ascii="Times New Roman" w:hAnsi="Times New Roman"/>
          <w:sz w:val="14"/>
          <w:szCs w:val="14"/>
        </w:rPr>
        <w:t xml:space="preserve"> tablets in healthy adults. Clin Drug Investig 2013; 33: 441</w:t>
      </w:r>
      <w:r>
        <w:rPr>
          <w:rFonts w:ascii="Arial" w:hAnsi="Arial" w:cs="Arial"/>
          <w:sz w:val="14"/>
          <w:szCs w:val="14"/>
        </w:rPr>
        <w:t>–</w:t>
      </w:r>
      <w:r>
        <w:rPr>
          <w:rFonts w:ascii="Times New Roman" w:hAnsi="Times New Roman"/>
          <w:sz w:val="14"/>
          <w:szCs w:val="14"/>
        </w:rPr>
        <w:t xml:space="preserve">449. doi:10.1007/s40261-013-0085-x. </w:t>
      </w:r>
    </w:p>
    <w:p w:rsidR="002A4D1F" w:rsidRDefault="002A4D1F">
      <w:pPr>
        <w:widowControl w:val="0"/>
        <w:autoSpaceDE w:val="0"/>
        <w:autoSpaceDN w:val="0"/>
        <w:adjustRightInd w:val="0"/>
        <w:spacing w:after="0" w:line="10"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31" w:lineRule="auto"/>
        <w:ind w:left="274" w:hanging="274"/>
        <w:jc w:val="both"/>
        <w:rPr>
          <w:rFonts w:ascii="Times New Roman" w:hAnsi="Times New Roman"/>
          <w:sz w:val="14"/>
          <w:szCs w:val="14"/>
        </w:rPr>
      </w:pPr>
      <w:r>
        <w:rPr>
          <w:rFonts w:ascii="Times New Roman" w:hAnsi="Times New Roman"/>
          <w:sz w:val="14"/>
          <w:szCs w:val="14"/>
        </w:rPr>
        <w:t>Cicero TJ, Ellis MS, Surratt HL. Effect of abuse-deterrent formulation of OxyContin. N Engl J Med 2012; 367: 187</w:t>
      </w:r>
      <w:r>
        <w:rPr>
          <w:rFonts w:ascii="Arial" w:hAnsi="Arial" w:cs="Arial"/>
          <w:sz w:val="14"/>
          <w:szCs w:val="14"/>
        </w:rPr>
        <w:t>–</w:t>
      </w:r>
      <w:r>
        <w:rPr>
          <w:rFonts w:ascii="Times New Roman" w:hAnsi="Times New Roman"/>
          <w:sz w:val="14"/>
          <w:szCs w:val="14"/>
        </w:rPr>
        <w:t xml:space="preserve">189. doi:10.1056/NEJMc1204141. </w:t>
      </w:r>
    </w:p>
    <w:p w:rsidR="002A4D1F" w:rsidRDefault="002A4D1F">
      <w:pPr>
        <w:widowControl w:val="0"/>
        <w:autoSpaceDE w:val="0"/>
        <w:autoSpaceDN w:val="0"/>
        <w:adjustRightInd w:val="0"/>
        <w:spacing w:after="0" w:line="9"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35" w:lineRule="auto"/>
        <w:ind w:left="274" w:hanging="274"/>
        <w:jc w:val="both"/>
        <w:rPr>
          <w:rFonts w:ascii="Times New Roman" w:hAnsi="Times New Roman"/>
          <w:sz w:val="14"/>
          <w:szCs w:val="14"/>
        </w:rPr>
      </w:pPr>
      <w:r>
        <w:rPr>
          <w:rFonts w:ascii="Times New Roman" w:hAnsi="Times New Roman"/>
          <w:sz w:val="14"/>
          <w:szCs w:val="14"/>
        </w:rPr>
        <w:t xml:space="preserve">Butler SF, Cassidy TA, Chilcoat H, et al. Abuse rates and routes of administra-tion of reformulated extended-release oxycodone: initial </w:t>
      </w:r>
      <w:r>
        <w:rPr>
          <w:rFonts w:ascii="Arial" w:hAnsi="Arial" w:cs="Arial"/>
          <w:sz w:val="14"/>
          <w:szCs w:val="14"/>
        </w:rPr>
        <w:t>fi</w:t>
      </w:r>
      <w:r>
        <w:rPr>
          <w:rFonts w:ascii="Times New Roman" w:hAnsi="Times New Roman"/>
          <w:sz w:val="14"/>
          <w:szCs w:val="14"/>
        </w:rPr>
        <w:t>ndings from a sentinel surveillance sample of individuals assessed for substance abuse treatment. J Pain 2013; 14: 351</w:t>
      </w:r>
      <w:r>
        <w:rPr>
          <w:rFonts w:ascii="Arial" w:hAnsi="Arial" w:cs="Arial"/>
          <w:sz w:val="14"/>
          <w:szCs w:val="14"/>
        </w:rPr>
        <w:t>–</w:t>
      </w:r>
      <w:r>
        <w:rPr>
          <w:rFonts w:ascii="Times New Roman" w:hAnsi="Times New Roman"/>
          <w:sz w:val="14"/>
          <w:szCs w:val="14"/>
        </w:rPr>
        <w:t xml:space="preserve">358. doi:10.1016/j.jpain.2012.08.008. </w:t>
      </w:r>
    </w:p>
    <w:p w:rsidR="002A4D1F" w:rsidRDefault="002A4D1F">
      <w:pPr>
        <w:widowControl w:val="0"/>
        <w:autoSpaceDE w:val="0"/>
        <w:autoSpaceDN w:val="0"/>
        <w:adjustRightInd w:val="0"/>
        <w:spacing w:after="0" w:line="8" w:lineRule="exact"/>
        <w:rPr>
          <w:rFonts w:ascii="Times New Roman" w:hAnsi="Times New Roman"/>
          <w:sz w:val="14"/>
          <w:szCs w:val="14"/>
        </w:rPr>
      </w:pPr>
    </w:p>
    <w:p w:rsidR="002A4D1F" w:rsidRDefault="002A4D1F">
      <w:pPr>
        <w:widowControl w:val="0"/>
        <w:numPr>
          <w:ilvl w:val="0"/>
          <w:numId w:val="4"/>
        </w:numPr>
        <w:tabs>
          <w:tab w:val="clear" w:pos="720"/>
          <w:tab w:val="num" w:pos="274"/>
        </w:tabs>
        <w:overflowPunct w:val="0"/>
        <w:autoSpaceDE w:val="0"/>
        <w:autoSpaceDN w:val="0"/>
        <w:adjustRightInd w:val="0"/>
        <w:spacing w:after="0" w:line="213" w:lineRule="auto"/>
        <w:ind w:left="274" w:hanging="274"/>
        <w:jc w:val="both"/>
        <w:rPr>
          <w:rFonts w:ascii="Times New Roman" w:hAnsi="Times New Roman"/>
          <w:sz w:val="14"/>
          <w:szCs w:val="14"/>
        </w:rPr>
      </w:pPr>
      <w:r>
        <w:rPr>
          <w:rFonts w:ascii="Times New Roman" w:hAnsi="Times New Roman"/>
          <w:sz w:val="14"/>
          <w:szCs w:val="14"/>
        </w:rPr>
        <w:t>Severtson SG, Bucher Bartelson B, Davis JM, et al. Reduced abuse, therapeutic errors, and diversion following reformulation of OxyContin</w:t>
      </w:r>
      <w:r>
        <w:rPr>
          <w:rFonts w:ascii="Times New Roman" w:hAnsi="Times New Roman"/>
          <w:sz w:val="18"/>
          <w:szCs w:val="18"/>
          <w:vertAlign w:val="superscript"/>
        </w:rPr>
        <w:t>®</w:t>
      </w:r>
      <w:r>
        <w:rPr>
          <w:rFonts w:ascii="Times New Roman" w:hAnsi="Times New Roman"/>
          <w:sz w:val="14"/>
          <w:szCs w:val="14"/>
        </w:rPr>
        <w:t xml:space="preserve"> in 2010. J Pain 2013; 14: 1122</w:t>
      </w:r>
      <w:r>
        <w:rPr>
          <w:rFonts w:ascii="Arial" w:hAnsi="Arial" w:cs="Arial"/>
          <w:sz w:val="14"/>
          <w:szCs w:val="14"/>
        </w:rPr>
        <w:t>–</w:t>
      </w:r>
      <w:r>
        <w:rPr>
          <w:rFonts w:ascii="Times New Roman" w:hAnsi="Times New Roman"/>
          <w:sz w:val="14"/>
          <w:szCs w:val="14"/>
        </w:rPr>
        <w:t xml:space="preserve">1130. doi:10.1016/j.jpain.2013.04.011. </w:t>
      </w:r>
    </w:p>
    <w:p w:rsidR="002A4D1F" w:rsidRDefault="002A4D1F">
      <w:pPr>
        <w:widowControl w:val="0"/>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br w:type="column"/>
      </w:r>
    </w:p>
    <w:p w:rsidR="002A4D1F" w:rsidRDefault="002A4D1F">
      <w:pPr>
        <w:widowControl w:val="0"/>
        <w:numPr>
          <w:ilvl w:val="0"/>
          <w:numId w:val="5"/>
        </w:numPr>
        <w:tabs>
          <w:tab w:val="clear" w:pos="720"/>
          <w:tab w:val="num" w:pos="275"/>
        </w:tabs>
        <w:overflowPunct w:val="0"/>
        <w:autoSpaceDE w:val="0"/>
        <w:autoSpaceDN w:val="0"/>
        <w:adjustRightInd w:val="0"/>
        <w:spacing w:after="0" w:line="235" w:lineRule="auto"/>
        <w:ind w:left="275" w:hanging="275"/>
        <w:jc w:val="both"/>
        <w:rPr>
          <w:rFonts w:ascii="Times New Roman" w:hAnsi="Times New Roman"/>
          <w:sz w:val="14"/>
          <w:szCs w:val="14"/>
        </w:rPr>
      </w:pPr>
      <w:r>
        <w:rPr>
          <w:rFonts w:ascii="Times New Roman" w:hAnsi="Times New Roman"/>
          <w:sz w:val="14"/>
          <w:szCs w:val="14"/>
        </w:rPr>
        <w:t>Coplan PM, Kale H, Sandstrom L, et al. Changes in oxycodone and heroin expo-sures in the national poison data system after introduction of extended-release oxycodone with abuse deterrent characteristics. Pharmacoepidemiol Drug Saf 2013; 22: 1274</w:t>
      </w:r>
      <w:r>
        <w:rPr>
          <w:rFonts w:ascii="Arial" w:hAnsi="Arial" w:cs="Arial"/>
          <w:sz w:val="14"/>
          <w:szCs w:val="14"/>
        </w:rPr>
        <w:t>–</w:t>
      </w:r>
      <w:r>
        <w:rPr>
          <w:rFonts w:ascii="Times New Roman" w:hAnsi="Times New Roman"/>
          <w:sz w:val="14"/>
          <w:szCs w:val="14"/>
        </w:rPr>
        <w:t xml:space="preserve">1282. doi:10.1002/pds.3522. </w:t>
      </w:r>
    </w:p>
    <w:p w:rsidR="002A4D1F" w:rsidRDefault="002A4D1F">
      <w:pPr>
        <w:widowControl w:val="0"/>
        <w:autoSpaceDE w:val="0"/>
        <w:autoSpaceDN w:val="0"/>
        <w:adjustRightInd w:val="0"/>
        <w:spacing w:after="0" w:line="8"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35" w:lineRule="auto"/>
        <w:ind w:left="275" w:hanging="275"/>
        <w:jc w:val="both"/>
        <w:rPr>
          <w:rFonts w:ascii="Times New Roman" w:hAnsi="Times New Roman"/>
          <w:sz w:val="14"/>
          <w:szCs w:val="14"/>
        </w:rPr>
      </w:pPr>
      <w:r>
        <w:rPr>
          <w:rFonts w:ascii="Times New Roman" w:hAnsi="Times New Roman"/>
          <w:sz w:val="14"/>
          <w:szCs w:val="14"/>
        </w:rPr>
        <w:t xml:space="preserve">Food and Drug and Administration. 2013b. FDA news release: FDA approves abuse-deterrent labeling for reformulated OxyContin, Available from: http:// www.fda.gov/NewsEvents/Newsroom/PressAnnouncements/ UCM348252.htm [5 May 2013]. </w:t>
      </w:r>
    </w:p>
    <w:p w:rsidR="002A4D1F" w:rsidRDefault="002A4D1F">
      <w:pPr>
        <w:widowControl w:val="0"/>
        <w:autoSpaceDE w:val="0"/>
        <w:autoSpaceDN w:val="0"/>
        <w:adjustRightInd w:val="0"/>
        <w:spacing w:after="0" w:line="10"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56" w:lineRule="auto"/>
        <w:ind w:left="275" w:hanging="275"/>
        <w:jc w:val="both"/>
        <w:rPr>
          <w:rFonts w:ascii="Times New Roman" w:hAnsi="Times New Roman"/>
          <w:sz w:val="13"/>
          <w:szCs w:val="13"/>
        </w:rPr>
      </w:pPr>
      <w:r>
        <w:rPr>
          <w:rFonts w:ascii="Times New Roman" w:hAnsi="Times New Roman"/>
          <w:sz w:val="13"/>
          <w:szCs w:val="13"/>
        </w:rPr>
        <w:t>Kessler DA. Introducing MEDWatch. A new approach to reporting medication and device adverse effects and product problems. JAMA 1993; 269: 2765</w:t>
      </w:r>
      <w:r>
        <w:rPr>
          <w:rFonts w:ascii="Arial" w:hAnsi="Arial" w:cs="Arial"/>
          <w:sz w:val="13"/>
          <w:szCs w:val="13"/>
        </w:rPr>
        <w:t>–</w:t>
      </w:r>
      <w:r>
        <w:rPr>
          <w:rFonts w:ascii="Times New Roman" w:hAnsi="Times New Roman"/>
          <w:sz w:val="13"/>
          <w:szCs w:val="13"/>
        </w:rPr>
        <w:t xml:space="preserve">2768. </w:t>
      </w:r>
    </w:p>
    <w:p w:rsidR="002A4D1F" w:rsidRDefault="002A4D1F">
      <w:pPr>
        <w:widowControl w:val="0"/>
        <w:numPr>
          <w:ilvl w:val="0"/>
          <w:numId w:val="5"/>
        </w:numPr>
        <w:tabs>
          <w:tab w:val="clear" w:pos="720"/>
          <w:tab w:val="num" w:pos="275"/>
        </w:tabs>
        <w:overflowPunct w:val="0"/>
        <w:autoSpaceDE w:val="0"/>
        <w:autoSpaceDN w:val="0"/>
        <w:adjustRightInd w:val="0"/>
        <w:spacing w:after="0" w:line="234" w:lineRule="auto"/>
        <w:ind w:left="275" w:hanging="275"/>
        <w:jc w:val="both"/>
        <w:rPr>
          <w:rFonts w:ascii="Times New Roman" w:hAnsi="Times New Roman"/>
          <w:sz w:val="14"/>
          <w:szCs w:val="14"/>
        </w:rPr>
      </w:pPr>
      <w:r>
        <w:rPr>
          <w:rFonts w:ascii="Times New Roman" w:hAnsi="Times New Roman"/>
          <w:sz w:val="14"/>
          <w:szCs w:val="14"/>
        </w:rPr>
        <w:t xml:space="preserve">U.S. Food and Drug and Administration (FDA). Adverse event reporting system (AERS).Rockville, MD: FDA. Available from: http://www.fda.gov/cder/aers/de-fault.htm [28 January 2013]. </w:t>
      </w:r>
    </w:p>
    <w:p w:rsidR="002A4D1F" w:rsidRDefault="002A4D1F">
      <w:pPr>
        <w:widowControl w:val="0"/>
        <w:autoSpaceDE w:val="0"/>
        <w:autoSpaceDN w:val="0"/>
        <w:adjustRightInd w:val="0"/>
        <w:spacing w:after="0" w:line="8"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31" w:lineRule="auto"/>
        <w:ind w:left="275" w:hanging="275"/>
        <w:jc w:val="both"/>
        <w:rPr>
          <w:rFonts w:ascii="Times New Roman" w:hAnsi="Times New Roman"/>
          <w:sz w:val="14"/>
          <w:szCs w:val="14"/>
        </w:rPr>
      </w:pPr>
      <w:r>
        <w:rPr>
          <w:rFonts w:ascii="Times New Roman" w:hAnsi="Times New Roman"/>
          <w:sz w:val="14"/>
          <w:szCs w:val="14"/>
        </w:rPr>
        <w:t>Greenland S. Dose response and trend analysis in epidemiology: alternatives to categorical analysis. Epidemiology 1995; 6: 356</w:t>
      </w:r>
      <w:r>
        <w:rPr>
          <w:rFonts w:ascii="Arial" w:hAnsi="Arial" w:cs="Arial"/>
          <w:sz w:val="14"/>
          <w:szCs w:val="14"/>
        </w:rPr>
        <w:t>–</w:t>
      </w:r>
      <w:r>
        <w:rPr>
          <w:rFonts w:ascii="Times New Roman" w:hAnsi="Times New Roman"/>
          <w:sz w:val="14"/>
          <w:szCs w:val="14"/>
        </w:rPr>
        <w:t xml:space="preserve">365. </w:t>
      </w:r>
    </w:p>
    <w:p w:rsidR="002A4D1F" w:rsidRDefault="002A4D1F">
      <w:pPr>
        <w:widowControl w:val="0"/>
        <w:autoSpaceDE w:val="0"/>
        <w:autoSpaceDN w:val="0"/>
        <w:adjustRightInd w:val="0"/>
        <w:spacing w:after="0" w:line="10"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32" w:lineRule="auto"/>
        <w:ind w:left="275" w:hanging="275"/>
        <w:jc w:val="both"/>
        <w:rPr>
          <w:rFonts w:ascii="Times New Roman" w:hAnsi="Times New Roman"/>
          <w:sz w:val="14"/>
          <w:szCs w:val="14"/>
        </w:rPr>
      </w:pPr>
      <w:r>
        <w:rPr>
          <w:rFonts w:ascii="Times New Roman" w:hAnsi="Times New Roman"/>
          <w:sz w:val="14"/>
          <w:szCs w:val="14"/>
        </w:rPr>
        <w:t xml:space="preserve">Rothman KJ, Greenland S, Lash TL. Modern Epidemiology (3rd edn). Lippincott, Williams &amp; Wilkins: Philadelphia, PA, 2008; 410. </w:t>
      </w:r>
    </w:p>
    <w:p w:rsidR="002A4D1F" w:rsidRDefault="002A4D1F">
      <w:pPr>
        <w:widowControl w:val="0"/>
        <w:autoSpaceDE w:val="0"/>
        <w:autoSpaceDN w:val="0"/>
        <w:adjustRightInd w:val="0"/>
        <w:spacing w:after="0" w:line="8"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40" w:lineRule="auto"/>
        <w:ind w:left="275" w:hanging="275"/>
        <w:jc w:val="both"/>
        <w:rPr>
          <w:rFonts w:ascii="Times New Roman" w:hAnsi="Times New Roman"/>
          <w:sz w:val="13"/>
          <w:szCs w:val="13"/>
        </w:rPr>
      </w:pPr>
      <w:r>
        <w:rPr>
          <w:rFonts w:ascii="Times New Roman" w:hAnsi="Times New Roman"/>
          <w:sz w:val="13"/>
          <w:szCs w:val="13"/>
        </w:rPr>
        <w:t xml:space="preserve">IMS health national prescription audit data purchased and received December 2013 </w:t>
      </w:r>
    </w:p>
    <w:p w:rsidR="002A4D1F" w:rsidRDefault="002A4D1F">
      <w:pPr>
        <w:widowControl w:val="0"/>
        <w:autoSpaceDE w:val="0"/>
        <w:autoSpaceDN w:val="0"/>
        <w:adjustRightInd w:val="0"/>
        <w:spacing w:after="0" w:line="10" w:lineRule="exact"/>
        <w:rPr>
          <w:rFonts w:ascii="Times New Roman" w:hAnsi="Times New Roman"/>
          <w:sz w:val="13"/>
          <w:szCs w:val="13"/>
        </w:rPr>
      </w:pPr>
    </w:p>
    <w:p w:rsidR="002A4D1F" w:rsidRDefault="002A4D1F">
      <w:pPr>
        <w:widowControl w:val="0"/>
        <w:numPr>
          <w:ilvl w:val="0"/>
          <w:numId w:val="5"/>
        </w:numPr>
        <w:tabs>
          <w:tab w:val="clear" w:pos="720"/>
          <w:tab w:val="num" w:pos="275"/>
        </w:tabs>
        <w:overflowPunct w:val="0"/>
        <w:autoSpaceDE w:val="0"/>
        <w:autoSpaceDN w:val="0"/>
        <w:adjustRightInd w:val="0"/>
        <w:spacing w:after="0" w:line="231" w:lineRule="auto"/>
        <w:ind w:left="275" w:hanging="275"/>
        <w:jc w:val="both"/>
        <w:rPr>
          <w:rFonts w:ascii="Times New Roman" w:hAnsi="Times New Roman"/>
          <w:sz w:val="14"/>
          <w:szCs w:val="14"/>
        </w:rPr>
      </w:pPr>
      <w:r>
        <w:rPr>
          <w:rFonts w:ascii="Times New Roman" w:hAnsi="Times New Roman"/>
          <w:sz w:val="14"/>
          <w:szCs w:val="14"/>
        </w:rPr>
        <w:t>Ahmad SR. Adverse drug event monitoring at the Food and Drug Administra-tion. J Gen Intern Med 2003; 18: 57</w:t>
      </w:r>
      <w:r>
        <w:rPr>
          <w:rFonts w:ascii="Arial" w:hAnsi="Arial" w:cs="Arial"/>
          <w:sz w:val="14"/>
          <w:szCs w:val="14"/>
        </w:rPr>
        <w:t>–</w:t>
      </w:r>
      <w:r>
        <w:rPr>
          <w:rFonts w:ascii="Times New Roman" w:hAnsi="Times New Roman"/>
          <w:sz w:val="14"/>
          <w:szCs w:val="14"/>
        </w:rPr>
        <w:t xml:space="preserve">60. </w:t>
      </w:r>
    </w:p>
    <w:p w:rsidR="002A4D1F" w:rsidRDefault="002A4D1F">
      <w:pPr>
        <w:widowControl w:val="0"/>
        <w:autoSpaceDE w:val="0"/>
        <w:autoSpaceDN w:val="0"/>
        <w:adjustRightInd w:val="0"/>
        <w:spacing w:after="0" w:line="9"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33" w:lineRule="auto"/>
        <w:ind w:left="275" w:hanging="275"/>
        <w:jc w:val="both"/>
        <w:rPr>
          <w:rFonts w:ascii="Times New Roman" w:hAnsi="Times New Roman"/>
          <w:sz w:val="14"/>
          <w:szCs w:val="14"/>
        </w:rPr>
      </w:pPr>
      <w:r>
        <w:rPr>
          <w:rFonts w:ascii="Times New Roman" w:hAnsi="Times New Roman"/>
          <w:sz w:val="14"/>
          <w:szCs w:val="14"/>
        </w:rPr>
        <w:t>Gibbons RD, Amatya AK, Brown CH, et al. Post-approval drug safety surveil-lance. Annu Rev Public Health 2010; 31: 419</w:t>
      </w:r>
      <w:r>
        <w:rPr>
          <w:rFonts w:ascii="Arial" w:hAnsi="Arial" w:cs="Arial"/>
          <w:sz w:val="14"/>
          <w:szCs w:val="14"/>
        </w:rPr>
        <w:t>–</w:t>
      </w:r>
      <w:r>
        <w:rPr>
          <w:rFonts w:ascii="Times New Roman" w:hAnsi="Times New Roman"/>
          <w:sz w:val="14"/>
          <w:szCs w:val="14"/>
        </w:rPr>
        <w:t xml:space="preserve">437. doi:10.1146/annurev. publhealth.012809.103649. </w:t>
      </w:r>
    </w:p>
    <w:p w:rsidR="002A4D1F" w:rsidRDefault="002A4D1F">
      <w:pPr>
        <w:widowControl w:val="0"/>
        <w:autoSpaceDE w:val="0"/>
        <w:autoSpaceDN w:val="0"/>
        <w:adjustRightInd w:val="0"/>
        <w:spacing w:after="0" w:line="10"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34" w:lineRule="auto"/>
        <w:ind w:left="275" w:hanging="275"/>
        <w:jc w:val="both"/>
        <w:rPr>
          <w:rFonts w:ascii="Times New Roman" w:hAnsi="Times New Roman"/>
          <w:sz w:val="14"/>
          <w:szCs w:val="14"/>
        </w:rPr>
      </w:pPr>
      <w:r>
        <w:rPr>
          <w:rFonts w:ascii="Times New Roman" w:hAnsi="Times New Roman"/>
          <w:sz w:val="14"/>
          <w:szCs w:val="14"/>
        </w:rPr>
        <w:t>Rodriguez EM, Staffa A, Graham D. The role of databases in drug post-marketing surveillance. Pharmacoepidemiol Drug Saf 2001; 10: 407</w:t>
      </w:r>
      <w:r>
        <w:rPr>
          <w:rFonts w:ascii="Arial" w:hAnsi="Arial" w:cs="Arial"/>
          <w:sz w:val="14"/>
          <w:szCs w:val="14"/>
        </w:rPr>
        <w:t>–</w:t>
      </w:r>
      <w:r>
        <w:rPr>
          <w:rFonts w:ascii="Times New Roman" w:hAnsi="Times New Roman"/>
          <w:sz w:val="14"/>
          <w:szCs w:val="14"/>
        </w:rPr>
        <w:t xml:space="preserve">410. doi:10.1002/pds.615. </w:t>
      </w:r>
    </w:p>
    <w:p w:rsidR="002A4D1F" w:rsidRDefault="002A4D1F">
      <w:pPr>
        <w:widowControl w:val="0"/>
        <w:autoSpaceDE w:val="0"/>
        <w:autoSpaceDN w:val="0"/>
        <w:adjustRightInd w:val="0"/>
        <w:spacing w:after="0" w:line="9"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56" w:lineRule="auto"/>
        <w:ind w:left="275" w:hanging="275"/>
        <w:jc w:val="both"/>
        <w:rPr>
          <w:rFonts w:ascii="Times New Roman" w:hAnsi="Times New Roman"/>
          <w:sz w:val="13"/>
          <w:szCs w:val="13"/>
        </w:rPr>
      </w:pPr>
      <w:r>
        <w:rPr>
          <w:rFonts w:ascii="Times New Roman" w:hAnsi="Times New Roman"/>
          <w:sz w:val="13"/>
          <w:szCs w:val="13"/>
        </w:rPr>
        <w:t xml:space="preserve">Havens JR, Leukefeld CG, DeVeaugh-Geiss AM, Coplan PM, Chilcoat HD. The impact of a reformulation of extended-release oxycodone designed to deter abuse in a sample of prescription opioid abusers. Drug Alcohol Depend [available ahead of print 27 February 2014] doi: 10.1016/j.drugalcdep.2014.02.018. </w:t>
      </w:r>
    </w:p>
    <w:p w:rsidR="002A4D1F" w:rsidRDefault="002A4D1F">
      <w:pPr>
        <w:widowControl w:val="0"/>
        <w:autoSpaceDE w:val="0"/>
        <w:autoSpaceDN w:val="0"/>
        <w:adjustRightInd w:val="0"/>
        <w:spacing w:after="0" w:line="1" w:lineRule="exact"/>
        <w:rPr>
          <w:rFonts w:ascii="Times New Roman" w:hAnsi="Times New Roman"/>
          <w:sz w:val="13"/>
          <w:szCs w:val="13"/>
        </w:rPr>
      </w:pPr>
    </w:p>
    <w:p w:rsidR="002A4D1F" w:rsidRDefault="002A4D1F">
      <w:pPr>
        <w:widowControl w:val="0"/>
        <w:numPr>
          <w:ilvl w:val="0"/>
          <w:numId w:val="5"/>
        </w:numPr>
        <w:tabs>
          <w:tab w:val="clear" w:pos="720"/>
          <w:tab w:val="num" w:pos="275"/>
        </w:tabs>
        <w:overflowPunct w:val="0"/>
        <w:autoSpaceDE w:val="0"/>
        <w:autoSpaceDN w:val="0"/>
        <w:adjustRightInd w:val="0"/>
        <w:spacing w:after="0" w:line="233" w:lineRule="auto"/>
        <w:ind w:left="275" w:hanging="275"/>
        <w:rPr>
          <w:rFonts w:ascii="Times New Roman" w:hAnsi="Times New Roman"/>
          <w:sz w:val="14"/>
          <w:szCs w:val="14"/>
        </w:rPr>
      </w:pPr>
      <w:r>
        <w:rPr>
          <w:rFonts w:ascii="Times New Roman" w:hAnsi="Times New Roman"/>
          <w:sz w:val="14"/>
          <w:szCs w:val="14"/>
        </w:rPr>
        <w:t>Florida medical examiners commission report for 2012. Available at: http:// www.fdle.state.</w:t>
      </w:r>
      <w:r>
        <w:rPr>
          <w:rFonts w:ascii="Arial" w:hAnsi="Arial" w:cs="Arial"/>
          <w:sz w:val="14"/>
          <w:szCs w:val="14"/>
        </w:rPr>
        <w:t>fl</w:t>
      </w:r>
      <w:r>
        <w:rPr>
          <w:rFonts w:ascii="Times New Roman" w:hAnsi="Times New Roman"/>
          <w:sz w:val="14"/>
          <w:szCs w:val="14"/>
        </w:rPr>
        <w:t xml:space="preserve">.us/Content/getdoc/79241c67-253b-45eb-a238-1a07cf4a2a0c/ 2012-Drug-Report_Final.aspx [1 October 2013]. </w:t>
      </w:r>
    </w:p>
    <w:p w:rsidR="002A4D1F" w:rsidRDefault="002A4D1F">
      <w:pPr>
        <w:widowControl w:val="0"/>
        <w:autoSpaceDE w:val="0"/>
        <w:autoSpaceDN w:val="0"/>
        <w:adjustRightInd w:val="0"/>
        <w:spacing w:after="0" w:line="11"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57" w:lineRule="auto"/>
        <w:ind w:left="275" w:hanging="275"/>
        <w:jc w:val="both"/>
        <w:rPr>
          <w:rFonts w:ascii="Times New Roman" w:hAnsi="Times New Roman"/>
          <w:sz w:val="13"/>
          <w:szCs w:val="13"/>
        </w:rPr>
      </w:pPr>
      <w:r>
        <w:rPr>
          <w:rFonts w:ascii="Times New Roman" w:hAnsi="Times New Roman"/>
          <w:sz w:val="13"/>
          <w:szCs w:val="13"/>
        </w:rPr>
        <w:t xml:space="preserve">Badalamenti VC, Buckley JW, Smith ET. Safety of EMBEDA (morphine sulfate and naltrexone hydrochloride) extended-release capsules: review of post-marketing adverse events during the </w:t>
      </w:r>
      <w:r>
        <w:rPr>
          <w:rFonts w:ascii="Arial" w:hAnsi="Arial" w:cs="Arial"/>
          <w:sz w:val="13"/>
          <w:szCs w:val="13"/>
        </w:rPr>
        <w:t>fi</w:t>
      </w:r>
      <w:r>
        <w:rPr>
          <w:rFonts w:ascii="Times New Roman" w:hAnsi="Times New Roman"/>
          <w:sz w:val="13"/>
          <w:szCs w:val="13"/>
        </w:rPr>
        <w:t>rst year. J Opioid Manag 2012; 8: 115</w:t>
      </w:r>
      <w:r>
        <w:rPr>
          <w:rFonts w:ascii="Arial" w:hAnsi="Arial" w:cs="Arial"/>
          <w:sz w:val="13"/>
          <w:szCs w:val="13"/>
        </w:rPr>
        <w:t>–</w:t>
      </w:r>
      <w:r>
        <w:rPr>
          <w:rFonts w:ascii="Times New Roman" w:hAnsi="Times New Roman"/>
          <w:sz w:val="13"/>
          <w:szCs w:val="13"/>
        </w:rPr>
        <w:t xml:space="preserve">125. </w:t>
      </w:r>
    </w:p>
    <w:p w:rsidR="002A4D1F" w:rsidRDefault="002A4D1F">
      <w:pPr>
        <w:widowControl w:val="0"/>
        <w:numPr>
          <w:ilvl w:val="0"/>
          <w:numId w:val="5"/>
        </w:numPr>
        <w:tabs>
          <w:tab w:val="clear" w:pos="720"/>
          <w:tab w:val="num" w:pos="275"/>
        </w:tabs>
        <w:overflowPunct w:val="0"/>
        <w:autoSpaceDE w:val="0"/>
        <w:autoSpaceDN w:val="0"/>
        <w:adjustRightInd w:val="0"/>
        <w:spacing w:after="0" w:line="230" w:lineRule="auto"/>
        <w:ind w:left="275" w:hanging="275"/>
        <w:jc w:val="both"/>
        <w:rPr>
          <w:rFonts w:ascii="Times New Roman" w:hAnsi="Times New Roman"/>
          <w:sz w:val="14"/>
          <w:szCs w:val="14"/>
        </w:rPr>
      </w:pPr>
      <w:r>
        <w:rPr>
          <w:rFonts w:ascii="Times New Roman" w:hAnsi="Times New Roman"/>
          <w:sz w:val="14"/>
          <w:szCs w:val="14"/>
        </w:rPr>
        <w:t xml:space="preserve">Pearl J. Causality: Models, Reasoning and Inference. Cambridge University Press: Cambridge, United Kingdom, 2009; 5. </w:t>
      </w:r>
    </w:p>
    <w:p w:rsidR="002A4D1F" w:rsidRDefault="002A4D1F">
      <w:pPr>
        <w:widowControl w:val="0"/>
        <w:autoSpaceDE w:val="0"/>
        <w:autoSpaceDN w:val="0"/>
        <w:adjustRightInd w:val="0"/>
        <w:spacing w:after="0" w:line="9"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56" w:lineRule="auto"/>
        <w:ind w:left="275" w:hanging="275"/>
        <w:jc w:val="both"/>
        <w:rPr>
          <w:rFonts w:ascii="Times New Roman" w:hAnsi="Times New Roman"/>
          <w:sz w:val="13"/>
          <w:szCs w:val="13"/>
        </w:rPr>
      </w:pPr>
      <w:r>
        <w:rPr>
          <w:rFonts w:ascii="Times New Roman" w:hAnsi="Times New Roman"/>
          <w:sz w:val="13"/>
          <w:szCs w:val="13"/>
        </w:rPr>
        <w:t xml:space="preserve">FDA News Release. FDA introduces new safety measures for extended-release and long-acting opioid medications. July 9, 2012. Available at: http://www.fda.gov/ NewsEvents/ Newsroom/PressAnnouncements/ucm310870.htm [30 March 2013]. </w:t>
      </w:r>
    </w:p>
    <w:p w:rsidR="002A4D1F" w:rsidRDefault="002A4D1F">
      <w:pPr>
        <w:widowControl w:val="0"/>
        <w:autoSpaceDE w:val="0"/>
        <w:autoSpaceDN w:val="0"/>
        <w:adjustRightInd w:val="0"/>
        <w:spacing w:after="0" w:line="1" w:lineRule="exact"/>
        <w:rPr>
          <w:rFonts w:ascii="Times New Roman" w:hAnsi="Times New Roman"/>
          <w:sz w:val="13"/>
          <w:szCs w:val="13"/>
        </w:rPr>
      </w:pPr>
    </w:p>
    <w:p w:rsidR="002A4D1F" w:rsidRDefault="002A4D1F">
      <w:pPr>
        <w:widowControl w:val="0"/>
        <w:numPr>
          <w:ilvl w:val="0"/>
          <w:numId w:val="5"/>
        </w:numPr>
        <w:tabs>
          <w:tab w:val="clear" w:pos="720"/>
          <w:tab w:val="num" w:pos="275"/>
        </w:tabs>
        <w:overflowPunct w:val="0"/>
        <w:autoSpaceDE w:val="0"/>
        <w:autoSpaceDN w:val="0"/>
        <w:adjustRightInd w:val="0"/>
        <w:spacing w:after="0" w:line="234" w:lineRule="auto"/>
        <w:ind w:left="275" w:hanging="275"/>
        <w:jc w:val="both"/>
        <w:rPr>
          <w:rFonts w:ascii="Times New Roman" w:hAnsi="Times New Roman"/>
          <w:sz w:val="14"/>
          <w:szCs w:val="14"/>
        </w:rPr>
      </w:pPr>
      <w:r>
        <w:rPr>
          <w:rFonts w:ascii="Times New Roman" w:hAnsi="Times New Roman"/>
          <w:sz w:val="14"/>
          <w:szCs w:val="14"/>
        </w:rPr>
        <w:t xml:space="preserve">U.S. Department of Justice Drug Enforcement Administration. Prescription drug monitoring programs. Available at: http://www.deadiversion.usdoj.gov/faq/ rx_monitor.htm [January 2011]. </w:t>
      </w:r>
    </w:p>
    <w:p w:rsidR="002A4D1F" w:rsidRDefault="002A4D1F">
      <w:pPr>
        <w:widowControl w:val="0"/>
        <w:autoSpaceDE w:val="0"/>
        <w:autoSpaceDN w:val="0"/>
        <w:adjustRightInd w:val="0"/>
        <w:spacing w:after="0" w:line="9"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33" w:lineRule="auto"/>
        <w:ind w:left="275" w:hanging="275"/>
        <w:jc w:val="both"/>
        <w:rPr>
          <w:rFonts w:ascii="Times New Roman" w:hAnsi="Times New Roman"/>
          <w:sz w:val="14"/>
          <w:szCs w:val="14"/>
        </w:rPr>
      </w:pPr>
      <w:r>
        <w:rPr>
          <w:rFonts w:ascii="Times New Roman" w:hAnsi="Times New Roman"/>
          <w:sz w:val="14"/>
          <w:szCs w:val="14"/>
        </w:rPr>
        <w:t>Rei</w:t>
      </w:r>
      <w:r>
        <w:rPr>
          <w:rFonts w:ascii="Arial" w:hAnsi="Arial" w:cs="Arial"/>
          <w:sz w:val="14"/>
          <w:szCs w:val="14"/>
        </w:rPr>
        <w:t>fl</w:t>
      </w:r>
      <w:r>
        <w:rPr>
          <w:rFonts w:ascii="Times New Roman" w:hAnsi="Times New Roman"/>
          <w:sz w:val="14"/>
          <w:szCs w:val="14"/>
        </w:rPr>
        <w:t>er LM, Droz D, Bailey JE, et al. Do prescription monitoring programs im-pact state trends in opioid abuse/misuse? Pain Med 2012; 13: 434</w:t>
      </w:r>
      <w:r>
        <w:rPr>
          <w:rFonts w:ascii="Arial" w:hAnsi="Arial" w:cs="Arial"/>
          <w:sz w:val="14"/>
          <w:szCs w:val="14"/>
        </w:rPr>
        <w:t>–</w:t>
      </w:r>
      <w:r>
        <w:rPr>
          <w:rFonts w:ascii="Times New Roman" w:hAnsi="Times New Roman"/>
          <w:sz w:val="14"/>
          <w:szCs w:val="14"/>
        </w:rPr>
        <w:t xml:space="preserve">442. doi:10.1111/j.1526-4637.2012.01327.x. </w:t>
      </w:r>
    </w:p>
    <w:p w:rsidR="002A4D1F" w:rsidRDefault="002A4D1F">
      <w:pPr>
        <w:widowControl w:val="0"/>
        <w:autoSpaceDE w:val="0"/>
        <w:autoSpaceDN w:val="0"/>
        <w:adjustRightInd w:val="0"/>
        <w:spacing w:after="0" w:line="9"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33" w:lineRule="auto"/>
        <w:ind w:left="275" w:hanging="275"/>
        <w:jc w:val="both"/>
        <w:rPr>
          <w:rFonts w:ascii="Times New Roman" w:hAnsi="Times New Roman"/>
          <w:sz w:val="14"/>
          <w:szCs w:val="14"/>
        </w:rPr>
      </w:pPr>
      <w:r>
        <w:rPr>
          <w:rFonts w:ascii="Times New Roman" w:hAnsi="Times New Roman"/>
          <w:sz w:val="14"/>
          <w:szCs w:val="14"/>
        </w:rPr>
        <w:t>Paulozzi LJ, Kilbourne EM, Desai HA. Prescription drug monitoring programs and death rates from drug overdose. Pain Med 2011; 12: 747</w:t>
      </w:r>
      <w:r>
        <w:rPr>
          <w:rFonts w:ascii="Arial" w:hAnsi="Arial" w:cs="Arial"/>
          <w:sz w:val="14"/>
          <w:szCs w:val="14"/>
        </w:rPr>
        <w:t>–</w:t>
      </w:r>
      <w:r>
        <w:rPr>
          <w:rFonts w:ascii="Times New Roman" w:hAnsi="Times New Roman"/>
          <w:sz w:val="14"/>
          <w:szCs w:val="14"/>
        </w:rPr>
        <w:t xml:space="preserve">754. doi:10.1111/j.1526-4637.2011.01062.x. </w:t>
      </w:r>
    </w:p>
    <w:p w:rsidR="002A4D1F" w:rsidRDefault="002A4D1F">
      <w:pPr>
        <w:widowControl w:val="0"/>
        <w:autoSpaceDE w:val="0"/>
        <w:autoSpaceDN w:val="0"/>
        <w:adjustRightInd w:val="0"/>
        <w:spacing w:after="0" w:line="10"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36" w:lineRule="auto"/>
        <w:ind w:left="275" w:hanging="275"/>
        <w:jc w:val="both"/>
        <w:rPr>
          <w:rFonts w:ascii="Times New Roman" w:hAnsi="Times New Roman"/>
          <w:sz w:val="14"/>
          <w:szCs w:val="14"/>
        </w:rPr>
      </w:pPr>
      <w:r>
        <w:rPr>
          <w:rFonts w:ascii="Times New Roman" w:hAnsi="Times New Roman"/>
          <w:sz w:val="14"/>
          <w:szCs w:val="14"/>
        </w:rPr>
        <w:t>Sauber-Schatz EK, Mack KA, Diekman ST, et al. Associations between pain clinic density and distributions of opioid pain relievers, drug-related deaths, hos-pitalizations, emergency department visits, and neonatal abstinence syndrome in Florida. Drug Alcohol Depend 2013; 133: 161</w:t>
      </w:r>
      <w:r>
        <w:rPr>
          <w:rFonts w:ascii="Arial" w:hAnsi="Arial" w:cs="Arial"/>
          <w:sz w:val="14"/>
          <w:szCs w:val="14"/>
        </w:rPr>
        <w:t>–</w:t>
      </w:r>
      <w:r>
        <w:rPr>
          <w:rFonts w:ascii="Times New Roman" w:hAnsi="Times New Roman"/>
          <w:sz w:val="14"/>
          <w:szCs w:val="14"/>
        </w:rPr>
        <w:t xml:space="preserve">166. doi:10.1016/j. drugalcdep.2013.05.017. </w:t>
      </w:r>
    </w:p>
    <w:p w:rsidR="002A4D1F" w:rsidRDefault="002A4D1F">
      <w:pPr>
        <w:widowControl w:val="0"/>
        <w:autoSpaceDE w:val="0"/>
        <w:autoSpaceDN w:val="0"/>
        <w:adjustRightInd w:val="0"/>
        <w:spacing w:after="0" w:line="8"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33" w:lineRule="auto"/>
        <w:ind w:left="275" w:hanging="275"/>
        <w:jc w:val="both"/>
        <w:rPr>
          <w:rFonts w:ascii="Times New Roman" w:hAnsi="Times New Roman"/>
          <w:sz w:val="14"/>
          <w:szCs w:val="14"/>
        </w:rPr>
      </w:pPr>
      <w:r>
        <w:rPr>
          <w:rFonts w:ascii="Times New Roman" w:hAnsi="Times New Roman"/>
          <w:sz w:val="14"/>
          <w:szCs w:val="14"/>
        </w:rPr>
        <w:t>Albert S, Brason FW, Sanford CK, et al. Project Lazarus community-based over-dose prevention in rural North Carolina. Pain Med 2011; 12(Suppl 2): S77</w:t>
      </w:r>
      <w:r>
        <w:rPr>
          <w:rFonts w:ascii="Arial" w:hAnsi="Arial" w:cs="Arial"/>
          <w:sz w:val="14"/>
          <w:szCs w:val="14"/>
        </w:rPr>
        <w:t>–</w:t>
      </w:r>
      <w:r>
        <w:rPr>
          <w:rFonts w:ascii="Times New Roman" w:hAnsi="Times New Roman"/>
          <w:sz w:val="14"/>
          <w:szCs w:val="14"/>
        </w:rPr>
        <w:t xml:space="preserve">S85. doi:10.1111/j.1526-4637.2011.01128.x. </w:t>
      </w:r>
    </w:p>
    <w:p w:rsidR="002A4D1F" w:rsidRDefault="002A4D1F">
      <w:pPr>
        <w:widowControl w:val="0"/>
        <w:autoSpaceDE w:val="0"/>
        <w:autoSpaceDN w:val="0"/>
        <w:adjustRightInd w:val="0"/>
        <w:spacing w:after="0" w:line="10"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34" w:lineRule="auto"/>
        <w:ind w:left="275" w:hanging="275"/>
        <w:jc w:val="both"/>
        <w:rPr>
          <w:rFonts w:ascii="Times New Roman" w:hAnsi="Times New Roman"/>
          <w:sz w:val="14"/>
          <w:szCs w:val="14"/>
        </w:rPr>
      </w:pPr>
      <w:r>
        <w:rPr>
          <w:rFonts w:ascii="Times New Roman" w:hAnsi="Times New Roman"/>
          <w:sz w:val="14"/>
          <w:szCs w:val="14"/>
        </w:rPr>
        <w:t>Centers for Disease Control and Prevention. Community-based opioid overdose prevention programs providing naloxone</w:t>
      </w:r>
      <w:r>
        <w:rPr>
          <w:rFonts w:ascii="Arial" w:hAnsi="Arial" w:cs="Arial"/>
          <w:sz w:val="14"/>
          <w:szCs w:val="14"/>
        </w:rPr>
        <w:t>—</w:t>
      </w:r>
      <w:r>
        <w:rPr>
          <w:rFonts w:ascii="Times New Roman" w:hAnsi="Times New Roman"/>
          <w:sz w:val="14"/>
          <w:szCs w:val="14"/>
        </w:rPr>
        <w:t>United States, 2010. MMWR Morb Mortal Wkl Rep 2012; 61: 101</w:t>
      </w:r>
      <w:r>
        <w:rPr>
          <w:rFonts w:ascii="Arial" w:hAnsi="Arial" w:cs="Arial"/>
          <w:sz w:val="14"/>
          <w:szCs w:val="14"/>
        </w:rPr>
        <w:t>–</w:t>
      </w:r>
      <w:r>
        <w:rPr>
          <w:rFonts w:ascii="Times New Roman" w:hAnsi="Times New Roman"/>
          <w:sz w:val="14"/>
          <w:szCs w:val="14"/>
        </w:rPr>
        <w:t xml:space="preserve">105. </w:t>
      </w:r>
    </w:p>
    <w:p w:rsidR="002A4D1F" w:rsidRDefault="002A4D1F">
      <w:pPr>
        <w:widowControl w:val="0"/>
        <w:autoSpaceDE w:val="0"/>
        <w:autoSpaceDN w:val="0"/>
        <w:adjustRightInd w:val="0"/>
        <w:spacing w:after="0" w:line="8"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33" w:lineRule="auto"/>
        <w:ind w:left="275" w:hanging="275"/>
        <w:jc w:val="both"/>
        <w:rPr>
          <w:rFonts w:ascii="Times New Roman" w:hAnsi="Times New Roman"/>
          <w:sz w:val="14"/>
          <w:szCs w:val="14"/>
        </w:rPr>
      </w:pPr>
      <w:r>
        <w:rPr>
          <w:rFonts w:ascii="Times New Roman" w:hAnsi="Times New Roman"/>
          <w:sz w:val="14"/>
          <w:szCs w:val="14"/>
        </w:rPr>
        <w:t>National take-back initiative. US Department of Justice, Drug Enforcement Ad-ministration, Of</w:t>
      </w:r>
      <w:r>
        <w:rPr>
          <w:rFonts w:ascii="Arial" w:hAnsi="Arial" w:cs="Arial"/>
          <w:sz w:val="14"/>
          <w:szCs w:val="14"/>
        </w:rPr>
        <w:t>fi</w:t>
      </w:r>
      <w:r>
        <w:rPr>
          <w:rFonts w:ascii="Times New Roman" w:hAnsi="Times New Roman"/>
          <w:sz w:val="14"/>
          <w:szCs w:val="14"/>
        </w:rPr>
        <w:t xml:space="preserve">ce of Diversion Control Web site. http://www.deadiversion. usdoj.gov/drug_disposal/takeback/ [11 February 2014]. </w:t>
      </w:r>
    </w:p>
    <w:p w:rsidR="002A4D1F" w:rsidRDefault="002A4D1F">
      <w:pPr>
        <w:widowControl w:val="0"/>
        <w:autoSpaceDE w:val="0"/>
        <w:autoSpaceDN w:val="0"/>
        <w:adjustRightInd w:val="0"/>
        <w:spacing w:after="0" w:line="10"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33" w:lineRule="auto"/>
        <w:ind w:left="275" w:hanging="275"/>
        <w:jc w:val="both"/>
        <w:rPr>
          <w:rFonts w:ascii="Times New Roman" w:hAnsi="Times New Roman"/>
          <w:sz w:val="14"/>
          <w:szCs w:val="14"/>
        </w:rPr>
      </w:pPr>
      <w:r>
        <w:rPr>
          <w:rFonts w:ascii="Times New Roman" w:hAnsi="Times New Roman"/>
          <w:sz w:val="14"/>
          <w:szCs w:val="14"/>
        </w:rPr>
        <w:t>Gray JA. Prescription drug abuse and DEA-sanctioned drug take-back events: characteristics and outcomes in rural Appalachia. Arch Intern Med 2012; 172: 1186</w:t>
      </w:r>
      <w:r>
        <w:rPr>
          <w:rFonts w:ascii="Arial" w:hAnsi="Arial" w:cs="Arial"/>
          <w:sz w:val="14"/>
          <w:szCs w:val="14"/>
        </w:rPr>
        <w:t>–</w:t>
      </w:r>
      <w:r>
        <w:rPr>
          <w:rFonts w:ascii="Times New Roman" w:hAnsi="Times New Roman"/>
          <w:sz w:val="14"/>
          <w:szCs w:val="14"/>
        </w:rPr>
        <w:t xml:space="preserve">1187. doi:10.1001/archinternmed.2012.2374. </w:t>
      </w:r>
    </w:p>
    <w:p w:rsidR="002A4D1F" w:rsidRDefault="002A4D1F">
      <w:pPr>
        <w:widowControl w:val="0"/>
        <w:autoSpaceDE w:val="0"/>
        <w:autoSpaceDN w:val="0"/>
        <w:adjustRightInd w:val="0"/>
        <w:spacing w:after="0" w:line="10"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34" w:lineRule="auto"/>
        <w:ind w:left="275" w:hanging="275"/>
        <w:jc w:val="both"/>
        <w:rPr>
          <w:rFonts w:ascii="Times New Roman" w:hAnsi="Times New Roman"/>
          <w:sz w:val="14"/>
          <w:szCs w:val="14"/>
        </w:rPr>
      </w:pPr>
      <w:r>
        <w:rPr>
          <w:rFonts w:ascii="Times New Roman" w:hAnsi="Times New Roman"/>
          <w:sz w:val="14"/>
          <w:szCs w:val="14"/>
        </w:rPr>
        <w:t xml:space="preserve">Silverman G. Heroin abuse: shooting up. Financial Times, February 9, 2014. Available at http://www.ft.com/intl/cms/s/0/d378673a-8fe3-11e3-aee9-00144feab7de. html?siteedition=intl. </w:t>
      </w:r>
    </w:p>
    <w:p w:rsidR="002A4D1F" w:rsidRDefault="002A4D1F">
      <w:pPr>
        <w:widowControl w:val="0"/>
        <w:autoSpaceDE w:val="0"/>
        <w:autoSpaceDN w:val="0"/>
        <w:adjustRightInd w:val="0"/>
        <w:spacing w:after="0" w:line="9" w:lineRule="exact"/>
        <w:rPr>
          <w:rFonts w:ascii="Times New Roman" w:hAnsi="Times New Roman"/>
          <w:sz w:val="14"/>
          <w:szCs w:val="14"/>
        </w:rPr>
      </w:pPr>
    </w:p>
    <w:p w:rsidR="002A4D1F" w:rsidRDefault="002A4D1F">
      <w:pPr>
        <w:widowControl w:val="0"/>
        <w:numPr>
          <w:ilvl w:val="0"/>
          <w:numId w:val="5"/>
        </w:numPr>
        <w:tabs>
          <w:tab w:val="clear" w:pos="720"/>
          <w:tab w:val="num" w:pos="275"/>
        </w:tabs>
        <w:overflowPunct w:val="0"/>
        <w:autoSpaceDE w:val="0"/>
        <w:autoSpaceDN w:val="0"/>
        <w:adjustRightInd w:val="0"/>
        <w:spacing w:after="0" w:line="233" w:lineRule="auto"/>
        <w:ind w:left="275" w:hanging="275"/>
        <w:jc w:val="both"/>
        <w:rPr>
          <w:rFonts w:ascii="Times New Roman" w:hAnsi="Times New Roman"/>
          <w:sz w:val="14"/>
          <w:szCs w:val="14"/>
        </w:rPr>
      </w:pPr>
      <w:r>
        <w:rPr>
          <w:rFonts w:ascii="Times New Roman" w:hAnsi="Times New Roman"/>
          <w:sz w:val="14"/>
          <w:szCs w:val="14"/>
        </w:rPr>
        <w:t>Of</w:t>
      </w:r>
      <w:r>
        <w:rPr>
          <w:rFonts w:ascii="Arial" w:hAnsi="Arial" w:cs="Arial"/>
          <w:sz w:val="14"/>
          <w:szCs w:val="14"/>
        </w:rPr>
        <w:t>fi</w:t>
      </w:r>
      <w:r>
        <w:rPr>
          <w:rFonts w:ascii="Times New Roman" w:hAnsi="Times New Roman"/>
          <w:sz w:val="14"/>
          <w:szCs w:val="14"/>
        </w:rPr>
        <w:t>ce of National Control Policy. Epidemic: responding to America</w:t>
      </w:r>
      <w:r>
        <w:rPr>
          <w:rFonts w:ascii="Arial" w:hAnsi="Arial" w:cs="Arial"/>
          <w:sz w:val="14"/>
          <w:szCs w:val="14"/>
        </w:rPr>
        <w:t>’</w:t>
      </w:r>
      <w:r>
        <w:rPr>
          <w:rFonts w:ascii="Times New Roman" w:hAnsi="Times New Roman"/>
          <w:sz w:val="14"/>
          <w:szCs w:val="14"/>
        </w:rPr>
        <w:t xml:space="preserve">s prescrip-tion drug abuse crisis, 2011. </w:t>
      </w:r>
      <w:hyperlink r:id="rId10" w:history="1">
        <w:r>
          <w:rPr>
            <w:rFonts w:ascii="Times New Roman" w:hAnsi="Times New Roman"/>
            <w:sz w:val="14"/>
            <w:szCs w:val="14"/>
          </w:rPr>
          <w:t xml:space="preserve"> http://www.whitehouse.gov/ondcp/prescription</w:t>
        </w:r>
      </w:hyperlink>
      <w:r>
        <w:rPr>
          <w:rFonts w:ascii="Times New Roman" w:hAnsi="Times New Roman"/>
          <w:sz w:val="14"/>
          <w:szCs w:val="14"/>
        </w:rPr>
        <w:t>-</w:t>
      </w:r>
      <w:hyperlink r:id="rId11" w:history="1">
        <w:r>
          <w:rPr>
            <w:rFonts w:ascii="Times New Roman" w:hAnsi="Times New Roman"/>
            <w:sz w:val="14"/>
            <w:szCs w:val="14"/>
          </w:rPr>
          <w:t xml:space="preserve"> drug-abuse</w:t>
        </w:r>
      </w:hyperlink>
      <w:r>
        <w:rPr>
          <w:rFonts w:ascii="Times New Roman" w:hAnsi="Times New Roman"/>
          <w:sz w:val="14"/>
          <w:szCs w:val="14"/>
        </w:rPr>
        <w:t xml:space="preserve"> [30 March 2013]. </w:t>
      </w:r>
    </w:p>
    <w:p w:rsidR="002A4D1F" w:rsidRDefault="002A4D1F">
      <w:pPr>
        <w:widowControl w:val="0"/>
        <w:autoSpaceDE w:val="0"/>
        <w:autoSpaceDN w:val="0"/>
        <w:adjustRightInd w:val="0"/>
        <w:spacing w:after="0" w:line="240" w:lineRule="auto"/>
        <w:rPr>
          <w:rFonts w:ascii="Times New Roman" w:hAnsi="Times New Roman"/>
          <w:sz w:val="24"/>
          <w:szCs w:val="24"/>
        </w:rPr>
        <w:sectPr w:rsidR="002A4D1F">
          <w:type w:val="continuous"/>
          <w:pgSz w:w="11900" w:h="15817"/>
          <w:pgMar w:top="1168" w:right="900" w:bottom="584" w:left="1006" w:header="720" w:footer="720" w:gutter="0"/>
          <w:cols w:num="2" w:space="485" w:equalWidth="0">
            <w:col w:w="4754" w:space="485"/>
            <w:col w:w="4755"/>
          </w:cols>
          <w:noEndnote/>
        </w:sect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00" w:lineRule="exact"/>
        <w:rPr>
          <w:rFonts w:ascii="Times New Roman" w:hAnsi="Times New Roman"/>
          <w:sz w:val="24"/>
          <w:szCs w:val="24"/>
        </w:rPr>
      </w:pPr>
    </w:p>
    <w:p w:rsidR="002A4D1F" w:rsidRDefault="002A4D1F">
      <w:pPr>
        <w:widowControl w:val="0"/>
        <w:autoSpaceDE w:val="0"/>
        <w:autoSpaceDN w:val="0"/>
        <w:adjustRightInd w:val="0"/>
        <w:spacing w:after="0" w:line="285"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980"/>
        <w:gridCol w:w="5020"/>
      </w:tblGrid>
      <w:tr w:rsidR="002A4D1F">
        <w:tblPrEx>
          <w:tblCellMar>
            <w:top w:w="0" w:type="dxa"/>
            <w:left w:w="0" w:type="dxa"/>
            <w:bottom w:w="0" w:type="dxa"/>
            <w:right w:w="0" w:type="dxa"/>
          </w:tblCellMar>
        </w:tblPrEx>
        <w:trPr>
          <w:trHeight w:val="208"/>
        </w:trPr>
        <w:tc>
          <w:tcPr>
            <w:tcW w:w="4980" w:type="dxa"/>
            <w:tcBorders>
              <w:top w:val="nil"/>
              <w:left w:val="nil"/>
              <w:bottom w:val="nil"/>
              <w:right w:val="nil"/>
            </w:tcBorders>
            <w:vAlign w:val="bottom"/>
          </w:tcPr>
          <w:p w:rsidR="002A4D1F" w:rsidRDefault="002A4D1F">
            <w:pPr>
              <w:widowControl w:val="0"/>
              <w:autoSpaceDE w:val="0"/>
              <w:autoSpaceDN w:val="0"/>
              <w:adjustRightInd w:val="0"/>
              <w:spacing w:after="0" w:line="206" w:lineRule="exact"/>
              <w:rPr>
                <w:rFonts w:ascii="Times New Roman" w:hAnsi="Times New Roman"/>
                <w:sz w:val="24"/>
                <w:szCs w:val="24"/>
              </w:rPr>
            </w:pPr>
            <w:r>
              <w:rPr>
                <w:rFonts w:ascii="Times New Roman" w:hAnsi="Times New Roman"/>
                <w:sz w:val="18"/>
                <w:szCs w:val="18"/>
              </w:rPr>
              <w:t>© 2014 The Authors. Pharmacoepidemiology and Drug Safety</w:t>
            </w:r>
          </w:p>
        </w:tc>
        <w:tc>
          <w:tcPr>
            <w:tcW w:w="5020" w:type="dxa"/>
            <w:tcBorders>
              <w:top w:val="nil"/>
              <w:left w:val="nil"/>
              <w:bottom w:val="nil"/>
              <w:right w:val="nil"/>
            </w:tcBorders>
            <w:vAlign w:val="bottom"/>
          </w:tcPr>
          <w:p w:rsidR="002A4D1F" w:rsidRDefault="002A4D1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18"/>
                <w:szCs w:val="18"/>
              </w:rPr>
              <w:t>Pharmacoepidemiology and Drug Safety, 2014; 23: 1238</w:t>
            </w:r>
            <w:r>
              <w:rPr>
                <w:rFonts w:ascii="Arial" w:hAnsi="Arial" w:cs="Arial"/>
                <w:sz w:val="18"/>
                <w:szCs w:val="18"/>
              </w:rPr>
              <w:t>–</w:t>
            </w:r>
            <w:r>
              <w:rPr>
                <w:rFonts w:ascii="Times New Roman" w:hAnsi="Times New Roman"/>
                <w:sz w:val="18"/>
                <w:szCs w:val="18"/>
              </w:rPr>
              <w:t>1246</w:t>
            </w:r>
          </w:p>
        </w:tc>
      </w:tr>
      <w:tr w:rsidR="002A4D1F">
        <w:tblPrEx>
          <w:tblCellMar>
            <w:top w:w="0" w:type="dxa"/>
            <w:left w:w="0" w:type="dxa"/>
            <w:bottom w:w="0" w:type="dxa"/>
            <w:right w:w="0" w:type="dxa"/>
          </w:tblCellMar>
        </w:tblPrEx>
        <w:trPr>
          <w:trHeight w:val="197"/>
        </w:trPr>
        <w:tc>
          <w:tcPr>
            <w:tcW w:w="4980" w:type="dxa"/>
            <w:tcBorders>
              <w:top w:val="nil"/>
              <w:left w:val="nil"/>
              <w:bottom w:val="nil"/>
              <w:right w:val="nil"/>
            </w:tcBorders>
            <w:vAlign w:val="bottom"/>
          </w:tcPr>
          <w:p w:rsidR="002A4D1F" w:rsidRDefault="002A4D1F">
            <w:pPr>
              <w:widowControl w:val="0"/>
              <w:autoSpaceDE w:val="0"/>
              <w:autoSpaceDN w:val="0"/>
              <w:adjustRightInd w:val="0"/>
              <w:spacing w:after="0" w:line="197" w:lineRule="exact"/>
              <w:rPr>
                <w:rFonts w:ascii="Times New Roman" w:hAnsi="Times New Roman"/>
                <w:sz w:val="24"/>
                <w:szCs w:val="24"/>
              </w:rPr>
            </w:pPr>
            <w:r>
              <w:rPr>
                <w:rFonts w:ascii="Times New Roman" w:hAnsi="Times New Roman"/>
                <w:sz w:val="18"/>
                <w:szCs w:val="18"/>
              </w:rPr>
              <w:t>published by John Wiley &amp; Sons, Ltd.</w:t>
            </w:r>
          </w:p>
        </w:tc>
        <w:tc>
          <w:tcPr>
            <w:tcW w:w="5020" w:type="dxa"/>
            <w:tcBorders>
              <w:top w:val="nil"/>
              <w:left w:val="nil"/>
              <w:bottom w:val="nil"/>
              <w:right w:val="nil"/>
            </w:tcBorders>
            <w:vAlign w:val="bottom"/>
          </w:tcPr>
          <w:p w:rsidR="002A4D1F" w:rsidRDefault="002A4D1F">
            <w:pPr>
              <w:widowControl w:val="0"/>
              <w:autoSpaceDE w:val="0"/>
              <w:autoSpaceDN w:val="0"/>
              <w:adjustRightInd w:val="0"/>
              <w:spacing w:after="0" w:line="197" w:lineRule="exact"/>
              <w:jc w:val="right"/>
              <w:rPr>
                <w:rFonts w:ascii="Times New Roman" w:hAnsi="Times New Roman"/>
                <w:sz w:val="24"/>
                <w:szCs w:val="24"/>
              </w:rPr>
            </w:pPr>
            <w:r>
              <w:rPr>
                <w:rFonts w:ascii="Times New Roman" w:hAnsi="Times New Roman"/>
                <w:sz w:val="18"/>
                <w:szCs w:val="18"/>
              </w:rPr>
              <w:t>DOI: 10.1002/pds</w:t>
            </w:r>
          </w:p>
        </w:tc>
      </w:tr>
    </w:tbl>
    <w:p w:rsidR="002A4D1F" w:rsidRDefault="002A4D1F">
      <w:pPr>
        <w:widowControl w:val="0"/>
        <w:autoSpaceDE w:val="0"/>
        <w:autoSpaceDN w:val="0"/>
        <w:adjustRightInd w:val="0"/>
        <w:spacing w:after="0" w:line="1" w:lineRule="exact"/>
        <w:rPr>
          <w:rFonts w:ascii="Times New Roman" w:hAnsi="Times New Roman"/>
          <w:sz w:val="24"/>
          <w:szCs w:val="24"/>
        </w:rPr>
      </w:pPr>
    </w:p>
    <w:sectPr w:rsidR="002A4D1F">
      <w:type w:val="continuous"/>
      <w:pgSz w:w="11900" w:h="15817"/>
      <w:pgMar w:top="1168" w:right="900" w:bottom="584" w:left="1000" w:header="720" w:footer="720" w:gutter="0"/>
      <w:cols w:space="485" w:equalWidth="0">
        <w:col w:w="10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5AF1"/>
    <w:multiLevelType w:val="hybridMultilevel"/>
    <w:tmpl w:val="000041BB"/>
    <w:lvl w:ilvl="0" w:tplc="000026E9">
      <w:start w:val="3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F90"/>
    <w:multiLevelType w:val="hybridMultilevel"/>
    <w:tmpl w:val="00001649"/>
    <w:lvl w:ilvl="0" w:tplc="00006DF1">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3D3"/>
    <w:rsid w:val="002A4D1F"/>
    <w:rsid w:val="004863D3"/>
    <w:rsid w:val="004B3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whitehouse.gov/ondcp/prescription-drug-abuse"/>
  <Relationship Id="rId11" Type="http://schemas.openxmlformats.org/officeDocument/2006/relationships/hyperlink" TargetMode="External" Target="http://www.whitehouse.gov/ondcp/prescription-drug-abuse"/>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jpeg"/>
  <Relationship Id="rId7" Type="http://schemas.openxmlformats.org/officeDocument/2006/relationships/hyperlink" TargetMode="External" Target="http://creativecommons.org/licenses/by-nc-nd/3.0/"/>
  <Relationship Id="rId8" Type="http://schemas.openxmlformats.org/officeDocument/2006/relationships/image" Target="media/image2.jpeg"/>
  <Relationship Id="rId9"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7113</Words>
  <Characters>40546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47564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2015-12-14T20:32:00Z</dcterms:created>
  <dc:creator/>
  <lastModifiedBy/>
  <dcterms:modified xsi:type="dcterms:W3CDTF">2015-12-14T20:32:00Z</dcterms:modified>
  <revision>2</revision>
</coreProperties>
</file>