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FA23E7" w:rsidP="001844EF">
      <w:bookmarkStart w:id="0" w:name="_GoBack"/>
      <w:bookmarkEnd w:id="0"/>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8B6185" w:rsidRPr="008B6185" w:rsidRDefault="008B6185" w:rsidP="008B6185">
                            <w:pPr>
                              <w:jc w:val="center"/>
                              <w:rPr>
                                <w:b/>
                                <w:sz w:val="28"/>
                                <w:szCs w:val="28"/>
                              </w:rPr>
                            </w:pPr>
                            <w:r w:rsidRPr="008B6185">
                              <w:rPr>
                                <w:b/>
                                <w:sz w:val="28"/>
                                <w:szCs w:val="28"/>
                              </w:rPr>
                              <w:t>Massachusetts Registry of Motor Vehicles</w:t>
                            </w:r>
                          </w:p>
                          <w:p w:rsidR="008B6185" w:rsidRPr="008B6185" w:rsidRDefault="008B6185" w:rsidP="008B6185">
                            <w:pPr>
                              <w:jc w:val="center"/>
                              <w:rPr>
                                <w:b/>
                                <w:sz w:val="28"/>
                                <w:szCs w:val="28"/>
                              </w:rPr>
                            </w:pPr>
                            <w:r w:rsidRPr="008B6185">
                              <w:rPr>
                                <w:b/>
                                <w:sz w:val="28"/>
                                <w:szCs w:val="28"/>
                              </w:rPr>
                              <w:t>165 Liberty Street</w:t>
                            </w:r>
                          </w:p>
                          <w:p w:rsidR="00DB51C0" w:rsidRPr="00861072" w:rsidRDefault="008B6185" w:rsidP="008B6185">
                            <w:pPr>
                              <w:jc w:val="center"/>
                              <w:rPr>
                                <w:i/>
                                <w:szCs w:val="24"/>
                              </w:rPr>
                            </w:pPr>
                            <w:r w:rsidRPr="008B6185">
                              <w:rPr>
                                <w:b/>
                                <w:sz w:val="28"/>
                                <w:szCs w:val="28"/>
                              </w:rPr>
                              <w:t>Springfield, Massachusetts</w:t>
                            </w: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FA23E7" w:rsidP="00DB51C0">
                            <w:pPr>
                              <w:jc w:val="center"/>
                            </w:pPr>
                            <w:r>
                              <w:rPr>
                                <w:b/>
                                <w:noProof/>
                              </w:rPr>
                              <w:drawing>
                                <wp:inline distT="0" distB="0" distL="0" distR="0">
                                  <wp:extent cx="4495800" cy="3352800"/>
                                  <wp:effectExtent l="0" t="0" r="0" b="0"/>
                                  <wp:docPr id="2" name="Picture 2" descr="Front view of the Springfield RMV off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view of the Springfield RMV offices"/>
                                          <pic:cNvPicPr>
                                            <a:picLocks noChangeAspect="1" noChangeArrowheads="1"/>
                                          </pic:cNvPicPr>
                                        </pic:nvPicPr>
                                        <pic:blipFill>
                                          <a:blip r:embed="rId9">
                                            <a:lum bright="24000" contrast="24000"/>
                                            <a:extLst>
                                              <a:ext uri="{28A0092B-C50C-407E-A947-70E740481C1C}">
                                                <a14:useLocalDpi xmlns:a14="http://schemas.microsoft.com/office/drawing/2010/main" val="0"/>
                                              </a:ext>
                                            </a:extLst>
                                          </a:blip>
                                          <a:srcRect/>
                                          <a:stretch>
                                            <a:fillRect/>
                                          </a:stretch>
                                        </pic:blipFill>
                                        <pic:spPr bwMode="auto">
                                          <a:xfrm>
                                            <a:off x="0" y="0"/>
                                            <a:ext cx="4495800" cy="3352800"/>
                                          </a:xfrm>
                                          <a:prstGeom prst="rect">
                                            <a:avLst/>
                                          </a:prstGeom>
                                          <a:noFill/>
                                          <a:ln>
                                            <a:noFill/>
                                          </a:ln>
                                        </pic:spPr>
                                      </pic:pic>
                                    </a:graphicData>
                                  </a:graphic>
                                </wp:inline>
                              </w:drawing>
                            </w:r>
                          </w:p>
                          <w:p w:rsidR="00DB51C0" w:rsidRDefault="00DB51C0" w:rsidP="00DB51C0">
                            <w:pPr>
                              <w:jc w:val="center"/>
                            </w:pPr>
                          </w:p>
                          <w:p w:rsidR="00891A2F" w:rsidRDefault="00891A2F" w:rsidP="00DB51C0">
                            <w:pPr>
                              <w:jc w:val="center"/>
                            </w:pPr>
                          </w:p>
                          <w:p w:rsidR="00891A2F" w:rsidRDefault="00891A2F" w:rsidP="00DB51C0">
                            <w:pPr>
                              <w:jc w:val="center"/>
                            </w:pPr>
                          </w:p>
                          <w:p w:rsidR="00891A2F" w:rsidRDefault="00891A2F"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D363E4" w:rsidP="00DB51C0">
                            <w:pPr>
                              <w:jc w:val="center"/>
                            </w:pPr>
                            <w:r>
                              <w:t>May</w:t>
                            </w:r>
                            <w:r w:rsidR="00DB51C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8B6185" w:rsidRPr="008B6185" w:rsidRDefault="008B6185" w:rsidP="008B6185">
                      <w:pPr>
                        <w:jc w:val="center"/>
                        <w:rPr>
                          <w:b/>
                          <w:sz w:val="28"/>
                          <w:szCs w:val="28"/>
                        </w:rPr>
                      </w:pPr>
                      <w:r w:rsidRPr="008B6185">
                        <w:rPr>
                          <w:b/>
                          <w:sz w:val="28"/>
                          <w:szCs w:val="28"/>
                        </w:rPr>
                        <w:t>Massachusetts Registry of Motor Vehicles</w:t>
                      </w:r>
                    </w:p>
                    <w:p w:rsidR="008B6185" w:rsidRPr="008B6185" w:rsidRDefault="008B6185" w:rsidP="008B6185">
                      <w:pPr>
                        <w:jc w:val="center"/>
                        <w:rPr>
                          <w:b/>
                          <w:sz w:val="28"/>
                          <w:szCs w:val="28"/>
                        </w:rPr>
                      </w:pPr>
                      <w:r w:rsidRPr="008B6185">
                        <w:rPr>
                          <w:b/>
                          <w:sz w:val="28"/>
                          <w:szCs w:val="28"/>
                        </w:rPr>
                        <w:t>165 Liberty Street</w:t>
                      </w:r>
                    </w:p>
                    <w:p w:rsidR="00DB51C0" w:rsidRPr="00861072" w:rsidRDefault="008B6185" w:rsidP="008B6185">
                      <w:pPr>
                        <w:jc w:val="center"/>
                        <w:rPr>
                          <w:i/>
                          <w:szCs w:val="24"/>
                        </w:rPr>
                      </w:pPr>
                      <w:r w:rsidRPr="008B6185">
                        <w:rPr>
                          <w:b/>
                          <w:sz w:val="28"/>
                          <w:szCs w:val="28"/>
                        </w:rPr>
                        <w:t>Springfield, Massachusetts</w:t>
                      </w: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FA23E7" w:rsidP="00DB51C0">
                      <w:pPr>
                        <w:jc w:val="center"/>
                      </w:pPr>
                      <w:r>
                        <w:rPr>
                          <w:b/>
                          <w:noProof/>
                        </w:rPr>
                        <w:drawing>
                          <wp:inline distT="0" distB="0" distL="0" distR="0">
                            <wp:extent cx="4495800" cy="3352800"/>
                            <wp:effectExtent l="0" t="0" r="0" b="0"/>
                            <wp:docPr id="2" name="Picture 2" descr="Front view of the Springfield RMV off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view of the Springfield RMV offices"/>
                                    <pic:cNvPicPr>
                                      <a:picLocks noChangeAspect="1" noChangeArrowheads="1"/>
                                    </pic:cNvPicPr>
                                  </pic:nvPicPr>
                                  <pic:blipFill>
                                    <a:blip r:embed="rId9">
                                      <a:lum bright="24000" contrast="24000"/>
                                      <a:extLst>
                                        <a:ext uri="{28A0092B-C50C-407E-A947-70E740481C1C}">
                                          <a14:useLocalDpi xmlns:a14="http://schemas.microsoft.com/office/drawing/2010/main" val="0"/>
                                        </a:ext>
                                      </a:extLst>
                                    </a:blip>
                                    <a:srcRect/>
                                    <a:stretch>
                                      <a:fillRect/>
                                    </a:stretch>
                                  </pic:blipFill>
                                  <pic:spPr bwMode="auto">
                                    <a:xfrm>
                                      <a:off x="0" y="0"/>
                                      <a:ext cx="4495800" cy="3352800"/>
                                    </a:xfrm>
                                    <a:prstGeom prst="rect">
                                      <a:avLst/>
                                    </a:prstGeom>
                                    <a:noFill/>
                                    <a:ln>
                                      <a:noFill/>
                                    </a:ln>
                                  </pic:spPr>
                                </pic:pic>
                              </a:graphicData>
                            </a:graphic>
                          </wp:inline>
                        </w:drawing>
                      </w:r>
                    </w:p>
                    <w:p w:rsidR="00DB51C0" w:rsidRDefault="00DB51C0" w:rsidP="00DB51C0">
                      <w:pPr>
                        <w:jc w:val="center"/>
                      </w:pPr>
                    </w:p>
                    <w:p w:rsidR="00891A2F" w:rsidRDefault="00891A2F" w:rsidP="00DB51C0">
                      <w:pPr>
                        <w:jc w:val="center"/>
                      </w:pPr>
                    </w:p>
                    <w:p w:rsidR="00891A2F" w:rsidRDefault="00891A2F" w:rsidP="00DB51C0">
                      <w:pPr>
                        <w:jc w:val="center"/>
                      </w:pPr>
                    </w:p>
                    <w:p w:rsidR="00891A2F" w:rsidRDefault="00891A2F"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D363E4" w:rsidP="00DB51C0">
                      <w:pPr>
                        <w:jc w:val="center"/>
                      </w:pPr>
                      <w:r>
                        <w:t>May</w:t>
                      </w:r>
                      <w:r w:rsidR="00DB51C0">
                        <w:t xml:space="preserve"> 2016</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8B6185" w:rsidP="00E23ED1">
            <w:pPr>
              <w:tabs>
                <w:tab w:val="left" w:pos="1485"/>
              </w:tabs>
              <w:rPr>
                <w:bCs/>
              </w:rPr>
            </w:pPr>
            <w:r w:rsidRPr="008B6185">
              <w:rPr>
                <w:bCs/>
              </w:rPr>
              <w:t>Massachusetts Registry of Motor Vehicles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8B6185" w:rsidP="008B6185">
            <w:pPr>
              <w:tabs>
                <w:tab w:val="left" w:pos="1485"/>
              </w:tabs>
              <w:rPr>
                <w:bCs/>
              </w:rPr>
            </w:pPr>
            <w:r>
              <w:rPr>
                <w:bCs/>
              </w:rPr>
              <w:t xml:space="preserve">165 Liberty Street </w:t>
            </w:r>
            <w:r w:rsidRPr="008B6185">
              <w:rPr>
                <w:bCs/>
              </w:rPr>
              <w:t>Springfield, Massachusetts</w:t>
            </w:r>
          </w:p>
        </w:tc>
      </w:tr>
      <w:tr w:rsidR="00966B98" w:rsidRPr="005E458D" w:rsidTr="00966B98">
        <w:trPr>
          <w:jc w:val="center"/>
        </w:trPr>
        <w:tc>
          <w:tcPr>
            <w:tcW w:w="4298"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799" w:type="dxa"/>
            <w:shd w:val="clear" w:color="auto" w:fill="auto"/>
          </w:tcPr>
          <w:p w:rsidR="00966B98" w:rsidRPr="00891A2F" w:rsidRDefault="008B6185" w:rsidP="008F7D64">
            <w:pPr>
              <w:tabs>
                <w:tab w:val="left" w:pos="1485"/>
              </w:tabs>
              <w:rPr>
                <w:bCs/>
              </w:rPr>
            </w:pPr>
            <w:r w:rsidRPr="008B6185">
              <w:rPr>
                <w:bCs/>
              </w:rPr>
              <w:t>Aric Warren</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1F608A" w:rsidP="001F608A">
            <w:pPr>
              <w:tabs>
                <w:tab w:val="left" w:pos="1485"/>
              </w:tabs>
              <w:rPr>
                <w:bCs/>
              </w:rPr>
            </w:pPr>
            <w:r>
              <w:rPr>
                <w:bCs/>
              </w:rPr>
              <w:t>G</w:t>
            </w:r>
            <w:r w:rsidR="00E23ED1">
              <w:rPr>
                <w:bCs/>
              </w:rPr>
              <w:t>eneral</w:t>
            </w:r>
            <w:r w:rsidR="00891A2F">
              <w:rPr>
                <w:bCs/>
              </w:rPr>
              <w:t xml:space="preserve"> </w:t>
            </w:r>
            <w:r w:rsidR="005D105E">
              <w:rPr>
                <w:bCs/>
              </w:rPr>
              <w:t xml:space="preserve">indoor </w:t>
            </w:r>
            <w:r w:rsidR="00891A2F">
              <w:rPr>
                <w:bCs/>
              </w:rPr>
              <w:t>air quality (IAQ)</w:t>
            </w:r>
            <w:r w:rsidR="00665B76" w:rsidRPr="00891A2F">
              <w:rPr>
                <w:bCs/>
              </w:rPr>
              <w:t xml:space="preserve"> concerns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8B6185" w:rsidP="001F608A">
            <w:pPr>
              <w:tabs>
                <w:tab w:val="left" w:pos="1485"/>
              </w:tabs>
              <w:rPr>
                <w:bCs/>
              </w:rPr>
            </w:pPr>
            <w:r>
              <w:rPr>
                <w:bCs/>
              </w:rPr>
              <w:t>March 25</w:t>
            </w:r>
            <w:r w:rsidR="000A7B4D">
              <w:rPr>
                <w:bCs/>
              </w:rPr>
              <w:t>, 2016</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1F608A" w:rsidP="008B6185">
            <w:pPr>
              <w:pStyle w:val="StaffTitleHangingIndent"/>
            </w:pPr>
            <w:r>
              <w:rPr>
                <w:bCs/>
              </w:rPr>
              <w:t xml:space="preserve">Mike Feeney, Director and </w:t>
            </w:r>
            <w:r w:rsidR="008B6185">
              <w:rPr>
                <w:bCs/>
              </w:rPr>
              <w:t>Jason Dustin</w:t>
            </w:r>
            <w:r w:rsidR="00E23ED1">
              <w:rPr>
                <w:bCs/>
              </w:rPr>
              <w:t xml:space="preserve">, Environmental </w:t>
            </w:r>
            <w:r w:rsidR="008B6185">
              <w:rPr>
                <w:bCs/>
              </w:rPr>
              <w:t>Analyst/Inspector</w:t>
            </w:r>
            <w:r w:rsidR="00E23ED1">
              <w:rPr>
                <w:bCs/>
              </w:rPr>
              <w:t>,</w:t>
            </w:r>
            <w:r w:rsidR="00A53180">
              <w:rPr>
                <w:bCs/>
              </w:rPr>
              <w:t xml:space="preserve"> </w:t>
            </w:r>
            <w:r w:rsidR="0067520C">
              <w:rPr>
                <w:bCs/>
              </w:rPr>
              <w:t>IAQ</w:t>
            </w:r>
            <w:r w:rsidR="00966B98">
              <w:rPr>
                <w:bCs/>
              </w:rPr>
              <w:t xml:space="preserve"> Program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A96F0D" w:rsidRDefault="001A29F8" w:rsidP="001F608A">
            <w:pPr>
              <w:tabs>
                <w:tab w:val="left" w:pos="1485"/>
              </w:tabs>
              <w:rPr>
                <w:bCs/>
              </w:rPr>
            </w:pPr>
            <w:r>
              <w:rPr>
                <w:bCs/>
              </w:rPr>
              <w:t>Two-story, concrete building with flat, membrane roof</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A53180" w:rsidRDefault="00BE6C1D" w:rsidP="00F04D19">
            <w:pPr>
              <w:tabs>
                <w:tab w:val="left" w:pos="1485"/>
              </w:tabs>
              <w:rPr>
                <w:bCs/>
                <w:highlight w:val="yellow"/>
              </w:rPr>
            </w:pPr>
            <w:r w:rsidRPr="00BE6C1D">
              <w:rPr>
                <w:bCs/>
              </w:rPr>
              <w:t>Approximately 30 and up to several hundred visitors daily</w:t>
            </w:r>
          </w:p>
        </w:tc>
      </w:tr>
      <w:tr w:rsidR="00183D48" w:rsidRPr="005E458D" w:rsidTr="00966B98">
        <w:trPr>
          <w:jc w:val="center"/>
        </w:trPr>
        <w:tc>
          <w:tcPr>
            <w:tcW w:w="4298" w:type="dxa"/>
            <w:shd w:val="clear" w:color="auto" w:fill="auto"/>
          </w:tcPr>
          <w:p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799" w:type="dxa"/>
            <w:shd w:val="clear" w:color="auto" w:fill="auto"/>
          </w:tcPr>
          <w:p w:rsidR="00183D48" w:rsidRPr="00183D48" w:rsidRDefault="001A29F8" w:rsidP="00F04D19">
            <w:pPr>
              <w:tabs>
                <w:tab w:val="left" w:pos="1485"/>
              </w:tabs>
              <w:rPr>
                <w:bCs/>
              </w:rPr>
            </w:pPr>
            <w:r>
              <w:rPr>
                <w:bCs/>
              </w:rPr>
              <w:t>Early 1970’s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932D57" w:rsidP="009222D2">
            <w:pPr>
              <w:tabs>
                <w:tab w:val="left" w:pos="1485"/>
              </w:tabs>
              <w:rPr>
                <w:bCs/>
              </w:rPr>
            </w:pPr>
            <w:r>
              <w:rPr>
                <w:bCs/>
              </w:rPr>
              <w:t>Not openable</w:t>
            </w:r>
          </w:p>
        </w:tc>
      </w:tr>
    </w:tbl>
    <w:p w:rsidR="00F93352" w:rsidRDefault="00F93352"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2E5125">
      <w:pPr>
        <w:pStyle w:val="BodyText"/>
        <w:numPr>
          <w:ilvl w:val="0"/>
          <w:numId w:val="5"/>
        </w:numPr>
        <w:rPr>
          <w:b/>
          <w:bCs/>
        </w:rPr>
      </w:pPr>
      <w:r w:rsidRPr="00665B76">
        <w:rPr>
          <w:b/>
          <w:i/>
        </w:rPr>
        <w:t>C</w:t>
      </w:r>
      <w:r w:rsidR="0085418C" w:rsidRPr="00665B76">
        <w:rPr>
          <w:b/>
          <w:i/>
        </w:rPr>
        <w:t>arbon dioxide levels</w:t>
      </w:r>
      <w:r w:rsidR="0085418C">
        <w:t xml:space="preserve"> </w:t>
      </w:r>
      <w:r w:rsidR="00E23ED1">
        <w:t xml:space="preserve">were </w:t>
      </w:r>
      <w:r w:rsidR="001F608A">
        <w:t>above</w:t>
      </w:r>
      <w:r w:rsidR="0085418C" w:rsidRPr="00C4264C">
        <w:t xml:space="preserve"> 800 parts per million (ppm) </w:t>
      </w:r>
      <w:r w:rsidR="00932D57">
        <w:t>in 5</w:t>
      </w:r>
      <w:r w:rsidR="001F608A">
        <w:t xml:space="preserve"> out of </w:t>
      </w:r>
      <w:r w:rsidR="00932D57">
        <w:t>8</w:t>
      </w:r>
      <w:r w:rsidR="001F608A">
        <w:t xml:space="preserve"> areas </w:t>
      </w:r>
      <w:r w:rsidR="00E23ED1">
        <w:t>tested</w:t>
      </w:r>
      <w:r w:rsidR="00B25BED">
        <w:t>,</w:t>
      </w:r>
      <w:r w:rsidR="00FF4228">
        <w:t xml:space="preserve"> indicating </w:t>
      </w:r>
      <w:r w:rsidR="001F608A">
        <w:t>in</w:t>
      </w:r>
      <w:r w:rsidR="003A5A0D">
        <w:t>a</w:t>
      </w:r>
      <w:r w:rsidR="00E23ED1">
        <w:t>dequate fresh air</w:t>
      </w:r>
      <w:r w:rsidR="001F608A">
        <w:t xml:space="preserve"> in more than half of the areas tested</w:t>
      </w:r>
      <w:r>
        <w:t>.</w:t>
      </w:r>
      <w:r w:rsidR="00932D57">
        <w:t xml:space="preserve">  The RMV was extremely crowded during the assessment, which generally increases carbon dioxide levels.</w:t>
      </w:r>
    </w:p>
    <w:p w:rsidR="00932D57" w:rsidRPr="00932D57" w:rsidRDefault="009F6242" w:rsidP="002E5125">
      <w:pPr>
        <w:pStyle w:val="BodyText"/>
        <w:numPr>
          <w:ilvl w:val="0"/>
          <w:numId w:val="5"/>
        </w:numPr>
        <w:rPr>
          <w:b/>
          <w:bCs/>
        </w:rPr>
      </w:pPr>
      <w:r w:rsidRPr="00932D57">
        <w:rPr>
          <w:b/>
          <w:i/>
        </w:rPr>
        <w:t>Temperature</w:t>
      </w:r>
      <w:r>
        <w:t xml:space="preserve"> was </w:t>
      </w:r>
      <w:r w:rsidR="00F04D19">
        <w:t>within</w:t>
      </w:r>
      <w:r w:rsidR="00C52B52">
        <w:t xml:space="preserve"> </w:t>
      </w:r>
      <w:r w:rsidR="00991847">
        <w:t xml:space="preserve">the recommended </w:t>
      </w:r>
      <w:r w:rsidR="00932D57">
        <w:t>range of 70°F to 78</w:t>
      </w:r>
      <w:r w:rsidRPr="009F6242">
        <w:t>°F</w:t>
      </w:r>
      <w:r>
        <w:t xml:space="preserve"> in </w:t>
      </w:r>
      <w:r w:rsidR="00F04D19">
        <w:t>all</w:t>
      </w:r>
      <w:r w:rsidR="005D2230">
        <w:t xml:space="preserve"> areas tested</w:t>
      </w:r>
      <w:r w:rsidR="00932D57">
        <w:t>.</w:t>
      </w:r>
      <w:r w:rsidR="001F608A">
        <w:t xml:space="preserve"> </w:t>
      </w:r>
    </w:p>
    <w:p w:rsidR="00991847" w:rsidRPr="00932D57" w:rsidRDefault="00DB51C0" w:rsidP="002E5125">
      <w:pPr>
        <w:pStyle w:val="BodyText"/>
        <w:numPr>
          <w:ilvl w:val="0"/>
          <w:numId w:val="5"/>
        </w:numPr>
        <w:rPr>
          <w:b/>
          <w:bCs/>
        </w:rPr>
      </w:pPr>
      <w:r w:rsidRPr="00932D57">
        <w:rPr>
          <w:b/>
          <w:i/>
        </w:rPr>
        <w:t>Relative h</w:t>
      </w:r>
      <w:r w:rsidR="00991847" w:rsidRPr="00932D57">
        <w:rPr>
          <w:b/>
          <w:i/>
        </w:rPr>
        <w:t>umidity</w:t>
      </w:r>
      <w:r w:rsidR="00991847">
        <w:t xml:space="preserve"> was </w:t>
      </w:r>
      <w:r w:rsidR="00EA5EF2">
        <w:t xml:space="preserve">within or close to the lower end of the </w:t>
      </w:r>
      <w:r w:rsidR="008261E3">
        <w:t>recommended range of 40</w:t>
      </w:r>
      <w:r w:rsidR="00C75B43">
        <w:t>%</w:t>
      </w:r>
      <w:r w:rsidR="008261E3">
        <w:t xml:space="preserve"> to 60</w:t>
      </w:r>
      <w:r w:rsidR="00991847">
        <w:t xml:space="preserve">% in </w:t>
      </w:r>
      <w:r w:rsidR="00E23ED1">
        <w:t>all</w:t>
      </w:r>
      <w:r w:rsidR="00143327">
        <w:t xml:space="preserve"> areas tested</w:t>
      </w:r>
      <w:r w:rsidR="005D2230">
        <w:t>.</w:t>
      </w:r>
    </w:p>
    <w:p w:rsidR="00991847" w:rsidRPr="00ED5D2F" w:rsidRDefault="00991847" w:rsidP="002E5125">
      <w:pPr>
        <w:pStyle w:val="BodyText"/>
        <w:numPr>
          <w:ilvl w:val="0"/>
          <w:numId w:val="5"/>
        </w:numPr>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areas tested</w:t>
      </w:r>
      <w:r w:rsidR="00C4264C">
        <w:t>.</w:t>
      </w:r>
    </w:p>
    <w:p w:rsidR="00064961" w:rsidRDefault="00DB51C0" w:rsidP="00733A7C">
      <w:pPr>
        <w:pStyle w:val="BodyText"/>
        <w:numPr>
          <w:ilvl w:val="0"/>
          <w:numId w:val="5"/>
        </w:numPr>
      </w:pPr>
      <w:r w:rsidRPr="00932D57">
        <w:rPr>
          <w:b/>
          <w:i/>
        </w:rPr>
        <w:t>Fine particulate matter (</w:t>
      </w:r>
      <w:r w:rsidR="00991847" w:rsidRPr="00932D57">
        <w:rPr>
          <w:b/>
          <w:i/>
        </w:rPr>
        <w:t>PM2.5</w:t>
      </w:r>
      <w:r w:rsidRPr="00932D57">
        <w:rPr>
          <w:b/>
          <w:i/>
        </w:rPr>
        <w:t>)</w:t>
      </w:r>
      <w:r w:rsidR="00991847" w:rsidRPr="00932D5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932D57">
        <w:rPr>
          <w:vertAlign w:val="superscript"/>
        </w:rPr>
        <w:t>3</w:t>
      </w:r>
      <w:r w:rsidR="00991847">
        <w:t xml:space="preserve"> in </w:t>
      </w:r>
      <w:r w:rsidR="00932D57">
        <w:t xml:space="preserve">all </w:t>
      </w:r>
      <w:r w:rsidR="00991847">
        <w:t>areas</w:t>
      </w:r>
      <w:proofErr w:type="gramEnd"/>
      <w:r w:rsidR="00991847">
        <w:t xml:space="preserve"> tested</w:t>
      </w:r>
      <w:r w:rsidR="00932D57">
        <w:t>.</w:t>
      </w:r>
      <w:r w:rsidR="00EA5EF2">
        <w:t xml:space="preserve"> </w:t>
      </w:r>
    </w:p>
    <w:p w:rsidR="009D2349" w:rsidRPr="009D2349" w:rsidRDefault="009D2349" w:rsidP="00733A7C">
      <w:pPr>
        <w:pStyle w:val="BodyText"/>
        <w:numPr>
          <w:ilvl w:val="0"/>
          <w:numId w:val="5"/>
        </w:numPr>
      </w:pPr>
      <w:r>
        <w:rPr>
          <w:b/>
          <w:i/>
        </w:rPr>
        <w:lastRenderedPageBreak/>
        <w:t xml:space="preserve">Total volatile organic compounds (TVOCs) </w:t>
      </w:r>
      <w:r w:rsidRPr="009D2349">
        <w:t>levels were non-detectable in all areas assessed.</w:t>
      </w:r>
    </w:p>
    <w:p w:rsidR="00F85E13" w:rsidRPr="00676A91" w:rsidRDefault="009F6242" w:rsidP="006E6262">
      <w:pPr>
        <w:pStyle w:val="Heading2"/>
      </w:pPr>
      <w:r w:rsidRPr="00676A91">
        <w:t>Ventilation</w:t>
      </w:r>
    </w:p>
    <w:p w:rsidR="006E2391" w:rsidRPr="006E2391" w:rsidRDefault="006E2391" w:rsidP="00ED120D">
      <w:pPr>
        <w:pStyle w:val="Heading2"/>
        <w:rPr>
          <w:b w:val="0"/>
        </w:rPr>
      </w:pPr>
      <w:r w:rsidRPr="006E2391">
        <w:rPr>
          <w:b w:val="0"/>
        </w:rPr>
        <w:t>It can be seen from Table 1 that carbon dioxide levels were above 8</w:t>
      </w:r>
      <w:r>
        <w:rPr>
          <w:b w:val="0"/>
        </w:rPr>
        <w:t>00 parts per million (ppm</w:t>
      </w:r>
      <w:r w:rsidRPr="009D2349">
        <w:rPr>
          <w:b w:val="0"/>
        </w:rPr>
        <w:t>) in 5 of 8 areas</w:t>
      </w:r>
      <w:r w:rsidRPr="006E2391">
        <w:rPr>
          <w:b w:val="0"/>
        </w:rPr>
        <w:t xml:space="preserve">, indicating less than optimal air exchange at the time of the assessment.  It is important to note that </w:t>
      </w:r>
      <w:r>
        <w:rPr>
          <w:b w:val="0"/>
        </w:rPr>
        <w:t xml:space="preserve">most areas were extremely </w:t>
      </w:r>
      <w:r w:rsidRPr="006E2391">
        <w:rPr>
          <w:b w:val="0"/>
        </w:rPr>
        <w:t>populate</w:t>
      </w:r>
      <w:r>
        <w:rPr>
          <w:b w:val="0"/>
        </w:rPr>
        <w:t xml:space="preserve">d </w:t>
      </w:r>
      <w:r w:rsidRPr="006E2391">
        <w:rPr>
          <w:b w:val="0"/>
        </w:rPr>
        <w:t>at the time measurements were taken, wh</w:t>
      </w:r>
      <w:r>
        <w:rPr>
          <w:b w:val="0"/>
        </w:rPr>
        <w:t>ich generally results in increased</w:t>
      </w:r>
      <w:r w:rsidRPr="006E2391">
        <w:rPr>
          <w:b w:val="0"/>
        </w:rPr>
        <w:t xml:space="preserve"> carbon dioxide levels.  Without adequate air exchange, ordinary indoor pollutants can build up over the course of the business day and lead to IAQ/comfort complaints.</w:t>
      </w:r>
    </w:p>
    <w:p w:rsidR="009D2349" w:rsidRDefault="006E2391" w:rsidP="00ED120D">
      <w:pPr>
        <w:pStyle w:val="Heading2"/>
        <w:rPr>
          <w:b w:val="0"/>
        </w:rPr>
      </w:pPr>
      <w:r w:rsidRPr="006E2391">
        <w:rPr>
          <w:b w:val="0"/>
        </w:rPr>
        <w:t>Mechanical ventilation on the upper floor is provided by rooftop air-handling units (AHUs).  Fresh air is drawn into the AHUs and delivered to occupied areas via ductwork.  Recirculated air is directed into the office space by ceiling-mounted fresh air diffusers.  Return air is ducted back to the rooftop AHUs.  To maximize air exchange, the MDPH recommends that both supply and exhaust ventilation operate continuously during periods of occupancy.  In order to have proper ventilation with a mechanical supply and exhaust system, the systems must be balanced to provide an adequate amount of fresh air to the interior of a room while rem</w:t>
      </w:r>
      <w:r w:rsidR="003A22A4">
        <w:rPr>
          <w:b w:val="0"/>
        </w:rPr>
        <w:t>oving stale air from the room.</w:t>
      </w:r>
    </w:p>
    <w:p w:rsidR="00436E4C" w:rsidRPr="007D2C35" w:rsidRDefault="00436E4C" w:rsidP="00ED120D">
      <w:pPr>
        <w:pStyle w:val="Heading2"/>
      </w:pPr>
      <w:r w:rsidRPr="007D2C35">
        <w:t>Microbial/Moisture Concerns</w:t>
      </w:r>
    </w:p>
    <w:p w:rsidR="00D43053" w:rsidRDefault="00D43053" w:rsidP="00ED120D">
      <w:pPr>
        <w:pStyle w:val="BodyText"/>
      </w:pPr>
      <w:r w:rsidRPr="00D43053">
        <w:t>It was reported that the roof is original to the building</w:t>
      </w:r>
      <w:r>
        <w:t xml:space="preserve"> and has leaked in the past</w:t>
      </w:r>
      <w:r w:rsidR="00ED357E">
        <w:t>.  RMV staff report</w:t>
      </w:r>
      <w:r w:rsidRPr="00D43053">
        <w:t>ed that a new roof would be installed shortly and that the occupants are being permanently relocated to another building within 6 months</w:t>
      </w:r>
      <w:r w:rsidR="00ED357E">
        <w:t xml:space="preserve"> of this visit</w:t>
      </w:r>
      <w:r w:rsidRPr="00D43053">
        <w:t>.</w:t>
      </w:r>
    </w:p>
    <w:p w:rsidR="005F4329" w:rsidRDefault="00D43053" w:rsidP="00ED120D">
      <w:pPr>
        <w:pStyle w:val="BodyText"/>
      </w:pPr>
      <w:r>
        <w:t xml:space="preserve">Water-damaged </w:t>
      </w:r>
      <w:r w:rsidR="00EB06CB" w:rsidRPr="00960714">
        <w:t>ceiling tiles</w:t>
      </w:r>
      <w:r w:rsidR="00960714" w:rsidRPr="00960714">
        <w:t xml:space="preserve"> were obse</w:t>
      </w:r>
      <w:r w:rsidR="005D28D9">
        <w:t xml:space="preserve">rved </w:t>
      </w:r>
      <w:r w:rsidR="0044477F">
        <w:t xml:space="preserve">in </w:t>
      </w:r>
      <w:r w:rsidR="00D173CB">
        <w:t>several areas</w:t>
      </w:r>
      <w:r w:rsidR="00960714">
        <w:t>.</w:t>
      </w:r>
      <w:r w:rsidR="00C91EE7">
        <w:t xml:space="preserve"> </w:t>
      </w:r>
      <w:r>
        <w:t xml:space="preserve"> </w:t>
      </w:r>
      <w:r w:rsidR="007E1385" w:rsidRPr="00183D48">
        <w:t>Water-damaged ceiling tiles can provide a so</w:t>
      </w:r>
      <w:r w:rsidR="007E1385">
        <w:t>urce of mold and should be replaced after a water leak is discovered and repaired.</w:t>
      </w:r>
    </w:p>
    <w:p w:rsidR="007E49FE" w:rsidRDefault="00D43053" w:rsidP="00ED120D">
      <w:pPr>
        <w:pStyle w:val="BodyText"/>
      </w:pPr>
      <w:r w:rsidRPr="00D43053">
        <w:t>The US Environmental Protection Agency (US EPA) and the American Conference of Governmental Industrial Hygienists (ACGIH) recommend that porous materials be dried with fans and heating within 24 to 48 hou</w:t>
      </w:r>
      <w:r w:rsidR="002A6894">
        <w:t>rs of becoming wet (US EPA, 2008</w:t>
      </w:r>
      <w:r w:rsidRPr="00D43053">
        <w:t xml:space="preserve">; ACGIH, 1989).  If not </w:t>
      </w:r>
      <w:r w:rsidRPr="00D43053">
        <w:lastRenderedPageBreak/>
        <w:t>dried within this time frame, mold growth may occur.  Once mold has colonized porous materials, they are difficult to clean and should be removed.</w:t>
      </w:r>
    </w:p>
    <w:p w:rsidR="001801F0" w:rsidRDefault="00436E4C" w:rsidP="00ED120D">
      <w:pPr>
        <w:pStyle w:val="Heading2"/>
      </w:pPr>
      <w:r w:rsidRPr="006E6262">
        <w:t>Other IAQ Evaluations</w:t>
      </w:r>
    </w:p>
    <w:p w:rsidR="00743E76" w:rsidRDefault="00743E76" w:rsidP="00ED120D">
      <w:pPr>
        <w:pStyle w:val="Heading3"/>
      </w:pPr>
      <w:r>
        <w:t>Particulate Matter</w:t>
      </w:r>
    </w:p>
    <w:p w:rsidR="00D43053" w:rsidRDefault="00D43053" w:rsidP="00ED120D">
      <w:pPr>
        <w:pStyle w:val="Heading3"/>
        <w:rPr>
          <w:i w:val="0"/>
        </w:rPr>
      </w:pPr>
      <w:r w:rsidRPr="00D43053">
        <w:rPr>
          <w:i w:val="0"/>
        </w:rPr>
        <w:t xml:space="preserve">Outdoor PM2.5 </w:t>
      </w:r>
      <w:r>
        <w:rPr>
          <w:i w:val="0"/>
        </w:rPr>
        <w:t xml:space="preserve">concentration was </w:t>
      </w:r>
      <w:r w:rsidRPr="007F625A">
        <w:rPr>
          <w:i w:val="0"/>
        </w:rPr>
        <w:t xml:space="preserve">measured </w:t>
      </w:r>
      <w:proofErr w:type="gramStart"/>
      <w:r w:rsidRPr="007F625A">
        <w:rPr>
          <w:i w:val="0"/>
        </w:rPr>
        <w:t>at 12 μg/m3 (Table 1)</w:t>
      </w:r>
      <w:proofErr w:type="gramEnd"/>
      <w:r w:rsidRPr="007F625A">
        <w:rPr>
          <w:i w:val="0"/>
        </w:rPr>
        <w:t xml:space="preserve">.  PM2.5 levels measured indoors ranged from 7 </w:t>
      </w:r>
      <w:proofErr w:type="gramStart"/>
      <w:r w:rsidRPr="007F625A">
        <w:rPr>
          <w:i w:val="0"/>
        </w:rPr>
        <w:t>to 10 μg/m3 (Table 1),</w:t>
      </w:r>
      <w:proofErr w:type="gramEnd"/>
      <w:r w:rsidRPr="007F625A">
        <w:rPr>
          <w:i w:val="0"/>
        </w:rPr>
        <w:t xml:space="preserve"> which were</w:t>
      </w:r>
      <w:r w:rsidRPr="00D43053">
        <w:rPr>
          <w:i w:val="0"/>
        </w:rPr>
        <w:t xml:space="preserve"> below the NAAQS PM2.5 level of 35 μg/m3.  Frequently, indoor air levels of particulates (including PM2.5) can be at higher levels than those measured outdoors.  A number of activities that occur indoors and/or mechanical devices can generate particulates during normal operations.  Sources of indoor airborne particulates may include but are not limited to particles generated during the operation of fan belts in the HVAC system, use of stoves and/or microwave ovens in kitchen areas; use of photocopiers, fax machines and computer printing devices; operation of an ordinary vacuum cleaner and heavy foot traffic indoors.</w:t>
      </w:r>
    </w:p>
    <w:p w:rsidR="007F2388" w:rsidRPr="00743E76" w:rsidRDefault="007F2388" w:rsidP="00ED120D">
      <w:pPr>
        <w:pStyle w:val="Heading3"/>
      </w:pPr>
      <w:r>
        <w:t>Volatile organic compounds</w:t>
      </w:r>
    </w:p>
    <w:p w:rsidR="002F1C65" w:rsidRDefault="00590E8E" w:rsidP="00ED120D">
      <w:pPr>
        <w:pStyle w:val="BodyText"/>
      </w:pPr>
      <w:r w:rsidRPr="005E2E28">
        <w:t>E</w:t>
      </w:r>
      <w:r w:rsidR="00627895" w:rsidRPr="005E2E28">
        <w:t xml:space="preserve">xposure to low levels of total </w:t>
      </w:r>
      <w:r w:rsidR="003D499E">
        <w:t>volatile organic compounds</w:t>
      </w:r>
      <w:r w:rsidR="00627895" w:rsidRPr="005E2E28">
        <w:t xml:space="preserve"> (TVOCs) may produce eye, nose, </w:t>
      </w:r>
      <w:r w:rsidR="00D87240" w:rsidRPr="005E2E28">
        <w:t>throat,</w:t>
      </w:r>
      <w:r w:rsidR="00627895" w:rsidRPr="005E2E28">
        <w:t xml:space="preserve"> and/or respiratory irritation in some sensitive individuals</w:t>
      </w:r>
      <w:r w:rsidR="00164A7D" w:rsidRPr="005E2E28">
        <w:t>.</w:t>
      </w:r>
      <w:r w:rsidR="007F37E0">
        <w:t xml:space="preserve"> </w:t>
      </w:r>
      <w:r w:rsidR="007D2C35">
        <w:t xml:space="preserve"> </w:t>
      </w:r>
      <w:r w:rsidR="007F37E0">
        <w:t xml:space="preserve">Although all areas measured non-detect for TVOCs, </w:t>
      </w:r>
      <w:r w:rsidR="004A79DD" w:rsidRPr="005E2E28">
        <w:t xml:space="preserve">BEH/IAQ staff noted </w:t>
      </w:r>
      <w:r w:rsidRPr="005E2E28">
        <w:t>air fresheners</w:t>
      </w:r>
      <w:r w:rsidR="004A79DD" w:rsidRPr="005E2E28">
        <w:t>, hand sanitizer</w:t>
      </w:r>
      <w:r w:rsidR="00850CE7" w:rsidRPr="005E2E28">
        <w:t>s</w:t>
      </w:r>
      <w:r w:rsidR="004A79DD" w:rsidRPr="005E2E28">
        <w:t>, cleaners</w:t>
      </w:r>
      <w:r w:rsidR="00D87240" w:rsidRPr="005E2E28">
        <w:t>,</w:t>
      </w:r>
      <w:r w:rsidR="004A79DD" w:rsidRPr="005E2E28">
        <w:t xml:space="preserve"> and dry erase materials in use within the </w:t>
      </w:r>
      <w:r w:rsidR="00850CE7" w:rsidRPr="005E2E28">
        <w:t>building</w:t>
      </w:r>
      <w:r w:rsidR="004A79DD" w:rsidRPr="005E2E28">
        <w:t>.</w:t>
      </w:r>
      <w:r w:rsidR="007D2C35">
        <w:t xml:space="preserve"> </w:t>
      </w:r>
      <w:r w:rsidR="007F37E0">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p>
    <w:p w:rsidR="00E7277E" w:rsidRDefault="00E7277E" w:rsidP="00ED120D">
      <w:pPr>
        <w:pStyle w:val="Heading3"/>
      </w:pPr>
      <w:r>
        <w:t>Other conditions</w:t>
      </w:r>
    </w:p>
    <w:p w:rsidR="00E7277E" w:rsidRPr="0007354D" w:rsidRDefault="00AC6707" w:rsidP="00ED120D">
      <w:pPr>
        <w:pStyle w:val="BodyText10"/>
      </w:pPr>
      <w:r w:rsidRPr="0007354D">
        <w:t>RMV</w:t>
      </w:r>
      <w:r w:rsidR="00E7277E" w:rsidRPr="0007354D">
        <w:t xml:space="preserve"> staff reported that </w:t>
      </w:r>
      <w:r w:rsidRPr="0007354D">
        <w:t>the building has been undergoing some renovations.  Any work being performed which will invo</w:t>
      </w:r>
      <w:r w:rsidR="007F37E0">
        <w:t xml:space="preserve">lve regulated materials (e.g., </w:t>
      </w:r>
      <w:r w:rsidRPr="0007354D">
        <w:t>lead and asbestos</w:t>
      </w:r>
      <w:r w:rsidR="007F37E0">
        <w:t>)</w:t>
      </w:r>
      <w:r w:rsidRPr="0007354D">
        <w:t xml:space="preserve"> shall be performed according to </w:t>
      </w:r>
      <w:r w:rsidR="00925FEE" w:rsidRPr="0007354D">
        <w:t>regulations governing those materials.</w:t>
      </w:r>
    </w:p>
    <w:p w:rsidR="00925FEE" w:rsidRDefault="00BD4B8B" w:rsidP="00ED120D">
      <w:pPr>
        <w:pStyle w:val="BodyText10"/>
      </w:pPr>
      <w:r w:rsidRPr="00BD4B8B">
        <w:lastRenderedPageBreak/>
        <w:t xml:space="preserve">In addition, the </w:t>
      </w:r>
      <w:r w:rsidR="00E41D8E">
        <w:t xml:space="preserve">MDPH </w:t>
      </w:r>
      <w:r w:rsidRPr="00BD4B8B">
        <w:t xml:space="preserve">guideline </w:t>
      </w:r>
      <w:r w:rsidRPr="009D2349">
        <w:t>“Methods Used to Reduce/Prevent Exposure to Construction/Renovation Generated Pollutants in Occupied Buildings”</w:t>
      </w:r>
      <w:r w:rsidRPr="00BD4B8B">
        <w:t xml:space="preserve"> should</w:t>
      </w:r>
      <w:r w:rsidR="00925FEE" w:rsidRPr="00BD4B8B">
        <w:t xml:space="preserve"> be consulted to ensure proper </w:t>
      </w:r>
      <w:r w:rsidR="005E3DD2" w:rsidRPr="00BD4B8B">
        <w:t>isolation and pressurization</w:t>
      </w:r>
      <w:r w:rsidR="00925FEE" w:rsidRPr="00BD4B8B">
        <w:t xml:space="preserve"> techniques between occupied and construction areas.</w:t>
      </w:r>
    </w:p>
    <w:p w:rsidR="004D05AC" w:rsidRDefault="004D05AC" w:rsidP="00ED120D">
      <w:pPr>
        <w:pStyle w:val="Heading1"/>
      </w:pPr>
      <w:r w:rsidRPr="007C62D4">
        <w:t>Conclusions/Recommendations</w:t>
      </w:r>
    </w:p>
    <w:p w:rsidR="00084492" w:rsidRDefault="00084492" w:rsidP="00ED120D">
      <w:pPr>
        <w:spacing w:line="360" w:lineRule="auto"/>
      </w:pPr>
      <w:r w:rsidRPr="00084492">
        <w:t>In view of the findings at the time of the visit, the following recommendations are made:</w:t>
      </w:r>
    </w:p>
    <w:p w:rsidR="00084492" w:rsidRPr="00084492" w:rsidRDefault="00084492" w:rsidP="00ED120D">
      <w:pPr>
        <w:spacing w:line="360" w:lineRule="auto"/>
      </w:pPr>
    </w:p>
    <w:p w:rsidR="00DE0552" w:rsidRPr="00DE0552" w:rsidRDefault="00DE0552" w:rsidP="00DE0552">
      <w:pPr>
        <w:ind w:left="1440"/>
      </w:pPr>
    </w:p>
    <w:p w:rsidR="00FC3C43" w:rsidRDefault="00FC3C43" w:rsidP="00DE0552">
      <w:pPr>
        <w:numPr>
          <w:ilvl w:val="0"/>
          <w:numId w:val="11"/>
        </w:numPr>
        <w:spacing w:line="360" w:lineRule="auto"/>
        <w:ind w:hanging="720"/>
      </w:pPr>
      <w:r>
        <w:t>Follow proper regulations concerning the disturbance of</w:t>
      </w:r>
      <w:r w:rsidR="00CF2544">
        <w:t xml:space="preserve"> </w:t>
      </w:r>
      <w:r>
        <w:t>any regulated materials encountered during renovations (e.g., lead, asbestos).</w:t>
      </w:r>
    </w:p>
    <w:p w:rsidR="00DE0552" w:rsidRDefault="00DE0552" w:rsidP="00DE0552">
      <w:pPr>
        <w:numPr>
          <w:ilvl w:val="0"/>
          <w:numId w:val="11"/>
        </w:numPr>
        <w:spacing w:line="360" w:lineRule="auto"/>
        <w:ind w:hanging="720"/>
      </w:pPr>
      <w:r w:rsidRPr="00DE0552">
        <w:t>Continue with plans to install new roof.</w:t>
      </w:r>
    </w:p>
    <w:p w:rsidR="00DE0552" w:rsidRPr="00DE0552" w:rsidRDefault="00DE0552" w:rsidP="00DE0552">
      <w:pPr>
        <w:numPr>
          <w:ilvl w:val="0"/>
          <w:numId w:val="11"/>
        </w:numPr>
        <w:spacing w:line="360" w:lineRule="auto"/>
        <w:ind w:hanging="720"/>
      </w:pPr>
      <w:r>
        <w:t>R</w:t>
      </w:r>
      <w:r w:rsidRPr="00DE0552">
        <w:t>eplace water-damaged ceiling tiles and porous building materials.</w:t>
      </w:r>
    </w:p>
    <w:p w:rsidR="009D2349" w:rsidRDefault="009D2349" w:rsidP="00ED120D">
      <w:pPr>
        <w:numPr>
          <w:ilvl w:val="0"/>
          <w:numId w:val="11"/>
        </w:numPr>
        <w:spacing w:line="360" w:lineRule="auto"/>
        <w:ind w:hanging="720"/>
      </w:pPr>
      <w:r w:rsidRPr="006E2391">
        <w:t>To maximize air exchange, the MDPH recommends that both supply and exhaust ventilation operate continuously during periods of occupancy.</w:t>
      </w:r>
    </w:p>
    <w:p w:rsidR="00AA445B" w:rsidRPr="00AA445B" w:rsidRDefault="005E3DD2" w:rsidP="00ED120D">
      <w:pPr>
        <w:numPr>
          <w:ilvl w:val="0"/>
          <w:numId w:val="11"/>
        </w:numPr>
        <w:spacing w:line="360" w:lineRule="auto"/>
        <w:ind w:hanging="720"/>
      </w:pPr>
      <w:r>
        <w:t xml:space="preserve">Investigate methods of increasing fresh air </w:t>
      </w:r>
      <w:r w:rsidR="009D7B97">
        <w:t xml:space="preserve">supply </w:t>
      </w:r>
      <w:r>
        <w:t>due to the high visitor population regularly encountered.</w:t>
      </w:r>
    </w:p>
    <w:p w:rsidR="007F37E0" w:rsidRDefault="009D7B97" w:rsidP="00ED120D">
      <w:pPr>
        <w:numPr>
          <w:ilvl w:val="0"/>
          <w:numId w:val="11"/>
        </w:numPr>
        <w:spacing w:line="360" w:lineRule="auto"/>
        <w:ind w:hanging="720"/>
      </w:pPr>
      <w:r>
        <w:t>Consult the MDPH guideline “</w:t>
      </w:r>
      <w:r w:rsidR="00D42EF0" w:rsidRPr="00D42EF0">
        <w:t>Methods Used to Reduce/Prevent Exposure to Construction/Renovation Generated Pollutants in Occupied Buildings</w:t>
      </w:r>
      <w:r w:rsidR="00BD4B8B">
        <w:t>”.</w:t>
      </w:r>
    </w:p>
    <w:p w:rsidR="00120758" w:rsidRDefault="00120758" w:rsidP="00ED120D">
      <w:pPr>
        <w:spacing w:line="360" w:lineRule="auto"/>
        <w:ind w:left="1440"/>
      </w:pPr>
      <w:hyperlink r:id="rId10" w:tooltip="MDPH guideline “Methods Used to Reduce/Prevent Exposure to Construction/Renovation Generated Pollutants in Occupied Buildings”." w:history="1">
        <w:r w:rsidRPr="00BE7A2F">
          <w:rPr>
            <w:rStyle w:val="Hyperlink"/>
          </w:rPr>
          <w:t>http://www.mass.gov/eohhs/gov/departments/dph/programs/environmental-health/exposure-topics/iaq/pollution/renovate/constructionrenovation-pollutants-prevention.html</w:t>
        </w:r>
      </w:hyperlink>
    </w:p>
    <w:p w:rsidR="007F37E0" w:rsidRDefault="007F37E0" w:rsidP="00ED120D">
      <w:pPr>
        <w:numPr>
          <w:ilvl w:val="0"/>
          <w:numId w:val="11"/>
        </w:numPr>
        <w:spacing w:line="360" w:lineRule="auto"/>
        <w:ind w:hanging="720"/>
      </w:pPr>
      <w:r>
        <w:t>Eliminate or reduce the use of a</w:t>
      </w:r>
      <w:r w:rsidRPr="007F37E0">
        <w:t xml:space="preserve">ir fresheners, hand sanitizers, </w:t>
      </w:r>
      <w:r>
        <w:t xml:space="preserve">harsh </w:t>
      </w:r>
      <w:r w:rsidRPr="007F37E0">
        <w:t>cleaners</w:t>
      </w:r>
      <w:r w:rsidR="005E2114">
        <w:t xml:space="preserve"> (e.g.</w:t>
      </w:r>
      <w:r w:rsidRPr="007F37E0">
        <w:t>,</w:t>
      </w:r>
      <w:r w:rsidR="005E2114">
        <w:t xml:space="preserve"> containing bleach, ammonia, or fragrances)</w:t>
      </w:r>
      <w:r w:rsidRPr="007F37E0">
        <w:t xml:space="preserve"> and dry erase materials in use within the building.  All of these products have the potential to be irritants to the eyes, nose, throat, and respiratory system of sensitive individuals.</w:t>
      </w:r>
    </w:p>
    <w:p w:rsidR="00AA445B" w:rsidRPr="00AA445B" w:rsidRDefault="00AA445B" w:rsidP="00ED120D">
      <w:pPr>
        <w:numPr>
          <w:ilvl w:val="0"/>
          <w:numId w:val="11"/>
        </w:numPr>
        <w:spacing w:line="360" w:lineRule="auto"/>
        <w:ind w:hanging="720"/>
      </w:pPr>
      <w:r w:rsidRPr="00AA445B">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w:t>
      </w:r>
      <w:proofErr w:type="spellStart"/>
      <w:r w:rsidRPr="00AA445B">
        <w:t>arrestance</w:t>
      </w:r>
      <w:proofErr w:type="spellEnd"/>
      <w:r w:rsidRPr="00AA445B">
        <w:t xml:space="preserve"> (HEPA) filter equipped vacuum cleaner in conjunction with wet wiping of all surfaces is recommended.  Drinking water </w:t>
      </w:r>
      <w:r w:rsidRPr="00AA445B">
        <w:lastRenderedPageBreak/>
        <w:t>during the day can help ease some symptoms associated with a dry environment (throat and sinus irritations).</w:t>
      </w:r>
    </w:p>
    <w:p w:rsidR="00AA445B" w:rsidRDefault="00AA445B" w:rsidP="00ED120D">
      <w:pPr>
        <w:numPr>
          <w:ilvl w:val="0"/>
          <w:numId w:val="11"/>
        </w:numPr>
        <w:spacing w:line="360" w:lineRule="auto"/>
        <w:ind w:hanging="720"/>
      </w:pPr>
      <w:r w:rsidRPr="00AA445B">
        <w:t xml:space="preserve">Refer to resource manuals and other related indoor air quality documents for further building-wide evaluations and advice on maintaining public buildings.  Copies of these materials are located on the MDPH’s website: </w:t>
      </w:r>
      <w:hyperlink r:id="rId11" w:tooltip="Indoor Air Quality Program" w:history="1">
        <w:r w:rsidRPr="00AA445B">
          <w:rPr>
            <w:color w:val="0000FF"/>
            <w:szCs w:val="24"/>
            <w:u w:val="single"/>
          </w:rPr>
          <w:t>http://mass.gov/dph/iaq</w:t>
        </w:r>
      </w:hyperlink>
      <w:r w:rsidRPr="00AA445B">
        <w:t>.</w:t>
      </w:r>
    </w:p>
    <w:p w:rsidR="00120758" w:rsidRPr="00AA445B" w:rsidRDefault="00120758" w:rsidP="00ED120D">
      <w:pPr>
        <w:numPr>
          <w:ilvl w:val="0"/>
          <w:numId w:val="11"/>
        </w:numPr>
        <w:spacing w:line="360" w:lineRule="auto"/>
        <w:ind w:hanging="720"/>
      </w:pPr>
      <w:r>
        <w:t>Continue with plans to relocate employees within time frame proposed.</w:t>
      </w:r>
    </w:p>
    <w:p w:rsidR="004D05AC" w:rsidRPr="003D4DE1" w:rsidRDefault="007B5977" w:rsidP="0093560B">
      <w:pPr>
        <w:pStyle w:val="Heading1"/>
      </w:pPr>
      <w:r>
        <w:br w:type="page"/>
      </w:r>
      <w:r w:rsidR="004A28CB">
        <w:lastRenderedPageBreak/>
        <w:t>R</w:t>
      </w:r>
      <w:r w:rsidR="004D05AC" w:rsidRPr="003D4DE1">
        <w:t>eferences</w:t>
      </w:r>
    </w:p>
    <w:p w:rsidR="00AA445B" w:rsidRDefault="00AA445B" w:rsidP="00AA445B">
      <w:pPr>
        <w:pStyle w:val="References"/>
      </w:pPr>
      <w:proofErr w:type="gramStart"/>
      <w:r>
        <w:t>ASHRAE.</w:t>
      </w:r>
      <w:proofErr w:type="gramEnd"/>
      <w:r>
        <w:t xml:space="preserve">  1989.  ASHRAE Standard: Ventilation for Acceptable Indoor Air Quality.  </w:t>
      </w:r>
      <w:proofErr w:type="gramStart"/>
      <w:r>
        <w:t>Sections 5.11, 5.12.</w:t>
      </w:r>
      <w:proofErr w:type="gramEnd"/>
      <w:r>
        <w:t xml:space="preserve">  </w:t>
      </w:r>
      <w:proofErr w:type="gramStart"/>
      <w:r>
        <w:t>American Society of Heating, Refrigerating and Air-Conditioning Engineers, Inc.</w:t>
      </w:r>
      <w:proofErr w:type="gramEnd"/>
      <w:r>
        <w:t xml:space="preserve">  Atlanta, GA.</w:t>
      </w:r>
    </w:p>
    <w:p w:rsidR="002A6894" w:rsidRDefault="002A6894" w:rsidP="002A6894">
      <w:pPr>
        <w:pStyle w:val="References"/>
      </w:pPr>
      <w:proofErr w:type="gramStart"/>
      <w:r w:rsidRPr="00986263">
        <w:t>Massachusetts Department of</w:t>
      </w:r>
      <w:r>
        <w:t xml:space="preserve"> Public Health (MDPH).</w:t>
      </w:r>
      <w:proofErr w:type="gramEnd"/>
      <w:r>
        <w:t xml:space="preserve">  2015.  </w:t>
      </w:r>
      <w:r w:rsidRPr="00986263">
        <w:t>Indoor Air</w:t>
      </w:r>
      <w:r>
        <w:t xml:space="preserve"> Quality Manual:  Chapters I-III</w:t>
      </w:r>
      <w:r w:rsidRPr="00986263">
        <w:t>.</w:t>
      </w:r>
      <w:r>
        <w:t xml:space="preserve"> </w:t>
      </w:r>
      <w:r w:rsidRPr="00986263">
        <w:t xml:space="preserve"> Available at:</w:t>
      </w:r>
      <w:r>
        <w:t xml:space="preserve">  </w:t>
      </w:r>
      <w:hyperlink r:id="rId12" w:tooltip="Massachusetts Department of Public Health (MDPH).  2015.  Indoor Air Quality Manual:  Chapters I-III.  " w:history="1">
        <w:r w:rsidRPr="00986263">
          <w:rPr>
            <w:rStyle w:val="Hyperlink"/>
          </w:rPr>
          <w:t>http://www.mass.gov/eohhs/gov/departments/dph/programs/environmental-health/exposure-topics/iaq/iaq-</w:t>
        </w:r>
        <w:r w:rsidRPr="00986263">
          <w:rPr>
            <w:rStyle w:val="Hyperlink"/>
          </w:rPr>
          <w:t>m</w:t>
        </w:r>
        <w:r w:rsidRPr="00986263">
          <w:rPr>
            <w:rStyle w:val="Hyperlink"/>
          </w:rPr>
          <w:t>anual/</w:t>
        </w:r>
      </w:hyperlink>
      <w:r w:rsidRPr="00986263">
        <w:t>.</w:t>
      </w:r>
    </w:p>
    <w:p w:rsidR="002A6894" w:rsidRPr="00986263" w:rsidRDefault="002A6894" w:rsidP="002A6894">
      <w:pPr>
        <w:pStyle w:val="References"/>
      </w:pPr>
      <w:proofErr w:type="gramStart"/>
      <w:r w:rsidRPr="00D749B3">
        <w:t>US EPA.</w:t>
      </w:r>
      <w:proofErr w:type="gramEnd"/>
      <w:r w:rsidRPr="00D749B3">
        <w:t xml:space="preserve">  200</w:t>
      </w:r>
      <w:r>
        <w:t>8</w:t>
      </w:r>
      <w:r w:rsidRPr="00D749B3">
        <w:t xml:space="preserve">.  “Mold Remediation in Schools and Commercial Buildings”.  </w:t>
      </w:r>
      <w:proofErr w:type="gramStart"/>
      <w:r w:rsidRPr="00D749B3">
        <w:t>Office of Air and Radiation, Indoor Environments Division, Washington, DC.</w:t>
      </w:r>
      <w:proofErr w:type="gramEnd"/>
      <w:r w:rsidRPr="00D749B3">
        <w:t xml:space="preserve">  </w:t>
      </w:r>
      <w:proofErr w:type="gramStart"/>
      <w:r w:rsidRPr="00D749B3">
        <w:t>EPA 402-K-01-001.</w:t>
      </w:r>
      <w:proofErr w:type="gramEnd"/>
      <w:r w:rsidRPr="00D749B3">
        <w:t xml:space="preserve">  </w:t>
      </w:r>
      <w:r>
        <w:t>September 2008</w:t>
      </w:r>
      <w:r w:rsidRPr="00D749B3">
        <w:t xml:space="preserve">.  Available at: </w:t>
      </w:r>
      <w:hyperlink r:id="rId13" w:tooltip="US EPA.  2008.  “Mold Remediation in Schools and Commercial Buildings”.  Office of Air and Radiation, Indoor Environments Division, Washington, DC.  EPA 402-K-01-001.  September 2008." w:history="1">
        <w:r w:rsidRPr="00C32579">
          <w:rPr>
            <w:rStyle w:val="Hyperlink"/>
          </w:rPr>
          <w:t>http://w</w:t>
        </w:r>
        <w:r w:rsidRPr="00C32579">
          <w:rPr>
            <w:rStyle w:val="Hyperlink"/>
          </w:rPr>
          <w:t>w</w:t>
        </w:r>
        <w:r w:rsidRPr="00C32579">
          <w:rPr>
            <w:rStyle w:val="Hyperlink"/>
          </w:rPr>
          <w:t>w.epa.gov/mold/mold-remediation-schools-and-commercial-buildings-guide</w:t>
        </w:r>
      </w:hyperlink>
      <w:r>
        <w:t>.</w:t>
      </w:r>
    </w:p>
    <w:p w:rsidR="009C33ED" w:rsidRDefault="009C33ED" w:rsidP="002A6894">
      <w:pPr>
        <w:pStyle w:val="References"/>
        <w:sectPr w:rsidR="009C33ED" w:rsidSect="00B0444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254"/>
        </w:sectPr>
      </w:pPr>
    </w:p>
    <w:tbl>
      <w:tblPr>
        <w:tblW w:w="14644"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9C33ED" w:rsidRPr="004A7B5E" w:rsidTr="00177A35">
        <w:tblPrEx>
          <w:tblCellMar>
            <w:top w:w="0" w:type="dxa"/>
            <w:bottom w:w="0" w:type="dxa"/>
          </w:tblCellMar>
        </w:tblPrEx>
        <w:trPr>
          <w:cantSplit/>
          <w:trHeight w:val="451"/>
          <w:tblHeader/>
          <w:jc w:val="center"/>
        </w:trPr>
        <w:tc>
          <w:tcPr>
            <w:tcW w:w="1909" w:type="dxa"/>
            <w:vMerge w:val="restart"/>
            <w:vAlign w:val="bottom"/>
          </w:tcPr>
          <w:p w:rsidR="009C33ED" w:rsidRPr="004A7B5E" w:rsidRDefault="009C33ED" w:rsidP="00177A35">
            <w:pPr>
              <w:pStyle w:val="Heading1"/>
              <w:rPr>
                <w:sz w:val="20"/>
              </w:rPr>
            </w:pPr>
            <w:r w:rsidRPr="004A7B5E">
              <w:rPr>
                <w:sz w:val="20"/>
              </w:rPr>
              <w:lastRenderedPageBreak/>
              <w:t>Location</w:t>
            </w:r>
          </w:p>
        </w:tc>
        <w:tc>
          <w:tcPr>
            <w:tcW w:w="920" w:type="dxa"/>
            <w:vMerge w:val="restart"/>
            <w:vAlign w:val="bottom"/>
          </w:tcPr>
          <w:p w:rsidR="009C33ED" w:rsidRPr="004A7B5E" w:rsidRDefault="009C33ED" w:rsidP="00177A35">
            <w:pPr>
              <w:jc w:val="center"/>
              <w:rPr>
                <w:b/>
                <w:sz w:val="20"/>
              </w:rPr>
            </w:pPr>
            <w:r w:rsidRPr="004A7B5E">
              <w:rPr>
                <w:b/>
                <w:sz w:val="20"/>
              </w:rPr>
              <w:t>Carbon</w:t>
            </w:r>
          </w:p>
          <w:p w:rsidR="009C33ED" w:rsidRPr="004A7B5E" w:rsidRDefault="009C33ED" w:rsidP="00177A35">
            <w:pPr>
              <w:jc w:val="center"/>
              <w:rPr>
                <w:b/>
                <w:sz w:val="20"/>
              </w:rPr>
            </w:pPr>
            <w:r w:rsidRPr="004A7B5E">
              <w:rPr>
                <w:b/>
                <w:sz w:val="20"/>
              </w:rPr>
              <w:t>Dioxide</w:t>
            </w:r>
          </w:p>
          <w:p w:rsidR="009C33ED" w:rsidRPr="004A7B5E" w:rsidRDefault="009C33ED" w:rsidP="00177A35">
            <w:pPr>
              <w:jc w:val="center"/>
              <w:rPr>
                <w:b/>
                <w:sz w:val="20"/>
              </w:rPr>
            </w:pPr>
            <w:r w:rsidRPr="004A7B5E">
              <w:rPr>
                <w:b/>
                <w:sz w:val="20"/>
              </w:rPr>
              <w:t>(ppm</w:t>
            </w:r>
            <w:r>
              <w:rPr>
                <w:b/>
                <w:sz w:val="20"/>
              </w:rPr>
              <w:t>)</w:t>
            </w:r>
          </w:p>
        </w:tc>
        <w:tc>
          <w:tcPr>
            <w:tcW w:w="1136" w:type="dxa"/>
            <w:vMerge w:val="restart"/>
            <w:vAlign w:val="bottom"/>
          </w:tcPr>
          <w:p w:rsidR="009C33ED" w:rsidRPr="004A7B5E" w:rsidRDefault="009C33ED" w:rsidP="00177A35">
            <w:pPr>
              <w:jc w:val="center"/>
              <w:rPr>
                <w:b/>
                <w:sz w:val="20"/>
              </w:rPr>
            </w:pPr>
            <w:r w:rsidRPr="004A7B5E">
              <w:rPr>
                <w:b/>
                <w:sz w:val="20"/>
              </w:rPr>
              <w:t>Carbon Monoxide</w:t>
            </w:r>
          </w:p>
          <w:p w:rsidR="009C33ED" w:rsidRPr="004A7B5E" w:rsidRDefault="009C33ED" w:rsidP="00177A35">
            <w:pPr>
              <w:jc w:val="center"/>
              <w:rPr>
                <w:b/>
                <w:sz w:val="20"/>
              </w:rPr>
            </w:pPr>
            <w:r w:rsidRPr="004A7B5E">
              <w:rPr>
                <w:b/>
                <w:sz w:val="20"/>
              </w:rPr>
              <w:t>(ppm)</w:t>
            </w:r>
          </w:p>
        </w:tc>
        <w:tc>
          <w:tcPr>
            <w:tcW w:w="810" w:type="dxa"/>
            <w:vMerge w:val="restart"/>
            <w:vAlign w:val="bottom"/>
          </w:tcPr>
          <w:p w:rsidR="009C33ED" w:rsidRPr="004A7B5E" w:rsidRDefault="009C33ED" w:rsidP="00177A35">
            <w:pPr>
              <w:jc w:val="center"/>
              <w:rPr>
                <w:b/>
                <w:sz w:val="20"/>
              </w:rPr>
            </w:pPr>
            <w:r w:rsidRPr="004A7B5E">
              <w:rPr>
                <w:b/>
                <w:sz w:val="20"/>
              </w:rPr>
              <w:t>Temp</w:t>
            </w:r>
          </w:p>
          <w:p w:rsidR="009C33ED" w:rsidRPr="004A7B5E" w:rsidRDefault="009C33ED" w:rsidP="00177A35">
            <w:pPr>
              <w:jc w:val="center"/>
              <w:rPr>
                <w:b/>
                <w:sz w:val="20"/>
              </w:rPr>
            </w:pPr>
            <w:r w:rsidRPr="004A7B5E">
              <w:rPr>
                <w:b/>
                <w:sz w:val="20"/>
              </w:rPr>
              <w:t>(°F)</w:t>
            </w:r>
          </w:p>
        </w:tc>
        <w:tc>
          <w:tcPr>
            <w:tcW w:w="1080" w:type="dxa"/>
            <w:vMerge w:val="restart"/>
            <w:vAlign w:val="bottom"/>
          </w:tcPr>
          <w:p w:rsidR="009C33ED" w:rsidRPr="004A7B5E" w:rsidRDefault="009C33ED" w:rsidP="00177A35">
            <w:pPr>
              <w:jc w:val="center"/>
              <w:rPr>
                <w:b/>
                <w:sz w:val="20"/>
              </w:rPr>
            </w:pPr>
            <w:r w:rsidRPr="004A7B5E">
              <w:rPr>
                <w:b/>
                <w:sz w:val="20"/>
              </w:rPr>
              <w:t>Relative</w:t>
            </w:r>
          </w:p>
          <w:p w:rsidR="009C33ED" w:rsidRPr="004A7B5E" w:rsidRDefault="009C33ED" w:rsidP="00177A35">
            <w:pPr>
              <w:jc w:val="center"/>
              <w:rPr>
                <w:b/>
                <w:sz w:val="20"/>
              </w:rPr>
            </w:pPr>
            <w:r w:rsidRPr="004A7B5E">
              <w:rPr>
                <w:b/>
                <w:sz w:val="20"/>
              </w:rPr>
              <w:t>Humidity</w:t>
            </w:r>
          </w:p>
          <w:p w:rsidR="009C33ED" w:rsidRPr="004A7B5E" w:rsidRDefault="009C33ED" w:rsidP="00177A35">
            <w:pPr>
              <w:jc w:val="center"/>
              <w:rPr>
                <w:b/>
                <w:sz w:val="20"/>
              </w:rPr>
            </w:pPr>
            <w:r w:rsidRPr="004A7B5E">
              <w:rPr>
                <w:b/>
                <w:sz w:val="20"/>
              </w:rPr>
              <w:t>(%)</w:t>
            </w:r>
          </w:p>
        </w:tc>
        <w:tc>
          <w:tcPr>
            <w:tcW w:w="954" w:type="dxa"/>
            <w:vMerge w:val="restart"/>
          </w:tcPr>
          <w:p w:rsidR="009C33ED" w:rsidRDefault="009C33ED" w:rsidP="00177A35">
            <w:pPr>
              <w:jc w:val="center"/>
              <w:rPr>
                <w:b/>
                <w:sz w:val="20"/>
              </w:rPr>
            </w:pPr>
          </w:p>
          <w:p w:rsidR="009C33ED" w:rsidRDefault="009C33ED" w:rsidP="00177A35">
            <w:pPr>
              <w:jc w:val="center"/>
              <w:rPr>
                <w:b/>
                <w:sz w:val="20"/>
              </w:rPr>
            </w:pPr>
            <w:r>
              <w:rPr>
                <w:b/>
                <w:sz w:val="20"/>
              </w:rPr>
              <w:t>TVOCs</w:t>
            </w:r>
          </w:p>
          <w:p w:rsidR="009C33ED" w:rsidRPr="004A7B5E" w:rsidRDefault="009C33ED" w:rsidP="00177A35">
            <w:pPr>
              <w:jc w:val="center"/>
              <w:rPr>
                <w:b/>
                <w:sz w:val="20"/>
              </w:rPr>
            </w:pPr>
            <w:r>
              <w:rPr>
                <w:b/>
                <w:sz w:val="20"/>
              </w:rPr>
              <w:t>(ppm)</w:t>
            </w:r>
          </w:p>
        </w:tc>
        <w:tc>
          <w:tcPr>
            <w:tcW w:w="954" w:type="dxa"/>
            <w:vMerge w:val="restart"/>
            <w:vAlign w:val="bottom"/>
          </w:tcPr>
          <w:p w:rsidR="009C33ED" w:rsidRPr="004A7B5E" w:rsidRDefault="009C33ED" w:rsidP="00177A35">
            <w:pPr>
              <w:jc w:val="center"/>
              <w:rPr>
                <w:b/>
                <w:sz w:val="20"/>
              </w:rPr>
            </w:pPr>
            <w:r w:rsidRPr="004A7B5E">
              <w:rPr>
                <w:b/>
                <w:sz w:val="20"/>
              </w:rPr>
              <w:t>PM2.5</w:t>
            </w:r>
          </w:p>
          <w:p w:rsidR="009C33ED" w:rsidRPr="004A7B5E" w:rsidRDefault="009C33ED" w:rsidP="00177A35">
            <w:pPr>
              <w:jc w:val="center"/>
              <w:rPr>
                <w:b/>
                <w:sz w:val="20"/>
              </w:rPr>
            </w:pPr>
            <w:r w:rsidRPr="004A7B5E">
              <w:rPr>
                <w:b/>
                <w:sz w:val="20"/>
              </w:rPr>
              <w:t>(</w:t>
            </w:r>
            <w:r w:rsidRPr="00BA6479">
              <w:rPr>
                <w:b/>
                <w:sz w:val="21"/>
                <w:szCs w:val="21"/>
              </w:rPr>
              <w:t>µg/m</w:t>
            </w:r>
            <w:r w:rsidRPr="00BA6479">
              <w:rPr>
                <w:b/>
                <w:sz w:val="21"/>
                <w:szCs w:val="21"/>
                <w:vertAlign w:val="superscript"/>
              </w:rPr>
              <w:t>3</w:t>
            </w:r>
            <w:r w:rsidRPr="004A7B5E">
              <w:rPr>
                <w:b/>
                <w:sz w:val="20"/>
              </w:rPr>
              <w:t>)</w:t>
            </w:r>
          </w:p>
        </w:tc>
        <w:tc>
          <w:tcPr>
            <w:tcW w:w="1260" w:type="dxa"/>
            <w:vMerge w:val="restart"/>
            <w:vAlign w:val="bottom"/>
          </w:tcPr>
          <w:p w:rsidR="009C33ED" w:rsidRPr="004A7B5E" w:rsidRDefault="009C33ED" w:rsidP="00177A35">
            <w:pPr>
              <w:jc w:val="center"/>
              <w:rPr>
                <w:b/>
                <w:sz w:val="20"/>
              </w:rPr>
            </w:pPr>
            <w:r w:rsidRPr="004A7B5E">
              <w:rPr>
                <w:b/>
                <w:sz w:val="20"/>
              </w:rPr>
              <w:t>Occupants</w:t>
            </w:r>
          </w:p>
          <w:p w:rsidR="009C33ED" w:rsidRPr="004A7B5E" w:rsidRDefault="009C33ED" w:rsidP="00177A35">
            <w:pPr>
              <w:jc w:val="center"/>
              <w:rPr>
                <w:b/>
                <w:sz w:val="20"/>
              </w:rPr>
            </w:pPr>
            <w:r w:rsidRPr="004A7B5E">
              <w:rPr>
                <w:b/>
                <w:sz w:val="20"/>
              </w:rPr>
              <w:t>in Room</w:t>
            </w:r>
          </w:p>
        </w:tc>
        <w:tc>
          <w:tcPr>
            <w:tcW w:w="1260" w:type="dxa"/>
            <w:vMerge w:val="restart"/>
            <w:vAlign w:val="bottom"/>
          </w:tcPr>
          <w:p w:rsidR="009C33ED" w:rsidRPr="004A7B5E" w:rsidRDefault="009C33ED" w:rsidP="00177A35">
            <w:pPr>
              <w:jc w:val="center"/>
              <w:rPr>
                <w:b/>
                <w:sz w:val="20"/>
              </w:rPr>
            </w:pPr>
            <w:r w:rsidRPr="004A7B5E">
              <w:rPr>
                <w:b/>
                <w:sz w:val="20"/>
              </w:rPr>
              <w:t>Windows</w:t>
            </w:r>
          </w:p>
          <w:p w:rsidR="009C33ED" w:rsidRPr="004A7B5E" w:rsidRDefault="009C33ED" w:rsidP="00177A35">
            <w:pPr>
              <w:jc w:val="center"/>
              <w:rPr>
                <w:b/>
                <w:sz w:val="20"/>
              </w:rPr>
            </w:pPr>
            <w:r w:rsidRPr="004A7B5E">
              <w:rPr>
                <w:b/>
                <w:sz w:val="20"/>
              </w:rPr>
              <w:t>Openable</w:t>
            </w:r>
          </w:p>
        </w:tc>
        <w:tc>
          <w:tcPr>
            <w:tcW w:w="1890" w:type="dxa"/>
            <w:gridSpan w:val="3"/>
            <w:tcBorders>
              <w:left w:val="nil"/>
              <w:bottom w:val="nil"/>
            </w:tcBorders>
            <w:vAlign w:val="bottom"/>
          </w:tcPr>
          <w:p w:rsidR="009C33ED" w:rsidRPr="004A7B5E" w:rsidRDefault="009C33ED" w:rsidP="00177A35">
            <w:pPr>
              <w:ind w:left="-105"/>
              <w:jc w:val="center"/>
              <w:rPr>
                <w:b/>
                <w:sz w:val="20"/>
              </w:rPr>
            </w:pPr>
            <w:r w:rsidRPr="004A7B5E">
              <w:rPr>
                <w:b/>
                <w:sz w:val="20"/>
              </w:rPr>
              <w:t>Ventilation</w:t>
            </w:r>
          </w:p>
        </w:tc>
        <w:tc>
          <w:tcPr>
            <w:tcW w:w="2471" w:type="dxa"/>
            <w:vMerge w:val="restart"/>
            <w:vAlign w:val="bottom"/>
          </w:tcPr>
          <w:p w:rsidR="009C33ED" w:rsidRPr="004A7B5E" w:rsidRDefault="009C33ED" w:rsidP="00177A35">
            <w:pPr>
              <w:jc w:val="center"/>
              <w:rPr>
                <w:b/>
                <w:sz w:val="20"/>
              </w:rPr>
            </w:pPr>
            <w:r w:rsidRPr="004A7B5E">
              <w:rPr>
                <w:b/>
                <w:sz w:val="20"/>
              </w:rPr>
              <w:t>Remarks</w:t>
            </w:r>
          </w:p>
        </w:tc>
      </w:tr>
      <w:tr w:rsidR="009C33ED" w:rsidRPr="004A7B5E" w:rsidTr="00177A35">
        <w:tblPrEx>
          <w:tblCellMar>
            <w:top w:w="0" w:type="dxa"/>
            <w:bottom w:w="0" w:type="dxa"/>
          </w:tblCellMar>
        </w:tblPrEx>
        <w:trPr>
          <w:cantSplit/>
          <w:trHeight w:val="250"/>
          <w:tblHeader/>
          <w:jc w:val="center"/>
        </w:trPr>
        <w:tc>
          <w:tcPr>
            <w:tcW w:w="1909" w:type="dxa"/>
            <w:vMerge/>
            <w:tcBorders>
              <w:bottom w:val="single" w:sz="6" w:space="0" w:color="000000"/>
            </w:tcBorders>
            <w:vAlign w:val="bottom"/>
          </w:tcPr>
          <w:p w:rsidR="009C33ED" w:rsidRPr="004A7B5E" w:rsidRDefault="009C33ED" w:rsidP="00177A35">
            <w:pPr>
              <w:pStyle w:val="Heading1"/>
              <w:rPr>
                <w:sz w:val="20"/>
              </w:rPr>
            </w:pPr>
          </w:p>
        </w:tc>
        <w:tc>
          <w:tcPr>
            <w:tcW w:w="920" w:type="dxa"/>
            <w:vMerge/>
            <w:tcBorders>
              <w:bottom w:val="single" w:sz="6" w:space="0" w:color="000000"/>
            </w:tcBorders>
            <w:vAlign w:val="bottom"/>
          </w:tcPr>
          <w:p w:rsidR="009C33ED" w:rsidRPr="004A7B5E" w:rsidRDefault="009C33ED" w:rsidP="00177A35">
            <w:pPr>
              <w:jc w:val="center"/>
              <w:rPr>
                <w:b/>
                <w:sz w:val="20"/>
              </w:rPr>
            </w:pPr>
          </w:p>
        </w:tc>
        <w:tc>
          <w:tcPr>
            <w:tcW w:w="1136" w:type="dxa"/>
            <w:vMerge/>
            <w:tcBorders>
              <w:bottom w:val="single" w:sz="6" w:space="0" w:color="000000"/>
            </w:tcBorders>
          </w:tcPr>
          <w:p w:rsidR="009C33ED" w:rsidRPr="004A7B5E" w:rsidRDefault="009C33ED" w:rsidP="00177A35">
            <w:pPr>
              <w:jc w:val="center"/>
              <w:rPr>
                <w:b/>
                <w:sz w:val="20"/>
              </w:rPr>
            </w:pPr>
          </w:p>
        </w:tc>
        <w:tc>
          <w:tcPr>
            <w:tcW w:w="810" w:type="dxa"/>
            <w:vMerge/>
            <w:tcBorders>
              <w:bottom w:val="single" w:sz="6" w:space="0" w:color="000000"/>
            </w:tcBorders>
            <w:vAlign w:val="bottom"/>
          </w:tcPr>
          <w:p w:rsidR="009C33ED" w:rsidRPr="004A7B5E" w:rsidRDefault="009C33ED" w:rsidP="00177A35">
            <w:pPr>
              <w:jc w:val="center"/>
              <w:rPr>
                <w:b/>
                <w:sz w:val="20"/>
              </w:rPr>
            </w:pPr>
          </w:p>
        </w:tc>
        <w:tc>
          <w:tcPr>
            <w:tcW w:w="1080" w:type="dxa"/>
            <w:vMerge/>
            <w:tcBorders>
              <w:bottom w:val="single" w:sz="6" w:space="0" w:color="000000"/>
            </w:tcBorders>
            <w:vAlign w:val="bottom"/>
          </w:tcPr>
          <w:p w:rsidR="009C33ED" w:rsidRPr="004A7B5E" w:rsidRDefault="009C33ED" w:rsidP="00177A35">
            <w:pPr>
              <w:jc w:val="center"/>
              <w:rPr>
                <w:b/>
                <w:sz w:val="20"/>
              </w:rPr>
            </w:pPr>
          </w:p>
        </w:tc>
        <w:tc>
          <w:tcPr>
            <w:tcW w:w="954" w:type="dxa"/>
            <w:vMerge/>
            <w:tcBorders>
              <w:bottom w:val="single" w:sz="6" w:space="0" w:color="000000"/>
            </w:tcBorders>
          </w:tcPr>
          <w:p w:rsidR="009C33ED" w:rsidRPr="004A7B5E" w:rsidRDefault="009C33ED" w:rsidP="00177A35">
            <w:pPr>
              <w:jc w:val="center"/>
              <w:rPr>
                <w:b/>
                <w:sz w:val="20"/>
              </w:rPr>
            </w:pPr>
          </w:p>
        </w:tc>
        <w:tc>
          <w:tcPr>
            <w:tcW w:w="954" w:type="dxa"/>
            <w:vMerge/>
            <w:tcBorders>
              <w:bottom w:val="single" w:sz="6" w:space="0" w:color="000000"/>
            </w:tcBorders>
          </w:tcPr>
          <w:p w:rsidR="009C33ED" w:rsidRPr="004A7B5E" w:rsidRDefault="009C33ED" w:rsidP="00177A35">
            <w:pPr>
              <w:jc w:val="center"/>
              <w:rPr>
                <w:b/>
                <w:sz w:val="20"/>
              </w:rPr>
            </w:pPr>
          </w:p>
        </w:tc>
        <w:tc>
          <w:tcPr>
            <w:tcW w:w="1260" w:type="dxa"/>
            <w:vMerge/>
            <w:tcBorders>
              <w:bottom w:val="single" w:sz="6" w:space="0" w:color="000000"/>
            </w:tcBorders>
            <w:vAlign w:val="bottom"/>
          </w:tcPr>
          <w:p w:rsidR="009C33ED" w:rsidRPr="004A7B5E" w:rsidRDefault="009C33ED" w:rsidP="00177A35">
            <w:pPr>
              <w:jc w:val="center"/>
              <w:rPr>
                <w:b/>
                <w:sz w:val="20"/>
              </w:rPr>
            </w:pPr>
          </w:p>
        </w:tc>
        <w:tc>
          <w:tcPr>
            <w:tcW w:w="1260" w:type="dxa"/>
            <w:vMerge/>
            <w:tcBorders>
              <w:bottom w:val="single" w:sz="6" w:space="0" w:color="000000"/>
            </w:tcBorders>
            <w:vAlign w:val="bottom"/>
          </w:tcPr>
          <w:p w:rsidR="009C33ED" w:rsidRPr="004A7B5E" w:rsidRDefault="009C33ED" w:rsidP="00177A35">
            <w:pPr>
              <w:jc w:val="center"/>
              <w:rPr>
                <w:b/>
                <w:sz w:val="20"/>
              </w:rPr>
            </w:pPr>
          </w:p>
        </w:tc>
        <w:tc>
          <w:tcPr>
            <w:tcW w:w="891" w:type="dxa"/>
            <w:tcBorders>
              <w:left w:val="nil"/>
              <w:bottom w:val="single" w:sz="6" w:space="0" w:color="000000"/>
            </w:tcBorders>
            <w:vAlign w:val="bottom"/>
          </w:tcPr>
          <w:p w:rsidR="009C33ED" w:rsidRPr="004A7B5E" w:rsidRDefault="009C33ED" w:rsidP="00177A35">
            <w:pPr>
              <w:ind w:left="-105"/>
              <w:jc w:val="center"/>
              <w:rPr>
                <w:b/>
                <w:sz w:val="20"/>
              </w:rPr>
            </w:pPr>
            <w:r w:rsidRPr="004A7B5E">
              <w:rPr>
                <w:b/>
                <w:sz w:val="20"/>
              </w:rPr>
              <w:t>Intake</w:t>
            </w:r>
          </w:p>
        </w:tc>
        <w:tc>
          <w:tcPr>
            <w:tcW w:w="999" w:type="dxa"/>
            <w:gridSpan w:val="2"/>
            <w:tcBorders>
              <w:left w:val="nil"/>
              <w:bottom w:val="single" w:sz="6" w:space="0" w:color="000000"/>
            </w:tcBorders>
            <w:vAlign w:val="bottom"/>
          </w:tcPr>
          <w:p w:rsidR="009C33ED" w:rsidRPr="004A7B5E" w:rsidRDefault="009C33ED" w:rsidP="00177A35">
            <w:pPr>
              <w:ind w:left="-105"/>
              <w:jc w:val="center"/>
              <w:rPr>
                <w:b/>
                <w:sz w:val="20"/>
              </w:rPr>
            </w:pPr>
            <w:r w:rsidRPr="004A7B5E">
              <w:rPr>
                <w:b/>
                <w:sz w:val="20"/>
              </w:rPr>
              <w:t>Exhaust</w:t>
            </w:r>
          </w:p>
        </w:tc>
        <w:tc>
          <w:tcPr>
            <w:tcW w:w="2471" w:type="dxa"/>
            <w:vMerge/>
            <w:tcBorders>
              <w:bottom w:val="single" w:sz="6" w:space="0" w:color="000000"/>
            </w:tcBorders>
            <w:vAlign w:val="bottom"/>
          </w:tcPr>
          <w:p w:rsidR="009C33ED" w:rsidRPr="004A7B5E" w:rsidRDefault="009C33ED" w:rsidP="00177A35">
            <w:pPr>
              <w:jc w:val="center"/>
              <w:rPr>
                <w:b/>
                <w:sz w:val="20"/>
              </w:rPr>
            </w:pPr>
          </w:p>
        </w:tc>
      </w:tr>
      <w:tr w:rsidR="009C33ED" w:rsidRPr="004A7B5E" w:rsidTr="00177A35">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rPr>
                <w:sz w:val="22"/>
                <w:szCs w:val="22"/>
              </w:rPr>
            </w:pPr>
            <w:r w:rsidRPr="001F08AC">
              <w:rPr>
                <w:sz w:val="22"/>
                <w:szCs w:val="22"/>
              </w:rPr>
              <w:t>Background</w:t>
            </w:r>
            <w:r>
              <w:rPr>
                <w:sz w:val="22"/>
                <w:szCs w:val="22"/>
              </w:rPr>
              <w:t xml:space="preserve"> (outside)</w:t>
            </w:r>
          </w:p>
        </w:tc>
        <w:tc>
          <w:tcPr>
            <w:tcW w:w="920"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384</w:t>
            </w:r>
          </w:p>
        </w:tc>
        <w:tc>
          <w:tcPr>
            <w:tcW w:w="1136"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ND</w:t>
            </w:r>
          </w:p>
        </w:tc>
        <w:tc>
          <w:tcPr>
            <w:tcW w:w="810"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40</w:t>
            </w:r>
          </w:p>
        </w:tc>
        <w:tc>
          <w:tcPr>
            <w:tcW w:w="1080"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97</w:t>
            </w:r>
          </w:p>
        </w:tc>
        <w:tc>
          <w:tcPr>
            <w:tcW w:w="954"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ND</w:t>
            </w:r>
          </w:p>
        </w:tc>
        <w:tc>
          <w:tcPr>
            <w:tcW w:w="954"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12</w:t>
            </w:r>
          </w:p>
        </w:tc>
        <w:tc>
          <w:tcPr>
            <w:tcW w:w="1260"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w:t>
            </w:r>
          </w:p>
        </w:tc>
        <w:tc>
          <w:tcPr>
            <w:tcW w:w="1260"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w:t>
            </w:r>
          </w:p>
        </w:tc>
        <w:tc>
          <w:tcPr>
            <w:tcW w:w="900" w:type="dxa"/>
            <w:gridSpan w:val="2"/>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w:t>
            </w:r>
          </w:p>
        </w:tc>
        <w:tc>
          <w:tcPr>
            <w:tcW w:w="990" w:type="dxa"/>
            <w:tcBorders>
              <w:top w:val="single" w:sz="6" w:space="0" w:color="000000"/>
              <w:bottom w:val="single" w:sz="6" w:space="0" w:color="000000"/>
            </w:tcBorders>
            <w:shd w:val="clear" w:color="auto" w:fill="D9D9D9"/>
            <w:vAlign w:val="center"/>
          </w:tcPr>
          <w:p w:rsidR="009C33ED" w:rsidRPr="001F08AC" w:rsidRDefault="009C33ED" w:rsidP="00177A35">
            <w:pPr>
              <w:spacing w:before="60" w:after="60"/>
              <w:jc w:val="center"/>
              <w:rPr>
                <w:sz w:val="22"/>
                <w:szCs w:val="22"/>
              </w:rPr>
            </w:pPr>
            <w:r>
              <w:rPr>
                <w:sz w:val="22"/>
                <w:szCs w:val="22"/>
              </w:rPr>
              <w:t>-</w:t>
            </w:r>
          </w:p>
        </w:tc>
        <w:tc>
          <w:tcPr>
            <w:tcW w:w="2471" w:type="dxa"/>
            <w:tcBorders>
              <w:top w:val="single" w:sz="6" w:space="0" w:color="000000"/>
              <w:left w:val="nil"/>
              <w:bottom w:val="single" w:sz="6" w:space="0" w:color="000000"/>
            </w:tcBorders>
            <w:shd w:val="clear" w:color="auto" w:fill="D9D9D9"/>
            <w:vAlign w:val="center"/>
          </w:tcPr>
          <w:p w:rsidR="009C33ED" w:rsidRPr="001F08AC" w:rsidRDefault="009C33ED" w:rsidP="00177A35">
            <w:pPr>
              <w:pStyle w:val="Header"/>
              <w:tabs>
                <w:tab w:val="clear" w:pos="4320"/>
                <w:tab w:val="clear" w:pos="8640"/>
              </w:tabs>
              <w:spacing w:before="60" w:after="60"/>
              <w:rPr>
                <w:sz w:val="22"/>
                <w:szCs w:val="22"/>
              </w:rPr>
            </w:pPr>
            <w:r>
              <w:rPr>
                <w:sz w:val="22"/>
                <w:szCs w:val="22"/>
              </w:rPr>
              <w:t>Overcast</w:t>
            </w:r>
          </w:p>
        </w:tc>
      </w:tr>
      <w:tr w:rsidR="009C33ED" w:rsidRPr="004A7B5E" w:rsidTr="00177A35">
        <w:tblPrEx>
          <w:tblCellMar>
            <w:top w:w="0" w:type="dxa"/>
            <w:bottom w:w="0" w:type="dxa"/>
          </w:tblCellMar>
        </w:tblPrEx>
        <w:trPr>
          <w:trHeight w:val="570"/>
          <w:jc w:val="center"/>
        </w:trPr>
        <w:tc>
          <w:tcPr>
            <w:tcW w:w="1909" w:type="dxa"/>
            <w:tcBorders>
              <w:top w:val="single" w:sz="6" w:space="0" w:color="000000"/>
            </w:tcBorders>
            <w:vAlign w:val="center"/>
          </w:tcPr>
          <w:p w:rsidR="009C33ED" w:rsidRPr="001F08AC" w:rsidRDefault="009C33ED" w:rsidP="00177A35">
            <w:pPr>
              <w:pStyle w:val="TableStyle2"/>
              <w:rPr>
                <w:rFonts w:ascii="Times New Roman" w:hAnsi="Times New Roman" w:cs="Times New Roman"/>
                <w:sz w:val="22"/>
                <w:szCs w:val="22"/>
              </w:rPr>
            </w:pPr>
            <w:r>
              <w:rPr>
                <w:rFonts w:ascii="Times New Roman" w:hAnsi="Times New Roman" w:cs="Times New Roman"/>
                <w:sz w:val="22"/>
                <w:szCs w:val="22"/>
              </w:rPr>
              <w:t>Break Room</w:t>
            </w:r>
          </w:p>
        </w:tc>
        <w:tc>
          <w:tcPr>
            <w:tcW w:w="920" w:type="dxa"/>
            <w:tcBorders>
              <w:top w:val="single" w:sz="6" w:space="0" w:color="000000"/>
            </w:tcBorders>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789</w:t>
            </w:r>
          </w:p>
        </w:tc>
        <w:tc>
          <w:tcPr>
            <w:tcW w:w="1136" w:type="dxa"/>
            <w:tcBorders>
              <w:top w:val="single" w:sz="6" w:space="0" w:color="000000"/>
            </w:tcBorders>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ND</w:t>
            </w:r>
          </w:p>
        </w:tc>
        <w:tc>
          <w:tcPr>
            <w:tcW w:w="810" w:type="dxa"/>
            <w:tcBorders>
              <w:top w:val="single" w:sz="6" w:space="0" w:color="000000"/>
            </w:tcBorders>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71</w:t>
            </w:r>
          </w:p>
        </w:tc>
        <w:tc>
          <w:tcPr>
            <w:tcW w:w="1080" w:type="dxa"/>
            <w:tcBorders>
              <w:top w:val="single" w:sz="6" w:space="0" w:color="000000"/>
            </w:tcBorders>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42</w:t>
            </w:r>
          </w:p>
        </w:tc>
        <w:tc>
          <w:tcPr>
            <w:tcW w:w="954" w:type="dxa"/>
            <w:tcBorders>
              <w:top w:val="single" w:sz="6" w:space="0" w:color="000000"/>
            </w:tcBorders>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ND</w:t>
            </w:r>
          </w:p>
        </w:tc>
        <w:tc>
          <w:tcPr>
            <w:tcW w:w="954" w:type="dxa"/>
            <w:tcBorders>
              <w:top w:val="single" w:sz="6" w:space="0" w:color="000000"/>
            </w:tcBorders>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9</w:t>
            </w:r>
          </w:p>
        </w:tc>
        <w:tc>
          <w:tcPr>
            <w:tcW w:w="1260" w:type="dxa"/>
            <w:tcBorders>
              <w:top w:val="single" w:sz="6" w:space="0" w:color="000000"/>
            </w:tcBorders>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3</w:t>
            </w:r>
          </w:p>
        </w:tc>
        <w:tc>
          <w:tcPr>
            <w:tcW w:w="1260" w:type="dxa"/>
            <w:tcBorders>
              <w:top w:val="single" w:sz="6" w:space="0" w:color="000000"/>
            </w:tcBorders>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gridSpan w:val="2"/>
            <w:tcBorders>
              <w:top w:val="single" w:sz="6" w:space="0" w:color="000000"/>
            </w:tcBorders>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90" w:type="dxa"/>
            <w:tcBorders>
              <w:top w:val="single" w:sz="6" w:space="0" w:color="000000"/>
            </w:tcBorders>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2471" w:type="dxa"/>
            <w:tcBorders>
              <w:top w:val="single" w:sz="6" w:space="0" w:color="000000"/>
              <w:left w:val="nil"/>
            </w:tcBorders>
            <w:vAlign w:val="center"/>
          </w:tcPr>
          <w:p w:rsidR="009C33ED" w:rsidRPr="001F08AC" w:rsidRDefault="009C33ED" w:rsidP="00177A35">
            <w:pPr>
              <w:pStyle w:val="Body"/>
              <w:rPr>
                <w:rFonts w:ascii="Times New Roman" w:hAnsi="Times New Roman" w:cs="Times New Roman"/>
              </w:rPr>
            </w:pPr>
            <w:r>
              <w:rPr>
                <w:rFonts w:ascii="Times New Roman" w:hAnsi="Times New Roman" w:cs="Times New Roman"/>
              </w:rPr>
              <w:t>WD CTs and walls, active leaks</w:t>
            </w:r>
          </w:p>
        </w:tc>
      </w:tr>
      <w:tr w:rsidR="009C33ED" w:rsidRPr="004A7B5E" w:rsidTr="00177A35">
        <w:tblPrEx>
          <w:tblCellMar>
            <w:top w:w="0" w:type="dxa"/>
            <w:bottom w:w="0" w:type="dxa"/>
          </w:tblCellMar>
        </w:tblPrEx>
        <w:trPr>
          <w:trHeight w:val="570"/>
          <w:jc w:val="center"/>
        </w:trPr>
        <w:tc>
          <w:tcPr>
            <w:tcW w:w="1909" w:type="dxa"/>
            <w:vAlign w:val="center"/>
          </w:tcPr>
          <w:p w:rsidR="009C33ED" w:rsidRPr="001F08AC" w:rsidRDefault="009C33ED" w:rsidP="00177A35">
            <w:pPr>
              <w:pStyle w:val="TableStyle2"/>
              <w:rPr>
                <w:rFonts w:ascii="Times New Roman" w:hAnsi="Times New Roman" w:cs="Times New Roman"/>
                <w:sz w:val="22"/>
                <w:szCs w:val="22"/>
              </w:rPr>
            </w:pPr>
            <w:r>
              <w:rPr>
                <w:rFonts w:ascii="Times New Roman" w:hAnsi="Times New Roman" w:cs="Times New Roman"/>
                <w:sz w:val="22"/>
                <w:szCs w:val="22"/>
              </w:rPr>
              <w:t>Main waiting area near break room</w:t>
            </w:r>
          </w:p>
        </w:tc>
        <w:tc>
          <w:tcPr>
            <w:tcW w:w="92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849</w:t>
            </w:r>
          </w:p>
        </w:tc>
        <w:tc>
          <w:tcPr>
            <w:tcW w:w="1136" w:type="dxa"/>
            <w:vAlign w:val="center"/>
          </w:tcPr>
          <w:p w:rsidR="009C33ED" w:rsidRPr="001F08AC" w:rsidRDefault="009C33ED" w:rsidP="00177A35">
            <w:pPr>
              <w:jc w:val="center"/>
              <w:rPr>
                <w:sz w:val="22"/>
                <w:szCs w:val="22"/>
              </w:rPr>
            </w:pPr>
            <w:r>
              <w:rPr>
                <w:sz w:val="22"/>
                <w:szCs w:val="22"/>
              </w:rPr>
              <w:t>ND</w:t>
            </w:r>
          </w:p>
        </w:tc>
        <w:tc>
          <w:tcPr>
            <w:tcW w:w="810" w:type="dxa"/>
            <w:vAlign w:val="center"/>
          </w:tcPr>
          <w:p w:rsidR="009C33ED" w:rsidRPr="001F08AC" w:rsidRDefault="009C33ED" w:rsidP="00177A35">
            <w:pPr>
              <w:jc w:val="center"/>
              <w:rPr>
                <w:sz w:val="22"/>
                <w:szCs w:val="22"/>
              </w:rPr>
            </w:pPr>
            <w:r>
              <w:rPr>
                <w:sz w:val="22"/>
                <w:szCs w:val="22"/>
              </w:rPr>
              <w:t>73</w:t>
            </w:r>
          </w:p>
        </w:tc>
        <w:tc>
          <w:tcPr>
            <w:tcW w:w="1080" w:type="dxa"/>
            <w:vAlign w:val="center"/>
          </w:tcPr>
          <w:p w:rsidR="009C33ED" w:rsidRPr="001F08AC" w:rsidRDefault="009C33ED" w:rsidP="00177A35">
            <w:pPr>
              <w:jc w:val="center"/>
              <w:rPr>
                <w:sz w:val="22"/>
                <w:szCs w:val="22"/>
              </w:rPr>
            </w:pPr>
            <w:r>
              <w:rPr>
                <w:sz w:val="22"/>
                <w:szCs w:val="22"/>
              </w:rPr>
              <w:t>39</w:t>
            </w:r>
          </w:p>
        </w:tc>
        <w:tc>
          <w:tcPr>
            <w:tcW w:w="954" w:type="dxa"/>
            <w:vAlign w:val="center"/>
          </w:tcPr>
          <w:p w:rsidR="009C33ED" w:rsidRPr="001F08AC" w:rsidRDefault="009C33ED" w:rsidP="00177A35">
            <w:pPr>
              <w:jc w:val="center"/>
              <w:rPr>
                <w:sz w:val="22"/>
                <w:szCs w:val="22"/>
              </w:rPr>
            </w:pPr>
            <w:r>
              <w:rPr>
                <w:sz w:val="22"/>
                <w:szCs w:val="22"/>
              </w:rPr>
              <w:t>ND</w:t>
            </w:r>
          </w:p>
        </w:tc>
        <w:tc>
          <w:tcPr>
            <w:tcW w:w="954" w:type="dxa"/>
            <w:vAlign w:val="center"/>
          </w:tcPr>
          <w:p w:rsidR="009C33ED" w:rsidRPr="001F08AC" w:rsidRDefault="009C33ED" w:rsidP="00177A35">
            <w:pPr>
              <w:jc w:val="center"/>
              <w:rPr>
                <w:sz w:val="22"/>
                <w:szCs w:val="22"/>
              </w:rPr>
            </w:pPr>
            <w:r>
              <w:rPr>
                <w:sz w:val="22"/>
                <w:szCs w:val="22"/>
              </w:rPr>
              <w:t>7</w:t>
            </w:r>
          </w:p>
        </w:tc>
        <w:tc>
          <w:tcPr>
            <w:tcW w:w="1260" w:type="dxa"/>
            <w:vAlign w:val="center"/>
          </w:tcPr>
          <w:p w:rsidR="009C33ED" w:rsidRPr="001F08AC" w:rsidRDefault="009C33ED" w:rsidP="00177A35">
            <w:pPr>
              <w:jc w:val="center"/>
              <w:rPr>
                <w:sz w:val="22"/>
                <w:szCs w:val="22"/>
              </w:rPr>
            </w:pPr>
            <w:r>
              <w:rPr>
                <w:sz w:val="22"/>
                <w:szCs w:val="22"/>
              </w:rPr>
              <w:t>15</w:t>
            </w:r>
          </w:p>
        </w:tc>
        <w:tc>
          <w:tcPr>
            <w:tcW w:w="126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gridSpan w:val="2"/>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9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2471" w:type="dxa"/>
            <w:tcBorders>
              <w:left w:val="nil"/>
            </w:tcBorders>
            <w:vAlign w:val="center"/>
          </w:tcPr>
          <w:p w:rsidR="009C33ED" w:rsidRPr="001F08AC" w:rsidRDefault="009C33ED" w:rsidP="00177A35">
            <w:pPr>
              <w:pStyle w:val="TableStyle2"/>
              <w:rPr>
                <w:rFonts w:ascii="Times New Roman" w:hAnsi="Times New Roman" w:cs="Times New Roman"/>
                <w:sz w:val="22"/>
                <w:szCs w:val="22"/>
              </w:rPr>
            </w:pPr>
          </w:p>
        </w:tc>
      </w:tr>
      <w:tr w:rsidR="009C33ED" w:rsidRPr="004A7B5E" w:rsidTr="00177A35">
        <w:tblPrEx>
          <w:tblCellMar>
            <w:top w:w="0" w:type="dxa"/>
            <w:bottom w:w="0" w:type="dxa"/>
          </w:tblCellMar>
        </w:tblPrEx>
        <w:trPr>
          <w:trHeight w:val="570"/>
          <w:jc w:val="center"/>
        </w:trPr>
        <w:tc>
          <w:tcPr>
            <w:tcW w:w="1909" w:type="dxa"/>
            <w:vAlign w:val="center"/>
          </w:tcPr>
          <w:p w:rsidR="009C33ED" w:rsidRPr="001F08AC" w:rsidRDefault="009C33ED" w:rsidP="00177A35">
            <w:pPr>
              <w:pStyle w:val="TableStyle2"/>
              <w:rPr>
                <w:rFonts w:ascii="Times New Roman" w:hAnsi="Times New Roman" w:cs="Times New Roman"/>
                <w:sz w:val="22"/>
                <w:szCs w:val="22"/>
              </w:rPr>
            </w:pPr>
            <w:r>
              <w:rPr>
                <w:rFonts w:ascii="Times New Roman" w:hAnsi="Times New Roman" w:cs="Times New Roman"/>
                <w:sz w:val="22"/>
                <w:szCs w:val="22"/>
              </w:rPr>
              <w:t>Waiting area-Center/right</w:t>
            </w:r>
          </w:p>
        </w:tc>
        <w:tc>
          <w:tcPr>
            <w:tcW w:w="92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914</w:t>
            </w:r>
          </w:p>
        </w:tc>
        <w:tc>
          <w:tcPr>
            <w:tcW w:w="1136"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ND</w:t>
            </w:r>
          </w:p>
        </w:tc>
        <w:tc>
          <w:tcPr>
            <w:tcW w:w="81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73</w:t>
            </w:r>
          </w:p>
        </w:tc>
        <w:tc>
          <w:tcPr>
            <w:tcW w:w="108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39</w:t>
            </w:r>
          </w:p>
        </w:tc>
        <w:tc>
          <w:tcPr>
            <w:tcW w:w="954" w:type="dxa"/>
            <w:vAlign w:val="center"/>
          </w:tcPr>
          <w:p w:rsidR="009C33ED" w:rsidRPr="001F08AC" w:rsidRDefault="009C33ED" w:rsidP="00177A35">
            <w:pPr>
              <w:jc w:val="center"/>
              <w:rPr>
                <w:sz w:val="22"/>
                <w:szCs w:val="22"/>
              </w:rPr>
            </w:pPr>
            <w:r>
              <w:rPr>
                <w:sz w:val="22"/>
                <w:szCs w:val="22"/>
              </w:rPr>
              <w:t>ND</w:t>
            </w:r>
          </w:p>
        </w:tc>
        <w:tc>
          <w:tcPr>
            <w:tcW w:w="954" w:type="dxa"/>
            <w:vAlign w:val="center"/>
          </w:tcPr>
          <w:p w:rsidR="009C33ED" w:rsidRPr="001F08AC" w:rsidRDefault="009C33ED" w:rsidP="00177A35">
            <w:pPr>
              <w:jc w:val="center"/>
              <w:rPr>
                <w:sz w:val="22"/>
                <w:szCs w:val="22"/>
              </w:rPr>
            </w:pPr>
            <w:r>
              <w:rPr>
                <w:sz w:val="22"/>
                <w:szCs w:val="22"/>
              </w:rPr>
              <w:t>8</w:t>
            </w:r>
          </w:p>
        </w:tc>
        <w:tc>
          <w:tcPr>
            <w:tcW w:w="126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30</w:t>
            </w:r>
          </w:p>
        </w:tc>
        <w:tc>
          <w:tcPr>
            <w:tcW w:w="126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gridSpan w:val="2"/>
            <w:vAlign w:val="center"/>
          </w:tcPr>
          <w:p w:rsidR="009C33ED" w:rsidRPr="001F08AC" w:rsidRDefault="009C33ED" w:rsidP="00177A35">
            <w:pPr>
              <w:jc w:val="center"/>
              <w:rPr>
                <w:sz w:val="22"/>
                <w:szCs w:val="22"/>
              </w:rPr>
            </w:pPr>
            <w:r>
              <w:rPr>
                <w:sz w:val="22"/>
                <w:szCs w:val="22"/>
              </w:rPr>
              <w:t>Y</w:t>
            </w:r>
          </w:p>
        </w:tc>
        <w:tc>
          <w:tcPr>
            <w:tcW w:w="990" w:type="dxa"/>
            <w:vAlign w:val="center"/>
          </w:tcPr>
          <w:p w:rsidR="009C33ED" w:rsidRPr="001F08AC" w:rsidRDefault="009C33ED" w:rsidP="00177A35">
            <w:pPr>
              <w:jc w:val="center"/>
              <w:rPr>
                <w:sz w:val="22"/>
                <w:szCs w:val="22"/>
              </w:rPr>
            </w:pPr>
            <w:r>
              <w:rPr>
                <w:sz w:val="22"/>
                <w:szCs w:val="22"/>
              </w:rPr>
              <w:t>Y</w:t>
            </w:r>
          </w:p>
        </w:tc>
        <w:tc>
          <w:tcPr>
            <w:tcW w:w="2471" w:type="dxa"/>
            <w:tcBorders>
              <w:left w:val="nil"/>
            </w:tcBorders>
            <w:vAlign w:val="center"/>
          </w:tcPr>
          <w:p w:rsidR="009C33ED" w:rsidRPr="001F08AC" w:rsidRDefault="009C33ED" w:rsidP="00177A35">
            <w:pPr>
              <w:pStyle w:val="TableStyle2"/>
              <w:rPr>
                <w:rFonts w:ascii="Times New Roman" w:hAnsi="Times New Roman" w:cs="Times New Roman"/>
                <w:sz w:val="22"/>
                <w:szCs w:val="22"/>
              </w:rPr>
            </w:pPr>
          </w:p>
        </w:tc>
      </w:tr>
      <w:tr w:rsidR="009C33ED" w:rsidRPr="004A7B5E" w:rsidTr="00177A35">
        <w:tblPrEx>
          <w:tblCellMar>
            <w:top w:w="0" w:type="dxa"/>
            <w:bottom w:w="0" w:type="dxa"/>
          </w:tblCellMar>
        </w:tblPrEx>
        <w:trPr>
          <w:trHeight w:val="570"/>
          <w:jc w:val="center"/>
        </w:trPr>
        <w:tc>
          <w:tcPr>
            <w:tcW w:w="1909" w:type="dxa"/>
            <w:vAlign w:val="center"/>
          </w:tcPr>
          <w:p w:rsidR="009C33ED" w:rsidRPr="001F08AC" w:rsidRDefault="009C33ED" w:rsidP="00177A35">
            <w:pPr>
              <w:pStyle w:val="TableStyle2"/>
              <w:rPr>
                <w:rFonts w:ascii="Times New Roman" w:hAnsi="Times New Roman" w:cs="Times New Roman"/>
                <w:sz w:val="22"/>
                <w:szCs w:val="22"/>
              </w:rPr>
            </w:pPr>
            <w:r>
              <w:rPr>
                <w:rFonts w:ascii="Times New Roman" w:hAnsi="Times New Roman" w:cs="Times New Roman"/>
                <w:sz w:val="22"/>
                <w:szCs w:val="22"/>
              </w:rPr>
              <w:t>Waiting area- Center/left</w:t>
            </w:r>
          </w:p>
        </w:tc>
        <w:tc>
          <w:tcPr>
            <w:tcW w:w="92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960</w:t>
            </w:r>
          </w:p>
        </w:tc>
        <w:tc>
          <w:tcPr>
            <w:tcW w:w="1136"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ND</w:t>
            </w:r>
          </w:p>
        </w:tc>
        <w:tc>
          <w:tcPr>
            <w:tcW w:w="81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74</w:t>
            </w:r>
          </w:p>
        </w:tc>
        <w:tc>
          <w:tcPr>
            <w:tcW w:w="108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40</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ND</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9</w:t>
            </w:r>
          </w:p>
        </w:tc>
        <w:tc>
          <w:tcPr>
            <w:tcW w:w="126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40+</w:t>
            </w:r>
          </w:p>
        </w:tc>
        <w:tc>
          <w:tcPr>
            <w:tcW w:w="126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gridSpan w:val="2"/>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9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2471" w:type="dxa"/>
            <w:tcBorders>
              <w:left w:val="nil"/>
            </w:tcBorders>
            <w:vAlign w:val="center"/>
          </w:tcPr>
          <w:p w:rsidR="009C33ED" w:rsidRPr="001F08AC" w:rsidRDefault="009C33ED" w:rsidP="00177A35">
            <w:pPr>
              <w:pStyle w:val="TableStyle2"/>
              <w:rPr>
                <w:rFonts w:ascii="Times New Roman" w:hAnsi="Times New Roman" w:cs="Times New Roman"/>
                <w:sz w:val="22"/>
                <w:szCs w:val="22"/>
              </w:rPr>
            </w:pPr>
          </w:p>
        </w:tc>
      </w:tr>
      <w:tr w:rsidR="009C33ED" w:rsidRPr="004A7B5E" w:rsidTr="00177A35">
        <w:tblPrEx>
          <w:tblCellMar>
            <w:top w:w="0" w:type="dxa"/>
            <w:bottom w:w="0" w:type="dxa"/>
          </w:tblCellMar>
        </w:tblPrEx>
        <w:trPr>
          <w:trHeight w:val="570"/>
          <w:jc w:val="center"/>
        </w:trPr>
        <w:tc>
          <w:tcPr>
            <w:tcW w:w="1909" w:type="dxa"/>
            <w:vAlign w:val="center"/>
          </w:tcPr>
          <w:p w:rsidR="009C33ED" w:rsidRPr="001F08AC" w:rsidRDefault="009C33ED" w:rsidP="00177A35">
            <w:pPr>
              <w:pStyle w:val="TableStyle2"/>
              <w:rPr>
                <w:rFonts w:ascii="Times New Roman" w:hAnsi="Times New Roman" w:cs="Times New Roman"/>
                <w:sz w:val="22"/>
                <w:szCs w:val="22"/>
              </w:rPr>
            </w:pPr>
            <w:r>
              <w:rPr>
                <w:rFonts w:ascii="Times New Roman" w:hAnsi="Times New Roman" w:cs="Times New Roman"/>
                <w:sz w:val="22"/>
                <w:szCs w:val="22"/>
              </w:rPr>
              <w:t>Licensing waiting</w:t>
            </w:r>
          </w:p>
        </w:tc>
        <w:tc>
          <w:tcPr>
            <w:tcW w:w="92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972</w:t>
            </w:r>
          </w:p>
        </w:tc>
        <w:tc>
          <w:tcPr>
            <w:tcW w:w="1136"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ND</w:t>
            </w:r>
          </w:p>
        </w:tc>
        <w:tc>
          <w:tcPr>
            <w:tcW w:w="81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74</w:t>
            </w:r>
          </w:p>
        </w:tc>
        <w:tc>
          <w:tcPr>
            <w:tcW w:w="108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40</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ND</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10</w:t>
            </w:r>
          </w:p>
        </w:tc>
        <w:tc>
          <w:tcPr>
            <w:tcW w:w="126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35+</w:t>
            </w:r>
          </w:p>
        </w:tc>
        <w:tc>
          <w:tcPr>
            <w:tcW w:w="126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gridSpan w:val="2"/>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9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2471" w:type="dxa"/>
            <w:tcBorders>
              <w:left w:val="nil"/>
            </w:tcBorders>
            <w:vAlign w:val="center"/>
          </w:tcPr>
          <w:p w:rsidR="009C33ED" w:rsidRPr="001F08AC" w:rsidRDefault="009C33ED" w:rsidP="00177A35">
            <w:pPr>
              <w:pStyle w:val="TableStyle2"/>
              <w:rPr>
                <w:rFonts w:ascii="Times New Roman" w:hAnsi="Times New Roman" w:cs="Times New Roman"/>
                <w:sz w:val="22"/>
                <w:szCs w:val="22"/>
              </w:rPr>
            </w:pPr>
          </w:p>
        </w:tc>
      </w:tr>
      <w:tr w:rsidR="009C33ED" w:rsidRPr="004A7B5E" w:rsidTr="00177A35">
        <w:tblPrEx>
          <w:tblCellMar>
            <w:top w:w="0" w:type="dxa"/>
            <w:bottom w:w="0" w:type="dxa"/>
          </w:tblCellMar>
        </w:tblPrEx>
        <w:trPr>
          <w:trHeight w:val="570"/>
          <w:jc w:val="center"/>
        </w:trPr>
        <w:tc>
          <w:tcPr>
            <w:tcW w:w="1909" w:type="dxa"/>
            <w:vAlign w:val="center"/>
          </w:tcPr>
          <w:p w:rsidR="009C33ED" w:rsidRPr="001F08AC" w:rsidRDefault="009C33ED" w:rsidP="00177A35">
            <w:pPr>
              <w:pStyle w:val="Body"/>
              <w:rPr>
                <w:rFonts w:ascii="Times New Roman" w:hAnsi="Times New Roman" w:cs="Times New Roman"/>
              </w:rPr>
            </w:pPr>
            <w:r>
              <w:rPr>
                <w:rFonts w:ascii="Times New Roman" w:hAnsi="Times New Roman" w:cs="Times New Roman"/>
              </w:rPr>
              <w:t>Hearings/Race room</w:t>
            </w:r>
          </w:p>
        </w:tc>
        <w:tc>
          <w:tcPr>
            <w:tcW w:w="92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789</w:t>
            </w:r>
          </w:p>
        </w:tc>
        <w:tc>
          <w:tcPr>
            <w:tcW w:w="1136"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ND</w:t>
            </w:r>
          </w:p>
        </w:tc>
        <w:tc>
          <w:tcPr>
            <w:tcW w:w="81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73</w:t>
            </w:r>
          </w:p>
        </w:tc>
        <w:tc>
          <w:tcPr>
            <w:tcW w:w="108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37</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ND</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7</w:t>
            </w:r>
          </w:p>
        </w:tc>
        <w:tc>
          <w:tcPr>
            <w:tcW w:w="126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2</w:t>
            </w:r>
          </w:p>
        </w:tc>
        <w:tc>
          <w:tcPr>
            <w:tcW w:w="126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gridSpan w:val="2"/>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9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2471" w:type="dxa"/>
            <w:tcBorders>
              <w:left w:val="nil"/>
            </w:tcBorders>
            <w:vAlign w:val="center"/>
          </w:tcPr>
          <w:p w:rsidR="009C33ED" w:rsidRPr="001F08AC" w:rsidRDefault="009C33ED" w:rsidP="00177A35">
            <w:pPr>
              <w:pStyle w:val="TableStyle2"/>
              <w:rPr>
                <w:rFonts w:ascii="Times New Roman" w:hAnsi="Times New Roman" w:cs="Times New Roman"/>
                <w:sz w:val="22"/>
                <w:szCs w:val="22"/>
              </w:rPr>
            </w:pPr>
          </w:p>
        </w:tc>
      </w:tr>
      <w:tr w:rsidR="009C33ED" w:rsidRPr="004A7B5E" w:rsidTr="00177A35">
        <w:tblPrEx>
          <w:tblCellMar>
            <w:top w:w="0" w:type="dxa"/>
            <w:bottom w:w="0" w:type="dxa"/>
          </w:tblCellMar>
        </w:tblPrEx>
        <w:trPr>
          <w:trHeight w:val="570"/>
          <w:jc w:val="center"/>
        </w:trPr>
        <w:tc>
          <w:tcPr>
            <w:tcW w:w="1909" w:type="dxa"/>
            <w:vAlign w:val="center"/>
          </w:tcPr>
          <w:p w:rsidR="009C33ED" w:rsidRPr="001F08AC" w:rsidRDefault="009C33ED" w:rsidP="00177A35">
            <w:pPr>
              <w:pStyle w:val="TableStyle2"/>
              <w:rPr>
                <w:rFonts w:ascii="Times New Roman" w:hAnsi="Times New Roman" w:cs="Times New Roman"/>
                <w:sz w:val="22"/>
                <w:szCs w:val="22"/>
              </w:rPr>
            </w:pPr>
            <w:r>
              <w:rPr>
                <w:rFonts w:ascii="Times New Roman" w:hAnsi="Times New Roman" w:cs="Times New Roman"/>
                <w:sz w:val="22"/>
                <w:szCs w:val="22"/>
              </w:rPr>
              <w:t>Road Test (training room)</w:t>
            </w:r>
          </w:p>
        </w:tc>
        <w:tc>
          <w:tcPr>
            <w:tcW w:w="92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771</w:t>
            </w:r>
          </w:p>
        </w:tc>
        <w:tc>
          <w:tcPr>
            <w:tcW w:w="1136"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ND</w:t>
            </w:r>
          </w:p>
        </w:tc>
        <w:tc>
          <w:tcPr>
            <w:tcW w:w="81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72</w:t>
            </w:r>
          </w:p>
        </w:tc>
        <w:tc>
          <w:tcPr>
            <w:tcW w:w="108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37</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ND</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8</w:t>
            </w:r>
          </w:p>
        </w:tc>
        <w:tc>
          <w:tcPr>
            <w:tcW w:w="126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3</w:t>
            </w:r>
          </w:p>
        </w:tc>
        <w:tc>
          <w:tcPr>
            <w:tcW w:w="126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Y</w:t>
            </w:r>
          </w:p>
        </w:tc>
        <w:tc>
          <w:tcPr>
            <w:tcW w:w="99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9C33ED" w:rsidRPr="001F08AC" w:rsidRDefault="009C33ED" w:rsidP="00177A35">
            <w:pPr>
              <w:pStyle w:val="Body"/>
              <w:rPr>
                <w:rFonts w:ascii="Times New Roman" w:hAnsi="Times New Roman" w:cs="Times New Roman"/>
              </w:rPr>
            </w:pPr>
          </w:p>
        </w:tc>
      </w:tr>
      <w:tr w:rsidR="009C33ED" w:rsidRPr="004A7B5E" w:rsidTr="00177A35">
        <w:tblPrEx>
          <w:tblCellMar>
            <w:top w:w="0" w:type="dxa"/>
            <w:bottom w:w="0" w:type="dxa"/>
          </w:tblCellMar>
        </w:tblPrEx>
        <w:trPr>
          <w:trHeight w:val="570"/>
          <w:jc w:val="center"/>
        </w:trPr>
        <w:tc>
          <w:tcPr>
            <w:tcW w:w="1909" w:type="dxa"/>
            <w:vAlign w:val="center"/>
          </w:tcPr>
          <w:p w:rsidR="009C33ED" w:rsidRPr="001F08AC" w:rsidRDefault="009C33ED" w:rsidP="00177A35">
            <w:pPr>
              <w:pStyle w:val="Body"/>
              <w:rPr>
                <w:rFonts w:ascii="Times New Roman" w:hAnsi="Times New Roman" w:cs="Times New Roman"/>
              </w:rPr>
            </w:pPr>
            <w:r>
              <w:rPr>
                <w:rFonts w:ascii="Times New Roman" w:hAnsi="Times New Roman" w:cs="Times New Roman"/>
              </w:rPr>
              <w:t>Licensing room</w:t>
            </w:r>
          </w:p>
        </w:tc>
        <w:tc>
          <w:tcPr>
            <w:tcW w:w="92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895</w:t>
            </w:r>
          </w:p>
        </w:tc>
        <w:tc>
          <w:tcPr>
            <w:tcW w:w="1136"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ND</w:t>
            </w:r>
          </w:p>
        </w:tc>
        <w:tc>
          <w:tcPr>
            <w:tcW w:w="81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72</w:t>
            </w:r>
          </w:p>
        </w:tc>
        <w:tc>
          <w:tcPr>
            <w:tcW w:w="108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39</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ND</w:t>
            </w:r>
          </w:p>
        </w:tc>
        <w:tc>
          <w:tcPr>
            <w:tcW w:w="954"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8</w:t>
            </w:r>
          </w:p>
        </w:tc>
        <w:tc>
          <w:tcPr>
            <w:tcW w:w="1260" w:type="dxa"/>
            <w:vAlign w:val="center"/>
          </w:tcPr>
          <w:p w:rsidR="009C33ED" w:rsidRPr="001F08AC" w:rsidRDefault="009C33ED" w:rsidP="00177A35">
            <w:pPr>
              <w:pStyle w:val="Body"/>
              <w:jc w:val="center"/>
              <w:rPr>
                <w:rFonts w:ascii="Times New Roman" w:hAnsi="Times New Roman" w:cs="Times New Roman"/>
              </w:rPr>
            </w:pPr>
            <w:r>
              <w:rPr>
                <w:rFonts w:ascii="Times New Roman" w:hAnsi="Times New Roman" w:cs="Times New Roman"/>
              </w:rPr>
              <w:t>0</w:t>
            </w:r>
          </w:p>
        </w:tc>
        <w:tc>
          <w:tcPr>
            <w:tcW w:w="126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gridSpan w:val="2"/>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90" w:type="dxa"/>
            <w:vAlign w:val="center"/>
          </w:tcPr>
          <w:p w:rsidR="009C33ED" w:rsidRPr="001F08AC" w:rsidRDefault="009C33ED" w:rsidP="00177A35">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2471" w:type="dxa"/>
            <w:tcBorders>
              <w:left w:val="nil"/>
            </w:tcBorders>
            <w:vAlign w:val="center"/>
          </w:tcPr>
          <w:p w:rsidR="009C33ED" w:rsidRPr="001F08AC" w:rsidRDefault="009C33ED" w:rsidP="00177A35">
            <w:pPr>
              <w:pStyle w:val="TableStyle2"/>
              <w:rPr>
                <w:rFonts w:ascii="Times New Roman" w:hAnsi="Times New Roman" w:cs="Times New Roman"/>
                <w:sz w:val="22"/>
                <w:szCs w:val="22"/>
              </w:rPr>
            </w:pPr>
          </w:p>
        </w:tc>
      </w:tr>
    </w:tbl>
    <w:p w:rsidR="009C33ED" w:rsidRDefault="009C33ED" w:rsidP="009C33ED"/>
    <w:p w:rsidR="00AA445B" w:rsidRDefault="00AA445B" w:rsidP="002A6894">
      <w:pPr>
        <w:pStyle w:val="References"/>
      </w:pPr>
    </w:p>
    <w:sectPr w:rsidR="00AA445B" w:rsidSect="009C33ED">
      <w:headerReference w:type="first" r:id="rId20"/>
      <w:footerReference w:type="first" r:id="rId21"/>
      <w:pgSz w:w="15840" w:h="12240" w:orient="landscape" w:code="1"/>
      <w:pgMar w:top="446" w:right="720" w:bottom="80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16" w:rsidRDefault="00C43F16">
      <w:r>
        <w:separator/>
      </w:r>
    </w:p>
  </w:endnote>
  <w:endnote w:type="continuationSeparator" w:id="0">
    <w:p w:rsidR="00C43F16" w:rsidRDefault="00C4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3E7">
      <w:rPr>
        <w:rStyle w:val="PageNumber"/>
        <w:noProof/>
      </w:rPr>
      <w:t>7</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B0" w:rsidRDefault="009C77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172" w:type="dxa"/>
      <w:jc w:val="center"/>
      <w:tblInd w:w="-98" w:type="dxa"/>
      <w:tblLayout w:type="fixed"/>
      <w:tblLook w:val="0000" w:firstRow="0" w:lastRow="0" w:firstColumn="0" w:lastColumn="0" w:noHBand="0" w:noVBand="0"/>
    </w:tblPr>
    <w:tblGrid>
      <w:gridCol w:w="3407"/>
      <w:gridCol w:w="2679"/>
      <w:gridCol w:w="3164"/>
      <w:gridCol w:w="2922"/>
    </w:tblGrid>
    <w:tr w:rsidR="00177A35" w:rsidRPr="00F374D5" w:rsidTr="00177A35">
      <w:trPr>
        <w:trHeight w:val="313"/>
        <w:jc w:val="center"/>
      </w:trPr>
      <w:tc>
        <w:tcPr>
          <w:tcW w:w="3407" w:type="dxa"/>
          <w:tcBorders>
            <w:top w:val="nil"/>
            <w:left w:val="nil"/>
            <w:bottom w:val="nil"/>
            <w:right w:val="nil"/>
          </w:tcBorders>
          <w:shd w:val="clear" w:color="auto" w:fill="auto"/>
          <w:noWrap/>
          <w:vAlign w:val="bottom"/>
        </w:tcPr>
        <w:p w:rsidR="00177A35" w:rsidRPr="00F374D5" w:rsidRDefault="00177A35" w:rsidP="00177A35">
          <w:pPr>
            <w:rPr>
              <w:rFonts w:ascii="Times" w:hAnsi="Times" w:cs="Times"/>
              <w:sz w:val="20"/>
            </w:rPr>
          </w:pPr>
          <w:r w:rsidRPr="00F374D5">
            <w:rPr>
              <w:rFonts w:ascii="Times" w:hAnsi="Times" w:cs="Times"/>
              <w:sz w:val="20"/>
            </w:rPr>
            <w:t>ppm = parts per million</w:t>
          </w:r>
        </w:p>
      </w:tc>
      <w:tc>
        <w:tcPr>
          <w:tcW w:w="2679" w:type="dxa"/>
          <w:tcBorders>
            <w:top w:val="nil"/>
            <w:left w:val="nil"/>
            <w:bottom w:val="nil"/>
            <w:right w:val="nil"/>
          </w:tcBorders>
          <w:shd w:val="clear" w:color="auto" w:fill="auto"/>
          <w:noWrap/>
          <w:vAlign w:val="bottom"/>
        </w:tcPr>
        <w:p w:rsidR="00177A35" w:rsidRPr="00F374D5" w:rsidRDefault="00177A35" w:rsidP="00177A35">
          <w:pPr>
            <w:rPr>
              <w:rFonts w:ascii="Times" w:hAnsi="Times" w:cs="Times"/>
              <w:sz w:val="20"/>
            </w:rPr>
          </w:pPr>
          <w:r w:rsidRPr="00F374D5">
            <w:rPr>
              <w:rFonts w:ascii="Times" w:hAnsi="Times" w:cs="Times"/>
              <w:sz w:val="20"/>
            </w:rPr>
            <w:t>ND = non detect</w:t>
          </w:r>
        </w:p>
      </w:tc>
      <w:tc>
        <w:tcPr>
          <w:tcW w:w="3164" w:type="dxa"/>
          <w:tcBorders>
            <w:top w:val="nil"/>
            <w:left w:val="nil"/>
            <w:bottom w:val="nil"/>
            <w:right w:val="nil"/>
          </w:tcBorders>
          <w:shd w:val="clear" w:color="auto" w:fill="auto"/>
          <w:noWrap/>
          <w:vAlign w:val="bottom"/>
        </w:tcPr>
        <w:p w:rsidR="00177A35" w:rsidRPr="00F374D5" w:rsidRDefault="00177A35" w:rsidP="00177A35">
          <w:pPr>
            <w:rPr>
              <w:rFonts w:ascii="Times" w:hAnsi="Times" w:cs="Times"/>
              <w:sz w:val="20"/>
            </w:rPr>
          </w:pPr>
          <w:r w:rsidRPr="006C4A4A">
            <w:rPr>
              <w:rFonts w:ascii="Times" w:hAnsi="Times" w:cs="Times"/>
              <w:sz w:val="20"/>
            </w:rPr>
            <w:t>CT = ceiling tile</w:t>
          </w:r>
        </w:p>
      </w:tc>
      <w:tc>
        <w:tcPr>
          <w:tcW w:w="2922" w:type="dxa"/>
          <w:tcBorders>
            <w:top w:val="nil"/>
            <w:left w:val="nil"/>
            <w:bottom w:val="nil"/>
            <w:right w:val="nil"/>
          </w:tcBorders>
          <w:shd w:val="clear" w:color="auto" w:fill="auto"/>
          <w:noWrap/>
          <w:vAlign w:val="bottom"/>
        </w:tcPr>
        <w:p w:rsidR="00177A35" w:rsidRPr="00F374D5" w:rsidRDefault="00177A35" w:rsidP="00177A35">
          <w:pPr>
            <w:rPr>
              <w:rFonts w:ascii="Times" w:hAnsi="Times" w:cs="Times"/>
              <w:sz w:val="20"/>
            </w:rPr>
          </w:pPr>
          <w:r>
            <w:rPr>
              <w:rFonts w:ascii="Times" w:hAnsi="Times" w:cs="Times"/>
              <w:sz w:val="20"/>
            </w:rPr>
            <w:t>WD = water-damaged</w:t>
          </w:r>
        </w:p>
      </w:tc>
    </w:tr>
    <w:tr w:rsidR="00177A35" w:rsidRPr="00F374D5" w:rsidTr="00177A35">
      <w:trPr>
        <w:trHeight w:val="300"/>
        <w:jc w:val="center"/>
      </w:trPr>
      <w:tc>
        <w:tcPr>
          <w:tcW w:w="3407" w:type="dxa"/>
          <w:tcBorders>
            <w:top w:val="nil"/>
            <w:left w:val="nil"/>
            <w:bottom w:val="nil"/>
            <w:right w:val="nil"/>
          </w:tcBorders>
          <w:shd w:val="clear" w:color="auto" w:fill="auto"/>
          <w:noWrap/>
          <w:vAlign w:val="bottom"/>
        </w:tcPr>
        <w:p w:rsidR="00177A35" w:rsidRPr="00F374D5" w:rsidRDefault="00177A35" w:rsidP="00177A35">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679" w:type="dxa"/>
          <w:tcBorders>
            <w:top w:val="nil"/>
            <w:left w:val="nil"/>
            <w:bottom w:val="nil"/>
            <w:right w:val="nil"/>
          </w:tcBorders>
          <w:shd w:val="clear" w:color="auto" w:fill="auto"/>
          <w:noWrap/>
          <w:vAlign w:val="bottom"/>
        </w:tcPr>
        <w:p w:rsidR="00177A35" w:rsidRPr="00F374D5" w:rsidRDefault="00177A35" w:rsidP="00177A35">
          <w:pPr>
            <w:rPr>
              <w:rFonts w:ascii="Times" w:hAnsi="Times" w:cs="Times"/>
              <w:sz w:val="20"/>
            </w:rPr>
          </w:pPr>
        </w:p>
      </w:tc>
      <w:tc>
        <w:tcPr>
          <w:tcW w:w="3164" w:type="dxa"/>
          <w:tcBorders>
            <w:top w:val="nil"/>
            <w:left w:val="nil"/>
            <w:bottom w:val="nil"/>
            <w:right w:val="nil"/>
          </w:tcBorders>
          <w:shd w:val="clear" w:color="auto" w:fill="auto"/>
          <w:noWrap/>
          <w:vAlign w:val="bottom"/>
        </w:tcPr>
        <w:p w:rsidR="00177A35" w:rsidRPr="00F374D5" w:rsidRDefault="00177A35" w:rsidP="00177A35">
          <w:pPr>
            <w:rPr>
              <w:rFonts w:ascii="Times" w:hAnsi="Times" w:cs="Times"/>
              <w:sz w:val="20"/>
            </w:rPr>
          </w:pPr>
        </w:p>
      </w:tc>
      <w:tc>
        <w:tcPr>
          <w:tcW w:w="2922" w:type="dxa"/>
          <w:tcBorders>
            <w:top w:val="nil"/>
            <w:left w:val="nil"/>
            <w:bottom w:val="nil"/>
            <w:right w:val="nil"/>
          </w:tcBorders>
          <w:shd w:val="clear" w:color="auto" w:fill="auto"/>
          <w:noWrap/>
          <w:vAlign w:val="bottom"/>
        </w:tcPr>
        <w:p w:rsidR="00177A35" w:rsidRPr="00F374D5" w:rsidRDefault="00177A35" w:rsidP="00177A35">
          <w:pPr>
            <w:rPr>
              <w:rFonts w:ascii="Times" w:hAnsi="Times" w:cs="Times"/>
              <w:sz w:val="20"/>
            </w:rPr>
          </w:pPr>
        </w:p>
      </w:tc>
    </w:tr>
  </w:tbl>
  <w:p w:rsidR="00177A35" w:rsidRDefault="00177A35" w:rsidP="00177A35">
    <w:pPr>
      <w:tabs>
        <w:tab w:val="left" w:pos="9180"/>
      </w:tabs>
      <w:rPr>
        <w:b/>
        <w:sz w:val="20"/>
      </w:rPr>
    </w:pPr>
  </w:p>
  <w:p w:rsidR="00177A35" w:rsidRDefault="00177A35" w:rsidP="00177A3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77A35">
      <w:tblPrEx>
        <w:tblCellMar>
          <w:top w:w="0" w:type="dxa"/>
          <w:bottom w:w="0" w:type="dxa"/>
        </w:tblCellMar>
      </w:tblPrEx>
      <w:tc>
        <w:tcPr>
          <w:tcW w:w="2718" w:type="dxa"/>
        </w:tcPr>
        <w:p w:rsidR="00177A35" w:rsidRDefault="00177A35" w:rsidP="00177A3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77A35" w:rsidRDefault="00177A35" w:rsidP="00177A35">
          <w:pPr>
            <w:rPr>
              <w:sz w:val="20"/>
            </w:rPr>
          </w:pPr>
          <w:r>
            <w:rPr>
              <w:sz w:val="20"/>
            </w:rPr>
            <w:t>&lt; 800 ppm = preferred</w:t>
          </w:r>
        </w:p>
      </w:tc>
      <w:tc>
        <w:tcPr>
          <w:tcW w:w="3600" w:type="dxa"/>
        </w:tcPr>
        <w:p w:rsidR="00177A35" w:rsidRDefault="00177A35" w:rsidP="00177A35">
          <w:pPr>
            <w:jc w:val="right"/>
            <w:rPr>
              <w:sz w:val="20"/>
            </w:rPr>
          </w:pPr>
          <w:r>
            <w:rPr>
              <w:sz w:val="20"/>
            </w:rPr>
            <w:t>Temperature:</w:t>
          </w:r>
        </w:p>
      </w:tc>
      <w:tc>
        <w:tcPr>
          <w:tcW w:w="3420" w:type="dxa"/>
        </w:tcPr>
        <w:p w:rsidR="00177A35" w:rsidRDefault="00177A35" w:rsidP="00177A35">
          <w:pPr>
            <w:rPr>
              <w:sz w:val="20"/>
            </w:rPr>
          </w:pPr>
          <w:r>
            <w:rPr>
              <w:sz w:val="20"/>
            </w:rPr>
            <w:t>70 - 78 °F</w:t>
          </w:r>
        </w:p>
      </w:tc>
    </w:tr>
    <w:tr w:rsidR="00177A35">
      <w:tblPrEx>
        <w:tblCellMar>
          <w:top w:w="0" w:type="dxa"/>
          <w:bottom w:w="0" w:type="dxa"/>
        </w:tblCellMar>
      </w:tblPrEx>
      <w:tc>
        <w:tcPr>
          <w:tcW w:w="2718" w:type="dxa"/>
        </w:tcPr>
        <w:p w:rsidR="00177A35" w:rsidRDefault="00177A35" w:rsidP="00177A35">
          <w:pPr>
            <w:jc w:val="right"/>
            <w:rPr>
              <w:sz w:val="20"/>
            </w:rPr>
          </w:pPr>
        </w:p>
      </w:tc>
      <w:tc>
        <w:tcPr>
          <w:tcW w:w="4860" w:type="dxa"/>
        </w:tcPr>
        <w:p w:rsidR="00177A35" w:rsidRDefault="00177A35" w:rsidP="00177A35">
          <w:pPr>
            <w:rPr>
              <w:sz w:val="20"/>
            </w:rPr>
          </w:pPr>
          <w:r>
            <w:rPr>
              <w:sz w:val="20"/>
            </w:rPr>
            <w:t>&gt; 800 ppm = indicative of ventilation problems</w:t>
          </w:r>
        </w:p>
      </w:tc>
      <w:tc>
        <w:tcPr>
          <w:tcW w:w="3600" w:type="dxa"/>
        </w:tcPr>
        <w:p w:rsidR="00177A35" w:rsidRDefault="00177A35" w:rsidP="00177A35">
          <w:pPr>
            <w:jc w:val="right"/>
            <w:rPr>
              <w:sz w:val="20"/>
            </w:rPr>
          </w:pPr>
          <w:r>
            <w:rPr>
              <w:sz w:val="20"/>
            </w:rPr>
            <w:t>Relative Humidity:</w:t>
          </w:r>
        </w:p>
      </w:tc>
      <w:tc>
        <w:tcPr>
          <w:tcW w:w="3420" w:type="dxa"/>
        </w:tcPr>
        <w:p w:rsidR="00177A35" w:rsidRDefault="00177A35" w:rsidP="00177A35">
          <w:pPr>
            <w:rPr>
              <w:sz w:val="20"/>
            </w:rPr>
          </w:pPr>
          <w:r>
            <w:rPr>
              <w:sz w:val="20"/>
            </w:rPr>
            <w:t>40 - 60%</w:t>
          </w:r>
        </w:p>
      </w:tc>
    </w:tr>
  </w:tbl>
  <w:p w:rsidR="00177A35" w:rsidRDefault="00177A35" w:rsidP="00177A35">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A23E7">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16" w:rsidRDefault="00C43F16">
      <w:r>
        <w:separator/>
      </w:r>
    </w:p>
  </w:footnote>
  <w:footnote w:type="continuationSeparator" w:id="0">
    <w:p w:rsidR="00C43F16" w:rsidRDefault="00C43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B0" w:rsidRDefault="009C7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B0" w:rsidRDefault="009C77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B0" w:rsidRDefault="009C77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177A35">
      <w:tblPrEx>
        <w:tblCellMar>
          <w:top w:w="0" w:type="dxa"/>
          <w:bottom w:w="0" w:type="dxa"/>
        </w:tblCellMar>
      </w:tblPrEx>
      <w:trPr>
        <w:cantSplit/>
      </w:trPr>
      <w:tc>
        <w:tcPr>
          <w:tcW w:w="12258" w:type="dxa"/>
          <w:gridSpan w:val="3"/>
        </w:tcPr>
        <w:p w:rsidR="00177A35" w:rsidRPr="00677AC6" w:rsidRDefault="00177A35" w:rsidP="00177A35">
          <w:pPr>
            <w:pStyle w:val="Header"/>
            <w:spacing w:before="60" w:after="60"/>
            <w:rPr>
              <w:b/>
            </w:rPr>
          </w:pPr>
          <w:r>
            <w:rPr>
              <w:b/>
            </w:rPr>
            <w:t xml:space="preserve">Location: Springfield RMV </w:t>
          </w:r>
        </w:p>
      </w:tc>
      <w:tc>
        <w:tcPr>
          <w:tcW w:w="2358" w:type="dxa"/>
        </w:tcPr>
        <w:p w:rsidR="00177A35" w:rsidRDefault="00177A35" w:rsidP="00177A35">
          <w:pPr>
            <w:pStyle w:val="Header"/>
            <w:tabs>
              <w:tab w:val="clear" w:pos="4320"/>
              <w:tab w:val="clear" w:pos="8640"/>
            </w:tabs>
            <w:spacing w:before="60" w:after="60"/>
            <w:rPr>
              <w:b/>
            </w:rPr>
          </w:pPr>
          <w:r>
            <w:rPr>
              <w:b/>
            </w:rPr>
            <w:t>Indoor Air Results</w:t>
          </w:r>
        </w:p>
      </w:tc>
    </w:tr>
    <w:tr w:rsidR="00177A35" w:rsidTr="00177A35">
      <w:tblPrEx>
        <w:tblCellMar>
          <w:top w:w="0" w:type="dxa"/>
          <w:bottom w:w="0" w:type="dxa"/>
        </w:tblCellMar>
      </w:tblPrEx>
      <w:trPr>
        <w:cantSplit/>
      </w:trPr>
      <w:tc>
        <w:tcPr>
          <w:tcW w:w="6138" w:type="dxa"/>
        </w:tcPr>
        <w:p w:rsidR="00177A35" w:rsidRDefault="00177A35" w:rsidP="00177A35">
          <w:pPr>
            <w:pStyle w:val="Header"/>
            <w:tabs>
              <w:tab w:val="clear" w:pos="4320"/>
              <w:tab w:val="clear" w:pos="8640"/>
              <w:tab w:val="left" w:pos="4369"/>
            </w:tabs>
            <w:spacing w:before="60" w:after="60"/>
            <w:rPr>
              <w:b/>
            </w:rPr>
          </w:pPr>
          <w:r>
            <w:rPr>
              <w:b/>
            </w:rPr>
            <w:t>Address: 165 Liberty Street Springfield</w:t>
          </w:r>
          <w:r w:rsidRPr="00CD4E34">
            <w:rPr>
              <w:b/>
            </w:rPr>
            <w:t>, MA</w:t>
          </w:r>
          <w:r>
            <w:rPr>
              <w:b/>
            </w:rPr>
            <w:tab/>
          </w:r>
        </w:p>
      </w:tc>
      <w:tc>
        <w:tcPr>
          <w:tcW w:w="3606" w:type="dxa"/>
        </w:tcPr>
        <w:p w:rsidR="00177A35" w:rsidRDefault="00177A35" w:rsidP="00177A35">
          <w:pPr>
            <w:pStyle w:val="Header"/>
            <w:tabs>
              <w:tab w:val="clear" w:pos="4320"/>
              <w:tab w:val="clear" w:pos="8640"/>
            </w:tabs>
            <w:spacing w:before="60" w:after="60"/>
            <w:jc w:val="center"/>
            <w:rPr>
              <w:b/>
              <w:sz w:val="28"/>
            </w:rPr>
          </w:pPr>
          <w:r>
            <w:rPr>
              <w:b/>
              <w:sz w:val="28"/>
            </w:rPr>
            <w:t>Table 1</w:t>
          </w:r>
        </w:p>
      </w:tc>
      <w:tc>
        <w:tcPr>
          <w:tcW w:w="2514" w:type="dxa"/>
        </w:tcPr>
        <w:p w:rsidR="00177A35" w:rsidRDefault="00177A35" w:rsidP="00177A35">
          <w:pPr>
            <w:pStyle w:val="Header"/>
            <w:tabs>
              <w:tab w:val="clear" w:pos="4320"/>
              <w:tab w:val="clear" w:pos="8640"/>
            </w:tabs>
            <w:spacing w:before="60" w:after="60"/>
            <w:rPr>
              <w:b/>
            </w:rPr>
          </w:pPr>
        </w:p>
      </w:tc>
      <w:tc>
        <w:tcPr>
          <w:tcW w:w="2358" w:type="dxa"/>
        </w:tcPr>
        <w:p w:rsidR="00177A35" w:rsidRDefault="00177A35" w:rsidP="00177A35">
          <w:pPr>
            <w:pStyle w:val="Header"/>
            <w:tabs>
              <w:tab w:val="clear" w:pos="4320"/>
              <w:tab w:val="clear" w:pos="8640"/>
            </w:tabs>
            <w:spacing w:before="60" w:after="60"/>
            <w:rPr>
              <w:b/>
            </w:rPr>
          </w:pPr>
          <w:r w:rsidRPr="00677AC6">
            <w:rPr>
              <w:b/>
            </w:rPr>
            <w:t>Date</w:t>
          </w:r>
          <w:r>
            <w:rPr>
              <w:b/>
            </w:rPr>
            <w:t xml:space="preserve">: 3/25/2016 </w:t>
          </w:r>
        </w:p>
      </w:tc>
    </w:tr>
  </w:tbl>
  <w:p w:rsidR="00177A35" w:rsidRDefault="00177A35" w:rsidP="00177A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7">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C74C09"/>
    <w:multiLevelType w:val="hybridMultilevel"/>
    <w:tmpl w:val="B3D0D37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9A0506"/>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5"/>
  </w:num>
  <w:num w:numId="2">
    <w:abstractNumId w:val="0"/>
  </w:num>
  <w:num w:numId="3">
    <w:abstractNumId w:val="4"/>
  </w:num>
  <w:num w:numId="4">
    <w:abstractNumId w:val="6"/>
  </w:num>
  <w:num w:numId="5">
    <w:abstractNumId w:val="7"/>
  </w:num>
  <w:num w:numId="6">
    <w:abstractNumId w:val="11"/>
  </w:num>
  <w:num w:numId="7">
    <w:abstractNumId w:val="10"/>
  </w:num>
  <w:num w:numId="8">
    <w:abstractNumId w:val="2"/>
  </w:num>
  <w:num w:numId="9">
    <w:abstractNumId w:val="1"/>
  </w:num>
  <w:num w:numId="10">
    <w:abstractNumId w:val="3"/>
  </w:num>
  <w:num w:numId="11">
    <w:abstractNumId w:val="8"/>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54D"/>
    <w:rsid w:val="00073BC9"/>
    <w:rsid w:val="000747FD"/>
    <w:rsid w:val="00074CF6"/>
    <w:rsid w:val="00074DFE"/>
    <w:rsid w:val="000754DA"/>
    <w:rsid w:val="0007568F"/>
    <w:rsid w:val="00076A4B"/>
    <w:rsid w:val="000771D8"/>
    <w:rsid w:val="000824E4"/>
    <w:rsid w:val="000835D9"/>
    <w:rsid w:val="00084492"/>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B85"/>
    <w:rsid w:val="00111DBB"/>
    <w:rsid w:val="001129E9"/>
    <w:rsid w:val="001133C6"/>
    <w:rsid w:val="001138EF"/>
    <w:rsid w:val="00113A6B"/>
    <w:rsid w:val="0011553E"/>
    <w:rsid w:val="00116A02"/>
    <w:rsid w:val="001174D9"/>
    <w:rsid w:val="00120758"/>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BC1"/>
    <w:rsid w:val="00132EF8"/>
    <w:rsid w:val="00132F44"/>
    <w:rsid w:val="001341F9"/>
    <w:rsid w:val="001355AE"/>
    <w:rsid w:val="00136653"/>
    <w:rsid w:val="00141FBD"/>
    <w:rsid w:val="00143327"/>
    <w:rsid w:val="001442D6"/>
    <w:rsid w:val="0014514E"/>
    <w:rsid w:val="001466B0"/>
    <w:rsid w:val="00146E57"/>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A35"/>
    <w:rsid w:val="00177FB7"/>
    <w:rsid w:val="001801F0"/>
    <w:rsid w:val="00180830"/>
    <w:rsid w:val="0018157B"/>
    <w:rsid w:val="00181B60"/>
    <w:rsid w:val="00181D06"/>
    <w:rsid w:val="00182066"/>
    <w:rsid w:val="001828FF"/>
    <w:rsid w:val="00182D6C"/>
    <w:rsid w:val="00182F45"/>
    <w:rsid w:val="001838C1"/>
    <w:rsid w:val="00183D48"/>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9F8"/>
    <w:rsid w:val="001A2D49"/>
    <w:rsid w:val="001A3656"/>
    <w:rsid w:val="001A3882"/>
    <w:rsid w:val="001A4A0C"/>
    <w:rsid w:val="001A4B16"/>
    <w:rsid w:val="001A6E3E"/>
    <w:rsid w:val="001A6F32"/>
    <w:rsid w:val="001A7ACE"/>
    <w:rsid w:val="001B0089"/>
    <w:rsid w:val="001B535E"/>
    <w:rsid w:val="001B64D5"/>
    <w:rsid w:val="001B7C7D"/>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AB8"/>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580"/>
    <w:rsid w:val="00297AEF"/>
    <w:rsid w:val="00297E73"/>
    <w:rsid w:val="002A0D83"/>
    <w:rsid w:val="002A270E"/>
    <w:rsid w:val="002A2A03"/>
    <w:rsid w:val="002A4CCF"/>
    <w:rsid w:val="002A6894"/>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7CA"/>
    <w:rsid w:val="003A082B"/>
    <w:rsid w:val="003A16E2"/>
    <w:rsid w:val="003A1721"/>
    <w:rsid w:val="003A22A4"/>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4F8C"/>
    <w:rsid w:val="003F54C4"/>
    <w:rsid w:val="003F66CC"/>
    <w:rsid w:val="003F6DB7"/>
    <w:rsid w:val="004000AE"/>
    <w:rsid w:val="00400B5B"/>
    <w:rsid w:val="0040151C"/>
    <w:rsid w:val="00401927"/>
    <w:rsid w:val="00403858"/>
    <w:rsid w:val="00403B9C"/>
    <w:rsid w:val="00404F8A"/>
    <w:rsid w:val="0040505D"/>
    <w:rsid w:val="00406079"/>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E02"/>
    <w:rsid w:val="0045416E"/>
    <w:rsid w:val="004543CC"/>
    <w:rsid w:val="004545E3"/>
    <w:rsid w:val="00454B4A"/>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5DB1"/>
    <w:rsid w:val="00556E7A"/>
    <w:rsid w:val="00557541"/>
    <w:rsid w:val="005605BB"/>
    <w:rsid w:val="00560C65"/>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114"/>
    <w:rsid w:val="005E2E28"/>
    <w:rsid w:val="005E3066"/>
    <w:rsid w:val="005E3DD2"/>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E02"/>
    <w:rsid w:val="00684D65"/>
    <w:rsid w:val="00684E5D"/>
    <w:rsid w:val="0068520B"/>
    <w:rsid w:val="006859E5"/>
    <w:rsid w:val="00687A3E"/>
    <w:rsid w:val="00687F30"/>
    <w:rsid w:val="00690032"/>
    <w:rsid w:val="006905B5"/>
    <w:rsid w:val="00691F29"/>
    <w:rsid w:val="00691F89"/>
    <w:rsid w:val="00692948"/>
    <w:rsid w:val="00693971"/>
    <w:rsid w:val="00695C98"/>
    <w:rsid w:val="006962BD"/>
    <w:rsid w:val="0069635A"/>
    <w:rsid w:val="0069675D"/>
    <w:rsid w:val="00697417"/>
    <w:rsid w:val="006976C4"/>
    <w:rsid w:val="006A2B37"/>
    <w:rsid w:val="006A3281"/>
    <w:rsid w:val="006A45C5"/>
    <w:rsid w:val="006A4C27"/>
    <w:rsid w:val="006A6D86"/>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391"/>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7A0B"/>
    <w:rsid w:val="00757D0A"/>
    <w:rsid w:val="0076164D"/>
    <w:rsid w:val="00763F34"/>
    <w:rsid w:val="007659D3"/>
    <w:rsid w:val="00765A98"/>
    <w:rsid w:val="00766B6A"/>
    <w:rsid w:val="00766EE5"/>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7E0"/>
    <w:rsid w:val="007F383A"/>
    <w:rsid w:val="007F38D3"/>
    <w:rsid w:val="007F4F34"/>
    <w:rsid w:val="007F5D80"/>
    <w:rsid w:val="007F625A"/>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9DA"/>
    <w:rsid w:val="00833D79"/>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12D1"/>
    <w:rsid w:val="008B1532"/>
    <w:rsid w:val="008B1AA9"/>
    <w:rsid w:val="008B2725"/>
    <w:rsid w:val="008B4C8D"/>
    <w:rsid w:val="008B509C"/>
    <w:rsid w:val="008B6185"/>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DF5"/>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BE"/>
    <w:rsid w:val="009214B5"/>
    <w:rsid w:val="009219C7"/>
    <w:rsid w:val="00921C96"/>
    <w:rsid w:val="009222D2"/>
    <w:rsid w:val="00923A46"/>
    <w:rsid w:val="0092485B"/>
    <w:rsid w:val="009252C2"/>
    <w:rsid w:val="0092540C"/>
    <w:rsid w:val="00925B56"/>
    <w:rsid w:val="00925F8A"/>
    <w:rsid w:val="00925FEE"/>
    <w:rsid w:val="00927258"/>
    <w:rsid w:val="00927B9E"/>
    <w:rsid w:val="009306EB"/>
    <w:rsid w:val="00930A27"/>
    <w:rsid w:val="00931A87"/>
    <w:rsid w:val="00932D57"/>
    <w:rsid w:val="009336DB"/>
    <w:rsid w:val="009337EE"/>
    <w:rsid w:val="00933C10"/>
    <w:rsid w:val="009350FD"/>
    <w:rsid w:val="0093560B"/>
    <w:rsid w:val="00937C75"/>
    <w:rsid w:val="00941272"/>
    <w:rsid w:val="0094161E"/>
    <w:rsid w:val="00941AAB"/>
    <w:rsid w:val="00941BA1"/>
    <w:rsid w:val="009436B2"/>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7F6"/>
    <w:rsid w:val="00965D7D"/>
    <w:rsid w:val="00966514"/>
    <w:rsid w:val="00966B98"/>
    <w:rsid w:val="009678EA"/>
    <w:rsid w:val="009703B3"/>
    <w:rsid w:val="00972A32"/>
    <w:rsid w:val="00973635"/>
    <w:rsid w:val="00973D37"/>
    <w:rsid w:val="009750F7"/>
    <w:rsid w:val="009751E1"/>
    <w:rsid w:val="00975BE6"/>
    <w:rsid w:val="009765CC"/>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7477"/>
    <w:rsid w:val="009B7EB0"/>
    <w:rsid w:val="009C074F"/>
    <w:rsid w:val="009C0CF7"/>
    <w:rsid w:val="009C12F5"/>
    <w:rsid w:val="009C229C"/>
    <w:rsid w:val="009C2BDD"/>
    <w:rsid w:val="009C33ED"/>
    <w:rsid w:val="009C3562"/>
    <w:rsid w:val="009C44BD"/>
    <w:rsid w:val="009C4F02"/>
    <w:rsid w:val="009C6546"/>
    <w:rsid w:val="009C77B0"/>
    <w:rsid w:val="009C7C1A"/>
    <w:rsid w:val="009D2349"/>
    <w:rsid w:val="009D26CE"/>
    <w:rsid w:val="009D2AB1"/>
    <w:rsid w:val="009D7B97"/>
    <w:rsid w:val="009E061D"/>
    <w:rsid w:val="009E278E"/>
    <w:rsid w:val="009E286D"/>
    <w:rsid w:val="009E39FE"/>
    <w:rsid w:val="009E3D17"/>
    <w:rsid w:val="009E50F2"/>
    <w:rsid w:val="009E5767"/>
    <w:rsid w:val="009F049C"/>
    <w:rsid w:val="009F0850"/>
    <w:rsid w:val="009F11E3"/>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310"/>
    <w:rsid w:val="00A233D8"/>
    <w:rsid w:val="00A240B9"/>
    <w:rsid w:val="00A242EB"/>
    <w:rsid w:val="00A27DB3"/>
    <w:rsid w:val="00A27F47"/>
    <w:rsid w:val="00A30B81"/>
    <w:rsid w:val="00A325D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87BF2"/>
    <w:rsid w:val="00A90795"/>
    <w:rsid w:val="00A907A9"/>
    <w:rsid w:val="00A90B98"/>
    <w:rsid w:val="00A91275"/>
    <w:rsid w:val="00A9343F"/>
    <w:rsid w:val="00A939DE"/>
    <w:rsid w:val="00A95AE2"/>
    <w:rsid w:val="00A96F0D"/>
    <w:rsid w:val="00A97799"/>
    <w:rsid w:val="00AA03A5"/>
    <w:rsid w:val="00AA07E6"/>
    <w:rsid w:val="00AA1B70"/>
    <w:rsid w:val="00AA3079"/>
    <w:rsid w:val="00AA445B"/>
    <w:rsid w:val="00AA47CC"/>
    <w:rsid w:val="00AA4ACF"/>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6707"/>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3387"/>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828"/>
    <w:rsid w:val="00B04BEA"/>
    <w:rsid w:val="00B04EE5"/>
    <w:rsid w:val="00B0563C"/>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5BED"/>
    <w:rsid w:val="00B26C60"/>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940"/>
    <w:rsid w:val="00B87A1D"/>
    <w:rsid w:val="00B9117F"/>
    <w:rsid w:val="00B91776"/>
    <w:rsid w:val="00B92F7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4B8B"/>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C1D"/>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6473"/>
    <w:rsid w:val="00C10747"/>
    <w:rsid w:val="00C121C0"/>
    <w:rsid w:val="00C1321C"/>
    <w:rsid w:val="00C13676"/>
    <w:rsid w:val="00C13A20"/>
    <w:rsid w:val="00C14502"/>
    <w:rsid w:val="00C152F5"/>
    <w:rsid w:val="00C15B73"/>
    <w:rsid w:val="00C17702"/>
    <w:rsid w:val="00C21DA0"/>
    <w:rsid w:val="00C21FFB"/>
    <w:rsid w:val="00C227E2"/>
    <w:rsid w:val="00C2294D"/>
    <w:rsid w:val="00C235A1"/>
    <w:rsid w:val="00C23973"/>
    <w:rsid w:val="00C26B42"/>
    <w:rsid w:val="00C26B64"/>
    <w:rsid w:val="00C27502"/>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3F16"/>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4EF5"/>
    <w:rsid w:val="00C56937"/>
    <w:rsid w:val="00C57C97"/>
    <w:rsid w:val="00C57EAB"/>
    <w:rsid w:val="00C60900"/>
    <w:rsid w:val="00C60D71"/>
    <w:rsid w:val="00C620EA"/>
    <w:rsid w:val="00C6293D"/>
    <w:rsid w:val="00C6332B"/>
    <w:rsid w:val="00C6518F"/>
    <w:rsid w:val="00C65B31"/>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9D7"/>
    <w:rsid w:val="00CD247C"/>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544"/>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3CB"/>
    <w:rsid w:val="00D20769"/>
    <w:rsid w:val="00D211C0"/>
    <w:rsid w:val="00D21960"/>
    <w:rsid w:val="00D23582"/>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2EF0"/>
    <w:rsid w:val="00D43053"/>
    <w:rsid w:val="00D44D43"/>
    <w:rsid w:val="00D4551C"/>
    <w:rsid w:val="00D542B2"/>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16B7"/>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6636"/>
    <w:rsid w:val="00DC67BA"/>
    <w:rsid w:val="00DD0516"/>
    <w:rsid w:val="00DD0E39"/>
    <w:rsid w:val="00DD42C3"/>
    <w:rsid w:val="00DD5249"/>
    <w:rsid w:val="00DD5DF1"/>
    <w:rsid w:val="00DD668C"/>
    <w:rsid w:val="00DD684B"/>
    <w:rsid w:val="00DD6C7E"/>
    <w:rsid w:val="00DD73C5"/>
    <w:rsid w:val="00DD7A1D"/>
    <w:rsid w:val="00DE00BE"/>
    <w:rsid w:val="00DE0552"/>
    <w:rsid w:val="00DE1866"/>
    <w:rsid w:val="00DE1A18"/>
    <w:rsid w:val="00DE2DB6"/>
    <w:rsid w:val="00DE302D"/>
    <w:rsid w:val="00DE4845"/>
    <w:rsid w:val="00DE6429"/>
    <w:rsid w:val="00DE7850"/>
    <w:rsid w:val="00DE7DA0"/>
    <w:rsid w:val="00DF0D4C"/>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7A04"/>
    <w:rsid w:val="00E20275"/>
    <w:rsid w:val="00E2097B"/>
    <w:rsid w:val="00E20A0F"/>
    <w:rsid w:val="00E21719"/>
    <w:rsid w:val="00E226C4"/>
    <w:rsid w:val="00E23ED1"/>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C"/>
    <w:rsid w:val="00E406D4"/>
    <w:rsid w:val="00E41D8E"/>
    <w:rsid w:val="00E42A00"/>
    <w:rsid w:val="00E4396A"/>
    <w:rsid w:val="00E4438E"/>
    <w:rsid w:val="00E44556"/>
    <w:rsid w:val="00E46470"/>
    <w:rsid w:val="00E46F78"/>
    <w:rsid w:val="00E47B2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0A27"/>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402A"/>
    <w:rsid w:val="00E9425E"/>
    <w:rsid w:val="00E94309"/>
    <w:rsid w:val="00E94859"/>
    <w:rsid w:val="00E95544"/>
    <w:rsid w:val="00E960D1"/>
    <w:rsid w:val="00E9635C"/>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120D"/>
    <w:rsid w:val="00ED2E19"/>
    <w:rsid w:val="00ED357E"/>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5B3"/>
    <w:rsid w:val="00F40C5B"/>
    <w:rsid w:val="00F40DEC"/>
    <w:rsid w:val="00F412D3"/>
    <w:rsid w:val="00F4163D"/>
    <w:rsid w:val="00F438A3"/>
    <w:rsid w:val="00F43F15"/>
    <w:rsid w:val="00F444EF"/>
    <w:rsid w:val="00F45763"/>
    <w:rsid w:val="00F46252"/>
    <w:rsid w:val="00F467F1"/>
    <w:rsid w:val="00F46DB2"/>
    <w:rsid w:val="00F50193"/>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1EAE"/>
    <w:rsid w:val="00F92385"/>
    <w:rsid w:val="00F93352"/>
    <w:rsid w:val="00F93486"/>
    <w:rsid w:val="00F93D5E"/>
    <w:rsid w:val="00F9712B"/>
    <w:rsid w:val="00F9766E"/>
    <w:rsid w:val="00F979B3"/>
    <w:rsid w:val="00FA234F"/>
    <w:rsid w:val="00FA23E7"/>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30CD"/>
    <w:rsid w:val="00FC3C43"/>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paragraph" w:styleId="ListParagraph">
    <w:name w:val="List Paragraph"/>
    <w:basedOn w:val="Normal"/>
    <w:uiPriority w:val="34"/>
    <w:qFormat/>
    <w:rsid w:val="00FC3C43"/>
    <w:pPr>
      <w:ind w:left="720"/>
    </w:pPr>
  </w:style>
  <w:style w:type="paragraph" w:customStyle="1" w:styleId="Body">
    <w:name w:val="Body"/>
    <w:rsid w:val="009C33E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9C33ED"/>
    <w:pPr>
      <w:pBdr>
        <w:top w:val="nil"/>
        <w:left w:val="nil"/>
        <w:bottom w:val="nil"/>
        <w:right w:val="nil"/>
        <w:between w:val="nil"/>
        <w:bar w:val="nil"/>
      </w:pBdr>
    </w:pPr>
    <w:rPr>
      <w:rFonts w:ascii="Helvetica" w:eastAsia="Helvetica" w:hAnsi="Helvetica" w:cs="Helvetica"/>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paragraph" w:styleId="ListParagraph">
    <w:name w:val="List Paragraph"/>
    <w:basedOn w:val="Normal"/>
    <w:uiPriority w:val="34"/>
    <w:qFormat/>
    <w:rsid w:val="00FC3C43"/>
    <w:pPr>
      <w:ind w:left="720"/>
    </w:pPr>
  </w:style>
  <w:style w:type="paragraph" w:customStyle="1" w:styleId="Body">
    <w:name w:val="Body"/>
    <w:rsid w:val="009C33E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9C33ED"/>
    <w:pPr>
      <w:pBdr>
        <w:top w:val="nil"/>
        <w:left w:val="nil"/>
        <w:bottom w:val="nil"/>
        <w:right w:val="nil"/>
        <w:between w:val="nil"/>
        <w:bar w:val="nil"/>
      </w:pBdr>
    </w:pPr>
    <w:rPr>
      <w:rFonts w:ascii="Helvetica" w:eastAsia="Helvetica" w:hAnsi="Helvetica" w:cs="Helvetica"/>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753630709">
      <w:bodyDiv w:val="1"/>
      <w:marLeft w:val="0"/>
      <w:marRight w:val="0"/>
      <w:marTop w:val="0"/>
      <w:marBottom w:val="0"/>
      <w:divBdr>
        <w:top w:val="none" w:sz="0" w:space="0" w:color="auto"/>
        <w:left w:val="none" w:sz="0" w:space="0" w:color="auto"/>
        <w:bottom w:val="none" w:sz="0" w:space="0" w:color="auto"/>
        <w:right w:val="none" w:sz="0" w:space="0" w:color="auto"/>
      </w:divBdr>
    </w:div>
    <w:div w:id="1281108426">
      <w:bodyDiv w:val="1"/>
      <w:marLeft w:val="0"/>
      <w:marRight w:val="0"/>
      <w:marTop w:val="0"/>
      <w:marBottom w:val="0"/>
      <w:divBdr>
        <w:top w:val="none" w:sz="0" w:space="0" w:color="auto"/>
        <w:left w:val="none" w:sz="0" w:space="0" w:color="auto"/>
        <w:bottom w:val="none" w:sz="0" w:space="0" w:color="auto"/>
        <w:right w:val="none" w:sz="0" w:space="0" w:color="auto"/>
      </w:divBdr>
    </w:div>
    <w:div w:id="15836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environmental-health/exposure-topics/iaq/pollution/renovate/constructionrenovation-pollutants-prevention.html"/>
  <Relationship Id="rId11" Type="http://schemas.openxmlformats.org/officeDocument/2006/relationships/hyperlink" TargetMode="External" Target="http://mass.gov/dph/iaq"/>
  <Relationship Id="rId12" Type="http://schemas.openxmlformats.org/officeDocument/2006/relationships/hyperlink" TargetMode="External" Target="http://www.mass.gov/eohhs/gov/departments/dph/programs/environmental-health/exposure-topics/iaq/iaq-manual/"/>
  <Relationship Id="rId13" Type="http://schemas.openxmlformats.org/officeDocument/2006/relationships/hyperlink" TargetMode="External" Target="http://www.epa.gov/mold/mold-remediation-schools-and-commercial-buildings-guide"/>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725AF-260E-4993-B028-83FFC234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1328</Words>
  <Characters>8612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Indoor Air Quality Assessment - Registry of Motor Vehicles, Springfield - May 2016</vt:lpstr>
    </vt:vector>
  </TitlesOfParts>
  <Company>MDPH</Company>
  <LinksUpToDate>false</LinksUpToDate>
  <CharactersWithSpaces>9921</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4259867</vt:i4>
      </vt:variant>
      <vt:variant>
        <vt:i4>3</vt:i4>
      </vt:variant>
      <vt:variant>
        <vt:i4>0</vt:i4>
      </vt:variant>
      <vt:variant>
        <vt:i4>5</vt:i4>
      </vt:variant>
      <vt:variant>
        <vt:lpwstr>http://www.mass.gov/eohhs/gov/departments/dph/programs/environmental-health/exposure-topics/iaq/pollution/renovate/constructionrenovation-pollutants-prevention.html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2016-06-08T19:09:00Z</dcterms:created>
  <dc:creator>MDPH - Indoor Air Quality Program</dc:creator>
  <keywords>Registry of Motor Vehicles, Springfield</keywords>
  <lastModifiedBy>AutoBVT</lastModifiedBy>
  <lastPrinted>2016-04-15T14:48:00Z</lastPrinted>
  <dcterms:modified xsi:type="dcterms:W3CDTF">2016-06-08T19:09:00Z</dcterms:modified>
  <revision>2</revision>
  <dc:subject>Registry of Motor Vehicles, Springfield - May 2016</dc:subject>
  <dc:title>Indoor Air Quality Assessment - Registry of Motor Vehicles, Springfield - May 2016</dc:title>
</coreProperties>
</file>