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F81F" w14:textId="01205C67" w:rsidR="00D7224D" w:rsidRPr="00C54A93" w:rsidRDefault="10738D88" w:rsidP="00E955B5">
      <w:pPr>
        <w:pStyle w:val="Ttulo2"/>
        <w:spacing w:before="0" w:line="240" w:lineRule="auto"/>
        <w:jc w:val="both"/>
        <w:rPr>
          <w:rFonts w:ascii="Raleway" w:hAnsi="Raleway"/>
          <w:lang w:val="es-VE"/>
        </w:rPr>
      </w:pPr>
      <w:r w:rsidRPr="00C54A93">
        <w:rPr>
          <w:rFonts w:ascii="Raleway" w:eastAsia="Raleway" w:hAnsi="Raleway" w:cs="Raleway"/>
          <w:color w:val="333333"/>
          <w:sz w:val="36"/>
          <w:szCs w:val="36"/>
          <w:lang w:val="es-VE"/>
        </w:rPr>
        <w:t>Sec</w:t>
      </w:r>
      <w:r w:rsidR="00B36931" w:rsidRPr="00C54A93">
        <w:rPr>
          <w:rFonts w:ascii="Raleway" w:eastAsia="Raleway" w:hAnsi="Raleway" w:cs="Raleway"/>
          <w:color w:val="333333"/>
          <w:sz w:val="36"/>
          <w:szCs w:val="36"/>
          <w:lang w:val="es-VE"/>
        </w:rPr>
        <w:t>ción</w:t>
      </w:r>
      <w:r w:rsidRPr="00C54A93">
        <w:rPr>
          <w:rFonts w:ascii="Raleway" w:eastAsia="Raleway" w:hAnsi="Raleway" w:cs="Raleway"/>
          <w:color w:val="333333"/>
          <w:sz w:val="36"/>
          <w:szCs w:val="36"/>
          <w:lang w:val="es-VE"/>
        </w:rPr>
        <w:t xml:space="preserve"> 124: </w:t>
      </w:r>
      <w:r w:rsidR="00C54A93" w:rsidRPr="000A5C62">
        <w:rPr>
          <w:rFonts w:ascii="Raleway" w:eastAsia="Raleway" w:hAnsi="Raleway" w:cs="Raleway"/>
          <w:color w:val="777777"/>
          <w:sz w:val="22"/>
          <w:szCs w:val="22"/>
          <w:lang w:val="es-VE"/>
        </w:rPr>
        <w:t xml:space="preserve">Aplicación de las </w:t>
      </w:r>
      <w:r w:rsidR="000A5C62">
        <w:rPr>
          <w:rFonts w:ascii="Raleway" w:eastAsia="Raleway" w:hAnsi="Raleway" w:cs="Raleway"/>
          <w:color w:val="777777"/>
          <w:sz w:val="22"/>
          <w:szCs w:val="22"/>
          <w:lang w:val="es-VE"/>
        </w:rPr>
        <w:t>regulaciones</w:t>
      </w:r>
      <w:r w:rsidR="00C54A93" w:rsidRPr="000A5C62">
        <w:rPr>
          <w:rFonts w:ascii="Raleway" w:eastAsia="Raleway" w:hAnsi="Raleway" w:cs="Raleway"/>
          <w:color w:val="777777"/>
          <w:sz w:val="22"/>
          <w:szCs w:val="22"/>
          <w:lang w:val="es-VE"/>
        </w:rPr>
        <w:t xml:space="preserve"> federales relativas al cultivo, la recolección, el envasado y la conservación de productos para el consumo humano</w:t>
      </w:r>
    </w:p>
    <w:p w14:paraId="7EFA4E65" w14:textId="68F647C6" w:rsidR="00D7224D" w:rsidRPr="00376D10" w:rsidRDefault="10738D88" w:rsidP="00376D10">
      <w:pPr>
        <w:jc w:val="both"/>
        <w:rPr>
          <w:rFonts w:ascii="Raleway" w:hAnsi="Raleway"/>
          <w:sz w:val="20"/>
          <w:szCs w:val="20"/>
          <w:lang w:val="es-VE"/>
        </w:rPr>
      </w:pPr>
      <w:r w:rsidRPr="00376D10">
        <w:rPr>
          <w:rFonts w:ascii="Raleway" w:eastAsia="Raleway" w:hAnsi="Raleway" w:cs="Raleway"/>
          <w:color w:val="333333"/>
          <w:sz w:val="20"/>
          <w:szCs w:val="20"/>
          <w:lang w:val="es-VE"/>
        </w:rPr>
        <w:t>Sec</w:t>
      </w:r>
      <w:r w:rsidR="00653DF1" w:rsidRPr="00376D10">
        <w:rPr>
          <w:rFonts w:ascii="Raleway" w:eastAsia="Raleway" w:hAnsi="Raleway" w:cs="Raleway"/>
          <w:color w:val="333333"/>
          <w:sz w:val="20"/>
          <w:szCs w:val="20"/>
          <w:lang w:val="es-VE"/>
        </w:rPr>
        <w:t>ció</w:t>
      </w:r>
      <w:r w:rsidRPr="00376D10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n 124. (a) </w:t>
      </w:r>
      <w:r w:rsidR="00376D10" w:rsidRPr="00376D10">
        <w:rPr>
          <w:rFonts w:ascii="Raleway" w:eastAsia="Raleway" w:hAnsi="Raleway" w:cs="Raleway"/>
          <w:color w:val="333333"/>
          <w:sz w:val="20"/>
          <w:szCs w:val="20"/>
          <w:lang w:val="es-VE"/>
        </w:rPr>
        <w:t>A menos que el contexto exija lo contrario, las siguientes palabras tendrán el significado que se indica a continuación para su uso en esta sección: -</w:t>
      </w:r>
    </w:p>
    <w:p w14:paraId="7B04BD9E" w14:textId="1972EBB0" w:rsidR="00B86CD0" w:rsidRPr="00B86CD0" w:rsidRDefault="00B86CD0" w:rsidP="00B86CD0">
      <w:pPr>
        <w:jc w:val="both"/>
        <w:rPr>
          <w:rFonts w:ascii="Raleway" w:eastAsia="Raleway" w:hAnsi="Raleway" w:cs="Raleway"/>
          <w:color w:val="333333"/>
          <w:sz w:val="20"/>
          <w:szCs w:val="20"/>
          <w:lang w:val="es-VE"/>
        </w:rPr>
      </w:pPr>
      <w:r>
        <w:rPr>
          <w:rFonts w:ascii="Raleway" w:eastAsia="Raleway" w:hAnsi="Raleway" w:cs="Raleway"/>
          <w:color w:val="333333"/>
          <w:sz w:val="20"/>
          <w:szCs w:val="20"/>
          <w:lang w:val="es-VE"/>
        </w:rPr>
        <w:t>“</w:t>
      </w:r>
      <w:r w:rsidRP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>Granja</w:t>
      </w:r>
      <w:r>
        <w:rPr>
          <w:rFonts w:ascii="Raleway" w:eastAsia="Raleway" w:hAnsi="Raleway" w:cs="Raleway"/>
          <w:color w:val="333333"/>
          <w:sz w:val="20"/>
          <w:szCs w:val="20"/>
          <w:lang w:val="es-VE"/>
        </w:rPr>
        <w:t>”</w:t>
      </w:r>
      <w:r w:rsidRP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, las tierras </w:t>
      </w:r>
      <w:r w:rsidR="000B3FF4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que una persona usa con fines agrícolas </w:t>
      </w:r>
      <w:r w:rsidRP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o </w:t>
      </w:r>
      <w:r w:rsidR="000B3FF4">
        <w:rPr>
          <w:rFonts w:ascii="Raleway" w:eastAsia="Raleway" w:hAnsi="Raleway" w:cs="Raleway"/>
          <w:color w:val="333333"/>
          <w:sz w:val="20"/>
          <w:szCs w:val="20"/>
          <w:lang w:val="es-VE"/>
        </w:rPr>
        <w:t>ganaderos</w:t>
      </w:r>
      <w:r w:rsidRP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>, tal como se define en la sección 1A.</w:t>
      </w:r>
    </w:p>
    <w:p w14:paraId="7FEB40DE" w14:textId="0938B747" w:rsidR="00B86CD0" w:rsidRPr="00B86CD0" w:rsidRDefault="00B86CD0" w:rsidP="00B86CD0">
      <w:pPr>
        <w:jc w:val="both"/>
        <w:rPr>
          <w:rFonts w:ascii="Raleway" w:eastAsia="Raleway" w:hAnsi="Raleway" w:cs="Raleway"/>
          <w:color w:val="333333"/>
          <w:sz w:val="20"/>
          <w:szCs w:val="20"/>
          <w:lang w:val="es-VE"/>
        </w:rPr>
      </w:pPr>
      <w:r>
        <w:rPr>
          <w:rFonts w:ascii="Raleway" w:eastAsia="Raleway" w:hAnsi="Raleway" w:cs="Raleway"/>
          <w:color w:val="333333"/>
          <w:sz w:val="20"/>
          <w:szCs w:val="20"/>
          <w:lang w:val="es-VE"/>
        </w:rPr>
        <w:t>“</w:t>
      </w:r>
      <w:r w:rsidRP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>Ley federal</w:t>
      </w:r>
      <w:r>
        <w:rPr>
          <w:rFonts w:ascii="Raleway" w:eastAsia="Raleway" w:hAnsi="Raleway" w:cs="Raleway"/>
          <w:color w:val="333333"/>
          <w:sz w:val="20"/>
          <w:szCs w:val="20"/>
          <w:lang w:val="es-VE"/>
        </w:rPr>
        <w:t>”</w:t>
      </w:r>
      <w:r w:rsidRP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, la Ley de Modernización de la Seguridad Alimentaria de la </w:t>
      </w:r>
      <w:r w:rsidR="00737F13" w:rsidRPr="00737F13">
        <w:rPr>
          <w:rFonts w:ascii="Raleway" w:eastAsia="Raleway" w:hAnsi="Raleway" w:cs="Raleway"/>
          <w:color w:val="333333"/>
          <w:sz w:val="20"/>
          <w:szCs w:val="20"/>
          <w:lang w:val="es-VE"/>
        </w:rPr>
        <w:t>Administración de Alimentos y Fármacos (FDA)</w:t>
      </w:r>
      <w:r w:rsidRP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, Ley Pública </w:t>
      </w:r>
      <w:r w:rsidR="00737F13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N° </w:t>
      </w:r>
      <w:r w:rsidRP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>111-353, en su versión modificada.</w:t>
      </w:r>
    </w:p>
    <w:p w14:paraId="7F248931" w14:textId="6645FBF6" w:rsidR="00B86CD0" w:rsidRPr="00B86CD0" w:rsidRDefault="00737F13" w:rsidP="00B86CD0">
      <w:pPr>
        <w:jc w:val="both"/>
        <w:rPr>
          <w:rFonts w:ascii="Raleway" w:eastAsia="Raleway" w:hAnsi="Raleway" w:cs="Raleway"/>
          <w:color w:val="333333"/>
          <w:sz w:val="20"/>
          <w:szCs w:val="20"/>
          <w:lang w:val="es-VE"/>
        </w:rPr>
      </w:pPr>
      <w:r>
        <w:rPr>
          <w:rFonts w:ascii="Raleway" w:eastAsia="Raleway" w:hAnsi="Raleway" w:cs="Raleway"/>
          <w:color w:val="333333"/>
          <w:sz w:val="20"/>
          <w:szCs w:val="20"/>
          <w:lang w:val="es-VE"/>
        </w:rPr>
        <w:t>“</w:t>
      </w:r>
      <w:r w:rsidR="00B86CD0" w:rsidRP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>Normas federales</w:t>
      </w:r>
      <w:r w:rsid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>”</w:t>
      </w:r>
      <w:r w:rsidR="00B86CD0" w:rsidRP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>, las normas adoptadas en virtud de la ley federal para el cultivo, la cosecha, el envasado y la conservación de productos para el consumo humano, tal como se</w:t>
      </w:r>
      <w:r w:rsidR="00DA6A7E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 ha establecido </w:t>
      </w:r>
      <w:r w:rsidR="00B86CD0" w:rsidRP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en 21 C.F.R. </w:t>
      </w:r>
      <w:r w:rsidR="00853F1C">
        <w:rPr>
          <w:rFonts w:ascii="Raleway" w:eastAsia="Raleway" w:hAnsi="Raleway" w:cs="Raleway"/>
          <w:color w:val="333333"/>
          <w:sz w:val="20"/>
          <w:szCs w:val="20"/>
          <w:lang w:val="es-VE"/>
        </w:rPr>
        <w:t>(</w:t>
      </w:r>
      <w:r w:rsidR="00853F1C" w:rsidRPr="00853F1C">
        <w:rPr>
          <w:rFonts w:ascii="Raleway" w:eastAsia="Raleway" w:hAnsi="Raleway" w:cs="Raleway"/>
          <w:color w:val="333333"/>
          <w:sz w:val="20"/>
          <w:szCs w:val="20"/>
          <w:lang w:val="es-VE"/>
        </w:rPr>
        <w:t>Código de Regulaciones Federales</w:t>
      </w:r>
      <w:r w:rsidR="00853F1C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) </w:t>
      </w:r>
      <w:r w:rsidR="00B86CD0" w:rsidRP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>112, en su versión modificada.</w:t>
      </w:r>
    </w:p>
    <w:p w14:paraId="37B02971" w14:textId="02CFDC9A" w:rsidR="00B86CD0" w:rsidRPr="00B86CD0" w:rsidRDefault="00B86CD0" w:rsidP="00B86CD0">
      <w:pPr>
        <w:jc w:val="both"/>
        <w:rPr>
          <w:rFonts w:ascii="Raleway" w:eastAsia="Raleway" w:hAnsi="Raleway" w:cs="Raleway"/>
          <w:color w:val="333333"/>
          <w:sz w:val="20"/>
          <w:szCs w:val="20"/>
          <w:lang w:val="es-VE"/>
        </w:rPr>
      </w:pPr>
      <w:r>
        <w:rPr>
          <w:rFonts w:ascii="Raleway" w:eastAsia="Raleway" w:hAnsi="Raleway" w:cs="Raleway"/>
          <w:color w:val="333333"/>
          <w:sz w:val="20"/>
          <w:szCs w:val="20"/>
          <w:lang w:val="es-VE"/>
        </w:rPr>
        <w:t>“</w:t>
      </w:r>
      <w:r w:rsidRP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>Produc</w:t>
      </w:r>
      <w:r w:rsidR="004F39F5">
        <w:rPr>
          <w:rFonts w:ascii="Raleway" w:eastAsia="Raleway" w:hAnsi="Raleway" w:cs="Raleway"/>
          <w:color w:val="333333"/>
          <w:sz w:val="20"/>
          <w:szCs w:val="20"/>
          <w:lang w:val="es-VE"/>
        </w:rPr>
        <w:t>ción</w:t>
      </w:r>
      <w:r>
        <w:rPr>
          <w:rFonts w:ascii="Raleway" w:eastAsia="Raleway" w:hAnsi="Raleway" w:cs="Raleway"/>
          <w:color w:val="333333"/>
          <w:sz w:val="20"/>
          <w:szCs w:val="20"/>
          <w:lang w:val="es-VE"/>
        </w:rPr>
        <w:t>”</w:t>
      </w:r>
      <w:r w:rsidRP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>, tal y como se define en 21 C.F.R. 112.3, en su versión modificada.</w:t>
      </w:r>
    </w:p>
    <w:p w14:paraId="5E605BBD" w14:textId="0510B8F1" w:rsidR="00D7224D" w:rsidRPr="00B86CD0" w:rsidRDefault="00B86CD0" w:rsidP="00B86CD0">
      <w:pPr>
        <w:jc w:val="both"/>
        <w:rPr>
          <w:rFonts w:ascii="Raleway" w:hAnsi="Raleway"/>
          <w:sz w:val="20"/>
          <w:szCs w:val="20"/>
          <w:lang w:val="es-VE"/>
        </w:rPr>
      </w:pPr>
      <w:r>
        <w:rPr>
          <w:rFonts w:ascii="Raleway" w:eastAsia="Raleway" w:hAnsi="Raleway" w:cs="Raleway"/>
          <w:color w:val="333333"/>
          <w:sz w:val="20"/>
          <w:szCs w:val="20"/>
          <w:lang w:val="es-VE"/>
        </w:rPr>
        <w:t>“</w:t>
      </w:r>
      <w:r w:rsidR="004F39F5">
        <w:rPr>
          <w:rFonts w:ascii="Raleway" w:eastAsia="Raleway" w:hAnsi="Raleway" w:cs="Raleway"/>
          <w:color w:val="333333"/>
          <w:sz w:val="20"/>
          <w:szCs w:val="20"/>
          <w:lang w:val="es-VE"/>
        </w:rPr>
        <w:t>Producción</w:t>
      </w:r>
      <w:r w:rsidRP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 agrícola</w:t>
      </w:r>
      <w:r>
        <w:rPr>
          <w:rFonts w:ascii="Raleway" w:eastAsia="Raleway" w:hAnsi="Raleway" w:cs="Raleway"/>
          <w:color w:val="333333"/>
          <w:sz w:val="20"/>
          <w:szCs w:val="20"/>
          <w:lang w:val="es-VE"/>
        </w:rPr>
        <w:t>”</w:t>
      </w:r>
      <w:r w:rsidRP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>, toda explotación dedicada al cultivo, la recolección, el envasado o la conservación de productos agrícolas.</w:t>
      </w:r>
    </w:p>
    <w:p w14:paraId="3F9D1B37" w14:textId="77777777" w:rsidR="00695D4C" w:rsidRPr="00695D4C" w:rsidRDefault="0029139D" w:rsidP="00695D4C">
      <w:pPr>
        <w:jc w:val="both"/>
        <w:rPr>
          <w:rFonts w:ascii="Raleway" w:eastAsia="Raleway" w:hAnsi="Raleway" w:cs="Raleway"/>
          <w:color w:val="333333"/>
          <w:sz w:val="20"/>
          <w:szCs w:val="20"/>
          <w:lang w:val="es-VE"/>
        </w:rPr>
      </w:pPr>
      <w:r w:rsidRPr="0029139D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(b) El departamento podrá hacer cumplir las </w:t>
      </w:r>
      <w:r w:rsidR="00732AAE">
        <w:rPr>
          <w:rFonts w:ascii="Raleway" w:eastAsia="Raleway" w:hAnsi="Raleway" w:cs="Raleway"/>
          <w:color w:val="333333"/>
          <w:sz w:val="20"/>
          <w:szCs w:val="20"/>
          <w:lang w:val="es-VE"/>
        </w:rPr>
        <w:t>regulaciones</w:t>
      </w:r>
      <w:r w:rsidRPr="0029139D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 federales </w:t>
      </w:r>
      <w:r w:rsidR="00732AAE">
        <w:rPr>
          <w:rFonts w:ascii="Raleway" w:eastAsia="Raleway" w:hAnsi="Raleway" w:cs="Raleway"/>
          <w:color w:val="333333"/>
          <w:sz w:val="20"/>
          <w:szCs w:val="20"/>
          <w:lang w:val="es-VE"/>
        </w:rPr>
        <w:t>dentro de la mancomunidad</w:t>
      </w:r>
      <w:r w:rsidRPr="0029139D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. </w:t>
      </w:r>
      <w:r w:rsidR="00695D4C" w:rsidRPr="00695D4C">
        <w:rPr>
          <w:rFonts w:ascii="Raleway" w:eastAsia="Raleway" w:hAnsi="Raleway" w:cs="Raleway"/>
          <w:color w:val="333333"/>
          <w:sz w:val="20"/>
          <w:szCs w:val="20"/>
          <w:lang w:val="es-VE"/>
        </w:rPr>
        <w:t>Con respecto a la aplicación y el cumplimiento de la ley federal, el departamento puede consultar, colaborar y celebrar acuerdos de cooperación con el departamento de salud pública.</w:t>
      </w:r>
    </w:p>
    <w:p w14:paraId="216B316F" w14:textId="2834F7F2" w:rsidR="0029139D" w:rsidRPr="0029139D" w:rsidRDefault="0029139D" w:rsidP="0029139D">
      <w:pPr>
        <w:jc w:val="both"/>
        <w:rPr>
          <w:rFonts w:ascii="Raleway" w:eastAsia="Raleway" w:hAnsi="Raleway" w:cs="Raleway"/>
          <w:color w:val="333333"/>
          <w:sz w:val="20"/>
          <w:szCs w:val="20"/>
          <w:lang w:val="es-VE"/>
        </w:rPr>
      </w:pPr>
      <w:r w:rsidRPr="0029139D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(c) (1) El departamento puede ingresar e inspeccionar una granja de productos agrícolas durante horas razonables para garantizar el cumplimiento de las normas federales o, conforme al párrafo (2), </w:t>
      </w:r>
      <w:r w:rsidR="00F46333" w:rsidRPr="00F46333">
        <w:rPr>
          <w:rFonts w:ascii="Raleway" w:eastAsia="Raleway" w:hAnsi="Raleway" w:cs="Raleway"/>
          <w:color w:val="333333"/>
          <w:sz w:val="20"/>
          <w:szCs w:val="20"/>
          <w:lang w:val="es-VE"/>
        </w:rPr>
        <w:t>las regulaciones estatales equivalentes que se aplican a los productos agrícolas que no cumplan con la definición de productos agrícolas cubiertos según 21 C</w:t>
      </w:r>
      <w:r w:rsidR="00F46333">
        <w:rPr>
          <w:rFonts w:ascii="Raleway" w:eastAsia="Raleway" w:hAnsi="Raleway" w:cs="Raleway"/>
          <w:color w:val="333333"/>
          <w:sz w:val="20"/>
          <w:szCs w:val="20"/>
          <w:lang w:val="es-VE"/>
        </w:rPr>
        <w:t>.</w:t>
      </w:r>
      <w:r w:rsidR="00F46333" w:rsidRPr="00F46333">
        <w:rPr>
          <w:rFonts w:ascii="Raleway" w:eastAsia="Raleway" w:hAnsi="Raleway" w:cs="Raleway"/>
          <w:color w:val="333333"/>
          <w:sz w:val="20"/>
          <w:szCs w:val="20"/>
          <w:lang w:val="es-VE"/>
        </w:rPr>
        <w:t>F</w:t>
      </w:r>
      <w:r w:rsidR="00F46333">
        <w:rPr>
          <w:rFonts w:ascii="Raleway" w:eastAsia="Raleway" w:hAnsi="Raleway" w:cs="Raleway"/>
          <w:color w:val="333333"/>
          <w:sz w:val="20"/>
          <w:szCs w:val="20"/>
          <w:lang w:val="es-VE"/>
        </w:rPr>
        <w:t>.</w:t>
      </w:r>
      <w:r w:rsidR="00F46333" w:rsidRPr="00F46333">
        <w:rPr>
          <w:rFonts w:ascii="Raleway" w:eastAsia="Raleway" w:hAnsi="Raleway" w:cs="Raleway"/>
          <w:color w:val="333333"/>
          <w:sz w:val="20"/>
          <w:szCs w:val="20"/>
          <w:lang w:val="es-VE"/>
        </w:rPr>
        <w:t>R</w:t>
      </w:r>
      <w:r w:rsidR="00F46333">
        <w:rPr>
          <w:rFonts w:ascii="Raleway" w:eastAsia="Raleway" w:hAnsi="Raleway" w:cs="Raleway"/>
          <w:color w:val="333333"/>
          <w:sz w:val="20"/>
          <w:szCs w:val="20"/>
          <w:lang w:val="es-VE"/>
        </w:rPr>
        <w:t>.</w:t>
      </w:r>
      <w:r w:rsidR="00F46333" w:rsidRPr="00F46333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 112.3</w:t>
      </w:r>
      <w:r w:rsidRPr="0029139D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, </w:t>
      </w:r>
      <w:r w:rsidR="00695D4C" w:rsidRP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>en su versión modificada</w:t>
      </w:r>
      <w:r w:rsidRPr="0029139D">
        <w:rPr>
          <w:rFonts w:ascii="Raleway" w:eastAsia="Raleway" w:hAnsi="Raleway" w:cs="Raleway"/>
          <w:color w:val="333333"/>
          <w:sz w:val="20"/>
          <w:szCs w:val="20"/>
          <w:lang w:val="es-VE"/>
        </w:rPr>
        <w:t>. El comisionado puede promulgar las regulaciones que sean necesarias para implementar este párrafo.</w:t>
      </w:r>
    </w:p>
    <w:p w14:paraId="0711955E" w14:textId="77777777" w:rsidR="00F46333" w:rsidRPr="00F46333" w:rsidRDefault="0029139D" w:rsidP="00F46333">
      <w:pPr>
        <w:jc w:val="both"/>
        <w:rPr>
          <w:rFonts w:ascii="Raleway" w:eastAsia="Raleway" w:hAnsi="Raleway" w:cs="Raleway"/>
          <w:color w:val="333333"/>
          <w:sz w:val="20"/>
          <w:szCs w:val="20"/>
          <w:lang w:val="es-VE"/>
        </w:rPr>
      </w:pPr>
      <w:r w:rsidRPr="0029139D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(2) El departamento puede llevar a cabo inspecciones de productos agrícolas que no cumplan con la definición de productos cubiertos bajo 21 C.F.R. 112.3, </w:t>
      </w:r>
      <w:r w:rsidR="00695D4C" w:rsidRP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>en su versión modificada.</w:t>
      </w:r>
      <w:r w:rsidRPr="0029139D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, o una granja de productos agrícolas no sujeta a las normas federales bajo 21 C.F.R. 112.4 y 112.5, </w:t>
      </w:r>
      <w:r w:rsidR="00695D4C" w:rsidRPr="00B86CD0">
        <w:rPr>
          <w:rFonts w:ascii="Raleway" w:eastAsia="Raleway" w:hAnsi="Raleway" w:cs="Raleway"/>
          <w:color w:val="333333"/>
          <w:sz w:val="20"/>
          <w:szCs w:val="20"/>
          <w:lang w:val="es-VE"/>
        </w:rPr>
        <w:t>en su versión modificada</w:t>
      </w:r>
      <w:r w:rsidRPr="0029139D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, sólo a petición del operador de la granja de productos agrícolas. </w:t>
      </w:r>
      <w:r w:rsidR="00F46333" w:rsidRPr="00F46333">
        <w:rPr>
          <w:rFonts w:ascii="Raleway" w:eastAsia="Raleway" w:hAnsi="Raleway" w:cs="Raleway"/>
          <w:color w:val="333333"/>
          <w:sz w:val="20"/>
          <w:szCs w:val="20"/>
          <w:lang w:val="es-VE"/>
        </w:rPr>
        <w:t>La granja de productos agrícolas y su operador serán sometidos a la autoridad del departamento según lo establecido en esta sección con respecto a dicha solicitud de inspección.</w:t>
      </w:r>
    </w:p>
    <w:p w14:paraId="1CCDA46B" w14:textId="77777777" w:rsidR="00405EEC" w:rsidRPr="00405EEC" w:rsidRDefault="00E955B5" w:rsidP="00405EEC">
      <w:pPr>
        <w:jc w:val="both"/>
        <w:rPr>
          <w:rFonts w:ascii="Raleway" w:eastAsia="Raleway" w:hAnsi="Raleway" w:cs="Raleway"/>
          <w:color w:val="333333"/>
          <w:sz w:val="20"/>
          <w:szCs w:val="20"/>
          <w:lang w:val="es-VE"/>
        </w:rPr>
      </w:pPr>
      <w:r w:rsidRPr="00E955B5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(3) </w:t>
      </w:r>
      <w:r w:rsidR="00405EEC" w:rsidRPr="00405EEC">
        <w:rPr>
          <w:rFonts w:ascii="Raleway" w:eastAsia="Raleway" w:hAnsi="Raleway" w:cs="Raleway"/>
          <w:color w:val="333333"/>
          <w:sz w:val="20"/>
          <w:szCs w:val="20"/>
          <w:lang w:val="es-VE"/>
        </w:rPr>
        <w:t>Después de la inspección, el departamento puede emitir un certificado de inspección que contiene la fecha y el lugar de la inspección, así como cualquier otra información que el departamento pueda requerir. El departamento puede colaborar con otras agencias y organizaciones estatales y federales para realizar inspecciones simultáneas o cercanas en una granja de productos agrícolas.</w:t>
      </w:r>
    </w:p>
    <w:p w14:paraId="3670867F" w14:textId="77777777" w:rsidR="00E955B5" w:rsidRPr="00E955B5" w:rsidRDefault="00E955B5" w:rsidP="00E955B5">
      <w:pPr>
        <w:jc w:val="both"/>
        <w:rPr>
          <w:rFonts w:ascii="Raleway" w:eastAsia="Raleway" w:hAnsi="Raleway" w:cs="Raleway"/>
          <w:color w:val="333333"/>
          <w:sz w:val="20"/>
          <w:szCs w:val="20"/>
          <w:lang w:val="es-VE"/>
        </w:rPr>
      </w:pPr>
      <w:r w:rsidRPr="00E955B5">
        <w:rPr>
          <w:rFonts w:ascii="Raleway" w:eastAsia="Raleway" w:hAnsi="Raleway" w:cs="Raleway"/>
          <w:color w:val="333333"/>
          <w:sz w:val="20"/>
          <w:szCs w:val="20"/>
          <w:lang w:val="es-VE"/>
        </w:rPr>
        <w:t>(d) El departamento puede emitir las órdenes razonables necesarias para efectuar los propósitos de esta sección incluyendo, pero sin limitarse a, órdenes de embargo, destrucción, cuarentena y liberación de productos. El comisionado puede promulgar las regulaciones que sean necesarias para implementar esta subsección.</w:t>
      </w:r>
    </w:p>
    <w:p w14:paraId="34767B3A" w14:textId="196E789D" w:rsidR="00D7224D" w:rsidRPr="00E955B5" w:rsidRDefault="00E955B5" w:rsidP="00E955B5">
      <w:pPr>
        <w:jc w:val="both"/>
        <w:rPr>
          <w:rFonts w:ascii="Raleway" w:hAnsi="Raleway"/>
          <w:sz w:val="20"/>
          <w:szCs w:val="20"/>
          <w:lang w:val="es-VE"/>
        </w:rPr>
      </w:pPr>
      <w:r w:rsidRPr="00E955B5">
        <w:rPr>
          <w:rFonts w:ascii="Raleway" w:eastAsia="Raleway" w:hAnsi="Raleway" w:cs="Raleway"/>
          <w:color w:val="333333"/>
          <w:sz w:val="20"/>
          <w:szCs w:val="20"/>
          <w:lang w:val="es-VE"/>
        </w:rPr>
        <w:t xml:space="preserve">(e) </w:t>
      </w:r>
      <w:r w:rsidR="00405EEC" w:rsidRPr="00405EEC">
        <w:rPr>
          <w:rFonts w:ascii="Raleway" w:eastAsia="Raleway" w:hAnsi="Raleway" w:cs="Raleway"/>
          <w:color w:val="333333"/>
          <w:sz w:val="20"/>
          <w:szCs w:val="20"/>
          <w:lang w:val="es-VE"/>
        </w:rPr>
        <w:t>El operador de una granja de productos agrícolas deberá mantener los registros requeridos por la ley federal y las normas adoptadas en virtud de la ley, así como poner los registros a disposición del departamento cuando este lo solicite.</w:t>
      </w:r>
    </w:p>
    <w:p w14:paraId="2C078E63" w14:textId="7DA91AD9" w:rsidR="00D7224D" w:rsidRPr="00603599" w:rsidRDefault="10738D88" w:rsidP="00376D10">
      <w:pPr>
        <w:jc w:val="both"/>
        <w:rPr>
          <w:rFonts w:ascii="Raleway" w:hAnsi="Raleway"/>
          <w:lang w:val="es-VE"/>
        </w:rPr>
      </w:pPr>
      <w:r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[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Capítulo 128A en vigor hasta el 31</w:t>
      </w:r>
      <w:r w:rsid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-jul-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2021. Derogado por </w:t>
      </w:r>
      <w:r w:rsidR="009D7AA2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el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 194, Sec</w:t>
      </w:r>
      <w:r w:rsid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ción 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39</w:t>
      </w:r>
      <w:r w:rsidR="009D7AA2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, del 2011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. Vea</w:t>
      </w:r>
      <w:r w:rsid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 </w:t>
      </w:r>
      <w:r w:rsidR="009D7AA2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el 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194, Sec</w:t>
      </w:r>
      <w:r w:rsid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ción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 112,</w:t>
      </w:r>
      <w:r w:rsidR="009D7AA2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 del 2011,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 </w:t>
      </w:r>
      <w:r w:rsidR="009D7AA2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modificado en el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 2014, </w:t>
      </w:r>
      <w:r w:rsidR="009D7AA2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el 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165, Sec</w:t>
      </w:r>
      <w:r w:rsidR="00335D1F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ción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 192; </w:t>
      </w:r>
      <w:r w:rsidR="009D7AA2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del 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2016, 176, Sec</w:t>
      </w:r>
      <w:r w:rsidR="00335D1F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ción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 12B; </w:t>
      </w:r>
      <w:r w:rsidR="009D7AA2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del 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2017, 56, Sec</w:t>
      </w:r>
      <w:r w:rsidR="00335D1F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ción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 14;</w:t>
      </w:r>
      <w:r w:rsidR="009D7AA2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 del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 2018, 159, Sec</w:t>
      </w:r>
      <w:r w:rsidR="00335D1F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ción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 14; </w:t>
      </w:r>
      <w:r w:rsidR="009D7AA2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del 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2019, 47, Sec</w:t>
      </w:r>
      <w:r w:rsidR="00335D1F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ción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 14;</w:t>
      </w:r>
      <w:r w:rsidR="009D7AA2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 del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 2020, 1, Se</w:t>
      </w:r>
      <w:r w:rsidR="00F17485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c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c</w:t>
      </w:r>
      <w:r w:rsidR="00F17485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ión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 14; </w:t>
      </w:r>
      <w:r w:rsidR="009D7AA2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del 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2020, 106, Sec</w:t>
      </w:r>
      <w:r w:rsidR="00F17485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ción</w:t>
      </w:r>
      <w:r w:rsidR="00603599"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 xml:space="preserve"> 14</w:t>
      </w:r>
      <w:r w:rsidRPr="00603599">
        <w:rPr>
          <w:rFonts w:ascii="Raleway" w:eastAsia="Raleway" w:hAnsi="Raleway" w:cs="Raleway"/>
          <w:i/>
          <w:iCs/>
          <w:color w:val="333333"/>
          <w:sz w:val="20"/>
          <w:szCs w:val="20"/>
          <w:lang w:val="es-VE"/>
        </w:rPr>
        <w:t>.]</w:t>
      </w:r>
    </w:p>
    <w:sectPr w:rsidR="00D7224D" w:rsidRPr="00603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Raleway"/>
    <w:panose1 w:val="020B0003030101060003"/>
    <w:charset w:val="00"/>
    <w:family w:val="swiss"/>
    <w:pitch w:val="variable"/>
    <w:sig w:usb0="A00002FF" w:usb1="5000205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149FA2"/>
    <w:rsid w:val="000A5C62"/>
    <w:rsid w:val="000B3FF4"/>
    <w:rsid w:val="00280377"/>
    <w:rsid w:val="0029139D"/>
    <w:rsid w:val="002B4C98"/>
    <w:rsid w:val="002E1F07"/>
    <w:rsid w:val="00335D1F"/>
    <w:rsid w:val="00376D10"/>
    <w:rsid w:val="00405EEC"/>
    <w:rsid w:val="004F39F5"/>
    <w:rsid w:val="00603599"/>
    <w:rsid w:val="00653DF1"/>
    <w:rsid w:val="00695D4C"/>
    <w:rsid w:val="00732AAE"/>
    <w:rsid w:val="00737F13"/>
    <w:rsid w:val="00764134"/>
    <w:rsid w:val="00853F1C"/>
    <w:rsid w:val="009C4668"/>
    <w:rsid w:val="009D7AA2"/>
    <w:rsid w:val="00A25684"/>
    <w:rsid w:val="00B36931"/>
    <w:rsid w:val="00B86CD0"/>
    <w:rsid w:val="00C54A93"/>
    <w:rsid w:val="00C54C16"/>
    <w:rsid w:val="00C96428"/>
    <w:rsid w:val="00D4151A"/>
    <w:rsid w:val="00D7224D"/>
    <w:rsid w:val="00DA6A7E"/>
    <w:rsid w:val="00E955B5"/>
    <w:rsid w:val="00F17485"/>
    <w:rsid w:val="00F46333"/>
    <w:rsid w:val="00FC1AC4"/>
    <w:rsid w:val="0C97723F"/>
    <w:rsid w:val="10738D88"/>
    <w:rsid w:val="59149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9FA2"/>
  <w15:chartTrackingRefBased/>
  <w15:docId w15:val="{0DFD4CB9-3326-4CCB-9100-7025D90D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8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34A7A-92FF-4685-BA08-9E00C727AB62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customXml/itemProps2.xml><?xml version="1.0" encoding="utf-8"?>
<ds:datastoreItem xmlns:ds="http://schemas.openxmlformats.org/officeDocument/2006/customXml" ds:itemID="{4DC4E7B9-61D6-41D5-AF4B-863B3309A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71708-DCCC-457C-9681-1751DCB81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Olivia (AGR)</dc:creator>
  <cp:keywords/>
  <dc:description/>
  <cp:revision>35</cp:revision>
  <dcterms:created xsi:type="dcterms:W3CDTF">2023-11-06T14:17:00Z</dcterms:created>
  <dcterms:modified xsi:type="dcterms:W3CDTF">2024-04-24T14:41:00Z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</Properties>
</file>