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96B0B" w14:textId="77777777" w:rsidR="00A30E3B" w:rsidRDefault="00A30E3B" w:rsidP="00A30E3B">
      <w:pPr>
        <w:pStyle w:val="Title"/>
      </w:pPr>
      <w:bookmarkStart w:id="0" w:name="_GoBack"/>
      <w:bookmarkEnd w:id="0"/>
      <w:r>
        <w:t>COMMONWEALTH OF MASSACHUSETTS</w:t>
      </w:r>
    </w:p>
    <w:p w14:paraId="1BAC77A4" w14:textId="77777777" w:rsidR="00A30E3B" w:rsidRDefault="00A30E3B" w:rsidP="00A30E3B">
      <w:pPr>
        <w:jc w:val="center"/>
        <w:rPr>
          <w:rFonts w:ascii="Courier New" w:hAnsi="Courier New" w:cs="Courier New"/>
          <w:b/>
          <w:bCs/>
        </w:rPr>
      </w:pPr>
    </w:p>
    <w:p w14:paraId="42767E9B" w14:textId="77777777" w:rsidR="00A30E3B" w:rsidRDefault="00A30E3B" w:rsidP="00A30E3B">
      <w:pPr>
        <w:jc w:val="center"/>
        <w:rPr>
          <w:rFonts w:ascii="Courier New" w:hAnsi="Courier New" w:cs="Courier New"/>
          <w:b/>
          <w:bCs/>
        </w:rPr>
      </w:pPr>
      <w:r>
        <w:rPr>
          <w:rFonts w:ascii="Courier New" w:hAnsi="Courier New" w:cs="Courier New"/>
          <w:b/>
          <w:bCs/>
        </w:rPr>
        <w:t>APPELLATE TAX BOARD</w:t>
      </w:r>
    </w:p>
    <w:p w14:paraId="56E3EAB5" w14:textId="77777777" w:rsidR="00A30E3B" w:rsidRDefault="00A30E3B" w:rsidP="00A30E3B">
      <w:pPr>
        <w:jc w:val="both"/>
        <w:rPr>
          <w:rFonts w:ascii="Courier New" w:hAnsi="Courier New" w:cs="Courier New"/>
          <w:b/>
          <w:bCs/>
        </w:rPr>
      </w:pPr>
    </w:p>
    <w:p w14:paraId="00AFF8E6" w14:textId="77777777" w:rsidR="00A30E3B" w:rsidRDefault="00A30E3B" w:rsidP="00A30E3B">
      <w:pPr>
        <w:jc w:val="both"/>
        <w:rPr>
          <w:rFonts w:ascii="Courier New" w:hAnsi="Courier New" w:cs="Courier New"/>
          <w:b/>
          <w:bCs/>
        </w:rPr>
      </w:pPr>
    </w:p>
    <w:p w14:paraId="79EC4C8B" w14:textId="22C21038" w:rsidR="00A30E3B" w:rsidRDefault="00A30E3B" w:rsidP="00A30E3B">
      <w:pPr>
        <w:pStyle w:val="Heading1"/>
        <w:tabs>
          <w:tab w:val="left" w:pos="4320"/>
        </w:tabs>
      </w:pPr>
      <w:r>
        <w:t xml:space="preserve">RENOVATORS SUPPLY INC.     </w:t>
      </w:r>
      <w:r w:rsidR="00696CAE">
        <w:t xml:space="preserve"> </w:t>
      </w:r>
      <w:r>
        <w:t>v.</w:t>
      </w:r>
      <w:r>
        <w:tab/>
        <w:t xml:space="preserve"> BOARD OF ASSESSORS OF  </w:t>
      </w:r>
    </w:p>
    <w:p w14:paraId="79416B27" w14:textId="77777777" w:rsidR="00A30E3B" w:rsidRDefault="00A30E3B" w:rsidP="00A30E3B">
      <w:pPr>
        <w:pStyle w:val="Heading1"/>
        <w:ind w:left="3600" w:hanging="3600"/>
      </w:pPr>
      <w:r>
        <w:tab/>
      </w:r>
      <w:r>
        <w:tab/>
      </w:r>
      <w:r>
        <w:tab/>
        <w:t> THE TOWN OF ERVING</w:t>
      </w:r>
    </w:p>
    <w:p w14:paraId="5DB8A9E2" w14:textId="77777777" w:rsidR="00A30E3B" w:rsidRDefault="00A30E3B" w:rsidP="00A30E3B">
      <w:pPr>
        <w:jc w:val="both"/>
        <w:rPr>
          <w:rFonts w:ascii="Courier New" w:hAnsi="Courier New" w:cs="Courier New"/>
        </w:rPr>
      </w:pPr>
    </w:p>
    <w:p w14:paraId="6C9F1503" w14:textId="310FB88C" w:rsidR="00A30E3B" w:rsidRDefault="00A30E3B" w:rsidP="00A30E3B">
      <w:pPr>
        <w:jc w:val="both"/>
        <w:rPr>
          <w:rFonts w:ascii="Courier New" w:hAnsi="Courier New" w:cs="Courier New"/>
        </w:rPr>
      </w:pPr>
      <w:r>
        <w:rPr>
          <w:rFonts w:ascii="Courier New" w:hAnsi="Courier New" w:cs="Courier New"/>
        </w:rPr>
        <w:t xml:space="preserve">Docket Nos. </w:t>
      </w:r>
      <w:r w:rsidR="004916BA">
        <w:rPr>
          <w:rFonts w:ascii="Courier New" w:hAnsi="Courier New" w:cs="Courier New"/>
        </w:rPr>
        <w:t>F325676, F329589</w:t>
      </w:r>
      <w:r>
        <w:rPr>
          <w:rFonts w:ascii="Courier New" w:hAnsi="Courier New" w:cs="Courier New"/>
        </w:rPr>
        <w:tab/>
      </w:r>
      <w:r>
        <w:rPr>
          <w:rFonts w:ascii="Courier New" w:hAnsi="Courier New" w:cs="Courier New"/>
        </w:rPr>
        <w:tab/>
      </w:r>
      <w:r w:rsidR="004916BA">
        <w:rPr>
          <w:rFonts w:ascii="Courier New" w:hAnsi="Courier New" w:cs="Courier New"/>
        </w:rPr>
        <w:t xml:space="preserve"> Promulgated:</w:t>
      </w:r>
      <w:r>
        <w:rPr>
          <w:rFonts w:ascii="Courier New" w:hAnsi="Courier New" w:cs="Courier New"/>
        </w:rPr>
        <w:tab/>
        <w:t xml:space="preserve">  </w:t>
      </w:r>
      <w:r>
        <w:rPr>
          <w:rFonts w:ascii="Courier New" w:hAnsi="Courier New" w:cs="Courier New"/>
        </w:rPr>
        <w:tab/>
        <w:t xml:space="preserve">   </w:t>
      </w:r>
    </w:p>
    <w:p w14:paraId="1AEADD9A" w14:textId="3C266241" w:rsidR="005C5546" w:rsidRDefault="00A30E3B" w:rsidP="00A30E3B">
      <w:pPr>
        <w:jc w:val="both"/>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r w:rsidR="00492D4D">
        <w:rPr>
          <w:rFonts w:ascii="Courier New" w:hAnsi="Courier New" w:cs="Courier New"/>
        </w:rPr>
        <w:t>December 6, 2018</w:t>
      </w:r>
    </w:p>
    <w:p w14:paraId="2DF60DDA" w14:textId="3F442DA5" w:rsidR="00A30E3B" w:rsidRDefault="00A30E3B" w:rsidP="00A30E3B">
      <w:pPr>
        <w:jc w:val="both"/>
        <w:rPr>
          <w:rFonts w:ascii="Courier New" w:hAnsi="Courier New" w:cs="Courier New"/>
        </w:rPr>
      </w:pPr>
      <w:r>
        <w:rPr>
          <w:rFonts w:ascii="Courier New" w:hAnsi="Courier New" w:cs="Courier New"/>
        </w:rPr>
        <w:t xml:space="preserve">   </w:t>
      </w:r>
    </w:p>
    <w:p w14:paraId="537E1E1D" w14:textId="77777777" w:rsidR="00A30E3B" w:rsidRDefault="00A30E3B" w:rsidP="00A30E3B">
      <w:pPr>
        <w:jc w:val="both"/>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
    <w:p w14:paraId="28562809" w14:textId="77777777" w:rsidR="00A30E3B" w:rsidRDefault="00A30E3B" w:rsidP="00A30E3B">
      <w:pPr>
        <w:spacing w:line="480" w:lineRule="auto"/>
        <w:jc w:val="both"/>
        <w:rPr>
          <w:rFonts w:ascii="Courier New" w:hAnsi="Courier New" w:cs="Courier New"/>
        </w:rPr>
      </w:pPr>
      <w:r>
        <w:rPr>
          <w:rFonts w:ascii="Courier New" w:hAnsi="Courier New" w:cs="Courier New"/>
        </w:rPr>
        <w:tab/>
        <w:t xml:space="preserve">These are appeals heard under the </w:t>
      </w:r>
      <w:r w:rsidRPr="00676B87">
        <w:rPr>
          <w:rFonts w:ascii="Courier New" w:hAnsi="Courier New" w:cs="Courier New"/>
        </w:rPr>
        <w:t>formal</w:t>
      </w:r>
      <w:r>
        <w:rPr>
          <w:rFonts w:ascii="Courier New" w:hAnsi="Courier New" w:cs="Courier New"/>
        </w:rPr>
        <w:t xml:space="preserve"> procedure pursuant to G.L. c. 58A, </w:t>
      </w:r>
      <w:r w:rsidRPr="00676B87">
        <w:rPr>
          <w:rFonts w:ascii="Courier New" w:hAnsi="Courier New" w:cs="Courier New"/>
        </w:rPr>
        <w:t>§ 7</w:t>
      </w:r>
      <w:r>
        <w:rPr>
          <w:rFonts w:ascii="Courier New" w:hAnsi="Courier New" w:cs="Courier New"/>
        </w:rPr>
        <w:t xml:space="preserve"> and G.L. c. 59, §§ 64 and 65, from the refusal of the Board of Assessors of the Town of Erving (“appellee” or “assessors”) to abate taxes on a certain parcel of real estate located in Erving owned by and assessed to Renovators Supply Inc. (“appellant”), under G.L. c. 59, §§ 11 and 38, for fiscal years 2015 and 2016 (“fiscal years at issue”).</w:t>
      </w:r>
    </w:p>
    <w:p w14:paraId="0C4AB185" w14:textId="33385D28" w:rsidR="00A30E3B" w:rsidRDefault="00A30E3B" w:rsidP="00A30E3B">
      <w:pPr>
        <w:pStyle w:val="BodyText2"/>
        <w:spacing w:after="0"/>
        <w:jc w:val="both"/>
        <w:rPr>
          <w:rFonts w:ascii="Courier New" w:hAnsi="Courier New" w:cs="Courier New"/>
        </w:rPr>
      </w:pPr>
      <w:r>
        <w:tab/>
      </w:r>
      <w:r>
        <w:rPr>
          <w:rFonts w:ascii="Courier New" w:hAnsi="Courier New" w:cs="Courier New"/>
        </w:rPr>
        <w:t>Commissioner Chmielinski</w:t>
      </w:r>
      <w:r w:rsidRPr="00B86AF5">
        <w:rPr>
          <w:rFonts w:ascii="Courier New" w:hAnsi="Courier New" w:cs="Courier New"/>
        </w:rPr>
        <w:t xml:space="preserve"> heard</w:t>
      </w:r>
      <w:r>
        <w:rPr>
          <w:rFonts w:ascii="Courier New" w:hAnsi="Courier New" w:cs="Courier New"/>
        </w:rPr>
        <w:t xml:space="preserve"> these appeals.  Chairman Hammond </w:t>
      </w:r>
      <w:r w:rsidRPr="007731F6">
        <w:rPr>
          <w:rFonts w:ascii="Courier New" w:hAnsi="Courier New" w:cs="Courier New"/>
        </w:rPr>
        <w:t xml:space="preserve">and Commissioners Scharaffa, </w:t>
      </w:r>
      <w:r>
        <w:rPr>
          <w:rFonts w:ascii="Courier New" w:hAnsi="Courier New" w:cs="Courier New"/>
        </w:rPr>
        <w:t>Rose</w:t>
      </w:r>
      <w:r w:rsidR="00F701BB">
        <w:rPr>
          <w:rFonts w:ascii="Courier New" w:hAnsi="Courier New" w:cs="Courier New"/>
        </w:rPr>
        <w:t>,</w:t>
      </w:r>
      <w:r>
        <w:rPr>
          <w:rFonts w:ascii="Courier New" w:hAnsi="Courier New" w:cs="Courier New"/>
        </w:rPr>
        <w:t xml:space="preserve"> </w:t>
      </w:r>
      <w:r w:rsidRPr="007731F6">
        <w:rPr>
          <w:rFonts w:ascii="Courier New" w:hAnsi="Courier New" w:cs="Courier New"/>
        </w:rPr>
        <w:t>and Good</w:t>
      </w:r>
      <w:r>
        <w:rPr>
          <w:rFonts w:ascii="Courier New" w:hAnsi="Courier New" w:cs="Courier New"/>
        </w:rPr>
        <w:t xml:space="preserve"> joined him in the decision for the appellant. </w:t>
      </w:r>
      <w:r w:rsidRPr="00B86AF5">
        <w:rPr>
          <w:rFonts w:ascii="Courier New" w:hAnsi="Courier New" w:cs="Courier New"/>
        </w:rPr>
        <w:t xml:space="preserve"> </w:t>
      </w:r>
    </w:p>
    <w:p w14:paraId="28890366" w14:textId="17DB2959" w:rsidR="00A30E3B" w:rsidRPr="00B86AF5" w:rsidRDefault="00A30E3B" w:rsidP="00A30E3B">
      <w:pPr>
        <w:pStyle w:val="BodyText2"/>
        <w:spacing w:after="0"/>
        <w:ind w:firstLine="720"/>
        <w:jc w:val="both"/>
        <w:rPr>
          <w:rFonts w:ascii="Courier New" w:hAnsi="Courier New" w:cs="Courier New"/>
        </w:rPr>
      </w:pPr>
      <w:r w:rsidRPr="00B86AF5">
        <w:rPr>
          <w:rFonts w:ascii="Courier New" w:hAnsi="Courier New" w:cs="Courier New"/>
        </w:rPr>
        <w:t xml:space="preserve">These findings of fact and report are made pursuant to a </w:t>
      </w:r>
      <w:r>
        <w:rPr>
          <w:rFonts w:ascii="Courier New" w:hAnsi="Courier New" w:cs="Courier New"/>
        </w:rPr>
        <w:t xml:space="preserve">request by the </w:t>
      </w:r>
      <w:r w:rsidR="00010260">
        <w:rPr>
          <w:rFonts w:ascii="Courier New" w:hAnsi="Courier New" w:cs="Courier New"/>
        </w:rPr>
        <w:t>appellee</w:t>
      </w:r>
      <w:r w:rsidRPr="00B86AF5">
        <w:rPr>
          <w:rFonts w:ascii="Courier New" w:hAnsi="Courier New" w:cs="Courier New"/>
        </w:rPr>
        <w:t xml:space="preserve"> under G.L. c. 58A, § 13 and 831 CMR 1.32. </w:t>
      </w:r>
    </w:p>
    <w:p w14:paraId="2B542FDB" w14:textId="77777777" w:rsidR="00A30E3B" w:rsidRDefault="00A30E3B" w:rsidP="00A30E3B">
      <w:pPr>
        <w:jc w:val="both"/>
        <w:rPr>
          <w:rFonts w:ascii="Courier New" w:hAnsi="Courier New" w:cs="Courier New"/>
        </w:rPr>
      </w:pPr>
    </w:p>
    <w:p w14:paraId="57BCA931" w14:textId="542F2A3E" w:rsidR="00A30E3B" w:rsidRDefault="00A30E3B" w:rsidP="00A30E3B">
      <w:pPr>
        <w:jc w:val="both"/>
        <w:rPr>
          <w:rFonts w:ascii="Courier New" w:hAnsi="Courier New" w:cs="Courier New"/>
        </w:rPr>
      </w:pPr>
      <w:r>
        <w:rPr>
          <w:rFonts w:ascii="Courier New" w:hAnsi="Courier New" w:cs="Courier New"/>
        </w:rPr>
        <w:tab/>
      </w:r>
      <w:r w:rsidR="00010260" w:rsidRPr="00010260">
        <w:rPr>
          <w:rFonts w:ascii="Courier New" w:hAnsi="Courier New" w:cs="Courier New"/>
          <w:i/>
        </w:rPr>
        <w:t>David G. Saliba</w:t>
      </w:r>
      <w:r w:rsidR="00010260">
        <w:rPr>
          <w:rFonts w:ascii="Courier New" w:hAnsi="Courier New" w:cs="Courier New"/>
        </w:rPr>
        <w:t>, Esq.</w:t>
      </w:r>
      <w:r>
        <w:rPr>
          <w:rFonts w:ascii="Courier New" w:hAnsi="Courier New" w:cs="Courier New"/>
        </w:rPr>
        <w:t xml:space="preserve"> for the appellant.</w:t>
      </w:r>
    </w:p>
    <w:p w14:paraId="7BB3A553" w14:textId="77777777" w:rsidR="00A30E3B" w:rsidRDefault="00A30E3B" w:rsidP="00A30E3B">
      <w:pPr>
        <w:jc w:val="both"/>
        <w:rPr>
          <w:rFonts w:ascii="Courier New" w:hAnsi="Courier New" w:cs="Courier New"/>
        </w:rPr>
      </w:pPr>
    </w:p>
    <w:p w14:paraId="35DA49E7" w14:textId="3074695C" w:rsidR="00A30E3B" w:rsidRDefault="00A30E3B" w:rsidP="00A30E3B">
      <w:pPr>
        <w:jc w:val="both"/>
        <w:rPr>
          <w:rFonts w:ascii="Courier New" w:hAnsi="Courier New" w:cs="Courier New"/>
        </w:rPr>
      </w:pPr>
      <w:r>
        <w:rPr>
          <w:rFonts w:ascii="Courier New" w:hAnsi="Courier New" w:cs="Courier New"/>
        </w:rPr>
        <w:tab/>
      </w:r>
      <w:r w:rsidR="00010260" w:rsidRPr="00010260">
        <w:rPr>
          <w:rFonts w:ascii="Courier New" w:hAnsi="Courier New" w:cs="Courier New"/>
          <w:i/>
        </w:rPr>
        <w:t>Ellen M. Hutchinson</w:t>
      </w:r>
      <w:r w:rsidR="00010260">
        <w:rPr>
          <w:rFonts w:ascii="Courier New" w:hAnsi="Courier New" w:cs="Courier New"/>
        </w:rPr>
        <w:t>, Esq.</w:t>
      </w:r>
      <w:r>
        <w:rPr>
          <w:rFonts w:ascii="Courier New" w:hAnsi="Courier New" w:cs="Courier New"/>
        </w:rPr>
        <w:t xml:space="preserve"> for the appellee.  </w:t>
      </w:r>
    </w:p>
    <w:p w14:paraId="1251FA5D" w14:textId="77777777" w:rsidR="00A30E3B" w:rsidRDefault="00A30E3B" w:rsidP="00A30E3B">
      <w:pPr>
        <w:pStyle w:val="Heading2"/>
        <w:spacing w:line="480" w:lineRule="auto"/>
      </w:pPr>
      <w:r>
        <w:lastRenderedPageBreak/>
        <w:t>FINDINGS OF FACT AND REPORT</w:t>
      </w:r>
    </w:p>
    <w:p w14:paraId="6DFE7449" w14:textId="77777777" w:rsidR="00A30E3B" w:rsidRDefault="00A30E3B" w:rsidP="00A30E3B">
      <w:pPr>
        <w:spacing w:line="480" w:lineRule="auto"/>
        <w:ind w:firstLine="720"/>
        <w:jc w:val="both"/>
        <w:rPr>
          <w:rFonts w:ascii="Courier New" w:hAnsi="Courier New" w:cs="Courier New"/>
        </w:rPr>
      </w:pPr>
      <w:r>
        <w:rPr>
          <w:rFonts w:ascii="Courier New" w:hAnsi="Courier New" w:cs="Courier New"/>
        </w:rPr>
        <w:t>On the basis of testimony and exhibits offered into evidence at the hearing of these appeals, the Appellate Tax Board (“Board”) made the following findings of fact.</w:t>
      </w:r>
    </w:p>
    <w:p w14:paraId="435B9829" w14:textId="5882FADB" w:rsidR="00623D9E" w:rsidRDefault="00A30E3B" w:rsidP="00623D9E">
      <w:pPr>
        <w:spacing w:line="480" w:lineRule="auto"/>
        <w:ind w:firstLine="720"/>
        <w:jc w:val="both"/>
        <w:rPr>
          <w:rFonts w:ascii="Courier New" w:hAnsi="Courier New" w:cs="Courier New"/>
        </w:rPr>
      </w:pPr>
      <w:r>
        <w:rPr>
          <w:rFonts w:ascii="Courier New" w:hAnsi="Courier New" w:cs="Courier New"/>
        </w:rPr>
        <w:t>On January 1, 2014</w:t>
      </w:r>
      <w:r w:rsidR="00E234A2">
        <w:rPr>
          <w:rFonts w:ascii="Courier New" w:hAnsi="Courier New" w:cs="Courier New"/>
        </w:rPr>
        <w:t xml:space="preserve"> and January 1, 2015</w:t>
      </w:r>
      <w:r>
        <w:rPr>
          <w:rFonts w:ascii="Courier New" w:hAnsi="Courier New" w:cs="Courier New"/>
        </w:rPr>
        <w:t>, the relevant valuation and assessment date</w:t>
      </w:r>
      <w:r w:rsidR="00E234A2">
        <w:rPr>
          <w:rFonts w:ascii="Courier New" w:hAnsi="Courier New" w:cs="Courier New"/>
        </w:rPr>
        <w:t>s</w:t>
      </w:r>
      <w:r>
        <w:rPr>
          <w:rFonts w:ascii="Courier New" w:hAnsi="Courier New" w:cs="Courier New"/>
        </w:rPr>
        <w:t xml:space="preserve"> for the fiscal year</w:t>
      </w:r>
      <w:r w:rsidR="00E234A2">
        <w:rPr>
          <w:rFonts w:ascii="Courier New" w:hAnsi="Courier New" w:cs="Courier New"/>
        </w:rPr>
        <w:t>s</w:t>
      </w:r>
      <w:r>
        <w:rPr>
          <w:rFonts w:ascii="Courier New" w:hAnsi="Courier New" w:cs="Courier New"/>
        </w:rPr>
        <w:t xml:space="preserve"> at issue, the appellant was the assessed owner</w:t>
      </w:r>
      <w:r w:rsidR="00E22999">
        <w:rPr>
          <w:rFonts w:ascii="Courier New" w:hAnsi="Courier New" w:cs="Courier New"/>
        </w:rPr>
        <w:t xml:space="preserve"> </w:t>
      </w:r>
      <w:r w:rsidR="002B2989">
        <w:rPr>
          <w:rFonts w:ascii="Courier New" w:hAnsi="Courier New" w:cs="Courier New"/>
        </w:rPr>
        <w:t xml:space="preserve">of a 25.872-acre parcel of land classified </w:t>
      </w:r>
      <w:r w:rsidR="005E69E7">
        <w:rPr>
          <w:rFonts w:ascii="Courier New" w:hAnsi="Courier New" w:cs="Courier New"/>
        </w:rPr>
        <w:t xml:space="preserve">as industrial/warehouse </w:t>
      </w:r>
      <w:r w:rsidR="002B2989">
        <w:rPr>
          <w:rFonts w:ascii="Courier New" w:hAnsi="Courier New" w:cs="Courier New"/>
        </w:rPr>
        <w:t>with an address of</w:t>
      </w:r>
      <w:r w:rsidR="005E69E7">
        <w:rPr>
          <w:rFonts w:ascii="Courier New" w:hAnsi="Courier New" w:cs="Courier New"/>
        </w:rPr>
        <w:t xml:space="preserve"> 1</w:t>
      </w:r>
      <w:r w:rsidR="002B2989">
        <w:rPr>
          <w:rFonts w:ascii="Courier New" w:hAnsi="Courier New" w:cs="Courier New"/>
        </w:rPr>
        <w:t xml:space="preserve"> River Street (“subject property”).  The subject property is improved with</w:t>
      </w:r>
      <w:r w:rsidR="00743E61">
        <w:rPr>
          <w:rFonts w:ascii="Courier New" w:hAnsi="Courier New" w:cs="Courier New"/>
        </w:rPr>
        <w:t xml:space="preserve"> five</w:t>
      </w:r>
      <w:r w:rsidR="00296A4C">
        <w:rPr>
          <w:rFonts w:ascii="Courier New" w:hAnsi="Courier New" w:cs="Courier New"/>
        </w:rPr>
        <w:t xml:space="preserve"> </w:t>
      </w:r>
      <w:r w:rsidR="009248B1">
        <w:rPr>
          <w:rFonts w:ascii="Courier New" w:hAnsi="Courier New" w:cs="Courier New"/>
        </w:rPr>
        <w:t>buildings</w:t>
      </w:r>
      <w:r w:rsidR="004A0EEF">
        <w:rPr>
          <w:rFonts w:ascii="Courier New" w:hAnsi="Courier New" w:cs="Courier New"/>
        </w:rPr>
        <w:t xml:space="preserve">: (1) </w:t>
      </w:r>
      <w:r w:rsidR="009248B1">
        <w:rPr>
          <w:rFonts w:ascii="Courier New" w:hAnsi="Courier New" w:cs="Courier New"/>
        </w:rPr>
        <w:t>the main</w:t>
      </w:r>
      <w:r w:rsidR="004A0EEF">
        <w:rPr>
          <w:rFonts w:ascii="Courier New" w:hAnsi="Courier New" w:cs="Courier New"/>
        </w:rPr>
        <w:t xml:space="preserve"> mill</w:t>
      </w:r>
      <w:r w:rsidR="002B2989">
        <w:rPr>
          <w:rFonts w:ascii="Courier New" w:hAnsi="Courier New" w:cs="Courier New"/>
        </w:rPr>
        <w:t xml:space="preserve"> building </w:t>
      </w:r>
      <w:r w:rsidR="009248B1">
        <w:rPr>
          <w:rFonts w:ascii="Courier New" w:hAnsi="Courier New" w:cs="Courier New"/>
        </w:rPr>
        <w:t>bui</w:t>
      </w:r>
      <w:r w:rsidR="004A0EEF">
        <w:rPr>
          <w:rFonts w:ascii="Courier New" w:hAnsi="Courier New" w:cs="Courier New"/>
        </w:rPr>
        <w:t>lt in 1912 (“subject mill”)</w:t>
      </w:r>
      <w:r w:rsidR="001A3B3B">
        <w:rPr>
          <w:rFonts w:ascii="Courier New" w:hAnsi="Courier New" w:cs="Courier New"/>
        </w:rPr>
        <w:t>, which the property record cards list as containing 191,967 square feet</w:t>
      </w:r>
      <w:r w:rsidR="004A0EEF">
        <w:rPr>
          <w:rFonts w:ascii="Courier New" w:hAnsi="Courier New" w:cs="Courier New"/>
        </w:rPr>
        <w:t>; (2) an 18,992-square-foot</w:t>
      </w:r>
      <w:r w:rsidR="00743E61">
        <w:rPr>
          <w:rFonts w:ascii="Courier New" w:hAnsi="Courier New" w:cs="Courier New"/>
        </w:rPr>
        <w:t>,</w:t>
      </w:r>
      <w:r w:rsidR="004A0EEF">
        <w:rPr>
          <w:rFonts w:ascii="Courier New" w:hAnsi="Courier New" w:cs="Courier New"/>
        </w:rPr>
        <w:t xml:space="preserve"> detached </w:t>
      </w:r>
      <w:r w:rsidR="009248B1">
        <w:rPr>
          <w:rFonts w:ascii="Courier New" w:hAnsi="Courier New" w:cs="Courier New"/>
        </w:rPr>
        <w:t>brick addition built in 1924</w:t>
      </w:r>
      <w:r w:rsidR="00692741">
        <w:rPr>
          <w:rFonts w:ascii="Courier New" w:hAnsi="Courier New" w:cs="Courier New"/>
        </w:rPr>
        <w:t xml:space="preserve"> (“old power</w:t>
      </w:r>
      <w:r w:rsidR="00FE6809">
        <w:rPr>
          <w:rFonts w:ascii="Courier New" w:hAnsi="Courier New" w:cs="Courier New"/>
        </w:rPr>
        <w:t>house”); (3)</w:t>
      </w:r>
      <w:r w:rsidR="004A0EEF">
        <w:rPr>
          <w:rFonts w:ascii="Courier New" w:hAnsi="Courier New" w:cs="Courier New"/>
        </w:rPr>
        <w:t xml:space="preserve"> a</w:t>
      </w:r>
      <w:r w:rsidR="009248B1">
        <w:rPr>
          <w:rFonts w:ascii="Courier New" w:hAnsi="Courier New" w:cs="Courier New"/>
        </w:rPr>
        <w:t xml:space="preserve"> </w:t>
      </w:r>
      <w:r w:rsidR="00FE6809">
        <w:rPr>
          <w:rFonts w:ascii="Courier New" w:hAnsi="Courier New" w:cs="Courier New"/>
        </w:rPr>
        <w:t>1,932-square-foot</w:t>
      </w:r>
      <w:r w:rsidR="00743E61">
        <w:rPr>
          <w:rFonts w:ascii="Courier New" w:hAnsi="Courier New" w:cs="Courier New"/>
        </w:rPr>
        <w:t>,</w:t>
      </w:r>
      <w:r w:rsidR="00FE6809">
        <w:rPr>
          <w:rFonts w:ascii="Courier New" w:hAnsi="Courier New" w:cs="Courier New"/>
        </w:rPr>
        <w:t xml:space="preserve"> </w:t>
      </w:r>
      <w:r w:rsidR="009248B1">
        <w:rPr>
          <w:rFonts w:ascii="Courier New" w:hAnsi="Courier New" w:cs="Courier New"/>
        </w:rPr>
        <w:t>stand-alone service garage</w:t>
      </w:r>
      <w:r w:rsidR="00FE6809">
        <w:rPr>
          <w:rFonts w:ascii="Courier New" w:hAnsi="Courier New" w:cs="Courier New"/>
        </w:rPr>
        <w:t xml:space="preserve"> built in 1920; (4)</w:t>
      </w:r>
      <w:r w:rsidR="009248B1">
        <w:rPr>
          <w:rFonts w:ascii="Courier New" w:hAnsi="Courier New" w:cs="Courier New"/>
        </w:rPr>
        <w:t xml:space="preserve"> a 1,620-square-foot</w:t>
      </w:r>
      <w:r w:rsidR="00743E61">
        <w:rPr>
          <w:rFonts w:ascii="Courier New" w:hAnsi="Courier New" w:cs="Courier New"/>
        </w:rPr>
        <w:t>,</w:t>
      </w:r>
      <w:r w:rsidR="009248B1">
        <w:rPr>
          <w:rFonts w:ascii="Courier New" w:hAnsi="Courier New" w:cs="Courier New"/>
        </w:rPr>
        <w:t xml:space="preserve"> </w:t>
      </w:r>
      <w:r w:rsidR="00FE6809">
        <w:rPr>
          <w:rFonts w:ascii="Courier New" w:hAnsi="Courier New" w:cs="Courier New"/>
        </w:rPr>
        <w:t xml:space="preserve">open </w:t>
      </w:r>
      <w:r w:rsidR="007D0D1D">
        <w:rPr>
          <w:rFonts w:ascii="Courier New" w:hAnsi="Courier New" w:cs="Courier New"/>
        </w:rPr>
        <w:t>“pole barn</w:t>
      </w:r>
      <w:r w:rsidR="00FE6809">
        <w:rPr>
          <w:rFonts w:ascii="Courier New" w:hAnsi="Courier New" w:cs="Courier New"/>
        </w:rPr>
        <w:t>,</w:t>
      </w:r>
      <w:r w:rsidR="004A0EEF">
        <w:rPr>
          <w:rFonts w:ascii="Courier New" w:hAnsi="Courier New" w:cs="Courier New"/>
        </w:rPr>
        <w:t>”</w:t>
      </w:r>
      <w:r w:rsidR="00FE6809">
        <w:rPr>
          <w:rFonts w:ascii="Courier New" w:hAnsi="Courier New" w:cs="Courier New"/>
        </w:rPr>
        <w:t xml:space="preserve"> classified as a yard item </w:t>
      </w:r>
      <w:r w:rsidR="00AB1BFE">
        <w:rPr>
          <w:rFonts w:ascii="Courier New" w:hAnsi="Courier New" w:cs="Courier New"/>
        </w:rPr>
        <w:t xml:space="preserve">associated with the subject mill </w:t>
      </w:r>
      <w:r w:rsidR="00FE6809">
        <w:rPr>
          <w:rFonts w:ascii="Courier New" w:hAnsi="Courier New" w:cs="Courier New"/>
        </w:rPr>
        <w:t>and</w:t>
      </w:r>
      <w:r w:rsidR="004A0EEF">
        <w:rPr>
          <w:rFonts w:ascii="Courier New" w:hAnsi="Courier New" w:cs="Courier New"/>
        </w:rPr>
        <w:t xml:space="preserve"> </w:t>
      </w:r>
      <w:r w:rsidR="007D0D1D">
        <w:rPr>
          <w:rFonts w:ascii="Courier New" w:hAnsi="Courier New" w:cs="Courier New"/>
        </w:rPr>
        <w:t xml:space="preserve">used as an </w:t>
      </w:r>
      <w:r w:rsidR="004A0EEF">
        <w:rPr>
          <w:rFonts w:ascii="Courier New" w:hAnsi="Courier New" w:cs="Courier New"/>
        </w:rPr>
        <w:t>equipment shed</w:t>
      </w:r>
      <w:r w:rsidR="00FE6809">
        <w:rPr>
          <w:rFonts w:ascii="Courier New" w:hAnsi="Courier New" w:cs="Courier New"/>
        </w:rPr>
        <w:t>; and (5)</w:t>
      </w:r>
      <w:r w:rsidR="004A0EEF">
        <w:rPr>
          <w:rFonts w:ascii="Courier New" w:hAnsi="Courier New" w:cs="Courier New"/>
        </w:rPr>
        <w:t xml:space="preserve"> a</w:t>
      </w:r>
      <w:r w:rsidR="007D0D1D">
        <w:rPr>
          <w:rFonts w:ascii="Courier New" w:hAnsi="Courier New" w:cs="Courier New"/>
        </w:rPr>
        <w:t xml:space="preserve"> </w:t>
      </w:r>
      <w:r w:rsidR="004A0EEF">
        <w:rPr>
          <w:rFonts w:ascii="Courier New" w:hAnsi="Courier New" w:cs="Courier New"/>
        </w:rPr>
        <w:t xml:space="preserve">528-square-foot </w:t>
      </w:r>
      <w:r w:rsidR="007D0D1D">
        <w:rPr>
          <w:rFonts w:ascii="Courier New" w:hAnsi="Courier New" w:cs="Courier New"/>
        </w:rPr>
        <w:t>sho</w:t>
      </w:r>
      <w:r w:rsidR="004A0EEF">
        <w:rPr>
          <w:rFonts w:ascii="Courier New" w:hAnsi="Courier New" w:cs="Courier New"/>
        </w:rPr>
        <w:t>p</w:t>
      </w:r>
      <w:r w:rsidR="00FE6809">
        <w:rPr>
          <w:rFonts w:ascii="Courier New" w:hAnsi="Courier New" w:cs="Courier New"/>
        </w:rPr>
        <w:t>, also classified as a yard item</w:t>
      </w:r>
      <w:r w:rsidR="00AB1BFE">
        <w:rPr>
          <w:rFonts w:ascii="Courier New" w:hAnsi="Courier New" w:cs="Courier New"/>
        </w:rPr>
        <w:t xml:space="preserve"> associated with the subject mill</w:t>
      </w:r>
      <w:r w:rsidR="009248B1">
        <w:rPr>
          <w:rFonts w:ascii="Courier New" w:hAnsi="Courier New" w:cs="Courier New"/>
        </w:rPr>
        <w:t>.</w:t>
      </w:r>
      <w:r w:rsidR="001A3B3B">
        <w:rPr>
          <w:rFonts w:ascii="Courier New" w:hAnsi="Courier New" w:cs="Courier New"/>
        </w:rPr>
        <w:t xml:space="preserve">  </w:t>
      </w:r>
      <w:r w:rsidR="009248B1">
        <w:rPr>
          <w:rFonts w:ascii="Courier New" w:hAnsi="Courier New" w:cs="Courier New"/>
        </w:rPr>
        <w:t xml:space="preserve"> </w:t>
      </w:r>
    </w:p>
    <w:p w14:paraId="419AB4FA" w14:textId="2FF40E6E" w:rsidR="009D30FB" w:rsidRDefault="00A30E3B" w:rsidP="00E234A2">
      <w:pPr>
        <w:spacing w:line="480" w:lineRule="auto"/>
        <w:ind w:firstLine="720"/>
        <w:jc w:val="both"/>
        <w:rPr>
          <w:rFonts w:ascii="Courier New" w:hAnsi="Courier New" w:cs="Courier New"/>
        </w:rPr>
      </w:pPr>
      <w:r>
        <w:rPr>
          <w:rFonts w:ascii="Courier New" w:hAnsi="Courier New" w:cs="Courier New"/>
        </w:rPr>
        <w:t xml:space="preserve">For fiscal year 2015, the assessors </w:t>
      </w:r>
      <w:r w:rsidR="009F3A05">
        <w:rPr>
          <w:rFonts w:ascii="Courier New" w:hAnsi="Courier New" w:cs="Courier New"/>
        </w:rPr>
        <w:t>valued the subject property</w:t>
      </w:r>
      <w:r>
        <w:rPr>
          <w:rFonts w:ascii="Courier New" w:hAnsi="Courier New" w:cs="Courier New"/>
        </w:rPr>
        <w:t xml:space="preserve"> at </w:t>
      </w:r>
      <w:r w:rsidR="005E69E7">
        <w:rPr>
          <w:rFonts w:ascii="Courier New" w:hAnsi="Courier New" w:cs="Courier New"/>
        </w:rPr>
        <w:t>$2,025,800</w:t>
      </w:r>
      <w:r w:rsidR="009F3A05">
        <w:rPr>
          <w:rFonts w:ascii="Courier New" w:hAnsi="Courier New" w:cs="Courier New"/>
        </w:rPr>
        <w:t xml:space="preserve"> and</w:t>
      </w:r>
      <w:r>
        <w:rPr>
          <w:rFonts w:ascii="Courier New" w:hAnsi="Courier New" w:cs="Courier New"/>
        </w:rPr>
        <w:t xml:space="preserve"> assessed</w:t>
      </w:r>
      <w:r w:rsidR="00B75DF4">
        <w:rPr>
          <w:rFonts w:ascii="Courier New" w:hAnsi="Courier New" w:cs="Courier New"/>
        </w:rPr>
        <w:t xml:space="preserve"> a tax</w:t>
      </w:r>
      <w:r>
        <w:rPr>
          <w:rFonts w:ascii="Courier New" w:hAnsi="Courier New" w:cs="Courier New"/>
        </w:rPr>
        <w:t xml:space="preserve"> at a rate of </w:t>
      </w:r>
      <w:r w:rsidR="009F3A05">
        <w:rPr>
          <w:rFonts w:ascii="Courier New" w:hAnsi="Courier New" w:cs="Courier New"/>
        </w:rPr>
        <w:t>$</w:t>
      </w:r>
      <w:r w:rsidR="005E69E7">
        <w:rPr>
          <w:rFonts w:ascii="Courier New" w:hAnsi="Courier New" w:cs="Courier New"/>
        </w:rPr>
        <w:t>14.32</w:t>
      </w:r>
      <w:r w:rsidRPr="00FE2E89">
        <w:rPr>
          <w:rFonts w:ascii="Courier New" w:hAnsi="Courier New" w:cs="Courier New"/>
        </w:rPr>
        <w:t xml:space="preserve"> per $1,000, in the</w:t>
      </w:r>
      <w:r>
        <w:rPr>
          <w:rFonts w:ascii="Courier New" w:hAnsi="Courier New" w:cs="Courier New"/>
        </w:rPr>
        <w:t xml:space="preserve"> total</w:t>
      </w:r>
      <w:r w:rsidRPr="00FE2E89">
        <w:rPr>
          <w:rFonts w:ascii="Courier New" w:hAnsi="Courier New" w:cs="Courier New"/>
        </w:rPr>
        <w:t xml:space="preserve"> amount of </w:t>
      </w:r>
      <w:r>
        <w:rPr>
          <w:rFonts w:ascii="Courier New" w:hAnsi="Courier New" w:cs="Courier New"/>
        </w:rPr>
        <w:t>$</w:t>
      </w:r>
      <w:r w:rsidR="005E69E7">
        <w:rPr>
          <w:rFonts w:ascii="Courier New" w:hAnsi="Courier New" w:cs="Courier New"/>
        </w:rPr>
        <w:t>29,009.46</w:t>
      </w:r>
      <w:r>
        <w:rPr>
          <w:rFonts w:ascii="Courier New" w:hAnsi="Courier New" w:cs="Courier New"/>
        </w:rPr>
        <w:t>.  The appellant timely paid the tax</w:t>
      </w:r>
      <w:r w:rsidR="009F3A05">
        <w:rPr>
          <w:rFonts w:ascii="Courier New" w:hAnsi="Courier New" w:cs="Courier New"/>
        </w:rPr>
        <w:t xml:space="preserve"> without incurring interest.</w:t>
      </w:r>
      <w:r w:rsidR="00623D9E">
        <w:rPr>
          <w:rFonts w:ascii="Courier New" w:hAnsi="Courier New" w:cs="Courier New"/>
        </w:rPr>
        <w:t xml:space="preserve">  </w:t>
      </w:r>
      <w:r w:rsidR="00B75DF4">
        <w:rPr>
          <w:rFonts w:ascii="Courier New" w:hAnsi="Courier New" w:cs="Courier New"/>
        </w:rPr>
        <w:t>On November 24</w:t>
      </w:r>
      <w:r w:rsidR="005E69E7">
        <w:rPr>
          <w:rFonts w:ascii="Courier New" w:hAnsi="Courier New" w:cs="Courier New"/>
        </w:rPr>
        <w:t xml:space="preserve">, 2014, the appellant filed an abatement </w:t>
      </w:r>
      <w:r w:rsidR="005E69E7">
        <w:rPr>
          <w:rFonts w:ascii="Courier New" w:hAnsi="Courier New" w:cs="Courier New"/>
        </w:rPr>
        <w:lastRenderedPageBreak/>
        <w:t>application with the appellee</w:t>
      </w:r>
      <w:r w:rsidR="00B15924">
        <w:rPr>
          <w:rFonts w:ascii="Courier New" w:hAnsi="Courier New" w:cs="Courier New"/>
        </w:rPr>
        <w:t>, which the appellee partially granted on February 21, 2015, reducing the subject property’s assessed value to</w:t>
      </w:r>
      <w:r w:rsidR="00623D9E">
        <w:rPr>
          <w:rFonts w:ascii="Courier New" w:hAnsi="Courier New" w:cs="Courier New"/>
        </w:rPr>
        <w:t xml:space="preserve"> $</w:t>
      </w:r>
      <w:r w:rsidR="00271F7D">
        <w:rPr>
          <w:rFonts w:ascii="Courier New" w:hAnsi="Courier New" w:cs="Courier New"/>
        </w:rPr>
        <w:t>1,896,2</w:t>
      </w:r>
      <w:r w:rsidR="00B15924">
        <w:rPr>
          <w:rFonts w:ascii="Courier New" w:hAnsi="Courier New" w:cs="Courier New"/>
        </w:rPr>
        <w:t>00</w:t>
      </w:r>
      <w:r w:rsidR="007C15F3">
        <w:rPr>
          <w:rFonts w:ascii="Courier New" w:hAnsi="Courier New" w:cs="Courier New"/>
        </w:rPr>
        <w:t xml:space="preserve">.  </w:t>
      </w:r>
      <w:r w:rsidR="00FB6787">
        <w:rPr>
          <w:rFonts w:ascii="Courier New" w:hAnsi="Courier New" w:cs="Courier New"/>
        </w:rPr>
        <w:t xml:space="preserve">Not satisfied with that abatement, on February 27, 2015, the appellant seasonably filed a Petition Under Formal Procedure with the Board.  </w:t>
      </w:r>
      <w:r w:rsidR="00260678">
        <w:rPr>
          <w:rFonts w:ascii="Courier New" w:hAnsi="Courier New" w:cs="Courier New"/>
        </w:rPr>
        <w:t>T</w:t>
      </w:r>
      <w:r w:rsidR="00FB6787">
        <w:rPr>
          <w:rFonts w:ascii="Courier New" w:hAnsi="Courier New" w:cs="Courier New"/>
        </w:rPr>
        <w:t>he Board</w:t>
      </w:r>
      <w:r w:rsidR="00260678">
        <w:rPr>
          <w:rFonts w:ascii="Courier New" w:hAnsi="Courier New" w:cs="Courier New"/>
        </w:rPr>
        <w:t>, therefore,</w:t>
      </w:r>
      <w:r w:rsidR="00FB6787">
        <w:rPr>
          <w:rFonts w:ascii="Courier New" w:hAnsi="Courier New" w:cs="Courier New"/>
        </w:rPr>
        <w:t xml:space="preserve"> found and ruled that it had jurisdiction over the appeal for fiscal year 2015.</w:t>
      </w:r>
    </w:p>
    <w:p w14:paraId="5BDC8B58" w14:textId="2E6168FE" w:rsidR="009F3A05" w:rsidRDefault="00596019" w:rsidP="00E234A2">
      <w:pPr>
        <w:spacing w:line="480" w:lineRule="auto"/>
        <w:ind w:firstLine="720"/>
        <w:jc w:val="both"/>
        <w:rPr>
          <w:rFonts w:ascii="Courier New" w:hAnsi="Courier New" w:cs="Courier New"/>
        </w:rPr>
      </w:pPr>
      <w:r>
        <w:rPr>
          <w:rFonts w:ascii="Courier New" w:hAnsi="Courier New" w:cs="Courier New"/>
        </w:rPr>
        <w:t>For fiscal year 2016, the assessors valued the subject property at $2,019,200 and assessed a tax, at a rate of $10.99</w:t>
      </w:r>
      <w:r w:rsidRPr="00FE2E89">
        <w:rPr>
          <w:rFonts w:ascii="Courier New" w:hAnsi="Courier New" w:cs="Courier New"/>
        </w:rPr>
        <w:t xml:space="preserve"> per $1,000, in the</w:t>
      </w:r>
      <w:r>
        <w:rPr>
          <w:rFonts w:ascii="Courier New" w:hAnsi="Courier New" w:cs="Courier New"/>
        </w:rPr>
        <w:t xml:space="preserve"> total</w:t>
      </w:r>
      <w:r w:rsidRPr="00FE2E89">
        <w:rPr>
          <w:rFonts w:ascii="Courier New" w:hAnsi="Courier New" w:cs="Courier New"/>
        </w:rPr>
        <w:t xml:space="preserve"> amount of </w:t>
      </w:r>
      <w:r>
        <w:rPr>
          <w:rFonts w:ascii="Courier New" w:hAnsi="Courier New" w:cs="Courier New"/>
        </w:rPr>
        <w:t>$22,191.01.  The appellant timely paid the tax without i</w:t>
      </w:r>
      <w:r w:rsidR="00B75DF4">
        <w:rPr>
          <w:rFonts w:ascii="Courier New" w:hAnsi="Courier New" w:cs="Courier New"/>
        </w:rPr>
        <w:t>ncurring interest.  On January 11</w:t>
      </w:r>
      <w:r>
        <w:rPr>
          <w:rFonts w:ascii="Courier New" w:hAnsi="Courier New" w:cs="Courier New"/>
        </w:rPr>
        <w:t xml:space="preserve">, 2016, the appellant filed an abatement application with </w:t>
      </w:r>
      <w:r w:rsidR="00A35735">
        <w:rPr>
          <w:rFonts w:ascii="Courier New" w:hAnsi="Courier New" w:cs="Courier New"/>
        </w:rPr>
        <w:t>the appellee, which was deemed</w:t>
      </w:r>
      <w:r>
        <w:rPr>
          <w:rFonts w:ascii="Courier New" w:hAnsi="Courier New" w:cs="Courier New"/>
        </w:rPr>
        <w:t xml:space="preserve"> denied on April 11, 2016.  On May 5, 2016, the appellant seasonably filed a Petition Under Formal Procedure with the Board.  </w:t>
      </w:r>
      <w:r w:rsidR="00260678">
        <w:rPr>
          <w:rFonts w:ascii="Courier New" w:hAnsi="Courier New" w:cs="Courier New"/>
        </w:rPr>
        <w:t>T</w:t>
      </w:r>
      <w:r>
        <w:rPr>
          <w:rFonts w:ascii="Courier New" w:hAnsi="Courier New" w:cs="Courier New"/>
        </w:rPr>
        <w:t>he Board</w:t>
      </w:r>
      <w:r w:rsidR="00260678">
        <w:rPr>
          <w:rFonts w:ascii="Courier New" w:hAnsi="Courier New" w:cs="Courier New"/>
        </w:rPr>
        <w:t>, therefore,</w:t>
      </w:r>
      <w:r>
        <w:rPr>
          <w:rFonts w:ascii="Courier New" w:hAnsi="Courier New" w:cs="Courier New"/>
        </w:rPr>
        <w:t xml:space="preserve"> found and ruled that it had jurisdiction over the appeal for fiscal year 2016.</w:t>
      </w:r>
    </w:p>
    <w:p w14:paraId="1E67AF75" w14:textId="76FF6B99" w:rsidR="00596019" w:rsidRDefault="00F73B76" w:rsidP="00E234A2">
      <w:pPr>
        <w:spacing w:line="480" w:lineRule="auto"/>
        <w:ind w:firstLine="720"/>
        <w:jc w:val="both"/>
        <w:rPr>
          <w:rFonts w:ascii="Courier New" w:hAnsi="Courier New" w:cs="Courier New"/>
        </w:rPr>
      </w:pPr>
      <w:r>
        <w:rPr>
          <w:rFonts w:ascii="Courier New" w:hAnsi="Courier New" w:cs="Courier New"/>
        </w:rPr>
        <w:t>T</w:t>
      </w:r>
      <w:r w:rsidR="00F404AF">
        <w:rPr>
          <w:rFonts w:ascii="Courier New" w:hAnsi="Courier New" w:cs="Courier New"/>
        </w:rPr>
        <w:t>he subject mill is a</w:t>
      </w:r>
      <w:r>
        <w:rPr>
          <w:rFonts w:ascii="Courier New" w:hAnsi="Courier New" w:cs="Courier New"/>
        </w:rPr>
        <w:t xml:space="preserve"> </w:t>
      </w:r>
      <w:r w:rsidR="00217AEB">
        <w:rPr>
          <w:rFonts w:ascii="Courier New" w:hAnsi="Courier New" w:cs="Courier New"/>
        </w:rPr>
        <w:t>multi-story manufacturing building with a brick exterior and an</w:t>
      </w:r>
      <w:r w:rsidR="00B37E23">
        <w:rPr>
          <w:rFonts w:ascii="Courier New" w:hAnsi="Courier New" w:cs="Courier New"/>
        </w:rPr>
        <w:t xml:space="preserve"> asphalt-shingle</w:t>
      </w:r>
      <w:r w:rsidR="00841D0E">
        <w:rPr>
          <w:rFonts w:ascii="Courier New" w:hAnsi="Courier New" w:cs="Courier New"/>
        </w:rPr>
        <w:t xml:space="preserve"> roof</w:t>
      </w:r>
      <w:r w:rsidR="00217AEB">
        <w:rPr>
          <w:rFonts w:ascii="Courier New" w:hAnsi="Courier New" w:cs="Courier New"/>
        </w:rPr>
        <w:t>.</w:t>
      </w:r>
      <w:r w:rsidR="00B37E23">
        <w:rPr>
          <w:rFonts w:ascii="Courier New" w:hAnsi="Courier New" w:cs="Courier New"/>
        </w:rPr>
        <w:t xml:space="preserve">  </w:t>
      </w:r>
      <w:r>
        <w:rPr>
          <w:rFonts w:ascii="Courier New" w:hAnsi="Courier New" w:cs="Courier New"/>
        </w:rPr>
        <w:t xml:space="preserve">While the subject mill was originally constructed in 1912, it has undergone several additions and modernizations, including the addition of a single-story </w:t>
      </w:r>
      <w:r w:rsidR="009B6E8F">
        <w:rPr>
          <w:rFonts w:ascii="Courier New" w:hAnsi="Courier New" w:cs="Courier New"/>
        </w:rPr>
        <w:t xml:space="preserve">steel </w:t>
      </w:r>
      <w:r>
        <w:rPr>
          <w:rFonts w:ascii="Courier New" w:hAnsi="Courier New" w:cs="Courier New"/>
        </w:rPr>
        <w:t>warehouse with a 34-foot ceiling.</w:t>
      </w:r>
      <w:r w:rsidR="00EA756B">
        <w:rPr>
          <w:rFonts w:ascii="Courier New" w:hAnsi="Courier New" w:cs="Courier New"/>
        </w:rPr>
        <w:t xml:space="preserve">  The remainder of the subject mill has 12-to-14-foot ceilings.</w:t>
      </w:r>
      <w:r>
        <w:rPr>
          <w:rFonts w:ascii="Courier New" w:hAnsi="Courier New" w:cs="Courier New"/>
        </w:rPr>
        <w:t xml:space="preserve">  The subject mill also is </w:t>
      </w:r>
      <w:r w:rsidR="00743E61">
        <w:rPr>
          <w:rFonts w:ascii="Courier New" w:hAnsi="Courier New" w:cs="Courier New"/>
        </w:rPr>
        <w:lastRenderedPageBreak/>
        <w:t>equipped with three</w:t>
      </w:r>
      <w:r>
        <w:rPr>
          <w:rFonts w:ascii="Courier New" w:hAnsi="Courier New" w:cs="Courier New"/>
        </w:rPr>
        <w:t xml:space="preserve"> </w:t>
      </w:r>
      <w:r w:rsidR="00280AFE">
        <w:rPr>
          <w:rFonts w:ascii="Courier New" w:hAnsi="Courier New" w:cs="Courier New"/>
        </w:rPr>
        <w:t xml:space="preserve">loading </w:t>
      </w:r>
      <w:r>
        <w:rPr>
          <w:rFonts w:ascii="Courier New" w:hAnsi="Courier New" w:cs="Courier New"/>
        </w:rPr>
        <w:t xml:space="preserve">docks and an enclosed dock in the steel warehouse section.  </w:t>
      </w:r>
      <w:r w:rsidR="00EA756B">
        <w:rPr>
          <w:rFonts w:ascii="Courier New" w:hAnsi="Courier New" w:cs="Courier New"/>
        </w:rPr>
        <w:t>Heat is prov</w:t>
      </w:r>
      <w:r w:rsidR="00743E61">
        <w:rPr>
          <w:rFonts w:ascii="Courier New" w:hAnsi="Courier New" w:cs="Courier New"/>
        </w:rPr>
        <w:t>ided by thirteen</w:t>
      </w:r>
      <w:r w:rsidR="00582047">
        <w:rPr>
          <w:rFonts w:ascii="Courier New" w:hAnsi="Courier New" w:cs="Courier New"/>
        </w:rPr>
        <w:t xml:space="preserve"> propane-fired, forced-hot-</w:t>
      </w:r>
      <w:r w:rsidR="00EA756B">
        <w:rPr>
          <w:rFonts w:ascii="Courier New" w:hAnsi="Courier New" w:cs="Courier New"/>
        </w:rPr>
        <w:t xml:space="preserve">air furnaces.  There is air conditioning only in the owner’s administrative/office area on the second floor. </w:t>
      </w:r>
      <w:r w:rsidR="00C666D1">
        <w:rPr>
          <w:rFonts w:ascii="Courier New" w:hAnsi="Courier New" w:cs="Courier New"/>
        </w:rPr>
        <w:t xml:space="preserve"> </w:t>
      </w:r>
      <w:r w:rsidR="00F803A6">
        <w:rPr>
          <w:rFonts w:ascii="Courier New" w:hAnsi="Courier New" w:cs="Courier New"/>
        </w:rPr>
        <w:t>The</w:t>
      </w:r>
      <w:r w:rsidR="00743E61">
        <w:rPr>
          <w:rFonts w:ascii="Courier New" w:hAnsi="Courier New" w:cs="Courier New"/>
        </w:rPr>
        <w:t xml:space="preserve"> subject mill is equipped with three</w:t>
      </w:r>
      <w:r w:rsidR="00F803A6">
        <w:rPr>
          <w:rFonts w:ascii="Courier New" w:hAnsi="Courier New" w:cs="Courier New"/>
        </w:rPr>
        <w:t xml:space="preserve"> </w:t>
      </w:r>
      <w:r w:rsidR="00743E61">
        <w:rPr>
          <w:rFonts w:ascii="Courier New" w:hAnsi="Courier New" w:cs="Courier New"/>
        </w:rPr>
        <w:t xml:space="preserve">electrical </w:t>
      </w:r>
      <w:r w:rsidR="00F803A6">
        <w:rPr>
          <w:rFonts w:ascii="Courier New" w:hAnsi="Courier New" w:cs="Courier New"/>
        </w:rPr>
        <w:t xml:space="preserve">services with the main service being 2000 amps/600 volt.  </w:t>
      </w:r>
    </w:p>
    <w:p w14:paraId="70B96EB6" w14:textId="67455678" w:rsidR="00E47D70" w:rsidRDefault="00F404AF" w:rsidP="00E234A2">
      <w:pPr>
        <w:spacing w:line="480" w:lineRule="auto"/>
        <w:ind w:firstLine="720"/>
        <w:jc w:val="both"/>
        <w:rPr>
          <w:rFonts w:ascii="Courier New" w:hAnsi="Courier New" w:cs="Courier New"/>
        </w:rPr>
      </w:pPr>
      <w:r>
        <w:rPr>
          <w:rFonts w:ascii="Courier New" w:hAnsi="Courier New" w:cs="Courier New"/>
        </w:rPr>
        <w:t>The appellant offered the testimony and appraisal report of Kim A. Levitc</w:t>
      </w:r>
      <w:r w:rsidR="00841D0E">
        <w:rPr>
          <w:rFonts w:ascii="Courier New" w:hAnsi="Courier New" w:cs="Courier New"/>
        </w:rPr>
        <w:t>h, whom the Board qualified as an</w:t>
      </w:r>
      <w:r>
        <w:rPr>
          <w:rFonts w:ascii="Courier New" w:hAnsi="Courier New" w:cs="Courier New"/>
        </w:rPr>
        <w:t xml:space="preserve"> expert </w:t>
      </w:r>
      <w:r w:rsidR="00841D0E">
        <w:rPr>
          <w:rFonts w:ascii="Courier New" w:hAnsi="Courier New" w:cs="Courier New"/>
        </w:rPr>
        <w:t xml:space="preserve">witness </w:t>
      </w:r>
      <w:r>
        <w:rPr>
          <w:rFonts w:ascii="Courier New" w:hAnsi="Courier New" w:cs="Courier New"/>
        </w:rPr>
        <w:t xml:space="preserve">in the valuation of industrial property. </w:t>
      </w:r>
      <w:r w:rsidR="00327A54">
        <w:rPr>
          <w:rFonts w:ascii="Courier New" w:hAnsi="Courier New" w:cs="Courier New"/>
        </w:rPr>
        <w:t xml:space="preserve"> Mr. Levitch testi</w:t>
      </w:r>
      <w:r w:rsidR="00743E61">
        <w:rPr>
          <w:rFonts w:ascii="Courier New" w:hAnsi="Courier New" w:cs="Courier New"/>
        </w:rPr>
        <w:t>fied that the appellee had over</w:t>
      </w:r>
      <w:r w:rsidR="00327A54">
        <w:rPr>
          <w:rFonts w:ascii="Courier New" w:hAnsi="Courier New" w:cs="Courier New"/>
        </w:rPr>
        <w:t>estimated the subject mill’</w:t>
      </w:r>
      <w:r w:rsidR="00504FC2">
        <w:rPr>
          <w:rFonts w:ascii="Courier New" w:hAnsi="Courier New" w:cs="Courier New"/>
        </w:rPr>
        <w:t>s s</w:t>
      </w:r>
      <w:r w:rsidR="009B15E4">
        <w:rPr>
          <w:rFonts w:ascii="Courier New" w:hAnsi="Courier New" w:cs="Courier New"/>
        </w:rPr>
        <w:t>quare footage, specifically its basement area, which the property record cards list as 28,266 square feet, but which Mr. Levitch measured at 23,822 square feet</w:t>
      </w:r>
      <w:r w:rsidR="00327A54">
        <w:rPr>
          <w:rFonts w:ascii="Courier New" w:hAnsi="Courier New" w:cs="Courier New"/>
        </w:rPr>
        <w:t xml:space="preserve">.  Mr. Levitch concluded that the subject mill was </w:t>
      </w:r>
      <w:r w:rsidR="0031346E">
        <w:rPr>
          <w:rFonts w:ascii="Courier New" w:hAnsi="Courier New" w:cs="Courier New"/>
        </w:rPr>
        <w:t>18</w:t>
      </w:r>
      <w:r w:rsidR="00327A54">
        <w:rPr>
          <w:rFonts w:ascii="Courier New" w:hAnsi="Courier New" w:cs="Courier New"/>
        </w:rPr>
        <w:t>7,523 square feet, not 191,967 square feet as reflected in the property record card</w:t>
      </w:r>
      <w:r w:rsidR="009B15E4">
        <w:rPr>
          <w:rFonts w:ascii="Courier New" w:hAnsi="Courier New" w:cs="Courier New"/>
        </w:rPr>
        <w:t>s</w:t>
      </w:r>
      <w:r w:rsidR="00327A54">
        <w:rPr>
          <w:rFonts w:ascii="Courier New" w:hAnsi="Courier New" w:cs="Courier New"/>
        </w:rPr>
        <w:t>.</w:t>
      </w:r>
      <w:r w:rsidR="00D85051">
        <w:rPr>
          <w:rFonts w:ascii="Courier New" w:hAnsi="Courier New" w:cs="Courier New"/>
        </w:rPr>
        <w:t xml:space="preserve"> </w:t>
      </w:r>
      <w:r w:rsidR="00327A54">
        <w:rPr>
          <w:rFonts w:ascii="Courier New" w:hAnsi="Courier New" w:cs="Courier New"/>
        </w:rPr>
        <w:t xml:space="preserve"> </w:t>
      </w:r>
      <w:r w:rsidR="00E47D70">
        <w:rPr>
          <w:rFonts w:ascii="Courier New" w:hAnsi="Courier New" w:cs="Courier New"/>
        </w:rPr>
        <w:t>The Board found Mr. Levitch’s testimony and appraisal report on this topic to be credible.</w:t>
      </w:r>
    </w:p>
    <w:p w14:paraId="70D6B9A2" w14:textId="47089ABC" w:rsidR="00EA756B" w:rsidRDefault="00327A54" w:rsidP="00E234A2">
      <w:pPr>
        <w:spacing w:line="480" w:lineRule="auto"/>
        <w:ind w:firstLine="720"/>
        <w:jc w:val="both"/>
        <w:rPr>
          <w:rFonts w:ascii="Courier New" w:hAnsi="Courier New" w:cs="Courier New"/>
        </w:rPr>
      </w:pPr>
      <w:r>
        <w:rPr>
          <w:rFonts w:ascii="Courier New" w:hAnsi="Courier New" w:cs="Courier New"/>
        </w:rPr>
        <w:t xml:space="preserve">Mr. Levitch further testified to the severe deterioration and functional obsolescence of portions of the subject mill.  He testified that only </w:t>
      </w:r>
      <w:r w:rsidRPr="00DC276A">
        <w:rPr>
          <w:rFonts w:ascii="Courier New" w:hAnsi="Courier New" w:cs="Courier New"/>
        </w:rPr>
        <w:t>120,178</w:t>
      </w:r>
      <w:r>
        <w:rPr>
          <w:rFonts w:ascii="Courier New" w:hAnsi="Courier New" w:cs="Courier New"/>
        </w:rPr>
        <w:t xml:space="preserve"> square feet of </w:t>
      </w:r>
      <w:r w:rsidR="00A31883">
        <w:rPr>
          <w:rFonts w:ascii="Courier New" w:hAnsi="Courier New" w:cs="Courier New"/>
        </w:rPr>
        <w:t xml:space="preserve">the </w:t>
      </w:r>
      <w:r>
        <w:rPr>
          <w:rFonts w:ascii="Courier New" w:hAnsi="Courier New" w:cs="Courier New"/>
        </w:rPr>
        <w:t xml:space="preserve">subject mill was usable space, with </w:t>
      </w:r>
      <w:r w:rsidR="00280AFE">
        <w:rPr>
          <w:rFonts w:ascii="Courier New" w:hAnsi="Courier New" w:cs="Courier New"/>
        </w:rPr>
        <w:t>67,345 square feet deteriorated</w:t>
      </w:r>
      <w:r>
        <w:rPr>
          <w:rFonts w:ascii="Courier New" w:hAnsi="Courier New" w:cs="Courier New"/>
        </w:rPr>
        <w:t xml:space="preserve"> from leaking.  However, the </w:t>
      </w:r>
      <w:r>
        <w:rPr>
          <w:rFonts w:ascii="Courier New" w:hAnsi="Courier New" w:cs="Courier New"/>
        </w:rPr>
        <w:lastRenderedPageBreak/>
        <w:t>appellant, as owner-occupant, was using the deteriorated space as cold</w:t>
      </w:r>
      <w:r w:rsidR="00F93858">
        <w:rPr>
          <w:rFonts w:ascii="Courier New" w:hAnsi="Courier New" w:cs="Courier New"/>
        </w:rPr>
        <w:t>,</w:t>
      </w:r>
      <w:r>
        <w:rPr>
          <w:rFonts w:ascii="Courier New" w:hAnsi="Courier New" w:cs="Courier New"/>
        </w:rPr>
        <w:t xml:space="preserve"> dead storage.</w:t>
      </w:r>
      <w:r w:rsidR="007B7398">
        <w:rPr>
          <w:rFonts w:ascii="Courier New" w:hAnsi="Courier New" w:cs="Courier New"/>
        </w:rPr>
        <w:t xml:space="preserve">  Mr. Levitch also testified </w:t>
      </w:r>
      <w:r w:rsidR="00BA2F24">
        <w:rPr>
          <w:rFonts w:ascii="Courier New" w:hAnsi="Courier New" w:cs="Courier New"/>
        </w:rPr>
        <w:t xml:space="preserve">that the </w:t>
      </w:r>
      <w:r w:rsidR="00353CC8">
        <w:rPr>
          <w:rFonts w:ascii="Courier New" w:hAnsi="Courier New" w:cs="Courier New"/>
        </w:rPr>
        <w:t xml:space="preserve">entire </w:t>
      </w:r>
      <w:r w:rsidR="00ED1530">
        <w:rPr>
          <w:rFonts w:ascii="Courier New" w:hAnsi="Courier New" w:cs="Courier New"/>
        </w:rPr>
        <w:t>18,99</w:t>
      </w:r>
      <w:r w:rsidR="00445D58">
        <w:rPr>
          <w:rFonts w:ascii="Courier New" w:hAnsi="Courier New" w:cs="Courier New"/>
        </w:rPr>
        <w:t>2-square-</w:t>
      </w:r>
      <w:r w:rsidR="00BA2F24">
        <w:rPr>
          <w:rFonts w:ascii="Courier New" w:hAnsi="Courier New" w:cs="Courier New"/>
        </w:rPr>
        <w:t xml:space="preserve">foot </w:t>
      </w:r>
      <w:r w:rsidR="00692741">
        <w:rPr>
          <w:rFonts w:ascii="Courier New" w:hAnsi="Courier New" w:cs="Courier New"/>
        </w:rPr>
        <w:t>old power</w:t>
      </w:r>
      <w:r w:rsidR="00577A54">
        <w:rPr>
          <w:rFonts w:ascii="Courier New" w:hAnsi="Courier New" w:cs="Courier New"/>
        </w:rPr>
        <w:t>house was unusable space.</w:t>
      </w:r>
      <w:r w:rsidR="00182D8B">
        <w:rPr>
          <w:rFonts w:ascii="Courier New" w:hAnsi="Courier New" w:cs="Courier New"/>
        </w:rPr>
        <w:t xml:space="preserve">  </w:t>
      </w:r>
      <w:r>
        <w:rPr>
          <w:rFonts w:ascii="Courier New" w:hAnsi="Courier New" w:cs="Courier New"/>
        </w:rPr>
        <w:t xml:space="preserve"> </w:t>
      </w:r>
    </w:p>
    <w:p w14:paraId="3067E8BC" w14:textId="56843FB7" w:rsidR="00462022" w:rsidRDefault="00DD03FD" w:rsidP="00841D0E">
      <w:pPr>
        <w:spacing w:line="480" w:lineRule="auto"/>
        <w:ind w:firstLine="720"/>
        <w:jc w:val="both"/>
        <w:rPr>
          <w:rFonts w:ascii="Courier New" w:hAnsi="Courier New" w:cs="Courier New"/>
        </w:rPr>
      </w:pPr>
      <w:r>
        <w:rPr>
          <w:rFonts w:ascii="Courier New" w:hAnsi="Courier New" w:cs="Courier New"/>
        </w:rPr>
        <w:t xml:space="preserve">Mr. Levitch testified that </w:t>
      </w:r>
      <w:r w:rsidR="00526473">
        <w:rPr>
          <w:rFonts w:ascii="Courier New" w:hAnsi="Courier New" w:cs="Courier New"/>
        </w:rPr>
        <w:t xml:space="preserve">the subject property’s highest and best use was its present use for mixed industrial </w:t>
      </w:r>
      <w:r w:rsidR="00324F8E">
        <w:rPr>
          <w:rFonts w:ascii="Courier New" w:hAnsi="Courier New" w:cs="Courier New"/>
        </w:rPr>
        <w:t>purposes</w:t>
      </w:r>
      <w:r w:rsidR="00526473">
        <w:rPr>
          <w:rFonts w:ascii="Courier New" w:hAnsi="Courier New" w:cs="Courier New"/>
        </w:rPr>
        <w:t>.</w:t>
      </w:r>
      <w:r w:rsidR="00841D0E">
        <w:rPr>
          <w:rFonts w:ascii="Courier New" w:hAnsi="Courier New" w:cs="Courier New"/>
        </w:rPr>
        <w:t xml:space="preserve">  Although he</w:t>
      </w:r>
      <w:r w:rsidR="00972FA9">
        <w:rPr>
          <w:rFonts w:ascii="Courier New" w:hAnsi="Courier New" w:cs="Courier New"/>
        </w:rPr>
        <w:t xml:space="preserve"> considered the three appro</w:t>
      </w:r>
      <w:r w:rsidR="00841D0E">
        <w:rPr>
          <w:rFonts w:ascii="Courier New" w:hAnsi="Courier New" w:cs="Courier New"/>
        </w:rPr>
        <w:t>aches to value, Mr. Levitch</w:t>
      </w:r>
      <w:r w:rsidR="003464AD">
        <w:rPr>
          <w:rFonts w:ascii="Courier New" w:hAnsi="Courier New" w:cs="Courier New"/>
        </w:rPr>
        <w:t xml:space="preserve"> developed </w:t>
      </w:r>
      <w:r w:rsidR="00841D0E">
        <w:rPr>
          <w:rFonts w:ascii="Courier New" w:hAnsi="Courier New" w:cs="Courier New"/>
        </w:rPr>
        <w:t>valuation analyses using</w:t>
      </w:r>
      <w:r w:rsidR="003464AD">
        <w:rPr>
          <w:rFonts w:ascii="Courier New" w:hAnsi="Courier New" w:cs="Courier New"/>
        </w:rPr>
        <w:t xml:space="preserve"> the sales-comparison and income-capitalization approaches, </w:t>
      </w:r>
      <w:r w:rsidR="00FE64A3">
        <w:rPr>
          <w:rFonts w:ascii="Courier New" w:hAnsi="Courier New" w:cs="Courier New"/>
        </w:rPr>
        <w:t>finding</w:t>
      </w:r>
      <w:r w:rsidR="00785626">
        <w:rPr>
          <w:rFonts w:ascii="Courier New" w:hAnsi="Courier New" w:cs="Courier New"/>
        </w:rPr>
        <w:t xml:space="preserve"> both methods to be appropriate for the subject property.  </w:t>
      </w:r>
    </w:p>
    <w:p w14:paraId="0AB48669" w14:textId="302506F9" w:rsidR="00906611" w:rsidRDefault="00841D0E" w:rsidP="00245387">
      <w:pPr>
        <w:spacing w:line="480" w:lineRule="auto"/>
        <w:ind w:firstLine="720"/>
        <w:jc w:val="both"/>
        <w:rPr>
          <w:rFonts w:ascii="Courier New" w:hAnsi="Courier New" w:cs="Courier New"/>
        </w:rPr>
      </w:pPr>
      <w:r>
        <w:rPr>
          <w:rFonts w:ascii="Courier New" w:hAnsi="Courier New" w:cs="Courier New"/>
        </w:rPr>
        <w:t>Mr. Levitch first developed his</w:t>
      </w:r>
      <w:r w:rsidR="008A67B0">
        <w:rPr>
          <w:rFonts w:ascii="Courier New" w:hAnsi="Courier New" w:cs="Courier New"/>
        </w:rPr>
        <w:t xml:space="preserve"> income-capitalization approach.  </w:t>
      </w:r>
      <w:r w:rsidR="00B36BC2">
        <w:rPr>
          <w:rFonts w:ascii="Courier New" w:hAnsi="Courier New" w:cs="Courier New"/>
        </w:rPr>
        <w:t xml:space="preserve">Mr. Levitch selected </w:t>
      </w:r>
      <w:r>
        <w:rPr>
          <w:rFonts w:ascii="Courier New" w:hAnsi="Courier New" w:cs="Courier New"/>
        </w:rPr>
        <w:t>four</w:t>
      </w:r>
      <w:r w:rsidR="00094C85">
        <w:rPr>
          <w:rFonts w:ascii="Courier New" w:hAnsi="Courier New" w:cs="Courier New"/>
        </w:rPr>
        <w:t xml:space="preserve"> purportedly </w:t>
      </w:r>
      <w:r w:rsidR="00B36BC2">
        <w:rPr>
          <w:rFonts w:ascii="Courier New" w:hAnsi="Courier New" w:cs="Courier New"/>
        </w:rPr>
        <w:t>comparable leases from buildings that he h</w:t>
      </w:r>
      <w:r w:rsidR="00FE011A">
        <w:rPr>
          <w:rFonts w:ascii="Courier New" w:hAnsi="Courier New" w:cs="Courier New"/>
        </w:rPr>
        <w:t>ad previously appraised, testify</w:t>
      </w:r>
      <w:r w:rsidR="00B36BC2">
        <w:rPr>
          <w:rFonts w:ascii="Courier New" w:hAnsi="Courier New" w:cs="Courier New"/>
        </w:rPr>
        <w:t xml:space="preserve">ing that the information was already “on file.”  </w:t>
      </w:r>
      <w:r w:rsidR="009B1576">
        <w:rPr>
          <w:rFonts w:ascii="Courier New" w:hAnsi="Courier New" w:cs="Courier New"/>
        </w:rPr>
        <w:t xml:space="preserve">For his comparable leases, Mr. Levitch gave a </w:t>
      </w:r>
      <w:r w:rsidR="00B520D3">
        <w:rPr>
          <w:rFonts w:ascii="Courier New" w:hAnsi="Courier New" w:cs="Courier New"/>
        </w:rPr>
        <w:t xml:space="preserve">general </w:t>
      </w:r>
      <w:r w:rsidR="009B1576">
        <w:rPr>
          <w:rFonts w:ascii="Courier New" w:hAnsi="Courier New" w:cs="Courier New"/>
        </w:rPr>
        <w:t>range of rental incomes</w:t>
      </w:r>
      <w:r w:rsidR="003E7068">
        <w:rPr>
          <w:rFonts w:ascii="Courier New" w:hAnsi="Courier New" w:cs="Courier New"/>
        </w:rPr>
        <w:t xml:space="preserve"> for the lease</w:t>
      </w:r>
      <w:r w:rsidR="00ED1530">
        <w:rPr>
          <w:rFonts w:ascii="Courier New" w:hAnsi="Courier New" w:cs="Courier New"/>
        </w:rPr>
        <w:t>s</w:t>
      </w:r>
      <w:r w:rsidR="003E7068">
        <w:rPr>
          <w:rFonts w:ascii="Courier New" w:hAnsi="Courier New" w:cs="Courier New"/>
        </w:rPr>
        <w:t xml:space="preserve">, with no </w:t>
      </w:r>
      <w:r w:rsidR="00082B19">
        <w:rPr>
          <w:rFonts w:ascii="Courier New" w:hAnsi="Courier New" w:cs="Courier New"/>
        </w:rPr>
        <w:t xml:space="preserve">specific </w:t>
      </w:r>
      <w:r w:rsidR="003E7068">
        <w:rPr>
          <w:rFonts w:ascii="Courier New" w:hAnsi="Courier New" w:cs="Courier New"/>
        </w:rPr>
        <w:t xml:space="preserve">information on </w:t>
      </w:r>
      <w:r w:rsidR="00F93858">
        <w:rPr>
          <w:rFonts w:ascii="Courier New" w:hAnsi="Courier New" w:cs="Courier New"/>
        </w:rPr>
        <w:t>the individual leases, such as the</w:t>
      </w:r>
      <w:r w:rsidR="00082B19">
        <w:rPr>
          <w:rFonts w:ascii="Courier New" w:hAnsi="Courier New" w:cs="Courier New"/>
        </w:rPr>
        <w:t xml:space="preserve"> name</w:t>
      </w:r>
      <w:r w:rsidR="00F93858">
        <w:rPr>
          <w:rFonts w:ascii="Courier New" w:hAnsi="Courier New" w:cs="Courier New"/>
        </w:rPr>
        <w:t>s</w:t>
      </w:r>
      <w:r w:rsidR="00082B19">
        <w:rPr>
          <w:rFonts w:ascii="Courier New" w:hAnsi="Courier New" w:cs="Courier New"/>
        </w:rPr>
        <w:t xml:space="preserve"> of </w:t>
      </w:r>
      <w:r w:rsidR="00F93858">
        <w:rPr>
          <w:rFonts w:ascii="Courier New" w:hAnsi="Courier New" w:cs="Courier New"/>
        </w:rPr>
        <w:t xml:space="preserve">the </w:t>
      </w:r>
      <w:r w:rsidR="00082B19">
        <w:rPr>
          <w:rFonts w:ascii="Courier New" w:hAnsi="Courier New" w:cs="Courier New"/>
        </w:rPr>
        <w:t>lessor</w:t>
      </w:r>
      <w:r w:rsidR="00F93858">
        <w:rPr>
          <w:rFonts w:ascii="Courier New" w:hAnsi="Courier New" w:cs="Courier New"/>
        </w:rPr>
        <w:t>s</w:t>
      </w:r>
      <w:r w:rsidR="00082B19">
        <w:rPr>
          <w:rFonts w:ascii="Courier New" w:hAnsi="Courier New" w:cs="Courier New"/>
        </w:rPr>
        <w:t xml:space="preserve">, </w:t>
      </w:r>
      <w:r w:rsidR="003E7068">
        <w:rPr>
          <w:rFonts w:ascii="Courier New" w:hAnsi="Courier New" w:cs="Courier New"/>
        </w:rPr>
        <w:t>start date</w:t>
      </w:r>
      <w:r w:rsidR="00082B19">
        <w:rPr>
          <w:rFonts w:ascii="Courier New" w:hAnsi="Courier New" w:cs="Courier New"/>
        </w:rPr>
        <w:t>, length of lease, amount of space leased, and type of lease</w:t>
      </w:r>
      <w:r w:rsidR="00B520D3">
        <w:rPr>
          <w:rFonts w:ascii="Courier New" w:hAnsi="Courier New" w:cs="Courier New"/>
        </w:rPr>
        <w:t>.  Moreover, he admitt</w:t>
      </w:r>
      <w:r w:rsidR="00F64D03">
        <w:rPr>
          <w:rFonts w:ascii="Courier New" w:hAnsi="Courier New" w:cs="Courier New"/>
        </w:rPr>
        <w:t>ed that the information was dated</w:t>
      </w:r>
      <w:r w:rsidR="00082B19">
        <w:rPr>
          <w:rFonts w:ascii="Courier New" w:hAnsi="Courier New" w:cs="Courier New"/>
        </w:rPr>
        <w:t xml:space="preserve"> from his previous appraisals of the properties</w:t>
      </w:r>
      <w:r w:rsidR="00F64D03">
        <w:rPr>
          <w:rFonts w:ascii="Courier New" w:hAnsi="Courier New" w:cs="Courier New"/>
        </w:rPr>
        <w:t>, at times back to 2005.</w:t>
      </w:r>
      <w:r w:rsidR="006034C3">
        <w:rPr>
          <w:rFonts w:ascii="Courier New" w:hAnsi="Courier New" w:cs="Courier New"/>
        </w:rPr>
        <w:t xml:space="preserve">  </w:t>
      </w:r>
    </w:p>
    <w:p w14:paraId="48F566B0" w14:textId="5E9C1CC9" w:rsidR="00A20546" w:rsidRDefault="00092615" w:rsidP="00BE0E8D">
      <w:pPr>
        <w:spacing w:line="480" w:lineRule="auto"/>
        <w:ind w:firstLine="720"/>
        <w:jc w:val="both"/>
        <w:rPr>
          <w:rFonts w:ascii="Courier New" w:hAnsi="Courier New" w:cs="Courier New"/>
        </w:rPr>
      </w:pPr>
      <w:r>
        <w:rPr>
          <w:rFonts w:ascii="Courier New" w:hAnsi="Courier New" w:cs="Courier New"/>
        </w:rPr>
        <w:t>B</w:t>
      </w:r>
      <w:r w:rsidR="00F93858">
        <w:rPr>
          <w:rFonts w:ascii="Courier New" w:hAnsi="Courier New" w:cs="Courier New"/>
        </w:rPr>
        <w:t xml:space="preserve">ased on his comparisons, </w:t>
      </w:r>
      <w:r w:rsidR="00280AFE">
        <w:rPr>
          <w:rFonts w:ascii="Courier New" w:hAnsi="Courier New" w:cs="Courier New"/>
        </w:rPr>
        <w:t xml:space="preserve">Mr. Levitch determined </w:t>
      </w:r>
      <w:r w:rsidR="00F93858">
        <w:rPr>
          <w:rFonts w:ascii="Courier New" w:hAnsi="Courier New" w:cs="Courier New"/>
        </w:rPr>
        <w:t>that</w:t>
      </w:r>
      <w:r w:rsidR="00F64D03">
        <w:rPr>
          <w:rFonts w:ascii="Courier New" w:hAnsi="Courier New" w:cs="Courier New"/>
        </w:rPr>
        <w:t xml:space="preserve"> </w:t>
      </w:r>
      <w:r w:rsidR="00FE011A">
        <w:rPr>
          <w:rFonts w:ascii="Courier New" w:hAnsi="Courier New" w:cs="Courier New"/>
        </w:rPr>
        <w:t>the existing rents</w:t>
      </w:r>
      <w:r w:rsidR="00280AFE">
        <w:rPr>
          <w:rFonts w:ascii="Courier New" w:hAnsi="Courier New" w:cs="Courier New"/>
        </w:rPr>
        <w:t xml:space="preserve"> for </w:t>
      </w:r>
      <w:r w:rsidR="009B6E8F">
        <w:rPr>
          <w:rFonts w:ascii="Courier New" w:hAnsi="Courier New" w:cs="Courier New"/>
        </w:rPr>
        <w:t xml:space="preserve">the </w:t>
      </w:r>
      <w:r w:rsidR="00280AFE">
        <w:rPr>
          <w:rFonts w:ascii="Courier New" w:hAnsi="Courier New" w:cs="Courier New"/>
        </w:rPr>
        <w:t xml:space="preserve">two largest tenants </w:t>
      </w:r>
      <w:r w:rsidR="00FE011A">
        <w:rPr>
          <w:rFonts w:ascii="Courier New" w:hAnsi="Courier New" w:cs="Courier New"/>
        </w:rPr>
        <w:t xml:space="preserve">at the </w:t>
      </w:r>
      <w:r w:rsidR="00FE011A">
        <w:rPr>
          <w:rFonts w:ascii="Courier New" w:hAnsi="Courier New" w:cs="Courier New"/>
        </w:rPr>
        <w:lastRenderedPageBreak/>
        <w:t>subject mill</w:t>
      </w:r>
      <w:r w:rsidR="00280AFE">
        <w:rPr>
          <w:rFonts w:ascii="Courier New" w:hAnsi="Courier New" w:cs="Courier New"/>
        </w:rPr>
        <w:t>, Sd Associates Charter School and Meals on Wheels,</w:t>
      </w:r>
      <w:r w:rsidR="00FE011A">
        <w:rPr>
          <w:rFonts w:ascii="Courier New" w:hAnsi="Courier New" w:cs="Courier New"/>
        </w:rPr>
        <w:t xml:space="preserve"> were at market level.  </w:t>
      </w:r>
      <w:r w:rsidR="00906611">
        <w:rPr>
          <w:rFonts w:ascii="Courier New" w:hAnsi="Courier New" w:cs="Courier New"/>
        </w:rPr>
        <w:t xml:space="preserve">Mr. Levitch </w:t>
      </w:r>
      <w:r w:rsidR="00AE5BD7">
        <w:rPr>
          <w:rFonts w:ascii="Courier New" w:hAnsi="Courier New" w:cs="Courier New"/>
        </w:rPr>
        <w:t>derived per-square-f</w:t>
      </w:r>
      <w:r w:rsidR="009E0B3A">
        <w:rPr>
          <w:rFonts w:ascii="Courier New" w:hAnsi="Courier New" w:cs="Courier New"/>
        </w:rPr>
        <w:t>oot rental figures from the</w:t>
      </w:r>
      <w:r w:rsidR="00841D0E">
        <w:rPr>
          <w:rFonts w:ascii="Courier New" w:hAnsi="Courier New" w:cs="Courier New"/>
        </w:rPr>
        <w:t xml:space="preserve"> actual lease</w:t>
      </w:r>
      <w:r w:rsidR="009E0B3A">
        <w:rPr>
          <w:rFonts w:ascii="Courier New" w:hAnsi="Courier New" w:cs="Courier New"/>
        </w:rPr>
        <w:t>s</w:t>
      </w:r>
      <w:r w:rsidR="00AE5BD7">
        <w:rPr>
          <w:rFonts w:ascii="Courier New" w:hAnsi="Courier New" w:cs="Courier New"/>
        </w:rPr>
        <w:t>: $6.90 per square foot and $10.00 per square foot, respectively.</w:t>
      </w:r>
      <w:r w:rsidR="00906611">
        <w:rPr>
          <w:rFonts w:ascii="Courier New" w:hAnsi="Courier New" w:cs="Courier New"/>
        </w:rPr>
        <w:t xml:space="preserve">  Based on his figure of </w:t>
      </w:r>
      <w:r w:rsidR="00A86A89">
        <w:rPr>
          <w:rFonts w:ascii="Courier New" w:hAnsi="Courier New" w:cs="Courier New"/>
        </w:rPr>
        <w:t>22,964</w:t>
      </w:r>
      <w:r w:rsidR="00906611">
        <w:rPr>
          <w:rFonts w:ascii="Courier New" w:hAnsi="Courier New" w:cs="Courier New"/>
        </w:rPr>
        <w:t xml:space="preserve"> square feet of </w:t>
      </w:r>
      <w:r w:rsidR="009E0B3A">
        <w:rPr>
          <w:rFonts w:ascii="Courier New" w:hAnsi="Courier New" w:cs="Courier New"/>
        </w:rPr>
        <w:t xml:space="preserve">remaining </w:t>
      </w:r>
      <w:r w:rsidR="00906611">
        <w:rPr>
          <w:rFonts w:ascii="Courier New" w:hAnsi="Courier New" w:cs="Courier New"/>
        </w:rPr>
        <w:t>leasable space, and the rental income received by the owner, Mr. Levitch calculated $4.70 per square foot for th</w:t>
      </w:r>
      <w:r w:rsidR="00AE5BD7">
        <w:rPr>
          <w:rFonts w:ascii="Courier New" w:hAnsi="Courier New" w:cs="Courier New"/>
        </w:rPr>
        <w:t>e remaining rental space leased to third parties.</w:t>
      </w:r>
      <w:r w:rsidR="00906611">
        <w:rPr>
          <w:rFonts w:ascii="Courier New" w:hAnsi="Courier New" w:cs="Courier New"/>
        </w:rPr>
        <w:t xml:space="preserve"> </w:t>
      </w:r>
      <w:r w:rsidR="00AE5BD7">
        <w:rPr>
          <w:rFonts w:ascii="Courier New" w:hAnsi="Courier New" w:cs="Courier New"/>
        </w:rPr>
        <w:t xml:space="preserve"> Mr.</w:t>
      </w:r>
      <w:r w:rsidR="005C5546">
        <w:rPr>
          <w:rFonts w:ascii="Courier New" w:hAnsi="Courier New" w:cs="Courier New"/>
        </w:rPr>
        <w:t> </w:t>
      </w:r>
      <w:r w:rsidR="00AE5BD7">
        <w:rPr>
          <w:rFonts w:ascii="Courier New" w:hAnsi="Courier New" w:cs="Courier New"/>
        </w:rPr>
        <w:t>Levitch</w:t>
      </w:r>
      <w:r w:rsidR="00FE011A">
        <w:rPr>
          <w:rFonts w:ascii="Courier New" w:hAnsi="Courier New" w:cs="Courier New"/>
        </w:rPr>
        <w:t xml:space="preserve"> </w:t>
      </w:r>
      <w:r w:rsidR="00AE5BD7">
        <w:rPr>
          <w:rFonts w:ascii="Courier New" w:hAnsi="Courier New" w:cs="Courier New"/>
        </w:rPr>
        <w:t>then adopt</w:t>
      </w:r>
      <w:r w:rsidR="00FE011A">
        <w:rPr>
          <w:rFonts w:ascii="Courier New" w:hAnsi="Courier New" w:cs="Courier New"/>
        </w:rPr>
        <w:t xml:space="preserve">ed </w:t>
      </w:r>
      <w:r w:rsidR="00B365B6">
        <w:rPr>
          <w:rFonts w:ascii="Courier New" w:hAnsi="Courier New" w:cs="Courier New"/>
        </w:rPr>
        <w:t>the following rental values</w:t>
      </w:r>
      <w:r w:rsidR="003C456F">
        <w:rPr>
          <w:rFonts w:ascii="Courier New" w:hAnsi="Courier New" w:cs="Courier New"/>
        </w:rPr>
        <w:t xml:space="preserve"> for the owner-occupied space</w:t>
      </w:r>
      <w:r w:rsidR="00B365B6">
        <w:rPr>
          <w:rFonts w:ascii="Courier New" w:hAnsi="Courier New" w:cs="Courier New"/>
        </w:rPr>
        <w:t>:  $2.25 per square foot</w:t>
      </w:r>
      <w:r w:rsidR="00A12ED4">
        <w:rPr>
          <w:rFonts w:ascii="Courier New" w:hAnsi="Courier New" w:cs="Courier New"/>
        </w:rPr>
        <w:t xml:space="preserve"> for the owner</w:t>
      </w:r>
      <w:r w:rsidR="009A575D">
        <w:rPr>
          <w:rFonts w:ascii="Courier New" w:hAnsi="Courier New" w:cs="Courier New"/>
        </w:rPr>
        <w:t>-occupied</w:t>
      </w:r>
      <w:r w:rsidR="00A12ED4">
        <w:rPr>
          <w:rFonts w:ascii="Courier New" w:hAnsi="Courier New" w:cs="Courier New"/>
        </w:rPr>
        <w:t xml:space="preserve"> usable space in the unheated warehouse area</w:t>
      </w:r>
      <w:r w:rsidR="00B365B6">
        <w:rPr>
          <w:rFonts w:ascii="Courier New" w:hAnsi="Courier New" w:cs="Courier New"/>
        </w:rPr>
        <w:t xml:space="preserve">; $3.00 per square foot for the </w:t>
      </w:r>
      <w:r w:rsidR="00D11076">
        <w:rPr>
          <w:rFonts w:ascii="Courier New" w:hAnsi="Courier New" w:cs="Courier New"/>
        </w:rPr>
        <w:t>owner-occupied</w:t>
      </w:r>
      <w:r w:rsidR="009B6E8F">
        <w:rPr>
          <w:rFonts w:ascii="Courier New" w:hAnsi="Courier New" w:cs="Courier New"/>
        </w:rPr>
        <w:t>,</w:t>
      </w:r>
      <w:r w:rsidR="00D11076">
        <w:rPr>
          <w:rFonts w:ascii="Courier New" w:hAnsi="Courier New" w:cs="Courier New"/>
        </w:rPr>
        <w:t xml:space="preserve"> </w:t>
      </w:r>
      <w:r w:rsidR="00ED1530">
        <w:rPr>
          <w:rFonts w:ascii="Courier New" w:hAnsi="Courier New" w:cs="Courier New"/>
        </w:rPr>
        <w:t>single</w:t>
      </w:r>
      <w:r w:rsidR="00B365B6">
        <w:rPr>
          <w:rFonts w:ascii="Courier New" w:hAnsi="Courier New" w:cs="Courier New"/>
        </w:rPr>
        <w:t xml:space="preserve">-story steel warehouse building; </w:t>
      </w:r>
      <w:r w:rsidR="00A12ED4">
        <w:rPr>
          <w:rFonts w:ascii="Courier New" w:hAnsi="Courier New" w:cs="Courier New"/>
        </w:rPr>
        <w:t>$0.50 per square foot for the owner</w:t>
      </w:r>
      <w:r w:rsidR="009A575D">
        <w:rPr>
          <w:rFonts w:ascii="Courier New" w:hAnsi="Courier New" w:cs="Courier New"/>
        </w:rPr>
        <w:t>-occupied</w:t>
      </w:r>
      <w:r w:rsidR="00A12ED4">
        <w:rPr>
          <w:rFonts w:ascii="Courier New" w:hAnsi="Courier New" w:cs="Courier New"/>
        </w:rPr>
        <w:t xml:space="preserve"> </w:t>
      </w:r>
      <w:r w:rsidR="00B365B6">
        <w:rPr>
          <w:rFonts w:ascii="Courier New" w:hAnsi="Courier New" w:cs="Courier New"/>
        </w:rPr>
        <w:t>obsolete space with leaking roofs and damage</w:t>
      </w:r>
      <w:r w:rsidR="00A12ED4">
        <w:rPr>
          <w:rFonts w:ascii="Courier New" w:hAnsi="Courier New" w:cs="Courier New"/>
        </w:rPr>
        <w:t>d floors</w:t>
      </w:r>
      <w:r w:rsidR="00B365B6">
        <w:rPr>
          <w:rFonts w:ascii="Courier New" w:hAnsi="Courier New" w:cs="Courier New"/>
        </w:rPr>
        <w:t xml:space="preserve">; and </w:t>
      </w:r>
      <w:r w:rsidR="00A12ED4">
        <w:rPr>
          <w:rFonts w:ascii="Courier New" w:hAnsi="Courier New" w:cs="Courier New"/>
        </w:rPr>
        <w:t xml:space="preserve">$0.25 per square foot for the </w:t>
      </w:r>
      <w:r w:rsidR="00B365B6">
        <w:rPr>
          <w:rFonts w:ascii="Courier New" w:hAnsi="Courier New" w:cs="Courier New"/>
        </w:rPr>
        <w:t>accessory bu</w:t>
      </w:r>
      <w:r w:rsidR="00A12ED4">
        <w:rPr>
          <w:rFonts w:ascii="Courier New" w:hAnsi="Courier New" w:cs="Courier New"/>
        </w:rPr>
        <w:t>ildings</w:t>
      </w:r>
      <w:r w:rsidR="00B365B6">
        <w:rPr>
          <w:rFonts w:ascii="Courier New" w:hAnsi="Courier New" w:cs="Courier New"/>
        </w:rPr>
        <w:t>.</w:t>
      </w:r>
      <w:r w:rsidR="00AE5BD7">
        <w:rPr>
          <w:rFonts w:ascii="Courier New" w:hAnsi="Courier New" w:cs="Courier New"/>
        </w:rPr>
        <w:t xml:space="preserve">  These </w:t>
      </w:r>
      <w:r w:rsidR="00A12ED4">
        <w:rPr>
          <w:rFonts w:ascii="Courier New" w:hAnsi="Courier New" w:cs="Courier New"/>
        </w:rPr>
        <w:t>figures yielded a gro</w:t>
      </w:r>
      <w:r w:rsidR="00BE0E8D">
        <w:rPr>
          <w:rFonts w:ascii="Courier New" w:hAnsi="Courier New" w:cs="Courier New"/>
        </w:rPr>
        <w:t>ss potential income of $384,113.</w:t>
      </w:r>
    </w:p>
    <w:p w14:paraId="41D27617" w14:textId="0337EDB6" w:rsidR="007A00BF" w:rsidRDefault="00181D38" w:rsidP="00E234A2">
      <w:pPr>
        <w:spacing w:line="480" w:lineRule="auto"/>
        <w:ind w:firstLine="720"/>
        <w:jc w:val="both"/>
        <w:rPr>
          <w:rFonts w:ascii="Courier New" w:hAnsi="Courier New" w:cs="Courier New"/>
        </w:rPr>
      </w:pPr>
      <w:r>
        <w:rPr>
          <w:rFonts w:ascii="Courier New" w:hAnsi="Courier New" w:cs="Courier New"/>
        </w:rPr>
        <w:t xml:space="preserve">For vacancy, </w:t>
      </w:r>
      <w:r w:rsidR="007A00BF">
        <w:rPr>
          <w:rFonts w:ascii="Courier New" w:hAnsi="Courier New" w:cs="Courier New"/>
        </w:rPr>
        <w:t>Mr.</w:t>
      </w:r>
      <w:r>
        <w:rPr>
          <w:rFonts w:ascii="Courier New" w:hAnsi="Courier New" w:cs="Courier New"/>
        </w:rPr>
        <w:t xml:space="preserve"> Levitch</w:t>
      </w:r>
      <w:r w:rsidR="007A00BF">
        <w:rPr>
          <w:rFonts w:ascii="Courier New" w:hAnsi="Courier New" w:cs="Courier New"/>
        </w:rPr>
        <w:t xml:space="preserve"> considered other multi-tenant mill properties</w:t>
      </w:r>
      <w:r>
        <w:rPr>
          <w:rFonts w:ascii="Courier New" w:hAnsi="Courier New" w:cs="Courier New"/>
        </w:rPr>
        <w:t>,</w:t>
      </w:r>
      <w:r w:rsidR="00A12ED4">
        <w:rPr>
          <w:rFonts w:ascii="Courier New" w:hAnsi="Courier New" w:cs="Courier New"/>
        </w:rPr>
        <w:t xml:space="preserve"> as well as the subject mill’s </w:t>
      </w:r>
      <w:r>
        <w:rPr>
          <w:rFonts w:ascii="Courier New" w:hAnsi="Courier New" w:cs="Courier New"/>
        </w:rPr>
        <w:t xml:space="preserve">actual </w:t>
      </w:r>
      <w:r w:rsidR="00A12ED4">
        <w:rPr>
          <w:rFonts w:ascii="Courier New" w:hAnsi="Courier New" w:cs="Courier New"/>
        </w:rPr>
        <w:t>vacancies</w:t>
      </w:r>
      <w:r>
        <w:rPr>
          <w:rFonts w:ascii="Courier New" w:hAnsi="Courier New" w:cs="Courier New"/>
        </w:rPr>
        <w:t>,</w:t>
      </w:r>
      <w:r w:rsidR="00A12ED4">
        <w:rPr>
          <w:rFonts w:ascii="Courier New" w:hAnsi="Courier New" w:cs="Courier New"/>
        </w:rPr>
        <w:t xml:space="preserve"> and determined th</w:t>
      </w:r>
      <w:r w:rsidR="003A4348">
        <w:rPr>
          <w:rFonts w:ascii="Courier New" w:hAnsi="Courier New" w:cs="Courier New"/>
        </w:rPr>
        <w:t>e following</w:t>
      </w:r>
      <w:r w:rsidR="00FE64A3">
        <w:rPr>
          <w:rFonts w:ascii="Courier New" w:hAnsi="Courier New" w:cs="Courier New"/>
        </w:rPr>
        <w:t xml:space="preserve"> to be appropriate vacancy expenses</w:t>
      </w:r>
      <w:r w:rsidR="003A4348">
        <w:rPr>
          <w:rFonts w:ascii="Courier New" w:hAnsi="Courier New" w:cs="Courier New"/>
        </w:rPr>
        <w:t xml:space="preserve">: 20% for the leased </w:t>
      </w:r>
      <w:r w:rsidR="00A12ED4">
        <w:rPr>
          <w:rFonts w:ascii="Courier New" w:hAnsi="Courier New" w:cs="Courier New"/>
        </w:rPr>
        <w:t>space; 40% for the owner</w:t>
      </w:r>
      <w:r w:rsidR="009A575D">
        <w:rPr>
          <w:rFonts w:ascii="Courier New" w:hAnsi="Courier New" w:cs="Courier New"/>
        </w:rPr>
        <w:t>-occupied</w:t>
      </w:r>
      <w:r w:rsidR="00A12ED4">
        <w:rPr>
          <w:rFonts w:ascii="Courier New" w:hAnsi="Courier New" w:cs="Courier New"/>
        </w:rPr>
        <w:t xml:space="preserve"> usable space</w:t>
      </w:r>
      <w:r w:rsidR="003A4348">
        <w:rPr>
          <w:rFonts w:ascii="Courier New" w:hAnsi="Courier New" w:cs="Courier New"/>
        </w:rPr>
        <w:t xml:space="preserve"> in the unheated warehouse area</w:t>
      </w:r>
      <w:r w:rsidR="00A12ED4">
        <w:rPr>
          <w:rFonts w:ascii="Courier New" w:hAnsi="Courier New" w:cs="Courier New"/>
        </w:rPr>
        <w:t>;</w:t>
      </w:r>
      <w:r w:rsidR="009A575D">
        <w:rPr>
          <w:rFonts w:ascii="Courier New" w:hAnsi="Courier New" w:cs="Courier New"/>
        </w:rPr>
        <w:t xml:space="preserve"> 40% for the owner-occupied obsolete space</w:t>
      </w:r>
      <w:r w:rsidR="00ED1530">
        <w:rPr>
          <w:rFonts w:ascii="Courier New" w:hAnsi="Courier New" w:cs="Courier New"/>
        </w:rPr>
        <w:t>; 20% for the owner-occupied</w:t>
      </w:r>
      <w:r w:rsidR="009B6E8F">
        <w:rPr>
          <w:rFonts w:ascii="Courier New" w:hAnsi="Courier New" w:cs="Courier New"/>
        </w:rPr>
        <w:t>,</w:t>
      </w:r>
      <w:r w:rsidR="00ED1530">
        <w:rPr>
          <w:rFonts w:ascii="Courier New" w:hAnsi="Courier New" w:cs="Courier New"/>
        </w:rPr>
        <w:t xml:space="preserve"> single</w:t>
      </w:r>
      <w:r w:rsidR="00D11076">
        <w:rPr>
          <w:rFonts w:ascii="Courier New" w:hAnsi="Courier New" w:cs="Courier New"/>
        </w:rPr>
        <w:t xml:space="preserve">-story steel warehouse building; and </w:t>
      </w:r>
      <w:r w:rsidR="00D11076">
        <w:rPr>
          <w:rFonts w:ascii="Courier New" w:hAnsi="Courier New" w:cs="Courier New"/>
        </w:rPr>
        <w:lastRenderedPageBreak/>
        <w:t xml:space="preserve">50% for the accessory buildings. </w:t>
      </w:r>
      <w:r>
        <w:rPr>
          <w:rFonts w:ascii="Courier New" w:hAnsi="Courier New" w:cs="Courier New"/>
        </w:rPr>
        <w:t xml:space="preserve"> Applying these vacancy expenses</w:t>
      </w:r>
      <w:r w:rsidR="00D11076">
        <w:rPr>
          <w:rFonts w:ascii="Courier New" w:hAnsi="Courier New" w:cs="Courier New"/>
        </w:rPr>
        <w:t xml:space="preserve"> yielded a gross effective income of $274,384.</w:t>
      </w:r>
    </w:p>
    <w:p w14:paraId="5EB91CCB" w14:textId="30C2CDB4" w:rsidR="00C61FB4" w:rsidRDefault="009C5C48" w:rsidP="0062527E">
      <w:pPr>
        <w:spacing w:line="480" w:lineRule="auto"/>
        <w:ind w:firstLine="720"/>
        <w:jc w:val="both"/>
        <w:rPr>
          <w:rFonts w:ascii="Courier New" w:hAnsi="Courier New" w:cs="Courier New"/>
        </w:rPr>
      </w:pPr>
      <w:r>
        <w:rPr>
          <w:rFonts w:ascii="Courier New" w:hAnsi="Courier New" w:cs="Courier New"/>
        </w:rPr>
        <w:t xml:space="preserve">For expenses, Mr. Levitch considered the owner’s </w:t>
      </w:r>
      <w:r w:rsidR="00181D38">
        <w:rPr>
          <w:rFonts w:ascii="Courier New" w:hAnsi="Courier New" w:cs="Courier New"/>
        </w:rPr>
        <w:t xml:space="preserve">expense </w:t>
      </w:r>
      <w:r>
        <w:rPr>
          <w:rFonts w:ascii="Courier New" w:hAnsi="Courier New" w:cs="Courier New"/>
        </w:rPr>
        <w:t>statement</w:t>
      </w:r>
      <w:r w:rsidR="00181D38">
        <w:rPr>
          <w:rFonts w:ascii="Courier New" w:hAnsi="Courier New" w:cs="Courier New"/>
        </w:rPr>
        <w:t>s</w:t>
      </w:r>
      <w:r>
        <w:rPr>
          <w:rFonts w:ascii="Courier New" w:hAnsi="Courier New" w:cs="Courier New"/>
        </w:rPr>
        <w:t xml:space="preserve"> from 2011 to 2014.  </w:t>
      </w:r>
      <w:r w:rsidR="00314E95">
        <w:rPr>
          <w:rFonts w:ascii="Courier New" w:hAnsi="Courier New" w:cs="Courier New"/>
        </w:rPr>
        <w:t>He used these</w:t>
      </w:r>
      <w:r w:rsidR="00317583">
        <w:rPr>
          <w:rFonts w:ascii="Courier New" w:hAnsi="Courier New" w:cs="Courier New"/>
        </w:rPr>
        <w:t xml:space="preserve"> as a basis for his expense forecasts and </w:t>
      </w:r>
      <w:r w:rsidR="00A500B8">
        <w:rPr>
          <w:rFonts w:ascii="Courier New" w:hAnsi="Courier New" w:cs="Courier New"/>
        </w:rPr>
        <w:t xml:space="preserve">ultimately </w:t>
      </w:r>
      <w:r w:rsidR="00317583">
        <w:rPr>
          <w:rFonts w:ascii="Courier New" w:hAnsi="Courier New" w:cs="Courier New"/>
        </w:rPr>
        <w:t xml:space="preserve">determined </w:t>
      </w:r>
      <w:r w:rsidR="0062527E">
        <w:rPr>
          <w:rFonts w:ascii="Courier New" w:hAnsi="Courier New" w:cs="Courier New"/>
        </w:rPr>
        <w:t xml:space="preserve">a 73.9% expense-to-income ratio.  </w:t>
      </w:r>
    </w:p>
    <w:p w14:paraId="289280A7" w14:textId="4A12C683" w:rsidR="008D6404" w:rsidRDefault="0062527E" w:rsidP="009B6E8F">
      <w:pPr>
        <w:spacing w:line="480" w:lineRule="auto"/>
        <w:ind w:firstLine="720"/>
        <w:jc w:val="both"/>
        <w:rPr>
          <w:rFonts w:ascii="Courier New" w:hAnsi="Courier New" w:cs="Courier New"/>
          <w:sz w:val="20"/>
          <w:szCs w:val="20"/>
        </w:rPr>
      </w:pPr>
      <w:r>
        <w:rPr>
          <w:rFonts w:ascii="Courier New" w:hAnsi="Courier New" w:cs="Courier New"/>
        </w:rPr>
        <w:t>For his capitalization rate</w:t>
      </w:r>
      <w:r w:rsidR="00314E95">
        <w:rPr>
          <w:rFonts w:ascii="Courier New" w:hAnsi="Courier New" w:cs="Courier New"/>
        </w:rPr>
        <w:t>s</w:t>
      </w:r>
      <w:r>
        <w:rPr>
          <w:rFonts w:ascii="Courier New" w:hAnsi="Courier New" w:cs="Courier New"/>
        </w:rPr>
        <w:t>, Mr</w:t>
      </w:r>
      <w:r w:rsidR="00ED1530">
        <w:rPr>
          <w:rFonts w:ascii="Courier New" w:hAnsi="Courier New" w:cs="Courier New"/>
        </w:rPr>
        <w:t>. Levitch extracted rates from three</w:t>
      </w:r>
      <w:r>
        <w:rPr>
          <w:rFonts w:ascii="Courier New" w:hAnsi="Courier New" w:cs="Courier New"/>
        </w:rPr>
        <w:t xml:space="preserve"> sales from neighboring communities.  Two of those sales were industrial properties, and the sales occurred between 2010 and 2013.  The extracted rates averaged 8.78%.  Mr. Levitch</w:t>
      </w:r>
      <w:r w:rsidR="00331E96">
        <w:rPr>
          <w:rFonts w:ascii="Courier New" w:hAnsi="Courier New" w:cs="Courier New"/>
        </w:rPr>
        <w:t xml:space="preserve"> applied a band-of-investment analysis assuming a 70% mortgage to 30% equity ratio, a mortgage constant of 10.1263%, and an equity yield rate of 16%, </w:t>
      </w:r>
      <w:r w:rsidR="00CD6970">
        <w:rPr>
          <w:rFonts w:ascii="Courier New" w:hAnsi="Courier New" w:cs="Courier New"/>
        </w:rPr>
        <w:t xml:space="preserve">and then </w:t>
      </w:r>
      <w:r w:rsidR="00331E96">
        <w:rPr>
          <w:rFonts w:ascii="Courier New" w:hAnsi="Courier New" w:cs="Courier New"/>
        </w:rPr>
        <w:t>subtracted equity credit buildup through debt reduction</w:t>
      </w:r>
      <w:r w:rsidR="00CD6970">
        <w:rPr>
          <w:rFonts w:ascii="Courier New" w:hAnsi="Courier New" w:cs="Courier New"/>
        </w:rPr>
        <w:t>.  He thus</w:t>
      </w:r>
      <w:r w:rsidR="00331E96">
        <w:rPr>
          <w:rFonts w:ascii="Courier New" w:hAnsi="Courier New" w:cs="Courier New"/>
        </w:rPr>
        <w:t xml:space="preserve"> arrived at a capitalization rate of 10.038%.  Finally, Mr. Levitch applied a real estate tax adjustment of 1.432% for fiscal year 2015 and 1.099</w:t>
      </w:r>
      <w:r w:rsidR="006F4F2D">
        <w:rPr>
          <w:rFonts w:ascii="Courier New" w:hAnsi="Courier New" w:cs="Courier New"/>
        </w:rPr>
        <w:t>%</w:t>
      </w:r>
      <w:r w:rsidR="00331E96">
        <w:rPr>
          <w:rFonts w:ascii="Courier New" w:hAnsi="Courier New" w:cs="Courier New"/>
        </w:rPr>
        <w:t xml:space="preserve"> for fiscal year 2016.  His final capitalization rates were 11.470% for fiscal year 2015 and 11.137% for fiscal year 2016.</w:t>
      </w:r>
      <w:r w:rsidR="00801270">
        <w:rPr>
          <w:rFonts w:ascii="Courier New" w:hAnsi="Courier New" w:cs="Courier New"/>
        </w:rPr>
        <w:t xml:space="preserve">  </w:t>
      </w:r>
    </w:p>
    <w:p w14:paraId="57D83A0D" w14:textId="4CA06680" w:rsidR="0062527E" w:rsidRPr="0096164F" w:rsidRDefault="00D45C08" w:rsidP="0096164F">
      <w:pPr>
        <w:spacing w:line="480" w:lineRule="auto"/>
        <w:ind w:firstLine="720"/>
        <w:jc w:val="both"/>
        <w:rPr>
          <w:rFonts w:ascii="Courier New" w:hAnsi="Courier New" w:cs="Courier New"/>
        </w:rPr>
      </w:pPr>
      <w:r>
        <w:rPr>
          <w:rFonts w:ascii="Courier New" w:hAnsi="Courier New" w:cs="Courier New"/>
        </w:rPr>
        <w:t>Next, Mr. Levitch performed a sales-comparison</w:t>
      </w:r>
      <w:r w:rsidR="00E80BDD">
        <w:rPr>
          <w:rFonts w:ascii="Courier New" w:hAnsi="Courier New" w:cs="Courier New"/>
        </w:rPr>
        <w:t xml:space="preserve"> valuation analysis, selecting six</w:t>
      </w:r>
      <w:r>
        <w:rPr>
          <w:rFonts w:ascii="Courier New" w:hAnsi="Courier New" w:cs="Courier New"/>
        </w:rPr>
        <w:t xml:space="preserve"> purportedly comparable properties,</w:t>
      </w:r>
      <w:r w:rsidR="00E80BDD">
        <w:rPr>
          <w:rFonts w:ascii="Courier New" w:hAnsi="Courier New" w:cs="Courier New"/>
        </w:rPr>
        <w:t xml:space="preserve"> five</w:t>
      </w:r>
      <w:r w:rsidR="00D83F84">
        <w:rPr>
          <w:rFonts w:ascii="Courier New" w:hAnsi="Courier New" w:cs="Courier New"/>
        </w:rPr>
        <w:t xml:space="preserve"> of which we</w:t>
      </w:r>
      <w:r>
        <w:rPr>
          <w:rFonts w:ascii="Courier New" w:hAnsi="Courier New" w:cs="Courier New"/>
        </w:rPr>
        <w:t xml:space="preserve">re mill properties.  </w:t>
      </w:r>
      <w:r w:rsidR="00D83F84">
        <w:rPr>
          <w:rFonts w:ascii="Courier New" w:hAnsi="Courier New" w:cs="Courier New"/>
        </w:rPr>
        <w:t>Three of these properties we</w:t>
      </w:r>
      <w:r>
        <w:rPr>
          <w:rFonts w:ascii="Courier New" w:hAnsi="Courier New" w:cs="Courier New"/>
        </w:rPr>
        <w:t>re from Holyoke, and the remaining</w:t>
      </w:r>
      <w:r w:rsidR="00190F89">
        <w:rPr>
          <w:rFonts w:ascii="Courier New" w:hAnsi="Courier New" w:cs="Courier New"/>
        </w:rPr>
        <w:t xml:space="preserve"> three</w:t>
      </w:r>
      <w:r>
        <w:rPr>
          <w:rFonts w:ascii="Courier New" w:hAnsi="Courier New" w:cs="Courier New"/>
        </w:rPr>
        <w:t xml:space="preserve"> </w:t>
      </w:r>
      <w:r>
        <w:rPr>
          <w:rFonts w:ascii="Courier New" w:hAnsi="Courier New" w:cs="Courier New"/>
        </w:rPr>
        <w:lastRenderedPageBreak/>
        <w:t>properties</w:t>
      </w:r>
      <w:r w:rsidR="00D83F84">
        <w:rPr>
          <w:rFonts w:ascii="Courier New" w:hAnsi="Courier New" w:cs="Courier New"/>
        </w:rPr>
        <w:t xml:space="preserve"> we</w:t>
      </w:r>
      <w:r>
        <w:rPr>
          <w:rFonts w:ascii="Courier New" w:hAnsi="Courier New" w:cs="Courier New"/>
        </w:rPr>
        <w:t>re from Deerfield, Orange</w:t>
      </w:r>
      <w:r w:rsidR="00F269CF">
        <w:rPr>
          <w:rFonts w:ascii="Courier New" w:hAnsi="Courier New" w:cs="Courier New"/>
        </w:rPr>
        <w:t>,</w:t>
      </w:r>
      <w:r>
        <w:rPr>
          <w:rFonts w:ascii="Courier New" w:hAnsi="Courier New" w:cs="Courier New"/>
        </w:rPr>
        <w:t xml:space="preserve"> and Westfield.  </w:t>
      </w:r>
      <w:r w:rsidR="005852F8">
        <w:rPr>
          <w:rFonts w:ascii="Courier New" w:hAnsi="Courier New" w:cs="Courier New"/>
        </w:rPr>
        <w:t>Mr.</w:t>
      </w:r>
      <w:r w:rsidR="005C5546">
        <w:rPr>
          <w:rFonts w:ascii="Courier New" w:hAnsi="Courier New" w:cs="Courier New"/>
        </w:rPr>
        <w:t> </w:t>
      </w:r>
      <w:r w:rsidR="005852F8">
        <w:rPr>
          <w:rFonts w:ascii="Courier New" w:hAnsi="Courier New" w:cs="Courier New"/>
        </w:rPr>
        <w:t>Levitch reli</w:t>
      </w:r>
      <w:r w:rsidR="000E2783">
        <w:rPr>
          <w:rFonts w:ascii="Courier New" w:hAnsi="Courier New" w:cs="Courier New"/>
        </w:rPr>
        <w:t>ed solely on Comparable Sale 3,</w:t>
      </w:r>
      <w:r w:rsidR="00F05CC5">
        <w:rPr>
          <w:rFonts w:ascii="Courier New" w:hAnsi="Courier New" w:cs="Courier New"/>
        </w:rPr>
        <w:t xml:space="preserve"> 5 Appleton Street </w:t>
      </w:r>
      <w:r w:rsidR="00BB2B0B">
        <w:rPr>
          <w:rFonts w:ascii="Courier New" w:hAnsi="Courier New" w:cs="Courier New"/>
        </w:rPr>
        <w:t>in Holyoke, an 89,000-square-</w:t>
      </w:r>
      <w:r w:rsidR="005852F8">
        <w:rPr>
          <w:rFonts w:ascii="Courier New" w:hAnsi="Courier New" w:cs="Courier New"/>
        </w:rPr>
        <w:t>foot mill, which sold on Decemb</w:t>
      </w:r>
      <w:r w:rsidR="000E2783">
        <w:rPr>
          <w:rFonts w:ascii="Courier New" w:hAnsi="Courier New" w:cs="Courier New"/>
        </w:rPr>
        <w:t>er 31, 2014 for $300,000, yielding</w:t>
      </w:r>
      <w:r w:rsidR="005852F8">
        <w:rPr>
          <w:rFonts w:ascii="Courier New" w:hAnsi="Courier New" w:cs="Courier New"/>
        </w:rPr>
        <w:t xml:space="preserve"> a per-square-foot sales figure of $3.37.  Mr. Levitch applied this figure to his opinion of the subject property’s usable space of 187,523 square feet and arrived at $631,952, which he rounded to $630,000 for his fair market value for the subject property derived under the</w:t>
      </w:r>
      <w:r w:rsidR="008303E5">
        <w:rPr>
          <w:rFonts w:ascii="Courier New" w:hAnsi="Courier New" w:cs="Courier New"/>
        </w:rPr>
        <w:t xml:space="preserve"> </w:t>
      </w:r>
      <w:r w:rsidR="005852F8">
        <w:rPr>
          <w:rFonts w:ascii="Courier New" w:hAnsi="Courier New" w:cs="Courier New"/>
        </w:rPr>
        <w:t>sales-comparison approach for both fiscal years at issue.</w:t>
      </w:r>
      <w:r w:rsidR="001169CE">
        <w:rPr>
          <w:rFonts w:ascii="Courier New" w:hAnsi="Courier New" w:cs="Courier New"/>
        </w:rPr>
        <w:t xml:space="preserve">  Mr. Levitch testified that he made no adjustments between fiscal years 2015 and 2016 in this ap</w:t>
      </w:r>
      <w:r w:rsidR="00B60D2B">
        <w:rPr>
          <w:rFonts w:ascii="Courier New" w:hAnsi="Courier New" w:cs="Courier New"/>
        </w:rPr>
        <w:t>proach, because he found no data</w:t>
      </w:r>
      <w:r w:rsidR="001169CE">
        <w:rPr>
          <w:rFonts w:ascii="Courier New" w:hAnsi="Courier New" w:cs="Courier New"/>
        </w:rPr>
        <w:t xml:space="preserve"> to indicate a change in value from the comparable sale, and the condition of the subject property had remained constant.</w:t>
      </w:r>
      <w:r w:rsidR="00801270">
        <w:rPr>
          <w:rFonts w:ascii="Courier New" w:hAnsi="Courier New" w:cs="Courier New"/>
          <w:sz w:val="20"/>
          <w:szCs w:val="20"/>
        </w:rPr>
        <w:tab/>
      </w:r>
      <w:r w:rsidR="00801270" w:rsidRPr="00801270">
        <w:rPr>
          <w:rFonts w:ascii="Courier New" w:hAnsi="Courier New" w:cs="Courier New"/>
          <w:sz w:val="20"/>
          <w:szCs w:val="20"/>
        </w:rPr>
        <w:t xml:space="preserve"> </w:t>
      </w:r>
      <w:r w:rsidR="0062527E" w:rsidRPr="00801270">
        <w:rPr>
          <w:rFonts w:ascii="Courier New" w:hAnsi="Courier New" w:cs="Courier New"/>
          <w:sz w:val="20"/>
          <w:szCs w:val="20"/>
        </w:rPr>
        <w:t xml:space="preserve">  </w:t>
      </w:r>
    </w:p>
    <w:p w14:paraId="46D7A436" w14:textId="7880E49A" w:rsidR="00DF511B" w:rsidRDefault="0096164F" w:rsidP="00E234A2">
      <w:pPr>
        <w:spacing w:line="480" w:lineRule="auto"/>
        <w:ind w:firstLine="720"/>
        <w:jc w:val="both"/>
        <w:rPr>
          <w:rFonts w:ascii="Courier New" w:hAnsi="Courier New" w:cs="Courier New"/>
        </w:rPr>
      </w:pPr>
      <w:r>
        <w:rPr>
          <w:rFonts w:ascii="Courier New" w:hAnsi="Courier New" w:cs="Courier New"/>
        </w:rPr>
        <w:t>For his r</w:t>
      </w:r>
      <w:r w:rsidR="00462022">
        <w:rPr>
          <w:rFonts w:ascii="Courier New" w:hAnsi="Courier New" w:cs="Courier New"/>
        </w:rPr>
        <w:t>econciliation</w:t>
      </w:r>
      <w:r>
        <w:rPr>
          <w:rFonts w:ascii="Courier New" w:hAnsi="Courier New" w:cs="Courier New"/>
        </w:rPr>
        <w:t xml:space="preserve"> of values derived from his two valuation methods, Mr. Levitch </w:t>
      </w:r>
      <w:r w:rsidRPr="0096164F">
        <w:rPr>
          <w:rFonts w:ascii="Courier New" w:hAnsi="Courier New" w:cs="Courier New"/>
        </w:rPr>
        <w:t>stated</w:t>
      </w:r>
      <w:r w:rsidR="002B2294" w:rsidRPr="0096164F">
        <w:rPr>
          <w:rFonts w:ascii="Courier New" w:hAnsi="Courier New" w:cs="Courier New"/>
        </w:rPr>
        <w:t xml:space="preserve"> in </w:t>
      </w:r>
      <w:r w:rsidRPr="0096164F">
        <w:rPr>
          <w:rFonts w:ascii="Courier New" w:hAnsi="Courier New" w:cs="Courier New"/>
        </w:rPr>
        <w:t xml:space="preserve">his </w:t>
      </w:r>
      <w:r w:rsidR="00FE64A3">
        <w:rPr>
          <w:rFonts w:ascii="Courier New" w:hAnsi="Courier New" w:cs="Courier New"/>
        </w:rPr>
        <w:t>report and testified</w:t>
      </w:r>
      <w:r w:rsidR="003464AD" w:rsidRPr="0096164F">
        <w:rPr>
          <w:rFonts w:ascii="Courier New" w:hAnsi="Courier New" w:cs="Courier New"/>
        </w:rPr>
        <w:t xml:space="preserve"> that he </w:t>
      </w:r>
      <w:r w:rsidR="002B2294" w:rsidRPr="0096164F">
        <w:rPr>
          <w:rFonts w:ascii="Courier New" w:hAnsi="Courier New" w:cs="Courier New"/>
        </w:rPr>
        <w:t xml:space="preserve">primarily </w:t>
      </w:r>
      <w:r w:rsidR="003464AD" w:rsidRPr="0096164F">
        <w:rPr>
          <w:rFonts w:ascii="Courier New" w:hAnsi="Courier New" w:cs="Courier New"/>
        </w:rPr>
        <w:t xml:space="preserve">relied </w:t>
      </w:r>
      <w:r w:rsidR="008E46A6" w:rsidRPr="0096164F">
        <w:rPr>
          <w:rFonts w:ascii="Courier New" w:hAnsi="Courier New" w:cs="Courier New"/>
        </w:rPr>
        <w:t>upon the sales-comparison approach</w:t>
      </w:r>
      <w:r>
        <w:rPr>
          <w:rFonts w:ascii="Courier New" w:hAnsi="Courier New" w:cs="Courier New"/>
        </w:rPr>
        <w:t xml:space="preserve"> to value the subject property.  However, his conclusion of the fair market value for the subject property was the same value that he had derived from the income-capitalization approach for both fiscal years at issue.  He therefore concluded a fair market value </w:t>
      </w:r>
      <w:r>
        <w:rPr>
          <w:rFonts w:ascii="Courier New" w:hAnsi="Courier New" w:cs="Courier New"/>
        </w:rPr>
        <w:lastRenderedPageBreak/>
        <w:t>for the subject property as follows:</w:t>
      </w:r>
      <w:r w:rsidR="004B1545">
        <w:rPr>
          <w:rFonts w:ascii="Courier New" w:hAnsi="Courier New" w:cs="Courier New"/>
        </w:rPr>
        <w:t xml:space="preserve">  $620,000 for fiscal year 2015</w:t>
      </w:r>
      <w:r>
        <w:rPr>
          <w:rFonts w:ascii="Courier New" w:hAnsi="Courier New" w:cs="Courier New"/>
        </w:rPr>
        <w:t xml:space="preserve"> and $640,000 for fiscal year 2016.   </w:t>
      </w:r>
    </w:p>
    <w:p w14:paraId="6AD78C90" w14:textId="4601A5FA" w:rsidR="008807C9" w:rsidRDefault="009A07BE" w:rsidP="008622AE">
      <w:pPr>
        <w:spacing w:line="480" w:lineRule="auto"/>
        <w:ind w:firstLine="720"/>
        <w:jc w:val="both"/>
        <w:rPr>
          <w:rFonts w:ascii="Courier New" w:hAnsi="Courier New" w:cs="Courier New"/>
        </w:rPr>
      </w:pPr>
      <w:r>
        <w:rPr>
          <w:rFonts w:ascii="Courier New" w:hAnsi="Courier New" w:cs="Courier New"/>
        </w:rPr>
        <w:t>The appellee did not present an affirmative case on value</w:t>
      </w:r>
      <w:r w:rsidR="00600489">
        <w:rPr>
          <w:rFonts w:ascii="Courier New" w:hAnsi="Courier New" w:cs="Courier New"/>
        </w:rPr>
        <w:t xml:space="preserve">, although the </w:t>
      </w:r>
      <w:r w:rsidR="00A20546">
        <w:rPr>
          <w:rFonts w:ascii="Courier New" w:hAnsi="Courier New" w:cs="Courier New"/>
        </w:rPr>
        <w:t xml:space="preserve">property record cards for both fiscal years at issue </w:t>
      </w:r>
      <w:r w:rsidR="00600489">
        <w:rPr>
          <w:rFonts w:ascii="Courier New" w:hAnsi="Courier New" w:cs="Courier New"/>
        </w:rPr>
        <w:t xml:space="preserve">were introduced as exhibits.  The property record cards </w:t>
      </w:r>
      <w:r w:rsidR="00A20546">
        <w:rPr>
          <w:rFonts w:ascii="Courier New" w:hAnsi="Courier New" w:cs="Courier New"/>
        </w:rPr>
        <w:t>included</w:t>
      </w:r>
      <w:r w:rsidR="008807C9">
        <w:rPr>
          <w:rFonts w:ascii="Courier New" w:hAnsi="Courier New" w:cs="Courier New"/>
        </w:rPr>
        <w:t xml:space="preserve"> details from</w:t>
      </w:r>
      <w:r w:rsidR="00A20546">
        <w:rPr>
          <w:rFonts w:ascii="Courier New" w:hAnsi="Courier New" w:cs="Courier New"/>
        </w:rPr>
        <w:t xml:space="preserve"> the appellee’s income-capitalization </w:t>
      </w:r>
      <w:r w:rsidR="008807C9">
        <w:rPr>
          <w:rFonts w:ascii="Courier New" w:hAnsi="Courier New" w:cs="Courier New"/>
        </w:rPr>
        <w:t>analys</w:t>
      </w:r>
      <w:r w:rsidR="009B6E8F">
        <w:rPr>
          <w:rFonts w:ascii="Courier New" w:hAnsi="Courier New" w:cs="Courier New"/>
        </w:rPr>
        <w:t>e</w:t>
      </w:r>
      <w:r w:rsidR="008807C9">
        <w:rPr>
          <w:rFonts w:ascii="Courier New" w:hAnsi="Courier New" w:cs="Courier New"/>
        </w:rPr>
        <w:t>s</w:t>
      </w:r>
      <w:r w:rsidR="00A241F0">
        <w:rPr>
          <w:rFonts w:ascii="Courier New" w:hAnsi="Courier New" w:cs="Courier New"/>
        </w:rPr>
        <w:t xml:space="preserve">. </w:t>
      </w:r>
      <w:r w:rsidR="008807C9">
        <w:rPr>
          <w:rFonts w:ascii="Courier New" w:hAnsi="Courier New" w:cs="Courier New"/>
        </w:rPr>
        <w:t xml:space="preserve"> </w:t>
      </w:r>
      <w:r w:rsidR="0030178C">
        <w:rPr>
          <w:rFonts w:ascii="Courier New" w:hAnsi="Courier New" w:cs="Courier New"/>
        </w:rPr>
        <w:t>Unlike the appellant’s expert, the appellee also performed income-capitalization analys</w:t>
      </w:r>
      <w:r w:rsidR="009B6E8F">
        <w:rPr>
          <w:rFonts w:ascii="Courier New" w:hAnsi="Courier New" w:cs="Courier New"/>
        </w:rPr>
        <w:t>e</w:t>
      </w:r>
      <w:r w:rsidR="0030178C">
        <w:rPr>
          <w:rFonts w:ascii="Courier New" w:hAnsi="Courier New" w:cs="Courier New"/>
        </w:rPr>
        <w:t>s for the other two structures at the subject property, the old powerhouse and the service garage.  The</w:t>
      </w:r>
      <w:r w:rsidR="00B256C8">
        <w:rPr>
          <w:rFonts w:ascii="Courier New" w:hAnsi="Courier New" w:cs="Courier New"/>
        </w:rPr>
        <w:t xml:space="preserve"> </w:t>
      </w:r>
      <w:r w:rsidR="0030178C">
        <w:rPr>
          <w:rFonts w:ascii="Courier New" w:hAnsi="Courier New" w:cs="Courier New"/>
        </w:rPr>
        <w:t>appellee’s income-capit</w:t>
      </w:r>
      <w:r w:rsidR="00B256C8">
        <w:rPr>
          <w:rFonts w:ascii="Courier New" w:hAnsi="Courier New" w:cs="Courier New"/>
        </w:rPr>
        <w:t xml:space="preserve">alization analyses </w:t>
      </w:r>
      <w:r w:rsidR="009B6E8F">
        <w:rPr>
          <w:rFonts w:ascii="Courier New" w:hAnsi="Courier New" w:cs="Courier New"/>
        </w:rPr>
        <w:t xml:space="preserve">included operating expenses that were lower than Mr. Levitch’s figures </w:t>
      </w:r>
      <w:r w:rsidR="00600489">
        <w:rPr>
          <w:rFonts w:ascii="Courier New" w:hAnsi="Courier New" w:cs="Courier New"/>
        </w:rPr>
        <w:t>and</w:t>
      </w:r>
      <w:r w:rsidR="009B6E8F">
        <w:rPr>
          <w:rFonts w:ascii="Courier New" w:hAnsi="Courier New" w:cs="Courier New"/>
        </w:rPr>
        <w:t xml:space="preserve"> capitalization rates that were very similar to Mr.</w:t>
      </w:r>
      <w:r w:rsidR="005C5546">
        <w:rPr>
          <w:rFonts w:ascii="Courier New" w:hAnsi="Courier New" w:cs="Courier New"/>
        </w:rPr>
        <w:t> </w:t>
      </w:r>
      <w:r w:rsidR="009B6E8F">
        <w:rPr>
          <w:rFonts w:ascii="Courier New" w:hAnsi="Courier New" w:cs="Courier New"/>
        </w:rPr>
        <w:t>Levitch’s figures for both fiscal years at issue.</w:t>
      </w:r>
    </w:p>
    <w:p w14:paraId="4E77C18B" w14:textId="55D311A4" w:rsidR="00D55A34" w:rsidRDefault="009A07BE" w:rsidP="00D33503">
      <w:pPr>
        <w:spacing w:line="480" w:lineRule="auto"/>
        <w:ind w:firstLine="720"/>
        <w:jc w:val="both"/>
        <w:rPr>
          <w:rFonts w:ascii="Courier New" w:hAnsi="Courier New" w:cs="Courier New"/>
        </w:rPr>
      </w:pPr>
      <w:r>
        <w:rPr>
          <w:rFonts w:ascii="Courier New" w:hAnsi="Courier New" w:cs="Courier New"/>
        </w:rPr>
        <w:t>Counsel for the appellee</w:t>
      </w:r>
      <w:r w:rsidR="00F30CC8">
        <w:rPr>
          <w:rFonts w:ascii="Courier New" w:hAnsi="Courier New" w:cs="Courier New"/>
        </w:rPr>
        <w:t xml:space="preserve"> </w:t>
      </w:r>
      <w:r>
        <w:rPr>
          <w:rFonts w:ascii="Courier New" w:hAnsi="Courier New" w:cs="Courier New"/>
        </w:rPr>
        <w:t>cross-examined Mr. Levitch</w:t>
      </w:r>
      <w:r w:rsidR="006633CA">
        <w:rPr>
          <w:rFonts w:ascii="Courier New" w:hAnsi="Courier New" w:cs="Courier New"/>
        </w:rPr>
        <w:t xml:space="preserve"> and presented documents to challenge aspects of his sales-comparison approach</w:t>
      </w:r>
      <w:r w:rsidR="00A1015C">
        <w:rPr>
          <w:rFonts w:ascii="Courier New" w:hAnsi="Courier New" w:cs="Courier New"/>
        </w:rPr>
        <w:t>.</w:t>
      </w:r>
      <w:r w:rsidR="006633CA">
        <w:rPr>
          <w:rFonts w:ascii="Courier New" w:hAnsi="Courier New" w:cs="Courier New"/>
        </w:rPr>
        <w:t xml:space="preserve">  For example, </w:t>
      </w:r>
      <w:r w:rsidR="00C607CD">
        <w:rPr>
          <w:rFonts w:ascii="Courier New" w:hAnsi="Courier New" w:cs="Courier New"/>
        </w:rPr>
        <w:t>the sale of 21 Cycle Street in Westfield, Mr. Levitch’s comparable sale 6, was not an arm’s-length sale, as the manager of the grantor was also the CEO of the grantee.  Moreover, Mr. Levitch made</w:t>
      </w:r>
      <w:r w:rsidR="00A1015C">
        <w:rPr>
          <w:rFonts w:ascii="Courier New" w:hAnsi="Courier New" w:cs="Courier New"/>
        </w:rPr>
        <w:t xml:space="preserve"> no location adjustment</w:t>
      </w:r>
      <w:r w:rsidR="00C607CD">
        <w:rPr>
          <w:rFonts w:ascii="Courier New" w:hAnsi="Courier New" w:cs="Courier New"/>
        </w:rPr>
        <w:t>s</w:t>
      </w:r>
      <w:r w:rsidR="00A1015C">
        <w:rPr>
          <w:rFonts w:ascii="Courier New" w:hAnsi="Courier New" w:cs="Courier New"/>
        </w:rPr>
        <w:t xml:space="preserve"> to</w:t>
      </w:r>
      <w:r w:rsidR="00C607CD">
        <w:rPr>
          <w:rFonts w:ascii="Courier New" w:hAnsi="Courier New" w:cs="Courier New"/>
        </w:rPr>
        <w:t xml:space="preserve"> his</w:t>
      </w:r>
      <w:r w:rsidR="00A1015C">
        <w:rPr>
          <w:rFonts w:ascii="Courier New" w:hAnsi="Courier New" w:cs="Courier New"/>
        </w:rPr>
        <w:t xml:space="preserve"> Holyoke sales despite</w:t>
      </w:r>
      <w:r w:rsidR="00C607CD">
        <w:rPr>
          <w:rFonts w:ascii="Courier New" w:hAnsi="Courier New" w:cs="Courier New"/>
        </w:rPr>
        <w:t xml:space="preserve"> the</w:t>
      </w:r>
      <w:r w:rsidR="00A1015C">
        <w:rPr>
          <w:rFonts w:ascii="Courier New" w:hAnsi="Courier New" w:cs="Courier New"/>
        </w:rPr>
        <w:t xml:space="preserve"> fact</w:t>
      </w:r>
      <w:r>
        <w:rPr>
          <w:rFonts w:ascii="Courier New" w:hAnsi="Courier New" w:cs="Courier New"/>
        </w:rPr>
        <w:t xml:space="preserve"> </w:t>
      </w:r>
      <w:r w:rsidR="00A1015C">
        <w:rPr>
          <w:rFonts w:ascii="Courier New" w:hAnsi="Courier New" w:cs="Courier New"/>
        </w:rPr>
        <w:t xml:space="preserve">that </w:t>
      </w:r>
      <w:r w:rsidR="00C607CD">
        <w:rPr>
          <w:rFonts w:ascii="Courier New" w:hAnsi="Courier New" w:cs="Courier New"/>
        </w:rPr>
        <w:t xml:space="preserve">the </w:t>
      </w:r>
      <w:r w:rsidR="00A1015C">
        <w:rPr>
          <w:rFonts w:ascii="Courier New" w:hAnsi="Courier New" w:cs="Courier New"/>
        </w:rPr>
        <w:t>tax rates and economic co</w:t>
      </w:r>
      <w:r w:rsidR="00C607CD">
        <w:rPr>
          <w:rFonts w:ascii="Courier New" w:hAnsi="Courier New" w:cs="Courier New"/>
        </w:rPr>
        <w:t xml:space="preserve">nditions were very different between the </w:t>
      </w:r>
      <w:r w:rsidR="00A1015C">
        <w:rPr>
          <w:rFonts w:ascii="Courier New" w:hAnsi="Courier New" w:cs="Courier New"/>
        </w:rPr>
        <w:t>two towns</w:t>
      </w:r>
      <w:r w:rsidR="00C607CD">
        <w:rPr>
          <w:rFonts w:ascii="Courier New" w:hAnsi="Courier New" w:cs="Courier New"/>
        </w:rPr>
        <w:t xml:space="preserve">.  </w:t>
      </w:r>
      <w:r w:rsidR="00766356">
        <w:rPr>
          <w:rFonts w:ascii="Courier New" w:hAnsi="Courier New" w:cs="Courier New"/>
        </w:rPr>
        <w:t xml:space="preserve">Finally, for the sale of 6 Appleton Street in Holyoke, Mr. Levitch’s comparable sale </w:t>
      </w:r>
      <w:r w:rsidR="00766356">
        <w:rPr>
          <w:rFonts w:ascii="Courier New" w:hAnsi="Courier New" w:cs="Courier New"/>
        </w:rPr>
        <w:lastRenderedPageBreak/>
        <w:t xml:space="preserve">2, </w:t>
      </w:r>
      <w:r w:rsidR="00600489">
        <w:rPr>
          <w:rFonts w:ascii="Courier New" w:hAnsi="Courier New" w:cs="Courier New"/>
        </w:rPr>
        <w:t>the sale</w:t>
      </w:r>
      <w:r w:rsidR="00766356">
        <w:rPr>
          <w:rFonts w:ascii="Courier New" w:hAnsi="Courier New" w:cs="Courier New"/>
        </w:rPr>
        <w:t xml:space="preserve"> was a </w:t>
      </w:r>
      <w:r w:rsidR="00600489">
        <w:rPr>
          <w:rFonts w:ascii="Courier New" w:hAnsi="Courier New" w:cs="Courier New"/>
        </w:rPr>
        <w:t xml:space="preserve">portfolio </w:t>
      </w:r>
      <w:r w:rsidR="00D32443">
        <w:rPr>
          <w:rFonts w:ascii="Courier New" w:hAnsi="Courier New" w:cs="Courier New"/>
        </w:rPr>
        <w:t xml:space="preserve">sale of substantially all of </w:t>
      </w:r>
      <w:r w:rsidR="003C1F85">
        <w:rPr>
          <w:rFonts w:ascii="Courier New" w:hAnsi="Courier New" w:cs="Courier New"/>
        </w:rPr>
        <w:t xml:space="preserve">the </w:t>
      </w:r>
      <w:r w:rsidR="00D32443">
        <w:rPr>
          <w:rFonts w:ascii="Courier New" w:hAnsi="Courier New" w:cs="Courier New"/>
        </w:rPr>
        <w:t>grantor’s assets</w:t>
      </w:r>
      <w:r w:rsidR="00766356">
        <w:rPr>
          <w:rFonts w:ascii="Courier New" w:hAnsi="Courier New" w:cs="Courier New"/>
        </w:rPr>
        <w:t>,</w:t>
      </w:r>
      <w:r w:rsidR="00D32443">
        <w:rPr>
          <w:rFonts w:ascii="Courier New" w:hAnsi="Courier New" w:cs="Courier New"/>
        </w:rPr>
        <w:t xml:space="preserve"> and</w:t>
      </w:r>
      <w:r w:rsidR="00766356">
        <w:rPr>
          <w:rFonts w:ascii="Courier New" w:hAnsi="Courier New" w:cs="Courier New"/>
        </w:rPr>
        <w:t xml:space="preserve"> </w:t>
      </w:r>
      <w:r w:rsidR="00D32443">
        <w:rPr>
          <w:rFonts w:ascii="Courier New" w:hAnsi="Courier New" w:cs="Courier New"/>
        </w:rPr>
        <w:t>was seller financed</w:t>
      </w:r>
      <w:r w:rsidR="00766356">
        <w:rPr>
          <w:rFonts w:ascii="Courier New" w:hAnsi="Courier New" w:cs="Courier New"/>
        </w:rPr>
        <w:t xml:space="preserve">, factors </w:t>
      </w:r>
      <w:r w:rsidR="009B6E8F">
        <w:rPr>
          <w:rFonts w:ascii="Courier New" w:hAnsi="Courier New" w:cs="Courier New"/>
        </w:rPr>
        <w:t xml:space="preserve">that </w:t>
      </w:r>
      <w:r w:rsidR="00B52D66">
        <w:rPr>
          <w:rFonts w:ascii="Courier New" w:hAnsi="Courier New" w:cs="Courier New"/>
        </w:rPr>
        <w:t xml:space="preserve">undercut the reliability of the sale as evidence of the subject property’s fair cash value. </w:t>
      </w:r>
    </w:p>
    <w:p w14:paraId="2E026380" w14:textId="141D5C73" w:rsidR="00C513D3" w:rsidRDefault="00F05CC5" w:rsidP="00F05CC5">
      <w:pPr>
        <w:spacing w:line="480" w:lineRule="auto"/>
        <w:ind w:firstLine="720"/>
        <w:jc w:val="both"/>
        <w:rPr>
          <w:rFonts w:ascii="Courier New" w:hAnsi="Courier New" w:cs="Courier New"/>
        </w:rPr>
      </w:pPr>
      <w:r>
        <w:rPr>
          <w:rFonts w:ascii="Courier New" w:hAnsi="Courier New" w:cs="Courier New"/>
        </w:rPr>
        <w:t xml:space="preserve">The </w:t>
      </w:r>
      <w:r w:rsidR="009D6157">
        <w:rPr>
          <w:rFonts w:ascii="Courier New" w:hAnsi="Courier New" w:cs="Courier New"/>
        </w:rPr>
        <w:t>Board</w:t>
      </w:r>
      <w:r w:rsidR="00934F01">
        <w:rPr>
          <w:rFonts w:ascii="Courier New" w:hAnsi="Courier New" w:cs="Courier New"/>
        </w:rPr>
        <w:t xml:space="preserve"> aff</w:t>
      </w:r>
      <w:r w:rsidR="00F269CF">
        <w:rPr>
          <w:rFonts w:ascii="Courier New" w:hAnsi="Courier New" w:cs="Courier New"/>
        </w:rPr>
        <w:t>orded no weight to</w:t>
      </w:r>
      <w:r>
        <w:rPr>
          <w:rFonts w:ascii="Courier New" w:hAnsi="Courier New" w:cs="Courier New"/>
        </w:rPr>
        <w:t xml:space="preserve"> Mr. Levitch’</w:t>
      </w:r>
      <w:r w:rsidR="00BC3B54">
        <w:rPr>
          <w:rFonts w:ascii="Courier New" w:hAnsi="Courier New" w:cs="Courier New"/>
        </w:rPr>
        <w:t>s sales-comparison approach</w:t>
      </w:r>
      <w:r w:rsidR="00586512">
        <w:rPr>
          <w:rFonts w:ascii="Courier New" w:hAnsi="Courier New" w:cs="Courier New"/>
        </w:rPr>
        <w:t xml:space="preserve"> because he relied solely</w:t>
      </w:r>
      <w:r>
        <w:rPr>
          <w:rFonts w:ascii="Courier New" w:hAnsi="Courier New" w:cs="Courier New"/>
        </w:rPr>
        <w:t xml:space="preserve"> on one</w:t>
      </w:r>
      <w:r w:rsidR="00C513D3">
        <w:rPr>
          <w:rFonts w:ascii="Courier New" w:hAnsi="Courier New" w:cs="Courier New"/>
        </w:rPr>
        <w:t xml:space="preserve"> sale</w:t>
      </w:r>
      <w:r w:rsidR="00A55300">
        <w:rPr>
          <w:rFonts w:ascii="Courier New" w:hAnsi="Courier New" w:cs="Courier New"/>
        </w:rPr>
        <w:t>, 5</w:t>
      </w:r>
      <w:r w:rsidR="00CB7524">
        <w:rPr>
          <w:rFonts w:ascii="Courier New" w:hAnsi="Courier New" w:cs="Courier New"/>
        </w:rPr>
        <w:t> </w:t>
      </w:r>
      <w:r w:rsidR="00A55300">
        <w:rPr>
          <w:rFonts w:ascii="Courier New" w:hAnsi="Courier New" w:cs="Courier New"/>
        </w:rPr>
        <w:t>Appleton Street in Holyoke</w:t>
      </w:r>
      <w:r>
        <w:rPr>
          <w:rFonts w:ascii="Courier New" w:hAnsi="Courier New" w:cs="Courier New"/>
        </w:rPr>
        <w:t>, a property that was one-third</w:t>
      </w:r>
      <w:r w:rsidR="00C513D3">
        <w:rPr>
          <w:rFonts w:ascii="Courier New" w:hAnsi="Courier New" w:cs="Courier New"/>
        </w:rPr>
        <w:t xml:space="preserve"> </w:t>
      </w:r>
      <w:r>
        <w:rPr>
          <w:rFonts w:ascii="Courier New" w:hAnsi="Courier New" w:cs="Courier New"/>
        </w:rPr>
        <w:t xml:space="preserve">the size of </w:t>
      </w:r>
      <w:r w:rsidR="00F17289">
        <w:rPr>
          <w:rFonts w:ascii="Courier New" w:hAnsi="Courier New" w:cs="Courier New"/>
        </w:rPr>
        <w:t xml:space="preserve">the </w:t>
      </w:r>
      <w:r>
        <w:rPr>
          <w:rFonts w:ascii="Courier New" w:hAnsi="Courier New" w:cs="Courier New"/>
        </w:rPr>
        <w:t>subject property</w:t>
      </w:r>
      <w:r w:rsidR="00A55300">
        <w:rPr>
          <w:rFonts w:ascii="Courier New" w:hAnsi="Courier New" w:cs="Courier New"/>
        </w:rPr>
        <w:t>, located in a different to</w:t>
      </w:r>
      <w:r w:rsidR="00B60D2B">
        <w:rPr>
          <w:rFonts w:ascii="Courier New" w:hAnsi="Courier New" w:cs="Courier New"/>
        </w:rPr>
        <w:t>wn with</w:t>
      </w:r>
      <w:r w:rsidR="00A55300">
        <w:rPr>
          <w:rFonts w:ascii="Courier New" w:hAnsi="Courier New" w:cs="Courier New"/>
        </w:rPr>
        <w:t xml:space="preserve"> different economic conditions</w:t>
      </w:r>
      <w:r w:rsidR="00BC3B54">
        <w:rPr>
          <w:rFonts w:ascii="Courier New" w:hAnsi="Courier New" w:cs="Courier New"/>
        </w:rPr>
        <w:t>,</w:t>
      </w:r>
      <w:r>
        <w:rPr>
          <w:rFonts w:ascii="Courier New" w:hAnsi="Courier New" w:cs="Courier New"/>
        </w:rPr>
        <w:t xml:space="preserve"> and, unlike the subject mill, it lacked</w:t>
      </w:r>
      <w:r w:rsidR="00C513D3">
        <w:rPr>
          <w:rFonts w:ascii="Courier New" w:hAnsi="Courier New" w:cs="Courier New"/>
        </w:rPr>
        <w:t xml:space="preserve"> rehab</w:t>
      </w:r>
      <w:r>
        <w:rPr>
          <w:rFonts w:ascii="Courier New" w:hAnsi="Courier New" w:cs="Courier New"/>
        </w:rPr>
        <w:t>ilitation</w:t>
      </w:r>
      <w:r w:rsidR="00F269CF">
        <w:rPr>
          <w:rFonts w:ascii="Courier New" w:hAnsi="Courier New" w:cs="Courier New"/>
        </w:rPr>
        <w:t xml:space="preserve">.  </w:t>
      </w:r>
      <w:r w:rsidR="00A55300">
        <w:rPr>
          <w:rFonts w:ascii="Courier New" w:hAnsi="Courier New" w:cs="Courier New"/>
        </w:rPr>
        <w:t>Mr. Levitch made no adjustments to this sale to account for</w:t>
      </w:r>
      <w:r w:rsidR="00B250E4">
        <w:rPr>
          <w:rFonts w:ascii="Courier New" w:hAnsi="Courier New" w:cs="Courier New"/>
        </w:rPr>
        <w:t xml:space="preserve"> any of</w:t>
      </w:r>
      <w:r w:rsidR="00A55300">
        <w:rPr>
          <w:rFonts w:ascii="Courier New" w:hAnsi="Courier New" w:cs="Courier New"/>
        </w:rPr>
        <w:t xml:space="preserve"> these crucial discrepancies.</w:t>
      </w:r>
    </w:p>
    <w:p w14:paraId="4855351D" w14:textId="637CD806" w:rsidR="00785626" w:rsidRDefault="00DE5F03" w:rsidP="00E234A2">
      <w:pPr>
        <w:spacing w:line="480" w:lineRule="auto"/>
        <w:ind w:firstLine="720"/>
        <w:jc w:val="both"/>
        <w:rPr>
          <w:rFonts w:ascii="Courier New" w:hAnsi="Courier New" w:cs="Courier New"/>
        </w:rPr>
      </w:pPr>
      <w:r>
        <w:rPr>
          <w:rFonts w:ascii="Courier New" w:hAnsi="Courier New" w:cs="Courier New"/>
        </w:rPr>
        <w:t xml:space="preserve">The Board </w:t>
      </w:r>
      <w:r w:rsidR="002E67D3">
        <w:rPr>
          <w:rFonts w:ascii="Courier New" w:hAnsi="Courier New" w:cs="Courier New"/>
        </w:rPr>
        <w:t xml:space="preserve">further </w:t>
      </w:r>
      <w:r>
        <w:rPr>
          <w:rFonts w:ascii="Courier New" w:hAnsi="Courier New" w:cs="Courier New"/>
        </w:rPr>
        <w:t>found that the</w:t>
      </w:r>
      <w:r w:rsidR="00934F01">
        <w:rPr>
          <w:rFonts w:ascii="Courier New" w:hAnsi="Courier New" w:cs="Courier New"/>
        </w:rPr>
        <w:t xml:space="preserve"> income-capitalization</w:t>
      </w:r>
      <w:r>
        <w:rPr>
          <w:rFonts w:ascii="Courier New" w:hAnsi="Courier New" w:cs="Courier New"/>
        </w:rPr>
        <w:t xml:space="preserve"> approach was the proper method to value the subject property</w:t>
      </w:r>
      <w:r w:rsidR="002E67D3">
        <w:rPr>
          <w:rFonts w:ascii="Courier New" w:hAnsi="Courier New" w:cs="Courier New"/>
        </w:rPr>
        <w:t xml:space="preserve"> because of</w:t>
      </w:r>
      <w:r w:rsidR="00505177">
        <w:rPr>
          <w:rFonts w:ascii="Courier New" w:hAnsi="Courier New" w:cs="Courier New"/>
        </w:rPr>
        <w:t xml:space="preserve"> its </w:t>
      </w:r>
      <w:r w:rsidR="00B60D2B">
        <w:rPr>
          <w:rFonts w:ascii="Courier New" w:hAnsi="Courier New" w:cs="Courier New"/>
        </w:rPr>
        <w:t xml:space="preserve">capacity to generate an </w:t>
      </w:r>
      <w:r w:rsidR="00266D6D">
        <w:rPr>
          <w:rFonts w:ascii="Courier New" w:hAnsi="Courier New" w:cs="Courier New"/>
        </w:rPr>
        <w:t>income stream</w:t>
      </w:r>
      <w:r w:rsidR="00505177">
        <w:rPr>
          <w:rFonts w:ascii="Courier New" w:hAnsi="Courier New" w:cs="Courier New"/>
        </w:rPr>
        <w:t>.</w:t>
      </w:r>
      <w:r>
        <w:rPr>
          <w:rFonts w:ascii="Courier New" w:hAnsi="Courier New" w:cs="Courier New"/>
        </w:rPr>
        <w:t xml:space="preserve"> </w:t>
      </w:r>
      <w:r w:rsidR="00505177">
        <w:rPr>
          <w:rFonts w:ascii="Courier New" w:hAnsi="Courier New" w:cs="Courier New"/>
        </w:rPr>
        <w:t xml:space="preserve"> </w:t>
      </w:r>
    </w:p>
    <w:p w14:paraId="1373C2B5" w14:textId="30E3626D" w:rsidR="002D262F" w:rsidRDefault="00F35E21" w:rsidP="00E234A2">
      <w:pPr>
        <w:spacing w:line="480" w:lineRule="auto"/>
        <w:ind w:firstLine="720"/>
        <w:jc w:val="both"/>
        <w:rPr>
          <w:rFonts w:ascii="Courier New" w:hAnsi="Courier New" w:cs="Courier New"/>
        </w:rPr>
      </w:pPr>
      <w:r>
        <w:rPr>
          <w:rFonts w:ascii="Courier New" w:hAnsi="Courier New" w:cs="Courier New"/>
        </w:rPr>
        <w:t>With respect to the subject mill, t</w:t>
      </w:r>
      <w:r w:rsidR="002D262F">
        <w:rPr>
          <w:rFonts w:ascii="Courier New" w:hAnsi="Courier New" w:cs="Courier New"/>
        </w:rPr>
        <w:t xml:space="preserve">he Board found that the </w:t>
      </w:r>
      <w:r w:rsidR="000F0BCD">
        <w:rPr>
          <w:rFonts w:ascii="Courier New" w:hAnsi="Courier New" w:cs="Courier New"/>
        </w:rPr>
        <w:t xml:space="preserve">appellant presented credible evidence that the </w:t>
      </w:r>
      <w:r w:rsidR="002D262F">
        <w:rPr>
          <w:rFonts w:ascii="Courier New" w:hAnsi="Courier New" w:cs="Courier New"/>
        </w:rPr>
        <w:t>appellee had over-calculated the</w:t>
      </w:r>
      <w:r w:rsidR="0010518D">
        <w:rPr>
          <w:rFonts w:ascii="Courier New" w:hAnsi="Courier New" w:cs="Courier New"/>
        </w:rPr>
        <w:t xml:space="preserve"> </w:t>
      </w:r>
      <w:r w:rsidR="00636FBD">
        <w:rPr>
          <w:rFonts w:ascii="Courier New" w:hAnsi="Courier New" w:cs="Courier New"/>
        </w:rPr>
        <w:t>total</w:t>
      </w:r>
      <w:r w:rsidR="002D262F">
        <w:rPr>
          <w:rFonts w:ascii="Courier New" w:hAnsi="Courier New" w:cs="Courier New"/>
        </w:rPr>
        <w:t xml:space="preserve"> square footage of the subject</w:t>
      </w:r>
      <w:r w:rsidR="0010518D">
        <w:rPr>
          <w:rFonts w:ascii="Courier New" w:hAnsi="Courier New" w:cs="Courier New"/>
        </w:rPr>
        <w:t xml:space="preserve"> mill, and found that the </w:t>
      </w:r>
      <w:r w:rsidR="00636FBD">
        <w:rPr>
          <w:rFonts w:ascii="Courier New" w:hAnsi="Courier New" w:cs="Courier New"/>
        </w:rPr>
        <w:t>total</w:t>
      </w:r>
      <w:r w:rsidR="002D262F">
        <w:rPr>
          <w:rFonts w:ascii="Courier New" w:hAnsi="Courier New" w:cs="Courier New"/>
        </w:rPr>
        <w:t xml:space="preserve"> square footage was</w:t>
      </w:r>
      <w:r w:rsidR="000F0BCD">
        <w:rPr>
          <w:rFonts w:ascii="Courier New" w:hAnsi="Courier New" w:cs="Courier New"/>
        </w:rPr>
        <w:t xml:space="preserve"> 187,523 square feet</w:t>
      </w:r>
      <w:r>
        <w:rPr>
          <w:rFonts w:ascii="Courier New" w:hAnsi="Courier New" w:cs="Courier New"/>
        </w:rPr>
        <w:t xml:space="preserve">.  </w:t>
      </w:r>
      <w:r w:rsidR="00D33503">
        <w:rPr>
          <w:rFonts w:ascii="Courier New" w:hAnsi="Courier New" w:cs="Courier New"/>
        </w:rPr>
        <w:t xml:space="preserve">The Board </w:t>
      </w:r>
      <w:r w:rsidR="0006004F">
        <w:rPr>
          <w:rFonts w:ascii="Courier New" w:hAnsi="Courier New" w:cs="Courier New"/>
        </w:rPr>
        <w:t>further</w:t>
      </w:r>
      <w:r w:rsidR="00A4587A">
        <w:rPr>
          <w:rFonts w:ascii="Courier New" w:hAnsi="Courier New" w:cs="Courier New"/>
        </w:rPr>
        <w:t xml:space="preserve"> </w:t>
      </w:r>
      <w:r w:rsidR="00D33503">
        <w:rPr>
          <w:rFonts w:ascii="Courier New" w:hAnsi="Courier New" w:cs="Courier New"/>
        </w:rPr>
        <w:t xml:space="preserve">found that the </w:t>
      </w:r>
      <w:r w:rsidR="00BC3B54">
        <w:rPr>
          <w:rFonts w:ascii="Courier New" w:hAnsi="Courier New" w:cs="Courier New"/>
        </w:rPr>
        <w:t>leases for Meals on Wheels and S</w:t>
      </w:r>
      <w:r w:rsidR="00D33503">
        <w:rPr>
          <w:rFonts w:ascii="Courier New" w:hAnsi="Courier New" w:cs="Courier New"/>
        </w:rPr>
        <w:t xml:space="preserve">d </w:t>
      </w:r>
      <w:r w:rsidR="00BC3B54">
        <w:rPr>
          <w:rFonts w:ascii="Courier New" w:hAnsi="Courier New" w:cs="Courier New"/>
        </w:rPr>
        <w:t xml:space="preserve">Associates </w:t>
      </w:r>
      <w:r w:rsidR="00D33503">
        <w:rPr>
          <w:rFonts w:ascii="Courier New" w:hAnsi="Courier New" w:cs="Courier New"/>
        </w:rPr>
        <w:t xml:space="preserve">Charter School were </w:t>
      </w:r>
      <w:r w:rsidR="00B60D2B">
        <w:rPr>
          <w:rFonts w:ascii="Courier New" w:hAnsi="Courier New" w:cs="Courier New"/>
        </w:rPr>
        <w:t xml:space="preserve">at </w:t>
      </w:r>
      <w:r w:rsidR="00D33503">
        <w:rPr>
          <w:rFonts w:ascii="Courier New" w:hAnsi="Courier New" w:cs="Courier New"/>
        </w:rPr>
        <w:t>market rate</w:t>
      </w:r>
      <w:r w:rsidR="00B60D2B">
        <w:rPr>
          <w:rFonts w:ascii="Courier New" w:hAnsi="Courier New" w:cs="Courier New"/>
        </w:rPr>
        <w:t>s and thus adopted those rent</w:t>
      </w:r>
      <w:r w:rsidR="00D33503">
        <w:rPr>
          <w:rFonts w:ascii="Courier New" w:hAnsi="Courier New" w:cs="Courier New"/>
        </w:rPr>
        <w:t xml:space="preserve"> figures</w:t>
      </w:r>
      <w:r w:rsidR="00A4587A">
        <w:rPr>
          <w:rFonts w:ascii="Courier New" w:hAnsi="Courier New" w:cs="Courier New"/>
        </w:rPr>
        <w:t xml:space="preserve"> for both fiscal years at issue</w:t>
      </w:r>
      <w:r w:rsidR="00D33503">
        <w:rPr>
          <w:rFonts w:ascii="Courier New" w:hAnsi="Courier New" w:cs="Courier New"/>
        </w:rPr>
        <w:t xml:space="preserve">.  </w:t>
      </w:r>
      <w:r w:rsidR="00297671">
        <w:rPr>
          <w:rFonts w:ascii="Courier New" w:hAnsi="Courier New" w:cs="Courier New"/>
        </w:rPr>
        <w:t xml:space="preserve">However, </w:t>
      </w:r>
      <w:r w:rsidR="00AB10AB">
        <w:rPr>
          <w:rFonts w:ascii="Courier New" w:hAnsi="Courier New" w:cs="Courier New"/>
        </w:rPr>
        <w:t xml:space="preserve">the Board </w:t>
      </w:r>
      <w:r w:rsidR="0006004F">
        <w:rPr>
          <w:rFonts w:ascii="Courier New" w:hAnsi="Courier New" w:cs="Courier New"/>
        </w:rPr>
        <w:t xml:space="preserve">applied </w:t>
      </w:r>
      <w:r w:rsidR="00AB10AB">
        <w:rPr>
          <w:rFonts w:ascii="Courier New" w:hAnsi="Courier New" w:cs="Courier New"/>
        </w:rPr>
        <w:t xml:space="preserve">the </w:t>
      </w:r>
      <w:r w:rsidR="00AB10AB">
        <w:rPr>
          <w:rFonts w:ascii="Courier New" w:hAnsi="Courier New" w:cs="Courier New"/>
        </w:rPr>
        <w:lastRenderedPageBreak/>
        <w:t xml:space="preserve">appellee’s weighted average for office space </w:t>
      </w:r>
      <w:r w:rsidR="0006004F">
        <w:rPr>
          <w:rFonts w:ascii="Courier New" w:hAnsi="Courier New" w:cs="Courier New"/>
        </w:rPr>
        <w:t>to</w:t>
      </w:r>
      <w:r w:rsidR="00AB10AB">
        <w:rPr>
          <w:rFonts w:ascii="Courier New" w:hAnsi="Courier New" w:cs="Courier New"/>
        </w:rPr>
        <w:t xml:space="preserve"> the remaining 22,964 square feet of leased space and the appellee’s weighted average for mill space for the 156,794 square feet </w:t>
      </w:r>
      <w:r w:rsidR="0006004F">
        <w:rPr>
          <w:rFonts w:ascii="Courier New" w:hAnsi="Courier New" w:cs="Courier New"/>
        </w:rPr>
        <w:t>to the</w:t>
      </w:r>
      <w:r w:rsidR="00AB10AB">
        <w:rPr>
          <w:rFonts w:ascii="Courier New" w:hAnsi="Courier New" w:cs="Courier New"/>
        </w:rPr>
        <w:t xml:space="preserve"> owner-occupied warehouse space</w:t>
      </w:r>
      <w:r w:rsidR="0006004F">
        <w:rPr>
          <w:rFonts w:ascii="Courier New" w:hAnsi="Courier New" w:cs="Courier New"/>
        </w:rPr>
        <w:t>, finding that these values</w:t>
      </w:r>
      <w:r w:rsidR="00AB10AB">
        <w:rPr>
          <w:rFonts w:ascii="Courier New" w:hAnsi="Courier New" w:cs="Courier New"/>
        </w:rPr>
        <w:t xml:space="preserve"> best reflected fair</w:t>
      </w:r>
      <w:r w:rsidR="0006004F">
        <w:rPr>
          <w:rFonts w:ascii="Courier New" w:hAnsi="Courier New" w:cs="Courier New"/>
        </w:rPr>
        <w:t xml:space="preserve"> market rental value</w:t>
      </w:r>
      <w:r w:rsidR="00AB10AB">
        <w:rPr>
          <w:rFonts w:ascii="Courier New" w:hAnsi="Courier New" w:cs="Courier New"/>
        </w:rPr>
        <w:t xml:space="preserve">.  </w:t>
      </w:r>
    </w:p>
    <w:p w14:paraId="55475168" w14:textId="13D8781F" w:rsidR="00B37E23" w:rsidRDefault="00F269CF" w:rsidP="00E234A2">
      <w:pPr>
        <w:spacing w:line="480" w:lineRule="auto"/>
        <w:ind w:firstLine="720"/>
        <w:jc w:val="both"/>
        <w:rPr>
          <w:rFonts w:ascii="Courier New" w:hAnsi="Courier New" w:cs="Courier New"/>
        </w:rPr>
      </w:pPr>
      <w:r>
        <w:rPr>
          <w:rFonts w:ascii="Courier New" w:hAnsi="Courier New" w:cs="Courier New"/>
        </w:rPr>
        <w:t>T</w:t>
      </w:r>
      <w:r w:rsidR="005D3C56">
        <w:rPr>
          <w:rFonts w:ascii="Courier New" w:hAnsi="Courier New" w:cs="Courier New"/>
        </w:rPr>
        <w:t>he Bo</w:t>
      </w:r>
      <w:r w:rsidR="00A4587A">
        <w:rPr>
          <w:rFonts w:ascii="Courier New" w:hAnsi="Courier New" w:cs="Courier New"/>
        </w:rPr>
        <w:t xml:space="preserve">ard </w:t>
      </w:r>
      <w:r>
        <w:rPr>
          <w:rFonts w:ascii="Courier New" w:hAnsi="Courier New" w:cs="Courier New"/>
        </w:rPr>
        <w:t xml:space="preserve">next </w:t>
      </w:r>
      <w:r w:rsidR="00A4587A">
        <w:rPr>
          <w:rFonts w:ascii="Courier New" w:hAnsi="Courier New" w:cs="Courier New"/>
        </w:rPr>
        <w:t>selected 20% as the appropriate</w:t>
      </w:r>
      <w:r w:rsidR="005D3C56">
        <w:rPr>
          <w:rFonts w:ascii="Courier New" w:hAnsi="Courier New" w:cs="Courier New"/>
        </w:rPr>
        <w:t xml:space="preserve"> vacancy rate</w:t>
      </w:r>
      <w:r w:rsidR="00A4587A">
        <w:rPr>
          <w:rFonts w:ascii="Courier New" w:hAnsi="Courier New" w:cs="Courier New"/>
        </w:rPr>
        <w:t xml:space="preserve">, which was the lower end of the appellant’s range of vacancy values.  The Board also found </w:t>
      </w:r>
      <w:r w:rsidR="007A7F47">
        <w:rPr>
          <w:rFonts w:ascii="Courier New" w:hAnsi="Courier New" w:cs="Courier New"/>
        </w:rPr>
        <w:t xml:space="preserve">that </w:t>
      </w:r>
      <w:r>
        <w:rPr>
          <w:rFonts w:ascii="Courier New" w:hAnsi="Courier New" w:cs="Courier New"/>
        </w:rPr>
        <w:t xml:space="preserve">the appellant’s </w:t>
      </w:r>
      <w:r w:rsidR="007A7F47">
        <w:rPr>
          <w:rFonts w:ascii="Courier New" w:hAnsi="Courier New" w:cs="Courier New"/>
        </w:rPr>
        <w:t>figure</w:t>
      </w:r>
      <w:r w:rsidR="009B6E8F">
        <w:rPr>
          <w:rFonts w:ascii="Courier New" w:hAnsi="Courier New" w:cs="Courier New"/>
        </w:rPr>
        <w:t>s</w:t>
      </w:r>
      <w:r w:rsidR="007A7F47">
        <w:rPr>
          <w:rFonts w:ascii="Courier New" w:hAnsi="Courier New" w:cs="Courier New"/>
        </w:rPr>
        <w:t xml:space="preserve"> for </w:t>
      </w:r>
      <w:r w:rsidR="00A4587A">
        <w:rPr>
          <w:rFonts w:ascii="Courier New" w:hAnsi="Courier New" w:cs="Courier New"/>
        </w:rPr>
        <w:t>operating expenses</w:t>
      </w:r>
      <w:r w:rsidR="009B6E8F">
        <w:rPr>
          <w:rFonts w:ascii="Courier New" w:hAnsi="Courier New" w:cs="Courier New"/>
        </w:rPr>
        <w:t xml:space="preserve"> were</w:t>
      </w:r>
      <w:r w:rsidR="007A7F47">
        <w:rPr>
          <w:rFonts w:ascii="Courier New" w:hAnsi="Courier New" w:cs="Courier New"/>
        </w:rPr>
        <w:t xml:space="preserve"> </w:t>
      </w:r>
      <w:r w:rsidR="00435427">
        <w:rPr>
          <w:rFonts w:ascii="Courier New" w:hAnsi="Courier New" w:cs="Courier New"/>
        </w:rPr>
        <w:t xml:space="preserve">overstated and </w:t>
      </w:r>
      <w:r w:rsidR="007A7F47">
        <w:rPr>
          <w:rFonts w:ascii="Courier New" w:hAnsi="Courier New" w:cs="Courier New"/>
        </w:rPr>
        <w:t>not supported by the evidence</w:t>
      </w:r>
      <w:r w:rsidR="0002084C">
        <w:rPr>
          <w:rFonts w:ascii="Courier New" w:hAnsi="Courier New" w:cs="Courier New"/>
        </w:rPr>
        <w:t xml:space="preserve">.  Instead, </w:t>
      </w:r>
      <w:r w:rsidR="009B6E8F">
        <w:rPr>
          <w:rFonts w:ascii="Courier New" w:hAnsi="Courier New" w:cs="Courier New"/>
        </w:rPr>
        <w:t xml:space="preserve">based on the evidence, the Board selected </w:t>
      </w:r>
      <w:r w:rsidR="00435427">
        <w:rPr>
          <w:rFonts w:ascii="Courier New" w:hAnsi="Courier New" w:cs="Courier New"/>
        </w:rPr>
        <w:t xml:space="preserve">an </w:t>
      </w:r>
      <w:r w:rsidR="009B6E8F">
        <w:rPr>
          <w:rFonts w:ascii="Courier New" w:hAnsi="Courier New" w:cs="Courier New"/>
        </w:rPr>
        <w:t xml:space="preserve">operating-expense </w:t>
      </w:r>
      <w:r w:rsidR="00435427">
        <w:rPr>
          <w:rFonts w:ascii="Courier New" w:hAnsi="Courier New" w:cs="Courier New"/>
        </w:rPr>
        <w:t>ratio</w:t>
      </w:r>
      <w:r w:rsidR="009B6E8F">
        <w:rPr>
          <w:rFonts w:ascii="Courier New" w:hAnsi="Courier New" w:cs="Courier New"/>
        </w:rPr>
        <w:t xml:space="preserve"> of </w:t>
      </w:r>
      <w:r w:rsidR="00435427">
        <w:rPr>
          <w:rFonts w:ascii="Courier New" w:hAnsi="Courier New" w:cs="Courier New"/>
        </w:rPr>
        <w:t>approximately</w:t>
      </w:r>
      <w:r w:rsidR="009B6E8F">
        <w:rPr>
          <w:rFonts w:ascii="Courier New" w:hAnsi="Courier New" w:cs="Courier New"/>
        </w:rPr>
        <w:t xml:space="preserve"> 45% and a reserves-for-replacement ratio of </w:t>
      </w:r>
      <w:r w:rsidR="00435427">
        <w:rPr>
          <w:rFonts w:ascii="Courier New" w:hAnsi="Courier New" w:cs="Courier New"/>
        </w:rPr>
        <w:t>approximately</w:t>
      </w:r>
      <w:r w:rsidR="009B6E8F">
        <w:rPr>
          <w:rFonts w:ascii="Courier New" w:hAnsi="Courier New" w:cs="Courier New"/>
        </w:rPr>
        <w:t xml:space="preserve"> 5% of effective gross income</w:t>
      </w:r>
      <w:r w:rsidR="00435427">
        <w:rPr>
          <w:rFonts w:ascii="Courier New" w:hAnsi="Courier New" w:cs="Courier New"/>
        </w:rPr>
        <w:t xml:space="preserve"> </w:t>
      </w:r>
      <w:r w:rsidR="009B6E8F">
        <w:rPr>
          <w:rFonts w:ascii="Courier New" w:hAnsi="Courier New" w:cs="Courier New"/>
        </w:rPr>
        <w:t>for both fiscal years at issue.</w:t>
      </w:r>
      <w:r w:rsidR="004E23EE">
        <w:rPr>
          <w:rFonts w:ascii="Courier New" w:hAnsi="Courier New" w:cs="Courier New"/>
        </w:rPr>
        <w:t xml:space="preserve">  </w:t>
      </w:r>
    </w:p>
    <w:p w14:paraId="687325D8" w14:textId="7B18ACEB" w:rsidR="00FE6BB2" w:rsidRDefault="00A4587A" w:rsidP="00E234A2">
      <w:pPr>
        <w:spacing w:line="480" w:lineRule="auto"/>
        <w:ind w:firstLine="720"/>
        <w:jc w:val="both"/>
        <w:rPr>
          <w:rFonts w:ascii="Courier New" w:hAnsi="Courier New" w:cs="Courier New"/>
        </w:rPr>
      </w:pPr>
      <w:r>
        <w:rPr>
          <w:rFonts w:ascii="Courier New" w:hAnsi="Courier New" w:cs="Courier New"/>
        </w:rPr>
        <w:t>In selecting the capitalization rate</w:t>
      </w:r>
      <w:r w:rsidR="004B16CA">
        <w:rPr>
          <w:rFonts w:ascii="Courier New" w:hAnsi="Courier New" w:cs="Courier New"/>
        </w:rPr>
        <w:t>s</w:t>
      </w:r>
      <w:r>
        <w:rPr>
          <w:rFonts w:ascii="Courier New" w:hAnsi="Courier New" w:cs="Courier New"/>
        </w:rPr>
        <w:t>,</w:t>
      </w:r>
      <w:r w:rsidR="00BC3B54">
        <w:rPr>
          <w:rFonts w:ascii="Courier New" w:hAnsi="Courier New" w:cs="Courier New"/>
        </w:rPr>
        <w:t xml:space="preserve"> the Board relied on the </w:t>
      </w:r>
      <w:r w:rsidR="00435427">
        <w:rPr>
          <w:rFonts w:ascii="Courier New" w:hAnsi="Courier New" w:cs="Courier New"/>
        </w:rPr>
        <w:t xml:space="preserve">similar </w:t>
      </w:r>
      <w:r w:rsidR="00A86A89">
        <w:rPr>
          <w:rFonts w:ascii="Courier New" w:hAnsi="Courier New" w:cs="Courier New"/>
        </w:rPr>
        <w:t>rates used in both parties’ analyses</w:t>
      </w:r>
      <w:r w:rsidR="00435427">
        <w:rPr>
          <w:rFonts w:ascii="Courier New" w:hAnsi="Courier New" w:cs="Courier New"/>
        </w:rPr>
        <w:t xml:space="preserve">, </w:t>
      </w:r>
      <w:r>
        <w:rPr>
          <w:rFonts w:ascii="Courier New" w:hAnsi="Courier New" w:cs="Courier New"/>
        </w:rPr>
        <w:t xml:space="preserve">as well as exercising its own judgment and adopted a 10% base capitalization rate, to which it added the applicable </w:t>
      </w:r>
      <w:r w:rsidR="00FE6BB2">
        <w:rPr>
          <w:rFonts w:ascii="Courier New" w:hAnsi="Courier New" w:cs="Courier New"/>
        </w:rPr>
        <w:t>pro-rata tax factor for both fiscal years at issue.</w:t>
      </w:r>
      <w:r w:rsidR="004121CB">
        <w:rPr>
          <w:rFonts w:ascii="Courier New" w:hAnsi="Courier New" w:cs="Courier New"/>
        </w:rPr>
        <w:t xml:space="preserve">  The Board thus arrived at a rounded fair market value</w:t>
      </w:r>
      <w:r w:rsidR="00223909" w:rsidRPr="00223909">
        <w:rPr>
          <w:rFonts w:ascii="Courier New" w:hAnsi="Courier New" w:cs="Courier New"/>
        </w:rPr>
        <w:t xml:space="preserve"> </w:t>
      </w:r>
      <w:r w:rsidR="00223909">
        <w:rPr>
          <w:rFonts w:ascii="Courier New" w:hAnsi="Courier New" w:cs="Courier New"/>
        </w:rPr>
        <w:t>for the subject mill</w:t>
      </w:r>
      <w:r w:rsidR="004121CB">
        <w:rPr>
          <w:rFonts w:ascii="Courier New" w:hAnsi="Courier New" w:cs="Courier New"/>
        </w:rPr>
        <w:t xml:space="preserve"> of $1,230,000 for fiscal </w:t>
      </w:r>
      <w:r w:rsidR="00F34622">
        <w:rPr>
          <w:rFonts w:ascii="Courier New" w:hAnsi="Courier New" w:cs="Courier New"/>
        </w:rPr>
        <w:t xml:space="preserve">year 2015 and of </w:t>
      </w:r>
      <w:r w:rsidR="00F34622" w:rsidRPr="00C60E3D">
        <w:rPr>
          <w:rFonts w:ascii="Courier New" w:hAnsi="Courier New" w:cs="Courier New"/>
        </w:rPr>
        <w:t>$1,15</w:t>
      </w:r>
      <w:r w:rsidR="00C60E3D" w:rsidRPr="00C60E3D">
        <w:rPr>
          <w:rFonts w:ascii="Courier New" w:hAnsi="Courier New" w:cs="Courier New"/>
        </w:rPr>
        <w:t>5</w:t>
      </w:r>
      <w:r w:rsidR="004121CB" w:rsidRPr="00C60E3D">
        <w:rPr>
          <w:rFonts w:ascii="Courier New" w:hAnsi="Courier New" w:cs="Courier New"/>
        </w:rPr>
        <w:t>,000</w:t>
      </w:r>
      <w:r w:rsidR="004121CB">
        <w:rPr>
          <w:rFonts w:ascii="Courier New" w:hAnsi="Courier New" w:cs="Courier New"/>
        </w:rPr>
        <w:t xml:space="preserve"> for fiscal year 2016.</w:t>
      </w:r>
      <w:r w:rsidR="00223909">
        <w:rPr>
          <w:rFonts w:ascii="Courier New" w:hAnsi="Courier New" w:cs="Courier New"/>
        </w:rPr>
        <w:t xml:space="preserve"> </w:t>
      </w:r>
      <w:r w:rsidR="00FE6BB2">
        <w:rPr>
          <w:rFonts w:ascii="Courier New" w:hAnsi="Courier New" w:cs="Courier New"/>
        </w:rPr>
        <w:t xml:space="preserve">  </w:t>
      </w:r>
    </w:p>
    <w:p w14:paraId="2CC4C32E" w14:textId="251A2E78" w:rsidR="003E2F92" w:rsidRPr="00B256C8" w:rsidRDefault="00C9265C" w:rsidP="00B256C8">
      <w:pPr>
        <w:spacing w:line="480" w:lineRule="auto"/>
        <w:ind w:firstLine="720"/>
        <w:jc w:val="both"/>
        <w:rPr>
          <w:rFonts w:ascii="Courier New" w:hAnsi="Courier New" w:cs="Courier New"/>
        </w:rPr>
      </w:pPr>
      <w:r w:rsidRPr="00C9265C">
        <w:rPr>
          <w:rFonts w:ascii="Courier New" w:hAnsi="Courier New" w:cs="Courier New"/>
        </w:rPr>
        <w:t>The Board next reviewed the assessments</w:t>
      </w:r>
      <w:r w:rsidR="00337850">
        <w:rPr>
          <w:rFonts w:ascii="Courier New" w:hAnsi="Courier New" w:cs="Courier New"/>
        </w:rPr>
        <w:t xml:space="preserve"> for the </w:t>
      </w:r>
      <w:r w:rsidR="004E59BF" w:rsidRPr="00C9265C">
        <w:rPr>
          <w:rFonts w:ascii="Courier New" w:hAnsi="Courier New" w:cs="Courier New"/>
        </w:rPr>
        <w:t>old p</w:t>
      </w:r>
      <w:r w:rsidRPr="00C9265C">
        <w:rPr>
          <w:rFonts w:ascii="Courier New" w:hAnsi="Courier New" w:cs="Courier New"/>
        </w:rPr>
        <w:t>owerhouse,</w:t>
      </w:r>
      <w:r w:rsidR="004E59BF" w:rsidRPr="00C9265C">
        <w:rPr>
          <w:rFonts w:ascii="Courier New" w:hAnsi="Courier New" w:cs="Courier New"/>
        </w:rPr>
        <w:t xml:space="preserve"> service garage</w:t>
      </w:r>
      <w:r>
        <w:rPr>
          <w:rFonts w:ascii="Courier New" w:hAnsi="Courier New" w:cs="Courier New"/>
        </w:rPr>
        <w:t xml:space="preserve">, and yard items.  </w:t>
      </w:r>
      <w:r w:rsidR="009C1E7C" w:rsidRPr="00700177">
        <w:rPr>
          <w:rFonts w:ascii="Courier New" w:hAnsi="Courier New" w:cs="Courier New"/>
        </w:rPr>
        <w:t xml:space="preserve">The appellant </w:t>
      </w:r>
      <w:r w:rsidR="009C1E7C" w:rsidRPr="00700177">
        <w:rPr>
          <w:rFonts w:ascii="Courier New" w:hAnsi="Courier New" w:cs="Courier New"/>
        </w:rPr>
        <w:lastRenderedPageBreak/>
        <w:t>did not present evidence to challenge those assessments.</w:t>
      </w:r>
      <w:r w:rsidR="009C1E7C">
        <w:rPr>
          <w:rFonts w:ascii="Courier New" w:hAnsi="Courier New" w:cs="Courier New"/>
        </w:rPr>
        <w:t xml:space="preserve">  </w:t>
      </w:r>
      <w:r w:rsidR="0002084C">
        <w:rPr>
          <w:rFonts w:ascii="Courier New" w:hAnsi="Courier New" w:cs="Courier New"/>
        </w:rPr>
        <w:t xml:space="preserve">For the </w:t>
      </w:r>
      <w:r w:rsidR="00BC3B54">
        <w:rPr>
          <w:rFonts w:ascii="Courier New" w:hAnsi="Courier New" w:cs="Courier New"/>
        </w:rPr>
        <w:t xml:space="preserve">old </w:t>
      </w:r>
      <w:r w:rsidR="0002084C">
        <w:rPr>
          <w:rFonts w:ascii="Courier New" w:hAnsi="Courier New" w:cs="Courier New"/>
        </w:rPr>
        <w:t>powerhouse, t</w:t>
      </w:r>
      <w:r>
        <w:rPr>
          <w:rFonts w:ascii="Courier New" w:hAnsi="Courier New" w:cs="Courier New"/>
        </w:rPr>
        <w:t xml:space="preserve">he Board </w:t>
      </w:r>
      <w:r w:rsidR="000B6323">
        <w:rPr>
          <w:rFonts w:ascii="Courier New" w:hAnsi="Courier New" w:cs="Courier New"/>
        </w:rPr>
        <w:t>adopted the appellee’</w:t>
      </w:r>
      <w:r w:rsidR="0048206B">
        <w:rPr>
          <w:rFonts w:ascii="Courier New" w:hAnsi="Courier New" w:cs="Courier New"/>
        </w:rPr>
        <w:t>s figures for rents</w:t>
      </w:r>
      <w:r w:rsidR="00420B0D">
        <w:rPr>
          <w:rFonts w:ascii="Courier New" w:hAnsi="Courier New" w:cs="Courier New"/>
        </w:rPr>
        <w:t xml:space="preserve"> and then applied the same vacancy</w:t>
      </w:r>
      <w:r w:rsidR="00150702">
        <w:rPr>
          <w:rFonts w:ascii="Courier New" w:hAnsi="Courier New" w:cs="Courier New"/>
        </w:rPr>
        <w:t>,</w:t>
      </w:r>
      <w:r w:rsidR="00420B0D">
        <w:rPr>
          <w:rFonts w:ascii="Courier New" w:hAnsi="Courier New" w:cs="Courier New"/>
        </w:rPr>
        <w:t xml:space="preserve"> operating-expense and reserves-for-replacement ratios as for the subject mill.</w:t>
      </w:r>
      <w:r w:rsidR="0048206B">
        <w:rPr>
          <w:rFonts w:ascii="Courier New" w:hAnsi="Courier New" w:cs="Courier New"/>
        </w:rPr>
        <w:t xml:space="preserve"> </w:t>
      </w:r>
      <w:r w:rsidR="00150702">
        <w:rPr>
          <w:rFonts w:ascii="Courier New" w:hAnsi="Courier New" w:cs="Courier New"/>
        </w:rPr>
        <w:t xml:space="preserve">The Board thus </w:t>
      </w:r>
      <w:r w:rsidR="008234CB">
        <w:rPr>
          <w:rFonts w:ascii="Courier New" w:hAnsi="Courier New" w:cs="Courier New"/>
        </w:rPr>
        <w:t>reach</w:t>
      </w:r>
      <w:r w:rsidR="00150702">
        <w:rPr>
          <w:rFonts w:ascii="Courier New" w:hAnsi="Courier New" w:cs="Courier New"/>
        </w:rPr>
        <w:t>ed</w:t>
      </w:r>
      <w:r w:rsidR="008234CB">
        <w:rPr>
          <w:rFonts w:ascii="Courier New" w:hAnsi="Courier New" w:cs="Courier New"/>
        </w:rPr>
        <w:t xml:space="preserve"> </w:t>
      </w:r>
      <w:r w:rsidR="00327F17">
        <w:rPr>
          <w:rFonts w:ascii="Courier New" w:hAnsi="Courier New" w:cs="Courier New"/>
        </w:rPr>
        <w:t>rounded fair market value</w:t>
      </w:r>
      <w:r w:rsidR="008234CB">
        <w:rPr>
          <w:rFonts w:ascii="Courier New" w:hAnsi="Courier New" w:cs="Courier New"/>
        </w:rPr>
        <w:t>s</w:t>
      </w:r>
      <w:r w:rsidR="00327F17">
        <w:rPr>
          <w:rFonts w:ascii="Courier New" w:hAnsi="Courier New" w:cs="Courier New"/>
        </w:rPr>
        <w:t xml:space="preserve"> of </w:t>
      </w:r>
      <w:r w:rsidR="00D41FC0">
        <w:rPr>
          <w:rFonts w:ascii="Courier New" w:hAnsi="Courier New" w:cs="Courier New"/>
        </w:rPr>
        <w:t>$64,</w:t>
      </w:r>
      <w:r w:rsidR="00F34622">
        <w:rPr>
          <w:rFonts w:ascii="Courier New" w:hAnsi="Courier New" w:cs="Courier New"/>
        </w:rPr>
        <w:t>0</w:t>
      </w:r>
      <w:r w:rsidR="00D41FC0">
        <w:rPr>
          <w:rFonts w:ascii="Courier New" w:hAnsi="Courier New" w:cs="Courier New"/>
        </w:rPr>
        <w:t xml:space="preserve">00 for fiscal year 2015 and </w:t>
      </w:r>
      <w:r w:rsidR="00F34622">
        <w:rPr>
          <w:rFonts w:ascii="Courier New" w:hAnsi="Courier New" w:cs="Courier New"/>
        </w:rPr>
        <w:t>$40,0</w:t>
      </w:r>
      <w:r w:rsidR="00327F17">
        <w:rPr>
          <w:rFonts w:ascii="Courier New" w:hAnsi="Courier New" w:cs="Courier New"/>
        </w:rPr>
        <w:t>00</w:t>
      </w:r>
      <w:r w:rsidR="008234CB">
        <w:rPr>
          <w:rFonts w:ascii="Courier New" w:hAnsi="Courier New" w:cs="Courier New"/>
        </w:rPr>
        <w:t xml:space="preserve"> for fiscal year 2016</w:t>
      </w:r>
      <w:r w:rsidR="00327F17">
        <w:rPr>
          <w:rFonts w:ascii="Courier New" w:hAnsi="Courier New" w:cs="Courier New"/>
        </w:rPr>
        <w:t>.  The</w:t>
      </w:r>
      <w:r w:rsidR="00E129E9">
        <w:rPr>
          <w:rFonts w:ascii="Courier New" w:hAnsi="Courier New" w:cs="Courier New"/>
        </w:rPr>
        <w:t xml:space="preserve"> Board found that the subject assessments for the service garage and yard items </w:t>
      </w:r>
      <w:r w:rsidR="006317D6">
        <w:rPr>
          <w:rFonts w:ascii="Courier New" w:hAnsi="Courier New" w:cs="Courier New"/>
        </w:rPr>
        <w:t>reflected those items’ fair cash values</w:t>
      </w:r>
      <w:r w:rsidR="00327F17">
        <w:rPr>
          <w:rFonts w:ascii="Courier New" w:hAnsi="Courier New" w:cs="Courier New"/>
        </w:rPr>
        <w:t xml:space="preserve"> and adopted those values</w:t>
      </w:r>
      <w:r w:rsidR="008234CB">
        <w:rPr>
          <w:rFonts w:ascii="Courier New" w:hAnsi="Courier New" w:cs="Courier New"/>
        </w:rPr>
        <w:t xml:space="preserve"> for both fiscal years at issue</w:t>
      </w:r>
      <w:r w:rsidR="006317D6">
        <w:rPr>
          <w:rFonts w:ascii="Courier New" w:hAnsi="Courier New" w:cs="Courier New"/>
        </w:rPr>
        <w:t>.</w:t>
      </w:r>
      <w:r w:rsidR="006D0928">
        <w:rPr>
          <w:rFonts w:ascii="Courier New" w:hAnsi="Courier New" w:cs="Courier New"/>
        </w:rPr>
        <w:t xml:space="preserve"> </w:t>
      </w:r>
      <w:r w:rsidR="00337850">
        <w:rPr>
          <w:rFonts w:ascii="Courier New" w:hAnsi="Courier New" w:cs="Courier New"/>
        </w:rPr>
        <w:t xml:space="preserve"> </w:t>
      </w:r>
      <w:r w:rsidR="00171788">
        <w:rPr>
          <w:rFonts w:ascii="Courier New" w:hAnsi="Courier New" w:cs="Courier New"/>
          <w:sz w:val="20"/>
          <w:szCs w:val="20"/>
        </w:rPr>
        <w:tab/>
      </w:r>
    </w:p>
    <w:p w14:paraId="2BC5E7ED" w14:textId="78757FE4" w:rsidR="008E3BD5" w:rsidRDefault="00B256C8" w:rsidP="00E234A2">
      <w:pPr>
        <w:spacing w:line="480" w:lineRule="auto"/>
        <w:ind w:firstLine="720"/>
        <w:jc w:val="both"/>
        <w:rPr>
          <w:rFonts w:ascii="Courier New" w:hAnsi="Courier New" w:cs="Courier New"/>
        </w:rPr>
      </w:pPr>
      <w:r>
        <w:rPr>
          <w:rFonts w:ascii="Courier New" w:hAnsi="Courier New" w:cs="Courier New"/>
        </w:rPr>
        <w:t>The Board’s</w:t>
      </w:r>
      <w:r w:rsidR="00FE6BB2">
        <w:rPr>
          <w:rFonts w:ascii="Courier New" w:hAnsi="Courier New" w:cs="Courier New"/>
        </w:rPr>
        <w:t xml:space="preserve"> findings resulted in roun</w:t>
      </w:r>
      <w:r w:rsidR="008234CB">
        <w:rPr>
          <w:rFonts w:ascii="Courier New" w:hAnsi="Courier New" w:cs="Courier New"/>
        </w:rPr>
        <w:t>ded fair market values of $1,36</w:t>
      </w:r>
      <w:r w:rsidR="00F34622">
        <w:rPr>
          <w:rFonts w:ascii="Courier New" w:hAnsi="Courier New" w:cs="Courier New"/>
        </w:rPr>
        <w:t>0</w:t>
      </w:r>
      <w:r w:rsidR="008234CB">
        <w:rPr>
          <w:rFonts w:ascii="Courier New" w:hAnsi="Courier New" w:cs="Courier New"/>
        </w:rPr>
        <w:t>,</w:t>
      </w:r>
      <w:r w:rsidR="00F34622">
        <w:rPr>
          <w:rFonts w:ascii="Courier New" w:hAnsi="Courier New" w:cs="Courier New"/>
        </w:rPr>
        <w:t>9</w:t>
      </w:r>
      <w:r w:rsidR="00FE6BB2">
        <w:rPr>
          <w:rFonts w:ascii="Courier New" w:hAnsi="Courier New" w:cs="Courier New"/>
        </w:rPr>
        <w:t>00</w:t>
      </w:r>
      <w:r w:rsidR="00171788">
        <w:rPr>
          <w:rFonts w:ascii="Courier New" w:hAnsi="Courier New" w:cs="Courier New"/>
        </w:rPr>
        <w:t xml:space="preserve"> for fiscal year 2015</w:t>
      </w:r>
      <w:r w:rsidR="008234CB">
        <w:rPr>
          <w:rFonts w:ascii="Courier New" w:hAnsi="Courier New" w:cs="Courier New"/>
        </w:rPr>
        <w:t xml:space="preserve"> and $1,24</w:t>
      </w:r>
      <w:r w:rsidR="00F34622">
        <w:rPr>
          <w:rFonts w:ascii="Courier New" w:hAnsi="Courier New" w:cs="Courier New"/>
        </w:rPr>
        <w:t>5</w:t>
      </w:r>
      <w:r w:rsidR="008234CB">
        <w:rPr>
          <w:rFonts w:ascii="Courier New" w:hAnsi="Courier New" w:cs="Courier New"/>
        </w:rPr>
        <w:t>,</w:t>
      </w:r>
      <w:r w:rsidR="00F34622">
        <w:rPr>
          <w:rFonts w:ascii="Courier New" w:hAnsi="Courier New" w:cs="Courier New"/>
        </w:rPr>
        <w:t>2</w:t>
      </w:r>
      <w:r w:rsidR="00FE6BB2">
        <w:rPr>
          <w:rFonts w:ascii="Courier New" w:hAnsi="Courier New" w:cs="Courier New"/>
        </w:rPr>
        <w:t xml:space="preserve">00 for fiscal year 2016.  These figures were less than the </w:t>
      </w:r>
      <w:r w:rsidR="00934064">
        <w:rPr>
          <w:rFonts w:ascii="Courier New" w:hAnsi="Courier New" w:cs="Courier New"/>
        </w:rPr>
        <w:t xml:space="preserve">subject </w:t>
      </w:r>
      <w:r w:rsidR="00FE6BB2">
        <w:rPr>
          <w:rFonts w:ascii="Courier New" w:hAnsi="Courier New" w:cs="Courier New"/>
        </w:rPr>
        <w:t>a</w:t>
      </w:r>
      <w:r w:rsidR="00934064">
        <w:rPr>
          <w:rFonts w:ascii="Courier New" w:hAnsi="Courier New" w:cs="Courier New"/>
        </w:rPr>
        <w:t>ssessments</w:t>
      </w:r>
      <w:r w:rsidR="00FE6BB2">
        <w:rPr>
          <w:rFonts w:ascii="Courier New" w:hAnsi="Courier New" w:cs="Courier New"/>
        </w:rPr>
        <w:t xml:space="preserve"> for both fiscal years at issue.  </w:t>
      </w:r>
    </w:p>
    <w:p w14:paraId="5593A121" w14:textId="1B814F2D" w:rsidR="00A4587A" w:rsidRDefault="008E3BD5" w:rsidP="00E234A2">
      <w:pPr>
        <w:spacing w:line="480" w:lineRule="auto"/>
        <w:ind w:firstLine="720"/>
        <w:jc w:val="both"/>
        <w:rPr>
          <w:rFonts w:ascii="Courier New" w:hAnsi="Courier New" w:cs="Courier New"/>
        </w:rPr>
      </w:pPr>
      <w:r>
        <w:rPr>
          <w:rFonts w:ascii="Courier New" w:hAnsi="Courier New" w:cs="Courier New"/>
        </w:rPr>
        <w:t>On this basis, the Board found and ruled that the appellant met i</w:t>
      </w:r>
      <w:r w:rsidR="002F63B0">
        <w:rPr>
          <w:rFonts w:ascii="Courier New" w:hAnsi="Courier New" w:cs="Courier New"/>
        </w:rPr>
        <w:t>t</w:t>
      </w:r>
      <w:r>
        <w:rPr>
          <w:rFonts w:ascii="Courier New" w:hAnsi="Courier New" w:cs="Courier New"/>
        </w:rPr>
        <w:t xml:space="preserve">s burden of proving that the subject property was overvalued for both fiscal years at issue.  </w:t>
      </w:r>
      <w:r w:rsidR="00223909">
        <w:rPr>
          <w:rFonts w:ascii="Courier New" w:hAnsi="Courier New" w:cs="Courier New"/>
        </w:rPr>
        <w:t xml:space="preserve">Accordingly, the Board issued </w:t>
      </w:r>
      <w:r w:rsidR="00150702">
        <w:rPr>
          <w:rFonts w:ascii="Courier New" w:hAnsi="Courier New" w:cs="Courier New"/>
        </w:rPr>
        <w:t xml:space="preserve">a </w:t>
      </w:r>
      <w:r>
        <w:rPr>
          <w:rFonts w:ascii="Courier New" w:hAnsi="Courier New" w:cs="Courier New"/>
        </w:rPr>
        <w:t xml:space="preserve">decision for the appellant and ordered </w:t>
      </w:r>
      <w:r w:rsidR="00150702">
        <w:rPr>
          <w:rFonts w:ascii="Courier New" w:hAnsi="Courier New" w:cs="Courier New"/>
        </w:rPr>
        <w:t xml:space="preserve">an </w:t>
      </w:r>
      <w:r>
        <w:rPr>
          <w:rFonts w:ascii="Courier New" w:hAnsi="Courier New" w:cs="Courier New"/>
        </w:rPr>
        <w:t xml:space="preserve">abatement of </w:t>
      </w:r>
      <w:r w:rsidR="00171788">
        <w:rPr>
          <w:rFonts w:ascii="Courier New" w:hAnsi="Courier New" w:cs="Courier New"/>
        </w:rPr>
        <w:t xml:space="preserve">taxes </w:t>
      </w:r>
      <w:r w:rsidR="00150702">
        <w:rPr>
          <w:rFonts w:ascii="Courier New" w:hAnsi="Courier New" w:cs="Courier New"/>
        </w:rPr>
        <w:t>in the amount of</w:t>
      </w:r>
      <w:r w:rsidR="00171788">
        <w:rPr>
          <w:rFonts w:ascii="Courier New" w:hAnsi="Courier New" w:cs="Courier New"/>
        </w:rPr>
        <w:t xml:space="preserve"> </w:t>
      </w:r>
      <w:r w:rsidR="003D7EED" w:rsidRPr="00F3783E">
        <w:rPr>
          <w:rFonts w:ascii="Courier New" w:hAnsi="Courier New" w:cs="Courier New"/>
        </w:rPr>
        <w:t>$</w:t>
      </w:r>
      <w:r w:rsidR="003D7EED">
        <w:rPr>
          <w:rFonts w:ascii="Courier New" w:hAnsi="Courier New" w:cs="Courier New"/>
        </w:rPr>
        <w:t>7,665.50</w:t>
      </w:r>
      <w:r>
        <w:rPr>
          <w:rFonts w:ascii="Courier New" w:hAnsi="Courier New" w:cs="Courier New"/>
        </w:rPr>
        <w:t xml:space="preserve"> for fiscal year 2015 and </w:t>
      </w:r>
      <w:r w:rsidR="00F3783E" w:rsidRPr="00F3783E">
        <w:rPr>
          <w:rFonts w:ascii="Courier New" w:hAnsi="Courier New" w:cs="Courier New"/>
        </w:rPr>
        <w:t>$</w:t>
      </w:r>
      <w:r w:rsidR="00F3783E">
        <w:rPr>
          <w:rFonts w:ascii="Courier New" w:hAnsi="Courier New" w:cs="Courier New"/>
        </w:rPr>
        <w:t>8,506.26</w:t>
      </w:r>
      <w:r>
        <w:rPr>
          <w:rFonts w:ascii="Courier New" w:hAnsi="Courier New" w:cs="Courier New"/>
        </w:rPr>
        <w:t xml:space="preserve"> for fiscal year 2016.</w:t>
      </w:r>
      <w:r w:rsidR="00FE6BB2">
        <w:rPr>
          <w:rFonts w:ascii="Courier New" w:hAnsi="Courier New" w:cs="Courier New"/>
        </w:rPr>
        <w:t xml:space="preserve"> </w:t>
      </w:r>
    </w:p>
    <w:p w14:paraId="2471DAF0" w14:textId="77777777" w:rsidR="008E3BD5" w:rsidRDefault="008E3BD5" w:rsidP="00E234A2">
      <w:pPr>
        <w:spacing w:line="480" w:lineRule="auto"/>
        <w:ind w:firstLine="720"/>
        <w:jc w:val="both"/>
        <w:rPr>
          <w:rFonts w:ascii="Courier New" w:hAnsi="Courier New" w:cs="Courier New"/>
        </w:rPr>
      </w:pPr>
    </w:p>
    <w:p w14:paraId="7CAE9C31" w14:textId="77777777" w:rsidR="00435427" w:rsidRDefault="00435427" w:rsidP="00E91EA3">
      <w:pPr>
        <w:spacing w:line="480" w:lineRule="auto"/>
        <w:jc w:val="center"/>
        <w:rPr>
          <w:rFonts w:ascii="Courier New" w:hAnsi="Courier New" w:cs="Courier New"/>
          <w:b/>
        </w:rPr>
      </w:pPr>
    </w:p>
    <w:p w14:paraId="51AB087F" w14:textId="77777777" w:rsidR="00435427" w:rsidRDefault="00435427" w:rsidP="00E91EA3">
      <w:pPr>
        <w:spacing w:line="480" w:lineRule="auto"/>
        <w:jc w:val="center"/>
        <w:rPr>
          <w:rFonts w:ascii="Courier New" w:hAnsi="Courier New" w:cs="Courier New"/>
          <w:b/>
        </w:rPr>
      </w:pPr>
    </w:p>
    <w:p w14:paraId="4DB58EE7" w14:textId="7D6288B7" w:rsidR="005D3C56" w:rsidRPr="00E91EA3" w:rsidRDefault="00E91EA3" w:rsidP="00E91EA3">
      <w:pPr>
        <w:spacing w:line="480" w:lineRule="auto"/>
        <w:jc w:val="center"/>
        <w:rPr>
          <w:rFonts w:ascii="Courier New" w:hAnsi="Courier New" w:cs="Courier New"/>
          <w:b/>
        </w:rPr>
      </w:pPr>
      <w:r w:rsidRPr="00E91EA3">
        <w:rPr>
          <w:rFonts w:ascii="Courier New" w:hAnsi="Courier New" w:cs="Courier New"/>
          <w:b/>
        </w:rPr>
        <w:lastRenderedPageBreak/>
        <w:t>OPINION</w:t>
      </w:r>
    </w:p>
    <w:p w14:paraId="2ABF9D85" w14:textId="77777777" w:rsidR="004360D6" w:rsidRPr="009F344E" w:rsidRDefault="004360D6" w:rsidP="004360D6">
      <w:pPr>
        <w:spacing w:line="480" w:lineRule="auto"/>
        <w:ind w:firstLine="720"/>
        <w:jc w:val="both"/>
        <w:rPr>
          <w:rFonts w:ascii="Courier New" w:hAnsi="Courier New" w:cs="Courier New"/>
        </w:rPr>
      </w:pPr>
      <w:r w:rsidRPr="009F344E">
        <w:rPr>
          <w:rFonts w:ascii="Courier New" w:hAnsi="Courier New" w:cs="Courier New"/>
        </w:rPr>
        <w:t xml:space="preserve">The assessors are required to assess real estate at its fair cash value.  G.L. c. 59, § 38.  Fair cash value is defined as the price on which a willing seller and a willing buyer in a free and open market will agree if both of them are fully informed and under no compulsion.  </w:t>
      </w:r>
      <w:r w:rsidRPr="009F344E">
        <w:rPr>
          <w:rFonts w:ascii="Courier New" w:hAnsi="Courier New" w:cs="Courier New"/>
          <w:b/>
          <w:bCs/>
          <w:i/>
          <w:iCs/>
        </w:rPr>
        <w:t>Boston Gas Co. v. Assessors of Boston</w:t>
      </w:r>
      <w:r w:rsidRPr="009F344E">
        <w:rPr>
          <w:rFonts w:ascii="Courier New" w:hAnsi="Courier New" w:cs="Courier New"/>
        </w:rPr>
        <w:t>, 334 Mass. 549, 566 (1956).</w:t>
      </w:r>
    </w:p>
    <w:p w14:paraId="140ABE6D" w14:textId="64C49C44" w:rsidR="004360D6" w:rsidRDefault="004360D6" w:rsidP="004360D6">
      <w:pPr>
        <w:spacing w:line="480" w:lineRule="auto"/>
        <w:ind w:firstLine="720"/>
        <w:jc w:val="both"/>
        <w:rPr>
          <w:rFonts w:ascii="Courier New" w:hAnsi="Courier New" w:cs="Courier New"/>
        </w:rPr>
      </w:pPr>
      <w:r w:rsidRPr="009F344E">
        <w:rPr>
          <w:rFonts w:ascii="Courier New" w:hAnsi="Courier New" w:cs="Courier New"/>
        </w:rPr>
        <w:t>“‘The burden of</w:t>
      </w:r>
      <w:r>
        <w:rPr>
          <w:rFonts w:ascii="Courier New" w:hAnsi="Courier New" w:cs="Courier New"/>
        </w:rPr>
        <w:t xml:space="preserve"> proof is upon the petitioner to make out its</w:t>
      </w:r>
      <w:r w:rsidRPr="009F344E">
        <w:rPr>
          <w:rFonts w:ascii="Courier New" w:hAnsi="Courier New" w:cs="Courier New"/>
        </w:rPr>
        <w:t xml:space="preserve"> right as [a] matter of law to [an] abatement of the tax.’”</w:t>
      </w:r>
      <w:r>
        <w:rPr>
          <w:rFonts w:ascii="Courier New" w:hAnsi="Courier New" w:cs="Courier New"/>
        </w:rPr>
        <w:t xml:space="preserve"> </w:t>
      </w:r>
      <w:r w:rsidRPr="009F344E">
        <w:rPr>
          <w:rFonts w:ascii="Courier New" w:hAnsi="Courier New" w:cs="Courier New"/>
          <w:b/>
          <w:bCs/>
          <w:i/>
          <w:iCs/>
        </w:rPr>
        <w:t>Schlaiker v. Assessors of Great Barrington</w:t>
      </w:r>
      <w:r w:rsidRPr="009F344E">
        <w:rPr>
          <w:rFonts w:ascii="Courier New" w:hAnsi="Courier New" w:cs="Courier New"/>
        </w:rPr>
        <w:t>, 365</w:t>
      </w:r>
      <w:r w:rsidR="00CB7524">
        <w:rPr>
          <w:rFonts w:ascii="Courier New" w:hAnsi="Courier New" w:cs="Courier New"/>
        </w:rPr>
        <w:t> </w:t>
      </w:r>
      <w:r w:rsidRPr="009F344E">
        <w:rPr>
          <w:rFonts w:ascii="Courier New" w:hAnsi="Courier New" w:cs="Courier New"/>
        </w:rPr>
        <w:t>Mass.</w:t>
      </w:r>
      <w:r w:rsidR="00CB7524">
        <w:rPr>
          <w:rFonts w:ascii="Courier New" w:hAnsi="Courier New" w:cs="Courier New"/>
        </w:rPr>
        <w:t> 243, </w:t>
      </w:r>
      <w:r w:rsidRPr="009F344E">
        <w:rPr>
          <w:rFonts w:ascii="Courier New" w:hAnsi="Courier New" w:cs="Courier New"/>
        </w:rPr>
        <w:t>245</w:t>
      </w:r>
      <w:r w:rsidR="00CB7524">
        <w:rPr>
          <w:rFonts w:ascii="Courier New" w:hAnsi="Courier New" w:cs="Courier New"/>
        </w:rPr>
        <w:t> </w:t>
      </w:r>
      <w:r w:rsidRPr="009F344E">
        <w:rPr>
          <w:rFonts w:ascii="Courier New" w:hAnsi="Courier New" w:cs="Courier New"/>
        </w:rPr>
        <w:t xml:space="preserve">(1974)(quoting </w:t>
      </w:r>
      <w:r w:rsidRPr="009F344E">
        <w:rPr>
          <w:rFonts w:ascii="Courier New" w:hAnsi="Courier New" w:cs="Courier New"/>
          <w:b/>
          <w:bCs/>
          <w:i/>
          <w:iCs/>
        </w:rPr>
        <w:t>Judson Freight Forwarding Co. v. Commonwealth</w:t>
      </w:r>
      <w:r w:rsidRPr="009F344E">
        <w:rPr>
          <w:rFonts w:ascii="Courier New" w:hAnsi="Courier New" w:cs="Courier New"/>
        </w:rPr>
        <w:t>, 242 Mass. 47, 55 (1922)).</w:t>
      </w:r>
      <w:r>
        <w:rPr>
          <w:rFonts w:ascii="Courier New" w:hAnsi="Courier New" w:cs="Courier New"/>
        </w:rPr>
        <w:t xml:space="preserve"> </w:t>
      </w:r>
      <w:r w:rsidRPr="009F344E">
        <w:rPr>
          <w:rFonts w:ascii="Courier New" w:hAnsi="Courier New" w:cs="Courier New"/>
        </w:rPr>
        <w:t xml:space="preserve"> </w:t>
      </w:r>
      <w:r>
        <w:rPr>
          <w:rFonts w:ascii="Courier New" w:hAnsi="Courier New"/>
        </w:rPr>
        <w:t xml:space="preserve">In appeals before this Board, a taxpayer “may present persuasive evidence of overvaluation either by exposing flaws or errors in the assessors’ method of valuation, or by introducing affirmative evidence of value which undermines the assessors’ valuation.”  </w:t>
      </w:r>
      <w:r>
        <w:rPr>
          <w:rFonts w:ascii="Courier New" w:hAnsi="Courier New"/>
          <w:b/>
          <w:i/>
        </w:rPr>
        <w:t>General Electric Co. v. Assessors of Lynn</w:t>
      </w:r>
      <w:r>
        <w:rPr>
          <w:rFonts w:ascii="Courier New" w:hAnsi="Courier New"/>
        </w:rPr>
        <w:t>, 393 Mass. 591, 600 (1984) (</w:t>
      </w:r>
      <w:r w:rsidRPr="00E63BD6">
        <w:rPr>
          <w:rFonts w:ascii="Courier New" w:hAnsi="Courier New"/>
        </w:rPr>
        <w:t>quoting</w:t>
      </w:r>
      <w:r>
        <w:rPr>
          <w:rFonts w:ascii="Courier New" w:hAnsi="Courier New"/>
          <w:i/>
        </w:rPr>
        <w:t xml:space="preserve"> </w:t>
      </w:r>
      <w:r>
        <w:rPr>
          <w:rFonts w:ascii="Courier New" w:hAnsi="Courier New"/>
          <w:b/>
          <w:i/>
        </w:rPr>
        <w:t>Donlon v. Assessors of Holliston</w:t>
      </w:r>
      <w:r>
        <w:rPr>
          <w:rFonts w:ascii="Courier New" w:hAnsi="Courier New"/>
        </w:rPr>
        <w:t xml:space="preserve">, 389 Mass. 848, 855 (1983)).  </w:t>
      </w:r>
      <w:r w:rsidRPr="009F344E">
        <w:rPr>
          <w:rFonts w:ascii="Courier New" w:hAnsi="Courier New" w:cs="Courier New"/>
        </w:rPr>
        <w:t xml:space="preserve">“[T]he board is entitled to ‘presume that the valuation made by the assessors [is] valid unless the taxpayers . . . prov[e] the contrary.’” </w:t>
      </w:r>
      <w:r w:rsidRPr="009F344E">
        <w:rPr>
          <w:rFonts w:ascii="Courier New" w:hAnsi="Courier New" w:cs="Courier New"/>
          <w:b/>
          <w:bCs/>
          <w:i/>
          <w:iCs/>
        </w:rPr>
        <w:t>General E</w:t>
      </w:r>
      <w:r>
        <w:rPr>
          <w:rFonts w:ascii="Courier New" w:hAnsi="Courier New" w:cs="Courier New"/>
          <w:b/>
          <w:bCs/>
          <w:i/>
          <w:iCs/>
        </w:rPr>
        <w:t>lectric Co.</w:t>
      </w:r>
      <w:r w:rsidRPr="009F344E">
        <w:rPr>
          <w:rFonts w:ascii="Courier New" w:hAnsi="Courier New" w:cs="Courier New"/>
        </w:rPr>
        <w:t>, 393</w:t>
      </w:r>
      <w:r w:rsidR="00150702">
        <w:rPr>
          <w:rFonts w:ascii="Courier New" w:hAnsi="Courier New" w:cs="Courier New"/>
        </w:rPr>
        <w:t xml:space="preserve"> </w:t>
      </w:r>
      <w:r>
        <w:rPr>
          <w:rFonts w:ascii="Courier New" w:hAnsi="Courier New" w:cs="Courier New"/>
        </w:rPr>
        <w:t>Mass. at 598</w:t>
      </w:r>
      <w:r w:rsidRPr="009F344E">
        <w:rPr>
          <w:rFonts w:ascii="Courier New" w:hAnsi="Courier New" w:cs="Courier New"/>
        </w:rPr>
        <w:t xml:space="preserve"> (quoting </w:t>
      </w:r>
      <w:r w:rsidRPr="009F344E">
        <w:rPr>
          <w:rFonts w:ascii="Courier New" w:hAnsi="Courier New" w:cs="Courier New"/>
          <w:b/>
          <w:bCs/>
          <w:i/>
          <w:iCs/>
        </w:rPr>
        <w:t>Schlaiker</w:t>
      </w:r>
      <w:r w:rsidRPr="009F344E">
        <w:rPr>
          <w:rFonts w:ascii="Courier New" w:hAnsi="Courier New" w:cs="Courier New"/>
        </w:rPr>
        <w:t xml:space="preserve">, 365 Mass. at 245). </w:t>
      </w:r>
    </w:p>
    <w:p w14:paraId="7B381D88" w14:textId="3361EF4C" w:rsidR="004360D6" w:rsidRDefault="004360D6" w:rsidP="004360D6">
      <w:pPr>
        <w:spacing w:line="480" w:lineRule="auto"/>
        <w:ind w:firstLine="720"/>
        <w:jc w:val="both"/>
        <w:rPr>
          <w:rFonts w:ascii="Courier New" w:hAnsi="Courier New" w:cs="Courier New"/>
        </w:rPr>
      </w:pPr>
      <w:r>
        <w:rPr>
          <w:rFonts w:ascii="Courier New" w:hAnsi="Courier New" w:cs="Courier New"/>
        </w:rPr>
        <w:lastRenderedPageBreak/>
        <w:t>“</w:t>
      </w:r>
      <w:r w:rsidRPr="005F68E3">
        <w:rPr>
          <w:rFonts w:ascii="Courier New" w:hAnsi="Courier New" w:cs="Courier New"/>
        </w:rPr>
        <w:t xml:space="preserve">Prior to </w:t>
      </w:r>
      <w:r>
        <w:rPr>
          <w:rFonts w:ascii="Courier New" w:hAnsi="Courier New" w:cs="Courier New"/>
        </w:rPr>
        <w:t>valuing the subject property</w:t>
      </w:r>
      <w:r w:rsidRPr="005F68E3">
        <w:rPr>
          <w:rFonts w:ascii="Courier New" w:hAnsi="Courier New" w:cs="Courier New"/>
        </w:rPr>
        <w:t xml:space="preserve">, </w:t>
      </w:r>
      <w:r>
        <w:rPr>
          <w:rFonts w:ascii="Courier New" w:hAnsi="Courier New" w:cs="Courier New"/>
        </w:rPr>
        <w:t>its</w:t>
      </w:r>
      <w:r w:rsidRPr="005F68E3">
        <w:rPr>
          <w:rFonts w:ascii="Courier New" w:hAnsi="Courier New" w:cs="Courier New"/>
        </w:rPr>
        <w:t xml:space="preserve"> </w:t>
      </w:r>
      <w:r w:rsidRPr="00D1393B">
        <w:rPr>
          <w:rStyle w:val="term1"/>
          <w:rFonts w:ascii="Courier New" w:hAnsi="Courier New" w:cs="Courier New"/>
          <w:b w:val="0"/>
        </w:rPr>
        <w:t>highest and best</w:t>
      </w:r>
      <w:r w:rsidRPr="005F68E3">
        <w:rPr>
          <w:rFonts w:ascii="Courier New" w:hAnsi="Courier New" w:cs="Courier New"/>
        </w:rPr>
        <w:t xml:space="preserve"> use must be ascertained, which has been defined as the use for which the property would bring the most.</w:t>
      </w:r>
      <w:r>
        <w:rPr>
          <w:rFonts w:ascii="Courier New" w:hAnsi="Courier New" w:cs="Courier New"/>
        </w:rPr>
        <w:t xml:space="preserve">”  </w:t>
      </w:r>
      <w:r w:rsidRPr="005F68E3">
        <w:rPr>
          <w:rFonts w:ascii="Courier New" w:hAnsi="Courier New" w:cs="Courier New"/>
          <w:b/>
          <w:bCs/>
          <w:i/>
          <w:iCs/>
        </w:rPr>
        <w:t>Tennessee Gas Pipeline Co. v. Assessors of Agawam</w:t>
      </w:r>
      <w:r w:rsidRPr="005F68E3">
        <w:rPr>
          <w:rFonts w:ascii="Courier New" w:hAnsi="Courier New" w:cs="Courier New"/>
        </w:rPr>
        <w:t xml:space="preserve">, </w:t>
      </w:r>
      <w:r>
        <w:rPr>
          <w:rFonts w:ascii="Courier New" w:hAnsi="Courier New" w:cs="Courier New"/>
        </w:rPr>
        <w:t xml:space="preserve">Mass. ATB Findings of Fact and Reports 2000-859, 875 </w:t>
      </w:r>
      <w:r w:rsidRPr="005F68E3">
        <w:rPr>
          <w:rFonts w:ascii="Courier New" w:hAnsi="Courier New" w:cs="Courier New"/>
        </w:rPr>
        <w:t xml:space="preserve">(citing </w:t>
      </w:r>
      <w:hyperlink r:id="rId8" w:tgtFrame="_parent" w:history="1">
        <w:r w:rsidRPr="005F68E3">
          <w:rPr>
            <w:rFonts w:ascii="Courier New" w:hAnsi="Courier New" w:cs="Courier New"/>
            <w:b/>
            <w:bCs/>
            <w:i/>
            <w:iCs/>
            <w:color w:val="000000"/>
          </w:rPr>
          <w:t>Conness v. Commonwealth</w:t>
        </w:r>
        <w:r w:rsidRPr="005F68E3">
          <w:rPr>
            <w:rFonts w:ascii="Courier New" w:hAnsi="Courier New" w:cs="Courier New"/>
            <w:color w:val="000000"/>
          </w:rPr>
          <w:t>, 184 Mass. 541, 542-43 (1903)</w:t>
        </w:r>
        <w:r>
          <w:rPr>
            <w:rFonts w:ascii="Courier New" w:hAnsi="Courier New" w:cs="Courier New"/>
            <w:color w:val="000000"/>
          </w:rPr>
          <w:t xml:space="preserve"> and </w:t>
        </w:r>
      </w:hyperlink>
      <w:r w:rsidRPr="005F68E3">
        <w:rPr>
          <w:rFonts w:ascii="Courier New" w:hAnsi="Courier New" w:cs="Courier New"/>
          <w:color w:val="000000"/>
        </w:rPr>
        <w:t xml:space="preserve"> </w:t>
      </w:r>
      <w:hyperlink r:id="rId9" w:tgtFrame="_parent" w:history="1">
        <w:r w:rsidRPr="005F68E3">
          <w:rPr>
            <w:rFonts w:ascii="Courier New" w:hAnsi="Courier New" w:cs="Courier New"/>
            <w:b/>
            <w:bCs/>
            <w:i/>
            <w:iCs/>
            <w:color w:val="000000"/>
          </w:rPr>
          <w:t>Irving Saunders Trust v. Assessors of Boston</w:t>
        </w:r>
        <w:r w:rsidRPr="005F68E3">
          <w:rPr>
            <w:rFonts w:ascii="Courier New" w:hAnsi="Courier New" w:cs="Courier New"/>
            <w:color w:val="000000"/>
          </w:rPr>
          <w:t>, 26 Mass. App. Ct. 838, 843 (1989)</w:t>
        </w:r>
      </w:hyperlink>
      <w:r w:rsidRPr="005F68E3">
        <w:rPr>
          <w:rFonts w:ascii="Courier New" w:hAnsi="Courier New" w:cs="Courier New"/>
        </w:rPr>
        <w:t xml:space="preserve"> and the cases cited therein). </w:t>
      </w:r>
      <w:r>
        <w:rPr>
          <w:rFonts w:ascii="Courier New" w:hAnsi="Courier New" w:cs="Courier New"/>
        </w:rPr>
        <w:t>A property’</w:t>
      </w:r>
      <w:r w:rsidRPr="005F68E3">
        <w:rPr>
          <w:rFonts w:ascii="Courier New" w:hAnsi="Courier New" w:cs="Courier New"/>
        </w:rPr>
        <w:t xml:space="preserve">s </w:t>
      </w:r>
      <w:r w:rsidRPr="004360D6">
        <w:rPr>
          <w:rStyle w:val="term1"/>
          <w:rFonts w:ascii="Courier New" w:hAnsi="Courier New" w:cs="Courier New"/>
          <w:b w:val="0"/>
        </w:rPr>
        <w:t>highest and best</w:t>
      </w:r>
      <w:r w:rsidRPr="005F68E3">
        <w:rPr>
          <w:rFonts w:ascii="Courier New" w:hAnsi="Courier New" w:cs="Courier New"/>
        </w:rPr>
        <w:t xml:space="preserve"> use must be legally permissible, physically possible, financially feasible, and maximally productive. </w:t>
      </w:r>
      <w:r w:rsidRPr="008B16F9">
        <w:rPr>
          <w:rFonts w:ascii="Courier New" w:hAnsi="Courier New" w:cs="Courier New"/>
          <w:smallCaps/>
        </w:rPr>
        <w:t>A</w:t>
      </w:r>
      <w:r>
        <w:rPr>
          <w:rFonts w:ascii="Courier New" w:hAnsi="Courier New" w:cs="Courier New"/>
          <w:smallCaps/>
        </w:rPr>
        <w:t xml:space="preserve">ppraisal </w:t>
      </w:r>
      <w:r w:rsidRPr="008B16F9">
        <w:rPr>
          <w:rFonts w:ascii="Courier New" w:hAnsi="Courier New" w:cs="Courier New"/>
          <w:smallCaps/>
        </w:rPr>
        <w:t>I</w:t>
      </w:r>
      <w:r>
        <w:rPr>
          <w:rFonts w:ascii="Courier New" w:hAnsi="Courier New" w:cs="Courier New"/>
          <w:smallCaps/>
        </w:rPr>
        <w:t>nstitute</w:t>
      </w:r>
      <w:r w:rsidRPr="008B16F9">
        <w:rPr>
          <w:rFonts w:ascii="Courier New" w:hAnsi="Courier New" w:cs="Courier New"/>
          <w:smallCaps/>
        </w:rPr>
        <w:t>, T</w:t>
      </w:r>
      <w:r>
        <w:rPr>
          <w:rFonts w:ascii="Courier New" w:hAnsi="Courier New" w:cs="Courier New"/>
          <w:smallCaps/>
        </w:rPr>
        <w:t xml:space="preserve">he </w:t>
      </w:r>
      <w:r w:rsidRPr="008B16F9">
        <w:rPr>
          <w:rFonts w:ascii="Courier New" w:hAnsi="Courier New" w:cs="Courier New"/>
          <w:smallCaps/>
        </w:rPr>
        <w:t>A</w:t>
      </w:r>
      <w:r>
        <w:rPr>
          <w:rFonts w:ascii="Courier New" w:hAnsi="Courier New" w:cs="Courier New"/>
          <w:smallCaps/>
        </w:rPr>
        <w:t>ppraisal of</w:t>
      </w:r>
      <w:r w:rsidRPr="008B16F9">
        <w:rPr>
          <w:rFonts w:ascii="Courier New" w:hAnsi="Courier New" w:cs="Courier New"/>
          <w:smallCaps/>
        </w:rPr>
        <w:t xml:space="preserve"> R</w:t>
      </w:r>
      <w:r>
        <w:rPr>
          <w:rFonts w:ascii="Courier New" w:hAnsi="Courier New" w:cs="Courier New"/>
          <w:smallCaps/>
        </w:rPr>
        <w:t xml:space="preserve">eal </w:t>
      </w:r>
      <w:r w:rsidRPr="008B16F9">
        <w:rPr>
          <w:rFonts w:ascii="Courier New" w:hAnsi="Courier New" w:cs="Courier New"/>
          <w:smallCaps/>
        </w:rPr>
        <w:t>E</w:t>
      </w:r>
      <w:r>
        <w:rPr>
          <w:rFonts w:ascii="Courier New" w:hAnsi="Courier New" w:cs="Courier New"/>
          <w:smallCaps/>
        </w:rPr>
        <w:t xml:space="preserve">state </w:t>
      </w:r>
      <w:r>
        <w:rPr>
          <w:rFonts w:ascii="Courier New" w:hAnsi="Courier New" w:cs="Courier New"/>
        </w:rPr>
        <w:t>335 (14</w:t>
      </w:r>
      <w:r w:rsidRPr="001F7744">
        <w:rPr>
          <w:rFonts w:ascii="Courier New" w:hAnsi="Courier New" w:cs="Courier New"/>
          <w:vertAlign w:val="superscript"/>
        </w:rPr>
        <w:t>th</w:t>
      </w:r>
      <w:r>
        <w:rPr>
          <w:rFonts w:ascii="Courier New" w:hAnsi="Courier New" w:cs="Courier New"/>
        </w:rPr>
        <w:t xml:space="preserve"> ed., 2013</w:t>
      </w:r>
      <w:r w:rsidRPr="005F68E3">
        <w:rPr>
          <w:rFonts w:ascii="Courier New" w:hAnsi="Courier New" w:cs="Courier New"/>
        </w:rPr>
        <w:t>)</w:t>
      </w:r>
      <w:r>
        <w:rPr>
          <w:rFonts w:ascii="Courier New" w:hAnsi="Courier New" w:cs="Courier New"/>
        </w:rPr>
        <w:t>;</w:t>
      </w:r>
      <w:r w:rsidRPr="005F68E3">
        <w:rPr>
          <w:rFonts w:ascii="Courier New" w:hAnsi="Courier New" w:cs="Courier New"/>
        </w:rPr>
        <w:t xml:space="preserve"> </w:t>
      </w:r>
      <w:r>
        <w:rPr>
          <w:rFonts w:ascii="Courier New" w:hAnsi="Courier New" w:cs="Courier New"/>
          <w:i/>
          <w:iCs/>
        </w:rPr>
        <w:t>s</w:t>
      </w:r>
      <w:r w:rsidRPr="005F68E3">
        <w:rPr>
          <w:rFonts w:ascii="Courier New" w:hAnsi="Courier New" w:cs="Courier New"/>
          <w:i/>
          <w:iCs/>
        </w:rPr>
        <w:t>ee also</w:t>
      </w:r>
      <w:r w:rsidRPr="005F68E3">
        <w:rPr>
          <w:rFonts w:ascii="Courier New" w:hAnsi="Courier New" w:cs="Courier New"/>
        </w:rPr>
        <w:t xml:space="preserve"> </w:t>
      </w:r>
      <w:hyperlink r:id="rId10" w:tgtFrame="_parent" w:history="1">
        <w:r w:rsidRPr="005F68E3">
          <w:rPr>
            <w:rFonts w:ascii="Courier New" w:hAnsi="Courier New" w:cs="Courier New"/>
            <w:b/>
            <w:bCs/>
            <w:i/>
            <w:iCs/>
            <w:color w:val="000000"/>
          </w:rPr>
          <w:t>Skyline Homes, Inc. v. Commonwealth</w:t>
        </w:r>
        <w:r w:rsidRPr="005F68E3">
          <w:rPr>
            <w:rFonts w:ascii="Courier New" w:hAnsi="Courier New" w:cs="Courier New"/>
            <w:color w:val="000000"/>
          </w:rPr>
          <w:t>, 362 Mass. 684, 687 (1972)</w:t>
        </w:r>
        <w:r>
          <w:rPr>
            <w:rFonts w:ascii="Courier New" w:hAnsi="Courier New" w:cs="Courier New"/>
            <w:color w:val="000000"/>
          </w:rPr>
          <w:t>;</w:t>
        </w:r>
      </w:hyperlink>
      <w:r w:rsidRPr="005F68E3">
        <w:rPr>
          <w:rFonts w:ascii="Courier New" w:hAnsi="Courier New" w:cs="Courier New"/>
        </w:rPr>
        <w:t xml:space="preserve">  </w:t>
      </w:r>
      <w:r w:rsidRPr="00C03ED7">
        <w:rPr>
          <w:rFonts w:ascii="Courier New" w:hAnsi="Courier New" w:cs="Courier New"/>
          <w:b/>
          <w:i/>
        </w:rPr>
        <w:t>DiBaise v. Town of Rowley</w:t>
      </w:r>
      <w:r w:rsidRPr="00C03ED7">
        <w:rPr>
          <w:rFonts w:ascii="Courier New" w:hAnsi="Courier New" w:cs="Courier New"/>
        </w:rPr>
        <w:t>, 33</w:t>
      </w:r>
      <w:r>
        <w:rPr>
          <w:rFonts w:ascii="Courier New" w:hAnsi="Courier New" w:cs="Courier New"/>
        </w:rPr>
        <w:t xml:space="preserve"> Mass. App. Ct. 928 (1992). </w:t>
      </w:r>
      <w:r w:rsidR="00D1393B">
        <w:rPr>
          <w:rFonts w:ascii="Courier New" w:hAnsi="Courier New" w:cs="Courier New"/>
        </w:rPr>
        <w:t xml:space="preserve"> In the instant appeals, </w:t>
      </w:r>
      <w:r w:rsidR="00ED7B11">
        <w:rPr>
          <w:rFonts w:ascii="Courier New" w:hAnsi="Courier New" w:cs="Courier New"/>
        </w:rPr>
        <w:t xml:space="preserve">the Board agreed with the </w:t>
      </w:r>
      <w:r w:rsidR="0063589F">
        <w:rPr>
          <w:rFonts w:ascii="Courier New" w:hAnsi="Courier New" w:cs="Courier New"/>
        </w:rPr>
        <w:t>parties</w:t>
      </w:r>
      <w:r w:rsidR="00D1393B">
        <w:rPr>
          <w:rFonts w:ascii="Courier New" w:hAnsi="Courier New" w:cs="Courier New"/>
        </w:rPr>
        <w:t xml:space="preserve"> that the subject property’s highest and best use was its present use for mixed industrial purposes.</w:t>
      </w:r>
    </w:p>
    <w:p w14:paraId="1620D038" w14:textId="5B6F3942" w:rsidR="000A5558" w:rsidRDefault="00D1393B" w:rsidP="00D1393B">
      <w:pPr>
        <w:spacing w:line="480" w:lineRule="auto"/>
        <w:ind w:firstLine="720"/>
        <w:jc w:val="both"/>
        <w:rPr>
          <w:rFonts w:ascii="Courier New" w:hAnsi="Courier New" w:cs="Courier New"/>
        </w:rPr>
      </w:pPr>
      <w:r>
        <w:rPr>
          <w:rFonts w:ascii="Courier New" w:hAnsi="Courier New" w:cs="Courier New"/>
        </w:rPr>
        <w:t xml:space="preserve">Generally, real estate valuation experts, the Massachusetts courts, and this Board rely upon three approaches to determine the fair cash value of property: income capitalization, sales comparison, and cost reproduction.  </w:t>
      </w:r>
      <w:r>
        <w:rPr>
          <w:rFonts w:ascii="Courier New" w:hAnsi="Courier New" w:cs="Courier New"/>
          <w:b/>
          <w:bCs/>
          <w:i/>
          <w:iCs/>
        </w:rPr>
        <w:t>Correia v. New Bedford Redevelopment Authority,</w:t>
      </w:r>
      <w:r>
        <w:rPr>
          <w:rFonts w:ascii="Courier New" w:hAnsi="Courier New" w:cs="Courier New"/>
        </w:rPr>
        <w:t xml:space="preserve"> 375 Mass. 360, 362 (1978).  “The board is not required to adopt any particular method of valuation,” </w:t>
      </w:r>
      <w:r>
        <w:rPr>
          <w:rFonts w:ascii="Courier New" w:hAnsi="Courier New" w:cs="Courier New"/>
          <w:b/>
          <w:bCs/>
          <w:i/>
          <w:iCs/>
        </w:rPr>
        <w:lastRenderedPageBreak/>
        <w:t>Pepsi-Cola Bottling Co. v. Assessors of Boston</w:t>
      </w:r>
      <w:r>
        <w:rPr>
          <w:rFonts w:ascii="Courier New" w:hAnsi="Courier New" w:cs="Courier New"/>
        </w:rPr>
        <w:t xml:space="preserve">, 397 Mass. </w:t>
      </w:r>
      <w:r w:rsidR="00ED7B11">
        <w:rPr>
          <w:rFonts w:ascii="Courier New" w:hAnsi="Courier New" w:cs="Courier New"/>
        </w:rPr>
        <w:t>447, 449 (1986), but the income-</w:t>
      </w:r>
      <w:r>
        <w:rPr>
          <w:rFonts w:ascii="Courier New" w:hAnsi="Courier New" w:cs="Courier New"/>
        </w:rPr>
        <w:t xml:space="preserve">capitalization method “is frequently applied with respect to income-producing property.”  </w:t>
      </w:r>
      <w:r w:rsidR="00ED7B11">
        <w:rPr>
          <w:rFonts w:ascii="Courier New" w:hAnsi="Courier New" w:cs="Courier New"/>
          <w:b/>
          <w:bCs/>
          <w:i/>
          <w:iCs/>
        </w:rPr>
        <w:t>Taunton Redevelopment</w:t>
      </w:r>
      <w:r>
        <w:rPr>
          <w:rFonts w:ascii="Courier New" w:hAnsi="Courier New" w:cs="Courier New"/>
          <w:b/>
          <w:bCs/>
          <w:i/>
          <w:iCs/>
        </w:rPr>
        <w:t xml:space="preserve"> Assoc</w:t>
      </w:r>
      <w:r w:rsidR="0063589F">
        <w:rPr>
          <w:rFonts w:ascii="Courier New" w:hAnsi="Courier New" w:cs="Courier New"/>
          <w:b/>
          <w:bCs/>
          <w:i/>
          <w:iCs/>
        </w:rPr>
        <w:t>iates</w:t>
      </w:r>
      <w:r>
        <w:rPr>
          <w:rFonts w:ascii="Courier New" w:hAnsi="Courier New" w:cs="Courier New"/>
          <w:b/>
          <w:bCs/>
          <w:i/>
          <w:iCs/>
        </w:rPr>
        <w:t xml:space="preserve"> v. Assessors of Taunton</w:t>
      </w:r>
      <w:r>
        <w:rPr>
          <w:rFonts w:ascii="Courier New" w:hAnsi="Courier New" w:cs="Courier New"/>
        </w:rPr>
        <w:t>, 393</w:t>
      </w:r>
      <w:r w:rsidR="00150702">
        <w:rPr>
          <w:rFonts w:ascii="Courier New" w:hAnsi="Courier New" w:cs="Courier New"/>
        </w:rPr>
        <w:t xml:space="preserve"> </w:t>
      </w:r>
      <w:r>
        <w:rPr>
          <w:rFonts w:ascii="Courier New" w:hAnsi="Courier New" w:cs="Courier New"/>
        </w:rPr>
        <w:t xml:space="preserve">Mass. 293, 295 (1984). </w:t>
      </w:r>
    </w:p>
    <w:p w14:paraId="4926A9D9" w14:textId="5F721750" w:rsidR="00A316FB" w:rsidRDefault="00A316FB" w:rsidP="00A316FB">
      <w:pPr>
        <w:spacing w:line="480" w:lineRule="auto"/>
        <w:ind w:firstLine="720"/>
        <w:jc w:val="both"/>
        <w:rPr>
          <w:rFonts w:ascii="Courier New" w:hAnsi="Courier New" w:cs="Courier New"/>
        </w:rPr>
      </w:pPr>
      <w:r>
        <w:rPr>
          <w:rFonts w:ascii="Courier New" w:hAnsi="Courier New" w:cs="Courier New"/>
        </w:rPr>
        <w:t xml:space="preserve">Mr. Levitch prepared a sales-comparison analysis.  Sales of comparable realty in the same geographic area and within a reasonable time of the assessment date contain credible data and information for determining the value of the property at issue.  </w:t>
      </w:r>
      <w:r>
        <w:rPr>
          <w:rFonts w:ascii="Courier New" w:hAnsi="Courier New" w:cs="Courier New"/>
          <w:b/>
          <w:bCs/>
          <w:i/>
          <w:iCs/>
        </w:rPr>
        <w:t>McCabe v. Chelsea</w:t>
      </w:r>
      <w:r>
        <w:rPr>
          <w:rFonts w:ascii="Courier New" w:hAnsi="Courier New" w:cs="Courier New"/>
        </w:rPr>
        <w:t xml:space="preserve">, 265 Mass. 494, 496 (1929).  When comparable sales are used, however, adjustments must be made for various factors that would otherwise cause disparities in the comparable prices.  </w:t>
      </w:r>
      <w:r>
        <w:rPr>
          <w:rFonts w:ascii="Courier New" w:hAnsi="Courier New" w:cs="Courier New"/>
          <w:i/>
          <w:iCs/>
        </w:rPr>
        <w:t>See</w:t>
      </w:r>
      <w:r>
        <w:rPr>
          <w:rFonts w:ascii="Courier New" w:hAnsi="Courier New" w:cs="Courier New"/>
        </w:rPr>
        <w:t xml:space="preserve"> </w:t>
      </w:r>
      <w:r>
        <w:rPr>
          <w:rFonts w:ascii="Courier New" w:hAnsi="Courier New" w:cs="Courier New"/>
          <w:b/>
          <w:bCs/>
          <w:i/>
          <w:iCs/>
        </w:rPr>
        <w:t>Pembroke Industrial Park Co., Inc. v. Assessors of Pembroke</w:t>
      </w:r>
      <w:r>
        <w:rPr>
          <w:rFonts w:ascii="Courier New" w:hAnsi="Courier New" w:cs="Courier New"/>
        </w:rPr>
        <w:t xml:space="preserve">, Mass. ATB Findings of Fact and Reports 1998-1072, 1082.  </w:t>
      </w:r>
    </w:p>
    <w:p w14:paraId="00A2754C" w14:textId="4ADCE7E7" w:rsidR="00D149DD" w:rsidRDefault="00D149DD" w:rsidP="00D149DD">
      <w:pPr>
        <w:spacing w:line="480" w:lineRule="auto"/>
        <w:ind w:firstLine="720"/>
        <w:jc w:val="both"/>
        <w:rPr>
          <w:rFonts w:ascii="Courier New" w:hAnsi="Courier New" w:cs="Courier New"/>
        </w:rPr>
      </w:pPr>
      <w:r>
        <w:rPr>
          <w:rFonts w:ascii="Courier New" w:hAnsi="Courier New" w:cs="Courier New"/>
        </w:rPr>
        <w:t>For his</w:t>
      </w:r>
      <w:r w:rsidR="000A5558">
        <w:rPr>
          <w:rFonts w:ascii="Courier New" w:hAnsi="Courier New" w:cs="Courier New"/>
        </w:rPr>
        <w:t xml:space="preserve"> sales-comparison approach,</w:t>
      </w:r>
      <w:r>
        <w:rPr>
          <w:rFonts w:ascii="Courier New" w:hAnsi="Courier New" w:cs="Courier New"/>
        </w:rPr>
        <w:t xml:space="preserve"> Mr. Levitch cited six purportedly comparable properties, five of which were mill properties, but he relied only upon one single sale, a property that was one-third the size of the subject mill, had not undergone any rehabilitation, and</w:t>
      </w:r>
      <w:r w:rsidR="00F269CF">
        <w:rPr>
          <w:rFonts w:ascii="Courier New" w:hAnsi="Courier New" w:cs="Courier New"/>
        </w:rPr>
        <w:t xml:space="preserve"> was located in a town with different</w:t>
      </w:r>
      <w:r>
        <w:rPr>
          <w:rFonts w:ascii="Courier New" w:hAnsi="Courier New" w:cs="Courier New"/>
        </w:rPr>
        <w:t xml:space="preserve"> economic condition</w:t>
      </w:r>
      <w:r w:rsidR="00F269CF">
        <w:rPr>
          <w:rFonts w:ascii="Courier New" w:hAnsi="Courier New" w:cs="Courier New"/>
        </w:rPr>
        <w:t>s</w:t>
      </w:r>
      <w:r>
        <w:rPr>
          <w:rFonts w:ascii="Courier New" w:hAnsi="Courier New" w:cs="Courier New"/>
        </w:rPr>
        <w:t xml:space="preserve">.  Yet Mr. Levitch made no adjustments to account for any of these significant differences, any of which would affect comparability to the </w:t>
      </w:r>
      <w:r>
        <w:rPr>
          <w:rFonts w:ascii="Courier New" w:hAnsi="Courier New" w:cs="Courier New"/>
        </w:rPr>
        <w:lastRenderedPageBreak/>
        <w:t>subject mill.</w:t>
      </w:r>
      <w:r w:rsidR="009D6ECE">
        <w:rPr>
          <w:rFonts w:ascii="Courier New" w:hAnsi="Courier New" w:cs="Courier New"/>
        </w:rPr>
        <w:t xml:space="preserve">  </w:t>
      </w:r>
      <w:r w:rsidR="00B0624E">
        <w:rPr>
          <w:rFonts w:ascii="Courier New" w:hAnsi="Courier New" w:cs="Courier New"/>
        </w:rPr>
        <w:t>The Board found that, without the necessary adjustments, the appellant’s</w:t>
      </w:r>
      <w:r w:rsidR="00B0624E" w:rsidRPr="00D07E71">
        <w:rPr>
          <w:rFonts w:ascii="Courier New" w:hAnsi="Courier New" w:cs="Courier New"/>
        </w:rPr>
        <w:t xml:space="preserve"> c</w:t>
      </w:r>
      <w:r w:rsidR="00B0624E">
        <w:rPr>
          <w:rFonts w:ascii="Courier New" w:hAnsi="Courier New" w:cs="Courier New"/>
        </w:rPr>
        <w:t>omparable-sales analysis was fundamentally flawed and thus</w:t>
      </w:r>
      <w:r w:rsidR="009D6ECE">
        <w:rPr>
          <w:rFonts w:ascii="Courier New" w:hAnsi="Courier New" w:cs="Courier New"/>
        </w:rPr>
        <w:t xml:space="preserve"> unpersuasive.</w:t>
      </w:r>
    </w:p>
    <w:p w14:paraId="2D4CC0C9" w14:textId="57D1E498" w:rsidR="000C79A8" w:rsidRDefault="00255569" w:rsidP="000C79A8">
      <w:pPr>
        <w:spacing w:line="480" w:lineRule="auto"/>
        <w:ind w:firstLine="720"/>
        <w:jc w:val="both"/>
        <w:rPr>
          <w:rFonts w:ascii="Courier New" w:hAnsi="Courier New" w:cs="Courier New"/>
        </w:rPr>
      </w:pPr>
      <w:r>
        <w:rPr>
          <w:rFonts w:ascii="Courier New" w:hAnsi="Courier New" w:cs="Courier New"/>
        </w:rPr>
        <w:t>Mr. Levitch also performed an income-capitalizati</w:t>
      </w:r>
      <w:r w:rsidR="00ED7B11">
        <w:rPr>
          <w:rFonts w:ascii="Courier New" w:hAnsi="Courier New" w:cs="Courier New"/>
        </w:rPr>
        <w:t>on approach and, while he stated</w:t>
      </w:r>
      <w:r>
        <w:rPr>
          <w:rFonts w:ascii="Courier New" w:hAnsi="Courier New" w:cs="Courier New"/>
        </w:rPr>
        <w:t xml:space="preserve"> otherwise, he seemed to have relied solely on that method for his final opinion</w:t>
      </w:r>
      <w:r w:rsidR="006E649D">
        <w:rPr>
          <w:rFonts w:ascii="Courier New" w:hAnsi="Courier New" w:cs="Courier New"/>
        </w:rPr>
        <w:t>s</w:t>
      </w:r>
      <w:r>
        <w:rPr>
          <w:rFonts w:ascii="Courier New" w:hAnsi="Courier New" w:cs="Courier New"/>
        </w:rPr>
        <w:t xml:space="preserve"> of value</w:t>
      </w:r>
      <w:r w:rsidR="00B60D2B">
        <w:rPr>
          <w:rFonts w:ascii="Courier New" w:hAnsi="Courier New" w:cs="Courier New"/>
        </w:rPr>
        <w:t>, since his final opinion</w:t>
      </w:r>
      <w:r w:rsidR="006E649D">
        <w:rPr>
          <w:rFonts w:ascii="Courier New" w:hAnsi="Courier New" w:cs="Courier New"/>
        </w:rPr>
        <w:t>s of value were</w:t>
      </w:r>
      <w:r w:rsidR="00B60D2B">
        <w:rPr>
          <w:rFonts w:ascii="Courier New" w:hAnsi="Courier New" w:cs="Courier New"/>
        </w:rPr>
        <w:t xml:space="preserve"> the value</w:t>
      </w:r>
      <w:r w:rsidR="006E649D">
        <w:rPr>
          <w:rFonts w:ascii="Courier New" w:hAnsi="Courier New" w:cs="Courier New"/>
        </w:rPr>
        <w:t>s</w:t>
      </w:r>
      <w:r w:rsidR="00B60D2B">
        <w:rPr>
          <w:rFonts w:ascii="Courier New" w:hAnsi="Courier New" w:cs="Courier New"/>
        </w:rPr>
        <w:t xml:space="preserve"> he derived from h</w:t>
      </w:r>
      <w:r w:rsidR="006E649D">
        <w:rPr>
          <w:rFonts w:ascii="Courier New" w:hAnsi="Courier New" w:cs="Courier New"/>
        </w:rPr>
        <w:t>is income-capitalization analyse</w:t>
      </w:r>
      <w:r w:rsidR="00B60D2B">
        <w:rPr>
          <w:rFonts w:ascii="Courier New" w:hAnsi="Courier New" w:cs="Courier New"/>
        </w:rPr>
        <w:t>s</w:t>
      </w:r>
      <w:r>
        <w:rPr>
          <w:rFonts w:ascii="Courier New" w:hAnsi="Courier New" w:cs="Courier New"/>
        </w:rPr>
        <w:t xml:space="preserve">.  </w:t>
      </w:r>
      <w:r w:rsidR="000C79A8" w:rsidRPr="005451E8">
        <w:rPr>
          <w:rFonts w:ascii="Courier New" w:hAnsi="Courier New" w:cs="Courier New"/>
        </w:rPr>
        <w:t>The use of the income-capitalization approach is a</w:t>
      </w:r>
      <w:r w:rsidR="000C79A8">
        <w:rPr>
          <w:rFonts w:ascii="Courier New" w:hAnsi="Courier New" w:cs="Courier New"/>
        </w:rPr>
        <w:t xml:space="preserve">ppropriate when reliable market-sales </w:t>
      </w:r>
      <w:r w:rsidR="000C79A8" w:rsidRPr="005451E8">
        <w:rPr>
          <w:rFonts w:ascii="Courier New" w:hAnsi="Courier New" w:cs="Courier New"/>
        </w:rPr>
        <w:t xml:space="preserve">data are not available.  </w:t>
      </w:r>
      <w:r w:rsidR="000C79A8" w:rsidRPr="005451E8">
        <w:rPr>
          <w:rFonts w:ascii="Courier New" w:hAnsi="Courier New" w:cs="Courier New"/>
          <w:b/>
          <w:bCs/>
          <w:i/>
          <w:iCs/>
        </w:rPr>
        <w:t>Assessors of Weymouth v. Tammy Brook Co.,</w:t>
      </w:r>
      <w:r w:rsidR="000C79A8" w:rsidRPr="005451E8">
        <w:rPr>
          <w:rFonts w:ascii="Courier New" w:hAnsi="Courier New" w:cs="Courier New"/>
        </w:rPr>
        <w:t xml:space="preserve"> 368 Mass. 810, 811 (1975); </w:t>
      </w:r>
      <w:r w:rsidR="000C79A8" w:rsidRPr="005451E8">
        <w:rPr>
          <w:rFonts w:ascii="Courier New" w:hAnsi="Courier New" w:cs="Courier New"/>
          <w:b/>
          <w:bCs/>
          <w:i/>
          <w:iCs/>
        </w:rPr>
        <w:t>Assessors of Lynnfield v. New England Oyster House,</w:t>
      </w:r>
      <w:r w:rsidR="00150702">
        <w:rPr>
          <w:rFonts w:ascii="Courier New" w:hAnsi="Courier New" w:cs="Courier New"/>
          <w:b/>
          <w:bCs/>
          <w:i/>
          <w:iCs/>
        </w:rPr>
        <w:t xml:space="preserve"> Inc., </w:t>
      </w:r>
      <w:r w:rsidR="000C79A8">
        <w:rPr>
          <w:rFonts w:ascii="Courier New" w:hAnsi="Courier New" w:cs="Courier New"/>
        </w:rPr>
        <w:t>362 Mass. 696, 701-</w:t>
      </w:r>
      <w:r w:rsidR="000C79A8" w:rsidRPr="005451E8">
        <w:rPr>
          <w:rFonts w:ascii="Courier New" w:hAnsi="Courier New" w:cs="Courier New"/>
        </w:rPr>
        <w:t xml:space="preserve">02 (1972); </w:t>
      </w:r>
      <w:r w:rsidR="000C79A8" w:rsidRPr="005451E8">
        <w:rPr>
          <w:rFonts w:ascii="Courier New" w:hAnsi="Courier New" w:cs="Courier New"/>
          <w:b/>
          <w:bCs/>
          <w:i/>
          <w:iCs/>
        </w:rPr>
        <w:t>Assessors of Quincy v. Boston Consolidated Gas Co.,</w:t>
      </w:r>
      <w:r w:rsidR="000C79A8" w:rsidRPr="005451E8">
        <w:rPr>
          <w:rFonts w:ascii="Courier New" w:hAnsi="Courier New" w:cs="Courier New"/>
        </w:rPr>
        <w:t xml:space="preserve"> 309</w:t>
      </w:r>
      <w:r w:rsidR="000C79A8">
        <w:rPr>
          <w:rFonts w:ascii="Courier New" w:hAnsi="Courier New" w:cs="Courier New"/>
        </w:rPr>
        <w:t> </w:t>
      </w:r>
      <w:r w:rsidR="000C79A8" w:rsidRPr="005451E8">
        <w:rPr>
          <w:rFonts w:ascii="Courier New" w:hAnsi="Courier New" w:cs="Courier New"/>
        </w:rPr>
        <w:t xml:space="preserve">Mass. 60, 67 (1941).  It is also </w:t>
      </w:r>
      <w:r w:rsidR="000C79A8">
        <w:rPr>
          <w:rFonts w:ascii="Courier New" w:hAnsi="Courier New" w:cs="Courier New"/>
        </w:rPr>
        <w:t xml:space="preserve">recognized as </w:t>
      </w:r>
      <w:r w:rsidR="000C79A8" w:rsidRPr="005451E8">
        <w:rPr>
          <w:rFonts w:ascii="Courier New" w:hAnsi="Courier New" w:cs="Courier New"/>
        </w:rPr>
        <w:t xml:space="preserve">an appropriate technique to use for valuing income-producing property.  </w:t>
      </w:r>
      <w:r w:rsidR="00ED7B11">
        <w:rPr>
          <w:rFonts w:ascii="Courier New" w:hAnsi="Courier New" w:cs="Courier New"/>
          <w:b/>
          <w:bCs/>
          <w:i/>
          <w:iCs/>
        </w:rPr>
        <w:t>Taunton Redevelopment</w:t>
      </w:r>
      <w:r w:rsidR="000C79A8" w:rsidRPr="006C7758">
        <w:rPr>
          <w:rFonts w:ascii="Courier New" w:hAnsi="Courier New" w:cs="Courier New"/>
          <w:b/>
          <w:bCs/>
          <w:i/>
          <w:iCs/>
        </w:rPr>
        <w:t xml:space="preserve"> As</w:t>
      </w:r>
      <w:r w:rsidR="007F79D0">
        <w:rPr>
          <w:rFonts w:ascii="Courier New" w:hAnsi="Courier New" w:cs="Courier New"/>
          <w:b/>
          <w:bCs/>
          <w:i/>
          <w:iCs/>
        </w:rPr>
        <w:t>soc</w:t>
      </w:r>
      <w:r w:rsidR="0063589F">
        <w:rPr>
          <w:rFonts w:ascii="Courier New" w:hAnsi="Courier New" w:cs="Courier New"/>
          <w:b/>
          <w:bCs/>
          <w:i/>
          <w:iCs/>
        </w:rPr>
        <w:t>iates</w:t>
      </w:r>
      <w:r w:rsidR="000C79A8" w:rsidRPr="006C7758">
        <w:rPr>
          <w:rFonts w:ascii="Courier New" w:hAnsi="Courier New" w:cs="Courier New"/>
          <w:b/>
          <w:bCs/>
          <w:i/>
          <w:iCs/>
        </w:rPr>
        <w:t xml:space="preserve">, </w:t>
      </w:r>
      <w:r w:rsidR="007F79D0">
        <w:rPr>
          <w:rFonts w:ascii="Courier New" w:hAnsi="Courier New" w:cs="Courier New"/>
        </w:rPr>
        <w:t>393 Mass. at 295</w:t>
      </w:r>
      <w:r w:rsidR="000C79A8" w:rsidRPr="005451E8">
        <w:rPr>
          <w:rFonts w:ascii="Courier New" w:hAnsi="Courier New" w:cs="Courier New"/>
        </w:rPr>
        <w:t>.  In the</w:t>
      </w:r>
      <w:r w:rsidR="000C79A8">
        <w:rPr>
          <w:rFonts w:ascii="Courier New" w:hAnsi="Courier New" w:cs="Courier New"/>
        </w:rPr>
        <w:t xml:space="preserve"> present appeals,</w:t>
      </w:r>
      <w:r w:rsidR="000C79A8" w:rsidRPr="005451E8">
        <w:rPr>
          <w:rFonts w:ascii="Courier New" w:hAnsi="Courier New" w:cs="Courier New"/>
        </w:rPr>
        <w:t xml:space="preserve"> the Board </w:t>
      </w:r>
      <w:r w:rsidR="00B52D66">
        <w:rPr>
          <w:rFonts w:ascii="Courier New" w:hAnsi="Courier New" w:cs="Courier New"/>
        </w:rPr>
        <w:t>found</w:t>
      </w:r>
      <w:r w:rsidR="000C79A8">
        <w:rPr>
          <w:rFonts w:ascii="Courier New" w:hAnsi="Courier New" w:cs="Courier New"/>
        </w:rPr>
        <w:t xml:space="preserve"> that </w:t>
      </w:r>
      <w:r w:rsidR="000C79A8" w:rsidRPr="005451E8">
        <w:rPr>
          <w:rFonts w:ascii="Courier New" w:hAnsi="Courier New" w:cs="Courier New"/>
        </w:rPr>
        <w:t>the income-capitalization approach</w:t>
      </w:r>
      <w:r w:rsidR="000C79A8">
        <w:rPr>
          <w:rFonts w:ascii="Courier New" w:hAnsi="Courier New" w:cs="Courier New"/>
        </w:rPr>
        <w:t xml:space="preserve"> was the most appropriate method to value the subject property for the fiscal years at issue</w:t>
      </w:r>
      <w:r w:rsidR="000C79A8" w:rsidRPr="005451E8">
        <w:rPr>
          <w:rFonts w:ascii="Courier New" w:hAnsi="Courier New" w:cs="Courier New"/>
        </w:rPr>
        <w:t>.</w:t>
      </w:r>
      <w:r w:rsidR="000C79A8" w:rsidRPr="00BD4221">
        <w:rPr>
          <w:rFonts w:ascii="Courier New" w:hAnsi="Courier New" w:cs="Courier New"/>
        </w:rPr>
        <w:t xml:space="preserve"> </w:t>
      </w:r>
    </w:p>
    <w:p w14:paraId="70724E4B" w14:textId="4E486C40" w:rsidR="000C549C" w:rsidRDefault="000C549C" w:rsidP="000C549C">
      <w:pPr>
        <w:spacing w:line="480" w:lineRule="auto"/>
        <w:ind w:firstLine="720"/>
        <w:jc w:val="both"/>
        <w:rPr>
          <w:rFonts w:ascii="Courier New" w:hAnsi="Courier New" w:cs="Courier New"/>
        </w:rPr>
      </w:pPr>
      <w:r>
        <w:rPr>
          <w:rFonts w:ascii="Courier New" w:hAnsi="Courier New" w:cs="Courier New"/>
        </w:rPr>
        <w:t xml:space="preserve">“The direct capitalization of income method analyzes the property’s capacity to generate income over a one-year period and converts the capacity into an indication of fair cash value by capitalizing the income at a rate determined </w:t>
      </w:r>
      <w:r>
        <w:rPr>
          <w:rFonts w:ascii="Courier New" w:hAnsi="Courier New" w:cs="Courier New"/>
        </w:rPr>
        <w:lastRenderedPageBreak/>
        <w:t xml:space="preserve">to be appropriate for the investment risk involved.”  </w:t>
      </w:r>
      <w:r w:rsidRPr="005E0B08">
        <w:rPr>
          <w:rFonts w:ascii="Courier New" w:hAnsi="Courier New" w:cs="Courier New"/>
          <w:b/>
          <w:i/>
        </w:rPr>
        <w:t>Oly</w:t>
      </w:r>
      <w:r>
        <w:rPr>
          <w:rFonts w:ascii="Courier New" w:hAnsi="Courier New" w:cs="Courier New"/>
          <w:b/>
          <w:i/>
        </w:rPr>
        <w:t>mpia &amp; York State</w:t>
      </w:r>
      <w:r w:rsidRPr="005E0B08">
        <w:rPr>
          <w:rFonts w:ascii="Courier New" w:hAnsi="Courier New" w:cs="Courier New"/>
          <w:b/>
          <w:i/>
        </w:rPr>
        <w:t xml:space="preserve"> Street Co.</w:t>
      </w:r>
      <w:r>
        <w:rPr>
          <w:rFonts w:ascii="Courier New" w:hAnsi="Courier New" w:cs="Courier New"/>
          <w:b/>
          <w:i/>
        </w:rPr>
        <w:t xml:space="preserve"> v. Assessors of Boston</w:t>
      </w:r>
      <w:r>
        <w:rPr>
          <w:rFonts w:ascii="Courier New" w:hAnsi="Courier New" w:cs="Courier New"/>
        </w:rPr>
        <w:t>, 428</w:t>
      </w:r>
      <w:r w:rsidR="00CB7524">
        <w:rPr>
          <w:rFonts w:ascii="Courier New" w:hAnsi="Courier New" w:cs="Courier New"/>
        </w:rPr>
        <w:t> </w:t>
      </w:r>
      <w:r>
        <w:rPr>
          <w:rFonts w:ascii="Courier New" w:hAnsi="Courier New" w:cs="Courier New"/>
        </w:rPr>
        <w:t xml:space="preserve">Mass. 236, 239 (1998).  “It is the net income that a property </w:t>
      </w:r>
      <w:r w:rsidRPr="0055776A">
        <w:rPr>
          <w:rFonts w:ascii="Courier New" w:hAnsi="Courier New" w:cs="Courier New"/>
          <w:i/>
        </w:rPr>
        <w:t>should</w:t>
      </w:r>
      <w:r>
        <w:rPr>
          <w:rFonts w:ascii="Courier New" w:hAnsi="Courier New" w:cs="Courier New"/>
        </w:rPr>
        <w:t xml:space="preserve"> be earning, not necessarily what it actually earns, that is the figure that should be capitalized.”  </w:t>
      </w:r>
      <w:r w:rsidRPr="0055776A">
        <w:rPr>
          <w:rFonts w:ascii="Courier New" w:hAnsi="Courier New" w:cs="Courier New"/>
          <w:b/>
          <w:i/>
        </w:rPr>
        <w:t>Peterson</w:t>
      </w:r>
      <w:r>
        <w:rPr>
          <w:rFonts w:ascii="Courier New" w:hAnsi="Courier New" w:cs="Courier New"/>
          <w:b/>
          <w:i/>
        </w:rPr>
        <w:t xml:space="preserve"> v. Assessors of Boston</w:t>
      </w:r>
      <w:r>
        <w:rPr>
          <w:rFonts w:ascii="Courier New" w:hAnsi="Courier New" w:cs="Courier New"/>
        </w:rPr>
        <w:t>, 62 Mass. App. Ct. 428, 436 (2004) (emphasis in original).  Accordingly, t</w:t>
      </w:r>
      <w:r w:rsidRPr="005451E8">
        <w:rPr>
          <w:rFonts w:ascii="Courier New" w:hAnsi="Courier New" w:cs="Courier New"/>
        </w:rPr>
        <w:t xml:space="preserve">he income stream used in the income-capitalization method must reflect the property’s earning capacity or economic rental value.  </w:t>
      </w:r>
      <w:r w:rsidRPr="005451E8">
        <w:rPr>
          <w:rFonts w:ascii="Courier New" w:hAnsi="Courier New" w:cs="Courier New"/>
          <w:b/>
          <w:bCs/>
          <w:i/>
          <w:iCs/>
        </w:rPr>
        <w:t>Pepsi-Cola Bot</w:t>
      </w:r>
      <w:r w:rsidR="007F79D0">
        <w:rPr>
          <w:rFonts w:ascii="Courier New" w:hAnsi="Courier New" w:cs="Courier New"/>
          <w:b/>
          <w:bCs/>
          <w:i/>
          <w:iCs/>
        </w:rPr>
        <w:t>tling Co.</w:t>
      </w:r>
      <w:r w:rsidRPr="005451E8">
        <w:rPr>
          <w:rFonts w:ascii="Courier New" w:hAnsi="Courier New" w:cs="Courier New"/>
          <w:b/>
          <w:bCs/>
          <w:i/>
          <w:iCs/>
        </w:rPr>
        <w:t xml:space="preserve">, </w:t>
      </w:r>
      <w:r w:rsidRPr="005451E8">
        <w:rPr>
          <w:rFonts w:ascii="Courier New" w:hAnsi="Courier New" w:cs="Courier New"/>
        </w:rPr>
        <w:t>397</w:t>
      </w:r>
      <w:r>
        <w:rPr>
          <w:rFonts w:ascii="Courier New" w:hAnsi="Courier New" w:cs="Courier New"/>
        </w:rPr>
        <w:t> </w:t>
      </w:r>
      <w:r w:rsidRPr="005451E8">
        <w:rPr>
          <w:rFonts w:ascii="Courier New" w:hAnsi="Courier New" w:cs="Courier New"/>
        </w:rPr>
        <w:t xml:space="preserve">Mass. </w:t>
      </w:r>
      <w:r w:rsidR="007F79D0">
        <w:rPr>
          <w:rFonts w:ascii="Courier New" w:hAnsi="Courier New" w:cs="Courier New"/>
        </w:rPr>
        <w:t>at</w:t>
      </w:r>
      <w:r>
        <w:rPr>
          <w:rFonts w:ascii="Courier New" w:hAnsi="Courier New" w:cs="Courier New"/>
        </w:rPr>
        <w:t xml:space="preserve"> </w:t>
      </w:r>
      <w:r w:rsidRPr="005451E8">
        <w:rPr>
          <w:rFonts w:ascii="Courier New" w:hAnsi="Courier New" w:cs="Courier New"/>
        </w:rPr>
        <w:t xml:space="preserve">451.  Imputing rental income to the subject property based on fair market rentals from comparable properties is evidence of value if, once adjusted, they are indicative of the subject property’s earning capacity.  </w:t>
      </w:r>
      <w:r w:rsidRPr="005451E8">
        <w:rPr>
          <w:rFonts w:ascii="Courier New" w:hAnsi="Courier New" w:cs="Courier New"/>
          <w:i/>
          <w:iCs/>
        </w:rPr>
        <w:t xml:space="preserve">See </w:t>
      </w:r>
      <w:r w:rsidRPr="007F79D0">
        <w:rPr>
          <w:rFonts w:ascii="Courier New" w:hAnsi="Courier New" w:cs="Courier New"/>
          <w:b/>
          <w:bCs/>
          <w:i/>
          <w:iCs/>
        </w:rPr>
        <w:t>Correia v.</w:t>
      </w:r>
      <w:r w:rsidR="00ED7B11">
        <w:rPr>
          <w:rFonts w:ascii="Courier New" w:hAnsi="Courier New" w:cs="Courier New"/>
          <w:b/>
          <w:bCs/>
          <w:i/>
          <w:iCs/>
        </w:rPr>
        <w:t xml:space="preserve"> New Bedford Rede</w:t>
      </w:r>
      <w:r w:rsidR="00150702">
        <w:rPr>
          <w:rFonts w:ascii="Courier New" w:hAnsi="Courier New" w:cs="Courier New"/>
          <w:b/>
          <w:bCs/>
          <w:i/>
          <w:iCs/>
        </w:rPr>
        <w:t>v</w:t>
      </w:r>
      <w:r w:rsidR="00ED7B11">
        <w:rPr>
          <w:rFonts w:ascii="Courier New" w:hAnsi="Courier New" w:cs="Courier New"/>
          <w:b/>
          <w:bCs/>
          <w:i/>
          <w:iCs/>
        </w:rPr>
        <w:t>elopment Authority</w:t>
      </w:r>
      <w:r w:rsidRPr="007F79D0">
        <w:rPr>
          <w:rFonts w:ascii="Courier New" w:hAnsi="Courier New" w:cs="Courier New"/>
        </w:rPr>
        <w:t xml:space="preserve">, 5 Mass. App. Ct. 289, 293-94 (1977), </w:t>
      </w:r>
      <w:r w:rsidRPr="007F79D0">
        <w:rPr>
          <w:rFonts w:ascii="Courier New" w:hAnsi="Courier New" w:cs="Courier New"/>
          <w:i/>
          <w:iCs/>
        </w:rPr>
        <w:t>rev’d on other grounds,</w:t>
      </w:r>
      <w:r w:rsidRPr="007F79D0">
        <w:rPr>
          <w:rFonts w:ascii="Courier New" w:hAnsi="Courier New" w:cs="Courier New"/>
        </w:rPr>
        <w:t xml:space="preserve"> 375 Mass. 360 (1978);</w:t>
      </w:r>
      <w:r w:rsidRPr="005451E8">
        <w:rPr>
          <w:rFonts w:ascii="Courier New" w:hAnsi="Courier New" w:cs="Courier New"/>
        </w:rPr>
        <w:t xml:space="preserve"> </w:t>
      </w:r>
      <w:r w:rsidRPr="005451E8">
        <w:rPr>
          <w:rFonts w:ascii="Courier New" w:hAnsi="Courier New" w:cs="Courier New"/>
          <w:b/>
          <w:bCs/>
          <w:i/>
          <w:iCs/>
        </w:rPr>
        <w:t>Library Servic</w:t>
      </w:r>
      <w:r w:rsidR="00ED7B11">
        <w:rPr>
          <w:rFonts w:ascii="Courier New" w:hAnsi="Courier New" w:cs="Courier New"/>
          <w:b/>
          <w:bCs/>
          <w:i/>
          <w:iCs/>
        </w:rPr>
        <w:t>es, Inc. v. Malden Redevelopment Authority</w:t>
      </w:r>
      <w:r w:rsidRPr="005451E8">
        <w:rPr>
          <w:rFonts w:ascii="Courier New" w:hAnsi="Courier New" w:cs="Courier New"/>
        </w:rPr>
        <w:t>, 9</w:t>
      </w:r>
      <w:r>
        <w:rPr>
          <w:rFonts w:ascii="Courier New" w:hAnsi="Courier New" w:cs="Courier New"/>
        </w:rPr>
        <w:t> </w:t>
      </w:r>
      <w:r w:rsidRPr="005451E8">
        <w:rPr>
          <w:rFonts w:ascii="Courier New" w:hAnsi="Courier New" w:cs="Courier New"/>
        </w:rPr>
        <w:t>Mass. App. Ct. 877, 878 (1980)</w:t>
      </w:r>
      <w:r w:rsidR="00150702">
        <w:rPr>
          <w:rFonts w:ascii="Courier New" w:hAnsi="Courier New" w:cs="Courier New"/>
        </w:rPr>
        <w:t xml:space="preserve"> (</w:t>
      </w:r>
      <w:r w:rsidRPr="005451E8">
        <w:rPr>
          <w:rFonts w:ascii="Courier New" w:hAnsi="Courier New" w:cs="Courier New"/>
        </w:rPr>
        <w:t xml:space="preserve">rescript). </w:t>
      </w:r>
    </w:p>
    <w:p w14:paraId="04E84E4E" w14:textId="7D1D6956" w:rsidR="008D494D" w:rsidRDefault="008D494D" w:rsidP="008D494D">
      <w:pPr>
        <w:spacing w:line="480" w:lineRule="auto"/>
        <w:ind w:firstLine="720"/>
        <w:jc w:val="both"/>
        <w:rPr>
          <w:rFonts w:ascii="Courier New" w:hAnsi="Courier New" w:cs="Courier New"/>
        </w:rPr>
      </w:pPr>
      <w:r>
        <w:rPr>
          <w:rFonts w:ascii="Courier New" w:hAnsi="Courier New" w:cs="Courier New"/>
        </w:rPr>
        <w:t xml:space="preserve">In these appeals, the Board </w:t>
      </w:r>
      <w:r w:rsidR="00A81A50">
        <w:rPr>
          <w:rFonts w:ascii="Courier New" w:hAnsi="Courier New" w:cs="Courier New"/>
        </w:rPr>
        <w:t xml:space="preserve">first </w:t>
      </w:r>
      <w:r>
        <w:rPr>
          <w:rFonts w:ascii="Courier New" w:hAnsi="Courier New" w:cs="Courier New"/>
        </w:rPr>
        <w:t>found that the appellant presented credible evidence that the appellee had over-calculated the total squ</w:t>
      </w:r>
      <w:r w:rsidR="00A81A50">
        <w:rPr>
          <w:rFonts w:ascii="Courier New" w:hAnsi="Courier New" w:cs="Courier New"/>
        </w:rPr>
        <w:t>are footage of the subject mill</w:t>
      </w:r>
      <w:r>
        <w:rPr>
          <w:rFonts w:ascii="Courier New" w:hAnsi="Courier New" w:cs="Courier New"/>
        </w:rPr>
        <w:t xml:space="preserve"> and instead adopted Mr. Levitch’s figure of 187,523 square feet.  The Board next found that the appellant </w:t>
      </w:r>
      <w:r>
        <w:rPr>
          <w:rFonts w:ascii="Courier New" w:hAnsi="Courier New" w:cs="Courier New"/>
        </w:rPr>
        <w:lastRenderedPageBreak/>
        <w:t xml:space="preserve">adequately supported the market value of the </w:t>
      </w:r>
      <w:r w:rsidR="00ED7B11">
        <w:rPr>
          <w:rFonts w:ascii="Courier New" w:hAnsi="Courier New" w:cs="Courier New"/>
        </w:rPr>
        <w:t>leases for Meals on Wheels and S</w:t>
      </w:r>
      <w:r>
        <w:rPr>
          <w:rFonts w:ascii="Courier New" w:hAnsi="Courier New" w:cs="Courier New"/>
        </w:rPr>
        <w:t xml:space="preserve">d </w:t>
      </w:r>
      <w:r w:rsidR="00ED7B11">
        <w:rPr>
          <w:rFonts w:ascii="Courier New" w:hAnsi="Courier New" w:cs="Courier New"/>
        </w:rPr>
        <w:t xml:space="preserve">Associates </w:t>
      </w:r>
      <w:r>
        <w:rPr>
          <w:rFonts w:ascii="Courier New" w:hAnsi="Courier New" w:cs="Courier New"/>
        </w:rPr>
        <w:t xml:space="preserve">Charter School and thus adopted those lease figures.  However, the Board found that the remaining rents assigned by Mr. Levitch lacked supporting detail and instead adopted the appellee’s weighted averages for those spaces.  </w:t>
      </w:r>
    </w:p>
    <w:p w14:paraId="203AC13A" w14:textId="2AE660A7" w:rsidR="00F638F6" w:rsidRPr="00A81A50" w:rsidRDefault="00F638F6" w:rsidP="00A81A50">
      <w:pPr>
        <w:spacing w:line="480" w:lineRule="auto"/>
        <w:ind w:firstLine="720"/>
        <w:jc w:val="both"/>
        <w:rPr>
          <w:rFonts w:ascii="Courier New" w:hAnsi="Courier New" w:cs="Courier New"/>
        </w:rPr>
      </w:pPr>
      <w:r w:rsidRPr="005451E8">
        <w:rPr>
          <w:rFonts w:ascii="Courier New" w:hAnsi="Courier New" w:cs="Courier New"/>
        </w:rPr>
        <w:t>After accounting for v</w:t>
      </w:r>
      <w:r w:rsidR="00ED7B11">
        <w:rPr>
          <w:rFonts w:ascii="Courier New" w:hAnsi="Courier New" w:cs="Courier New"/>
        </w:rPr>
        <w:t xml:space="preserve">acancy and rent losses, the net </w:t>
      </w:r>
      <w:r w:rsidRPr="005451E8">
        <w:rPr>
          <w:rFonts w:ascii="Courier New" w:hAnsi="Courier New" w:cs="Courier New"/>
        </w:rPr>
        <w:t xml:space="preserve">operating income is obtained by deducting the landlord’s appropriate expenses.  </w:t>
      </w:r>
      <w:r w:rsidRPr="005451E8">
        <w:rPr>
          <w:rFonts w:ascii="Courier New" w:hAnsi="Courier New" w:cs="Courier New"/>
          <w:b/>
          <w:bCs/>
          <w:i/>
          <w:iCs/>
        </w:rPr>
        <w:t>General E</w:t>
      </w:r>
      <w:r>
        <w:rPr>
          <w:rFonts w:ascii="Courier New" w:hAnsi="Courier New" w:cs="Courier New"/>
          <w:b/>
          <w:bCs/>
          <w:i/>
          <w:iCs/>
        </w:rPr>
        <w:t>lectric Co.</w:t>
      </w:r>
      <w:r w:rsidRPr="005451E8">
        <w:rPr>
          <w:rFonts w:ascii="Courier New" w:hAnsi="Courier New" w:cs="Courier New"/>
          <w:b/>
          <w:bCs/>
          <w:i/>
          <w:iCs/>
        </w:rPr>
        <w:t>,</w:t>
      </w:r>
      <w:r>
        <w:rPr>
          <w:rFonts w:ascii="Courier New" w:hAnsi="Courier New" w:cs="Courier New"/>
        </w:rPr>
        <w:t xml:space="preserve"> 393 Mass. at 610</w:t>
      </w:r>
      <w:r w:rsidRPr="005451E8">
        <w:rPr>
          <w:rFonts w:ascii="Courier New" w:hAnsi="Courier New" w:cs="Courier New"/>
        </w:rPr>
        <w:t xml:space="preserve">.  The expenses should also reflect the market.  </w:t>
      </w:r>
      <w:r w:rsidRPr="005451E8">
        <w:rPr>
          <w:rFonts w:ascii="Courier New" w:hAnsi="Courier New" w:cs="Courier New"/>
          <w:b/>
          <w:bCs/>
          <w:i/>
          <w:iCs/>
        </w:rPr>
        <w:t>Id.</w:t>
      </w:r>
      <w:r>
        <w:rPr>
          <w:rFonts w:ascii="Courier New" w:hAnsi="Courier New" w:cs="Courier New"/>
          <w:b/>
          <w:bCs/>
          <w:i/>
          <w:iCs/>
        </w:rPr>
        <w:t xml:space="preserve">; </w:t>
      </w:r>
      <w:r>
        <w:rPr>
          <w:rFonts w:ascii="Courier New" w:hAnsi="Courier New" w:cs="Courier New"/>
          <w:bCs/>
          <w:i/>
          <w:iCs/>
        </w:rPr>
        <w:t xml:space="preserve">see </w:t>
      </w:r>
      <w:r>
        <w:rPr>
          <w:rFonts w:ascii="Courier New" w:hAnsi="Courier New" w:cs="Courier New"/>
          <w:b/>
          <w:bCs/>
          <w:i/>
          <w:iCs/>
        </w:rPr>
        <w:t>Olympia &amp; York State Street Co.</w:t>
      </w:r>
      <w:r>
        <w:rPr>
          <w:rFonts w:ascii="Courier New" w:hAnsi="Courier New" w:cs="Courier New"/>
          <w:bCs/>
          <w:iCs/>
        </w:rPr>
        <w:t>, 428 Mass. at 239, 245.</w:t>
      </w:r>
      <w:r w:rsidR="00A81A50">
        <w:rPr>
          <w:rFonts w:ascii="Courier New" w:hAnsi="Courier New" w:cs="Courier New"/>
          <w:bCs/>
          <w:iCs/>
        </w:rPr>
        <w:t xml:space="preserve"> </w:t>
      </w:r>
      <w:r>
        <w:rPr>
          <w:rFonts w:ascii="Courier New" w:hAnsi="Courier New" w:cs="Courier New"/>
          <w:bCs/>
          <w:iCs/>
        </w:rPr>
        <w:t xml:space="preserve"> </w:t>
      </w:r>
      <w:r>
        <w:rPr>
          <w:rFonts w:ascii="Courier New" w:hAnsi="Courier New" w:cs="Courier New"/>
        </w:rPr>
        <w:t>The Board adopted the lower end of the appellant’s range of vacancy values but also found that the appellant’s remaining expenses were not supported by the evidence.  Instead, relying more on the appellee’s rates as well as exercising its own independent ju</w:t>
      </w:r>
      <w:r w:rsidR="00A81A50">
        <w:rPr>
          <w:rFonts w:ascii="Courier New" w:hAnsi="Courier New" w:cs="Courier New"/>
        </w:rPr>
        <w:t xml:space="preserve">dgment, the Board </w:t>
      </w:r>
      <w:r>
        <w:rPr>
          <w:rFonts w:ascii="Courier New" w:hAnsi="Courier New" w:cs="Courier New"/>
        </w:rPr>
        <w:t xml:space="preserve">calculated operating expenses and reserves for replacement for both fiscal years at issue.  </w:t>
      </w:r>
      <w:r>
        <w:rPr>
          <w:rFonts w:ascii="Courier New" w:hAnsi="Courier New" w:cs="Courier New"/>
          <w:i/>
        </w:rPr>
        <w:t xml:space="preserve">See </w:t>
      </w:r>
      <w:r>
        <w:rPr>
          <w:rFonts w:ascii="Courier New" w:hAnsi="Courier New" w:cs="Courier New"/>
          <w:b/>
          <w:i/>
        </w:rPr>
        <w:t>Star Margit ETR</w:t>
      </w:r>
      <w:r w:rsidR="001777C6">
        <w:rPr>
          <w:rFonts w:ascii="Courier New" w:hAnsi="Courier New" w:cs="Courier New"/>
          <w:b/>
          <w:i/>
        </w:rPr>
        <w:t xml:space="preserve"> v. Assessors of Woburn</w:t>
      </w:r>
      <w:r>
        <w:rPr>
          <w:rFonts w:ascii="Courier New" w:hAnsi="Courier New" w:cs="Courier New"/>
          <w:b/>
          <w:i/>
        </w:rPr>
        <w:t xml:space="preserve">, </w:t>
      </w:r>
      <w:r>
        <w:rPr>
          <w:rFonts w:ascii="Courier New" w:hAnsi="Courier New" w:cs="Courier New"/>
        </w:rPr>
        <w:t>Mass. ATB Findings of Fact and Reports</w:t>
      </w:r>
      <w:r w:rsidR="001777C6">
        <w:rPr>
          <w:rFonts w:ascii="Courier New" w:hAnsi="Courier New" w:cs="Courier New"/>
        </w:rPr>
        <w:t xml:space="preserve"> 2016-461, </w:t>
      </w:r>
      <w:r>
        <w:rPr>
          <w:rFonts w:ascii="Courier New" w:hAnsi="Courier New" w:cs="Courier New"/>
        </w:rPr>
        <w:t xml:space="preserve">473-74. </w:t>
      </w:r>
    </w:p>
    <w:p w14:paraId="08BFB5F4" w14:textId="0CE6A2FA" w:rsidR="00F638F6" w:rsidRDefault="00F638F6" w:rsidP="00F638F6">
      <w:pPr>
        <w:spacing w:line="480" w:lineRule="auto"/>
        <w:ind w:firstLine="720"/>
        <w:jc w:val="both"/>
        <w:rPr>
          <w:rFonts w:ascii="Courier New" w:hAnsi="Courier New" w:cs="Courier New"/>
        </w:rPr>
      </w:pPr>
      <w:r>
        <w:rPr>
          <w:rFonts w:ascii="Courier New" w:hAnsi="Courier New" w:cs="Courier New"/>
        </w:rPr>
        <w:t xml:space="preserve">The capitalization rate should reflect the return on investment necessary to attract investment capital.  </w:t>
      </w:r>
      <w:r w:rsidR="00ED7B11">
        <w:rPr>
          <w:rFonts w:ascii="Courier New" w:hAnsi="Courier New" w:cs="Courier New"/>
          <w:b/>
          <w:bCs/>
          <w:i/>
          <w:iCs/>
        </w:rPr>
        <w:t>Taunton Redevelopment Assoc</w:t>
      </w:r>
      <w:r w:rsidR="0063589F">
        <w:rPr>
          <w:rFonts w:ascii="Courier New" w:hAnsi="Courier New" w:cs="Courier New"/>
          <w:b/>
          <w:bCs/>
          <w:i/>
          <w:iCs/>
        </w:rPr>
        <w:t>iate</w:t>
      </w:r>
      <w:r>
        <w:rPr>
          <w:rFonts w:ascii="Courier New" w:hAnsi="Courier New" w:cs="Courier New"/>
          <w:b/>
          <w:bCs/>
          <w:i/>
          <w:iCs/>
        </w:rPr>
        <w:t>s,</w:t>
      </w:r>
      <w:r>
        <w:rPr>
          <w:rFonts w:ascii="Courier New" w:hAnsi="Courier New" w:cs="Courier New"/>
        </w:rPr>
        <w:t xml:space="preserve"> 393 Mass. at 295.  Based on the evidence presented, the Board adopted a 10% base </w:t>
      </w:r>
      <w:r>
        <w:rPr>
          <w:rFonts w:ascii="Courier New" w:hAnsi="Courier New" w:cs="Courier New"/>
        </w:rPr>
        <w:lastRenderedPageBreak/>
        <w:t>capitalization rate, to which it added the applicable pro-rata tax factor for both fiscal years at issue.</w:t>
      </w:r>
    </w:p>
    <w:p w14:paraId="3AF3780A" w14:textId="03AE239A" w:rsidR="009C1E7C" w:rsidRDefault="006F2F0C" w:rsidP="00F638F6">
      <w:pPr>
        <w:spacing w:line="480" w:lineRule="auto"/>
        <w:ind w:firstLine="720"/>
        <w:jc w:val="both"/>
        <w:rPr>
          <w:rFonts w:ascii="Courier New" w:hAnsi="Courier New" w:cs="Courier New"/>
        </w:rPr>
      </w:pPr>
      <w:r>
        <w:rPr>
          <w:rFonts w:ascii="Courier New" w:hAnsi="Courier New" w:cs="Courier New"/>
        </w:rPr>
        <w:t>For the old powerhouse, t</w:t>
      </w:r>
      <w:r w:rsidR="009C1E7C">
        <w:rPr>
          <w:rFonts w:ascii="Courier New" w:hAnsi="Courier New" w:cs="Courier New"/>
        </w:rPr>
        <w:t>he Board adopted the appellee’s figures for rents, applied the same vacancy rate that it applied to the subject mill, and made slight adjustments to the expenses to reach a rounded fa</w:t>
      </w:r>
      <w:r>
        <w:rPr>
          <w:rFonts w:ascii="Courier New" w:hAnsi="Courier New" w:cs="Courier New"/>
        </w:rPr>
        <w:t>ir market value</w:t>
      </w:r>
      <w:r w:rsidR="009C1E7C">
        <w:rPr>
          <w:rFonts w:ascii="Courier New" w:hAnsi="Courier New" w:cs="Courier New"/>
        </w:rPr>
        <w:t xml:space="preserve">.  The Board </w:t>
      </w:r>
      <w:r>
        <w:rPr>
          <w:rFonts w:ascii="Courier New" w:hAnsi="Courier New" w:cs="Courier New"/>
        </w:rPr>
        <w:t xml:space="preserve">then adopted </w:t>
      </w:r>
      <w:r w:rsidR="00A81A50">
        <w:rPr>
          <w:rFonts w:ascii="Courier New" w:hAnsi="Courier New" w:cs="Courier New"/>
        </w:rPr>
        <w:t xml:space="preserve">in full </w:t>
      </w:r>
      <w:r>
        <w:rPr>
          <w:rFonts w:ascii="Courier New" w:hAnsi="Courier New" w:cs="Courier New"/>
        </w:rPr>
        <w:t>the assessments for the service garage and yard items</w:t>
      </w:r>
      <w:r w:rsidR="00A81A50">
        <w:rPr>
          <w:rFonts w:ascii="Courier New" w:hAnsi="Courier New" w:cs="Courier New"/>
        </w:rPr>
        <w:t>, finding these assessments to properly reflect the items’ fair market values</w:t>
      </w:r>
      <w:r>
        <w:rPr>
          <w:rFonts w:ascii="Courier New" w:hAnsi="Courier New" w:cs="Courier New"/>
        </w:rPr>
        <w:t xml:space="preserve">.  </w:t>
      </w:r>
    </w:p>
    <w:p w14:paraId="0B466220" w14:textId="1F46C279" w:rsidR="006F2F0C" w:rsidRDefault="006F2F0C" w:rsidP="006F2F0C">
      <w:pPr>
        <w:spacing w:line="480" w:lineRule="auto"/>
        <w:ind w:firstLine="720"/>
        <w:jc w:val="both"/>
        <w:rPr>
          <w:rFonts w:ascii="Courier New" w:hAnsi="Courier New"/>
        </w:rPr>
      </w:pPr>
      <w:r w:rsidRPr="00192E5B">
        <w:rPr>
          <w:rFonts w:ascii="Courier New" w:hAnsi="Courier New" w:cs="Courier New"/>
        </w:rPr>
        <w:t>The Board is not required to believe the testimony of any particular witness or to adopt any particular method of valuation that an expert witness suggests.  Rather, the Board can accept those portions of the evidence that the Board determines have more convincing weight</w:t>
      </w:r>
      <w:r>
        <w:rPr>
          <w:rFonts w:ascii="Courier New" w:hAnsi="Courier New" w:cs="Courier New"/>
        </w:rPr>
        <w:t>, and form its own independent judgment of fair market value</w:t>
      </w:r>
      <w:r w:rsidRPr="00192E5B">
        <w:rPr>
          <w:rFonts w:ascii="Courier New" w:hAnsi="Courier New" w:cs="Courier New"/>
        </w:rPr>
        <w:t xml:space="preserve">.  </w:t>
      </w:r>
      <w:r>
        <w:rPr>
          <w:rFonts w:ascii="Courier New" w:hAnsi="Courier New"/>
          <w:b/>
          <w:i/>
        </w:rPr>
        <w:t>Foxboro Associates v. Board of Assessors of Foxborough</w:t>
      </w:r>
      <w:r>
        <w:rPr>
          <w:rFonts w:ascii="Courier New" w:hAnsi="Courier New"/>
        </w:rPr>
        <w:t>, 385 Mass. 679, 683 (1982)</w:t>
      </w:r>
      <w:r w:rsidRPr="00192E5B">
        <w:rPr>
          <w:rFonts w:ascii="Courier New" w:hAnsi="Courier New" w:cs="Courier New"/>
        </w:rPr>
        <w:t xml:space="preserve">; </w:t>
      </w:r>
      <w:r>
        <w:rPr>
          <w:rFonts w:ascii="Courier New" w:hAnsi="Courier New"/>
          <w:b/>
          <w:i/>
        </w:rPr>
        <w:t>New Boston Garden Corp. v. Assessors of Boston</w:t>
      </w:r>
      <w:r>
        <w:rPr>
          <w:rFonts w:ascii="Courier New" w:hAnsi="Courier New"/>
        </w:rPr>
        <w:t>, 383 Mass. 456, 473 (1981)</w:t>
      </w:r>
      <w:r w:rsidRPr="00192E5B">
        <w:rPr>
          <w:rFonts w:ascii="Courier New" w:hAnsi="Courier New" w:cs="Courier New"/>
        </w:rPr>
        <w:t xml:space="preserve">; </w:t>
      </w:r>
      <w:r>
        <w:rPr>
          <w:rFonts w:ascii="Courier New" w:hAnsi="Courier New"/>
          <w:b/>
          <w:i/>
        </w:rPr>
        <w:t>New England Oyster House, Inc.</w:t>
      </w:r>
      <w:r w:rsidR="00150702" w:rsidRPr="00150702">
        <w:rPr>
          <w:rFonts w:ascii="Courier New" w:hAnsi="Courier New"/>
        </w:rPr>
        <w:t>,</w:t>
      </w:r>
      <w:r>
        <w:rPr>
          <w:rFonts w:ascii="Courier New" w:hAnsi="Courier New"/>
          <w:b/>
          <w:i/>
        </w:rPr>
        <w:t xml:space="preserve"> </w:t>
      </w:r>
      <w:r w:rsidR="00150702" w:rsidRPr="00150702">
        <w:rPr>
          <w:rFonts w:ascii="Courier New" w:hAnsi="Courier New"/>
        </w:rPr>
        <w:t>362</w:t>
      </w:r>
      <w:r w:rsidR="00150702">
        <w:rPr>
          <w:rFonts w:ascii="Courier New" w:hAnsi="Courier New"/>
        </w:rPr>
        <w:t xml:space="preserve"> Mass. </w:t>
      </w:r>
      <w:r>
        <w:rPr>
          <w:rFonts w:ascii="Courier New" w:hAnsi="Courier New"/>
        </w:rPr>
        <w:t>at 701-02</w:t>
      </w:r>
      <w:r>
        <w:rPr>
          <w:rFonts w:ascii="Courier New" w:hAnsi="Courier New" w:cs="Courier New"/>
        </w:rPr>
        <w:t xml:space="preserve">; </w:t>
      </w:r>
      <w:r w:rsidRPr="006223B0">
        <w:rPr>
          <w:rFonts w:ascii="Courier New" w:hAnsi="Courier New" w:cs="Courier New"/>
          <w:b/>
          <w:i/>
        </w:rPr>
        <w:t>General Electric Co.</w:t>
      </w:r>
      <w:r w:rsidRPr="00192E5B">
        <w:rPr>
          <w:rFonts w:ascii="Courier New" w:hAnsi="Courier New" w:cs="Courier New"/>
          <w:i/>
        </w:rPr>
        <w:t xml:space="preserve">, </w:t>
      </w:r>
      <w:r w:rsidRPr="00192E5B">
        <w:rPr>
          <w:rFonts w:ascii="Courier New" w:hAnsi="Courier New" w:cs="Courier New"/>
        </w:rPr>
        <w:t>393</w:t>
      </w:r>
      <w:r w:rsidR="00CB7524">
        <w:rPr>
          <w:rFonts w:ascii="Courier New" w:hAnsi="Courier New" w:cs="Courier New"/>
        </w:rPr>
        <w:t> </w:t>
      </w:r>
      <w:r w:rsidRPr="00192E5B">
        <w:rPr>
          <w:rFonts w:ascii="Courier New" w:hAnsi="Courier New" w:cs="Courier New"/>
        </w:rPr>
        <w:t xml:space="preserve">Mass. at 605; </w:t>
      </w:r>
      <w:r w:rsidRPr="006223B0">
        <w:rPr>
          <w:rFonts w:ascii="Courier New" w:hAnsi="Courier New" w:cs="Courier New"/>
          <w:b/>
          <w:i/>
        </w:rPr>
        <w:t>North American Philips Lighting Corp. v. Assessors of Lynn</w:t>
      </w:r>
      <w:r w:rsidRPr="00192E5B">
        <w:rPr>
          <w:rFonts w:ascii="Courier New" w:hAnsi="Courier New" w:cs="Courier New"/>
        </w:rPr>
        <w:t>, 392 Mass. 296, 300 (1984).</w:t>
      </w:r>
      <w:r>
        <w:rPr>
          <w:rFonts w:ascii="Courier New" w:hAnsi="Courier New" w:cs="Courier New"/>
        </w:rPr>
        <w:t xml:space="preserve"> </w:t>
      </w:r>
      <w:r w:rsidR="00CB7524">
        <w:rPr>
          <w:rFonts w:ascii="Courier New" w:hAnsi="Courier New" w:cs="Courier New"/>
        </w:rPr>
        <w:t> </w:t>
      </w:r>
      <w:r w:rsidRPr="005451E8">
        <w:rPr>
          <w:rFonts w:ascii="Courier New" w:hAnsi="Courier New" w:cs="Courier New"/>
        </w:rPr>
        <w:t>In evaluating the evidence before it</w:t>
      </w:r>
      <w:r>
        <w:rPr>
          <w:rFonts w:ascii="Courier New" w:hAnsi="Courier New" w:cs="Courier New"/>
        </w:rPr>
        <w:t xml:space="preserve"> in the instant appeals</w:t>
      </w:r>
      <w:r w:rsidRPr="005451E8">
        <w:rPr>
          <w:rFonts w:ascii="Courier New" w:hAnsi="Courier New" w:cs="Courier New"/>
        </w:rPr>
        <w:t xml:space="preserve">, the Board selected among the various elements of value and </w:t>
      </w:r>
      <w:r>
        <w:rPr>
          <w:rFonts w:ascii="Courier New" w:hAnsi="Courier New" w:cs="Courier New"/>
        </w:rPr>
        <w:lastRenderedPageBreak/>
        <w:t xml:space="preserve">appropriately </w:t>
      </w:r>
      <w:r w:rsidRPr="005451E8">
        <w:rPr>
          <w:rFonts w:ascii="Courier New" w:hAnsi="Courier New" w:cs="Courier New"/>
        </w:rPr>
        <w:t xml:space="preserve">formed its own independent judgment of fair cash value.  </w:t>
      </w:r>
      <w:r w:rsidRPr="005451E8">
        <w:rPr>
          <w:rFonts w:ascii="Courier New" w:hAnsi="Courier New" w:cs="Courier New"/>
          <w:b/>
          <w:bCs/>
          <w:i/>
          <w:iCs/>
        </w:rPr>
        <w:t>Gener</w:t>
      </w:r>
      <w:r>
        <w:rPr>
          <w:rFonts w:ascii="Courier New" w:hAnsi="Courier New" w:cs="Courier New"/>
          <w:b/>
          <w:bCs/>
          <w:i/>
          <w:iCs/>
        </w:rPr>
        <w:t>al Electric Co.</w:t>
      </w:r>
      <w:r w:rsidRPr="005451E8">
        <w:rPr>
          <w:rFonts w:ascii="Courier New" w:hAnsi="Courier New" w:cs="Courier New"/>
          <w:b/>
          <w:bCs/>
          <w:i/>
          <w:iCs/>
        </w:rPr>
        <w:t>,</w:t>
      </w:r>
      <w:r w:rsidRPr="005451E8">
        <w:rPr>
          <w:rFonts w:ascii="Courier New" w:hAnsi="Courier New" w:cs="Courier New"/>
        </w:rPr>
        <w:t xml:space="preserve"> 393 Mass. at 605; </w:t>
      </w:r>
      <w:r w:rsidRPr="005451E8">
        <w:rPr>
          <w:rFonts w:ascii="Courier New" w:hAnsi="Courier New" w:cs="Courier New"/>
          <w:b/>
          <w:bCs/>
          <w:i/>
          <w:iCs/>
        </w:rPr>
        <w:t>North American Philips Lighting Corp.,</w:t>
      </w:r>
      <w:r w:rsidRPr="005451E8">
        <w:rPr>
          <w:rFonts w:ascii="Courier New" w:hAnsi="Courier New" w:cs="Courier New"/>
        </w:rPr>
        <w:t xml:space="preserve"> 392 Mass</w:t>
      </w:r>
      <w:r>
        <w:rPr>
          <w:rFonts w:ascii="Courier New" w:hAnsi="Courier New" w:cs="Courier New"/>
        </w:rPr>
        <w:t>. at 300</w:t>
      </w:r>
      <w:r w:rsidRPr="005451E8">
        <w:rPr>
          <w:rFonts w:ascii="Courier New" w:hAnsi="Courier New" w:cs="Courier New"/>
        </w:rPr>
        <w:t>.</w:t>
      </w:r>
      <w:r>
        <w:rPr>
          <w:rFonts w:ascii="Courier New" w:hAnsi="Courier New" w:cs="Courier New"/>
        </w:rPr>
        <w:t xml:space="preserve">  </w:t>
      </w:r>
      <w:r>
        <w:rPr>
          <w:rFonts w:ascii="Courier New" w:hAnsi="Courier New"/>
        </w:rPr>
        <w:t xml:space="preserve">“The credibility of witnesses, the weight of the evidence, and inferences to be drawn from the evidence are matters for the Board.  </w:t>
      </w:r>
      <w:r>
        <w:rPr>
          <w:rFonts w:ascii="Courier New" w:hAnsi="Courier New"/>
          <w:b/>
          <w:i/>
        </w:rPr>
        <w:t>Cummington School of the Arts, Inc. v. Assessors of Cummington,</w:t>
      </w:r>
      <w:r>
        <w:rPr>
          <w:rFonts w:ascii="Courier New" w:hAnsi="Courier New"/>
        </w:rPr>
        <w:t xml:space="preserve"> 373 Mass. 597, 605 (1977).  </w:t>
      </w:r>
    </w:p>
    <w:p w14:paraId="1CD6C36F" w14:textId="6BB2D50D" w:rsidR="006F2F0C" w:rsidRDefault="006F2F0C" w:rsidP="006F2F0C">
      <w:pPr>
        <w:spacing w:line="480" w:lineRule="auto"/>
        <w:ind w:firstLine="720"/>
        <w:jc w:val="both"/>
        <w:rPr>
          <w:rFonts w:ascii="Courier New" w:hAnsi="Courier New" w:cs="Courier New"/>
        </w:rPr>
      </w:pPr>
      <w:r>
        <w:rPr>
          <w:rFonts w:ascii="Courier New" w:hAnsi="Courier New" w:cs="Courier New"/>
        </w:rPr>
        <w:t xml:space="preserve">On the basis of the Board’s analyses, the Board found and ruled that the subject property was overvalued by $535,300 for fiscal year 2015 and by $774,000 for fiscal year 2016.  The Board thus issued </w:t>
      </w:r>
      <w:r w:rsidR="003E0749">
        <w:rPr>
          <w:rFonts w:ascii="Courier New" w:hAnsi="Courier New" w:cs="Courier New"/>
        </w:rPr>
        <w:t xml:space="preserve">a </w:t>
      </w:r>
      <w:r>
        <w:rPr>
          <w:rFonts w:ascii="Courier New" w:hAnsi="Courier New" w:cs="Courier New"/>
        </w:rPr>
        <w:t xml:space="preserve">decision for the appellant and ordered </w:t>
      </w:r>
      <w:r w:rsidR="003E0749">
        <w:rPr>
          <w:rFonts w:ascii="Courier New" w:hAnsi="Courier New" w:cs="Courier New"/>
        </w:rPr>
        <w:t xml:space="preserve">an </w:t>
      </w:r>
      <w:r>
        <w:rPr>
          <w:rFonts w:ascii="Courier New" w:hAnsi="Courier New" w:cs="Courier New"/>
        </w:rPr>
        <w:t xml:space="preserve">abatement </w:t>
      </w:r>
      <w:r w:rsidR="003E0749">
        <w:rPr>
          <w:rFonts w:ascii="Courier New" w:hAnsi="Courier New" w:cs="Courier New"/>
        </w:rPr>
        <w:t xml:space="preserve">of taxes </w:t>
      </w:r>
      <w:r>
        <w:rPr>
          <w:rFonts w:ascii="Courier New" w:hAnsi="Courier New" w:cs="Courier New"/>
        </w:rPr>
        <w:t xml:space="preserve">in the amount of $7,665.50 in Docket No. F325676 and $8,506.26 in Docket No. F329589.  </w:t>
      </w:r>
    </w:p>
    <w:p w14:paraId="761430FE" w14:textId="77777777" w:rsidR="006F2F0C" w:rsidRDefault="006F2F0C" w:rsidP="006F2F0C">
      <w:pPr>
        <w:ind w:left="2880" w:firstLine="720"/>
        <w:jc w:val="both"/>
        <w:rPr>
          <w:rFonts w:ascii="Courier New" w:hAnsi="Courier New" w:cs="Courier New"/>
          <w:b/>
        </w:rPr>
      </w:pPr>
    </w:p>
    <w:p w14:paraId="7FA87EE6" w14:textId="77777777" w:rsidR="006F2F0C" w:rsidRDefault="006F2F0C" w:rsidP="006F2F0C">
      <w:pPr>
        <w:ind w:left="2880" w:firstLine="720"/>
        <w:jc w:val="both"/>
        <w:rPr>
          <w:rFonts w:ascii="Courier New" w:hAnsi="Courier New" w:cs="Courier New"/>
          <w:b/>
        </w:rPr>
      </w:pPr>
    </w:p>
    <w:p w14:paraId="7E193CB4" w14:textId="69FFC710" w:rsidR="006F2F0C" w:rsidRDefault="006F2F0C" w:rsidP="006F2F0C">
      <w:pPr>
        <w:ind w:left="2880" w:firstLine="720"/>
        <w:jc w:val="both"/>
        <w:rPr>
          <w:rFonts w:ascii="Courier New" w:hAnsi="Courier New" w:cs="Courier New"/>
          <w:b/>
        </w:rPr>
      </w:pPr>
      <w:r>
        <w:rPr>
          <w:rFonts w:ascii="Courier New" w:hAnsi="Courier New" w:cs="Courier New"/>
          <w:b/>
        </w:rPr>
        <w:t xml:space="preserve"> </w:t>
      </w:r>
      <w:r w:rsidRPr="006C660D">
        <w:rPr>
          <w:rFonts w:ascii="Courier New" w:hAnsi="Courier New" w:cs="Courier New"/>
          <w:b/>
        </w:rPr>
        <w:t>THE APPELLATE TAX BOARD</w:t>
      </w:r>
    </w:p>
    <w:p w14:paraId="293ACF09" w14:textId="77777777" w:rsidR="006F2F0C" w:rsidRDefault="006F2F0C" w:rsidP="006F2F0C">
      <w:pPr>
        <w:ind w:left="2880" w:firstLine="720"/>
        <w:jc w:val="both"/>
        <w:rPr>
          <w:rFonts w:ascii="Courier New" w:hAnsi="Courier New" w:cs="Courier New"/>
          <w:b/>
        </w:rPr>
      </w:pPr>
    </w:p>
    <w:p w14:paraId="502559AB" w14:textId="77777777" w:rsidR="006F2F0C" w:rsidRDefault="006F2F0C" w:rsidP="006F2F0C">
      <w:pPr>
        <w:ind w:left="2880" w:firstLine="720"/>
        <w:jc w:val="both"/>
        <w:rPr>
          <w:rFonts w:ascii="Courier New" w:hAnsi="Courier New" w:cs="Courier New"/>
          <w:b/>
        </w:rPr>
      </w:pPr>
    </w:p>
    <w:p w14:paraId="43EDE750" w14:textId="77777777" w:rsidR="006F2F0C" w:rsidRDefault="006F2F0C" w:rsidP="006F2F0C">
      <w:pPr>
        <w:ind w:left="2880" w:firstLine="720"/>
        <w:jc w:val="both"/>
        <w:rPr>
          <w:rFonts w:ascii="Courier New" w:hAnsi="Courier New" w:cs="Courier New"/>
          <w:b/>
        </w:rPr>
      </w:pPr>
    </w:p>
    <w:p w14:paraId="18CFBB03" w14:textId="77777777" w:rsidR="006F2F0C" w:rsidRPr="006C660D" w:rsidRDefault="006F2F0C" w:rsidP="006F2F0C">
      <w:pPr>
        <w:ind w:left="2880" w:firstLine="720"/>
        <w:jc w:val="both"/>
        <w:rPr>
          <w:rFonts w:ascii="Courier New" w:hAnsi="Courier New" w:cs="Courier New"/>
          <w:b/>
        </w:rPr>
      </w:pPr>
    </w:p>
    <w:p w14:paraId="7446187C" w14:textId="6B81FFA5" w:rsidR="006F2F0C" w:rsidRPr="002E6D85" w:rsidRDefault="006F2F0C" w:rsidP="006F2F0C">
      <w:pPr>
        <w:ind w:left="3315"/>
        <w:jc w:val="both"/>
        <w:rPr>
          <w:rFonts w:ascii="Courier New" w:hAnsi="Courier New" w:cs="Courier New"/>
          <w:b/>
        </w:rPr>
      </w:pPr>
      <w:r w:rsidRPr="002E6D85">
        <w:rPr>
          <w:rFonts w:ascii="Courier New" w:hAnsi="Courier New" w:cs="Courier New"/>
          <w:b/>
        </w:rPr>
        <w:t>By:</w:t>
      </w:r>
      <w:r>
        <w:rPr>
          <w:rFonts w:ascii="Courier New" w:hAnsi="Courier New" w:cs="Courier New"/>
          <w:b/>
          <w:u w:val="single"/>
        </w:rPr>
        <w:tab/>
        <w:t>_____</w:t>
      </w:r>
      <w:r w:rsidRPr="002E6D85">
        <w:rPr>
          <w:rFonts w:ascii="Courier New" w:hAnsi="Courier New" w:cs="Courier New"/>
          <w:b/>
          <w:u w:val="single"/>
        </w:rPr>
        <w:t>   __________________</w:t>
      </w:r>
      <w:r w:rsidR="00CB7524">
        <w:rPr>
          <w:rFonts w:ascii="Courier New" w:hAnsi="Courier New" w:cs="Courier New"/>
          <w:b/>
          <w:u w:val="single"/>
        </w:rPr>
        <w:t>___</w:t>
      </w:r>
      <w:r w:rsidRPr="002E6D85">
        <w:rPr>
          <w:rFonts w:ascii="Courier New" w:hAnsi="Courier New" w:cs="Courier New"/>
          <w:b/>
        </w:rPr>
        <w:tab/>
        <w:t xml:space="preserve">       </w:t>
      </w:r>
    </w:p>
    <w:p w14:paraId="4026484E" w14:textId="753943BD" w:rsidR="006F2F0C" w:rsidRPr="006C660D" w:rsidRDefault="006F2F0C" w:rsidP="006F2F0C">
      <w:pPr>
        <w:ind w:left="3315" w:firstLine="285"/>
        <w:jc w:val="both"/>
        <w:rPr>
          <w:rFonts w:ascii="Courier New" w:hAnsi="Courier New" w:cs="Courier New"/>
          <w:b/>
        </w:rPr>
      </w:pPr>
      <w:r>
        <w:rPr>
          <w:rFonts w:ascii="Courier New" w:hAnsi="Courier New" w:cs="Courier New"/>
          <w:b/>
        </w:rPr>
        <w:t xml:space="preserve"> </w:t>
      </w:r>
      <w:r w:rsidRPr="002E6D85">
        <w:rPr>
          <w:rFonts w:ascii="Courier New" w:hAnsi="Courier New" w:cs="Courier New"/>
          <w:b/>
        </w:rPr>
        <w:t>Thomas W. Hammond, Jr., Chairman</w:t>
      </w:r>
      <w:r w:rsidRPr="006C660D">
        <w:rPr>
          <w:rFonts w:ascii="Courier New" w:hAnsi="Courier New" w:cs="Courier New"/>
          <w:b/>
        </w:rPr>
        <w:t xml:space="preserve"> </w:t>
      </w:r>
    </w:p>
    <w:p w14:paraId="17B0AA89" w14:textId="77777777" w:rsidR="006F2F0C" w:rsidRPr="006C660D" w:rsidRDefault="006F2F0C" w:rsidP="006F2F0C">
      <w:pPr>
        <w:jc w:val="both"/>
        <w:rPr>
          <w:rFonts w:ascii="Courier New" w:hAnsi="Courier New" w:cs="Courier New"/>
          <w:b/>
        </w:rPr>
      </w:pPr>
    </w:p>
    <w:p w14:paraId="6F8B0735" w14:textId="77777777" w:rsidR="006F2F0C" w:rsidRDefault="006F2F0C" w:rsidP="006F2F0C">
      <w:pPr>
        <w:jc w:val="both"/>
        <w:rPr>
          <w:rFonts w:ascii="Courier New" w:hAnsi="Courier New" w:cs="Courier New"/>
          <w:b/>
        </w:rPr>
      </w:pPr>
    </w:p>
    <w:p w14:paraId="3A39C984" w14:textId="77777777" w:rsidR="00524C71" w:rsidRPr="002E6D85" w:rsidRDefault="00524C71" w:rsidP="00524C71">
      <w:pPr>
        <w:jc w:val="both"/>
        <w:rPr>
          <w:rFonts w:ascii="Courier New" w:hAnsi="Courier New" w:cs="Courier New"/>
          <w:b/>
        </w:rPr>
      </w:pPr>
      <w:r w:rsidRPr="002E6D85">
        <w:rPr>
          <w:rFonts w:ascii="Courier New" w:hAnsi="Courier New" w:cs="Courier New"/>
          <w:b/>
        </w:rPr>
        <w:t>A true copy,</w:t>
      </w:r>
    </w:p>
    <w:p w14:paraId="55F4ACA3" w14:textId="77777777" w:rsidR="00524C71" w:rsidRPr="002E6D85" w:rsidRDefault="00524C71" w:rsidP="00524C71">
      <w:pPr>
        <w:jc w:val="both"/>
        <w:rPr>
          <w:rFonts w:ascii="Courier New" w:hAnsi="Courier New" w:cs="Courier New"/>
          <w:b/>
        </w:rPr>
      </w:pPr>
    </w:p>
    <w:p w14:paraId="268FC155" w14:textId="77777777" w:rsidR="00524C71" w:rsidRPr="002E6D85" w:rsidRDefault="00524C71" w:rsidP="00524C71">
      <w:pPr>
        <w:jc w:val="both"/>
        <w:rPr>
          <w:rFonts w:ascii="Courier New" w:hAnsi="Courier New" w:cs="Courier New"/>
          <w:b/>
        </w:rPr>
      </w:pPr>
    </w:p>
    <w:p w14:paraId="73F8A4BB" w14:textId="77777777" w:rsidR="00524C71" w:rsidRPr="002E6D85" w:rsidRDefault="00524C71" w:rsidP="00524C71">
      <w:pPr>
        <w:jc w:val="both"/>
        <w:rPr>
          <w:rFonts w:ascii="Courier New" w:hAnsi="Courier New" w:cs="Courier New"/>
          <w:b/>
          <w:u w:val="single"/>
        </w:rPr>
      </w:pPr>
      <w:r w:rsidRPr="002E6D85">
        <w:rPr>
          <w:rFonts w:ascii="Courier New" w:hAnsi="Courier New" w:cs="Courier New"/>
          <w:b/>
        </w:rPr>
        <w:t>Attest:</w:t>
      </w:r>
      <w:r w:rsidRPr="002E6D85">
        <w:rPr>
          <w:rFonts w:ascii="Courier New" w:hAnsi="Courier New" w:cs="Courier New"/>
          <w:b/>
          <w:u w:val="single"/>
        </w:rPr>
        <w:tab/>
      </w:r>
      <w:r w:rsidRPr="002E6D85">
        <w:rPr>
          <w:rFonts w:ascii="Courier New" w:hAnsi="Courier New" w:cs="Courier New"/>
          <w:b/>
          <w:u w:val="single"/>
        </w:rPr>
        <w:tab/>
      </w:r>
      <w:r w:rsidRPr="002E6D85">
        <w:rPr>
          <w:rFonts w:ascii="Courier New" w:hAnsi="Courier New" w:cs="Courier New"/>
          <w:b/>
          <w:u w:val="single"/>
        </w:rPr>
        <w:tab/>
      </w:r>
      <w:r w:rsidRPr="002E6D85">
        <w:rPr>
          <w:rFonts w:ascii="Courier New" w:hAnsi="Courier New" w:cs="Courier New"/>
          <w:b/>
          <w:u w:val="single"/>
        </w:rPr>
        <w:tab/>
        <w:t>_____</w:t>
      </w:r>
      <w:r w:rsidRPr="002E6D85">
        <w:rPr>
          <w:rFonts w:ascii="Courier New" w:hAnsi="Courier New" w:cs="Courier New"/>
          <w:b/>
          <w:u w:val="single"/>
        </w:rPr>
        <w:softHyphen/>
      </w:r>
      <w:r w:rsidRPr="002E6D85">
        <w:rPr>
          <w:rFonts w:ascii="Courier New" w:hAnsi="Courier New" w:cs="Courier New"/>
          <w:b/>
          <w:u w:val="single"/>
        </w:rPr>
        <w:softHyphen/>
      </w:r>
      <w:r w:rsidRPr="002E6D85">
        <w:rPr>
          <w:rFonts w:ascii="Courier New" w:hAnsi="Courier New" w:cs="Courier New"/>
          <w:b/>
          <w:u w:val="single"/>
        </w:rPr>
        <w:softHyphen/>
      </w:r>
      <w:r w:rsidRPr="002E6D85">
        <w:rPr>
          <w:rFonts w:ascii="Courier New" w:hAnsi="Courier New" w:cs="Courier New"/>
          <w:b/>
          <w:u w:val="single"/>
        </w:rPr>
        <w:softHyphen/>
        <w:t>______</w:t>
      </w:r>
    </w:p>
    <w:p w14:paraId="24D48562" w14:textId="77777777" w:rsidR="00524C71" w:rsidRPr="006F2F0C" w:rsidRDefault="00524C71" w:rsidP="00524C71">
      <w:pPr>
        <w:jc w:val="both"/>
        <w:rPr>
          <w:rFonts w:ascii="Courier New" w:hAnsi="Courier New" w:cs="Courier New"/>
        </w:rPr>
      </w:pPr>
      <w:r w:rsidRPr="002E6D85">
        <w:rPr>
          <w:rFonts w:ascii="Courier New" w:hAnsi="Courier New" w:cs="Courier New"/>
          <w:b/>
        </w:rPr>
        <w:tab/>
        <w:t xml:space="preserve">    Clerk of the Board</w:t>
      </w:r>
      <w:r>
        <w:rPr>
          <w:rFonts w:ascii="Courier New" w:hAnsi="Courier New" w:cs="Courier New"/>
        </w:rPr>
        <w:t xml:space="preserve">  </w:t>
      </w:r>
    </w:p>
    <w:p w14:paraId="43A07A5C" w14:textId="77777777" w:rsidR="006F2F0C" w:rsidRDefault="006F2F0C" w:rsidP="006F2F0C">
      <w:pPr>
        <w:jc w:val="both"/>
        <w:rPr>
          <w:rFonts w:ascii="Courier New" w:hAnsi="Courier New" w:cs="Courier New"/>
          <w:b/>
        </w:rPr>
      </w:pPr>
    </w:p>
    <w:sectPr w:rsidR="006F2F0C" w:rsidSect="00524C71">
      <w:footerReference w:type="even" r:id="rId11"/>
      <w:footerReference w:type="default" r:id="rId12"/>
      <w:pgSz w:w="12240" w:h="15840"/>
      <w:pgMar w:top="1440" w:right="1800" w:bottom="1440" w:left="1800" w:header="720" w:footer="720" w:gutter="0"/>
      <w:pgNumType w:start="65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324644" w14:textId="77777777" w:rsidR="00586512" w:rsidRDefault="00586512" w:rsidP="00BA2F24">
      <w:r>
        <w:separator/>
      </w:r>
    </w:p>
  </w:endnote>
  <w:endnote w:type="continuationSeparator" w:id="0">
    <w:p w14:paraId="5A7BA973" w14:textId="77777777" w:rsidR="00586512" w:rsidRDefault="00586512" w:rsidP="00BA2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299C0" w14:textId="77777777" w:rsidR="00586512" w:rsidRDefault="00586512" w:rsidP="00BA26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EE918D" w14:textId="77777777" w:rsidR="00586512" w:rsidRDefault="00586512" w:rsidP="00BC45F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72D57" w14:textId="7873ED61" w:rsidR="00586512" w:rsidRPr="00524C71" w:rsidRDefault="00524C71" w:rsidP="00524C71">
    <w:pPr>
      <w:pStyle w:val="Footer"/>
      <w:framePr w:w="1765" w:h="229" w:hRule="exact" w:wrap="around" w:vAnchor="text" w:hAnchor="page" w:x="5233" w:y="133"/>
      <w:rPr>
        <w:rStyle w:val="PageNumber"/>
        <w:rFonts w:ascii="Courier New" w:hAnsi="Courier New" w:cs="Courier New"/>
        <w:b/>
      </w:rPr>
    </w:pPr>
    <w:r w:rsidRPr="00524C71">
      <w:rPr>
        <w:rStyle w:val="PageNumber"/>
        <w:rFonts w:ascii="Courier New" w:hAnsi="Courier New" w:cs="Courier New"/>
        <w:b/>
      </w:rPr>
      <w:t>ATB 2018-</w:t>
    </w:r>
    <w:r w:rsidR="00586512" w:rsidRPr="00524C71">
      <w:rPr>
        <w:rStyle w:val="PageNumber"/>
        <w:rFonts w:ascii="Courier New" w:hAnsi="Courier New" w:cs="Courier New"/>
        <w:b/>
      </w:rPr>
      <w:fldChar w:fldCharType="begin"/>
    </w:r>
    <w:r w:rsidR="00586512" w:rsidRPr="00524C71">
      <w:rPr>
        <w:rStyle w:val="PageNumber"/>
        <w:rFonts w:ascii="Courier New" w:hAnsi="Courier New" w:cs="Courier New"/>
        <w:b/>
      </w:rPr>
      <w:instrText xml:space="preserve">PAGE  </w:instrText>
    </w:r>
    <w:r w:rsidR="00586512" w:rsidRPr="00524C71">
      <w:rPr>
        <w:rStyle w:val="PageNumber"/>
        <w:rFonts w:ascii="Courier New" w:hAnsi="Courier New" w:cs="Courier New"/>
        <w:b/>
      </w:rPr>
      <w:fldChar w:fldCharType="separate"/>
    </w:r>
    <w:r w:rsidR="00692C5F">
      <w:rPr>
        <w:rStyle w:val="PageNumber"/>
        <w:rFonts w:ascii="Courier New" w:hAnsi="Courier New" w:cs="Courier New"/>
        <w:b/>
        <w:noProof/>
      </w:rPr>
      <w:t>654</w:t>
    </w:r>
    <w:r w:rsidR="00586512" w:rsidRPr="00524C71">
      <w:rPr>
        <w:rStyle w:val="PageNumber"/>
        <w:rFonts w:ascii="Courier New" w:hAnsi="Courier New" w:cs="Courier New"/>
        <w:b/>
      </w:rPr>
      <w:fldChar w:fldCharType="end"/>
    </w:r>
  </w:p>
  <w:p w14:paraId="5C355051" w14:textId="77777777" w:rsidR="00586512" w:rsidRDefault="00586512" w:rsidP="00BC45F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A12A4F" w14:textId="77777777" w:rsidR="00586512" w:rsidRDefault="00586512" w:rsidP="00BA2F24">
      <w:r>
        <w:separator/>
      </w:r>
    </w:p>
  </w:footnote>
  <w:footnote w:type="continuationSeparator" w:id="0">
    <w:p w14:paraId="3D55CEC9" w14:textId="77777777" w:rsidR="00586512" w:rsidRDefault="00586512" w:rsidP="00BA2F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E3B"/>
    <w:rsid w:val="00010260"/>
    <w:rsid w:val="000155B5"/>
    <w:rsid w:val="0002084C"/>
    <w:rsid w:val="00031B9D"/>
    <w:rsid w:val="00052AF2"/>
    <w:rsid w:val="00056DF7"/>
    <w:rsid w:val="0006004F"/>
    <w:rsid w:val="00064F90"/>
    <w:rsid w:val="00076AC9"/>
    <w:rsid w:val="00082B19"/>
    <w:rsid w:val="00092615"/>
    <w:rsid w:val="00094A5C"/>
    <w:rsid w:val="00094C85"/>
    <w:rsid w:val="000A5558"/>
    <w:rsid w:val="000B1E7E"/>
    <w:rsid w:val="000B6323"/>
    <w:rsid w:val="000C549C"/>
    <w:rsid w:val="000C64F9"/>
    <w:rsid w:val="000C79A8"/>
    <w:rsid w:val="000D728B"/>
    <w:rsid w:val="000D728E"/>
    <w:rsid w:val="000E2783"/>
    <w:rsid w:val="000E334C"/>
    <w:rsid w:val="000F0BCD"/>
    <w:rsid w:val="000F2172"/>
    <w:rsid w:val="0010518D"/>
    <w:rsid w:val="001169CE"/>
    <w:rsid w:val="001261CC"/>
    <w:rsid w:val="00150702"/>
    <w:rsid w:val="0016279B"/>
    <w:rsid w:val="00164EEA"/>
    <w:rsid w:val="00171788"/>
    <w:rsid w:val="001777C6"/>
    <w:rsid w:val="00180AFA"/>
    <w:rsid w:val="00181D38"/>
    <w:rsid w:val="00182D8B"/>
    <w:rsid w:val="00190F89"/>
    <w:rsid w:val="001A3B3B"/>
    <w:rsid w:val="001B70E2"/>
    <w:rsid w:val="001D7894"/>
    <w:rsid w:val="001F4A37"/>
    <w:rsid w:val="0020031F"/>
    <w:rsid w:val="00203818"/>
    <w:rsid w:val="00217AEB"/>
    <w:rsid w:val="0022040A"/>
    <w:rsid w:val="00223909"/>
    <w:rsid w:val="00225EE0"/>
    <w:rsid w:val="00234F03"/>
    <w:rsid w:val="0024139E"/>
    <w:rsid w:val="00245387"/>
    <w:rsid w:val="00255569"/>
    <w:rsid w:val="00260678"/>
    <w:rsid w:val="00266D6D"/>
    <w:rsid w:val="00271F7D"/>
    <w:rsid w:val="00280AFE"/>
    <w:rsid w:val="002861CC"/>
    <w:rsid w:val="00287CD7"/>
    <w:rsid w:val="00296A4C"/>
    <w:rsid w:val="00297671"/>
    <w:rsid w:val="002A2ECA"/>
    <w:rsid w:val="002B2294"/>
    <w:rsid w:val="002B2989"/>
    <w:rsid w:val="002D262F"/>
    <w:rsid w:val="002E2504"/>
    <w:rsid w:val="002E2987"/>
    <w:rsid w:val="002E67D3"/>
    <w:rsid w:val="002F63B0"/>
    <w:rsid w:val="00300AEC"/>
    <w:rsid w:val="0030178C"/>
    <w:rsid w:val="00312CD2"/>
    <w:rsid w:val="0031346E"/>
    <w:rsid w:val="00314E95"/>
    <w:rsid w:val="00315FBE"/>
    <w:rsid w:val="00317583"/>
    <w:rsid w:val="00324F8E"/>
    <w:rsid w:val="00327A54"/>
    <w:rsid w:val="00327F17"/>
    <w:rsid w:val="00331E96"/>
    <w:rsid w:val="003326C3"/>
    <w:rsid w:val="00335C21"/>
    <w:rsid w:val="00337850"/>
    <w:rsid w:val="00345396"/>
    <w:rsid w:val="003464AD"/>
    <w:rsid w:val="003519D5"/>
    <w:rsid w:val="00353CC8"/>
    <w:rsid w:val="00365A34"/>
    <w:rsid w:val="00372431"/>
    <w:rsid w:val="003766C3"/>
    <w:rsid w:val="00387F7B"/>
    <w:rsid w:val="00393070"/>
    <w:rsid w:val="003A3BF2"/>
    <w:rsid w:val="003A4348"/>
    <w:rsid w:val="003B60BF"/>
    <w:rsid w:val="003C1F85"/>
    <w:rsid w:val="003C456F"/>
    <w:rsid w:val="003D00F9"/>
    <w:rsid w:val="003D41DB"/>
    <w:rsid w:val="003D7EED"/>
    <w:rsid w:val="003E0749"/>
    <w:rsid w:val="003E2F92"/>
    <w:rsid w:val="003E4EFE"/>
    <w:rsid w:val="003E63B7"/>
    <w:rsid w:val="003E7068"/>
    <w:rsid w:val="004121CB"/>
    <w:rsid w:val="00413193"/>
    <w:rsid w:val="00417F1F"/>
    <w:rsid w:val="00420B0D"/>
    <w:rsid w:val="00435427"/>
    <w:rsid w:val="004360D6"/>
    <w:rsid w:val="00445D58"/>
    <w:rsid w:val="004537B6"/>
    <w:rsid w:val="00462022"/>
    <w:rsid w:val="00476A7F"/>
    <w:rsid w:val="0048206B"/>
    <w:rsid w:val="004838AF"/>
    <w:rsid w:val="004916BA"/>
    <w:rsid w:val="00492D4D"/>
    <w:rsid w:val="004A0EEF"/>
    <w:rsid w:val="004A68FF"/>
    <w:rsid w:val="004B1545"/>
    <w:rsid w:val="004B16CA"/>
    <w:rsid w:val="004B736F"/>
    <w:rsid w:val="004D5C42"/>
    <w:rsid w:val="004D6106"/>
    <w:rsid w:val="004D7297"/>
    <w:rsid w:val="004E23EE"/>
    <w:rsid w:val="004E42DE"/>
    <w:rsid w:val="004E59BF"/>
    <w:rsid w:val="00504FC2"/>
    <w:rsid w:val="00505177"/>
    <w:rsid w:val="005115F6"/>
    <w:rsid w:val="005176C2"/>
    <w:rsid w:val="00524C71"/>
    <w:rsid w:val="00526473"/>
    <w:rsid w:val="00526917"/>
    <w:rsid w:val="005574B1"/>
    <w:rsid w:val="00567DA0"/>
    <w:rsid w:val="00577A54"/>
    <w:rsid w:val="00582047"/>
    <w:rsid w:val="005852F8"/>
    <w:rsid w:val="00586512"/>
    <w:rsid w:val="00596019"/>
    <w:rsid w:val="00596222"/>
    <w:rsid w:val="005B3FCB"/>
    <w:rsid w:val="005B4766"/>
    <w:rsid w:val="005B6583"/>
    <w:rsid w:val="005C4F74"/>
    <w:rsid w:val="005C5546"/>
    <w:rsid w:val="005C577F"/>
    <w:rsid w:val="005D3C56"/>
    <w:rsid w:val="005E1D15"/>
    <w:rsid w:val="005E69E7"/>
    <w:rsid w:val="00600489"/>
    <w:rsid w:val="006019DB"/>
    <w:rsid w:val="006034C3"/>
    <w:rsid w:val="00621386"/>
    <w:rsid w:val="00623D9E"/>
    <w:rsid w:val="0062527E"/>
    <w:rsid w:val="006317D6"/>
    <w:rsid w:val="0063589F"/>
    <w:rsid w:val="00636FBD"/>
    <w:rsid w:val="0065160B"/>
    <w:rsid w:val="006578DD"/>
    <w:rsid w:val="00660AA7"/>
    <w:rsid w:val="00660C7C"/>
    <w:rsid w:val="006624B7"/>
    <w:rsid w:val="006633CA"/>
    <w:rsid w:val="00687ADA"/>
    <w:rsid w:val="00692741"/>
    <w:rsid w:val="00692C5F"/>
    <w:rsid w:val="006959E1"/>
    <w:rsid w:val="00696CAE"/>
    <w:rsid w:val="006C1DD9"/>
    <w:rsid w:val="006C30C3"/>
    <w:rsid w:val="006D0928"/>
    <w:rsid w:val="006E649D"/>
    <w:rsid w:val="006F2F0C"/>
    <w:rsid w:val="006F4F2D"/>
    <w:rsid w:val="00700177"/>
    <w:rsid w:val="00732EAB"/>
    <w:rsid w:val="00743E61"/>
    <w:rsid w:val="00766356"/>
    <w:rsid w:val="00767889"/>
    <w:rsid w:val="00771361"/>
    <w:rsid w:val="00784086"/>
    <w:rsid w:val="00785626"/>
    <w:rsid w:val="00785712"/>
    <w:rsid w:val="00786811"/>
    <w:rsid w:val="0079165F"/>
    <w:rsid w:val="00791BF9"/>
    <w:rsid w:val="007937D5"/>
    <w:rsid w:val="007964E8"/>
    <w:rsid w:val="007A00BF"/>
    <w:rsid w:val="007A0F25"/>
    <w:rsid w:val="007A70C5"/>
    <w:rsid w:val="007A7F47"/>
    <w:rsid w:val="007B7398"/>
    <w:rsid w:val="007C15F3"/>
    <w:rsid w:val="007D044F"/>
    <w:rsid w:val="007D0D1D"/>
    <w:rsid w:val="007D34CD"/>
    <w:rsid w:val="007E1D04"/>
    <w:rsid w:val="007E4BC0"/>
    <w:rsid w:val="007E6176"/>
    <w:rsid w:val="007F0CE0"/>
    <w:rsid w:val="007F1083"/>
    <w:rsid w:val="007F7137"/>
    <w:rsid w:val="007F79D0"/>
    <w:rsid w:val="00801270"/>
    <w:rsid w:val="008234CB"/>
    <w:rsid w:val="0082406D"/>
    <w:rsid w:val="008303E5"/>
    <w:rsid w:val="0083243B"/>
    <w:rsid w:val="00836A39"/>
    <w:rsid w:val="00841D0E"/>
    <w:rsid w:val="00843CCA"/>
    <w:rsid w:val="008622AE"/>
    <w:rsid w:val="0087059F"/>
    <w:rsid w:val="00876BA9"/>
    <w:rsid w:val="008807C9"/>
    <w:rsid w:val="0088626F"/>
    <w:rsid w:val="008A1D22"/>
    <w:rsid w:val="008A67B0"/>
    <w:rsid w:val="008B1C88"/>
    <w:rsid w:val="008C7CDE"/>
    <w:rsid w:val="008D494D"/>
    <w:rsid w:val="008D6404"/>
    <w:rsid w:val="008D72E0"/>
    <w:rsid w:val="008E3BD5"/>
    <w:rsid w:val="008E46A6"/>
    <w:rsid w:val="008F352A"/>
    <w:rsid w:val="008F3DCD"/>
    <w:rsid w:val="0090028A"/>
    <w:rsid w:val="00900E2A"/>
    <w:rsid w:val="00906611"/>
    <w:rsid w:val="00916337"/>
    <w:rsid w:val="009248B1"/>
    <w:rsid w:val="009279A2"/>
    <w:rsid w:val="00934064"/>
    <w:rsid w:val="00934C0E"/>
    <w:rsid w:val="00934CBD"/>
    <w:rsid w:val="00934EAA"/>
    <w:rsid w:val="00934F01"/>
    <w:rsid w:val="0094020A"/>
    <w:rsid w:val="00943878"/>
    <w:rsid w:val="0096164F"/>
    <w:rsid w:val="00970BEB"/>
    <w:rsid w:val="00972ECA"/>
    <w:rsid w:val="00972FA9"/>
    <w:rsid w:val="00975653"/>
    <w:rsid w:val="00981A7C"/>
    <w:rsid w:val="009962D5"/>
    <w:rsid w:val="009A07BE"/>
    <w:rsid w:val="009A575D"/>
    <w:rsid w:val="009B1576"/>
    <w:rsid w:val="009B15E4"/>
    <w:rsid w:val="009B6E8F"/>
    <w:rsid w:val="009C0A0D"/>
    <w:rsid w:val="009C1E7C"/>
    <w:rsid w:val="009C5C48"/>
    <w:rsid w:val="009C73B6"/>
    <w:rsid w:val="009D30FB"/>
    <w:rsid w:val="009D60AE"/>
    <w:rsid w:val="009D6157"/>
    <w:rsid w:val="009D6ECE"/>
    <w:rsid w:val="009E0B3A"/>
    <w:rsid w:val="009E523C"/>
    <w:rsid w:val="009F3A05"/>
    <w:rsid w:val="00A03EC0"/>
    <w:rsid w:val="00A054F6"/>
    <w:rsid w:val="00A1015C"/>
    <w:rsid w:val="00A10A75"/>
    <w:rsid w:val="00A12ED4"/>
    <w:rsid w:val="00A20546"/>
    <w:rsid w:val="00A241F0"/>
    <w:rsid w:val="00A30D3B"/>
    <w:rsid w:val="00A30E3B"/>
    <w:rsid w:val="00A316FB"/>
    <w:rsid w:val="00A31883"/>
    <w:rsid w:val="00A32CE7"/>
    <w:rsid w:val="00A33D1E"/>
    <w:rsid w:val="00A35735"/>
    <w:rsid w:val="00A37BB1"/>
    <w:rsid w:val="00A4191D"/>
    <w:rsid w:val="00A4348D"/>
    <w:rsid w:val="00A4587A"/>
    <w:rsid w:val="00A4592F"/>
    <w:rsid w:val="00A500B8"/>
    <w:rsid w:val="00A524FD"/>
    <w:rsid w:val="00A55300"/>
    <w:rsid w:val="00A74890"/>
    <w:rsid w:val="00A81A50"/>
    <w:rsid w:val="00A85032"/>
    <w:rsid w:val="00A85120"/>
    <w:rsid w:val="00A86A89"/>
    <w:rsid w:val="00AA09D2"/>
    <w:rsid w:val="00AA0CA3"/>
    <w:rsid w:val="00AB0B9F"/>
    <w:rsid w:val="00AB10AB"/>
    <w:rsid w:val="00AB1BFE"/>
    <w:rsid w:val="00AB4282"/>
    <w:rsid w:val="00AE5BD7"/>
    <w:rsid w:val="00AF0F8C"/>
    <w:rsid w:val="00AF7622"/>
    <w:rsid w:val="00B0624E"/>
    <w:rsid w:val="00B15924"/>
    <w:rsid w:val="00B1786D"/>
    <w:rsid w:val="00B250E4"/>
    <w:rsid w:val="00B256C8"/>
    <w:rsid w:val="00B32D2C"/>
    <w:rsid w:val="00B365B6"/>
    <w:rsid w:val="00B36BC2"/>
    <w:rsid w:val="00B37E23"/>
    <w:rsid w:val="00B520D3"/>
    <w:rsid w:val="00B52D66"/>
    <w:rsid w:val="00B56DAD"/>
    <w:rsid w:val="00B60D2B"/>
    <w:rsid w:val="00B64D44"/>
    <w:rsid w:val="00B75DF4"/>
    <w:rsid w:val="00B9178F"/>
    <w:rsid w:val="00B94F9D"/>
    <w:rsid w:val="00BA268C"/>
    <w:rsid w:val="00BA2F24"/>
    <w:rsid w:val="00BB2B0B"/>
    <w:rsid w:val="00BC3B54"/>
    <w:rsid w:val="00BC45FE"/>
    <w:rsid w:val="00BC55FE"/>
    <w:rsid w:val="00BE0E8D"/>
    <w:rsid w:val="00BE7E8C"/>
    <w:rsid w:val="00C01067"/>
    <w:rsid w:val="00C513D3"/>
    <w:rsid w:val="00C51BFB"/>
    <w:rsid w:val="00C607CD"/>
    <w:rsid w:val="00C60E3D"/>
    <w:rsid w:val="00C61FB4"/>
    <w:rsid w:val="00C666D1"/>
    <w:rsid w:val="00C9265C"/>
    <w:rsid w:val="00CB0D41"/>
    <w:rsid w:val="00CB7524"/>
    <w:rsid w:val="00CB77AF"/>
    <w:rsid w:val="00CD6970"/>
    <w:rsid w:val="00D05C3C"/>
    <w:rsid w:val="00D11076"/>
    <w:rsid w:val="00D113A5"/>
    <w:rsid w:val="00D1393B"/>
    <w:rsid w:val="00D149DD"/>
    <w:rsid w:val="00D32443"/>
    <w:rsid w:val="00D33503"/>
    <w:rsid w:val="00D36834"/>
    <w:rsid w:val="00D41FC0"/>
    <w:rsid w:val="00D45C08"/>
    <w:rsid w:val="00D55A34"/>
    <w:rsid w:val="00D62B26"/>
    <w:rsid w:val="00D83F84"/>
    <w:rsid w:val="00D85051"/>
    <w:rsid w:val="00D936D7"/>
    <w:rsid w:val="00DA1E02"/>
    <w:rsid w:val="00DB7DAD"/>
    <w:rsid w:val="00DC276A"/>
    <w:rsid w:val="00DC3BC0"/>
    <w:rsid w:val="00DC5DEE"/>
    <w:rsid w:val="00DD03FD"/>
    <w:rsid w:val="00DD3C2B"/>
    <w:rsid w:val="00DE5F03"/>
    <w:rsid w:val="00DF511B"/>
    <w:rsid w:val="00DF5C7A"/>
    <w:rsid w:val="00DF7123"/>
    <w:rsid w:val="00E018EB"/>
    <w:rsid w:val="00E02D04"/>
    <w:rsid w:val="00E129E9"/>
    <w:rsid w:val="00E22999"/>
    <w:rsid w:val="00E234A2"/>
    <w:rsid w:val="00E261D9"/>
    <w:rsid w:val="00E35F9F"/>
    <w:rsid w:val="00E43D62"/>
    <w:rsid w:val="00E47D70"/>
    <w:rsid w:val="00E5008D"/>
    <w:rsid w:val="00E51F7F"/>
    <w:rsid w:val="00E6688E"/>
    <w:rsid w:val="00E731F0"/>
    <w:rsid w:val="00E75873"/>
    <w:rsid w:val="00E77D2E"/>
    <w:rsid w:val="00E80BDD"/>
    <w:rsid w:val="00E849DF"/>
    <w:rsid w:val="00E91EA3"/>
    <w:rsid w:val="00EA756B"/>
    <w:rsid w:val="00EB3AD4"/>
    <w:rsid w:val="00EB6E49"/>
    <w:rsid w:val="00ED1530"/>
    <w:rsid w:val="00ED7B11"/>
    <w:rsid w:val="00EE48EF"/>
    <w:rsid w:val="00EE6473"/>
    <w:rsid w:val="00F032A9"/>
    <w:rsid w:val="00F05CC5"/>
    <w:rsid w:val="00F11DF7"/>
    <w:rsid w:val="00F13133"/>
    <w:rsid w:val="00F17289"/>
    <w:rsid w:val="00F26823"/>
    <w:rsid w:val="00F269CF"/>
    <w:rsid w:val="00F277ED"/>
    <w:rsid w:val="00F30CC8"/>
    <w:rsid w:val="00F34025"/>
    <w:rsid w:val="00F34622"/>
    <w:rsid w:val="00F35E21"/>
    <w:rsid w:val="00F3783E"/>
    <w:rsid w:val="00F404AF"/>
    <w:rsid w:val="00F4406D"/>
    <w:rsid w:val="00F60755"/>
    <w:rsid w:val="00F638F6"/>
    <w:rsid w:val="00F64D03"/>
    <w:rsid w:val="00F701BB"/>
    <w:rsid w:val="00F73B76"/>
    <w:rsid w:val="00F803A6"/>
    <w:rsid w:val="00F86410"/>
    <w:rsid w:val="00F93858"/>
    <w:rsid w:val="00F958AE"/>
    <w:rsid w:val="00FB6787"/>
    <w:rsid w:val="00FC7066"/>
    <w:rsid w:val="00FD1CA0"/>
    <w:rsid w:val="00FD2A98"/>
    <w:rsid w:val="00FD606F"/>
    <w:rsid w:val="00FE011A"/>
    <w:rsid w:val="00FE0C49"/>
    <w:rsid w:val="00FE64A3"/>
    <w:rsid w:val="00FE6809"/>
    <w:rsid w:val="00FE6BB2"/>
    <w:rsid w:val="00FF0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3B79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E3B"/>
    <w:rPr>
      <w:rFonts w:ascii="Times New Roman" w:eastAsia="Times New Roman" w:hAnsi="Times New Roman" w:cs="Times New Roman"/>
    </w:rPr>
  </w:style>
  <w:style w:type="paragraph" w:styleId="Heading1">
    <w:name w:val="heading 1"/>
    <w:basedOn w:val="Normal"/>
    <w:next w:val="Normal"/>
    <w:link w:val="Heading1Char"/>
    <w:qFormat/>
    <w:rsid w:val="00A30E3B"/>
    <w:pPr>
      <w:keepNext/>
      <w:ind w:left="2880" w:hanging="2880"/>
      <w:outlineLvl w:val="0"/>
    </w:pPr>
    <w:rPr>
      <w:rFonts w:ascii="Courier New" w:hAnsi="Courier New" w:cs="Courier New"/>
      <w:b/>
      <w:bCs/>
    </w:rPr>
  </w:style>
  <w:style w:type="paragraph" w:styleId="Heading2">
    <w:name w:val="heading 2"/>
    <w:basedOn w:val="Normal"/>
    <w:next w:val="Normal"/>
    <w:link w:val="Heading2Char"/>
    <w:qFormat/>
    <w:rsid w:val="00A30E3B"/>
    <w:pPr>
      <w:keepNext/>
      <w:spacing w:line="360" w:lineRule="auto"/>
      <w:jc w:val="center"/>
      <w:outlineLvl w:val="1"/>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0E3B"/>
    <w:rPr>
      <w:rFonts w:ascii="Courier New" w:eastAsia="Times New Roman" w:hAnsi="Courier New" w:cs="Courier New"/>
      <w:b/>
      <w:bCs/>
    </w:rPr>
  </w:style>
  <w:style w:type="character" w:customStyle="1" w:styleId="Heading2Char">
    <w:name w:val="Heading 2 Char"/>
    <w:basedOn w:val="DefaultParagraphFont"/>
    <w:link w:val="Heading2"/>
    <w:rsid w:val="00A30E3B"/>
    <w:rPr>
      <w:rFonts w:ascii="Courier New" w:eastAsia="Times New Roman" w:hAnsi="Courier New" w:cs="Courier New"/>
      <w:b/>
      <w:bCs/>
    </w:rPr>
  </w:style>
  <w:style w:type="paragraph" w:styleId="Title">
    <w:name w:val="Title"/>
    <w:basedOn w:val="Normal"/>
    <w:link w:val="TitleChar"/>
    <w:qFormat/>
    <w:rsid w:val="00A30E3B"/>
    <w:pPr>
      <w:jc w:val="center"/>
    </w:pPr>
    <w:rPr>
      <w:rFonts w:ascii="Courier New" w:hAnsi="Courier New" w:cs="Courier New"/>
      <w:b/>
      <w:bCs/>
    </w:rPr>
  </w:style>
  <w:style w:type="character" w:customStyle="1" w:styleId="TitleChar">
    <w:name w:val="Title Char"/>
    <w:basedOn w:val="DefaultParagraphFont"/>
    <w:link w:val="Title"/>
    <w:rsid w:val="00A30E3B"/>
    <w:rPr>
      <w:rFonts w:ascii="Courier New" w:eastAsia="Times New Roman" w:hAnsi="Courier New" w:cs="Courier New"/>
      <w:b/>
      <w:bCs/>
    </w:rPr>
  </w:style>
  <w:style w:type="paragraph" w:styleId="BodyText2">
    <w:name w:val="Body Text 2"/>
    <w:basedOn w:val="Normal"/>
    <w:link w:val="BodyText2Char"/>
    <w:rsid w:val="00A30E3B"/>
    <w:pPr>
      <w:spacing w:after="120" w:line="480" w:lineRule="auto"/>
    </w:pPr>
  </w:style>
  <w:style w:type="character" w:customStyle="1" w:styleId="BodyText2Char">
    <w:name w:val="Body Text 2 Char"/>
    <w:basedOn w:val="DefaultParagraphFont"/>
    <w:link w:val="BodyText2"/>
    <w:rsid w:val="00A30E3B"/>
    <w:rPr>
      <w:rFonts w:ascii="Times New Roman" w:eastAsia="Times New Roman" w:hAnsi="Times New Roman" w:cs="Times New Roman"/>
    </w:rPr>
  </w:style>
  <w:style w:type="paragraph" w:styleId="FootnoteText">
    <w:name w:val="footnote text"/>
    <w:basedOn w:val="Normal"/>
    <w:link w:val="FootnoteTextChar"/>
    <w:uiPriority w:val="99"/>
    <w:unhideWhenUsed/>
    <w:rsid w:val="00BA2F24"/>
  </w:style>
  <w:style w:type="character" w:customStyle="1" w:styleId="FootnoteTextChar">
    <w:name w:val="Footnote Text Char"/>
    <w:basedOn w:val="DefaultParagraphFont"/>
    <w:link w:val="FootnoteText"/>
    <w:uiPriority w:val="99"/>
    <w:rsid w:val="00BA2F24"/>
    <w:rPr>
      <w:rFonts w:ascii="Times New Roman" w:eastAsia="Times New Roman" w:hAnsi="Times New Roman" w:cs="Times New Roman"/>
    </w:rPr>
  </w:style>
  <w:style w:type="character" w:styleId="FootnoteReference">
    <w:name w:val="footnote reference"/>
    <w:basedOn w:val="DefaultParagraphFont"/>
    <w:uiPriority w:val="99"/>
    <w:unhideWhenUsed/>
    <w:rsid w:val="00BA2F24"/>
    <w:rPr>
      <w:vertAlign w:val="superscript"/>
    </w:rPr>
  </w:style>
  <w:style w:type="paragraph" w:styleId="Footer">
    <w:name w:val="footer"/>
    <w:basedOn w:val="Normal"/>
    <w:link w:val="FooterChar"/>
    <w:uiPriority w:val="99"/>
    <w:unhideWhenUsed/>
    <w:rsid w:val="00BC45FE"/>
    <w:pPr>
      <w:tabs>
        <w:tab w:val="center" w:pos="4320"/>
        <w:tab w:val="right" w:pos="8640"/>
      </w:tabs>
    </w:pPr>
  </w:style>
  <w:style w:type="character" w:customStyle="1" w:styleId="FooterChar">
    <w:name w:val="Footer Char"/>
    <w:basedOn w:val="DefaultParagraphFont"/>
    <w:link w:val="Footer"/>
    <w:uiPriority w:val="99"/>
    <w:rsid w:val="00BC45FE"/>
    <w:rPr>
      <w:rFonts w:ascii="Times New Roman" w:eastAsia="Times New Roman" w:hAnsi="Times New Roman" w:cs="Times New Roman"/>
    </w:rPr>
  </w:style>
  <w:style w:type="character" w:styleId="PageNumber">
    <w:name w:val="page number"/>
    <w:basedOn w:val="DefaultParagraphFont"/>
    <w:uiPriority w:val="99"/>
    <w:semiHidden/>
    <w:unhideWhenUsed/>
    <w:rsid w:val="00BC45FE"/>
  </w:style>
  <w:style w:type="table" w:styleId="TableGrid">
    <w:name w:val="Table Grid"/>
    <w:basedOn w:val="TableNormal"/>
    <w:uiPriority w:val="59"/>
    <w:rsid w:val="009C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rm1">
    <w:name w:val="term1"/>
    <w:basedOn w:val="DefaultParagraphFont"/>
    <w:rsid w:val="004360D6"/>
    <w:rPr>
      <w:b/>
      <w:bCs/>
    </w:rPr>
  </w:style>
  <w:style w:type="paragraph" w:styleId="BalloonText">
    <w:name w:val="Balloon Text"/>
    <w:basedOn w:val="Normal"/>
    <w:link w:val="BalloonTextChar"/>
    <w:uiPriority w:val="99"/>
    <w:semiHidden/>
    <w:unhideWhenUsed/>
    <w:rsid w:val="00315FBE"/>
    <w:rPr>
      <w:rFonts w:ascii="Tahoma" w:hAnsi="Tahoma" w:cs="Tahoma"/>
      <w:sz w:val="16"/>
      <w:szCs w:val="16"/>
    </w:rPr>
  </w:style>
  <w:style w:type="character" w:customStyle="1" w:styleId="BalloonTextChar">
    <w:name w:val="Balloon Text Char"/>
    <w:basedOn w:val="DefaultParagraphFont"/>
    <w:link w:val="BalloonText"/>
    <w:uiPriority w:val="99"/>
    <w:semiHidden/>
    <w:rsid w:val="00315FBE"/>
    <w:rPr>
      <w:rFonts w:ascii="Tahoma" w:eastAsia="Times New Roman" w:hAnsi="Tahoma" w:cs="Tahoma"/>
      <w:sz w:val="16"/>
      <w:szCs w:val="16"/>
    </w:rPr>
  </w:style>
  <w:style w:type="paragraph" w:styleId="Header">
    <w:name w:val="header"/>
    <w:basedOn w:val="Normal"/>
    <w:link w:val="HeaderChar"/>
    <w:uiPriority w:val="99"/>
    <w:unhideWhenUsed/>
    <w:rsid w:val="00524C71"/>
    <w:pPr>
      <w:tabs>
        <w:tab w:val="center" w:pos="4680"/>
        <w:tab w:val="right" w:pos="9360"/>
      </w:tabs>
    </w:pPr>
  </w:style>
  <w:style w:type="character" w:customStyle="1" w:styleId="HeaderChar">
    <w:name w:val="Header Char"/>
    <w:basedOn w:val="DefaultParagraphFont"/>
    <w:link w:val="Header"/>
    <w:uiPriority w:val="99"/>
    <w:rsid w:val="00524C71"/>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E3B"/>
    <w:rPr>
      <w:rFonts w:ascii="Times New Roman" w:eastAsia="Times New Roman" w:hAnsi="Times New Roman" w:cs="Times New Roman"/>
    </w:rPr>
  </w:style>
  <w:style w:type="paragraph" w:styleId="Heading1">
    <w:name w:val="heading 1"/>
    <w:basedOn w:val="Normal"/>
    <w:next w:val="Normal"/>
    <w:link w:val="Heading1Char"/>
    <w:qFormat/>
    <w:rsid w:val="00A30E3B"/>
    <w:pPr>
      <w:keepNext/>
      <w:ind w:left="2880" w:hanging="2880"/>
      <w:outlineLvl w:val="0"/>
    </w:pPr>
    <w:rPr>
      <w:rFonts w:ascii="Courier New" w:hAnsi="Courier New" w:cs="Courier New"/>
      <w:b/>
      <w:bCs/>
    </w:rPr>
  </w:style>
  <w:style w:type="paragraph" w:styleId="Heading2">
    <w:name w:val="heading 2"/>
    <w:basedOn w:val="Normal"/>
    <w:next w:val="Normal"/>
    <w:link w:val="Heading2Char"/>
    <w:qFormat/>
    <w:rsid w:val="00A30E3B"/>
    <w:pPr>
      <w:keepNext/>
      <w:spacing w:line="360" w:lineRule="auto"/>
      <w:jc w:val="center"/>
      <w:outlineLvl w:val="1"/>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0E3B"/>
    <w:rPr>
      <w:rFonts w:ascii="Courier New" w:eastAsia="Times New Roman" w:hAnsi="Courier New" w:cs="Courier New"/>
      <w:b/>
      <w:bCs/>
    </w:rPr>
  </w:style>
  <w:style w:type="character" w:customStyle="1" w:styleId="Heading2Char">
    <w:name w:val="Heading 2 Char"/>
    <w:basedOn w:val="DefaultParagraphFont"/>
    <w:link w:val="Heading2"/>
    <w:rsid w:val="00A30E3B"/>
    <w:rPr>
      <w:rFonts w:ascii="Courier New" w:eastAsia="Times New Roman" w:hAnsi="Courier New" w:cs="Courier New"/>
      <w:b/>
      <w:bCs/>
    </w:rPr>
  </w:style>
  <w:style w:type="paragraph" w:styleId="Title">
    <w:name w:val="Title"/>
    <w:basedOn w:val="Normal"/>
    <w:link w:val="TitleChar"/>
    <w:qFormat/>
    <w:rsid w:val="00A30E3B"/>
    <w:pPr>
      <w:jc w:val="center"/>
    </w:pPr>
    <w:rPr>
      <w:rFonts w:ascii="Courier New" w:hAnsi="Courier New" w:cs="Courier New"/>
      <w:b/>
      <w:bCs/>
    </w:rPr>
  </w:style>
  <w:style w:type="character" w:customStyle="1" w:styleId="TitleChar">
    <w:name w:val="Title Char"/>
    <w:basedOn w:val="DefaultParagraphFont"/>
    <w:link w:val="Title"/>
    <w:rsid w:val="00A30E3B"/>
    <w:rPr>
      <w:rFonts w:ascii="Courier New" w:eastAsia="Times New Roman" w:hAnsi="Courier New" w:cs="Courier New"/>
      <w:b/>
      <w:bCs/>
    </w:rPr>
  </w:style>
  <w:style w:type="paragraph" w:styleId="BodyText2">
    <w:name w:val="Body Text 2"/>
    <w:basedOn w:val="Normal"/>
    <w:link w:val="BodyText2Char"/>
    <w:rsid w:val="00A30E3B"/>
    <w:pPr>
      <w:spacing w:after="120" w:line="480" w:lineRule="auto"/>
    </w:pPr>
  </w:style>
  <w:style w:type="character" w:customStyle="1" w:styleId="BodyText2Char">
    <w:name w:val="Body Text 2 Char"/>
    <w:basedOn w:val="DefaultParagraphFont"/>
    <w:link w:val="BodyText2"/>
    <w:rsid w:val="00A30E3B"/>
    <w:rPr>
      <w:rFonts w:ascii="Times New Roman" w:eastAsia="Times New Roman" w:hAnsi="Times New Roman" w:cs="Times New Roman"/>
    </w:rPr>
  </w:style>
  <w:style w:type="paragraph" w:styleId="FootnoteText">
    <w:name w:val="footnote text"/>
    <w:basedOn w:val="Normal"/>
    <w:link w:val="FootnoteTextChar"/>
    <w:uiPriority w:val="99"/>
    <w:unhideWhenUsed/>
    <w:rsid w:val="00BA2F24"/>
  </w:style>
  <w:style w:type="character" w:customStyle="1" w:styleId="FootnoteTextChar">
    <w:name w:val="Footnote Text Char"/>
    <w:basedOn w:val="DefaultParagraphFont"/>
    <w:link w:val="FootnoteText"/>
    <w:uiPriority w:val="99"/>
    <w:rsid w:val="00BA2F24"/>
    <w:rPr>
      <w:rFonts w:ascii="Times New Roman" w:eastAsia="Times New Roman" w:hAnsi="Times New Roman" w:cs="Times New Roman"/>
    </w:rPr>
  </w:style>
  <w:style w:type="character" w:styleId="FootnoteReference">
    <w:name w:val="footnote reference"/>
    <w:basedOn w:val="DefaultParagraphFont"/>
    <w:uiPriority w:val="99"/>
    <w:unhideWhenUsed/>
    <w:rsid w:val="00BA2F24"/>
    <w:rPr>
      <w:vertAlign w:val="superscript"/>
    </w:rPr>
  </w:style>
  <w:style w:type="paragraph" w:styleId="Footer">
    <w:name w:val="footer"/>
    <w:basedOn w:val="Normal"/>
    <w:link w:val="FooterChar"/>
    <w:uiPriority w:val="99"/>
    <w:unhideWhenUsed/>
    <w:rsid w:val="00BC45FE"/>
    <w:pPr>
      <w:tabs>
        <w:tab w:val="center" w:pos="4320"/>
        <w:tab w:val="right" w:pos="8640"/>
      </w:tabs>
    </w:pPr>
  </w:style>
  <w:style w:type="character" w:customStyle="1" w:styleId="FooterChar">
    <w:name w:val="Footer Char"/>
    <w:basedOn w:val="DefaultParagraphFont"/>
    <w:link w:val="Footer"/>
    <w:uiPriority w:val="99"/>
    <w:rsid w:val="00BC45FE"/>
    <w:rPr>
      <w:rFonts w:ascii="Times New Roman" w:eastAsia="Times New Roman" w:hAnsi="Times New Roman" w:cs="Times New Roman"/>
    </w:rPr>
  </w:style>
  <w:style w:type="character" w:styleId="PageNumber">
    <w:name w:val="page number"/>
    <w:basedOn w:val="DefaultParagraphFont"/>
    <w:uiPriority w:val="99"/>
    <w:semiHidden/>
    <w:unhideWhenUsed/>
    <w:rsid w:val="00BC45FE"/>
  </w:style>
  <w:style w:type="table" w:styleId="TableGrid">
    <w:name w:val="Table Grid"/>
    <w:basedOn w:val="TableNormal"/>
    <w:uiPriority w:val="59"/>
    <w:rsid w:val="009C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rm1">
    <w:name w:val="term1"/>
    <w:basedOn w:val="DefaultParagraphFont"/>
    <w:rsid w:val="004360D6"/>
    <w:rPr>
      <w:b/>
      <w:bCs/>
    </w:rPr>
  </w:style>
  <w:style w:type="paragraph" w:styleId="BalloonText">
    <w:name w:val="Balloon Text"/>
    <w:basedOn w:val="Normal"/>
    <w:link w:val="BalloonTextChar"/>
    <w:uiPriority w:val="99"/>
    <w:semiHidden/>
    <w:unhideWhenUsed/>
    <w:rsid w:val="00315FBE"/>
    <w:rPr>
      <w:rFonts w:ascii="Tahoma" w:hAnsi="Tahoma" w:cs="Tahoma"/>
      <w:sz w:val="16"/>
      <w:szCs w:val="16"/>
    </w:rPr>
  </w:style>
  <w:style w:type="character" w:customStyle="1" w:styleId="BalloonTextChar">
    <w:name w:val="Balloon Text Char"/>
    <w:basedOn w:val="DefaultParagraphFont"/>
    <w:link w:val="BalloonText"/>
    <w:uiPriority w:val="99"/>
    <w:semiHidden/>
    <w:rsid w:val="00315FBE"/>
    <w:rPr>
      <w:rFonts w:ascii="Tahoma" w:eastAsia="Times New Roman" w:hAnsi="Tahoma" w:cs="Tahoma"/>
      <w:sz w:val="16"/>
      <w:szCs w:val="16"/>
    </w:rPr>
  </w:style>
  <w:style w:type="paragraph" w:styleId="Header">
    <w:name w:val="header"/>
    <w:basedOn w:val="Normal"/>
    <w:link w:val="HeaderChar"/>
    <w:uiPriority w:val="99"/>
    <w:unhideWhenUsed/>
    <w:rsid w:val="00524C71"/>
    <w:pPr>
      <w:tabs>
        <w:tab w:val="center" w:pos="4680"/>
        <w:tab w:val="right" w:pos="9360"/>
      </w:tabs>
    </w:pPr>
  </w:style>
  <w:style w:type="character" w:customStyle="1" w:styleId="HeaderChar">
    <w:name w:val="Header Char"/>
    <w:basedOn w:val="DefaultParagraphFont"/>
    <w:link w:val="Header"/>
    <w:uiPriority w:val="99"/>
    <w:rsid w:val="00524C7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is.com/research/buttonTFLink?_m=c74ce50e9adec4dc3eef78af886e997d&amp;_xfercite=%3ccite%20cc%3d%22USA%22%3e%3c%21%5bCDATA%5b2005%20Mass.%20Tax%20LEXIS%2012%5d%5d%3e%3c%2fcite%3e&amp;_butType=3&amp;_butStat=2&amp;_butNum=3&amp;_butInline=1&amp;_butinfo=%3ccite%20cc%3d%22USA%22%3e%3c%21%5bCDATA%5b184%20Mass.%20541%2cat%20542%5d%5d%3e%3c%2fcite%3e&amp;_fmtstr=FULL&amp;docnum=4&amp;_startdoc=1&amp;wchp=dGLbVzb-zSkAA&amp;_md5=2e503d34817a0343dc58d9605ff9cd23"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exis.com/research/buttonTFLink?_m=c74ce50e9adec4dc3eef78af886e997d&amp;_xfercite=%3ccite%20cc%3d%22USA%22%3e%3c%21%5bCDATA%5b2005%20Mass.%20Tax%20LEXIS%2012%5d%5d%3e%3c%2fcite%3e&amp;_butType=3&amp;_butStat=2&amp;_butNum=5&amp;_butInline=1&amp;_butinfo=%3ccite%20cc%3d%22USA%22%3e%3c%21%5bCDATA%5b362%20Mass.%20684%2cat%20687%5d%5d%3e%3c%2fcite%3e&amp;_fmtstr=FULL&amp;docnum=4&amp;_startdoc=1&amp;wchp=dGLbVzb-zSkAA&amp;_md5=92c75cd982580e8a5e7da450986e4c66" TargetMode="External"/><Relationship Id="rId4" Type="http://schemas.openxmlformats.org/officeDocument/2006/relationships/settings" Target="settings.xml"/><Relationship Id="rId9" Type="http://schemas.openxmlformats.org/officeDocument/2006/relationships/hyperlink" Target="http://www.lexis.com/research/buttonTFLink?_m=c74ce50e9adec4dc3eef78af886e997d&amp;_xfercite=%3ccite%20cc%3d%22USA%22%3e%3c%21%5bCDATA%5b2005%20Mass.%20Tax%20LEXIS%2012%5d%5d%3e%3c%2fcite%3e&amp;_butType=3&amp;_butStat=2&amp;_butNum=4&amp;_butInline=1&amp;_butinfo=%3ccite%20cc%3d%22USA%22%3e%3c%21%5bCDATA%5b26%20Mass.%20App.%20Ct.%20838%2cat%20843%5d%5d%3e%3c%2fcite%3e&amp;_fmtstr=FULL&amp;docnum=4&amp;_startdoc=1&amp;wchp=dGLbVzb-zSkAA&amp;_md5=4e690377f4439060b845cd97e89501b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A5174-F666-483C-932E-FB1BB9EF2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3942</Words>
  <Characters>22473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Saint-Amour</dc:creator>
  <cp:lastModifiedBy>ANF</cp:lastModifiedBy>
  <cp:revision>2</cp:revision>
  <cp:lastPrinted>2018-12-06T15:14:00Z</cp:lastPrinted>
  <dcterms:created xsi:type="dcterms:W3CDTF">2018-12-06T15:18:00Z</dcterms:created>
  <dcterms:modified xsi:type="dcterms:W3CDTF">2018-12-06T15:18:00Z</dcterms:modified>
</cp:coreProperties>
</file>