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73B" w:rsidRDefault="00A90FE3">
      <w:pPr>
        <w:pStyle w:val="Body"/>
        <w:rPr>
          <w:sz w:val="28"/>
          <w:szCs w:val="28"/>
        </w:rPr>
      </w:pPr>
      <w:bookmarkStart w:id="0" w:name="_GoBack"/>
      <w:bookmarkEnd w:id="0"/>
      <w:r>
        <w:rPr>
          <w:noProof/>
          <w:bdr w:val="none" w:sz="0" w:space="0" w:color="auto"/>
        </w:rPr>
        <w:drawing>
          <wp:anchor distT="445008" distB="781685" distL="614172" distR="895985" simplePos="0" relativeHeight="251656704" behindDoc="1" locked="0" layoutInCell="1" allowOverlap="1" wp14:anchorId="2412DB83" wp14:editId="027BF959">
            <wp:simplePos x="0" y="0"/>
            <wp:positionH relativeFrom="column">
              <wp:posOffset>-926973</wp:posOffset>
            </wp:positionH>
            <wp:positionV relativeFrom="paragraph">
              <wp:posOffset>-676402</wp:posOffset>
            </wp:positionV>
            <wp:extent cx="7356348" cy="9520682"/>
            <wp:effectExtent l="514350" t="438150" r="797560" b="80454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55840" cy="9520555"/>
                    </a:xfrm>
                    <a:prstGeom prst="rect">
                      <a:avLst/>
                    </a:prstGeom>
                    <a:solidFill>
                      <a:srgbClr val="000000">
                        <a:shade val="95000"/>
                      </a:srgbClr>
                    </a:solidFill>
                    <a:ln w="444500" cap="sq">
                      <a:solidFill>
                        <a:schemeClr val="bg1"/>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rsidR="002161A8" w:rsidRDefault="002161A8" w:rsidP="002161A8">
      <w:pPr>
        <w:spacing w:before="100" w:beforeAutospacing="1" w:after="480"/>
        <w:ind w:left="-1584"/>
      </w:pPr>
    </w:p>
    <w:p w:rsidR="002161A8" w:rsidRDefault="002161A8" w:rsidP="002161A8">
      <w:pPr>
        <w:spacing w:before="100" w:beforeAutospacing="1" w:after="480"/>
        <w:ind w:left="-1584"/>
      </w:pPr>
    </w:p>
    <w:p w:rsidR="002161A8" w:rsidRDefault="002161A8" w:rsidP="002161A8">
      <w:pPr>
        <w:spacing w:before="100" w:beforeAutospacing="1" w:after="480"/>
        <w:ind w:left="-1584"/>
      </w:pPr>
    </w:p>
    <w:p w:rsidR="002161A8" w:rsidRDefault="002161A8" w:rsidP="002161A8">
      <w:pPr>
        <w:spacing w:before="100" w:beforeAutospacing="1" w:after="480"/>
        <w:ind w:left="-1584"/>
      </w:pPr>
    </w:p>
    <w:p w:rsidR="002161A8" w:rsidRDefault="00A90FE3" w:rsidP="002161A8">
      <w:pPr>
        <w:tabs>
          <w:tab w:val="left" w:pos="2913"/>
        </w:tabs>
        <w:spacing w:before="100" w:beforeAutospacing="1" w:after="480"/>
        <w:ind w:left="-1584"/>
      </w:pPr>
      <w:r>
        <w:rPr>
          <w:noProof/>
          <w:bdr w:val="none" w:sz="0" w:space="0" w:color="auto"/>
        </w:rPr>
        <mc:AlternateContent>
          <mc:Choice Requires="wps">
            <w:drawing>
              <wp:anchor distT="0" distB="0" distL="114300" distR="114300" simplePos="0" relativeHeight="251657728" behindDoc="0" locked="0" layoutInCell="1" allowOverlap="1" wp14:anchorId="69198D1E" wp14:editId="1447A42D">
                <wp:simplePos x="0" y="0"/>
                <wp:positionH relativeFrom="column">
                  <wp:posOffset>-209550</wp:posOffset>
                </wp:positionH>
                <wp:positionV relativeFrom="paragraph">
                  <wp:posOffset>147320</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rsidR="00836191" w:rsidRDefault="00836191" w:rsidP="002161A8">
                            <w:pPr>
                              <w:spacing w:line="800" w:lineRule="exact"/>
                              <w:jc w:val="center"/>
                              <w:rPr>
                                <w:rFonts w:ascii="Adobe Garamond Pro Bold" w:hAnsi="Adobe Garamond Pro Bold"/>
                                <w:b/>
                                <w:color w:val="043064"/>
                                <w:sz w:val="72"/>
                                <w:szCs w:val="72"/>
                              </w:rPr>
                            </w:pPr>
                          </w:p>
                          <w:p w:rsidR="00784898" w:rsidRDefault="00784898" w:rsidP="00F264B3">
                            <w:pPr>
                              <w:spacing w:line="800" w:lineRule="exact"/>
                              <w:jc w:val="center"/>
                              <w:rPr>
                                <w:rFonts w:ascii="Adobe Garamond Pro Bold" w:hAnsi="Adobe Garamond Pro Bold"/>
                                <w:b/>
                                <w:color w:val="043064"/>
                                <w:sz w:val="72"/>
                                <w:szCs w:val="72"/>
                              </w:rPr>
                            </w:pPr>
                          </w:p>
                          <w:p w:rsidR="00836191" w:rsidRPr="00BA4CBA" w:rsidRDefault="00836191" w:rsidP="00F264B3">
                            <w:pPr>
                              <w:spacing w:line="80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 xml:space="preserve">Report on </w:t>
                            </w:r>
                            <w:r w:rsidR="003069F9">
                              <w:rPr>
                                <w:rFonts w:ascii="Adobe Garamond Pro Bold" w:hAnsi="Adobe Garamond Pro Bold"/>
                                <w:b/>
                                <w:color w:val="043064"/>
                                <w:sz w:val="72"/>
                                <w:szCs w:val="72"/>
                              </w:rPr>
                              <w:t>Secure Jobs</w:t>
                            </w:r>
                            <w:r>
                              <w:rPr>
                                <w:rFonts w:ascii="Adobe Garamond Pro Bold" w:hAnsi="Adobe Garamond Pro Bold"/>
                                <w:b/>
                                <w:color w:val="043064"/>
                                <w:sz w:val="72"/>
                                <w:szCs w:val="72"/>
                              </w:rPr>
                              <w:t xml:space="preserve"> </w:t>
                            </w:r>
                          </w:p>
                          <w:p w:rsidR="00836191" w:rsidRDefault="00836191" w:rsidP="002161A8">
                            <w:pPr>
                              <w:spacing w:line="800" w:lineRule="exact"/>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5pt;margin-top:11.6pt;width:456pt;height:23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" stroked="f">
                <v:textbox>
                  <w:txbxContent>
                    <w:p w:rsidR="00836191" w:rsidRDefault="00836191" w:rsidP="002161A8">
                      <w:pPr>
                        <w:spacing w:line="800" w:lineRule="exact"/>
                        <w:jc w:val="center"/>
                        <w:rPr>
                          <w:rFonts w:ascii="Adobe Garamond Pro Bold" w:hAnsi="Adobe Garamond Pro Bold"/>
                          <w:b/>
                          <w:color w:val="043064"/>
                          <w:sz w:val="72"/>
                          <w:szCs w:val="72"/>
                        </w:rPr>
                      </w:pPr>
                    </w:p>
                    <w:p w:rsidR="00784898" w:rsidRDefault="00784898" w:rsidP="00F264B3">
                      <w:pPr>
                        <w:spacing w:line="800" w:lineRule="exact"/>
                        <w:jc w:val="center"/>
                        <w:rPr>
                          <w:rFonts w:ascii="Adobe Garamond Pro Bold" w:hAnsi="Adobe Garamond Pro Bold"/>
                          <w:b/>
                          <w:color w:val="043064"/>
                          <w:sz w:val="72"/>
                          <w:szCs w:val="72"/>
                        </w:rPr>
                      </w:pPr>
                    </w:p>
                    <w:p w:rsidR="00836191" w:rsidRPr="00BA4CBA" w:rsidRDefault="00836191" w:rsidP="00F264B3">
                      <w:pPr>
                        <w:spacing w:line="80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 xml:space="preserve">Report on </w:t>
                      </w:r>
                      <w:r w:rsidR="003069F9">
                        <w:rPr>
                          <w:rFonts w:ascii="Adobe Garamond Pro Bold" w:hAnsi="Adobe Garamond Pro Bold"/>
                          <w:b/>
                          <w:color w:val="043064"/>
                          <w:sz w:val="72"/>
                          <w:szCs w:val="72"/>
                        </w:rPr>
                        <w:t>Secure Jobs</w:t>
                      </w:r>
                      <w:r>
                        <w:rPr>
                          <w:rFonts w:ascii="Adobe Garamond Pro Bold" w:hAnsi="Adobe Garamond Pro Bold"/>
                          <w:b/>
                          <w:color w:val="043064"/>
                          <w:sz w:val="72"/>
                          <w:szCs w:val="72"/>
                        </w:rPr>
                        <w:t xml:space="preserve"> </w:t>
                      </w:r>
                    </w:p>
                    <w:p w:rsidR="00836191" w:rsidRDefault="00836191" w:rsidP="002161A8">
                      <w:pPr>
                        <w:spacing w:line="800" w:lineRule="exact"/>
                        <w:jc w:val="center"/>
                      </w:pPr>
                    </w:p>
                  </w:txbxContent>
                </v:textbox>
              </v:shape>
            </w:pict>
          </mc:Fallback>
        </mc:AlternateContent>
      </w:r>
      <w:r w:rsidR="002161A8">
        <w:tab/>
      </w:r>
    </w:p>
    <w:p w:rsidR="002161A8" w:rsidRDefault="002161A8" w:rsidP="002161A8">
      <w:pPr>
        <w:spacing w:before="100" w:beforeAutospacing="1" w:after="480"/>
        <w:ind w:left="-1584"/>
      </w:pPr>
    </w:p>
    <w:p w:rsidR="002161A8" w:rsidRDefault="002161A8" w:rsidP="002161A8">
      <w:pPr>
        <w:spacing w:before="100" w:beforeAutospacing="1" w:after="480"/>
        <w:ind w:left="-1584"/>
      </w:pPr>
    </w:p>
    <w:p w:rsidR="002161A8" w:rsidRDefault="002161A8" w:rsidP="002161A8">
      <w:pPr>
        <w:tabs>
          <w:tab w:val="left" w:pos="3433"/>
        </w:tabs>
        <w:spacing w:before="100" w:beforeAutospacing="1" w:after="480"/>
        <w:ind w:left="-1584"/>
      </w:pPr>
    </w:p>
    <w:p w:rsidR="002161A8" w:rsidRDefault="002161A8" w:rsidP="002161A8">
      <w:pPr>
        <w:spacing w:before="100" w:beforeAutospacing="1" w:after="480"/>
        <w:ind w:left="-1584"/>
      </w:pPr>
    </w:p>
    <w:p w:rsidR="002161A8" w:rsidRDefault="002161A8" w:rsidP="002161A8">
      <w:pPr>
        <w:spacing w:before="100" w:beforeAutospacing="1" w:after="480"/>
        <w:ind w:left="-1584"/>
      </w:pPr>
    </w:p>
    <w:p w:rsidR="002161A8" w:rsidRPr="00E02475" w:rsidRDefault="002161A8" w:rsidP="002161A8"/>
    <w:p w:rsidR="00784898" w:rsidRDefault="00784898">
      <w:pPr>
        <w:pStyle w:val="Body"/>
        <w:spacing w:after="0" w:line="240" w:lineRule="auto"/>
        <w:jc w:val="center"/>
        <w:rPr>
          <w:rFonts w:ascii="Times New Roman" w:eastAsia="Times New Roman" w:hAnsi="Times New Roman" w:cs="Times New Roman"/>
          <w:sz w:val="24"/>
          <w:szCs w:val="24"/>
        </w:rPr>
      </w:pPr>
    </w:p>
    <w:p w:rsidR="00AF273B" w:rsidRDefault="00A90FE3" w:rsidP="008E5EFF">
      <w:pPr>
        <w:pStyle w:val="Body"/>
        <w:spacing w:after="0" w:line="240" w:lineRule="auto"/>
        <w:sectPr w:rsidR="00AF273B">
          <w:headerReference w:type="default" r:id="rId10"/>
          <w:footerReference w:type="default" r:id="rId11"/>
          <w:pgSz w:w="12240" w:h="15840"/>
          <w:pgMar w:top="1440" w:right="1800" w:bottom="1440" w:left="1800" w:header="720" w:footer="720" w:gutter="0"/>
          <w:cols w:space="720"/>
          <w:titlePg/>
        </w:sectPr>
      </w:pPr>
      <w:r>
        <w:rPr>
          <w:noProof/>
          <w:bdr w:val="none" w:sz="0" w:space="0" w:color="auto"/>
        </w:rPr>
        <mc:AlternateContent>
          <mc:Choice Requires="wps">
            <w:drawing>
              <wp:anchor distT="0" distB="0" distL="114300" distR="114300" simplePos="0" relativeHeight="251658752" behindDoc="0" locked="0" layoutInCell="1" allowOverlap="1" wp14:anchorId="24A84A4B" wp14:editId="6736E8E6">
                <wp:simplePos x="0" y="0"/>
                <wp:positionH relativeFrom="column">
                  <wp:posOffset>1616710</wp:posOffset>
                </wp:positionH>
                <wp:positionV relativeFrom="paragraph">
                  <wp:posOffset>1118235</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rsidR="00836191" w:rsidRPr="00E02475" w:rsidRDefault="003069F9" w:rsidP="002161A8">
                            <w:pPr>
                              <w:jc w:val="center"/>
                              <w:rPr>
                                <w:rFonts w:ascii="Adobe Garamond Pro Bold" w:hAnsi="Adobe Garamond Pro Bold"/>
                                <w:sz w:val="48"/>
                                <w:szCs w:val="48"/>
                              </w:rPr>
                            </w:pPr>
                            <w:r>
                              <w:rPr>
                                <w:rFonts w:ascii="Adobe Garamond Pro Bold" w:hAnsi="Adobe Garamond Pro Bold"/>
                                <w:b/>
                                <w:color w:val="043064"/>
                                <w:sz w:val="48"/>
                                <w:szCs w:val="48"/>
                              </w:rPr>
                              <w:t>April</w:t>
                            </w:r>
                            <w:r w:rsidR="00FD3202">
                              <w:rPr>
                                <w:rFonts w:ascii="Adobe Garamond Pro Bold" w:hAnsi="Adobe Garamond Pro Bold"/>
                                <w:b/>
                                <w:color w:val="043064"/>
                                <w:sz w:val="48"/>
                                <w:szCs w:val="48"/>
                              </w:rPr>
                              <w:t xml:space="preserve"> 201</w:t>
                            </w:r>
                            <w:r>
                              <w:rPr>
                                <w:rFonts w:ascii="Adobe Garamond Pro Bold" w:hAnsi="Adobe Garamond Pro Bold"/>
                                <w:b/>
                                <w:color w:val="043064"/>
                                <w:sz w:val="48"/>
                                <w:szCs w:val="48"/>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27.3pt;margin-top:88.05pt;width:195.4pt;height:7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" stroked="f">
                <v:textbox>
                  <w:txbxContent>
                    <w:p w:rsidR="00836191" w:rsidRPr="00E02475" w:rsidRDefault="003069F9" w:rsidP="002161A8">
                      <w:pPr>
                        <w:jc w:val="center"/>
                        <w:rPr>
                          <w:rFonts w:ascii="Adobe Garamond Pro Bold" w:hAnsi="Adobe Garamond Pro Bold"/>
                          <w:sz w:val="48"/>
                          <w:szCs w:val="48"/>
                        </w:rPr>
                      </w:pPr>
                      <w:r>
                        <w:rPr>
                          <w:rFonts w:ascii="Adobe Garamond Pro Bold" w:hAnsi="Adobe Garamond Pro Bold"/>
                          <w:b/>
                          <w:color w:val="043064"/>
                          <w:sz w:val="48"/>
                          <w:szCs w:val="48"/>
                        </w:rPr>
                        <w:t>April</w:t>
                      </w:r>
                      <w:r w:rsidR="00FD3202">
                        <w:rPr>
                          <w:rFonts w:ascii="Adobe Garamond Pro Bold" w:hAnsi="Adobe Garamond Pro Bold"/>
                          <w:b/>
                          <w:color w:val="043064"/>
                          <w:sz w:val="48"/>
                          <w:szCs w:val="48"/>
                        </w:rPr>
                        <w:t xml:space="preserve"> 201</w:t>
                      </w:r>
                      <w:r>
                        <w:rPr>
                          <w:rFonts w:ascii="Adobe Garamond Pro Bold" w:hAnsi="Adobe Garamond Pro Bold"/>
                          <w:b/>
                          <w:color w:val="043064"/>
                          <w:sz w:val="48"/>
                          <w:szCs w:val="48"/>
                        </w:rPr>
                        <w:t>8</w:t>
                      </w:r>
                    </w:p>
                  </w:txbxContent>
                </v:textbox>
              </v:shape>
            </w:pict>
          </mc:Fallback>
        </mc:AlternateContent>
      </w:r>
    </w:p>
    <w:p w:rsidR="003069F9" w:rsidRPr="00E62CDF" w:rsidRDefault="00F264B3" w:rsidP="00302849">
      <w:pPr>
        <w:pStyle w:val="Body"/>
        <w:spacing w:after="0" w:line="240" w:lineRule="auto"/>
        <w:jc w:val="center"/>
        <w:rPr>
          <w:rFonts w:ascii="Times New Roman" w:hAnsi="Times New Roman" w:cs="Times New Roman"/>
          <w:i/>
          <w:iCs/>
          <w:sz w:val="24"/>
          <w:szCs w:val="24"/>
        </w:rPr>
      </w:pPr>
      <w:r w:rsidRPr="00E62CDF">
        <w:rPr>
          <w:b/>
          <w:bCs/>
          <w:smallCaps/>
          <w:sz w:val="24"/>
          <w:szCs w:val="24"/>
        </w:rPr>
        <w:lastRenderedPageBreak/>
        <w:t xml:space="preserve">Report on </w:t>
      </w:r>
      <w:r w:rsidR="003069F9" w:rsidRPr="00E62CDF">
        <w:rPr>
          <w:b/>
          <w:bCs/>
          <w:smallCaps/>
          <w:sz w:val="24"/>
          <w:szCs w:val="24"/>
        </w:rPr>
        <w:t>Secure Jobs</w:t>
      </w:r>
    </w:p>
    <w:p w:rsidR="00F264B3" w:rsidRPr="00E62CDF" w:rsidRDefault="003069F9" w:rsidP="005B1E79">
      <w:pPr>
        <w:pStyle w:val="Body"/>
        <w:spacing w:after="0" w:line="240" w:lineRule="auto"/>
        <w:jc w:val="center"/>
        <w:rPr>
          <w:rFonts w:ascii="Times New Roman" w:eastAsia="Times New Roman" w:hAnsi="Times New Roman" w:cs="Times New Roman"/>
          <w:i/>
          <w:iCs/>
          <w:sz w:val="24"/>
          <w:szCs w:val="24"/>
        </w:rPr>
      </w:pPr>
      <w:r w:rsidRPr="00E62CDF">
        <w:rPr>
          <w:rFonts w:ascii="Times New Roman" w:hAnsi="Times New Roman" w:cs="Times New Roman"/>
          <w:i/>
          <w:iCs/>
          <w:sz w:val="24"/>
          <w:szCs w:val="24"/>
        </w:rPr>
        <w:t xml:space="preserve">April </w:t>
      </w:r>
      <w:r w:rsidR="00FD3202" w:rsidRPr="00E62CDF">
        <w:rPr>
          <w:rFonts w:ascii="Times New Roman" w:hAnsi="Times New Roman" w:cs="Times New Roman"/>
          <w:i/>
          <w:iCs/>
          <w:sz w:val="24"/>
          <w:szCs w:val="24"/>
        </w:rPr>
        <w:t>201</w:t>
      </w:r>
      <w:r w:rsidR="006E54E8" w:rsidRPr="00E62CDF">
        <w:rPr>
          <w:rFonts w:ascii="Times New Roman" w:hAnsi="Times New Roman" w:cs="Times New Roman"/>
          <w:i/>
          <w:iCs/>
          <w:sz w:val="24"/>
          <w:szCs w:val="24"/>
        </w:rPr>
        <w:t>8</w:t>
      </w:r>
    </w:p>
    <w:p w:rsidR="00F264B3" w:rsidRPr="00E62CDF" w:rsidRDefault="00F264B3" w:rsidP="00E62CDF">
      <w:pPr>
        <w:pStyle w:val="Body"/>
        <w:spacing w:after="0" w:line="240" w:lineRule="auto"/>
        <w:rPr>
          <w:rFonts w:ascii="Times New Roman" w:eastAsia="Times New Roman" w:hAnsi="Times New Roman" w:cs="Times New Roman"/>
          <w:i/>
          <w:iCs/>
          <w:sz w:val="24"/>
          <w:szCs w:val="24"/>
        </w:rPr>
      </w:pPr>
    </w:p>
    <w:p w:rsidR="00F264B3" w:rsidRPr="00E62CDF" w:rsidRDefault="00F264B3" w:rsidP="00E62CDF">
      <w:pPr>
        <w:pStyle w:val="Body"/>
        <w:spacing w:after="0" w:line="240" w:lineRule="auto"/>
        <w:rPr>
          <w:rFonts w:ascii="Times New Roman" w:eastAsia="Times New Roman" w:hAnsi="Times New Roman" w:cs="Times New Roman"/>
          <w:b/>
          <w:bCs/>
          <w:smallCaps/>
          <w:sz w:val="24"/>
          <w:szCs w:val="24"/>
        </w:rPr>
      </w:pPr>
      <w:r w:rsidRPr="00E62CDF">
        <w:rPr>
          <w:rFonts w:ascii="Times New Roman" w:hAnsi="Times New Roman" w:cs="Times New Roman"/>
          <w:b/>
          <w:bCs/>
          <w:smallCaps/>
          <w:sz w:val="24"/>
          <w:szCs w:val="24"/>
        </w:rPr>
        <w:t>Overview</w:t>
      </w:r>
    </w:p>
    <w:p w:rsidR="00F264B3" w:rsidRPr="00784898" w:rsidRDefault="00F264B3" w:rsidP="00302849">
      <w:pPr>
        <w:pStyle w:val="Body"/>
        <w:spacing w:after="0" w:line="240" w:lineRule="auto"/>
        <w:jc w:val="both"/>
        <w:rPr>
          <w:rFonts w:ascii="Times New Roman" w:eastAsia="Times New Roman" w:hAnsi="Times New Roman" w:cs="Times New Roman"/>
          <w:sz w:val="24"/>
          <w:szCs w:val="24"/>
        </w:rPr>
      </w:pPr>
    </w:p>
    <w:p w:rsidR="003069F9" w:rsidRPr="004B63D0" w:rsidRDefault="003069F9" w:rsidP="00E62CDF">
      <w:pPr>
        <w:pStyle w:val="Body"/>
        <w:spacing w:after="0" w:line="240" w:lineRule="auto"/>
        <w:rPr>
          <w:rFonts w:ascii="Times New Roman" w:hAnsi="Times New Roman" w:cs="Times New Roman"/>
          <w:sz w:val="24"/>
          <w:szCs w:val="24"/>
        </w:rPr>
      </w:pPr>
      <w:r w:rsidRPr="004B63D0">
        <w:rPr>
          <w:rFonts w:ascii="Times New Roman" w:hAnsi="Times New Roman" w:cs="Times New Roman"/>
          <w:sz w:val="24"/>
          <w:szCs w:val="24"/>
        </w:rPr>
        <w:t xml:space="preserve">Pursuant to line-item 4400-1020 of the FY2018 </w:t>
      </w:r>
      <w:r w:rsidR="00784898" w:rsidRPr="004B63D0">
        <w:rPr>
          <w:rFonts w:ascii="Times New Roman" w:hAnsi="Times New Roman" w:cs="Times New Roman"/>
          <w:sz w:val="24"/>
          <w:szCs w:val="24"/>
        </w:rPr>
        <w:t>General Appropriations Act</w:t>
      </w:r>
      <w:r w:rsidRPr="004B63D0">
        <w:rPr>
          <w:rFonts w:ascii="Times New Roman" w:hAnsi="Times New Roman" w:cs="Times New Roman"/>
          <w:sz w:val="24"/>
          <w:szCs w:val="24"/>
        </w:rPr>
        <w:t xml:space="preserve">, </w:t>
      </w:r>
      <w:r w:rsidR="00F264B3" w:rsidRPr="004B63D0">
        <w:rPr>
          <w:rFonts w:ascii="Times New Roman" w:hAnsi="Times New Roman" w:cs="Times New Roman"/>
          <w:sz w:val="24"/>
          <w:szCs w:val="24"/>
        </w:rPr>
        <w:t xml:space="preserve">the Department of Transitional Assistance (DTA) </w:t>
      </w:r>
      <w:r w:rsidRPr="004B63D0">
        <w:rPr>
          <w:rFonts w:ascii="Times New Roman" w:hAnsi="Times New Roman" w:cs="Times New Roman"/>
          <w:sz w:val="24"/>
          <w:szCs w:val="24"/>
        </w:rPr>
        <w:t>is required to report on the status of the Secure Jobs program as follows:</w:t>
      </w:r>
    </w:p>
    <w:p w:rsidR="00A6710F" w:rsidRPr="004B63D0" w:rsidRDefault="00A6710F" w:rsidP="00302849">
      <w:pPr>
        <w:rPr>
          <w:color w:val="000000"/>
          <w:shd w:val="clear" w:color="auto" w:fill="FFFFFF"/>
        </w:rPr>
      </w:pPr>
    </w:p>
    <w:p w:rsidR="00E62CDF" w:rsidRPr="004B63D0" w:rsidRDefault="00A6710F" w:rsidP="004220EB">
      <w:pPr>
        <w:pStyle w:val="Body"/>
        <w:spacing w:after="0" w:line="240" w:lineRule="auto"/>
        <w:ind w:left="720"/>
        <w:rPr>
          <w:rFonts w:ascii="Times New Roman" w:hAnsi="Times New Roman" w:cs="Times New Roman"/>
          <w:sz w:val="24"/>
          <w:szCs w:val="24"/>
        </w:rPr>
      </w:pPr>
      <w:r w:rsidRPr="004B63D0">
        <w:rPr>
          <w:rFonts w:ascii="Times New Roman" w:hAnsi="Times New Roman" w:cs="Times New Roman"/>
          <w:sz w:val="24"/>
          <w:szCs w:val="24"/>
          <w:shd w:val="clear" w:color="auto" w:fill="FFFFFF"/>
        </w:rPr>
        <w:t>“that the department shall report to the chairs of the house and senate committees on ways and means not later than March 15, 2018, by type of service or program provided on the: (i) housing situation, including the stability of housing, for program participants; (ii) employment status, including employment history, of program participants; (iii) total number of program participants; and (iv) number of program participants who are no longer receiving assistance under said item </w:t>
      </w:r>
      <w:r w:rsidR="00784898" w:rsidRPr="004B63D0">
        <w:rPr>
          <w:rFonts w:ascii="Times New Roman" w:hAnsi="Times New Roman" w:cs="Times New Roman"/>
          <w:sz w:val="24"/>
          <w:szCs w:val="24"/>
        </w:rPr>
        <w:t>7004-0101</w:t>
      </w:r>
      <w:r w:rsidRPr="004B63D0">
        <w:rPr>
          <w:rFonts w:ascii="Times New Roman" w:hAnsi="Times New Roman" w:cs="Times New Roman"/>
          <w:sz w:val="24"/>
          <w:szCs w:val="24"/>
        </w:rPr>
        <w:t>, </w:t>
      </w:r>
      <w:r w:rsidR="00784898" w:rsidRPr="004B63D0">
        <w:rPr>
          <w:rFonts w:ascii="Times New Roman" w:hAnsi="Times New Roman" w:cs="Times New Roman"/>
          <w:sz w:val="24"/>
          <w:szCs w:val="24"/>
        </w:rPr>
        <w:t>7004-0108</w:t>
      </w:r>
      <w:r w:rsidRPr="004B63D0">
        <w:rPr>
          <w:rFonts w:ascii="Times New Roman" w:hAnsi="Times New Roman" w:cs="Times New Roman"/>
          <w:sz w:val="24"/>
          <w:szCs w:val="24"/>
        </w:rPr>
        <w:t>, </w:t>
      </w:r>
      <w:r w:rsidR="00784898" w:rsidRPr="004B63D0">
        <w:rPr>
          <w:rFonts w:ascii="Times New Roman" w:hAnsi="Times New Roman" w:cs="Times New Roman"/>
          <w:sz w:val="24"/>
          <w:szCs w:val="24"/>
        </w:rPr>
        <w:t>7004-9024</w:t>
      </w:r>
      <w:r w:rsidRPr="004B63D0">
        <w:rPr>
          <w:rFonts w:ascii="Times New Roman" w:hAnsi="Times New Roman" w:cs="Times New Roman"/>
          <w:sz w:val="24"/>
          <w:szCs w:val="24"/>
        </w:rPr>
        <w:t> or </w:t>
      </w:r>
      <w:r w:rsidR="00784898" w:rsidRPr="004B63D0">
        <w:rPr>
          <w:rFonts w:ascii="Times New Roman" w:hAnsi="Times New Roman" w:cs="Times New Roman"/>
          <w:sz w:val="24"/>
          <w:szCs w:val="24"/>
        </w:rPr>
        <w:t>7004-9316</w:t>
      </w:r>
      <w:r w:rsidR="00302849" w:rsidRPr="004B63D0">
        <w:rPr>
          <w:rFonts w:ascii="Times New Roman" w:hAnsi="Times New Roman" w:cs="Times New Roman"/>
          <w:sz w:val="24"/>
          <w:szCs w:val="24"/>
        </w:rPr>
        <w:t>”</w:t>
      </w:r>
    </w:p>
    <w:p w:rsidR="001A715C" w:rsidRDefault="001A715C" w:rsidP="00E62CDF">
      <w:pPr>
        <w:pStyle w:val="Body"/>
        <w:spacing w:after="0" w:line="240" w:lineRule="auto"/>
      </w:pPr>
    </w:p>
    <w:p w:rsidR="001A715C" w:rsidRPr="00E62CDF" w:rsidRDefault="001A715C" w:rsidP="00E62CDF">
      <w:pPr>
        <w:pStyle w:val="Body"/>
        <w:spacing w:after="0" w:line="240" w:lineRule="auto"/>
        <w:rPr>
          <w:rFonts w:ascii="Times New Roman" w:hAnsi="Times New Roman" w:cs="Times New Roman"/>
          <w:b/>
          <w:bCs/>
          <w:smallCaps/>
          <w:sz w:val="24"/>
          <w:szCs w:val="24"/>
        </w:rPr>
      </w:pPr>
    </w:p>
    <w:p w:rsidR="002E24BE" w:rsidRPr="00E62CDF" w:rsidRDefault="002E24BE" w:rsidP="00E62CDF">
      <w:pPr>
        <w:pStyle w:val="Body"/>
        <w:spacing w:after="0" w:line="240" w:lineRule="auto"/>
        <w:rPr>
          <w:rFonts w:ascii="Times New Roman" w:eastAsia="Times New Roman" w:hAnsi="Times New Roman" w:cs="Times New Roman"/>
          <w:b/>
          <w:bCs/>
          <w:smallCaps/>
          <w:sz w:val="24"/>
          <w:szCs w:val="24"/>
        </w:rPr>
      </w:pPr>
      <w:r w:rsidRPr="00E62CDF">
        <w:rPr>
          <w:rFonts w:ascii="Times New Roman" w:hAnsi="Times New Roman" w:cs="Times New Roman"/>
          <w:b/>
          <w:bCs/>
          <w:smallCaps/>
          <w:sz w:val="24"/>
          <w:szCs w:val="24"/>
        </w:rPr>
        <w:t xml:space="preserve">Department of Transitional Assistance </w:t>
      </w:r>
    </w:p>
    <w:p w:rsidR="00F264B3" w:rsidRPr="00E62CDF" w:rsidRDefault="00F264B3" w:rsidP="00302849">
      <w:pPr>
        <w:pStyle w:val="Body"/>
        <w:spacing w:after="0" w:line="240" w:lineRule="auto"/>
        <w:rPr>
          <w:rFonts w:ascii="Times New Roman" w:eastAsia="Times New Roman" w:hAnsi="Times New Roman" w:cs="Times New Roman"/>
          <w:sz w:val="24"/>
          <w:szCs w:val="24"/>
        </w:rPr>
      </w:pPr>
    </w:p>
    <w:p w:rsidR="001A715C" w:rsidRPr="009E77BA" w:rsidRDefault="001A715C" w:rsidP="001A715C">
      <w:pPr>
        <w:pStyle w:val="Body"/>
        <w:spacing w:after="0" w:line="240" w:lineRule="auto"/>
        <w:rPr>
          <w:rFonts w:ascii="Times New Roman" w:eastAsia="Times New Roman" w:hAnsi="Times New Roman" w:cs="Times New Roman"/>
          <w:sz w:val="24"/>
          <w:szCs w:val="24"/>
        </w:rPr>
      </w:pPr>
      <w:r w:rsidRPr="009E77BA">
        <w:rPr>
          <w:rFonts w:ascii="Times New Roman" w:hAnsi="Times New Roman" w:cs="Times New Roman"/>
          <w:sz w:val="24"/>
          <w:szCs w:val="24"/>
        </w:rPr>
        <w:t>The mission of the Department of Transitional Assistance (DTA) is to assist and empower low-income individuals and families to meet their basic needs, improve their quality of life, and achieve long-term economic self-sufficiency. DTA offers a comprehensive system of programs and supports to achieve this mission, including food and nutritional assistance, economic assistance, and employment supports.</w:t>
      </w:r>
      <w:r w:rsidRPr="009E77BA">
        <w:rPr>
          <w:rFonts w:ascii="Times New Roman" w:eastAsia="Times New Roman" w:hAnsi="Times New Roman" w:cs="Times New Roman"/>
          <w:sz w:val="24"/>
          <w:szCs w:val="24"/>
        </w:rPr>
        <w:t xml:space="preserve"> </w:t>
      </w:r>
      <w:r w:rsidRPr="009E77BA">
        <w:rPr>
          <w:rFonts w:ascii="Times New Roman" w:hAnsi="Times New Roman" w:cs="Times New Roman"/>
          <w:sz w:val="24"/>
          <w:szCs w:val="24"/>
        </w:rPr>
        <w:t xml:space="preserve">DTA serves one out of every eight people in the Commonwealth including working families, children, elders, and people with disabilities. </w:t>
      </w:r>
    </w:p>
    <w:p w:rsidR="00302849" w:rsidRDefault="00302849" w:rsidP="00E62CDF">
      <w:pPr>
        <w:pStyle w:val="Body"/>
        <w:spacing w:after="0" w:line="240" w:lineRule="auto"/>
        <w:rPr>
          <w:rFonts w:ascii="Times New Roman" w:eastAsia="Times New Roman" w:hAnsi="Times New Roman" w:cs="Times New Roman"/>
          <w:sz w:val="24"/>
          <w:szCs w:val="24"/>
        </w:rPr>
      </w:pPr>
    </w:p>
    <w:p w:rsidR="00FD67FC" w:rsidRPr="005B1E79" w:rsidRDefault="00FD67FC" w:rsidP="00E62CDF">
      <w:pPr>
        <w:pStyle w:val="Body"/>
        <w:spacing w:after="0" w:line="240" w:lineRule="auto"/>
        <w:rPr>
          <w:rFonts w:ascii="Times New Roman" w:hAnsi="Times New Roman" w:cs="Times New Roman"/>
          <w:b/>
          <w:bCs/>
          <w:smallCaps/>
          <w:sz w:val="24"/>
          <w:szCs w:val="24"/>
        </w:rPr>
      </w:pPr>
    </w:p>
    <w:p w:rsidR="002E24BE" w:rsidRPr="005B1E79" w:rsidRDefault="004B63D0" w:rsidP="00E62CDF">
      <w:pPr>
        <w:pStyle w:val="Body"/>
        <w:spacing w:after="0" w:line="240" w:lineRule="auto"/>
        <w:rPr>
          <w:rFonts w:ascii="Times New Roman" w:eastAsia="Times New Roman" w:hAnsi="Times New Roman" w:cs="Times New Roman"/>
          <w:b/>
          <w:bCs/>
          <w:smallCaps/>
          <w:sz w:val="24"/>
          <w:szCs w:val="24"/>
        </w:rPr>
      </w:pPr>
      <w:r>
        <w:rPr>
          <w:rFonts w:ascii="Times New Roman" w:hAnsi="Times New Roman" w:cs="Times New Roman"/>
          <w:b/>
          <w:bCs/>
          <w:smallCaps/>
          <w:sz w:val="24"/>
          <w:szCs w:val="24"/>
        </w:rPr>
        <w:t>Program History</w:t>
      </w:r>
    </w:p>
    <w:p w:rsidR="00A6710F" w:rsidRPr="00E62CDF" w:rsidRDefault="00A6710F" w:rsidP="00E62CDF"/>
    <w:p w:rsidR="00A6710F" w:rsidRPr="00E62CDF" w:rsidRDefault="00A6710F" w:rsidP="00E62CDF">
      <w:r w:rsidRPr="00E62CDF">
        <w:t>Secure Jobs was created in 2013 through a partnership between the Fireman Foundation and the Massachusetts Interagency Council on Housing and Homelessness to address both homelessness and joblessness by bringing together employment and housing agencies from across the state to help homeless families increase their level of economic self-sufficiency. Five partnerships were funded across the Commonwealth that brought together state agencies, homeless</w:t>
      </w:r>
      <w:r w:rsidR="002736F5">
        <w:t>ness</w:t>
      </w:r>
      <w:r w:rsidRPr="00E62CDF">
        <w:t xml:space="preserve"> providers</w:t>
      </w:r>
      <w:r w:rsidR="004B63D0">
        <w:t>,</w:t>
      </w:r>
      <w:r w:rsidRPr="00E62CDF">
        <w:t xml:space="preserve"> and workforce development agencies. The demonstration targeted families participating in the HomeBASE Rental Assistance program. By connecting housing and workforce development services, Secure Jobs offered the comprehensive support families needed to obtain employment. </w:t>
      </w:r>
    </w:p>
    <w:p w:rsidR="00A6710F" w:rsidRPr="00E62CDF" w:rsidRDefault="00A6710F" w:rsidP="00E62CDF"/>
    <w:p w:rsidR="00A6710F" w:rsidRPr="00E62CDF" w:rsidRDefault="00A6710F" w:rsidP="00E62CDF">
      <w:r w:rsidRPr="00E62CDF">
        <w:t>The initial evaluation of the Secure Jobs demonstration program found that the program is the right fit for parents who are ready, willing and able to work, and that individualized service delivery is critical to success. Further, providing real connections to employers allowed participants to obtain employment, and strong retention services helped participants stay employed.</w:t>
      </w:r>
    </w:p>
    <w:p w:rsidR="00A6710F" w:rsidRPr="00E62CDF" w:rsidRDefault="00A6710F" w:rsidP="00E62CDF">
      <w:pPr>
        <w:ind w:left="720"/>
      </w:pPr>
    </w:p>
    <w:p w:rsidR="00A6710F" w:rsidRPr="00E62CDF" w:rsidRDefault="00961586" w:rsidP="00E62CDF">
      <w:r>
        <w:lastRenderedPageBreak/>
        <w:t>Between FY15 and FY17</w:t>
      </w:r>
      <w:r w:rsidRPr="00E62CDF">
        <w:t>, the Legis</w:t>
      </w:r>
      <w:r>
        <w:t>lature appropriated funding for</w:t>
      </w:r>
      <w:r w:rsidRPr="00E62CDF">
        <w:t xml:space="preserve"> </w:t>
      </w:r>
      <w:r>
        <w:t xml:space="preserve">the Department of Housing and Community Development (DHCD) to execute </w:t>
      </w:r>
      <w:r w:rsidRPr="00E62CDF">
        <w:t xml:space="preserve">contracts with provider agencies to deliver </w:t>
      </w:r>
      <w:r>
        <w:t>requisite services for individuals and families receiving support from DHCD’s Emergency Assistance (EA) program, the Massachusetts Rental Voucher Program (MRVP), the HomeBASE program, or Residential Assistance for Families in Transition (RAFT).</w:t>
      </w:r>
    </w:p>
    <w:p w:rsidR="00A6710F" w:rsidRDefault="00A6710F" w:rsidP="00302849"/>
    <w:p w:rsidR="004B63D0" w:rsidRDefault="004B63D0" w:rsidP="00302849"/>
    <w:p w:rsidR="004B63D0" w:rsidRPr="004B63D0" w:rsidRDefault="004B63D0" w:rsidP="00302849">
      <w:pPr>
        <w:rPr>
          <w:b/>
          <w:smallCaps/>
        </w:rPr>
      </w:pPr>
      <w:r>
        <w:rPr>
          <w:b/>
          <w:smallCaps/>
        </w:rPr>
        <w:t>Current Status of the Program</w:t>
      </w:r>
    </w:p>
    <w:p w:rsidR="004B63D0" w:rsidRPr="00E62CDF" w:rsidRDefault="004B63D0" w:rsidP="00302849"/>
    <w:p w:rsidR="004B63D0" w:rsidRDefault="004B63D0" w:rsidP="00E62CDF">
      <w:pPr>
        <w:rPr>
          <w:rStyle w:val="normalchar1"/>
        </w:rPr>
      </w:pPr>
      <w:r>
        <w:rPr>
          <w:rStyle w:val="normalchar1"/>
        </w:rPr>
        <w:t xml:space="preserve">In the FY18 </w:t>
      </w:r>
      <w:r w:rsidR="005F0178">
        <w:rPr>
          <w:rStyle w:val="normalchar1"/>
        </w:rPr>
        <w:t>budget</w:t>
      </w:r>
      <w:r>
        <w:rPr>
          <w:rStyle w:val="normalchar1"/>
        </w:rPr>
        <w:t xml:space="preserve">, administration of the program was </w:t>
      </w:r>
      <w:r w:rsidR="005F0178">
        <w:rPr>
          <w:rStyle w:val="normalchar1"/>
        </w:rPr>
        <w:t xml:space="preserve">subsequently </w:t>
      </w:r>
      <w:r>
        <w:rPr>
          <w:rStyle w:val="normalchar1"/>
        </w:rPr>
        <w:t>assigned to DTA</w:t>
      </w:r>
      <w:r w:rsidR="00A36E53">
        <w:rPr>
          <w:rStyle w:val="normalchar1"/>
        </w:rPr>
        <w:t>. Working collaboratively with DHCD, the program continues to serve individuals and families that are served by DHCD programs.</w:t>
      </w:r>
    </w:p>
    <w:p w:rsidR="004B63D0" w:rsidRDefault="004B63D0" w:rsidP="00E62CDF">
      <w:pPr>
        <w:rPr>
          <w:rStyle w:val="normalchar1"/>
        </w:rPr>
      </w:pPr>
    </w:p>
    <w:p w:rsidR="002E24BE" w:rsidRPr="00E62CDF" w:rsidRDefault="006514AE" w:rsidP="00E62CDF">
      <w:pPr>
        <w:rPr>
          <w:rStyle w:val="normalchar1"/>
        </w:rPr>
      </w:pPr>
      <w:r>
        <w:rPr>
          <w:rStyle w:val="normalchar1"/>
        </w:rPr>
        <w:t xml:space="preserve">As existing vendor contracts near expiration, </w:t>
      </w:r>
      <w:r w:rsidR="009E77BA">
        <w:rPr>
          <w:rStyle w:val="normalchar1"/>
        </w:rPr>
        <w:t xml:space="preserve">DTA is </w:t>
      </w:r>
      <w:r w:rsidR="00C91DFA">
        <w:rPr>
          <w:rStyle w:val="normalchar1"/>
        </w:rPr>
        <w:t>currently in the process of re-procuring</w:t>
      </w:r>
      <w:r>
        <w:rPr>
          <w:rStyle w:val="normalchar1"/>
        </w:rPr>
        <w:t xml:space="preserve"> services</w:t>
      </w:r>
      <w:r w:rsidR="00C91DFA">
        <w:rPr>
          <w:rStyle w:val="normalchar1"/>
        </w:rPr>
        <w:t xml:space="preserve"> </w:t>
      </w:r>
      <w:r>
        <w:rPr>
          <w:rStyle w:val="normalchar1"/>
        </w:rPr>
        <w:t xml:space="preserve">for the program. DTA is seeking qualified </w:t>
      </w:r>
      <w:r w:rsidR="002E24BE" w:rsidRPr="00E62CDF">
        <w:rPr>
          <w:rStyle w:val="normalchar1"/>
        </w:rPr>
        <w:t xml:space="preserve">partnerships to provide </w:t>
      </w:r>
      <w:r w:rsidR="002E24BE" w:rsidRPr="00E62CDF">
        <w:rPr>
          <w:bCs/>
        </w:rPr>
        <w:t>a comprehensive and integrated array of employment supports, job training</w:t>
      </w:r>
      <w:r w:rsidR="002736F5">
        <w:rPr>
          <w:bCs/>
        </w:rPr>
        <w:t>,</w:t>
      </w:r>
      <w:r w:rsidR="002E24BE" w:rsidRPr="00E62CDF">
        <w:rPr>
          <w:bCs/>
        </w:rPr>
        <w:t xml:space="preserve"> and related services to homeless or previously homeless families receiving housing assistance from</w:t>
      </w:r>
      <w:r w:rsidR="002736F5">
        <w:rPr>
          <w:bCs/>
        </w:rPr>
        <w:t xml:space="preserve"> </w:t>
      </w:r>
      <w:r w:rsidR="002E24BE" w:rsidRPr="00E62CDF">
        <w:rPr>
          <w:bCs/>
        </w:rPr>
        <w:t>DHCD</w:t>
      </w:r>
      <w:r w:rsidR="002E24BE" w:rsidRPr="00E62CDF">
        <w:rPr>
          <w:rStyle w:val="normalchar1"/>
        </w:rPr>
        <w:t xml:space="preserve">. Participants in Secure Jobs are expected to achieve outcomes across the following three key domains: </w:t>
      </w:r>
    </w:p>
    <w:p w:rsidR="002E24BE" w:rsidRPr="00E62CDF" w:rsidRDefault="002E24BE" w:rsidP="00302849">
      <w:pPr>
        <w:rPr>
          <w:rStyle w:val="normalchar1"/>
        </w:rPr>
      </w:pPr>
    </w:p>
    <w:p w:rsidR="002E24BE" w:rsidRPr="00784898" w:rsidRDefault="002E24BE" w:rsidP="00E62CD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300" w:lineRule="auto"/>
        <w:contextualSpacing/>
        <w:rPr>
          <w:rStyle w:val="normalchar1"/>
          <w:rFonts w:eastAsia="Arial Unicode MS"/>
          <w:color w:val="auto"/>
        </w:rPr>
      </w:pPr>
      <w:r w:rsidRPr="00784898">
        <w:rPr>
          <w:rStyle w:val="normalchar1"/>
        </w:rPr>
        <w:t xml:space="preserve">Education and Career </w:t>
      </w:r>
    </w:p>
    <w:p w:rsidR="002E24BE" w:rsidRPr="00302849" w:rsidRDefault="002E24BE" w:rsidP="00E62CD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300" w:lineRule="auto"/>
        <w:contextualSpacing/>
        <w:rPr>
          <w:rStyle w:val="normalchar1"/>
          <w:rFonts w:eastAsia="Arial Unicode MS"/>
          <w:color w:val="auto"/>
        </w:rPr>
      </w:pPr>
      <w:r w:rsidRPr="00302849">
        <w:rPr>
          <w:rStyle w:val="normalchar1"/>
        </w:rPr>
        <w:t xml:space="preserve">Housing and Economic Stability </w:t>
      </w:r>
    </w:p>
    <w:p w:rsidR="002E24BE" w:rsidRPr="005B1E79" w:rsidRDefault="002E24BE" w:rsidP="00E62CD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300" w:lineRule="auto"/>
        <w:contextualSpacing/>
        <w:rPr>
          <w:rStyle w:val="normalchar1"/>
          <w:rFonts w:eastAsia="Arial Unicode MS"/>
          <w:color w:val="auto"/>
        </w:rPr>
      </w:pPr>
      <w:r w:rsidRPr="005B1E79">
        <w:rPr>
          <w:rStyle w:val="normalchar1"/>
        </w:rPr>
        <w:t>Family Stability and Well Being</w:t>
      </w:r>
    </w:p>
    <w:p w:rsidR="002E24BE" w:rsidRPr="00E62CDF" w:rsidRDefault="002E24BE" w:rsidP="00E62CDF">
      <w:pPr>
        <w:rPr>
          <w:rStyle w:val="normalchar1"/>
        </w:rPr>
      </w:pPr>
      <w:r w:rsidRPr="00E62CDF">
        <w:rPr>
          <w:rStyle w:val="normalchar1"/>
        </w:rPr>
        <w:t>The theory of change for Secure Jobs is that a focus on employment can shorten the length of stay in shelter and expedite the attainment of permanent housing, contributing to upward economic mobility and family stability.</w:t>
      </w:r>
    </w:p>
    <w:p w:rsidR="002E24BE" w:rsidRPr="00E62CDF" w:rsidRDefault="002E24BE" w:rsidP="00E62CDF"/>
    <w:p w:rsidR="002E24BE" w:rsidRPr="00E62CDF" w:rsidRDefault="002E24BE" w:rsidP="00E62CDF">
      <w:pPr>
        <w:rPr>
          <w:bCs/>
        </w:rPr>
      </w:pPr>
      <w:r w:rsidRPr="00E62CDF">
        <w:rPr>
          <w:bCs/>
        </w:rPr>
        <w:t xml:space="preserve">DTA is taking a “two-generation” (2Gen) approach to increasing economic mobility for families. This approach recognizes that outcomes for parents and children are intertwined and cannot develop independently of one another. Research has documented the impact of a parent’s education, economic stability and overall health on a child’s trajectory. Similarly, children’s education and healthy development are powerful catalysts for parents. </w:t>
      </w:r>
    </w:p>
    <w:p w:rsidR="002E24BE" w:rsidRPr="00E62CDF" w:rsidRDefault="002E24BE" w:rsidP="00E62CDF">
      <w:pPr>
        <w:rPr>
          <w:bCs/>
        </w:rPr>
      </w:pPr>
    </w:p>
    <w:p w:rsidR="002E24BE" w:rsidRPr="00E62CDF" w:rsidRDefault="002E24BE" w:rsidP="00E62CDF">
      <w:pPr>
        <w:pStyle w:val="Body"/>
        <w:spacing w:line="240" w:lineRule="auto"/>
        <w:jc w:val="both"/>
        <w:rPr>
          <w:rFonts w:ascii="Times New Roman" w:hAnsi="Times New Roman" w:cs="Times New Roman"/>
          <w:sz w:val="24"/>
          <w:szCs w:val="24"/>
        </w:rPr>
      </w:pPr>
      <w:r w:rsidRPr="00E62CDF">
        <w:rPr>
          <w:rFonts w:ascii="Times New Roman" w:hAnsi="Times New Roman" w:cs="Times New Roman"/>
          <w:sz w:val="24"/>
          <w:szCs w:val="24"/>
        </w:rPr>
        <w:t>In addition to providers that utilize a 2Gen approach, DTA is seeking proposals from providers who can demonstrate a willingness and ability to:</w:t>
      </w:r>
    </w:p>
    <w:p w:rsidR="002E24BE" w:rsidRPr="00E62CDF" w:rsidRDefault="002E24BE">
      <w:pPr>
        <w:pStyle w:val="Body"/>
        <w:numPr>
          <w:ilvl w:val="0"/>
          <w:numId w:val="24"/>
        </w:numPr>
        <w:spacing w:after="0" w:line="240" w:lineRule="auto"/>
        <w:jc w:val="both"/>
        <w:rPr>
          <w:rFonts w:ascii="Times New Roman" w:hAnsi="Times New Roman" w:cs="Times New Roman"/>
          <w:sz w:val="24"/>
          <w:szCs w:val="24"/>
        </w:rPr>
      </w:pPr>
      <w:r w:rsidRPr="00E62CDF">
        <w:rPr>
          <w:rFonts w:ascii="Times New Roman" w:hAnsi="Times New Roman" w:cs="Times New Roman"/>
          <w:sz w:val="24"/>
          <w:szCs w:val="24"/>
        </w:rPr>
        <w:t>Act in partnership with participants to help them set and achieve personally meaningful goals on their path to economic stability</w:t>
      </w:r>
      <w:r w:rsidR="00784898">
        <w:rPr>
          <w:rFonts w:ascii="Times New Roman" w:hAnsi="Times New Roman" w:cs="Times New Roman"/>
          <w:sz w:val="24"/>
          <w:szCs w:val="24"/>
        </w:rPr>
        <w:t>;</w:t>
      </w:r>
    </w:p>
    <w:p w:rsidR="002E24BE" w:rsidRPr="00E62CDF" w:rsidRDefault="002E24BE">
      <w:pPr>
        <w:pStyle w:val="Body"/>
        <w:numPr>
          <w:ilvl w:val="0"/>
          <w:numId w:val="24"/>
        </w:numPr>
        <w:spacing w:after="0" w:line="240" w:lineRule="auto"/>
        <w:jc w:val="both"/>
        <w:rPr>
          <w:rFonts w:ascii="Times New Roman" w:hAnsi="Times New Roman" w:cs="Times New Roman"/>
          <w:sz w:val="24"/>
          <w:szCs w:val="24"/>
        </w:rPr>
      </w:pPr>
      <w:r w:rsidRPr="00E62CDF">
        <w:rPr>
          <w:rFonts w:ascii="Times New Roman" w:hAnsi="Times New Roman" w:cs="Times New Roman"/>
          <w:sz w:val="24"/>
          <w:szCs w:val="24"/>
        </w:rPr>
        <w:t>Meet each family where they are</w:t>
      </w:r>
      <w:r w:rsidR="00784898">
        <w:rPr>
          <w:rFonts w:ascii="Times New Roman" w:hAnsi="Times New Roman" w:cs="Times New Roman"/>
          <w:sz w:val="24"/>
          <w:szCs w:val="24"/>
        </w:rPr>
        <w:t>;</w:t>
      </w:r>
    </w:p>
    <w:p w:rsidR="002E24BE" w:rsidRPr="00E62CDF" w:rsidRDefault="002E24BE">
      <w:pPr>
        <w:pStyle w:val="Body"/>
        <w:numPr>
          <w:ilvl w:val="0"/>
          <w:numId w:val="24"/>
        </w:numPr>
        <w:spacing w:after="0" w:line="240" w:lineRule="auto"/>
        <w:jc w:val="both"/>
        <w:rPr>
          <w:rFonts w:ascii="Times New Roman" w:hAnsi="Times New Roman" w:cs="Times New Roman"/>
          <w:sz w:val="24"/>
          <w:szCs w:val="24"/>
        </w:rPr>
      </w:pPr>
      <w:r w:rsidRPr="00E62CDF">
        <w:rPr>
          <w:rFonts w:ascii="Times New Roman" w:hAnsi="Times New Roman" w:cs="Times New Roman"/>
          <w:sz w:val="24"/>
          <w:szCs w:val="24"/>
        </w:rPr>
        <w:t>Identify and meet the needs of the entire family</w:t>
      </w:r>
      <w:r w:rsidR="00784898">
        <w:rPr>
          <w:rFonts w:ascii="Times New Roman" w:hAnsi="Times New Roman" w:cs="Times New Roman"/>
          <w:sz w:val="24"/>
          <w:szCs w:val="24"/>
        </w:rPr>
        <w:t>; and,</w:t>
      </w:r>
    </w:p>
    <w:p w:rsidR="002E24BE" w:rsidRPr="00E62CDF" w:rsidRDefault="002E24BE">
      <w:pPr>
        <w:pStyle w:val="Body"/>
        <w:numPr>
          <w:ilvl w:val="0"/>
          <w:numId w:val="24"/>
        </w:numPr>
        <w:spacing w:after="0" w:line="240" w:lineRule="auto"/>
        <w:jc w:val="both"/>
        <w:rPr>
          <w:rFonts w:ascii="Times New Roman" w:hAnsi="Times New Roman" w:cs="Times New Roman"/>
          <w:sz w:val="24"/>
          <w:szCs w:val="24"/>
        </w:rPr>
      </w:pPr>
      <w:r w:rsidRPr="00E62CDF">
        <w:rPr>
          <w:rFonts w:ascii="Times New Roman" w:hAnsi="Times New Roman" w:cs="Times New Roman"/>
          <w:sz w:val="24"/>
          <w:szCs w:val="24"/>
        </w:rPr>
        <w:t>Be flexible and build in margins for error so participants can be supported in their individual path toward setting and achieving their economic and family goal</w:t>
      </w:r>
      <w:r w:rsidR="00784898">
        <w:rPr>
          <w:rFonts w:ascii="Times New Roman" w:hAnsi="Times New Roman" w:cs="Times New Roman"/>
          <w:sz w:val="24"/>
          <w:szCs w:val="24"/>
        </w:rPr>
        <w:t>.</w:t>
      </w:r>
    </w:p>
    <w:p w:rsidR="002E24BE" w:rsidRPr="00E62CDF" w:rsidRDefault="002E24BE" w:rsidP="00E62CDF"/>
    <w:p w:rsidR="002E24BE" w:rsidRPr="00E62CDF" w:rsidRDefault="002E24BE" w:rsidP="00E62CDF">
      <w:r w:rsidRPr="00E62CDF">
        <w:t xml:space="preserve">Referral to Secure Jobs is generally made through </w:t>
      </w:r>
      <w:r w:rsidR="002736F5">
        <w:t>housing agencies</w:t>
      </w:r>
      <w:r w:rsidRPr="00E62CDF">
        <w:t xml:space="preserve"> serving DHCD clients. However, </w:t>
      </w:r>
      <w:r w:rsidR="002736F5" w:rsidRPr="00FF2A8C">
        <w:t>provided that DHCD has verified eligibility</w:t>
      </w:r>
      <w:r w:rsidR="002736F5">
        <w:t xml:space="preserve">, </w:t>
      </w:r>
      <w:r w:rsidRPr="00E62CDF">
        <w:t xml:space="preserve">referrals may be made through </w:t>
      </w:r>
      <w:r w:rsidR="002736F5">
        <w:t>one of DTA’s</w:t>
      </w:r>
      <w:r w:rsidRPr="00E62CDF">
        <w:t xml:space="preserve"> local Transitional Assistance Office</w:t>
      </w:r>
      <w:r w:rsidR="002736F5">
        <w:t>s</w:t>
      </w:r>
      <w:r w:rsidRPr="00E62CDF">
        <w:t xml:space="preserve"> (TAO</w:t>
      </w:r>
      <w:r w:rsidR="002736F5">
        <w:t>s</w:t>
      </w:r>
      <w:r w:rsidRPr="00E62CDF">
        <w:t>), provider recruitment, other community agencies or self-referral</w:t>
      </w:r>
      <w:r w:rsidR="002736F5">
        <w:t>.</w:t>
      </w:r>
      <w:r w:rsidRPr="00E62CDF">
        <w:t xml:space="preserve"> </w:t>
      </w:r>
    </w:p>
    <w:p w:rsidR="002E24BE" w:rsidRPr="00E62CDF" w:rsidRDefault="002E24BE" w:rsidP="00E62CDF"/>
    <w:p w:rsidR="00A6710F" w:rsidRPr="00E62CDF" w:rsidRDefault="00A6710F" w:rsidP="00E62CDF">
      <w:r w:rsidRPr="00E62CDF">
        <w:t>Starting in FY19, Secure Jobs will have additional funding through DHCD’s Moving to Work</w:t>
      </w:r>
      <w:r w:rsidR="002736F5">
        <w:t xml:space="preserve"> (MTW)</w:t>
      </w:r>
      <w:r w:rsidRPr="00E62CDF">
        <w:t xml:space="preserve"> designation. Because of its focus on homeless and housing unstable families, Secure Jobs is considered a local non-traditional activity under the Moving to Work Program. Traditionally, </w:t>
      </w:r>
      <w:r w:rsidRPr="00E62CDF">
        <w:rPr>
          <w:lang w:val="en"/>
        </w:rPr>
        <w:t xml:space="preserve">Moving to Work is a demonstration program for public housing authorities (PHAs) to provide them the opportunity to design and test innovative, locally-designed strategies that use </w:t>
      </w:r>
      <w:r w:rsidR="002736F5">
        <w:rPr>
          <w:lang w:val="en"/>
        </w:rPr>
        <w:t>f</w:t>
      </w:r>
      <w:r w:rsidRPr="00E62CDF">
        <w:rPr>
          <w:lang w:val="en"/>
        </w:rPr>
        <w:t>ederal dollars more efficiently, help residents find employment and become</w:t>
      </w:r>
      <w:r w:rsidR="0037512E">
        <w:rPr>
          <w:lang w:val="en"/>
        </w:rPr>
        <w:t xml:space="preserve"> </w:t>
      </w:r>
      <w:r w:rsidRPr="00E62CDF">
        <w:rPr>
          <w:lang w:val="en"/>
        </w:rPr>
        <w:t xml:space="preserve">self-sufficient, and increase housing choices for low-income families. MTW gives PHAs exemptions from many existing public housing and voucher rules and more flexibility with how they use their </w:t>
      </w:r>
      <w:r w:rsidR="002736F5">
        <w:rPr>
          <w:lang w:val="en"/>
        </w:rPr>
        <w:t>f</w:t>
      </w:r>
      <w:r w:rsidRPr="00E62CDF">
        <w:rPr>
          <w:lang w:val="en"/>
        </w:rPr>
        <w:t>ederal funds. MTW PHAs are expected to use the opportunities presented by MTW to inform HUD about ways to better address local community needs.</w:t>
      </w:r>
    </w:p>
    <w:p w:rsidR="0037512E" w:rsidRDefault="0037512E" w:rsidP="00302849">
      <w:pPr>
        <w:pStyle w:val="Body"/>
        <w:spacing w:after="0" w:line="240" w:lineRule="auto"/>
        <w:jc w:val="both"/>
        <w:rPr>
          <w:rFonts w:ascii="Times New Roman" w:hAnsi="Times New Roman" w:cs="Times New Roman"/>
          <w:sz w:val="24"/>
          <w:szCs w:val="24"/>
        </w:rPr>
      </w:pPr>
    </w:p>
    <w:p w:rsidR="00302849" w:rsidRPr="00E62CDF" w:rsidRDefault="00302849" w:rsidP="00302849">
      <w:pPr>
        <w:pStyle w:val="Body"/>
        <w:spacing w:after="0" w:line="240" w:lineRule="auto"/>
        <w:jc w:val="both"/>
        <w:rPr>
          <w:rFonts w:ascii="Times New Roman" w:hAnsi="Times New Roman" w:cs="Times New Roman"/>
          <w:sz w:val="24"/>
          <w:szCs w:val="24"/>
        </w:rPr>
      </w:pPr>
    </w:p>
    <w:p w:rsidR="00A6710F" w:rsidRPr="00784898" w:rsidRDefault="004E5087" w:rsidP="00E62CDF">
      <w:pPr>
        <w:pStyle w:val="Body"/>
        <w:spacing w:after="0" w:line="240" w:lineRule="auto"/>
        <w:rPr>
          <w:rFonts w:ascii="Times New Roman" w:hAnsi="Times New Roman" w:cs="Times New Roman"/>
          <w:b/>
          <w:bCs/>
          <w:smallCaps/>
          <w:sz w:val="24"/>
          <w:szCs w:val="24"/>
        </w:rPr>
      </w:pPr>
      <w:r w:rsidRPr="00784898">
        <w:rPr>
          <w:rFonts w:ascii="Times New Roman" w:hAnsi="Times New Roman" w:cs="Times New Roman"/>
          <w:b/>
          <w:bCs/>
          <w:smallCaps/>
          <w:sz w:val="24"/>
          <w:szCs w:val="24"/>
        </w:rPr>
        <w:t xml:space="preserve">FY2018 </w:t>
      </w:r>
      <w:r w:rsidR="002E24BE" w:rsidRPr="00784898">
        <w:rPr>
          <w:rFonts w:ascii="Times New Roman" w:hAnsi="Times New Roman" w:cs="Times New Roman"/>
          <w:b/>
          <w:bCs/>
          <w:smallCaps/>
          <w:sz w:val="24"/>
          <w:szCs w:val="24"/>
        </w:rPr>
        <w:t>Secure Jobs Participants Served and Outcomes</w:t>
      </w:r>
    </w:p>
    <w:p w:rsidR="004E5087" w:rsidRPr="00E62CDF" w:rsidRDefault="004E5087" w:rsidP="00302849">
      <w:pPr>
        <w:pStyle w:val="Body"/>
        <w:spacing w:after="0" w:line="240" w:lineRule="auto"/>
        <w:rPr>
          <w:rFonts w:ascii="Times New Roman" w:hAnsi="Times New Roman" w:cs="Times New Roman"/>
          <w:sz w:val="24"/>
          <w:szCs w:val="24"/>
        </w:rPr>
      </w:pPr>
    </w:p>
    <w:p w:rsidR="00770606" w:rsidRPr="00E62CDF" w:rsidRDefault="00770606" w:rsidP="00302849">
      <w:pPr>
        <w:pStyle w:val="Body"/>
        <w:spacing w:after="0" w:line="240" w:lineRule="auto"/>
        <w:rPr>
          <w:rFonts w:ascii="Times New Roman" w:hAnsi="Times New Roman" w:cs="Times New Roman"/>
          <w:sz w:val="24"/>
          <w:szCs w:val="24"/>
        </w:rPr>
      </w:pPr>
      <w:r w:rsidRPr="00E62CDF">
        <w:rPr>
          <w:rFonts w:ascii="Times New Roman" w:hAnsi="Times New Roman" w:cs="Times New Roman"/>
          <w:sz w:val="24"/>
          <w:szCs w:val="24"/>
        </w:rPr>
        <w:t xml:space="preserve">The following information is a summary of data pulled from </w:t>
      </w:r>
      <w:r w:rsidR="00611D77" w:rsidRPr="00E62CDF">
        <w:rPr>
          <w:rFonts w:ascii="Times New Roman" w:hAnsi="Times New Roman" w:cs="Times New Roman"/>
          <w:sz w:val="24"/>
          <w:szCs w:val="24"/>
        </w:rPr>
        <w:t>an Efforts to Outcomes (</w:t>
      </w:r>
      <w:r w:rsidRPr="00E62CDF">
        <w:rPr>
          <w:rFonts w:ascii="Times New Roman" w:hAnsi="Times New Roman" w:cs="Times New Roman"/>
          <w:sz w:val="24"/>
          <w:szCs w:val="24"/>
        </w:rPr>
        <w:t>ETO</w:t>
      </w:r>
      <w:r w:rsidR="00611D77" w:rsidRPr="00E62CDF">
        <w:rPr>
          <w:rFonts w:ascii="Times New Roman" w:hAnsi="Times New Roman" w:cs="Times New Roman"/>
          <w:sz w:val="24"/>
          <w:szCs w:val="24"/>
        </w:rPr>
        <w:t>)</w:t>
      </w:r>
      <w:r w:rsidRPr="00E62CDF">
        <w:rPr>
          <w:rFonts w:ascii="Times New Roman" w:hAnsi="Times New Roman" w:cs="Times New Roman"/>
          <w:sz w:val="24"/>
          <w:szCs w:val="24"/>
        </w:rPr>
        <w:t xml:space="preserve"> system</w:t>
      </w:r>
      <w:r w:rsidR="002736F5">
        <w:rPr>
          <w:rFonts w:ascii="Times New Roman" w:hAnsi="Times New Roman" w:cs="Times New Roman"/>
          <w:sz w:val="24"/>
          <w:szCs w:val="24"/>
        </w:rPr>
        <w:t>,</w:t>
      </w:r>
      <w:r w:rsidRPr="00E62CDF">
        <w:rPr>
          <w:rFonts w:ascii="Times New Roman" w:hAnsi="Times New Roman" w:cs="Times New Roman"/>
          <w:sz w:val="24"/>
          <w:szCs w:val="24"/>
        </w:rPr>
        <w:t xml:space="preserve"> which is a data </w:t>
      </w:r>
      <w:r w:rsidR="00611D77" w:rsidRPr="00E62CDF">
        <w:rPr>
          <w:rFonts w:ascii="Times New Roman" w:hAnsi="Times New Roman" w:cs="Times New Roman"/>
          <w:sz w:val="24"/>
          <w:szCs w:val="24"/>
        </w:rPr>
        <w:t xml:space="preserve">collection </w:t>
      </w:r>
      <w:r w:rsidRPr="00E62CDF">
        <w:rPr>
          <w:rFonts w:ascii="Times New Roman" w:hAnsi="Times New Roman" w:cs="Times New Roman"/>
          <w:sz w:val="24"/>
          <w:szCs w:val="24"/>
        </w:rPr>
        <w:t>source used by all Secure Job providers to</w:t>
      </w:r>
      <w:r w:rsidR="005662F2" w:rsidRPr="00E62CDF">
        <w:rPr>
          <w:rFonts w:ascii="Times New Roman" w:hAnsi="Times New Roman" w:cs="Times New Roman"/>
          <w:sz w:val="24"/>
          <w:szCs w:val="24"/>
        </w:rPr>
        <w:t xml:space="preserve"> track and</w:t>
      </w:r>
      <w:r w:rsidRPr="00E62CDF">
        <w:rPr>
          <w:rFonts w:ascii="Times New Roman" w:hAnsi="Times New Roman" w:cs="Times New Roman"/>
          <w:sz w:val="24"/>
          <w:szCs w:val="24"/>
        </w:rPr>
        <w:t xml:space="preserve"> input client data</w:t>
      </w:r>
      <w:r w:rsidR="002736F5">
        <w:rPr>
          <w:rFonts w:ascii="Times New Roman" w:hAnsi="Times New Roman" w:cs="Times New Roman"/>
          <w:sz w:val="24"/>
          <w:szCs w:val="24"/>
        </w:rPr>
        <w:t xml:space="preserve">. Providers track client data </w:t>
      </w:r>
      <w:r w:rsidRPr="00E62CDF">
        <w:rPr>
          <w:rFonts w:ascii="Times New Roman" w:hAnsi="Times New Roman" w:cs="Times New Roman"/>
          <w:sz w:val="24"/>
          <w:szCs w:val="24"/>
        </w:rPr>
        <w:t>upon initia</w:t>
      </w:r>
      <w:r w:rsidR="00C95844" w:rsidRPr="00E62CDF">
        <w:rPr>
          <w:rFonts w:ascii="Times New Roman" w:hAnsi="Times New Roman" w:cs="Times New Roman"/>
          <w:sz w:val="24"/>
          <w:szCs w:val="24"/>
        </w:rPr>
        <w:t>l assessment and enrollment and during the year</w:t>
      </w:r>
      <w:r w:rsidR="002736F5">
        <w:rPr>
          <w:rFonts w:ascii="Times New Roman" w:hAnsi="Times New Roman" w:cs="Times New Roman"/>
          <w:sz w:val="24"/>
          <w:szCs w:val="24"/>
        </w:rPr>
        <w:t>,</w:t>
      </w:r>
      <w:r w:rsidR="00C95844" w:rsidRPr="00E62CDF">
        <w:rPr>
          <w:rFonts w:ascii="Times New Roman" w:hAnsi="Times New Roman" w:cs="Times New Roman"/>
          <w:sz w:val="24"/>
          <w:szCs w:val="24"/>
        </w:rPr>
        <w:t xml:space="preserve"> through </w:t>
      </w:r>
      <w:r w:rsidR="002736F5">
        <w:rPr>
          <w:rFonts w:ascii="Times New Roman" w:hAnsi="Times New Roman" w:cs="Times New Roman"/>
          <w:sz w:val="24"/>
          <w:szCs w:val="24"/>
        </w:rPr>
        <w:t xml:space="preserve">ongoing </w:t>
      </w:r>
      <w:r w:rsidR="00C95844" w:rsidRPr="00E62CDF">
        <w:rPr>
          <w:rFonts w:ascii="Times New Roman" w:hAnsi="Times New Roman" w:cs="Times New Roman"/>
          <w:sz w:val="24"/>
          <w:szCs w:val="24"/>
        </w:rPr>
        <w:t>case management</w:t>
      </w:r>
      <w:r w:rsidR="00611D77" w:rsidRPr="00E62CDF">
        <w:rPr>
          <w:rFonts w:ascii="Times New Roman" w:hAnsi="Times New Roman" w:cs="Times New Roman"/>
          <w:sz w:val="24"/>
          <w:szCs w:val="24"/>
        </w:rPr>
        <w:t xml:space="preserve"> on a</w:t>
      </w:r>
      <w:r w:rsidR="00C95844" w:rsidRPr="00E62CDF">
        <w:rPr>
          <w:rFonts w:ascii="Times New Roman" w:hAnsi="Times New Roman" w:cs="Times New Roman"/>
          <w:sz w:val="24"/>
          <w:szCs w:val="24"/>
        </w:rPr>
        <w:t xml:space="preserve"> monthly basis</w:t>
      </w:r>
      <w:r w:rsidR="002736F5">
        <w:rPr>
          <w:rFonts w:ascii="Times New Roman" w:hAnsi="Times New Roman" w:cs="Times New Roman"/>
          <w:sz w:val="24"/>
          <w:szCs w:val="24"/>
        </w:rPr>
        <w:t>,</w:t>
      </w:r>
      <w:r w:rsidR="00C95844" w:rsidRPr="00E62CDF">
        <w:rPr>
          <w:rFonts w:ascii="Times New Roman" w:hAnsi="Times New Roman" w:cs="Times New Roman"/>
          <w:sz w:val="24"/>
          <w:szCs w:val="24"/>
        </w:rPr>
        <w:t xml:space="preserve"> to document the client</w:t>
      </w:r>
      <w:r w:rsidR="00611D77" w:rsidRPr="00E62CDF">
        <w:rPr>
          <w:rFonts w:ascii="Times New Roman" w:hAnsi="Times New Roman" w:cs="Times New Roman"/>
          <w:sz w:val="24"/>
          <w:szCs w:val="24"/>
        </w:rPr>
        <w:t xml:space="preserve"> progress</w:t>
      </w:r>
      <w:r w:rsidR="00C95844" w:rsidRPr="00E62CDF">
        <w:rPr>
          <w:rFonts w:ascii="Times New Roman" w:hAnsi="Times New Roman" w:cs="Times New Roman"/>
          <w:sz w:val="24"/>
          <w:szCs w:val="24"/>
        </w:rPr>
        <w:t xml:space="preserve"> towards eliminating homelessness and obtaining sustainable employment</w:t>
      </w:r>
      <w:r w:rsidR="00611D77" w:rsidRPr="00E62CDF">
        <w:rPr>
          <w:rFonts w:ascii="Times New Roman" w:hAnsi="Times New Roman" w:cs="Times New Roman"/>
          <w:sz w:val="24"/>
          <w:szCs w:val="24"/>
        </w:rPr>
        <w:t xml:space="preserve">. </w:t>
      </w:r>
      <w:r w:rsidR="00517508" w:rsidRPr="00E62CDF">
        <w:rPr>
          <w:rFonts w:ascii="Times New Roman" w:hAnsi="Times New Roman" w:cs="Times New Roman"/>
          <w:sz w:val="24"/>
          <w:szCs w:val="24"/>
        </w:rPr>
        <w:t xml:space="preserve"> DTA extracts a summary of inputted data from ETO for analysis.</w:t>
      </w:r>
      <w:r w:rsidR="002736F5">
        <w:rPr>
          <w:rFonts w:ascii="Times New Roman" w:hAnsi="Times New Roman" w:cs="Times New Roman"/>
          <w:sz w:val="24"/>
          <w:szCs w:val="24"/>
        </w:rPr>
        <w:t xml:space="preserve"> </w:t>
      </w:r>
      <w:r w:rsidR="00517508" w:rsidRPr="00E62CDF">
        <w:rPr>
          <w:rFonts w:ascii="Times New Roman" w:hAnsi="Times New Roman" w:cs="Times New Roman"/>
          <w:sz w:val="24"/>
          <w:szCs w:val="24"/>
        </w:rPr>
        <w:t xml:space="preserve">There are two datasets </w:t>
      </w:r>
      <w:r w:rsidRPr="00E62CDF">
        <w:rPr>
          <w:rFonts w:ascii="Times New Roman" w:hAnsi="Times New Roman" w:cs="Times New Roman"/>
          <w:sz w:val="24"/>
          <w:szCs w:val="24"/>
        </w:rPr>
        <w:t>used</w:t>
      </w:r>
      <w:r w:rsidR="0061403B" w:rsidRPr="00E62CDF">
        <w:rPr>
          <w:rFonts w:ascii="Times New Roman" w:hAnsi="Times New Roman" w:cs="Times New Roman"/>
          <w:sz w:val="24"/>
          <w:szCs w:val="24"/>
        </w:rPr>
        <w:t xml:space="preserve"> for this analysis</w:t>
      </w:r>
      <w:r w:rsidRPr="00E62CDF">
        <w:rPr>
          <w:rFonts w:ascii="Times New Roman" w:hAnsi="Times New Roman" w:cs="Times New Roman"/>
          <w:sz w:val="24"/>
          <w:szCs w:val="24"/>
        </w:rPr>
        <w:t>, one being the current data</w:t>
      </w:r>
      <w:r w:rsidR="00AB4B05" w:rsidRPr="00E62CDF">
        <w:rPr>
          <w:rFonts w:ascii="Times New Roman" w:hAnsi="Times New Roman" w:cs="Times New Roman"/>
          <w:sz w:val="24"/>
          <w:szCs w:val="24"/>
        </w:rPr>
        <w:t>set</w:t>
      </w:r>
      <w:r w:rsidRPr="00E62CDF">
        <w:rPr>
          <w:rFonts w:ascii="Times New Roman" w:hAnsi="Times New Roman" w:cs="Times New Roman"/>
          <w:sz w:val="24"/>
          <w:szCs w:val="24"/>
        </w:rPr>
        <w:t xml:space="preserve"> regarding the active</w:t>
      </w:r>
      <w:r w:rsidR="00E3779D" w:rsidRPr="00E62CDF">
        <w:rPr>
          <w:rFonts w:ascii="Times New Roman" w:hAnsi="Times New Roman" w:cs="Times New Roman"/>
          <w:sz w:val="24"/>
          <w:szCs w:val="24"/>
        </w:rPr>
        <w:t>ly enrolled</w:t>
      </w:r>
      <w:r w:rsidRPr="00E62CDF">
        <w:rPr>
          <w:rFonts w:ascii="Times New Roman" w:hAnsi="Times New Roman" w:cs="Times New Roman"/>
          <w:sz w:val="24"/>
          <w:szCs w:val="24"/>
        </w:rPr>
        <w:t xml:space="preserve"> Secure Jobs participants and their initial assessment information</w:t>
      </w:r>
      <w:r w:rsidR="00EF30C0" w:rsidRPr="00E62CDF">
        <w:rPr>
          <w:rFonts w:ascii="Times New Roman" w:hAnsi="Times New Roman" w:cs="Times New Roman"/>
          <w:sz w:val="24"/>
          <w:szCs w:val="24"/>
        </w:rPr>
        <w:t>,</w:t>
      </w:r>
      <w:r w:rsidR="00AB4B05" w:rsidRPr="00E62CDF">
        <w:rPr>
          <w:rFonts w:ascii="Times New Roman" w:hAnsi="Times New Roman" w:cs="Times New Roman"/>
          <w:sz w:val="24"/>
          <w:szCs w:val="24"/>
        </w:rPr>
        <w:t xml:space="preserve"> and the second dataset</w:t>
      </w:r>
      <w:r w:rsidRPr="00E62CDF">
        <w:rPr>
          <w:rFonts w:ascii="Times New Roman" w:hAnsi="Times New Roman" w:cs="Times New Roman"/>
          <w:sz w:val="24"/>
          <w:szCs w:val="24"/>
        </w:rPr>
        <w:t xml:space="preserve"> is a snapshot of the current caseload status</w:t>
      </w:r>
      <w:r w:rsidR="00EF30C0" w:rsidRPr="00E62CDF">
        <w:rPr>
          <w:rFonts w:ascii="Times New Roman" w:hAnsi="Times New Roman" w:cs="Times New Roman"/>
          <w:sz w:val="24"/>
          <w:szCs w:val="24"/>
        </w:rPr>
        <w:t xml:space="preserve"> and progress</w:t>
      </w:r>
      <w:r w:rsidR="0061403B" w:rsidRPr="00E62CDF">
        <w:rPr>
          <w:rFonts w:ascii="Times New Roman" w:hAnsi="Times New Roman" w:cs="Times New Roman"/>
          <w:sz w:val="24"/>
          <w:szCs w:val="24"/>
        </w:rPr>
        <w:t xml:space="preserve"> at the time the</w:t>
      </w:r>
      <w:r w:rsidRPr="00E62CDF">
        <w:rPr>
          <w:rFonts w:ascii="Times New Roman" w:hAnsi="Times New Roman" w:cs="Times New Roman"/>
          <w:sz w:val="24"/>
          <w:szCs w:val="24"/>
        </w:rPr>
        <w:t xml:space="preserve"> information was pulled. The information was pulled as of April 2, 2018. </w:t>
      </w:r>
    </w:p>
    <w:p w:rsidR="0037512E" w:rsidRPr="00E62CDF" w:rsidRDefault="0037512E" w:rsidP="005B1E79">
      <w:pPr>
        <w:pStyle w:val="Body"/>
        <w:spacing w:after="0" w:line="240" w:lineRule="auto"/>
        <w:rPr>
          <w:rFonts w:ascii="Times New Roman" w:hAnsi="Times New Roman" w:cs="Times New Roman"/>
          <w:sz w:val="24"/>
          <w:szCs w:val="24"/>
        </w:rPr>
      </w:pPr>
    </w:p>
    <w:p w:rsidR="0037512E" w:rsidRPr="00302849" w:rsidRDefault="00AB4B05">
      <w:pPr>
        <w:pStyle w:val="Body"/>
        <w:numPr>
          <w:ilvl w:val="0"/>
          <w:numId w:val="26"/>
        </w:numPr>
        <w:spacing w:after="0" w:line="240" w:lineRule="auto"/>
        <w:rPr>
          <w:rFonts w:ascii="Times New Roman" w:hAnsi="Times New Roman" w:cs="Times New Roman"/>
          <w:sz w:val="24"/>
          <w:szCs w:val="24"/>
        </w:rPr>
      </w:pPr>
      <w:r w:rsidRPr="00E62CDF">
        <w:rPr>
          <w:rFonts w:ascii="Times New Roman" w:hAnsi="Times New Roman" w:cs="Times New Roman"/>
          <w:sz w:val="24"/>
          <w:szCs w:val="24"/>
        </w:rPr>
        <w:t>Based on the actively enrolled data</w:t>
      </w:r>
      <w:r w:rsidR="00770606" w:rsidRPr="00E62CDF">
        <w:rPr>
          <w:rFonts w:ascii="Times New Roman" w:hAnsi="Times New Roman" w:cs="Times New Roman"/>
          <w:sz w:val="24"/>
          <w:szCs w:val="24"/>
        </w:rPr>
        <w:t>, t</w:t>
      </w:r>
      <w:r w:rsidR="004E5087" w:rsidRPr="00E62CDF">
        <w:rPr>
          <w:rFonts w:ascii="Times New Roman" w:hAnsi="Times New Roman" w:cs="Times New Roman"/>
          <w:sz w:val="24"/>
          <w:szCs w:val="24"/>
        </w:rPr>
        <w:t xml:space="preserve">here are 298 </w:t>
      </w:r>
      <w:r w:rsidRPr="00E62CDF">
        <w:rPr>
          <w:rFonts w:ascii="Times New Roman" w:hAnsi="Times New Roman" w:cs="Times New Roman"/>
          <w:sz w:val="24"/>
          <w:szCs w:val="24"/>
        </w:rPr>
        <w:t>participants</w:t>
      </w:r>
      <w:r w:rsidR="004E5087" w:rsidRPr="00E62CDF">
        <w:rPr>
          <w:rFonts w:ascii="Times New Roman" w:hAnsi="Times New Roman" w:cs="Times New Roman"/>
          <w:sz w:val="24"/>
          <w:szCs w:val="24"/>
        </w:rPr>
        <w:t xml:space="preserve"> in a Secure Jobs </w:t>
      </w:r>
      <w:r w:rsidR="00DC3EA5" w:rsidRPr="00E62CDF">
        <w:rPr>
          <w:rFonts w:ascii="Times New Roman" w:hAnsi="Times New Roman" w:cs="Times New Roman"/>
          <w:sz w:val="24"/>
          <w:szCs w:val="24"/>
        </w:rPr>
        <w:t>program</w:t>
      </w:r>
      <w:r w:rsidRPr="00E62CDF">
        <w:rPr>
          <w:rFonts w:ascii="Times New Roman" w:hAnsi="Times New Roman" w:cs="Times New Roman"/>
          <w:sz w:val="24"/>
          <w:szCs w:val="24"/>
        </w:rPr>
        <w:t xml:space="preserve"> at 7 different sites</w:t>
      </w:r>
      <w:r w:rsidR="00DC3EA5" w:rsidRPr="00E62CDF">
        <w:rPr>
          <w:rFonts w:ascii="Times New Roman" w:hAnsi="Times New Roman" w:cs="Times New Roman"/>
          <w:sz w:val="24"/>
          <w:szCs w:val="24"/>
        </w:rPr>
        <w:t xml:space="preserve"> </w:t>
      </w:r>
      <w:r w:rsidRPr="00E62CDF">
        <w:rPr>
          <w:rFonts w:ascii="Times New Roman" w:hAnsi="Times New Roman" w:cs="Times New Roman"/>
          <w:sz w:val="24"/>
          <w:szCs w:val="24"/>
        </w:rPr>
        <w:t>as of April 2018.</w:t>
      </w:r>
    </w:p>
    <w:p w:rsidR="00784898" w:rsidRPr="00E62CDF" w:rsidRDefault="00784898" w:rsidP="00E62CDF">
      <w:pPr>
        <w:pStyle w:val="Body"/>
        <w:spacing w:after="0" w:line="240" w:lineRule="auto"/>
        <w:ind w:left="360"/>
        <w:rPr>
          <w:rFonts w:ascii="Times New Roman" w:hAnsi="Times New Roman" w:cs="Times New Roman"/>
          <w:sz w:val="24"/>
          <w:szCs w:val="24"/>
        </w:rPr>
      </w:pPr>
    </w:p>
    <w:tbl>
      <w:tblPr>
        <w:tblW w:w="7697" w:type="dxa"/>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7"/>
        <w:gridCol w:w="2970"/>
      </w:tblGrid>
      <w:tr w:rsidR="00DC3EA5" w:rsidRPr="00DC3EA5" w:rsidTr="009E77BA">
        <w:trPr>
          <w:trHeight w:val="355"/>
          <w:jc w:val="center"/>
        </w:trPr>
        <w:tc>
          <w:tcPr>
            <w:tcW w:w="4727" w:type="dxa"/>
            <w:shd w:val="clear" w:color="8064A2" w:fill="8064A2"/>
            <w:noWrap/>
            <w:vAlign w:val="bottom"/>
            <w:hideMark/>
          </w:tcPr>
          <w:p w:rsidR="00DC3EA5" w:rsidRPr="00E62CDF" w:rsidRDefault="00DC3EA5" w:rsidP="00DC3EA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FFFFFF"/>
                <w:bdr w:val="none" w:sz="0" w:space="0" w:color="auto"/>
              </w:rPr>
            </w:pPr>
            <w:r w:rsidRPr="00E62CDF">
              <w:rPr>
                <w:rFonts w:ascii="Calibri" w:eastAsia="Times New Roman" w:hAnsi="Calibri"/>
                <w:b/>
                <w:bCs/>
                <w:color w:val="FFFFFF"/>
                <w:bdr w:val="none" w:sz="0" w:space="0" w:color="auto"/>
              </w:rPr>
              <w:t>Site Name</w:t>
            </w:r>
          </w:p>
        </w:tc>
        <w:tc>
          <w:tcPr>
            <w:tcW w:w="2970" w:type="dxa"/>
            <w:shd w:val="clear" w:color="8064A2" w:fill="8064A2"/>
            <w:noWrap/>
            <w:vAlign w:val="bottom"/>
            <w:hideMark/>
          </w:tcPr>
          <w:p w:rsidR="00DC3EA5" w:rsidRPr="00E62CDF" w:rsidRDefault="00DC3EA5" w:rsidP="00DC3EA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FFFFFF"/>
                <w:bdr w:val="none" w:sz="0" w:space="0" w:color="auto"/>
              </w:rPr>
            </w:pPr>
            <w:r w:rsidRPr="00E62CDF">
              <w:rPr>
                <w:rFonts w:ascii="Calibri" w:eastAsia="Times New Roman" w:hAnsi="Calibri"/>
                <w:b/>
                <w:bCs/>
                <w:color w:val="FFFFFF"/>
                <w:bdr w:val="none" w:sz="0" w:space="0" w:color="auto"/>
              </w:rPr>
              <w:t>Total Participants Enrolled</w:t>
            </w:r>
          </w:p>
        </w:tc>
      </w:tr>
      <w:tr w:rsidR="00DC3EA5" w:rsidRPr="00DC3EA5" w:rsidTr="009E77BA">
        <w:trPr>
          <w:trHeight w:val="355"/>
          <w:jc w:val="center"/>
        </w:trPr>
        <w:tc>
          <w:tcPr>
            <w:tcW w:w="4727" w:type="dxa"/>
            <w:shd w:val="clear" w:color="auto" w:fill="auto"/>
            <w:noWrap/>
            <w:vAlign w:val="bottom"/>
            <w:hideMark/>
          </w:tcPr>
          <w:p w:rsidR="00DC3EA5" w:rsidRPr="00E62CDF" w:rsidRDefault="00DC3EA5" w:rsidP="00DC3EA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rPr>
            </w:pPr>
            <w:r w:rsidRPr="00E62CDF">
              <w:rPr>
                <w:rFonts w:ascii="Calibri" w:eastAsia="Times New Roman" w:hAnsi="Calibri"/>
                <w:color w:val="000000"/>
                <w:bdr w:val="none" w:sz="0" w:space="0" w:color="auto"/>
              </w:rPr>
              <w:t>Community Teamwork, Inc.</w:t>
            </w:r>
          </w:p>
        </w:tc>
        <w:tc>
          <w:tcPr>
            <w:tcW w:w="2970" w:type="dxa"/>
            <w:shd w:val="clear" w:color="auto" w:fill="auto"/>
            <w:noWrap/>
            <w:vAlign w:val="bottom"/>
            <w:hideMark/>
          </w:tcPr>
          <w:p w:rsidR="00DC3EA5" w:rsidRPr="00E62CDF" w:rsidRDefault="00DC3EA5" w:rsidP="00DC3EA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bdr w:val="none" w:sz="0" w:space="0" w:color="auto"/>
              </w:rPr>
            </w:pPr>
            <w:r w:rsidRPr="00E62CDF">
              <w:rPr>
                <w:rFonts w:ascii="Calibri" w:eastAsia="Times New Roman" w:hAnsi="Calibri"/>
                <w:color w:val="000000"/>
                <w:bdr w:val="none" w:sz="0" w:space="0" w:color="auto"/>
              </w:rPr>
              <w:t>33</w:t>
            </w:r>
          </w:p>
        </w:tc>
      </w:tr>
      <w:tr w:rsidR="00DC3EA5" w:rsidRPr="00DC3EA5" w:rsidTr="009E77BA">
        <w:trPr>
          <w:trHeight w:val="355"/>
          <w:jc w:val="center"/>
        </w:trPr>
        <w:tc>
          <w:tcPr>
            <w:tcW w:w="4727" w:type="dxa"/>
            <w:shd w:val="clear" w:color="auto" w:fill="auto"/>
            <w:noWrap/>
            <w:vAlign w:val="bottom"/>
            <w:hideMark/>
          </w:tcPr>
          <w:p w:rsidR="00DC3EA5" w:rsidRPr="00E62CDF" w:rsidRDefault="00DC3EA5" w:rsidP="00DC3EA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rPr>
            </w:pPr>
            <w:r w:rsidRPr="00E62CDF">
              <w:rPr>
                <w:rFonts w:ascii="Calibri" w:eastAsia="Times New Roman" w:hAnsi="Calibri"/>
                <w:color w:val="000000"/>
                <w:bdr w:val="none" w:sz="0" w:space="0" w:color="auto"/>
              </w:rPr>
              <w:t>Father Bills and MainSpring - Brockton</w:t>
            </w:r>
          </w:p>
        </w:tc>
        <w:tc>
          <w:tcPr>
            <w:tcW w:w="2970" w:type="dxa"/>
            <w:shd w:val="clear" w:color="auto" w:fill="auto"/>
            <w:noWrap/>
            <w:vAlign w:val="bottom"/>
            <w:hideMark/>
          </w:tcPr>
          <w:p w:rsidR="00DC3EA5" w:rsidRPr="00E62CDF" w:rsidRDefault="00DC3EA5" w:rsidP="00DC3EA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bdr w:val="none" w:sz="0" w:space="0" w:color="auto"/>
              </w:rPr>
            </w:pPr>
            <w:r w:rsidRPr="00E62CDF">
              <w:rPr>
                <w:rFonts w:ascii="Calibri" w:eastAsia="Times New Roman" w:hAnsi="Calibri"/>
                <w:color w:val="000000"/>
                <w:bdr w:val="none" w:sz="0" w:space="0" w:color="auto"/>
              </w:rPr>
              <w:t>58</w:t>
            </w:r>
          </w:p>
        </w:tc>
      </w:tr>
      <w:tr w:rsidR="00DC3EA5" w:rsidRPr="00DC3EA5" w:rsidTr="009E77BA">
        <w:trPr>
          <w:trHeight w:val="355"/>
          <w:jc w:val="center"/>
        </w:trPr>
        <w:tc>
          <w:tcPr>
            <w:tcW w:w="4727" w:type="dxa"/>
            <w:shd w:val="clear" w:color="auto" w:fill="auto"/>
            <w:noWrap/>
            <w:vAlign w:val="bottom"/>
            <w:hideMark/>
          </w:tcPr>
          <w:p w:rsidR="00DC3EA5" w:rsidRPr="00E62CDF" w:rsidRDefault="00DC3EA5" w:rsidP="00DC3EA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rPr>
            </w:pPr>
            <w:r w:rsidRPr="00E62CDF">
              <w:rPr>
                <w:rFonts w:ascii="Calibri" w:eastAsia="Times New Roman" w:hAnsi="Calibri"/>
                <w:color w:val="000000"/>
                <w:bdr w:val="none" w:sz="0" w:space="0" w:color="auto"/>
              </w:rPr>
              <w:t>Jewish Vocational Services</w:t>
            </w:r>
          </w:p>
        </w:tc>
        <w:tc>
          <w:tcPr>
            <w:tcW w:w="2970" w:type="dxa"/>
            <w:shd w:val="clear" w:color="auto" w:fill="auto"/>
            <w:noWrap/>
            <w:vAlign w:val="bottom"/>
            <w:hideMark/>
          </w:tcPr>
          <w:p w:rsidR="00DC3EA5" w:rsidRPr="00E62CDF" w:rsidRDefault="00DC3EA5" w:rsidP="00DC3EA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bdr w:val="none" w:sz="0" w:space="0" w:color="auto"/>
              </w:rPr>
            </w:pPr>
            <w:r w:rsidRPr="00E62CDF">
              <w:rPr>
                <w:rFonts w:ascii="Calibri" w:eastAsia="Times New Roman" w:hAnsi="Calibri"/>
                <w:color w:val="000000"/>
                <w:bdr w:val="none" w:sz="0" w:space="0" w:color="auto"/>
              </w:rPr>
              <w:t>19</w:t>
            </w:r>
          </w:p>
        </w:tc>
      </w:tr>
      <w:tr w:rsidR="00DC3EA5" w:rsidRPr="00DC3EA5" w:rsidTr="009E77BA">
        <w:trPr>
          <w:trHeight w:val="355"/>
          <w:jc w:val="center"/>
        </w:trPr>
        <w:tc>
          <w:tcPr>
            <w:tcW w:w="4727" w:type="dxa"/>
            <w:shd w:val="clear" w:color="auto" w:fill="auto"/>
            <w:noWrap/>
            <w:vAlign w:val="bottom"/>
            <w:hideMark/>
          </w:tcPr>
          <w:p w:rsidR="00DC3EA5" w:rsidRPr="00E62CDF" w:rsidRDefault="009E77BA" w:rsidP="00DC3EA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rPr>
            </w:pPr>
            <w:r w:rsidRPr="009E77BA">
              <w:rPr>
                <w:rFonts w:ascii="Calibri" w:eastAsia="Times New Roman" w:hAnsi="Calibri"/>
                <w:color w:val="000000"/>
                <w:bdr w:val="none" w:sz="0" w:space="0" w:color="auto"/>
              </w:rPr>
              <w:t>South Middlesex Opportunity Council</w:t>
            </w:r>
            <w:r>
              <w:rPr>
                <w:rFonts w:ascii="Calibri" w:eastAsia="Times New Roman" w:hAnsi="Calibri"/>
                <w:color w:val="000000"/>
                <w:bdr w:val="none" w:sz="0" w:space="0" w:color="auto"/>
              </w:rPr>
              <w:t xml:space="preserve"> (SMOC)</w:t>
            </w:r>
          </w:p>
        </w:tc>
        <w:tc>
          <w:tcPr>
            <w:tcW w:w="2970" w:type="dxa"/>
            <w:shd w:val="clear" w:color="auto" w:fill="auto"/>
            <w:noWrap/>
            <w:vAlign w:val="bottom"/>
            <w:hideMark/>
          </w:tcPr>
          <w:p w:rsidR="00DC3EA5" w:rsidRPr="00E62CDF" w:rsidRDefault="00DC3EA5" w:rsidP="00DC3EA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bdr w:val="none" w:sz="0" w:space="0" w:color="auto"/>
              </w:rPr>
            </w:pPr>
            <w:r w:rsidRPr="00E62CDF">
              <w:rPr>
                <w:rFonts w:ascii="Calibri" w:eastAsia="Times New Roman" w:hAnsi="Calibri"/>
                <w:color w:val="000000"/>
                <w:bdr w:val="none" w:sz="0" w:space="0" w:color="auto"/>
              </w:rPr>
              <w:t>7</w:t>
            </w:r>
          </w:p>
        </w:tc>
      </w:tr>
      <w:tr w:rsidR="00DC3EA5" w:rsidRPr="00DC3EA5" w:rsidTr="009E77BA">
        <w:trPr>
          <w:trHeight w:val="355"/>
          <w:jc w:val="center"/>
        </w:trPr>
        <w:tc>
          <w:tcPr>
            <w:tcW w:w="4727" w:type="dxa"/>
            <w:shd w:val="clear" w:color="auto" w:fill="auto"/>
            <w:noWrap/>
            <w:vAlign w:val="bottom"/>
            <w:hideMark/>
          </w:tcPr>
          <w:p w:rsidR="00DC3EA5" w:rsidRPr="00E62CDF" w:rsidRDefault="009E77BA" w:rsidP="00DC3EA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rPr>
            </w:pPr>
            <w:r>
              <w:rPr>
                <w:rFonts w:ascii="Calibri" w:eastAsia="Times New Roman" w:hAnsi="Calibri"/>
                <w:color w:val="000000"/>
                <w:bdr w:val="none" w:sz="0" w:space="0" w:color="auto"/>
              </w:rPr>
              <w:t>Southeastern Massachusetts SER-</w:t>
            </w:r>
            <w:r w:rsidR="00DC3EA5" w:rsidRPr="00E62CDF">
              <w:rPr>
                <w:rFonts w:ascii="Calibri" w:eastAsia="Times New Roman" w:hAnsi="Calibri"/>
                <w:color w:val="000000"/>
                <w:bdr w:val="none" w:sz="0" w:space="0" w:color="auto"/>
              </w:rPr>
              <w:t>Jobs</w:t>
            </w:r>
            <w:r>
              <w:rPr>
                <w:rFonts w:ascii="Calibri" w:eastAsia="Times New Roman" w:hAnsi="Calibri"/>
                <w:color w:val="000000"/>
                <w:bdr w:val="none" w:sz="0" w:space="0" w:color="auto"/>
              </w:rPr>
              <w:t>, Inc.</w:t>
            </w:r>
          </w:p>
        </w:tc>
        <w:tc>
          <w:tcPr>
            <w:tcW w:w="2970" w:type="dxa"/>
            <w:shd w:val="clear" w:color="auto" w:fill="auto"/>
            <w:noWrap/>
            <w:vAlign w:val="bottom"/>
            <w:hideMark/>
          </w:tcPr>
          <w:p w:rsidR="00DC3EA5" w:rsidRPr="00E62CDF" w:rsidRDefault="00DC3EA5" w:rsidP="00DC3EA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bdr w:val="none" w:sz="0" w:space="0" w:color="auto"/>
              </w:rPr>
            </w:pPr>
            <w:r w:rsidRPr="00E62CDF">
              <w:rPr>
                <w:rFonts w:ascii="Calibri" w:eastAsia="Times New Roman" w:hAnsi="Calibri"/>
                <w:color w:val="000000"/>
                <w:bdr w:val="none" w:sz="0" w:space="0" w:color="auto"/>
              </w:rPr>
              <w:t>18</w:t>
            </w:r>
          </w:p>
        </w:tc>
      </w:tr>
      <w:tr w:rsidR="00DC3EA5" w:rsidRPr="00DC3EA5" w:rsidTr="009E77BA">
        <w:trPr>
          <w:trHeight w:val="355"/>
          <w:jc w:val="center"/>
        </w:trPr>
        <w:tc>
          <w:tcPr>
            <w:tcW w:w="4727" w:type="dxa"/>
            <w:shd w:val="clear" w:color="auto" w:fill="auto"/>
            <w:noWrap/>
            <w:vAlign w:val="bottom"/>
            <w:hideMark/>
          </w:tcPr>
          <w:p w:rsidR="00DC3EA5" w:rsidRPr="00E62CDF" w:rsidRDefault="00DC3EA5" w:rsidP="00DC3EA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rPr>
            </w:pPr>
            <w:r w:rsidRPr="00E62CDF">
              <w:rPr>
                <w:rFonts w:ascii="Calibri" w:eastAsia="Times New Roman" w:hAnsi="Calibri"/>
                <w:color w:val="000000"/>
                <w:bdr w:val="none" w:sz="0" w:space="0" w:color="auto"/>
              </w:rPr>
              <w:t>Way Finders, Inc</w:t>
            </w:r>
            <w:r w:rsidR="00AE369D">
              <w:rPr>
                <w:rFonts w:ascii="Calibri" w:eastAsia="Times New Roman" w:hAnsi="Calibri"/>
                <w:color w:val="000000"/>
                <w:bdr w:val="none" w:sz="0" w:space="0" w:color="auto"/>
              </w:rPr>
              <w:t>.</w:t>
            </w:r>
          </w:p>
        </w:tc>
        <w:tc>
          <w:tcPr>
            <w:tcW w:w="2970" w:type="dxa"/>
            <w:shd w:val="clear" w:color="auto" w:fill="auto"/>
            <w:noWrap/>
            <w:vAlign w:val="bottom"/>
            <w:hideMark/>
          </w:tcPr>
          <w:p w:rsidR="00DC3EA5" w:rsidRPr="00E62CDF" w:rsidRDefault="00DC3EA5" w:rsidP="00DC3EA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bdr w:val="none" w:sz="0" w:space="0" w:color="auto"/>
              </w:rPr>
            </w:pPr>
            <w:r w:rsidRPr="00E62CDF">
              <w:rPr>
                <w:rFonts w:ascii="Calibri" w:eastAsia="Times New Roman" w:hAnsi="Calibri"/>
                <w:color w:val="000000"/>
                <w:bdr w:val="none" w:sz="0" w:space="0" w:color="auto"/>
              </w:rPr>
              <w:t>138</w:t>
            </w:r>
          </w:p>
        </w:tc>
      </w:tr>
      <w:tr w:rsidR="00DC3EA5" w:rsidRPr="00DC3EA5" w:rsidTr="009E77BA">
        <w:trPr>
          <w:trHeight w:val="355"/>
          <w:jc w:val="center"/>
        </w:trPr>
        <w:tc>
          <w:tcPr>
            <w:tcW w:w="4727" w:type="dxa"/>
            <w:shd w:val="clear" w:color="auto" w:fill="auto"/>
            <w:noWrap/>
            <w:vAlign w:val="bottom"/>
            <w:hideMark/>
          </w:tcPr>
          <w:p w:rsidR="00DC3EA5" w:rsidRPr="00E62CDF" w:rsidRDefault="00DC3EA5" w:rsidP="00DC3EA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rPr>
            </w:pPr>
            <w:r w:rsidRPr="00E62CDF">
              <w:rPr>
                <w:rFonts w:ascii="Calibri" w:eastAsia="Times New Roman" w:hAnsi="Calibri"/>
                <w:color w:val="000000"/>
                <w:bdr w:val="none" w:sz="0" w:space="0" w:color="auto"/>
              </w:rPr>
              <w:t>Worcester Community Action Council</w:t>
            </w:r>
          </w:p>
        </w:tc>
        <w:tc>
          <w:tcPr>
            <w:tcW w:w="2970" w:type="dxa"/>
            <w:shd w:val="clear" w:color="auto" w:fill="auto"/>
            <w:noWrap/>
            <w:vAlign w:val="bottom"/>
            <w:hideMark/>
          </w:tcPr>
          <w:p w:rsidR="00DC3EA5" w:rsidRPr="00E62CDF" w:rsidRDefault="00DC3EA5" w:rsidP="00DC3EA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bdr w:val="none" w:sz="0" w:space="0" w:color="auto"/>
              </w:rPr>
            </w:pPr>
            <w:r w:rsidRPr="00E62CDF">
              <w:rPr>
                <w:rFonts w:ascii="Calibri" w:eastAsia="Times New Roman" w:hAnsi="Calibri"/>
                <w:color w:val="000000"/>
                <w:bdr w:val="none" w:sz="0" w:space="0" w:color="auto"/>
              </w:rPr>
              <w:t>25</w:t>
            </w:r>
          </w:p>
        </w:tc>
      </w:tr>
    </w:tbl>
    <w:p w:rsidR="00302849" w:rsidRDefault="00302849" w:rsidP="00DC3EA5">
      <w:pPr>
        <w:pStyle w:val="Body"/>
        <w:spacing w:after="0" w:line="240" w:lineRule="auto"/>
        <w:rPr>
          <w:rFonts w:ascii="Times New Roman" w:hAnsi="Times New Roman" w:cs="Times New Roman"/>
        </w:rPr>
      </w:pPr>
    </w:p>
    <w:p w:rsidR="00302849" w:rsidRDefault="00302849" w:rsidP="00DC3EA5">
      <w:pPr>
        <w:pStyle w:val="Body"/>
        <w:spacing w:after="0" w:line="240" w:lineRule="auto"/>
        <w:rPr>
          <w:rFonts w:ascii="Times New Roman" w:hAnsi="Times New Roman" w:cs="Times New Roman"/>
        </w:rPr>
      </w:pPr>
    </w:p>
    <w:p w:rsidR="00302849" w:rsidRDefault="00302849" w:rsidP="00DC3EA5">
      <w:pPr>
        <w:pStyle w:val="Body"/>
        <w:spacing w:after="0" w:line="240" w:lineRule="auto"/>
        <w:rPr>
          <w:rFonts w:ascii="Times New Roman" w:hAnsi="Times New Roman" w:cs="Times New Roman"/>
        </w:rPr>
      </w:pPr>
    </w:p>
    <w:p w:rsidR="00302849" w:rsidRDefault="00302849" w:rsidP="00DC3EA5">
      <w:pPr>
        <w:pStyle w:val="Body"/>
        <w:spacing w:after="0" w:line="240" w:lineRule="auto"/>
        <w:rPr>
          <w:rFonts w:ascii="Times New Roman" w:hAnsi="Times New Roman" w:cs="Times New Roman"/>
        </w:rPr>
      </w:pPr>
    </w:p>
    <w:p w:rsidR="0037512E" w:rsidRDefault="0037512E" w:rsidP="00DC3EA5">
      <w:pPr>
        <w:pStyle w:val="Body"/>
        <w:spacing w:after="0" w:line="240" w:lineRule="auto"/>
        <w:rPr>
          <w:rFonts w:ascii="Times New Roman" w:hAnsi="Times New Roman" w:cs="Times New Roman"/>
        </w:rPr>
      </w:pPr>
    </w:p>
    <w:p w:rsidR="004220EB" w:rsidRDefault="004220EB" w:rsidP="00DC3EA5">
      <w:pPr>
        <w:pStyle w:val="Body"/>
        <w:spacing w:after="0" w:line="240" w:lineRule="auto"/>
        <w:rPr>
          <w:rFonts w:ascii="Times New Roman" w:hAnsi="Times New Roman" w:cs="Times New Roman"/>
        </w:rPr>
      </w:pPr>
    </w:p>
    <w:p w:rsidR="00016477" w:rsidRDefault="00770606" w:rsidP="00016477">
      <w:pPr>
        <w:pStyle w:val="Body"/>
        <w:numPr>
          <w:ilvl w:val="0"/>
          <w:numId w:val="26"/>
        </w:numPr>
        <w:spacing w:after="0" w:line="240" w:lineRule="auto"/>
        <w:rPr>
          <w:rFonts w:ascii="Times New Roman" w:hAnsi="Times New Roman" w:cs="Times New Roman"/>
          <w:sz w:val="24"/>
          <w:szCs w:val="24"/>
        </w:rPr>
      </w:pPr>
      <w:r w:rsidRPr="00E62CDF">
        <w:rPr>
          <w:rFonts w:ascii="Times New Roman" w:hAnsi="Times New Roman" w:cs="Times New Roman"/>
          <w:sz w:val="24"/>
          <w:szCs w:val="24"/>
        </w:rPr>
        <w:t xml:space="preserve">Based on </w:t>
      </w:r>
      <w:r w:rsidR="00E3779D" w:rsidRPr="00E62CDF">
        <w:rPr>
          <w:rFonts w:ascii="Times New Roman" w:hAnsi="Times New Roman" w:cs="Times New Roman"/>
          <w:sz w:val="24"/>
          <w:szCs w:val="24"/>
        </w:rPr>
        <w:t>the actively</w:t>
      </w:r>
      <w:r w:rsidRPr="00E62CDF">
        <w:rPr>
          <w:rFonts w:ascii="Times New Roman" w:hAnsi="Times New Roman" w:cs="Times New Roman"/>
          <w:sz w:val="24"/>
          <w:szCs w:val="24"/>
        </w:rPr>
        <w:t xml:space="preserve"> </w:t>
      </w:r>
      <w:r w:rsidR="00E3779D" w:rsidRPr="00E62CDF">
        <w:rPr>
          <w:rFonts w:ascii="Times New Roman" w:hAnsi="Times New Roman" w:cs="Times New Roman"/>
          <w:sz w:val="24"/>
          <w:szCs w:val="24"/>
        </w:rPr>
        <w:t>enrolled</w:t>
      </w:r>
      <w:r w:rsidRPr="00E62CDF">
        <w:rPr>
          <w:rFonts w:ascii="Times New Roman" w:hAnsi="Times New Roman" w:cs="Times New Roman"/>
          <w:sz w:val="24"/>
          <w:szCs w:val="24"/>
        </w:rPr>
        <w:t xml:space="preserve"> data</w:t>
      </w:r>
      <w:r w:rsidR="00016477" w:rsidRPr="00E62CDF">
        <w:rPr>
          <w:rFonts w:ascii="Times New Roman" w:hAnsi="Times New Roman" w:cs="Times New Roman"/>
          <w:sz w:val="24"/>
          <w:szCs w:val="24"/>
        </w:rPr>
        <w:t xml:space="preserve">, nearly 49% </w:t>
      </w:r>
      <w:r w:rsidR="00DC02BB" w:rsidRPr="00E62CDF">
        <w:rPr>
          <w:rFonts w:ascii="Times New Roman" w:hAnsi="Times New Roman" w:cs="Times New Roman"/>
          <w:sz w:val="24"/>
          <w:szCs w:val="24"/>
        </w:rPr>
        <w:t>indicated they are</w:t>
      </w:r>
      <w:r w:rsidR="00A36E53">
        <w:rPr>
          <w:rFonts w:ascii="Times New Roman" w:hAnsi="Times New Roman" w:cs="Times New Roman"/>
          <w:sz w:val="24"/>
          <w:szCs w:val="24"/>
        </w:rPr>
        <w:t xml:space="preserve"> residing in </w:t>
      </w:r>
      <w:r w:rsidR="009F2BA4">
        <w:rPr>
          <w:rFonts w:ascii="Times New Roman" w:hAnsi="Times New Roman" w:cs="Times New Roman"/>
          <w:sz w:val="24"/>
          <w:szCs w:val="24"/>
        </w:rPr>
        <w:t xml:space="preserve">family shelters, through </w:t>
      </w:r>
      <w:r w:rsidR="00A36E53">
        <w:rPr>
          <w:rFonts w:ascii="Times New Roman" w:hAnsi="Times New Roman" w:cs="Times New Roman"/>
          <w:sz w:val="24"/>
          <w:szCs w:val="24"/>
        </w:rPr>
        <w:t xml:space="preserve">DHCD’s </w:t>
      </w:r>
      <w:r w:rsidR="00961586">
        <w:rPr>
          <w:rFonts w:ascii="Times New Roman" w:hAnsi="Times New Roman" w:cs="Times New Roman"/>
          <w:sz w:val="24"/>
          <w:szCs w:val="24"/>
        </w:rPr>
        <w:t>EA</w:t>
      </w:r>
      <w:r w:rsidR="009F2BA4">
        <w:rPr>
          <w:rFonts w:ascii="Times New Roman" w:hAnsi="Times New Roman" w:cs="Times New Roman"/>
          <w:sz w:val="24"/>
          <w:szCs w:val="24"/>
        </w:rPr>
        <w:t xml:space="preserve"> program,</w:t>
      </w:r>
      <w:r w:rsidR="00A36E53">
        <w:rPr>
          <w:rFonts w:ascii="Times New Roman" w:hAnsi="Times New Roman" w:cs="Times New Roman"/>
          <w:sz w:val="24"/>
          <w:szCs w:val="24"/>
        </w:rPr>
        <w:t xml:space="preserve"> </w:t>
      </w:r>
      <w:r w:rsidRPr="00E62CDF">
        <w:rPr>
          <w:rFonts w:ascii="Times New Roman" w:hAnsi="Times New Roman" w:cs="Times New Roman"/>
          <w:sz w:val="24"/>
          <w:szCs w:val="24"/>
        </w:rPr>
        <w:t>upon initial enrollment</w:t>
      </w:r>
      <w:r w:rsidR="00A36E53">
        <w:rPr>
          <w:rFonts w:ascii="Times New Roman" w:hAnsi="Times New Roman" w:cs="Times New Roman"/>
          <w:sz w:val="24"/>
          <w:szCs w:val="24"/>
        </w:rPr>
        <w:t>.</w:t>
      </w:r>
    </w:p>
    <w:p w:rsidR="0037512E" w:rsidRDefault="0037512E" w:rsidP="00E62CDF">
      <w:pPr>
        <w:pStyle w:val="Body"/>
        <w:spacing w:after="0" w:line="240" w:lineRule="auto"/>
        <w:ind w:left="360"/>
        <w:rPr>
          <w:rFonts w:ascii="Times New Roman" w:hAnsi="Times New Roman" w:cs="Times New Roman"/>
          <w:sz w:val="24"/>
          <w:szCs w:val="24"/>
        </w:rPr>
      </w:pPr>
    </w:p>
    <w:p w:rsidR="00784898" w:rsidRPr="00E62CDF" w:rsidRDefault="0037512E" w:rsidP="00E62CDF">
      <w:pPr>
        <w:pStyle w:val="Body"/>
        <w:spacing w:after="0" w:line="240" w:lineRule="auto"/>
        <w:ind w:left="360"/>
        <w:rPr>
          <w:rFonts w:ascii="Times New Roman" w:hAnsi="Times New Roman" w:cs="Times New Roman"/>
          <w:sz w:val="24"/>
          <w:szCs w:val="24"/>
        </w:rPr>
      </w:pPr>
      <w:r>
        <w:rPr>
          <w:noProof/>
        </w:rPr>
        <w:drawing>
          <wp:anchor distT="0" distB="0" distL="114300" distR="114300" simplePos="0" relativeHeight="251659776" behindDoc="1" locked="0" layoutInCell="1" allowOverlap="1" wp14:anchorId="38A4ABA8" wp14:editId="205A275F">
            <wp:simplePos x="0" y="0"/>
            <wp:positionH relativeFrom="margin">
              <wp:align>center</wp:align>
            </wp:positionH>
            <wp:positionV relativeFrom="paragraph">
              <wp:posOffset>34925</wp:posOffset>
            </wp:positionV>
            <wp:extent cx="4457700" cy="3657600"/>
            <wp:effectExtent l="0" t="0" r="19050" b="19050"/>
            <wp:wrapThrough wrapText="bothSides">
              <wp:wrapPolygon edited="0">
                <wp:start x="0" y="0"/>
                <wp:lineTo x="0" y="21600"/>
                <wp:lineTo x="21600" y="21600"/>
                <wp:lineTo x="21600" y="0"/>
                <wp:lineTo x="0" y="0"/>
              </wp:wrapPolygon>
            </wp:wrapThrough>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09153A" w:rsidRDefault="0009153A" w:rsidP="00E62CDF">
      <w:pPr>
        <w:pStyle w:val="Body"/>
        <w:spacing w:after="0" w:line="240" w:lineRule="auto"/>
        <w:jc w:val="center"/>
      </w:pPr>
    </w:p>
    <w:p w:rsidR="0009153A" w:rsidRDefault="0009153A" w:rsidP="00016477">
      <w:pPr>
        <w:pStyle w:val="Body"/>
        <w:spacing w:after="0" w:line="240" w:lineRule="auto"/>
        <w:rPr>
          <w:rFonts w:ascii="Times New Roman" w:hAnsi="Times New Roman" w:cs="Times New Roman"/>
        </w:rPr>
      </w:pPr>
    </w:p>
    <w:p w:rsidR="0037512E" w:rsidRDefault="0037512E" w:rsidP="00016477">
      <w:pPr>
        <w:pStyle w:val="Body"/>
        <w:spacing w:after="0" w:line="240" w:lineRule="auto"/>
        <w:rPr>
          <w:rFonts w:ascii="Times New Roman" w:hAnsi="Times New Roman" w:cs="Times New Roman"/>
        </w:rPr>
      </w:pPr>
    </w:p>
    <w:p w:rsidR="0037512E" w:rsidRDefault="0037512E" w:rsidP="00016477">
      <w:pPr>
        <w:pStyle w:val="Body"/>
        <w:spacing w:after="0" w:line="240" w:lineRule="auto"/>
        <w:rPr>
          <w:rFonts w:ascii="Times New Roman" w:hAnsi="Times New Roman" w:cs="Times New Roman"/>
        </w:rPr>
      </w:pPr>
    </w:p>
    <w:p w:rsidR="0037512E" w:rsidRDefault="0037512E" w:rsidP="00016477">
      <w:pPr>
        <w:pStyle w:val="Body"/>
        <w:spacing w:after="0" w:line="240" w:lineRule="auto"/>
        <w:rPr>
          <w:rFonts w:ascii="Times New Roman" w:hAnsi="Times New Roman" w:cs="Times New Roman"/>
        </w:rPr>
      </w:pPr>
    </w:p>
    <w:p w:rsidR="0037512E" w:rsidRDefault="0037512E" w:rsidP="00016477">
      <w:pPr>
        <w:pStyle w:val="Body"/>
        <w:spacing w:after="0" w:line="240" w:lineRule="auto"/>
        <w:rPr>
          <w:rFonts w:ascii="Times New Roman" w:hAnsi="Times New Roman" w:cs="Times New Roman"/>
        </w:rPr>
      </w:pPr>
    </w:p>
    <w:p w:rsidR="0037512E" w:rsidRDefault="0037512E" w:rsidP="00016477">
      <w:pPr>
        <w:pStyle w:val="Body"/>
        <w:spacing w:after="0" w:line="240" w:lineRule="auto"/>
        <w:rPr>
          <w:rFonts w:ascii="Times New Roman" w:hAnsi="Times New Roman" w:cs="Times New Roman"/>
        </w:rPr>
      </w:pPr>
    </w:p>
    <w:p w:rsidR="0037512E" w:rsidRDefault="0037512E" w:rsidP="00016477">
      <w:pPr>
        <w:pStyle w:val="Body"/>
        <w:spacing w:after="0" w:line="240" w:lineRule="auto"/>
        <w:rPr>
          <w:rFonts w:ascii="Times New Roman" w:hAnsi="Times New Roman" w:cs="Times New Roman"/>
        </w:rPr>
      </w:pPr>
    </w:p>
    <w:p w:rsidR="0037512E" w:rsidRDefault="0037512E" w:rsidP="00016477">
      <w:pPr>
        <w:pStyle w:val="Body"/>
        <w:spacing w:after="0" w:line="240" w:lineRule="auto"/>
        <w:rPr>
          <w:rFonts w:ascii="Times New Roman" w:hAnsi="Times New Roman" w:cs="Times New Roman"/>
        </w:rPr>
      </w:pPr>
    </w:p>
    <w:p w:rsidR="0037512E" w:rsidRDefault="0037512E" w:rsidP="00016477">
      <w:pPr>
        <w:pStyle w:val="Body"/>
        <w:spacing w:after="0" w:line="240" w:lineRule="auto"/>
        <w:rPr>
          <w:rFonts w:ascii="Times New Roman" w:hAnsi="Times New Roman" w:cs="Times New Roman"/>
        </w:rPr>
      </w:pPr>
    </w:p>
    <w:p w:rsidR="0037512E" w:rsidRDefault="0037512E" w:rsidP="00016477">
      <w:pPr>
        <w:pStyle w:val="Body"/>
        <w:spacing w:after="0" w:line="240" w:lineRule="auto"/>
        <w:rPr>
          <w:rFonts w:ascii="Times New Roman" w:hAnsi="Times New Roman" w:cs="Times New Roman"/>
        </w:rPr>
      </w:pPr>
    </w:p>
    <w:p w:rsidR="0037512E" w:rsidRDefault="0037512E" w:rsidP="00016477">
      <w:pPr>
        <w:pStyle w:val="Body"/>
        <w:spacing w:after="0" w:line="240" w:lineRule="auto"/>
        <w:rPr>
          <w:rFonts w:ascii="Times New Roman" w:hAnsi="Times New Roman" w:cs="Times New Roman"/>
        </w:rPr>
      </w:pPr>
    </w:p>
    <w:p w:rsidR="0037512E" w:rsidRDefault="0037512E" w:rsidP="00016477">
      <w:pPr>
        <w:pStyle w:val="Body"/>
        <w:spacing w:after="0" w:line="240" w:lineRule="auto"/>
        <w:rPr>
          <w:rFonts w:ascii="Times New Roman" w:hAnsi="Times New Roman" w:cs="Times New Roman"/>
        </w:rPr>
      </w:pPr>
    </w:p>
    <w:p w:rsidR="0037512E" w:rsidRDefault="0037512E" w:rsidP="00016477">
      <w:pPr>
        <w:pStyle w:val="Body"/>
        <w:spacing w:after="0" w:line="240" w:lineRule="auto"/>
        <w:rPr>
          <w:rFonts w:ascii="Times New Roman" w:hAnsi="Times New Roman" w:cs="Times New Roman"/>
        </w:rPr>
      </w:pPr>
    </w:p>
    <w:p w:rsidR="0037512E" w:rsidRDefault="0037512E" w:rsidP="00016477">
      <w:pPr>
        <w:pStyle w:val="Body"/>
        <w:spacing w:after="0" w:line="240" w:lineRule="auto"/>
        <w:rPr>
          <w:rFonts w:ascii="Times New Roman" w:hAnsi="Times New Roman" w:cs="Times New Roman"/>
        </w:rPr>
      </w:pPr>
    </w:p>
    <w:p w:rsidR="0037512E" w:rsidRDefault="0037512E" w:rsidP="00016477">
      <w:pPr>
        <w:pStyle w:val="Body"/>
        <w:spacing w:after="0" w:line="240" w:lineRule="auto"/>
        <w:rPr>
          <w:rFonts w:ascii="Times New Roman" w:hAnsi="Times New Roman" w:cs="Times New Roman"/>
        </w:rPr>
      </w:pPr>
    </w:p>
    <w:p w:rsidR="0037512E" w:rsidRDefault="0037512E" w:rsidP="00016477">
      <w:pPr>
        <w:pStyle w:val="Body"/>
        <w:spacing w:after="0" w:line="240" w:lineRule="auto"/>
        <w:rPr>
          <w:rFonts w:ascii="Times New Roman" w:hAnsi="Times New Roman" w:cs="Times New Roman"/>
        </w:rPr>
      </w:pPr>
    </w:p>
    <w:p w:rsidR="0037512E" w:rsidRDefault="0037512E" w:rsidP="00016477">
      <w:pPr>
        <w:pStyle w:val="Body"/>
        <w:spacing w:after="0" w:line="240" w:lineRule="auto"/>
        <w:rPr>
          <w:rFonts w:ascii="Times New Roman" w:hAnsi="Times New Roman" w:cs="Times New Roman"/>
        </w:rPr>
      </w:pPr>
    </w:p>
    <w:p w:rsidR="0037512E" w:rsidRDefault="0037512E" w:rsidP="00016477">
      <w:pPr>
        <w:pStyle w:val="Body"/>
        <w:spacing w:after="0" w:line="240" w:lineRule="auto"/>
        <w:rPr>
          <w:rFonts w:ascii="Times New Roman" w:hAnsi="Times New Roman" w:cs="Times New Roman"/>
        </w:rPr>
      </w:pPr>
    </w:p>
    <w:p w:rsidR="0037512E" w:rsidRDefault="0037512E" w:rsidP="00016477">
      <w:pPr>
        <w:pStyle w:val="Body"/>
        <w:spacing w:after="0" w:line="240" w:lineRule="auto"/>
        <w:rPr>
          <w:rFonts w:ascii="Times New Roman" w:hAnsi="Times New Roman" w:cs="Times New Roman"/>
        </w:rPr>
      </w:pPr>
    </w:p>
    <w:p w:rsidR="0037512E" w:rsidRDefault="0037512E" w:rsidP="00016477">
      <w:pPr>
        <w:pStyle w:val="Body"/>
        <w:spacing w:after="0" w:line="240" w:lineRule="auto"/>
        <w:rPr>
          <w:rFonts w:ascii="Times New Roman" w:hAnsi="Times New Roman" w:cs="Times New Roman"/>
        </w:rPr>
      </w:pPr>
    </w:p>
    <w:p w:rsidR="0037512E" w:rsidRDefault="0037512E" w:rsidP="00016477">
      <w:pPr>
        <w:pStyle w:val="Body"/>
        <w:spacing w:after="0" w:line="240" w:lineRule="auto"/>
        <w:rPr>
          <w:rFonts w:ascii="Times New Roman" w:hAnsi="Times New Roman" w:cs="Times New Roman"/>
        </w:rPr>
      </w:pPr>
    </w:p>
    <w:p w:rsidR="00A36E53" w:rsidRDefault="00A36E53" w:rsidP="00016477">
      <w:pPr>
        <w:pStyle w:val="Body"/>
        <w:spacing w:after="0" w:line="240" w:lineRule="auto"/>
        <w:rPr>
          <w:rFonts w:ascii="Times New Roman" w:hAnsi="Times New Roman" w:cs="Times New Roman"/>
        </w:rPr>
      </w:pPr>
    </w:p>
    <w:p w:rsidR="0037512E" w:rsidRDefault="0037512E" w:rsidP="00E62CDF">
      <w:pPr>
        <w:pStyle w:val="Body"/>
        <w:numPr>
          <w:ilvl w:val="0"/>
          <w:numId w:val="26"/>
        </w:numPr>
        <w:spacing w:after="0" w:line="240" w:lineRule="auto"/>
        <w:rPr>
          <w:rFonts w:ascii="Times New Roman" w:hAnsi="Times New Roman" w:cs="Times New Roman"/>
          <w:sz w:val="24"/>
          <w:szCs w:val="24"/>
        </w:rPr>
      </w:pPr>
      <w:r w:rsidRPr="00FF2A8C">
        <w:rPr>
          <w:rFonts w:ascii="Times New Roman" w:hAnsi="Times New Roman" w:cs="Times New Roman"/>
          <w:sz w:val="24"/>
          <w:szCs w:val="24"/>
        </w:rPr>
        <w:t>Based on the snapshot dataset on the progress of current Secure Jobs caseload pulled on April 2, 2018, 13% of the Secure Jobs population or 42 Secure Jobs participants have a change in their housing situation after starting the Secure Jobs program.</w:t>
      </w:r>
    </w:p>
    <w:p w:rsidR="0037512E" w:rsidRPr="00E62CDF" w:rsidRDefault="0037512E" w:rsidP="00E62CDF">
      <w:pPr>
        <w:pStyle w:val="Body"/>
        <w:spacing w:after="0" w:line="240" w:lineRule="auto"/>
        <w:ind w:left="360"/>
        <w:rPr>
          <w:rFonts w:ascii="Times New Roman" w:hAnsi="Times New Roman" w:cs="Times New Roman"/>
          <w:sz w:val="24"/>
          <w:szCs w:val="24"/>
        </w:rPr>
      </w:pPr>
    </w:p>
    <w:p w:rsidR="00017F06" w:rsidRDefault="00017F06" w:rsidP="00E62CDF">
      <w:pPr>
        <w:pStyle w:val="Body"/>
        <w:spacing w:after="0" w:line="240" w:lineRule="auto"/>
        <w:jc w:val="center"/>
        <w:rPr>
          <w:rFonts w:ascii="Times New Roman" w:hAnsi="Times New Roman" w:cs="Times New Roman"/>
        </w:rPr>
      </w:pPr>
      <w:r>
        <w:rPr>
          <w:noProof/>
        </w:rPr>
        <w:drawing>
          <wp:anchor distT="0" distB="0" distL="114300" distR="114300" simplePos="0" relativeHeight="251662848" behindDoc="1" locked="0" layoutInCell="1" allowOverlap="1" wp14:anchorId="23E62EE6" wp14:editId="50A1FE08">
            <wp:simplePos x="0" y="0"/>
            <wp:positionH relativeFrom="margin">
              <wp:align>center</wp:align>
            </wp:positionH>
            <wp:positionV relativeFrom="paragraph">
              <wp:posOffset>15240</wp:posOffset>
            </wp:positionV>
            <wp:extent cx="4457700" cy="3133725"/>
            <wp:effectExtent l="0" t="0" r="19050" b="9525"/>
            <wp:wrapThrough wrapText="bothSides">
              <wp:wrapPolygon edited="0">
                <wp:start x="0" y="0"/>
                <wp:lineTo x="0" y="21534"/>
                <wp:lineTo x="21600" y="21534"/>
                <wp:lineTo x="21600" y="0"/>
                <wp:lineTo x="0" y="0"/>
              </wp:wrapPolygon>
            </wp:wrapThrough>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017F06" w:rsidRDefault="00017F06" w:rsidP="00E62CDF">
      <w:pPr>
        <w:pStyle w:val="Body"/>
        <w:spacing w:after="0" w:line="240" w:lineRule="auto"/>
        <w:jc w:val="center"/>
        <w:rPr>
          <w:rFonts w:ascii="Times New Roman" w:hAnsi="Times New Roman" w:cs="Times New Roman"/>
        </w:rPr>
      </w:pPr>
    </w:p>
    <w:p w:rsidR="00017F06" w:rsidRDefault="00017F06" w:rsidP="00E62CDF">
      <w:pPr>
        <w:pStyle w:val="Body"/>
        <w:spacing w:after="0" w:line="240" w:lineRule="auto"/>
        <w:jc w:val="center"/>
        <w:rPr>
          <w:rFonts w:ascii="Times New Roman" w:hAnsi="Times New Roman" w:cs="Times New Roman"/>
        </w:rPr>
      </w:pPr>
    </w:p>
    <w:p w:rsidR="0037512E" w:rsidRDefault="0037512E" w:rsidP="00E62CDF">
      <w:pPr>
        <w:pStyle w:val="Body"/>
        <w:spacing w:after="0" w:line="240" w:lineRule="auto"/>
        <w:jc w:val="center"/>
        <w:rPr>
          <w:rFonts w:ascii="Times New Roman" w:hAnsi="Times New Roman" w:cs="Times New Roman"/>
        </w:rPr>
      </w:pPr>
    </w:p>
    <w:p w:rsidR="0037512E" w:rsidRDefault="0037512E" w:rsidP="00016477">
      <w:pPr>
        <w:pStyle w:val="Body"/>
        <w:spacing w:after="0" w:line="240" w:lineRule="auto"/>
        <w:rPr>
          <w:rFonts w:ascii="Times New Roman" w:hAnsi="Times New Roman" w:cs="Times New Roman"/>
        </w:rPr>
      </w:pPr>
    </w:p>
    <w:p w:rsidR="00017F06" w:rsidRDefault="00017F06" w:rsidP="00E62CDF">
      <w:pPr>
        <w:pStyle w:val="Body"/>
        <w:spacing w:after="0" w:line="240" w:lineRule="auto"/>
        <w:ind w:left="360"/>
        <w:rPr>
          <w:rFonts w:ascii="Times New Roman" w:hAnsi="Times New Roman" w:cs="Times New Roman"/>
          <w:sz w:val="24"/>
          <w:szCs w:val="24"/>
        </w:rPr>
      </w:pPr>
    </w:p>
    <w:p w:rsidR="00017F06" w:rsidRDefault="00017F06" w:rsidP="00E62CDF">
      <w:pPr>
        <w:pStyle w:val="Body"/>
        <w:spacing w:after="0" w:line="240" w:lineRule="auto"/>
        <w:ind w:left="360"/>
        <w:rPr>
          <w:rFonts w:ascii="Times New Roman" w:hAnsi="Times New Roman" w:cs="Times New Roman"/>
          <w:sz w:val="24"/>
          <w:szCs w:val="24"/>
        </w:rPr>
      </w:pPr>
    </w:p>
    <w:p w:rsidR="00017F06" w:rsidRDefault="00017F06" w:rsidP="00E62CDF">
      <w:pPr>
        <w:pStyle w:val="Body"/>
        <w:spacing w:after="0" w:line="240" w:lineRule="auto"/>
        <w:ind w:left="360"/>
        <w:rPr>
          <w:rFonts w:ascii="Times New Roman" w:hAnsi="Times New Roman" w:cs="Times New Roman"/>
          <w:sz w:val="24"/>
          <w:szCs w:val="24"/>
        </w:rPr>
      </w:pPr>
    </w:p>
    <w:p w:rsidR="00017F06" w:rsidRDefault="00017F06" w:rsidP="00E62CDF">
      <w:pPr>
        <w:pStyle w:val="Body"/>
        <w:spacing w:after="0" w:line="240" w:lineRule="auto"/>
        <w:ind w:left="360"/>
        <w:rPr>
          <w:rFonts w:ascii="Times New Roman" w:hAnsi="Times New Roman" w:cs="Times New Roman"/>
          <w:sz w:val="24"/>
          <w:szCs w:val="24"/>
        </w:rPr>
      </w:pPr>
    </w:p>
    <w:p w:rsidR="00017F06" w:rsidRDefault="00017F06" w:rsidP="00E62CDF">
      <w:pPr>
        <w:pStyle w:val="Body"/>
        <w:spacing w:after="0" w:line="240" w:lineRule="auto"/>
        <w:ind w:left="360"/>
        <w:rPr>
          <w:rFonts w:ascii="Times New Roman" w:hAnsi="Times New Roman" w:cs="Times New Roman"/>
          <w:sz w:val="24"/>
          <w:szCs w:val="24"/>
        </w:rPr>
      </w:pPr>
    </w:p>
    <w:p w:rsidR="00017F06" w:rsidRDefault="00017F06" w:rsidP="00E62CDF">
      <w:pPr>
        <w:pStyle w:val="Body"/>
        <w:spacing w:after="0" w:line="240" w:lineRule="auto"/>
        <w:ind w:left="360"/>
        <w:rPr>
          <w:rFonts w:ascii="Times New Roman" w:hAnsi="Times New Roman" w:cs="Times New Roman"/>
          <w:sz w:val="24"/>
          <w:szCs w:val="24"/>
        </w:rPr>
      </w:pPr>
    </w:p>
    <w:p w:rsidR="00017F06" w:rsidRDefault="00017F06" w:rsidP="00E62CDF">
      <w:pPr>
        <w:pStyle w:val="Body"/>
        <w:spacing w:after="0" w:line="240" w:lineRule="auto"/>
        <w:ind w:left="360"/>
        <w:rPr>
          <w:rFonts w:ascii="Times New Roman" w:hAnsi="Times New Roman" w:cs="Times New Roman"/>
          <w:sz w:val="24"/>
          <w:szCs w:val="24"/>
        </w:rPr>
      </w:pPr>
    </w:p>
    <w:p w:rsidR="00017F06" w:rsidRDefault="00017F06" w:rsidP="00E62CDF">
      <w:pPr>
        <w:pStyle w:val="Body"/>
        <w:spacing w:after="0" w:line="240" w:lineRule="auto"/>
        <w:ind w:left="360"/>
        <w:rPr>
          <w:rFonts w:ascii="Times New Roman" w:hAnsi="Times New Roman" w:cs="Times New Roman"/>
          <w:sz w:val="24"/>
          <w:szCs w:val="24"/>
        </w:rPr>
      </w:pPr>
    </w:p>
    <w:p w:rsidR="00017F06" w:rsidRDefault="00017F06" w:rsidP="00E62CDF">
      <w:pPr>
        <w:pStyle w:val="Body"/>
        <w:spacing w:after="0" w:line="240" w:lineRule="auto"/>
        <w:ind w:left="360"/>
        <w:rPr>
          <w:rFonts w:ascii="Times New Roman" w:hAnsi="Times New Roman" w:cs="Times New Roman"/>
          <w:sz w:val="24"/>
          <w:szCs w:val="24"/>
        </w:rPr>
      </w:pPr>
    </w:p>
    <w:p w:rsidR="00017F06" w:rsidRDefault="00017F06" w:rsidP="00E62CDF">
      <w:pPr>
        <w:pStyle w:val="Body"/>
        <w:spacing w:after="0" w:line="240" w:lineRule="auto"/>
        <w:ind w:left="360"/>
        <w:rPr>
          <w:rFonts w:ascii="Times New Roman" w:hAnsi="Times New Roman" w:cs="Times New Roman"/>
          <w:sz w:val="24"/>
          <w:szCs w:val="24"/>
        </w:rPr>
      </w:pPr>
    </w:p>
    <w:p w:rsidR="00017F06" w:rsidRDefault="00017F06" w:rsidP="00E62CDF">
      <w:pPr>
        <w:pStyle w:val="Body"/>
        <w:spacing w:after="0" w:line="240" w:lineRule="auto"/>
        <w:ind w:left="360"/>
        <w:rPr>
          <w:rFonts w:ascii="Times New Roman" w:hAnsi="Times New Roman" w:cs="Times New Roman"/>
          <w:sz w:val="24"/>
          <w:szCs w:val="24"/>
        </w:rPr>
      </w:pPr>
    </w:p>
    <w:p w:rsidR="00017F06" w:rsidRDefault="00017F06" w:rsidP="00E62CDF">
      <w:pPr>
        <w:pStyle w:val="Body"/>
        <w:spacing w:after="0" w:line="240" w:lineRule="auto"/>
        <w:ind w:left="360"/>
        <w:rPr>
          <w:rFonts w:ascii="Times New Roman" w:hAnsi="Times New Roman" w:cs="Times New Roman"/>
          <w:sz w:val="24"/>
          <w:szCs w:val="24"/>
        </w:rPr>
      </w:pPr>
    </w:p>
    <w:p w:rsidR="00017F06" w:rsidRDefault="00017F06" w:rsidP="00E62CDF">
      <w:pPr>
        <w:pStyle w:val="Body"/>
        <w:spacing w:after="0" w:line="240" w:lineRule="auto"/>
        <w:ind w:left="360"/>
        <w:rPr>
          <w:rFonts w:ascii="Times New Roman" w:hAnsi="Times New Roman" w:cs="Times New Roman"/>
          <w:sz w:val="24"/>
          <w:szCs w:val="24"/>
        </w:rPr>
      </w:pPr>
    </w:p>
    <w:p w:rsidR="00017F06" w:rsidRPr="00302849" w:rsidRDefault="0009153A" w:rsidP="00302849">
      <w:pPr>
        <w:pStyle w:val="Body"/>
        <w:numPr>
          <w:ilvl w:val="0"/>
          <w:numId w:val="26"/>
        </w:numPr>
        <w:spacing w:after="0" w:line="240" w:lineRule="auto"/>
        <w:rPr>
          <w:rFonts w:ascii="Times New Roman" w:hAnsi="Times New Roman" w:cs="Times New Roman"/>
          <w:sz w:val="24"/>
          <w:szCs w:val="24"/>
        </w:rPr>
      </w:pPr>
      <w:r w:rsidRPr="00E62CDF">
        <w:rPr>
          <w:rFonts w:ascii="Times New Roman" w:hAnsi="Times New Roman" w:cs="Times New Roman"/>
          <w:sz w:val="24"/>
          <w:szCs w:val="24"/>
        </w:rPr>
        <w:t xml:space="preserve">Of the total 298 </w:t>
      </w:r>
      <w:r w:rsidR="00770606" w:rsidRPr="00E62CDF">
        <w:rPr>
          <w:rFonts w:ascii="Times New Roman" w:hAnsi="Times New Roman" w:cs="Times New Roman"/>
          <w:sz w:val="24"/>
          <w:szCs w:val="24"/>
        </w:rPr>
        <w:t>active</w:t>
      </w:r>
      <w:r w:rsidR="00E3779D" w:rsidRPr="00E62CDF">
        <w:rPr>
          <w:rFonts w:ascii="Times New Roman" w:hAnsi="Times New Roman" w:cs="Times New Roman"/>
          <w:sz w:val="24"/>
          <w:szCs w:val="24"/>
        </w:rPr>
        <w:t xml:space="preserve"> enrolled</w:t>
      </w:r>
      <w:r w:rsidR="00770606" w:rsidRPr="00E62CDF">
        <w:rPr>
          <w:rFonts w:ascii="Times New Roman" w:hAnsi="Times New Roman" w:cs="Times New Roman"/>
          <w:sz w:val="24"/>
          <w:szCs w:val="24"/>
        </w:rPr>
        <w:t xml:space="preserve"> participants</w:t>
      </w:r>
      <w:r w:rsidRPr="00E62CDF">
        <w:rPr>
          <w:rFonts w:ascii="Times New Roman" w:hAnsi="Times New Roman" w:cs="Times New Roman"/>
          <w:sz w:val="24"/>
          <w:szCs w:val="24"/>
        </w:rPr>
        <w:t xml:space="preserve">, 65% of the </w:t>
      </w:r>
      <w:r w:rsidR="00DC02BB" w:rsidRPr="00E62CDF">
        <w:rPr>
          <w:rFonts w:ascii="Times New Roman" w:hAnsi="Times New Roman" w:cs="Times New Roman"/>
          <w:sz w:val="24"/>
          <w:szCs w:val="24"/>
        </w:rPr>
        <w:t>population has</w:t>
      </w:r>
      <w:r w:rsidRPr="00E62CDF">
        <w:rPr>
          <w:rFonts w:ascii="Times New Roman" w:hAnsi="Times New Roman" w:cs="Times New Roman"/>
          <w:sz w:val="24"/>
          <w:szCs w:val="24"/>
        </w:rPr>
        <w:t xml:space="preserve"> a history of employment</w:t>
      </w:r>
      <w:r w:rsidR="00770606" w:rsidRPr="00E62CDF">
        <w:rPr>
          <w:rFonts w:ascii="Times New Roman" w:hAnsi="Times New Roman" w:cs="Times New Roman"/>
          <w:sz w:val="24"/>
          <w:szCs w:val="24"/>
        </w:rPr>
        <w:t xml:space="preserve"> and 12% of the</w:t>
      </w:r>
      <w:r w:rsidRPr="00E62CDF">
        <w:rPr>
          <w:rFonts w:ascii="Times New Roman" w:hAnsi="Times New Roman" w:cs="Times New Roman"/>
          <w:sz w:val="24"/>
          <w:szCs w:val="24"/>
        </w:rPr>
        <w:t xml:space="preserve"> </w:t>
      </w:r>
      <w:r w:rsidR="00DC02BB" w:rsidRPr="00E62CDF">
        <w:rPr>
          <w:rFonts w:ascii="Times New Roman" w:hAnsi="Times New Roman" w:cs="Times New Roman"/>
          <w:sz w:val="24"/>
          <w:szCs w:val="24"/>
        </w:rPr>
        <w:t>population was</w:t>
      </w:r>
      <w:r w:rsidRPr="00E62CDF">
        <w:rPr>
          <w:rFonts w:ascii="Times New Roman" w:hAnsi="Times New Roman" w:cs="Times New Roman"/>
          <w:sz w:val="24"/>
          <w:szCs w:val="24"/>
        </w:rPr>
        <w:t xml:space="preserve"> actively employed at the start of the Secure Jobs program.</w:t>
      </w:r>
    </w:p>
    <w:p w:rsidR="00B318DB" w:rsidRDefault="00017F06" w:rsidP="00E62CDF">
      <w:pPr>
        <w:pStyle w:val="Body"/>
        <w:spacing w:after="0" w:line="240" w:lineRule="auto"/>
        <w:ind w:left="360"/>
        <w:rPr>
          <w:rFonts w:ascii="Times New Roman" w:hAnsi="Times New Roman" w:cs="Times New Roman"/>
          <w:sz w:val="24"/>
          <w:szCs w:val="24"/>
        </w:rPr>
      </w:pPr>
      <w:r>
        <w:rPr>
          <w:noProof/>
        </w:rPr>
        <w:drawing>
          <wp:anchor distT="0" distB="0" distL="114300" distR="114300" simplePos="0" relativeHeight="251660800" behindDoc="0" locked="0" layoutInCell="1" allowOverlap="1" wp14:anchorId="132327A4" wp14:editId="46B48C21">
            <wp:simplePos x="0" y="0"/>
            <wp:positionH relativeFrom="column">
              <wp:posOffset>2914650</wp:posOffset>
            </wp:positionH>
            <wp:positionV relativeFrom="paragraph">
              <wp:posOffset>135255</wp:posOffset>
            </wp:positionV>
            <wp:extent cx="2790825" cy="2752725"/>
            <wp:effectExtent l="0" t="0" r="9525" b="952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1" locked="0" layoutInCell="1" allowOverlap="1" wp14:anchorId="1770A7C1" wp14:editId="57E061D1">
            <wp:simplePos x="0" y="0"/>
            <wp:positionH relativeFrom="column">
              <wp:posOffset>228600</wp:posOffset>
            </wp:positionH>
            <wp:positionV relativeFrom="paragraph">
              <wp:posOffset>134620</wp:posOffset>
            </wp:positionV>
            <wp:extent cx="2686050" cy="2752725"/>
            <wp:effectExtent l="0" t="0" r="19050" b="9525"/>
            <wp:wrapTight wrapText="bothSides">
              <wp:wrapPolygon edited="0">
                <wp:start x="0" y="0"/>
                <wp:lineTo x="0" y="21525"/>
                <wp:lineTo x="21600" y="21525"/>
                <wp:lineTo x="21600"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37512E" w:rsidRPr="00E62CDF" w:rsidRDefault="0037512E" w:rsidP="00E62CDF">
      <w:pPr>
        <w:pStyle w:val="Body"/>
        <w:spacing w:after="0" w:line="240" w:lineRule="auto"/>
        <w:ind w:left="360"/>
        <w:rPr>
          <w:rFonts w:ascii="Times New Roman" w:hAnsi="Times New Roman" w:cs="Times New Roman"/>
          <w:sz w:val="24"/>
          <w:szCs w:val="24"/>
        </w:rPr>
      </w:pPr>
    </w:p>
    <w:p w:rsidR="0009153A" w:rsidRDefault="0009153A" w:rsidP="0009153A">
      <w:pPr>
        <w:pStyle w:val="Body"/>
        <w:spacing w:after="0" w:line="240" w:lineRule="auto"/>
        <w:ind w:left="360"/>
        <w:rPr>
          <w:rFonts w:ascii="Times New Roman" w:hAnsi="Times New Roman" w:cs="Times New Roman"/>
        </w:rPr>
      </w:pPr>
    </w:p>
    <w:p w:rsidR="0009153A" w:rsidRDefault="0009153A" w:rsidP="0009153A">
      <w:pPr>
        <w:pStyle w:val="Body"/>
        <w:spacing w:after="0" w:line="240" w:lineRule="auto"/>
        <w:ind w:left="360"/>
        <w:rPr>
          <w:rFonts w:ascii="Times New Roman" w:hAnsi="Times New Roman" w:cs="Times New Roman"/>
        </w:rPr>
      </w:pPr>
    </w:p>
    <w:p w:rsidR="00B45987" w:rsidRDefault="00B45987" w:rsidP="0009153A">
      <w:pPr>
        <w:pStyle w:val="Body"/>
        <w:spacing w:after="0" w:line="240" w:lineRule="auto"/>
        <w:ind w:left="360"/>
        <w:rPr>
          <w:rFonts w:ascii="Times New Roman" w:hAnsi="Times New Roman" w:cs="Times New Roman"/>
        </w:rPr>
      </w:pPr>
    </w:p>
    <w:p w:rsidR="00B45987" w:rsidRDefault="00B45987" w:rsidP="00770606">
      <w:pPr>
        <w:pStyle w:val="Body"/>
        <w:spacing w:after="0" w:line="240" w:lineRule="auto"/>
        <w:rPr>
          <w:rFonts w:ascii="Times New Roman" w:hAnsi="Times New Roman" w:cs="Times New Roman"/>
        </w:rPr>
      </w:pPr>
    </w:p>
    <w:p w:rsidR="0037512E" w:rsidRDefault="0037512E" w:rsidP="00E62CDF">
      <w:pPr>
        <w:pStyle w:val="Body"/>
        <w:spacing w:after="0" w:line="240" w:lineRule="auto"/>
        <w:ind w:left="360"/>
        <w:rPr>
          <w:rFonts w:ascii="Times New Roman" w:hAnsi="Times New Roman" w:cs="Times New Roman"/>
          <w:sz w:val="24"/>
          <w:szCs w:val="24"/>
        </w:rPr>
      </w:pPr>
    </w:p>
    <w:p w:rsidR="0037512E" w:rsidRDefault="0037512E" w:rsidP="00E62CDF">
      <w:pPr>
        <w:pStyle w:val="Body"/>
        <w:spacing w:after="0" w:line="240" w:lineRule="auto"/>
        <w:ind w:left="360"/>
        <w:rPr>
          <w:rFonts w:ascii="Times New Roman" w:hAnsi="Times New Roman" w:cs="Times New Roman"/>
          <w:sz w:val="24"/>
          <w:szCs w:val="24"/>
        </w:rPr>
      </w:pPr>
    </w:p>
    <w:p w:rsidR="0037512E" w:rsidRDefault="0037512E" w:rsidP="00E62CDF">
      <w:pPr>
        <w:pStyle w:val="Body"/>
        <w:spacing w:after="0" w:line="240" w:lineRule="auto"/>
        <w:ind w:left="360"/>
        <w:rPr>
          <w:rFonts w:ascii="Times New Roman" w:hAnsi="Times New Roman" w:cs="Times New Roman"/>
          <w:sz w:val="24"/>
          <w:szCs w:val="24"/>
        </w:rPr>
      </w:pPr>
    </w:p>
    <w:p w:rsidR="0037512E" w:rsidRDefault="0037512E" w:rsidP="00E62CDF">
      <w:pPr>
        <w:pStyle w:val="Body"/>
        <w:spacing w:after="0" w:line="240" w:lineRule="auto"/>
        <w:ind w:left="360"/>
        <w:rPr>
          <w:rFonts w:ascii="Times New Roman" w:hAnsi="Times New Roman" w:cs="Times New Roman"/>
          <w:sz w:val="24"/>
          <w:szCs w:val="24"/>
        </w:rPr>
      </w:pPr>
    </w:p>
    <w:p w:rsidR="0037512E" w:rsidRDefault="0037512E" w:rsidP="00E62CDF">
      <w:pPr>
        <w:pStyle w:val="Body"/>
        <w:spacing w:after="0" w:line="240" w:lineRule="auto"/>
        <w:ind w:left="360"/>
        <w:rPr>
          <w:rFonts w:ascii="Times New Roman" w:hAnsi="Times New Roman" w:cs="Times New Roman"/>
          <w:sz w:val="24"/>
          <w:szCs w:val="24"/>
        </w:rPr>
      </w:pPr>
    </w:p>
    <w:p w:rsidR="0037512E" w:rsidRDefault="0037512E" w:rsidP="00E62CDF">
      <w:pPr>
        <w:pStyle w:val="Body"/>
        <w:spacing w:after="0" w:line="240" w:lineRule="auto"/>
        <w:ind w:left="360"/>
        <w:rPr>
          <w:rFonts w:ascii="Times New Roman" w:hAnsi="Times New Roman" w:cs="Times New Roman"/>
          <w:sz w:val="24"/>
          <w:szCs w:val="24"/>
        </w:rPr>
      </w:pPr>
    </w:p>
    <w:p w:rsidR="0037512E" w:rsidRDefault="0037512E" w:rsidP="00E62CDF">
      <w:pPr>
        <w:pStyle w:val="Body"/>
        <w:spacing w:after="0" w:line="240" w:lineRule="auto"/>
        <w:ind w:left="360"/>
        <w:rPr>
          <w:rFonts w:ascii="Times New Roman" w:hAnsi="Times New Roman" w:cs="Times New Roman"/>
          <w:sz w:val="24"/>
          <w:szCs w:val="24"/>
        </w:rPr>
      </w:pPr>
    </w:p>
    <w:p w:rsidR="0037512E" w:rsidRDefault="0037512E" w:rsidP="00E62CDF">
      <w:pPr>
        <w:pStyle w:val="Body"/>
        <w:spacing w:after="0" w:line="240" w:lineRule="auto"/>
        <w:ind w:left="360"/>
        <w:rPr>
          <w:rFonts w:ascii="Times New Roman" w:hAnsi="Times New Roman" w:cs="Times New Roman"/>
          <w:sz w:val="24"/>
          <w:szCs w:val="24"/>
        </w:rPr>
      </w:pPr>
    </w:p>
    <w:p w:rsidR="0037512E" w:rsidRDefault="0037512E" w:rsidP="00E62CDF">
      <w:pPr>
        <w:pStyle w:val="Body"/>
        <w:spacing w:after="0" w:line="240" w:lineRule="auto"/>
        <w:ind w:left="360"/>
        <w:rPr>
          <w:rFonts w:ascii="Times New Roman" w:hAnsi="Times New Roman" w:cs="Times New Roman"/>
          <w:sz w:val="24"/>
          <w:szCs w:val="24"/>
        </w:rPr>
      </w:pPr>
    </w:p>
    <w:p w:rsidR="0037512E" w:rsidRDefault="0037512E" w:rsidP="00E62CDF">
      <w:pPr>
        <w:pStyle w:val="Body"/>
        <w:spacing w:after="0" w:line="240" w:lineRule="auto"/>
        <w:ind w:left="360"/>
        <w:rPr>
          <w:rFonts w:ascii="Times New Roman" w:hAnsi="Times New Roman" w:cs="Times New Roman"/>
          <w:sz w:val="24"/>
          <w:szCs w:val="24"/>
        </w:rPr>
      </w:pPr>
    </w:p>
    <w:p w:rsidR="0037512E" w:rsidRDefault="0037512E" w:rsidP="00E62CDF">
      <w:pPr>
        <w:pStyle w:val="Body"/>
        <w:spacing w:after="0" w:line="240" w:lineRule="auto"/>
        <w:ind w:left="360"/>
        <w:rPr>
          <w:rFonts w:ascii="Times New Roman" w:hAnsi="Times New Roman" w:cs="Times New Roman"/>
          <w:sz w:val="24"/>
          <w:szCs w:val="24"/>
        </w:rPr>
      </w:pPr>
    </w:p>
    <w:p w:rsidR="0037512E" w:rsidRDefault="0037512E" w:rsidP="00E62CDF">
      <w:pPr>
        <w:pStyle w:val="Body"/>
        <w:spacing w:after="0" w:line="240" w:lineRule="auto"/>
        <w:rPr>
          <w:rFonts w:ascii="Times New Roman" w:hAnsi="Times New Roman" w:cs="Times New Roman"/>
          <w:sz w:val="24"/>
          <w:szCs w:val="24"/>
        </w:rPr>
      </w:pPr>
    </w:p>
    <w:p w:rsidR="008D6AFA" w:rsidRPr="00A36E53" w:rsidRDefault="00017F06" w:rsidP="00E62CDF">
      <w:pPr>
        <w:pStyle w:val="Body"/>
        <w:numPr>
          <w:ilvl w:val="0"/>
          <w:numId w:val="26"/>
        </w:numPr>
        <w:spacing w:after="0" w:line="240" w:lineRule="auto"/>
        <w:rPr>
          <w:rFonts w:ascii="Times New Roman" w:hAnsi="Times New Roman" w:cs="Times New Roman"/>
        </w:rPr>
      </w:pPr>
      <w:r w:rsidRPr="00FF2A8C">
        <w:rPr>
          <w:rFonts w:ascii="Times New Roman" w:hAnsi="Times New Roman" w:cs="Times New Roman"/>
          <w:sz w:val="24"/>
          <w:szCs w:val="24"/>
        </w:rPr>
        <w:t xml:space="preserve">Based on the snapshot dataset on the progress of current Secure Jobs caseload pulled on April 2, 2018, 38% of the Secure Jobs population or 120 Secure Jobs participants have </w:t>
      </w:r>
      <w:r w:rsidR="00A36E53">
        <w:rPr>
          <w:rFonts w:ascii="Times New Roman" w:hAnsi="Times New Roman" w:cs="Times New Roman"/>
          <w:sz w:val="24"/>
          <w:szCs w:val="24"/>
        </w:rPr>
        <w:t>attained</w:t>
      </w:r>
      <w:r w:rsidRPr="00FF2A8C">
        <w:rPr>
          <w:rFonts w:ascii="Times New Roman" w:hAnsi="Times New Roman" w:cs="Times New Roman"/>
          <w:sz w:val="24"/>
          <w:szCs w:val="24"/>
        </w:rPr>
        <w:t xml:space="preserve"> employment after starting the Secure Jobs program. </w:t>
      </w:r>
    </w:p>
    <w:sectPr w:rsidR="008D6AFA" w:rsidRPr="00A36E5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481" w:rsidRDefault="00E75481">
      <w:r>
        <w:separator/>
      </w:r>
    </w:p>
  </w:endnote>
  <w:endnote w:type="continuationSeparator" w:id="0">
    <w:p w:rsidR="00E75481" w:rsidRDefault="00E75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191" w:rsidRDefault="00836191">
    <w:pPr>
      <w:pStyle w:val="Footer"/>
      <w:jc w:val="center"/>
    </w:pPr>
    <w:r>
      <w:fldChar w:fldCharType="begin"/>
    </w:r>
    <w:r>
      <w:instrText xml:space="preserve"> PAGE </w:instrText>
    </w:r>
    <w:r>
      <w:fldChar w:fldCharType="separate"/>
    </w:r>
    <w:r w:rsidR="00127AD4">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481" w:rsidRDefault="00E75481">
      <w:r>
        <w:separator/>
      </w:r>
    </w:p>
  </w:footnote>
  <w:footnote w:type="continuationSeparator" w:id="0">
    <w:p w:rsidR="00E75481" w:rsidRDefault="00E75481">
      <w:r>
        <w:continuationSeparator/>
      </w:r>
    </w:p>
  </w:footnote>
  <w:footnote w:type="continuationNotice" w:id="1">
    <w:p w:rsidR="00E75481" w:rsidRDefault="00E754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191" w:rsidRDefault="00836191">
    <w:pPr>
      <w:pStyle w:val="Header"/>
      <w:tabs>
        <w:tab w:val="clear" w:pos="9360"/>
        <w:tab w:val="right" w:pos="93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6660"/>
    <w:multiLevelType w:val="multilevel"/>
    <w:tmpl w:val="62720E0A"/>
    <w:styleLink w:val="ImportedStyle5"/>
    <w:lvl w:ilvl="0">
      <w:numFmt w:val="bullet"/>
      <w:lvlText w:val="•"/>
      <w:lvlJc w:val="left"/>
      <w:pPr>
        <w:tabs>
          <w:tab w:val="num" w:pos="555"/>
        </w:tabs>
        <w:ind w:left="555" w:hanging="360"/>
      </w:pPr>
      <w:rPr>
        <w:position w:val="0"/>
        <w:sz w:val="22"/>
        <w:szCs w:val="22"/>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1">
    <w:nsid w:val="05872D0F"/>
    <w:multiLevelType w:val="multilevel"/>
    <w:tmpl w:val="8714AD66"/>
    <w:styleLink w:val="ImportedStyle4"/>
    <w:lvl w:ilvl="0">
      <w:numFmt w:val="bullet"/>
      <w:lvlText w:val="•"/>
      <w:lvlJc w:val="left"/>
      <w:pPr>
        <w:tabs>
          <w:tab w:val="num" w:pos="555"/>
        </w:tabs>
        <w:ind w:left="555" w:hanging="360"/>
      </w:pPr>
      <w:rPr>
        <w:position w:val="0"/>
        <w:sz w:val="22"/>
        <w:szCs w:val="22"/>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2">
    <w:nsid w:val="065F0C15"/>
    <w:multiLevelType w:val="multilevel"/>
    <w:tmpl w:val="E39A4B1A"/>
    <w:lvl w:ilvl="0">
      <w:start w:val="1"/>
      <w:numFmt w:val="bullet"/>
      <w:lvlText w:val=""/>
      <w:lvlJc w:val="left"/>
      <w:pPr>
        <w:tabs>
          <w:tab w:val="num" w:pos="360"/>
        </w:tabs>
        <w:ind w:left="360" w:hanging="360"/>
      </w:pPr>
      <w:rPr>
        <w:rFonts w:ascii="Symbol" w:hAnsi="Symbol" w:hint="default"/>
        <w:position w:val="0"/>
        <w:sz w:val="24"/>
        <w:szCs w:val="24"/>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3">
    <w:nsid w:val="09AA5F68"/>
    <w:multiLevelType w:val="multilevel"/>
    <w:tmpl w:val="A9C6BBF8"/>
    <w:styleLink w:val="ImportedStyle7"/>
    <w:lvl w:ilvl="0">
      <w:numFmt w:val="bullet"/>
      <w:lvlText w:val="•"/>
      <w:lvlJc w:val="left"/>
      <w:pPr>
        <w:tabs>
          <w:tab w:val="num" w:pos="555"/>
        </w:tabs>
        <w:ind w:left="555" w:hanging="360"/>
      </w:pPr>
      <w:rPr>
        <w:position w:val="0"/>
        <w:sz w:val="22"/>
        <w:szCs w:val="22"/>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4">
    <w:nsid w:val="0C001B9D"/>
    <w:multiLevelType w:val="hybridMultilevel"/>
    <w:tmpl w:val="EB525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5833A3"/>
    <w:multiLevelType w:val="multilevel"/>
    <w:tmpl w:val="41C23938"/>
    <w:styleLink w:val="ImportedStyle6"/>
    <w:lvl w:ilvl="0">
      <w:numFmt w:val="bullet"/>
      <w:lvlText w:val="•"/>
      <w:lvlJc w:val="left"/>
      <w:pPr>
        <w:tabs>
          <w:tab w:val="num" w:pos="555"/>
        </w:tabs>
        <w:ind w:left="555" w:hanging="360"/>
      </w:pPr>
      <w:rPr>
        <w:position w:val="0"/>
        <w:sz w:val="22"/>
        <w:szCs w:val="22"/>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6">
    <w:nsid w:val="16463425"/>
    <w:multiLevelType w:val="hybridMultilevel"/>
    <w:tmpl w:val="191C9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8D269E3"/>
    <w:multiLevelType w:val="hybridMultilevel"/>
    <w:tmpl w:val="267A5F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3150B3E"/>
    <w:multiLevelType w:val="multilevel"/>
    <w:tmpl w:val="0B6684E6"/>
    <w:lvl w:ilvl="0">
      <w:start w:val="1"/>
      <w:numFmt w:val="bullet"/>
      <w:lvlText w:val="•"/>
      <w:lvlJc w:val="left"/>
      <w:pPr>
        <w:tabs>
          <w:tab w:val="num" w:pos="360"/>
        </w:tabs>
        <w:ind w:left="360" w:hanging="360"/>
      </w:pPr>
      <w:rPr>
        <w:position w:val="0"/>
        <w:sz w:val="24"/>
        <w:szCs w:val="24"/>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9">
    <w:nsid w:val="269A26D5"/>
    <w:multiLevelType w:val="hybridMultilevel"/>
    <w:tmpl w:val="081208B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2BDA7B37"/>
    <w:multiLevelType w:val="multilevel"/>
    <w:tmpl w:val="61C8C41E"/>
    <w:styleLink w:val="ImportedStyle1"/>
    <w:lvl w:ilvl="0">
      <w:numFmt w:val="bullet"/>
      <w:lvlText w:val="•"/>
      <w:lvlJc w:val="left"/>
      <w:pPr>
        <w:tabs>
          <w:tab w:val="num" w:pos="330"/>
        </w:tabs>
        <w:ind w:left="330" w:hanging="330"/>
      </w:pPr>
      <w:rPr>
        <w:rFonts w:ascii="Times New Roman" w:eastAsia="Times New Roman" w:hAnsi="Times New Roman" w:cs="Times New Roman"/>
        <w:position w:val="0"/>
      </w:rPr>
    </w:lvl>
    <w:lvl w:ilvl="1">
      <w:start w:val="1"/>
      <w:numFmt w:val="bullet"/>
      <w:lvlText w:val="o"/>
      <w:lvlJc w:val="left"/>
      <w:pPr>
        <w:tabs>
          <w:tab w:val="num" w:pos="1410"/>
        </w:tabs>
        <w:ind w:left="1410" w:hanging="330"/>
      </w:pPr>
      <w:rPr>
        <w:rFonts w:ascii="Times New Roman" w:eastAsia="Times New Roman" w:hAnsi="Times New Roman" w:cs="Times New Roman"/>
        <w:position w:val="0"/>
      </w:rPr>
    </w:lvl>
    <w:lvl w:ilvl="2">
      <w:start w:val="1"/>
      <w:numFmt w:val="bullet"/>
      <w:lvlText w:val="▪"/>
      <w:lvlJc w:val="left"/>
      <w:pPr>
        <w:tabs>
          <w:tab w:val="num" w:pos="2130"/>
        </w:tabs>
        <w:ind w:left="2130" w:hanging="330"/>
      </w:pPr>
      <w:rPr>
        <w:rFonts w:ascii="Times New Roman" w:eastAsia="Times New Roman" w:hAnsi="Times New Roman" w:cs="Times New Roman"/>
        <w:position w:val="0"/>
      </w:rPr>
    </w:lvl>
    <w:lvl w:ilvl="3">
      <w:start w:val="1"/>
      <w:numFmt w:val="bullet"/>
      <w:lvlText w:val="•"/>
      <w:lvlJc w:val="left"/>
      <w:pPr>
        <w:tabs>
          <w:tab w:val="num" w:pos="2850"/>
        </w:tabs>
        <w:ind w:left="2850" w:hanging="330"/>
      </w:pPr>
      <w:rPr>
        <w:rFonts w:ascii="Times New Roman" w:eastAsia="Times New Roman" w:hAnsi="Times New Roman" w:cs="Times New Roman"/>
        <w:position w:val="0"/>
      </w:rPr>
    </w:lvl>
    <w:lvl w:ilvl="4">
      <w:start w:val="1"/>
      <w:numFmt w:val="bullet"/>
      <w:lvlText w:val="o"/>
      <w:lvlJc w:val="left"/>
      <w:pPr>
        <w:tabs>
          <w:tab w:val="num" w:pos="3570"/>
        </w:tabs>
        <w:ind w:left="3570" w:hanging="330"/>
      </w:pPr>
      <w:rPr>
        <w:rFonts w:ascii="Times New Roman" w:eastAsia="Times New Roman" w:hAnsi="Times New Roman" w:cs="Times New Roman"/>
        <w:position w:val="0"/>
      </w:rPr>
    </w:lvl>
    <w:lvl w:ilvl="5">
      <w:start w:val="1"/>
      <w:numFmt w:val="bullet"/>
      <w:lvlText w:val="▪"/>
      <w:lvlJc w:val="left"/>
      <w:pPr>
        <w:tabs>
          <w:tab w:val="num" w:pos="4290"/>
        </w:tabs>
        <w:ind w:left="4290" w:hanging="330"/>
      </w:pPr>
      <w:rPr>
        <w:rFonts w:ascii="Times New Roman" w:eastAsia="Times New Roman" w:hAnsi="Times New Roman" w:cs="Times New Roman"/>
        <w:position w:val="0"/>
      </w:rPr>
    </w:lvl>
    <w:lvl w:ilvl="6">
      <w:start w:val="1"/>
      <w:numFmt w:val="bullet"/>
      <w:lvlText w:val="•"/>
      <w:lvlJc w:val="left"/>
      <w:pPr>
        <w:tabs>
          <w:tab w:val="num" w:pos="5010"/>
        </w:tabs>
        <w:ind w:left="5010" w:hanging="330"/>
      </w:pPr>
      <w:rPr>
        <w:rFonts w:ascii="Times New Roman" w:eastAsia="Times New Roman" w:hAnsi="Times New Roman" w:cs="Times New Roman"/>
        <w:position w:val="0"/>
      </w:rPr>
    </w:lvl>
    <w:lvl w:ilvl="7">
      <w:start w:val="1"/>
      <w:numFmt w:val="bullet"/>
      <w:lvlText w:val="o"/>
      <w:lvlJc w:val="left"/>
      <w:pPr>
        <w:tabs>
          <w:tab w:val="num" w:pos="5730"/>
        </w:tabs>
        <w:ind w:left="5730" w:hanging="330"/>
      </w:pPr>
      <w:rPr>
        <w:rFonts w:ascii="Times New Roman" w:eastAsia="Times New Roman" w:hAnsi="Times New Roman" w:cs="Times New Roman"/>
        <w:position w:val="0"/>
      </w:rPr>
    </w:lvl>
    <w:lvl w:ilvl="8">
      <w:start w:val="1"/>
      <w:numFmt w:val="bullet"/>
      <w:lvlText w:val="▪"/>
      <w:lvlJc w:val="left"/>
      <w:pPr>
        <w:tabs>
          <w:tab w:val="num" w:pos="6450"/>
        </w:tabs>
        <w:ind w:left="6450" w:hanging="330"/>
      </w:pPr>
      <w:rPr>
        <w:rFonts w:ascii="Times New Roman" w:eastAsia="Times New Roman" w:hAnsi="Times New Roman" w:cs="Times New Roman"/>
        <w:position w:val="0"/>
      </w:rPr>
    </w:lvl>
  </w:abstractNum>
  <w:abstractNum w:abstractNumId="11">
    <w:nsid w:val="2DA72DD5"/>
    <w:multiLevelType w:val="hybridMultilevel"/>
    <w:tmpl w:val="058AE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F6623A"/>
    <w:multiLevelType w:val="multilevel"/>
    <w:tmpl w:val="33EC595C"/>
    <w:styleLink w:val="ImportedStyle8"/>
    <w:lvl w:ilvl="0">
      <w:numFmt w:val="bullet"/>
      <w:lvlText w:val="•"/>
      <w:lvlJc w:val="left"/>
      <w:pPr>
        <w:tabs>
          <w:tab w:val="num" w:pos="555"/>
        </w:tabs>
        <w:ind w:left="555" w:hanging="360"/>
      </w:pPr>
      <w:rPr>
        <w:position w:val="0"/>
        <w:sz w:val="22"/>
        <w:szCs w:val="22"/>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13">
    <w:nsid w:val="32145881"/>
    <w:multiLevelType w:val="hybridMultilevel"/>
    <w:tmpl w:val="A0BAA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7C4C74"/>
    <w:multiLevelType w:val="multilevel"/>
    <w:tmpl w:val="9A82D522"/>
    <w:lvl w:ilvl="0">
      <w:start w:val="1"/>
      <w:numFmt w:val="bullet"/>
      <w:lvlText w:val="•"/>
      <w:lvlJc w:val="left"/>
      <w:pPr>
        <w:tabs>
          <w:tab w:val="num" w:pos="555"/>
        </w:tabs>
        <w:ind w:left="555" w:hanging="360"/>
      </w:pPr>
      <w:rPr>
        <w:position w:val="0"/>
        <w:sz w:val="24"/>
        <w:szCs w:val="24"/>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15">
    <w:nsid w:val="41AC1492"/>
    <w:multiLevelType w:val="multilevel"/>
    <w:tmpl w:val="9EC0D368"/>
    <w:lvl w:ilvl="0">
      <w:start w:val="1"/>
      <w:numFmt w:val="bullet"/>
      <w:lvlText w:val=""/>
      <w:lvlJc w:val="left"/>
      <w:pPr>
        <w:tabs>
          <w:tab w:val="num" w:pos="360"/>
        </w:tabs>
        <w:ind w:left="360" w:hanging="360"/>
      </w:pPr>
      <w:rPr>
        <w:rFonts w:ascii="Symbol" w:hAnsi="Symbol" w:hint="default"/>
        <w:position w:val="0"/>
        <w:sz w:val="24"/>
        <w:szCs w:val="24"/>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6">
    <w:nsid w:val="42A457DF"/>
    <w:multiLevelType w:val="multilevel"/>
    <w:tmpl w:val="B0B80A76"/>
    <w:styleLink w:val="ImportedStyle3"/>
    <w:lvl w:ilvl="0">
      <w:numFmt w:val="bullet"/>
      <w:lvlText w:val="•"/>
      <w:lvlJc w:val="left"/>
      <w:pPr>
        <w:tabs>
          <w:tab w:val="num" w:pos="360"/>
        </w:tabs>
        <w:ind w:left="360" w:hanging="360"/>
      </w:pPr>
      <w:rPr>
        <w:position w:val="0"/>
        <w:sz w:val="22"/>
        <w:szCs w:val="22"/>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17">
    <w:nsid w:val="4D60125D"/>
    <w:multiLevelType w:val="multilevel"/>
    <w:tmpl w:val="48902E02"/>
    <w:lvl w:ilvl="0">
      <w:start w:val="1"/>
      <w:numFmt w:val="bullet"/>
      <w:lvlText w:val="•"/>
      <w:lvlJc w:val="left"/>
      <w:pPr>
        <w:tabs>
          <w:tab w:val="num" w:pos="555"/>
        </w:tabs>
        <w:ind w:left="555" w:hanging="360"/>
      </w:pPr>
      <w:rPr>
        <w:position w:val="0"/>
        <w:sz w:val="24"/>
        <w:szCs w:val="24"/>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18">
    <w:nsid w:val="56930A87"/>
    <w:multiLevelType w:val="hybridMultilevel"/>
    <w:tmpl w:val="15D4C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4F2EBE"/>
    <w:multiLevelType w:val="multilevel"/>
    <w:tmpl w:val="E5F0B768"/>
    <w:lvl w:ilvl="0">
      <w:start w:val="1"/>
      <w:numFmt w:val="bullet"/>
      <w:lvlText w:val="•"/>
      <w:lvlJc w:val="left"/>
      <w:pPr>
        <w:tabs>
          <w:tab w:val="num" w:pos="360"/>
        </w:tabs>
        <w:ind w:left="360" w:hanging="360"/>
      </w:pPr>
      <w:rPr>
        <w:position w:val="0"/>
        <w:sz w:val="24"/>
        <w:szCs w:val="24"/>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20">
    <w:nsid w:val="59F0044A"/>
    <w:multiLevelType w:val="multilevel"/>
    <w:tmpl w:val="64962778"/>
    <w:lvl w:ilvl="0">
      <w:start w:val="1"/>
      <w:numFmt w:val="bullet"/>
      <w:lvlText w:val="•"/>
      <w:lvlJc w:val="left"/>
      <w:pPr>
        <w:tabs>
          <w:tab w:val="num" w:pos="360"/>
        </w:tabs>
        <w:ind w:left="360" w:hanging="360"/>
      </w:pPr>
      <w:rPr>
        <w:position w:val="0"/>
        <w:sz w:val="24"/>
        <w:szCs w:val="24"/>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21">
    <w:nsid w:val="5F9651B9"/>
    <w:multiLevelType w:val="hybridMultilevel"/>
    <w:tmpl w:val="BB568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3AE4BC7"/>
    <w:multiLevelType w:val="multilevel"/>
    <w:tmpl w:val="B6C88AB0"/>
    <w:lvl w:ilvl="0">
      <w:start w:val="1"/>
      <w:numFmt w:val="bullet"/>
      <w:lvlText w:val="•"/>
      <w:lvlJc w:val="left"/>
      <w:pPr>
        <w:tabs>
          <w:tab w:val="num" w:pos="555"/>
        </w:tabs>
        <w:ind w:left="555" w:hanging="360"/>
      </w:pPr>
      <w:rPr>
        <w:position w:val="0"/>
        <w:sz w:val="24"/>
        <w:szCs w:val="24"/>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23">
    <w:nsid w:val="64973486"/>
    <w:multiLevelType w:val="multilevel"/>
    <w:tmpl w:val="737E2F38"/>
    <w:lvl w:ilvl="0">
      <w:start w:val="1"/>
      <w:numFmt w:val="bullet"/>
      <w:lvlText w:val="•"/>
      <w:lvlJc w:val="left"/>
      <w:pPr>
        <w:tabs>
          <w:tab w:val="num" w:pos="555"/>
        </w:tabs>
        <w:ind w:left="555" w:hanging="360"/>
      </w:pPr>
      <w:rPr>
        <w:position w:val="0"/>
        <w:sz w:val="24"/>
        <w:szCs w:val="24"/>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24">
    <w:nsid w:val="6B40512A"/>
    <w:multiLevelType w:val="hybridMultilevel"/>
    <w:tmpl w:val="082E2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B8A6186"/>
    <w:multiLevelType w:val="multilevel"/>
    <w:tmpl w:val="1D92DF1E"/>
    <w:lvl w:ilvl="0">
      <w:start w:val="1"/>
      <w:numFmt w:val="bullet"/>
      <w:lvlText w:val="•"/>
      <w:lvlJc w:val="left"/>
      <w:pPr>
        <w:tabs>
          <w:tab w:val="num" w:pos="555"/>
        </w:tabs>
        <w:ind w:left="555" w:hanging="360"/>
      </w:pPr>
      <w:rPr>
        <w:position w:val="0"/>
        <w:sz w:val="24"/>
        <w:szCs w:val="24"/>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26">
    <w:nsid w:val="6FB23D13"/>
    <w:multiLevelType w:val="multilevel"/>
    <w:tmpl w:val="93468D72"/>
    <w:styleLink w:val="ImportedStyle2"/>
    <w:lvl w:ilvl="0">
      <w:numFmt w:val="bullet"/>
      <w:lvlText w:val="•"/>
      <w:lvlJc w:val="left"/>
      <w:pPr>
        <w:tabs>
          <w:tab w:val="num" w:pos="360"/>
        </w:tabs>
        <w:ind w:left="360" w:hanging="360"/>
      </w:pPr>
      <w:rPr>
        <w:position w:val="0"/>
        <w:sz w:val="22"/>
        <w:szCs w:val="22"/>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num w:numId="1">
    <w:abstractNumId w:val="19"/>
  </w:num>
  <w:num w:numId="2">
    <w:abstractNumId w:val="15"/>
  </w:num>
  <w:num w:numId="3">
    <w:abstractNumId w:val="10"/>
  </w:num>
  <w:num w:numId="4">
    <w:abstractNumId w:val="8"/>
  </w:num>
  <w:num w:numId="5">
    <w:abstractNumId w:val="2"/>
  </w:num>
  <w:num w:numId="6">
    <w:abstractNumId w:val="26"/>
  </w:num>
  <w:num w:numId="7">
    <w:abstractNumId w:val="20"/>
  </w:num>
  <w:num w:numId="8">
    <w:abstractNumId w:val="16"/>
  </w:num>
  <w:num w:numId="9">
    <w:abstractNumId w:val="22"/>
  </w:num>
  <w:num w:numId="10">
    <w:abstractNumId w:val="1"/>
  </w:num>
  <w:num w:numId="11">
    <w:abstractNumId w:val="23"/>
  </w:num>
  <w:num w:numId="12">
    <w:abstractNumId w:val="0"/>
  </w:num>
  <w:num w:numId="13">
    <w:abstractNumId w:val="25"/>
  </w:num>
  <w:num w:numId="14">
    <w:abstractNumId w:val="5"/>
  </w:num>
  <w:num w:numId="15">
    <w:abstractNumId w:val="14"/>
  </w:num>
  <w:num w:numId="16">
    <w:abstractNumId w:val="3"/>
  </w:num>
  <w:num w:numId="17">
    <w:abstractNumId w:val="17"/>
  </w:num>
  <w:num w:numId="18">
    <w:abstractNumId w:val="12"/>
  </w:num>
  <w:num w:numId="19">
    <w:abstractNumId w:val="6"/>
  </w:num>
  <w:num w:numId="20">
    <w:abstractNumId w:val="9"/>
  </w:num>
  <w:num w:numId="21">
    <w:abstractNumId w:val="21"/>
  </w:num>
  <w:num w:numId="22">
    <w:abstractNumId w:val="13"/>
  </w:num>
  <w:num w:numId="23">
    <w:abstractNumId w:val="18"/>
  </w:num>
  <w:num w:numId="24">
    <w:abstractNumId w:val="4"/>
  </w:num>
  <w:num w:numId="25">
    <w:abstractNumId w:val="11"/>
  </w:num>
  <w:num w:numId="26">
    <w:abstractNumId w:val="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73B"/>
    <w:rsid w:val="00016477"/>
    <w:rsid w:val="00017F06"/>
    <w:rsid w:val="0002702A"/>
    <w:rsid w:val="000529FA"/>
    <w:rsid w:val="00085140"/>
    <w:rsid w:val="0009153A"/>
    <w:rsid w:val="00093EF4"/>
    <w:rsid w:val="000966B3"/>
    <w:rsid w:val="000B0170"/>
    <w:rsid w:val="000B12E4"/>
    <w:rsid w:val="000F7BC6"/>
    <w:rsid w:val="00106D30"/>
    <w:rsid w:val="0011118C"/>
    <w:rsid w:val="00127AD4"/>
    <w:rsid w:val="00132CC4"/>
    <w:rsid w:val="00133E8E"/>
    <w:rsid w:val="001A715C"/>
    <w:rsid w:val="001C6E6B"/>
    <w:rsid w:val="001D382B"/>
    <w:rsid w:val="001F4185"/>
    <w:rsid w:val="00200C02"/>
    <w:rsid w:val="00212C70"/>
    <w:rsid w:val="002161A8"/>
    <w:rsid w:val="00233F67"/>
    <w:rsid w:val="00245864"/>
    <w:rsid w:val="002736F5"/>
    <w:rsid w:val="002909B2"/>
    <w:rsid w:val="002A4DCF"/>
    <w:rsid w:val="002D14DA"/>
    <w:rsid w:val="002E24BE"/>
    <w:rsid w:val="00302849"/>
    <w:rsid w:val="003069F9"/>
    <w:rsid w:val="003078DC"/>
    <w:rsid w:val="00316ED8"/>
    <w:rsid w:val="0037512E"/>
    <w:rsid w:val="003A3DDE"/>
    <w:rsid w:val="003B7441"/>
    <w:rsid w:val="00415261"/>
    <w:rsid w:val="00420400"/>
    <w:rsid w:val="004220EB"/>
    <w:rsid w:val="004276CE"/>
    <w:rsid w:val="00452E6C"/>
    <w:rsid w:val="0049077F"/>
    <w:rsid w:val="004B63D0"/>
    <w:rsid w:val="004C4A18"/>
    <w:rsid w:val="004E29CE"/>
    <w:rsid w:val="004E5087"/>
    <w:rsid w:val="004F73D0"/>
    <w:rsid w:val="00517508"/>
    <w:rsid w:val="005238B6"/>
    <w:rsid w:val="005662F2"/>
    <w:rsid w:val="0059029C"/>
    <w:rsid w:val="005B1E79"/>
    <w:rsid w:val="005B2A0C"/>
    <w:rsid w:val="005F0178"/>
    <w:rsid w:val="00611D77"/>
    <w:rsid w:val="0061403B"/>
    <w:rsid w:val="00625280"/>
    <w:rsid w:val="006400C9"/>
    <w:rsid w:val="006514AE"/>
    <w:rsid w:val="00662DAA"/>
    <w:rsid w:val="006639FA"/>
    <w:rsid w:val="0066780E"/>
    <w:rsid w:val="00673962"/>
    <w:rsid w:val="006B471C"/>
    <w:rsid w:val="006C5077"/>
    <w:rsid w:val="006E54E8"/>
    <w:rsid w:val="00714824"/>
    <w:rsid w:val="00726C87"/>
    <w:rsid w:val="0073612C"/>
    <w:rsid w:val="00770606"/>
    <w:rsid w:val="00784898"/>
    <w:rsid w:val="00836191"/>
    <w:rsid w:val="0083725E"/>
    <w:rsid w:val="00870A4C"/>
    <w:rsid w:val="008734B4"/>
    <w:rsid w:val="008863B9"/>
    <w:rsid w:val="00894E9C"/>
    <w:rsid w:val="008A2269"/>
    <w:rsid w:val="008B29CE"/>
    <w:rsid w:val="008C1E18"/>
    <w:rsid w:val="008D582C"/>
    <w:rsid w:val="008D6AFA"/>
    <w:rsid w:val="008D7C5B"/>
    <w:rsid w:val="008E5EFF"/>
    <w:rsid w:val="008E77FD"/>
    <w:rsid w:val="008F24FA"/>
    <w:rsid w:val="008F51B2"/>
    <w:rsid w:val="00910CDD"/>
    <w:rsid w:val="0094685F"/>
    <w:rsid w:val="009503FF"/>
    <w:rsid w:val="00961586"/>
    <w:rsid w:val="009864B4"/>
    <w:rsid w:val="00987560"/>
    <w:rsid w:val="00991549"/>
    <w:rsid w:val="009B5316"/>
    <w:rsid w:val="009D0F0A"/>
    <w:rsid w:val="009E01CA"/>
    <w:rsid w:val="009E0214"/>
    <w:rsid w:val="009E77BA"/>
    <w:rsid w:val="009F2BA4"/>
    <w:rsid w:val="009F485D"/>
    <w:rsid w:val="00A01F4A"/>
    <w:rsid w:val="00A35492"/>
    <w:rsid w:val="00A36E53"/>
    <w:rsid w:val="00A52A71"/>
    <w:rsid w:val="00A6105A"/>
    <w:rsid w:val="00A6710F"/>
    <w:rsid w:val="00A90FE3"/>
    <w:rsid w:val="00AA16C9"/>
    <w:rsid w:val="00AB4B05"/>
    <w:rsid w:val="00AE369D"/>
    <w:rsid w:val="00AE4093"/>
    <w:rsid w:val="00AF273B"/>
    <w:rsid w:val="00B318DB"/>
    <w:rsid w:val="00B44751"/>
    <w:rsid w:val="00B45987"/>
    <w:rsid w:val="00B51497"/>
    <w:rsid w:val="00B656DA"/>
    <w:rsid w:val="00B90C8F"/>
    <w:rsid w:val="00BA4CBA"/>
    <w:rsid w:val="00BA70EF"/>
    <w:rsid w:val="00BF6496"/>
    <w:rsid w:val="00C21D8A"/>
    <w:rsid w:val="00C54372"/>
    <w:rsid w:val="00C72C53"/>
    <w:rsid w:val="00C73512"/>
    <w:rsid w:val="00C91DFA"/>
    <w:rsid w:val="00C95844"/>
    <w:rsid w:val="00CF0D3E"/>
    <w:rsid w:val="00CF29DD"/>
    <w:rsid w:val="00D4222F"/>
    <w:rsid w:val="00DC02BB"/>
    <w:rsid w:val="00DC3EA5"/>
    <w:rsid w:val="00DE1295"/>
    <w:rsid w:val="00E20C5E"/>
    <w:rsid w:val="00E3779D"/>
    <w:rsid w:val="00E40F52"/>
    <w:rsid w:val="00E46E57"/>
    <w:rsid w:val="00E6101B"/>
    <w:rsid w:val="00E62CDF"/>
    <w:rsid w:val="00E75481"/>
    <w:rsid w:val="00E945C8"/>
    <w:rsid w:val="00E96243"/>
    <w:rsid w:val="00EA4456"/>
    <w:rsid w:val="00EA5092"/>
    <w:rsid w:val="00ED02D2"/>
    <w:rsid w:val="00EF30C0"/>
    <w:rsid w:val="00F0498D"/>
    <w:rsid w:val="00F264B3"/>
    <w:rsid w:val="00F90DD5"/>
    <w:rsid w:val="00FA6481"/>
    <w:rsid w:val="00FC4C13"/>
    <w:rsid w:val="00FD3202"/>
    <w:rsid w:val="00FD67FC"/>
    <w:rsid w:val="00FE4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pBdr>
        <w:top w:val="nil"/>
        <w:left w:val="nil"/>
        <w:bottom w:val="nil"/>
        <w:right w:val="nil"/>
        <w:between w:val="nil"/>
        <w:bar w:val="nil"/>
      </w:pBdr>
    </w:pPr>
    <w:rPr>
      <w:sz w:val="24"/>
      <w:szCs w:val="24"/>
      <w:bdr w:val="nil"/>
    </w:rPr>
  </w:style>
  <w:style w:type="paragraph" w:styleId="Heading1">
    <w:name w:val="heading 1"/>
    <w:basedOn w:val="Normal"/>
    <w:next w:val="Normal"/>
    <w:link w:val="Heading1Char"/>
    <w:uiPriority w:val="9"/>
    <w:qFormat/>
    <w:rsid w:val="00A36E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64B3"/>
    <w:pPr>
      <w:keepNext/>
      <w:keepLines/>
      <w:spacing w:before="200"/>
      <w:outlineLvl w:val="1"/>
    </w:pPr>
    <w:rPr>
      <w:rFonts w:ascii="Helvetica" w:eastAsia="Times New Roman" w:hAnsi="Helvetica"/>
      <w:b/>
      <w:bCs/>
      <w:color w:val="499BC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pBdr>
        <w:top w:val="nil"/>
        <w:left w:val="nil"/>
        <w:bottom w:val="nil"/>
        <w:right w:val="nil"/>
        <w:between w:val="nil"/>
        <w:bar w:val="nil"/>
      </w:pBdr>
      <w:tabs>
        <w:tab w:val="center" w:pos="4680"/>
        <w:tab w:val="right" w:pos="9360"/>
      </w:tabs>
      <w:spacing w:after="200" w:line="276" w:lineRule="auto"/>
    </w:pPr>
    <w:rPr>
      <w:rFonts w:ascii="Calibri" w:eastAsia="Calibri" w:hAnsi="Calibri" w:cs="Calibri"/>
      <w:color w:val="000000"/>
      <w:sz w:val="22"/>
      <w:szCs w:val="22"/>
      <w:u w:color="000000"/>
      <w:bdr w:val="nil"/>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styleId="Footer">
    <w:name w:val="footer"/>
    <w:pPr>
      <w:pBdr>
        <w:top w:val="nil"/>
        <w:left w:val="nil"/>
        <w:bottom w:val="nil"/>
        <w:right w:val="nil"/>
        <w:between w:val="nil"/>
        <w:bar w:val="nil"/>
      </w:pBdr>
      <w:tabs>
        <w:tab w:val="center" w:pos="4320"/>
        <w:tab w:val="right" w:pos="8640"/>
      </w:tabs>
    </w:pPr>
    <w:rPr>
      <w:rFonts w:eastAsia="Times New Roman"/>
      <w:color w:val="000000"/>
      <w:sz w:val="24"/>
      <w:szCs w:val="24"/>
      <w:u w:color="000000"/>
      <w:bdr w:val="nil"/>
    </w:rPr>
  </w:style>
  <w:style w:type="paragraph" w:customStyle="1" w:styleId="HeaderFooter">
    <w:name w:val="Header &amp; Footer"/>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paragraph" w:styleId="NoSpacing">
    <w:name w:val="No Spacing"/>
    <w:pPr>
      <w:pBdr>
        <w:top w:val="nil"/>
        <w:left w:val="nil"/>
        <w:bottom w:val="nil"/>
        <w:right w:val="nil"/>
        <w:between w:val="nil"/>
        <w:bar w:val="nil"/>
      </w:pBdr>
      <w:spacing w:after="200" w:line="276" w:lineRule="auto"/>
    </w:pPr>
    <w:rPr>
      <w:rFonts w:eastAsia="Times New Roman"/>
      <w:color w:val="000000"/>
      <w:sz w:val="24"/>
      <w:szCs w:val="24"/>
      <w:u w:color="000000"/>
      <w:bdr w:val="nil"/>
    </w:rPr>
  </w:style>
  <w:style w:type="paragraph" w:styleId="FootnoteText">
    <w:name w:val="footnote text"/>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ListParagraph">
    <w:name w:val="List Paragraph"/>
    <w:uiPriority w:val="34"/>
    <w:qFormat/>
    <w:pPr>
      <w:pBdr>
        <w:top w:val="nil"/>
        <w:left w:val="nil"/>
        <w:bottom w:val="nil"/>
        <w:right w:val="nil"/>
        <w:between w:val="nil"/>
        <w:bar w:val="nil"/>
      </w:pBdr>
      <w:ind w:left="720"/>
    </w:pPr>
    <w:rPr>
      <w:rFonts w:ascii="Calibri" w:eastAsia="Calibri" w:hAnsi="Calibri" w:cs="Calibri"/>
      <w:color w:val="000000"/>
      <w:sz w:val="22"/>
      <w:szCs w:val="22"/>
      <w:u w:color="000000"/>
      <w:bdr w:val="nil"/>
    </w:rPr>
  </w:style>
  <w:style w:type="numbering" w:customStyle="1" w:styleId="ImportedStyle1">
    <w:name w:val="Imported Style 1"/>
    <w:pPr>
      <w:numPr>
        <w:numId w:val="3"/>
      </w:numPr>
    </w:pPr>
  </w:style>
  <w:style w:type="numbering" w:customStyle="1" w:styleId="ImportedStyle2">
    <w:name w:val="Imported Style 2"/>
    <w:pPr>
      <w:numPr>
        <w:numId w:val="6"/>
      </w:numPr>
    </w:pPr>
  </w:style>
  <w:style w:type="numbering" w:customStyle="1" w:styleId="ImportedStyle3">
    <w:name w:val="Imported Style 3"/>
    <w:pPr>
      <w:numPr>
        <w:numId w:val="8"/>
      </w:numPr>
    </w:pPr>
  </w:style>
  <w:style w:type="numbering" w:customStyle="1" w:styleId="ImportedStyle4">
    <w:name w:val="Imported Style 4"/>
    <w:pPr>
      <w:numPr>
        <w:numId w:val="10"/>
      </w:numPr>
    </w:pPr>
  </w:style>
  <w:style w:type="numbering" w:customStyle="1" w:styleId="ImportedStyle5">
    <w:name w:val="Imported Style 5"/>
    <w:pPr>
      <w:numPr>
        <w:numId w:val="12"/>
      </w:numPr>
    </w:pPr>
  </w:style>
  <w:style w:type="numbering" w:customStyle="1" w:styleId="ImportedStyle6">
    <w:name w:val="Imported Style 6"/>
    <w:pPr>
      <w:numPr>
        <w:numId w:val="14"/>
      </w:numPr>
    </w:pPr>
  </w:style>
  <w:style w:type="numbering" w:customStyle="1" w:styleId="ImportedStyle7">
    <w:name w:val="Imported Style 7"/>
    <w:pPr>
      <w:numPr>
        <w:numId w:val="16"/>
      </w:numPr>
    </w:pPr>
  </w:style>
  <w:style w:type="numbering" w:customStyle="1" w:styleId="ImportedStyle8">
    <w:name w:val="Imported Style 8"/>
    <w:pPr>
      <w:numPr>
        <w:numId w:val="18"/>
      </w:numPr>
    </w:pPr>
  </w:style>
  <w:style w:type="paragraph" w:styleId="BalloonText">
    <w:name w:val="Balloon Text"/>
    <w:basedOn w:val="Normal"/>
    <w:link w:val="BalloonTextChar"/>
    <w:uiPriority w:val="99"/>
    <w:semiHidden/>
    <w:unhideWhenUsed/>
    <w:rsid w:val="00A52A71"/>
    <w:rPr>
      <w:rFonts w:ascii="Tahoma" w:hAnsi="Tahoma" w:cs="Tahoma"/>
      <w:sz w:val="16"/>
      <w:szCs w:val="16"/>
    </w:rPr>
  </w:style>
  <w:style w:type="character" w:customStyle="1" w:styleId="BalloonTextChar">
    <w:name w:val="Balloon Text Char"/>
    <w:link w:val="BalloonText"/>
    <w:uiPriority w:val="99"/>
    <w:semiHidden/>
    <w:rsid w:val="00A52A71"/>
    <w:rPr>
      <w:rFonts w:ascii="Tahoma" w:hAnsi="Tahoma" w:cs="Tahoma"/>
      <w:sz w:val="16"/>
      <w:szCs w:val="16"/>
    </w:rPr>
  </w:style>
  <w:style w:type="character" w:styleId="FootnoteReference">
    <w:name w:val="footnote reference"/>
    <w:uiPriority w:val="99"/>
    <w:semiHidden/>
    <w:unhideWhenUsed/>
    <w:rsid w:val="008C1E18"/>
    <w:rPr>
      <w:vertAlign w:val="superscript"/>
    </w:rPr>
  </w:style>
  <w:style w:type="character" w:customStyle="1" w:styleId="Heading2Char">
    <w:name w:val="Heading 2 Char"/>
    <w:link w:val="Heading2"/>
    <w:uiPriority w:val="9"/>
    <w:semiHidden/>
    <w:rsid w:val="00F264B3"/>
    <w:rPr>
      <w:rFonts w:ascii="Helvetica" w:eastAsia="Times New Roman" w:hAnsi="Helvetica" w:cs="Times New Roman"/>
      <w:b/>
      <w:bCs/>
      <w:color w:val="499BC9"/>
      <w:sz w:val="26"/>
      <w:szCs w:val="26"/>
    </w:rPr>
  </w:style>
  <w:style w:type="character" w:styleId="CommentReference">
    <w:name w:val="annotation reference"/>
    <w:basedOn w:val="DefaultParagraphFont"/>
    <w:uiPriority w:val="99"/>
    <w:semiHidden/>
    <w:unhideWhenUsed/>
    <w:rsid w:val="0059029C"/>
    <w:rPr>
      <w:sz w:val="16"/>
      <w:szCs w:val="16"/>
    </w:rPr>
  </w:style>
  <w:style w:type="paragraph" w:styleId="CommentText">
    <w:name w:val="annotation text"/>
    <w:basedOn w:val="Normal"/>
    <w:link w:val="CommentTextChar"/>
    <w:uiPriority w:val="99"/>
    <w:semiHidden/>
    <w:unhideWhenUsed/>
    <w:rsid w:val="0059029C"/>
    <w:rPr>
      <w:sz w:val="20"/>
      <w:szCs w:val="20"/>
    </w:rPr>
  </w:style>
  <w:style w:type="character" w:customStyle="1" w:styleId="CommentTextChar">
    <w:name w:val="Comment Text Char"/>
    <w:basedOn w:val="DefaultParagraphFont"/>
    <w:link w:val="CommentText"/>
    <w:uiPriority w:val="99"/>
    <w:semiHidden/>
    <w:rsid w:val="0059029C"/>
    <w:rPr>
      <w:bdr w:val="nil"/>
    </w:rPr>
  </w:style>
  <w:style w:type="paragraph" w:styleId="CommentSubject">
    <w:name w:val="annotation subject"/>
    <w:basedOn w:val="CommentText"/>
    <w:next w:val="CommentText"/>
    <w:link w:val="CommentSubjectChar"/>
    <w:uiPriority w:val="99"/>
    <w:semiHidden/>
    <w:unhideWhenUsed/>
    <w:rsid w:val="0059029C"/>
    <w:rPr>
      <w:b/>
      <w:bCs/>
    </w:rPr>
  </w:style>
  <w:style w:type="character" w:customStyle="1" w:styleId="CommentSubjectChar">
    <w:name w:val="Comment Subject Char"/>
    <w:basedOn w:val="CommentTextChar"/>
    <w:link w:val="CommentSubject"/>
    <w:uiPriority w:val="99"/>
    <w:semiHidden/>
    <w:rsid w:val="0059029C"/>
    <w:rPr>
      <w:b/>
      <w:bCs/>
      <w:bdr w:val="nil"/>
    </w:rPr>
  </w:style>
  <w:style w:type="character" w:customStyle="1" w:styleId="normalchar1">
    <w:name w:val="normal__char1"/>
    <w:rsid w:val="00A6710F"/>
    <w:rPr>
      <w:rFonts w:ascii="Times New Roman" w:hAnsi="Times New Roman" w:cs="Times New Roman" w:hint="default"/>
      <w:strike w:val="0"/>
      <w:dstrike w:val="0"/>
      <w:sz w:val="24"/>
      <w:szCs w:val="24"/>
      <w:u w:val="none"/>
      <w:effect w:val="none"/>
    </w:rPr>
  </w:style>
  <w:style w:type="character" w:customStyle="1" w:styleId="Heading1Char">
    <w:name w:val="Heading 1 Char"/>
    <w:basedOn w:val="DefaultParagraphFont"/>
    <w:link w:val="Heading1"/>
    <w:uiPriority w:val="9"/>
    <w:rsid w:val="00A36E53"/>
    <w:rPr>
      <w:rFonts w:asciiTheme="majorHAnsi" w:eastAsiaTheme="majorEastAsia" w:hAnsiTheme="majorHAnsi" w:cstheme="majorBidi"/>
      <w:b/>
      <w:bCs/>
      <w:color w:val="365F91" w:themeColor="accent1" w:themeShade="BF"/>
      <w:sz w:val="28"/>
      <w:szCs w:val="28"/>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pBdr>
        <w:top w:val="nil"/>
        <w:left w:val="nil"/>
        <w:bottom w:val="nil"/>
        <w:right w:val="nil"/>
        <w:between w:val="nil"/>
        <w:bar w:val="nil"/>
      </w:pBdr>
    </w:pPr>
    <w:rPr>
      <w:sz w:val="24"/>
      <w:szCs w:val="24"/>
      <w:bdr w:val="nil"/>
    </w:rPr>
  </w:style>
  <w:style w:type="paragraph" w:styleId="Heading1">
    <w:name w:val="heading 1"/>
    <w:basedOn w:val="Normal"/>
    <w:next w:val="Normal"/>
    <w:link w:val="Heading1Char"/>
    <w:uiPriority w:val="9"/>
    <w:qFormat/>
    <w:rsid w:val="00A36E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64B3"/>
    <w:pPr>
      <w:keepNext/>
      <w:keepLines/>
      <w:spacing w:before="200"/>
      <w:outlineLvl w:val="1"/>
    </w:pPr>
    <w:rPr>
      <w:rFonts w:ascii="Helvetica" w:eastAsia="Times New Roman" w:hAnsi="Helvetica"/>
      <w:b/>
      <w:bCs/>
      <w:color w:val="499BC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pBdr>
        <w:top w:val="nil"/>
        <w:left w:val="nil"/>
        <w:bottom w:val="nil"/>
        <w:right w:val="nil"/>
        <w:between w:val="nil"/>
        <w:bar w:val="nil"/>
      </w:pBdr>
      <w:tabs>
        <w:tab w:val="center" w:pos="4680"/>
        <w:tab w:val="right" w:pos="9360"/>
      </w:tabs>
      <w:spacing w:after="200" w:line="276" w:lineRule="auto"/>
    </w:pPr>
    <w:rPr>
      <w:rFonts w:ascii="Calibri" w:eastAsia="Calibri" w:hAnsi="Calibri" w:cs="Calibri"/>
      <w:color w:val="000000"/>
      <w:sz w:val="22"/>
      <w:szCs w:val="22"/>
      <w:u w:color="000000"/>
      <w:bdr w:val="nil"/>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styleId="Footer">
    <w:name w:val="footer"/>
    <w:pPr>
      <w:pBdr>
        <w:top w:val="nil"/>
        <w:left w:val="nil"/>
        <w:bottom w:val="nil"/>
        <w:right w:val="nil"/>
        <w:between w:val="nil"/>
        <w:bar w:val="nil"/>
      </w:pBdr>
      <w:tabs>
        <w:tab w:val="center" w:pos="4320"/>
        <w:tab w:val="right" w:pos="8640"/>
      </w:tabs>
    </w:pPr>
    <w:rPr>
      <w:rFonts w:eastAsia="Times New Roman"/>
      <w:color w:val="000000"/>
      <w:sz w:val="24"/>
      <w:szCs w:val="24"/>
      <w:u w:color="000000"/>
      <w:bdr w:val="nil"/>
    </w:rPr>
  </w:style>
  <w:style w:type="paragraph" w:customStyle="1" w:styleId="HeaderFooter">
    <w:name w:val="Header &amp; Footer"/>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paragraph" w:styleId="NoSpacing">
    <w:name w:val="No Spacing"/>
    <w:pPr>
      <w:pBdr>
        <w:top w:val="nil"/>
        <w:left w:val="nil"/>
        <w:bottom w:val="nil"/>
        <w:right w:val="nil"/>
        <w:between w:val="nil"/>
        <w:bar w:val="nil"/>
      </w:pBdr>
      <w:spacing w:after="200" w:line="276" w:lineRule="auto"/>
    </w:pPr>
    <w:rPr>
      <w:rFonts w:eastAsia="Times New Roman"/>
      <w:color w:val="000000"/>
      <w:sz w:val="24"/>
      <w:szCs w:val="24"/>
      <w:u w:color="000000"/>
      <w:bdr w:val="nil"/>
    </w:rPr>
  </w:style>
  <w:style w:type="paragraph" w:styleId="FootnoteText">
    <w:name w:val="footnote text"/>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ListParagraph">
    <w:name w:val="List Paragraph"/>
    <w:uiPriority w:val="34"/>
    <w:qFormat/>
    <w:pPr>
      <w:pBdr>
        <w:top w:val="nil"/>
        <w:left w:val="nil"/>
        <w:bottom w:val="nil"/>
        <w:right w:val="nil"/>
        <w:between w:val="nil"/>
        <w:bar w:val="nil"/>
      </w:pBdr>
      <w:ind w:left="720"/>
    </w:pPr>
    <w:rPr>
      <w:rFonts w:ascii="Calibri" w:eastAsia="Calibri" w:hAnsi="Calibri" w:cs="Calibri"/>
      <w:color w:val="000000"/>
      <w:sz w:val="22"/>
      <w:szCs w:val="22"/>
      <w:u w:color="000000"/>
      <w:bdr w:val="nil"/>
    </w:rPr>
  </w:style>
  <w:style w:type="numbering" w:customStyle="1" w:styleId="ImportedStyle1">
    <w:name w:val="Imported Style 1"/>
    <w:pPr>
      <w:numPr>
        <w:numId w:val="3"/>
      </w:numPr>
    </w:pPr>
  </w:style>
  <w:style w:type="numbering" w:customStyle="1" w:styleId="ImportedStyle2">
    <w:name w:val="Imported Style 2"/>
    <w:pPr>
      <w:numPr>
        <w:numId w:val="6"/>
      </w:numPr>
    </w:pPr>
  </w:style>
  <w:style w:type="numbering" w:customStyle="1" w:styleId="ImportedStyle3">
    <w:name w:val="Imported Style 3"/>
    <w:pPr>
      <w:numPr>
        <w:numId w:val="8"/>
      </w:numPr>
    </w:pPr>
  </w:style>
  <w:style w:type="numbering" w:customStyle="1" w:styleId="ImportedStyle4">
    <w:name w:val="Imported Style 4"/>
    <w:pPr>
      <w:numPr>
        <w:numId w:val="10"/>
      </w:numPr>
    </w:pPr>
  </w:style>
  <w:style w:type="numbering" w:customStyle="1" w:styleId="ImportedStyle5">
    <w:name w:val="Imported Style 5"/>
    <w:pPr>
      <w:numPr>
        <w:numId w:val="12"/>
      </w:numPr>
    </w:pPr>
  </w:style>
  <w:style w:type="numbering" w:customStyle="1" w:styleId="ImportedStyle6">
    <w:name w:val="Imported Style 6"/>
    <w:pPr>
      <w:numPr>
        <w:numId w:val="14"/>
      </w:numPr>
    </w:pPr>
  </w:style>
  <w:style w:type="numbering" w:customStyle="1" w:styleId="ImportedStyle7">
    <w:name w:val="Imported Style 7"/>
    <w:pPr>
      <w:numPr>
        <w:numId w:val="16"/>
      </w:numPr>
    </w:pPr>
  </w:style>
  <w:style w:type="numbering" w:customStyle="1" w:styleId="ImportedStyle8">
    <w:name w:val="Imported Style 8"/>
    <w:pPr>
      <w:numPr>
        <w:numId w:val="18"/>
      </w:numPr>
    </w:pPr>
  </w:style>
  <w:style w:type="paragraph" w:styleId="BalloonText">
    <w:name w:val="Balloon Text"/>
    <w:basedOn w:val="Normal"/>
    <w:link w:val="BalloonTextChar"/>
    <w:uiPriority w:val="99"/>
    <w:semiHidden/>
    <w:unhideWhenUsed/>
    <w:rsid w:val="00A52A71"/>
    <w:rPr>
      <w:rFonts w:ascii="Tahoma" w:hAnsi="Tahoma" w:cs="Tahoma"/>
      <w:sz w:val="16"/>
      <w:szCs w:val="16"/>
    </w:rPr>
  </w:style>
  <w:style w:type="character" w:customStyle="1" w:styleId="BalloonTextChar">
    <w:name w:val="Balloon Text Char"/>
    <w:link w:val="BalloonText"/>
    <w:uiPriority w:val="99"/>
    <w:semiHidden/>
    <w:rsid w:val="00A52A71"/>
    <w:rPr>
      <w:rFonts w:ascii="Tahoma" w:hAnsi="Tahoma" w:cs="Tahoma"/>
      <w:sz w:val="16"/>
      <w:szCs w:val="16"/>
    </w:rPr>
  </w:style>
  <w:style w:type="character" w:styleId="FootnoteReference">
    <w:name w:val="footnote reference"/>
    <w:uiPriority w:val="99"/>
    <w:semiHidden/>
    <w:unhideWhenUsed/>
    <w:rsid w:val="008C1E18"/>
    <w:rPr>
      <w:vertAlign w:val="superscript"/>
    </w:rPr>
  </w:style>
  <w:style w:type="character" w:customStyle="1" w:styleId="Heading2Char">
    <w:name w:val="Heading 2 Char"/>
    <w:link w:val="Heading2"/>
    <w:uiPriority w:val="9"/>
    <w:semiHidden/>
    <w:rsid w:val="00F264B3"/>
    <w:rPr>
      <w:rFonts w:ascii="Helvetica" w:eastAsia="Times New Roman" w:hAnsi="Helvetica" w:cs="Times New Roman"/>
      <w:b/>
      <w:bCs/>
      <w:color w:val="499BC9"/>
      <w:sz w:val="26"/>
      <w:szCs w:val="26"/>
    </w:rPr>
  </w:style>
  <w:style w:type="character" w:styleId="CommentReference">
    <w:name w:val="annotation reference"/>
    <w:basedOn w:val="DefaultParagraphFont"/>
    <w:uiPriority w:val="99"/>
    <w:semiHidden/>
    <w:unhideWhenUsed/>
    <w:rsid w:val="0059029C"/>
    <w:rPr>
      <w:sz w:val="16"/>
      <w:szCs w:val="16"/>
    </w:rPr>
  </w:style>
  <w:style w:type="paragraph" w:styleId="CommentText">
    <w:name w:val="annotation text"/>
    <w:basedOn w:val="Normal"/>
    <w:link w:val="CommentTextChar"/>
    <w:uiPriority w:val="99"/>
    <w:semiHidden/>
    <w:unhideWhenUsed/>
    <w:rsid w:val="0059029C"/>
    <w:rPr>
      <w:sz w:val="20"/>
      <w:szCs w:val="20"/>
    </w:rPr>
  </w:style>
  <w:style w:type="character" w:customStyle="1" w:styleId="CommentTextChar">
    <w:name w:val="Comment Text Char"/>
    <w:basedOn w:val="DefaultParagraphFont"/>
    <w:link w:val="CommentText"/>
    <w:uiPriority w:val="99"/>
    <w:semiHidden/>
    <w:rsid w:val="0059029C"/>
    <w:rPr>
      <w:bdr w:val="nil"/>
    </w:rPr>
  </w:style>
  <w:style w:type="paragraph" w:styleId="CommentSubject">
    <w:name w:val="annotation subject"/>
    <w:basedOn w:val="CommentText"/>
    <w:next w:val="CommentText"/>
    <w:link w:val="CommentSubjectChar"/>
    <w:uiPriority w:val="99"/>
    <w:semiHidden/>
    <w:unhideWhenUsed/>
    <w:rsid w:val="0059029C"/>
    <w:rPr>
      <w:b/>
      <w:bCs/>
    </w:rPr>
  </w:style>
  <w:style w:type="character" w:customStyle="1" w:styleId="CommentSubjectChar">
    <w:name w:val="Comment Subject Char"/>
    <w:basedOn w:val="CommentTextChar"/>
    <w:link w:val="CommentSubject"/>
    <w:uiPriority w:val="99"/>
    <w:semiHidden/>
    <w:rsid w:val="0059029C"/>
    <w:rPr>
      <w:b/>
      <w:bCs/>
      <w:bdr w:val="nil"/>
    </w:rPr>
  </w:style>
  <w:style w:type="character" w:customStyle="1" w:styleId="normalchar1">
    <w:name w:val="normal__char1"/>
    <w:rsid w:val="00A6710F"/>
    <w:rPr>
      <w:rFonts w:ascii="Times New Roman" w:hAnsi="Times New Roman" w:cs="Times New Roman" w:hint="default"/>
      <w:strike w:val="0"/>
      <w:dstrike w:val="0"/>
      <w:sz w:val="24"/>
      <w:szCs w:val="24"/>
      <w:u w:val="none"/>
      <w:effect w:val="none"/>
    </w:rPr>
  </w:style>
  <w:style w:type="character" w:customStyle="1" w:styleId="Heading1Char">
    <w:name w:val="Heading 1 Char"/>
    <w:basedOn w:val="DefaultParagraphFont"/>
    <w:link w:val="Heading1"/>
    <w:uiPriority w:val="9"/>
    <w:rsid w:val="00A36E53"/>
    <w:rPr>
      <w:rFonts w:asciiTheme="majorHAnsi" w:eastAsiaTheme="majorEastAsia" w:hAnsiTheme="majorHAnsi" w:cstheme="majorBidi"/>
      <w:b/>
      <w:bCs/>
      <w:color w:val="365F91" w:themeColor="accent1" w:themeShade="BF"/>
      <w:sz w:val="28"/>
      <w:szCs w:val="2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98647">
      <w:bodyDiv w:val="1"/>
      <w:marLeft w:val="0"/>
      <w:marRight w:val="0"/>
      <w:marTop w:val="0"/>
      <w:marBottom w:val="0"/>
      <w:divBdr>
        <w:top w:val="none" w:sz="0" w:space="0" w:color="auto"/>
        <w:left w:val="none" w:sz="0" w:space="0" w:color="auto"/>
        <w:bottom w:val="none" w:sz="0" w:space="0" w:color="auto"/>
        <w:right w:val="none" w:sz="0" w:space="0" w:color="auto"/>
      </w:divBdr>
    </w:div>
    <w:div w:id="432937179">
      <w:bodyDiv w:val="1"/>
      <w:marLeft w:val="0"/>
      <w:marRight w:val="0"/>
      <w:marTop w:val="0"/>
      <w:marBottom w:val="0"/>
      <w:divBdr>
        <w:top w:val="none" w:sz="0" w:space="0" w:color="auto"/>
        <w:left w:val="none" w:sz="0" w:space="0" w:color="auto"/>
        <w:bottom w:val="none" w:sz="0" w:space="0" w:color="auto"/>
        <w:right w:val="none" w:sz="0" w:space="0" w:color="auto"/>
      </w:divBdr>
    </w:div>
    <w:div w:id="848256970">
      <w:bodyDiv w:val="1"/>
      <w:marLeft w:val="0"/>
      <w:marRight w:val="0"/>
      <w:marTop w:val="0"/>
      <w:marBottom w:val="0"/>
      <w:divBdr>
        <w:top w:val="none" w:sz="0" w:space="0" w:color="auto"/>
        <w:left w:val="none" w:sz="0" w:space="0" w:color="auto"/>
        <w:bottom w:val="none" w:sz="0" w:space="0" w:color="auto"/>
        <w:right w:val="none" w:sz="0" w:space="0" w:color="auto"/>
      </w:divBdr>
    </w:div>
    <w:div w:id="962150799">
      <w:bodyDiv w:val="1"/>
      <w:marLeft w:val="0"/>
      <w:marRight w:val="0"/>
      <w:marTop w:val="0"/>
      <w:marBottom w:val="0"/>
      <w:divBdr>
        <w:top w:val="none" w:sz="0" w:space="0" w:color="auto"/>
        <w:left w:val="none" w:sz="0" w:space="0" w:color="auto"/>
        <w:bottom w:val="none" w:sz="0" w:space="0" w:color="auto"/>
        <w:right w:val="none" w:sz="0" w:space="0" w:color="auto"/>
      </w:divBdr>
    </w:div>
    <w:div w:id="1788237425">
      <w:bodyDiv w:val="1"/>
      <w:marLeft w:val="0"/>
      <w:marRight w:val="0"/>
      <w:marTop w:val="0"/>
      <w:marBottom w:val="0"/>
      <w:divBdr>
        <w:top w:val="none" w:sz="0" w:space="0" w:color="auto"/>
        <w:left w:val="none" w:sz="0" w:space="0" w:color="auto"/>
        <w:bottom w:val="none" w:sz="0" w:space="0" w:color="auto"/>
        <w:right w:val="none" w:sz="0" w:space="0" w:color="auto"/>
      </w:divBdr>
    </w:div>
    <w:div w:id="1926568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lantin\Desktop\Accounts\Secure%20Jobs\FY18%20SJ%20Reporting%204.3.20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lantin\Desktop\Accounts\Secure%20Jobs\FY18%20SJ%20Reporting%204.3.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clantin\Desktop\Accounts\Secure%20Jobs\FY18%20SJ%20Reporting%204.3.201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clantin\Desktop\Accounts\Secure%20Jobs\FY18%20SJ%20Reporting%204.3.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[FY18 SJ Reporting 4.3.2018.xlsx]Initial enroll - Summary!PivotTable1</c:name>
    <c:fmtId val="-1"/>
  </c:pivotSource>
  <c:chart>
    <c:title>
      <c:tx>
        <c:rich>
          <a:bodyPr/>
          <a:lstStyle/>
          <a:p>
            <a:pPr>
              <a:defRPr/>
            </a:pPr>
            <a:r>
              <a:rPr lang="en-US"/>
              <a:t>Housing Situation Upon Initial Enrollment</a:t>
            </a:r>
          </a:p>
        </c:rich>
      </c:tx>
      <c:overlay val="0"/>
    </c:title>
    <c:autoTitleDeleted val="0"/>
    <c:pivotFmts>
      <c:pivotFmt>
        <c:idx val="0"/>
        <c:marker>
          <c:symbol val="none"/>
        </c:marker>
        <c:dLbl>
          <c:idx val="0"/>
          <c:spPr/>
          <c:txPr>
            <a:bodyPr/>
            <a:lstStyle/>
            <a:p>
              <a:pPr>
                <a:defRPr/>
              </a:pPr>
              <a:endParaRPr lang="en-US"/>
            </a:p>
          </c:txPr>
          <c:showLegendKey val="0"/>
          <c:showVal val="0"/>
          <c:showCatName val="1"/>
          <c:showSerName val="0"/>
          <c:showPercent val="1"/>
          <c:showBubbleSize val="0"/>
        </c:dLbl>
      </c:pivotFmt>
      <c:pivotFmt>
        <c:idx val="1"/>
        <c:marker>
          <c:symbol val="none"/>
        </c:marker>
      </c:pivotFmt>
      <c:pivotFmt>
        <c:idx val="2"/>
        <c:dLbl>
          <c:idx val="0"/>
          <c:layout>
            <c:manualLayout>
              <c:x val="0.18586357767874373"/>
              <c:y val="5.0541357106910795E-2"/>
            </c:manualLayout>
          </c:layout>
          <c:showLegendKey val="0"/>
          <c:showVal val="0"/>
          <c:showCatName val="1"/>
          <c:showSerName val="0"/>
          <c:showPercent val="1"/>
          <c:showBubbleSize val="0"/>
        </c:dLbl>
      </c:pivotFmt>
      <c:pivotFmt>
        <c:idx val="3"/>
        <c:marker>
          <c:symbol val="none"/>
        </c:marker>
        <c:dLbl>
          <c:idx val="0"/>
          <c:spPr/>
          <c:txPr>
            <a:bodyPr/>
            <a:lstStyle/>
            <a:p>
              <a:pPr>
                <a:defRPr/>
              </a:pPr>
              <a:endParaRPr lang="en-US"/>
            </a:p>
          </c:txPr>
          <c:showLegendKey val="0"/>
          <c:showVal val="0"/>
          <c:showCatName val="1"/>
          <c:showSerName val="0"/>
          <c:showPercent val="1"/>
          <c:showBubbleSize val="0"/>
        </c:dLbl>
      </c:pivotFmt>
      <c:pivotFmt>
        <c:idx val="4"/>
        <c:dLbl>
          <c:idx val="0"/>
          <c:layout>
            <c:manualLayout>
              <c:x val="0.18586357767874373"/>
              <c:y val="5.0541357106910795E-2"/>
            </c:manualLayout>
          </c:layout>
          <c:showLegendKey val="0"/>
          <c:showVal val="0"/>
          <c:showCatName val="1"/>
          <c:showSerName val="0"/>
          <c:showPercent val="1"/>
          <c:showBubbleSize val="0"/>
        </c:dLbl>
      </c:pivotFmt>
      <c:pivotFmt>
        <c:idx val="5"/>
        <c:marker>
          <c:symbol val="none"/>
        </c:marker>
        <c:dLbl>
          <c:idx val="0"/>
          <c:spPr/>
          <c:txPr>
            <a:bodyPr/>
            <a:lstStyle/>
            <a:p>
              <a:pPr>
                <a:defRPr/>
              </a:pPr>
              <a:endParaRPr lang="en-US"/>
            </a:p>
          </c:txPr>
          <c:showLegendKey val="0"/>
          <c:showVal val="0"/>
          <c:showCatName val="1"/>
          <c:showSerName val="0"/>
          <c:showPercent val="1"/>
          <c:showBubbleSize val="0"/>
        </c:dLbl>
      </c:pivotFmt>
      <c:pivotFmt>
        <c:idx val="6"/>
        <c:dLbl>
          <c:idx val="0"/>
          <c:layout>
            <c:manualLayout>
              <c:x val="0.18586357767874373"/>
              <c:y val="5.0541357106910795E-2"/>
            </c:manualLayout>
          </c:layout>
          <c:showLegendKey val="0"/>
          <c:showVal val="0"/>
          <c:showCatName val="1"/>
          <c:showSerName val="0"/>
          <c:showPercent val="1"/>
          <c:showBubbleSize val="0"/>
        </c:dLbl>
      </c:pivotFmt>
    </c:pivotFmts>
    <c:plotArea>
      <c:layout/>
      <c:pieChart>
        <c:varyColors val="1"/>
        <c:ser>
          <c:idx val="0"/>
          <c:order val="0"/>
          <c:tx>
            <c:strRef>
              <c:f>'Initial enroll - Summary'!$B$3</c:f>
              <c:strCache>
                <c:ptCount val="1"/>
                <c:pt idx="0">
                  <c:v>Total</c:v>
                </c:pt>
              </c:strCache>
            </c:strRef>
          </c:tx>
          <c:dLbls>
            <c:dLbl>
              <c:idx val="0"/>
              <c:layout>
                <c:manualLayout>
                  <c:x val="0.18586357767874373"/>
                  <c:y val="5.0541357106910795E-2"/>
                </c:manualLayout>
              </c:layout>
              <c:showLegendKey val="0"/>
              <c:showVal val="0"/>
              <c:showCatName val="1"/>
              <c:showSerName val="0"/>
              <c:showPercent val="1"/>
              <c:showBubbleSize val="0"/>
            </c:dLbl>
            <c:dLbl>
              <c:idx val="4"/>
              <c:tx>
                <c:rich>
                  <a:bodyPr/>
                  <a:lstStyle/>
                  <a:p>
                    <a:r>
                      <a:rPr lang="en-US"/>
                      <a:t>Project-based Housing
1%</a:t>
                    </a:r>
                  </a:p>
                </c:rich>
              </c:tx>
              <c:showLegendKey val="0"/>
              <c:showVal val="0"/>
              <c:showCatName val="1"/>
              <c:showSerName val="0"/>
              <c:showPercent val="1"/>
              <c:showBubbleSize val="0"/>
            </c:dLbl>
            <c:dLbl>
              <c:idx val="6"/>
              <c:layout>
                <c:manualLayout>
                  <c:x val="0.19514430120161746"/>
                  <c:y val="-3.7928423009623798E-2"/>
                </c:manualLayout>
              </c:layout>
              <c:tx>
                <c:rich>
                  <a:bodyPr/>
                  <a:lstStyle/>
                  <a:p>
                    <a:r>
                      <a:rPr lang="en-US"/>
                      <a:t>EA</a:t>
                    </a:r>
                    <a:r>
                      <a:rPr lang="en-US" baseline="0"/>
                      <a:t> Family Shelters</a:t>
                    </a:r>
                    <a:r>
                      <a:rPr lang="en-US"/>
                      <a:t>
49%</a:t>
                    </a:r>
                  </a:p>
                </c:rich>
              </c:tx>
              <c:showLegendKey val="0"/>
              <c:showVal val="0"/>
              <c:showCatName val="1"/>
              <c:showSerName val="0"/>
              <c:showPercent val="1"/>
              <c:showBubbleSize val="0"/>
            </c:dLbl>
            <c:dLbl>
              <c:idx val="7"/>
              <c:layout>
                <c:manualLayout>
                  <c:x val="-8.2873422129246588E-2"/>
                  <c:y val="2.8133202099737535E-3"/>
                </c:manualLayout>
              </c:layout>
              <c:showLegendKey val="0"/>
              <c:showVal val="0"/>
              <c:showCatName val="1"/>
              <c:showSerName val="0"/>
              <c:showPercent val="1"/>
              <c:showBubbleSize val="0"/>
            </c:dLbl>
            <c:txPr>
              <a:bodyPr/>
              <a:lstStyle/>
              <a:p>
                <a:pPr>
                  <a:defRPr/>
                </a:pPr>
                <a:endParaRPr lang="en-US"/>
              </a:p>
            </c:txPr>
            <c:showLegendKey val="0"/>
            <c:showVal val="0"/>
            <c:showCatName val="1"/>
            <c:showSerName val="0"/>
            <c:showPercent val="1"/>
            <c:showBubbleSize val="0"/>
            <c:showLeaderLines val="1"/>
          </c:dLbls>
          <c:cat>
            <c:strRef>
              <c:f>'Initial enroll - Summary'!$A$4:$A$12</c:f>
              <c:strCache>
                <c:ptCount val="8"/>
                <c:pt idx="0">
                  <c:v>Living with family and/or friends</c:v>
                </c:pt>
                <c:pt idx="1">
                  <c:v>Market Rate Apartment</c:v>
                </c:pt>
                <c:pt idx="2">
                  <c:v>MRVP</c:v>
                </c:pt>
                <c:pt idx="3">
                  <c:v>Other</c:v>
                </c:pt>
                <c:pt idx="4">
                  <c:v>Project Based Housing</c:v>
                </c:pt>
                <c:pt idx="5">
                  <c:v>RAFT</c:v>
                </c:pt>
                <c:pt idx="6">
                  <c:v>Scattered Site</c:v>
                </c:pt>
                <c:pt idx="7">
                  <c:v>Section 8</c:v>
                </c:pt>
              </c:strCache>
            </c:strRef>
          </c:cat>
          <c:val>
            <c:numRef>
              <c:f>'Initial enroll - Summary'!$B$4:$B$12</c:f>
              <c:numCache>
                <c:formatCode>General</c:formatCode>
                <c:ptCount val="8"/>
                <c:pt idx="0">
                  <c:v>8</c:v>
                </c:pt>
                <c:pt idx="1">
                  <c:v>45</c:v>
                </c:pt>
                <c:pt idx="2">
                  <c:v>4</c:v>
                </c:pt>
                <c:pt idx="3">
                  <c:v>66</c:v>
                </c:pt>
                <c:pt idx="4">
                  <c:v>4</c:v>
                </c:pt>
                <c:pt idx="5">
                  <c:v>20</c:v>
                </c:pt>
                <c:pt idx="6">
                  <c:v>146</c:v>
                </c:pt>
                <c:pt idx="7">
                  <c:v>5</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extLst>
    <c:ext xmlns:c14="http://schemas.microsoft.com/office/drawing/2007/8/2/chart" uri="{781A3756-C4B2-4CAC-9D66-4F8BD8637D16}">
      <c14:pivotOptions>
        <c14:dropZoneFilter val="1"/>
        <c14:dropZoneData val="1"/>
        <c14:dropZoneSeries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 Participants With Housing Change</a:t>
            </a:r>
          </a:p>
        </c:rich>
      </c:tx>
      <c:overlay val="0"/>
    </c:title>
    <c:autoTitleDeleted val="0"/>
    <c:plotArea>
      <c:layout/>
      <c:pieChart>
        <c:varyColors val="1"/>
        <c:ser>
          <c:idx val="0"/>
          <c:order val="0"/>
          <c:tx>
            <c:strRef>
              <c:f>'Follow up - summary'!$I$208</c:f>
              <c:strCache>
                <c:ptCount val="1"/>
                <c:pt idx="0">
                  <c:v>Total Participants</c:v>
                </c:pt>
              </c:strCache>
            </c:strRef>
          </c:tx>
          <c:dLbls>
            <c:dLbl>
              <c:idx val="0"/>
              <c:layout>
                <c:manualLayout>
                  <c:x val="4.8561691481215294E-2"/>
                  <c:y val="0.10361277395530606"/>
                </c:manualLayout>
              </c:layout>
              <c:showLegendKey val="0"/>
              <c:showVal val="1"/>
              <c:showCatName val="1"/>
              <c:showSerName val="0"/>
              <c:showPercent val="0"/>
              <c:showBubbleSize val="0"/>
            </c:dLbl>
            <c:dLbl>
              <c:idx val="1"/>
              <c:layout>
                <c:manualLayout>
                  <c:x val="-4.4178430925532974E-2"/>
                  <c:y val="-5.4006309148264986E-2"/>
                </c:manualLayout>
              </c:layout>
              <c:showLegendKey val="0"/>
              <c:showVal val="1"/>
              <c:showCatName val="1"/>
              <c:showSerName val="0"/>
              <c:showPercent val="0"/>
              <c:showBubbleSize val="0"/>
            </c:dLbl>
            <c:dLbl>
              <c:idx val="4"/>
              <c:layout>
                <c:manualLayout>
                  <c:x val="8.1725151839316251E-2"/>
                  <c:y val="2.2849383574687233E-2"/>
                </c:manualLayout>
              </c:layout>
              <c:showLegendKey val="0"/>
              <c:showVal val="1"/>
              <c:showCatName val="1"/>
              <c:showSerName val="0"/>
              <c:showPercent val="0"/>
              <c:showBubbleSize val="0"/>
            </c:dLbl>
            <c:showLegendKey val="0"/>
            <c:showVal val="1"/>
            <c:showCatName val="1"/>
            <c:showSerName val="0"/>
            <c:showPercent val="0"/>
            <c:showBubbleSize val="0"/>
            <c:showLeaderLines val="1"/>
          </c:dLbls>
          <c:cat>
            <c:strRef>
              <c:f>'Follow up - summary'!$H$209:$H$213</c:f>
              <c:strCache>
                <c:ptCount val="5"/>
                <c:pt idx="0">
                  <c:v>New Apartment / House with new subsidy</c:v>
                </c:pt>
                <c:pt idx="1">
                  <c:v>Paying Market Rent</c:v>
                </c:pt>
                <c:pt idx="2">
                  <c:v>Public Housing</c:v>
                </c:pt>
                <c:pt idx="3">
                  <c:v>Staying in a EA Family Shelter</c:v>
                </c:pt>
                <c:pt idx="4">
                  <c:v>Staying with family / friends</c:v>
                </c:pt>
              </c:strCache>
            </c:strRef>
          </c:cat>
          <c:val>
            <c:numRef>
              <c:f>'Follow up - summary'!$I$209:$I$213</c:f>
              <c:numCache>
                <c:formatCode>General</c:formatCode>
                <c:ptCount val="5"/>
                <c:pt idx="0">
                  <c:v>17</c:v>
                </c:pt>
                <c:pt idx="1">
                  <c:v>13</c:v>
                </c:pt>
                <c:pt idx="2">
                  <c:v>3</c:v>
                </c:pt>
                <c:pt idx="3">
                  <c:v>4</c:v>
                </c:pt>
                <c:pt idx="4">
                  <c:v>5</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[FY18 SJ Reporting 4.3.2018.xlsx]Initial enroll - Summary!PivotTable4</c:name>
    <c:fmtId val="-1"/>
  </c:pivotSource>
  <c:chart>
    <c:title>
      <c:tx>
        <c:rich>
          <a:bodyPr/>
          <a:lstStyle/>
          <a:p>
            <a:pPr>
              <a:defRPr/>
            </a:pPr>
            <a:r>
              <a:rPr lang="en-US"/>
              <a:t>Employed At Time of Program Enrollment</a:t>
            </a:r>
          </a:p>
        </c:rich>
      </c:tx>
      <c:overlay val="0"/>
    </c:title>
    <c:autoTitleDeleted val="0"/>
    <c:pivotFmts>
      <c:pivotFmt>
        <c:idx val="0"/>
        <c:marker>
          <c:symbol val="none"/>
        </c:marker>
        <c:dLbl>
          <c:idx val="0"/>
          <c:spPr/>
          <c:txPr>
            <a:bodyPr/>
            <a:lstStyle/>
            <a:p>
              <a:pPr>
                <a:defRPr/>
              </a:pPr>
              <a:endParaRPr lang="en-US"/>
            </a:p>
          </c:txPr>
          <c:showLegendKey val="0"/>
          <c:showVal val="1"/>
          <c:showCatName val="0"/>
          <c:showSerName val="0"/>
          <c:showPercent val="0"/>
          <c:showBubbleSize val="0"/>
        </c:dLbl>
      </c:pivotFmt>
      <c:pivotFmt>
        <c:idx val="1"/>
        <c:marker>
          <c:symbol val="none"/>
        </c:marker>
        <c:dLbl>
          <c:idx val="0"/>
          <c:spPr/>
          <c:txPr>
            <a:bodyPr/>
            <a:lstStyle/>
            <a:p>
              <a:pPr>
                <a:defRPr/>
              </a:pPr>
              <a:endParaRPr lang="en-US"/>
            </a:p>
          </c:txPr>
          <c:showLegendKey val="0"/>
          <c:showVal val="1"/>
          <c:showCatName val="0"/>
          <c:showSerName val="0"/>
          <c:showPercent val="0"/>
          <c:showBubbleSize val="0"/>
        </c:dLbl>
      </c:pivotFmt>
      <c:pivotFmt>
        <c:idx val="2"/>
        <c:marker>
          <c:symbol val="none"/>
        </c:marker>
        <c:dLbl>
          <c:idx val="0"/>
          <c:spPr/>
          <c:txPr>
            <a:bodyPr/>
            <a:lstStyle/>
            <a:p>
              <a:pPr>
                <a:defRPr/>
              </a:pPr>
              <a:endParaRPr lang="en-US"/>
            </a:p>
          </c:txPr>
          <c:showLegendKey val="0"/>
          <c:showVal val="1"/>
          <c:showCatName val="0"/>
          <c:showSerName val="0"/>
          <c:showPercent val="0"/>
          <c:showBubbleSize val="0"/>
        </c:dLbl>
      </c:pivotFmt>
      <c:pivotFmt>
        <c:idx val="3"/>
        <c:marker>
          <c:symbol val="none"/>
        </c:marker>
        <c:dLbl>
          <c:idx val="0"/>
          <c:spPr/>
          <c:txPr>
            <a:bodyPr/>
            <a:lstStyle/>
            <a:p>
              <a:pPr>
                <a:defRPr/>
              </a:pPr>
              <a:endParaRPr lang="en-US"/>
            </a:p>
          </c:txPr>
          <c:showLegendKey val="0"/>
          <c:showVal val="1"/>
          <c:showCatName val="0"/>
          <c:showSerName val="0"/>
          <c:showPercent val="0"/>
          <c:showBubbleSize val="0"/>
        </c:dLbl>
      </c:pivotFmt>
      <c:pivotFmt>
        <c:idx val="4"/>
        <c:marker>
          <c:symbol val="none"/>
        </c:marker>
        <c:dLbl>
          <c:idx val="0"/>
          <c:spPr/>
          <c:txPr>
            <a:bodyPr/>
            <a:lstStyle/>
            <a:p>
              <a:pPr>
                <a:defRPr/>
              </a:pPr>
              <a:endParaRPr lang="en-US"/>
            </a:p>
          </c:txPr>
          <c:showLegendKey val="0"/>
          <c:showVal val="1"/>
          <c:showCatName val="0"/>
          <c:showSerName val="0"/>
          <c:showPercent val="0"/>
          <c:showBubbleSize val="0"/>
        </c:dLbl>
      </c:pivotFmt>
      <c:pivotFmt>
        <c:idx val="5"/>
        <c:marker>
          <c:symbol val="none"/>
        </c:marker>
        <c:dLbl>
          <c:idx val="0"/>
          <c:spPr/>
          <c:txPr>
            <a:bodyPr/>
            <a:lstStyle/>
            <a:p>
              <a:pPr>
                <a:defRPr/>
              </a:pPr>
              <a:endParaRPr lang="en-US"/>
            </a:p>
          </c:txPr>
          <c:showLegendKey val="0"/>
          <c:showVal val="1"/>
          <c:showCatName val="0"/>
          <c:showSerName val="0"/>
          <c:showPercent val="0"/>
          <c:showBubbleSize val="0"/>
        </c:dLbl>
      </c:pivotFmt>
    </c:pivotFmts>
    <c:plotArea>
      <c:layout/>
      <c:barChart>
        <c:barDir val="col"/>
        <c:grouping val="clustered"/>
        <c:varyColors val="0"/>
        <c:ser>
          <c:idx val="0"/>
          <c:order val="0"/>
          <c:tx>
            <c:strRef>
              <c:f>'Initial enroll - Summary'!$B$27:$B$28</c:f>
              <c:strCache>
                <c:ptCount val="1"/>
                <c:pt idx="0">
                  <c:v>Yes</c:v>
                </c:pt>
              </c:strCache>
            </c:strRef>
          </c:tx>
          <c:invertIfNegative val="0"/>
          <c:cat>
            <c:strRef>
              <c:f>'Initial enroll - Summary'!$A$29</c:f>
              <c:strCache>
                <c:ptCount val="1"/>
                <c:pt idx="0">
                  <c:v>Total</c:v>
                </c:pt>
              </c:strCache>
            </c:strRef>
          </c:cat>
          <c:val>
            <c:numRef>
              <c:f>'Initial enroll - Summary'!$B$29</c:f>
              <c:numCache>
                <c:formatCode>General</c:formatCode>
                <c:ptCount val="1"/>
                <c:pt idx="0">
                  <c:v>36</c:v>
                </c:pt>
              </c:numCache>
            </c:numRef>
          </c:val>
        </c:ser>
        <c:ser>
          <c:idx val="1"/>
          <c:order val="1"/>
          <c:tx>
            <c:strRef>
              <c:f>'Initial enroll - Summary'!$C$27:$C$28</c:f>
              <c:strCache>
                <c:ptCount val="1"/>
                <c:pt idx="0">
                  <c:v>No</c:v>
                </c:pt>
              </c:strCache>
            </c:strRef>
          </c:tx>
          <c:invertIfNegative val="0"/>
          <c:cat>
            <c:strRef>
              <c:f>'Initial enroll - Summary'!$A$29</c:f>
              <c:strCache>
                <c:ptCount val="1"/>
                <c:pt idx="0">
                  <c:v>Total</c:v>
                </c:pt>
              </c:strCache>
            </c:strRef>
          </c:cat>
          <c:val>
            <c:numRef>
              <c:f>'Initial enroll - Summary'!$C$29</c:f>
              <c:numCache>
                <c:formatCode>General</c:formatCode>
                <c:ptCount val="1"/>
                <c:pt idx="0">
                  <c:v>262</c:v>
                </c:pt>
              </c:numCache>
            </c:numRef>
          </c:val>
        </c:ser>
        <c:dLbls>
          <c:showLegendKey val="0"/>
          <c:showVal val="1"/>
          <c:showCatName val="0"/>
          <c:showSerName val="0"/>
          <c:showPercent val="0"/>
          <c:showBubbleSize val="0"/>
        </c:dLbls>
        <c:gapWidth val="150"/>
        <c:overlap val="-25"/>
        <c:axId val="31890048"/>
        <c:axId val="31891840"/>
      </c:barChart>
      <c:catAx>
        <c:axId val="31890048"/>
        <c:scaling>
          <c:orientation val="minMax"/>
        </c:scaling>
        <c:delete val="0"/>
        <c:axPos val="b"/>
        <c:majorTickMark val="none"/>
        <c:minorTickMark val="none"/>
        <c:tickLblPos val="nextTo"/>
        <c:crossAx val="31891840"/>
        <c:crosses val="autoZero"/>
        <c:auto val="1"/>
        <c:lblAlgn val="ctr"/>
        <c:lblOffset val="100"/>
        <c:noMultiLvlLbl val="0"/>
      </c:catAx>
      <c:valAx>
        <c:axId val="31891840"/>
        <c:scaling>
          <c:orientation val="minMax"/>
        </c:scaling>
        <c:delete val="1"/>
        <c:axPos val="l"/>
        <c:numFmt formatCode="General" sourceLinked="1"/>
        <c:majorTickMark val="out"/>
        <c:minorTickMark val="none"/>
        <c:tickLblPos val="nextTo"/>
        <c:crossAx val="31890048"/>
        <c:crosses val="autoZero"/>
        <c:crossBetween val="between"/>
      </c:valAx>
    </c:plotArea>
    <c:legend>
      <c:legendPos val="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[FY18 SJ Reporting 4.3.2018.xlsx]Initial enroll - Summary!PivotTable5</c:name>
    <c:fmtId val="-1"/>
  </c:pivotSource>
  <c:chart>
    <c:title>
      <c:tx>
        <c:rich>
          <a:bodyPr/>
          <a:lstStyle/>
          <a:p>
            <a:pPr>
              <a:defRPr/>
            </a:pPr>
            <a:r>
              <a:rPr lang="en-US"/>
              <a:t>Participants with Employment History</a:t>
            </a:r>
          </a:p>
        </c:rich>
      </c:tx>
      <c:overlay val="0"/>
    </c:title>
    <c:autoTitleDeleted val="0"/>
    <c:pivotFmts>
      <c:pivotFmt>
        <c:idx val="0"/>
        <c:marker>
          <c:symbol val="none"/>
        </c:marker>
      </c:pivotFmt>
      <c:pivotFmt>
        <c:idx val="1"/>
        <c:marker>
          <c:symbol val="none"/>
        </c:marker>
        <c:dLbl>
          <c:idx val="0"/>
          <c:spPr/>
          <c:txPr>
            <a:bodyPr/>
            <a:lstStyle/>
            <a:p>
              <a:pPr>
                <a:defRPr/>
              </a:pPr>
              <a:endParaRPr lang="en-US"/>
            </a:p>
          </c:txPr>
          <c:showLegendKey val="0"/>
          <c:showVal val="1"/>
          <c:showCatName val="0"/>
          <c:showSerName val="0"/>
          <c:showPercent val="0"/>
          <c:showBubbleSize val="0"/>
        </c:dLbl>
      </c:pivotFmt>
      <c:pivotFmt>
        <c:idx val="2"/>
        <c:marker>
          <c:symbol val="none"/>
        </c:marker>
        <c:dLbl>
          <c:idx val="0"/>
          <c:spPr/>
          <c:txPr>
            <a:bodyPr/>
            <a:lstStyle/>
            <a:p>
              <a:pPr>
                <a:defRPr/>
              </a:pPr>
              <a:endParaRPr lang="en-US"/>
            </a:p>
          </c:txPr>
          <c:showLegendKey val="0"/>
          <c:showVal val="1"/>
          <c:showCatName val="0"/>
          <c:showSerName val="0"/>
          <c:showPercent val="0"/>
          <c:showBubbleSize val="0"/>
        </c:dLbl>
      </c:pivotFmt>
      <c:pivotFmt>
        <c:idx val="3"/>
        <c:marker>
          <c:symbol val="none"/>
        </c:marker>
        <c:dLbl>
          <c:idx val="0"/>
          <c:spPr/>
          <c:txPr>
            <a:bodyPr/>
            <a:lstStyle/>
            <a:p>
              <a:pPr>
                <a:defRPr/>
              </a:pPr>
              <a:endParaRPr lang="en-US"/>
            </a:p>
          </c:txPr>
          <c:showLegendKey val="0"/>
          <c:showVal val="1"/>
          <c:showCatName val="0"/>
          <c:showSerName val="0"/>
          <c:showPercent val="0"/>
          <c:showBubbleSize val="0"/>
        </c:dLbl>
      </c:pivotFmt>
      <c:pivotFmt>
        <c:idx val="4"/>
        <c:marker>
          <c:symbol val="none"/>
        </c:marker>
        <c:dLbl>
          <c:idx val="0"/>
          <c:spPr/>
          <c:txPr>
            <a:bodyPr/>
            <a:lstStyle/>
            <a:p>
              <a:pPr>
                <a:defRPr/>
              </a:pPr>
              <a:endParaRPr lang="en-US"/>
            </a:p>
          </c:txPr>
          <c:showLegendKey val="0"/>
          <c:showVal val="1"/>
          <c:showCatName val="0"/>
          <c:showSerName val="0"/>
          <c:showPercent val="0"/>
          <c:showBubbleSize val="0"/>
        </c:dLbl>
      </c:pivotFmt>
      <c:pivotFmt>
        <c:idx val="5"/>
        <c:marker>
          <c:symbol val="none"/>
        </c:marker>
        <c:dLbl>
          <c:idx val="0"/>
          <c:spPr/>
          <c:txPr>
            <a:bodyPr/>
            <a:lstStyle/>
            <a:p>
              <a:pPr>
                <a:defRPr/>
              </a:pPr>
              <a:endParaRPr lang="en-US"/>
            </a:p>
          </c:txPr>
          <c:showLegendKey val="0"/>
          <c:showVal val="1"/>
          <c:showCatName val="0"/>
          <c:showSerName val="0"/>
          <c:showPercent val="0"/>
          <c:showBubbleSize val="0"/>
        </c:dLbl>
      </c:pivotFmt>
      <c:pivotFmt>
        <c:idx val="6"/>
        <c:marker>
          <c:symbol val="none"/>
        </c:marker>
        <c:dLbl>
          <c:idx val="0"/>
          <c:spPr/>
          <c:txPr>
            <a:bodyPr/>
            <a:lstStyle/>
            <a:p>
              <a:pPr>
                <a:defRPr/>
              </a:pPr>
              <a:endParaRPr lang="en-US"/>
            </a:p>
          </c:txPr>
          <c:showLegendKey val="0"/>
          <c:showVal val="1"/>
          <c:showCatName val="0"/>
          <c:showSerName val="0"/>
          <c:showPercent val="0"/>
          <c:showBubbleSize val="0"/>
        </c:dLbl>
      </c:pivotFmt>
    </c:pivotFmts>
    <c:plotArea>
      <c:layout/>
      <c:barChart>
        <c:barDir val="col"/>
        <c:grouping val="clustered"/>
        <c:varyColors val="0"/>
        <c:ser>
          <c:idx val="0"/>
          <c:order val="0"/>
          <c:tx>
            <c:strRef>
              <c:f>'Initial enroll - Summary'!$H$27:$H$28</c:f>
              <c:strCache>
                <c:ptCount val="1"/>
                <c:pt idx="0">
                  <c:v>Yes</c:v>
                </c:pt>
              </c:strCache>
            </c:strRef>
          </c:tx>
          <c:invertIfNegative val="0"/>
          <c:cat>
            <c:strRef>
              <c:f>'Initial enroll - Summary'!$G$29</c:f>
              <c:strCache>
                <c:ptCount val="1"/>
                <c:pt idx="0">
                  <c:v>Total</c:v>
                </c:pt>
              </c:strCache>
            </c:strRef>
          </c:cat>
          <c:val>
            <c:numRef>
              <c:f>'Initial enroll - Summary'!$H$29</c:f>
              <c:numCache>
                <c:formatCode>General</c:formatCode>
                <c:ptCount val="1"/>
                <c:pt idx="0">
                  <c:v>194</c:v>
                </c:pt>
              </c:numCache>
            </c:numRef>
          </c:val>
        </c:ser>
        <c:ser>
          <c:idx val="1"/>
          <c:order val="1"/>
          <c:tx>
            <c:strRef>
              <c:f>'Initial enroll - Summary'!$I$27:$I$28</c:f>
              <c:strCache>
                <c:ptCount val="1"/>
                <c:pt idx="0">
                  <c:v>No</c:v>
                </c:pt>
              </c:strCache>
            </c:strRef>
          </c:tx>
          <c:invertIfNegative val="0"/>
          <c:cat>
            <c:strRef>
              <c:f>'Initial enroll - Summary'!$G$29</c:f>
              <c:strCache>
                <c:ptCount val="1"/>
                <c:pt idx="0">
                  <c:v>Total</c:v>
                </c:pt>
              </c:strCache>
            </c:strRef>
          </c:cat>
          <c:val>
            <c:numRef>
              <c:f>'Initial enroll - Summary'!$I$29</c:f>
              <c:numCache>
                <c:formatCode>General</c:formatCode>
                <c:ptCount val="1"/>
                <c:pt idx="0">
                  <c:v>104</c:v>
                </c:pt>
              </c:numCache>
            </c:numRef>
          </c:val>
        </c:ser>
        <c:dLbls>
          <c:showLegendKey val="0"/>
          <c:showVal val="1"/>
          <c:showCatName val="0"/>
          <c:showSerName val="0"/>
          <c:showPercent val="0"/>
          <c:showBubbleSize val="0"/>
        </c:dLbls>
        <c:gapWidth val="150"/>
        <c:overlap val="-25"/>
        <c:axId val="77386496"/>
        <c:axId val="77388032"/>
      </c:barChart>
      <c:catAx>
        <c:axId val="77386496"/>
        <c:scaling>
          <c:orientation val="minMax"/>
        </c:scaling>
        <c:delete val="0"/>
        <c:axPos val="b"/>
        <c:majorTickMark val="none"/>
        <c:minorTickMark val="none"/>
        <c:tickLblPos val="nextTo"/>
        <c:crossAx val="77388032"/>
        <c:crosses val="autoZero"/>
        <c:auto val="1"/>
        <c:lblAlgn val="ctr"/>
        <c:lblOffset val="100"/>
        <c:noMultiLvlLbl val="0"/>
      </c:catAx>
      <c:valAx>
        <c:axId val="77388032"/>
        <c:scaling>
          <c:orientation val="minMax"/>
        </c:scaling>
        <c:delete val="1"/>
        <c:axPos val="l"/>
        <c:numFmt formatCode="General" sourceLinked="1"/>
        <c:majorTickMark val="none"/>
        <c:minorTickMark val="none"/>
        <c:tickLblPos val="nextTo"/>
        <c:crossAx val="77386496"/>
        <c:crosses val="autoZero"/>
        <c:crossBetween val="between"/>
      </c:valAx>
    </c:plotArea>
    <c:legend>
      <c:legendPos val="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7E6DE-24AB-4D38-9B56-D1A7E4310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Reidbord, Sharon (DTA)</dc:creator>
  <cp:lastModifiedBy>Christopher Power</cp:lastModifiedBy>
  <cp:revision>2</cp:revision>
  <cp:lastPrinted>2018-04-27T19:28:00Z</cp:lastPrinted>
  <dcterms:created xsi:type="dcterms:W3CDTF">2018-05-14T15:33:00Z</dcterms:created>
  <dcterms:modified xsi:type="dcterms:W3CDTF">2018-05-14T15:33:00Z</dcterms:modified>
</cp:coreProperties>
</file>