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33B8" w14:textId="77777777" w:rsidR="000C0831" w:rsidRDefault="00632F1A" w:rsidP="00574D5E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3A5BF7A6" wp14:editId="7538810E">
            <wp:extent cx="5829300" cy="12206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r__Head with Col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2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D183F" w14:textId="77777777" w:rsidR="002A331D" w:rsidRDefault="00EC2D22" w:rsidP="004D2B3A">
      <w:pPr>
        <w:widowControl w:val="0"/>
        <w:rPr>
          <w:sz w:val="20"/>
          <w:szCs w:val="20"/>
          <w14:ligatures w14:val="none"/>
        </w:rPr>
      </w:pPr>
      <w:r>
        <w:rPr>
          <w:rStyle w:val="Ver2head1Char"/>
          <w:sz w:val="24"/>
        </w:rPr>
        <w:br/>
      </w:r>
      <w:r w:rsidR="009C6E40" w:rsidRPr="0001617F">
        <w:rPr>
          <w:rStyle w:val="Ver2head1Char"/>
          <w:sz w:val="24"/>
        </w:rPr>
        <w:t>Completing the Cause of Death (COD) Section</w:t>
      </w:r>
      <w:r w:rsidR="009C6E40">
        <w:rPr>
          <w:b/>
          <w:bCs/>
          <w:color w:val="0070C0"/>
          <w:sz w:val="22"/>
          <w:szCs w:val="24"/>
          <w14:ligatures w14:val="none"/>
        </w:rPr>
        <w:t xml:space="preserve"> </w:t>
      </w:r>
      <w:r w:rsidR="009C6E40">
        <w:rPr>
          <w:szCs w:val="20"/>
          <w14:ligatures w14:val="none"/>
        </w:rPr>
        <w:br/>
      </w:r>
      <w:r w:rsidR="00A623E4" w:rsidRPr="009E7A34">
        <w:rPr>
          <w14:ligatures w14:val="none"/>
        </w:rPr>
        <w:t xml:space="preserve">The </w:t>
      </w:r>
      <w:r w:rsidR="00A623E4">
        <w:rPr>
          <w14:ligatures w14:val="none"/>
        </w:rPr>
        <w:t>c</w:t>
      </w:r>
      <w:r w:rsidR="00A623E4" w:rsidRPr="004F1140">
        <w:rPr>
          <w14:ligatures w14:val="none"/>
        </w:rPr>
        <w:t xml:space="preserve">ause of </w:t>
      </w:r>
      <w:r w:rsidR="00A623E4">
        <w:rPr>
          <w14:ligatures w14:val="none"/>
        </w:rPr>
        <w:t>d</w:t>
      </w:r>
      <w:r w:rsidR="00A623E4" w:rsidRPr="004F1140">
        <w:rPr>
          <w14:ligatures w14:val="none"/>
        </w:rPr>
        <w:t>eath</w:t>
      </w:r>
      <w:r w:rsidR="00A623E4" w:rsidRPr="009E7A34">
        <w:rPr>
          <w14:ligatures w14:val="none"/>
        </w:rPr>
        <w:t xml:space="preserve"> section on a death certificate should tell a story about how a person died</w:t>
      </w:r>
      <w:bookmarkStart w:id="1" w:name="_Hlk181604"/>
      <w:r w:rsidR="00A623E4">
        <w:rPr>
          <w14:ligatures w14:val="none"/>
        </w:rPr>
        <w:t>. Review the person’s medical history to identify the diseases or conditions that contributed to death and report them in the correct sequence of events</w:t>
      </w:r>
      <w:r w:rsidR="00102993">
        <w:rPr>
          <w14:ligatures w14:val="none"/>
        </w:rPr>
        <w:t xml:space="preserve"> using your </w:t>
      </w:r>
      <w:r w:rsidR="00CC48DD">
        <w:rPr>
          <w:rFonts w:eastAsiaTheme="minorHAnsi"/>
          <w:bCs/>
          <w:i/>
          <w:color w:val="auto"/>
          <w:kern w:val="0"/>
          <w14:ligatures w14:val="none"/>
          <w14:cntxtAlts w14:val="0"/>
        </w:rPr>
        <w:t>best m</w:t>
      </w:r>
      <w:r w:rsidR="00102993" w:rsidRPr="00CC48DD">
        <w:rPr>
          <w:rFonts w:eastAsiaTheme="minorHAnsi"/>
          <w:bCs/>
          <w:i/>
          <w:color w:val="auto"/>
          <w:kern w:val="0"/>
          <w14:ligatures w14:val="none"/>
          <w14:cntxtAlts w14:val="0"/>
        </w:rPr>
        <w:t>edical judgement.</w:t>
      </w:r>
      <w:bookmarkEnd w:id="1"/>
      <w:r w:rsidR="00102993">
        <w:rPr>
          <w:bCs/>
          <w14:ligatures w14:val="none"/>
        </w:rPr>
        <w:t xml:space="preserve">  </w:t>
      </w:r>
      <w:r w:rsidR="00F20987" w:rsidRPr="005C647D">
        <w:rPr>
          <w:rFonts w:eastAsiaTheme="minorHAnsi"/>
          <w:b/>
          <w:bCs/>
          <w:color w:val="auto"/>
          <w:kern w:val="0"/>
          <w14:ligatures w14:val="none"/>
          <w14:cntxtAlts w14:val="0"/>
        </w:rPr>
        <w:t>Part I</w:t>
      </w:r>
      <w:r w:rsidR="00F20987">
        <w:rPr>
          <w14:ligatures w14:val="none"/>
        </w:rPr>
        <w:t xml:space="preserve"> contains the events leading to death and the time interval.  </w:t>
      </w:r>
      <w:r w:rsidR="00F20987" w:rsidRPr="005C647D">
        <w:rPr>
          <w:rFonts w:eastAsiaTheme="minorHAnsi"/>
          <w:b/>
          <w:bCs/>
          <w:color w:val="auto"/>
          <w:kern w:val="0"/>
          <w14:ligatures w14:val="none"/>
          <w14:cntxtAlts w14:val="0"/>
        </w:rPr>
        <w:t xml:space="preserve">Part II </w:t>
      </w:r>
      <w:r w:rsidR="00F20987">
        <w:rPr>
          <w14:ligatures w14:val="none"/>
        </w:rPr>
        <w:t>contains other significant conditions</w:t>
      </w:r>
      <w:r w:rsidR="00B61BB1">
        <w:rPr>
          <w14:ligatures w14:val="none"/>
        </w:rPr>
        <w:t xml:space="preserve"> that contributed to but did not cause</w:t>
      </w:r>
      <w:r w:rsidR="005B6DF4">
        <w:rPr>
          <w14:ligatures w14:val="none"/>
        </w:rPr>
        <w:t xml:space="preserve"> the</w:t>
      </w:r>
      <w:r w:rsidR="00B61BB1">
        <w:rPr>
          <w14:ligatures w14:val="none"/>
        </w:rPr>
        <w:t xml:space="preserve"> death.  </w:t>
      </w:r>
    </w:p>
    <w:p w14:paraId="30981336" w14:textId="5587424D" w:rsidR="00350241" w:rsidRPr="00EE6435" w:rsidRDefault="007929D8" w:rsidP="002A63BA">
      <w:pPr>
        <w:widowControl w:val="0"/>
        <w:jc w:val="center"/>
        <w:rPr>
          <w:i/>
          <w:iCs/>
          <w:color w:val="404040" w:themeColor="text1" w:themeTint="BF"/>
          <w:sz w:val="16"/>
          <w:szCs w:val="16"/>
        </w:rPr>
      </w:pPr>
      <w:r>
        <w:rPr>
          <w:b/>
          <w:i/>
          <w:iCs/>
          <w:noProof/>
          <w:color w:val="404040" w:themeColor="text1" w:themeTint="BF"/>
          <w:sz w:val="16"/>
          <w:szCs w:val="16"/>
          <w14:ligatures w14:val="none"/>
          <w14:cntxtAlts w14:val="0"/>
        </w:rPr>
        <w:drawing>
          <wp:inline distT="0" distB="0" distL="0" distR="0" wp14:anchorId="41076D2C" wp14:editId="76F4C035">
            <wp:extent cx="5800340" cy="1313815"/>
            <wp:effectExtent l="19050" t="19050" r="1016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Matched __3__14_-19__V5 A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482" cy="131565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243DD">
        <w:rPr>
          <w:rStyle w:val="SubtleEmphasis"/>
          <w:b/>
          <w:sz w:val="16"/>
          <w:szCs w:val="16"/>
        </w:rPr>
        <w:t xml:space="preserve"> </w:t>
      </w:r>
      <w:r w:rsidR="00B61BB1" w:rsidRPr="00EE6435">
        <w:rPr>
          <w:rStyle w:val="SubtleEmphasis"/>
          <w:b/>
          <w:sz w:val="16"/>
          <w:szCs w:val="16"/>
        </w:rPr>
        <w:t>Sample Cause of Death Section</w:t>
      </w:r>
    </w:p>
    <w:tbl>
      <w:tblPr>
        <w:tblStyle w:val="TableGrid"/>
        <w:tblW w:w="9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7969"/>
      </w:tblGrid>
      <w:tr w:rsidR="00C013F4" w:rsidRPr="00F911CC" w14:paraId="4C0073BA" w14:textId="77777777" w:rsidTr="00040D33">
        <w:trPr>
          <w:trHeight w:val="2762"/>
          <w:jc w:val="center"/>
        </w:trPr>
        <w:tc>
          <w:tcPr>
            <w:tcW w:w="1272" w:type="dxa"/>
            <w:shd w:val="clear" w:color="auto" w:fill="FFFF00"/>
          </w:tcPr>
          <w:p w14:paraId="5525CECA" w14:textId="77777777" w:rsidR="00C013F4" w:rsidRDefault="00C013F4" w:rsidP="0016019E">
            <w:pPr>
              <w:spacing w:line="276" w:lineRule="auto"/>
              <w:rPr>
                <w:b/>
                <w:color w:val="auto"/>
                <w:sz w:val="20"/>
                <w:szCs w:val="20"/>
                <w14:ligatures w14:val="none"/>
              </w:rPr>
            </w:pPr>
            <w:r w:rsidRPr="00DA4614">
              <w:rPr>
                <w:b/>
                <w:color w:val="auto"/>
                <w:sz w:val="22"/>
                <w:szCs w:val="20"/>
                <w:u w:val="single"/>
                <w14:ligatures w14:val="none"/>
              </w:rPr>
              <w:t>Part I</w:t>
            </w:r>
            <w:r>
              <w:rPr>
                <w:b/>
                <w:color w:val="auto"/>
                <w:sz w:val="20"/>
                <w:szCs w:val="20"/>
                <w14:ligatures w14:val="none"/>
              </w:rPr>
              <w:br/>
              <w:t xml:space="preserve">Chain of Events </w:t>
            </w:r>
          </w:p>
          <w:p w14:paraId="267B02DC" w14:textId="77777777" w:rsidR="00C013F4" w:rsidRDefault="00C013F4" w:rsidP="0016019E">
            <w:pPr>
              <w:spacing w:line="276" w:lineRule="auto"/>
              <w:rPr>
                <w:b/>
                <w:color w:val="auto"/>
                <w:sz w:val="20"/>
                <w:szCs w:val="20"/>
                <w14:ligatures w14:val="none"/>
              </w:rPr>
            </w:pPr>
          </w:p>
        </w:tc>
        <w:tc>
          <w:tcPr>
            <w:tcW w:w="7972" w:type="dxa"/>
            <w:vMerge w:val="restart"/>
            <w:shd w:val="clear" w:color="auto" w:fill="FFFFFF" w:themeFill="background1"/>
          </w:tcPr>
          <w:p w14:paraId="582985D7" w14:textId="77777777" w:rsidR="00C013F4" w:rsidRPr="00837175" w:rsidRDefault="00C013F4" w:rsidP="00EC2D22">
            <w:pPr>
              <w:widowControl w:val="0"/>
              <w:rPr>
                <w:color w:val="000000"/>
                <w14:ligatures w14:val="none"/>
              </w:rPr>
            </w:pPr>
            <w:r w:rsidRPr="0087537C">
              <w:rPr>
                <w:b/>
                <w:color w:val="000000"/>
                <w14:ligatures w14:val="none"/>
              </w:rPr>
              <w:t>Immediate Cause of Death</w:t>
            </w:r>
            <w:r>
              <w:rPr>
                <w:color w:val="000000"/>
                <w14:ligatures w14:val="none"/>
              </w:rPr>
              <w:t>:</w:t>
            </w:r>
            <w:r w:rsidRPr="0087537C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r w:rsidRPr="0087537C">
              <w:rPr>
                <w:color w:val="000000"/>
                <w14:ligatures w14:val="none"/>
              </w:rPr>
              <w:t xml:space="preserve">Report the most recent disease, condition, or injury that occurred right </w:t>
            </w:r>
            <w:r w:rsidR="00F13CB2">
              <w:rPr>
                <w:color w:val="000000"/>
                <w14:ligatures w14:val="none"/>
              </w:rPr>
              <w:t>before the person</w:t>
            </w:r>
            <w:r w:rsidRPr="0087537C">
              <w:rPr>
                <w:color w:val="000000"/>
                <w14:ligatures w14:val="none"/>
              </w:rPr>
              <w:t xml:space="preserve"> died that directly resulted in death.</w:t>
            </w:r>
            <w:r>
              <w:rPr>
                <w:color w:val="000000"/>
                <w14:ligatures w14:val="none"/>
              </w:rPr>
              <w:t xml:space="preserve"> In cases where a single disease or condition is responsible for the death, report it on line </w:t>
            </w:r>
            <w:r w:rsidR="0010230D">
              <w:rPr>
                <w:color w:val="000000"/>
                <w14:ligatures w14:val="none"/>
              </w:rPr>
              <w:t>“</w:t>
            </w:r>
            <w:r>
              <w:rPr>
                <w:color w:val="000000"/>
                <w14:ligatures w14:val="none"/>
              </w:rPr>
              <w:t>a</w:t>
            </w:r>
            <w:r w:rsidR="0010230D">
              <w:rPr>
                <w:color w:val="000000"/>
                <w14:ligatures w14:val="none"/>
              </w:rPr>
              <w:t>”</w:t>
            </w:r>
            <w:r>
              <w:rPr>
                <w:color w:val="000000"/>
                <w14:ligatures w14:val="none"/>
              </w:rPr>
              <w:t xml:space="preserve"> as the sole cause of death.</w:t>
            </w:r>
            <w:r>
              <w:rPr>
                <w:color w:val="000000"/>
                <w14:ligatures w14:val="none"/>
              </w:rPr>
              <w:br/>
            </w:r>
            <w:r>
              <w:rPr>
                <w:color w:val="000000"/>
                <w14:ligatures w14:val="none"/>
              </w:rPr>
              <w:br/>
            </w:r>
            <w:r w:rsidRPr="0087537C">
              <w:rPr>
                <w:b/>
                <w:color w:val="000000"/>
                <w14:ligatures w14:val="none"/>
              </w:rPr>
              <w:t>Intermediate Cause of Death</w:t>
            </w:r>
            <w:r w:rsidRPr="00E57993">
              <w:rPr>
                <w:color w:val="000000"/>
                <w14:ligatures w14:val="none"/>
              </w:rPr>
              <w:t xml:space="preserve">: </w:t>
            </w:r>
            <w:r w:rsidRPr="0087537C">
              <w:rPr>
                <w:color w:val="000000"/>
                <w14:ligatures w14:val="none"/>
              </w:rPr>
              <w:t>After reporting the immediate cause of death, ask “What was the imm</w:t>
            </w:r>
            <w:r w:rsidR="000870FE">
              <w:rPr>
                <w:color w:val="000000"/>
                <w14:ligatures w14:val="none"/>
              </w:rPr>
              <w:t>ediate cause due to?” If other</w:t>
            </w:r>
            <w:r w:rsidRPr="0087537C">
              <w:rPr>
                <w:color w:val="000000"/>
                <w14:ligatures w14:val="none"/>
              </w:rPr>
              <w:t xml:space="preserve"> disease</w:t>
            </w:r>
            <w:r w:rsidR="000870FE">
              <w:rPr>
                <w:color w:val="000000"/>
                <w14:ligatures w14:val="none"/>
              </w:rPr>
              <w:t>s</w:t>
            </w:r>
            <w:r w:rsidRPr="0087537C">
              <w:rPr>
                <w:color w:val="000000"/>
                <w14:ligatures w14:val="none"/>
              </w:rPr>
              <w:t xml:space="preserve"> or condition</w:t>
            </w:r>
            <w:r w:rsidR="000870FE">
              <w:rPr>
                <w:color w:val="000000"/>
                <w14:ligatures w14:val="none"/>
              </w:rPr>
              <w:t>s</w:t>
            </w:r>
            <w:r w:rsidRPr="0087537C">
              <w:rPr>
                <w:color w:val="000000"/>
                <w14:ligatures w14:val="none"/>
              </w:rPr>
              <w:t xml:space="preserve"> preceded the immediate cause of death, report </w:t>
            </w:r>
            <w:r w:rsidR="00CD5812">
              <w:rPr>
                <w:color w:val="000000"/>
                <w14:ligatures w14:val="none"/>
              </w:rPr>
              <w:t>these antecedent causes</w:t>
            </w:r>
            <w:r w:rsidR="000870FE">
              <w:rPr>
                <w:color w:val="000000"/>
                <w14:ligatures w14:val="none"/>
              </w:rPr>
              <w:t xml:space="preserve"> on the lines</w:t>
            </w:r>
            <w:r w:rsidRPr="0087537C">
              <w:rPr>
                <w:color w:val="000000"/>
                <w14:ligatures w14:val="none"/>
              </w:rPr>
              <w:t xml:space="preserve"> below the immediate cause of death.</w:t>
            </w:r>
            <w:r w:rsidR="00CD5812">
              <w:rPr>
                <w:color w:val="000000"/>
                <w14:ligatures w14:val="none"/>
              </w:rPr>
              <w:t xml:space="preserve"> </w:t>
            </w:r>
            <w:r>
              <w:rPr>
                <w:color w:val="000000"/>
                <w14:ligatures w14:val="none"/>
              </w:rPr>
              <w:br/>
            </w:r>
            <w:r>
              <w:rPr>
                <w:color w:val="000000"/>
                <w14:ligatures w14:val="none"/>
              </w:rPr>
              <w:br/>
            </w:r>
            <w:r w:rsidRPr="0087537C">
              <w:rPr>
                <w:b/>
                <w:color w:val="000000"/>
                <w14:ligatures w14:val="none"/>
              </w:rPr>
              <w:t>Underlying Cause of Death</w:t>
            </w:r>
            <w:r w:rsidRPr="0087537C">
              <w:rPr>
                <w:color w:val="000000"/>
                <w14:ligatures w14:val="none"/>
              </w:rPr>
              <w:t xml:space="preserve">: </w:t>
            </w:r>
            <w:r w:rsidR="00206350" w:rsidRPr="00535CA8">
              <w:rPr>
                <w:color w:val="000000"/>
                <w14:ligatures w14:val="none"/>
              </w:rPr>
              <w:t>Report the disease or injury that started the chain of events leading to death</w:t>
            </w:r>
            <w:r w:rsidR="0007639B" w:rsidRPr="002057A6">
              <w:rPr>
                <w:color w:val="000000"/>
                <w14:ligatures w14:val="none"/>
              </w:rPr>
              <w:t xml:space="preserve">. </w:t>
            </w:r>
            <w:r w:rsidR="00206350" w:rsidRPr="002057A6">
              <w:rPr>
                <w:color w:val="000000"/>
                <w14:ligatures w14:val="none"/>
              </w:rPr>
              <w:t>The underlying cause of death</w:t>
            </w:r>
            <w:r w:rsidR="00837175" w:rsidRPr="002057A6">
              <w:rPr>
                <w:color w:val="000000"/>
                <w14:ligatures w14:val="none"/>
              </w:rPr>
              <w:t xml:space="preserve"> is reported on the last </w:t>
            </w:r>
            <w:r w:rsidR="004D014D">
              <w:rPr>
                <w:color w:val="000000"/>
                <w14:ligatures w14:val="none"/>
              </w:rPr>
              <w:t>completed</w:t>
            </w:r>
            <w:r w:rsidR="00837175" w:rsidRPr="002057A6">
              <w:rPr>
                <w:color w:val="000000"/>
                <w14:ligatures w14:val="none"/>
              </w:rPr>
              <w:t xml:space="preserve"> line in Part I.</w:t>
            </w:r>
            <w:r w:rsidR="00837175">
              <w:rPr>
                <w:color w:val="000000"/>
                <w14:ligatures w14:val="none"/>
              </w:rPr>
              <w:t xml:space="preserve"> </w:t>
            </w:r>
            <w:r w:rsidR="00F13CB2">
              <w:rPr>
                <w:color w:val="000000"/>
                <w14:ligatures w14:val="none"/>
              </w:rPr>
              <w:t xml:space="preserve"> </w:t>
            </w:r>
            <w:r w:rsidR="00F13CB2">
              <w:rPr>
                <w:color w:val="000000"/>
                <w14:ligatures w14:val="none"/>
              </w:rPr>
              <w:br/>
            </w:r>
            <w:r w:rsidR="00837175">
              <w:rPr>
                <w:color w:val="000000"/>
                <w14:ligatures w14:val="none"/>
              </w:rPr>
              <w:br/>
            </w:r>
            <w:r w:rsidRPr="00DF4DAF">
              <w:rPr>
                <w:color w:val="000000"/>
                <w14:ligatures w14:val="none"/>
              </w:rPr>
              <w:t>Report the approximate time interval between onset and death for each disease, injury, or oth</w:t>
            </w:r>
            <w:r w:rsidR="00325A23">
              <w:rPr>
                <w:color w:val="000000"/>
                <w14:ligatures w14:val="none"/>
              </w:rPr>
              <w:t xml:space="preserve">er condition reported above. </w:t>
            </w:r>
            <w:r w:rsidRPr="00DF4DAF">
              <w:rPr>
                <w:color w:val="000000"/>
                <w14:ligatures w14:val="none"/>
              </w:rPr>
              <w:t xml:space="preserve"> </w:t>
            </w:r>
            <w:r w:rsidR="008E369B">
              <w:rPr>
                <w:color w:val="000000"/>
                <w14:ligatures w14:val="none"/>
              </w:rPr>
              <w:t>Report t</w:t>
            </w:r>
            <w:r w:rsidRPr="00DF4DAF">
              <w:rPr>
                <w:color w:val="000000"/>
                <w14:ligatures w14:val="none"/>
              </w:rPr>
              <w:t xml:space="preserve">he shortest interval on line </w:t>
            </w:r>
            <w:r w:rsidR="0010230D">
              <w:rPr>
                <w:color w:val="000000"/>
                <w14:ligatures w14:val="none"/>
              </w:rPr>
              <w:t>“</w:t>
            </w:r>
            <w:r w:rsidRPr="00DF4DAF">
              <w:rPr>
                <w:color w:val="000000"/>
                <w14:ligatures w14:val="none"/>
              </w:rPr>
              <w:t>a</w:t>
            </w:r>
            <w:r w:rsidR="0010230D">
              <w:rPr>
                <w:color w:val="000000"/>
                <w14:ligatures w14:val="none"/>
              </w:rPr>
              <w:t>”</w:t>
            </w:r>
            <w:r w:rsidR="00ED00FE">
              <w:rPr>
                <w:color w:val="000000"/>
                <w14:ligatures w14:val="none"/>
              </w:rPr>
              <w:t>.</w:t>
            </w:r>
            <w:r w:rsidRPr="00DF4DAF">
              <w:rPr>
                <w:color w:val="000000"/>
                <w14:ligatures w14:val="none"/>
              </w:rPr>
              <w:t xml:space="preserve">  Be as specific as possibl</w:t>
            </w:r>
            <w:r w:rsidRPr="000F6FBC">
              <w:rPr>
                <w:color w:val="auto"/>
                <w14:ligatures w14:val="none"/>
              </w:rPr>
              <w:t>e</w:t>
            </w:r>
            <w:r w:rsidRPr="000F6FBC">
              <w:rPr>
                <w:b/>
                <w:color w:val="auto"/>
                <w14:ligatures w14:val="none"/>
              </w:rPr>
              <w:t>.</w:t>
            </w:r>
          </w:p>
        </w:tc>
      </w:tr>
      <w:tr w:rsidR="00C013F4" w:rsidRPr="00F911CC" w14:paraId="67B867BF" w14:textId="77777777" w:rsidTr="00040D33">
        <w:trPr>
          <w:trHeight w:val="630"/>
          <w:jc w:val="center"/>
        </w:trPr>
        <w:tc>
          <w:tcPr>
            <w:tcW w:w="1272" w:type="dxa"/>
            <w:shd w:val="clear" w:color="auto" w:fill="00B050"/>
          </w:tcPr>
          <w:p w14:paraId="4864929E" w14:textId="77777777" w:rsidR="00C013F4" w:rsidRDefault="00C013F4" w:rsidP="002038EC">
            <w:pPr>
              <w:spacing w:line="276" w:lineRule="auto"/>
              <w:rPr>
                <w:b/>
                <w:color w:val="auto"/>
                <w:sz w:val="20"/>
                <w:szCs w:val="20"/>
                <w14:ligatures w14:val="none"/>
              </w:rPr>
            </w:pPr>
            <w:r>
              <w:rPr>
                <w:b/>
                <w:color w:val="auto"/>
                <w:sz w:val="20"/>
                <w:szCs w:val="20"/>
                <w14:ligatures w14:val="none"/>
              </w:rPr>
              <w:t xml:space="preserve">Time Interval </w:t>
            </w:r>
          </w:p>
        </w:tc>
        <w:tc>
          <w:tcPr>
            <w:tcW w:w="7972" w:type="dxa"/>
            <w:vMerge/>
            <w:shd w:val="clear" w:color="auto" w:fill="FFFFFF" w:themeFill="background1"/>
          </w:tcPr>
          <w:p w14:paraId="55598E64" w14:textId="77777777" w:rsidR="00C013F4" w:rsidRPr="00DF4DAF" w:rsidRDefault="00C013F4" w:rsidP="00DF4DAF">
            <w:pPr>
              <w:widowControl w:val="0"/>
              <w:rPr>
                <w:color w:val="000000"/>
                <w14:ligatures w14:val="none"/>
              </w:rPr>
            </w:pPr>
          </w:p>
        </w:tc>
      </w:tr>
      <w:tr w:rsidR="002038EC" w:rsidRPr="00F911CC" w14:paraId="5A23747A" w14:textId="77777777" w:rsidTr="00040D33">
        <w:trPr>
          <w:trHeight w:val="1014"/>
          <w:jc w:val="center"/>
        </w:trPr>
        <w:tc>
          <w:tcPr>
            <w:tcW w:w="1272" w:type="dxa"/>
            <w:shd w:val="clear" w:color="auto" w:fill="8EAADB" w:themeFill="accent1" w:themeFillTint="99"/>
          </w:tcPr>
          <w:p w14:paraId="2870E6ED" w14:textId="77777777" w:rsidR="002038EC" w:rsidRDefault="002038EC" w:rsidP="008D366B">
            <w:pPr>
              <w:spacing w:line="276" w:lineRule="auto"/>
              <w:rPr>
                <w:b/>
                <w:color w:val="auto"/>
                <w:sz w:val="20"/>
                <w:szCs w:val="20"/>
                <w14:ligatures w14:val="none"/>
              </w:rPr>
            </w:pPr>
            <w:r w:rsidRPr="000F6FBC">
              <w:rPr>
                <w:b/>
                <w:color w:val="auto"/>
                <w:sz w:val="22"/>
                <w:szCs w:val="20"/>
                <w:u w:val="single"/>
                <w14:ligatures w14:val="none"/>
              </w:rPr>
              <w:t>Part II</w:t>
            </w:r>
            <w:r w:rsidR="000F6FBC">
              <w:rPr>
                <w:b/>
                <w:color w:val="auto"/>
                <w:sz w:val="20"/>
                <w:szCs w:val="20"/>
                <w14:ligatures w14:val="none"/>
              </w:rPr>
              <w:br/>
            </w:r>
            <w:r>
              <w:rPr>
                <w:b/>
                <w:color w:val="auto"/>
                <w:sz w:val="20"/>
                <w:szCs w:val="20"/>
                <w14:ligatures w14:val="none"/>
              </w:rPr>
              <w:t>Other Significant Conditions</w:t>
            </w:r>
          </w:p>
        </w:tc>
        <w:tc>
          <w:tcPr>
            <w:tcW w:w="7972" w:type="dxa"/>
            <w:shd w:val="clear" w:color="auto" w:fill="FFFFFF" w:themeFill="background1"/>
          </w:tcPr>
          <w:p w14:paraId="0E57D217" w14:textId="77777777" w:rsidR="009F0059" w:rsidRPr="00DF4DAF" w:rsidRDefault="002038EC" w:rsidP="00E13FF8">
            <w:pPr>
              <w:widowControl w:val="0"/>
              <w:rPr>
                <w:color w:val="000000"/>
                <w14:ligatures w14:val="none"/>
              </w:rPr>
            </w:pPr>
            <w:r w:rsidRPr="00DF4DAF">
              <w:rPr>
                <w:color w:val="000000"/>
                <w14:ligatures w14:val="none"/>
              </w:rPr>
              <w:t>Report all diseases or conditions</w:t>
            </w:r>
            <w:r w:rsidR="004067DF">
              <w:rPr>
                <w:color w:val="000000"/>
                <w14:ligatures w14:val="none"/>
              </w:rPr>
              <w:t xml:space="preserve"> that </w:t>
            </w:r>
            <w:r w:rsidR="004067DF" w:rsidRPr="00DF4DAF">
              <w:rPr>
                <w:color w:val="000000"/>
                <w14:ligatures w14:val="none"/>
              </w:rPr>
              <w:t xml:space="preserve">contributed to </w:t>
            </w:r>
            <w:r w:rsidR="004067DF">
              <w:rPr>
                <w:color w:val="000000"/>
                <w14:ligatures w14:val="none"/>
              </w:rPr>
              <w:t xml:space="preserve">death but did not cause it – those </w:t>
            </w:r>
            <w:r w:rsidRPr="00DF4DAF">
              <w:rPr>
                <w:color w:val="000000"/>
                <w14:ligatures w14:val="none"/>
              </w:rPr>
              <w:t xml:space="preserve">that </w:t>
            </w:r>
            <w:r w:rsidR="004E778D">
              <w:rPr>
                <w:color w:val="000000"/>
                <w14:ligatures w14:val="none"/>
              </w:rPr>
              <w:t xml:space="preserve">were </w:t>
            </w:r>
            <w:r w:rsidR="004E778D" w:rsidRPr="004E778D">
              <w:rPr>
                <w:color w:val="000000"/>
                <w:u w:val="single"/>
                <w14:ligatures w14:val="none"/>
              </w:rPr>
              <w:t>not</w:t>
            </w:r>
            <w:r w:rsidR="004E778D">
              <w:rPr>
                <w:color w:val="000000"/>
                <w14:ligatures w14:val="none"/>
              </w:rPr>
              <w:t xml:space="preserve"> part of the chain of events leading directly to death in Part I.  </w:t>
            </w:r>
            <w:r w:rsidRPr="00DF4DAF">
              <w:rPr>
                <w:color w:val="000000"/>
                <w14:ligatures w14:val="none"/>
              </w:rPr>
              <w:t>Include risk factor</w:t>
            </w:r>
            <w:r w:rsidR="004E778D">
              <w:rPr>
                <w:color w:val="000000"/>
                <w14:ligatures w14:val="none"/>
              </w:rPr>
              <w:t>s.</w:t>
            </w:r>
            <w:r w:rsidR="009E4F3B">
              <w:rPr>
                <w:color w:val="000000"/>
                <w14:ligatures w14:val="none"/>
              </w:rPr>
              <w:t xml:space="preserve"> </w:t>
            </w:r>
            <w:r w:rsidR="00C11FDF">
              <w:rPr>
                <w:color w:val="000000"/>
                <w14:ligatures w14:val="none"/>
              </w:rPr>
              <w:t xml:space="preserve"> </w:t>
            </w:r>
            <w:r w:rsidRPr="00DF4DAF">
              <w:rPr>
                <w:color w:val="000000"/>
                <w14:ligatures w14:val="none"/>
              </w:rPr>
              <w:t>If there are several conditions, list them in order of significance</w:t>
            </w:r>
            <w:r w:rsidR="00F63C05">
              <w:rPr>
                <w:color w:val="000000"/>
                <w14:ligatures w14:val="none"/>
              </w:rPr>
              <w:t xml:space="preserve"> with a comma separating each </w:t>
            </w:r>
            <w:r w:rsidR="00E13FF8">
              <w:rPr>
                <w:color w:val="000000"/>
                <w14:ligatures w14:val="none"/>
              </w:rPr>
              <w:t>condition.</w:t>
            </w:r>
          </w:p>
        </w:tc>
      </w:tr>
    </w:tbl>
    <w:p w14:paraId="1D384809" w14:textId="77777777" w:rsidR="00EC2D22" w:rsidRPr="00EC2D22" w:rsidRDefault="003E2CD5" w:rsidP="00763EC5">
      <w:pPr>
        <w:widowControl w:val="0"/>
        <w:rPr>
          <w:b/>
          <w:bCs/>
          <w:color w:val="0070C0"/>
          <w:sz w:val="4"/>
          <w:szCs w:val="4"/>
          <w14:ligatures w14:val="none"/>
        </w:rPr>
      </w:pPr>
      <w:r>
        <w:rPr>
          <w:b/>
          <w:bCs/>
          <w:color w:val="0070C0"/>
          <w:sz w:val="24"/>
          <w:szCs w:val="24"/>
          <w14:ligatures w14:val="none"/>
        </w:rPr>
        <w:br/>
      </w:r>
      <w:r w:rsidR="00194183">
        <w:rPr>
          <w:b/>
          <w:bCs/>
          <w:color w:val="0070C0"/>
          <w:sz w:val="24"/>
          <w:szCs w:val="24"/>
          <w14:ligatures w14:val="none"/>
        </w:rPr>
        <w:t xml:space="preserve">Avoid a Non-Specific </w:t>
      </w:r>
      <w:r w:rsidR="009159D7" w:rsidRPr="00896F8B">
        <w:rPr>
          <w:b/>
          <w:bCs/>
          <w:color w:val="0070C0"/>
          <w:sz w:val="24"/>
          <w:szCs w:val="24"/>
          <w14:ligatures w14:val="none"/>
        </w:rPr>
        <w:t xml:space="preserve">Cause of Death: </w:t>
      </w:r>
      <w:r w:rsidR="009159D7" w:rsidRPr="003A5FE0">
        <w:rPr>
          <w:color w:val="auto"/>
          <w14:ligatures w14:val="none"/>
        </w:rPr>
        <w:t xml:space="preserve"> </w:t>
      </w:r>
      <w:r w:rsidR="008D1E01">
        <w:rPr>
          <w:color w:val="auto"/>
          <w14:ligatures w14:val="none"/>
        </w:rPr>
        <w:t xml:space="preserve">When reporting the immediate </w:t>
      </w:r>
      <w:r w:rsidR="009159D7" w:rsidRPr="003A5FE0">
        <w:rPr>
          <w:color w:val="auto"/>
          <w14:ligatures w14:val="none"/>
        </w:rPr>
        <w:t xml:space="preserve">cause of death do </w:t>
      </w:r>
      <w:r w:rsidR="009159D7" w:rsidRPr="003A5FE0">
        <w:rPr>
          <w:b/>
          <w:color w:val="auto"/>
          <w14:ligatures w14:val="none"/>
        </w:rPr>
        <w:t>NOT</w:t>
      </w:r>
      <w:r w:rsidR="009159D7" w:rsidRPr="003A5FE0">
        <w:rPr>
          <w:color w:val="auto"/>
          <w14:ligatures w14:val="none"/>
        </w:rPr>
        <w:t xml:space="preserve"> report the mode of </w:t>
      </w:r>
      <w:r w:rsidR="00531132" w:rsidRPr="003A5FE0">
        <w:rPr>
          <w:color w:val="auto"/>
          <w14:ligatures w14:val="none"/>
        </w:rPr>
        <w:t>death</w:t>
      </w:r>
      <w:r w:rsidR="009159D7" w:rsidRPr="003A5FE0">
        <w:rPr>
          <w:color w:val="auto"/>
          <w14:ligatures w14:val="none"/>
        </w:rPr>
        <w:t xml:space="preserve"> (e.g., heart failure</w:t>
      </w:r>
      <w:r w:rsidR="00772FB5" w:rsidRPr="003A5FE0">
        <w:rPr>
          <w:color w:val="auto"/>
          <w14:ligatures w14:val="none"/>
        </w:rPr>
        <w:t xml:space="preserve">, </w:t>
      </w:r>
      <w:r w:rsidR="009159D7" w:rsidRPr="003A5FE0">
        <w:rPr>
          <w:color w:val="auto"/>
          <w14:ligatures w14:val="none"/>
        </w:rPr>
        <w:t>cardiac arrest</w:t>
      </w:r>
      <w:r w:rsidR="00732FF1" w:rsidRPr="003A5FE0">
        <w:rPr>
          <w:color w:val="auto"/>
          <w14:ligatures w14:val="none"/>
        </w:rPr>
        <w:t xml:space="preserve">, </w:t>
      </w:r>
      <w:r w:rsidR="0029734F">
        <w:rPr>
          <w:color w:val="auto"/>
          <w14:ligatures w14:val="none"/>
        </w:rPr>
        <w:t xml:space="preserve">failure to thrive, </w:t>
      </w:r>
      <w:r w:rsidR="00732FF1" w:rsidRPr="003A5FE0">
        <w:rPr>
          <w:color w:val="auto"/>
          <w14:ligatures w14:val="none"/>
        </w:rPr>
        <w:t>etc.</w:t>
      </w:r>
      <w:r w:rsidR="009159D7" w:rsidRPr="003A5FE0">
        <w:rPr>
          <w:color w:val="auto"/>
          <w14:ligatures w14:val="none"/>
        </w:rPr>
        <w:t xml:space="preserve">). </w:t>
      </w:r>
      <w:r w:rsidR="00647072" w:rsidRPr="003A5FE0">
        <w:rPr>
          <w:color w:val="auto"/>
          <w14:ligatures w14:val="none"/>
        </w:rPr>
        <w:t xml:space="preserve"> </w:t>
      </w:r>
      <w:r w:rsidR="003A5FE0" w:rsidRPr="003A5FE0">
        <w:rPr>
          <w:color w:val="auto"/>
          <w14:ligatures w14:val="none"/>
        </w:rPr>
        <w:t xml:space="preserve">The </w:t>
      </w:r>
      <w:r w:rsidR="00531132" w:rsidRPr="003A5FE0">
        <w:rPr>
          <w:color w:val="auto"/>
          <w14:ligatures w14:val="none"/>
        </w:rPr>
        <w:t xml:space="preserve">mode of death is simply the last system in the body that stopped functioning before death.  </w:t>
      </w:r>
      <w:r w:rsidR="009159D7" w:rsidRPr="003A5FE0">
        <w:rPr>
          <w:color w:val="auto"/>
          <w14:ligatures w14:val="none"/>
        </w:rPr>
        <w:t xml:space="preserve">These and other modes of dying </w:t>
      </w:r>
      <w:r w:rsidR="003261A7" w:rsidRPr="003A5FE0">
        <w:rPr>
          <w:color w:val="auto"/>
          <w14:ligatures w14:val="none"/>
        </w:rPr>
        <w:t xml:space="preserve">do not </w:t>
      </w:r>
      <w:r w:rsidR="008D1E01">
        <w:rPr>
          <w:color w:val="auto"/>
          <w14:ligatures w14:val="none"/>
        </w:rPr>
        <w:t xml:space="preserve">inform </w:t>
      </w:r>
      <w:r w:rsidR="003261A7" w:rsidRPr="003A5FE0">
        <w:rPr>
          <w:color w:val="auto"/>
          <w14:ligatures w14:val="none"/>
        </w:rPr>
        <w:t>public health in</w:t>
      </w:r>
      <w:r w:rsidR="00E11DD0" w:rsidRPr="003A5FE0">
        <w:rPr>
          <w:color w:val="auto"/>
          <w14:ligatures w14:val="none"/>
        </w:rPr>
        <w:t xml:space="preserve">terventions </w:t>
      </w:r>
      <w:r w:rsidR="0096588B" w:rsidRPr="003A5FE0">
        <w:rPr>
          <w:color w:val="auto"/>
          <w14:ligatures w14:val="none"/>
        </w:rPr>
        <w:t>because they</w:t>
      </w:r>
      <w:r w:rsidR="003261A7" w:rsidRPr="003A5FE0">
        <w:rPr>
          <w:color w:val="auto"/>
          <w14:ligatures w14:val="none"/>
        </w:rPr>
        <w:t xml:space="preserve"> </w:t>
      </w:r>
      <w:r w:rsidR="00732FF1" w:rsidRPr="003A5FE0">
        <w:rPr>
          <w:color w:val="auto"/>
          <w14:ligatures w14:val="none"/>
        </w:rPr>
        <w:t>do</w:t>
      </w:r>
      <w:r w:rsidR="00102B7C">
        <w:rPr>
          <w:color w:val="auto"/>
          <w14:ligatures w14:val="none"/>
        </w:rPr>
        <w:t>n’t</w:t>
      </w:r>
      <w:r w:rsidR="00732FF1" w:rsidRPr="003A5FE0">
        <w:rPr>
          <w:color w:val="auto"/>
          <w14:ligatures w14:val="none"/>
        </w:rPr>
        <w:t xml:space="preserve"> explain why the person died</w:t>
      </w:r>
      <w:r w:rsidR="00896F8B" w:rsidRPr="003A5FE0">
        <w:rPr>
          <w:color w:val="auto"/>
          <w14:ligatures w14:val="none"/>
        </w:rPr>
        <w:t xml:space="preserve">. </w:t>
      </w:r>
      <w:r w:rsidR="00647072" w:rsidRPr="003A5FE0">
        <w:rPr>
          <w:color w:val="auto"/>
          <w14:ligatures w14:val="none"/>
        </w:rPr>
        <w:t xml:space="preserve">The immediate cause of death is the final etiologic disease, injury, or complication that </w:t>
      </w:r>
      <w:r w:rsidR="00647072" w:rsidRPr="003A5FE0">
        <w:rPr>
          <w:b/>
          <w:color w:val="auto"/>
          <w14:ligatures w14:val="none"/>
        </w:rPr>
        <w:t>caused</w:t>
      </w:r>
      <w:r w:rsidR="00647072" w:rsidRPr="003A5FE0">
        <w:rPr>
          <w:color w:val="auto"/>
          <w14:ligatures w14:val="none"/>
        </w:rPr>
        <w:t xml:space="preserve"> the cardiac/respiratory arrest</w:t>
      </w:r>
      <w:r w:rsidR="008D1E01">
        <w:rPr>
          <w:color w:val="auto"/>
          <w14:ligatures w14:val="none"/>
        </w:rPr>
        <w:t xml:space="preserve"> or other mode of death</w:t>
      </w:r>
      <w:r w:rsidR="00896F8B" w:rsidRPr="003A5FE0">
        <w:rPr>
          <w:color w:val="auto"/>
          <w14:ligatures w14:val="none"/>
        </w:rPr>
        <w:t>.</w:t>
      </w:r>
      <w:r w:rsidR="008D1E01" w:rsidRPr="008D1E01">
        <w:rPr>
          <w14:ligatures w14:val="none"/>
        </w:rPr>
        <w:t xml:space="preserve"> </w:t>
      </w:r>
      <w:r w:rsidR="008D1E01">
        <w:rPr>
          <w14:ligatures w14:val="none"/>
        </w:rPr>
        <w:t xml:space="preserve"> </w:t>
      </w:r>
      <w:r w:rsidR="00632F1A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w:lastRenderedPageBreak/>
        <w:drawing>
          <wp:inline distT="0" distB="0" distL="0" distR="0" wp14:anchorId="11B41D70" wp14:editId="45DA0277">
            <wp:extent cx="5829300" cy="12206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r__Head with Col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2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5C4">
        <w:rPr>
          <w:b/>
          <w:bCs/>
          <w:color w:val="0070C0"/>
          <w:sz w:val="24"/>
          <w:szCs w:val="24"/>
          <w14:ligatures w14:val="none"/>
        </w:rPr>
        <w:br/>
      </w:r>
    </w:p>
    <w:p w14:paraId="13304156" w14:textId="77777777" w:rsidR="009D3E55" w:rsidRDefault="009159D7" w:rsidP="00EC2D22">
      <w:pPr>
        <w:widowControl w:val="0"/>
        <w:rPr>
          <w:color w:val="auto"/>
        </w:rPr>
      </w:pPr>
      <w:r>
        <w:rPr>
          <w:b/>
          <w:bCs/>
          <w:color w:val="0070C0"/>
          <w:sz w:val="24"/>
          <w:szCs w:val="24"/>
          <w14:ligatures w14:val="none"/>
        </w:rPr>
        <w:t>Cause of Death Data and Public Health</w:t>
      </w:r>
      <w:r>
        <w:rPr>
          <w:b/>
          <w:bCs/>
          <w:color w:val="0070C0"/>
          <w:sz w:val="24"/>
          <w:szCs w:val="24"/>
          <w14:ligatures w14:val="none"/>
        </w:rPr>
        <w:br/>
      </w:r>
      <w:r w:rsidRPr="00D350D8">
        <w:rPr>
          <w:color w:val="auto"/>
        </w:rPr>
        <w:t>Death certificate data is an important tool used to benefit public health</w:t>
      </w:r>
      <w:r w:rsidR="0081732F">
        <w:rPr>
          <w:color w:val="auto"/>
        </w:rPr>
        <w:t xml:space="preserve">.  </w:t>
      </w:r>
      <w:r>
        <w:rPr>
          <w:color w:val="auto"/>
        </w:rPr>
        <w:t>Make every effort to be accurate.</w:t>
      </w:r>
    </w:p>
    <w:p w14:paraId="3D473F55" w14:textId="1A54C3E0" w:rsidR="009159D7" w:rsidRDefault="00963314" w:rsidP="0050547B">
      <w:pPr>
        <w:jc w:val="center"/>
        <w:rPr>
          <w:b/>
          <w:bCs/>
          <w:color w:val="0070C0"/>
          <w:sz w:val="24"/>
          <w:szCs w:val="24"/>
          <w14:ligatures w14:val="none"/>
        </w:rPr>
      </w:pPr>
      <w:r>
        <w:rPr>
          <w:b/>
          <w:bCs/>
          <w:noProof/>
          <w:color w:val="0070C0"/>
          <w:sz w:val="24"/>
          <w:szCs w:val="24"/>
          <w14:ligatures w14:val="none"/>
          <w14:cntxtAlts w14:val="0"/>
        </w:rPr>
        <w:drawing>
          <wp:inline distT="0" distB="0" distL="0" distR="0" wp14:anchorId="40EB15B5" wp14:editId="55FB211A">
            <wp:extent cx="4849489" cy="877698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low__Blue box d4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20" cy="95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5172"/>
        <w:tblW w:w="0" w:type="auto"/>
        <w:tblCellSpacing w:w="7" w:type="dxa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958"/>
        <w:gridCol w:w="2885"/>
      </w:tblGrid>
      <w:tr w:rsidR="001A3903" w14:paraId="63A6F62F" w14:textId="77777777" w:rsidTr="00102FC1">
        <w:trPr>
          <w:trHeight w:val="956"/>
          <w:tblCellSpacing w:w="7" w:type="dxa"/>
        </w:trPr>
        <w:tc>
          <w:tcPr>
            <w:tcW w:w="4316" w:type="dxa"/>
            <w:shd w:val="clear" w:color="auto" w:fill="C5E0B3" w:themeFill="accent6" w:themeFillTint="66"/>
          </w:tcPr>
          <w:p w14:paraId="71557778" w14:textId="77777777" w:rsidR="00A623E4" w:rsidRDefault="00A623E4" w:rsidP="00EC2D22">
            <w:pPr>
              <w:tabs>
                <w:tab w:val="left" w:pos="3690"/>
              </w:tabs>
              <w:spacing w:line="240" w:lineRule="auto"/>
              <w:jc w:val="center"/>
            </w:pPr>
            <w:r>
              <w:rPr>
                <w:b/>
                <w:bCs/>
                <w:color w:val="0070C0"/>
                <w14:ligatures w14:val="none"/>
              </w:rPr>
              <w:br/>
            </w:r>
            <w:r w:rsidRPr="00D86EF9">
              <w:rPr>
                <w:b/>
                <w:bCs/>
                <w:color w:val="0070C0"/>
                <w:sz w:val="24"/>
                <w14:ligatures w14:val="none"/>
              </w:rPr>
              <w:t xml:space="preserve">Case </w:t>
            </w:r>
            <w:r w:rsidR="009A6E69">
              <w:rPr>
                <w:b/>
                <w:bCs/>
                <w:color w:val="0070C0"/>
                <w:sz w:val="24"/>
                <w14:ligatures w14:val="none"/>
              </w:rPr>
              <w:t>Studies</w:t>
            </w:r>
          </w:p>
        </w:tc>
        <w:tc>
          <w:tcPr>
            <w:tcW w:w="1944" w:type="dxa"/>
            <w:shd w:val="clear" w:color="auto" w:fill="C5E0B3" w:themeFill="accent6" w:themeFillTint="66"/>
            <w:vAlign w:val="center"/>
          </w:tcPr>
          <w:p w14:paraId="76D51D64" w14:textId="498B6396" w:rsidR="00A623E4" w:rsidRDefault="004054C0" w:rsidP="006C2D91">
            <w:pPr>
              <w:tabs>
                <w:tab w:val="left" w:pos="3690"/>
              </w:tabs>
              <w:spacing w:line="240" w:lineRule="auto"/>
              <w:jc w:val="center"/>
            </w:pPr>
            <w:r>
              <w:rPr>
                <w:b/>
                <w:bCs/>
                <w:color w:val="0070C0"/>
                <w:sz w:val="20"/>
                <w14:ligatures w14:val="none"/>
              </w:rPr>
              <w:br/>
            </w:r>
            <w:r w:rsidR="001A3903">
              <w:rPr>
                <w:b/>
                <w:bCs/>
                <w:noProof/>
                <w:color w:val="0070C0"/>
                <w14:ligatures w14:val="none"/>
                <w14:cntxtAlts w14:val="0"/>
              </w:rPr>
              <w:drawing>
                <wp:inline distT="0" distB="0" distL="0" distR="0" wp14:anchorId="0BD28B9A" wp14:editId="32618441">
                  <wp:extent cx="125604" cy="125604"/>
                  <wp:effectExtent l="0" t="0" r="8255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XMar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5509" cy="135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2D91">
              <w:rPr>
                <w:b/>
                <w:bCs/>
                <w:color w:val="0070C0"/>
                <w:sz w:val="20"/>
                <w14:ligatures w14:val="none"/>
              </w:rPr>
              <w:t xml:space="preserve">  </w:t>
            </w:r>
            <w:r w:rsidR="0097410B" w:rsidRPr="0097410B">
              <w:rPr>
                <w:b/>
                <w:bCs/>
                <w:color w:val="0070C0"/>
                <w:sz w:val="20"/>
                <w14:ligatures w14:val="none"/>
              </w:rPr>
              <w:t>Incorrect</w:t>
            </w:r>
            <w:r w:rsidR="00A623E4" w:rsidRPr="0097410B">
              <w:rPr>
                <w:b/>
                <w:bCs/>
                <w:color w:val="0070C0"/>
                <w:sz w:val="20"/>
                <w14:ligatures w14:val="none"/>
              </w:rPr>
              <w:t xml:space="preserve"> </w:t>
            </w:r>
            <w:r w:rsidR="00A623E4">
              <w:rPr>
                <w:b/>
                <w:bCs/>
                <w:color w:val="0070C0"/>
                <w14:ligatures w14:val="none"/>
              </w:rPr>
              <w:br/>
            </w:r>
            <w:r w:rsidR="00A623E4" w:rsidRPr="00366CB5">
              <w:rPr>
                <w:b/>
                <w:bCs/>
                <w:color w:val="0070C0"/>
                <w14:ligatures w14:val="none"/>
              </w:rPr>
              <w:t>Non-specific Cause of Death S</w:t>
            </w:r>
            <w:r w:rsidR="00A623E4">
              <w:rPr>
                <w:b/>
                <w:bCs/>
                <w:color w:val="0070C0"/>
                <w14:ligatures w14:val="none"/>
              </w:rPr>
              <w:t>equence</w:t>
            </w:r>
          </w:p>
        </w:tc>
        <w:tc>
          <w:tcPr>
            <w:tcW w:w="2864" w:type="dxa"/>
            <w:shd w:val="clear" w:color="auto" w:fill="C5E0B3" w:themeFill="accent6" w:themeFillTint="66"/>
            <w:vAlign w:val="center"/>
          </w:tcPr>
          <w:p w14:paraId="68D58D9F" w14:textId="03784FC2" w:rsidR="00A623E4" w:rsidRDefault="004054C0" w:rsidP="000372D8">
            <w:pPr>
              <w:tabs>
                <w:tab w:val="left" w:pos="3690"/>
              </w:tabs>
              <w:spacing w:line="240" w:lineRule="auto"/>
              <w:jc w:val="center"/>
            </w:pPr>
            <w:r>
              <w:rPr>
                <w:b/>
                <w:bCs/>
                <w:color w:val="0070C0"/>
                <w:sz w:val="20"/>
                <w14:ligatures w14:val="none"/>
              </w:rPr>
              <w:br/>
            </w:r>
            <w:r w:rsidR="001A3903">
              <w:rPr>
                <w:b/>
                <w:bCs/>
                <w:noProof/>
                <w:color w:val="0070C0"/>
                <w:sz w:val="20"/>
                <w14:ligatures w14:val="none"/>
                <w14:cntxtAlts w14:val="0"/>
              </w:rPr>
              <w:drawing>
                <wp:inline distT="0" distB="0" distL="0" distR="0" wp14:anchorId="4AD9D66A" wp14:editId="461A8CED">
                  <wp:extent cx="145701" cy="145701"/>
                  <wp:effectExtent l="0" t="0" r="6985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heckMar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77" cy="15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3314">
              <w:rPr>
                <w:b/>
                <w:bCs/>
                <w:color w:val="0070C0"/>
                <w:sz w:val="20"/>
                <w14:ligatures w14:val="none"/>
              </w:rPr>
              <w:t xml:space="preserve"> </w:t>
            </w:r>
            <w:r w:rsidR="0097410B" w:rsidRPr="0097410B">
              <w:rPr>
                <w:b/>
                <w:bCs/>
                <w:color w:val="0070C0"/>
                <w:sz w:val="20"/>
                <w14:ligatures w14:val="none"/>
              </w:rPr>
              <w:t>Correct</w:t>
            </w:r>
            <w:r w:rsidR="00A623E4">
              <w:rPr>
                <w:b/>
                <w:bCs/>
                <w:color w:val="0070C0"/>
                <w14:ligatures w14:val="none"/>
              </w:rPr>
              <w:br/>
            </w:r>
            <w:r w:rsidR="00A623E4" w:rsidRPr="00366CB5">
              <w:rPr>
                <w:b/>
                <w:bCs/>
                <w:color w:val="0070C0"/>
                <w14:ligatures w14:val="none"/>
              </w:rPr>
              <w:t>Specific Cause of Death S</w:t>
            </w:r>
            <w:r w:rsidR="00A623E4">
              <w:rPr>
                <w:b/>
                <w:bCs/>
                <w:color w:val="0070C0"/>
                <w14:ligatures w14:val="none"/>
              </w:rPr>
              <w:t>equence</w:t>
            </w:r>
          </w:p>
        </w:tc>
      </w:tr>
      <w:tr w:rsidR="001A3903" w14:paraId="5B907F36" w14:textId="77777777" w:rsidTr="008C0693">
        <w:trPr>
          <w:trHeight w:val="2248"/>
          <w:tblCellSpacing w:w="7" w:type="dxa"/>
        </w:trPr>
        <w:tc>
          <w:tcPr>
            <w:tcW w:w="4316" w:type="dxa"/>
            <w:shd w:val="clear" w:color="auto" w:fill="D9D9D9" w:themeFill="background1" w:themeFillShade="D9"/>
          </w:tcPr>
          <w:p w14:paraId="173F58B8" w14:textId="77777777" w:rsidR="00A623E4" w:rsidRPr="009A6E69" w:rsidRDefault="005A2D7E" w:rsidP="00EC2D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auto"/>
              </w:rPr>
              <w:br/>
            </w:r>
            <w:r w:rsidR="00F373F8" w:rsidRPr="0081036A">
              <w:rPr>
                <w:b/>
                <w:color w:val="auto"/>
              </w:rPr>
              <w:t>Case Study One</w:t>
            </w:r>
            <w:r w:rsidR="0081036A">
              <w:rPr>
                <w:b/>
                <w:color w:val="2E74B5" w:themeColor="accent5" w:themeShade="BF"/>
              </w:rPr>
              <w:br/>
            </w:r>
          </w:p>
          <w:p w14:paraId="743B570B" w14:textId="77777777" w:rsidR="00A623E4" w:rsidRPr="00711215" w:rsidRDefault="00A623E4" w:rsidP="00EC2D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290"/>
            </w:pPr>
            <w:r>
              <w:t>E</w:t>
            </w:r>
            <w:r w:rsidRPr="00711215">
              <w:t xml:space="preserve">lderly man with </w:t>
            </w:r>
            <w:r>
              <w:t>Parkinson’s</w:t>
            </w:r>
            <w:r w:rsidR="00D744D1">
              <w:t xml:space="preserve"> and diabetes</w:t>
            </w:r>
          </w:p>
          <w:p w14:paraId="238736C9" w14:textId="77777777" w:rsidR="00A623E4" w:rsidRPr="00711215" w:rsidRDefault="00A623E4" w:rsidP="008C06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290"/>
              <w:jc w:val="both"/>
            </w:pPr>
            <w:r w:rsidRPr="00711215">
              <w:t>Chronic indwelling catheter for a neurogenic bladder</w:t>
            </w:r>
          </w:p>
          <w:p w14:paraId="154D852E" w14:textId="77777777" w:rsidR="00A623E4" w:rsidRPr="00711215" w:rsidRDefault="00A623E4" w:rsidP="00EC2D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290"/>
            </w:pPr>
            <w:r w:rsidRPr="00711215">
              <w:t>Catheter causes a urinary tract infection</w:t>
            </w:r>
          </w:p>
          <w:p w14:paraId="59FAE61D" w14:textId="77777777" w:rsidR="00A623E4" w:rsidRDefault="00A623E4" w:rsidP="00EC2D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290"/>
            </w:pPr>
            <w:r w:rsidRPr="00711215">
              <w:t>Urinary tract infection leads to a gram-negative pseudomonas sepsis</w:t>
            </w:r>
          </w:p>
          <w:p w14:paraId="095ACD6A" w14:textId="77777777" w:rsidR="00A623E4" w:rsidRDefault="00A623E4" w:rsidP="00EC2D22">
            <w:pPr>
              <w:spacing w:after="0" w:line="240" w:lineRule="auto"/>
            </w:pPr>
          </w:p>
          <w:p w14:paraId="7B871E0A" w14:textId="77777777" w:rsidR="00A623E4" w:rsidRDefault="00A623E4" w:rsidP="00EC2D22">
            <w:pPr>
              <w:spacing w:after="0" w:line="240" w:lineRule="auto"/>
            </w:pPr>
          </w:p>
          <w:p w14:paraId="0998713A" w14:textId="77777777" w:rsidR="00A623E4" w:rsidRDefault="0097410B" w:rsidP="00EC2D22">
            <w:pPr>
              <w:spacing w:after="0" w:line="240" w:lineRule="auto"/>
              <w:ind w:left="70"/>
              <w:rPr>
                <w:sz w:val="16"/>
                <w:szCs w:val="16"/>
              </w:rPr>
            </w:pPr>
            <w:r w:rsidRPr="0097410B">
              <w:rPr>
                <w:b/>
              </w:rPr>
              <w:t>The first example</w:t>
            </w:r>
            <w:r w:rsidR="00A623E4" w:rsidRPr="0097410B">
              <w:rPr>
                <w:b/>
                <w:sz w:val="16"/>
                <w:szCs w:val="16"/>
              </w:rPr>
              <w:t xml:space="preserve"> </w:t>
            </w:r>
            <w:r w:rsidR="00A623E4" w:rsidRPr="00CC7A81">
              <w:rPr>
                <w:b/>
                <w:szCs w:val="16"/>
              </w:rPr>
              <w:t>is</w:t>
            </w:r>
            <w:r w:rsidR="00A623E4" w:rsidRPr="0097410B">
              <w:rPr>
                <w:b/>
                <w:sz w:val="16"/>
                <w:szCs w:val="16"/>
              </w:rPr>
              <w:t xml:space="preserve"> </w:t>
            </w:r>
            <w:r w:rsidR="00A623E4" w:rsidRPr="00A15BAF">
              <w:rPr>
                <w:b/>
                <w:szCs w:val="16"/>
                <w:u w:val="single"/>
              </w:rPr>
              <w:t>incorrect</w:t>
            </w:r>
            <w:r w:rsidR="00A623E4" w:rsidRPr="00A15BAF">
              <w:rPr>
                <w:b/>
                <w:sz w:val="20"/>
                <w:u w:val="single"/>
              </w:rPr>
              <w:t xml:space="preserve"> </w:t>
            </w:r>
            <w:r w:rsidR="00A623E4" w:rsidRPr="0014091C">
              <w:rPr>
                <w:sz w:val="16"/>
                <w:szCs w:val="16"/>
              </w:rPr>
              <w:t>because it</w:t>
            </w:r>
            <w:r w:rsidR="00A623E4" w:rsidRPr="0003469C">
              <w:rPr>
                <w:sz w:val="16"/>
                <w:szCs w:val="16"/>
              </w:rPr>
              <w:t xml:space="preserve"> contains a non-specific cause of death </w:t>
            </w:r>
            <w:r w:rsidR="00A623E4">
              <w:rPr>
                <w:sz w:val="16"/>
                <w:szCs w:val="16"/>
              </w:rPr>
              <w:t>and does not</w:t>
            </w:r>
            <w:r w:rsidR="00A623E4" w:rsidRPr="00437543">
              <w:rPr>
                <w:sz w:val="16"/>
                <w:szCs w:val="16"/>
              </w:rPr>
              <w:t xml:space="preserve"> explain why the patient acquired gram-negative sepsis.</w:t>
            </w:r>
          </w:p>
          <w:p w14:paraId="383C80D5" w14:textId="3771A378" w:rsidR="00A623E4" w:rsidRDefault="0097410B" w:rsidP="00EC2D22">
            <w:pPr>
              <w:spacing w:after="0" w:line="240" w:lineRule="auto"/>
              <w:ind w:left="70"/>
            </w:pPr>
            <w:r w:rsidRPr="0097410B">
              <w:rPr>
                <w:b/>
              </w:rPr>
              <w:t>The second example</w:t>
            </w:r>
            <w:r w:rsidR="00A623E4" w:rsidRPr="0097410B">
              <w:rPr>
                <w:b/>
              </w:rPr>
              <w:t xml:space="preserve"> </w:t>
            </w:r>
            <w:r w:rsidR="00A623E4" w:rsidRPr="0097410B">
              <w:rPr>
                <w:b/>
                <w:sz w:val="16"/>
                <w:szCs w:val="16"/>
              </w:rPr>
              <w:t xml:space="preserve">is </w:t>
            </w:r>
            <w:r w:rsidR="00A623E4" w:rsidRPr="00A15BAF">
              <w:rPr>
                <w:b/>
                <w:szCs w:val="16"/>
                <w:u w:val="single"/>
              </w:rPr>
              <w:t>correct</w:t>
            </w:r>
            <w:r w:rsidR="00A623E4">
              <w:t xml:space="preserve"> </w:t>
            </w:r>
            <w:r w:rsidR="00A623E4">
              <w:rPr>
                <w:sz w:val="16"/>
                <w:szCs w:val="16"/>
              </w:rPr>
              <w:t xml:space="preserve">because it </w:t>
            </w:r>
            <w:r w:rsidR="00A623E4" w:rsidRPr="00C93BE3">
              <w:rPr>
                <w:sz w:val="16"/>
                <w:szCs w:val="16"/>
              </w:rPr>
              <w:t>contains an accurate causal sequence of events that explains why the patient acquired gram-negative sepsis</w:t>
            </w:r>
            <w:r w:rsidR="00B14DF5">
              <w:rPr>
                <w:sz w:val="16"/>
                <w:szCs w:val="16"/>
              </w:rPr>
              <w:t>.</w:t>
            </w:r>
          </w:p>
        </w:tc>
        <w:tc>
          <w:tcPr>
            <w:tcW w:w="1944" w:type="dxa"/>
            <w:shd w:val="clear" w:color="auto" w:fill="FBE4D5" w:themeFill="accent2" w:themeFillTint="33"/>
          </w:tcPr>
          <w:p w14:paraId="04273F27" w14:textId="77777777" w:rsidR="00A623E4" w:rsidRPr="007819A8" w:rsidRDefault="007819A8" w:rsidP="00EC2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  <w:r w:rsidRPr="00022C4B">
              <w:rPr>
                <w:b/>
              </w:rPr>
              <w:t>Part I</w:t>
            </w:r>
            <w:r w:rsidRPr="007819A8">
              <w:rPr>
                <w:b/>
              </w:rPr>
              <w:br/>
            </w:r>
          </w:p>
          <w:p w14:paraId="70AE717D" w14:textId="77777777" w:rsidR="00A623E4" w:rsidRPr="00B40127" w:rsidRDefault="00A623E4" w:rsidP="00EC2D22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 w:rsidRPr="00F02E07">
              <w:rPr>
                <w:b/>
              </w:rPr>
              <w:t>Septic shock</w:t>
            </w:r>
            <w:r w:rsidRPr="00B40127">
              <w:br/>
            </w:r>
            <w:r w:rsidRPr="002E0679">
              <w:rPr>
                <w:sz w:val="16"/>
                <w:szCs w:val="16"/>
              </w:rPr>
              <w:t xml:space="preserve">due to or </w:t>
            </w:r>
            <w:proofErr w:type="gramStart"/>
            <w:r w:rsidRPr="002E0679">
              <w:rPr>
                <w:sz w:val="16"/>
                <w:szCs w:val="16"/>
              </w:rPr>
              <w:t>as a consequence of</w:t>
            </w:r>
            <w:proofErr w:type="gramEnd"/>
            <w:r w:rsidRPr="002E0679">
              <w:rPr>
                <w:sz w:val="16"/>
                <w:szCs w:val="16"/>
              </w:rPr>
              <w:t>;</w:t>
            </w:r>
          </w:p>
          <w:p w14:paraId="6F44BCB2" w14:textId="77777777" w:rsidR="00A623E4" w:rsidRPr="00B40127" w:rsidRDefault="00A623E4" w:rsidP="00EC2D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F02E07">
              <w:rPr>
                <w:b/>
              </w:rPr>
              <w:t>Gram-negative sepsis</w:t>
            </w:r>
            <w:r w:rsidRPr="00CF2D2A">
              <w:br/>
            </w:r>
          </w:p>
          <w:p w14:paraId="3B07F545" w14:textId="77777777" w:rsidR="00A623E4" w:rsidRDefault="00A623E4" w:rsidP="00EC2D22">
            <w:pPr>
              <w:tabs>
                <w:tab w:val="left" w:pos="3690"/>
              </w:tabs>
              <w:spacing w:line="240" w:lineRule="auto"/>
            </w:pPr>
          </w:p>
          <w:p w14:paraId="3B59349A" w14:textId="77777777" w:rsidR="00A623E4" w:rsidRDefault="00A623E4" w:rsidP="00EC2D22">
            <w:pPr>
              <w:spacing w:after="0" w:line="240" w:lineRule="auto"/>
              <w:rPr>
                <w:b/>
              </w:rPr>
            </w:pPr>
          </w:p>
          <w:p w14:paraId="6843DE4C" w14:textId="77777777" w:rsidR="00A623E4" w:rsidRDefault="007819A8" w:rsidP="00EC2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  <w:r w:rsidR="00FF5FD7">
              <w:rPr>
                <w:b/>
              </w:rPr>
              <w:br/>
            </w:r>
            <w:r w:rsidRPr="00022C4B">
              <w:rPr>
                <w:b/>
              </w:rPr>
              <w:t>Part II</w:t>
            </w:r>
            <w:r>
              <w:rPr>
                <w:b/>
              </w:rPr>
              <w:br/>
            </w:r>
          </w:p>
          <w:p w14:paraId="0EB3E819" w14:textId="77777777" w:rsidR="00A623E4" w:rsidRPr="000C7746" w:rsidRDefault="00A623E4" w:rsidP="00EC2D2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E2EFD9" w:themeFill="accent6" w:themeFillTint="33"/>
          </w:tcPr>
          <w:p w14:paraId="26DBBC6F" w14:textId="77777777" w:rsidR="00A623E4" w:rsidRPr="00162935" w:rsidRDefault="007819A8" w:rsidP="00EC2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  <w:r w:rsidRPr="00162935">
              <w:rPr>
                <w:b/>
              </w:rPr>
              <w:t>Part I</w:t>
            </w:r>
            <w:r w:rsidRPr="00162935">
              <w:rPr>
                <w:b/>
              </w:rPr>
              <w:br/>
            </w:r>
          </w:p>
          <w:p w14:paraId="56D8AE63" w14:textId="77777777" w:rsidR="00A623E4" w:rsidRPr="00B40127" w:rsidRDefault="00A623E4" w:rsidP="00EC2D22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 w:rsidRPr="00F02E07">
              <w:rPr>
                <w:b/>
              </w:rPr>
              <w:t>Gram-negative pseudomonas sepsis</w:t>
            </w:r>
            <w:r w:rsidRPr="00B40127">
              <w:br/>
            </w:r>
            <w:r w:rsidRPr="002E0679">
              <w:rPr>
                <w:sz w:val="16"/>
                <w:szCs w:val="16"/>
              </w:rPr>
              <w:t xml:space="preserve">due to or </w:t>
            </w:r>
            <w:proofErr w:type="gramStart"/>
            <w:r w:rsidRPr="002E0679">
              <w:rPr>
                <w:sz w:val="16"/>
                <w:szCs w:val="16"/>
              </w:rPr>
              <w:t>as a consequence of</w:t>
            </w:r>
            <w:proofErr w:type="gramEnd"/>
            <w:r w:rsidRPr="002E0679">
              <w:rPr>
                <w:sz w:val="16"/>
                <w:szCs w:val="16"/>
              </w:rPr>
              <w:t>;</w:t>
            </w:r>
          </w:p>
          <w:p w14:paraId="51A6F16B" w14:textId="77777777" w:rsidR="00A623E4" w:rsidRPr="002E0679" w:rsidRDefault="00A623E4" w:rsidP="00EC2D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 w:rsidRPr="00F02E07">
              <w:rPr>
                <w:b/>
              </w:rPr>
              <w:t>Urinary bladder infection</w:t>
            </w:r>
            <w:r>
              <w:rPr>
                <w:b/>
              </w:rPr>
              <w:br/>
            </w:r>
            <w:r w:rsidRPr="002E0679">
              <w:rPr>
                <w:sz w:val="16"/>
                <w:szCs w:val="16"/>
              </w:rPr>
              <w:t xml:space="preserve">due to or </w:t>
            </w:r>
            <w:proofErr w:type="gramStart"/>
            <w:r w:rsidRPr="002E0679">
              <w:rPr>
                <w:sz w:val="16"/>
                <w:szCs w:val="16"/>
              </w:rPr>
              <w:t>as a consequence of</w:t>
            </w:r>
            <w:proofErr w:type="gramEnd"/>
            <w:r w:rsidRPr="002E0679">
              <w:rPr>
                <w:sz w:val="16"/>
                <w:szCs w:val="16"/>
              </w:rPr>
              <w:t>;</w:t>
            </w:r>
          </w:p>
          <w:p w14:paraId="0C886D77" w14:textId="77777777" w:rsidR="00A623E4" w:rsidRPr="004E38E7" w:rsidRDefault="00A623E4" w:rsidP="00EC2D22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 w:rsidRPr="00B52DA5">
              <w:rPr>
                <w:b/>
              </w:rPr>
              <w:t>Indwelling catheter for neurogenic bladder</w:t>
            </w:r>
            <w:r w:rsidRPr="004E38E7">
              <w:br/>
            </w:r>
            <w:r w:rsidRPr="002E0679">
              <w:rPr>
                <w:sz w:val="16"/>
                <w:szCs w:val="16"/>
              </w:rPr>
              <w:t xml:space="preserve">due to or </w:t>
            </w:r>
            <w:proofErr w:type="gramStart"/>
            <w:r w:rsidRPr="002E0679">
              <w:rPr>
                <w:sz w:val="16"/>
                <w:szCs w:val="16"/>
              </w:rPr>
              <w:t>as a consequence of</w:t>
            </w:r>
            <w:proofErr w:type="gramEnd"/>
            <w:r w:rsidRPr="002E0679">
              <w:rPr>
                <w:sz w:val="16"/>
                <w:szCs w:val="16"/>
              </w:rPr>
              <w:t>;</w:t>
            </w:r>
          </w:p>
          <w:p w14:paraId="68DC2EAB" w14:textId="77777777" w:rsidR="00A623E4" w:rsidRDefault="00A623E4" w:rsidP="00EC2D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Parkinson’s disease</w:t>
            </w:r>
          </w:p>
          <w:p w14:paraId="61F7380D" w14:textId="77777777" w:rsidR="00A623E4" w:rsidRDefault="00A623E4" w:rsidP="00EC2D22">
            <w:pPr>
              <w:spacing w:after="0" w:line="240" w:lineRule="auto"/>
              <w:rPr>
                <w:b/>
              </w:rPr>
            </w:pPr>
          </w:p>
          <w:p w14:paraId="642E3412" w14:textId="77777777" w:rsidR="00A623E4" w:rsidRPr="007819A8" w:rsidRDefault="00FF5FD7" w:rsidP="00EC2D22">
            <w:pPr>
              <w:spacing w:after="0" w:line="240" w:lineRule="auto"/>
            </w:pPr>
            <w:r>
              <w:rPr>
                <w:b/>
              </w:rPr>
              <w:br/>
            </w:r>
            <w:r w:rsidR="007819A8" w:rsidRPr="00022C4B">
              <w:rPr>
                <w:b/>
              </w:rPr>
              <w:t>Part II</w:t>
            </w:r>
            <w:r w:rsidR="008E3825">
              <w:br/>
            </w:r>
            <w:r w:rsidR="00517055">
              <w:t xml:space="preserve"> </w:t>
            </w:r>
            <w:r w:rsidR="00D744D1">
              <w:t xml:space="preserve"> Diabetes mellitus type 2  </w:t>
            </w:r>
          </w:p>
        </w:tc>
      </w:tr>
      <w:tr w:rsidR="001A3903" w14:paraId="5B5B9405" w14:textId="77777777" w:rsidTr="008C0693">
        <w:trPr>
          <w:trHeight w:val="2248"/>
          <w:tblCellSpacing w:w="7" w:type="dxa"/>
        </w:trPr>
        <w:tc>
          <w:tcPr>
            <w:tcW w:w="4316" w:type="dxa"/>
            <w:shd w:val="clear" w:color="auto" w:fill="D9D9D9" w:themeFill="background1" w:themeFillShade="D9"/>
          </w:tcPr>
          <w:p w14:paraId="516D314E" w14:textId="77777777" w:rsidR="00A623E4" w:rsidRPr="009A6E69" w:rsidRDefault="005A2D7E" w:rsidP="00EC2D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auto"/>
              </w:rPr>
              <w:br/>
            </w:r>
            <w:r w:rsidR="009A6E69" w:rsidRPr="0081036A">
              <w:rPr>
                <w:b/>
                <w:color w:val="auto"/>
              </w:rPr>
              <w:t>Case Study Two</w:t>
            </w:r>
            <w:r w:rsidR="0081036A">
              <w:rPr>
                <w:b/>
                <w:color w:val="2E74B5" w:themeColor="accent5" w:themeShade="BF"/>
              </w:rPr>
              <w:br/>
            </w:r>
          </w:p>
          <w:p w14:paraId="65094C62" w14:textId="77777777" w:rsidR="00A623E4" w:rsidRPr="00D423ED" w:rsidRDefault="00A623E4" w:rsidP="00EC2D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290"/>
            </w:pPr>
            <w:r w:rsidRPr="00D423ED">
              <w:rPr>
                <w14:ligatures w14:val="none"/>
              </w:rPr>
              <w:t xml:space="preserve">73-year-old </w:t>
            </w:r>
            <w:r w:rsidR="00D744D1">
              <w:rPr>
                <w14:ligatures w14:val="none"/>
              </w:rPr>
              <w:t xml:space="preserve">obese </w:t>
            </w:r>
            <w:r w:rsidRPr="00D423ED">
              <w:rPr>
                <w14:ligatures w14:val="none"/>
              </w:rPr>
              <w:t xml:space="preserve">woman </w:t>
            </w:r>
            <w:r>
              <w:rPr>
                <w14:ligatures w14:val="none"/>
              </w:rPr>
              <w:t xml:space="preserve">with history of </w:t>
            </w:r>
            <w:r w:rsidRPr="00D423ED">
              <w:rPr>
                <w14:ligatures w14:val="none"/>
              </w:rPr>
              <w:t>coronary artery atherosclerosis</w:t>
            </w:r>
          </w:p>
          <w:p w14:paraId="30C43DA5" w14:textId="77777777" w:rsidR="00A623E4" w:rsidRPr="00D423ED" w:rsidRDefault="00A623E4" w:rsidP="00EC2D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290"/>
            </w:pPr>
            <w:r>
              <w:rPr>
                <w14:ligatures w14:val="none"/>
              </w:rPr>
              <w:t>Complains</w:t>
            </w:r>
            <w:r w:rsidRPr="00D423ED">
              <w:rPr>
                <w14:ligatures w14:val="none"/>
              </w:rPr>
              <w:t xml:space="preserve"> of chest pain and collapses</w:t>
            </w:r>
          </w:p>
          <w:p w14:paraId="737DA7F3" w14:textId="77777777" w:rsidR="00A623E4" w:rsidRPr="00D423ED" w:rsidRDefault="00A623E4" w:rsidP="00EC2D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290"/>
            </w:pPr>
            <w:r w:rsidRPr="00D423ED">
              <w:rPr>
                <w14:ligatures w14:val="none"/>
              </w:rPr>
              <w:t xml:space="preserve">EMS </w:t>
            </w:r>
            <w:proofErr w:type="gramStart"/>
            <w:r w:rsidRPr="00D423ED">
              <w:rPr>
                <w14:ligatures w14:val="none"/>
              </w:rPr>
              <w:t>arrives</w:t>
            </w:r>
            <w:proofErr w:type="gramEnd"/>
            <w:r>
              <w:rPr>
                <w14:ligatures w14:val="none"/>
              </w:rPr>
              <w:t xml:space="preserve"> and </w:t>
            </w:r>
            <w:r w:rsidRPr="00D423ED">
              <w:rPr>
                <w14:ligatures w14:val="none"/>
              </w:rPr>
              <w:t xml:space="preserve">she is </w:t>
            </w:r>
            <w:proofErr w:type="spellStart"/>
            <w:r w:rsidRPr="00D423ED">
              <w:rPr>
                <w14:ligatures w14:val="none"/>
              </w:rPr>
              <w:t>asystolic</w:t>
            </w:r>
            <w:proofErr w:type="spellEnd"/>
            <w:r w:rsidRPr="00D423ED">
              <w:rPr>
                <w14:ligatures w14:val="none"/>
              </w:rPr>
              <w:t>.</w:t>
            </w:r>
          </w:p>
          <w:p w14:paraId="36A0FA48" w14:textId="77777777" w:rsidR="00A623E4" w:rsidRPr="00D423ED" w:rsidRDefault="00A623E4" w:rsidP="00EC2D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hanging="290"/>
            </w:pPr>
            <w:r w:rsidRPr="00D423ED">
              <w:rPr>
                <w14:ligatures w14:val="none"/>
              </w:rPr>
              <w:t xml:space="preserve">She </w:t>
            </w:r>
            <w:proofErr w:type="gramStart"/>
            <w:r w:rsidRPr="00D423ED">
              <w:rPr>
                <w14:ligatures w14:val="none"/>
              </w:rPr>
              <w:t>dies</w:t>
            </w:r>
            <w:proofErr w:type="gramEnd"/>
            <w:r w:rsidRPr="00D423ED">
              <w:rPr>
                <w14:ligatures w14:val="none"/>
              </w:rPr>
              <w:t xml:space="preserve"> and autopsy confirms significant coronary atherosclerosis</w:t>
            </w:r>
            <w:r>
              <w:rPr>
                <w14:ligatures w14:val="none"/>
              </w:rPr>
              <w:br/>
            </w:r>
          </w:p>
          <w:p w14:paraId="58AE704D" w14:textId="77777777" w:rsidR="00A623E4" w:rsidRPr="00183B92" w:rsidRDefault="00772A0E" w:rsidP="00EC2D22">
            <w:pPr>
              <w:spacing w:after="0" w:line="240" w:lineRule="auto"/>
              <w:ind w:left="70"/>
              <w:rPr>
                <w:sz w:val="16"/>
                <w:szCs w:val="16"/>
              </w:rPr>
            </w:pPr>
            <w:r>
              <w:rPr>
                <w:b/>
              </w:rPr>
              <w:t>The first example</w:t>
            </w:r>
            <w:r w:rsidR="00A623E4" w:rsidRPr="002A547E">
              <w:rPr>
                <w:b/>
                <w:sz w:val="16"/>
                <w:szCs w:val="16"/>
              </w:rPr>
              <w:t xml:space="preserve"> </w:t>
            </w:r>
            <w:r w:rsidR="00A623E4" w:rsidRPr="00CC7A81">
              <w:rPr>
                <w:b/>
                <w:szCs w:val="16"/>
              </w:rPr>
              <w:t>is</w:t>
            </w:r>
            <w:r w:rsidR="00A623E4" w:rsidRPr="00772A0E">
              <w:rPr>
                <w:b/>
                <w:sz w:val="16"/>
                <w:szCs w:val="16"/>
              </w:rPr>
              <w:t xml:space="preserve"> </w:t>
            </w:r>
            <w:r w:rsidR="00A623E4" w:rsidRPr="00A15BAF">
              <w:rPr>
                <w:b/>
                <w:szCs w:val="16"/>
                <w:u w:val="single"/>
              </w:rPr>
              <w:t>incorrect</w:t>
            </w:r>
            <w:r w:rsidR="00A623E4" w:rsidRPr="00C47824">
              <w:rPr>
                <w:sz w:val="16"/>
                <w:szCs w:val="16"/>
              </w:rPr>
              <w:t xml:space="preserve"> </w:t>
            </w:r>
            <w:r w:rsidR="00A623E4">
              <w:rPr>
                <w:sz w:val="16"/>
                <w:szCs w:val="16"/>
              </w:rPr>
              <w:t xml:space="preserve">because </w:t>
            </w:r>
            <w:r w:rsidR="00A623E4" w:rsidRPr="0014091C">
              <w:rPr>
                <w:sz w:val="16"/>
                <w:szCs w:val="16"/>
              </w:rPr>
              <w:t>it</w:t>
            </w:r>
            <w:r w:rsidR="00A623E4" w:rsidRPr="0003469C">
              <w:rPr>
                <w:sz w:val="16"/>
                <w:szCs w:val="16"/>
              </w:rPr>
              <w:t xml:space="preserve"> contains a non-specific cause of death </w:t>
            </w:r>
            <w:r w:rsidR="00A623E4">
              <w:rPr>
                <w:sz w:val="16"/>
                <w:szCs w:val="16"/>
              </w:rPr>
              <w:t>and does not provide an accurate sequence of events that explains why the person died from respiratory arrest.</w:t>
            </w:r>
            <w:r>
              <w:rPr>
                <w:sz w:val="16"/>
                <w:szCs w:val="16"/>
              </w:rPr>
              <w:br/>
            </w:r>
            <w:r>
              <w:rPr>
                <w:b/>
              </w:rPr>
              <w:t>The second example</w:t>
            </w:r>
            <w:r w:rsidR="00A623E4">
              <w:rPr>
                <w:b/>
              </w:rPr>
              <w:t xml:space="preserve"> </w:t>
            </w:r>
            <w:r w:rsidR="00A623E4" w:rsidRPr="00CC7A81">
              <w:rPr>
                <w:b/>
                <w:szCs w:val="16"/>
              </w:rPr>
              <w:t xml:space="preserve">is </w:t>
            </w:r>
            <w:r w:rsidR="00A623E4" w:rsidRPr="00A15BAF">
              <w:rPr>
                <w:b/>
                <w:szCs w:val="16"/>
                <w:u w:val="single"/>
              </w:rPr>
              <w:t>correct</w:t>
            </w:r>
            <w:r w:rsidR="00A623E4" w:rsidRPr="00A15BAF">
              <w:rPr>
                <w:b/>
                <w:sz w:val="20"/>
                <w:u w:val="single"/>
              </w:rPr>
              <w:t xml:space="preserve"> </w:t>
            </w:r>
            <w:r w:rsidR="00A623E4">
              <w:rPr>
                <w:sz w:val="16"/>
                <w:szCs w:val="16"/>
              </w:rPr>
              <w:t xml:space="preserve">because it </w:t>
            </w:r>
            <w:r w:rsidR="00A623E4" w:rsidRPr="00C93BE3">
              <w:rPr>
                <w:sz w:val="16"/>
                <w:szCs w:val="16"/>
              </w:rPr>
              <w:t xml:space="preserve">contains an accurate causal sequence of events that explains why the patient </w:t>
            </w:r>
            <w:r w:rsidR="00A623E4">
              <w:rPr>
                <w:sz w:val="16"/>
                <w:szCs w:val="16"/>
              </w:rPr>
              <w:t>died of a probable acute myocardial infarction.</w:t>
            </w:r>
          </w:p>
        </w:tc>
        <w:tc>
          <w:tcPr>
            <w:tcW w:w="1944" w:type="dxa"/>
            <w:shd w:val="clear" w:color="auto" w:fill="FBE4D5" w:themeFill="accent2" w:themeFillTint="33"/>
          </w:tcPr>
          <w:p w14:paraId="37171323" w14:textId="77777777" w:rsidR="00A623E4" w:rsidRPr="00162935" w:rsidRDefault="00B24317" w:rsidP="00EC2D22">
            <w:pPr>
              <w:spacing w:after="0" w:line="240" w:lineRule="auto"/>
              <w:rPr>
                <w:b/>
              </w:rPr>
            </w:pPr>
            <w:r>
              <w:br/>
            </w:r>
            <w:r w:rsidRPr="00162935">
              <w:rPr>
                <w:b/>
              </w:rPr>
              <w:t>Part I</w:t>
            </w:r>
            <w:r w:rsidRPr="00162935">
              <w:rPr>
                <w:b/>
              </w:rPr>
              <w:br/>
            </w:r>
          </w:p>
          <w:p w14:paraId="0B460567" w14:textId="53E01FA0" w:rsidR="00A623E4" w:rsidRDefault="00A623E4" w:rsidP="00EC2D22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D423ED">
              <w:rPr>
                <w:b/>
              </w:rPr>
              <w:t xml:space="preserve">Respiratory </w:t>
            </w:r>
            <w:r w:rsidR="00963314">
              <w:rPr>
                <w:b/>
              </w:rPr>
              <w:t>a</w:t>
            </w:r>
            <w:r w:rsidRPr="00D423ED">
              <w:rPr>
                <w:b/>
              </w:rPr>
              <w:t>rrest</w:t>
            </w:r>
            <w:r>
              <w:rPr>
                <w:b/>
              </w:rPr>
              <w:br/>
            </w:r>
          </w:p>
          <w:p w14:paraId="1849F22C" w14:textId="77777777" w:rsidR="00A623E4" w:rsidRDefault="00A623E4" w:rsidP="00EC2D22">
            <w:pPr>
              <w:spacing w:after="0" w:line="240" w:lineRule="auto"/>
            </w:pPr>
          </w:p>
          <w:p w14:paraId="67DC4CD6" w14:textId="77777777" w:rsidR="00A623E4" w:rsidRPr="00162935" w:rsidRDefault="00B24317" w:rsidP="00EC2D22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br/>
            </w:r>
            <w:r>
              <w:br/>
            </w:r>
            <w:r w:rsidR="00FF5FD7">
              <w:rPr>
                <w:b/>
              </w:rPr>
              <w:br/>
            </w:r>
            <w:r w:rsidR="00FF5FD7">
              <w:rPr>
                <w:b/>
              </w:rPr>
              <w:br/>
            </w:r>
            <w:r w:rsidRPr="00162935">
              <w:rPr>
                <w:b/>
              </w:rPr>
              <w:t>Part II</w:t>
            </w:r>
          </w:p>
          <w:p w14:paraId="097C9931" w14:textId="77777777" w:rsidR="00A623E4" w:rsidRDefault="00A623E4" w:rsidP="00EC2D22">
            <w:pPr>
              <w:pStyle w:val="ListParagraph"/>
              <w:spacing w:after="0" w:line="240" w:lineRule="auto"/>
              <w:ind w:left="360"/>
            </w:pPr>
          </w:p>
          <w:p w14:paraId="0C0DB26A" w14:textId="77777777" w:rsidR="00A623E4" w:rsidRDefault="00A623E4" w:rsidP="00EC2D22">
            <w:pPr>
              <w:pStyle w:val="ListParagraph"/>
              <w:spacing w:after="0" w:line="240" w:lineRule="auto"/>
              <w:ind w:left="360"/>
            </w:pPr>
          </w:p>
          <w:p w14:paraId="0482362C" w14:textId="77777777" w:rsidR="00A623E4" w:rsidRPr="000C7746" w:rsidRDefault="00A623E4" w:rsidP="00EC2D2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E2EFD9" w:themeFill="accent6" w:themeFillTint="33"/>
          </w:tcPr>
          <w:p w14:paraId="1264E92A" w14:textId="77777777" w:rsidR="00A623E4" w:rsidRPr="00162935" w:rsidRDefault="007819A8" w:rsidP="00EC2D22">
            <w:pPr>
              <w:spacing w:after="0" w:line="240" w:lineRule="auto"/>
              <w:rPr>
                <w:b/>
              </w:rPr>
            </w:pPr>
            <w:r>
              <w:br/>
            </w:r>
            <w:r w:rsidRPr="00162935">
              <w:rPr>
                <w:b/>
              </w:rPr>
              <w:t>Part I</w:t>
            </w:r>
            <w:r w:rsidR="00B24317" w:rsidRPr="00162935">
              <w:rPr>
                <w:b/>
              </w:rPr>
              <w:br/>
            </w:r>
          </w:p>
          <w:p w14:paraId="4451A60E" w14:textId="70EEC547" w:rsidR="00A623E4" w:rsidRPr="00D423ED" w:rsidRDefault="00A623E4" w:rsidP="00EC2D22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rPr>
                <w:b/>
              </w:rPr>
              <w:t xml:space="preserve">Probable </w:t>
            </w:r>
            <w:r w:rsidR="00963314">
              <w:rPr>
                <w:b/>
              </w:rPr>
              <w:t>a</w:t>
            </w:r>
            <w:r>
              <w:rPr>
                <w:b/>
              </w:rPr>
              <w:t xml:space="preserve">cute </w:t>
            </w:r>
            <w:r w:rsidR="00963314">
              <w:rPr>
                <w:b/>
              </w:rPr>
              <w:t>m</w:t>
            </w:r>
            <w:r w:rsidRPr="00F4180F">
              <w:rPr>
                <w:b/>
              </w:rPr>
              <w:t>yocardial infarction</w:t>
            </w:r>
            <w:r w:rsidRPr="00B40127">
              <w:br/>
            </w:r>
            <w:r w:rsidRPr="002E0679">
              <w:rPr>
                <w:sz w:val="16"/>
                <w:szCs w:val="16"/>
              </w:rPr>
              <w:t xml:space="preserve">due to or </w:t>
            </w:r>
            <w:proofErr w:type="gramStart"/>
            <w:r w:rsidRPr="002E0679">
              <w:rPr>
                <w:sz w:val="16"/>
                <w:szCs w:val="16"/>
              </w:rPr>
              <w:t>as a consequence of</w:t>
            </w:r>
            <w:proofErr w:type="gramEnd"/>
            <w:r w:rsidRPr="002E0679">
              <w:rPr>
                <w:sz w:val="16"/>
                <w:szCs w:val="16"/>
              </w:rPr>
              <w:t>;</w:t>
            </w:r>
          </w:p>
          <w:p w14:paraId="0B5C50F7" w14:textId="703C18B8" w:rsidR="00A623E4" w:rsidRPr="000C7746" w:rsidRDefault="00A623E4" w:rsidP="00EC2D22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D423ED">
              <w:rPr>
                <w:b/>
              </w:rPr>
              <w:t xml:space="preserve">Coronary </w:t>
            </w:r>
            <w:r w:rsidR="00963314">
              <w:rPr>
                <w:b/>
              </w:rPr>
              <w:t>a</w:t>
            </w:r>
            <w:r w:rsidRPr="00D423ED">
              <w:rPr>
                <w:b/>
              </w:rPr>
              <w:t xml:space="preserve">rtery </w:t>
            </w:r>
            <w:r w:rsidR="00963314">
              <w:rPr>
                <w:b/>
              </w:rPr>
              <w:t>a</w:t>
            </w:r>
            <w:r w:rsidRPr="00D423ED">
              <w:rPr>
                <w:b/>
              </w:rPr>
              <w:t>therosclerosis</w:t>
            </w:r>
          </w:p>
          <w:p w14:paraId="6F9ABA17" w14:textId="77777777" w:rsidR="00A623E4" w:rsidRDefault="00A623E4" w:rsidP="00EC2D22">
            <w:pPr>
              <w:spacing w:after="0" w:line="240" w:lineRule="auto"/>
            </w:pPr>
          </w:p>
          <w:p w14:paraId="1DE2048F" w14:textId="77777777" w:rsidR="00A623E4" w:rsidRPr="00162935" w:rsidRDefault="00FF5FD7" w:rsidP="00EC2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B24317" w:rsidRPr="00162935">
              <w:rPr>
                <w:b/>
              </w:rPr>
              <w:t>Part II</w:t>
            </w:r>
          </w:p>
          <w:p w14:paraId="02D5B3B3" w14:textId="1B1439E8" w:rsidR="00B24317" w:rsidRPr="00D423ED" w:rsidRDefault="00D744D1" w:rsidP="00EC2D22">
            <w:pPr>
              <w:spacing w:after="0" w:line="240" w:lineRule="auto"/>
            </w:pPr>
            <w:r>
              <w:t>Obesity</w:t>
            </w:r>
          </w:p>
        </w:tc>
      </w:tr>
    </w:tbl>
    <w:p w14:paraId="634A7449" w14:textId="77777777" w:rsidR="00C02D26" w:rsidRDefault="00F373F8" w:rsidP="00EC2D22">
      <w:pPr>
        <w:jc w:val="center"/>
        <w:rPr>
          <w:b/>
          <w:bCs/>
          <w:color w:val="0070C0"/>
          <w:sz w:val="24"/>
          <w:szCs w:val="24"/>
          <w14:ligatures w14:val="none"/>
        </w:rPr>
      </w:pPr>
      <w:r>
        <w:rPr>
          <w:b/>
          <w:bCs/>
          <w:color w:val="0070C0"/>
          <w:sz w:val="24"/>
          <w:szCs w:val="24"/>
          <w14:ligatures w14:val="none"/>
        </w:rPr>
        <w:br/>
      </w:r>
      <w:r w:rsidR="00EC2D22">
        <w:rPr>
          <w:b/>
          <w:bCs/>
          <w:color w:val="0070C0"/>
          <w:sz w:val="24"/>
          <w:szCs w:val="24"/>
          <w14:ligatures w14:val="none"/>
        </w:rPr>
        <w:t>Thank you for improving public health through better reporting!</w:t>
      </w:r>
    </w:p>
    <w:sectPr w:rsidR="00C02D26" w:rsidSect="00F373F8">
      <w:footerReference w:type="default" r:id="rId13"/>
      <w:pgSz w:w="12240" w:h="15840"/>
      <w:pgMar w:top="432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95CB2" w14:textId="77777777" w:rsidR="000B2148" w:rsidRDefault="000B2148" w:rsidP="00FD18E1">
      <w:pPr>
        <w:spacing w:after="0" w:line="240" w:lineRule="auto"/>
      </w:pPr>
      <w:r>
        <w:separator/>
      </w:r>
    </w:p>
  </w:endnote>
  <w:endnote w:type="continuationSeparator" w:id="0">
    <w:p w14:paraId="4C09298E" w14:textId="77777777" w:rsidR="000B2148" w:rsidRDefault="000B2148" w:rsidP="00FD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D208" w14:textId="77777777" w:rsidR="00241FA0" w:rsidRPr="005B0936" w:rsidRDefault="00241FA0" w:rsidP="00241FA0">
    <w:pPr>
      <w:pStyle w:val="Footer"/>
      <w:rPr>
        <w:rStyle w:val="Hyperlink"/>
        <w:rFonts w:ascii="Segoe UI" w:hAnsi="Segoe UI" w:cs="Segoe UI"/>
        <w:color w:val="auto"/>
        <w:sz w:val="16"/>
        <w:szCs w:val="16"/>
        <w:shd w:val="clear" w:color="auto" w:fill="FFFFFF"/>
      </w:rPr>
    </w:pPr>
    <w:r w:rsidRPr="005B0936">
      <w:rPr>
        <w:i/>
        <w:color w:val="auto"/>
        <w:sz w:val="16"/>
        <w:szCs w:val="16"/>
        <w14:ligatures w14:val="none"/>
      </w:rPr>
      <w:t>Massachusetts Registry of Vital Records and Statistics</w:t>
    </w:r>
    <w:r>
      <w:rPr>
        <w:color w:val="auto"/>
        <w:sz w:val="16"/>
        <w:szCs w:val="16"/>
        <w14:ligatures w14:val="none"/>
      </w:rPr>
      <w:t>,</w:t>
    </w:r>
    <w:r w:rsidRPr="005B0936">
      <w:rPr>
        <w:color w:val="auto"/>
        <w:sz w:val="16"/>
        <w:szCs w:val="16"/>
        <w14:ligatures w14:val="none"/>
      </w:rPr>
      <w:t xml:space="preserve"> Massachusetts Department</w:t>
    </w:r>
    <w:r>
      <w:rPr>
        <w:color w:val="auto"/>
        <w:sz w:val="16"/>
        <w:szCs w:val="16"/>
        <w14:ligatures w14:val="none"/>
      </w:rPr>
      <w:t xml:space="preserve"> of Public Health.</w:t>
    </w:r>
    <w:r w:rsidRPr="005B0936">
      <w:rPr>
        <w:color w:val="auto"/>
        <w:sz w:val="16"/>
        <w:szCs w:val="16"/>
        <w14:ligatures w14:val="none"/>
      </w:rPr>
      <w:t xml:space="preserve"> This document </w:t>
    </w:r>
    <w:r>
      <w:rPr>
        <w:color w:val="auto"/>
        <w:sz w:val="16"/>
        <w:szCs w:val="16"/>
        <w14:ligatures w14:val="none"/>
      </w:rPr>
      <w:t xml:space="preserve">and other guides </w:t>
    </w:r>
    <w:r w:rsidRPr="005B0936">
      <w:rPr>
        <w:color w:val="auto"/>
        <w:sz w:val="16"/>
        <w:szCs w:val="16"/>
        <w14:ligatures w14:val="none"/>
      </w:rPr>
      <w:t xml:space="preserve">can be found at </w:t>
    </w:r>
    <w:hyperlink r:id="rId1" w:tgtFrame="_blank" w:history="1">
      <w:r w:rsidRPr="006C0BAB">
        <w:rPr>
          <w:rStyle w:val="Hyperlink"/>
          <w:color w:val="auto"/>
          <w:sz w:val="16"/>
          <w:szCs w:val="16"/>
          <w:shd w:val="clear" w:color="auto" w:fill="FFFFFF"/>
        </w:rPr>
        <w:t>https://www.mass.gov/service-details/vip-edrs-for-medical-certifiers</w:t>
      </w:r>
    </w:hyperlink>
    <w:r w:rsidR="002F3322" w:rsidRPr="006C0BAB">
      <w:rPr>
        <w:rStyle w:val="Hyperlink"/>
        <w:color w:val="auto"/>
        <w:sz w:val="16"/>
        <w:szCs w:val="16"/>
        <w:shd w:val="clear" w:color="auto" w:fill="FFFFFF"/>
      </w:rPr>
      <w:t>.</w:t>
    </w:r>
  </w:p>
  <w:sdt>
    <w:sdtPr>
      <w:id w:val="67215400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27A59AB" w14:textId="07B14A64" w:rsidR="00772EEC" w:rsidRPr="00A54FFB" w:rsidRDefault="00EC2D22" w:rsidP="00EC2D22">
        <w:pPr>
          <w:pStyle w:val="Footer"/>
          <w:rPr>
            <w:sz w:val="16"/>
            <w:szCs w:val="16"/>
          </w:rPr>
        </w:pPr>
        <w:r w:rsidRPr="00A54FFB">
          <w:rPr>
            <w:color w:val="auto"/>
            <w:sz w:val="16"/>
            <w:szCs w:val="16"/>
            <w14:ligatures w14:val="none"/>
          </w:rPr>
          <w:t>Rev. 0</w:t>
        </w:r>
        <w:r w:rsidR="007F1BA5">
          <w:rPr>
            <w:color w:val="auto"/>
            <w:sz w:val="16"/>
            <w:szCs w:val="16"/>
            <w14:ligatures w14:val="none"/>
          </w:rPr>
          <w:t>314</w:t>
        </w:r>
        <w:r w:rsidRPr="00A54FFB">
          <w:rPr>
            <w:color w:val="auto"/>
            <w:sz w:val="16"/>
            <w:szCs w:val="16"/>
            <w14:ligatures w14:val="none"/>
          </w:rPr>
          <w:t xml:space="preserve">19                                                                                                                                                                                           </w:t>
        </w:r>
        <w:r w:rsidR="009A0C5F" w:rsidRPr="00A54FFB">
          <w:rPr>
            <w:sz w:val="16"/>
            <w:szCs w:val="16"/>
          </w:rPr>
          <w:fldChar w:fldCharType="begin"/>
        </w:r>
        <w:r w:rsidR="009A0C5F" w:rsidRPr="00A54FFB">
          <w:rPr>
            <w:sz w:val="16"/>
            <w:szCs w:val="16"/>
          </w:rPr>
          <w:instrText xml:space="preserve"> PAGE   \* MERGEFORMAT </w:instrText>
        </w:r>
        <w:r w:rsidR="009A0C5F" w:rsidRPr="00A54FFB">
          <w:rPr>
            <w:sz w:val="16"/>
            <w:szCs w:val="16"/>
          </w:rPr>
          <w:fldChar w:fldCharType="separate"/>
        </w:r>
        <w:r w:rsidR="00650ADD">
          <w:rPr>
            <w:noProof/>
            <w:sz w:val="16"/>
            <w:szCs w:val="16"/>
          </w:rPr>
          <w:t>1</w:t>
        </w:r>
        <w:r w:rsidR="009A0C5F" w:rsidRPr="00A54FFB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1E99D" w14:textId="77777777" w:rsidR="000B2148" w:rsidRDefault="000B2148" w:rsidP="00FD18E1">
      <w:pPr>
        <w:spacing w:after="0" w:line="240" w:lineRule="auto"/>
      </w:pPr>
      <w:r>
        <w:separator/>
      </w:r>
    </w:p>
  </w:footnote>
  <w:footnote w:type="continuationSeparator" w:id="0">
    <w:p w14:paraId="03975A55" w14:textId="77777777" w:rsidR="000B2148" w:rsidRDefault="000B2148" w:rsidP="00FD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31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DBDAB4E4"/>
    <w:lvl w:ilvl="0">
      <w:numFmt w:val="bullet"/>
      <w:lvlText w:val="*"/>
      <w:lvlJc w:val="left"/>
    </w:lvl>
  </w:abstractNum>
  <w:abstractNum w:abstractNumId="1" w15:restartNumberingAfterBreak="0">
    <w:nsid w:val="120577AD"/>
    <w:multiLevelType w:val="hybridMultilevel"/>
    <w:tmpl w:val="D6B227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299A"/>
    <w:multiLevelType w:val="hybridMultilevel"/>
    <w:tmpl w:val="9F96AAB2"/>
    <w:lvl w:ilvl="0" w:tplc="04FA478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67CBA"/>
    <w:multiLevelType w:val="hybridMultilevel"/>
    <w:tmpl w:val="6B64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2B4D"/>
    <w:multiLevelType w:val="hybridMultilevel"/>
    <w:tmpl w:val="D6B227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22D51"/>
    <w:multiLevelType w:val="hybridMultilevel"/>
    <w:tmpl w:val="91D4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2D16"/>
    <w:multiLevelType w:val="hybridMultilevel"/>
    <w:tmpl w:val="F9F4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66B3"/>
    <w:multiLevelType w:val="hybridMultilevel"/>
    <w:tmpl w:val="6A8C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D295C"/>
    <w:multiLevelType w:val="hybridMultilevel"/>
    <w:tmpl w:val="6436E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6D7B"/>
    <w:multiLevelType w:val="hybridMultilevel"/>
    <w:tmpl w:val="9F96AAB2"/>
    <w:lvl w:ilvl="0" w:tplc="04FA478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654900"/>
    <w:multiLevelType w:val="hybridMultilevel"/>
    <w:tmpl w:val="A678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26120"/>
    <w:multiLevelType w:val="hybridMultilevel"/>
    <w:tmpl w:val="7E3E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C500A"/>
    <w:multiLevelType w:val="hybridMultilevel"/>
    <w:tmpl w:val="0DBC33EC"/>
    <w:lvl w:ilvl="0" w:tplc="2E2CA30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D57E9"/>
    <w:multiLevelType w:val="hybridMultilevel"/>
    <w:tmpl w:val="BF98C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C394A"/>
    <w:multiLevelType w:val="hybridMultilevel"/>
    <w:tmpl w:val="032E5D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893845"/>
    <w:multiLevelType w:val="hybridMultilevel"/>
    <w:tmpl w:val="F000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62AC2"/>
    <w:multiLevelType w:val="hybridMultilevel"/>
    <w:tmpl w:val="3C5AD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EF4760"/>
    <w:multiLevelType w:val="hybridMultilevel"/>
    <w:tmpl w:val="064A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57C5C"/>
    <w:multiLevelType w:val="hybridMultilevel"/>
    <w:tmpl w:val="EFB8E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512D2"/>
    <w:multiLevelType w:val="hybridMultilevel"/>
    <w:tmpl w:val="1E341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D2CAD"/>
    <w:multiLevelType w:val="hybridMultilevel"/>
    <w:tmpl w:val="9CBEB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649E9"/>
    <w:multiLevelType w:val="hybridMultilevel"/>
    <w:tmpl w:val="6436E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0B6"/>
    <w:multiLevelType w:val="hybridMultilevel"/>
    <w:tmpl w:val="892A99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F64A4"/>
    <w:multiLevelType w:val="hybridMultilevel"/>
    <w:tmpl w:val="69D81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4733C5"/>
    <w:multiLevelType w:val="hybridMultilevel"/>
    <w:tmpl w:val="A1C47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56685"/>
    <w:multiLevelType w:val="hybridMultilevel"/>
    <w:tmpl w:val="B1E66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FC785A"/>
    <w:multiLevelType w:val="hybridMultilevel"/>
    <w:tmpl w:val="DD4C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F75A0"/>
    <w:multiLevelType w:val="hybridMultilevel"/>
    <w:tmpl w:val="9F96AAB2"/>
    <w:lvl w:ilvl="0" w:tplc="04FA478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C72AB"/>
    <w:multiLevelType w:val="hybridMultilevel"/>
    <w:tmpl w:val="9CBEB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21419"/>
    <w:multiLevelType w:val="hybridMultilevel"/>
    <w:tmpl w:val="8EF0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4"/>
        </w:rPr>
      </w:lvl>
    </w:lvlOverride>
  </w:num>
  <w:num w:numId="2">
    <w:abstractNumId w:val="26"/>
  </w:num>
  <w:num w:numId="3">
    <w:abstractNumId w:val="10"/>
  </w:num>
  <w:num w:numId="4">
    <w:abstractNumId w:val="7"/>
  </w:num>
  <w:num w:numId="5">
    <w:abstractNumId w:val="29"/>
  </w:num>
  <w:num w:numId="6">
    <w:abstractNumId w:val="21"/>
  </w:num>
  <w:num w:numId="7">
    <w:abstractNumId w:val="19"/>
  </w:num>
  <w:num w:numId="8">
    <w:abstractNumId w:val="18"/>
  </w:num>
  <w:num w:numId="9">
    <w:abstractNumId w:val="8"/>
  </w:num>
  <w:num w:numId="10">
    <w:abstractNumId w:val="28"/>
  </w:num>
  <w:num w:numId="11">
    <w:abstractNumId w:val="22"/>
  </w:num>
  <w:num w:numId="12">
    <w:abstractNumId w:val="1"/>
  </w:num>
  <w:num w:numId="13">
    <w:abstractNumId w:val="4"/>
  </w:num>
  <w:num w:numId="14">
    <w:abstractNumId w:val="20"/>
  </w:num>
  <w:num w:numId="15">
    <w:abstractNumId w:val="15"/>
  </w:num>
  <w:num w:numId="16">
    <w:abstractNumId w:val="5"/>
  </w:num>
  <w:num w:numId="17">
    <w:abstractNumId w:val="3"/>
  </w:num>
  <w:num w:numId="18">
    <w:abstractNumId w:val="9"/>
  </w:num>
  <w:num w:numId="19">
    <w:abstractNumId w:val="12"/>
  </w:num>
  <w:num w:numId="20">
    <w:abstractNumId w:val="16"/>
  </w:num>
  <w:num w:numId="21">
    <w:abstractNumId w:val="6"/>
  </w:num>
  <w:num w:numId="22">
    <w:abstractNumId w:val="25"/>
  </w:num>
  <w:num w:numId="23">
    <w:abstractNumId w:val="11"/>
  </w:num>
  <w:num w:numId="24">
    <w:abstractNumId w:val="17"/>
  </w:num>
  <w:num w:numId="25">
    <w:abstractNumId w:val="24"/>
  </w:num>
  <w:num w:numId="26">
    <w:abstractNumId w:val="23"/>
  </w:num>
  <w:num w:numId="27">
    <w:abstractNumId w:val="14"/>
  </w:num>
  <w:num w:numId="28">
    <w:abstractNumId w:val="2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31"/>
    <w:rsid w:val="00006619"/>
    <w:rsid w:val="0001054B"/>
    <w:rsid w:val="000119E8"/>
    <w:rsid w:val="00011CC1"/>
    <w:rsid w:val="00012EED"/>
    <w:rsid w:val="0001617F"/>
    <w:rsid w:val="000179F3"/>
    <w:rsid w:val="0002082D"/>
    <w:rsid w:val="0002231E"/>
    <w:rsid w:val="00022C4B"/>
    <w:rsid w:val="00024369"/>
    <w:rsid w:val="000243DD"/>
    <w:rsid w:val="00027351"/>
    <w:rsid w:val="00032872"/>
    <w:rsid w:val="00034596"/>
    <w:rsid w:val="0003469C"/>
    <w:rsid w:val="000372D8"/>
    <w:rsid w:val="00040D33"/>
    <w:rsid w:val="00040D39"/>
    <w:rsid w:val="0004326C"/>
    <w:rsid w:val="00050022"/>
    <w:rsid w:val="00052DE2"/>
    <w:rsid w:val="00053E90"/>
    <w:rsid w:val="00061801"/>
    <w:rsid w:val="00063B36"/>
    <w:rsid w:val="00064708"/>
    <w:rsid w:val="00072A7B"/>
    <w:rsid w:val="00074DCE"/>
    <w:rsid w:val="000752F5"/>
    <w:rsid w:val="0007639B"/>
    <w:rsid w:val="00082543"/>
    <w:rsid w:val="00084E43"/>
    <w:rsid w:val="000857F1"/>
    <w:rsid w:val="000870FE"/>
    <w:rsid w:val="0009112B"/>
    <w:rsid w:val="00092654"/>
    <w:rsid w:val="00092DA2"/>
    <w:rsid w:val="00092F4C"/>
    <w:rsid w:val="00094201"/>
    <w:rsid w:val="000A151C"/>
    <w:rsid w:val="000A2FEE"/>
    <w:rsid w:val="000A35A8"/>
    <w:rsid w:val="000B2148"/>
    <w:rsid w:val="000B7E53"/>
    <w:rsid w:val="000C0831"/>
    <w:rsid w:val="000C3A84"/>
    <w:rsid w:val="000C46D9"/>
    <w:rsid w:val="000C7746"/>
    <w:rsid w:val="000E193C"/>
    <w:rsid w:val="000E1E1D"/>
    <w:rsid w:val="000F2346"/>
    <w:rsid w:val="000F6FBC"/>
    <w:rsid w:val="00100CFA"/>
    <w:rsid w:val="0010230D"/>
    <w:rsid w:val="00102993"/>
    <w:rsid w:val="00102B7C"/>
    <w:rsid w:val="00102FC1"/>
    <w:rsid w:val="001055E6"/>
    <w:rsid w:val="00112986"/>
    <w:rsid w:val="001149DE"/>
    <w:rsid w:val="00124649"/>
    <w:rsid w:val="00126265"/>
    <w:rsid w:val="00132195"/>
    <w:rsid w:val="001325CD"/>
    <w:rsid w:val="00132CA9"/>
    <w:rsid w:val="00133D42"/>
    <w:rsid w:val="0014091C"/>
    <w:rsid w:val="0014441A"/>
    <w:rsid w:val="0014704B"/>
    <w:rsid w:val="001501C8"/>
    <w:rsid w:val="00156D4D"/>
    <w:rsid w:val="0016172D"/>
    <w:rsid w:val="00162935"/>
    <w:rsid w:val="00162AD6"/>
    <w:rsid w:val="00163825"/>
    <w:rsid w:val="00183B92"/>
    <w:rsid w:val="00185D7B"/>
    <w:rsid w:val="001901B4"/>
    <w:rsid w:val="00193142"/>
    <w:rsid w:val="00194183"/>
    <w:rsid w:val="001944EC"/>
    <w:rsid w:val="00195287"/>
    <w:rsid w:val="00195EF3"/>
    <w:rsid w:val="00196989"/>
    <w:rsid w:val="001A26B3"/>
    <w:rsid w:val="001A3903"/>
    <w:rsid w:val="001A4B17"/>
    <w:rsid w:val="001A77E3"/>
    <w:rsid w:val="001C183A"/>
    <w:rsid w:val="001C1A3C"/>
    <w:rsid w:val="001C1AE7"/>
    <w:rsid w:val="001C4AD5"/>
    <w:rsid w:val="001D6CD4"/>
    <w:rsid w:val="001D6D83"/>
    <w:rsid w:val="001D7DC4"/>
    <w:rsid w:val="001E1B7B"/>
    <w:rsid w:val="001E64C2"/>
    <w:rsid w:val="001E6A3C"/>
    <w:rsid w:val="001F46B0"/>
    <w:rsid w:val="001F7034"/>
    <w:rsid w:val="002022D7"/>
    <w:rsid w:val="002028B1"/>
    <w:rsid w:val="00202C8C"/>
    <w:rsid w:val="002038EC"/>
    <w:rsid w:val="002057A6"/>
    <w:rsid w:val="00206350"/>
    <w:rsid w:val="00216D30"/>
    <w:rsid w:val="00217BE3"/>
    <w:rsid w:val="00223BF9"/>
    <w:rsid w:val="0022658E"/>
    <w:rsid w:val="0023313D"/>
    <w:rsid w:val="0023562D"/>
    <w:rsid w:val="00241D11"/>
    <w:rsid w:val="00241FA0"/>
    <w:rsid w:val="00242037"/>
    <w:rsid w:val="00243888"/>
    <w:rsid w:val="00253793"/>
    <w:rsid w:val="00256B2B"/>
    <w:rsid w:val="00257059"/>
    <w:rsid w:val="00263F10"/>
    <w:rsid w:val="00270866"/>
    <w:rsid w:val="00271FD4"/>
    <w:rsid w:val="0027471C"/>
    <w:rsid w:val="00286FBE"/>
    <w:rsid w:val="0029734F"/>
    <w:rsid w:val="002A0725"/>
    <w:rsid w:val="002A331D"/>
    <w:rsid w:val="002A4755"/>
    <w:rsid w:val="002A547E"/>
    <w:rsid w:val="002A5CCB"/>
    <w:rsid w:val="002A63BA"/>
    <w:rsid w:val="002A6EA7"/>
    <w:rsid w:val="002A7CB1"/>
    <w:rsid w:val="002B3700"/>
    <w:rsid w:val="002B7AC7"/>
    <w:rsid w:val="002C1BE1"/>
    <w:rsid w:val="002C6CEB"/>
    <w:rsid w:val="002C7801"/>
    <w:rsid w:val="002D1261"/>
    <w:rsid w:val="002D257C"/>
    <w:rsid w:val="002E0679"/>
    <w:rsid w:val="002E3305"/>
    <w:rsid w:val="002E5F31"/>
    <w:rsid w:val="002F0F68"/>
    <w:rsid w:val="002F3322"/>
    <w:rsid w:val="002F342E"/>
    <w:rsid w:val="002F3DFB"/>
    <w:rsid w:val="002F43FE"/>
    <w:rsid w:val="002F788C"/>
    <w:rsid w:val="00300E90"/>
    <w:rsid w:val="00304890"/>
    <w:rsid w:val="003052A7"/>
    <w:rsid w:val="003055EC"/>
    <w:rsid w:val="00306E38"/>
    <w:rsid w:val="0031281F"/>
    <w:rsid w:val="00315D89"/>
    <w:rsid w:val="00316083"/>
    <w:rsid w:val="00325A23"/>
    <w:rsid w:val="003261A7"/>
    <w:rsid w:val="0032792E"/>
    <w:rsid w:val="00334A9F"/>
    <w:rsid w:val="00334B52"/>
    <w:rsid w:val="0033737A"/>
    <w:rsid w:val="00342CFA"/>
    <w:rsid w:val="00344671"/>
    <w:rsid w:val="00344AC9"/>
    <w:rsid w:val="003453BB"/>
    <w:rsid w:val="003464F9"/>
    <w:rsid w:val="00350241"/>
    <w:rsid w:val="00350D7F"/>
    <w:rsid w:val="003518AB"/>
    <w:rsid w:val="003529DB"/>
    <w:rsid w:val="00355223"/>
    <w:rsid w:val="003627A2"/>
    <w:rsid w:val="00366CB5"/>
    <w:rsid w:val="00370CA1"/>
    <w:rsid w:val="00381A7C"/>
    <w:rsid w:val="0038437C"/>
    <w:rsid w:val="00386F63"/>
    <w:rsid w:val="00387169"/>
    <w:rsid w:val="0039033B"/>
    <w:rsid w:val="003909D5"/>
    <w:rsid w:val="00390A0C"/>
    <w:rsid w:val="00395496"/>
    <w:rsid w:val="00397385"/>
    <w:rsid w:val="003A1422"/>
    <w:rsid w:val="003A150B"/>
    <w:rsid w:val="003A3CDC"/>
    <w:rsid w:val="003A5FE0"/>
    <w:rsid w:val="003B39C3"/>
    <w:rsid w:val="003B3D9D"/>
    <w:rsid w:val="003C308A"/>
    <w:rsid w:val="003C5069"/>
    <w:rsid w:val="003D216B"/>
    <w:rsid w:val="003E2CD5"/>
    <w:rsid w:val="003E68C5"/>
    <w:rsid w:val="003F08DA"/>
    <w:rsid w:val="003F255D"/>
    <w:rsid w:val="00400234"/>
    <w:rsid w:val="00400511"/>
    <w:rsid w:val="004027D9"/>
    <w:rsid w:val="00404735"/>
    <w:rsid w:val="004054C0"/>
    <w:rsid w:val="004067DF"/>
    <w:rsid w:val="00410839"/>
    <w:rsid w:val="00412635"/>
    <w:rsid w:val="00416CE0"/>
    <w:rsid w:val="004261ED"/>
    <w:rsid w:val="00433C8A"/>
    <w:rsid w:val="0043684F"/>
    <w:rsid w:val="00437543"/>
    <w:rsid w:val="00440294"/>
    <w:rsid w:val="0044075F"/>
    <w:rsid w:val="00443B5E"/>
    <w:rsid w:val="00446C52"/>
    <w:rsid w:val="00455E70"/>
    <w:rsid w:val="00460447"/>
    <w:rsid w:val="0046126D"/>
    <w:rsid w:val="00461F0D"/>
    <w:rsid w:val="00464650"/>
    <w:rsid w:val="0046755C"/>
    <w:rsid w:val="00467DDE"/>
    <w:rsid w:val="0047002B"/>
    <w:rsid w:val="00471610"/>
    <w:rsid w:val="00472E2D"/>
    <w:rsid w:val="00474BC3"/>
    <w:rsid w:val="004757AB"/>
    <w:rsid w:val="00477743"/>
    <w:rsid w:val="00480C07"/>
    <w:rsid w:val="004846BD"/>
    <w:rsid w:val="0048564C"/>
    <w:rsid w:val="00485D36"/>
    <w:rsid w:val="004877DA"/>
    <w:rsid w:val="00494E8E"/>
    <w:rsid w:val="00495AC4"/>
    <w:rsid w:val="00496D68"/>
    <w:rsid w:val="004A1ECF"/>
    <w:rsid w:val="004A385C"/>
    <w:rsid w:val="004A6225"/>
    <w:rsid w:val="004B4594"/>
    <w:rsid w:val="004B4B97"/>
    <w:rsid w:val="004C08FD"/>
    <w:rsid w:val="004D014D"/>
    <w:rsid w:val="004D2B3A"/>
    <w:rsid w:val="004D5C80"/>
    <w:rsid w:val="004D5C8B"/>
    <w:rsid w:val="004E01E9"/>
    <w:rsid w:val="004E3C53"/>
    <w:rsid w:val="004E627B"/>
    <w:rsid w:val="004E670F"/>
    <w:rsid w:val="004E778D"/>
    <w:rsid w:val="004E7859"/>
    <w:rsid w:val="004F1140"/>
    <w:rsid w:val="004F4048"/>
    <w:rsid w:val="004F6D25"/>
    <w:rsid w:val="00503B33"/>
    <w:rsid w:val="0050547B"/>
    <w:rsid w:val="0050591C"/>
    <w:rsid w:val="00507396"/>
    <w:rsid w:val="005156D0"/>
    <w:rsid w:val="00517055"/>
    <w:rsid w:val="00520671"/>
    <w:rsid w:val="00520A88"/>
    <w:rsid w:val="00520C22"/>
    <w:rsid w:val="005239FA"/>
    <w:rsid w:val="00524EF7"/>
    <w:rsid w:val="0052551D"/>
    <w:rsid w:val="00525B3E"/>
    <w:rsid w:val="00531132"/>
    <w:rsid w:val="0053398A"/>
    <w:rsid w:val="00535CA8"/>
    <w:rsid w:val="00542730"/>
    <w:rsid w:val="005540F5"/>
    <w:rsid w:val="00555BEC"/>
    <w:rsid w:val="005577AF"/>
    <w:rsid w:val="0056146C"/>
    <w:rsid w:val="005643A3"/>
    <w:rsid w:val="00567BBB"/>
    <w:rsid w:val="00570FE0"/>
    <w:rsid w:val="00570FF6"/>
    <w:rsid w:val="00571BBE"/>
    <w:rsid w:val="00574D5E"/>
    <w:rsid w:val="00576E41"/>
    <w:rsid w:val="00584C4F"/>
    <w:rsid w:val="005962A9"/>
    <w:rsid w:val="005A0C5C"/>
    <w:rsid w:val="005A2D7E"/>
    <w:rsid w:val="005A4D43"/>
    <w:rsid w:val="005B00AE"/>
    <w:rsid w:val="005B0936"/>
    <w:rsid w:val="005B20D5"/>
    <w:rsid w:val="005B4C54"/>
    <w:rsid w:val="005B4F90"/>
    <w:rsid w:val="005B6DF4"/>
    <w:rsid w:val="005C071F"/>
    <w:rsid w:val="005C647D"/>
    <w:rsid w:val="005C6F7B"/>
    <w:rsid w:val="005C71DA"/>
    <w:rsid w:val="005D0BB6"/>
    <w:rsid w:val="005D35F7"/>
    <w:rsid w:val="005D4CB0"/>
    <w:rsid w:val="005D571B"/>
    <w:rsid w:val="005D5A9B"/>
    <w:rsid w:val="005D7742"/>
    <w:rsid w:val="005E2D50"/>
    <w:rsid w:val="005E2FAC"/>
    <w:rsid w:val="005E323F"/>
    <w:rsid w:val="005E3D38"/>
    <w:rsid w:val="005E4841"/>
    <w:rsid w:val="005F43F5"/>
    <w:rsid w:val="005F57FE"/>
    <w:rsid w:val="00603915"/>
    <w:rsid w:val="00611138"/>
    <w:rsid w:val="00620AFD"/>
    <w:rsid w:val="00624647"/>
    <w:rsid w:val="00627386"/>
    <w:rsid w:val="00632F1A"/>
    <w:rsid w:val="0063339F"/>
    <w:rsid w:val="00634475"/>
    <w:rsid w:val="00644B25"/>
    <w:rsid w:val="00647072"/>
    <w:rsid w:val="0064741F"/>
    <w:rsid w:val="00647553"/>
    <w:rsid w:val="00650ADD"/>
    <w:rsid w:val="0065327C"/>
    <w:rsid w:val="006533B2"/>
    <w:rsid w:val="00657588"/>
    <w:rsid w:val="006640A7"/>
    <w:rsid w:val="006659CE"/>
    <w:rsid w:val="0067200B"/>
    <w:rsid w:val="0067280C"/>
    <w:rsid w:val="00681763"/>
    <w:rsid w:val="006823F9"/>
    <w:rsid w:val="00685CD1"/>
    <w:rsid w:val="00685F7F"/>
    <w:rsid w:val="00686131"/>
    <w:rsid w:val="0068634C"/>
    <w:rsid w:val="00686675"/>
    <w:rsid w:val="00687BB6"/>
    <w:rsid w:val="00687CA5"/>
    <w:rsid w:val="00694014"/>
    <w:rsid w:val="0069543F"/>
    <w:rsid w:val="0069777E"/>
    <w:rsid w:val="006A3E02"/>
    <w:rsid w:val="006A6CCE"/>
    <w:rsid w:val="006B2262"/>
    <w:rsid w:val="006B33DE"/>
    <w:rsid w:val="006C0BAB"/>
    <w:rsid w:val="006C299F"/>
    <w:rsid w:val="006C2D91"/>
    <w:rsid w:val="006C5D2B"/>
    <w:rsid w:val="006D6C6E"/>
    <w:rsid w:val="006E10CA"/>
    <w:rsid w:val="006E424B"/>
    <w:rsid w:val="006E6289"/>
    <w:rsid w:val="006E66B6"/>
    <w:rsid w:val="006F434F"/>
    <w:rsid w:val="006F60A6"/>
    <w:rsid w:val="006F629F"/>
    <w:rsid w:val="006F6814"/>
    <w:rsid w:val="006F70F2"/>
    <w:rsid w:val="006F735D"/>
    <w:rsid w:val="00704307"/>
    <w:rsid w:val="007064CD"/>
    <w:rsid w:val="00711215"/>
    <w:rsid w:val="0071152E"/>
    <w:rsid w:val="007131FF"/>
    <w:rsid w:val="00717802"/>
    <w:rsid w:val="00721911"/>
    <w:rsid w:val="0073078F"/>
    <w:rsid w:val="00731344"/>
    <w:rsid w:val="00732FF1"/>
    <w:rsid w:val="007443C2"/>
    <w:rsid w:val="0075234B"/>
    <w:rsid w:val="007537AC"/>
    <w:rsid w:val="00763EC5"/>
    <w:rsid w:val="00772A0E"/>
    <w:rsid w:val="00772EEC"/>
    <w:rsid w:val="00772FB5"/>
    <w:rsid w:val="00773986"/>
    <w:rsid w:val="007819A8"/>
    <w:rsid w:val="00781F0F"/>
    <w:rsid w:val="00783323"/>
    <w:rsid w:val="00785CAF"/>
    <w:rsid w:val="007918EB"/>
    <w:rsid w:val="00791ACF"/>
    <w:rsid w:val="007923DF"/>
    <w:rsid w:val="007929D8"/>
    <w:rsid w:val="007939B6"/>
    <w:rsid w:val="00795F39"/>
    <w:rsid w:val="00796E1F"/>
    <w:rsid w:val="007973C9"/>
    <w:rsid w:val="007977E2"/>
    <w:rsid w:val="007A4FA3"/>
    <w:rsid w:val="007B3A77"/>
    <w:rsid w:val="007B475F"/>
    <w:rsid w:val="007B6678"/>
    <w:rsid w:val="007C14BB"/>
    <w:rsid w:val="007C4F0A"/>
    <w:rsid w:val="007C4F60"/>
    <w:rsid w:val="007D17D8"/>
    <w:rsid w:val="007D1EB9"/>
    <w:rsid w:val="007D5ED4"/>
    <w:rsid w:val="007D695A"/>
    <w:rsid w:val="007D7C99"/>
    <w:rsid w:val="007E1847"/>
    <w:rsid w:val="007E438D"/>
    <w:rsid w:val="007E6B6A"/>
    <w:rsid w:val="007F1B19"/>
    <w:rsid w:val="007F1BA5"/>
    <w:rsid w:val="007F5869"/>
    <w:rsid w:val="007F6D25"/>
    <w:rsid w:val="008000B0"/>
    <w:rsid w:val="008001B7"/>
    <w:rsid w:val="00801F11"/>
    <w:rsid w:val="008046E8"/>
    <w:rsid w:val="00804884"/>
    <w:rsid w:val="00806BCF"/>
    <w:rsid w:val="0080730D"/>
    <w:rsid w:val="0081036A"/>
    <w:rsid w:val="00810DA0"/>
    <w:rsid w:val="00810E9B"/>
    <w:rsid w:val="00812227"/>
    <w:rsid w:val="00813CBB"/>
    <w:rsid w:val="00814831"/>
    <w:rsid w:val="008158FF"/>
    <w:rsid w:val="0081732F"/>
    <w:rsid w:val="008206F4"/>
    <w:rsid w:val="0082093B"/>
    <w:rsid w:val="00822A3B"/>
    <w:rsid w:val="00824DD1"/>
    <w:rsid w:val="008315F4"/>
    <w:rsid w:val="008323B8"/>
    <w:rsid w:val="00833EA4"/>
    <w:rsid w:val="00837175"/>
    <w:rsid w:val="00841DCA"/>
    <w:rsid w:val="0084272B"/>
    <w:rsid w:val="0084378F"/>
    <w:rsid w:val="00843A2F"/>
    <w:rsid w:val="00844319"/>
    <w:rsid w:val="00844533"/>
    <w:rsid w:val="0085144E"/>
    <w:rsid w:val="008542E8"/>
    <w:rsid w:val="008551D0"/>
    <w:rsid w:val="00855254"/>
    <w:rsid w:val="00856655"/>
    <w:rsid w:val="00862527"/>
    <w:rsid w:val="00862ED4"/>
    <w:rsid w:val="00870A82"/>
    <w:rsid w:val="0087537C"/>
    <w:rsid w:val="008827A5"/>
    <w:rsid w:val="00884CD8"/>
    <w:rsid w:val="008857C4"/>
    <w:rsid w:val="00885C8E"/>
    <w:rsid w:val="008874A2"/>
    <w:rsid w:val="008907DB"/>
    <w:rsid w:val="00893439"/>
    <w:rsid w:val="00894452"/>
    <w:rsid w:val="00895CAC"/>
    <w:rsid w:val="008969D5"/>
    <w:rsid w:val="00896F8B"/>
    <w:rsid w:val="008A4202"/>
    <w:rsid w:val="008A597F"/>
    <w:rsid w:val="008A739A"/>
    <w:rsid w:val="008B5CF6"/>
    <w:rsid w:val="008B5E4F"/>
    <w:rsid w:val="008B7D83"/>
    <w:rsid w:val="008C0693"/>
    <w:rsid w:val="008C4E2B"/>
    <w:rsid w:val="008C6076"/>
    <w:rsid w:val="008C60B9"/>
    <w:rsid w:val="008C772F"/>
    <w:rsid w:val="008D1E01"/>
    <w:rsid w:val="008D366B"/>
    <w:rsid w:val="008E1668"/>
    <w:rsid w:val="008E369B"/>
    <w:rsid w:val="008E3825"/>
    <w:rsid w:val="008E3F7D"/>
    <w:rsid w:val="008F780A"/>
    <w:rsid w:val="00901F0C"/>
    <w:rsid w:val="00902D9D"/>
    <w:rsid w:val="00910D54"/>
    <w:rsid w:val="009159D7"/>
    <w:rsid w:val="0092127A"/>
    <w:rsid w:val="00921A2E"/>
    <w:rsid w:val="009225D7"/>
    <w:rsid w:val="00930002"/>
    <w:rsid w:val="00931739"/>
    <w:rsid w:val="00933381"/>
    <w:rsid w:val="009338DA"/>
    <w:rsid w:val="00933C7D"/>
    <w:rsid w:val="009356A8"/>
    <w:rsid w:val="0094035E"/>
    <w:rsid w:val="00944FF6"/>
    <w:rsid w:val="00954E8C"/>
    <w:rsid w:val="009576D2"/>
    <w:rsid w:val="00957B81"/>
    <w:rsid w:val="00963314"/>
    <w:rsid w:val="00963B4B"/>
    <w:rsid w:val="009640B7"/>
    <w:rsid w:val="0096588B"/>
    <w:rsid w:val="00971272"/>
    <w:rsid w:val="0097410B"/>
    <w:rsid w:val="00975B92"/>
    <w:rsid w:val="00976D0D"/>
    <w:rsid w:val="00977BC2"/>
    <w:rsid w:val="00981A4A"/>
    <w:rsid w:val="00991176"/>
    <w:rsid w:val="00991AA8"/>
    <w:rsid w:val="009A0C5F"/>
    <w:rsid w:val="009A3106"/>
    <w:rsid w:val="009A4DB6"/>
    <w:rsid w:val="009A6E69"/>
    <w:rsid w:val="009A6FB3"/>
    <w:rsid w:val="009B0059"/>
    <w:rsid w:val="009B3174"/>
    <w:rsid w:val="009B6FE3"/>
    <w:rsid w:val="009B7DC1"/>
    <w:rsid w:val="009B7DEB"/>
    <w:rsid w:val="009C135F"/>
    <w:rsid w:val="009C37CC"/>
    <w:rsid w:val="009C641F"/>
    <w:rsid w:val="009C6E40"/>
    <w:rsid w:val="009C72B0"/>
    <w:rsid w:val="009C7748"/>
    <w:rsid w:val="009D0C3B"/>
    <w:rsid w:val="009D202B"/>
    <w:rsid w:val="009D3E55"/>
    <w:rsid w:val="009D778B"/>
    <w:rsid w:val="009D7E54"/>
    <w:rsid w:val="009E004E"/>
    <w:rsid w:val="009E1C3B"/>
    <w:rsid w:val="009E3302"/>
    <w:rsid w:val="009E4C8B"/>
    <w:rsid w:val="009E4F3B"/>
    <w:rsid w:val="009E5627"/>
    <w:rsid w:val="009E5778"/>
    <w:rsid w:val="009E68AF"/>
    <w:rsid w:val="009E7A34"/>
    <w:rsid w:val="009F0059"/>
    <w:rsid w:val="009F68B6"/>
    <w:rsid w:val="009F6FE3"/>
    <w:rsid w:val="009F787A"/>
    <w:rsid w:val="009F7C33"/>
    <w:rsid w:val="00A02EB9"/>
    <w:rsid w:val="00A078EB"/>
    <w:rsid w:val="00A11501"/>
    <w:rsid w:val="00A140B1"/>
    <w:rsid w:val="00A15BAF"/>
    <w:rsid w:val="00A22816"/>
    <w:rsid w:val="00A22B87"/>
    <w:rsid w:val="00A267C5"/>
    <w:rsid w:val="00A26C0F"/>
    <w:rsid w:val="00A27568"/>
    <w:rsid w:val="00A30643"/>
    <w:rsid w:val="00A33223"/>
    <w:rsid w:val="00A37CB6"/>
    <w:rsid w:val="00A40D69"/>
    <w:rsid w:val="00A41EC9"/>
    <w:rsid w:val="00A420F9"/>
    <w:rsid w:val="00A429BE"/>
    <w:rsid w:val="00A43277"/>
    <w:rsid w:val="00A43E0D"/>
    <w:rsid w:val="00A44E4D"/>
    <w:rsid w:val="00A50089"/>
    <w:rsid w:val="00A54FFB"/>
    <w:rsid w:val="00A612C2"/>
    <w:rsid w:val="00A623E4"/>
    <w:rsid w:val="00A6254A"/>
    <w:rsid w:val="00A67871"/>
    <w:rsid w:val="00A678E2"/>
    <w:rsid w:val="00A7094F"/>
    <w:rsid w:val="00A70CD7"/>
    <w:rsid w:val="00A711F3"/>
    <w:rsid w:val="00A8152A"/>
    <w:rsid w:val="00A81BFF"/>
    <w:rsid w:val="00A90DBB"/>
    <w:rsid w:val="00A91D4E"/>
    <w:rsid w:val="00A92139"/>
    <w:rsid w:val="00A921EC"/>
    <w:rsid w:val="00A9539C"/>
    <w:rsid w:val="00A96C41"/>
    <w:rsid w:val="00AA0225"/>
    <w:rsid w:val="00AA1C11"/>
    <w:rsid w:val="00AA57D2"/>
    <w:rsid w:val="00AB0EEE"/>
    <w:rsid w:val="00AB1A1A"/>
    <w:rsid w:val="00AB7201"/>
    <w:rsid w:val="00AB7C28"/>
    <w:rsid w:val="00AC33C8"/>
    <w:rsid w:val="00AC71A8"/>
    <w:rsid w:val="00AD205F"/>
    <w:rsid w:val="00AD6D66"/>
    <w:rsid w:val="00AE3568"/>
    <w:rsid w:val="00AE3728"/>
    <w:rsid w:val="00AE424D"/>
    <w:rsid w:val="00AE71AE"/>
    <w:rsid w:val="00AE7448"/>
    <w:rsid w:val="00AF421D"/>
    <w:rsid w:val="00B04F77"/>
    <w:rsid w:val="00B05707"/>
    <w:rsid w:val="00B05D88"/>
    <w:rsid w:val="00B05F7A"/>
    <w:rsid w:val="00B06ABA"/>
    <w:rsid w:val="00B07B38"/>
    <w:rsid w:val="00B12D29"/>
    <w:rsid w:val="00B1316E"/>
    <w:rsid w:val="00B14DF5"/>
    <w:rsid w:val="00B213B1"/>
    <w:rsid w:val="00B21AA5"/>
    <w:rsid w:val="00B23DA5"/>
    <w:rsid w:val="00B24317"/>
    <w:rsid w:val="00B306F7"/>
    <w:rsid w:val="00B32AA7"/>
    <w:rsid w:val="00B43D2C"/>
    <w:rsid w:val="00B46BD8"/>
    <w:rsid w:val="00B4709C"/>
    <w:rsid w:val="00B5174B"/>
    <w:rsid w:val="00B56437"/>
    <w:rsid w:val="00B564C7"/>
    <w:rsid w:val="00B57FF9"/>
    <w:rsid w:val="00B61BB1"/>
    <w:rsid w:val="00B623BC"/>
    <w:rsid w:val="00B63FE7"/>
    <w:rsid w:val="00B668AB"/>
    <w:rsid w:val="00B67CF5"/>
    <w:rsid w:val="00B7184B"/>
    <w:rsid w:val="00B74D47"/>
    <w:rsid w:val="00B760FE"/>
    <w:rsid w:val="00B815A4"/>
    <w:rsid w:val="00B82E51"/>
    <w:rsid w:val="00B9010F"/>
    <w:rsid w:val="00B929A8"/>
    <w:rsid w:val="00B92FF3"/>
    <w:rsid w:val="00B94D29"/>
    <w:rsid w:val="00BA3479"/>
    <w:rsid w:val="00BA3CA7"/>
    <w:rsid w:val="00BA4781"/>
    <w:rsid w:val="00BB2EE7"/>
    <w:rsid w:val="00BB33DB"/>
    <w:rsid w:val="00BB540E"/>
    <w:rsid w:val="00BD4256"/>
    <w:rsid w:val="00BD4764"/>
    <w:rsid w:val="00BD7566"/>
    <w:rsid w:val="00BF10F3"/>
    <w:rsid w:val="00BF3F51"/>
    <w:rsid w:val="00C013F4"/>
    <w:rsid w:val="00C02D26"/>
    <w:rsid w:val="00C0430E"/>
    <w:rsid w:val="00C1020E"/>
    <w:rsid w:val="00C11FDF"/>
    <w:rsid w:val="00C12C9B"/>
    <w:rsid w:val="00C136BA"/>
    <w:rsid w:val="00C20BC4"/>
    <w:rsid w:val="00C243B5"/>
    <w:rsid w:val="00C30626"/>
    <w:rsid w:val="00C30D95"/>
    <w:rsid w:val="00C3169F"/>
    <w:rsid w:val="00C31979"/>
    <w:rsid w:val="00C36005"/>
    <w:rsid w:val="00C37B5B"/>
    <w:rsid w:val="00C4055F"/>
    <w:rsid w:val="00C407F6"/>
    <w:rsid w:val="00C40F04"/>
    <w:rsid w:val="00C417CF"/>
    <w:rsid w:val="00C43C42"/>
    <w:rsid w:val="00C44592"/>
    <w:rsid w:val="00C45C19"/>
    <w:rsid w:val="00C47824"/>
    <w:rsid w:val="00C53D96"/>
    <w:rsid w:val="00C56576"/>
    <w:rsid w:val="00C60842"/>
    <w:rsid w:val="00C6290E"/>
    <w:rsid w:val="00C669AA"/>
    <w:rsid w:val="00C747A3"/>
    <w:rsid w:val="00C84C48"/>
    <w:rsid w:val="00C85DC1"/>
    <w:rsid w:val="00C87192"/>
    <w:rsid w:val="00C92E9C"/>
    <w:rsid w:val="00C93BE3"/>
    <w:rsid w:val="00C93C13"/>
    <w:rsid w:val="00C95597"/>
    <w:rsid w:val="00C95ACA"/>
    <w:rsid w:val="00CA55EE"/>
    <w:rsid w:val="00CB1CC5"/>
    <w:rsid w:val="00CB2BCF"/>
    <w:rsid w:val="00CB2E65"/>
    <w:rsid w:val="00CC48DD"/>
    <w:rsid w:val="00CC4D8D"/>
    <w:rsid w:val="00CC6D59"/>
    <w:rsid w:val="00CC73E6"/>
    <w:rsid w:val="00CC7A81"/>
    <w:rsid w:val="00CD2A54"/>
    <w:rsid w:val="00CD3854"/>
    <w:rsid w:val="00CD5812"/>
    <w:rsid w:val="00CD64F8"/>
    <w:rsid w:val="00CE4E54"/>
    <w:rsid w:val="00CE4E72"/>
    <w:rsid w:val="00CF1448"/>
    <w:rsid w:val="00CF6E0F"/>
    <w:rsid w:val="00D025EF"/>
    <w:rsid w:val="00D03161"/>
    <w:rsid w:val="00D04C21"/>
    <w:rsid w:val="00D07586"/>
    <w:rsid w:val="00D13C4F"/>
    <w:rsid w:val="00D13F40"/>
    <w:rsid w:val="00D1554F"/>
    <w:rsid w:val="00D17CE2"/>
    <w:rsid w:val="00D23205"/>
    <w:rsid w:val="00D2507B"/>
    <w:rsid w:val="00D26784"/>
    <w:rsid w:val="00D31BE6"/>
    <w:rsid w:val="00D347C2"/>
    <w:rsid w:val="00D350D8"/>
    <w:rsid w:val="00D4127E"/>
    <w:rsid w:val="00D423ED"/>
    <w:rsid w:val="00D547AE"/>
    <w:rsid w:val="00D56E6A"/>
    <w:rsid w:val="00D64615"/>
    <w:rsid w:val="00D65A30"/>
    <w:rsid w:val="00D704FE"/>
    <w:rsid w:val="00D716C3"/>
    <w:rsid w:val="00D744D1"/>
    <w:rsid w:val="00D751BB"/>
    <w:rsid w:val="00D760C8"/>
    <w:rsid w:val="00D776AD"/>
    <w:rsid w:val="00D822C5"/>
    <w:rsid w:val="00D82799"/>
    <w:rsid w:val="00D85DB1"/>
    <w:rsid w:val="00D86EF9"/>
    <w:rsid w:val="00D87AE4"/>
    <w:rsid w:val="00D9279A"/>
    <w:rsid w:val="00D9379A"/>
    <w:rsid w:val="00DA0BDE"/>
    <w:rsid w:val="00DA2433"/>
    <w:rsid w:val="00DA4614"/>
    <w:rsid w:val="00DA6205"/>
    <w:rsid w:val="00DB335F"/>
    <w:rsid w:val="00DC0FE8"/>
    <w:rsid w:val="00DC26F8"/>
    <w:rsid w:val="00DC2A62"/>
    <w:rsid w:val="00DC3A85"/>
    <w:rsid w:val="00DC5E24"/>
    <w:rsid w:val="00DD1BEC"/>
    <w:rsid w:val="00DD21ED"/>
    <w:rsid w:val="00DD4893"/>
    <w:rsid w:val="00DE5CC0"/>
    <w:rsid w:val="00DE60F5"/>
    <w:rsid w:val="00DE76AE"/>
    <w:rsid w:val="00DF0B88"/>
    <w:rsid w:val="00DF2F12"/>
    <w:rsid w:val="00DF4DAF"/>
    <w:rsid w:val="00DF5C52"/>
    <w:rsid w:val="00E00D4B"/>
    <w:rsid w:val="00E015C4"/>
    <w:rsid w:val="00E03B5D"/>
    <w:rsid w:val="00E1113C"/>
    <w:rsid w:val="00E11DD0"/>
    <w:rsid w:val="00E13FF8"/>
    <w:rsid w:val="00E15B32"/>
    <w:rsid w:val="00E20CB2"/>
    <w:rsid w:val="00E2161C"/>
    <w:rsid w:val="00E2262F"/>
    <w:rsid w:val="00E22B34"/>
    <w:rsid w:val="00E25CB9"/>
    <w:rsid w:val="00E31F07"/>
    <w:rsid w:val="00E4094C"/>
    <w:rsid w:val="00E41374"/>
    <w:rsid w:val="00E4316E"/>
    <w:rsid w:val="00E44B6E"/>
    <w:rsid w:val="00E5548B"/>
    <w:rsid w:val="00E57993"/>
    <w:rsid w:val="00E70598"/>
    <w:rsid w:val="00E729C6"/>
    <w:rsid w:val="00E74D97"/>
    <w:rsid w:val="00E75073"/>
    <w:rsid w:val="00E75256"/>
    <w:rsid w:val="00E75EFE"/>
    <w:rsid w:val="00E777C5"/>
    <w:rsid w:val="00E86AF6"/>
    <w:rsid w:val="00E9543A"/>
    <w:rsid w:val="00E97139"/>
    <w:rsid w:val="00EA2220"/>
    <w:rsid w:val="00EA22B4"/>
    <w:rsid w:val="00EB0E05"/>
    <w:rsid w:val="00EB5ABA"/>
    <w:rsid w:val="00EC12CF"/>
    <w:rsid w:val="00EC2D22"/>
    <w:rsid w:val="00EC5657"/>
    <w:rsid w:val="00ED00FE"/>
    <w:rsid w:val="00ED1D88"/>
    <w:rsid w:val="00ED3910"/>
    <w:rsid w:val="00EE0270"/>
    <w:rsid w:val="00EE101B"/>
    <w:rsid w:val="00EE28EB"/>
    <w:rsid w:val="00EE6435"/>
    <w:rsid w:val="00F13810"/>
    <w:rsid w:val="00F13CB2"/>
    <w:rsid w:val="00F13CBF"/>
    <w:rsid w:val="00F14492"/>
    <w:rsid w:val="00F20987"/>
    <w:rsid w:val="00F2136F"/>
    <w:rsid w:val="00F22041"/>
    <w:rsid w:val="00F22130"/>
    <w:rsid w:val="00F2355B"/>
    <w:rsid w:val="00F254C3"/>
    <w:rsid w:val="00F30142"/>
    <w:rsid w:val="00F3090A"/>
    <w:rsid w:val="00F31A77"/>
    <w:rsid w:val="00F31F95"/>
    <w:rsid w:val="00F3203F"/>
    <w:rsid w:val="00F3323A"/>
    <w:rsid w:val="00F3632C"/>
    <w:rsid w:val="00F373F8"/>
    <w:rsid w:val="00F4180F"/>
    <w:rsid w:val="00F42101"/>
    <w:rsid w:val="00F503BE"/>
    <w:rsid w:val="00F50A20"/>
    <w:rsid w:val="00F51F59"/>
    <w:rsid w:val="00F566D0"/>
    <w:rsid w:val="00F56D93"/>
    <w:rsid w:val="00F63C05"/>
    <w:rsid w:val="00F719E9"/>
    <w:rsid w:val="00F72F90"/>
    <w:rsid w:val="00F74F07"/>
    <w:rsid w:val="00F8167A"/>
    <w:rsid w:val="00F84892"/>
    <w:rsid w:val="00F8648E"/>
    <w:rsid w:val="00F87FC8"/>
    <w:rsid w:val="00F911CC"/>
    <w:rsid w:val="00FA1ED5"/>
    <w:rsid w:val="00FA7015"/>
    <w:rsid w:val="00FA7ED2"/>
    <w:rsid w:val="00FB0E44"/>
    <w:rsid w:val="00FB49EB"/>
    <w:rsid w:val="00FB6851"/>
    <w:rsid w:val="00FC1D63"/>
    <w:rsid w:val="00FC2B62"/>
    <w:rsid w:val="00FC39BB"/>
    <w:rsid w:val="00FC60CB"/>
    <w:rsid w:val="00FD18E1"/>
    <w:rsid w:val="00FD27FE"/>
    <w:rsid w:val="00FD333C"/>
    <w:rsid w:val="00FD6182"/>
    <w:rsid w:val="00FE05C9"/>
    <w:rsid w:val="00FE0A21"/>
    <w:rsid w:val="00FE317F"/>
    <w:rsid w:val="00FE5FF3"/>
    <w:rsid w:val="00FF077D"/>
    <w:rsid w:val="00FF20B2"/>
    <w:rsid w:val="00FF4B06"/>
    <w:rsid w:val="00FF5FD7"/>
    <w:rsid w:val="00FF6ACC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#ccecff"/>
    </o:shapedefaults>
    <o:shapelayout v:ext="edit">
      <o:idmap v:ext="edit" data="1"/>
    </o:shapelayout>
  </w:shapeDefaults>
  <w:decimalSymbol w:val="."/>
  <w:listSeparator w:val=","/>
  <w14:docId w14:val="40FCC906"/>
  <w15:docId w15:val="{B6DE6218-FD32-492D-9DC0-3B03D4FA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831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27471C"/>
    <w:pPr>
      <w:spacing w:after="200" w:line="228" w:lineRule="auto"/>
      <w:outlineLvl w:val="0"/>
    </w:pPr>
    <w:rPr>
      <w:rFonts w:ascii="Arial" w:eastAsia="Times New Roman" w:hAnsi="Arial" w:cs="Arial"/>
      <w:color w:val="F77732"/>
      <w:kern w:val="28"/>
      <w:sz w:val="44"/>
      <w:szCs w:val="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471C"/>
    <w:rPr>
      <w:rFonts w:ascii="Arial" w:eastAsia="Times New Roman" w:hAnsi="Arial" w:cs="Arial"/>
      <w:color w:val="000000"/>
      <w:kern w:val="28"/>
      <w:sz w:val="44"/>
      <w:szCs w:val="44"/>
      <w14:ligatures w14:val="standard"/>
      <w14:cntxtAlts/>
    </w:rPr>
  </w:style>
  <w:style w:type="paragraph" w:styleId="ListParagraph">
    <w:name w:val="List Paragraph"/>
    <w:basedOn w:val="Normal"/>
    <w:uiPriority w:val="99"/>
    <w:qFormat/>
    <w:rsid w:val="0057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13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9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D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E1"/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D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E1"/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A81BFF"/>
    <w:rPr>
      <w:color w:val="0000FF"/>
      <w:u w:val="single"/>
    </w:rPr>
  </w:style>
  <w:style w:type="paragraph" w:customStyle="1" w:styleId="SectionHead">
    <w:name w:val="Section_Head"/>
    <w:basedOn w:val="Normal"/>
    <w:link w:val="SectionHeadChar"/>
    <w:qFormat/>
    <w:rsid w:val="006E66B6"/>
    <w:pPr>
      <w:spacing w:line="276" w:lineRule="auto"/>
    </w:pPr>
    <w:rPr>
      <w:rFonts w:ascii="Cambria" w:hAnsi="Cambria" w:cs="Times New Roman"/>
      <w:b/>
      <w:bCs/>
      <w:color w:val="365F91"/>
      <w:kern w:val="0"/>
      <w:sz w:val="28"/>
      <w:szCs w:val="28"/>
      <w14:ligatures w14:val="none"/>
      <w14:cntxtAlts w14:val="0"/>
    </w:rPr>
  </w:style>
  <w:style w:type="character" w:customStyle="1" w:styleId="SectionHeadChar">
    <w:name w:val="Section_Head Char"/>
    <w:link w:val="SectionHead"/>
    <w:rsid w:val="006E66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B74D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Ver2head1">
    <w:name w:val="Ver2_head1"/>
    <w:basedOn w:val="Normal"/>
    <w:link w:val="Ver2head1Char"/>
    <w:qFormat/>
    <w:rsid w:val="0001617F"/>
    <w:pPr>
      <w:widowControl w:val="0"/>
    </w:pPr>
    <w:rPr>
      <w:b/>
      <w:bCs/>
      <w:color w:val="0070C0"/>
      <w:sz w:val="22"/>
      <w:szCs w:val="24"/>
      <w14:ligatures w14:val="none"/>
    </w:rPr>
  </w:style>
  <w:style w:type="character" w:customStyle="1" w:styleId="Ver2head1Char">
    <w:name w:val="Ver2_head1 Char"/>
    <w:basedOn w:val="DefaultParagraphFont"/>
    <w:link w:val="Ver2head1"/>
    <w:rsid w:val="0001617F"/>
    <w:rPr>
      <w:rFonts w:ascii="Arial" w:eastAsia="Times New Roman" w:hAnsi="Arial" w:cs="Arial"/>
      <w:b/>
      <w:bCs/>
      <w:color w:val="0070C0"/>
      <w:kern w:val="28"/>
      <w:szCs w:val="24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E1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D0"/>
    <w:rPr>
      <w:rFonts w:ascii="Arial" w:eastAsia="Times New Roman" w:hAnsi="Arial" w:cs="Arial"/>
      <w:color w:val="4D4D4D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D0"/>
    <w:rPr>
      <w:rFonts w:ascii="Arial" w:eastAsia="Times New Roman" w:hAnsi="Arial" w:cs="Arial"/>
      <w:b/>
      <w:bCs/>
      <w:color w:val="4D4D4D"/>
      <w:kern w:val="28"/>
      <w:sz w:val="20"/>
      <w:szCs w:val="20"/>
      <w14:ligatures w14:val="standard"/>
      <w14:cntxtAlts/>
    </w:rPr>
  </w:style>
  <w:style w:type="character" w:styleId="SubtleEmphasis">
    <w:name w:val="Subtle Emphasis"/>
    <w:basedOn w:val="DefaultParagraphFont"/>
    <w:uiPriority w:val="19"/>
    <w:qFormat/>
    <w:rsid w:val="00B61B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37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7765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4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4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3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7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1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7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7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4261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63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8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8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149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56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9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0129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8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45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9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9133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27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9259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57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8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service-details/vip-edrs-for-medical-certifier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2366-E9DE-43AE-8803-0047C043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Cause of Death Quick Reference</vt:lpstr>
    </vt:vector>
  </TitlesOfParts>
  <Company>EOHHS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Cause of Death Quick Reference</dc:title>
  <dc:creator>Paula_Docwhiz DW1</dc:creator>
  <cp:lastModifiedBy>Hall, Trevor (DPH)</cp:lastModifiedBy>
  <cp:revision>2</cp:revision>
  <cp:lastPrinted>2019-03-14T17:51:00Z</cp:lastPrinted>
  <dcterms:created xsi:type="dcterms:W3CDTF">2019-03-22T15:54:00Z</dcterms:created>
  <dcterms:modified xsi:type="dcterms:W3CDTF">2019-03-22T15:54:00Z</dcterms:modified>
</cp:coreProperties>
</file>