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37" w:rsidRDefault="009F5C37" w:rsidP="008E5D50">
      <w:pPr>
        <w:pStyle w:val="BodyText"/>
        <w:rPr>
          <w:rFonts w:ascii="Times New Roman"/>
          <w:sz w:val="29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7720330</wp:posOffset>
                </wp:positionH>
                <wp:positionV relativeFrom="page">
                  <wp:posOffset>10032365</wp:posOffset>
                </wp:positionV>
                <wp:extent cx="0" cy="0"/>
                <wp:effectExtent l="14605" t="10041890" r="13970" b="10044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217D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7.9pt,789.95pt" to="607.9pt,7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" strokeweight=".42367mm">
                <w10:wrap anchorx="page" anchory="page"/>
              </v:line>
            </w:pict>
          </mc:Fallback>
        </mc:AlternateContent>
      </w:r>
      <w:bookmarkEnd w:id="0"/>
    </w:p>
    <w:p w:rsidR="009F5C37" w:rsidRDefault="00DE0BB6" w:rsidP="009F5C37">
      <w:pPr>
        <w:spacing w:before="91"/>
        <w:ind w:left="3172" w:right="3098"/>
        <w:jc w:val="center"/>
        <w:rPr>
          <w:b/>
          <w:sz w:val="29"/>
        </w:rPr>
      </w:pPr>
      <w:r>
        <w:rPr>
          <w:b/>
          <w:color w:val="1C2838"/>
          <w:sz w:val="29"/>
        </w:rPr>
        <w:t>Lowell General H</w:t>
      </w:r>
      <w:r w:rsidR="009F5C37">
        <w:rPr>
          <w:b/>
          <w:color w:val="1C2838"/>
          <w:sz w:val="29"/>
        </w:rPr>
        <w:t>osp</w:t>
      </w:r>
      <w:r w:rsidR="009F5C37">
        <w:rPr>
          <w:b/>
          <w:color w:val="1A1A1A"/>
          <w:sz w:val="29"/>
        </w:rPr>
        <w:t>i</w:t>
      </w:r>
      <w:r>
        <w:rPr>
          <w:b/>
          <w:color w:val="1C2838"/>
          <w:sz w:val="29"/>
        </w:rPr>
        <w:t>ta</w:t>
      </w:r>
      <w:r w:rsidR="009F5C37">
        <w:rPr>
          <w:b/>
          <w:color w:val="1A1A1A"/>
          <w:sz w:val="29"/>
        </w:rPr>
        <w:t>l</w:t>
      </w:r>
    </w:p>
    <w:p w:rsidR="009F5C37" w:rsidRDefault="009F5C37" w:rsidP="009F5C37">
      <w:pPr>
        <w:pStyle w:val="BodyText"/>
        <w:spacing w:before="10"/>
        <w:rPr>
          <w:b/>
          <w:sz w:val="28"/>
        </w:rPr>
      </w:pPr>
    </w:p>
    <w:p w:rsidR="009F5C37" w:rsidRDefault="009F5C37" w:rsidP="009F5C37">
      <w:pPr>
        <w:spacing w:before="1"/>
        <w:ind w:left="3105" w:right="3098"/>
        <w:jc w:val="center"/>
        <w:rPr>
          <w:rFonts w:ascii="Times New Roman" w:hAnsi="Times New Roman"/>
          <w:sz w:val="37"/>
        </w:rPr>
      </w:pPr>
      <w:r>
        <w:rPr>
          <w:i/>
          <w:color w:val="1C2838"/>
          <w:spacing w:val="-1"/>
          <w:w w:val="76"/>
          <w:sz w:val="23"/>
        </w:rPr>
        <w:t>P</w:t>
      </w:r>
      <w:r>
        <w:rPr>
          <w:i/>
          <w:color w:val="1C2838"/>
          <w:spacing w:val="11"/>
          <w:w w:val="76"/>
          <w:sz w:val="23"/>
        </w:rPr>
        <w:t>r</w:t>
      </w:r>
      <w:r>
        <w:rPr>
          <w:i/>
          <w:color w:val="1A1A1A"/>
          <w:spacing w:val="-1"/>
          <w:w w:val="98"/>
          <w:sz w:val="23"/>
        </w:rPr>
        <w:t>o</w:t>
      </w:r>
      <w:r>
        <w:rPr>
          <w:i/>
          <w:color w:val="1A1A1A"/>
          <w:spacing w:val="2"/>
          <w:w w:val="98"/>
          <w:sz w:val="23"/>
        </w:rPr>
        <w:t>u</w:t>
      </w:r>
      <w:r>
        <w:rPr>
          <w:i/>
          <w:color w:val="1C2838"/>
          <w:spacing w:val="8"/>
          <w:w w:val="92"/>
          <w:sz w:val="23"/>
        </w:rPr>
        <w:t>d</w:t>
      </w:r>
      <w:r>
        <w:rPr>
          <w:i/>
          <w:color w:val="1A1A1A"/>
          <w:spacing w:val="-7"/>
          <w:w w:val="82"/>
          <w:sz w:val="23"/>
        </w:rPr>
        <w:t>l</w:t>
      </w:r>
      <w:r>
        <w:rPr>
          <w:i/>
          <w:color w:val="1C2838"/>
          <w:sz w:val="23"/>
        </w:rPr>
        <w:t>y</w:t>
      </w:r>
      <w:r>
        <w:rPr>
          <w:i/>
          <w:color w:val="1C2838"/>
          <w:spacing w:val="1"/>
          <w:sz w:val="23"/>
        </w:rPr>
        <w:t xml:space="preserve"> </w:t>
      </w:r>
      <w:proofErr w:type="spellStart"/>
      <w:r>
        <w:rPr>
          <w:rFonts w:ascii="Times New Roman" w:hAnsi="Times New Roman"/>
          <w:b/>
          <w:i/>
          <w:color w:val="1C2838"/>
          <w:spacing w:val="-1"/>
          <w:w w:val="93"/>
          <w:sz w:val="26"/>
        </w:rPr>
        <w:t>wellforc</w:t>
      </w:r>
      <w:r>
        <w:rPr>
          <w:rFonts w:ascii="Times New Roman" w:hAnsi="Times New Roman"/>
          <w:b/>
          <w:i/>
          <w:color w:val="1C2838"/>
          <w:spacing w:val="-13"/>
          <w:w w:val="93"/>
          <w:sz w:val="26"/>
        </w:rPr>
        <w:t>e</w:t>
      </w:r>
      <w:proofErr w:type="spellEnd"/>
      <w:r>
        <w:rPr>
          <w:rFonts w:ascii="Times New Roman" w:hAnsi="Times New Roman"/>
          <w:color w:val="BA1F1A"/>
          <w:spacing w:val="-6"/>
          <w:w w:val="45"/>
          <w:position w:val="12"/>
          <w:sz w:val="37"/>
        </w:rPr>
        <w:t>•</w:t>
      </w:r>
      <w:r>
        <w:rPr>
          <w:rFonts w:ascii="Times New Roman" w:hAnsi="Times New Roman"/>
          <w:color w:val="CD6713"/>
          <w:spacing w:val="-63"/>
          <w:w w:val="75"/>
          <w:position w:val="12"/>
          <w:sz w:val="37"/>
        </w:rPr>
        <w:t>•</w:t>
      </w:r>
      <w:r>
        <w:rPr>
          <w:rFonts w:ascii="Times New Roman" w:hAnsi="Times New Roman"/>
          <w:color w:val="C44224"/>
          <w:spacing w:val="-38"/>
          <w:w w:val="93"/>
          <w:sz w:val="26"/>
        </w:rPr>
        <w:t>•</w:t>
      </w:r>
      <w:r>
        <w:rPr>
          <w:rFonts w:ascii="Times New Roman" w:hAnsi="Times New Roman"/>
          <w:color w:val="D49323"/>
          <w:w w:val="75"/>
          <w:position w:val="12"/>
          <w:sz w:val="37"/>
        </w:rPr>
        <w:t>•</w:t>
      </w:r>
    </w:p>
    <w:p w:rsidR="009F5C37" w:rsidRDefault="009F5C37" w:rsidP="009F5C37">
      <w:pPr>
        <w:pStyle w:val="BodyText"/>
        <w:rPr>
          <w:rFonts w:ascii="Times New Roman"/>
        </w:rPr>
      </w:pPr>
    </w:p>
    <w:p w:rsidR="009F5C37" w:rsidRDefault="009F5C37" w:rsidP="009F5C37">
      <w:pPr>
        <w:pStyle w:val="BodyText"/>
        <w:spacing w:before="8"/>
        <w:rPr>
          <w:rFonts w:ascii="Times New Roman"/>
          <w:sz w:val="18"/>
        </w:rPr>
      </w:pPr>
    </w:p>
    <w:p w:rsidR="009F5C37" w:rsidRDefault="009F5C37" w:rsidP="009F5C37">
      <w:pPr>
        <w:pStyle w:val="BodyText"/>
        <w:spacing w:before="94"/>
        <w:ind w:left="298"/>
      </w:pPr>
      <w:r>
        <w:rPr>
          <w:color w:val="1A1A1A"/>
        </w:rPr>
        <w:t>April 17, 2020</w:t>
      </w:r>
    </w:p>
    <w:p w:rsidR="009F5C37" w:rsidRDefault="009F5C37" w:rsidP="009F5C37">
      <w:pPr>
        <w:pStyle w:val="BodyText"/>
        <w:spacing w:before="2"/>
        <w:rPr>
          <w:sz w:val="27"/>
        </w:rPr>
      </w:pPr>
    </w:p>
    <w:p w:rsidR="009F5C37" w:rsidRDefault="00DE0BB6" w:rsidP="009F5C37">
      <w:pPr>
        <w:pStyle w:val="BodyText"/>
        <w:ind w:left="292"/>
      </w:pPr>
      <w:r>
        <w:rPr>
          <w:color w:val="1A1A1A"/>
        </w:rPr>
        <w:t>Margo Michaels</w:t>
      </w:r>
      <w:r w:rsidR="009F5C37">
        <w:rPr>
          <w:color w:val="3A3F44"/>
        </w:rPr>
        <w:t xml:space="preserve">, </w:t>
      </w:r>
      <w:r w:rsidR="009F5C37">
        <w:rPr>
          <w:color w:val="1A1A1A"/>
        </w:rPr>
        <w:t>MPH</w:t>
      </w:r>
    </w:p>
    <w:p w:rsidR="009F5C37" w:rsidRDefault="009F5C37" w:rsidP="009F5C37">
      <w:pPr>
        <w:pStyle w:val="BodyText"/>
        <w:spacing w:before="39" w:line="280" w:lineRule="auto"/>
        <w:ind w:left="292" w:right="6665"/>
      </w:pPr>
      <w:r>
        <w:rPr>
          <w:color w:val="1A1A1A"/>
        </w:rPr>
        <w:t>Director, Determinatio</w:t>
      </w:r>
      <w:r w:rsidR="00DE0BB6">
        <w:rPr>
          <w:color w:val="1A1A1A"/>
        </w:rPr>
        <w:t xml:space="preserve">n of Need Department of Public </w:t>
      </w:r>
      <w:r>
        <w:rPr>
          <w:color w:val="1A1A1A"/>
        </w:rPr>
        <w:t>Health 250 Washington Street,</w:t>
      </w:r>
    </w:p>
    <w:p w:rsidR="009F5C37" w:rsidRDefault="009F5C37" w:rsidP="009F5C37">
      <w:pPr>
        <w:pStyle w:val="BodyText"/>
        <w:spacing w:line="230" w:lineRule="exact"/>
        <w:ind w:left="288"/>
      </w:pPr>
      <w:r>
        <w:rPr>
          <w:color w:val="1A1A1A"/>
        </w:rPr>
        <w:t>Boston MA 02511</w:t>
      </w:r>
    </w:p>
    <w:p w:rsidR="009F5C37" w:rsidRDefault="009F5C37" w:rsidP="009F5C37">
      <w:pPr>
        <w:pStyle w:val="BodyText"/>
        <w:spacing w:before="9"/>
        <w:rPr>
          <w:sz w:val="26"/>
        </w:rPr>
      </w:pPr>
    </w:p>
    <w:p w:rsidR="009F5C37" w:rsidRDefault="009F5C37" w:rsidP="009F5C37">
      <w:pPr>
        <w:pStyle w:val="BodyText"/>
        <w:spacing w:line="561" w:lineRule="auto"/>
        <w:ind w:left="277" w:right="6299" w:firstLine="9"/>
      </w:pPr>
      <w:r>
        <w:rPr>
          <w:color w:val="1A1A1A"/>
        </w:rPr>
        <w:t>RE: Notice of Determination of Need Dear Ms. Michaels:</w:t>
      </w:r>
    </w:p>
    <w:p w:rsidR="009F5C37" w:rsidRDefault="009F5C37" w:rsidP="009F5C37">
      <w:pPr>
        <w:pStyle w:val="BodyText"/>
        <w:spacing w:line="280" w:lineRule="auto"/>
        <w:ind w:left="271" w:right="453" w:hanging="3"/>
      </w:pPr>
      <w:r>
        <w:rPr>
          <w:color w:val="2F2F2F"/>
        </w:rPr>
        <w:t xml:space="preserve">The </w:t>
      </w:r>
      <w:r>
        <w:rPr>
          <w:color w:val="1A1A1A"/>
        </w:rPr>
        <w:t xml:space="preserve">Lowell General Hospital is requesting Determination of </w:t>
      </w:r>
      <w:r>
        <w:rPr>
          <w:color w:val="2F2F2F"/>
        </w:rPr>
        <w:t xml:space="preserve">Need </w:t>
      </w:r>
      <w:r>
        <w:rPr>
          <w:color w:val="1A1A1A"/>
        </w:rPr>
        <w:t>(</w:t>
      </w:r>
      <w:proofErr w:type="spellStart"/>
      <w:r>
        <w:rPr>
          <w:color w:val="1A1A1A"/>
        </w:rPr>
        <w:t>DoN</w:t>
      </w:r>
      <w:proofErr w:type="spellEnd"/>
      <w:r>
        <w:rPr>
          <w:color w:val="1A1A1A"/>
        </w:rPr>
        <w:t xml:space="preserve">) Approval for </w:t>
      </w:r>
      <w:r>
        <w:rPr>
          <w:color w:val="2F2F2F"/>
        </w:rPr>
        <w:t xml:space="preserve">temporary </w:t>
      </w:r>
      <w:r>
        <w:rPr>
          <w:color w:val="1A1A1A"/>
        </w:rPr>
        <w:t xml:space="preserve">alternative care space at the University of Massachusetts- Lowell. The temporary alternative care space at the University of Massachusetts- Lowell will be used for the management and </w:t>
      </w:r>
      <w:proofErr w:type="gramStart"/>
      <w:r>
        <w:rPr>
          <w:color w:val="1A1A1A"/>
        </w:rPr>
        <w:t>treatment  of</w:t>
      </w:r>
      <w:proofErr w:type="gramEnd"/>
      <w:r>
        <w:rPr>
          <w:color w:val="1A1A1A"/>
        </w:rPr>
        <w:t xml:space="preserve"> the COVID-19 virus. The site will be able to provide additional bed capacity to the Merrimack Valley in anticipation of a continued rise in cases of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COVID-19.</w:t>
      </w:r>
    </w:p>
    <w:p w:rsidR="009F5C37" w:rsidRDefault="009F5C37" w:rsidP="009F5C37">
      <w:pPr>
        <w:pStyle w:val="BodyText"/>
        <w:spacing w:before="3"/>
        <w:rPr>
          <w:sz w:val="23"/>
        </w:rPr>
      </w:pPr>
    </w:p>
    <w:p w:rsidR="009F5C37" w:rsidRDefault="009F5C37" w:rsidP="009F5C37">
      <w:pPr>
        <w:pStyle w:val="BodyText"/>
        <w:spacing w:line="285" w:lineRule="auto"/>
        <w:ind w:left="270" w:hanging="1"/>
      </w:pPr>
      <w:r>
        <w:rPr>
          <w:color w:val="1A1A1A"/>
        </w:rPr>
        <w:t xml:space="preserve">Specifically, Lowell General Hospital </w:t>
      </w:r>
      <w:r>
        <w:rPr>
          <w:color w:val="2F2F2F"/>
        </w:rPr>
        <w:t xml:space="preserve">is </w:t>
      </w:r>
      <w:r>
        <w:rPr>
          <w:color w:val="1A1A1A"/>
        </w:rPr>
        <w:t xml:space="preserve">proposing to open a </w:t>
      </w:r>
      <w:proofErr w:type="gramStart"/>
      <w:r>
        <w:rPr>
          <w:color w:val="1A1A1A"/>
        </w:rPr>
        <w:t>90 bed</w:t>
      </w:r>
      <w:proofErr w:type="gramEnd"/>
      <w:r>
        <w:rPr>
          <w:color w:val="1A1A1A"/>
        </w:rPr>
        <w:t xml:space="preserve"> post </w:t>
      </w:r>
      <w:r>
        <w:rPr>
          <w:color w:val="3A3F44"/>
        </w:rPr>
        <w:t>-</w:t>
      </w:r>
      <w:r>
        <w:rPr>
          <w:color w:val="1A1A1A"/>
        </w:rPr>
        <w:t>acute care center to support the hospital's COVID-19 Pandemic response at the UML Recreation Center located at 322 Aiken Street,</w:t>
      </w:r>
    </w:p>
    <w:p w:rsidR="009F5C37" w:rsidRDefault="00F26E08" w:rsidP="009F5C37">
      <w:pPr>
        <w:pStyle w:val="BodyText"/>
        <w:spacing w:line="278" w:lineRule="auto"/>
        <w:ind w:left="265" w:right="453" w:firstLine="8"/>
      </w:pPr>
      <w:r>
        <w:rPr>
          <w:color w:val="1A1A1A"/>
        </w:rPr>
        <w:t xml:space="preserve">Lowell, MA. The establishment of the alternate </w:t>
      </w:r>
      <w:r w:rsidR="009F5C37">
        <w:rPr>
          <w:color w:val="1A1A1A"/>
        </w:rPr>
        <w:t xml:space="preserve">care </w:t>
      </w:r>
      <w:proofErr w:type="gramStart"/>
      <w:r w:rsidR="009F5C37">
        <w:rPr>
          <w:color w:val="1A1A1A"/>
        </w:rPr>
        <w:t>space  will</w:t>
      </w:r>
      <w:proofErr w:type="gramEnd"/>
      <w:r w:rsidR="009F5C37">
        <w:rPr>
          <w:color w:val="1A1A1A"/>
        </w:rPr>
        <w:t xml:space="preserve"> allow </w:t>
      </w:r>
      <w:r w:rsidR="009F5C37">
        <w:rPr>
          <w:color w:val="2F2F2F"/>
        </w:rPr>
        <w:t xml:space="preserve">the </w:t>
      </w:r>
      <w:r w:rsidR="009F5C37">
        <w:rPr>
          <w:color w:val="1A1A1A"/>
        </w:rPr>
        <w:t xml:space="preserve">hospital </w:t>
      </w:r>
      <w:r w:rsidR="009F5C37">
        <w:rPr>
          <w:color w:val="2F2F2F"/>
        </w:rPr>
        <w:t xml:space="preserve">to </w:t>
      </w:r>
      <w:r w:rsidR="009F5C37">
        <w:rPr>
          <w:color w:val="1A1A1A"/>
        </w:rPr>
        <w:t>transfer patients</w:t>
      </w:r>
      <w:r w:rsidR="009F5C37">
        <w:rPr>
          <w:color w:val="3A3F44"/>
        </w:rPr>
        <w:t xml:space="preserve"> </w:t>
      </w:r>
      <w:proofErr w:type="spellStart"/>
      <w:r w:rsidR="009F5C37">
        <w:rPr>
          <w:color w:val="3A3F44"/>
        </w:rPr>
        <w:t>l</w:t>
      </w:r>
      <w:r w:rsidR="009F5C37">
        <w:rPr>
          <w:color w:val="1A1A1A"/>
        </w:rPr>
        <w:t>at</w:t>
      </w:r>
      <w:proofErr w:type="spellEnd"/>
      <w:r w:rsidR="009F5C37">
        <w:rPr>
          <w:color w:val="1A1A1A"/>
        </w:rPr>
        <w:t xml:space="preserve"> e in their acute care treatment not ready for discharge </w:t>
      </w:r>
      <w:r w:rsidR="009F5C37">
        <w:rPr>
          <w:color w:val="2F2F2F"/>
        </w:rPr>
        <w:t xml:space="preserve">to </w:t>
      </w:r>
      <w:r w:rsidR="009F5C37">
        <w:rPr>
          <w:color w:val="1A1A1A"/>
        </w:rPr>
        <w:t>this step-down unit whi</w:t>
      </w:r>
      <w:r w:rsidR="009F5C37">
        <w:rPr>
          <w:color w:val="3A3F44"/>
        </w:rPr>
        <w:t>l</w:t>
      </w:r>
      <w:r w:rsidR="009F5C37">
        <w:rPr>
          <w:color w:val="1A1A1A"/>
        </w:rPr>
        <w:t xml:space="preserve">e caring for </w:t>
      </w:r>
      <w:r w:rsidR="009F5C37">
        <w:rPr>
          <w:color w:val="2F2F2F"/>
        </w:rPr>
        <w:t xml:space="preserve">higher </w:t>
      </w:r>
      <w:r w:rsidR="009F5C37">
        <w:rPr>
          <w:color w:val="1A1A1A"/>
        </w:rPr>
        <w:t xml:space="preserve">acuity patients at the hospital's Intensive Care Unit. Without the ability to admit and </w:t>
      </w:r>
      <w:r w:rsidR="009F5C37">
        <w:rPr>
          <w:color w:val="2F2F2F"/>
        </w:rPr>
        <w:t xml:space="preserve">treat </w:t>
      </w:r>
      <w:r w:rsidR="009F5C37">
        <w:rPr>
          <w:color w:val="1A1A1A"/>
        </w:rPr>
        <w:t xml:space="preserve">the higher acuity patients within the hospital's </w:t>
      </w:r>
      <w:r w:rsidR="009F5C37">
        <w:rPr>
          <w:color w:val="2F2F2F"/>
        </w:rPr>
        <w:t xml:space="preserve">Intensive </w:t>
      </w:r>
      <w:r w:rsidR="009F5C37">
        <w:rPr>
          <w:color w:val="1A1A1A"/>
        </w:rPr>
        <w:t>Care Unit, the public's health could be measurably harmed. The site will begin with 15 beds and scale its capacity as needed.</w:t>
      </w:r>
    </w:p>
    <w:p w:rsidR="009F5C37" w:rsidRDefault="009F5C37" w:rsidP="009F5C37">
      <w:pPr>
        <w:pStyle w:val="BodyText"/>
        <w:spacing w:before="6"/>
        <w:rPr>
          <w:sz w:val="23"/>
        </w:rPr>
      </w:pPr>
    </w:p>
    <w:p w:rsidR="009F5C37" w:rsidRDefault="009F5C37" w:rsidP="009F5C37">
      <w:pPr>
        <w:pStyle w:val="BodyText"/>
        <w:spacing w:line="283" w:lineRule="auto"/>
        <w:ind w:left="262" w:right="283" w:firstLine="4"/>
      </w:pPr>
      <w:r>
        <w:rPr>
          <w:color w:val="1A1A1A"/>
        </w:rPr>
        <w:t>We have estimated the overall cost of the project to be approximately $300,000. The projected cost to outfit the space is approxi</w:t>
      </w:r>
      <w:r w:rsidR="00F26E08">
        <w:rPr>
          <w:color w:val="1A1A1A"/>
        </w:rPr>
        <w:t>mately $250,000.  Although</w:t>
      </w:r>
      <w:r>
        <w:rPr>
          <w:color w:val="1A1A1A"/>
        </w:rPr>
        <w:t xml:space="preserve"> the cost of staffing and </w:t>
      </w:r>
      <w:proofErr w:type="gramStart"/>
      <w:r>
        <w:rPr>
          <w:color w:val="1A1A1A"/>
        </w:rPr>
        <w:t>other  operational</w:t>
      </w:r>
      <w:proofErr w:type="gramEnd"/>
      <w:r>
        <w:rPr>
          <w:color w:val="1A1A1A"/>
        </w:rPr>
        <w:t xml:space="preserve">  costs will be variable, we have estimated operational costs to run the space to be approximately $50,000. The Massachusetts Emergency Management Association provided cots and physical space</w:t>
      </w:r>
      <w:r>
        <w:rPr>
          <w:color w:val="1A1A1A"/>
          <w:spacing w:val="30"/>
        </w:rPr>
        <w:t xml:space="preserve"> </w:t>
      </w:r>
      <w:r>
        <w:rPr>
          <w:color w:val="1A1A1A"/>
        </w:rPr>
        <w:t>set-up.</w:t>
      </w:r>
    </w:p>
    <w:p w:rsidR="009F5C37" w:rsidRDefault="009F5C37" w:rsidP="009F5C37">
      <w:pPr>
        <w:pStyle w:val="BodyText"/>
        <w:rPr>
          <w:sz w:val="23"/>
        </w:rPr>
      </w:pPr>
    </w:p>
    <w:p w:rsidR="009F5C37" w:rsidRDefault="009F5C37" w:rsidP="009F5C37">
      <w:pPr>
        <w:pStyle w:val="BodyText"/>
        <w:spacing w:line="283" w:lineRule="auto"/>
        <w:ind w:left="255" w:right="453" w:firstLine="2"/>
        <w:rPr>
          <w:color w:val="3A3F44"/>
        </w:rPr>
      </w:pPr>
      <w:r>
        <w:rPr>
          <w:color w:val="1A1A1A"/>
        </w:rPr>
        <w:t xml:space="preserve">Please do not hesitate to contact Michael McAuliffe, Director of Ethics and Compliance, at </w:t>
      </w:r>
      <w:hyperlink r:id="rId4" w:history="1">
        <w:r w:rsidRPr="00D34DCB">
          <w:rPr>
            <w:rStyle w:val="Hyperlink"/>
            <w:u w:color="182D80"/>
          </w:rPr>
          <w:t>michael.mcauliffe@lowellgeneral.org</w:t>
        </w:r>
        <w:r w:rsidRPr="00D34DCB">
          <w:rPr>
            <w:rStyle w:val="Hyperlink"/>
          </w:rPr>
          <w:t xml:space="preserve"> </w:t>
        </w:r>
      </w:hyperlink>
      <w:r>
        <w:rPr>
          <w:color w:val="1A1A1A"/>
        </w:rPr>
        <w:t>if there are additional questions related to the temporary alt</w:t>
      </w:r>
      <w:r>
        <w:rPr>
          <w:color w:val="1A1A1A"/>
        </w:rPr>
        <w:t>ernative care space being propo</w:t>
      </w:r>
      <w:r>
        <w:rPr>
          <w:color w:val="1A1A1A"/>
        </w:rPr>
        <w:t>sed</w:t>
      </w:r>
      <w:r>
        <w:rPr>
          <w:color w:val="3A3F44"/>
        </w:rPr>
        <w:t>.</w:t>
      </w:r>
    </w:p>
    <w:p w:rsidR="00F26E08" w:rsidRDefault="00F26E08" w:rsidP="00F26E08">
      <w:pPr>
        <w:pStyle w:val="BodyText"/>
        <w:spacing w:line="283" w:lineRule="auto"/>
        <w:ind w:right="453"/>
      </w:pPr>
    </w:p>
    <w:p w:rsidR="00F26E08" w:rsidRDefault="00F26E08" w:rsidP="009F5C37">
      <w:pPr>
        <w:pStyle w:val="BodyText"/>
        <w:rPr>
          <w:sz w:val="22"/>
        </w:rPr>
      </w:pPr>
      <w:r>
        <w:rPr>
          <w:sz w:val="22"/>
        </w:rPr>
        <w:t>Sincerely,</w:t>
      </w:r>
    </w:p>
    <w:p w:rsidR="00F26E08" w:rsidRDefault="00F26E08" w:rsidP="009F5C37">
      <w:pPr>
        <w:pStyle w:val="BodyText"/>
        <w:rPr>
          <w:sz w:val="22"/>
        </w:rPr>
      </w:pPr>
      <w:r>
        <w:rPr>
          <w:sz w:val="22"/>
        </w:rPr>
        <w:t>&lt;signature on file&gt;</w:t>
      </w:r>
    </w:p>
    <w:p w:rsidR="00F26E08" w:rsidRDefault="00F26E08" w:rsidP="009F5C37">
      <w:pPr>
        <w:pStyle w:val="BodyText"/>
        <w:rPr>
          <w:sz w:val="22"/>
        </w:rPr>
      </w:pPr>
      <w:r>
        <w:rPr>
          <w:sz w:val="22"/>
        </w:rPr>
        <w:t>Joseph A. White</w:t>
      </w:r>
    </w:p>
    <w:p w:rsidR="009F5C37" w:rsidRDefault="009F5C37" w:rsidP="009F5C37">
      <w:pPr>
        <w:pStyle w:val="BodyText"/>
        <w:spacing w:before="8"/>
        <w:rPr>
          <w:sz w:val="29"/>
        </w:rPr>
      </w:pPr>
    </w:p>
    <w:p w:rsidR="009F5C37" w:rsidRDefault="009F5C37" w:rsidP="009F5C37">
      <w:pPr>
        <w:pStyle w:val="BodyText"/>
        <w:spacing w:line="280" w:lineRule="auto"/>
        <w:ind w:left="254" w:right="6299" w:hanging="1"/>
      </w:pPr>
      <w:r>
        <w:rPr>
          <w:color w:val="1A1A1A"/>
        </w:rPr>
        <w:t xml:space="preserve">President &amp; Chief </w:t>
      </w:r>
      <w:r>
        <w:rPr>
          <w:color w:val="2F2F2F"/>
        </w:rPr>
        <w:t xml:space="preserve">Executive </w:t>
      </w:r>
      <w:r>
        <w:rPr>
          <w:color w:val="1A1A1A"/>
        </w:rPr>
        <w:t>Officer Lowell General Hospital</w:t>
      </w:r>
    </w:p>
    <w:p w:rsidR="009F5C37" w:rsidRDefault="009F5C37" w:rsidP="009F5C37">
      <w:pPr>
        <w:pStyle w:val="BodyText"/>
        <w:rPr>
          <w:sz w:val="22"/>
        </w:rPr>
      </w:pPr>
    </w:p>
    <w:p w:rsidR="009F5C37" w:rsidRDefault="009F5C37" w:rsidP="009F5C37">
      <w:pPr>
        <w:pStyle w:val="BodyText"/>
        <w:spacing w:before="10"/>
        <w:rPr>
          <w:sz w:val="25"/>
        </w:rPr>
      </w:pPr>
    </w:p>
    <w:p w:rsidR="009F5C37" w:rsidRDefault="009F5C37" w:rsidP="009F5C37">
      <w:pPr>
        <w:tabs>
          <w:tab w:val="left" w:pos="2455"/>
        </w:tabs>
        <w:spacing w:before="1"/>
        <w:ind w:left="105"/>
        <w:rPr>
          <w:sz w:val="15"/>
        </w:rPr>
      </w:pPr>
      <w:r>
        <w:rPr>
          <w:color w:val="1C2838"/>
          <w:sz w:val="15"/>
        </w:rPr>
        <w:t xml:space="preserve">A </w:t>
      </w:r>
      <w:r>
        <w:rPr>
          <w:color w:val="2F2F2F"/>
          <w:sz w:val="15"/>
        </w:rPr>
        <w:t>CIRCLE</w:t>
      </w:r>
      <w:r>
        <w:rPr>
          <w:color w:val="2F2F2F"/>
          <w:spacing w:val="-2"/>
          <w:sz w:val="15"/>
        </w:rPr>
        <w:t xml:space="preserve"> </w:t>
      </w:r>
      <w:r>
        <w:rPr>
          <w:color w:val="1C2838"/>
          <w:sz w:val="15"/>
        </w:rPr>
        <w:t>HEALT</w:t>
      </w:r>
      <w:r>
        <w:rPr>
          <w:color w:val="1A1A1A"/>
          <w:sz w:val="15"/>
        </w:rPr>
        <w:t>H</w:t>
      </w:r>
      <w:r>
        <w:rPr>
          <w:color w:val="1A1A1A"/>
          <w:spacing w:val="-17"/>
          <w:sz w:val="15"/>
        </w:rPr>
        <w:t xml:space="preserve"> </w:t>
      </w:r>
      <w:r>
        <w:rPr>
          <w:color w:val="1C2838"/>
          <w:sz w:val="15"/>
        </w:rPr>
        <w:t>MEMBER</w:t>
      </w:r>
      <w:r>
        <w:rPr>
          <w:color w:val="1C2838"/>
          <w:sz w:val="15"/>
        </w:rPr>
        <w:tab/>
        <w:t xml:space="preserve">295 </w:t>
      </w:r>
      <w:proofErr w:type="spellStart"/>
      <w:r>
        <w:rPr>
          <w:color w:val="1C2838"/>
          <w:sz w:val="15"/>
        </w:rPr>
        <w:t>Varnum</w:t>
      </w:r>
      <w:proofErr w:type="spellEnd"/>
      <w:r>
        <w:rPr>
          <w:color w:val="1C2838"/>
          <w:sz w:val="15"/>
        </w:rPr>
        <w:t xml:space="preserve"> </w:t>
      </w:r>
      <w:r>
        <w:rPr>
          <w:color w:val="1C2838"/>
          <w:spacing w:val="-3"/>
          <w:sz w:val="15"/>
        </w:rPr>
        <w:t>Ave</w:t>
      </w:r>
      <w:r>
        <w:rPr>
          <w:color w:val="1A1A1A"/>
          <w:spacing w:val="-3"/>
          <w:sz w:val="15"/>
        </w:rPr>
        <w:t>n</w:t>
      </w:r>
      <w:r>
        <w:rPr>
          <w:color w:val="1C2838"/>
          <w:spacing w:val="-3"/>
          <w:sz w:val="15"/>
        </w:rPr>
        <w:t>ue</w:t>
      </w:r>
      <w:r>
        <w:rPr>
          <w:color w:val="677074"/>
          <w:spacing w:val="-3"/>
          <w:sz w:val="15"/>
        </w:rPr>
        <w:t xml:space="preserve">, </w:t>
      </w:r>
      <w:r>
        <w:rPr>
          <w:color w:val="1A1A1A"/>
          <w:sz w:val="15"/>
        </w:rPr>
        <w:t>L</w:t>
      </w:r>
      <w:r>
        <w:rPr>
          <w:color w:val="1C2838"/>
          <w:sz w:val="15"/>
        </w:rPr>
        <w:t>owell</w:t>
      </w:r>
      <w:r>
        <w:rPr>
          <w:color w:val="3A3F44"/>
          <w:sz w:val="15"/>
        </w:rPr>
        <w:t xml:space="preserve">, </w:t>
      </w:r>
      <w:r>
        <w:rPr>
          <w:color w:val="1C2838"/>
          <w:sz w:val="15"/>
        </w:rPr>
        <w:t xml:space="preserve">MA </w:t>
      </w:r>
      <w:r>
        <w:rPr>
          <w:color w:val="1C2838"/>
          <w:spacing w:val="-4"/>
          <w:sz w:val="15"/>
        </w:rPr>
        <w:t>01</w:t>
      </w:r>
      <w:r>
        <w:rPr>
          <w:color w:val="3A3F44"/>
          <w:spacing w:val="-4"/>
          <w:sz w:val="15"/>
        </w:rPr>
        <w:t>8</w:t>
      </w:r>
      <w:r>
        <w:rPr>
          <w:color w:val="1C2838"/>
          <w:spacing w:val="-4"/>
          <w:sz w:val="15"/>
        </w:rPr>
        <w:t xml:space="preserve">54 </w:t>
      </w:r>
      <w:r>
        <w:rPr>
          <w:color w:val="1C2838"/>
          <w:sz w:val="15"/>
        </w:rPr>
        <w:t xml:space="preserve">• </w:t>
      </w:r>
      <w:r>
        <w:rPr>
          <w:color w:val="1C2838"/>
          <w:spacing w:val="-4"/>
          <w:sz w:val="15"/>
        </w:rPr>
        <w:t>978</w:t>
      </w:r>
      <w:r>
        <w:rPr>
          <w:color w:val="1A1A1A"/>
          <w:spacing w:val="-4"/>
          <w:sz w:val="15"/>
        </w:rPr>
        <w:t>-</w:t>
      </w:r>
      <w:r>
        <w:rPr>
          <w:color w:val="1C2838"/>
          <w:spacing w:val="-4"/>
          <w:sz w:val="15"/>
        </w:rPr>
        <w:t>937</w:t>
      </w:r>
      <w:r>
        <w:rPr>
          <w:color w:val="3A3F44"/>
          <w:spacing w:val="-4"/>
          <w:sz w:val="15"/>
        </w:rPr>
        <w:t>-</w:t>
      </w:r>
      <w:r>
        <w:rPr>
          <w:color w:val="1C2838"/>
          <w:spacing w:val="-4"/>
          <w:sz w:val="15"/>
        </w:rPr>
        <w:t xml:space="preserve">6000 </w:t>
      </w:r>
      <w:r>
        <w:rPr>
          <w:color w:val="1A1A1A"/>
          <w:sz w:val="15"/>
        </w:rPr>
        <w:t xml:space="preserve">• </w:t>
      </w:r>
      <w:r>
        <w:rPr>
          <w:color w:val="1C2838"/>
          <w:sz w:val="15"/>
        </w:rPr>
        <w:t xml:space="preserve">TTY: </w:t>
      </w:r>
      <w:r>
        <w:rPr>
          <w:color w:val="1C2838"/>
          <w:spacing w:val="-3"/>
          <w:sz w:val="15"/>
        </w:rPr>
        <w:t>97</w:t>
      </w:r>
      <w:r>
        <w:rPr>
          <w:color w:val="3A3F44"/>
          <w:spacing w:val="-3"/>
          <w:sz w:val="15"/>
        </w:rPr>
        <w:t>8-</w:t>
      </w:r>
      <w:r>
        <w:rPr>
          <w:color w:val="1C2838"/>
          <w:spacing w:val="-3"/>
          <w:sz w:val="15"/>
        </w:rPr>
        <w:t>937</w:t>
      </w:r>
      <w:r>
        <w:rPr>
          <w:color w:val="3A3F44"/>
          <w:spacing w:val="-3"/>
          <w:sz w:val="15"/>
        </w:rPr>
        <w:t>-</w:t>
      </w:r>
      <w:r>
        <w:rPr>
          <w:color w:val="1C2838"/>
          <w:spacing w:val="-3"/>
          <w:sz w:val="15"/>
        </w:rPr>
        <w:t xml:space="preserve">6889 </w:t>
      </w:r>
      <w:r>
        <w:rPr>
          <w:color w:val="1A1A1A"/>
          <w:sz w:val="15"/>
        </w:rPr>
        <w:t>•</w:t>
      </w:r>
      <w:r>
        <w:rPr>
          <w:color w:val="1A1A1A"/>
          <w:spacing w:val="38"/>
          <w:sz w:val="15"/>
        </w:rPr>
        <w:t xml:space="preserve"> </w:t>
      </w:r>
      <w:hyperlink r:id="rId5">
        <w:r w:rsidR="004F4634">
          <w:rPr>
            <w:color w:val="1C2838"/>
            <w:sz w:val="15"/>
          </w:rPr>
          <w:t>Lowell General Hospital website at www.lowellgeneral.org</w:t>
        </w:r>
      </w:hyperlink>
    </w:p>
    <w:p w:rsidR="00BA6798" w:rsidRDefault="00BA6798"/>
    <w:sectPr w:rsidR="00BA6798" w:rsidSect="009F5C37">
      <w:pgSz w:w="12240" w:h="15850"/>
      <w:pgMar w:top="0" w:right="1300" w:bottom="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37"/>
    <w:rsid w:val="004F4634"/>
    <w:rsid w:val="008E5D50"/>
    <w:rsid w:val="009F5C37"/>
    <w:rsid w:val="00BA6798"/>
    <w:rsid w:val="00DE0BB6"/>
    <w:rsid w:val="00F2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E6B1EA"/>
  <w15:chartTrackingRefBased/>
  <w15:docId w15:val="{96925F1C-B520-484B-BD87-15E0814D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9F5C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F5C3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F5C37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5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wellgeneral.org/" TargetMode="External"/><Relationship Id="rId4" Type="http://schemas.openxmlformats.org/officeDocument/2006/relationships/hyperlink" Target="mailto:michael.mcauliffe@lowellgeneral.or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6</cp:revision>
  <dcterms:created xsi:type="dcterms:W3CDTF">2021-10-20T20:11:00Z</dcterms:created>
  <dcterms:modified xsi:type="dcterms:W3CDTF">2021-10-20T20:50:00Z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