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A52E" w14:textId="77777777" w:rsidR="0079644F" w:rsidRPr="00A407C1" w:rsidRDefault="0079644F" w:rsidP="0079644F">
      <w:pPr>
        <w:framePr w:w="1927" w:hSpace="180" w:wrap="auto" w:vAnchor="text" w:hAnchor="page" w:x="940" w:y="-951"/>
        <w:rPr>
          <w:szCs w:val="24"/>
        </w:rPr>
      </w:pPr>
      <w:r w:rsidRPr="001F290C">
        <w:rPr>
          <w:noProof/>
          <w:szCs w:val="24"/>
        </w:rPr>
        <w:drawing>
          <wp:inline distT="0" distB="0" distL="0" distR="0" wp14:anchorId="5321669F" wp14:editId="436AB5FB">
            <wp:extent cx="965200" cy="114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DAC08" w14:textId="2FD6BDAD" w:rsidR="0079644F" w:rsidRPr="00A407C1" w:rsidRDefault="001910C0" w:rsidP="0079644F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F6D86" wp14:editId="450B5389">
                <wp:simplePos x="0" y="0"/>
                <wp:positionH relativeFrom="column">
                  <wp:posOffset>717442</wp:posOffset>
                </wp:positionH>
                <wp:positionV relativeFrom="paragraph">
                  <wp:posOffset>-599861</wp:posOffset>
                </wp:positionV>
                <wp:extent cx="4628647" cy="1136015"/>
                <wp:effectExtent l="0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8647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13A2" w14:textId="77777777" w:rsidR="00D906AA" w:rsidRDefault="00D906AA" w:rsidP="00D906AA">
                            <w:pPr>
                              <w:jc w:val="center"/>
                              <w:rPr>
                                <w:rFonts w:ascii="Arial" w:hAnsi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sz w:val="36"/>
                              </w:rPr>
                              <w:t>The Commonwealth of Massachusetts</w:t>
                            </w:r>
                          </w:p>
                          <w:p w14:paraId="4B1AFC3A" w14:textId="77777777" w:rsidR="00D906AA" w:rsidRDefault="00D906AA" w:rsidP="00D906AA">
                            <w:pPr>
                              <w:pStyle w:val="ExecOffice"/>
                            </w:pPr>
                            <w:r>
                              <w:t>Executive Office of Health and Human Services</w:t>
                            </w:r>
                          </w:p>
                          <w:p w14:paraId="654B16C2" w14:textId="77777777" w:rsidR="00D906AA" w:rsidRDefault="00D906AA" w:rsidP="00D906AA">
                            <w:pPr>
                              <w:pStyle w:val="ExecOffice"/>
                            </w:pPr>
                            <w:r>
                              <w:t>Department of Public Health</w:t>
                            </w:r>
                          </w:p>
                          <w:p w14:paraId="0CB4FA94" w14:textId="77777777" w:rsidR="00D906AA" w:rsidRDefault="00D906AA" w:rsidP="00D906AA">
                            <w:pPr>
                              <w:pStyle w:val="ExecOffice"/>
                            </w:pPr>
                            <w:r>
                              <w:t>250 Washington Street, Boston, MA 02108-4619</w:t>
                            </w:r>
                          </w:p>
                          <w:p w14:paraId="6916141B" w14:textId="77777777" w:rsidR="00603354" w:rsidRPr="00FC6B42" w:rsidRDefault="00603354" w:rsidP="006033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FF6D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5pt;margin-top:-47.25pt;width:364.45pt;height:89.4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" stroked="f">
                <v:textbox style="mso-fit-shape-to-text:t">
                  <w:txbxContent>
                    <w:p w14:paraId="35C113A2" w14:textId="77777777" w:rsidR="00D906AA" w:rsidRDefault="00D906AA" w:rsidP="00D906AA">
                      <w:pPr>
                        <w:jc w:val="center"/>
                        <w:rPr>
                          <w:rFonts w:ascii="Arial" w:hAnsi="Arial"/>
                          <w:sz w:val="36"/>
                        </w:rPr>
                      </w:pPr>
                      <w:r>
                        <w:rPr>
                          <w:rFonts w:ascii="Arial" w:hAnsi="Arial"/>
                          <w:sz w:val="36"/>
                        </w:rPr>
                        <w:t>The Commonwealth of Massachusetts</w:t>
                      </w:r>
                    </w:p>
                    <w:p w14:paraId="4B1AFC3A" w14:textId="77777777" w:rsidR="00D906AA" w:rsidRDefault="00D906AA" w:rsidP="00D906AA">
                      <w:pPr>
                        <w:pStyle w:val="ExecOffice"/>
                      </w:pPr>
                      <w:r>
                        <w:t>Executive Office of Health and Human Services</w:t>
                      </w:r>
                    </w:p>
                    <w:p w14:paraId="654B16C2" w14:textId="77777777" w:rsidR="00D906AA" w:rsidRDefault="00D906AA" w:rsidP="00D906AA">
                      <w:pPr>
                        <w:pStyle w:val="ExecOffice"/>
                      </w:pPr>
                      <w:r>
                        <w:t>Department of Public Health</w:t>
                      </w:r>
                    </w:p>
                    <w:p w14:paraId="0CB4FA94" w14:textId="77777777" w:rsidR="00D906AA" w:rsidRDefault="00D906AA" w:rsidP="00D906AA">
                      <w:pPr>
                        <w:pStyle w:val="ExecOffice"/>
                      </w:pPr>
                      <w:r>
                        <w:t>250 Washington Street, Boston, MA 02108-4619</w:t>
                      </w:r>
                    </w:p>
                    <w:p w14:paraId="6916141B" w14:textId="77777777" w:rsidR="00603354" w:rsidRPr="00FC6B42" w:rsidRDefault="00603354" w:rsidP="006033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BD6BF8" w14:textId="20823685" w:rsidR="0079644F" w:rsidRPr="00A407C1" w:rsidRDefault="005E4671" w:rsidP="0079644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23FD28" wp14:editId="5E750C6E">
                <wp:simplePos x="0" y="0"/>
                <wp:positionH relativeFrom="column">
                  <wp:posOffset>4943475</wp:posOffset>
                </wp:positionH>
                <wp:positionV relativeFrom="paragraph">
                  <wp:posOffset>120015</wp:posOffset>
                </wp:positionV>
                <wp:extent cx="1814195" cy="1136015"/>
                <wp:effectExtent l="0" t="0" r="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1B2C9" w14:textId="77777777" w:rsidR="005E4671" w:rsidRDefault="005E4671" w:rsidP="005E467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8480EA" w14:textId="77777777" w:rsidR="005E4671" w:rsidRDefault="005E4671" w:rsidP="005E467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MARY A. BECKMAN</w:t>
                            </w:r>
                          </w:p>
                          <w:p w14:paraId="11527E2E" w14:textId="77777777" w:rsidR="005E4671" w:rsidRPr="00E662E1" w:rsidRDefault="005E4671" w:rsidP="005E4671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Acting Secretary</w:t>
                            </w:r>
                          </w:p>
                          <w:p w14:paraId="24BF7724" w14:textId="77777777" w:rsidR="005E4671" w:rsidRDefault="005E4671" w:rsidP="005E467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04A5E0B" w14:textId="77777777" w:rsidR="005E4671" w:rsidRDefault="005E4671" w:rsidP="005E467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006AE28" w14:textId="77777777" w:rsidR="005E4671" w:rsidRPr="004813AC" w:rsidRDefault="005E4671" w:rsidP="005E46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B53E60F" w14:textId="77777777" w:rsidR="005E4671" w:rsidRPr="004813AC" w:rsidRDefault="005E4671" w:rsidP="005E46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CADA9C3" w14:textId="77777777" w:rsidR="005E4671" w:rsidRPr="00FC6B42" w:rsidRDefault="005E4671" w:rsidP="005E467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3FD28" id="Text Box 12" o:spid="_x0000_s1027" type="#_x0000_t202" style="position:absolute;margin-left:389.25pt;margin-top:9.45pt;width:142.85pt;height:89.4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" stroked="f">
                <v:textbox style="mso-fit-shape-to-text:t">
                  <w:txbxContent>
                    <w:p w14:paraId="1391B2C9" w14:textId="77777777" w:rsidR="005E4671" w:rsidRDefault="005E4671" w:rsidP="005E467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78480EA" w14:textId="77777777" w:rsidR="005E4671" w:rsidRDefault="005E4671" w:rsidP="005E467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MARY A. BECKMAN</w:t>
                      </w:r>
                    </w:p>
                    <w:p w14:paraId="11527E2E" w14:textId="77777777" w:rsidR="005E4671" w:rsidRPr="00E662E1" w:rsidRDefault="005E4671" w:rsidP="005E4671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Acting Secretary</w:t>
                      </w:r>
                    </w:p>
                    <w:p w14:paraId="24BF7724" w14:textId="77777777" w:rsidR="005E4671" w:rsidRDefault="005E4671" w:rsidP="005E467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04A5E0B" w14:textId="77777777" w:rsidR="005E4671" w:rsidRDefault="005E4671" w:rsidP="005E467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006AE28" w14:textId="77777777" w:rsidR="005E4671" w:rsidRPr="004813AC" w:rsidRDefault="005E4671" w:rsidP="005E467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B53E60F" w14:textId="77777777" w:rsidR="005E4671" w:rsidRPr="004813AC" w:rsidRDefault="005E4671" w:rsidP="005E467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CADA9C3" w14:textId="77777777" w:rsidR="005E4671" w:rsidRPr="00FC6B42" w:rsidRDefault="005E4671" w:rsidP="005E467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E40AB9" w14:textId="1EF67550" w:rsidR="0079644F" w:rsidRPr="00A407C1" w:rsidRDefault="00CA7E38" w:rsidP="0079644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B3C305" wp14:editId="7051D220">
                <wp:simplePos x="0" y="0"/>
                <wp:positionH relativeFrom="column">
                  <wp:posOffset>-648335</wp:posOffset>
                </wp:positionH>
                <wp:positionV relativeFrom="paragraph">
                  <wp:posOffset>191770</wp:posOffset>
                </wp:positionV>
                <wp:extent cx="1572895" cy="802005"/>
                <wp:effectExtent l="0" t="0" r="825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C05E" w14:textId="77777777" w:rsidR="00CA7E38" w:rsidRDefault="00CA7E38" w:rsidP="00CA7E3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D817FCF" w14:textId="77777777" w:rsidR="00CA7E38" w:rsidRDefault="00CA7E38" w:rsidP="00CA7E3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C1101BD" w14:textId="77777777" w:rsidR="00CA7E38" w:rsidRDefault="00CA7E38" w:rsidP="00CA7E3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37C8BD3" w14:textId="77777777" w:rsidR="00CA7E38" w:rsidRDefault="00CA7E38" w:rsidP="00CA7E3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2C0CE12A" w14:textId="77777777" w:rsidR="00CA7E38" w:rsidRDefault="00CA7E38" w:rsidP="00CA7E3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3C305" id="Text Box 10" o:spid="_x0000_s1028" type="#_x0000_t202" style="position:absolute;margin-left:-51.05pt;margin-top:15.1pt;width:123.85pt;height:63.1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UH9QEAANE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" stroked="f">
                <v:textbox style="mso-fit-shape-to-text:t">
                  <w:txbxContent>
                    <w:p w14:paraId="1015C05E" w14:textId="77777777" w:rsidR="00CA7E38" w:rsidRDefault="00CA7E38" w:rsidP="00CA7E3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D817FCF" w14:textId="77777777" w:rsidR="00CA7E38" w:rsidRDefault="00CA7E38" w:rsidP="00CA7E3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C1101BD" w14:textId="77777777" w:rsidR="00CA7E38" w:rsidRDefault="00CA7E38" w:rsidP="00CA7E38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37C8BD3" w14:textId="77777777" w:rsidR="00CA7E38" w:rsidRDefault="00CA7E38" w:rsidP="00CA7E3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2C0CE12A" w14:textId="77777777" w:rsidR="00CA7E38" w:rsidRDefault="00CA7E38" w:rsidP="00CA7E3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37C2EE7" w14:textId="01F639F4" w:rsidR="0079644F" w:rsidRPr="00A407C1" w:rsidRDefault="0079644F" w:rsidP="0079644F">
      <w:pPr>
        <w:rPr>
          <w:szCs w:val="24"/>
        </w:rPr>
      </w:pPr>
    </w:p>
    <w:p w14:paraId="0E2029A4" w14:textId="67188C01" w:rsidR="0079644F" w:rsidRPr="00A407C1" w:rsidRDefault="0079644F" w:rsidP="0079644F">
      <w:pPr>
        <w:rPr>
          <w:szCs w:val="24"/>
        </w:rPr>
      </w:pPr>
    </w:p>
    <w:p w14:paraId="02EA2444" w14:textId="1A328DAA" w:rsidR="0079644F" w:rsidRPr="00A407C1" w:rsidRDefault="0079644F" w:rsidP="0079644F">
      <w:pPr>
        <w:rPr>
          <w:szCs w:val="24"/>
        </w:rPr>
      </w:pPr>
    </w:p>
    <w:p w14:paraId="6B7DF435" w14:textId="0D979EC2" w:rsidR="0079644F" w:rsidRPr="00A407C1" w:rsidRDefault="0079644F" w:rsidP="0079644F">
      <w:pPr>
        <w:rPr>
          <w:szCs w:val="24"/>
        </w:rPr>
      </w:pPr>
    </w:p>
    <w:p w14:paraId="5A0E753D" w14:textId="77777777" w:rsidR="0079644F" w:rsidRPr="00A407C1" w:rsidRDefault="0079644F" w:rsidP="0079644F">
      <w:pPr>
        <w:rPr>
          <w:szCs w:val="24"/>
        </w:rPr>
      </w:pPr>
    </w:p>
    <w:p w14:paraId="77B489C9" w14:textId="4A67CF38" w:rsidR="0079644F" w:rsidRPr="00A407C1" w:rsidRDefault="0079644F" w:rsidP="0079644F">
      <w:pPr>
        <w:tabs>
          <w:tab w:val="left" w:pos="31196"/>
        </w:tabs>
        <w:ind w:left="720" w:right="2160" w:hanging="720"/>
        <w:rPr>
          <w:rFonts w:eastAsia="Cambria"/>
          <w:szCs w:val="24"/>
        </w:rPr>
      </w:pPr>
      <w:r w:rsidRPr="00A407C1">
        <w:rPr>
          <w:rFonts w:eastAsia="Cambria"/>
          <w:szCs w:val="24"/>
        </w:rPr>
        <w:t xml:space="preserve">To:      </w:t>
      </w:r>
      <w:r>
        <w:rPr>
          <w:rFonts w:eastAsia="Cambria"/>
          <w:szCs w:val="24"/>
        </w:rPr>
        <w:t>All BSAS Licensees</w:t>
      </w:r>
      <w:r w:rsidRPr="00A407C1">
        <w:rPr>
          <w:rFonts w:eastAsia="Cambria"/>
          <w:szCs w:val="24"/>
        </w:rPr>
        <w:t xml:space="preserve"> </w:t>
      </w:r>
      <w:r>
        <w:rPr>
          <w:rFonts w:eastAsia="Cambria"/>
          <w:szCs w:val="24"/>
        </w:rPr>
        <w:t>and Contractors</w:t>
      </w:r>
    </w:p>
    <w:p w14:paraId="6416E20C" w14:textId="77777777" w:rsidR="0079644F" w:rsidRPr="00A407C1" w:rsidRDefault="0079644F" w:rsidP="0079644F">
      <w:pPr>
        <w:pStyle w:val="NoSpacing"/>
        <w:rPr>
          <w:rFonts w:eastAsia="Cambria"/>
          <w:szCs w:val="24"/>
        </w:rPr>
      </w:pPr>
    </w:p>
    <w:p w14:paraId="5CEAD447" w14:textId="4C141770" w:rsidR="0079644F" w:rsidRPr="00A407C1" w:rsidRDefault="0079644F" w:rsidP="0079644F">
      <w:pPr>
        <w:pStyle w:val="NoSpacing"/>
        <w:rPr>
          <w:rFonts w:eastAsia="Cambria"/>
          <w:szCs w:val="24"/>
        </w:rPr>
      </w:pPr>
      <w:r w:rsidRPr="00A407C1">
        <w:rPr>
          <w:rFonts w:eastAsia="Cambria"/>
          <w:szCs w:val="24"/>
        </w:rPr>
        <w:t>From</w:t>
      </w:r>
      <w:r>
        <w:rPr>
          <w:rFonts w:eastAsia="Cambria"/>
          <w:szCs w:val="24"/>
        </w:rPr>
        <w:t>:</w:t>
      </w:r>
      <w:r>
        <w:rPr>
          <w:rFonts w:eastAsia="Cambria"/>
          <w:szCs w:val="24"/>
        </w:rPr>
        <w:tab/>
      </w:r>
      <w:r w:rsidRPr="00A407C1">
        <w:rPr>
          <w:szCs w:val="24"/>
        </w:rPr>
        <w:t>Deirdre Calvert, LICSW, Director of the Bureau of Substance Addiction Services</w:t>
      </w:r>
    </w:p>
    <w:p w14:paraId="37DE938A" w14:textId="77777777" w:rsidR="0079644F" w:rsidRPr="00A407C1" w:rsidRDefault="0079644F" w:rsidP="0079644F">
      <w:pPr>
        <w:ind w:left="630" w:right="2160" w:hanging="630"/>
        <w:rPr>
          <w:rFonts w:eastAsia="Cambria"/>
          <w:szCs w:val="24"/>
        </w:rPr>
      </w:pPr>
    </w:p>
    <w:p w14:paraId="70CEF69D" w14:textId="3AE176E8" w:rsidR="0079644F" w:rsidRPr="00A407C1" w:rsidRDefault="0079644F" w:rsidP="0079644F">
      <w:pPr>
        <w:ind w:left="630" w:right="2160" w:hanging="630"/>
        <w:rPr>
          <w:rFonts w:eastAsia="Cambria"/>
          <w:szCs w:val="24"/>
        </w:rPr>
      </w:pPr>
      <w:r w:rsidRPr="00A407C1">
        <w:rPr>
          <w:rFonts w:eastAsia="Cambria"/>
          <w:szCs w:val="24"/>
        </w:rPr>
        <w:t>Date</w:t>
      </w:r>
      <w:r>
        <w:rPr>
          <w:rFonts w:eastAsia="Cambria"/>
          <w:szCs w:val="24"/>
        </w:rPr>
        <w:t>:</w:t>
      </w:r>
      <w:r>
        <w:rPr>
          <w:rFonts w:eastAsia="Cambria"/>
          <w:szCs w:val="24"/>
        </w:rPr>
        <w:tab/>
      </w:r>
      <w:r>
        <w:rPr>
          <w:rFonts w:eastAsia="Cambria"/>
          <w:szCs w:val="24"/>
        </w:rPr>
        <w:tab/>
      </w:r>
      <w:r w:rsidR="000147FE" w:rsidRPr="00131ECB">
        <w:rPr>
          <w:rFonts w:eastAsia="Cambria"/>
          <w:szCs w:val="24"/>
        </w:rPr>
        <w:t>January</w:t>
      </w:r>
      <w:r w:rsidR="00BB6519" w:rsidRPr="00131ECB">
        <w:rPr>
          <w:rFonts w:eastAsia="Cambria"/>
          <w:szCs w:val="24"/>
        </w:rPr>
        <w:t xml:space="preserve"> </w:t>
      </w:r>
      <w:r w:rsidR="00131ECB" w:rsidRPr="00131ECB">
        <w:rPr>
          <w:rFonts w:eastAsia="Cambria"/>
          <w:szCs w:val="24"/>
        </w:rPr>
        <w:t>23</w:t>
      </w:r>
      <w:r w:rsidR="00BB6519" w:rsidRPr="00131ECB">
        <w:rPr>
          <w:rFonts w:eastAsia="Cambria"/>
          <w:szCs w:val="24"/>
        </w:rPr>
        <w:t>, 202</w:t>
      </w:r>
      <w:r w:rsidR="00B73665" w:rsidRPr="00131ECB">
        <w:rPr>
          <w:rFonts w:eastAsia="Cambria"/>
          <w:szCs w:val="24"/>
        </w:rPr>
        <w:t>3</w:t>
      </w:r>
    </w:p>
    <w:p w14:paraId="4ED7CAF0" w14:textId="77777777" w:rsidR="0079644F" w:rsidRPr="00A407C1" w:rsidRDefault="0079644F" w:rsidP="0079644F">
      <w:pPr>
        <w:rPr>
          <w:rFonts w:eastAsia="Cambria"/>
          <w:szCs w:val="24"/>
        </w:rPr>
      </w:pPr>
    </w:p>
    <w:p w14:paraId="4791343A" w14:textId="3028629A" w:rsidR="0079644F" w:rsidRPr="00A407C1" w:rsidRDefault="0079644F" w:rsidP="0079644F">
      <w:pPr>
        <w:pBdr>
          <w:bottom w:val="single" w:sz="4" w:space="1" w:color="auto"/>
        </w:pBdr>
        <w:rPr>
          <w:rFonts w:eastAsia="Cambria"/>
          <w:szCs w:val="24"/>
        </w:rPr>
      </w:pPr>
      <w:r w:rsidRPr="00A407C1">
        <w:rPr>
          <w:rFonts w:eastAsia="Cambria"/>
          <w:szCs w:val="24"/>
        </w:rPr>
        <w:t>Re</w:t>
      </w:r>
      <w:r>
        <w:rPr>
          <w:rFonts w:eastAsia="Cambria"/>
          <w:szCs w:val="24"/>
        </w:rPr>
        <w:t>:</w:t>
      </w:r>
      <w:r>
        <w:rPr>
          <w:rFonts w:eastAsia="Cambria"/>
          <w:szCs w:val="24"/>
        </w:rPr>
        <w:tab/>
      </w:r>
      <w:r w:rsidR="00083EAA">
        <w:rPr>
          <w:rFonts w:eastAsia="Cambria"/>
          <w:szCs w:val="24"/>
        </w:rPr>
        <w:t>Required</w:t>
      </w:r>
      <w:r w:rsidR="00EC28A7">
        <w:rPr>
          <w:rFonts w:eastAsia="Cambria"/>
          <w:szCs w:val="24"/>
        </w:rPr>
        <w:t xml:space="preserve"> </w:t>
      </w:r>
      <w:r>
        <w:rPr>
          <w:rFonts w:eastAsia="Cambria"/>
          <w:szCs w:val="24"/>
        </w:rPr>
        <w:t xml:space="preserve">Reporting of COVID-19 Positive Cases </w:t>
      </w:r>
    </w:p>
    <w:p w14:paraId="49232142" w14:textId="4ACFDC18" w:rsidR="0079644F" w:rsidRDefault="00CC6A5F" w:rsidP="0079644F">
      <w:pPr>
        <w:pStyle w:val="NormalWeb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B5259" wp14:editId="7A461ACB">
                <wp:simplePos x="0" y="0"/>
                <wp:positionH relativeFrom="margin">
                  <wp:posOffset>-104775</wp:posOffset>
                </wp:positionH>
                <wp:positionV relativeFrom="paragraph">
                  <wp:posOffset>123825</wp:posOffset>
                </wp:positionV>
                <wp:extent cx="6134100" cy="8191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DA4BA" id="Rectangle 13" o:spid="_x0000_s1026" style="position:absolute;margin-left:-8.25pt;margin-top:9.75pt;width:483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42C92FF4" w14:textId="5BD3840C" w:rsidR="00B73665" w:rsidRDefault="00403062" w:rsidP="0079644F">
      <w:pPr>
        <w:pStyle w:val="NormalWeb"/>
        <w:jc w:val="both"/>
        <w:rPr>
          <w:b/>
          <w:bCs/>
        </w:rPr>
      </w:pPr>
      <w:r w:rsidRPr="112B98DB">
        <w:rPr>
          <w:b/>
          <w:bCs/>
        </w:rPr>
        <w:t xml:space="preserve">This guidance document was updated </w:t>
      </w:r>
      <w:r w:rsidR="00AE35D9">
        <w:rPr>
          <w:b/>
          <w:bCs/>
        </w:rPr>
        <w:t>January</w:t>
      </w:r>
      <w:r w:rsidRPr="112B98DB">
        <w:rPr>
          <w:b/>
          <w:bCs/>
        </w:rPr>
        <w:t xml:space="preserve"> 2023 to:</w:t>
      </w:r>
    </w:p>
    <w:p w14:paraId="616D2CC0" w14:textId="2A505972" w:rsidR="00DD5485" w:rsidRPr="003226A6" w:rsidRDefault="00CA21D9" w:rsidP="00403062">
      <w:pPr>
        <w:pStyle w:val="NormalWeb"/>
        <w:numPr>
          <w:ilvl w:val="0"/>
          <w:numId w:val="5"/>
        </w:numPr>
        <w:jc w:val="both"/>
        <w:rPr>
          <w:b/>
          <w:bCs/>
        </w:rPr>
      </w:pPr>
      <w:r>
        <w:t>Reflect updated information that programs are required to submit.</w:t>
      </w:r>
    </w:p>
    <w:p w14:paraId="584C8282" w14:textId="47F2521A" w:rsidR="00CA21D9" w:rsidRPr="003226A6" w:rsidRDefault="00CA21D9" w:rsidP="003226A6">
      <w:pPr>
        <w:pStyle w:val="NormalWeb"/>
        <w:numPr>
          <w:ilvl w:val="0"/>
          <w:numId w:val="5"/>
        </w:numPr>
        <w:jc w:val="both"/>
        <w:rPr>
          <w:b/>
          <w:bCs/>
        </w:rPr>
      </w:pPr>
      <w:r>
        <w:t xml:space="preserve">Provide clearer guidance on </w:t>
      </w:r>
      <w:r w:rsidR="00CC6A5F">
        <w:t>reporting</w:t>
      </w:r>
      <w:r>
        <w:t xml:space="preserve"> regulations (105 CMR 164</w:t>
      </w:r>
      <w:r w:rsidR="00CC6A5F">
        <w:t>.035</w:t>
      </w:r>
      <w:r>
        <w:t>), which were promulgated November 2022.</w:t>
      </w:r>
    </w:p>
    <w:p w14:paraId="5B15C23E" w14:textId="77777777" w:rsidR="00B73665" w:rsidRDefault="00B73665" w:rsidP="0079644F">
      <w:pPr>
        <w:pStyle w:val="NormalWeb"/>
        <w:jc w:val="both"/>
      </w:pPr>
    </w:p>
    <w:p w14:paraId="5233B95D" w14:textId="18A8C5C6" w:rsidR="0079644F" w:rsidRDefault="0079644F" w:rsidP="0079644F">
      <w:pPr>
        <w:pStyle w:val="NormalWeb"/>
        <w:jc w:val="both"/>
      </w:pPr>
      <w:r>
        <w:t>The purpose of this memo</w:t>
      </w:r>
      <w:r w:rsidRPr="00F56506">
        <w:t xml:space="preserve"> is to provide guidance to all licensed</w:t>
      </w:r>
      <w:r>
        <w:t>/</w:t>
      </w:r>
      <w:r w:rsidR="003341F1">
        <w:t>approved/</w:t>
      </w:r>
      <w:r>
        <w:t>contracted programs</w:t>
      </w:r>
      <w:r w:rsidRPr="00F56506">
        <w:t xml:space="preserve"> by the Massachusetts Department of Public Health’s (DPH) Bureau of Substance Addiction Services (BSAS) on </w:t>
      </w:r>
      <w:r w:rsidR="00083EAA">
        <w:t>the reporting requir</w:t>
      </w:r>
      <w:r w:rsidR="00EC28A7">
        <w:t>e</w:t>
      </w:r>
      <w:r w:rsidR="00083EAA">
        <w:t>ments for</w:t>
      </w:r>
      <w:r>
        <w:t xml:space="preserve"> positive COVID-19 cases in substance use disorder treatment</w:t>
      </w:r>
      <w:r w:rsidR="00C931BD">
        <w:t xml:space="preserve"> programs</w:t>
      </w:r>
      <w:r>
        <w:t>.</w:t>
      </w:r>
      <w:r w:rsidRPr="00F56506">
        <w:t xml:space="preserve"> </w:t>
      </w:r>
      <w:r w:rsidRPr="00B97880">
        <w:t xml:space="preserve">This </w:t>
      </w:r>
      <w:r w:rsidR="00AF716A">
        <w:t>memo</w:t>
      </w:r>
      <w:r w:rsidR="00AF716A" w:rsidRPr="00B97880">
        <w:t xml:space="preserve"> </w:t>
      </w:r>
      <w:r w:rsidRPr="00B97880">
        <w:t xml:space="preserve">will </w:t>
      </w:r>
      <w:r>
        <w:t xml:space="preserve">review </w:t>
      </w:r>
      <w:r w:rsidR="00AF716A">
        <w:t xml:space="preserve">the </w:t>
      </w:r>
      <w:r>
        <w:t xml:space="preserve">information </w:t>
      </w:r>
      <w:r w:rsidR="00AF716A">
        <w:t>p</w:t>
      </w:r>
      <w:r>
        <w:t xml:space="preserve">roviders </w:t>
      </w:r>
      <w:r w:rsidR="00C931BD">
        <w:t>must</w:t>
      </w:r>
      <w:r w:rsidR="00EC28A7">
        <w:t xml:space="preserve"> </w:t>
      </w:r>
      <w:r>
        <w:t xml:space="preserve">include when reporting any positive cases of COVID-19 to BSAS. </w:t>
      </w:r>
    </w:p>
    <w:p w14:paraId="255AF76F" w14:textId="77777777" w:rsidR="0079644F" w:rsidRPr="00F56506" w:rsidRDefault="0079644F" w:rsidP="0079644F">
      <w:pPr>
        <w:pStyle w:val="NormalWeb"/>
        <w:jc w:val="both"/>
      </w:pPr>
    </w:p>
    <w:p w14:paraId="2DD31E37" w14:textId="77777777" w:rsidR="0079644F" w:rsidRDefault="0079644F" w:rsidP="0079644F">
      <w:pPr>
        <w:autoSpaceDE w:val="0"/>
        <w:autoSpaceDN w:val="0"/>
        <w:adjustRightInd w:val="0"/>
        <w:jc w:val="both"/>
        <w:rPr>
          <w:szCs w:val="24"/>
        </w:rPr>
      </w:pPr>
      <w:r w:rsidRPr="00E00C54">
        <w:rPr>
          <w:b/>
          <w:bCs/>
          <w:szCs w:val="24"/>
        </w:rPr>
        <w:t>This guidance is intended to supplement, not supplant, provisions from regulatory agencies that oversee programs</w:t>
      </w:r>
      <w:r>
        <w:rPr>
          <w:b/>
          <w:bCs/>
          <w:szCs w:val="24"/>
        </w:rPr>
        <w:t xml:space="preserve"> licensed/contracted by BSAS</w:t>
      </w:r>
      <w:r w:rsidRPr="00E00C54">
        <w:rPr>
          <w:b/>
          <w:bCs/>
          <w:szCs w:val="24"/>
        </w:rPr>
        <w:t>.</w:t>
      </w:r>
    </w:p>
    <w:p w14:paraId="288D6326" w14:textId="324611EB" w:rsidR="00F54861" w:rsidRDefault="00F54861"/>
    <w:p w14:paraId="452A2615" w14:textId="5A9389AC" w:rsidR="00167FAF" w:rsidRDefault="00167F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COVID-19 </w:t>
      </w:r>
    </w:p>
    <w:p w14:paraId="12177717" w14:textId="1DB807A3" w:rsidR="00EC28A7" w:rsidRDefault="00C931BD" w:rsidP="00AF716A">
      <w:pPr>
        <w:jc w:val="both"/>
      </w:pPr>
      <w:r>
        <w:t>As you are aw</w:t>
      </w:r>
      <w:r w:rsidR="00083EAA">
        <w:t>are, 105 CMR 164.035</w:t>
      </w:r>
      <w:r>
        <w:t>(</w:t>
      </w:r>
      <w:r w:rsidR="001379BF">
        <w:t>F</w:t>
      </w:r>
      <w:r>
        <w:t>)</w:t>
      </w:r>
      <w:r w:rsidR="001379BF">
        <w:t>(1)(</w:t>
      </w:r>
      <w:r w:rsidR="003341F1">
        <w:t>j</w:t>
      </w:r>
      <w:r w:rsidR="001379BF">
        <w:t>)</w:t>
      </w:r>
      <w:r>
        <w:t xml:space="preserve"> requires programs to report any health or safety conditions at the program</w:t>
      </w:r>
      <w:r w:rsidR="00632781">
        <w:t xml:space="preserve"> through the Required Notification process</w:t>
      </w:r>
      <w:r>
        <w:t>.  This includes all known positive results for COVID-19 for both staff and patients/residents</w:t>
      </w:r>
      <w:r w:rsidR="00EC28A7">
        <w:t>.</w:t>
      </w:r>
      <w:r w:rsidR="003341F1">
        <w:t xml:space="preserve"> The COVID-19 reporting form can be found through the following link: </w:t>
      </w:r>
    </w:p>
    <w:p w14:paraId="2657EFF8" w14:textId="77777777" w:rsidR="00A720BA" w:rsidRDefault="00A720BA" w:rsidP="00AF716A">
      <w:pPr>
        <w:jc w:val="both"/>
      </w:pPr>
    </w:p>
    <w:p w14:paraId="225004BD" w14:textId="2591C2BC" w:rsidR="00083EAA" w:rsidRPr="003226A6" w:rsidRDefault="00A85E72" w:rsidP="003341F1">
      <w:pPr>
        <w:pStyle w:val="xmsonormal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341F1" w:rsidRPr="003226A6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https://www.mass.gov/service-details/information-for-licensed-substance-use-disorder-treatment-programs</w:t>
        </w:r>
      </w:hyperlink>
    </w:p>
    <w:p w14:paraId="322A7825" w14:textId="77777777" w:rsidR="00083EAA" w:rsidRDefault="00083EAA" w:rsidP="00AF716A">
      <w:pPr>
        <w:jc w:val="both"/>
      </w:pPr>
    </w:p>
    <w:p w14:paraId="67F042E0" w14:textId="2B97E1B6" w:rsidR="00EC28A7" w:rsidRPr="00EC28A7" w:rsidRDefault="00167FAF" w:rsidP="00D9095E">
      <w:pPr>
        <w:jc w:val="both"/>
      </w:pPr>
      <w:r>
        <w:t>When submitting the</w:t>
      </w:r>
      <w:r w:rsidR="001379BF">
        <w:t xml:space="preserve"> COVID-19 Positive Cases </w:t>
      </w:r>
      <w:r w:rsidRPr="00772777">
        <w:rPr>
          <w:szCs w:val="24"/>
        </w:rPr>
        <w:t>Report</w:t>
      </w:r>
      <w:r>
        <w:rPr>
          <w:szCs w:val="24"/>
        </w:rPr>
        <w:t>ing</w:t>
      </w:r>
      <w:r w:rsidRPr="00772777">
        <w:rPr>
          <w:szCs w:val="24"/>
        </w:rPr>
        <w:t xml:space="preserve"> </w:t>
      </w:r>
      <w:r w:rsidR="003341F1" w:rsidRPr="00772777">
        <w:rPr>
          <w:szCs w:val="24"/>
        </w:rPr>
        <w:t>Form</w:t>
      </w:r>
      <w:r w:rsidR="00A720BA">
        <w:rPr>
          <w:szCs w:val="24"/>
        </w:rPr>
        <w:t>, programs must include the following information:</w:t>
      </w:r>
    </w:p>
    <w:p w14:paraId="1848D34F" w14:textId="4A743A60" w:rsidR="00167FAF" w:rsidRDefault="00167FAF" w:rsidP="00083EAA">
      <w:pPr>
        <w:pStyle w:val="ListParagraph"/>
        <w:numPr>
          <w:ilvl w:val="0"/>
          <w:numId w:val="1"/>
        </w:numPr>
        <w:ind w:left="360"/>
        <w:jc w:val="both"/>
      </w:pPr>
      <w:r>
        <w:t xml:space="preserve">Date of COVID-19 </w:t>
      </w:r>
      <w:r w:rsidR="00D640A7">
        <w:t xml:space="preserve">exposure, date of </w:t>
      </w:r>
      <w:r>
        <w:t>testing</w:t>
      </w:r>
      <w:r w:rsidR="00AF716A">
        <w:t>,</w:t>
      </w:r>
      <w:r>
        <w:t xml:space="preserve"> and date of the test results</w:t>
      </w:r>
      <w:r w:rsidR="00D640A7">
        <w:t xml:space="preserve"> </w:t>
      </w:r>
      <w:r w:rsidR="00AF716A">
        <w:t>receipt</w:t>
      </w:r>
      <w:r w:rsidR="00FC259F">
        <w:t>.</w:t>
      </w:r>
    </w:p>
    <w:p w14:paraId="611CF337" w14:textId="4C6DD830" w:rsidR="00FC259F" w:rsidRDefault="00102008" w:rsidP="00AF716A">
      <w:pPr>
        <w:pStyle w:val="ListParagraph"/>
        <w:numPr>
          <w:ilvl w:val="0"/>
          <w:numId w:val="1"/>
        </w:numPr>
        <w:ind w:left="360"/>
        <w:jc w:val="both"/>
      </w:pPr>
      <w:r>
        <w:t xml:space="preserve">Attestations for </w:t>
      </w:r>
      <w:r w:rsidR="007F4146">
        <w:t xml:space="preserve">sufficient </w:t>
      </w:r>
      <w:r w:rsidR="00167FAF">
        <w:t>Personal Protective Equipment (PPE)</w:t>
      </w:r>
      <w:r w:rsidR="00161C67">
        <w:t xml:space="preserve"> and </w:t>
      </w:r>
      <w:r w:rsidR="00011A0E">
        <w:t>f</w:t>
      </w:r>
      <w:r w:rsidR="00161C67">
        <w:t xml:space="preserve">ace </w:t>
      </w:r>
      <w:r w:rsidR="00011A0E">
        <w:t>c</w:t>
      </w:r>
      <w:r w:rsidR="00161C67">
        <w:t>overings</w:t>
      </w:r>
      <w:r w:rsidR="00167FAF">
        <w:t xml:space="preserve"> </w:t>
      </w:r>
      <w:r w:rsidR="00FC259F">
        <w:t xml:space="preserve">at the program for both staff and patients/residents, </w:t>
      </w:r>
      <w:r w:rsidR="007F4146">
        <w:t>prov</w:t>
      </w:r>
      <w:r w:rsidR="00592C3E">
        <w:t>ision of</w:t>
      </w:r>
      <w:r w:rsidR="007F4146">
        <w:t xml:space="preserve"> telehealth services, prov</w:t>
      </w:r>
      <w:r w:rsidR="00592C3E">
        <w:t>ision of</w:t>
      </w:r>
      <w:r w:rsidR="007F4146">
        <w:t xml:space="preserve"> treatment for residents in isolation and quarantine, appropriate cleaning</w:t>
      </w:r>
      <w:r w:rsidR="00592C3E">
        <w:t xml:space="preserve"> and disinfection</w:t>
      </w:r>
      <w:r w:rsidR="007F4146">
        <w:t>, and appropriate contact tracing.</w:t>
      </w:r>
      <w:r w:rsidR="00FC259F">
        <w:t xml:space="preserve"> </w:t>
      </w:r>
    </w:p>
    <w:p w14:paraId="557908E8" w14:textId="2D830785" w:rsidR="00FC259F" w:rsidRDefault="00AF716A" w:rsidP="00AF716A">
      <w:pPr>
        <w:pStyle w:val="ListParagraph"/>
        <w:numPr>
          <w:ilvl w:val="0"/>
          <w:numId w:val="1"/>
        </w:numPr>
        <w:ind w:left="360"/>
        <w:jc w:val="both"/>
      </w:pPr>
      <w:r>
        <w:lastRenderedPageBreak/>
        <w:t>M</w:t>
      </w:r>
      <w:r w:rsidR="00FC259F">
        <w:t xml:space="preserve">easures the </w:t>
      </w:r>
      <w:r>
        <w:t>p</w:t>
      </w:r>
      <w:r w:rsidR="00FC259F">
        <w:t>rogram has taken to regularly clean and disinfect high</w:t>
      </w:r>
      <w:r>
        <w:t>-</w:t>
      </w:r>
      <w:r w:rsidR="00FC259F">
        <w:t>touch</w:t>
      </w:r>
      <w:r>
        <w:t xml:space="preserve"> surfaces</w:t>
      </w:r>
      <w:r w:rsidR="00FC259F">
        <w:t xml:space="preserve"> and common areas</w:t>
      </w:r>
      <w:r w:rsidR="004036D2">
        <w:t xml:space="preserve"> using appropriate EPA products on </w:t>
      </w:r>
      <w:hyperlink r:id="rId8" w:history="1">
        <w:r w:rsidR="004036D2" w:rsidRPr="00011A0E">
          <w:rPr>
            <w:rStyle w:val="Hyperlink"/>
          </w:rPr>
          <w:t>List N</w:t>
        </w:r>
      </w:hyperlink>
      <w:r>
        <w:t>,</w:t>
      </w:r>
      <w:r w:rsidR="00FC259F">
        <w:t xml:space="preserve"> including</w:t>
      </w:r>
      <w:r>
        <w:t xml:space="preserve"> but not limited to</w:t>
      </w:r>
      <w:r w:rsidR="00FC259F">
        <w:t xml:space="preserve"> bringing in a cleaning service to clean the facility if recommended by DPH Epidemiology.</w:t>
      </w:r>
    </w:p>
    <w:p w14:paraId="10386906" w14:textId="6D278574" w:rsidR="00167FAF" w:rsidRDefault="00AF716A" w:rsidP="00AF716A">
      <w:pPr>
        <w:pStyle w:val="ListParagraph"/>
        <w:numPr>
          <w:ilvl w:val="0"/>
          <w:numId w:val="1"/>
        </w:numPr>
        <w:ind w:left="360"/>
        <w:jc w:val="both"/>
      </w:pPr>
      <w:r>
        <w:t>P</w:t>
      </w:r>
      <w:r w:rsidR="00FC259F">
        <w:t xml:space="preserve">rogram </w:t>
      </w:r>
      <w:r>
        <w:t>plans for</w:t>
      </w:r>
      <w:r w:rsidR="00FC259F">
        <w:t xml:space="preserve"> </w:t>
      </w:r>
      <w:r w:rsidR="00A55D67">
        <w:t xml:space="preserve">continuing patient/resident treatment and program operation. </w:t>
      </w:r>
    </w:p>
    <w:p w14:paraId="6A7ED25A" w14:textId="38A231E7" w:rsidR="00D640A7" w:rsidRDefault="00D640A7" w:rsidP="003226A6">
      <w:pPr>
        <w:pStyle w:val="ListParagraph"/>
        <w:numPr>
          <w:ilvl w:val="1"/>
          <w:numId w:val="4"/>
        </w:numPr>
        <w:jc w:val="both"/>
      </w:pPr>
      <w:r>
        <w:t>If an inpatient facility does not have the capacity to accommodate the needs of a positive COVID-19 individual, include the program</w:t>
      </w:r>
      <w:r w:rsidR="00AF716A">
        <w:t>’</w:t>
      </w:r>
      <w:r>
        <w:t>s plan to transfer the patient/resident</w:t>
      </w:r>
      <w:r w:rsidR="00632781">
        <w:t xml:space="preserve"> to one that can</w:t>
      </w:r>
      <w:r w:rsidR="001B0A8C">
        <w:t>, and</w:t>
      </w:r>
      <w:r w:rsidR="00632781">
        <w:t xml:space="preserve"> include the name of the program</w:t>
      </w:r>
      <w:r w:rsidR="0095033A">
        <w:t xml:space="preserve"> receiving the patient/resident</w:t>
      </w:r>
      <w:r w:rsidR="001B0A8C">
        <w:t>.</w:t>
      </w:r>
    </w:p>
    <w:p w14:paraId="399BBBFB" w14:textId="6FD0FE20" w:rsidR="00D640A7" w:rsidRDefault="00D640A7" w:rsidP="003226A6">
      <w:pPr>
        <w:pStyle w:val="ListParagraph"/>
        <w:numPr>
          <w:ilvl w:val="1"/>
          <w:numId w:val="4"/>
        </w:numPr>
        <w:jc w:val="both"/>
      </w:pPr>
      <w:r>
        <w:t xml:space="preserve">For an outpatient/ambulatory facility, include information </w:t>
      </w:r>
      <w:r w:rsidR="00875443">
        <w:t>concerning</w:t>
      </w:r>
      <w:r>
        <w:t xml:space="preserve"> the patient’s ability to u</w:t>
      </w:r>
      <w:r w:rsidR="00875443">
        <w:t>se</w:t>
      </w:r>
      <w:r>
        <w:t xml:space="preserve"> telehealth, take homes for </w:t>
      </w:r>
      <w:r w:rsidR="00875443">
        <w:t>medication</w:t>
      </w:r>
      <w:r>
        <w:t xml:space="preserve">, etc. </w:t>
      </w:r>
    </w:p>
    <w:p w14:paraId="3B59A55A" w14:textId="60A4EA83" w:rsidR="00515C50" w:rsidRDefault="00AF716A" w:rsidP="003226A6">
      <w:pPr>
        <w:pStyle w:val="ListParagraph"/>
        <w:numPr>
          <w:ilvl w:val="0"/>
          <w:numId w:val="1"/>
        </w:numPr>
        <w:ind w:left="360"/>
        <w:jc w:val="both"/>
      </w:pPr>
      <w:r>
        <w:t>A</w:t>
      </w:r>
      <w:r w:rsidR="00FC259F">
        <w:t>ny contact tracing and communicat</w:t>
      </w:r>
      <w:r>
        <w:t>ions</w:t>
      </w:r>
      <w:r w:rsidR="00FC259F">
        <w:t xml:space="preserve"> </w:t>
      </w:r>
      <w:r>
        <w:t xml:space="preserve">by the program </w:t>
      </w:r>
      <w:r w:rsidR="00FC259F">
        <w:t>with individuals who may have been exposed to a person who tested positive for COVID-19</w:t>
      </w:r>
      <w:r w:rsidR="00011A0E">
        <w:t>, and</w:t>
      </w:r>
      <w:r w:rsidR="00515C50" w:rsidRPr="00515C50">
        <w:t xml:space="preserve"> </w:t>
      </w:r>
      <w:r w:rsidR="00011A0E">
        <w:t>c</w:t>
      </w:r>
      <w:r w:rsidR="00515C50">
        <w:t>ontact information for th</w:t>
      </w:r>
      <w:r w:rsidR="009B54FF">
        <w:t>o</w:t>
      </w:r>
      <w:r w:rsidR="00632781">
        <w:t>se</w:t>
      </w:r>
      <w:r w:rsidR="00515C50">
        <w:t xml:space="preserve"> individual</w:t>
      </w:r>
      <w:r w:rsidR="00632781">
        <w:t>s</w:t>
      </w:r>
      <w:r w:rsidR="009B54FF">
        <w:t xml:space="preserve"> completing the contract tracing</w:t>
      </w:r>
      <w:r w:rsidR="00515C50">
        <w:t>.</w:t>
      </w:r>
    </w:p>
    <w:p w14:paraId="57890197" w14:textId="79294C7A" w:rsidR="00FC259F" w:rsidRPr="00167FAF" w:rsidRDefault="00FC259F" w:rsidP="00AB2388">
      <w:pPr>
        <w:jc w:val="both"/>
      </w:pPr>
    </w:p>
    <w:sectPr w:rsidR="00FC259F" w:rsidRPr="0016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ED"/>
    <w:multiLevelType w:val="hybridMultilevel"/>
    <w:tmpl w:val="8CD65168"/>
    <w:lvl w:ilvl="0" w:tplc="6568E07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5DB1"/>
    <w:multiLevelType w:val="hybridMultilevel"/>
    <w:tmpl w:val="54F0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7FB"/>
    <w:multiLevelType w:val="hybridMultilevel"/>
    <w:tmpl w:val="AB12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6362"/>
    <w:multiLevelType w:val="hybridMultilevel"/>
    <w:tmpl w:val="85686910"/>
    <w:lvl w:ilvl="0" w:tplc="6568E07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F"/>
    <w:rsid w:val="00011A0E"/>
    <w:rsid w:val="000147FE"/>
    <w:rsid w:val="00083EAA"/>
    <w:rsid w:val="000C6F39"/>
    <w:rsid w:val="000E0A8D"/>
    <w:rsid w:val="000F38F9"/>
    <w:rsid w:val="00102008"/>
    <w:rsid w:val="00117F20"/>
    <w:rsid w:val="00131ECB"/>
    <w:rsid w:val="001379BF"/>
    <w:rsid w:val="00161C67"/>
    <w:rsid w:val="00167FAF"/>
    <w:rsid w:val="001910C0"/>
    <w:rsid w:val="001B0A8C"/>
    <w:rsid w:val="00297729"/>
    <w:rsid w:val="002A64BE"/>
    <w:rsid w:val="002E6B46"/>
    <w:rsid w:val="00305AB8"/>
    <w:rsid w:val="003226A6"/>
    <w:rsid w:val="003341F1"/>
    <w:rsid w:val="00367807"/>
    <w:rsid w:val="003E53F3"/>
    <w:rsid w:val="003F76FA"/>
    <w:rsid w:val="00403062"/>
    <w:rsid w:val="004036D2"/>
    <w:rsid w:val="00414BF7"/>
    <w:rsid w:val="00443EAF"/>
    <w:rsid w:val="0048754D"/>
    <w:rsid w:val="004C1089"/>
    <w:rsid w:val="004C526D"/>
    <w:rsid w:val="00515C50"/>
    <w:rsid w:val="00521D9D"/>
    <w:rsid w:val="00543D28"/>
    <w:rsid w:val="005516BD"/>
    <w:rsid w:val="00592C3E"/>
    <w:rsid w:val="005E4671"/>
    <w:rsid w:val="00603354"/>
    <w:rsid w:val="00632781"/>
    <w:rsid w:val="006B5CD2"/>
    <w:rsid w:val="007543DA"/>
    <w:rsid w:val="0079644F"/>
    <w:rsid w:val="007A4A55"/>
    <w:rsid w:val="007F4146"/>
    <w:rsid w:val="00854195"/>
    <w:rsid w:val="0087344C"/>
    <w:rsid w:val="00875443"/>
    <w:rsid w:val="0095033A"/>
    <w:rsid w:val="0095227D"/>
    <w:rsid w:val="009614A0"/>
    <w:rsid w:val="009B54FF"/>
    <w:rsid w:val="00A12EAE"/>
    <w:rsid w:val="00A273DB"/>
    <w:rsid w:val="00A55D67"/>
    <w:rsid w:val="00A720BA"/>
    <w:rsid w:val="00A85E72"/>
    <w:rsid w:val="00AB2388"/>
    <w:rsid w:val="00AB7149"/>
    <w:rsid w:val="00AE35D9"/>
    <w:rsid w:val="00AF716A"/>
    <w:rsid w:val="00B73665"/>
    <w:rsid w:val="00BB6519"/>
    <w:rsid w:val="00BD45A9"/>
    <w:rsid w:val="00C36D9E"/>
    <w:rsid w:val="00C769EC"/>
    <w:rsid w:val="00C931BD"/>
    <w:rsid w:val="00CA21D9"/>
    <w:rsid w:val="00CA7E38"/>
    <w:rsid w:val="00CC6A5F"/>
    <w:rsid w:val="00CD35C7"/>
    <w:rsid w:val="00D53433"/>
    <w:rsid w:val="00D640A7"/>
    <w:rsid w:val="00D812F7"/>
    <w:rsid w:val="00D906AA"/>
    <w:rsid w:val="00D9095E"/>
    <w:rsid w:val="00D91BD3"/>
    <w:rsid w:val="00DA4912"/>
    <w:rsid w:val="00DD5485"/>
    <w:rsid w:val="00E41085"/>
    <w:rsid w:val="00EC28A7"/>
    <w:rsid w:val="00EF5EFB"/>
    <w:rsid w:val="00F17F76"/>
    <w:rsid w:val="00F54861"/>
    <w:rsid w:val="00F56961"/>
    <w:rsid w:val="00F56BF6"/>
    <w:rsid w:val="00F67352"/>
    <w:rsid w:val="00F834B6"/>
    <w:rsid w:val="00FC259F"/>
    <w:rsid w:val="112B9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7FF9"/>
  <w15:docId w15:val="{B9CC92C9-2E23-43A7-9433-B32C076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4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79644F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79644F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79644F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NoSpacing">
    <w:name w:val="No Spacing"/>
    <w:uiPriority w:val="1"/>
    <w:qFormat/>
    <w:rsid w:val="007964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9644F"/>
    <w:rPr>
      <w:rFonts w:eastAsia="Calibr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A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F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9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1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B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1A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A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9B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69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3341F1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pesticide-registration/list-n-disinfectants-coronavirus-covid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ss.gov/service-details/information-for-licensed-substance-use-disorder-treatment-progra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1305-4CDF-40CB-A858-BCEFA8C2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>Commonwealth of Massachusetts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cp:lastModifiedBy>Gray, Shannon (DPH)</cp:lastModifiedBy>
  <cp:revision>2</cp:revision>
  <cp:lastPrinted>2023-01-23T14:42:00Z</cp:lastPrinted>
  <dcterms:created xsi:type="dcterms:W3CDTF">2023-01-23T14:45:00Z</dcterms:created>
  <dcterms:modified xsi:type="dcterms:W3CDTF">2023-01-23T14:45:00Z</dcterms:modified>
</cp:coreProperties>
</file>