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FEA2" w14:textId="77777777" w:rsidR="00B9766D" w:rsidRPr="00B9766D" w:rsidRDefault="00B9766D" w:rsidP="00B9766D">
      <w:pPr>
        <w:spacing w:line="235" w:lineRule="auto"/>
        <w:rPr>
          <w:rFonts w:ascii="Calibri" w:hAnsi="Calibri" w:cs="Calibri"/>
        </w:rPr>
      </w:pPr>
      <w:r w:rsidRPr="00B9766D">
        <w:rPr>
          <w:rFonts w:ascii="Calibri" w:hAnsi="Calibri" w:cs="Calibri"/>
        </w:rPr>
        <w:t xml:space="preserve">Los requisitos de vacunación escolar de Massachusetts se crean bajo la autoridad del </w:t>
      </w:r>
      <w:hyperlink r:id="rId6" w:history="1">
        <w:r w:rsidRPr="00B9766D">
          <w:rPr>
            <w:rStyle w:val="Hyperlink"/>
            <w:rFonts w:ascii="Calibri" w:hAnsi="Calibri" w:cs="Calibri"/>
          </w:rPr>
          <w:t>Título 105 del Código de Reglamentos de Massachusetts (CMR), Sección 220.000:</w:t>
        </w:r>
      </w:hyperlink>
      <w:hyperlink r:id="rId7" w:history="1">
        <w:r w:rsidRPr="00B9766D">
          <w:rPr>
            <w:rStyle w:val="Hyperlink"/>
            <w:rFonts w:ascii="Calibri" w:hAnsi="Calibri" w:cs="Calibri"/>
          </w:rPr>
          <w:t xml:space="preserve"> Vacunación de los estudiantes antes del ingreso a la escuela</w:t>
        </w:r>
      </w:hyperlink>
    </w:p>
    <w:p w14:paraId="62D73396" w14:textId="77777777" w:rsidR="00B9766D" w:rsidRPr="00B9766D" w:rsidRDefault="00B9766D" w:rsidP="00B9766D">
      <w:pPr>
        <w:spacing w:line="235" w:lineRule="auto"/>
        <w:rPr>
          <w:rFonts w:ascii="Calibri" w:eastAsia="Times New Roman" w:hAnsi="Calibri" w:cs="Calibri"/>
          <w:sz w:val="10"/>
          <w:szCs w:val="10"/>
        </w:rPr>
      </w:pPr>
    </w:p>
    <w:p w14:paraId="74E2FE2C" w14:textId="77777777" w:rsidR="00B9766D" w:rsidRPr="00B9766D" w:rsidRDefault="00B9766D" w:rsidP="00B9766D">
      <w:pPr>
        <w:spacing w:line="235" w:lineRule="auto"/>
        <w:ind w:right="168"/>
        <w:rPr>
          <w:rFonts w:ascii="Calibri" w:hAnsi="Calibri" w:cs="Calibri"/>
          <w:b/>
          <w:spacing w:val="-1"/>
        </w:rPr>
      </w:pPr>
      <w:r w:rsidRPr="00B9766D">
        <w:rPr>
          <w:rFonts w:ascii="Calibri" w:hAnsi="Calibri" w:cs="Calibri"/>
          <w:b/>
        </w:rPr>
        <w:t xml:space="preserve">Los requisitos se aplican a todos los estudiantes, incluidas las personas de otros países que asisten a clases o programas educativos como parte de una visita académica o un programa de intercambio. Los requisitos se </w:t>
      </w:r>
      <w:r w:rsidRPr="00B9766D">
        <w:rPr>
          <w:rFonts w:ascii="Calibri" w:hAnsi="Calibri" w:cs="Calibri"/>
          <w:b/>
        </w:rPr>
        <w:br/>
        <w:t xml:space="preserve">aplican a todos los estudiantes de todos los grados, aunque sean mayores de 18 años. </w:t>
      </w:r>
      <w:r w:rsidRPr="00B9766D">
        <w:rPr>
          <w:rFonts w:ascii="Calibri" w:hAnsi="Calibri" w:cs="Calibri"/>
          <w:b/>
          <w:spacing w:val="-1"/>
        </w:rPr>
        <w:t xml:space="preserve">Las dosis que cumplen </w:t>
      </w:r>
      <w:r w:rsidRPr="00B9766D">
        <w:rPr>
          <w:rFonts w:ascii="Calibri" w:hAnsi="Calibri" w:cs="Calibri"/>
          <w:b/>
          <w:spacing w:val="-1"/>
        </w:rPr>
        <w:br/>
        <w:t xml:space="preserve">las recomendaciones del Comité Asesor sobre Prácticas de Vacunación (ACIP) </w:t>
      </w:r>
      <w:hyperlink r:id="rId8" w:history="1">
        <w:r w:rsidRPr="00B9766D">
          <w:rPr>
            <w:rStyle w:val="Hyperlink"/>
            <w:rFonts w:ascii="Calibri" w:hAnsi="Calibri" w:cs="Calibri"/>
            <w:b/>
            <w:spacing w:val="-1"/>
          </w:rPr>
          <w:t xml:space="preserve">según fueron adoptadas por los </w:t>
        </w:r>
        <w:r w:rsidRPr="00B9766D">
          <w:rPr>
            <w:rStyle w:val="Hyperlink"/>
            <w:rFonts w:ascii="Calibri" w:hAnsi="Calibri" w:cs="Calibri"/>
            <w:b/>
            <w:spacing w:val="-1"/>
          </w:rPr>
          <w:br/>
          <w:t>CDC el 24 de octubre de 2024</w:t>
        </w:r>
      </w:hyperlink>
      <w:r w:rsidRPr="00B9766D">
        <w:rPr>
          <w:rFonts w:ascii="Calibri" w:hAnsi="Calibri" w:cs="Calibri"/>
          <w:b/>
          <w:spacing w:val="-1"/>
        </w:rPr>
        <w:t xml:space="preserve"> también cumplen los requisitos de vacunación escolar.</w:t>
      </w:r>
    </w:p>
    <w:p w14:paraId="3899D28E" w14:textId="77777777" w:rsidR="00B9766D" w:rsidRDefault="00B9766D" w:rsidP="00B9766D">
      <w:pPr>
        <w:spacing w:line="235" w:lineRule="auto"/>
        <w:rPr>
          <w:rFonts w:ascii="Calibri" w:hAnsi="Calibri" w:cs="Calibri"/>
          <w:b/>
          <w:color w:val="0070C0"/>
        </w:rPr>
      </w:pPr>
    </w:p>
    <w:p w14:paraId="433DC16A" w14:textId="3169882C" w:rsidR="00B9766D" w:rsidRPr="00B9766D" w:rsidRDefault="00B9766D" w:rsidP="00B9766D">
      <w:pPr>
        <w:spacing w:line="235" w:lineRule="auto"/>
        <w:rPr>
          <w:rFonts w:ascii="Calibri" w:hAnsi="Calibri" w:cs="Calibri"/>
          <w:b/>
          <w:bCs/>
          <w:color w:val="0070C0"/>
        </w:rPr>
      </w:pPr>
      <w:r w:rsidRPr="00B9766D">
        <w:rPr>
          <w:rFonts w:ascii="Calibri" w:hAnsi="Calibri" w:cs="Calibri"/>
          <w:b/>
          <w:color w:val="0070C0"/>
        </w:rPr>
        <w:t>Guarderías/Educación preescolar</w:t>
      </w:r>
      <w:r w:rsidRPr="00B9766D">
        <w:rPr>
          <w:rFonts w:ascii="Calibri" w:hAnsi="Calibri" w:cs="Calibri"/>
          <w:b/>
          <w:color w:val="0070C0"/>
          <w:sz w:val="32"/>
          <w:vertAlign w:val="superscript"/>
        </w:rPr>
        <w:t>¶†</w:t>
      </w:r>
    </w:p>
    <w:p w14:paraId="3331DAD9" w14:textId="77777777" w:rsidR="00B9766D" w:rsidRPr="00B9766D" w:rsidRDefault="00B9766D" w:rsidP="00B9766D">
      <w:pPr>
        <w:spacing w:line="235" w:lineRule="auto"/>
        <w:rPr>
          <w:rFonts w:ascii="Calibri" w:hAnsi="Calibri" w:cs="Calibri"/>
        </w:rPr>
      </w:pPr>
      <w:r w:rsidRPr="00B9766D">
        <w:rPr>
          <w:rFonts w:ascii="Calibri" w:hAnsi="Calibri" w:cs="Calibri"/>
        </w:rPr>
        <w:t xml:space="preserve">Los asistentes &lt;2 años deben tener las vacunas correspondientes para su edad según el </w:t>
      </w:r>
      <w:hyperlink r:id="rId9" w:history="1">
        <w:r w:rsidRPr="00B9766D">
          <w:rPr>
            <w:rStyle w:val="Hyperlink"/>
            <w:rFonts w:ascii="Calibri" w:hAnsi="Calibri" w:cs="Calibri"/>
            <w:spacing w:val="-1"/>
          </w:rPr>
          <w:t>Calendario de vacunación recomendado por el ACIP para 2025</w:t>
        </w:r>
      </w:hyperlink>
      <w:r w:rsidRPr="00B9766D">
        <w:rPr>
          <w:rFonts w:ascii="Calibri" w:hAnsi="Calibri" w:cs="Calibri"/>
          <w:spacing w:val="-1"/>
        </w:rPr>
        <w:t xml:space="preserve">. </w:t>
      </w:r>
      <w:r w:rsidRPr="00B9766D">
        <w:rPr>
          <w:rFonts w:ascii="Calibri" w:hAnsi="Calibri" w:cs="Calibri"/>
        </w:rPr>
        <w:t>Los requisitos que figuran en la tabla siguiente se aplican a todos los asistentes ≥2 años. Estos requisitos también se aplican a los niños de las clases preescolares denominadas K0 o K1.</w:t>
      </w:r>
    </w:p>
    <w:tbl>
      <w:tblPr>
        <w:tblW w:w="5000" w:type="pct"/>
        <w:tblCellMar>
          <w:left w:w="0" w:type="dxa"/>
          <w:right w:w="0" w:type="dxa"/>
        </w:tblCellMar>
        <w:tblLook w:val="01E0" w:firstRow="1" w:lastRow="1" w:firstColumn="1" w:lastColumn="1" w:noHBand="0" w:noVBand="0"/>
      </w:tblPr>
      <w:tblGrid>
        <w:gridCol w:w="1696"/>
        <w:gridCol w:w="9092"/>
      </w:tblGrid>
      <w:tr w:rsidR="00B9766D" w:rsidRPr="00B9766D" w14:paraId="5A454664" w14:textId="77777777" w:rsidTr="00D83F18">
        <w:trPr>
          <w:trHeight w:hRule="exact" w:val="43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AA57A6C" w14:textId="77777777" w:rsidR="00B9766D" w:rsidRPr="00B9766D" w:rsidRDefault="00B9766D" w:rsidP="00D83F18">
            <w:pPr>
              <w:spacing w:line="235" w:lineRule="auto"/>
              <w:ind w:left="43"/>
              <w:rPr>
                <w:rFonts w:ascii="Calibri" w:hAnsi="Calibri" w:cs="Calibri"/>
              </w:rPr>
            </w:pPr>
            <w:r w:rsidRPr="00B9766D">
              <w:rPr>
                <w:rFonts w:ascii="Calibri" w:hAnsi="Calibri" w:cs="Calibri"/>
              </w:rPr>
              <w:t>Hib</w:t>
            </w:r>
          </w:p>
        </w:tc>
        <w:tc>
          <w:tcPr>
            <w:tcW w:w="4214" w:type="pct"/>
            <w:tcBorders>
              <w:top w:val="single" w:sz="5" w:space="0" w:color="000000"/>
              <w:left w:val="single" w:sz="5" w:space="0" w:color="000000"/>
              <w:bottom w:val="single" w:sz="5" w:space="0" w:color="000000"/>
              <w:right w:val="single" w:sz="5" w:space="0" w:color="000000"/>
            </w:tcBorders>
            <w:vAlign w:val="center"/>
          </w:tcPr>
          <w:p w14:paraId="59562E91" w14:textId="77777777" w:rsidR="00B9766D" w:rsidRPr="00B9766D" w:rsidRDefault="00B9766D" w:rsidP="00D83F18">
            <w:pPr>
              <w:spacing w:line="235" w:lineRule="auto"/>
              <w:ind w:left="43"/>
              <w:rPr>
                <w:rFonts w:ascii="Calibri" w:hAnsi="Calibri" w:cs="Calibri"/>
              </w:rPr>
            </w:pPr>
            <w:r w:rsidRPr="00B9766D">
              <w:rPr>
                <w:rFonts w:ascii="Calibri" w:hAnsi="Calibri" w:cs="Calibri"/>
              </w:rPr>
              <w:t xml:space="preserve">Entre </w:t>
            </w:r>
            <w:r w:rsidRPr="00B9766D">
              <w:rPr>
                <w:rFonts w:ascii="Calibri" w:hAnsi="Calibri" w:cs="Calibri"/>
                <w:b/>
                <w:bCs/>
              </w:rPr>
              <w:t>1 y 4 dosis;</w:t>
            </w:r>
            <w:r w:rsidRPr="00B9766D">
              <w:rPr>
                <w:rFonts w:ascii="Calibri" w:hAnsi="Calibri" w:cs="Calibri"/>
              </w:rPr>
              <w:t xml:space="preserve"> el número de dosis lo determina la vacuna y la edad a la que comienza la serie</w:t>
            </w:r>
          </w:p>
        </w:tc>
      </w:tr>
      <w:tr w:rsidR="00B9766D" w:rsidRPr="00B9766D" w14:paraId="21259507" w14:textId="77777777" w:rsidTr="00D83F18">
        <w:trPr>
          <w:trHeight w:hRule="exact" w:val="43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EAA62BD" w14:textId="77777777" w:rsidR="00B9766D" w:rsidRPr="00B9766D" w:rsidRDefault="00B9766D" w:rsidP="00D83F18">
            <w:pPr>
              <w:spacing w:line="235" w:lineRule="auto"/>
              <w:ind w:left="43"/>
              <w:rPr>
                <w:rFonts w:ascii="Calibri" w:hAnsi="Calibri" w:cs="Calibri"/>
              </w:rPr>
            </w:pPr>
            <w:r w:rsidRPr="00B9766D">
              <w:rPr>
                <w:rFonts w:ascii="Calibri" w:hAnsi="Calibri" w:cs="Calibri"/>
              </w:rPr>
              <w:t>DTaP</w:t>
            </w:r>
          </w:p>
        </w:tc>
        <w:tc>
          <w:tcPr>
            <w:tcW w:w="4214" w:type="pct"/>
            <w:tcBorders>
              <w:top w:val="single" w:sz="5" w:space="0" w:color="000000"/>
              <w:left w:val="single" w:sz="5" w:space="0" w:color="000000"/>
              <w:bottom w:val="single" w:sz="5" w:space="0" w:color="000000"/>
              <w:right w:val="single" w:sz="5" w:space="0" w:color="000000"/>
            </w:tcBorders>
            <w:vAlign w:val="center"/>
          </w:tcPr>
          <w:p w14:paraId="599AC287" w14:textId="77777777" w:rsidR="00B9766D" w:rsidRPr="00B9766D" w:rsidRDefault="00B9766D" w:rsidP="00D83F18">
            <w:pPr>
              <w:spacing w:line="235" w:lineRule="auto"/>
              <w:ind w:left="43"/>
              <w:rPr>
                <w:rFonts w:ascii="Calibri" w:hAnsi="Calibri" w:cs="Calibri"/>
              </w:rPr>
            </w:pPr>
            <w:r w:rsidRPr="00B9766D">
              <w:rPr>
                <w:rFonts w:ascii="Calibri" w:hAnsi="Calibri" w:cs="Calibri"/>
                <w:b/>
              </w:rPr>
              <w:t>4 dosis</w:t>
            </w:r>
          </w:p>
        </w:tc>
      </w:tr>
      <w:tr w:rsidR="00B9766D" w:rsidRPr="00B9766D" w14:paraId="3E4146A4" w14:textId="77777777" w:rsidTr="00D83F18">
        <w:trPr>
          <w:trHeight w:hRule="exact" w:val="43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39D2FB2B" w14:textId="77777777" w:rsidR="00B9766D" w:rsidRPr="00B9766D" w:rsidRDefault="00B9766D" w:rsidP="00D83F18">
            <w:pPr>
              <w:spacing w:line="235" w:lineRule="auto"/>
              <w:ind w:left="43"/>
              <w:rPr>
                <w:rFonts w:ascii="Calibri" w:hAnsi="Calibri" w:cs="Calibri"/>
              </w:rPr>
            </w:pPr>
            <w:r w:rsidRPr="00B9766D">
              <w:rPr>
                <w:rFonts w:ascii="Calibri" w:hAnsi="Calibri" w:cs="Calibri"/>
              </w:rPr>
              <w:t>Poliomielitis</w:t>
            </w:r>
          </w:p>
        </w:tc>
        <w:tc>
          <w:tcPr>
            <w:tcW w:w="4214" w:type="pct"/>
            <w:tcBorders>
              <w:top w:val="single" w:sz="5" w:space="0" w:color="000000"/>
              <w:left w:val="single" w:sz="5" w:space="0" w:color="000000"/>
              <w:bottom w:val="single" w:sz="5" w:space="0" w:color="000000"/>
              <w:right w:val="single" w:sz="5" w:space="0" w:color="000000"/>
            </w:tcBorders>
            <w:vAlign w:val="center"/>
          </w:tcPr>
          <w:p w14:paraId="6DFA815A" w14:textId="77777777" w:rsidR="00B9766D" w:rsidRPr="00B9766D" w:rsidRDefault="00B9766D" w:rsidP="00D83F18">
            <w:pPr>
              <w:spacing w:line="235" w:lineRule="auto"/>
              <w:ind w:left="43"/>
              <w:rPr>
                <w:rFonts w:ascii="Calibri" w:hAnsi="Calibri" w:cs="Calibri"/>
              </w:rPr>
            </w:pPr>
            <w:r w:rsidRPr="00B9766D">
              <w:rPr>
                <w:rFonts w:ascii="Calibri" w:hAnsi="Calibri" w:cs="Calibri"/>
                <w:b/>
              </w:rPr>
              <w:t>3 dosis</w:t>
            </w:r>
          </w:p>
        </w:tc>
      </w:tr>
      <w:tr w:rsidR="00B9766D" w:rsidRPr="00B9766D" w14:paraId="0931FCC4" w14:textId="77777777" w:rsidTr="00D83F18">
        <w:trPr>
          <w:trHeight w:hRule="exact" w:val="43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93FDF9C" w14:textId="77777777" w:rsidR="00B9766D" w:rsidRPr="00B9766D" w:rsidRDefault="00B9766D" w:rsidP="00D83F18">
            <w:pPr>
              <w:spacing w:line="235" w:lineRule="auto"/>
              <w:ind w:left="43"/>
              <w:rPr>
                <w:rFonts w:ascii="Calibri" w:hAnsi="Calibri" w:cs="Calibri"/>
              </w:rPr>
            </w:pPr>
            <w:r w:rsidRPr="00B9766D">
              <w:rPr>
                <w:rFonts w:ascii="Calibri" w:hAnsi="Calibri" w:cs="Calibri"/>
              </w:rPr>
              <w:t>Hepatitis B</w:t>
            </w:r>
          </w:p>
        </w:tc>
        <w:tc>
          <w:tcPr>
            <w:tcW w:w="4214" w:type="pct"/>
            <w:tcBorders>
              <w:top w:val="single" w:sz="5" w:space="0" w:color="000000"/>
              <w:left w:val="single" w:sz="5" w:space="0" w:color="000000"/>
              <w:bottom w:val="single" w:sz="5" w:space="0" w:color="000000"/>
              <w:right w:val="single" w:sz="5" w:space="0" w:color="000000"/>
            </w:tcBorders>
            <w:vAlign w:val="center"/>
          </w:tcPr>
          <w:p w14:paraId="5272624D"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3 dosis;</w:t>
            </w:r>
            <w:r w:rsidRPr="00B9766D">
              <w:rPr>
                <w:rFonts w:ascii="Calibri" w:hAnsi="Calibri" w:cs="Calibri"/>
              </w:rPr>
              <w:t xml:space="preserve"> se aceptan pruebas de laboratorio de inmunidad</w:t>
            </w:r>
          </w:p>
        </w:tc>
      </w:tr>
      <w:tr w:rsidR="00B9766D" w:rsidRPr="00B9766D" w14:paraId="56B54DD3" w14:textId="77777777" w:rsidTr="00D83F18">
        <w:trPr>
          <w:trHeight w:val="568"/>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5DBAA80B" w14:textId="77777777" w:rsidR="00B9766D" w:rsidRPr="00B9766D" w:rsidRDefault="00B9766D" w:rsidP="00D83F18">
            <w:pPr>
              <w:spacing w:line="235" w:lineRule="auto"/>
              <w:ind w:left="43"/>
              <w:rPr>
                <w:rFonts w:ascii="Calibri" w:hAnsi="Calibri" w:cs="Calibri"/>
              </w:rPr>
            </w:pPr>
            <w:r w:rsidRPr="00B9766D">
              <w:rPr>
                <w:rFonts w:ascii="Calibri" w:hAnsi="Calibri" w:cs="Calibri"/>
              </w:rPr>
              <w:t>Sarampión, rubéola y parotiditis (MMR)</w:t>
            </w:r>
          </w:p>
        </w:tc>
        <w:tc>
          <w:tcPr>
            <w:tcW w:w="4214" w:type="pct"/>
            <w:tcBorders>
              <w:top w:val="single" w:sz="5" w:space="0" w:color="000000"/>
              <w:left w:val="single" w:sz="5" w:space="0" w:color="000000"/>
              <w:bottom w:val="single" w:sz="5" w:space="0" w:color="000000"/>
              <w:right w:val="single" w:sz="5" w:space="0" w:color="000000"/>
            </w:tcBorders>
            <w:vAlign w:val="center"/>
          </w:tcPr>
          <w:p w14:paraId="5CCD9AB7"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1 dosis;</w:t>
            </w:r>
            <w:r w:rsidRPr="00B9766D">
              <w:rPr>
                <w:rFonts w:ascii="Calibri" w:hAnsi="Calibri" w:cs="Calibri"/>
              </w:rPr>
              <w:t xml:space="preserve"> debe administrarse al cumplir 1 año o después; se aceptan pruebas de laboratorio de la inmunidad</w:t>
            </w:r>
          </w:p>
        </w:tc>
      </w:tr>
      <w:tr w:rsidR="00B9766D" w:rsidRPr="00B9766D" w14:paraId="11DB4F66" w14:textId="77777777" w:rsidTr="00D83F18">
        <w:trPr>
          <w:trHeight w:val="567"/>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04776E59" w14:textId="77777777" w:rsidR="00B9766D" w:rsidRPr="00B9766D" w:rsidRDefault="00B9766D" w:rsidP="00D83F18">
            <w:pPr>
              <w:spacing w:line="235" w:lineRule="auto"/>
              <w:ind w:left="43"/>
              <w:rPr>
                <w:rFonts w:ascii="Calibri" w:hAnsi="Calibri" w:cs="Calibri"/>
              </w:rPr>
            </w:pPr>
            <w:r w:rsidRPr="00B9766D">
              <w:rPr>
                <w:rFonts w:ascii="Calibri" w:hAnsi="Calibri" w:cs="Calibri"/>
              </w:rPr>
              <w:t>Varicela</w:t>
            </w:r>
          </w:p>
        </w:tc>
        <w:tc>
          <w:tcPr>
            <w:tcW w:w="4214" w:type="pct"/>
            <w:tcBorders>
              <w:top w:val="single" w:sz="5" w:space="0" w:color="000000"/>
              <w:left w:val="single" w:sz="5" w:space="0" w:color="000000"/>
              <w:bottom w:val="single" w:sz="5" w:space="0" w:color="000000"/>
              <w:right w:val="single" w:sz="5" w:space="0" w:color="000000"/>
            </w:tcBorders>
            <w:vAlign w:val="center"/>
          </w:tcPr>
          <w:p w14:paraId="74D105E0"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1 dosis;</w:t>
            </w:r>
            <w:r w:rsidRPr="00B9766D">
              <w:rPr>
                <w:rFonts w:ascii="Calibri" w:hAnsi="Calibri" w:cs="Calibri"/>
              </w:rPr>
              <w:t xml:space="preserve"> debe administrarse al cumplir 1 año o después; se aceptan antecedentes fiables de varicela* </w:t>
            </w:r>
            <w:r w:rsidRPr="00B9766D">
              <w:rPr>
                <w:rFonts w:ascii="Calibri" w:hAnsi="Calibri" w:cs="Calibri"/>
              </w:rPr>
              <w:br/>
              <w:t>o pruebas de laboratorio de inmunidad</w:t>
            </w:r>
          </w:p>
        </w:tc>
      </w:tr>
    </w:tbl>
    <w:p w14:paraId="0E08BD83" w14:textId="77777777" w:rsidR="00B9766D" w:rsidRDefault="00B9766D" w:rsidP="00B9766D">
      <w:pPr>
        <w:spacing w:line="235" w:lineRule="auto"/>
        <w:rPr>
          <w:rFonts w:ascii="Calibri" w:hAnsi="Calibri" w:cs="Calibri"/>
          <w:b/>
          <w:color w:val="0070C0"/>
        </w:rPr>
      </w:pPr>
    </w:p>
    <w:p w14:paraId="2581BA9F" w14:textId="427B44BC" w:rsidR="00B9766D" w:rsidRPr="00B9766D" w:rsidRDefault="00B9766D" w:rsidP="00B9766D">
      <w:pPr>
        <w:spacing w:line="235" w:lineRule="auto"/>
        <w:rPr>
          <w:rFonts w:ascii="Calibri" w:hAnsi="Calibri" w:cs="Calibri"/>
        </w:rPr>
      </w:pPr>
      <w:r w:rsidRPr="00B9766D">
        <w:rPr>
          <w:rFonts w:ascii="Calibri" w:hAnsi="Calibri" w:cs="Calibri"/>
          <w:b/>
          <w:color w:val="0070C0"/>
        </w:rPr>
        <w:t>De jardín de infantes a 6.º grado</w:t>
      </w:r>
      <w:r w:rsidRPr="00B9766D">
        <w:rPr>
          <w:rFonts w:ascii="Calibri" w:hAnsi="Calibri" w:cs="Calibri"/>
          <w:b/>
          <w:color w:val="0070C0"/>
          <w:sz w:val="32"/>
          <w:vertAlign w:val="superscript"/>
        </w:rPr>
        <w:t>¶†</w:t>
      </w:r>
    </w:p>
    <w:p w14:paraId="7CE132EF" w14:textId="77777777" w:rsidR="00B9766D" w:rsidRPr="00B9766D" w:rsidRDefault="00B9766D" w:rsidP="00B9766D">
      <w:pPr>
        <w:spacing w:line="235" w:lineRule="auto"/>
        <w:rPr>
          <w:rFonts w:ascii="Calibri" w:hAnsi="Calibri" w:cs="Calibri"/>
        </w:rPr>
      </w:pPr>
      <w:r w:rsidRPr="00B9766D">
        <w:rPr>
          <w:rFonts w:ascii="Calibri" w:hAnsi="Calibri" w:cs="Calibri"/>
        </w:rPr>
        <w:t>En las aulas en las que no se organiza a los alumnos según niveles de grado, los requisitos de jardín de infantes se aplican a todos los alumnos ≥5 años.</w:t>
      </w:r>
    </w:p>
    <w:tbl>
      <w:tblPr>
        <w:tblW w:w="5000" w:type="pct"/>
        <w:tblCellMar>
          <w:left w:w="0" w:type="dxa"/>
          <w:right w:w="0" w:type="dxa"/>
        </w:tblCellMar>
        <w:tblLook w:val="01E0" w:firstRow="1" w:lastRow="1" w:firstColumn="1" w:lastColumn="1" w:noHBand="0" w:noVBand="0"/>
      </w:tblPr>
      <w:tblGrid>
        <w:gridCol w:w="1696"/>
        <w:gridCol w:w="9092"/>
      </w:tblGrid>
      <w:tr w:rsidR="00B9766D" w:rsidRPr="00B9766D" w14:paraId="36D3B736" w14:textId="77777777" w:rsidTr="00D83F18">
        <w:trPr>
          <w:trHeight w:val="81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66BFE79" w14:textId="77777777" w:rsidR="00B9766D" w:rsidRPr="00B9766D" w:rsidRDefault="00B9766D" w:rsidP="00D83F18">
            <w:pPr>
              <w:spacing w:line="235" w:lineRule="auto"/>
              <w:ind w:left="43"/>
              <w:rPr>
                <w:rFonts w:ascii="Calibri" w:hAnsi="Calibri" w:cs="Calibri"/>
              </w:rPr>
            </w:pPr>
            <w:r w:rsidRPr="00B9766D">
              <w:rPr>
                <w:rFonts w:ascii="Calibri" w:hAnsi="Calibri" w:cs="Calibri"/>
              </w:rPr>
              <w:t>DTaP/Tdap</w:t>
            </w:r>
          </w:p>
        </w:tc>
        <w:tc>
          <w:tcPr>
            <w:tcW w:w="4214" w:type="pct"/>
            <w:tcBorders>
              <w:top w:val="single" w:sz="5" w:space="0" w:color="000000"/>
              <w:left w:val="single" w:sz="5" w:space="0" w:color="000000"/>
              <w:bottom w:val="single" w:sz="5" w:space="0" w:color="000000"/>
              <w:right w:val="single" w:sz="5" w:space="0" w:color="000000"/>
            </w:tcBorders>
            <w:vAlign w:val="center"/>
          </w:tcPr>
          <w:p w14:paraId="580E4757"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5 dosis;</w:t>
            </w:r>
            <w:r w:rsidRPr="00B9766D">
              <w:rPr>
                <w:rFonts w:ascii="Calibri" w:hAnsi="Calibri" w:cs="Calibri"/>
              </w:rPr>
              <w:t xml:space="preserve"> se aceptan 4 dosis si la cuarta dosis se administra al cumplir los 4 años o después; la vacuna contra la difteria y el tétanos (DT) solo se acepta si se dispone de un certificado médico que indique una contraindicación para la vacuna DTaP</w:t>
            </w:r>
          </w:p>
        </w:tc>
      </w:tr>
      <w:tr w:rsidR="00B9766D" w:rsidRPr="00B9766D" w14:paraId="6A6F5BB3" w14:textId="77777777" w:rsidTr="00D83F18">
        <w:trPr>
          <w:trHeight w:val="847"/>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73286DF4" w14:textId="77777777" w:rsidR="00B9766D" w:rsidRPr="00B9766D" w:rsidRDefault="00B9766D" w:rsidP="00D83F18">
            <w:pPr>
              <w:spacing w:line="235" w:lineRule="auto"/>
              <w:ind w:left="43"/>
              <w:rPr>
                <w:rFonts w:ascii="Calibri" w:hAnsi="Calibri" w:cs="Calibri"/>
              </w:rPr>
            </w:pPr>
            <w:r w:rsidRPr="00B9766D">
              <w:rPr>
                <w:rFonts w:ascii="Calibri" w:hAnsi="Calibri" w:cs="Calibri"/>
              </w:rPr>
              <w:t>Poliomielitis</w:t>
            </w:r>
          </w:p>
        </w:tc>
        <w:tc>
          <w:tcPr>
            <w:tcW w:w="4214" w:type="pct"/>
            <w:tcBorders>
              <w:top w:val="single" w:sz="5" w:space="0" w:color="000000"/>
              <w:left w:val="single" w:sz="5" w:space="0" w:color="000000"/>
              <w:bottom w:val="single" w:sz="5" w:space="0" w:color="000000"/>
              <w:right w:val="single" w:sz="5" w:space="0" w:color="000000"/>
            </w:tcBorders>
            <w:vAlign w:val="center"/>
          </w:tcPr>
          <w:p w14:paraId="710F1396"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4 dosis;</w:t>
            </w:r>
            <w:r w:rsidRPr="00B9766D">
              <w:rPr>
                <w:rFonts w:ascii="Calibri" w:hAnsi="Calibri" w:cs="Calibri"/>
              </w:rPr>
              <w:t xml:space="preserve"> la cuarta dosis debe administrarse al cumplir los 4 años o después y ≥6 meses después de </w:t>
            </w:r>
            <w:r w:rsidRPr="00B9766D">
              <w:rPr>
                <w:rFonts w:ascii="Calibri" w:hAnsi="Calibri" w:cs="Calibri"/>
              </w:rPr>
              <w:br/>
              <w:t xml:space="preserve">la dosis anterior o se requiere una quinta dosis; se aceptan 3 dosis si la tercera dosis se administra </w:t>
            </w:r>
            <w:r w:rsidRPr="00B9766D">
              <w:rPr>
                <w:rFonts w:ascii="Calibri" w:hAnsi="Calibri" w:cs="Calibri"/>
              </w:rPr>
              <w:br/>
              <w:t>al cumplir los 4 años o después y ≥6 meses después de la dosis anterior</w:t>
            </w:r>
          </w:p>
        </w:tc>
      </w:tr>
      <w:tr w:rsidR="00B9766D" w:rsidRPr="00B9766D" w14:paraId="32D08DBF" w14:textId="77777777" w:rsidTr="00D83F18">
        <w:trPr>
          <w:trHeight w:hRule="exact" w:val="43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D1DC5C2" w14:textId="77777777" w:rsidR="00B9766D" w:rsidRPr="00B9766D" w:rsidRDefault="00B9766D" w:rsidP="00D83F18">
            <w:pPr>
              <w:spacing w:line="235" w:lineRule="auto"/>
              <w:ind w:left="43"/>
              <w:rPr>
                <w:rFonts w:ascii="Calibri" w:hAnsi="Calibri" w:cs="Calibri"/>
              </w:rPr>
            </w:pPr>
            <w:r w:rsidRPr="00B9766D">
              <w:rPr>
                <w:rFonts w:ascii="Calibri" w:hAnsi="Calibri" w:cs="Calibri"/>
              </w:rPr>
              <w:t>Hepatitis B</w:t>
            </w:r>
          </w:p>
        </w:tc>
        <w:tc>
          <w:tcPr>
            <w:tcW w:w="4214" w:type="pct"/>
            <w:tcBorders>
              <w:top w:val="single" w:sz="5" w:space="0" w:color="000000"/>
              <w:left w:val="single" w:sz="5" w:space="0" w:color="000000"/>
              <w:bottom w:val="single" w:sz="5" w:space="0" w:color="000000"/>
              <w:right w:val="single" w:sz="5" w:space="0" w:color="000000"/>
            </w:tcBorders>
            <w:vAlign w:val="center"/>
          </w:tcPr>
          <w:p w14:paraId="0A387441"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3 dosis;</w:t>
            </w:r>
            <w:r w:rsidRPr="00B9766D">
              <w:rPr>
                <w:rFonts w:ascii="Calibri" w:hAnsi="Calibri" w:cs="Calibri"/>
              </w:rPr>
              <w:t xml:space="preserve"> se aceptan pruebas de laboratorio de inmunidad</w:t>
            </w:r>
          </w:p>
        </w:tc>
      </w:tr>
      <w:tr w:rsidR="00B9766D" w:rsidRPr="00B9766D" w14:paraId="7B78692D" w14:textId="77777777" w:rsidTr="00D83F18">
        <w:trPr>
          <w:trHeight w:val="81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05DAB1B5" w14:textId="77777777" w:rsidR="00B9766D" w:rsidRPr="00B9766D" w:rsidRDefault="00B9766D" w:rsidP="00D83F18">
            <w:pPr>
              <w:spacing w:line="235" w:lineRule="auto"/>
              <w:ind w:left="43"/>
              <w:rPr>
                <w:rFonts w:ascii="Calibri" w:hAnsi="Calibri" w:cs="Calibri"/>
              </w:rPr>
            </w:pPr>
            <w:r w:rsidRPr="00B9766D">
              <w:rPr>
                <w:rFonts w:ascii="Calibri" w:hAnsi="Calibri" w:cs="Calibri"/>
              </w:rPr>
              <w:t>Sarampión, rubéola y parotiditis (MMR)</w:t>
            </w:r>
          </w:p>
        </w:tc>
        <w:tc>
          <w:tcPr>
            <w:tcW w:w="4214" w:type="pct"/>
            <w:tcBorders>
              <w:top w:val="single" w:sz="5" w:space="0" w:color="000000"/>
              <w:left w:val="single" w:sz="5" w:space="0" w:color="000000"/>
              <w:bottom w:val="single" w:sz="5" w:space="0" w:color="000000"/>
              <w:right w:val="single" w:sz="5" w:space="0" w:color="000000"/>
            </w:tcBorders>
            <w:vAlign w:val="center"/>
          </w:tcPr>
          <w:p w14:paraId="31E00DA6"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2 dosis;</w:t>
            </w:r>
            <w:r w:rsidRPr="00B9766D">
              <w:rPr>
                <w:rFonts w:ascii="Calibri" w:hAnsi="Calibri" w:cs="Calibri"/>
              </w:rPr>
              <w:t xml:space="preserve"> la primera dosis debe administrarse al cumplir 1 año o después y la segunda dosis debe administrarse ≥28 días después de la primera; se aceptan pruebas de laboratorio de inmunidad</w:t>
            </w:r>
          </w:p>
        </w:tc>
      </w:tr>
      <w:tr w:rsidR="00B9766D" w:rsidRPr="00B9766D" w14:paraId="4658983A" w14:textId="77777777" w:rsidTr="00D83F18">
        <w:trPr>
          <w:trHeight w:val="777"/>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5567D550" w14:textId="77777777" w:rsidR="00B9766D" w:rsidRPr="00B9766D" w:rsidRDefault="00B9766D" w:rsidP="00D83F18">
            <w:pPr>
              <w:spacing w:line="235" w:lineRule="auto"/>
              <w:ind w:left="43"/>
              <w:rPr>
                <w:rFonts w:ascii="Calibri" w:hAnsi="Calibri" w:cs="Calibri"/>
              </w:rPr>
            </w:pPr>
            <w:r w:rsidRPr="00B9766D">
              <w:rPr>
                <w:rFonts w:ascii="Calibri" w:hAnsi="Calibri" w:cs="Calibri"/>
              </w:rPr>
              <w:t>Varicela</w:t>
            </w:r>
          </w:p>
        </w:tc>
        <w:tc>
          <w:tcPr>
            <w:tcW w:w="4214" w:type="pct"/>
            <w:tcBorders>
              <w:top w:val="single" w:sz="5" w:space="0" w:color="000000"/>
              <w:left w:val="single" w:sz="5" w:space="0" w:color="000000"/>
              <w:bottom w:val="single" w:sz="5" w:space="0" w:color="000000"/>
              <w:right w:val="single" w:sz="5" w:space="0" w:color="000000"/>
            </w:tcBorders>
            <w:vAlign w:val="center"/>
          </w:tcPr>
          <w:p w14:paraId="0B6F428B"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2 dosis;</w:t>
            </w:r>
            <w:r w:rsidRPr="00B9766D">
              <w:rPr>
                <w:rFonts w:ascii="Calibri" w:hAnsi="Calibri" w:cs="Calibri"/>
              </w:rPr>
              <w:t xml:space="preserve"> la primera dosis debe administrarse al cumplir 1 año o después y la segunda dosis debe administrarse ≥28 días después de la primera; se aceptan antecedentes fiables de varicela* o </w:t>
            </w:r>
            <w:r w:rsidRPr="00B9766D">
              <w:rPr>
                <w:rFonts w:ascii="Calibri" w:hAnsi="Calibri" w:cs="Calibri"/>
              </w:rPr>
              <w:br/>
              <w:t>pruebas de laboratorio de inmunidad</w:t>
            </w:r>
          </w:p>
        </w:tc>
      </w:tr>
    </w:tbl>
    <w:p w14:paraId="4FD4B8B8" w14:textId="77777777" w:rsidR="00B9766D" w:rsidRPr="00B9766D" w:rsidRDefault="00B9766D" w:rsidP="00B9766D">
      <w:pPr>
        <w:spacing w:line="235" w:lineRule="auto"/>
        <w:rPr>
          <w:rFonts w:ascii="Calibri" w:hAnsi="Calibri" w:cs="Calibri"/>
          <w:b/>
          <w:bCs/>
          <w:sz w:val="14"/>
          <w:szCs w:val="14"/>
        </w:rPr>
      </w:pPr>
      <w:bookmarkStart w:id="0" w:name="_Hlk44023794"/>
    </w:p>
    <w:p w14:paraId="2EBF47E8" w14:textId="77777777" w:rsidR="00B9766D" w:rsidRPr="00B9766D" w:rsidRDefault="00B9766D" w:rsidP="00B9766D">
      <w:pPr>
        <w:spacing w:line="235" w:lineRule="auto"/>
        <w:rPr>
          <w:rFonts w:ascii="Calibri" w:hAnsi="Calibri" w:cs="Calibri"/>
          <w:sz w:val="18"/>
          <w:szCs w:val="18"/>
        </w:rPr>
      </w:pPr>
      <w:r w:rsidRPr="00B9766D">
        <w:rPr>
          <w:rFonts w:ascii="Calibri" w:hAnsi="Calibri" w:cs="Calibri"/>
          <w:b/>
          <w:sz w:val="18"/>
        </w:rPr>
        <w:t>§</w:t>
      </w:r>
      <w:r w:rsidRPr="00B9766D">
        <w:rPr>
          <w:rFonts w:ascii="Calibri" w:hAnsi="Calibri" w:cs="Calibri"/>
          <w:sz w:val="18"/>
        </w:rPr>
        <w:t xml:space="preserve"> Dirija las preguntas sobre cumplimiento a su asesor jurídico. Los requisitos escolares se aplican a nivel local.</w:t>
      </w:r>
    </w:p>
    <w:p w14:paraId="7B3659AF" w14:textId="77777777" w:rsidR="00B9766D" w:rsidRPr="00B9766D" w:rsidRDefault="00B9766D" w:rsidP="00B9766D">
      <w:pPr>
        <w:spacing w:line="235" w:lineRule="auto"/>
        <w:rPr>
          <w:rFonts w:ascii="Calibri" w:hAnsi="Calibri" w:cs="Calibri"/>
          <w:sz w:val="18"/>
          <w:szCs w:val="18"/>
        </w:rPr>
      </w:pPr>
      <w:r w:rsidRPr="00B9766D">
        <w:rPr>
          <w:rFonts w:ascii="Calibri" w:hAnsi="Calibri" w:cs="Calibri"/>
          <w:b/>
          <w:sz w:val="18"/>
        </w:rPr>
        <w:t>¶</w:t>
      </w:r>
      <w:r w:rsidRPr="00B9766D">
        <w:rPr>
          <w:rFonts w:ascii="Calibri" w:hAnsi="Calibri" w:cs="Calibri"/>
          <w:sz w:val="18"/>
        </w:rPr>
        <w:t xml:space="preserve"> Los requisitos de la vacuna antimeningocócica (consulte la información relativa a los niveles comprendidos entre 7.º y 10.º grado y 11.º y 12.º grado) también se aplican a los alumnos residenciales desde los grados preescolares hasta 8.º grado si la escuela combina estos grados </w:t>
      </w:r>
      <w:r w:rsidRPr="00B9766D">
        <w:rPr>
          <w:rFonts w:ascii="Calibri" w:hAnsi="Calibri" w:cs="Calibri"/>
          <w:sz w:val="18"/>
        </w:rPr>
        <w:br/>
        <w:t>en la misma escuela que los alumnos de 9.º a 12.º grado.</w:t>
      </w:r>
    </w:p>
    <w:p w14:paraId="6F1B7692" w14:textId="77777777" w:rsidR="00B9766D" w:rsidRPr="00B9766D" w:rsidRDefault="00B9766D" w:rsidP="00B9766D">
      <w:pPr>
        <w:spacing w:line="235" w:lineRule="auto"/>
        <w:rPr>
          <w:rFonts w:ascii="Calibri" w:hAnsi="Calibri" w:cs="Calibri"/>
          <w:spacing w:val="-1"/>
          <w:sz w:val="18"/>
          <w:szCs w:val="18"/>
        </w:rPr>
      </w:pPr>
      <w:r w:rsidRPr="00B9766D">
        <w:rPr>
          <w:rFonts w:ascii="Calibri" w:hAnsi="Calibri" w:cs="Calibri"/>
          <w:b/>
          <w:sz w:val="18"/>
        </w:rPr>
        <w:t xml:space="preserve">† </w:t>
      </w:r>
      <w:r w:rsidRPr="00B9766D">
        <w:rPr>
          <w:rFonts w:ascii="Calibri" w:hAnsi="Calibri" w:cs="Calibri"/>
          <w:sz w:val="18"/>
        </w:rPr>
        <w:t xml:space="preserve">Las exenciones médicas (informe de un médico en el que se indique que una vacuna está contraindicada desde el punto de vista médico para un alumno) deben renovarse anualmente al comienzo del año escolar y las exenciones religiosas (informe de un alumno o padre/madre/tutor, si el </w:t>
      </w:r>
      <w:r w:rsidRPr="00B9766D">
        <w:rPr>
          <w:rFonts w:ascii="Calibri" w:hAnsi="Calibri" w:cs="Calibri"/>
          <w:sz w:val="18"/>
        </w:rPr>
        <w:lastRenderedPageBreak/>
        <w:t>alumno es menor de 18 años, en el que se indique que una vacuna va en contra de creencias religiosas sinceramente sostenidas) deben renovarse anualmente al comienzo del año escolar.</w:t>
      </w:r>
    </w:p>
    <w:p w14:paraId="0BA0C3BE" w14:textId="77777777" w:rsidR="00B9766D" w:rsidRPr="00B9766D" w:rsidRDefault="00B9766D" w:rsidP="00B9766D">
      <w:pPr>
        <w:spacing w:line="235" w:lineRule="auto"/>
        <w:rPr>
          <w:rFonts w:ascii="Calibri" w:hAnsi="Calibri" w:cs="Calibri"/>
          <w:spacing w:val="-1"/>
          <w:sz w:val="18"/>
          <w:szCs w:val="18"/>
        </w:rPr>
      </w:pPr>
      <w:r w:rsidRPr="00B9766D">
        <w:rPr>
          <w:rFonts w:ascii="Calibri" w:hAnsi="Calibri" w:cs="Calibri"/>
          <w:sz w:val="18"/>
        </w:rPr>
        <w:t>* Los antecedentes fiables de varicela incluyen un diagnóstico de varicela o la interpretación de una descripción de varicela realizada por los padres/tutores por parte de un médico, un enfermero practicante, un auxiliar médico o una persona designada.</w:t>
      </w:r>
    </w:p>
    <w:p w14:paraId="3181F783" w14:textId="77777777" w:rsidR="00B9766D" w:rsidRPr="00B9766D" w:rsidRDefault="00B9766D" w:rsidP="00B9766D">
      <w:pPr>
        <w:spacing w:line="235" w:lineRule="auto"/>
        <w:rPr>
          <w:rFonts w:ascii="Calibri" w:hAnsi="Calibri" w:cs="Calibri"/>
          <w:spacing w:val="-1"/>
          <w:sz w:val="12"/>
          <w:szCs w:val="12"/>
        </w:rPr>
      </w:pPr>
    </w:p>
    <w:p w14:paraId="62012BDD" w14:textId="77777777" w:rsidR="00B9766D" w:rsidRPr="00B9766D" w:rsidRDefault="00B9766D" w:rsidP="00B9766D">
      <w:pPr>
        <w:spacing w:line="235" w:lineRule="auto"/>
        <w:rPr>
          <w:rFonts w:ascii="Calibri" w:hAnsi="Calibri" w:cs="Calibri"/>
          <w:b/>
          <w:bCs/>
          <w:spacing w:val="-1"/>
        </w:rPr>
      </w:pPr>
      <w:r w:rsidRPr="00B9766D">
        <w:rPr>
          <w:rFonts w:ascii="Calibri" w:hAnsi="Calibri" w:cs="Calibri"/>
        </w:rPr>
        <w:t xml:space="preserve">Consulte las páginas siguientes para obtener información relativa a los niveles comprendidos entre 7.º y 10.º grado, </w:t>
      </w:r>
      <w:r w:rsidRPr="00B9766D">
        <w:rPr>
          <w:rFonts w:ascii="Calibri" w:hAnsi="Calibri" w:cs="Calibri"/>
        </w:rPr>
        <w:br/>
        <w:t>11.º y 12.º grado y la universidad (instituciones postsecundarias).</w:t>
      </w:r>
      <w:bookmarkEnd w:id="0"/>
      <w:r w:rsidRPr="00B9766D">
        <w:rPr>
          <w:rFonts w:ascii="Calibri" w:hAnsi="Calibri" w:cs="Calibri"/>
        </w:rPr>
        <w:br w:type="page"/>
      </w:r>
    </w:p>
    <w:p w14:paraId="33412CA9" w14:textId="77777777" w:rsidR="00B9766D" w:rsidRPr="00B9766D" w:rsidRDefault="00B9766D" w:rsidP="00B9766D">
      <w:pPr>
        <w:spacing w:line="235" w:lineRule="auto"/>
        <w:rPr>
          <w:rFonts w:ascii="Calibri" w:hAnsi="Calibri" w:cs="Calibri"/>
          <w:b/>
          <w:bCs/>
          <w:spacing w:val="-1"/>
        </w:rPr>
      </w:pPr>
      <w:r w:rsidRPr="00B9766D">
        <w:rPr>
          <w:rFonts w:ascii="Calibri" w:hAnsi="Calibri" w:cs="Calibri"/>
          <w:b/>
        </w:rPr>
        <w:lastRenderedPageBreak/>
        <w:t xml:space="preserve">Los requisitos se aplican a todos los estudiantes, incluidas las personas de otros países que asisten a clases o programas educativos como parte de una visita académica o un programa de intercambio. Los requisitos se </w:t>
      </w:r>
      <w:r w:rsidRPr="00B9766D">
        <w:rPr>
          <w:rFonts w:ascii="Calibri" w:hAnsi="Calibri" w:cs="Calibri"/>
          <w:b/>
        </w:rPr>
        <w:br/>
        <w:t xml:space="preserve">aplican a todos los estudiantes de todos los grados, aunque sean mayores de 18 años. </w:t>
      </w:r>
      <w:r w:rsidRPr="00B9766D">
        <w:rPr>
          <w:rFonts w:ascii="Calibri" w:hAnsi="Calibri" w:cs="Calibri"/>
          <w:b/>
          <w:spacing w:val="-1"/>
        </w:rPr>
        <w:t xml:space="preserve">Las dosis que cumplen </w:t>
      </w:r>
      <w:r w:rsidRPr="00B9766D">
        <w:rPr>
          <w:rFonts w:ascii="Calibri" w:hAnsi="Calibri" w:cs="Calibri"/>
          <w:b/>
          <w:spacing w:val="-1"/>
        </w:rPr>
        <w:br/>
        <w:t xml:space="preserve">las recomendaciones del Comité Asesor sobre Prácticas de Vacunación (ACIP) </w:t>
      </w:r>
      <w:hyperlink r:id="rId10" w:history="1">
        <w:r w:rsidRPr="00B9766D">
          <w:rPr>
            <w:rStyle w:val="Hyperlink"/>
            <w:rFonts w:ascii="Calibri" w:hAnsi="Calibri" w:cs="Calibri"/>
            <w:b/>
            <w:spacing w:val="-1"/>
          </w:rPr>
          <w:t xml:space="preserve">según fueron adoptadas por los </w:t>
        </w:r>
        <w:r w:rsidRPr="00B9766D">
          <w:rPr>
            <w:rStyle w:val="Hyperlink"/>
            <w:rFonts w:ascii="Calibri" w:hAnsi="Calibri" w:cs="Calibri"/>
            <w:b/>
            <w:spacing w:val="-1"/>
          </w:rPr>
          <w:br/>
          <w:t>CDC el 24 de octubre de 2024</w:t>
        </w:r>
      </w:hyperlink>
      <w:r w:rsidRPr="00B9766D">
        <w:rPr>
          <w:rFonts w:ascii="Calibri" w:hAnsi="Calibri" w:cs="Calibri"/>
          <w:b/>
          <w:spacing w:val="-1"/>
        </w:rPr>
        <w:t xml:space="preserve"> también cumplen los requisitos de vacunación escolar.</w:t>
      </w:r>
    </w:p>
    <w:p w14:paraId="3D98266F" w14:textId="77777777" w:rsidR="00B9766D" w:rsidRDefault="00B9766D" w:rsidP="00B9766D">
      <w:pPr>
        <w:spacing w:line="235" w:lineRule="auto"/>
        <w:rPr>
          <w:rFonts w:ascii="Calibri" w:hAnsi="Calibri" w:cs="Calibri"/>
          <w:b/>
          <w:color w:val="0070C0"/>
        </w:rPr>
      </w:pPr>
    </w:p>
    <w:p w14:paraId="665B0F28" w14:textId="005AFC92" w:rsidR="00B9766D" w:rsidRPr="00B9766D" w:rsidRDefault="00B9766D" w:rsidP="00B9766D">
      <w:pPr>
        <w:spacing w:line="235" w:lineRule="auto"/>
        <w:rPr>
          <w:rFonts w:ascii="Calibri" w:hAnsi="Calibri" w:cs="Calibri"/>
          <w:b/>
          <w:bCs/>
        </w:rPr>
      </w:pPr>
      <w:r w:rsidRPr="00B9766D">
        <w:rPr>
          <w:rFonts w:ascii="Calibri" w:hAnsi="Calibri" w:cs="Calibri"/>
          <w:b/>
          <w:color w:val="0070C0"/>
        </w:rPr>
        <w:t>De 7.º a 12.º grado</w:t>
      </w:r>
      <w:r w:rsidRPr="00B9766D">
        <w:rPr>
          <w:rFonts w:ascii="Calibri" w:hAnsi="Calibri" w:cs="Calibri"/>
          <w:b/>
          <w:color w:val="0070C0"/>
          <w:sz w:val="32"/>
          <w:vertAlign w:val="superscript"/>
        </w:rPr>
        <w:t>†</w:t>
      </w:r>
    </w:p>
    <w:p w14:paraId="4E616179" w14:textId="77777777" w:rsidR="00B9766D" w:rsidRPr="00B9766D" w:rsidRDefault="00B9766D" w:rsidP="00B9766D">
      <w:pPr>
        <w:spacing w:line="235" w:lineRule="auto"/>
        <w:rPr>
          <w:rFonts w:ascii="Calibri" w:hAnsi="Calibri" w:cs="Calibri"/>
        </w:rPr>
      </w:pPr>
      <w:r w:rsidRPr="00B9766D">
        <w:rPr>
          <w:rFonts w:ascii="Calibri" w:hAnsi="Calibri" w:cs="Calibri"/>
        </w:rPr>
        <w:t>En las aulas en las que no se organiza a los alumnos según niveles de grado, los requisitos de 7.º grado se aplican a todos los alumnos ≥12 años.</w:t>
      </w:r>
    </w:p>
    <w:tbl>
      <w:tblPr>
        <w:tblW w:w="5000" w:type="pct"/>
        <w:tblCellMar>
          <w:left w:w="0" w:type="dxa"/>
          <w:right w:w="0" w:type="dxa"/>
        </w:tblCellMar>
        <w:tblLook w:val="01E0" w:firstRow="1" w:lastRow="1" w:firstColumn="1" w:lastColumn="1" w:noHBand="0" w:noVBand="0"/>
      </w:tblPr>
      <w:tblGrid>
        <w:gridCol w:w="1696"/>
        <w:gridCol w:w="9092"/>
      </w:tblGrid>
      <w:tr w:rsidR="00B9766D" w:rsidRPr="00B9766D" w14:paraId="41335846" w14:textId="77777777" w:rsidTr="00D83F18">
        <w:trPr>
          <w:trHeight w:val="137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08E54709" w14:textId="77777777" w:rsidR="00B9766D" w:rsidRPr="00B9766D" w:rsidRDefault="00B9766D" w:rsidP="00D83F18">
            <w:pPr>
              <w:spacing w:line="235" w:lineRule="auto"/>
              <w:ind w:left="43"/>
              <w:rPr>
                <w:rFonts w:ascii="Calibri" w:hAnsi="Calibri" w:cs="Calibri"/>
              </w:rPr>
            </w:pPr>
            <w:r w:rsidRPr="00B9766D">
              <w:rPr>
                <w:rFonts w:ascii="Calibri" w:hAnsi="Calibri" w:cs="Calibri"/>
              </w:rPr>
              <w:t>Tdap</w:t>
            </w:r>
          </w:p>
        </w:tc>
        <w:tc>
          <w:tcPr>
            <w:tcW w:w="4214" w:type="pct"/>
            <w:tcBorders>
              <w:top w:val="single" w:sz="5" w:space="0" w:color="000000"/>
              <w:left w:val="single" w:sz="5" w:space="0" w:color="000000"/>
              <w:bottom w:val="single" w:sz="5" w:space="0" w:color="000000"/>
              <w:right w:val="single" w:sz="5" w:space="0" w:color="000000"/>
            </w:tcBorders>
            <w:vAlign w:val="center"/>
          </w:tcPr>
          <w:p w14:paraId="5EE2E335"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1 dosis;</w:t>
            </w:r>
            <w:r w:rsidRPr="00B9766D">
              <w:rPr>
                <w:rFonts w:ascii="Calibri" w:hAnsi="Calibri" w:cs="Calibri"/>
              </w:rPr>
              <w:t xml:space="preserve"> y antecedentes de serie primaria de DTaP o vacunación de recuperación adecuada a la edad; puede considerarse la vacuna Tdap administrada a ≥7 años, pero se recomienda una dosis a los 11 </w:t>
            </w:r>
            <w:r w:rsidRPr="00B9766D">
              <w:rPr>
                <w:rFonts w:ascii="Calibri" w:hAnsi="Calibri" w:cs="Calibri"/>
              </w:rPr>
              <w:br/>
              <w:t xml:space="preserve">o 12 años si la vacuna Tdap se administró antes como parte de un calendario de recuperación; debe administrarse la vacuna Td o Tdap si han pasado ≥10 años desde la última administración de la </w:t>
            </w:r>
            <w:r w:rsidRPr="00B9766D">
              <w:rPr>
                <w:rFonts w:ascii="Calibri" w:hAnsi="Calibri" w:cs="Calibri"/>
              </w:rPr>
              <w:br/>
              <w:t>vacuna Tdap</w:t>
            </w:r>
          </w:p>
        </w:tc>
      </w:tr>
      <w:tr w:rsidR="00B9766D" w:rsidRPr="00B9766D" w14:paraId="11D50217" w14:textId="77777777" w:rsidTr="00D83F18">
        <w:trPr>
          <w:trHeight w:hRule="exact" w:val="885"/>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9CE3E1C" w14:textId="77777777" w:rsidR="00B9766D" w:rsidRPr="00B9766D" w:rsidRDefault="00B9766D" w:rsidP="00D83F18">
            <w:pPr>
              <w:spacing w:line="235" w:lineRule="auto"/>
              <w:ind w:left="43"/>
              <w:rPr>
                <w:rFonts w:ascii="Calibri" w:hAnsi="Calibri" w:cs="Calibri"/>
              </w:rPr>
            </w:pPr>
            <w:r w:rsidRPr="00B9766D">
              <w:rPr>
                <w:rFonts w:ascii="Calibri" w:hAnsi="Calibri" w:cs="Calibri"/>
              </w:rPr>
              <w:t>Poliomielitis</w:t>
            </w:r>
          </w:p>
        </w:tc>
        <w:tc>
          <w:tcPr>
            <w:tcW w:w="4214" w:type="pct"/>
            <w:tcBorders>
              <w:top w:val="single" w:sz="5" w:space="0" w:color="000000"/>
              <w:left w:val="single" w:sz="5" w:space="0" w:color="000000"/>
              <w:bottom w:val="single" w:sz="5" w:space="0" w:color="000000"/>
              <w:right w:val="single" w:sz="5" w:space="0" w:color="000000"/>
            </w:tcBorders>
            <w:vAlign w:val="center"/>
          </w:tcPr>
          <w:p w14:paraId="2831995B"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4 dosis;</w:t>
            </w:r>
            <w:r w:rsidRPr="00B9766D">
              <w:rPr>
                <w:rFonts w:ascii="Calibri" w:hAnsi="Calibri" w:cs="Calibri"/>
              </w:rPr>
              <w:t xml:space="preserve"> la cuarta dosis debe administrarse al cumplir los 4 años o después y ≥6 meses después de </w:t>
            </w:r>
            <w:r w:rsidRPr="00B9766D">
              <w:rPr>
                <w:rFonts w:ascii="Calibri" w:hAnsi="Calibri" w:cs="Calibri"/>
              </w:rPr>
              <w:br/>
              <w:t xml:space="preserve">la dosis anterior o se requiere una quinta dosis; se aceptan 3 dosis si la tercera dosis se administra </w:t>
            </w:r>
            <w:r w:rsidRPr="00B9766D">
              <w:rPr>
                <w:rFonts w:ascii="Calibri" w:hAnsi="Calibri" w:cs="Calibri"/>
              </w:rPr>
              <w:br/>
              <w:t>al cumplir los 4 años o después y ≥6 meses después de la dosis anterior</w:t>
            </w:r>
          </w:p>
        </w:tc>
      </w:tr>
      <w:tr w:rsidR="00B9766D" w:rsidRPr="00B9766D" w14:paraId="75FE2A4E" w14:textId="77777777" w:rsidTr="00D83F18">
        <w:trPr>
          <w:trHeight w:val="58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33BDF184" w14:textId="77777777" w:rsidR="00B9766D" w:rsidRPr="00B9766D" w:rsidRDefault="00B9766D" w:rsidP="00D83F18">
            <w:pPr>
              <w:spacing w:line="235" w:lineRule="auto"/>
              <w:ind w:left="43"/>
              <w:rPr>
                <w:rFonts w:ascii="Calibri" w:hAnsi="Calibri" w:cs="Calibri"/>
              </w:rPr>
            </w:pPr>
            <w:r w:rsidRPr="00B9766D">
              <w:rPr>
                <w:rFonts w:ascii="Calibri" w:hAnsi="Calibri" w:cs="Calibri"/>
              </w:rPr>
              <w:t>Hepatitis B</w:t>
            </w:r>
          </w:p>
        </w:tc>
        <w:tc>
          <w:tcPr>
            <w:tcW w:w="4214" w:type="pct"/>
            <w:tcBorders>
              <w:top w:val="single" w:sz="5" w:space="0" w:color="000000"/>
              <w:left w:val="single" w:sz="5" w:space="0" w:color="000000"/>
              <w:bottom w:val="single" w:sz="5" w:space="0" w:color="000000"/>
              <w:right w:val="single" w:sz="5" w:space="0" w:color="000000"/>
            </w:tcBorders>
            <w:vAlign w:val="center"/>
          </w:tcPr>
          <w:p w14:paraId="18E72188"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3 dosis;</w:t>
            </w:r>
            <w:r w:rsidRPr="00B9766D">
              <w:rPr>
                <w:rFonts w:ascii="Calibri" w:hAnsi="Calibri" w:cs="Calibri"/>
              </w:rPr>
              <w:t xml:space="preserve"> se aceptan pruebas de laboratorio de inmunidad; se aceptan 2 dosis de la vacuna Heplisav-B administrada a los 18 años o después</w:t>
            </w:r>
          </w:p>
        </w:tc>
      </w:tr>
      <w:tr w:rsidR="00B9766D" w:rsidRPr="00B9766D" w14:paraId="2A90471E" w14:textId="77777777" w:rsidTr="00D83F18">
        <w:trPr>
          <w:trHeight w:val="720"/>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32A9F29D" w14:textId="77777777" w:rsidR="00B9766D" w:rsidRPr="00B9766D" w:rsidRDefault="00B9766D" w:rsidP="00D83F18">
            <w:pPr>
              <w:spacing w:line="235" w:lineRule="auto"/>
              <w:ind w:left="43"/>
              <w:rPr>
                <w:rFonts w:ascii="Calibri" w:hAnsi="Calibri" w:cs="Calibri"/>
              </w:rPr>
            </w:pPr>
            <w:r w:rsidRPr="00B9766D">
              <w:rPr>
                <w:rFonts w:ascii="Calibri" w:hAnsi="Calibri" w:cs="Calibri"/>
              </w:rPr>
              <w:t>Sarampión, rubéola y parotiditis (MMR)</w:t>
            </w:r>
          </w:p>
        </w:tc>
        <w:tc>
          <w:tcPr>
            <w:tcW w:w="4214" w:type="pct"/>
            <w:tcBorders>
              <w:top w:val="single" w:sz="5" w:space="0" w:color="000000"/>
              <w:left w:val="single" w:sz="5" w:space="0" w:color="000000"/>
              <w:bottom w:val="single" w:sz="5" w:space="0" w:color="000000"/>
              <w:right w:val="single" w:sz="5" w:space="0" w:color="000000"/>
            </w:tcBorders>
            <w:vAlign w:val="center"/>
          </w:tcPr>
          <w:p w14:paraId="3CCD49AD"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2 dosis;</w:t>
            </w:r>
            <w:r w:rsidRPr="00B9766D">
              <w:rPr>
                <w:rFonts w:ascii="Calibri" w:hAnsi="Calibri" w:cs="Calibri"/>
              </w:rPr>
              <w:t xml:space="preserve"> la primera dosis debe administrarse al cumplir 1 año o después y la segunda dosis debe administrarse ≥28 días después de la primera; se aceptan pruebas de laboratorio de inmunidad</w:t>
            </w:r>
          </w:p>
        </w:tc>
      </w:tr>
      <w:tr w:rsidR="00B9766D" w:rsidRPr="00B9766D" w14:paraId="3F0119AB" w14:textId="77777777" w:rsidTr="00D83F18">
        <w:trPr>
          <w:trHeight w:val="86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7C05187F" w14:textId="77777777" w:rsidR="00B9766D" w:rsidRPr="00B9766D" w:rsidRDefault="00B9766D" w:rsidP="00D83F18">
            <w:pPr>
              <w:spacing w:line="235" w:lineRule="auto"/>
              <w:ind w:left="43"/>
              <w:rPr>
                <w:rFonts w:ascii="Calibri" w:hAnsi="Calibri" w:cs="Calibri"/>
              </w:rPr>
            </w:pPr>
            <w:r w:rsidRPr="00B9766D">
              <w:rPr>
                <w:rFonts w:ascii="Calibri" w:hAnsi="Calibri" w:cs="Calibri"/>
              </w:rPr>
              <w:t>Varicela</w:t>
            </w:r>
          </w:p>
        </w:tc>
        <w:tc>
          <w:tcPr>
            <w:tcW w:w="4214" w:type="pct"/>
            <w:tcBorders>
              <w:top w:val="single" w:sz="5" w:space="0" w:color="000000"/>
              <w:left w:val="single" w:sz="5" w:space="0" w:color="000000"/>
              <w:bottom w:val="single" w:sz="5" w:space="0" w:color="000000"/>
              <w:right w:val="single" w:sz="5" w:space="0" w:color="000000"/>
            </w:tcBorders>
            <w:vAlign w:val="center"/>
          </w:tcPr>
          <w:p w14:paraId="6A89AEBB"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2 dosis;</w:t>
            </w:r>
            <w:r w:rsidRPr="00B9766D">
              <w:rPr>
                <w:rFonts w:ascii="Calibri" w:hAnsi="Calibri" w:cs="Calibri"/>
              </w:rPr>
              <w:t xml:space="preserve"> la primera dosis debe administrarse al cumplir 1 año o después y la segunda dosis debe administrarse ≥28 días después de la primera; se aceptan antecedentes fiables de varicela* o pruebas de laboratorio de inmunidad</w:t>
            </w:r>
          </w:p>
        </w:tc>
      </w:tr>
      <w:tr w:rsidR="00B9766D" w:rsidRPr="00B9766D" w14:paraId="04657E8A" w14:textId="77777777" w:rsidTr="00D83F18">
        <w:trPr>
          <w:trHeight w:val="95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84297E1" w14:textId="77777777" w:rsidR="00B9766D" w:rsidRPr="00B9766D" w:rsidRDefault="00B9766D" w:rsidP="00D83F18">
            <w:pPr>
              <w:spacing w:line="235" w:lineRule="auto"/>
              <w:ind w:left="43"/>
              <w:rPr>
                <w:rFonts w:ascii="Calibri" w:hAnsi="Calibri" w:cs="Calibri"/>
                <w:spacing w:val="-1"/>
              </w:rPr>
            </w:pPr>
            <w:r w:rsidRPr="00B9766D">
              <w:rPr>
                <w:rFonts w:ascii="Calibri" w:hAnsi="Calibri" w:cs="Calibri"/>
                <w:spacing w:val="-1"/>
              </w:rPr>
              <w:t>Enfermedad meningocócica</w:t>
            </w:r>
          </w:p>
          <w:p w14:paraId="1DC955A7" w14:textId="77777777" w:rsidR="00B9766D" w:rsidRPr="00B9766D" w:rsidRDefault="00B9766D" w:rsidP="00D83F18">
            <w:pPr>
              <w:spacing w:line="235" w:lineRule="auto"/>
              <w:ind w:left="43"/>
              <w:rPr>
                <w:rFonts w:ascii="Calibri" w:hAnsi="Calibri" w:cs="Calibri"/>
              </w:rPr>
            </w:pPr>
            <w:r w:rsidRPr="00B9766D">
              <w:rPr>
                <w:rFonts w:ascii="Calibri" w:hAnsi="Calibri" w:cs="Calibri"/>
                <w:b/>
                <w:bCs/>
              </w:rPr>
              <w:t xml:space="preserve">De 7.º a </w:t>
            </w:r>
            <w:r w:rsidRPr="00B9766D">
              <w:rPr>
                <w:rFonts w:ascii="Calibri" w:hAnsi="Calibri" w:cs="Calibri"/>
                <w:b/>
                <w:bCs/>
              </w:rPr>
              <w:br/>
              <w:t>10.º grado</w:t>
            </w:r>
          </w:p>
        </w:tc>
        <w:tc>
          <w:tcPr>
            <w:tcW w:w="4214" w:type="pct"/>
            <w:tcBorders>
              <w:top w:val="single" w:sz="5" w:space="0" w:color="000000"/>
              <w:left w:val="single" w:sz="5" w:space="0" w:color="000000"/>
              <w:bottom w:val="single" w:sz="5" w:space="0" w:color="000000"/>
              <w:right w:val="single" w:sz="5" w:space="0" w:color="000000"/>
            </w:tcBorders>
            <w:vAlign w:val="center"/>
          </w:tcPr>
          <w:p w14:paraId="4FE7A303" w14:textId="77777777" w:rsidR="00B9766D" w:rsidRPr="00B9766D" w:rsidRDefault="00B9766D" w:rsidP="00D83F18">
            <w:pPr>
              <w:spacing w:line="235" w:lineRule="auto"/>
              <w:ind w:left="43"/>
              <w:rPr>
                <w:rFonts w:ascii="Calibri" w:hAnsi="Calibri" w:cs="Calibri"/>
                <w:b/>
                <w:bCs/>
              </w:rPr>
            </w:pPr>
            <w:r w:rsidRPr="00B9766D">
              <w:rPr>
                <w:rFonts w:ascii="Calibri" w:hAnsi="Calibri" w:cs="Calibri"/>
                <w:b/>
              </w:rPr>
              <w:t>1 dosis</w:t>
            </w:r>
            <w:r w:rsidRPr="00B9766D">
              <w:rPr>
                <w:rFonts w:ascii="Calibri" w:hAnsi="Calibri" w:cs="Calibri"/>
              </w:rPr>
              <w:t>; esta dosis debe administrarse al cumplir 10 años o después. Las vacunas antimeningocócicas conjugadas, MenACWY (antes denominada MCV4) y MenABCWY, cumplen este requisito; la vacuna antimeningocócica B monovalente (MenB) no es obligatoria y no cumple este requisito</w:t>
            </w:r>
          </w:p>
        </w:tc>
      </w:tr>
      <w:tr w:rsidR="00B9766D" w:rsidRPr="00B9766D" w14:paraId="393B0F14" w14:textId="77777777" w:rsidTr="00D83F18">
        <w:trPr>
          <w:trHeight w:val="95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4B41C72" w14:textId="77777777" w:rsidR="00B9766D" w:rsidRPr="00B9766D" w:rsidRDefault="00B9766D" w:rsidP="00D83F18">
            <w:pPr>
              <w:spacing w:line="235" w:lineRule="auto"/>
              <w:ind w:left="43"/>
              <w:rPr>
                <w:rFonts w:ascii="Calibri" w:hAnsi="Calibri" w:cs="Calibri"/>
                <w:spacing w:val="-1"/>
              </w:rPr>
            </w:pPr>
            <w:r w:rsidRPr="00B9766D">
              <w:rPr>
                <w:rFonts w:ascii="Calibri" w:hAnsi="Calibri" w:cs="Calibri"/>
                <w:spacing w:val="-1"/>
              </w:rPr>
              <w:t>Enfermedad meningocócica</w:t>
            </w:r>
          </w:p>
          <w:p w14:paraId="4CB4109D" w14:textId="77777777" w:rsidR="00B9766D" w:rsidRPr="00B9766D" w:rsidRDefault="00B9766D" w:rsidP="00D83F18">
            <w:pPr>
              <w:spacing w:line="235" w:lineRule="auto"/>
              <w:ind w:left="43"/>
              <w:rPr>
                <w:rFonts w:ascii="Calibri" w:hAnsi="Calibri" w:cs="Calibri"/>
                <w:b/>
                <w:bCs/>
                <w:sz w:val="28"/>
                <w:szCs w:val="28"/>
              </w:rPr>
            </w:pPr>
            <w:r w:rsidRPr="00B9766D">
              <w:rPr>
                <w:rFonts w:ascii="Calibri" w:hAnsi="Calibri" w:cs="Calibri"/>
                <w:b/>
                <w:bCs/>
              </w:rPr>
              <w:t>11.º y 12.º grado</w:t>
            </w:r>
            <w:r w:rsidRPr="00B9766D">
              <w:rPr>
                <w:rFonts w:ascii="Calibri" w:hAnsi="Calibri" w:cs="Calibri"/>
                <w:b/>
                <w:bCs/>
                <w:sz w:val="28"/>
                <w:szCs w:val="28"/>
                <w:vertAlign w:val="superscript"/>
              </w:rPr>
              <w:t>‡</w:t>
            </w:r>
          </w:p>
          <w:p w14:paraId="32EE30A7" w14:textId="77777777" w:rsidR="00B9766D" w:rsidRPr="00B9766D" w:rsidRDefault="00B9766D" w:rsidP="00D83F18">
            <w:pPr>
              <w:spacing w:line="235" w:lineRule="auto"/>
              <w:ind w:left="43"/>
              <w:rPr>
                <w:rFonts w:ascii="Calibri" w:hAnsi="Calibri" w:cs="Calibri"/>
                <w:spacing w:val="-1"/>
              </w:rPr>
            </w:pPr>
          </w:p>
        </w:tc>
        <w:tc>
          <w:tcPr>
            <w:tcW w:w="4214" w:type="pct"/>
            <w:tcBorders>
              <w:top w:val="single" w:sz="5" w:space="0" w:color="000000"/>
              <w:left w:val="single" w:sz="5" w:space="0" w:color="000000"/>
              <w:bottom w:val="single" w:sz="5" w:space="0" w:color="000000"/>
              <w:right w:val="single" w:sz="5" w:space="0" w:color="000000"/>
            </w:tcBorders>
            <w:vAlign w:val="center"/>
          </w:tcPr>
          <w:p w14:paraId="76CD336F" w14:textId="77777777" w:rsidR="00B9766D" w:rsidRPr="00B9766D" w:rsidRDefault="00B9766D" w:rsidP="00D83F18">
            <w:pPr>
              <w:spacing w:line="235" w:lineRule="auto"/>
              <w:ind w:left="43"/>
              <w:rPr>
                <w:rFonts w:ascii="Calibri" w:hAnsi="Calibri" w:cs="Calibri"/>
                <w:b/>
              </w:rPr>
            </w:pPr>
            <w:r w:rsidRPr="00B9766D">
              <w:rPr>
                <w:rFonts w:ascii="Calibri" w:hAnsi="Calibri" w:cs="Calibri"/>
                <w:b/>
              </w:rPr>
              <w:t>2 dosis</w:t>
            </w:r>
            <w:r w:rsidRPr="00B9766D">
              <w:rPr>
                <w:rFonts w:ascii="Calibri" w:hAnsi="Calibri" w:cs="Calibri"/>
              </w:rPr>
              <w:t xml:space="preserve">; la segunda dosis de MenACWY (antes denominada MCV4) debe administrarse al cumplir 16 años o después y ≥8 semanas después de la dosis anterior; 1 dosis es aceptable si se administró </w:t>
            </w:r>
            <w:r w:rsidRPr="00B9766D">
              <w:rPr>
                <w:rFonts w:ascii="Calibri" w:hAnsi="Calibri" w:cs="Calibri"/>
              </w:rPr>
              <w:br/>
              <w:t>al cumplir 16 años o después. Las vacunas antimeningocócicas conjugadas, MenACWY (antes denominada MCV4) y MenABCWY, cumplen este requisito; la vacuna antimeningocócica B monovalente (MenB) no es obligatoria y no cumple este requisito</w:t>
            </w:r>
          </w:p>
        </w:tc>
      </w:tr>
    </w:tbl>
    <w:p w14:paraId="118DD7A0" w14:textId="77777777" w:rsidR="00B9766D" w:rsidRDefault="00B9766D" w:rsidP="00B9766D">
      <w:pPr>
        <w:spacing w:line="235" w:lineRule="auto"/>
        <w:rPr>
          <w:rFonts w:ascii="Calibri" w:hAnsi="Calibri" w:cs="Calibri"/>
          <w:b/>
          <w:sz w:val="18"/>
        </w:rPr>
      </w:pPr>
    </w:p>
    <w:p w14:paraId="5ED4C0B0" w14:textId="670DA55D" w:rsidR="00B9766D" w:rsidRPr="00B9766D" w:rsidRDefault="00B9766D" w:rsidP="00B9766D">
      <w:pPr>
        <w:spacing w:line="235" w:lineRule="auto"/>
        <w:rPr>
          <w:rFonts w:ascii="Calibri" w:hAnsi="Calibri" w:cs="Calibri"/>
          <w:sz w:val="18"/>
          <w:szCs w:val="18"/>
        </w:rPr>
      </w:pPr>
      <w:r w:rsidRPr="00B9766D">
        <w:rPr>
          <w:rFonts w:ascii="Calibri" w:hAnsi="Calibri" w:cs="Calibri"/>
          <w:b/>
          <w:sz w:val="18"/>
        </w:rPr>
        <w:t>§</w:t>
      </w:r>
      <w:r w:rsidRPr="00B9766D">
        <w:rPr>
          <w:rFonts w:ascii="Calibri" w:hAnsi="Calibri" w:cs="Calibri"/>
          <w:sz w:val="18"/>
        </w:rPr>
        <w:t xml:space="preserve"> Dirija las preguntas sobre cumplimiento a su asesor jurídico. Los requisitos escolares se aplican a nivel local.</w:t>
      </w:r>
    </w:p>
    <w:p w14:paraId="22F119C6" w14:textId="77777777" w:rsidR="00B9766D" w:rsidRPr="00B9766D" w:rsidRDefault="00B9766D" w:rsidP="00B9766D">
      <w:pPr>
        <w:spacing w:line="235" w:lineRule="auto"/>
        <w:rPr>
          <w:rFonts w:ascii="Calibri" w:hAnsi="Calibri" w:cs="Calibri"/>
          <w:spacing w:val="-1"/>
          <w:sz w:val="18"/>
          <w:szCs w:val="18"/>
        </w:rPr>
      </w:pPr>
      <w:r w:rsidRPr="00B9766D">
        <w:rPr>
          <w:rFonts w:ascii="Calibri" w:hAnsi="Calibri" w:cs="Calibri"/>
          <w:b/>
          <w:sz w:val="18"/>
        </w:rPr>
        <w:t xml:space="preserve">† </w:t>
      </w:r>
      <w:r w:rsidRPr="00B9766D">
        <w:rPr>
          <w:rFonts w:ascii="Calibri" w:hAnsi="Calibri" w:cs="Calibri"/>
          <w:sz w:val="18"/>
        </w:rPr>
        <w:t>Las exenciones médicas (informe de un médico en el que se indique que una vacuna está contraindicada desde el punto de vista médico para un alumno) deben renovarse anualmente al comienzo del año escolar y las exenciones religiosas (informe de un alumno o padre/madre/tutor, si el alumno es menor de 18 años, en el que se indique que una vacuna va en contra de creencias religiosas sinceramente sostenidas) deben renovarse anualmente al comienzo del año escolar.</w:t>
      </w:r>
    </w:p>
    <w:p w14:paraId="167681BF" w14:textId="77777777" w:rsidR="00B9766D" w:rsidRPr="00B9766D" w:rsidRDefault="00B9766D" w:rsidP="00B9766D">
      <w:pPr>
        <w:spacing w:line="235" w:lineRule="auto"/>
        <w:rPr>
          <w:rFonts w:ascii="Calibri" w:hAnsi="Calibri" w:cs="Calibri"/>
          <w:sz w:val="18"/>
          <w:szCs w:val="18"/>
        </w:rPr>
      </w:pPr>
      <w:r w:rsidRPr="00B9766D">
        <w:rPr>
          <w:rFonts w:ascii="Calibri" w:hAnsi="Calibri" w:cs="Calibri"/>
          <w:b/>
          <w:sz w:val="18"/>
        </w:rPr>
        <w:t>*</w:t>
      </w:r>
      <w:r w:rsidRPr="00B9766D">
        <w:rPr>
          <w:rFonts w:ascii="Calibri" w:hAnsi="Calibri" w:cs="Calibri"/>
          <w:sz w:val="18"/>
        </w:rPr>
        <w:t xml:space="preserve"> Los antecedentes fiables de varicela incluyen un diagnóstico de varicela o la interpretación de una descripción de varicela realizada por los padres/tutores por parte de un médico, un enfermero practicante, un auxiliar médico o una persona designada.</w:t>
      </w:r>
    </w:p>
    <w:p w14:paraId="5B5C346F" w14:textId="77777777" w:rsidR="00B9766D" w:rsidRPr="00B9766D" w:rsidRDefault="00B9766D" w:rsidP="00B9766D">
      <w:pPr>
        <w:spacing w:line="235" w:lineRule="auto"/>
        <w:rPr>
          <w:rFonts w:ascii="Calibri" w:hAnsi="Calibri" w:cs="Calibri"/>
          <w:sz w:val="18"/>
          <w:szCs w:val="18"/>
        </w:rPr>
      </w:pPr>
      <w:r w:rsidRPr="00B9766D">
        <w:rPr>
          <w:rFonts w:ascii="Calibri" w:hAnsi="Calibri" w:cs="Calibri"/>
          <w:sz w:val="18"/>
        </w:rPr>
        <w:t>Los alumnos de 11.º grado que tienen 15 años cumplen con los requisitos hasta que cumplen 16 años.</w:t>
      </w:r>
    </w:p>
    <w:p w14:paraId="7B545B11" w14:textId="77777777" w:rsidR="00B9766D" w:rsidRPr="00B9766D" w:rsidRDefault="00B9766D" w:rsidP="00B9766D">
      <w:pPr>
        <w:spacing w:line="235" w:lineRule="auto"/>
        <w:rPr>
          <w:rFonts w:ascii="Calibri" w:hAnsi="Calibri" w:cs="Calibri"/>
          <w:sz w:val="12"/>
          <w:szCs w:val="12"/>
        </w:rPr>
      </w:pPr>
    </w:p>
    <w:p w14:paraId="6E3685B9" w14:textId="77777777" w:rsidR="00B9766D" w:rsidRPr="00B9766D" w:rsidRDefault="00B9766D" w:rsidP="00B9766D">
      <w:pPr>
        <w:spacing w:line="235" w:lineRule="auto"/>
        <w:rPr>
          <w:rFonts w:ascii="Calibri" w:hAnsi="Calibri" w:cs="Calibri"/>
          <w:b/>
          <w:spacing w:val="-1"/>
        </w:rPr>
      </w:pPr>
      <w:r w:rsidRPr="00B9766D">
        <w:rPr>
          <w:rFonts w:ascii="Calibri" w:hAnsi="Calibri" w:cs="Calibri"/>
        </w:rPr>
        <w:t>Consulte la página siguiente para obtener información relativa a la universidad (instituciones postsecundarias).</w:t>
      </w:r>
      <w:r w:rsidRPr="00B9766D">
        <w:rPr>
          <w:rFonts w:ascii="Calibri" w:hAnsi="Calibri" w:cs="Calibri"/>
        </w:rPr>
        <w:br w:type="page"/>
      </w:r>
    </w:p>
    <w:p w14:paraId="04525E74" w14:textId="77777777" w:rsidR="00B9766D" w:rsidRPr="00B9766D" w:rsidRDefault="00B9766D" w:rsidP="00B9766D">
      <w:pPr>
        <w:rPr>
          <w:rFonts w:ascii="Calibri" w:hAnsi="Calibri" w:cs="Calibri"/>
          <w:b/>
          <w:spacing w:val="-1"/>
        </w:rPr>
      </w:pPr>
      <w:r w:rsidRPr="00B9766D">
        <w:rPr>
          <w:rFonts w:ascii="Calibri" w:hAnsi="Calibri" w:cs="Calibri"/>
          <w:b/>
        </w:rPr>
        <w:lastRenderedPageBreak/>
        <w:t xml:space="preserve">Los requisitos se aplican a todos los estudiantes, incluidas las personas de otros países que asisten a clases o programas educativos como parte de una visita académica o un programa de intercambio. Los requisitos se </w:t>
      </w:r>
      <w:r w:rsidRPr="00B9766D">
        <w:rPr>
          <w:rFonts w:ascii="Calibri" w:hAnsi="Calibri" w:cs="Calibri"/>
          <w:b/>
        </w:rPr>
        <w:br/>
        <w:t xml:space="preserve">aplican a todos los estudiantes de todos los grados, aunque sean mayores de 18 años. </w:t>
      </w:r>
      <w:r w:rsidRPr="00B9766D">
        <w:rPr>
          <w:rFonts w:ascii="Calibri" w:hAnsi="Calibri" w:cs="Calibri"/>
          <w:b/>
          <w:spacing w:val="-1"/>
        </w:rPr>
        <w:t>Las dosis que cumplen</w:t>
      </w:r>
      <w:r w:rsidRPr="00B9766D">
        <w:rPr>
          <w:rFonts w:ascii="Calibri" w:hAnsi="Calibri" w:cs="Calibri"/>
          <w:b/>
          <w:spacing w:val="-1"/>
        </w:rPr>
        <w:br/>
        <w:t xml:space="preserve"> las recomendaciones del Comité Asesor sobre Prácticas de Vacunación (ACIP) </w:t>
      </w:r>
      <w:hyperlink r:id="rId11" w:history="1">
        <w:r w:rsidRPr="00B9766D">
          <w:rPr>
            <w:rStyle w:val="Hyperlink"/>
            <w:rFonts w:ascii="Calibri" w:hAnsi="Calibri" w:cs="Calibri"/>
            <w:b/>
            <w:spacing w:val="-1"/>
          </w:rPr>
          <w:t xml:space="preserve">según fueron adoptadas por los </w:t>
        </w:r>
        <w:r w:rsidRPr="00B9766D">
          <w:rPr>
            <w:rStyle w:val="Hyperlink"/>
            <w:rFonts w:ascii="Calibri" w:hAnsi="Calibri" w:cs="Calibri"/>
            <w:b/>
            <w:spacing w:val="-1"/>
          </w:rPr>
          <w:br/>
          <w:t>CDC el 24 de octubre de 2024</w:t>
        </w:r>
      </w:hyperlink>
      <w:r w:rsidRPr="00B9766D">
        <w:rPr>
          <w:rFonts w:ascii="Calibri" w:hAnsi="Calibri" w:cs="Calibri"/>
          <w:b/>
          <w:spacing w:val="-1"/>
        </w:rPr>
        <w:t xml:space="preserve"> también cumplen los requisitos de vacunación escolar.</w:t>
      </w:r>
    </w:p>
    <w:p w14:paraId="607E4443" w14:textId="77777777" w:rsidR="00B9766D" w:rsidRDefault="00B9766D" w:rsidP="00B9766D">
      <w:pPr>
        <w:rPr>
          <w:rFonts w:ascii="Calibri" w:hAnsi="Calibri" w:cs="Calibri"/>
          <w:b/>
          <w:color w:val="0070C0"/>
        </w:rPr>
      </w:pPr>
    </w:p>
    <w:p w14:paraId="66FE358C" w14:textId="11074F6A" w:rsidR="00B9766D" w:rsidRPr="00B9766D" w:rsidRDefault="00B9766D" w:rsidP="00B9766D">
      <w:pPr>
        <w:rPr>
          <w:rFonts w:ascii="Calibri" w:hAnsi="Calibri" w:cs="Calibri"/>
        </w:rPr>
      </w:pPr>
      <w:r w:rsidRPr="00B9766D">
        <w:rPr>
          <w:rFonts w:ascii="Calibri" w:hAnsi="Calibri" w:cs="Calibri"/>
          <w:b/>
          <w:color w:val="0070C0"/>
        </w:rPr>
        <w:t>Universidad (instituciones postsecundarias)</w:t>
      </w:r>
      <w:r w:rsidRPr="00B9766D">
        <w:rPr>
          <w:rFonts w:ascii="Calibri" w:hAnsi="Calibri" w:cs="Calibri"/>
          <w:b/>
          <w:color w:val="0070C0"/>
          <w:sz w:val="32"/>
          <w:vertAlign w:val="superscript"/>
        </w:rPr>
        <w:t>**†</w:t>
      </w:r>
    </w:p>
    <w:p w14:paraId="4159188C" w14:textId="77777777" w:rsidR="00B9766D" w:rsidRPr="00B9766D" w:rsidRDefault="00B9766D" w:rsidP="00B9766D">
      <w:pPr>
        <w:rPr>
          <w:rFonts w:ascii="Calibri" w:hAnsi="Calibri" w:cs="Calibri"/>
        </w:rPr>
      </w:pPr>
      <w:r w:rsidRPr="00B9766D">
        <w:rPr>
          <w:rFonts w:ascii="Calibri" w:hAnsi="Calibri" w:cs="Calibri"/>
        </w:rPr>
        <w:t>Los requisitos se aplican a todos los estudiantes universitarios y de posgrado a tiempo completo menores de 30 años y a todos los estudiantes de ciencias de la salud a tiempo completo y parcial. Los requisitos de la vacuna antimeningocócica se aplican al grupo especificado en la tabla siguiente.</w:t>
      </w:r>
    </w:p>
    <w:tbl>
      <w:tblPr>
        <w:tblW w:w="5000" w:type="pct"/>
        <w:tblCellMar>
          <w:left w:w="0" w:type="dxa"/>
          <w:right w:w="0" w:type="dxa"/>
        </w:tblCellMar>
        <w:tblLook w:val="01E0" w:firstRow="1" w:lastRow="1" w:firstColumn="1" w:lastColumn="1" w:noHBand="0" w:noVBand="0"/>
      </w:tblPr>
      <w:tblGrid>
        <w:gridCol w:w="1696"/>
        <w:gridCol w:w="9092"/>
      </w:tblGrid>
      <w:tr w:rsidR="00B9766D" w:rsidRPr="00B9766D" w14:paraId="79BB67CC" w14:textId="77777777" w:rsidTr="00D83F18">
        <w:trPr>
          <w:trHeight w:val="1239"/>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20F80CA" w14:textId="77777777" w:rsidR="00B9766D" w:rsidRPr="00B9766D" w:rsidRDefault="00B9766D" w:rsidP="00D83F18">
            <w:pPr>
              <w:ind w:left="43"/>
              <w:rPr>
                <w:rFonts w:ascii="Calibri" w:hAnsi="Calibri" w:cs="Calibri"/>
              </w:rPr>
            </w:pPr>
            <w:r w:rsidRPr="00B9766D">
              <w:rPr>
                <w:rFonts w:ascii="Calibri" w:hAnsi="Calibri" w:cs="Calibri"/>
              </w:rPr>
              <w:t>Tdap</w:t>
            </w:r>
          </w:p>
        </w:tc>
        <w:tc>
          <w:tcPr>
            <w:tcW w:w="4214" w:type="pct"/>
            <w:tcBorders>
              <w:top w:val="single" w:sz="5" w:space="0" w:color="000000"/>
              <w:left w:val="single" w:sz="5" w:space="0" w:color="000000"/>
              <w:bottom w:val="single" w:sz="5" w:space="0" w:color="000000"/>
              <w:right w:val="single" w:sz="5" w:space="0" w:color="000000"/>
            </w:tcBorders>
            <w:vAlign w:val="center"/>
          </w:tcPr>
          <w:p w14:paraId="77CC7542" w14:textId="77777777" w:rsidR="00B9766D" w:rsidRPr="00B9766D" w:rsidRDefault="00B9766D" w:rsidP="00D83F18">
            <w:pPr>
              <w:ind w:left="43"/>
              <w:rPr>
                <w:rFonts w:ascii="Calibri" w:hAnsi="Calibri" w:cs="Calibri"/>
              </w:rPr>
            </w:pPr>
            <w:r w:rsidRPr="00B9766D">
              <w:rPr>
                <w:rFonts w:ascii="Calibri" w:hAnsi="Calibri" w:cs="Calibri"/>
                <w:b/>
                <w:bCs/>
              </w:rPr>
              <w:t>1 dosis;</w:t>
            </w:r>
            <w:r w:rsidRPr="00B9766D">
              <w:rPr>
                <w:rFonts w:ascii="Calibri" w:hAnsi="Calibri" w:cs="Calibri"/>
              </w:rPr>
              <w:t xml:space="preserve"> y antecedentes de serie primaria de DTaP o vacunación de recuperación adecuada a la edad; puede considerarse la vacuna Tdap administrada a ≥7 años, pero se recomienda una dosis a los 11 o 12 años si la vacuna Tdap se administró antes como parte de un calendario de recuperación; debe administrarse la vacuna Td o Tdap si han pasado ≥10 años desde la administración de la vacuna Tdap</w:t>
            </w:r>
          </w:p>
        </w:tc>
      </w:tr>
      <w:tr w:rsidR="00B9766D" w:rsidRPr="00B9766D" w14:paraId="7ACAD03E" w14:textId="77777777" w:rsidTr="00D83F18">
        <w:trPr>
          <w:trHeight w:hRule="exact" w:val="720"/>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258A0302" w14:textId="77777777" w:rsidR="00B9766D" w:rsidRPr="00B9766D" w:rsidRDefault="00B9766D" w:rsidP="00D83F18">
            <w:pPr>
              <w:ind w:left="43"/>
              <w:rPr>
                <w:rFonts w:ascii="Calibri" w:hAnsi="Calibri" w:cs="Calibri"/>
              </w:rPr>
            </w:pPr>
            <w:r w:rsidRPr="00B9766D">
              <w:rPr>
                <w:rFonts w:ascii="Calibri" w:hAnsi="Calibri" w:cs="Calibri"/>
              </w:rPr>
              <w:t>Hepatitis B</w:t>
            </w:r>
          </w:p>
        </w:tc>
        <w:tc>
          <w:tcPr>
            <w:tcW w:w="4214" w:type="pct"/>
            <w:tcBorders>
              <w:top w:val="single" w:sz="5" w:space="0" w:color="000000"/>
              <w:left w:val="single" w:sz="5" w:space="0" w:color="000000"/>
              <w:bottom w:val="single" w:sz="5" w:space="0" w:color="000000"/>
              <w:right w:val="single" w:sz="5" w:space="0" w:color="000000"/>
            </w:tcBorders>
            <w:vAlign w:val="center"/>
          </w:tcPr>
          <w:p w14:paraId="3AA22DFB" w14:textId="77777777" w:rsidR="00B9766D" w:rsidRPr="00B9766D" w:rsidRDefault="00B9766D" w:rsidP="00D83F18">
            <w:pPr>
              <w:ind w:left="43"/>
              <w:rPr>
                <w:rFonts w:ascii="Calibri" w:hAnsi="Calibri" w:cs="Calibri"/>
              </w:rPr>
            </w:pPr>
            <w:r w:rsidRPr="00B9766D">
              <w:rPr>
                <w:rFonts w:ascii="Calibri" w:hAnsi="Calibri" w:cs="Calibri"/>
                <w:b/>
                <w:bCs/>
              </w:rPr>
              <w:t>3 dosis;</w:t>
            </w:r>
            <w:r w:rsidRPr="00B9766D">
              <w:rPr>
                <w:rFonts w:ascii="Calibri" w:hAnsi="Calibri" w:cs="Calibri"/>
              </w:rPr>
              <w:t xml:space="preserve"> se aceptan pruebas de laboratorio de inmunidad; se aceptan 2 dosis de la vacuna Heplisav-B administrada a los 18 años o después</w:t>
            </w:r>
          </w:p>
        </w:tc>
      </w:tr>
      <w:tr w:rsidR="00B9766D" w:rsidRPr="00B9766D" w14:paraId="7581CC31" w14:textId="77777777" w:rsidTr="00D83F18">
        <w:trPr>
          <w:trHeight w:val="118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51A3E776" w14:textId="77777777" w:rsidR="00B9766D" w:rsidRPr="00B9766D" w:rsidRDefault="00B9766D" w:rsidP="00D83F18">
            <w:pPr>
              <w:ind w:left="43"/>
              <w:rPr>
                <w:rFonts w:ascii="Calibri" w:hAnsi="Calibri" w:cs="Calibri"/>
              </w:rPr>
            </w:pPr>
            <w:r w:rsidRPr="00B9766D">
              <w:rPr>
                <w:rFonts w:ascii="Calibri" w:hAnsi="Calibri" w:cs="Calibri"/>
              </w:rPr>
              <w:t>Sarampión, rubéola y parotiditis (MMR)</w:t>
            </w:r>
          </w:p>
        </w:tc>
        <w:tc>
          <w:tcPr>
            <w:tcW w:w="4214" w:type="pct"/>
            <w:tcBorders>
              <w:top w:val="single" w:sz="5" w:space="0" w:color="000000"/>
              <w:left w:val="single" w:sz="5" w:space="0" w:color="000000"/>
              <w:bottom w:val="single" w:sz="5" w:space="0" w:color="000000"/>
              <w:right w:val="single" w:sz="5" w:space="0" w:color="000000"/>
            </w:tcBorders>
            <w:vAlign w:val="center"/>
          </w:tcPr>
          <w:p w14:paraId="17F38D56" w14:textId="77777777" w:rsidR="00B9766D" w:rsidRPr="00B9766D" w:rsidRDefault="00B9766D" w:rsidP="00D83F18">
            <w:pPr>
              <w:ind w:left="43"/>
              <w:rPr>
                <w:rFonts w:ascii="Calibri" w:hAnsi="Calibri" w:cs="Calibri"/>
              </w:rPr>
            </w:pPr>
            <w:r w:rsidRPr="00B9766D">
              <w:rPr>
                <w:rFonts w:ascii="Calibri" w:hAnsi="Calibri" w:cs="Calibri"/>
                <w:b/>
                <w:bCs/>
              </w:rPr>
              <w:t>2 dosis;</w:t>
            </w:r>
            <w:r w:rsidRPr="00B9766D">
              <w:rPr>
                <w:rFonts w:ascii="Calibri" w:hAnsi="Calibri" w:cs="Calibri"/>
              </w:rPr>
              <w:t xml:space="preserve"> la primera dosis debe administrarse al cumplir 1 año o después y la segunda dosis debe administrarse ≥28 días después de la primera; se aceptan pruebas de laboratorio de inmunidad; </w:t>
            </w:r>
            <w:r w:rsidRPr="00B9766D">
              <w:rPr>
                <w:rFonts w:ascii="Calibri" w:hAnsi="Calibri" w:cs="Calibri"/>
              </w:rPr>
              <w:br/>
              <w:t>se acepta el nacimiento en EE. UU. antes de 1957 solo en el caso de las personas que no hayan estudiado ciencias de la salud</w:t>
            </w:r>
          </w:p>
        </w:tc>
      </w:tr>
      <w:tr w:rsidR="00B9766D" w:rsidRPr="00B9766D" w14:paraId="45A63089" w14:textId="77777777" w:rsidTr="00D83F18">
        <w:trPr>
          <w:trHeight w:val="1182"/>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0F837D99" w14:textId="77777777" w:rsidR="00B9766D" w:rsidRPr="00B9766D" w:rsidRDefault="00B9766D" w:rsidP="00D83F18">
            <w:pPr>
              <w:ind w:left="43"/>
              <w:rPr>
                <w:rFonts w:ascii="Calibri" w:hAnsi="Calibri" w:cs="Calibri"/>
              </w:rPr>
            </w:pPr>
            <w:r w:rsidRPr="00B9766D">
              <w:rPr>
                <w:rFonts w:ascii="Calibri" w:hAnsi="Calibri" w:cs="Calibri"/>
              </w:rPr>
              <w:t>Varicela</w:t>
            </w:r>
          </w:p>
        </w:tc>
        <w:tc>
          <w:tcPr>
            <w:tcW w:w="4214" w:type="pct"/>
            <w:tcBorders>
              <w:top w:val="single" w:sz="5" w:space="0" w:color="000000"/>
              <w:left w:val="single" w:sz="5" w:space="0" w:color="000000"/>
              <w:bottom w:val="single" w:sz="5" w:space="0" w:color="000000"/>
              <w:right w:val="single" w:sz="5" w:space="0" w:color="000000"/>
            </w:tcBorders>
            <w:vAlign w:val="center"/>
          </w:tcPr>
          <w:p w14:paraId="42760B8E" w14:textId="77777777" w:rsidR="00B9766D" w:rsidRPr="00B9766D" w:rsidRDefault="00B9766D" w:rsidP="00D83F18">
            <w:pPr>
              <w:ind w:left="43"/>
              <w:rPr>
                <w:rFonts w:ascii="Calibri" w:hAnsi="Calibri" w:cs="Calibri"/>
              </w:rPr>
            </w:pPr>
            <w:r w:rsidRPr="00B9766D">
              <w:rPr>
                <w:rFonts w:ascii="Calibri" w:hAnsi="Calibri" w:cs="Calibri"/>
                <w:b/>
                <w:bCs/>
              </w:rPr>
              <w:t>2 dosis;</w:t>
            </w:r>
            <w:r w:rsidRPr="00B9766D">
              <w:rPr>
                <w:rFonts w:ascii="Calibri" w:hAnsi="Calibri" w:cs="Calibri"/>
              </w:rPr>
              <w:t xml:space="preserve"> la primera dosis debe administrarse al cumplir 1 año o después y la segunda dosis debe administrarse ≥28 días después de la primera; se aceptan antecedentes fiables de varicela* o pruebas de laboratorio de inmunidad; se acepta el nacimiento en EE. UU. antes de 1980 solo </w:t>
            </w:r>
            <w:r w:rsidRPr="00B9766D">
              <w:rPr>
                <w:rFonts w:ascii="Calibri" w:hAnsi="Calibri" w:cs="Calibri"/>
              </w:rPr>
              <w:br/>
              <w:t>en el caso de las personas que no hayan estudiado ciencias de la salud</w:t>
            </w:r>
          </w:p>
        </w:tc>
      </w:tr>
      <w:tr w:rsidR="00B9766D" w:rsidRPr="00B9766D" w14:paraId="16AF6154" w14:textId="77777777" w:rsidTr="00D83F18">
        <w:trPr>
          <w:trHeight w:val="1993"/>
        </w:trPr>
        <w:tc>
          <w:tcPr>
            <w:tcW w:w="786"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3A0CB78" w14:textId="77777777" w:rsidR="00B9766D" w:rsidRPr="00B9766D" w:rsidRDefault="00B9766D" w:rsidP="00D83F18">
            <w:pPr>
              <w:ind w:left="43"/>
              <w:rPr>
                <w:rFonts w:ascii="Calibri" w:hAnsi="Calibri" w:cs="Calibri"/>
                <w:spacing w:val="-1"/>
              </w:rPr>
            </w:pPr>
            <w:r w:rsidRPr="00B9766D">
              <w:rPr>
                <w:rFonts w:ascii="Calibri" w:hAnsi="Calibri" w:cs="Calibri"/>
                <w:spacing w:val="-1"/>
              </w:rPr>
              <w:t>Enfermedad meningocócica</w:t>
            </w:r>
          </w:p>
        </w:tc>
        <w:tc>
          <w:tcPr>
            <w:tcW w:w="4214" w:type="pct"/>
            <w:tcBorders>
              <w:top w:val="single" w:sz="5" w:space="0" w:color="000000"/>
              <w:left w:val="single" w:sz="5" w:space="0" w:color="000000"/>
              <w:bottom w:val="single" w:sz="5" w:space="0" w:color="000000"/>
              <w:right w:val="single" w:sz="5" w:space="0" w:color="000000"/>
            </w:tcBorders>
            <w:vAlign w:val="center"/>
          </w:tcPr>
          <w:p w14:paraId="1AAA69F3" w14:textId="77777777" w:rsidR="00B9766D" w:rsidRPr="00B9766D" w:rsidRDefault="00B9766D" w:rsidP="00D83F18">
            <w:pPr>
              <w:ind w:left="43"/>
              <w:rPr>
                <w:rFonts w:ascii="Calibri" w:hAnsi="Calibri" w:cs="Calibri"/>
                <w:b/>
                <w:bCs/>
              </w:rPr>
            </w:pPr>
            <w:r w:rsidRPr="00B9766D">
              <w:rPr>
                <w:rFonts w:ascii="Calibri" w:hAnsi="Calibri" w:cs="Calibri"/>
                <w:b/>
                <w:bCs/>
              </w:rPr>
              <w:t>1 dosis;</w:t>
            </w:r>
            <w:r w:rsidRPr="00B9766D">
              <w:rPr>
                <w:rFonts w:ascii="Calibri" w:hAnsi="Calibri" w:cs="Calibri"/>
                <w:b/>
                <w:bCs/>
                <w:spacing w:val="2"/>
              </w:rPr>
              <w:t xml:space="preserve"> </w:t>
            </w:r>
            <w:r w:rsidRPr="00B9766D">
              <w:rPr>
                <w:rFonts w:ascii="Calibri" w:hAnsi="Calibri" w:cs="Calibri"/>
                <w:spacing w:val="2"/>
              </w:rPr>
              <w:t xml:space="preserve">se requiere </w:t>
            </w:r>
            <w:r w:rsidRPr="00B9766D">
              <w:rPr>
                <w:rFonts w:ascii="Calibri" w:hAnsi="Calibri" w:cs="Calibri"/>
              </w:rPr>
              <w:t xml:space="preserve">1 dosis de la vacuna </w:t>
            </w:r>
            <w:r w:rsidRPr="00B9766D">
              <w:rPr>
                <w:rFonts w:ascii="Calibri" w:hAnsi="Calibri" w:cs="Calibri"/>
                <w:spacing w:val="-1"/>
              </w:rPr>
              <w:t>MenACWY</w:t>
            </w:r>
            <w:r w:rsidRPr="00B9766D">
              <w:rPr>
                <w:rFonts w:ascii="Calibri" w:hAnsi="Calibri" w:cs="Calibri"/>
                <w:spacing w:val="-3"/>
              </w:rPr>
              <w:t xml:space="preserve"> </w:t>
            </w:r>
            <w:r w:rsidRPr="00B9766D">
              <w:rPr>
                <w:rFonts w:ascii="Calibri" w:hAnsi="Calibri" w:cs="Calibri"/>
                <w:spacing w:val="-1"/>
              </w:rPr>
              <w:t>(</w:t>
            </w:r>
            <w:r w:rsidRPr="00B9766D">
              <w:rPr>
                <w:rFonts w:ascii="Calibri" w:hAnsi="Calibri" w:cs="Calibri"/>
              </w:rPr>
              <w:t xml:space="preserve">antes denominada </w:t>
            </w:r>
            <w:r w:rsidRPr="00B9766D">
              <w:rPr>
                <w:rFonts w:ascii="Calibri" w:hAnsi="Calibri" w:cs="Calibri"/>
                <w:spacing w:val="-1"/>
              </w:rPr>
              <w:t>MCV4)</w:t>
            </w:r>
            <w:r w:rsidRPr="00B9766D">
              <w:rPr>
                <w:rFonts w:ascii="Calibri" w:hAnsi="Calibri" w:cs="Calibri"/>
                <w:spacing w:val="-3"/>
              </w:rPr>
              <w:t xml:space="preserve"> </w:t>
            </w:r>
            <w:r w:rsidRPr="00B9766D">
              <w:rPr>
                <w:rFonts w:ascii="Calibri" w:hAnsi="Calibri" w:cs="Calibri"/>
              </w:rPr>
              <w:t>para todos los estudiantes a tiempo completo de 21 años de edad o menos</w:t>
            </w:r>
            <w:r w:rsidRPr="00B9766D">
              <w:rPr>
                <w:rFonts w:ascii="Calibri" w:hAnsi="Calibri" w:cs="Calibri"/>
                <w:spacing w:val="-1"/>
              </w:rPr>
              <w:t xml:space="preserve">; el estudiante debe haber recibido </w:t>
            </w:r>
            <w:r w:rsidRPr="00B9766D">
              <w:rPr>
                <w:rFonts w:ascii="Calibri" w:hAnsi="Calibri" w:cs="Calibri"/>
                <w:spacing w:val="-1"/>
              </w:rPr>
              <w:br/>
              <w:t xml:space="preserve">la dosis de la vacuna MenACWY al cumplir los 16 años o después; las dosis recibidas a edades más tempranas no se tienen en cuenta para este requisito. Las vacunas antimeningocócicas conjugadas, MenACWY (antes denominada MCV4) y MenABCWY, cumplen este requisito; la vacuna antimeningocócica B monovalente (MenB) no es obligatoria y no cumple este requisito. </w:t>
            </w:r>
            <w:r w:rsidRPr="00B9766D">
              <w:rPr>
                <w:rFonts w:ascii="Calibri" w:hAnsi="Calibri" w:cs="Calibri"/>
              </w:rPr>
              <w:t xml:space="preserve">Los estudiantes pueden rechazar la vacuna </w:t>
            </w:r>
            <w:r w:rsidRPr="00B9766D">
              <w:rPr>
                <w:rFonts w:ascii="Calibri" w:hAnsi="Calibri" w:cs="Calibri"/>
                <w:spacing w:val="-1"/>
              </w:rPr>
              <w:t>MenACWY</w:t>
            </w:r>
            <w:r w:rsidRPr="00B9766D">
              <w:rPr>
                <w:rFonts w:ascii="Calibri" w:hAnsi="Calibri" w:cs="Calibri"/>
                <w:spacing w:val="-5"/>
              </w:rPr>
              <w:t xml:space="preserve"> </w:t>
            </w:r>
            <w:r w:rsidRPr="00B9766D">
              <w:rPr>
                <w:rFonts w:ascii="Calibri" w:hAnsi="Calibri" w:cs="Calibri"/>
                <w:spacing w:val="-1"/>
              </w:rPr>
              <w:t xml:space="preserve">después de haber leído y firmado el </w:t>
            </w:r>
            <w:hyperlink r:id="rId12">
              <w:r w:rsidRPr="00B9766D">
                <w:rPr>
                  <w:rFonts w:ascii="Calibri" w:hAnsi="Calibri" w:cs="Calibri"/>
                  <w:spacing w:val="-4"/>
                  <w:u w:val="single" w:color="0000FF"/>
                </w:rPr>
                <w:t>Formulario</w:t>
              </w:r>
              <w:r w:rsidRPr="00B9766D">
                <w:rPr>
                  <w:rFonts w:ascii="Calibri" w:hAnsi="Calibri" w:cs="Calibri"/>
                  <w:spacing w:val="-4"/>
                  <w:u w:val="single" w:color="0000FF"/>
                </w:rPr>
                <w:br/>
                <w:t>de información y exención de la vacuna antimeningocócica del MDPH</w:t>
              </w:r>
              <w:r w:rsidRPr="00B9766D">
                <w:rPr>
                  <w:rFonts w:ascii="Calibri" w:hAnsi="Calibri" w:cs="Calibri"/>
                  <w:spacing w:val="-3"/>
                  <w:u w:color="0000FF"/>
                </w:rPr>
                <w:t xml:space="preserve"> </w:t>
              </w:r>
            </w:hyperlink>
            <w:r w:rsidRPr="00B9766D">
              <w:rPr>
                <w:rFonts w:ascii="Calibri" w:hAnsi="Calibri" w:cs="Calibri"/>
              </w:rPr>
              <w:t>proporcionado por su institución</w:t>
            </w:r>
          </w:p>
        </w:tc>
      </w:tr>
    </w:tbl>
    <w:p w14:paraId="61358305" w14:textId="77777777" w:rsidR="00B9766D" w:rsidRPr="00B9766D" w:rsidRDefault="00B9766D" w:rsidP="00B9766D">
      <w:pPr>
        <w:rPr>
          <w:rFonts w:ascii="Calibri" w:hAnsi="Calibri" w:cs="Calibri"/>
          <w:b/>
          <w:bCs/>
          <w:sz w:val="18"/>
          <w:szCs w:val="18"/>
        </w:rPr>
      </w:pPr>
    </w:p>
    <w:p w14:paraId="5CF036CC" w14:textId="77777777" w:rsidR="00B9766D" w:rsidRPr="00B9766D" w:rsidRDefault="00B9766D" w:rsidP="00B9766D">
      <w:pPr>
        <w:rPr>
          <w:rFonts w:ascii="Calibri" w:hAnsi="Calibri" w:cs="Calibri"/>
          <w:sz w:val="18"/>
          <w:szCs w:val="18"/>
        </w:rPr>
      </w:pPr>
      <w:r w:rsidRPr="00B9766D">
        <w:rPr>
          <w:rFonts w:ascii="Calibri" w:hAnsi="Calibri" w:cs="Calibri"/>
          <w:b/>
          <w:sz w:val="18"/>
        </w:rPr>
        <w:t>§</w:t>
      </w:r>
      <w:r w:rsidRPr="00B9766D">
        <w:rPr>
          <w:rFonts w:ascii="Calibri" w:hAnsi="Calibri" w:cs="Calibri"/>
          <w:sz w:val="18"/>
        </w:rPr>
        <w:t xml:space="preserve"> Dirija las preguntas sobre cumplimiento a su asesor jurídico. Los requisitos escolares se aplican a nivel local.</w:t>
      </w:r>
    </w:p>
    <w:p w14:paraId="0673241A" w14:textId="77777777" w:rsidR="00B9766D" w:rsidRPr="00B9766D" w:rsidRDefault="00B9766D" w:rsidP="00B9766D">
      <w:pPr>
        <w:rPr>
          <w:rFonts w:ascii="Calibri" w:hAnsi="Calibri" w:cs="Calibri"/>
          <w:sz w:val="18"/>
          <w:szCs w:val="18"/>
        </w:rPr>
      </w:pPr>
      <w:r w:rsidRPr="00B9766D">
        <w:rPr>
          <w:rFonts w:ascii="Calibri" w:hAnsi="Calibri" w:cs="Calibri"/>
          <w:b/>
          <w:sz w:val="18"/>
        </w:rPr>
        <w:t>**</w:t>
      </w:r>
      <w:r w:rsidRPr="00B9766D">
        <w:rPr>
          <w:rFonts w:ascii="Calibri" w:hAnsi="Calibri" w:cs="Calibri"/>
          <w:sz w:val="18"/>
        </w:rPr>
        <w:t xml:space="preserve"> Los requisitos de vacunación se aplican a todos los estudiantes que asistan a cualquier clase o actividad en el campus, aunque sea una sola vez. Si todas las clases y actividades se realizan a distancia y el alumno nunca va a estar en persona en el campus, los requisitos no se aplicarían. En caso de que un estudiante regrese físicamente al campus, deberá cumplir con este requisito.</w:t>
      </w:r>
    </w:p>
    <w:p w14:paraId="0A3CB3D1" w14:textId="77777777" w:rsidR="00B9766D" w:rsidRPr="00B9766D" w:rsidRDefault="00B9766D" w:rsidP="00B9766D">
      <w:pPr>
        <w:rPr>
          <w:rFonts w:ascii="Calibri" w:hAnsi="Calibri" w:cs="Calibri"/>
          <w:spacing w:val="-1"/>
          <w:sz w:val="18"/>
          <w:szCs w:val="18"/>
        </w:rPr>
      </w:pPr>
      <w:r w:rsidRPr="00B9766D">
        <w:rPr>
          <w:rFonts w:ascii="Calibri" w:hAnsi="Calibri" w:cs="Calibri"/>
          <w:b/>
          <w:sz w:val="18"/>
        </w:rPr>
        <w:t xml:space="preserve">† </w:t>
      </w:r>
      <w:r w:rsidRPr="00B9766D">
        <w:rPr>
          <w:rFonts w:ascii="Calibri" w:hAnsi="Calibri" w:cs="Calibri"/>
          <w:sz w:val="18"/>
        </w:rPr>
        <w:t>Las exenciones médicas (informe de un médico en el que se indique que una vacuna está contraindicada desde el punto de vista médico para un alumno) deben renovarse anualmente al comienzo del año escolar y las exenciones religiosas (informe de un alumno o padre/madre/tutor, si el alumno es menor de 18 años, en el que se indique que una vacuna va en contra de creencias religiosas sinceramente sostenidas) deben renovarse anualmente al comienzo del año escolar.</w:t>
      </w:r>
    </w:p>
    <w:p w14:paraId="4841F030" w14:textId="55CB1F82" w:rsidR="00CA3D4C" w:rsidRPr="00B9766D" w:rsidRDefault="00B9766D" w:rsidP="00B9766D">
      <w:pPr>
        <w:rPr>
          <w:rFonts w:ascii="Calibri" w:hAnsi="Calibri" w:cs="Calibri"/>
        </w:rPr>
      </w:pPr>
      <w:r w:rsidRPr="00B9766D">
        <w:rPr>
          <w:rFonts w:ascii="Calibri" w:hAnsi="Calibri" w:cs="Calibri"/>
          <w:sz w:val="18"/>
        </w:rPr>
        <w:t>* Los antecedentes fiables de varicela incluyen un diagnóstico de varicela o la interpretación de una descripción de varicela realizada por los padres/tutores por parte de un médico, un enfermero practicante, un auxiliar médico o una persona designada</w:t>
      </w:r>
    </w:p>
    <w:sectPr w:rsidR="00CA3D4C" w:rsidRPr="00B9766D" w:rsidSect="00B9766D">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5C2B" w14:textId="77777777" w:rsidR="00BD6D49" w:rsidRDefault="00BD6D49" w:rsidP="00B9766D">
      <w:r>
        <w:separator/>
      </w:r>
    </w:p>
  </w:endnote>
  <w:endnote w:type="continuationSeparator" w:id="0">
    <w:p w14:paraId="3E306B81" w14:textId="77777777" w:rsidR="00BD6D49" w:rsidRDefault="00BD6D49" w:rsidP="00B9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o UI">
    <w:altName w:val="Leelawadee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EE3" w14:textId="77777777" w:rsidR="00D07F82" w:rsidRDefault="00D07F82" w:rsidP="00B9766D">
    <w:pPr>
      <w:pStyle w:val="Footer"/>
      <w:jc w:val="right"/>
      <w:rPr>
        <w:sz w:val="20"/>
        <w:lang w:val="pt-BR"/>
      </w:rPr>
    </w:pPr>
  </w:p>
  <w:p w14:paraId="7A083960" w14:textId="3809C88A" w:rsidR="00B9766D" w:rsidRPr="00B9766D" w:rsidRDefault="00B9766D" w:rsidP="00B9766D">
    <w:pPr>
      <w:pStyle w:val="Footer"/>
      <w:jc w:val="right"/>
      <w:rPr>
        <w:sz w:val="20"/>
        <w:szCs w:val="16"/>
        <w:lang w:val="pt-BR"/>
      </w:rPr>
    </w:pPr>
    <w:r w:rsidRPr="00B9766D">
      <w:rPr>
        <w:sz w:val="20"/>
        <w:lang w:val="pt-BR"/>
      </w:rPr>
      <w:t>Departamento de Salud Pública de Massachusetts – División de Inmunización – Actualización de marzo de 202</w:t>
    </w:r>
    <w:r>
      <w:rPr>
        <w:sz w:val="20"/>
        <w:lang w:val="pt-B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0C78" w14:textId="77777777" w:rsidR="00BD6D49" w:rsidRDefault="00BD6D49" w:rsidP="00B9766D">
      <w:r>
        <w:separator/>
      </w:r>
    </w:p>
  </w:footnote>
  <w:footnote w:type="continuationSeparator" w:id="0">
    <w:p w14:paraId="5C304A4E" w14:textId="77777777" w:rsidR="00BD6D49" w:rsidRDefault="00BD6D49" w:rsidP="00B9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B615" w14:textId="5B9B5F8B" w:rsidR="00B9766D" w:rsidRDefault="00B9766D" w:rsidP="00D07F82">
    <w:pPr>
      <w:spacing w:line="400" w:lineRule="exact"/>
      <w:ind w:left="20"/>
      <w:jc w:val="center"/>
      <w:rPr>
        <w:rFonts w:ascii="Calibri" w:hAnsi="Calibri"/>
        <w:sz w:val="36"/>
        <w:vertAlign w:val="superscript"/>
        <w:lang w:val="pt-BR"/>
      </w:rPr>
    </w:pPr>
    <w:r w:rsidRPr="00B9766D">
      <w:rPr>
        <w:rFonts w:ascii="Lao UI"/>
        <w:sz w:val="36"/>
        <w:lang w:val="pt-BR"/>
      </w:rPr>
      <w:t>Requisitos de vacunaci</w:t>
    </w:r>
    <w:r w:rsidRPr="00B9766D">
      <w:rPr>
        <w:rFonts w:ascii="Lao UI" w:hAnsi="Lao UI" w:cs="Lao UI"/>
        <w:sz w:val="36"/>
        <w:lang w:val="pt-BR"/>
      </w:rPr>
      <w:t>ó</w:t>
    </w:r>
    <w:r w:rsidRPr="00B9766D">
      <w:rPr>
        <w:rFonts w:ascii="Lao UI"/>
        <w:sz w:val="36"/>
        <w:lang w:val="pt-BR"/>
      </w:rPr>
      <w:t>n escolar de Massachusetts 202</w:t>
    </w:r>
    <w:r>
      <w:rPr>
        <w:rFonts w:ascii="Lao UI"/>
        <w:sz w:val="36"/>
        <w:lang w:val="pt-BR"/>
      </w:rPr>
      <w:t>5</w:t>
    </w:r>
    <w:r w:rsidRPr="00B9766D">
      <w:rPr>
        <w:rFonts w:ascii="Lao UI"/>
        <w:sz w:val="36"/>
        <w:lang w:val="pt-BR"/>
      </w:rPr>
      <w:t>–</w:t>
    </w:r>
    <w:r w:rsidRPr="00B9766D">
      <w:rPr>
        <w:rFonts w:ascii="Lao UI"/>
        <w:sz w:val="36"/>
        <w:lang w:val="pt-BR"/>
      </w:rPr>
      <w:t>202</w:t>
    </w:r>
    <w:r>
      <w:rPr>
        <w:rFonts w:ascii="Lao UI"/>
        <w:sz w:val="36"/>
        <w:lang w:val="pt-BR"/>
      </w:rPr>
      <w:t>6</w:t>
    </w:r>
    <w:r w:rsidRPr="00B9766D">
      <w:rPr>
        <w:rFonts w:ascii="Calibri" w:hAnsi="Calibri"/>
        <w:sz w:val="36"/>
        <w:vertAlign w:val="superscript"/>
        <w:lang w:val="pt-BR"/>
      </w:rPr>
      <w:t>§</w:t>
    </w:r>
  </w:p>
  <w:p w14:paraId="6B1B01C9" w14:textId="77777777" w:rsidR="00B9766D" w:rsidRPr="00B9766D" w:rsidRDefault="00B9766D" w:rsidP="00B9766D">
    <w:pPr>
      <w:spacing w:line="400" w:lineRule="exact"/>
      <w:ind w:left="20"/>
      <w:rPr>
        <w:sz w:val="20"/>
        <w:szCs w:val="20"/>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gQ+m3Nfi8yAkg90p7+LQ3YL9hu4QakBrn+99+drOBjCP7cGxnoOvO9pPCCw9vPdwiOhILBdZW8t1Ridl37pwYg==" w:salt="QuaGUah+ZYg/xdOjVgp+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6D"/>
    <w:rsid w:val="00014311"/>
    <w:rsid w:val="00657B4F"/>
    <w:rsid w:val="00711444"/>
    <w:rsid w:val="00734A66"/>
    <w:rsid w:val="008F2B87"/>
    <w:rsid w:val="00B9766D"/>
    <w:rsid w:val="00BD6D49"/>
    <w:rsid w:val="00C372FE"/>
    <w:rsid w:val="00CA3D4C"/>
    <w:rsid w:val="00D07F82"/>
    <w:rsid w:val="00E01FFA"/>
    <w:rsid w:val="00E03AE1"/>
    <w:rsid w:val="00F4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71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766D"/>
    <w:pPr>
      <w:widowControl w:val="0"/>
      <w:spacing w:after="0" w:line="240" w:lineRule="auto"/>
    </w:pPr>
    <w:rPr>
      <w:kern w:val="0"/>
      <w:sz w:val="22"/>
      <w:szCs w:val="22"/>
      <w:lang w:val="es-419"/>
      <w14:ligatures w14:val="none"/>
    </w:rPr>
  </w:style>
  <w:style w:type="paragraph" w:styleId="Heading1">
    <w:name w:val="heading 1"/>
    <w:basedOn w:val="Normal"/>
    <w:next w:val="Normal"/>
    <w:link w:val="Heading1Char"/>
    <w:uiPriority w:val="9"/>
    <w:qFormat/>
    <w:rsid w:val="00B9766D"/>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9766D"/>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9766D"/>
    <w:pPr>
      <w:keepNext/>
      <w:keepLines/>
      <w:widowControl/>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9766D"/>
    <w:pPr>
      <w:keepNext/>
      <w:keepLines/>
      <w:widowControl/>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9766D"/>
    <w:pPr>
      <w:keepNext/>
      <w:keepLines/>
      <w:widowControl/>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9766D"/>
    <w:pPr>
      <w:keepNext/>
      <w:keepLines/>
      <w:widowControl/>
      <w:spacing w:before="4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9766D"/>
    <w:pPr>
      <w:keepNext/>
      <w:keepLines/>
      <w:widowControl/>
      <w:spacing w:before="4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9766D"/>
    <w:pPr>
      <w:keepNext/>
      <w:keepLines/>
      <w:widowControl/>
      <w:spacing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9766D"/>
    <w:pPr>
      <w:keepNext/>
      <w:keepLines/>
      <w:widowControl/>
      <w:spacing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66D"/>
    <w:rPr>
      <w:rFonts w:eastAsiaTheme="majorEastAsia" w:cstheme="majorBidi"/>
      <w:color w:val="272727" w:themeColor="text1" w:themeTint="D8"/>
    </w:rPr>
  </w:style>
  <w:style w:type="paragraph" w:styleId="Title">
    <w:name w:val="Title"/>
    <w:basedOn w:val="Normal"/>
    <w:next w:val="Normal"/>
    <w:link w:val="TitleChar"/>
    <w:uiPriority w:val="10"/>
    <w:qFormat/>
    <w:rsid w:val="00B9766D"/>
    <w:pPr>
      <w:widowControl/>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97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66D"/>
    <w:pPr>
      <w:widowControl/>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97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66D"/>
    <w:pPr>
      <w:widowControl/>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9766D"/>
    <w:rPr>
      <w:i/>
      <w:iCs/>
      <w:color w:val="404040" w:themeColor="text1" w:themeTint="BF"/>
    </w:rPr>
  </w:style>
  <w:style w:type="paragraph" w:styleId="ListParagraph">
    <w:name w:val="List Paragraph"/>
    <w:basedOn w:val="Normal"/>
    <w:uiPriority w:val="34"/>
    <w:qFormat/>
    <w:rsid w:val="00B9766D"/>
    <w:pPr>
      <w:widowControl/>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B9766D"/>
    <w:rPr>
      <w:i/>
      <w:iCs/>
      <w:color w:val="0F4761" w:themeColor="accent1" w:themeShade="BF"/>
    </w:rPr>
  </w:style>
  <w:style w:type="paragraph" w:styleId="IntenseQuote">
    <w:name w:val="Intense Quote"/>
    <w:basedOn w:val="Normal"/>
    <w:next w:val="Normal"/>
    <w:link w:val="IntenseQuoteChar"/>
    <w:uiPriority w:val="30"/>
    <w:qFormat/>
    <w:rsid w:val="00B9766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9766D"/>
    <w:rPr>
      <w:i/>
      <w:iCs/>
      <w:color w:val="0F4761" w:themeColor="accent1" w:themeShade="BF"/>
    </w:rPr>
  </w:style>
  <w:style w:type="character" w:styleId="IntenseReference">
    <w:name w:val="Intense Reference"/>
    <w:basedOn w:val="DefaultParagraphFont"/>
    <w:uiPriority w:val="32"/>
    <w:qFormat/>
    <w:rsid w:val="00B9766D"/>
    <w:rPr>
      <w:b/>
      <w:bCs/>
      <w:smallCaps/>
      <w:color w:val="0F4761" w:themeColor="accent1" w:themeShade="BF"/>
      <w:spacing w:val="5"/>
    </w:rPr>
  </w:style>
  <w:style w:type="paragraph" w:styleId="Header">
    <w:name w:val="header"/>
    <w:basedOn w:val="Normal"/>
    <w:link w:val="HeaderChar"/>
    <w:uiPriority w:val="99"/>
    <w:unhideWhenUsed/>
    <w:rsid w:val="00B9766D"/>
    <w:pPr>
      <w:widowControl/>
      <w:tabs>
        <w:tab w:val="center" w:pos="4680"/>
        <w:tab w:val="right" w:pos="9360"/>
      </w:tabs>
    </w:pPr>
    <w:rPr>
      <w:kern w:val="2"/>
      <w:sz w:val="24"/>
      <w:szCs w:val="24"/>
      <w:lang w:val="en-US"/>
      <w14:ligatures w14:val="standardContextual"/>
    </w:rPr>
  </w:style>
  <w:style w:type="character" w:customStyle="1" w:styleId="HeaderChar">
    <w:name w:val="Header Char"/>
    <w:basedOn w:val="DefaultParagraphFont"/>
    <w:link w:val="Header"/>
    <w:uiPriority w:val="99"/>
    <w:rsid w:val="00B9766D"/>
  </w:style>
  <w:style w:type="paragraph" w:styleId="Footer">
    <w:name w:val="footer"/>
    <w:basedOn w:val="Normal"/>
    <w:link w:val="FooterChar"/>
    <w:unhideWhenUsed/>
    <w:rsid w:val="00B9766D"/>
    <w:pPr>
      <w:widowControl/>
      <w:tabs>
        <w:tab w:val="center" w:pos="4680"/>
        <w:tab w:val="right" w:pos="9360"/>
      </w:tabs>
    </w:pPr>
    <w:rPr>
      <w:kern w:val="2"/>
      <w:sz w:val="24"/>
      <w:szCs w:val="24"/>
      <w:lang w:val="en-US"/>
      <w14:ligatures w14:val="standardContextual"/>
    </w:rPr>
  </w:style>
  <w:style w:type="character" w:customStyle="1" w:styleId="FooterChar">
    <w:name w:val="Footer Char"/>
    <w:basedOn w:val="DefaultParagraphFont"/>
    <w:link w:val="Footer"/>
    <w:rsid w:val="00B9766D"/>
  </w:style>
  <w:style w:type="character" w:styleId="Hyperlink">
    <w:name w:val="Hyperlink"/>
    <w:basedOn w:val="DefaultParagraphFont"/>
    <w:uiPriority w:val="99"/>
    <w:unhideWhenUsed/>
    <w:rsid w:val="00B97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cip/vaccine-recommendations/index.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ss.gov/regulations/105-CMR-22000-immunization-of-students-before-admission-to-school" TargetMode="External"/><Relationship Id="rId12" Type="http://schemas.openxmlformats.org/officeDocument/2006/relationships/hyperlink" Target="https://www.mass.gov/doc/information-about-meningococcal-disease-meningococcal-vaccines-vaccination-requirements-and-th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ss.gov/regulations/105-CMR-22000-immunization-of-students-before-admission-to-school" TargetMode="External"/><Relationship Id="rId11" Type="http://schemas.openxmlformats.org/officeDocument/2006/relationships/hyperlink" Target="https://www.cdc.gov/acip/vaccine-recommendations/index.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dc.gov/acip/vaccine-recommendations/index.html" TargetMode="External"/><Relationship Id="rId4" Type="http://schemas.openxmlformats.org/officeDocument/2006/relationships/footnotes" Target="footnotes.xml"/><Relationship Id="rId9" Type="http://schemas.openxmlformats.org/officeDocument/2006/relationships/hyperlink" Target="https://www.cdc.gov/vaccines/hcp/imz-schedules/child-adolescent-ag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10951</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2025-06-11T15:56:00Z</dcterms:created>
  <dcterms:modified xsi:type="dcterms:W3CDTF">2025-09-03T19:11:00Z</dcterms:modified>
</cp:coreProperties>
</file>