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20F07" w14:textId="77777777" w:rsidR="00682179" w:rsidRDefault="00DF0800" w:rsidP="00FE68EC">
      <w:pPr>
        <w:jc w:val="center"/>
        <w:rPr>
          <w:rFonts w:cstheme="minorHAnsi"/>
          <w:b/>
          <w:bCs/>
          <w:color w:val="002060"/>
          <w:sz w:val="28"/>
          <w:szCs w:val="28"/>
        </w:rPr>
      </w:pPr>
      <w:bookmarkStart w:id="0" w:name="_GoBack"/>
      <w:bookmarkEnd w:id="0"/>
      <w:r>
        <w:rPr>
          <w:rFonts w:cstheme="minorHAnsi"/>
          <w:b/>
          <w:bCs/>
          <w:color w:val="002060"/>
          <w:sz w:val="28"/>
          <w:szCs w:val="28"/>
        </w:rPr>
        <w:softHyphen/>
      </w:r>
    </w:p>
    <w:p w14:paraId="5CCAEF63" w14:textId="77777777" w:rsidR="00CC4334" w:rsidRDefault="00CC4334" w:rsidP="00CC4334">
      <w:pPr>
        <w:jc w:val="center"/>
        <w:rPr>
          <w:rFonts w:cstheme="minorHAnsi"/>
          <w:b/>
          <w:bCs/>
          <w:color w:val="000000" w:themeColor="text1"/>
          <w:sz w:val="48"/>
          <w:szCs w:val="48"/>
        </w:rPr>
      </w:pPr>
      <w:r w:rsidRPr="00682179">
        <w:rPr>
          <w:rFonts w:cstheme="minorHAnsi"/>
          <w:b/>
          <w:bCs/>
          <w:color w:val="000000" w:themeColor="text1"/>
          <w:sz w:val="48"/>
          <w:szCs w:val="48"/>
        </w:rPr>
        <w:t>RESEARCH</w:t>
      </w:r>
    </w:p>
    <w:p w14:paraId="704EA1AC" w14:textId="77777777" w:rsidR="00CC4334" w:rsidRDefault="00CC4334" w:rsidP="00CC4334">
      <w:pPr>
        <w:spacing w:after="0"/>
        <w:jc w:val="center"/>
        <w:rPr>
          <w:b/>
          <w:bCs/>
          <w:color w:val="000000" w:themeColor="text1"/>
          <w:sz w:val="32"/>
          <w:szCs w:val="32"/>
        </w:rPr>
      </w:pPr>
      <w:r>
        <w:rPr>
          <w:b/>
          <w:bCs/>
          <w:color w:val="000000" w:themeColor="text1"/>
          <w:sz w:val="32"/>
          <w:szCs w:val="32"/>
        </w:rPr>
        <w:t xml:space="preserve">Alzheimer’s State Plan Recommendations from the Research </w:t>
      </w:r>
    </w:p>
    <w:p w14:paraId="139D353B" w14:textId="77777777" w:rsidR="00CC4334" w:rsidRDefault="00CC4334" w:rsidP="00CC4334">
      <w:pPr>
        <w:spacing w:after="0"/>
        <w:jc w:val="center"/>
        <w:rPr>
          <w:b/>
          <w:bCs/>
          <w:color w:val="000000" w:themeColor="text1"/>
          <w:sz w:val="32"/>
          <w:szCs w:val="32"/>
        </w:rPr>
      </w:pPr>
      <w:r>
        <w:rPr>
          <w:b/>
          <w:bCs/>
          <w:color w:val="000000" w:themeColor="text1"/>
          <w:sz w:val="32"/>
          <w:szCs w:val="32"/>
        </w:rPr>
        <w:t>Workgroup for the Alzheimer’s Advisory Council’s Review/Comments/Approval</w:t>
      </w:r>
    </w:p>
    <w:p w14:paraId="110FC1B9" w14:textId="77777777" w:rsidR="00CC4334" w:rsidRDefault="00CC4334" w:rsidP="00CC4334">
      <w:pPr>
        <w:spacing w:after="0"/>
        <w:jc w:val="center"/>
        <w:rPr>
          <w:b/>
          <w:bCs/>
          <w:color w:val="000000" w:themeColor="text1"/>
          <w:sz w:val="32"/>
          <w:szCs w:val="32"/>
        </w:rPr>
      </w:pPr>
    </w:p>
    <w:p w14:paraId="24878CE8" w14:textId="77777777" w:rsidR="00CC4334" w:rsidRDefault="00CC4334" w:rsidP="00CC4334">
      <w:pPr>
        <w:spacing w:after="0"/>
        <w:ind w:hanging="900"/>
        <w:jc w:val="center"/>
        <w:rPr>
          <w:color w:val="000000" w:themeColor="text1"/>
          <w:sz w:val="28"/>
          <w:szCs w:val="28"/>
        </w:rPr>
      </w:pPr>
    </w:p>
    <w:p w14:paraId="2D721CBD" w14:textId="0C357EE3" w:rsidR="00CC4334" w:rsidRPr="00CC4334" w:rsidRDefault="00CC4334" w:rsidP="00CC4334">
      <w:pPr>
        <w:spacing w:after="0"/>
        <w:rPr>
          <w:rFonts w:cstheme="minorHAnsi"/>
          <w:sz w:val="24"/>
          <w:szCs w:val="24"/>
        </w:rPr>
      </w:pPr>
      <w:r w:rsidRPr="00CC4334">
        <w:rPr>
          <w:rFonts w:cstheme="minorHAnsi"/>
          <w:sz w:val="24"/>
          <w:szCs w:val="24"/>
        </w:rPr>
        <w:t>This document was prepared by the Research Workgroup of the Alzheimer’s Advisory Council.  A list of the workgroup’s members is included at the end of the document.</w:t>
      </w:r>
    </w:p>
    <w:p w14:paraId="3031DCB6" w14:textId="77777777" w:rsidR="004A46D3" w:rsidRPr="001A2C69" w:rsidRDefault="004A46D3" w:rsidP="00CC4334">
      <w:pPr>
        <w:spacing w:after="0"/>
        <w:jc w:val="center"/>
        <w:rPr>
          <w:rFonts w:cstheme="minorHAnsi"/>
          <w:b/>
          <w:bCs/>
          <w:color w:val="002060"/>
          <w:sz w:val="24"/>
          <w:szCs w:val="24"/>
        </w:rPr>
      </w:pPr>
    </w:p>
    <w:p w14:paraId="6CCC7A9E" w14:textId="69128D58" w:rsidR="00D41EE6" w:rsidRPr="00C104EE" w:rsidRDefault="00D41EE6" w:rsidP="00CC4334">
      <w:pPr>
        <w:rPr>
          <w:rFonts w:cstheme="minorHAnsi"/>
          <w:b/>
          <w:bCs/>
          <w:sz w:val="24"/>
          <w:szCs w:val="24"/>
        </w:rPr>
      </w:pPr>
      <w:r w:rsidRPr="001A2C69">
        <w:rPr>
          <w:rFonts w:cstheme="minorHAnsi"/>
          <w:b/>
          <w:bCs/>
          <w:sz w:val="24"/>
          <w:szCs w:val="24"/>
        </w:rPr>
        <w:t>GOAL</w:t>
      </w:r>
      <w:r w:rsidR="00FE68EC" w:rsidRPr="001A2C69">
        <w:rPr>
          <w:rFonts w:cstheme="minorHAnsi"/>
          <w:b/>
          <w:bCs/>
          <w:sz w:val="24"/>
          <w:szCs w:val="24"/>
        </w:rPr>
        <w:t xml:space="preserve">: </w:t>
      </w:r>
      <w:r w:rsidRPr="0085025C">
        <w:rPr>
          <w:rFonts w:cstheme="minorHAnsi"/>
          <w:b/>
          <w:bCs/>
          <w:i/>
          <w:iCs/>
          <w:sz w:val="24"/>
          <w:szCs w:val="24"/>
        </w:rPr>
        <w:t xml:space="preserve">Advance dementia research </w:t>
      </w:r>
      <w:r w:rsidR="007449F1" w:rsidRPr="0085025C">
        <w:rPr>
          <w:rFonts w:cstheme="minorHAnsi"/>
          <w:b/>
          <w:bCs/>
          <w:i/>
          <w:iCs/>
          <w:sz w:val="24"/>
          <w:szCs w:val="24"/>
        </w:rPr>
        <w:t>in</w:t>
      </w:r>
      <w:r w:rsidRPr="0085025C">
        <w:rPr>
          <w:rFonts w:cstheme="minorHAnsi"/>
          <w:b/>
          <w:bCs/>
          <w:i/>
          <w:iCs/>
          <w:sz w:val="24"/>
          <w:szCs w:val="24"/>
        </w:rPr>
        <w:t xml:space="preserve"> Massachusetts</w:t>
      </w:r>
      <w:r w:rsidR="004A46D3" w:rsidRPr="0085025C">
        <w:rPr>
          <w:rFonts w:cstheme="minorHAnsi"/>
          <w:b/>
          <w:bCs/>
          <w:i/>
          <w:iCs/>
          <w:sz w:val="24"/>
          <w:szCs w:val="24"/>
        </w:rPr>
        <w:t>.</w:t>
      </w:r>
    </w:p>
    <w:p w14:paraId="2B19ECF4" w14:textId="24E61D20" w:rsidR="00FE68EC" w:rsidRDefault="00FE68EC">
      <w:pPr>
        <w:rPr>
          <w:rFonts w:cstheme="minorHAnsi"/>
          <w:b/>
          <w:bCs/>
          <w:sz w:val="24"/>
          <w:szCs w:val="24"/>
        </w:rPr>
      </w:pPr>
      <w:r w:rsidRPr="001A2C69">
        <w:rPr>
          <w:rFonts w:cstheme="minorHAnsi"/>
          <w:b/>
          <w:bCs/>
          <w:sz w:val="24"/>
          <w:szCs w:val="24"/>
        </w:rPr>
        <w:t>BACKGROUND</w:t>
      </w:r>
    </w:p>
    <w:p w14:paraId="2AF824F3" w14:textId="20B1B7B4" w:rsidR="004D72B5" w:rsidRPr="004F3727" w:rsidRDefault="00C274BF">
      <w:pPr>
        <w:rPr>
          <w:rFonts w:cstheme="minorHAnsi"/>
          <w:sz w:val="24"/>
          <w:szCs w:val="24"/>
        </w:rPr>
      </w:pPr>
      <w:r w:rsidRPr="004F3727">
        <w:rPr>
          <w:rFonts w:cstheme="minorHAnsi"/>
          <w:sz w:val="24"/>
          <w:szCs w:val="24"/>
        </w:rPr>
        <w:tab/>
      </w:r>
      <w:r w:rsidR="001579AC">
        <w:rPr>
          <w:rFonts w:cstheme="minorHAnsi"/>
          <w:sz w:val="24"/>
          <w:szCs w:val="24"/>
        </w:rPr>
        <w:t>With nearly six</w:t>
      </w:r>
      <w:r w:rsidR="001579AC" w:rsidRPr="001579AC">
        <w:rPr>
          <w:rFonts w:cstheme="minorHAnsi"/>
          <w:sz w:val="24"/>
          <w:szCs w:val="24"/>
        </w:rPr>
        <w:t xml:space="preserve"> million people in the United States living with Alzheimer’s disease (AD), a number projected to double by 2050</w:t>
      </w:r>
      <w:r w:rsidR="001579AC">
        <w:rPr>
          <w:rFonts w:cstheme="minorHAnsi"/>
          <w:sz w:val="24"/>
          <w:szCs w:val="24"/>
        </w:rPr>
        <w:t xml:space="preserve"> </w:t>
      </w:r>
      <w:r w:rsidR="001579AC">
        <w:rPr>
          <w:rFonts w:cstheme="minorHAnsi"/>
          <w:sz w:val="24"/>
          <w:szCs w:val="24"/>
        </w:rPr>
        <w:fldChar w:fldCharType="begin" w:fldLock="1"/>
      </w:r>
      <w:r w:rsidR="001579AC">
        <w:rPr>
          <w:rFonts w:cstheme="minorHAnsi"/>
          <w:sz w:val="24"/>
          <w:szCs w:val="24"/>
        </w:rPr>
        <w:instrText>ADDIN CSL_CITATION {"citationItems":[{"id":"ITEM-1","itemData":{"DOI":"10.1016/j.jalz.2017.02.001","ISSN":"15525279","abstract":"This article describes the public health impact of Alzheimer's disease (AD), including incidence and prevalence, mortality rates, costs of care, and the overall impact on caregivers and society. The Special Report examines how the use of biomarkers may influence the AD diagnostic process and estimates of prevalence and incidence of the disease. An estimated 5.5 million Americans have Alzheimer's dementia. By mid-century, the number of people living with Alzheimer's dementia in the United States is projected to grow to 13.8 million, fueled in large part by the aging baby boom generation. Today, someone in the country develops Alzheimer's dementia every 66 seconds. By 2050, one new case of Alzheimer's dementia is expected to develop every 33 seconds, resulting in nearly 1 million new cases per year. In 2014, official death certificates recorded 93,541 deaths from AD, making AD the sixth leading cause of death in the United States and the fifth leading cause of death in Americans age ≥65 years. Between 2000 and 2014, deaths resulting from stroke, heart disease, and prostate cancer decreased 21%, 14%, and 9%, respectively, whereas deaths from AD increased 89%. The actual number of deaths to which AD contributes is likely much larger than the number of deaths from AD recorded on death certificates. In 2017, an estimated 700,000 Americans age ≥65 years will have AD when they die, and many of them will die because of the complications caused by AD. In 2016, more than 15 million family members and other unpaid caregivers provided an estimated 18.2 billion hours of care to people with Alzheimer's or other dementias. This care is valued at more than $230 billion. Average per-person Medicare payments for services to beneficiaries age ≥65 years with Alzheimer's or other dementias are more than three times as great as payments for beneficiaries without these conditions, and Medicaid payments are more than 23 times as great. Total payments in 2017 for health care, long-term care, and hospice services for people age ≥65 years with dementia are estimated to be $259 billion. In recent years, efforts to develop and validate AD biomarkers, including those detectable with brain imaging and in the blood and cerebrospinal fluid, have intensified. Such efforts could transform the practice of diagnosing AD from one that focuses on cognitive and functional symptoms to one that incorporates biomarkers. This new approach could promote diagnosis at an earlier stage of disease and …","author":[{"dropping-particle":"","family":"Alzheimer's Association","given":"","non-dropping-particle":"","parse-names":false,"suffix":""}],"container-title":"Alzheimer's and Dementia","id":"ITEM-1","issue":"3","issued":{"date-parts":[["2020"]]},"page":"391","title":"2020 Alzheimer's disease facts and figures","type":"article-journal","volume":"16"},"uris":["http://www.mendeley.com/documents/?uuid=af157094-6a0b-3939-927c-c1fdb75996b5"]}],"mendeley":{"formattedCitation":"(Alzheimer’s Association, 2020)","plainTextFormattedCitation":"(Alzheimer’s Association, 2020)"},"properties":{"noteIndex":0},"schema":"https://github.com/citation-style-language/schema/raw/master/csl-citation.json"}</w:instrText>
      </w:r>
      <w:r w:rsidR="001579AC">
        <w:rPr>
          <w:rFonts w:cstheme="minorHAnsi"/>
          <w:sz w:val="24"/>
          <w:szCs w:val="24"/>
        </w:rPr>
        <w:fldChar w:fldCharType="separate"/>
      </w:r>
      <w:r w:rsidR="001579AC" w:rsidRPr="001579AC">
        <w:rPr>
          <w:rFonts w:cstheme="minorHAnsi"/>
          <w:noProof/>
          <w:sz w:val="24"/>
          <w:szCs w:val="24"/>
        </w:rPr>
        <w:t>(Alzheimer’s Association, 2020)</w:t>
      </w:r>
      <w:r w:rsidR="001579AC">
        <w:rPr>
          <w:rFonts w:cstheme="minorHAnsi"/>
          <w:sz w:val="24"/>
          <w:szCs w:val="24"/>
        </w:rPr>
        <w:fldChar w:fldCharType="end"/>
      </w:r>
      <w:r w:rsidR="001579AC">
        <w:rPr>
          <w:rFonts w:cstheme="minorHAnsi"/>
          <w:sz w:val="24"/>
          <w:szCs w:val="24"/>
        </w:rPr>
        <w:t>, the pressing need for research to answer critical questions related to the prevention and treatment of the disease continues to grow.</w:t>
      </w:r>
      <w:r w:rsidR="001579AC" w:rsidRPr="001579AC">
        <w:rPr>
          <w:rFonts w:cstheme="minorHAnsi"/>
          <w:sz w:val="24"/>
          <w:szCs w:val="24"/>
        </w:rPr>
        <w:t xml:space="preserve"> </w:t>
      </w:r>
      <w:r w:rsidR="001579AC">
        <w:rPr>
          <w:rFonts w:cstheme="minorHAnsi"/>
          <w:sz w:val="24"/>
          <w:szCs w:val="24"/>
        </w:rPr>
        <w:t xml:space="preserve">That this research should </w:t>
      </w:r>
      <w:r w:rsidR="008300CF">
        <w:rPr>
          <w:rFonts w:cstheme="minorHAnsi"/>
          <w:sz w:val="24"/>
          <w:szCs w:val="24"/>
        </w:rPr>
        <w:t>be representative</w:t>
      </w:r>
      <w:r w:rsidR="001579AC">
        <w:rPr>
          <w:rFonts w:cstheme="minorHAnsi"/>
          <w:sz w:val="24"/>
          <w:szCs w:val="24"/>
        </w:rPr>
        <w:t xml:space="preserve"> is central to the success of these efforts</w:t>
      </w:r>
      <w:r w:rsidR="008300CF">
        <w:rPr>
          <w:rFonts w:cstheme="minorHAnsi"/>
          <w:sz w:val="24"/>
          <w:szCs w:val="24"/>
        </w:rPr>
        <w:t>, ensuring that the knowledge gained is generalizable</w:t>
      </w:r>
      <w:r w:rsidR="009D3C4F">
        <w:rPr>
          <w:rFonts w:cstheme="minorHAnsi"/>
          <w:sz w:val="24"/>
          <w:szCs w:val="24"/>
        </w:rPr>
        <w:t xml:space="preserve"> to all those affected with the illness</w:t>
      </w:r>
      <w:r w:rsidR="008300CF">
        <w:rPr>
          <w:rFonts w:cstheme="minorHAnsi"/>
          <w:sz w:val="24"/>
          <w:szCs w:val="24"/>
        </w:rPr>
        <w:t xml:space="preserve">. However, </w:t>
      </w:r>
      <w:r w:rsidR="009D3C4F">
        <w:rPr>
          <w:rFonts w:cstheme="minorHAnsi"/>
          <w:sz w:val="24"/>
          <w:szCs w:val="24"/>
        </w:rPr>
        <w:t>much of AD research involves mostly White individuals of higher socioeconomic status at the earlier stages of the illness.</w:t>
      </w:r>
      <w:r w:rsidR="001D6E4F">
        <w:rPr>
          <w:rFonts w:cstheme="minorHAnsi"/>
          <w:sz w:val="24"/>
          <w:szCs w:val="24"/>
        </w:rPr>
        <w:t xml:space="preserve"> Increasing diversity of study populations, as well as approaches to studying the illness, will help address this representation gap. </w:t>
      </w:r>
      <w:r w:rsidR="001A06BD">
        <w:rPr>
          <w:rFonts w:cstheme="minorHAnsi"/>
          <w:sz w:val="24"/>
          <w:szCs w:val="24"/>
        </w:rPr>
        <w:t xml:space="preserve">Increasing the diversity of AD researchers will </w:t>
      </w:r>
      <w:r w:rsidR="003A64B0">
        <w:rPr>
          <w:rFonts w:cstheme="minorHAnsi"/>
          <w:sz w:val="24"/>
          <w:szCs w:val="24"/>
        </w:rPr>
        <w:t xml:space="preserve">also be necessary in this effort, as diverse perspectives and approaches often lead to innovation and discovery. Barriers to the participation of these populations in AD research are many; however, </w:t>
      </w:r>
      <w:r w:rsidR="001A06BD">
        <w:rPr>
          <w:rFonts w:cstheme="minorHAnsi"/>
          <w:sz w:val="24"/>
          <w:szCs w:val="24"/>
        </w:rPr>
        <w:t>increased outreach and increased institutional support</w:t>
      </w:r>
      <w:r w:rsidR="003A64B0">
        <w:rPr>
          <w:rFonts w:cstheme="minorHAnsi"/>
          <w:sz w:val="24"/>
          <w:szCs w:val="24"/>
        </w:rPr>
        <w:t xml:space="preserve"> will be key means of</w:t>
      </w:r>
      <w:r w:rsidR="00316A49">
        <w:rPr>
          <w:rFonts w:cstheme="minorHAnsi"/>
          <w:sz w:val="24"/>
          <w:szCs w:val="24"/>
        </w:rPr>
        <w:t xml:space="preserve"> increasing participation, ensuring dementia research that is innovative, inclusive, and equitable.</w:t>
      </w:r>
      <w:r w:rsidR="003A64B0">
        <w:rPr>
          <w:rFonts w:cstheme="minorHAnsi"/>
          <w:sz w:val="24"/>
          <w:szCs w:val="24"/>
        </w:rPr>
        <w:t xml:space="preserve">  </w:t>
      </w:r>
    </w:p>
    <w:p w14:paraId="7E87AD2B" w14:textId="77777777" w:rsidR="00CC4334" w:rsidRDefault="00CC4334">
      <w:pPr>
        <w:rPr>
          <w:rFonts w:cstheme="minorHAnsi"/>
          <w:b/>
          <w:bCs/>
          <w:sz w:val="24"/>
          <w:szCs w:val="24"/>
        </w:rPr>
      </w:pPr>
      <w:r>
        <w:rPr>
          <w:rFonts w:cstheme="minorHAnsi"/>
          <w:b/>
          <w:bCs/>
          <w:sz w:val="24"/>
          <w:szCs w:val="24"/>
        </w:rPr>
        <w:br w:type="page"/>
      </w:r>
    </w:p>
    <w:p w14:paraId="5E8F54C4" w14:textId="7B5171CD" w:rsidR="004D72B5" w:rsidRDefault="004D72B5">
      <w:pPr>
        <w:rPr>
          <w:rFonts w:cstheme="minorHAnsi"/>
          <w:b/>
          <w:bCs/>
          <w:sz w:val="24"/>
          <w:szCs w:val="24"/>
        </w:rPr>
      </w:pPr>
      <w:r>
        <w:rPr>
          <w:rFonts w:cstheme="minorHAnsi"/>
          <w:b/>
          <w:bCs/>
          <w:sz w:val="24"/>
          <w:szCs w:val="24"/>
        </w:rPr>
        <w:lastRenderedPageBreak/>
        <w:t>RECOMMENDATIONS</w:t>
      </w:r>
    </w:p>
    <w:p w14:paraId="7D77A0E0" w14:textId="2B272C6B" w:rsidR="00F947E2" w:rsidRPr="001A2C69" w:rsidRDefault="00E9273F" w:rsidP="007449F1">
      <w:pPr>
        <w:ind w:firstLine="720"/>
        <w:rPr>
          <w:rFonts w:cstheme="minorHAnsi"/>
          <w:sz w:val="24"/>
          <w:szCs w:val="24"/>
        </w:rPr>
      </w:pPr>
      <w:r w:rsidRPr="001A2C69">
        <w:rPr>
          <w:rFonts w:cstheme="minorHAnsi"/>
          <w:b/>
          <w:bCs/>
          <w:sz w:val="24"/>
          <w:szCs w:val="24"/>
        </w:rPr>
        <w:t>Recommendation #1:</w:t>
      </w:r>
      <w:r w:rsidRPr="0085025C">
        <w:rPr>
          <w:rFonts w:cstheme="minorHAnsi"/>
          <w:b/>
          <w:bCs/>
          <w:sz w:val="24"/>
          <w:szCs w:val="24"/>
        </w:rPr>
        <w:t xml:space="preserve"> </w:t>
      </w:r>
      <w:r w:rsidR="00F947E2" w:rsidRPr="0085025C">
        <w:rPr>
          <w:rFonts w:cstheme="minorHAnsi"/>
          <w:b/>
          <w:bCs/>
          <w:i/>
          <w:iCs/>
          <w:sz w:val="24"/>
          <w:szCs w:val="24"/>
        </w:rPr>
        <w:t>Increase diversity in</w:t>
      </w:r>
      <w:r w:rsidR="00DA7D47" w:rsidRPr="0085025C">
        <w:rPr>
          <w:rFonts w:cstheme="minorHAnsi"/>
          <w:b/>
          <w:bCs/>
          <w:i/>
          <w:iCs/>
          <w:sz w:val="24"/>
          <w:szCs w:val="24"/>
        </w:rPr>
        <w:t xml:space="preserve"> </w:t>
      </w:r>
      <w:r w:rsidRPr="0085025C">
        <w:rPr>
          <w:rFonts w:cstheme="minorHAnsi"/>
          <w:b/>
          <w:bCs/>
          <w:i/>
          <w:iCs/>
          <w:sz w:val="24"/>
          <w:szCs w:val="24"/>
        </w:rPr>
        <w:t xml:space="preserve">Alzheimer’s </w:t>
      </w:r>
      <w:r w:rsidR="00EF255D">
        <w:rPr>
          <w:rFonts w:cstheme="minorHAnsi"/>
          <w:b/>
          <w:bCs/>
          <w:i/>
          <w:iCs/>
          <w:sz w:val="24"/>
          <w:szCs w:val="24"/>
        </w:rPr>
        <w:t>d</w:t>
      </w:r>
      <w:r w:rsidRPr="0085025C">
        <w:rPr>
          <w:rFonts w:cstheme="minorHAnsi"/>
          <w:b/>
          <w:bCs/>
          <w:i/>
          <w:iCs/>
          <w:sz w:val="24"/>
          <w:szCs w:val="24"/>
        </w:rPr>
        <w:t>isease</w:t>
      </w:r>
      <w:r w:rsidR="00DA7D47" w:rsidRPr="0085025C">
        <w:rPr>
          <w:rFonts w:cstheme="minorHAnsi"/>
          <w:b/>
          <w:bCs/>
          <w:i/>
          <w:iCs/>
          <w:sz w:val="24"/>
          <w:szCs w:val="24"/>
        </w:rPr>
        <w:t xml:space="preserve"> research</w:t>
      </w:r>
      <w:r w:rsidRPr="0085025C">
        <w:rPr>
          <w:rFonts w:cstheme="minorHAnsi"/>
          <w:b/>
          <w:bCs/>
          <w:i/>
          <w:iCs/>
          <w:sz w:val="24"/>
          <w:szCs w:val="24"/>
        </w:rPr>
        <w:t>.</w:t>
      </w:r>
    </w:p>
    <w:p w14:paraId="70BF9D87" w14:textId="556286BF" w:rsidR="00E9273F" w:rsidRPr="001A2C69" w:rsidRDefault="00E9273F" w:rsidP="007449F1">
      <w:pPr>
        <w:ind w:firstLine="720"/>
        <w:rPr>
          <w:rFonts w:cstheme="minorHAnsi"/>
          <w:sz w:val="24"/>
          <w:szCs w:val="24"/>
        </w:rPr>
      </w:pPr>
      <w:r w:rsidRPr="001A2C69">
        <w:rPr>
          <w:rFonts w:cstheme="minorHAnsi"/>
          <w:sz w:val="24"/>
          <w:szCs w:val="24"/>
        </w:rPr>
        <w:t xml:space="preserve">The first recommendation of the Alzheimer’s Advisory Council is to </w:t>
      </w:r>
      <w:r w:rsidR="002C1B7B">
        <w:rPr>
          <w:rFonts w:cstheme="minorHAnsi"/>
          <w:sz w:val="24"/>
          <w:szCs w:val="24"/>
        </w:rPr>
        <w:t>improve</w:t>
      </w:r>
      <w:r w:rsidR="002C1B7B" w:rsidRPr="001A2C69">
        <w:rPr>
          <w:rFonts w:cstheme="minorHAnsi"/>
          <w:sz w:val="24"/>
          <w:szCs w:val="24"/>
        </w:rPr>
        <w:t xml:space="preserve"> </w:t>
      </w:r>
      <w:r w:rsidRPr="001A2C69">
        <w:rPr>
          <w:rFonts w:cstheme="minorHAnsi"/>
          <w:sz w:val="24"/>
          <w:szCs w:val="24"/>
        </w:rPr>
        <w:t xml:space="preserve">understanding of </w:t>
      </w:r>
      <w:r w:rsidR="00BB675B">
        <w:rPr>
          <w:rFonts w:cstheme="minorHAnsi"/>
          <w:sz w:val="24"/>
          <w:szCs w:val="24"/>
        </w:rPr>
        <w:t>Alzheimer’s</w:t>
      </w:r>
      <w:r w:rsidR="00BB675B" w:rsidRPr="001A2C69">
        <w:rPr>
          <w:rFonts w:cstheme="minorHAnsi"/>
          <w:sz w:val="24"/>
          <w:szCs w:val="24"/>
        </w:rPr>
        <w:t xml:space="preserve"> </w:t>
      </w:r>
      <w:r w:rsidRPr="001A2C69">
        <w:rPr>
          <w:rFonts w:cstheme="minorHAnsi"/>
          <w:sz w:val="24"/>
          <w:szCs w:val="24"/>
        </w:rPr>
        <w:t xml:space="preserve">disease </w:t>
      </w:r>
      <w:r w:rsidR="00EC1E62">
        <w:rPr>
          <w:rFonts w:cstheme="minorHAnsi"/>
          <w:sz w:val="24"/>
          <w:szCs w:val="24"/>
        </w:rPr>
        <w:t xml:space="preserve">and related dementias </w:t>
      </w:r>
      <w:r w:rsidR="00BF3337">
        <w:rPr>
          <w:rFonts w:cstheme="minorHAnsi"/>
          <w:sz w:val="24"/>
          <w:szCs w:val="24"/>
        </w:rPr>
        <w:t xml:space="preserve">(ADRD) </w:t>
      </w:r>
      <w:r w:rsidRPr="001A2C69">
        <w:rPr>
          <w:rFonts w:cstheme="minorHAnsi"/>
          <w:sz w:val="24"/>
          <w:szCs w:val="24"/>
        </w:rPr>
        <w:t xml:space="preserve">through increased </w:t>
      </w:r>
      <w:r w:rsidR="00EC1E62">
        <w:rPr>
          <w:rFonts w:cstheme="minorHAnsi"/>
          <w:sz w:val="24"/>
          <w:szCs w:val="24"/>
        </w:rPr>
        <w:t xml:space="preserve">diversity </w:t>
      </w:r>
      <w:r w:rsidRPr="001A2C69">
        <w:rPr>
          <w:rFonts w:cstheme="minorHAnsi"/>
          <w:sz w:val="24"/>
          <w:szCs w:val="24"/>
        </w:rPr>
        <w:t>of research participants</w:t>
      </w:r>
      <w:r w:rsidR="00EC1E62">
        <w:rPr>
          <w:rFonts w:cstheme="minorHAnsi"/>
          <w:sz w:val="24"/>
          <w:szCs w:val="24"/>
        </w:rPr>
        <w:t>,</w:t>
      </w:r>
      <w:r w:rsidRPr="001A2C69">
        <w:rPr>
          <w:rFonts w:cstheme="minorHAnsi"/>
          <w:sz w:val="24"/>
          <w:szCs w:val="24"/>
        </w:rPr>
        <w:t xml:space="preserve"> </w:t>
      </w:r>
      <w:r w:rsidR="003000F6">
        <w:rPr>
          <w:rFonts w:cstheme="minorHAnsi"/>
          <w:sz w:val="24"/>
          <w:szCs w:val="24"/>
        </w:rPr>
        <w:t xml:space="preserve">target populations, as well as </w:t>
      </w:r>
      <w:r w:rsidR="00EC1E62">
        <w:rPr>
          <w:rFonts w:cstheme="minorHAnsi"/>
          <w:sz w:val="24"/>
          <w:szCs w:val="24"/>
        </w:rPr>
        <w:t>relevant</w:t>
      </w:r>
      <w:r w:rsidRPr="001A2C69">
        <w:rPr>
          <w:rFonts w:cstheme="minorHAnsi"/>
          <w:sz w:val="24"/>
          <w:szCs w:val="24"/>
        </w:rPr>
        <w:t xml:space="preserve"> research topics, </w:t>
      </w:r>
      <w:r w:rsidR="003000F6">
        <w:rPr>
          <w:rFonts w:cstheme="minorHAnsi"/>
          <w:sz w:val="24"/>
          <w:szCs w:val="24"/>
        </w:rPr>
        <w:t>environments, and</w:t>
      </w:r>
      <w:r w:rsidR="00DA085E">
        <w:rPr>
          <w:rFonts w:cstheme="minorHAnsi"/>
          <w:sz w:val="24"/>
          <w:szCs w:val="24"/>
        </w:rPr>
        <w:t xml:space="preserve"> methods</w:t>
      </w:r>
      <w:r w:rsidR="000540F6" w:rsidRPr="001A2C69">
        <w:rPr>
          <w:rFonts w:cstheme="minorHAnsi"/>
          <w:sz w:val="24"/>
          <w:szCs w:val="24"/>
        </w:rPr>
        <w:t>.</w:t>
      </w:r>
      <w:r w:rsidRPr="001A2C69">
        <w:rPr>
          <w:rFonts w:cstheme="minorHAnsi"/>
          <w:sz w:val="24"/>
          <w:szCs w:val="24"/>
        </w:rPr>
        <w:t xml:space="preserve"> </w:t>
      </w:r>
    </w:p>
    <w:p w14:paraId="15CC1A5B" w14:textId="07C54908" w:rsidR="003000F6" w:rsidRDefault="004D72B5" w:rsidP="003000F6">
      <w:pPr>
        <w:ind w:left="720"/>
        <w:rPr>
          <w:rFonts w:cstheme="minorHAnsi"/>
          <w:sz w:val="24"/>
          <w:szCs w:val="24"/>
        </w:rPr>
      </w:pPr>
      <w:r>
        <w:rPr>
          <w:rFonts w:cstheme="minorHAnsi"/>
          <w:b/>
          <w:bCs/>
          <w:sz w:val="24"/>
          <w:szCs w:val="24"/>
        </w:rPr>
        <w:t xml:space="preserve">Strategic Priority </w:t>
      </w:r>
      <w:r w:rsidR="00074D07">
        <w:rPr>
          <w:rFonts w:cstheme="minorHAnsi"/>
          <w:b/>
          <w:bCs/>
          <w:sz w:val="24"/>
          <w:szCs w:val="24"/>
        </w:rPr>
        <w:t>1.</w:t>
      </w:r>
      <w:r w:rsidR="00DA7D47" w:rsidRPr="001A2C69">
        <w:rPr>
          <w:rFonts w:cstheme="minorHAnsi"/>
          <w:b/>
          <w:bCs/>
          <w:sz w:val="24"/>
          <w:szCs w:val="24"/>
        </w:rPr>
        <w:t xml:space="preserve">1: </w:t>
      </w:r>
      <w:r w:rsidR="003000F6">
        <w:rPr>
          <w:rFonts w:cstheme="minorHAnsi"/>
          <w:sz w:val="24"/>
          <w:szCs w:val="24"/>
        </w:rPr>
        <w:t>Increase racial and ethnic diversity of participants</w:t>
      </w:r>
      <w:r w:rsidR="00605911">
        <w:rPr>
          <w:rFonts w:cstheme="minorHAnsi"/>
          <w:sz w:val="24"/>
          <w:szCs w:val="24"/>
        </w:rPr>
        <w:t xml:space="preserve"> in AD</w:t>
      </w:r>
      <w:r w:rsidR="00BF3337">
        <w:rPr>
          <w:rFonts w:cstheme="minorHAnsi"/>
          <w:sz w:val="24"/>
          <w:szCs w:val="24"/>
        </w:rPr>
        <w:t>RD</w:t>
      </w:r>
      <w:r w:rsidR="00605911">
        <w:rPr>
          <w:rFonts w:cstheme="minorHAnsi"/>
          <w:sz w:val="24"/>
          <w:szCs w:val="24"/>
        </w:rPr>
        <w:t xml:space="preserve"> research</w:t>
      </w:r>
      <w:r w:rsidR="003000F6">
        <w:rPr>
          <w:rFonts w:cstheme="minorHAnsi"/>
          <w:sz w:val="24"/>
          <w:szCs w:val="24"/>
        </w:rPr>
        <w:t>.</w:t>
      </w:r>
      <w:r w:rsidR="003000F6" w:rsidRPr="001A2C69">
        <w:rPr>
          <w:rFonts w:cstheme="minorHAnsi"/>
          <w:sz w:val="24"/>
          <w:szCs w:val="24"/>
        </w:rPr>
        <w:t xml:space="preserve"> </w:t>
      </w:r>
    </w:p>
    <w:p w14:paraId="6A3228EF" w14:textId="2D651D25" w:rsidR="00DA7D47" w:rsidRDefault="0093424A" w:rsidP="007449F1">
      <w:pPr>
        <w:ind w:firstLine="720"/>
        <w:rPr>
          <w:rFonts w:cstheme="minorHAnsi"/>
          <w:sz w:val="24"/>
          <w:szCs w:val="24"/>
        </w:rPr>
      </w:pPr>
      <w:r>
        <w:rPr>
          <w:rFonts w:cstheme="minorHAnsi"/>
          <w:sz w:val="24"/>
          <w:szCs w:val="24"/>
        </w:rPr>
        <w:t xml:space="preserve">If we are to develop diagnostic tools and treatments that will work for everyone, we need to </w:t>
      </w:r>
      <w:r w:rsidR="00A40429">
        <w:rPr>
          <w:rFonts w:cstheme="minorHAnsi"/>
          <w:sz w:val="24"/>
          <w:szCs w:val="24"/>
        </w:rPr>
        <w:t xml:space="preserve">ensure </w:t>
      </w:r>
      <w:r>
        <w:rPr>
          <w:rFonts w:cstheme="minorHAnsi"/>
          <w:sz w:val="24"/>
          <w:szCs w:val="24"/>
        </w:rPr>
        <w:t xml:space="preserve">that diverse groups participate in the trials </w:t>
      </w:r>
      <w:r w:rsidR="008E299F">
        <w:rPr>
          <w:rFonts w:cstheme="minorHAnsi"/>
          <w:sz w:val="24"/>
          <w:szCs w:val="24"/>
        </w:rPr>
        <w:t>that</w:t>
      </w:r>
      <w:r>
        <w:rPr>
          <w:rFonts w:cstheme="minorHAnsi"/>
          <w:sz w:val="24"/>
          <w:szCs w:val="24"/>
        </w:rPr>
        <w:t xml:space="preserve"> evaluate the</w:t>
      </w:r>
      <w:r w:rsidR="008E299F">
        <w:rPr>
          <w:rFonts w:cstheme="minorHAnsi"/>
          <w:sz w:val="24"/>
          <w:szCs w:val="24"/>
        </w:rPr>
        <w:t>ir</w:t>
      </w:r>
      <w:r>
        <w:rPr>
          <w:rFonts w:cstheme="minorHAnsi"/>
          <w:sz w:val="24"/>
          <w:szCs w:val="24"/>
        </w:rPr>
        <w:t xml:space="preserve"> efficacy. </w:t>
      </w:r>
      <w:r w:rsidR="00076645">
        <w:rPr>
          <w:rFonts w:cstheme="minorHAnsi"/>
          <w:sz w:val="24"/>
          <w:szCs w:val="24"/>
        </w:rPr>
        <w:t xml:space="preserve">Despite efforts </w:t>
      </w:r>
      <w:r w:rsidR="0080439A">
        <w:rPr>
          <w:rFonts w:cstheme="minorHAnsi"/>
          <w:sz w:val="24"/>
          <w:szCs w:val="24"/>
        </w:rPr>
        <w:t>to increase r</w:t>
      </w:r>
      <w:r w:rsidR="00605911">
        <w:rPr>
          <w:rFonts w:cstheme="minorHAnsi"/>
          <w:sz w:val="24"/>
          <w:szCs w:val="24"/>
        </w:rPr>
        <w:t xml:space="preserve">acial and ethnic minority groups </w:t>
      </w:r>
      <w:r w:rsidR="0080439A">
        <w:rPr>
          <w:rFonts w:cstheme="minorHAnsi"/>
          <w:sz w:val="24"/>
          <w:szCs w:val="24"/>
        </w:rPr>
        <w:t>participation in</w:t>
      </w:r>
      <w:r w:rsidR="00605911">
        <w:rPr>
          <w:rFonts w:cstheme="minorHAnsi"/>
          <w:sz w:val="24"/>
          <w:szCs w:val="24"/>
        </w:rPr>
        <w:t xml:space="preserve"> AD</w:t>
      </w:r>
      <w:r w:rsidR="00BF3337">
        <w:rPr>
          <w:rFonts w:cstheme="minorHAnsi"/>
          <w:sz w:val="24"/>
          <w:szCs w:val="24"/>
        </w:rPr>
        <w:t>RD</w:t>
      </w:r>
      <w:r w:rsidR="00605911">
        <w:rPr>
          <w:rFonts w:cstheme="minorHAnsi"/>
          <w:sz w:val="24"/>
          <w:szCs w:val="24"/>
        </w:rPr>
        <w:t xml:space="preserve"> research</w:t>
      </w:r>
      <w:r w:rsidR="00076645">
        <w:rPr>
          <w:rFonts w:cstheme="minorHAnsi"/>
          <w:sz w:val="24"/>
          <w:szCs w:val="24"/>
        </w:rPr>
        <w:t>, target populations remain underrepresented</w:t>
      </w:r>
      <w:r w:rsidR="0080439A">
        <w:rPr>
          <w:rFonts w:cstheme="minorHAnsi"/>
          <w:sz w:val="24"/>
          <w:szCs w:val="24"/>
        </w:rPr>
        <w:t xml:space="preserve"> </w:t>
      </w:r>
      <w:r w:rsidR="0080439A">
        <w:rPr>
          <w:rFonts w:cstheme="minorHAnsi"/>
          <w:sz w:val="24"/>
          <w:szCs w:val="24"/>
        </w:rPr>
        <w:fldChar w:fldCharType="begin" w:fldLock="1"/>
      </w:r>
      <w:r w:rsidR="009D7CFA">
        <w:rPr>
          <w:rFonts w:cstheme="minorHAnsi"/>
          <w:sz w:val="24"/>
          <w:szCs w:val="24"/>
        </w:rPr>
        <w:instrText>ADDIN CSL_CITATION {"citationItems":[{"id":"ITEM-1","itemData":{"DOI":"10.1016/j.trci.2019.09.018","ISSN":"23528737","abstract":"Introduction: Alzheimer's disease and related dementias (ADRD) disproportionately impact racial and ethnic minority and socioeconomically disadvantaged adults. Yet, these populations are significantly underrepresented in research. Methods: We systematically reviewed the literature for published reports describing recruitment and retention of individuals from underrepresented backgrounds in ADRD research or underrepresented participants' perspectives regarding ADRD research participation. Relevant evidence was synthesized and evaluated for quality. Results: We identified 22 eligible studies. Seven studies focused on recruitment/retention approaches, all of which included multifaceted efforts and at least one community outreach component. There was considerable heterogeneity in approaches used, specific activities and strategies, outcome measurement, and conclusions regarding effectiveness. Despite limited use of prospective evaluation strategies, most authors reported improvements in diverse representation in ADRD cohorts. Studies evaluating participant views focused largely on predetermined explanations of participation including attitudes, barriers/facilitators, education, trust, and religiosity. Across all studies, the strength of evidence was low. Discussion: Overall, the quantity and quality of available evidence to inform best practices in recruitment, retention, and inclusion of underrepresented populations in ADRD research are low. Further efforts to systematically evaluate the success of existing and emergent approaches will require improved methodological standards and uniform measures for evaluating recruitment, participation, and inclusivity.","author":[{"dropping-particle":"","family":"Gilmore-Bykovskyi","given":"Andrea L","non-dropping-particle":"","parse-names":false,"suffix":""},{"dropping-particle":"","family":"Jin","given":"Yuanyuan","non-dropping-particle":"","parse-names":false,"suffix":""},{"dropping-particle":"","family":"Gleason","given":"Carey","non-dropping-particle":"","parse-names":false,"suffix":""},{"dropping-particle":"","family":"Flowers-Benton","given":"Susan","non-dropping-particle":"","parse-names":false,"suffix":""},{"dropping-particle":"","family":"Block","given":"Laura M","non-dropping-particle":"","parse-names":false,"suffix":""},{"dropping-particle":"","family":"Dilworth-Anderson","given":"Peggye","non-dropping-particle":"","parse-names":false,"suffix":""},{"dropping-particle":"","family":"Barnes","given":"Lisa L","non-dropping-particle":"","parse-names":false,"suffix":""},{"dropping-particle":"","family":"Shah","given":"Manish N","non-dropping-particle":"","parse-names":false,"suffix":""},{"dropping-particle":"","family":"Zuelsdorff","given":"Megan","non-dropping-particle":"","parse-names":false,"suffix":""}],"container-title":"Alzheimer's and Dementia: Translational Research and Clinical Interventions","id":"ITEM-1","issued":{"date-parts":[["2019"]]},"page":"751-770","title":"Recruitment and retention of underrepresented populations in Alzheimer's disease research: A systematic review","type":"article","volume":"5"},"uris":["http://www.mendeley.com/documents/?uuid=1c5c8180-fa16-3001-9284-2eb60b68fc8e"]}],"mendeley":{"formattedCitation":"(Gilmore-Bykovskyi et al., 2019)","plainTextFormattedCitation":"(Gilmore-Bykovskyi et al., 2019)","previouslyFormattedCitation":"(Gilmore-Bykovskyi et al., 2019)"},"properties":{"noteIndex":0},"schema":"https://github.com/citation-style-language/schema/raw/master/csl-citation.json"}</w:instrText>
      </w:r>
      <w:r w:rsidR="0080439A">
        <w:rPr>
          <w:rFonts w:cstheme="minorHAnsi"/>
          <w:sz w:val="24"/>
          <w:szCs w:val="24"/>
        </w:rPr>
        <w:fldChar w:fldCharType="separate"/>
      </w:r>
      <w:r w:rsidR="0080439A" w:rsidRPr="0080439A">
        <w:rPr>
          <w:rFonts w:cstheme="minorHAnsi"/>
          <w:noProof/>
          <w:sz w:val="24"/>
          <w:szCs w:val="24"/>
        </w:rPr>
        <w:t>(Gilmore-Bykovskyi et al., 2019)</w:t>
      </w:r>
      <w:r w:rsidR="0080439A">
        <w:rPr>
          <w:rFonts w:cstheme="minorHAnsi"/>
          <w:sz w:val="24"/>
          <w:szCs w:val="24"/>
        </w:rPr>
        <w:fldChar w:fldCharType="end"/>
      </w:r>
      <w:r w:rsidR="00605911">
        <w:rPr>
          <w:rFonts w:cstheme="minorHAnsi"/>
          <w:sz w:val="24"/>
          <w:szCs w:val="24"/>
        </w:rPr>
        <w:t xml:space="preserve">. </w:t>
      </w:r>
      <w:r w:rsidR="00F751C1">
        <w:rPr>
          <w:rFonts w:cstheme="minorHAnsi"/>
          <w:sz w:val="24"/>
          <w:szCs w:val="24"/>
        </w:rPr>
        <w:t xml:space="preserve">As one </w:t>
      </w:r>
      <w:r w:rsidR="00076645">
        <w:rPr>
          <w:rFonts w:cstheme="minorHAnsi"/>
          <w:sz w:val="24"/>
          <w:szCs w:val="24"/>
        </w:rPr>
        <w:t xml:space="preserve">example, </w:t>
      </w:r>
      <w:r w:rsidR="00F751C1">
        <w:rPr>
          <w:rFonts w:cstheme="minorHAnsi"/>
          <w:sz w:val="24"/>
          <w:szCs w:val="24"/>
        </w:rPr>
        <w:t>Black participants in ADRD clinical trials demonstrate lower participation rates</w:t>
      </w:r>
      <w:r w:rsidR="00076645">
        <w:rPr>
          <w:rFonts w:cstheme="minorHAnsi"/>
          <w:sz w:val="24"/>
          <w:szCs w:val="24"/>
        </w:rPr>
        <w:t xml:space="preserve"> (</w:t>
      </w:r>
      <w:r w:rsidR="00936C69">
        <w:rPr>
          <w:rFonts w:cstheme="minorHAnsi"/>
          <w:sz w:val="24"/>
          <w:szCs w:val="24"/>
        </w:rPr>
        <w:t>4–11%</w:t>
      </w:r>
      <w:r w:rsidR="00076645">
        <w:rPr>
          <w:rFonts w:cstheme="minorHAnsi"/>
          <w:sz w:val="24"/>
          <w:szCs w:val="24"/>
        </w:rPr>
        <w:t>)</w:t>
      </w:r>
      <w:r w:rsidR="00F751C1">
        <w:rPr>
          <w:rFonts w:cstheme="minorHAnsi"/>
          <w:sz w:val="24"/>
          <w:szCs w:val="24"/>
        </w:rPr>
        <w:t xml:space="preserve"> </w:t>
      </w:r>
      <w:r w:rsidR="004F3727">
        <w:rPr>
          <w:rFonts w:cstheme="minorHAnsi"/>
          <w:sz w:val="24"/>
          <w:szCs w:val="24"/>
        </w:rPr>
        <w:t>and</w:t>
      </w:r>
      <w:r w:rsidR="00F751C1">
        <w:rPr>
          <w:rFonts w:cstheme="minorHAnsi"/>
          <w:sz w:val="24"/>
          <w:szCs w:val="24"/>
        </w:rPr>
        <w:t xml:space="preserve"> higher rates of dropout relative to non-Hispanic Whites </w:t>
      </w:r>
      <w:r w:rsidR="00936C69">
        <w:rPr>
          <w:rFonts w:cstheme="minorHAnsi"/>
          <w:sz w:val="24"/>
          <w:szCs w:val="24"/>
        </w:rPr>
        <w:fldChar w:fldCharType="begin" w:fldLock="1"/>
      </w:r>
      <w:r w:rsidR="001579AC">
        <w:rPr>
          <w:rFonts w:cstheme="minorHAnsi"/>
          <w:sz w:val="24"/>
          <w:szCs w:val="24"/>
        </w:rPr>
        <w:instrText>ADDIN CSL_CITATION {"citationItems":[{"id":"ITEM-1","itemData":{"DOI":"10.1016/j.jagp.2017.04.013","abstract":"Objective-We investigated potential effects of increased African American participation in Alzheimer's disease (AD) and mild cognitive impairment (MCI) clinical trials by examining differences in comorbid conditions and treatment outcome affecting trial design. Methods-Using a meta-database of 18 studies from the Alzheimer's Disease Cooperative Study and the Alzheimer's Disease Neuroimaging Initiative, we included a cohort of 5,164 subjects for whom there were baseline demographic data and information on comorbid disorders, grouped by organ system. We used meta-analysis to compare prevalence of comorbidities, dropouts, and rates of change on the Alzheimer's Disease Assessment Scale (ADAS-cog) by race. We also simulated clinical trial scenarios similar to recent therapeutic trials to determine effects of increased African American participation on statistical power. Results-Approximately 7% of AD, 4% of MCI, and 11% of normal participants were African American. African American subjects had higher prevalence of cardiovascular disorders (odds ratio [OR] 2.10, 95% confidence interval [CI] 1.71, 2.57) and higher rate of dropouts (OR 1.60, 95% CI 1.15, 2.21) compared to whites, but lower rates of other disorders. There were no significant differences in rate of progression (−0.862 points/year, 95% CI −1.89, 0.162) by race, and little effect on power in simulated trials with sample sizes similar to current AD trial designs. Conclusions-Increasing African American participation in AD clinical trials will require adaptation of trial protocols to address comorbidities and dropouts. However, increased diversity is unlikely to negatively affect trial outcomes and should be encouraged to promote generalizability of trial results.","author":[{"dropping-particle":"","family":"Kennedy","given":"Richard E","non-dropping-particle":"","parse-names":false,"suffix":""},{"dropping-particle":"","family":"Cutter","given":"Gary R","non-dropping-particle":"","parse-names":false,"suffix":""},{"dropping-particle":"","family":"Wang","given":"Guoqiao","non-dropping-particle":"","parse-names":false,"suffix":""},{"dropping-particle":"","family":"Schneider","given":"Lon S","non-dropping-particle":"","parse-names":false,"suffix":""}],"container-title":"Am J Geriatr Psychiatry","id":"ITEM-1","issue":"10","issued":{"date-parts":[["2017"]]},"page":"1150-1159","title":"Challenging Assumptions About African American Participation in Alzheimer's Trials HHS Public Access","type":"article-journal","volume":"25"},"uris":["http://www.mendeley.com/documents/?uuid=7b257443-f0c7-3095-8b68-8774b48acd9a"]}],"mendeley":{"formattedCitation":"(Kennedy et al., 2017)","plainTextFormattedCitation":"(Kennedy et al., 2017)","previouslyFormattedCitation":"(Kennedy et al., 2017)"},"properties":{"noteIndex":0},"schema":"https://github.com/citation-style-language/schema/raw/master/csl-citation.json"}</w:instrText>
      </w:r>
      <w:r w:rsidR="00936C69">
        <w:rPr>
          <w:rFonts w:cstheme="minorHAnsi"/>
          <w:sz w:val="24"/>
          <w:szCs w:val="24"/>
        </w:rPr>
        <w:fldChar w:fldCharType="separate"/>
      </w:r>
      <w:r w:rsidR="00936C69" w:rsidRPr="00936C69">
        <w:rPr>
          <w:rFonts w:cstheme="minorHAnsi"/>
          <w:noProof/>
          <w:sz w:val="24"/>
          <w:szCs w:val="24"/>
        </w:rPr>
        <w:t>(Kennedy et al., 2017)</w:t>
      </w:r>
      <w:r w:rsidR="00936C69">
        <w:rPr>
          <w:rFonts w:cstheme="minorHAnsi"/>
          <w:sz w:val="24"/>
          <w:szCs w:val="24"/>
        </w:rPr>
        <w:fldChar w:fldCharType="end"/>
      </w:r>
      <w:r w:rsidR="00076645">
        <w:rPr>
          <w:rFonts w:cstheme="minorHAnsi"/>
          <w:sz w:val="24"/>
          <w:szCs w:val="24"/>
        </w:rPr>
        <w:t xml:space="preserve">. </w:t>
      </w:r>
      <w:r w:rsidR="00650432" w:rsidRPr="001A2C69">
        <w:rPr>
          <w:rFonts w:cstheme="minorHAnsi"/>
          <w:sz w:val="24"/>
          <w:szCs w:val="24"/>
        </w:rPr>
        <w:t>Without representation</w:t>
      </w:r>
      <w:r w:rsidR="00605911">
        <w:rPr>
          <w:rFonts w:cstheme="minorHAnsi"/>
          <w:sz w:val="24"/>
          <w:szCs w:val="24"/>
        </w:rPr>
        <w:t xml:space="preserve"> in research</w:t>
      </w:r>
      <w:r w:rsidR="00650432" w:rsidRPr="001A2C69">
        <w:rPr>
          <w:rFonts w:cstheme="minorHAnsi"/>
          <w:sz w:val="24"/>
          <w:szCs w:val="24"/>
        </w:rPr>
        <w:t xml:space="preserve">, </w:t>
      </w:r>
      <w:r w:rsidR="005F13EB" w:rsidRPr="00605911">
        <w:rPr>
          <w:rFonts w:cstheme="minorHAnsi"/>
          <w:sz w:val="24"/>
          <w:szCs w:val="24"/>
        </w:rPr>
        <w:t>understanding the</w:t>
      </w:r>
      <w:r w:rsidR="007449F1" w:rsidRPr="00605911">
        <w:rPr>
          <w:rFonts w:cstheme="minorHAnsi"/>
          <w:sz w:val="24"/>
          <w:szCs w:val="24"/>
        </w:rPr>
        <w:t xml:space="preserve"> differences between </w:t>
      </w:r>
      <w:r w:rsidR="005F13EB" w:rsidRPr="00605911">
        <w:rPr>
          <w:rFonts w:cstheme="minorHAnsi"/>
          <w:sz w:val="24"/>
          <w:szCs w:val="24"/>
        </w:rPr>
        <w:t>these groups</w:t>
      </w:r>
      <w:r w:rsidR="007449F1" w:rsidRPr="00605911">
        <w:rPr>
          <w:rFonts w:cstheme="minorHAnsi"/>
          <w:sz w:val="24"/>
          <w:szCs w:val="24"/>
        </w:rPr>
        <w:t xml:space="preserve"> in the risk factors for</w:t>
      </w:r>
      <w:r w:rsidR="004F6954" w:rsidRPr="00605911">
        <w:rPr>
          <w:rFonts w:cstheme="minorHAnsi"/>
          <w:sz w:val="24"/>
          <w:szCs w:val="24"/>
        </w:rPr>
        <w:t>, timing of diagnosis,</w:t>
      </w:r>
      <w:r w:rsidR="007449F1" w:rsidRPr="00605911">
        <w:rPr>
          <w:rFonts w:cstheme="minorHAnsi"/>
          <w:sz w:val="24"/>
          <w:szCs w:val="24"/>
        </w:rPr>
        <w:t xml:space="preserve"> and clinical manifestations of AD</w:t>
      </w:r>
      <w:r w:rsidR="00BF3337">
        <w:rPr>
          <w:rFonts w:cstheme="minorHAnsi"/>
          <w:sz w:val="24"/>
          <w:szCs w:val="24"/>
        </w:rPr>
        <w:t>RD</w:t>
      </w:r>
      <w:r w:rsidR="004F6954" w:rsidRPr="00605911">
        <w:rPr>
          <w:rFonts w:cstheme="minorHAnsi"/>
          <w:sz w:val="24"/>
          <w:szCs w:val="24"/>
        </w:rPr>
        <w:t xml:space="preserve"> </w:t>
      </w:r>
      <w:r w:rsidR="0092169E" w:rsidRPr="00605911">
        <w:rPr>
          <w:rFonts w:cstheme="minorHAnsi"/>
          <w:sz w:val="24"/>
          <w:szCs w:val="24"/>
        </w:rPr>
        <w:t>is severely impeded</w:t>
      </w:r>
      <w:r w:rsidR="007449F1" w:rsidRPr="00605911">
        <w:rPr>
          <w:rFonts w:cstheme="minorHAnsi"/>
          <w:sz w:val="24"/>
          <w:szCs w:val="24"/>
        </w:rPr>
        <w:t xml:space="preserve">. </w:t>
      </w:r>
      <w:r w:rsidR="005F13EB" w:rsidRPr="00605911">
        <w:rPr>
          <w:rFonts w:cstheme="minorHAnsi"/>
          <w:sz w:val="24"/>
          <w:szCs w:val="24"/>
        </w:rPr>
        <w:t xml:space="preserve">There are many, multifaceted barriers to research participation, including </w:t>
      </w:r>
      <w:r w:rsidR="00650432" w:rsidRPr="00605911">
        <w:rPr>
          <w:rFonts w:cstheme="minorHAnsi"/>
          <w:sz w:val="24"/>
          <w:szCs w:val="24"/>
        </w:rPr>
        <w:t>lack of awareness of research opportunities</w:t>
      </w:r>
      <w:r w:rsidR="00605911" w:rsidRPr="00605911">
        <w:rPr>
          <w:rFonts w:cstheme="minorHAnsi"/>
          <w:sz w:val="24"/>
          <w:szCs w:val="24"/>
        </w:rPr>
        <w:t xml:space="preserve"> and </w:t>
      </w:r>
      <w:r w:rsidR="00650432" w:rsidRPr="00605911">
        <w:rPr>
          <w:rFonts w:cstheme="minorHAnsi"/>
          <w:sz w:val="24"/>
          <w:szCs w:val="24"/>
        </w:rPr>
        <w:t>increased participant burden relative to non-Hispanic Whites</w:t>
      </w:r>
      <w:r w:rsidR="00605911" w:rsidRPr="00605911">
        <w:rPr>
          <w:rFonts w:cstheme="minorHAnsi"/>
          <w:sz w:val="24"/>
          <w:szCs w:val="24"/>
        </w:rPr>
        <w:t>.</w:t>
      </w:r>
      <w:r w:rsidR="005F13EB" w:rsidRPr="00605911">
        <w:rPr>
          <w:rFonts w:cstheme="minorHAnsi"/>
          <w:sz w:val="24"/>
          <w:szCs w:val="24"/>
        </w:rPr>
        <w:t xml:space="preserve"> </w:t>
      </w:r>
      <w:r w:rsidR="004F6954" w:rsidRPr="00605911">
        <w:rPr>
          <w:rFonts w:cstheme="minorHAnsi"/>
          <w:sz w:val="24"/>
          <w:szCs w:val="24"/>
        </w:rPr>
        <w:t>Establishing long-term relationships with communit</w:t>
      </w:r>
      <w:r w:rsidR="00605911" w:rsidRPr="00605911">
        <w:rPr>
          <w:rFonts w:cstheme="minorHAnsi"/>
          <w:sz w:val="24"/>
          <w:szCs w:val="24"/>
        </w:rPr>
        <w:t>ies</w:t>
      </w:r>
      <w:r w:rsidR="004F6954" w:rsidRPr="00605911">
        <w:rPr>
          <w:rFonts w:cstheme="minorHAnsi"/>
          <w:sz w:val="24"/>
          <w:szCs w:val="24"/>
        </w:rPr>
        <w:t xml:space="preserve"> </w:t>
      </w:r>
      <w:r w:rsidR="0080439A">
        <w:rPr>
          <w:rFonts w:cstheme="minorHAnsi"/>
          <w:sz w:val="24"/>
          <w:szCs w:val="24"/>
        </w:rPr>
        <w:t xml:space="preserve">of color </w:t>
      </w:r>
      <w:r w:rsidR="004F6954" w:rsidRPr="00605911">
        <w:rPr>
          <w:rFonts w:cstheme="minorHAnsi"/>
          <w:sz w:val="24"/>
          <w:szCs w:val="24"/>
        </w:rPr>
        <w:t>is the single most important strategy for increasing participation in research studies.</w:t>
      </w:r>
      <w:r w:rsidR="00605911" w:rsidRPr="00605911">
        <w:rPr>
          <w:rFonts w:cstheme="minorHAnsi"/>
          <w:sz w:val="24"/>
          <w:szCs w:val="24"/>
        </w:rPr>
        <w:t xml:space="preserve"> Further, </w:t>
      </w:r>
      <w:r w:rsidR="0080439A">
        <w:rPr>
          <w:rFonts w:cstheme="minorHAnsi"/>
          <w:sz w:val="24"/>
          <w:szCs w:val="24"/>
        </w:rPr>
        <w:t>providing</w:t>
      </w:r>
      <w:r w:rsidR="00605911" w:rsidRPr="00605911">
        <w:rPr>
          <w:rFonts w:cstheme="minorHAnsi"/>
          <w:sz w:val="24"/>
          <w:szCs w:val="24"/>
        </w:rPr>
        <w:t xml:space="preserve"> infrastructure and other supports to address specific barriers, such as lack of transportation, is a critical means of increasing the ability of these individuals to participate.</w:t>
      </w:r>
    </w:p>
    <w:p w14:paraId="23F6F63D" w14:textId="5FE5A53F" w:rsidR="003000F6" w:rsidRPr="001A2C69" w:rsidRDefault="00A40429" w:rsidP="003000F6">
      <w:pPr>
        <w:ind w:left="720"/>
        <w:rPr>
          <w:rFonts w:cstheme="minorHAnsi"/>
          <w:sz w:val="24"/>
          <w:szCs w:val="24"/>
        </w:rPr>
      </w:pPr>
      <w:r>
        <w:rPr>
          <w:rFonts w:cstheme="minorHAnsi"/>
          <w:b/>
          <w:bCs/>
          <w:sz w:val="24"/>
          <w:szCs w:val="24"/>
        </w:rPr>
        <w:t xml:space="preserve">Strategic Priority </w:t>
      </w:r>
      <w:r w:rsidR="00074D07">
        <w:rPr>
          <w:rFonts w:cstheme="minorHAnsi"/>
          <w:b/>
          <w:bCs/>
          <w:sz w:val="24"/>
          <w:szCs w:val="24"/>
        </w:rPr>
        <w:t>1.</w:t>
      </w:r>
      <w:r w:rsidR="00605911">
        <w:rPr>
          <w:rFonts w:cstheme="minorHAnsi"/>
          <w:b/>
          <w:bCs/>
          <w:sz w:val="24"/>
          <w:szCs w:val="24"/>
        </w:rPr>
        <w:t>2</w:t>
      </w:r>
      <w:r w:rsidR="003000F6" w:rsidRPr="001A2C69">
        <w:rPr>
          <w:rFonts w:cstheme="minorHAnsi"/>
          <w:b/>
          <w:bCs/>
          <w:sz w:val="24"/>
          <w:szCs w:val="24"/>
        </w:rPr>
        <w:t>:</w:t>
      </w:r>
      <w:r w:rsidR="003000F6" w:rsidRPr="001A2C69">
        <w:rPr>
          <w:rFonts w:cstheme="minorHAnsi"/>
          <w:sz w:val="24"/>
          <w:szCs w:val="24"/>
        </w:rPr>
        <w:t xml:space="preserve"> Increase </w:t>
      </w:r>
      <w:r w:rsidR="003000F6">
        <w:rPr>
          <w:rFonts w:cstheme="minorHAnsi"/>
          <w:sz w:val="24"/>
          <w:szCs w:val="24"/>
        </w:rPr>
        <w:t>diversity of participants</w:t>
      </w:r>
      <w:r w:rsidR="003000F6" w:rsidRPr="001A2C69">
        <w:rPr>
          <w:rFonts w:cstheme="minorHAnsi"/>
          <w:sz w:val="24"/>
          <w:szCs w:val="24"/>
        </w:rPr>
        <w:t xml:space="preserve"> in understudied target populations.</w:t>
      </w:r>
    </w:p>
    <w:p w14:paraId="2BEFA76E" w14:textId="1B1BDE8C" w:rsidR="003000F6" w:rsidRPr="001A2C69" w:rsidRDefault="003000F6" w:rsidP="003B02A8">
      <w:pPr>
        <w:ind w:firstLine="720"/>
        <w:rPr>
          <w:rFonts w:cstheme="minorHAnsi"/>
          <w:sz w:val="24"/>
          <w:szCs w:val="24"/>
        </w:rPr>
      </w:pPr>
      <w:r w:rsidRPr="001A2C69">
        <w:rPr>
          <w:rFonts w:cstheme="minorHAnsi"/>
          <w:sz w:val="24"/>
          <w:szCs w:val="24"/>
        </w:rPr>
        <w:t xml:space="preserve">Target populations for </w:t>
      </w:r>
      <w:r w:rsidR="0080439A">
        <w:rPr>
          <w:rFonts w:cstheme="minorHAnsi"/>
          <w:sz w:val="24"/>
          <w:szCs w:val="24"/>
        </w:rPr>
        <w:t>AD</w:t>
      </w:r>
      <w:r w:rsidR="00BF3337">
        <w:rPr>
          <w:rFonts w:cstheme="minorHAnsi"/>
          <w:sz w:val="24"/>
          <w:szCs w:val="24"/>
        </w:rPr>
        <w:t>RD</w:t>
      </w:r>
      <w:r w:rsidRPr="001A2C69">
        <w:rPr>
          <w:rFonts w:cstheme="minorHAnsi"/>
          <w:sz w:val="24"/>
          <w:szCs w:val="24"/>
        </w:rPr>
        <w:t xml:space="preserve"> research should be focused toward groups that have been underrepresented and underserved with regards to AD</w:t>
      </w:r>
      <w:r w:rsidR="00BF3337">
        <w:rPr>
          <w:rFonts w:cstheme="minorHAnsi"/>
          <w:sz w:val="24"/>
          <w:szCs w:val="24"/>
        </w:rPr>
        <w:t>RD</w:t>
      </w:r>
      <w:r w:rsidRPr="001A2C69">
        <w:rPr>
          <w:rFonts w:cstheme="minorHAnsi"/>
          <w:sz w:val="24"/>
          <w:szCs w:val="24"/>
        </w:rPr>
        <w:t xml:space="preserve"> prevention, awareness, and treatment. Cohorts of interest include not only those of a racial or ethnic minority but also those with a lower socioeconomic status </w:t>
      </w:r>
      <w:r w:rsidR="005A7CD1">
        <w:rPr>
          <w:rFonts w:cstheme="minorHAnsi"/>
          <w:sz w:val="24"/>
          <w:szCs w:val="24"/>
        </w:rPr>
        <w:fldChar w:fldCharType="begin" w:fldLock="1"/>
      </w:r>
      <w:r w:rsidR="005A7CD1">
        <w:rPr>
          <w:rFonts w:cstheme="minorHAnsi"/>
          <w:sz w:val="24"/>
          <w:szCs w:val="24"/>
        </w:rPr>
        <w:instrText>ADDIN CSL_CITATION {"citationItems":[{"id":"ITEM-1","itemData":{"DOI":"10.1016/j.trci.2019.09.018","ISSN":"23528737","abstract":"Introduction: Alzheimer's disease and related dementias (ADRD) disproportionately impact racial and ethnic minority and socioeconomically disadvantaged adults. Yet, these populations are significantly underrepresented in research. Methods: We systematically reviewed the literature for published reports describing recruitment and retention of individuals from underrepresented backgrounds in ADRD research or underrepresented participants' perspectives regarding ADRD research participation. Relevant evidence was synthesized and evaluated for quality. Results: We identified 22 eligible studies. Seven studies focused on recruitment/retention approaches, all of which included multifaceted efforts and at least one community outreach component. There was considerable heterogeneity in approaches used, specific activities and strategies, outcome measurement, and conclusions regarding effectiveness. Despite limited use of prospective evaluation strategies, most authors reported improvements in diverse representation in ADRD cohorts. Studies evaluating participant views focused largely on predetermined explanations of participation including attitudes, barriers/facilitators, education, trust, and religiosity. Across all studies, the strength of evidence was low. Discussion: Overall, the quantity and quality of available evidence to inform best practices in recruitment, retention, and inclusion of underrepresented populations in ADRD research are low. Further efforts to systematically evaluate the success of existing and emergent approaches will require improved methodological standards and uniform measures for evaluating recruitment, participation, and inclusivity.","author":[{"dropping-particle":"","family":"Gilmore-Bykovskyi","given":"Andrea L","non-dropping-particle":"","parse-names":false,"suffix":""},{"dropping-particle":"","family":"Jin","given":"Yuanyuan","non-dropping-particle":"","parse-names":false,"suffix":""},{"dropping-particle":"","family":"Gleason","given":"Carey","non-dropping-particle":"","parse-names":false,"suffix":""},{"dropping-particle":"","family":"Flowers-Benton","given":"Susan","non-dropping-particle":"","parse-names":false,"suffix":""},{"dropping-particle":"","family":"Block","given":"Laura M","non-dropping-particle":"","parse-names":false,"suffix":""},{"dropping-particle":"","family":"Dilworth-Anderson","given":"Peggye","non-dropping-particle":"","parse-names":false,"suffix":""},{"dropping-particle":"","family":"Barnes","given":"Lisa L","non-dropping-particle":"","parse-names":false,"suffix":""},{"dropping-particle":"","family":"Shah","given":"Manish N","non-dropping-particle":"","parse-names":false,"suffix":""},{"dropping-particle":"","family":"Zuelsdorff","given":"Megan","non-dropping-particle":"","parse-names":false,"suffix":""}],"container-title":"Alzheimer's and Dementia: Translational Research and Clinical Interventions","id":"ITEM-1","issued":{"date-parts":[["2019"]]},"page":"751-770","title":"Recruitment and retention of underrepresented populations in Alzheimer's disease research: A systematic review","type":"article","volume":"5"},"uris":["http://www.mendeley.com/documents/?uuid=1c5c8180-fa16-3001-9284-2eb60b68fc8e"]}],"mendeley":{"formattedCitation":"(Gilmore-Bykovskyi et al., 2019)","plainTextFormattedCitation":"(Gilmore-Bykovskyi et al., 2019)","previouslyFormattedCitation":"(Gilmore-Bykovskyi et al., 2019)"},"properties":{"noteIndex":0},"schema":"https://github.com/citation-style-language/schema/raw/master/csl-citation.json"}</w:instrText>
      </w:r>
      <w:r w:rsidR="005A7CD1">
        <w:rPr>
          <w:rFonts w:cstheme="minorHAnsi"/>
          <w:sz w:val="24"/>
          <w:szCs w:val="24"/>
        </w:rPr>
        <w:fldChar w:fldCharType="separate"/>
      </w:r>
      <w:r w:rsidR="005A7CD1" w:rsidRPr="005A7CD1">
        <w:rPr>
          <w:rFonts w:cstheme="minorHAnsi"/>
          <w:noProof/>
          <w:sz w:val="24"/>
          <w:szCs w:val="24"/>
        </w:rPr>
        <w:t>(Gilmore-Bykovskyi et al., 2019)</w:t>
      </w:r>
      <w:r w:rsidR="005A7CD1">
        <w:rPr>
          <w:rFonts w:cstheme="minorHAnsi"/>
          <w:sz w:val="24"/>
          <w:szCs w:val="24"/>
        </w:rPr>
        <w:fldChar w:fldCharType="end"/>
      </w:r>
      <w:r w:rsidRPr="001A2C69">
        <w:rPr>
          <w:rFonts w:cstheme="minorHAnsi"/>
          <w:sz w:val="24"/>
          <w:szCs w:val="24"/>
        </w:rPr>
        <w:t xml:space="preserve">, who often require a multi-domain approach to treatment and prevention to see statistically significant results </w:t>
      </w:r>
      <w:r w:rsidR="005A7CD1">
        <w:rPr>
          <w:rFonts w:cstheme="minorHAnsi"/>
          <w:sz w:val="24"/>
          <w:szCs w:val="24"/>
        </w:rPr>
        <w:fldChar w:fldCharType="begin" w:fldLock="1"/>
      </w:r>
      <w:r w:rsidR="005300FD">
        <w:rPr>
          <w:rFonts w:cstheme="minorHAnsi"/>
          <w:sz w:val="24"/>
          <w:szCs w:val="24"/>
        </w:rPr>
        <w:instrText>ADDIN CSL_CITATION {"citationItems":[{"id":"ITEM-1","itemData":{"DOI":"10.1016/j.bcp.2014.01.003","ISSN":"18732968","PMID":"24418410","abstract":"The increase in life expectancy has resulted in a high occurrence of dementia and Alzheimer's disease (AD). Research on AD has undergone a paradigm shift from viewing it as a disease of old age to taking a life course perspective. Several vascular, lifestyle, psychological and genetic risk factors influencing this latent period have been recognized and they may act both independently and by potentiating each other. These risk factors have consequently been used to derive risk scores for predicting the likelihood of dementia. Despite population differences, age, low education and vascular risk factors were identified as key factors in all scoring systems. Risk scores can help to identify high-risk individuals who might benefit from different interventions. The European Dementia Prevention Initiative (EDPI), an international collaboration, encourages data sharing between different randomized controlled trials. At the moment, it includes three large ongoing European trials: Finnish Geriatric Intervention Study to Prevent Cognitive Impairment and Disability (FINGER), Prevention of Dementia by Intensive Vascular Care (preDIVA), and Multidomain Alzheimer Prevention study (MAPT). Recently EDPI has developed a \"Healthy Aging through Internet Counseling in Elderly\" (HATICE) program, which intends to manage modifiable risk factors in an aged population through an easily accessible Internet platform. Thus, the focus of dementia research has shifted from identification of potential risk factors to using this information for developing interventions to prevent or delay the onset of dementia as well as identifying special high-risk populations who could be targeted in intervention trials. © 2014 Elsevier Inc.","author":[{"dropping-particle":"","family":"Imtiaz","given":"Bushra","non-dropping-particle":"","parse-names":false,"suffix":""},{"dropping-particle":"","family":"Tolppanen","given":"Anna Maija","non-dropping-particle":"","parse-names":false,"suffix":""},{"dropping-particle":"","family":"Kivipelto","given":"Miia","non-dropping-particle":"","parse-names":false,"suffix":""},{"dropping-particle":"","family":"Soininen","given":"Hilkka","non-dropping-particle":"","parse-names":false,"suffix":""}],"container-title":"Biochemical Pharmacology","id":"ITEM-1","issue":"4","issued":{"date-parts":[["2014"]]},"page":"661-670","publisher":"Elsevier Inc.","title":"Future directions in Alzheimer's disease from risk factors to prevention","type":"article-journal","volume":"88"},"uris":["http://www.mendeley.com/documents/?uuid=2ad7c6db-a2a8-49c1-8cf1-9e0aadf55e6b"]}],"mendeley":{"formattedCitation":"(Imtiaz et al., 2014)","plainTextFormattedCitation":"(Imtiaz et al., 2014)","previouslyFormattedCitation":"(Imtiaz et al., 2014)"},"properties":{"noteIndex":0},"schema":"https://github.com/citation-style-language/schema/raw/master/csl-citation.json"}</w:instrText>
      </w:r>
      <w:r w:rsidR="005A7CD1">
        <w:rPr>
          <w:rFonts w:cstheme="minorHAnsi"/>
          <w:sz w:val="24"/>
          <w:szCs w:val="24"/>
        </w:rPr>
        <w:fldChar w:fldCharType="separate"/>
      </w:r>
      <w:r w:rsidR="005A7CD1" w:rsidRPr="005A7CD1">
        <w:rPr>
          <w:rFonts w:cstheme="minorHAnsi"/>
          <w:noProof/>
          <w:sz w:val="24"/>
          <w:szCs w:val="24"/>
        </w:rPr>
        <w:t>(Imtiaz et al., 2014)</w:t>
      </w:r>
      <w:r w:rsidR="005A7CD1">
        <w:rPr>
          <w:rFonts w:cstheme="minorHAnsi"/>
          <w:sz w:val="24"/>
          <w:szCs w:val="24"/>
        </w:rPr>
        <w:fldChar w:fldCharType="end"/>
      </w:r>
      <w:r w:rsidRPr="001A2C69">
        <w:rPr>
          <w:rFonts w:cstheme="minorHAnsi"/>
          <w:sz w:val="24"/>
          <w:szCs w:val="24"/>
        </w:rPr>
        <w:t xml:space="preserve">. Another </w:t>
      </w:r>
      <w:r w:rsidR="0080439A">
        <w:rPr>
          <w:rFonts w:cstheme="minorHAnsi"/>
          <w:sz w:val="24"/>
          <w:szCs w:val="24"/>
        </w:rPr>
        <w:t>group of interest</w:t>
      </w:r>
      <w:r w:rsidRPr="001A2C69">
        <w:rPr>
          <w:rFonts w:cstheme="minorHAnsi"/>
          <w:sz w:val="24"/>
          <w:szCs w:val="24"/>
        </w:rPr>
        <w:t xml:space="preserve"> </w:t>
      </w:r>
      <w:r>
        <w:rPr>
          <w:rFonts w:cstheme="minorHAnsi"/>
          <w:sz w:val="24"/>
          <w:szCs w:val="24"/>
        </w:rPr>
        <w:t>are</w:t>
      </w:r>
      <w:r w:rsidRPr="001A2C69">
        <w:rPr>
          <w:rFonts w:cstheme="minorHAnsi"/>
          <w:sz w:val="24"/>
          <w:szCs w:val="24"/>
        </w:rPr>
        <w:t xml:space="preserve"> </w:t>
      </w:r>
      <w:r>
        <w:rPr>
          <w:rFonts w:cstheme="minorHAnsi"/>
          <w:sz w:val="24"/>
          <w:szCs w:val="24"/>
        </w:rPr>
        <w:t xml:space="preserve">caregivers, who </w:t>
      </w:r>
      <w:r w:rsidR="0080439A">
        <w:rPr>
          <w:rFonts w:cstheme="minorHAnsi"/>
          <w:sz w:val="24"/>
          <w:szCs w:val="24"/>
        </w:rPr>
        <w:t xml:space="preserve">not only </w:t>
      </w:r>
      <w:r>
        <w:rPr>
          <w:rFonts w:cstheme="minorHAnsi"/>
          <w:sz w:val="24"/>
          <w:szCs w:val="24"/>
        </w:rPr>
        <w:t xml:space="preserve">face </w:t>
      </w:r>
      <w:r w:rsidR="0080439A">
        <w:rPr>
          <w:rFonts w:cstheme="minorHAnsi"/>
          <w:sz w:val="24"/>
          <w:szCs w:val="24"/>
        </w:rPr>
        <w:t>specific challenges themselves</w:t>
      </w:r>
      <w:r w:rsidR="001E0DC0">
        <w:rPr>
          <w:rFonts w:cstheme="minorHAnsi"/>
          <w:sz w:val="24"/>
          <w:szCs w:val="24"/>
        </w:rPr>
        <w:t xml:space="preserve"> </w:t>
      </w:r>
      <w:r w:rsidR="001E0DC0">
        <w:rPr>
          <w:rFonts w:cstheme="minorHAnsi"/>
          <w:sz w:val="24"/>
          <w:szCs w:val="24"/>
        </w:rPr>
        <w:fldChar w:fldCharType="begin" w:fldLock="1"/>
      </w:r>
      <w:r w:rsidR="001E0DC0">
        <w:rPr>
          <w:rFonts w:cstheme="minorHAnsi"/>
          <w:sz w:val="24"/>
          <w:szCs w:val="24"/>
        </w:rPr>
        <w:instrText>ADDIN CSL_CITATION {"citationItems":[{"id":"ITEM-1","itemData":{"DOI":"10.1177/1533317507307787","ISSN":"15333175","PMID":"18166611","abstract":"Feelings of loss and grief are frequent companions for current Alzheimer's family caregivers. Increased acknowledgment and understanding of caregiver grief among researchers has led to more comprehensive explorations of the multifaceted nature of caregiver grief and loss. Absent from the literature, however, is an exploration of anticipatory grief as an actual barrier to the task of caregiving. Through an analysis of 353 open-ended survey responses, the present article explores links between anticipatory grief, ambiguous loss, and principal barriers that family members face as dementia caregivers across the state of Indiana. By drawing parallels between caregiver responses and the Marwit-Meuser Caregiver Grief Inventory subscales, this article illustrates that the fundamental barrier experienced by current Alzheimer's caregivers appears to be a combination of anticipatory grief and ambiguous loss rather than hands-on care issues. The implications of this finding for future caregiver research and interventions are discussed. © 2008 Sage Publications.","author":[{"dropping-particle":"","family":"Frank","given":"Jacquelyn B.","non-dropping-particle":"","parse-names":false,"suffix":""}],"container-title":"American Journal of Alzheimer's Disease and other Dementias","id":"ITEM-1","issue":"6","issued":{"date-parts":[["2008"]]},"page":"516-527","title":"Evidence for grief as the major barrier faced by Alzheimer caregivers: A qualitative analysis","type":"article-journal","volume":"22"},"uris":["http://www.mendeley.com/documents/?uuid=116373bc-4644-44a4-89f0-da9d204773c6"]}],"mendeley":{"formattedCitation":"(Frank, 2008)","plainTextFormattedCitation":"(Frank, 2008)","previouslyFormattedCitation":"(Frank, 2008)"},"properties":{"noteIndex":0},"schema":"https://github.com/citation-style-language/schema/raw/master/csl-citation.json"}</w:instrText>
      </w:r>
      <w:r w:rsidR="001E0DC0">
        <w:rPr>
          <w:rFonts w:cstheme="minorHAnsi"/>
          <w:sz w:val="24"/>
          <w:szCs w:val="24"/>
        </w:rPr>
        <w:fldChar w:fldCharType="separate"/>
      </w:r>
      <w:r w:rsidR="001E0DC0" w:rsidRPr="001E0DC0">
        <w:rPr>
          <w:rFonts w:cstheme="minorHAnsi"/>
          <w:noProof/>
          <w:sz w:val="24"/>
          <w:szCs w:val="24"/>
        </w:rPr>
        <w:t>(Frank, 2008)</w:t>
      </w:r>
      <w:r w:rsidR="001E0DC0">
        <w:rPr>
          <w:rFonts w:cstheme="minorHAnsi"/>
          <w:sz w:val="24"/>
          <w:szCs w:val="24"/>
        </w:rPr>
        <w:fldChar w:fldCharType="end"/>
      </w:r>
      <w:r w:rsidR="006B321E">
        <w:rPr>
          <w:rFonts w:cstheme="minorHAnsi"/>
          <w:sz w:val="24"/>
          <w:szCs w:val="24"/>
        </w:rPr>
        <w:t xml:space="preserve">, </w:t>
      </w:r>
      <w:r w:rsidR="0080439A">
        <w:rPr>
          <w:rFonts w:cstheme="minorHAnsi"/>
          <w:sz w:val="24"/>
          <w:szCs w:val="24"/>
        </w:rPr>
        <w:t xml:space="preserve">but also are </w:t>
      </w:r>
      <w:r w:rsidR="008A541F">
        <w:rPr>
          <w:rFonts w:cstheme="minorHAnsi"/>
          <w:sz w:val="24"/>
          <w:szCs w:val="24"/>
        </w:rPr>
        <w:t>directly responsible for enabling</w:t>
      </w:r>
      <w:r w:rsidR="0080439A">
        <w:rPr>
          <w:rFonts w:cstheme="minorHAnsi"/>
          <w:sz w:val="24"/>
          <w:szCs w:val="24"/>
        </w:rPr>
        <w:t xml:space="preserve"> individuals with dementia to participa</w:t>
      </w:r>
      <w:r w:rsidR="008A541F">
        <w:rPr>
          <w:rFonts w:cstheme="minorHAnsi"/>
          <w:sz w:val="24"/>
          <w:szCs w:val="24"/>
        </w:rPr>
        <w:t>te in the research process</w:t>
      </w:r>
      <w:r>
        <w:rPr>
          <w:rFonts w:cstheme="minorHAnsi"/>
          <w:sz w:val="24"/>
          <w:szCs w:val="24"/>
        </w:rPr>
        <w:t xml:space="preserve">. It is imperative to address </w:t>
      </w:r>
      <w:r w:rsidR="008A541F">
        <w:rPr>
          <w:rFonts w:cstheme="minorHAnsi"/>
          <w:sz w:val="24"/>
          <w:szCs w:val="24"/>
        </w:rPr>
        <w:t xml:space="preserve">caregivers’ </w:t>
      </w:r>
      <w:r>
        <w:rPr>
          <w:rFonts w:cstheme="minorHAnsi"/>
          <w:sz w:val="24"/>
          <w:szCs w:val="24"/>
        </w:rPr>
        <w:t xml:space="preserve">concerns about the purpose of research and its direct benefit to participants, as well as the burden of participation </w:t>
      </w:r>
      <w:r w:rsidR="005300FD">
        <w:rPr>
          <w:rFonts w:cstheme="minorHAnsi"/>
          <w:sz w:val="24"/>
          <w:szCs w:val="24"/>
        </w:rPr>
        <w:fldChar w:fldCharType="begin" w:fldLock="1"/>
      </w:r>
      <w:r w:rsidR="005300FD">
        <w:rPr>
          <w:rFonts w:cstheme="minorHAnsi"/>
          <w:sz w:val="24"/>
          <w:szCs w:val="24"/>
        </w:rPr>
        <w:instrText>ADDIN CSL_CITATION {"citationItems":[{"id":"ITEM-1","itemData":{"DOI":"10.1097/00002093-200107000-00005","ISSN":"08930341","PMID":"11522931","abstract":"Current levels of participation in Alzheimer disease (AD) research are inadequate, particularly among nonwhites. This study was conducted to examine caregivers' attitudes toward their family members' participation in AD research. Six focus group interviews were conducted with 38 white and 12 African-American caregivers of participants enrolled in clinical research projects. Both white and African-American families participated in research to help their care recipients and future generations, receive support from the clinical and research staff, and obtain feedback about patient status and research results. Among white caregivers, primary barriers to participation in research included the potential for no direct benefit, problems with the procedures and tests involved, lack of time and resources, and difficulty accepting the diagnosis. Among African-American caregivers, primary barriers included general skepticism about the research process and firmly established attitudes about medical treatment and help seeking that serve as disincentives to research participation. To maximize the perceived benefits of research participation, potential participants should have access to regular personal contact with staff, information about health status changes in the care recipient, and the short-term and long-term results of the research studies in which they are participants. In addition, researchers should be sensitive to the concerns that may serve as barriers to participation, particularly among African Americans.","author":[{"dropping-particle":"","family":"Connell","given":"Cathleen M.","non-dropping-particle":"","parse-names":false,"suffix":""},{"dropping-particle":"","family":"Shaw","given":"Benjamin A.","non-dropping-particle":"","parse-names":false,"suffix":""},{"dropping-particle":"","family":"Holmes","given":"Sara B.","non-dropping-particle":"","parse-names":false,"suffix":""},{"dropping-particle":"","family":"Foster","given":"Norman L.","non-dropping-particle":"","parse-names":false,"suffix":""}],"container-title":"Alzheimer Disease and Associated Disorders","id":"ITEM-1","issue":"3","issued":{"date-parts":[["2001"]]},"page":"137-145","publisher":"Alzheimer Dis Assoc Disord","title":"Caregivers' attitudes toward their family members' participation in Alzheimer disease research: Implications for recruitment and retention","type":"article-journal","volume":"15"},"uris":["http://www.mendeley.com/documents/?uuid=70b8b030-e9af-3c5f-aa9d-7cc21cde640b"]}],"mendeley":{"formattedCitation":"(Connell et al., 2001)","plainTextFormattedCitation":"(Connell et al., 2001)","previouslyFormattedCitation":"(Connell et al., 2001)"},"properties":{"noteIndex":0},"schema":"https://github.com/citation-style-language/schema/raw/master/csl-citation.json"}</w:instrText>
      </w:r>
      <w:r w:rsidR="005300FD">
        <w:rPr>
          <w:rFonts w:cstheme="minorHAnsi"/>
          <w:sz w:val="24"/>
          <w:szCs w:val="24"/>
        </w:rPr>
        <w:fldChar w:fldCharType="separate"/>
      </w:r>
      <w:r w:rsidR="005300FD" w:rsidRPr="005300FD">
        <w:rPr>
          <w:rFonts w:cstheme="minorHAnsi"/>
          <w:noProof/>
          <w:sz w:val="24"/>
          <w:szCs w:val="24"/>
        </w:rPr>
        <w:t>(Connell et al., 2001)</w:t>
      </w:r>
      <w:r w:rsidR="005300FD">
        <w:rPr>
          <w:rFonts w:cstheme="minorHAnsi"/>
          <w:sz w:val="24"/>
          <w:szCs w:val="24"/>
        </w:rPr>
        <w:fldChar w:fldCharType="end"/>
      </w:r>
      <w:r>
        <w:rPr>
          <w:rFonts w:cstheme="minorHAnsi"/>
          <w:sz w:val="24"/>
          <w:szCs w:val="24"/>
        </w:rPr>
        <w:t xml:space="preserve">. </w:t>
      </w:r>
      <w:r w:rsidRPr="008A541F">
        <w:rPr>
          <w:rFonts w:cstheme="minorHAnsi"/>
          <w:sz w:val="24"/>
          <w:szCs w:val="24"/>
        </w:rPr>
        <w:t xml:space="preserve">As with other underrepresented groups, community outreach is needed to encourage research participation of these </w:t>
      </w:r>
      <w:r w:rsidR="004B7C2F">
        <w:rPr>
          <w:rFonts w:cstheme="minorHAnsi"/>
          <w:sz w:val="24"/>
          <w:szCs w:val="24"/>
        </w:rPr>
        <w:t>individuals</w:t>
      </w:r>
      <w:r w:rsidRPr="008A541F">
        <w:rPr>
          <w:rFonts w:cstheme="minorHAnsi"/>
          <w:sz w:val="24"/>
          <w:szCs w:val="24"/>
        </w:rPr>
        <w:t>.</w:t>
      </w:r>
    </w:p>
    <w:p w14:paraId="6C813888" w14:textId="77777777" w:rsidR="00CC4334" w:rsidRDefault="00CC4334">
      <w:pPr>
        <w:rPr>
          <w:rFonts w:cstheme="minorHAnsi"/>
          <w:b/>
          <w:bCs/>
          <w:sz w:val="24"/>
          <w:szCs w:val="24"/>
        </w:rPr>
      </w:pPr>
      <w:r>
        <w:rPr>
          <w:rFonts w:cstheme="minorHAnsi"/>
          <w:b/>
          <w:bCs/>
          <w:sz w:val="24"/>
          <w:szCs w:val="24"/>
        </w:rPr>
        <w:br w:type="page"/>
      </w:r>
    </w:p>
    <w:p w14:paraId="13F8CB32" w14:textId="360B59CF" w:rsidR="008A541F" w:rsidRDefault="00A40429" w:rsidP="007449F1">
      <w:pPr>
        <w:ind w:firstLine="720"/>
        <w:rPr>
          <w:rFonts w:cstheme="minorHAnsi"/>
          <w:sz w:val="24"/>
          <w:szCs w:val="24"/>
        </w:rPr>
      </w:pPr>
      <w:r>
        <w:rPr>
          <w:rFonts w:cstheme="minorHAnsi"/>
          <w:b/>
          <w:bCs/>
          <w:sz w:val="24"/>
          <w:szCs w:val="24"/>
        </w:rPr>
        <w:lastRenderedPageBreak/>
        <w:t xml:space="preserve">Strategic Priority </w:t>
      </w:r>
      <w:r w:rsidR="00074D07">
        <w:rPr>
          <w:rFonts w:cstheme="minorHAnsi"/>
          <w:b/>
          <w:bCs/>
          <w:sz w:val="24"/>
          <w:szCs w:val="24"/>
        </w:rPr>
        <w:t>1.</w:t>
      </w:r>
      <w:r w:rsidR="00426751">
        <w:rPr>
          <w:rFonts w:cstheme="minorHAnsi"/>
          <w:b/>
          <w:bCs/>
          <w:sz w:val="24"/>
          <w:szCs w:val="24"/>
        </w:rPr>
        <w:t>3</w:t>
      </w:r>
      <w:r w:rsidR="00DA7D47" w:rsidRPr="001A2C69">
        <w:rPr>
          <w:rFonts w:cstheme="minorHAnsi"/>
          <w:b/>
          <w:bCs/>
          <w:sz w:val="24"/>
          <w:szCs w:val="24"/>
        </w:rPr>
        <w:t xml:space="preserve">: </w:t>
      </w:r>
      <w:r w:rsidR="000540F6" w:rsidRPr="001A2C69">
        <w:rPr>
          <w:rFonts w:cstheme="minorHAnsi"/>
          <w:sz w:val="24"/>
          <w:szCs w:val="24"/>
        </w:rPr>
        <w:t xml:space="preserve"> </w:t>
      </w:r>
      <w:r w:rsidR="0095194F">
        <w:rPr>
          <w:rFonts w:cstheme="minorHAnsi"/>
          <w:sz w:val="24"/>
          <w:szCs w:val="24"/>
        </w:rPr>
        <w:t xml:space="preserve">Increase diversity of the stages of </w:t>
      </w:r>
      <w:r w:rsidR="008A541F">
        <w:rPr>
          <w:rFonts w:cstheme="minorHAnsi"/>
          <w:sz w:val="24"/>
          <w:szCs w:val="24"/>
        </w:rPr>
        <w:t>AD</w:t>
      </w:r>
      <w:r w:rsidR="00BF3337">
        <w:rPr>
          <w:rFonts w:cstheme="minorHAnsi"/>
          <w:sz w:val="24"/>
          <w:szCs w:val="24"/>
        </w:rPr>
        <w:t>RD</w:t>
      </w:r>
      <w:r w:rsidR="0095194F">
        <w:rPr>
          <w:rFonts w:cstheme="minorHAnsi"/>
          <w:sz w:val="24"/>
          <w:szCs w:val="24"/>
        </w:rPr>
        <w:t xml:space="preserve"> that are being investigated. </w:t>
      </w:r>
    </w:p>
    <w:p w14:paraId="75C0F73F" w14:textId="28AB22D0" w:rsidR="003A0CC3" w:rsidRDefault="0095194F" w:rsidP="003A0CC3">
      <w:pPr>
        <w:ind w:firstLine="720"/>
        <w:rPr>
          <w:rFonts w:cstheme="minorHAnsi"/>
          <w:sz w:val="24"/>
          <w:szCs w:val="24"/>
        </w:rPr>
      </w:pPr>
      <w:r>
        <w:rPr>
          <w:rFonts w:cstheme="minorHAnsi"/>
          <w:sz w:val="24"/>
          <w:szCs w:val="24"/>
        </w:rPr>
        <w:t xml:space="preserve">The majority of current research in the </w:t>
      </w:r>
      <w:r w:rsidR="008A541F">
        <w:rPr>
          <w:rFonts w:cstheme="minorHAnsi"/>
          <w:sz w:val="24"/>
          <w:szCs w:val="24"/>
        </w:rPr>
        <w:t>C</w:t>
      </w:r>
      <w:r>
        <w:rPr>
          <w:rFonts w:cstheme="minorHAnsi"/>
          <w:sz w:val="24"/>
          <w:szCs w:val="24"/>
        </w:rPr>
        <w:t xml:space="preserve">ommonwealth is focused on </w:t>
      </w:r>
      <w:r w:rsidR="008A541F">
        <w:rPr>
          <w:rFonts w:cstheme="minorHAnsi"/>
          <w:sz w:val="24"/>
          <w:szCs w:val="24"/>
        </w:rPr>
        <w:t>Mild Cognitive Impairment (MCI)</w:t>
      </w:r>
      <w:r>
        <w:rPr>
          <w:rFonts w:cstheme="minorHAnsi"/>
          <w:sz w:val="24"/>
          <w:szCs w:val="24"/>
        </w:rPr>
        <w:t xml:space="preserve"> and mild dementia stages, driven </w:t>
      </w:r>
      <w:r w:rsidR="008A541F">
        <w:rPr>
          <w:rFonts w:cstheme="minorHAnsi"/>
          <w:sz w:val="24"/>
          <w:szCs w:val="24"/>
        </w:rPr>
        <w:t xml:space="preserve">largely </w:t>
      </w:r>
      <w:r>
        <w:rPr>
          <w:rFonts w:cstheme="minorHAnsi"/>
          <w:sz w:val="24"/>
          <w:szCs w:val="24"/>
        </w:rPr>
        <w:t>in part by pharmacological interventions aimed at th</w:t>
      </w:r>
      <w:r w:rsidR="009C046C">
        <w:rPr>
          <w:rFonts w:cstheme="minorHAnsi"/>
          <w:sz w:val="24"/>
          <w:szCs w:val="24"/>
        </w:rPr>
        <w:t>ese</w:t>
      </w:r>
      <w:r>
        <w:rPr>
          <w:rFonts w:cstheme="minorHAnsi"/>
          <w:sz w:val="24"/>
          <w:szCs w:val="24"/>
        </w:rPr>
        <w:t xml:space="preserve"> population</w:t>
      </w:r>
      <w:r w:rsidR="009C046C">
        <w:rPr>
          <w:rFonts w:cstheme="minorHAnsi"/>
          <w:sz w:val="24"/>
          <w:szCs w:val="24"/>
        </w:rPr>
        <w:t>s</w:t>
      </w:r>
      <w:r>
        <w:rPr>
          <w:rFonts w:cstheme="minorHAnsi"/>
          <w:sz w:val="24"/>
          <w:szCs w:val="24"/>
        </w:rPr>
        <w:t xml:space="preserve">. We want to ensure that the </w:t>
      </w:r>
      <w:r w:rsidR="008A541F">
        <w:rPr>
          <w:rFonts w:cstheme="minorHAnsi"/>
          <w:sz w:val="24"/>
          <w:szCs w:val="24"/>
        </w:rPr>
        <w:t>C</w:t>
      </w:r>
      <w:r>
        <w:rPr>
          <w:rFonts w:cstheme="minorHAnsi"/>
          <w:sz w:val="24"/>
          <w:szCs w:val="24"/>
        </w:rPr>
        <w:t xml:space="preserve">ommonwealth also invests in </w:t>
      </w:r>
      <w:r w:rsidR="009C046C">
        <w:rPr>
          <w:rFonts w:cstheme="minorHAnsi"/>
          <w:sz w:val="24"/>
          <w:szCs w:val="24"/>
        </w:rPr>
        <w:t>earl</w:t>
      </w:r>
      <w:r w:rsidR="00E75E4A">
        <w:rPr>
          <w:rFonts w:cstheme="minorHAnsi"/>
          <w:sz w:val="24"/>
          <w:szCs w:val="24"/>
        </w:rPr>
        <w:t>ier</w:t>
      </w:r>
      <w:r w:rsidR="009C046C">
        <w:rPr>
          <w:rFonts w:cstheme="minorHAnsi"/>
          <w:sz w:val="24"/>
          <w:szCs w:val="24"/>
        </w:rPr>
        <w:t xml:space="preserve"> and late</w:t>
      </w:r>
      <w:r w:rsidR="00E75E4A">
        <w:rPr>
          <w:rFonts w:cstheme="minorHAnsi"/>
          <w:sz w:val="24"/>
          <w:szCs w:val="24"/>
        </w:rPr>
        <w:t>r</w:t>
      </w:r>
      <w:r w:rsidR="009C046C">
        <w:rPr>
          <w:rFonts w:cstheme="minorHAnsi"/>
          <w:sz w:val="24"/>
          <w:szCs w:val="24"/>
        </w:rPr>
        <w:t xml:space="preserve"> stages of the disease. </w:t>
      </w:r>
      <w:r w:rsidR="009C046C" w:rsidRPr="001A2C69">
        <w:rPr>
          <w:rFonts w:cstheme="minorHAnsi"/>
          <w:sz w:val="24"/>
          <w:szCs w:val="24"/>
        </w:rPr>
        <w:t xml:space="preserve">Considerable effort should be </w:t>
      </w:r>
      <w:r w:rsidR="009C046C">
        <w:rPr>
          <w:rFonts w:cstheme="minorHAnsi"/>
          <w:sz w:val="24"/>
          <w:szCs w:val="24"/>
        </w:rPr>
        <w:t>undertaken to</w:t>
      </w:r>
      <w:r w:rsidR="009C046C" w:rsidRPr="001A2C69">
        <w:rPr>
          <w:rFonts w:cstheme="minorHAnsi"/>
          <w:sz w:val="24"/>
          <w:szCs w:val="24"/>
        </w:rPr>
        <w:t xml:space="preserve"> identify individuals </w:t>
      </w:r>
      <w:r w:rsidR="009C046C">
        <w:rPr>
          <w:rFonts w:cstheme="minorHAnsi"/>
          <w:sz w:val="24"/>
          <w:szCs w:val="24"/>
        </w:rPr>
        <w:t>in the preclinical stage of AD</w:t>
      </w:r>
      <w:r w:rsidR="000E6623">
        <w:rPr>
          <w:rFonts w:cstheme="minorHAnsi"/>
          <w:sz w:val="24"/>
          <w:szCs w:val="24"/>
        </w:rPr>
        <w:t>RD</w:t>
      </w:r>
      <w:r w:rsidR="009C046C">
        <w:rPr>
          <w:rFonts w:cstheme="minorHAnsi"/>
          <w:sz w:val="24"/>
          <w:szCs w:val="24"/>
        </w:rPr>
        <w:t xml:space="preserve"> and those </w:t>
      </w:r>
      <w:r w:rsidR="009C046C" w:rsidRPr="001A2C69">
        <w:rPr>
          <w:rFonts w:cstheme="minorHAnsi"/>
          <w:sz w:val="24"/>
          <w:szCs w:val="24"/>
        </w:rPr>
        <w:t>with Subjective Cognitive Decline</w:t>
      </w:r>
      <w:r w:rsidR="009C046C">
        <w:rPr>
          <w:rFonts w:cstheme="minorHAnsi"/>
          <w:sz w:val="24"/>
          <w:szCs w:val="24"/>
        </w:rPr>
        <w:t>,</w:t>
      </w:r>
      <w:r w:rsidR="009C046C" w:rsidRPr="001A2C69">
        <w:rPr>
          <w:rFonts w:cstheme="minorHAnsi"/>
          <w:sz w:val="24"/>
          <w:szCs w:val="24"/>
        </w:rPr>
        <w:t xml:space="preserve"> as they could represent the stage of pathology that will be most responsive to treatment</w:t>
      </w:r>
      <w:r w:rsidR="009C046C">
        <w:rPr>
          <w:rFonts w:cstheme="minorHAnsi"/>
          <w:sz w:val="24"/>
          <w:szCs w:val="24"/>
        </w:rPr>
        <w:t>, thereby potentially reducing the numbers of people who go on to develop AD</w:t>
      </w:r>
      <w:r w:rsidR="000E6623">
        <w:rPr>
          <w:rFonts w:cstheme="minorHAnsi"/>
          <w:sz w:val="24"/>
          <w:szCs w:val="24"/>
        </w:rPr>
        <w:t>RD</w:t>
      </w:r>
      <w:r w:rsidR="009C046C" w:rsidRPr="001A2C69">
        <w:rPr>
          <w:rFonts w:cstheme="minorHAnsi"/>
          <w:sz w:val="24"/>
          <w:szCs w:val="24"/>
        </w:rPr>
        <w:t>.</w:t>
      </w:r>
      <w:r w:rsidR="003A0CC3">
        <w:rPr>
          <w:rFonts w:cstheme="minorHAnsi"/>
          <w:sz w:val="24"/>
          <w:szCs w:val="24"/>
        </w:rPr>
        <w:t xml:space="preserve"> </w:t>
      </w:r>
      <w:r w:rsidR="009C046C">
        <w:rPr>
          <w:rFonts w:cstheme="minorHAnsi"/>
          <w:sz w:val="24"/>
          <w:szCs w:val="24"/>
        </w:rPr>
        <w:t>More research is also needed</w:t>
      </w:r>
      <w:r w:rsidR="008651F0">
        <w:rPr>
          <w:rFonts w:cstheme="minorHAnsi"/>
          <w:sz w:val="24"/>
          <w:szCs w:val="24"/>
        </w:rPr>
        <w:t xml:space="preserve"> in the </w:t>
      </w:r>
      <w:r w:rsidR="003A0CC3">
        <w:rPr>
          <w:rFonts w:cstheme="minorHAnsi"/>
          <w:sz w:val="24"/>
          <w:szCs w:val="24"/>
        </w:rPr>
        <w:t xml:space="preserve">earliest and </w:t>
      </w:r>
      <w:r w:rsidR="008651F0">
        <w:rPr>
          <w:rFonts w:cstheme="minorHAnsi"/>
          <w:sz w:val="24"/>
          <w:szCs w:val="24"/>
        </w:rPr>
        <w:t>later stages of clinically apparent dementia</w:t>
      </w:r>
      <w:r w:rsidR="003A0CC3">
        <w:rPr>
          <w:rFonts w:cstheme="minorHAnsi"/>
          <w:sz w:val="24"/>
          <w:szCs w:val="24"/>
        </w:rPr>
        <w:t xml:space="preserve">. Inclusive research involving individuals with early-onset, </w:t>
      </w:r>
      <w:r w:rsidR="008651F0">
        <w:rPr>
          <w:rFonts w:cstheme="minorHAnsi"/>
          <w:sz w:val="24"/>
          <w:szCs w:val="24"/>
        </w:rPr>
        <w:t>moderate</w:t>
      </w:r>
      <w:r w:rsidR="003A0CC3">
        <w:rPr>
          <w:rFonts w:cstheme="minorHAnsi"/>
          <w:sz w:val="24"/>
          <w:szCs w:val="24"/>
        </w:rPr>
        <w:t>,</w:t>
      </w:r>
      <w:r w:rsidR="008651F0">
        <w:rPr>
          <w:rFonts w:cstheme="minorHAnsi"/>
          <w:sz w:val="24"/>
          <w:szCs w:val="24"/>
        </w:rPr>
        <w:t xml:space="preserve"> and severe </w:t>
      </w:r>
      <w:r w:rsidR="003A0CC3">
        <w:rPr>
          <w:rFonts w:cstheme="minorHAnsi"/>
          <w:sz w:val="24"/>
          <w:szCs w:val="24"/>
        </w:rPr>
        <w:t>AD</w:t>
      </w:r>
      <w:r w:rsidR="000E6623">
        <w:rPr>
          <w:rFonts w:cstheme="minorHAnsi"/>
          <w:sz w:val="24"/>
          <w:szCs w:val="24"/>
        </w:rPr>
        <w:t>RD</w:t>
      </w:r>
      <w:r w:rsidR="003A0CC3">
        <w:rPr>
          <w:rFonts w:cstheme="minorHAnsi"/>
          <w:sz w:val="24"/>
          <w:szCs w:val="24"/>
        </w:rPr>
        <w:t xml:space="preserve"> will</w:t>
      </w:r>
      <w:r w:rsidR="008651F0">
        <w:rPr>
          <w:rFonts w:cstheme="minorHAnsi"/>
          <w:sz w:val="24"/>
          <w:szCs w:val="24"/>
        </w:rPr>
        <w:t xml:space="preserve"> help individuals and caregivers already at </w:t>
      </w:r>
      <w:r w:rsidR="00572173">
        <w:rPr>
          <w:rFonts w:cstheme="minorHAnsi"/>
          <w:sz w:val="24"/>
          <w:szCs w:val="24"/>
        </w:rPr>
        <w:t xml:space="preserve">these </w:t>
      </w:r>
      <w:r w:rsidR="008651F0">
        <w:rPr>
          <w:rFonts w:cstheme="minorHAnsi"/>
          <w:sz w:val="24"/>
          <w:szCs w:val="24"/>
        </w:rPr>
        <w:t>stage</w:t>
      </w:r>
      <w:r w:rsidR="00572173">
        <w:rPr>
          <w:rFonts w:cstheme="minorHAnsi"/>
          <w:sz w:val="24"/>
          <w:szCs w:val="24"/>
        </w:rPr>
        <w:t>s</w:t>
      </w:r>
      <w:r w:rsidR="008651F0">
        <w:rPr>
          <w:rFonts w:cstheme="minorHAnsi"/>
          <w:sz w:val="24"/>
          <w:szCs w:val="24"/>
        </w:rPr>
        <w:t xml:space="preserve"> of the disease. Ensuring that individuals are aware of the research and opportunities across the continuum of AD</w:t>
      </w:r>
      <w:r w:rsidR="000E6623">
        <w:rPr>
          <w:rFonts w:cstheme="minorHAnsi"/>
          <w:sz w:val="24"/>
          <w:szCs w:val="24"/>
        </w:rPr>
        <w:t>RD</w:t>
      </w:r>
      <w:r w:rsidR="008651F0">
        <w:rPr>
          <w:rFonts w:cstheme="minorHAnsi"/>
          <w:sz w:val="24"/>
          <w:szCs w:val="24"/>
        </w:rPr>
        <w:t xml:space="preserve"> represents an important step in equity in AD</w:t>
      </w:r>
      <w:r w:rsidR="000E6623">
        <w:rPr>
          <w:rFonts w:cstheme="minorHAnsi"/>
          <w:sz w:val="24"/>
          <w:szCs w:val="24"/>
        </w:rPr>
        <w:t>RD</w:t>
      </w:r>
      <w:r w:rsidR="008651F0">
        <w:rPr>
          <w:rFonts w:cstheme="minorHAnsi"/>
          <w:sz w:val="24"/>
          <w:szCs w:val="24"/>
        </w:rPr>
        <w:t xml:space="preserve"> prevention and care.</w:t>
      </w:r>
    </w:p>
    <w:p w14:paraId="53EEEDE0" w14:textId="51C9F3E0" w:rsidR="00DA085E" w:rsidRDefault="00A40429" w:rsidP="007449F1">
      <w:pPr>
        <w:ind w:firstLine="720"/>
        <w:rPr>
          <w:rFonts w:cstheme="minorHAnsi"/>
          <w:sz w:val="24"/>
          <w:szCs w:val="24"/>
        </w:rPr>
      </w:pPr>
      <w:r>
        <w:rPr>
          <w:rFonts w:cstheme="minorHAnsi"/>
          <w:b/>
          <w:bCs/>
          <w:sz w:val="24"/>
          <w:szCs w:val="24"/>
        </w:rPr>
        <w:t xml:space="preserve">Strategic Priority </w:t>
      </w:r>
      <w:r w:rsidR="00074D07">
        <w:rPr>
          <w:rFonts w:cstheme="minorHAnsi"/>
          <w:b/>
          <w:bCs/>
          <w:sz w:val="24"/>
          <w:szCs w:val="24"/>
        </w:rPr>
        <w:t>1.</w:t>
      </w:r>
      <w:r w:rsidR="001D5BEC">
        <w:rPr>
          <w:rFonts w:cstheme="minorHAnsi"/>
          <w:b/>
          <w:bCs/>
          <w:sz w:val="24"/>
          <w:szCs w:val="24"/>
        </w:rPr>
        <w:t>4</w:t>
      </w:r>
      <w:r w:rsidR="00DA085E" w:rsidRPr="00DA085E">
        <w:rPr>
          <w:rFonts w:cstheme="minorHAnsi"/>
          <w:b/>
          <w:bCs/>
          <w:sz w:val="24"/>
          <w:szCs w:val="24"/>
        </w:rPr>
        <w:t xml:space="preserve">: </w:t>
      </w:r>
      <w:r w:rsidR="00DA085E">
        <w:rPr>
          <w:rFonts w:cstheme="minorHAnsi"/>
          <w:sz w:val="24"/>
          <w:szCs w:val="24"/>
        </w:rPr>
        <w:t>Increase divers</w:t>
      </w:r>
      <w:r w:rsidR="00AE6727">
        <w:rPr>
          <w:rFonts w:cstheme="minorHAnsi"/>
          <w:sz w:val="24"/>
          <w:szCs w:val="24"/>
        </w:rPr>
        <w:t>ity of</w:t>
      </w:r>
      <w:r w:rsidR="00DA085E">
        <w:rPr>
          <w:rFonts w:cstheme="minorHAnsi"/>
          <w:sz w:val="24"/>
          <w:szCs w:val="24"/>
        </w:rPr>
        <w:t xml:space="preserve"> research methods</w:t>
      </w:r>
      <w:r w:rsidR="0095194F">
        <w:rPr>
          <w:rFonts w:cstheme="minorHAnsi"/>
          <w:sz w:val="24"/>
          <w:szCs w:val="24"/>
        </w:rPr>
        <w:t xml:space="preserve"> used to study AD</w:t>
      </w:r>
      <w:r w:rsidR="00AE6727">
        <w:rPr>
          <w:rFonts w:cstheme="minorHAnsi"/>
          <w:sz w:val="24"/>
          <w:szCs w:val="24"/>
        </w:rPr>
        <w:t>RD</w:t>
      </w:r>
      <w:r w:rsidR="00DA085E">
        <w:rPr>
          <w:rFonts w:cstheme="minorHAnsi"/>
          <w:sz w:val="24"/>
          <w:szCs w:val="24"/>
        </w:rPr>
        <w:t>.</w:t>
      </w:r>
    </w:p>
    <w:p w14:paraId="394ADBBD" w14:textId="06C41122" w:rsidR="00DA085E" w:rsidRPr="000838E8" w:rsidRDefault="00FC0FB2" w:rsidP="007449F1">
      <w:pPr>
        <w:ind w:firstLine="720"/>
        <w:rPr>
          <w:rFonts w:cstheme="minorHAnsi"/>
          <w:sz w:val="24"/>
          <w:szCs w:val="24"/>
        </w:rPr>
      </w:pPr>
      <w:r>
        <w:rPr>
          <w:rFonts w:cstheme="minorHAnsi"/>
          <w:sz w:val="24"/>
          <w:szCs w:val="24"/>
        </w:rPr>
        <w:t>The breadth and depth of research in AD</w:t>
      </w:r>
      <w:r w:rsidR="002F007A">
        <w:rPr>
          <w:rFonts w:cstheme="minorHAnsi"/>
          <w:sz w:val="24"/>
          <w:szCs w:val="24"/>
        </w:rPr>
        <w:t>RD</w:t>
      </w:r>
      <w:r>
        <w:rPr>
          <w:rFonts w:cstheme="minorHAnsi"/>
          <w:sz w:val="24"/>
          <w:szCs w:val="24"/>
        </w:rPr>
        <w:t xml:space="preserve"> is vast</w:t>
      </w:r>
      <w:r w:rsidR="002F007A">
        <w:rPr>
          <w:rFonts w:cstheme="minorHAnsi"/>
          <w:sz w:val="24"/>
          <w:szCs w:val="24"/>
        </w:rPr>
        <w:t>—</w:t>
      </w:r>
      <w:r w:rsidR="00FC46B7">
        <w:rPr>
          <w:rFonts w:cstheme="minorHAnsi"/>
          <w:sz w:val="24"/>
          <w:szCs w:val="24"/>
        </w:rPr>
        <w:t xml:space="preserve">with key insights about the disease derived from studies of animal models, </w:t>
      </w:r>
      <w:r w:rsidR="006D0326">
        <w:rPr>
          <w:rFonts w:cstheme="minorHAnsi"/>
          <w:sz w:val="24"/>
          <w:szCs w:val="24"/>
        </w:rPr>
        <w:t xml:space="preserve">novel </w:t>
      </w:r>
      <w:r w:rsidR="00FC46B7">
        <w:rPr>
          <w:rFonts w:cstheme="minorHAnsi"/>
          <w:sz w:val="24"/>
          <w:szCs w:val="24"/>
        </w:rPr>
        <w:t>medications, neuroimaging, and behavioral experiments. Despite advances in AD</w:t>
      </w:r>
      <w:r w:rsidR="002F007A">
        <w:rPr>
          <w:rFonts w:cstheme="minorHAnsi"/>
          <w:sz w:val="24"/>
          <w:szCs w:val="24"/>
        </w:rPr>
        <w:t>RD</w:t>
      </w:r>
      <w:r w:rsidR="00FC46B7">
        <w:rPr>
          <w:rFonts w:cstheme="minorHAnsi"/>
          <w:sz w:val="24"/>
          <w:szCs w:val="24"/>
        </w:rPr>
        <w:t xml:space="preserve"> research, </w:t>
      </w:r>
      <w:r w:rsidR="002F007A">
        <w:rPr>
          <w:rFonts w:cstheme="minorHAnsi"/>
          <w:sz w:val="24"/>
          <w:szCs w:val="24"/>
        </w:rPr>
        <w:t xml:space="preserve">many promising </w:t>
      </w:r>
      <w:r w:rsidR="00FC46B7">
        <w:rPr>
          <w:rFonts w:cstheme="minorHAnsi"/>
          <w:sz w:val="24"/>
          <w:szCs w:val="24"/>
        </w:rPr>
        <w:t xml:space="preserve">methods and research avenues remain underfunded and understudied. </w:t>
      </w:r>
      <w:r w:rsidR="00886877">
        <w:rPr>
          <w:rFonts w:cstheme="minorHAnsi"/>
          <w:sz w:val="24"/>
          <w:szCs w:val="24"/>
        </w:rPr>
        <w:t xml:space="preserve">Challenges to research initiatives can be logistic. For example, because of the extensive duration of the disease, large-scale, long-term research may be practically or financially difficult to implement </w:t>
      </w:r>
      <w:r w:rsidR="005300FD">
        <w:rPr>
          <w:rFonts w:cstheme="minorHAnsi"/>
          <w:sz w:val="24"/>
          <w:szCs w:val="24"/>
        </w:rPr>
        <w:fldChar w:fldCharType="begin" w:fldLock="1"/>
      </w:r>
      <w:r w:rsidR="001E0DC0">
        <w:rPr>
          <w:rFonts w:cstheme="minorHAnsi"/>
          <w:sz w:val="24"/>
          <w:szCs w:val="24"/>
        </w:rPr>
        <w:instrText>ADDIN CSL_CITATION {"citationItems":[{"id":"ITEM-1","itemData":{"DOI":"10.1186/s13195-015-0113-6","ISSN":"17589193","abstract":"Dementia is a substantial and increasing public health concern. Despite decades of research, a cure or effective preventative treatment for dementia remains elusive. We offer critical review of contemporary dementia research and discuss potential reasons why progress in the field has not been as rapid as in other disciplines. We adopt a broad approach in keeping with the broad nature of the topic. We cover the difficulties inherent in studying dementia from 'bench' to 'bedside' to 'population'. We make particular reference to issues of operationalisation of the dementia syndrome and our evolving understanding of dementia as a research 'outcome'. We discuss contemporary 'hot topics' in dementia research methodology focussing on dementia models, pre-dementia states and biomarkers. Recognising the importance of prospective epidemiological cohorts and large-scale clinical trials we pay particular attention to these approaches and the challenges of generating results that have 'real world' external validity. Based on our thoughts we end with suggestions for future dementia research. Our review is designed to be critical but not unnecessarily negative. There is reason for cautious optimism in dementia research. The recent G8 summit on dementia and subsequent establishment of the World Dementia Council are examples of initiatives that reflect societal and political will to increase research efforts in dementia.","author":[{"dropping-particle":"","family":"Ritchie","given":"Craig W.","non-dropping-particle":"","parse-names":false,"suffix":""},{"dropping-particle":"","family":"Terrera","given":"Graciela Muniz","non-dropping-particle":"","parse-names":false,"suffix":""},{"dropping-particle":"","family":"Quinn","given":"Terence J.","non-dropping-particle":"","parse-names":false,"suffix":""}],"container-title":"Alzheimer's Research and Therapy","id":"ITEM-1","issue":"1","issued":{"date-parts":[["2015","3","18"]]},"page":"1-11","publisher":"BioMed Central Ltd.","title":"Dementia trials and dementia tribulations: Methodological and analytical challenges in dementia research","type":"article","volume":"7"},"uris":["http://www.mendeley.com/documents/?uuid=8588434c-1cdb-3ec9-8e42-36e97c322b89"]}],"mendeley":{"formattedCitation":"(Ritchie et al., 2015)","plainTextFormattedCitation":"(Ritchie et al., 2015)","previouslyFormattedCitation":"(Ritchie et al., 2015)"},"properties":{"noteIndex":0},"schema":"https://github.com/citation-style-language/schema/raw/master/csl-citation.json"}</w:instrText>
      </w:r>
      <w:r w:rsidR="005300FD">
        <w:rPr>
          <w:rFonts w:cstheme="minorHAnsi"/>
          <w:sz w:val="24"/>
          <w:szCs w:val="24"/>
        </w:rPr>
        <w:fldChar w:fldCharType="separate"/>
      </w:r>
      <w:r w:rsidR="005300FD" w:rsidRPr="005300FD">
        <w:rPr>
          <w:rFonts w:cstheme="minorHAnsi"/>
          <w:noProof/>
          <w:sz w:val="24"/>
          <w:szCs w:val="24"/>
        </w:rPr>
        <w:t>(Ritchie et al., 2015)</w:t>
      </w:r>
      <w:r w:rsidR="005300FD">
        <w:rPr>
          <w:rFonts w:cstheme="minorHAnsi"/>
          <w:sz w:val="24"/>
          <w:szCs w:val="24"/>
        </w:rPr>
        <w:fldChar w:fldCharType="end"/>
      </w:r>
      <w:r w:rsidR="00886877">
        <w:rPr>
          <w:rFonts w:cstheme="minorHAnsi"/>
          <w:sz w:val="24"/>
          <w:szCs w:val="24"/>
        </w:rPr>
        <w:t>. There are several other important challenges (</w:t>
      </w:r>
      <w:r w:rsidR="002F007A">
        <w:rPr>
          <w:rFonts w:cstheme="minorHAnsi"/>
          <w:sz w:val="24"/>
          <w:szCs w:val="24"/>
        </w:rPr>
        <w:t xml:space="preserve">some </w:t>
      </w:r>
      <w:r w:rsidR="00886877">
        <w:rPr>
          <w:rFonts w:cstheme="minorHAnsi"/>
          <w:sz w:val="24"/>
          <w:szCs w:val="24"/>
        </w:rPr>
        <w:t>named here), from topics not traditionally of interest to AD</w:t>
      </w:r>
      <w:r w:rsidR="001D5BEC">
        <w:rPr>
          <w:rFonts w:cstheme="minorHAnsi"/>
          <w:sz w:val="24"/>
          <w:szCs w:val="24"/>
        </w:rPr>
        <w:t>RD</w:t>
      </w:r>
      <w:r w:rsidR="00886877">
        <w:rPr>
          <w:rFonts w:cstheme="minorHAnsi"/>
          <w:sz w:val="24"/>
          <w:szCs w:val="24"/>
        </w:rPr>
        <w:t xml:space="preserve"> researchers</w:t>
      </w:r>
      <w:r w:rsidR="002F007A">
        <w:rPr>
          <w:rFonts w:cstheme="minorHAnsi"/>
          <w:sz w:val="24"/>
          <w:szCs w:val="24"/>
        </w:rPr>
        <w:t xml:space="preserve"> but perhaps critically important</w:t>
      </w:r>
      <w:r w:rsidR="00886877">
        <w:rPr>
          <w:rFonts w:cstheme="minorHAnsi"/>
          <w:sz w:val="24"/>
          <w:szCs w:val="24"/>
        </w:rPr>
        <w:t xml:space="preserve"> (e.g., built environment</w:t>
      </w:r>
      <w:r w:rsidR="006D3864">
        <w:rPr>
          <w:rFonts w:cstheme="minorHAnsi"/>
          <w:sz w:val="24"/>
          <w:szCs w:val="24"/>
        </w:rPr>
        <w:t>, Calkins &amp; Zimmerman, 2018</w:t>
      </w:r>
      <w:r w:rsidR="00886877">
        <w:rPr>
          <w:rFonts w:cstheme="minorHAnsi"/>
          <w:sz w:val="24"/>
          <w:szCs w:val="24"/>
        </w:rPr>
        <w:t xml:space="preserve">) and those not funded at high rates (e.g., health disparities). To this, the present COVID-19 pandemic adds </w:t>
      </w:r>
      <w:r w:rsidR="00371904">
        <w:rPr>
          <w:rFonts w:cstheme="minorHAnsi"/>
          <w:sz w:val="24"/>
          <w:szCs w:val="24"/>
        </w:rPr>
        <w:t>additional financial and practical constraints</w:t>
      </w:r>
      <w:r w:rsidR="00371904" w:rsidRPr="000838E8">
        <w:rPr>
          <w:rFonts w:cstheme="minorHAnsi"/>
          <w:sz w:val="24"/>
          <w:szCs w:val="24"/>
        </w:rPr>
        <w:t>. Creative methods</w:t>
      </w:r>
      <w:r w:rsidR="004B3BCF" w:rsidRPr="000838E8">
        <w:rPr>
          <w:rFonts w:cstheme="minorHAnsi"/>
          <w:sz w:val="24"/>
          <w:szCs w:val="24"/>
        </w:rPr>
        <w:t xml:space="preserve"> </w:t>
      </w:r>
      <w:r w:rsidR="00371904" w:rsidRPr="000838E8">
        <w:rPr>
          <w:rFonts w:cstheme="minorHAnsi"/>
          <w:sz w:val="24"/>
          <w:szCs w:val="24"/>
        </w:rPr>
        <w:t>using new technologies</w:t>
      </w:r>
      <w:r w:rsidR="00810311" w:rsidRPr="000838E8">
        <w:rPr>
          <w:rFonts w:cstheme="minorHAnsi"/>
          <w:sz w:val="24"/>
          <w:szCs w:val="24"/>
        </w:rPr>
        <w:t>, methods, and approaches</w:t>
      </w:r>
      <w:r w:rsidR="004B3BCF" w:rsidRPr="000838E8">
        <w:rPr>
          <w:rFonts w:cstheme="minorHAnsi"/>
          <w:sz w:val="24"/>
          <w:szCs w:val="24"/>
        </w:rPr>
        <w:t xml:space="preserve"> </w:t>
      </w:r>
      <w:r w:rsidR="00371904" w:rsidRPr="000838E8">
        <w:rPr>
          <w:rFonts w:cstheme="minorHAnsi"/>
          <w:sz w:val="24"/>
          <w:szCs w:val="24"/>
        </w:rPr>
        <w:t>should be explored and supported.</w:t>
      </w:r>
    </w:p>
    <w:p w14:paraId="47E0E9D8" w14:textId="47729631" w:rsidR="000E6623" w:rsidRDefault="000E6623" w:rsidP="000E6623">
      <w:pPr>
        <w:ind w:firstLine="720"/>
        <w:rPr>
          <w:rFonts w:cstheme="minorHAnsi"/>
          <w:sz w:val="24"/>
          <w:szCs w:val="24"/>
        </w:rPr>
      </w:pPr>
      <w:r w:rsidRPr="000838E8">
        <w:rPr>
          <w:rFonts w:cstheme="minorHAnsi"/>
          <w:sz w:val="24"/>
          <w:szCs w:val="24"/>
        </w:rPr>
        <w:t xml:space="preserve">In sum, increased representation of research participants is needed across an array of different diverse groups: those of racial and ethnic minorities (1.1), individuals of lower socioeconomic status and caregivers (1.2), and individuals across the continuum of ADRD, from preclinical through severe dementia (1.3). Common across these groups are the approaches to increasing involvement: building community relationships and outreach, supporting solutions for specific barriers to participation, and bringing those with lived experience onto the research team. </w:t>
      </w:r>
      <w:r w:rsidR="004B3BCF" w:rsidRPr="000838E8">
        <w:rPr>
          <w:rFonts w:cstheme="minorHAnsi"/>
          <w:sz w:val="24"/>
          <w:szCs w:val="24"/>
        </w:rPr>
        <w:t xml:space="preserve">Increased diversity is also needed in the </w:t>
      </w:r>
      <w:r w:rsidR="00810311" w:rsidRPr="000838E8">
        <w:rPr>
          <w:rFonts w:cstheme="minorHAnsi"/>
          <w:sz w:val="24"/>
          <w:szCs w:val="24"/>
        </w:rPr>
        <w:t>methods, techniques, and approaches used to study ADRD</w:t>
      </w:r>
      <w:r w:rsidR="000C62C4" w:rsidRPr="000838E8">
        <w:rPr>
          <w:rFonts w:cstheme="minorHAnsi"/>
          <w:sz w:val="24"/>
          <w:szCs w:val="24"/>
        </w:rPr>
        <w:t xml:space="preserve"> (1.4)</w:t>
      </w:r>
      <w:r w:rsidR="00810311" w:rsidRPr="000838E8">
        <w:rPr>
          <w:rFonts w:cstheme="minorHAnsi"/>
          <w:sz w:val="24"/>
          <w:szCs w:val="24"/>
        </w:rPr>
        <w:t>.</w:t>
      </w:r>
    </w:p>
    <w:p w14:paraId="48A89C51" w14:textId="77777777" w:rsidR="00CC4334" w:rsidRDefault="00CC4334">
      <w:pPr>
        <w:rPr>
          <w:rFonts w:cstheme="minorHAnsi"/>
          <w:b/>
          <w:bCs/>
          <w:sz w:val="24"/>
          <w:szCs w:val="24"/>
        </w:rPr>
      </w:pPr>
      <w:r>
        <w:rPr>
          <w:rFonts w:cstheme="minorHAnsi"/>
          <w:b/>
          <w:bCs/>
          <w:sz w:val="24"/>
          <w:szCs w:val="24"/>
        </w:rPr>
        <w:br w:type="page"/>
      </w:r>
    </w:p>
    <w:p w14:paraId="3E9056B1" w14:textId="3462AD8C" w:rsidR="00426751" w:rsidRDefault="0004473C" w:rsidP="009F3AA9">
      <w:pPr>
        <w:ind w:firstLine="720"/>
        <w:rPr>
          <w:rFonts w:cstheme="minorHAnsi"/>
          <w:sz w:val="24"/>
          <w:szCs w:val="24"/>
        </w:rPr>
      </w:pPr>
      <w:r w:rsidRPr="001A2C69">
        <w:rPr>
          <w:rFonts w:cstheme="minorHAnsi"/>
          <w:b/>
          <w:bCs/>
          <w:sz w:val="24"/>
          <w:szCs w:val="24"/>
        </w:rPr>
        <w:lastRenderedPageBreak/>
        <w:t>Recommendation #</w:t>
      </w:r>
      <w:r>
        <w:rPr>
          <w:rFonts w:cstheme="minorHAnsi"/>
          <w:b/>
          <w:bCs/>
          <w:sz w:val="24"/>
          <w:szCs w:val="24"/>
        </w:rPr>
        <w:t>2</w:t>
      </w:r>
      <w:r w:rsidRPr="001A2C69">
        <w:rPr>
          <w:rFonts w:cstheme="minorHAnsi"/>
          <w:b/>
          <w:bCs/>
          <w:sz w:val="24"/>
          <w:szCs w:val="24"/>
        </w:rPr>
        <w:t>:</w:t>
      </w:r>
      <w:r w:rsidRPr="001A2C69">
        <w:rPr>
          <w:rFonts w:cstheme="minorHAnsi"/>
          <w:sz w:val="24"/>
          <w:szCs w:val="24"/>
        </w:rPr>
        <w:t xml:space="preserve"> </w:t>
      </w:r>
      <w:r w:rsidR="0095194F" w:rsidRPr="0085025C">
        <w:rPr>
          <w:rFonts w:cstheme="minorHAnsi"/>
          <w:b/>
          <w:bCs/>
          <w:i/>
          <w:iCs/>
          <w:sz w:val="24"/>
          <w:szCs w:val="24"/>
        </w:rPr>
        <w:t xml:space="preserve">Increase diversity of </w:t>
      </w:r>
      <w:r w:rsidR="00426751" w:rsidRPr="0085025C">
        <w:rPr>
          <w:rFonts w:cstheme="minorHAnsi"/>
          <w:b/>
          <w:bCs/>
          <w:i/>
          <w:iCs/>
          <w:sz w:val="24"/>
          <w:szCs w:val="24"/>
        </w:rPr>
        <w:t xml:space="preserve">Alzheimer’s </w:t>
      </w:r>
      <w:r w:rsidR="000C62C4" w:rsidRPr="0085025C">
        <w:rPr>
          <w:rFonts w:cstheme="minorHAnsi"/>
          <w:b/>
          <w:bCs/>
          <w:i/>
          <w:iCs/>
          <w:sz w:val="24"/>
          <w:szCs w:val="24"/>
        </w:rPr>
        <w:t>d</w:t>
      </w:r>
      <w:r w:rsidR="00426751" w:rsidRPr="0085025C">
        <w:rPr>
          <w:rFonts w:cstheme="minorHAnsi"/>
          <w:b/>
          <w:bCs/>
          <w:i/>
          <w:iCs/>
          <w:sz w:val="24"/>
          <w:szCs w:val="24"/>
        </w:rPr>
        <w:t>isease</w:t>
      </w:r>
      <w:r w:rsidR="0095194F" w:rsidRPr="0085025C">
        <w:rPr>
          <w:rFonts w:cstheme="minorHAnsi"/>
          <w:b/>
          <w:bCs/>
          <w:i/>
          <w:iCs/>
          <w:sz w:val="24"/>
          <w:szCs w:val="24"/>
        </w:rPr>
        <w:t xml:space="preserve"> researchers.</w:t>
      </w:r>
    </w:p>
    <w:p w14:paraId="2C6D5E99" w14:textId="7A384BC1" w:rsidR="0004473C" w:rsidRPr="001A2C69" w:rsidRDefault="00A40429" w:rsidP="009F3AA9">
      <w:pPr>
        <w:ind w:firstLine="720"/>
        <w:rPr>
          <w:rFonts w:cstheme="minorHAnsi"/>
          <w:sz w:val="24"/>
          <w:szCs w:val="24"/>
        </w:rPr>
      </w:pPr>
      <w:r>
        <w:rPr>
          <w:rFonts w:cstheme="minorHAnsi"/>
          <w:b/>
          <w:bCs/>
          <w:sz w:val="24"/>
          <w:szCs w:val="24"/>
        </w:rPr>
        <w:t xml:space="preserve">Strategic Priority </w:t>
      </w:r>
      <w:r w:rsidR="00074D07">
        <w:rPr>
          <w:rFonts w:cstheme="minorHAnsi"/>
          <w:b/>
          <w:bCs/>
          <w:sz w:val="24"/>
          <w:szCs w:val="24"/>
        </w:rPr>
        <w:t>2.</w:t>
      </w:r>
      <w:r w:rsidR="0095194F" w:rsidRPr="00426751">
        <w:rPr>
          <w:rFonts w:cstheme="minorHAnsi"/>
          <w:b/>
          <w:bCs/>
          <w:sz w:val="24"/>
          <w:szCs w:val="24"/>
        </w:rPr>
        <w:t>1:</w:t>
      </w:r>
      <w:r w:rsidR="0095194F">
        <w:rPr>
          <w:rFonts w:cstheme="minorHAnsi"/>
          <w:sz w:val="24"/>
          <w:szCs w:val="24"/>
        </w:rPr>
        <w:t xml:space="preserve"> Increase racial and ethnic diversity of AD</w:t>
      </w:r>
      <w:r w:rsidR="00E068A7">
        <w:rPr>
          <w:rFonts w:cstheme="minorHAnsi"/>
          <w:sz w:val="24"/>
          <w:szCs w:val="24"/>
        </w:rPr>
        <w:t>RD</w:t>
      </w:r>
      <w:r w:rsidR="0095194F">
        <w:rPr>
          <w:rFonts w:cstheme="minorHAnsi"/>
          <w:sz w:val="24"/>
          <w:szCs w:val="24"/>
        </w:rPr>
        <w:t xml:space="preserve"> researchers.</w:t>
      </w:r>
    </w:p>
    <w:p w14:paraId="539F2DA0" w14:textId="6390D1B1" w:rsidR="001A2C69" w:rsidRDefault="0092169E" w:rsidP="0005554F">
      <w:pPr>
        <w:ind w:firstLine="720"/>
        <w:rPr>
          <w:rFonts w:cstheme="minorHAnsi"/>
          <w:sz w:val="24"/>
          <w:szCs w:val="24"/>
        </w:rPr>
      </w:pPr>
      <w:r w:rsidRPr="001A2C69">
        <w:rPr>
          <w:rFonts w:cstheme="minorHAnsi"/>
          <w:sz w:val="24"/>
          <w:szCs w:val="24"/>
        </w:rPr>
        <w:t xml:space="preserve">As with research participation, lack of representation in AD </w:t>
      </w:r>
      <w:r w:rsidRPr="001A2C69">
        <w:rPr>
          <w:rFonts w:cstheme="minorHAnsi"/>
          <w:i/>
          <w:iCs/>
          <w:sz w:val="24"/>
          <w:szCs w:val="24"/>
        </w:rPr>
        <w:t>researchers</w:t>
      </w:r>
      <w:r w:rsidRPr="001A2C69">
        <w:rPr>
          <w:rFonts w:cstheme="minorHAnsi"/>
          <w:sz w:val="24"/>
          <w:szCs w:val="24"/>
        </w:rPr>
        <w:t xml:space="preserve"> presents a significant challenge</w:t>
      </w:r>
      <w:r w:rsidR="00E068A7">
        <w:rPr>
          <w:rFonts w:cstheme="minorHAnsi"/>
          <w:sz w:val="24"/>
          <w:szCs w:val="24"/>
        </w:rPr>
        <w:t xml:space="preserve">. This </w:t>
      </w:r>
      <w:r w:rsidR="0007253A" w:rsidRPr="001A2C69">
        <w:rPr>
          <w:rFonts w:cstheme="minorHAnsi"/>
          <w:sz w:val="24"/>
          <w:szCs w:val="24"/>
        </w:rPr>
        <w:t xml:space="preserve">phenomena </w:t>
      </w:r>
      <w:r w:rsidR="00E068A7">
        <w:rPr>
          <w:rFonts w:cstheme="minorHAnsi"/>
          <w:sz w:val="24"/>
          <w:szCs w:val="24"/>
        </w:rPr>
        <w:t xml:space="preserve">is </w:t>
      </w:r>
      <w:r w:rsidR="0007253A" w:rsidRPr="001A2C69">
        <w:rPr>
          <w:rFonts w:cstheme="minorHAnsi"/>
          <w:sz w:val="24"/>
          <w:szCs w:val="24"/>
        </w:rPr>
        <w:t xml:space="preserve">seen broadly across </w:t>
      </w:r>
      <w:r w:rsidR="00E068A7">
        <w:rPr>
          <w:rFonts w:cstheme="minorHAnsi"/>
          <w:sz w:val="24"/>
          <w:szCs w:val="24"/>
        </w:rPr>
        <w:t xml:space="preserve">multiple </w:t>
      </w:r>
      <w:r w:rsidR="0007253A" w:rsidRPr="001A2C69">
        <w:rPr>
          <w:rFonts w:cstheme="minorHAnsi"/>
          <w:sz w:val="24"/>
          <w:szCs w:val="24"/>
        </w:rPr>
        <w:t xml:space="preserve">disciplines and stages of a researcher’s career, from graduate school </w:t>
      </w:r>
      <w:r w:rsidR="00EA1FA1" w:rsidRPr="001A2C69">
        <w:rPr>
          <w:rFonts w:cstheme="minorHAnsi"/>
          <w:sz w:val="24"/>
          <w:szCs w:val="24"/>
        </w:rPr>
        <w:fldChar w:fldCharType="begin" w:fldLock="1"/>
      </w:r>
      <w:r w:rsidR="00EA1FA1" w:rsidRPr="001A2C69">
        <w:rPr>
          <w:rFonts w:cstheme="minorHAnsi"/>
          <w:sz w:val="24"/>
          <w:szCs w:val="24"/>
        </w:rPr>
        <w:instrText xml:space="preserve">ADDIN CSL_CITATION {"citationItems":[{"id":"ITEM-1","itemData":{"DOI":"10.1073/pnas.1915378117","ISSN":"10916490","PMID":"32291335","abstract":"Prior work finds a diversity paradox: Diversity breeds innovation, yet underrepresented groups that diversify organizations have less successful careers within them. Does the diversity paradox hold for scientists as well? We study this by utilizing a near-complete population of </w:instrText>
      </w:r>
      <w:r w:rsidR="00EA1FA1" w:rsidRPr="001A2C69">
        <w:rPr>
          <w:rFonts w:ascii="Cambria Math" w:hAnsi="Cambria Math" w:cs="Cambria Math"/>
          <w:sz w:val="24"/>
          <w:szCs w:val="24"/>
        </w:rPr>
        <w:instrText>∼</w:instrText>
      </w:r>
      <w:r w:rsidR="00EA1FA1" w:rsidRPr="001A2C69">
        <w:rPr>
          <w:rFonts w:cstheme="minorHAnsi"/>
          <w:sz w:val="24"/>
          <w:szCs w:val="24"/>
        </w:rPr>
        <w:instrText>1.2 million US doctoral recipients from 1977 to 2015 and following their careers into publishing and faculty positions. We use text analysis and machine learning to answer a series of questions: How do we detect scientific innovations? Are underrepresented groups more likely to generate scientific innovations? And are the innovations of underrepresented groups adopted and rewarded? Our analyses show that underrepresented groups produce higher rates of scientific novelty. However, their novel contributions are devalued and discounted: For example, novel contributions by gender and racial minorities are taken up by other scholars at lower rates than novel contributions by gender and racial majorities, and equally impactful contributions of gender and racial minorities are less likely to result in successful scientific careers than for majority groups. These results suggest there may be unwarranted reproduction of stratification in academic careers that discounts diversity’s role in innovation and partly explains the underrepresentation of some groups in academia.","author":[{"dropping-particle":"","family":"Hofstra","given":"Bas","non-dropping-particle":"","parse-names":false,"suffix":""},{"dropping-particle":"V.","family":"Kulkarni","given":"Vivek","non-dropping-particle":"","parse-names":false,"suffix":""},{"dropping-particle":"","family":"Galvez","given":"Sebastian Munoz Najar","non-dropping-particle":"","parse-names":false,"suffix":""},{"dropping-particle":"","family":"He","given":"Bryan","non-dropping-particle":"","parse-names":false,"suffix":""},{"dropping-particle":"","family":"Jurafsky","given":"Dan","non-dropping-particle":"","parse-names":false,"suffix":""},{"dropping-particle":"","family":"McFarland","given":"Daniel A.","non-dropping-particle":"","parse-names":false,"suffix":""}],"container-title":"Proceedings of the National Academy of Sciences of the United States of America","id":"ITEM-1","issue":"17","issued":{"date-parts":[["2020","4","28"]]},"page":"9284-9291","publisher":"National Academy of Sciences","title":"The diversity–innovation paradox in science","type":"article-journal","volume":"117"},"uris":["http://www.mendeley.com/documents/?uuid=fced3685-2f7b-33e7-8f5f-05eda7c8cf08"]}],"mendeley":{"formattedCitation":"(Hofstra et al., 2020)","plainTextFormattedCitation":"(Hofstra et al., 2020)","previouslyFormattedCitation":"(Hofstra et al., 2020)"},"properties":{"noteIndex":0},"schema":"https://github.com/citation-style-language/schema/raw/master/csl-citation.json"}</w:instrText>
      </w:r>
      <w:r w:rsidR="00EA1FA1" w:rsidRPr="001A2C69">
        <w:rPr>
          <w:rFonts w:cstheme="minorHAnsi"/>
          <w:sz w:val="24"/>
          <w:szCs w:val="24"/>
        </w:rPr>
        <w:fldChar w:fldCharType="separate"/>
      </w:r>
      <w:r w:rsidR="00EA1FA1" w:rsidRPr="001A2C69">
        <w:rPr>
          <w:rFonts w:cstheme="minorHAnsi"/>
          <w:noProof/>
          <w:sz w:val="24"/>
          <w:szCs w:val="24"/>
        </w:rPr>
        <w:t>(Hofstra et al., 2020)</w:t>
      </w:r>
      <w:r w:rsidR="00EA1FA1" w:rsidRPr="001A2C69">
        <w:rPr>
          <w:rFonts w:cstheme="minorHAnsi"/>
          <w:sz w:val="24"/>
          <w:szCs w:val="24"/>
        </w:rPr>
        <w:fldChar w:fldCharType="end"/>
      </w:r>
      <w:r w:rsidR="0007253A" w:rsidRPr="001A2C69">
        <w:rPr>
          <w:rFonts w:cstheme="minorHAnsi"/>
          <w:sz w:val="24"/>
          <w:szCs w:val="24"/>
        </w:rPr>
        <w:t xml:space="preserve">, to early career awards </w:t>
      </w:r>
      <w:r w:rsidR="00EA1FA1" w:rsidRPr="001A2C69">
        <w:rPr>
          <w:rFonts w:cstheme="minorHAnsi"/>
          <w:sz w:val="24"/>
          <w:szCs w:val="24"/>
        </w:rPr>
        <w:fldChar w:fldCharType="begin" w:fldLock="1"/>
      </w:r>
      <w:r w:rsidR="00EA1FA1" w:rsidRPr="001A2C69">
        <w:rPr>
          <w:rFonts w:cstheme="minorHAnsi"/>
          <w:sz w:val="24"/>
          <w:szCs w:val="24"/>
        </w:rPr>
        <w:instrText>ADDIN CSL_CITATION {"citationItems":[{"id":"ITEM-1","itemData":{"DOI":"10.1177/0146167219845921","ISSN":"15527433","PMID":"31088206","abstract":"Grant-writing and grant-getting are key to success in many academic disciplines, but research points to gender gaps in both, especially as careers progress. Using a sample of National Institutes of Health (NIH) K-Awardees—Principal Investigators of Mentored Career Development Awards—we examined gender and race effects in response to imagined negative grant reviews that emphasized either promise or inadequacy. Women translated both forms of feedback into worse NIH priority scores than did men and showed reduced motivation to reapply for funding following the review highlighting inadequacy. Translation of feedback mediated the effects of gender on motivation, changing one’s research focus, and advice-seeking. Race effects were less consistent, and race did not moderate effects of gender. We suggest that gender bias in grant reviews (i.e., greater likelihood of highlighting inadequacy in reviews of women’s grants), along with gender differences in responsiveness to feedback, may contribute to women’s underrepresentation in academic medicine.","author":[{"dropping-particle":"","family":"Biernat","given":"Monica","non-dropping-particle":"","parse-names":false,"suffix":""},{"dropping-particle":"","family":"Carnes","given":"Molly","non-dropping-particle":"","parse-names":false,"suffix":""},{"dropping-particle":"","family":"Filut","given":"Amarette","non-dropping-particle":"","parse-names":false,"suffix":""},{"dropping-particle":"","family":"Kaatz","given":"Anna","non-dropping-particle":"","parse-names":false,"suffix":""}],"container-title":"Personality and Social Psychology Bulletin","id":"ITEM-1","issue":"1","issued":{"date-parts":[["2020","1","1"]]},"page":"140-154","publisher":"SAGE Publications Inc.","title":"Gender, Race, and Grant Reviews: Translating and Responding to Research Feedback","type":"article-journal","volume":"46"},"uris":["http://www.mendeley.com/documents/?uuid=c308cde3-e9b4-30e2-b817-b3ca43951017"]}],"mendeley":{"formattedCitation":"(Biernat et al., 2020)","plainTextFormattedCitation":"(Biernat et al., 2020)","previouslyFormattedCitation":"(Biernat et al., 2020)"},"properties":{"noteIndex":0},"schema":"https://github.com/citation-style-language/schema/raw/master/csl-citation.json"}</w:instrText>
      </w:r>
      <w:r w:rsidR="00EA1FA1" w:rsidRPr="001A2C69">
        <w:rPr>
          <w:rFonts w:cstheme="minorHAnsi"/>
          <w:sz w:val="24"/>
          <w:szCs w:val="24"/>
        </w:rPr>
        <w:fldChar w:fldCharType="separate"/>
      </w:r>
      <w:r w:rsidR="00EA1FA1" w:rsidRPr="001A2C69">
        <w:rPr>
          <w:rFonts w:cstheme="minorHAnsi"/>
          <w:noProof/>
          <w:sz w:val="24"/>
          <w:szCs w:val="24"/>
        </w:rPr>
        <w:t>(Biernat et al., 2020)</w:t>
      </w:r>
      <w:r w:rsidR="00EA1FA1" w:rsidRPr="001A2C69">
        <w:rPr>
          <w:rFonts w:cstheme="minorHAnsi"/>
          <w:sz w:val="24"/>
          <w:szCs w:val="24"/>
        </w:rPr>
        <w:fldChar w:fldCharType="end"/>
      </w:r>
      <w:r w:rsidR="0007253A" w:rsidRPr="001A2C69">
        <w:rPr>
          <w:rFonts w:cstheme="minorHAnsi"/>
          <w:sz w:val="24"/>
          <w:szCs w:val="24"/>
        </w:rPr>
        <w:t xml:space="preserve">, and large scale grants </w:t>
      </w:r>
      <w:r w:rsidR="00EA1FA1" w:rsidRPr="001A2C69">
        <w:rPr>
          <w:rFonts w:cstheme="minorHAnsi"/>
          <w:sz w:val="24"/>
          <w:szCs w:val="24"/>
        </w:rPr>
        <w:fldChar w:fldCharType="begin" w:fldLock="1"/>
      </w:r>
      <w:r w:rsidR="00EA1FA1" w:rsidRPr="001A2C69">
        <w:rPr>
          <w:rFonts w:cstheme="minorHAnsi"/>
          <w:sz w:val="24"/>
          <w:szCs w:val="24"/>
        </w:rPr>
        <w:instrText>ADDIN CSL_CITATION {"citationItems":[{"id":"ITEM-1","itemData":{"DOI":"10.1126/science.1196783","ISSN":"00368075","PMID":"21852498","abstract":"We investigated the association between a U.S. National Institutes of Health (NIH) R01 applicant's self-identified race or ethnicity and the probability of receiving an award by using data from the NIH IMPAC II grant database, the Thomson Reuters Web of Science, and other sources. Although proposals with strong priority scores were equally likely to be funded regardless of race, we find that Asians are 4 percentage points and black or African-American applicants are 13 percentage points less likely to receive NIH investigator-initiated research funding compared with whites. After controlling for the applicant's educational background, country of origin, training, previous research awards, publication record, and employer characteristics, we find that black applicants remain 10 percentage points less likely than whites to be awarded NIH research funding. Our results suggest some leverage points for policy intervention.","author":[{"dropping-particle":"","family":"Ginther","given":"Donna K.","non-dropping-particle":"","parse-names":false,"suffix":""},{"dropping-particle":"","family":"Schaffer","given":"Walter T.","non-dropping-particle":"","parse-names":false,"suffix":""},{"dropping-particle":"","family":"Schnell","given":"Joshua","non-dropping-particle":"","parse-names":false,"suffix":""},{"dropping-particle":"","family":"Masimore","given":"Beth","non-dropping-particle":"","parse-names":false,"suffix":""},{"dropping-particle":"","family":"Liu","given":"Faye","non-dropping-particle":"","parse-names":false,"suffix":""},{"dropping-particle":"","family":"Haak","given":"Laurel L.","non-dropping-particle":"","parse-names":false,"suffix":""},{"dropping-particle":"","family":"Kington","given":"Raynard","non-dropping-particle":"","parse-names":false,"suffix":""}],"container-title":"Science","id":"ITEM-1","issue":"6045","issued":{"date-parts":[["2011","8","19"]]},"page":"1015-1019","publisher":"Science","title":"Race, ethnicity, and NIH research awards","type":"article-journal","volume":"333"},"uris":["http://www.mendeley.com/documents/?uuid=ac1d6038-0ee7-309a-ae3e-a421bd69a909"]}],"mendeley":{"formattedCitation":"(Ginther et al., 2011)","plainTextFormattedCitation":"(Ginther et al., 2011)","previouslyFormattedCitation":"(Ginther et al., 2011)"},"properties":{"noteIndex":0},"schema":"https://github.com/citation-style-language/schema/raw/master/csl-citation.json"}</w:instrText>
      </w:r>
      <w:r w:rsidR="00EA1FA1" w:rsidRPr="001A2C69">
        <w:rPr>
          <w:rFonts w:cstheme="minorHAnsi"/>
          <w:sz w:val="24"/>
          <w:szCs w:val="24"/>
        </w:rPr>
        <w:fldChar w:fldCharType="separate"/>
      </w:r>
      <w:r w:rsidR="00EA1FA1" w:rsidRPr="001A2C69">
        <w:rPr>
          <w:rFonts w:cstheme="minorHAnsi"/>
          <w:noProof/>
          <w:sz w:val="24"/>
          <w:szCs w:val="24"/>
        </w:rPr>
        <w:t>(Ginther et al., 2011)</w:t>
      </w:r>
      <w:r w:rsidR="00EA1FA1" w:rsidRPr="001A2C69">
        <w:rPr>
          <w:rFonts w:cstheme="minorHAnsi"/>
          <w:sz w:val="24"/>
          <w:szCs w:val="24"/>
        </w:rPr>
        <w:fldChar w:fldCharType="end"/>
      </w:r>
      <w:r w:rsidR="0007253A" w:rsidRPr="001A2C69">
        <w:rPr>
          <w:rFonts w:cstheme="minorHAnsi"/>
          <w:sz w:val="24"/>
          <w:szCs w:val="24"/>
        </w:rPr>
        <w:t>.</w:t>
      </w:r>
      <w:r w:rsidR="00EA1FA1" w:rsidRPr="001A2C69">
        <w:rPr>
          <w:rFonts w:cstheme="minorHAnsi"/>
          <w:sz w:val="24"/>
          <w:szCs w:val="24"/>
        </w:rPr>
        <w:t xml:space="preserve"> Research </w:t>
      </w:r>
      <w:r w:rsidR="00EA1FA1" w:rsidRPr="001A2C69">
        <w:rPr>
          <w:rFonts w:cstheme="minorHAnsi"/>
          <w:i/>
          <w:iCs/>
          <w:sz w:val="24"/>
          <w:szCs w:val="24"/>
        </w:rPr>
        <w:t>topic choice</w:t>
      </w:r>
      <w:r w:rsidR="00EA1FA1" w:rsidRPr="001A2C69">
        <w:rPr>
          <w:rFonts w:cstheme="minorHAnsi"/>
          <w:sz w:val="24"/>
          <w:szCs w:val="24"/>
        </w:rPr>
        <w:t xml:space="preserve"> is one main contributing factor to the disparity in representation and funding of minority groups </w:t>
      </w:r>
      <w:r w:rsidR="00EA1FA1" w:rsidRPr="001A2C69">
        <w:rPr>
          <w:rFonts w:cstheme="minorHAnsi"/>
          <w:sz w:val="24"/>
          <w:szCs w:val="24"/>
        </w:rPr>
        <w:fldChar w:fldCharType="begin" w:fldLock="1"/>
      </w:r>
      <w:r w:rsidR="00AD7C1B">
        <w:rPr>
          <w:rFonts w:cstheme="minorHAnsi"/>
          <w:sz w:val="24"/>
          <w:szCs w:val="24"/>
        </w:rPr>
        <w:instrText>ADDIN CSL_CITATION {"citationItems":[{"id":"ITEM-1","itemData":{"DOI":"10.1126/sciadv.aaw7238","ISSN":"23752548","PMID":"31633016","abstract":"Despite efforts to promote diversity in the biomedical workforce, there remains a lower rate of funding of National Institutes of Health R01 applications submitted by African-American/black (AA/B) scientists relative to white scientists. To identify underlying causes of this funding gap, we analyzed six stages of the application process from 2011 to 2015 and found that disparate outcomes arise at three of the six: decision to discuss, impact score assignment, and a previously unstudied stage, topic choice. Notably, AA/B applicants tend to propose research on topics with lower award rates. These topics include research at the community and population level, as opposed to more fundamental and mechanistic investigations; the latter tend to have higher award rates. Topic choice alone accounts for over 20% of the funding gap after controlling for multiple variables, including the applicant’s prior achievements. Our findings can be used to inform interventions designed to close the funding gap.","author":[{"dropping-particle":"","family":"Hoppe","given":"Travis A.","non-dropping-particle":"","parse-names":false,"suffix":""},{"dropping-particle":"","family":"Litovitz","given":"Aviva","non-dropping-particle":"","parse-names":false,"suffix":""},{"dropping-particle":"","family":"Willis","given":"Kristine A.","non-dropping-particle":"","parse-names":false,"suffix":""},{"dropping-particle":"","family":"Meseroll","given":"Rebecca A.","non-dropping-particle":"","parse-names":false,"suffix":""},{"dropping-particle":"","family":"Perkins","given":"Matthew J.","non-dropping-particle":"","parse-names":false,"suffix":""},{"dropping-particle":"","family":"Hutchins","given":"B. Ian","non-dropping-particle":"","parse-names":false,"suffix":""},{"dropping-particle":"","family":"Davis","given":"Alison F.","non-dropping-particle":"","parse-names":false,"suffix":""},{"dropping-particle":"","family":"Lauer","given":"Michael S.","non-dropping-particle":"","parse-names":false,"suffix":""},{"dropping-particle":"","family":"Valantine","given":"Hannah A.","non-dropping-particle":"","parse-names":false,"suffix":""},{"dropping-particle":"","family":"Anderson","given":"James M.","non-dropping-particle":"","parse-names":false,"suffix":""},{"dropping-particle":"","family":"Santangelo","given":"George M.","non-dropping-particle":"","parse-names":false,"suffix":""}],"container-title":"Science Advances","id":"ITEM-1","issue":"10","issued":{"date-parts":[["2019","10","9"]]},"page":"eaaw7238","publisher":"American Association for the Advancement of Science","title":"Topic choice contributes to the lower rate of NIH awards to African-American/black scientists","type":"article-journal","volume":"5"},"uris":["http://www.mendeley.com/documents/?uuid=c2ce74e0-a794-3ec5-a3ab-00d1cce82c64"]}],"mendeley":{"formattedCitation":"(Hoppe et al., 2019)","plainTextFormattedCitation":"(Hoppe et al., 2019)","previouslyFormattedCitation":"(Hoppe et al., 2019)"},"properties":{"noteIndex":0},"schema":"https://github.com/citation-style-language/schema/raw/master/csl-citation.json"}</w:instrText>
      </w:r>
      <w:r w:rsidR="00EA1FA1" w:rsidRPr="001A2C69">
        <w:rPr>
          <w:rFonts w:cstheme="minorHAnsi"/>
          <w:sz w:val="24"/>
          <w:szCs w:val="24"/>
        </w:rPr>
        <w:fldChar w:fldCharType="separate"/>
      </w:r>
      <w:r w:rsidR="00EA1FA1" w:rsidRPr="001A2C69">
        <w:rPr>
          <w:rFonts w:cstheme="minorHAnsi"/>
          <w:noProof/>
          <w:sz w:val="24"/>
          <w:szCs w:val="24"/>
        </w:rPr>
        <w:t>(Hoppe et al., 2019)</w:t>
      </w:r>
      <w:r w:rsidR="00EA1FA1" w:rsidRPr="001A2C69">
        <w:rPr>
          <w:rFonts w:cstheme="minorHAnsi"/>
          <w:sz w:val="24"/>
          <w:szCs w:val="24"/>
        </w:rPr>
        <w:fldChar w:fldCharType="end"/>
      </w:r>
      <w:r w:rsidR="00EA1FA1" w:rsidRPr="001A2C69">
        <w:rPr>
          <w:rFonts w:cstheme="minorHAnsi"/>
          <w:sz w:val="24"/>
          <w:szCs w:val="24"/>
        </w:rPr>
        <w:t xml:space="preserve">. </w:t>
      </w:r>
      <w:r w:rsidR="00426751">
        <w:rPr>
          <w:rFonts w:cstheme="minorHAnsi"/>
          <w:sz w:val="24"/>
          <w:szCs w:val="24"/>
        </w:rPr>
        <w:t>A</w:t>
      </w:r>
      <w:r w:rsidR="00074D07">
        <w:rPr>
          <w:rFonts w:cstheme="minorHAnsi"/>
          <w:sz w:val="24"/>
          <w:szCs w:val="24"/>
        </w:rPr>
        <w:t>s</w:t>
      </w:r>
      <w:r w:rsidR="00426751">
        <w:rPr>
          <w:rFonts w:cstheme="minorHAnsi"/>
          <w:sz w:val="24"/>
          <w:szCs w:val="24"/>
        </w:rPr>
        <w:t xml:space="preserve"> one example</w:t>
      </w:r>
      <w:r w:rsidR="00EA1FA1" w:rsidRPr="001A2C69">
        <w:rPr>
          <w:rFonts w:cstheme="minorHAnsi"/>
          <w:sz w:val="24"/>
          <w:szCs w:val="24"/>
        </w:rPr>
        <w:t xml:space="preserve">, </w:t>
      </w:r>
      <w:r w:rsidR="001B12C8" w:rsidRPr="001A2C69">
        <w:rPr>
          <w:rFonts w:cstheme="minorHAnsi"/>
          <w:sz w:val="24"/>
          <w:szCs w:val="24"/>
        </w:rPr>
        <w:t xml:space="preserve">Black researchers are more likely to submit proposals related to community interventions and health disparities, which are funded at lower rates than are biomedical studies </w:t>
      </w:r>
      <w:r w:rsidR="00AD7C1B">
        <w:rPr>
          <w:rFonts w:cstheme="minorHAnsi"/>
          <w:sz w:val="24"/>
          <w:szCs w:val="24"/>
        </w:rPr>
        <w:fldChar w:fldCharType="begin" w:fldLock="1"/>
      </w:r>
      <w:r w:rsidR="0080439A">
        <w:rPr>
          <w:rFonts w:cstheme="minorHAnsi"/>
          <w:sz w:val="24"/>
          <w:szCs w:val="24"/>
        </w:rPr>
        <w:instrText>ADDIN CSL_CITATION {"citationItems":[{"id":"ITEM-1","itemData":{"DOI":"10.1126/sciadv.aaw7238","ISSN":"23752548","PMID":"31633016","abstract":"Despite efforts to promote diversity in the biomedical workforce, there remains a lower rate of funding of National Institutes of Health R01 applications submitted by African-American/black (AA/B) scientists relative to white scientists. To identify underlying causes of this funding gap, we analyzed six stages of the application process from 2011 to 2015 and found that disparate outcomes arise at three of the six: decision to discuss, impact score assignment, and a previously unstudied stage, topic choice. Notably, AA/B applicants tend to propose research on topics with lower award rates. These topics include research at the community and population level, as opposed to more fundamental and mechanistic investigations; the latter tend to have higher award rates. Topic choice alone accounts for over 20% of the funding gap after controlling for multiple variables, including the applicant’s prior achievements. Our findings can be used to inform interventions designed to close the funding gap.","author":[{"dropping-particle":"","family":"Hoppe","given":"Travis A.","non-dropping-particle":"","parse-names":false,"suffix":""},{"dropping-particle":"","family":"Litovitz","given":"Aviva","non-dropping-particle":"","parse-names":false,"suffix":""},{"dropping-particle":"","family":"Willis","given":"Kristine A.","non-dropping-particle":"","parse-names":false,"suffix":""},{"dropping-particle":"","family":"Meseroll","given":"Rebecca A.","non-dropping-particle":"","parse-names":false,"suffix":""},{"dropping-particle":"","family":"Perkins","given":"Matthew J.","non-dropping-particle":"","parse-names":false,"suffix":""},{"dropping-particle":"","family":"Hutchins","given":"B. Ian","non-dropping-particle":"","parse-names":false,"suffix":""},{"dropping-particle":"","family":"Davis","given":"Alison F.","non-dropping-particle":"","parse-names":false,"suffix":""},{"dropping-particle":"","family":"Lauer","given":"Michael S.","non-dropping-particle":"","parse-names":false,"suffix":""},{"dropping-particle":"","family":"Valantine","given":"Hannah A.","non-dropping-particle":"","parse-names":false,"suffix":""},{"dropping-particle":"","family":"Anderson","given":"James M.","non-dropping-particle":"","parse-names":false,"suffix":""},{"dropping-particle":"","family":"Santangelo","given":"George M.","non-dropping-particle":"","parse-names":false,"suffix":""}],"container-title":"Science Advances","id":"ITEM-1","issue":"10","issued":{"date-parts":[["2019","10","9"]]},"page":"eaaw7238","publisher":"American Association for the Advancement of Science","title":"Topic choice contributes to the lower rate of NIH awards to African-American/black scientists","type":"article-journal","volume":"5"},"uris":["http://www.mendeley.com/documents/?uuid=c2ce74e0-a794-3ec5-a3ab-00d1cce82c64"]}],"mendeley":{"formattedCitation":"(Hoppe et al., 2019)","plainTextFormattedCitation":"(Hoppe et al., 2019)","previouslyFormattedCitation":"(Hoppe et al., 2019)"},"properties":{"noteIndex":0},"schema":"https://github.com/citation-style-language/schema/raw/master/csl-citation.json"}</w:instrText>
      </w:r>
      <w:r w:rsidR="00AD7C1B">
        <w:rPr>
          <w:rFonts w:cstheme="minorHAnsi"/>
          <w:sz w:val="24"/>
          <w:szCs w:val="24"/>
        </w:rPr>
        <w:fldChar w:fldCharType="separate"/>
      </w:r>
      <w:r w:rsidR="00AD7C1B" w:rsidRPr="00AD7C1B">
        <w:rPr>
          <w:rFonts w:cstheme="minorHAnsi"/>
          <w:noProof/>
          <w:sz w:val="24"/>
          <w:szCs w:val="24"/>
        </w:rPr>
        <w:t>(Hoppe et al., 2019)</w:t>
      </w:r>
      <w:r w:rsidR="00AD7C1B">
        <w:rPr>
          <w:rFonts w:cstheme="minorHAnsi"/>
          <w:sz w:val="24"/>
          <w:szCs w:val="24"/>
        </w:rPr>
        <w:fldChar w:fldCharType="end"/>
      </w:r>
      <w:r w:rsidR="001B12C8" w:rsidRPr="001A2C69">
        <w:rPr>
          <w:rFonts w:cstheme="minorHAnsi"/>
          <w:sz w:val="24"/>
          <w:szCs w:val="24"/>
        </w:rPr>
        <w:t xml:space="preserve">. </w:t>
      </w:r>
      <w:r w:rsidR="00AD7C1B" w:rsidRPr="001A2C69">
        <w:rPr>
          <w:rFonts w:cstheme="minorHAnsi"/>
          <w:sz w:val="24"/>
          <w:szCs w:val="24"/>
        </w:rPr>
        <w:t xml:space="preserve">Social and professional networking </w:t>
      </w:r>
      <w:r w:rsidR="00426751">
        <w:rPr>
          <w:rFonts w:cstheme="minorHAnsi"/>
          <w:sz w:val="24"/>
          <w:szCs w:val="24"/>
        </w:rPr>
        <w:t xml:space="preserve">can support </w:t>
      </w:r>
      <w:r w:rsidR="00AD7C1B" w:rsidRPr="001A2C69">
        <w:rPr>
          <w:rFonts w:cstheme="minorHAnsi"/>
          <w:sz w:val="24"/>
          <w:szCs w:val="24"/>
        </w:rPr>
        <w:t>minority investigators involve</w:t>
      </w:r>
      <w:r w:rsidR="00426751">
        <w:rPr>
          <w:rFonts w:cstheme="minorHAnsi"/>
          <w:sz w:val="24"/>
          <w:szCs w:val="24"/>
        </w:rPr>
        <w:t>ment</w:t>
      </w:r>
      <w:r w:rsidR="00AD7C1B" w:rsidRPr="001A2C69">
        <w:rPr>
          <w:rFonts w:cstheme="minorHAnsi"/>
          <w:sz w:val="24"/>
          <w:szCs w:val="24"/>
        </w:rPr>
        <w:t xml:space="preserve"> with clinical trials and further their clinical ambitions </w:t>
      </w:r>
      <w:r w:rsidR="005A7CD1">
        <w:rPr>
          <w:rFonts w:cstheme="minorHAnsi"/>
          <w:sz w:val="24"/>
          <w:szCs w:val="24"/>
        </w:rPr>
        <w:fldChar w:fldCharType="begin" w:fldLock="1"/>
      </w:r>
      <w:r w:rsidR="005A7CD1">
        <w:rPr>
          <w:rFonts w:cstheme="minorHAnsi"/>
          <w:sz w:val="24"/>
          <w:szCs w:val="24"/>
        </w:rPr>
        <w:instrText>ADDIN CSL_CITATION {"citationItems":[{"id":"ITEM-1","itemData":{"DOI":"10.18865/ed.29.S1.119","ISSN":"19450826","PMID":"30906159","abstract":"Background: To address the myriad of health problems and disparities that affect the United States (US) population, the mix of health care professionals and researchers must reflect the full diversity of the nation. There continues to be discrepancy between the number of trained scientists and biomedical researchers from underrepresented populations relative to the overall population. A scarcity of formal and informal networking opportunities for minority researchers and health care providers contribute to this lack of diversity. Objective: The purpose of this article is to report the outcomes of an established junior minority faculty mentoring program. The Network of Minority Health Research Investigators (NMRI) was established by the National Institute of Diabetes and Digestive and Kidney Diseases (NIDDK) in 2002. We present outcome data from 2008 to the present. Methods: The Oversight and Planning Committees of the NMRI developed an 18-question survey. The NMRI program analyst conducted a pilot test of the survey and made modifications to ensure readability and understanding. From 2008 - 2018, we administered the survey in both paper and electronic versions to junior and senior members of NMRI. Descriptive results identified the participants. We used open coding to extrapolate recurring statements, words, and themes that were organized into four final categories: Reasons for attending NMRI; mentoring; career development; and social support. Results: Participants were primarily post-doctoral researchers or assistant professors seeking promotion to instructor or associate professor with tenure (64%). Consistent reasons for participating in the Network included: Career development; emotional support; mentorship for research; developing or refining skills for grant writing; lab management; poster presentations; and applying for tenure. Areas of research interest included diabetes, kidney diseases, nutrition, obesity, and bioinformatics. Conclusions: While the number of responses to the survey varied annually, the qualitative results suggest that career development and social support provided through the Network were the largest motivators for participation.","author":[{"dropping-particle":"","family":"Blanchard","given":"Shirley A.","non-dropping-particle":"","parse-names":false,"suffix":""},{"dropping-particle":"","family":"Rivers","given":"Rob","non-dropping-particle":"","parse-names":false,"suffix":""},{"dropping-particle":"","family":"Martinez","given":"Winnie","non-dropping-particle":"","parse-names":false,"suffix":""},{"dropping-particle":"","family":"Agodoa","given":"Lawrence","non-dropping-particle":"","parse-names":false,"suffix":""}],"container-title":"Ethnicity and Disease","id":"ITEM-1","issue":"Suppl 1","issued":{"date-parts":[["2019","2","1"]]},"page":"119-122","publisher":"Ethnicity and Disease, Inc.","title":"Building the network of minority health research investigators: A novel program to enhance leadership and success of underrepresented minorities in biomedical research","type":"article-journal","volume":"29"},"uris":["http://www.mendeley.com/documents/?uuid=f967b4f7-21b2-36d6-b960-168b2a3998cf"]}],"mendeley":{"formattedCitation":"(Blanchard et al., 2019)","plainTextFormattedCitation":"(Blanchard et al., 2019)","previouslyFormattedCitation":"(Blanchard et al., 2019)"},"properties":{"noteIndex":0},"schema":"https://github.com/citation-style-language/schema/raw/master/csl-citation.json"}</w:instrText>
      </w:r>
      <w:r w:rsidR="005A7CD1">
        <w:rPr>
          <w:rFonts w:cstheme="minorHAnsi"/>
          <w:sz w:val="24"/>
          <w:szCs w:val="24"/>
        </w:rPr>
        <w:fldChar w:fldCharType="separate"/>
      </w:r>
      <w:r w:rsidR="005A7CD1" w:rsidRPr="005A7CD1">
        <w:rPr>
          <w:rFonts w:cstheme="minorHAnsi"/>
          <w:noProof/>
          <w:sz w:val="24"/>
          <w:szCs w:val="24"/>
        </w:rPr>
        <w:t>(Blanchard et al., 2019)</w:t>
      </w:r>
      <w:r w:rsidR="005A7CD1">
        <w:rPr>
          <w:rFonts w:cstheme="minorHAnsi"/>
          <w:sz w:val="24"/>
          <w:szCs w:val="24"/>
        </w:rPr>
        <w:fldChar w:fldCharType="end"/>
      </w:r>
      <w:r w:rsidR="00AD7C1B" w:rsidRPr="001A2C69">
        <w:rPr>
          <w:rFonts w:cstheme="minorHAnsi"/>
          <w:sz w:val="24"/>
          <w:szCs w:val="24"/>
        </w:rPr>
        <w:t>.</w:t>
      </w:r>
      <w:r w:rsidR="00AD7C1B">
        <w:rPr>
          <w:rFonts w:cstheme="minorHAnsi"/>
          <w:sz w:val="24"/>
          <w:szCs w:val="24"/>
        </w:rPr>
        <w:t xml:space="preserve"> </w:t>
      </w:r>
      <w:r w:rsidR="00872981">
        <w:rPr>
          <w:rFonts w:cstheme="minorHAnsi"/>
          <w:sz w:val="24"/>
          <w:szCs w:val="24"/>
        </w:rPr>
        <w:t>S</w:t>
      </w:r>
      <w:r w:rsidR="00AD7C1B" w:rsidRPr="00426751">
        <w:rPr>
          <w:rFonts w:cstheme="minorHAnsi"/>
          <w:sz w:val="24"/>
          <w:szCs w:val="24"/>
        </w:rPr>
        <w:t>upport is required to help advance the progress of minority groups in the field of research.</w:t>
      </w:r>
      <w:r w:rsidR="0005554F">
        <w:rPr>
          <w:rFonts w:cstheme="minorHAnsi"/>
          <w:sz w:val="24"/>
          <w:szCs w:val="24"/>
        </w:rPr>
        <w:t xml:space="preserve"> </w:t>
      </w:r>
    </w:p>
    <w:p w14:paraId="2CBEA3D5" w14:textId="2D15D25D" w:rsidR="00426751" w:rsidRDefault="00A40429" w:rsidP="00426751">
      <w:pPr>
        <w:spacing w:line="240" w:lineRule="auto"/>
        <w:ind w:firstLine="720"/>
        <w:rPr>
          <w:rFonts w:cstheme="minorHAnsi"/>
          <w:sz w:val="24"/>
          <w:szCs w:val="24"/>
        </w:rPr>
      </w:pPr>
      <w:r>
        <w:rPr>
          <w:rFonts w:cstheme="minorHAnsi"/>
          <w:b/>
          <w:bCs/>
          <w:sz w:val="24"/>
          <w:szCs w:val="24"/>
        </w:rPr>
        <w:t xml:space="preserve">Strategic Priority </w:t>
      </w:r>
      <w:r w:rsidR="00426751">
        <w:rPr>
          <w:rFonts w:cstheme="minorHAnsi"/>
          <w:b/>
          <w:bCs/>
          <w:sz w:val="24"/>
          <w:szCs w:val="24"/>
        </w:rPr>
        <w:t>2</w:t>
      </w:r>
      <w:r w:rsidR="00074D07">
        <w:rPr>
          <w:rFonts w:cstheme="minorHAnsi"/>
          <w:b/>
          <w:bCs/>
          <w:sz w:val="24"/>
          <w:szCs w:val="24"/>
        </w:rPr>
        <w:t>.</w:t>
      </w:r>
      <w:r w:rsidR="00EB7A23">
        <w:rPr>
          <w:rFonts w:cstheme="minorHAnsi"/>
          <w:b/>
          <w:bCs/>
          <w:sz w:val="24"/>
          <w:szCs w:val="24"/>
        </w:rPr>
        <w:t>2</w:t>
      </w:r>
      <w:r w:rsidR="00426751" w:rsidRPr="00426751">
        <w:rPr>
          <w:rFonts w:cstheme="minorHAnsi"/>
          <w:b/>
          <w:bCs/>
          <w:sz w:val="24"/>
          <w:szCs w:val="24"/>
        </w:rPr>
        <w:t>:</w:t>
      </w:r>
      <w:r w:rsidR="00426751">
        <w:rPr>
          <w:rFonts w:cstheme="minorHAnsi"/>
          <w:sz w:val="24"/>
          <w:szCs w:val="24"/>
        </w:rPr>
        <w:t xml:space="preserve"> Increase gender diversity of AD researchers. </w:t>
      </w:r>
    </w:p>
    <w:p w14:paraId="5FD17FA3" w14:textId="7D0A4E49" w:rsidR="003B7D8C" w:rsidRDefault="00AC3CA5" w:rsidP="00543EF4">
      <w:pPr>
        <w:ind w:firstLine="720"/>
        <w:rPr>
          <w:rFonts w:cstheme="minorHAnsi"/>
          <w:sz w:val="24"/>
          <w:szCs w:val="24"/>
        </w:rPr>
      </w:pPr>
      <w:r w:rsidRPr="001A2C69">
        <w:rPr>
          <w:rFonts w:cstheme="minorHAnsi"/>
          <w:sz w:val="24"/>
          <w:szCs w:val="24"/>
        </w:rPr>
        <w:t xml:space="preserve">Women face a unique set of obstacles when pursuing a career in research that impacts not only their prevalence in the field, but also the ability of these researchers to obtain tenure at universities and colleges as well as mentoring opportunities </w:t>
      </w:r>
      <w:r w:rsidR="009D7CFA">
        <w:rPr>
          <w:rFonts w:cstheme="minorHAnsi"/>
          <w:sz w:val="24"/>
          <w:szCs w:val="24"/>
        </w:rPr>
        <w:fldChar w:fldCharType="begin" w:fldLock="1"/>
      </w:r>
      <w:r w:rsidR="009D7CFA">
        <w:rPr>
          <w:rFonts w:cstheme="minorHAnsi"/>
          <w:sz w:val="24"/>
          <w:szCs w:val="24"/>
        </w:rPr>
        <w:instrText>ADDIN CSL_CITATION {"citationItems":[{"id":"ITEM-1","itemData":{"DOI":"10.1073/pnas.1211286109","ISSN":"00278424","PMID":"22988126","abstract":"Despite efforts to recruit and retain more women, a stark gender disparity persists within academic science. Abundant research has demonstrated gender bias in many demographic groups, but has yet to experimentally investigate whether science faculty exhibit a bias against female students that could contribute to the gender disparity in academic science. In a randomized double-blind study (n = 127), science faculty from research-intensive universities rated the application materials of a student - who was randomly assigned either a male or female name - for a laboratory manager position. Faculty participants rated the male applicant as significantly more competent and hireable than the (identical) female applicant. These participants also selected a higher starting salary and offered more career mentoring to the male applicant. The gender of the faculty participants did not affect responses, such that female and male faculty were equally likely to exhibit bias against the female student. Mediation analyses indicated that the female student was less likely to be hired because she was viewed as less competent. We also assessed faculty participants' preexisting subtle bias against women using a standard instrument and found that preexisting subtle bias against women played a moderating role, such that subtle bias against women was associated with less support for the female student, but was unrelated to reactions to the male student. These results suggest that interventions addressing faculty gender bias might advance the goal of increasing the participation of women in science.","author":[{"dropping-particle":"","family":"Moss-Racusin","given":"Corinne A.","non-dropping-particle":"","parse-names":false,"suffix":""},{"dropping-particle":"","family":"Dovidio","given":"John F.","non-dropping-particle":"","parse-names":false,"suffix":""},{"dropping-particle":"","family":"Brescoll","given":"Victoria L.","non-dropping-particle":"","parse-names":false,"suffix":""},{"dropping-particle":"","family":"Graham","given":"Mark J.","non-dropping-particle":"","parse-names":false,"suffix":""},{"dropping-particle":"","family":"Handelsman","given":"Jo","non-dropping-particle":"","parse-names":false,"suffix":""}],"container-title":"Proceedings of the National Academy of Sciences of the United States of America","id":"ITEM-1","issue":"41","issued":{"date-parts":[["2012","10","9"]]},"page":"16474-16479","publisher":"National Academy of Sciences","title":"Science faculty's subtle gender biases favor male students","type":"article-journal","volume":"109"},"uris":["http://www.mendeley.com/documents/?uuid=937d6dbd-8ee9-3c8b-ae74-6183ef8d2c6d"]}],"mendeley":{"formattedCitation":"(Moss-Racusin et al., 2012)","plainTextFormattedCitation":"(Moss-Racusin et al., 2012)","previouslyFormattedCitation":"(Moss-Racusin et al., 2012)"},"properties":{"noteIndex":0},"schema":"https://github.com/citation-style-language/schema/raw/master/csl-citation.json"}</w:instrText>
      </w:r>
      <w:r w:rsidR="009D7CFA">
        <w:rPr>
          <w:rFonts w:cstheme="minorHAnsi"/>
          <w:sz w:val="24"/>
          <w:szCs w:val="24"/>
        </w:rPr>
        <w:fldChar w:fldCharType="separate"/>
      </w:r>
      <w:r w:rsidR="009D7CFA" w:rsidRPr="009D7CFA">
        <w:rPr>
          <w:rFonts w:cstheme="minorHAnsi"/>
          <w:noProof/>
          <w:sz w:val="24"/>
          <w:szCs w:val="24"/>
        </w:rPr>
        <w:t>(Moss-Racusin et al., 2012)</w:t>
      </w:r>
      <w:r w:rsidR="009D7CFA">
        <w:rPr>
          <w:rFonts w:cstheme="minorHAnsi"/>
          <w:sz w:val="24"/>
          <w:szCs w:val="24"/>
        </w:rPr>
        <w:fldChar w:fldCharType="end"/>
      </w:r>
      <w:r w:rsidRPr="001A2C69">
        <w:rPr>
          <w:rFonts w:cstheme="minorHAnsi"/>
          <w:sz w:val="24"/>
          <w:szCs w:val="24"/>
        </w:rPr>
        <w:t xml:space="preserve">. Women also encounter bias when submitting to grant panels </w:t>
      </w:r>
      <w:r w:rsidR="009D7CFA">
        <w:rPr>
          <w:rFonts w:cstheme="minorHAnsi"/>
          <w:sz w:val="24"/>
          <w:szCs w:val="24"/>
        </w:rPr>
        <w:fldChar w:fldCharType="begin" w:fldLock="1"/>
      </w:r>
      <w:r w:rsidR="009D7CFA">
        <w:rPr>
          <w:rFonts w:cstheme="minorHAnsi"/>
          <w:sz w:val="24"/>
          <w:szCs w:val="24"/>
        </w:rPr>
        <w:instrText>ADDIN CSL_CITATION {"citationItems":[{"id":"ITEM-1","itemData":{"DOI":"10.1016/S0140-6736(18)32611-4","ISSN":"1474547X","PMID":"30739688","abstract":"Background: Across countries and disciplines, studies show male researchers receive more research funding than their female peers. Because most studies have been observational, it is unclear whether imbalances stem from evaluations of female research investigators or of their proposed research. In 2014, the Canadian Institutes of Health Research created a natural experiment by dividing investigator-initiated funding applications into two new grant programmes: one with and one without an explicit review focus on the calibre of the principal investigator. Methods: We analysed application success among 23 918 grant applications from 7093 principal investigators in all investigator-initiated Canadian Institutes of Health Research grant programmes between 2011 and 2016. We used generalised estimating equations to account for multiple applications by the same applicant and compared differences in application success between male and female principal investigators under different review criteria. Findings: Overall application success across competitions was 15·8%. After adjusting for age and research domain, the predicted probability of success in traditional programmes was 0·9 percentage points lower for female applicants than male applicants (95% CI 2·0 lower–0·2 higher; odds ratio 0·934, 95% CI 0·854–1·022). In the new programme, in which review focused on the proposed science, the gap remained 0·9 percentage points (3·2 lower–1·4 higher; 0·998, 0·794–1·229). In the new programme with an explicit review focus on the calibre of the principal investigator, the gap was 4·0 percentage points (6·7 lower–1·3 lower; 0·705, 0·519–0·960). Interpretation: Gender gaps in grant funding are attributable to less favourable assessments of women as principal investigators, not of the quality of their proposed research. We discuss reasons less favourable assessments might occur and strategies to foster fair and rigorous peer review. Funding: None.","author":[{"dropping-particle":"","family":"Witteman","given":"Holly O.","non-dropping-particle":"","parse-names":false,"suffix":""},{"dropping-particle":"","family":"Hendricks","given":"Michael","non-dropping-particle":"","parse-names":false,"suffix":""},{"dropping-particle":"","family":"Straus","given":"Sharon","non-dropping-particle":"","parse-names":false,"suffix":""},{"dropping-particle":"","family":"Tannenbaum","given":"Cara","non-dropping-particle":"","parse-names":false,"suffix":""}],"container-title":"The Lancet","id":"ITEM-1","issue":"10171","issued":{"date-parts":[["2019","2","9"]]},"page":"531-540","publisher":"Lancet Publishing Group","title":"Are gender gaps due to evaluations of the applicant or the science? A natural experiment at a national funding agency","type":"article-journal","volume":"393"},"uris":["http://www.mendeley.com/documents/?uuid=da7476f2-81cb-39d5-93a8-7268e40dc358"]}],"mendeley":{"formattedCitation":"(Witteman et al., 2019)","plainTextFormattedCitation":"(Witteman et al., 2019)","previouslyFormattedCitation":"(Witteman et al., 2019)"},"properties":{"noteIndex":0},"schema":"https://github.com/citation-style-language/schema/raw/master/csl-citation.json"}</w:instrText>
      </w:r>
      <w:r w:rsidR="009D7CFA">
        <w:rPr>
          <w:rFonts w:cstheme="minorHAnsi"/>
          <w:sz w:val="24"/>
          <w:szCs w:val="24"/>
        </w:rPr>
        <w:fldChar w:fldCharType="separate"/>
      </w:r>
      <w:r w:rsidR="009D7CFA" w:rsidRPr="009D7CFA">
        <w:rPr>
          <w:rFonts w:cstheme="minorHAnsi"/>
          <w:noProof/>
          <w:sz w:val="24"/>
          <w:szCs w:val="24"/>
        </w:rPr>
        <w:t>(Witteman et al., 2019)</w:t>
      </w:r>
      <w:r w:rsidR="009D7CFA">
        <w:rPr>
          <w:rFonts w:cstheme="minorHAnsi"/>
          <w:sz w:val="24"/>
          <w:szCs w:val="24"/>
        </w:rPr>
        <w:fldChar w:fldCharType="end"/>
      </w:r>
      <w:r w:rsidR="009D7CFA">
        <w:rPr>
          <w:rFonts w:cstheme="minorHAnsi"/>
          <w:sz w:val="24"/>
          <w:szCs w:val="24"/>
        </w:rPr>
        <w:t xml:space="preserve"> </w:t>
      </w:r>
      <w:r w:rsidRPr="001A2C69">
        <w:rPr>
          <w:rFonts w:cstheme="minorHAnsi"/>
          <w:sz w:val="24"/>
          <w:szCs w:val="24"/>
        </w:rPr>
        <w:t xml:space="preserve">and in the peer review process </w:t>
      </w:r>
      <w:r w:rsidR="009D7CFA">
        <w:rPr>
          <w:rFonts w:cstheme="minorHAnsi"/>
          <w:sz w:val="24"/>
          <w:szCs w:val="24"/>
        </w:rPr>
        <w:fldChar w:fldCharType="begin" w:fldLock="1"/>
      </w:r>
      <w:r w:rsidR="009D7CFA">
        <w:rPr>
          <w:rFonts w:cstheme="minorHAnsi"/>
          <w:sz w:val="24"/>
          <w:szCs w:val="24"/>
        </w:rPr>
        <w:instrText>ADDIN CSL_CITATION {"citationItems":[{"id":"ITEM-1","itemData":{"DOI":"10.7554/eLife.21718","ISSN":"2050084X","PMID":"28322725","abstract":"Peer review is the cornerstone of scholarly publishing and it is essential that peer reviewers are appointed on the basis of their expertise alone. However, it is difficult to check for any bias in the peer-review process because the identity of peer reviewers generally remains confidential. Here, using public information about the identities of 9000 editors and 43000 reviewers from the Frontiers series of journals, we show that women are underrepresented in the peer-review process, that editors of both genders operate with substantial same-gender preference (homophily), and that the mechanisms of this homophily are gender-dependent. We also show that homophily will persist even if numerical parity between genders is reached, highlighting the need for increased efforts to combat subtler forms of gender bias in scholarly publishing.","author":[{"dropping-particle":"","family":"Helmer","given":"Markus","non-dropping-particle":"","parse-names":false,"suffix":""},{"dropping-particle":"","family":"Schottdorf","given":"Manuel","non-dropping-particle":"","parse-names":false,"suffix":""},{"dropping-particle":"","family":"Neef","given":"Andreas","non-dropping-particle":"","parse-names":false,"suffix":""},{"dropping-particle":"","family":"Battaglia","given":"Demian","non-dropping-particle":"","parse-names":false,"suffix":""}],"container-title":"eLife","id":"ITEM-1","issued":{"date-parts":[["2017","3","21"]]},"publisher":"eLife Sciences Publications Ltd","title":"Gender bias in scholarly peer review","type":"article","volume":"6"},"uris":["http://www.mendeley.com/documents/?uuid=96461541-0127-3447-b57c-ab70e7538a95"]}],"mendeley":{"formattedCitation":"(Helmer et al., 2017)","plainTextFormattedCitation":"(Helmer et al., 2017)","previouslyFormattedCitation":"(Helmer et al., 2017)"},"properties":{"noteIndex":0},"schema":"https://github.com/citation-style-language/schema/raw/master/csl-citation.json"}</w:instrText>
      </w:r>
      <w:r w:rsidR="009D7CFA">
        <w:rPr>
          <w:rFonts w:cstheme="minorHAnsi"/>
          <w:sz w:val="24"/>
          <w:szCs w:val="24"/>
        </w:rPr>
        <w:fldChar w:fldCharType="separate"/>
      </w:r>
      <w:r w:rsidR="009D7CFA" w:rsidRPr="009D7CFA">
        <w:rPr>
          <w:rFonts w:cstheme="minorHAnsi"/>
          <w:noProof/>
          <w:sz w:val="24"/>
          <w:szCs w:val="24"/>
        </w:rPr>
        <w:t>(Helmer et al., 2017)</w:t>
      </w:r>
      <w:r w:rsidR="009D7CFA">
        <w:rPr>
          <w:rFonts w:cstheme="minorHAnsi"/>
          <w:sz w:val="24"/>
          <w:szCs w:val="24"/>
        </w:rPr>
        <w:fldChar w:fldCharType="end"/>
      </w:r>
      <w:r w:rsidRPr="001A2C69">
        <w:rPr>
          <w:rFonts w:cstheme="minorHAnsi"/>
          <w:sz w:val="24"/>
          <w:szCs w:val="24"/>
        </w:rPr>
        <w:t xml:space="preserve">, which decreases their likelihood of receiving funding for research projects and obtaining publication for their work. These challenges are further compounded by the demands of household labor, childcare, eldercare, and marriage </w:t>
      </w:r>
      <w:r w:rsidR="009D7CFA">
        <w:rPr>
          <w:rFonts w:cstheme="minorHAnsi"/>
          <w:sz w:val="24"/>
          <w:szCs w:val="24"/>
        </w:rPr>
        <w:fldChar w:fldCharType="begin" w:fldLock="1"/>
      </w:r>
      <w:r w:rsidR="009D7CFA">
        <w:rPr>
          <w:rFonts w:cstheme="minorHAnsi"/>
          <w:sz w:val="24"/>
          <w:szCs w:val="24"/>
        </w:rPr>
        <w:instrText>ADDIN CSL_CITATION {"citationItems":[{"id":"ITEM-1","itemData":{"DOI":"10.1073/pnas.2010636117","ISSN":"10916490","PMID":"32554503","abstract":"The coronavirus disease 2019 (COVID-19) pandemic has upended almost every facet of academia (1). Almost overnight the system faced a sudden transition to remote teaching and learning, changes in grading systems, and the loss of access to research resources. Additionally, shifts in household labor, childcare, eldercare, and physical confinement have increased students’ and faculty’s mental health needs and reduced the time available to perform academic work. A pandemic naturally highlights privileges, such as financial security and access to mental health care. It also amplifies the mental, physical, social, and economic impacts attributable to preexisting inequities in academia. Making matters worse, in times of stress, such as pandemics, biased decision-making processes are favored (2), which threaten to deprioritize equity initiatives.\n\n\n\nMany women academics will likely bear a greater burden during the coronavirus disease 2019 (COVID-19) pandemic. Academia needs to enact solutions to retain and promote women faculty who already face disparities regarding merit, tenure, and promotion. Image credit: Dave Cutler (artist).\n\n\n\nAll this means that even among those with privileged positions, including many academics, women will likely bear a greater burden of this pandemic. The burden will be even heavier for women who face intersecting systems of oppression, such as ethnicity, race, sexual orientation, gender, age, economic class, dependent status, and/or ability. Thus, academia will need to enact solutions to retain and promote women faculty who already face disparities regarding merit, tenure, and promotion (3).\n\nHere, we examine ways in which COVID-19 is amplifying known barriers to women’s career advancement. We propose actionable solutions, which include the formation of a Pandemic Response Faculty Fellow or Pandemic Faculty Merit Committee (PFMC), new/revised tenure and promotion metrics created by the aforementioned committee, and a framework to ensure that the new metrics and policies are adopted college-wide. We also caution against the popular … \n\n[</w:instrText>
      </w:r>
      <w:r w:rsidR="009D7CFA">
        <w:rPr>
          <w:rFonts w:ascii="Cambria Math" w:hAnsi="Cambria Math" w:cs="Cambria Math"/>
          <w:sz w:val="24"/>
          <w:szCs w:val="24"/>
        </w:rPr>
        <w:instrText>↵</w:instrText>
      </w:r>
      <w:r w:rsidR="009D7CFA">
        <w:rPr>
          <w:rFonts w:cstheme="minorHAnsi"/>
          <w:sz w:val="24"/>
          <w:szCs w:val="24"/>
        </w:rPr>
        <w:instrText>][1]1To whom correspondence may be addressed. Email: jlmalisch{at}smcm.edu.\n\n [1]: #xref-corresp-1-1","author":[{"dropping-particle":"","family":"Malisch","given":"Jessica L.","non-dropping-particle":"","parse-names":false,"suffix":""},{"dropping-particle":"","family":"Harris","given":"Breanna N.","non-dropping-particle":"","parse-names":false,"suffix":""},{"dropping-particle":"","family":"Sherrer","given":"Shanen M.","non-dropping-particle":"","parse-names":false,"suffix":""},{"dropping-particle":"","family":"Lewis","given":"Kristy A.","non-dropping-particle":"","parse-names":false,"suffix":""},{"dropping-particle":"","family":"Shepherd","given":"Stephanie L.","non-dropping-particle":"","parse-names":false,"suffix":""},{"dropping-particle":"","family":"McCarthy","given":"Pumtiwitt C.","non-dropping-particle":"","parse-names":false,"suffix":""},{"dropping-particle":"","family":"Spott","given":"Jessica L.","non-dropping-particle":"","parse-names":false,"suffix":""},{"dropping-particle":"","family":"Karam","given":"Elizabeth P.","non-dropping-particle":"","parse-names":false,"suffix":""},{"dropping-particle":"","family":"Moustaid-Moussa","given":"Naima","non-dropping-particle":"","parse-names":false,"suffix":""},{"dropping-particle":"","family":"Calarco","given":"Jessica Mc Crory","non-dropping-particle":"","parse-names":false,"suffix":""},{"dropping-particle":"","family":"Ramalingam","given":"Latha","non-dropping-particle":"","parse-names":false,"suffix":""},{"dropping-particle":"","family":"Talley","given":"Amelia E.","non-dropping-particle":"","parse-names":false,"suffix":""},{"dropping-particle":"","family":"Cañas-Carrell","given":"Jaclyn E.","non-dropping-particle":"","parse-names":false,"suffix":""},{"dropping-particle":"","family":"Ardon-Dryer","given":"Karin","non-dropping-particle":"","parse-names":false,"suffix":""},{"dropping-particle":"","family":"Weiser","given":"Dana A.","non-dropping-particle":"","parse-names":false,"suffix":""},{"dropping-particle":"","family":"Bernal","given":"Ximena E.","non-dropping-particle":"","parse-names":false,"suffix":""},{"dropping-particle":"","family":"Deitloff","given":"Jennifer","non-dropping-particle":"","parse-names":false,"suffix":""}],"container-title":"Proceedings of the National Academy of Sciences of the United States of America","id":"ITEM-1","issue":"27","issued":{"date-parts":[["2020","7","7"]]},"page":"15378-15381","publisher":"National Academy of Sciences","title":"Opinion: In the wake of COVID-19, academia needs new solutions to ensure gender equity","type":"article","volume":"117"},"uris":["http://www.mendeley.com/documents/?uuid=d5a3ddc5-59c7-33c9-a468-cc62775a752d"]}],"mendeley":{"formattedCitation":"(Malisch et al., 2020)","plainTextFormattedCitation":"(Malisch et al., 2020)","previouslyFormattedCitation":"(Malisch et al., 2020)"},"properties":{"noteIndex":0},"schema":"https://github.com/citation-style-language/schema/raw/master/csl-citation.json"}</w:instrText>
      </w:r>
      <w:r w:rsidR="009D7CFA">
        <w:rPr>
          <w:rFonts w:cstheme="minorHAnsi"/>
          <w:sz w:val="24"/>
          <w:szCs w:val="24"/>
        </w:rPr>
        <w:fldChar w:fldCharType="separate"/>
      </w:r>
      <w:r w:rsidR="009D7CFA" w:rsidRPr="009D7CFA">
        <w:rPr>
          <w:rFonts w:cstheme="minorHAnsi"/>
          <w:noProof/>
          <w:sz w:val="24"/>
          <w:szCs w:val="24"/>
        </w:rPr>
        <w:t>(Malisch et al., 2020)</w:t>
      </w:r>
      <w:r w:rsidR="009D7CFA">
        <w:rPr>
          <w:rFonts w:cstheme="minorHAnsi"/>
          <w:sz w:val="24"/>
          <w:szCs w:val="24"/>
        </w:rPr>
        <w:fldChar w:fldCharType="end"/>
      </w:r>
      <w:r w:rsidRPr="001A2C69">
        <w:rPr>
          <w:rFonts w:cstheme="minorHAnsi"/>
          <w:sz w:val="24"/>
          <w:szCs w:val="24"/>
        </w:rPr>
        <w:t xml:space="preserve">, which have been reported as contributing factors in decisions to shift career goals away from a research emphasis </w:t>
      </w:r>
      <w:r w:rsidR="009D7CFA">
        <w:rPr>
          <w:rFonts w:cstheme="minorHAnsi"/>
          <w:sz w:val="24"/>
          <w:szCs w:val="24"/>
        </w:rPr>
        <w:fldChar w:fldCharType="begin" w:fldLock="1"/>
      </w:r>
      <w:r w:rsidR="005A7CD1">
        <w:rPr>
          <w:rFonts w:cstheme="minorHAnsi"/>
          <w:sz w:val="24"/>
          <w:szCs w:val="24"/>
        </w:rPr>
        <w:instrText>ADDIN CSL_CITATION {"citationItems":[{"id":"ITEM-1","itemData":{"DOI":"10.1177/0002716211416925","ISSN":"0002-7162","abstract":"&lt;p&gt;Premier science largely depends on the quality of the pool of future scientists. Women now represent a large part of the talent pool in the United States, but many data sources indicate that they are more likely than men to “leak” out of the science pipeline before obtaining tenure at a college or university. The authors’ research examines this issue in detail, drawing on multiple sources, including the Survey of Doctorate Recipients and several original surveys. Their findings show that family formation—most important marriage and childbirth—accounts for the largest leaks in the pipeline from graduate school to the acquisition of tenure for women in the sciences. The authors also find that researchers receive limited benefits when it comes to family responsive policies, such as paid maternity and parental leave, and that young scientists receive the least. Together, federal agencies and universities can make headway in solving this systemic problem.&lt;/p&gt;","author":[{"dropping-particle":"","family":"Goulden","given":"Marc","non-dropping-particle":"","parse-names":false,"suffix":""},{"dropping-particle":"","family":"Mason","given":"Mary Ann","non-dropping-particle":"","parse-names":false,"suffix":""},{"dropping-particle":"","family":"Frasch","given":"Karie","non-dropping-particle":"","parse-names":false,"suffix":""}],"container-title":"The ANNALS of the American Academy of Political and Social Science","id":"ITEM-1","issue":"1","issued":{"date-parts":[["2011","11","4"]]},"page":"141-162","publisher":"SAGE PublicationsSage CA: Los Angeles, CA","title":"Keeping Women in the Science Pipeline","type":"article-journal","volume":"638"},"uris":["http://www.mendeley.com/documents/?uuid=0a678cc5-ce6f-31d5-b3bd-2fe589d8430e"]}],"mendeley":{"formattedCitation":"(Goulden et al., 2011)","plainTextFormattedCitation":"(Goulden et al., 2011)","previouslyFormattedCitation":"(Goulden et al., 2011)"},"properties":{"noteIndex":0},"schema":"https://github.com/citation-style-language/schema/raw/master/csl-citation.json"}</w:instrText>
      </w:r>
      <w:r w:rsidR="009D7CFA">
        <w:rPr>
          <w:rFonts w:cstheme="minorHAnsi"/>
          <w:sz w:val="24"/>
          <w:szCs w:val="24"/>
        </w:rPr>
        <w:fldChar w:fldCharType="separate"/>
      </w:r>
      <w:r w:rsidR="009D7CFA" w:rsidRPr="009D7CFA">
        <w:rPr>
          <w:rFonts w:cstheme="minorHAnsi"/>
          <w:noProof/>
          <w:sz w:val="24"/>
          <w:szCs w:val="24"/>
        </w:rPr>
        <w:t>(Goulden et al., 2011)</w:t>
      </w:r>
      <w:r w:rsidR="009D7CFA">
        <w:rPr>
          <w:rFonts w:cstheme="minorHAnsi"/>
          <w:sz w:val="24"/>
          <w:szCs w:val="24"/>
        </w:rPr>
        <w:fldChar w:fldCharType="end"/>
      </w:r>
      <w:r w:rsidRPr="001A2C69">
        <w:rPr>
          <w:rFonts w:cstheme="minorHAnsi"/>
          <w:sz w:val="24"/>
          <w:szCs w:val="24"/>
        </w:rPr>
        <w:t xml:space="preserve">. As such, solutions are needed for women in research concerning funding, publication, career-advancement, and mentorship opportunities. </w:t>
      </w:r>
    </w:p>
    <w:p w14:paraId="3BE68158" w14:textId="5CE130C8" w:rsidR="00316A49" w:rsidRDefault="00316A49">
      <w:pPr>
        <w:rPr>
          <w:rFonts w:cstheme="minorHAnsi"/>
          <w:b/>
          <w:bCs/>
          <w:sz w:val="24"/>
          <w:szCs w:val="24"/>
        </w:rPr>
      </w:pPr>
      <w:r>
        <w:rPr>
          <w:rFonts w:cstheme="minorHAnsi"/>
          <w:b/>
          <w:bCs/>
          <w:sz w:val="24"/>
          <w:szCs w:val="24"/>
        </w:rPr>
        <w:br w:type="page"/>
      </w:r>
    </w:p>
    <w:p w14:paraId="0BC3B00B" w14:textId="13BC4085" w:rsidR="003421D7" w:rsidRDefault="005B1A77" w:rsidP="003421D7">
      <w:pPr>
        <w:rPr>
          <w:rFonts w:cstheme="minorHAnsi"/>
          <w:b/>
          <w:bCs/>
          <w:sz w:val="24"/>
          <w:szCs w:val="24"/>
        </w:rPr>
      </w:pPr>
      <w:r>
        <w:rPr>
          <w:rFonts w:cstheme="minorHAnsi"/>
          <w:b/>
          <w:bCs/>
          <w:sz w:val="24"/>
          <w:szCs w:val="24"/>
        </w:rPr>
        <w:lastRenderedPageBreak/>
        <w:t xml:space="preserve">IMPLEMENTATION </w:t>
      </w:r>
      <w:r w:rsidR="00EF2D3F">
        <w:rPr>
          <w:rFonts w:cstheme="minorHAnsi"/>
          <w:b/>
          <w:bCs/>
          <w:sz w:val="24"/>
          <w:szCs w:val="24"/>
        </w:rPr>
        <w:t>S</w:t>
      </w:r>
      <w:r w:rsidR="00D41EE6" w:rsidRPr="001A2C69">
        <w:rPr>
          <w:rFonts w:cstheme="minorHAnsi"/>
          <w:b/>
          <w:bCs/>
          <w:sz w:val="24"/>
          <w:szCs w:val="24"/>
        </w:rPr>
        <w:t xml:space="preserve">TRATEGIES </w:t>
      </w:r>
      <w:r w:rsidR="00481BAF" w:rsidRPr="001A2C69">
        <w:rPr>
          <w:rFonts w:cstheme="minorHAnsi"/>
          <w:b/>
          <w:bCs/>
          <w:sz w:val="24"/>
          <w:szCs w:val="24"/>
        </w:rPr>
        <w:t>AND EXPECTED OUTCOMES</w:t>
      </w:r>
    </w:p>
    <w:p w14:paraId="6CB09FDE" w14:textId="393406D0" w:rsidR="009D7CFA" w:rsidRPr="00D856F6" w:rsidRDefault="009D7CFA" w:rsidP="00D856F6">
      <w:pPr>
        <w:pStyle w:val="ListParagraph"/>
        <w:numPr>
          <w:ilvl w:val="0"/>
          <w:numId w:val="24"/>
        </w:numPr>
        <w:ind w:left="720"/>
        <w:rPr>
          <w:rFonts w:cstheme="minorHAnsi"/>
          <w:b/>
          <w:bCs/>
          <w:sz w:val="24"/>
          <w:szCs w:val="24"/>
        </w:rPr>
      </w:pPr>
      <w:r w:rsidRPr="00D856F6">
        <w:rPr>
          <w:rFonts w:cstheme="minorHAnsi"/>
          <w:b/>
          <w:bCs/>
          <w:sz w:val="24"/>
          <w:szCs w:val="24"/>
          <w:u w:val="single"/>
        </w:rPr>
        <w:t>STRATEGY 1:</w:t>
      </w:r>
      <w:r w:rsidRPr="00D856F6">
        <w:rPr>
          <w:rFonts w:cstheme="minorHAnsi"/>
          <w:b/>
          <w:bCs/>
          <w:sz w:val="24"/>
          <w:szCs w:val="24"/>
        </w:rPr>
        <w:t xml:space="preserve"> Engage in outreach and </w:t>
      </w:r>
      <w:r w:rsidR="00193177" w:rsidRPr="00D856F6">
        <w:rPr>
          <w:rFonts w:cstheme="minorHAnsi"/>
          <w:b/>
          <w:bCs/>
          <w:sz w:val="24"/>
          <w:szCs w:val="24"/>
        </w:rPr>
        <w:t>expand support to target populations to increase participation in research.</w:t>
      </w:r>
      <w:r w:rsidR="00EB7A23" w:rsidRPr="00D856F6">
        <w:rPr>
          <w:rFonts w:cstheme="minorHAnsi"/>
          <w:b/>
          <w:bCs/>
          <w:sz w:val="24"/>
          <w:szCs w:val="24"/>
        </w:rPr>
        <w:t xml:space="preserve"> (</w:t>
      </w:r>
      <w:r w:rsidR="004A3178" w:rsidRPr="00D856F6">
        <w:rPr>
          <w:rFonts w:cstheme="minorHAnsi"/>
          <w:b/>
          <w:bCs/>
          <w:sz w:val="24"/>
          <w:szCs w:val="24"/>
        </w:rPr>
        <w:t xml:space="preserve">Advances </w:t>
      </w:r>
      <w:r w:rsidR="005B1A77">
        <w:rPr>
          <w:rFonts w:cstheme="minorHAnsi"/>
          <w:b/>
          <w:bCs/>
          <w:sz w:val="24"/>
          <w:szCs w:val="24"/>
        </w:rPr>
        <w:t xml:space="preserve">Strategic Priorities </w:t>
      </w:r>
      <w:r w:rsidR="004A3178" w:rsidRPr="00D856F6">
        <w:rPr>
          <w:rFonts w:cstheme="minorHAnsi"/>
          <w:b/>
          <w:bCs/>
          <w:sz w:val="24"/>
          <w:szCs w:val="24"/>
        </w:rPr>
        <w:t>1.1 &amp; 1.2.</w:t>
      </w:r>
      <w:r w:rsidR="00EB7A23" w:rsidRPr="00D856F6">
        <w:rPr>
          <w:rFonts w:cstheme="minorHAnsi"/>
          <w:b/>
          <w:bCs/>
          <w:sz w:val="24"/>
          <w:szCs w:val="24"/>
        </w:rPr>
        <w:t>)</w:t>
      </w:r>
    </w:p>
    <w:p w14:paraId="20C7E923" w14:textId="1BF628EA" w:rsidR="009D7CFA" w:rsidRPr="00D856F6" w:rsidRDefault="009D7CFA" w:rsidP="00D856F6">
      <w:pPr>
        <w:pStyle w:val="ListParagraph"/>
        <w:numPr>
          <w:ilvl w:val="0"/>
          <w:numId w:val="24"/>
        </w:numPr>
        <w:ind w:left="720"/>
        <w:rPr>
          <w:rFonts w:cstheme="minorHAnsi"/>
          <w:b/>
          <w:bCs/>
          <w:sz w:val="24"/>
          <w:szCs w:val="24"/>
        </w:rPr>
      </w:pPr>
      <w:r w:rsidRPr="00D856F6">
        <w:rPr>
          <w:rFonts w:cstheme="minorHAnsi"/>
          <w:b/>
          <w:bCs/>
          <w:sz w:val="24"/>
          <w:szCs w:val="24"/>
          <w:u w:val="single"/>
        </w:rPr>
        <w:t>STRATEGY 2:</w:t>
      </w:r>
      <w:r w:rsidRPr="00D856F6">
        <w:rPr>
          <w:rFonts w:cstheme="minorHAnsi"/>
          <w:b/>
          <w:bCs/>
          <w:sz w:val="24"/>
          <w:szCs w:val="24"/>
        </w:rPr>
        <w:t xml:space="preserve"> Provide instrumental support (e.g., funding) </w:t>
      </w:r>
      <w:r w:rsidR="000745E0" w:rsidRPr="00D856F6">
        <w:rPr>
          <w:rFonts w:cstheme="minorHAnsi"/>
          <w:b/>
          <w:bCs/>
          <w:sz w:val="24"/>
          <w:szCs w:val="24"/>
        </w:rPr>
        <w:t xml:space="preserve">in the form of small research support grants </w:t>
      </w:r>
      <w:r w:rsidRPr="00D856F6">
        <w:rPr>
          <w:rFonts w:cstheme="minorHAnsi"/>
          <w:b/>
          <w:bCs/>
          <w:sz w:val="24"/>
          <w:szCs w:val="24"/>
        </w:rPr>
        <w:t>to underrepresented researchers and research initiatives.</w:t>
      </w:r>
      <w:r w:rsidR="004A3178" w:rsidRPr="00D856F6">
        <w:rPr>
          <w:rFonts w:cstheme="minorHAnsi"/>
          <w:b/>
          <w:bCs/>
          <w:sz w:val="24"/>
          <w:szCs w:val="24"/>
        </w:rPr>
        <w:t xml:space="preserve"> (Advances </w:t>
      </w:r>
      <w:r w:rsidR="005B1A77">
        <w:rPr>
          <w:rFonts w:cstheme="minorHAnsi"/>
          <w:b/>
          <w:bCs/>
          <w:sz w:val="24"/>
          <w:szCs w:val="24"/>
        </w:rPr>
        <w:t xml:space="preserve">Strategic Priorities </w:t>
      </w:r>
      <w:r w:rsidR="004A3178" w:rsidRPr="00D856F6">
        <w:rPr>
          <w:rFonts w:cstheme="minorHAnsi"/>
          <w:b/>
          <w:bCs/>
          <w:sz w:val="24"/>
          <w:szCs w:val="24"/>
        </w:rPr>
        <w:t>1.3, 1.4, 2.1, &amp; 2.2.)</w:t>
      </w:r>
    </w:p>
    <w:tbl>
      <w:tblPr>
        <w:tblStyle w:val="TableGrid"/>
        <w:tblW w:w="13315" w:type="dxa"/>
        <w:tblLook w:val="04A0" w:firstRow="1" w:lastRow="0" w:firstColumn="1" w:lastColumn="0" w:noHBand="0" w:noVBand="1"/>
      </w:tblPr>
      <w:tblGrid>
        <w:gridCol w:w="879"/>
        <w:gridCol w:w="3706"/>
        <w:gridCol w:w="8730"/>
      </w:tblGrid>
      <w:tr w:rsidR="005B1A77" w:rsidRPr="001A2C69" w14:paraId="2AC98526" w14:textId="77777777" w:rsidTr="002967F9">
        <w:trPr>
          <w:trHeight w:val="593"/>
        </w:trPr>
        <w:tc>
          <w:tcPr>
            <w:tcW w:w="13315" w:type="dxa"/>
            <w:gridSpan w:val="3"/>
            <w:shd w:val="clear" w:color="auto" w:fill="8EAADB" w:themeFill="accent1" w:themeFillTint="99"/>
            <w:vAlign w:val="center"/>
          </w:tcPr>
          <w:p w14:paraId="50F38F33" w14:textId="5917ED2A" w:rsidR="005B1A77" w:rsidRPr="001A2C69" w:rsidRDefault="005B1A77" w:rsidP="0025115C">
            <w:pPr>
              <w:jc w:val="center"/>
              <w:rPr>
                <w:rFonts w:cstheme="minorHAnsi"/>
                <w:b/>
                <w:bCs/>
                <w:color w:val="000000" w:themeColor="text1"/>
                <w:sz w:val="24"/>
                <w:szCs w:val="24"/>
              </w:rPr>
            </w:pPr>
            <w:r>
              <w:rPr>
                <w:rFonts w:cstheme="minorHAnsi"/>
                <w:b/>
                <w:bCs/>
                <w:color w:val="000000" w:themeColor="text1"/>
                <w:sz w:val="24"/>
                <w:szCs w:val="24"/>
              </w:rPr>
              <w:t>IMPLEMENTATION STRATEGIES AND EXPECTED OUTCOMES</w:t>
            </w:r>
          </w:p>
        </w:tc>
      </w:tr>
      <w:tr w:rsidR="00DC6720" w:rsidRPr="001A2C69" w14:paraId="4DA96369" w14:textId="2BAEE8E8" w:rsidTr="002967F9">
        <w:trPr>
          <w:trHeight w:val="593"/>
        </w:trPr>
        <w:tc>
          <w:tcPr>
            <w:tcW w:w="879" w:type="dxa"/>
            <w:vMerge w:val="restart"/>
            <w:shd w:val="clear" w:color="auto" w:fill="B4C6E7" w:themeFill="accent1" w:themeFillTint="66"/>
            <w:vAlign w:val="center"/>
          </w:tcPr>
          <w:p w14:paraId="0ED0F79A" w14:textId="099CB3E2" w:rsidR="00DC6720" w:rsidRPr="001A2C69" w:rsidRDefault="00DC6720" w:rsidP="00EF2D3F">
            <w:pPr>
              <w:jc w:val="center"/>
              <w:rPr>
                <w:rFonts w:cstheme="minorHAnsi"/>
                <w:b/>
                <w:bCs/>
                <w:color w:val="000000" w:themeColor="text1"/>
                <w:sz w:val="24"/>
                <w:szCs w:val="24"/>
              </w:rPr>
            </w:pPr>
            <w:r w:rsidRPr="001A2C69">
              <w:rPr>
                <w:rFonts w:cstheme="minorHAnsi"/>
                <w:b/>
                <w:bCs/>
                <w:color w:val="000000" w:themeColor="text1"/>
                <w:sz w:val="24"/>
                <w:szCs w:val="24"/>
              </w:rPr>
              <w:t>Years</w:t>
            </w:r>
          </w:p>
        </w:tc>
        <w:tc>
          <w:tcPr>
            <w:tcW w:w="3706" w:type="dxa"/>
            <w:shd w:val="clear" w:color="auto" w:fill="B4C6E7" w:themeFill="accent1" w:themeFillTint="66"/>
            <w:vAlign w:val="center"/>
          </w:tcPr>
          <w:p w14:paraId="01B77922" w14:textId="726CE569" w:rsidR="00DC6720" w:rsidRPr="001A2C69" w:rsidRDefault="00DC6720" w:rsidP="00DC6720">
            <w:pPr>
              <w:jc w:val="center"/>
              <w:rPr>
                <w:rFonts w:cstheme="minorHAnsi"/>
                <w:color w:val="FF0000"/>
                <w:sz w:val="24"/>
                <w:szCs w:val="24"/>
              </w:rPr>
            </w:pPr>
            <w:r w:rsidRPr="001A2C69">
              <w:rPr>
                <w:rFonts w:cstheme="minorHAnsi"/>
                <w:b/>
                <w:bCs/>
                <w:color w:val="000000" w:themeColor="text1"/>
                <w:sz w:val="24"/>
                <w:szCs w:val="24"/>
              </w:rPr>
              <w:t>Strategies</w:t>
            </w:r>
          </w:p>
        </w:tc>
        <w:tc>
          <w:tcPr>
            <w:tcW w:w="8730" w:type="dxa"/>
            <w:shd w:val="clear" w:color="auto" w:fill="B4C6E7" w:themeFill="accent1" w:themeFillTint="66"/>
            <w:vAlign w:val="center"/>
          </w:tcPr>
          <w:p w14:paraId="7029D46F" w14:textId="4EE1391F" w:rsidR="00DC6720" w:rsidRPr="001A2C69" w:rsidRDefault="00DC6720" w:rsidP="0025115C">
            <w:pPr>
              <w:jc w:val="center"/>
              <w:rPr>
                <w:rFonts w:cstheme="minorHAnsi"/>
                <w:b/>
                <w:bCs/>
                <w:color w:val="000000" w:themeColor="text1"/>
                <w:sz w:val="24"/>
                <w:szCs w:val="24"/>
              </w:rPr>
            </w:pPr>
            <w:r w:rsidRPr="001A2C69">
              <w:rPr>
                <w:rFonts w:cstheme="minorHAnsi"/>
                <w:b/>
                <w:bCs/>
                <w:color w:val="000000" w:themeColor="text1"/>
                <w:sz w:val="24"/>
                <w:szCs w:val="24"/>
              </w:rPr>
              <w:t xml:space="preserve">Expected </w:t>
            </w:r>
            <w:r w:rsidR="00F00857">
              <w:rPr>
                <w:rFonts w:cstheme="minorHAnsi"/>
                <w:b/>
                <w:bCs/>
                <w:color w:val="000000" w:themeColor="text1"/>
                <w:sz w:val="24"/>
                <w:szCs w:val="24"/>
              </w:rPr>
              <w:t xml:space="preserve">Steps and </w:t>
            </w:r>
            <w:r w:rsidRPr="001A2C69">
              <w:rPr>
                <w:rFonts w:cstheme="minorHAnsi"/>
                <w:b/>
                <w:bCs/>
                <w:color w:val="000000" w:themeColor="text1"/>
                <w:sz w:val="24"/>
                <w:szCs w:val="24"/>
              </w:rPr>
              <w:t>Outcomes</w:t>
            </w:r>
          </w:p>
        </w:tc>
      </w:tr>
      <w:tr w:rsidR="00DC6720" w:rsidRPr="001A2C69" w14:paraId="338FFB23" w14:textId="0FC7A375" w:rsidTr="002967F9">
        <w:trPr>
          <w:trHeight w:val="530"/>
        </w:trPr>
        <w:tc>
          <w:tcPr>
            <w:tcW w:w="879" w:type="dxa"/>
            <w:vMerge/>
            <w:shd w:val="clear" w:color="auto" w:fill="D5DCE4" w:themeFill="text2" w:themeFillTint="33"/>
          </w:tcPr>
          <w:p w14:paraId="108200F2" w14:textId="77777777" w:rsidR="00DC6720" w:rsidRPr="001A2C69" w:rsidRDefault="00DC6720" w:rsidP="00873D43">
            <w:pPr>
              <w:jc w:val="center"/>
              <w:rPr>
                <w:rFonts w:cstheme="minorHAnsi"/>
                <w:b/>
                <w:bCs/>
                <w:color w:val="000000" w:themeColor="text1"/>
                <w:sz w:val="24"/>
                <w:szCs w:val="24"/>
              </w:rPr>
            </w:pPr>
          </w:p>
        </w:tc>
        <w:tc>
          <w:tcPr>
            <w:tcW w:w="12436" w:type="dxa"/>
            <w:gridSpan w:val="2"/>
            <w:shd w:val="clear" w:color="auto" w:fill="D5DCE4" w:themeFill="text2" w:themeFillTint="33"/>
            <w:vAlign w:val="center"/>
          </w:tcPr>
          <w:p w14:paraId="78D6802A" w14:textId="70BA642E" w:rsidR="00DC6720" w:rsidRDefault="00DC6720" w:rsidP="00EF2D3F">
            <w:pPr>
              <w:rPr>
                <w:rFonts w:cstheme="minorHAnsi"/>
                <w:b/>
                <w:bCs/>
                <w:color w:val="000000" w:themeColor="text1"/>
                <w:sz w:val="24"/>
                <w:szCs w:val="24"/>
              </w:rPr>
            </w:pPr>
            <w:r>
              <w:rPr>
                <w:rFonts w:cstheme="minorHAnsi"/>
                <w:b/>
                <w:bCs/>
                <w:color w:val="000000" w:themeColor="text1"/>
                <w:sz w:val="24"/>
                <w:szCs w:val="24"/>
              </w:rPr>
              <w:t xml:space="preserve">Strategy 1 – </w:t>
            </w:r>
            <w:r w:rsidR="00CA39C3">
              <w:rPr>
                <w:rFonts w:cstheme="minorHAnsi"/>
                <w:b/>
                <w:bCs/>
                <w:color w:val="000000" w:themeColor="text1"/>
                <w:sz w:val="24"/>
                <w:szCs w:val="24"/>
              </w:rPr>
              <w:t>Increase outcomes of d</w:t>
            </w:r>
            <w:r w:rsidR="00E92C86">
              <w:rPr>
                <w:rFonts w:cstheme="minorHAnsi"/>
                <w:b/>
                <w:bCs/>
                <w:color w:val="000000" w:themeColor="text1"/>
                <w:sz w:val="24"/>
                <w:szCs w:val="24"/>
              </w:rPr>
              <w:t xml:space="preserve">iversity of </w:t>
            </w:r>
            <w:r w:rsidR="00CA39C3">
              <w:rPr>
                <w:rFonts w:cstheme="minorHAnsi"/>
                <w:b/>
                <w:bCs/>
                <w:color w:val="000000" w:themeColor="text1"/>
                <w:sz w:val="24"/>
                <w:szCs w:val="24"/>
              </w:rPr>
              <w:t>p</w:t>
            </w:r>
            <w:r w:rsidR="00E92C86">
              <w:rPr>
                <w:rFonts w:cstheme="minorHAnsi"/>
                <w:b/>
                <w:bCs/>
                <w:color w:val="000000" w:themeColor="text1"/>
                <w:sz w:val="24"/>
                <w:szCs w:val="24"/>
              </w:rPr>
              <w:t>articipants</w:t>
            </w:r>
            <w:r w:rsidR="00CA39C3">
              <w:rPr>
                <w:rFonts w:cstheme="minorHAnsi"/>
                <w:b/>
                <w:bCs/>
                <w:color w:val="000000" w:themeColor="text1"/>
                <w:sz w:val="24"/>
                <w:szCs w:val="24"/>
              </w:rPr>
              <w:t>, disease stages, methods, and researchers</w:t>
            </w:r>
          </w:p>
        </w:tc>
      </w:tr>
      <w:tr w:rsidR="005B7193" w:rsidRPr="005B7193" w14:paraId="6CC18FC3" w14:textId="57FFC218" w:rsidTr="002967F9">
        <w:trPr>
          <w:trHeight w:val="2762"/>
        </w:trPr>
        <w:tc>
          <w:tcPr>
            <w:tcW w:w="879" w:type="dxa"/>
            <w:vMerge w:val="restart"/>
            <w:vAlign w:val="center"/>
          </w:tcPr>
          <w:p w14:paraId="76579705" w14:textId="09A76C2E" w:rsidR="00DC6720" w:rsidRPr="005B7193" w:rsidRDefault="00DC6720" w:rsidP="00EF2D3F">
            <w:pPr>
              <w:rPr>
                <w:rFonts w:cstheme="minorHAnsi"/>
                <w:b/>
                <w:bCs/>
                <w:color w:val="000000" w:themeColor="text1"/>
                <w:sz w:val="24"/>
                <w:szCs w:val="24"/>
              </w:rPr>
            </w:pPr>
            <w:r w:rsidRPr="005B7193">
              <w:rPr>
                <w:rFonts w:cstheme="minorHAnsi"/>
                <w:b/>
                <w:bCs/>
                <w:color w:val="000000" w:themeColor="text1"/>
                <w:sz w:val="24"/>
                <w:szCs w:val="24"/>
              </w:rPr>
              <w:t>1-2</w:t>
            </w:r>
          </w:p>
        </w:tc>
        <w:tc>
          <w:tcPr>
            <w:tcW w:w="3706" w:type="dxa"/>
          </w:tcPr>
          <w:p w14:paraId="3D8C8A7E" w14:textId="2ABF783F" w:rsidR="00DC6720" w:rsidRPr="005B7193" w:rsidRDefault="00AA1DDC" w:rsidP="00B67502">
            <w:pPr>
              <w:pStyle w:val="ListParagraph"/>
              <w:numPr>
                <w:ilvl w:val="0"/>
                <w:numId w:val="5"/>
              </w:numPr>
              <w:rPr>
                <w:rFonts w:cstheme="minorHAnsi"/>
                <w:color w:val="000000" w:themeColor="text1"/>
                <w:sz w:val="24"/>
                <w:szCs w:val="24"/>
              </w:rPr>
            </w:pPr>
            <w:r w:rsidRPr="005B7193">
              <w:rPr>
                <w:rFonts w:cstheme="minorHAnsi"/>
                <w:b/>
                <w:color w:val="000000" w:themeColor="text1"/>
                <w:sz w:val="24"/>
                <w:szCs w:val="24"/>
              </w:rPr>
              <w:t xml:space="preserve">Compile data </w:t>
            </w:r>
            <w:r w:rsidRPr="008A5BC6">
              <w:rPr>
                <w:rFonts w:cstheme="minorHAnsi"/>
                <w:bCs/>
                <w:color w:val="000000" w:themeColor="text1"/>
                <w:sz w:val="24"/>
                <w:szCs w:val="24"/>
              </w:rPr>
              <w:t xml:space="preserve">for: </w:t>
            </w:r>
            <w:r w:rsidRPr="005B7193">
              <w:rPr>
                <w:rFonts w:cstheme="minorHAnsi"/>
                <w:bCs/>
                <w:color w:val="000000" w:themeColor="text1"/>
                <w:sz w:val="24"/>
                <w:szCs w:val="24"/>
              </w:rPr>
              <w:t xml:space="preserve">participants, disease stages, </w:t>
            </w:r>
            <w:r w:rsidR="00941F6F" w:rsidRPr="005B7193">
              <w:rPr>
                <w:rFonts w:cstheme="minorHAnsi"/>
                <w:bCs/>
                <w:color w:val="000000" w:themeColor="text1"/>
                <w:sz w:val="24"/>
                <w:szCs w:val="24"/>
              </w:rPr>
              <w:t>methods, and researchers</w:t>
            </w:r>
            <w:r w:rsidR="00DC6720" w:rsidRPr="005B7193">
              <w:rPr>
                <w:rFonts w:cstheme="minorHAnsi"/>
                <w:color w:val="000000" w:themeColor="text1"/>
                <w:sz w:val="24"/>
                <w:szCs w:val="24"/>
              </w:rPr>
              <w:t>.</w:t>
            </w:r>
          </w:p>
          <w:p w14:paraId="37658D3F" w14:textId="3D66D00F" w:rsidR="00DC6720" w:rsidRDefault="00941F6F" w:rsidP="00B67502">
            <w:pPr>
              <w:pStyle w:val="ListParagraph"/>
              <w:numPr>
                <w:ilvl w:val="0"/>
                <w:numId w:val="5"/>
              </w:numPr>
              <w:rPr>
                <w:rFonts w:cstheme="minorHAnsi"/>
                <w:color w:val="000000" w:themeColor="text1"/>
                <w:sz w:val="24"/>
                <w:szCs w:val="24"/>
              </w:rPr>
            </w:pPr>
            <w:r w:rsidRPr="005B7193">
              <w:rPr>
                <w:rFonts w:cstheme="minorHAnsi"/>
                <w:b/>
                <w:color w:val="000000" w:themeColor="text1"/>
                <w:sz w:val="24"/>
                <w:szCs w:val="24"/>
              </w:rPr>
              <w:t xml:space="preserve">Inform and educate </w:t>
            </w:r>
            <w:r w:rsidR="005B7193" w:rsidRPr="005B7193">
              <w:rPr>
                <w:rFonts w:cstheme="minorHAnsi"/>
                <w:b/>
                <w:color w:val="000000" w:themeColor="text1"/>
                <w:sz w:val="24"/>
                <w:szCs w:val="24"/>
              </w:rPr>
              <w:t>industry companies and non-profit centers</w:t>
            </w:r>
            <w:r w:rsidR="00F64C59">
              <w:rPr>
                <w:rFonts w:cstheme="minorHAnsi"/>
                <w:bCs/>
                <w:color w:val="000000" w:themeColor="text1"/>
                <w:sz w:val="24"/>
                <w:szCs w:val="24"/>
              </w:rPr>
              <w:t xml:space="preserve"> regarding new rules to come regarding required diversity of participants, disease stages, methods, and researchers</w:t>
            </w:r>
            <w:r w:rsidR="00465BD3" w:rsidRPr="005B7193">
              <w:rPr>
                <w:rFonts w:cstheme="minorHAnsi"/>
                <w:color w:val="000000" w:themeColor="text1"/>
                <w:sz w:val="24"/>
                <w:szCs w:val="24"/>
              </w:rPr>
              <w:t>.</w:t>
            </w:r>
          </w:p>
          <w:p w14:paraId="2C48B1C2" w14:textId="69B8471E" w:rsidR="000E173D" w:rsidRPr="005B7193" w:rsidRDefault="000E173D" w:rsidP="00B67502">
            <w:pPr>
              <w:pStyle w:val="ListParagraph"/>
              <w:numPr>
                <w:ilvl w:val="0"/>
                <w:numId w:val="5"/>
              </w:numPr>
              <w:rPr>
                <w:rFonts w:cstheme="minorHAnsi"/>
                <w:color w:val="000000" w:themeColor="text1"/>
                <w:sz w:val="24"/>
                <w:szCs w:val="24"/>
              </w:rPr>
            </w:pPr>
            <w:r w:rsidRPr="000E173D">
              <w:rPr>
                <w:rFonts w:cstheme="minorHAnsi"/>
                <w:b/>
                <w:bCs/>
                <w:iCs/>
                <w:color w:val="000000" w:themeColor="text1"/>
                <w:sz w:val="24"/>
                <w:szCs w:val="24"/>
              </w:rPr>
              <w:t>Share our recommendations</w:t>
            </w:r>
            <w:r>
              <w:rPr>
                <w:rFonts w:cstheme="minorHAnsi"/>
                <w:iCs/>
                <w:color w:val="000000" w:themeColor="text1"/>
                <w:sz w:val="24"/>
                <w:szCs w:val="24"/>
              </w:rPr>
              <w:t xml:space="preserve"> with all US states plus Puerto Rico and encourage them to set up analogous programs of their own.</w:t>
            </w:r>
          </w:p>
          <w:p w14:paraId="19499FE4" w14:textId="44ABA5E4" w:rsidR="00DC6720" w:rsidRPr="005B7193" w:rsidRDefault="00DC6720" w:rsidP="00F64C59">
            <w:pPr>
              <w:pStyle w:val="ListParagraph"/>
              <w:ind w:left="360"/>
              <w:rPr>
                <w:rFonts w:cstheme="minorHAnsi"/>
                <w:color w:val="000000" w:themeColor="text1"/>
                <w:sz w:val="24"/>
                <w:szCs w:val="24"/>
              </w:rPr>
            </w:pPr>
          </w:p>
        </w:tc>
        <w:tc>
          <w:tcPr>
            <w:tcW w:w="8730" w:type="dxa"/>
          </w:tcPr>
          <w:p w14:paraId="04AC6B46" w14:textId="3B24D05F" w:rsidR="009F7C44" w:rsidRDefault="00C17126" w:rsidP="002967F9">
            <w:pPr>
              <w:rPr>
                <w:rFonts w:cstheme="minorHAnsi"/>
                <w:iCs/>
                <w:color w:val="000000" w:themeColor="text1"/>
                <w:sz w:val="24"/>
                <w:szCs w:val="24"/>
              </w:rPr>
            </w:pPr>
            <w:r w:rsidRPr="009561C4">
              <w:rPr>
                <w:rFonts w:cstheme="minorHAnsi"/>
                <w:iCs/>
                <w:color w:val="000000" w:themeColor="text1"/>
                <w:sz w:val="24"/>
                <w:szCs w:val="24"/>
              </w:rPr>
              <w:t>Obtain</w:t>
            </w:r>
            <w:r w:rsidR="00272C85" w:rsidRPr="009561C4">
              <w:rPr>
                <w:rFonts w:cstheme="minorHAnsi"/>
                <w:iCs/>
                <w:color w:val="000000" w:themeColor="text1"/>
                <w:sz w:val="24"/>
                <w:szCs w:val="24"/>
              </w:rPr>
              <w:t xml:space="preserve"> data from industry </w:t>
            </w:r>
            <w:r w:rsidR="005B7193" w:rsidRPr="009561C4">
              <w:rPr>
                <w:rFonts w:cstheme="minorHAnsi"/>
                <w:iCs/>
                <w:color w:val="000000" w:themeColor="text1"/>
                <w:sz w:val="24"/>
                <w:szCs w:val="24"/>
              </w:rPr>
              <w:t>companies/</w:t>
            </w:r>
            <w:r w:rsidR="00272C85" w:rsidRPr="009561C4">
              <w:rPr>
                <w:rFonts w:cstheme="minorHAnsi"/>
                <w:iCs/>
                <w:color w:val="000000" w:themeColor="text1"/>
                <w:sz w:val="24"/>
                <w:szCs w:val="24"/>
              </w:rPr>
              <w:t xml:space="preserve">studies taking place in the Commonwealth </w:t>
            </w:r>
            <w:r w:rsidR="00B87E36" w:rsidRPr="009561C4">
              <w:rPr>
                <w:rFonts w:cstheme="minorHAnsi"/>
                <w:iCs/>
                <w:color w:val="000000" w:themeColor="text1"/>
                <w:sz w:val="24"/>
                <w:szCs w:val="24"/>
              </w:rPr>
              <w:t xml:space="preserve">(including both specific sites and overall study leadership) </w:t>
            </w:r>
            <w:r w:rsidR="00272C85" w:rsidRPr="009561C4">
              <w:rPr>
                <w:rFonts w:cstheme="minorHAnsi"/>
                <w:iCs/>
                <w:color w:val="000000" w:themeColor="text1"/>
                <w:sz w:val="24"/>
                <w:szCs w:val="24"/>
              </w:rPr>
              <w:t xml:space="preserve">regarding </w:t>
            </w:r>
            <w:r w:rsidR="009F7C44" w:rsidRPr="00AE0B79">
              <w:rPr>
                <w:rFonts w:cstheme="minorHAnsi"/>
                <w:iCs/>
                <w:color w:val="000000" w:themeColor="text1"/>
                <w:sz w:val="24"/>
                <w:szCs w:val="24"/>
              </w:rPr>
              <w:t>diversity of</w:t>
            </w:r>
          </w:p>
          <w:p w14:paraId="00D0B4AE" w14:textId="482AEB2B" w:rsidR="00DC6720" w:rsidRDefault="00941F6F" w:rsidP="002967F9">
            <w:pPr>
              <w:pStyle w:val="ListParagraph"/>
              <w:numPr>
                <w:ilvl w:val="0"/>
                <w:numId w:val="40"/>
              </w:numPr>
              <w:ind w:left="378"/>
              <w:rPr>
                <w:rFonts w:cstheme="minorHAnsi"/>
                <w:iCs/>
                <w:color w:val="000000" w:themeColor="text1"/>
                <w:sz w:val="24"/>
                <w:szCs w:val="24"/>
              </w:rPr>
            </w:pPr>
            <w:r w:rsidRPr="009561C4">
              <w:rPr>
                <w:rFonts w:cstheme="minorHAnsi"/>
                <w:iCs/>
                <w:color w:val="000000" w:themeColor="text1"/>
                <w:sz w:val="24"/>
                <w:szCs w:val="24"/>
              </w:rPr>
              <w:t>participants</w:t>
            </w:r>
            <w:r w:rsidR="009F7C44">
              <w:rPr>
                <w:rFonts w:cstheme="minorHAnsi"/>
                <w:iCs/>
                <w:color w:val="000000" w:themeColor="text1"/>
                <w:sz w:val="24"/>
                <w:szCs w:val="24"/>
              </w:rPr>
              <w:t xml:space="preserve">’ </w:t>
            </w:r>
            <w:r w:rsidR="009F7C44" w:rsidRPr="00AE0B79">
              <w:rPr>
                <w:rFonts w:cstheme="minorHAnsi"/>
                <w:iCs/>
                <w:color w:val="000000" w:themeColor="text1"/>
                <w:sz w:val="24"/>
                <w:szCs w:val="24"/>
              </w:rPr>
              <w:t>demographic</w:t>
            </w:r>
            <w:r w:rsidR="009F7C44">
              <w:rPr>
                <w:rFonts w:cstheme="minorHAnsi"/>
                <w:iCs/>
                <w:color w:val="000000" w:themeColor="text1"/>
                <w:sz w:val="24"/>
                <w:szCs w:val="24"/>
              </w:rPr>
              <w:t xml:space="preserve"> information,</w:t>
            </w:r>
            <w:r w:rsidR="00272C85" w:rsidRPr="009561C4">
              <w:rPr>
                <w:rFonts w:cstheme="minorHAnsi"/>
                <w:iCs/>
                <w:color w:val="000000" w:themeColor="text1"/>
                <w:sz w:val="24"/>
                <w:szCs w:val="24"/>
              </w:rPr>
              <w:t xml:space="preserve"> including race, ethnicity, and other under-represent</w:t>
            </w:r>
            <w:r w:rsidR="00F00857" w:rsidRPr="009561C4">
              <w:rPr>
                <w:rFonts w:cstheme="minorHAnsi"/>
                <w:iCs/>
                <w:color w:val="000000" w:themeColor="text1"/>
                <w:sz w:val="24"/>
                <w:szCs w:val="24"/>
              </w:rPr>
              <w:t>ed</w:t>
            </w:r>
            <w:r w:rsidR="00272C85" w:rsidRPr="009561C4">
              <w:rPr>
                <w:rFonts w:cstheme="minorHAnsi"/>
                <w:iCs/>
                <w:color w:val="000000" w:themeColor="text1"/>
                <w:sz w:val="24"/>
                <w:szCs w:val="24"/>
              </w:rPr>
              <w:t xml:space="preserve"> group variables</w:t>
            </w:r>
            <w:r w:rsidR="00316A49" w:rsidRPr="009561C4">
              <w:rPr>
                <w:rFonts w:cstheme="minorHAnsi"/>
                <w:iCs/>
                <w:color w:val="000000" w:themeColor="text1"/>
                <w:sz w:val="24"/>
                <w:szCs w:val="24"/>
              </w:rPr>
              <w:t>.</w:t>
            </w:r>
          </w:p>
          <w:p w14:paraId="2613DEF0" w14:textId="77777777" w:rsidR="009F7C44" w:rsidRPr="005B7193" w:rsidRDefault="009F7C44" w:rsidP="002967F9">
            <w:pPr>
              <w:pStyle w:val="ListParagraph"/>
              <w:numPr>
                <w:ilvl w:val="0"/>
                <w:numId w:val="40"/>
              </w:numPr>
              <w:ind w:left="378"/>
              <w:rPr>
                <w:rFonts w:cstheme="minorHAnsi"/>
                <w:iCs/>
                <w:color w:val="000000" w:themeColor="text1"/>
                <w:sz w:val="24"/>
                <w:szCs w:val="24"/>
              </w:rPr>
            </w:pPr>
            <w:r>
              <w:rPr>
                <w:rFonts w:cstheme="minorHAnsi"/>
                <w:iCs/>
                <w:color w:val="000000" w:themeColor="text1"/>
                <w:sz w:val="24"/>
                <w:szCs w:val="24"/>
              </w:rPr>
              <w:t>disease stages being investigated</w:t>
            </w:r>
            <w:r w:rsidRPr="005B7193">
              <w:rPr>
                <w:rFonts w:cstheme="minorHAnsi"/>
                <w:iCs/>
                <w:color w:val="000000" w:themeColor="text1"/>
                <w:sz w:val="24"/>
                <w:szCs w:val="24"/>
              </w:rPr>
              <w:t>.</w:t>
            </w:r>
          </w:p>
          <w:p w14:paraId="0D59204E" w14:textId="386FCDEB" w:rsidR="009F7C44" w:rsidRDefault="009F7C44" w:rsidP="002967F9">
            <w:pPr>
              <w:pStyle w:val="ListParagraph"/>
              <w:numPr>
                <w:ilvl w:val="0"/>
                <w:numId w:val="40"/>
              </w:numPr>
              <w:ind w:left="378"/>
              <w:rPr>
                <w:rFonts w:cstheme="minorHAnsi"/>
                <w:iCs/>
                <w:color w:val="000000" w:themeColor="text1"/>
                <w:sz w:val="24"/>
                <w:szCs w:val="24"/>
              </w:rPr>
            </w:pPr>
            <w:r>
              <w:rPr>
                <w:rFonts w:cstheme="minorHAnsi"/>
                <w:iCs/>
                <w:color w:val="000000" w:themeColor="text1"/>
                <w:sz w:val="24"/>
                <w:szCs w:val="24"/>
              </w:rPr>
              <w:t>methodologies being used</w:t>
            </w:r>
            <w:r w:rsidRPr="005B7193">
              <w:rPr>
                <w:rFonts w:cstheme="minorHAnsi"/>
                <w:iCs/>
                <w:color w:val="000000" w:themeColor="text1"/>
                <w:sz w:val="24"/>
                <w:szCs w:val="24"/>
              </w:rPr>
              <w:t>.</w:t>
            </w:r>
          </w:p>
          <w:p w14:paraId="6B9BC306" w14:textId="5195B49D" w:rsidR="009F7C44" w:rsidRPr="009561C4" w:rsidRDefault="009F7C44" w:rsidP="002967F9">
            <w:pPr>
              <w:pStyle w:val="ListParagraph"/>
              <w:numPr>
                <w:ilvl w:val="0"/>
                <w:numId w:val="40"/>
              </w:numPr>
              <w:ind w:left="378"/>
              <w:rPr>
                <w:rFonts w:cstheme="minorHAnsi"/>
                <w:iCs/>
                <w:color w:val="000000" w:themeColor="text1"/>
                <w:sz w:val="24"/>
                <w:szCs w:val="24"/>
              </w:rPr>
            </w:pPr>
            <w:r>
              <w:rPr>
                <w:rFonts w:cstheme="minorHAnsi"/>
                <w:iCs/>
                <w:color w:val="000000" w:themeColor="text1"/>
                <w:sz w:val="24"/>
                <w:szCs w:val="24"/>
              </w:rPr>
              <w:t xml:space="preserve">researchers </w:t>
            </w:r>
            <w:r w:rsidRPr="005B7193">
              <w:rPr>
                <w:rFonts w:cstheme="minorHAnsi"/>
                <w:iCs/>
                <w:color w:val="000000" w:themeColor="text1"/>
                <w:sz w:val="24"/>
                <w:szCs w:val="24"/>
              </w:rPr>
              <w:t xml:space="preserve">including race, ethnicity, </w:t>
            </w:r>
            <w:r>
              <w:rPr>
                <w:rFonts w:cstheme="minorHAnsi"/>
                <w:iCs/>
                <w:color w:val="000000" w:themeColor="text1"/>
                <w:sz w:val="24"/>
                <w:szCs w:val="24"/>
              </w:rPr>
              <w:t xml:space="preserve">gender, </w:t>
            </w:r>
            <w:r w:rsidRPr="005B7193">
              <w:rPr>
                <w:rFonts w:cstheme="minorHAnsi"/>
                <w:iCs/>
                <w:color w:val="000000" w:themeColor="text1"/>
                <w:sz w:val="24"/>
                <w:szCs w:val="24"/>
              </w:rPr>
              <w:t>and other under-represent</w:t>
            </w:r>
            <w:r>
              <w:rPr>
                <w:rFonts w:cstheme="minorHAnsi"/>
                <w:iCs/>
                <w:color w:val="000000" w:themeColor="text1"/>
                <w:sz w:val="24"/>
                <w:szCs w:val="24"/>
              </w:rPr>
              <w:t>ed</w:t>
            </w:r>
            <w:r w:rsidRPr="005B7193">
              <w:rPr>
                <w:rFonts w:cstheme="minorHAnsi"/>
                <w:iCs/>
                <w:color w:val="000000" w:themeColor="text1"/>
                <w:sz w:val="24"/>
                <w:szCs w:val="24"/>
              </w:rPr>
              <w:t xml:space="preserve"> group variables.</w:t>
            </w:r>
          </w:p>
          <w:p w14:paraId="0A31AF27" w14:textId="77777777" w:rsidR="009F7C44" w:rsidRDefault="009F7C44" w:rsidP="002967F9">
            <w:pPr>
              <w:rPr>
                <w:rFonts w:cstheme="minorHAnsi"/>
                <w:iCs/>
                <w:color w:val="000000" w:themeColor="text1"/>
                <w:sz w:val="24"/>
                <w:szCs w:val="24"/>
              </w:rPr>
            </w:pPr>
          </w:p>
          <w:p w14:paraId="13F9369C" w14:textId="057E1DD6" w:rsidR="009F7C44" w:rsidRPr="009561C4" w:rsidRDefault="00C17126" w:rsidP="002967F9">
            <w:pPr>
              <w:rPr>
                <w:rFonts w:cstheme="minorHAnsi"/>
                <w:iCs/>
                <w:color w:val="000000" w:themeColor="text1"/>
                <w:sz w:val="24"/>
                <w:szCs w:val="24"/>
              </w:rPr>
            </w:pPr>
            <w:r w:rsidRPr="009561C4">
              <w:rPr>
                <w:rFonts w:cstheme="minorHAnsi"/>
                <w:iCs/>
                <w:color w:val="000000" w:themeColor="text1"/>
                <w:sz w:val="24"/>
                <w:szCs w:val="24"/>
              </w:rPr>
              <w:t xml:space="preserve">Obtain </w:t>
            </w:r>
            <w:r w:rsidR="00272C85" w:rsidRPr="009561C4">
              <w:rPr>
                <w:rFonts w:cstheme="minorHAnsi"/>
                <w:iCs/>
                <w:color w:val="000000" w:themeColor="text1"/>
                <w:sz w:val="24"/>
                <w:szCs w:val="24"/>
              </w:rPr>
              <w:t xml:space="preserve">demographic data from non-profit </w:t>
            </w:r>
            <w:r w:rsidR="005B7193" w:rsidRPr="009561C4">
              <w:rPr>
                <w:rFonts w:cstheme="minorHAnsi"/>
                <w:iCs/>
                <w:color w:val="000000" w:themeColor="text1"/>
                <w:sz w:val="24"/>
                <w:szCs w:val="24"/>
              </w:rPr>
              <w:t>centers/</w:t>
            </w:r>
            <w:r w:rsidR="00272C85" w:rsidRPr="009561C4">
              <w:rPr>
                <w:rFonts w:cstheme="minorHAnsi"/>
                <w:iCs/>
                <w:color w:val="000000" w:themeColor="text1"/>
                <w:sz w:val="24"/>
                <w:szCs w:val="24"/>
              </w:rPr>
              <w:t xml:space="preserve">studies taking place in the Commonwealth regarding </w:t>
            </w:r>
            <w:r w:rsidR="009F7C44" w:rsidRPr="005B7193">
              <w:rPr>
                <w:rFonts w:cstheme="minorHAnsi"/>
                <w:iCs/>
                <w:color w:val="000000" w:themeColor="text1"/>
                <w:sz w:val="24"/>
                <w:szCs w:val="24"/>
              </w:rPr>
              <w:t>diversity of</w:t>
            </w:r>
          </w:p>
          <w:p w14:paraId="04576531" w14:textId="7ABC7653" w:rsidR="00272C85" w:rsidRPr="005B7193" w:rsidRDefault="00941F6F" w:rsidP="002967F9">
            <w:pPr>
              <w:pStyle w:val="ListParagraph"/>
              <w:numPr>
                <w:ilvl w:val="0"/>
                <w:numId w:val="40"/>
              </w:numPr>
              <w:ind w:left="378"/>
              <w:rPr>
                <w:rFonts w:cstheme="minorHAnsi"/>
                <w:iCs/>
                <w:color w:val="000000" w:themeColor="text1"/>
                <w:sz w:val="24"/>
                <w:szCs w:val="24"/>
              </w:rPr>
            </w:pPr>
            <w:r w:rsidRPr="005B7193">
              <w:rPr>
                <w:rFonts w:cstheme="minorHAnsi"/>
                <w:iCs/>
                <w:color w:val="000000" w:themeColor="text1"/>
                <w:sz w:val="24"/>
                <w:szCs w:val="24"/>
              </w:rPr>
              <w:t>participants</w:t>
            </w:r>
            <w:r w:rsidR="009F7C44">
              <w:rPr>
                <w:rFonts w:cstheme="minorHAnsi"/>
                <w:iCs/>
                <w:color w:val="000000" w:themeColor="text1"/>
                <w:sz w:val="24"/>
                <w:szCs w:val="24"/>
              </w:rPr>
              <w:t xml:space="preserve">’ </w:t>
            </w:r>
            <w:r w:rsidR="009F7C44" w:rsidRPr="00AE0B79">
              <w:rPr>
                <w:rFonts w:cstheme="minorHAnsi"/>
                <w:iCs/>
                <w:color w:val="000000" w:themeColor="text1"/>
                <w:sz w:val="24"/>
                <w:szCs w:val="24"/>
              </w:rPr>
              <w:t>demographic</w:t>
            </w:r>
            <w:r w:rsidR="009F7C44">
              <w:rPr>
                <w:rFonts w:cstheme="minorHAnsi"/>
                <w:iCs/>
                <w:color w:val="000000" w:themeColor="text1"/>
                <w:sz w:val="24"/>
                <w:szCs w:val="24"/>
              </w:rPr>
              <w:t xml:space="preserve"> information,</w:t>
            </w:r>
            <w:r w:rsidR="009F7C44" w:rsidRPr="00AE0B79">
              <w:rPr>
                <w:rFonts w:cstheme="minorHAnsi"/>
                <w:iCs/>
                <w:color w:val="000000" w:themeColor="text1"/>
                <w:sz w:val="24"/>
                <w:szCs w:val="24"/>
              </w:rPr>
              <w:t xml:space="preserve"> </w:t>
            </w:r>
            <w:r w:rsidRPr="005B7193">
              <w:rPr>
                <w:rFonts w:cstheme="minorHAnsi"/>
                <w:iCs/>
                <w:color w:val="000000" w:themeColor="text1"/>
                <w:sz w:val="24"/>
                <w:szCs w:val="24"/>
              </w:rPr>
              <w:t xml:space="preserve"> </w:t>
            </w:r>
            <w:r w:rsidR="00272C85" w:rsidRPr="005B7193">
              <w:rPr>
                <w:rFonts w:cstheme="minorHAnsi"/>
                <w:iCs/>
                <w:color w:val="000000" w:themeColor="text1"/>
                <w:sz w:val="24"/>
                <w:szCs w:val="24"/>
              </w:rPr>
              <w:t>including race, ethnicity, and other under-</w:t>
            </w:r>
            <w:r w:rsidR="00F00857" w:rsidRPr="005B7193">
              <w:rPr>
                <w:rFonts w:cstheme="minorHAnsi"/>
                <w:iCs/>
                <w:color w:val="000000" w:themeColor="text1"/>
                <w:sz w:val="24"/>
                <w:szCs w:val="24"/>
              </w:rPr>
              <w:t>represent</w:t>
            </w:r>
            <w:r w:rsidR="00F00857">
              <w:rPr>
                <w:rFonts w:cstheme="minorHAnsi"/>
                <w:iCs/>
                <w:color w:val="000000" w:themeColor="text1"/>
                <w:sz w:val="24"/>
                <w:szCs w:val="24"/>
              </w:rPr>
              <w:t>ed</w:t>
            </w:r>
            <w:r w:rsidR="00F00857" w:rsidRPr="005B7193">
              <w:rPr>
                <w:rFonts w:cstheme="minorHAnsi"/>
                <w:iCs/>
                <w:color w:val="000000" w:themeColor="text1"/>
                <w:sz w:val="24"/>
                <w:szCs w:val="24"/>
              </w:rPr>
              <w:t xml:space="preserve"> </w:t>
            </w:r>
            <w:r w:rsidR="00272C85" w:rsidRPr="005B7193">
              <w:rPr>
                <w:rFonts w:cstheme="minorHAnsi"/>
                <w:iCs/>
                <w:color w:val="000000" w:themeColor="text1"/>
                <w:sz w:val="24"/>
                <w:szCs w:val="24"/>
              </w:rPr>
              <w:t>group variables.</w:t>
            </w:r>
          </w:p>
          <w:p w14:paraId="12F8FBFE" w14:textId="68386B8E" w:rsidR="00F64C59" w:rsidRPr="005B7193" w:rsidRDefault="00F64C59" w:rsidP="002967F9">
            <w:pPr>
              <w:pStyle w:val="ListParagraph"/>
              <w:numPr>
                <w:ilvl w:val="0"/>
                <w:numId w:val="40"/>
              </w:numPr>
              <w:ind w:left="378"/>
              <w:rPr>
                <w:rFonts w:cstheme="minorHAnsi"/>
                <w:iCs/>
                <w:color w:val="000000" w:themeColor="text1"/>
                <w:sz w:val="24"/>
                <w:szCs w:val="24"/>
              </w:rPr>
            </w:pPr>
            <w:r>
              <w:rPr>
                <w:rFonts w:cstheme="minorHAnsi"/>
                <w:iCs/>
                <w:color w:val="000000" w:themeColor="text1"/>
                <w:sz w:val="24"/>
                <w:szCs w:val="24"/>
              </w:rPr>
              <w:t>disease stages being investigated</w:t>
            </w:r>
            <w:r w:rsidRPr="005B7193">
              <w:rPr>
                <w:rFonts w:cstheme="minorHAnsi"/>
                <w:iCs/>
                <w:color w:val="000000" w:themeColor="text1"/>
                <w:sz w:val="24"/>
                <w:szCs w:val="24"/>
              </w:rPr>
              <w:t>.</w:t>
            </w:r>
          </w:p>
          <w:p w14:paraId="697E1DEC" w14:textId="2F4EA14C" w:rsidR="00C17126" w:rsidRPr="005B7193" w:rsidRDefault="00C17126" w:rsidP="002967F9">
            <w:pPr>
              <w:pStyle w:val="ListParagraph"/>
              <w:numPr>
                <w:ilvl w:val="0"/>
                <w:numId w:val="40"/>
              </w:numPr>
              <w:ind w:left="378"/>
              <w:rPr>
                <w:rFonts w:cstheme="minorHAnsi"/>
                <w:iCs/>
                <w:color w:val="000000" w:themeColor="text1"/>
                <w:sz w:val="24"/>
                <w:szCs w:val="24"/>
              </w:rPr>
            </w:pPr>
            <w:r>
              <w:rPr>
                <w:rFonts w:cstheme="minorHAnsi"/>
                <w:iCs/>
                <w:color w:val="000000" w:themeColor="text1"/>
                <w:sz w:val="24"/>
                <w:szCs w:val="24"/>
              </w:rPr>
              <w:t>methodologies being used</w:t>
            </w:r>
            <w:r w:rsidRPr="005B7193">
              <w:rPr>
                <w:rFonts w:cstheme="minorHAnsi"/>
                <w:iCs/>
                <w:color w:val="000000" w:themeColor="text1"/>
                <w:sz w:val="24"/>
                <w:szCs w:val="24"/>
              </w:rPr>
              <w:t>.</w:t>
            </w:r>
          </w:p>
          <w:p w14:paraId="74A2AF9A" w14:textId="053106BD" w:rsidR="00C17126" w:rsidRPr="005B7193" w:rsidRDefault="00E32D72" w:rsidP="002967F9">
            <w:pPr>
              <w:pStyle w:val="ListParagraph"/>
              <w:numPr>
                <w:ilvl w:val="0"/>
                <w:numId w:val="40"/>
              </w:numPr>
              <w:ind w:left="378"/>
              <w:rPr>
                <w:rFonts w:cstheme="minorHAnsi"/>
                <w:iCs/>
                <w:color w:val="000000" w:themeColor="text1"/>
                <w:sz w:val="24"/>
                <w:szCs w:val="24"/>
              </w:rPr>
            </w:pPr>
            <w:r>
              <w:rPr>
                <w:rFonts w:cstheme="minorHAnsi"/>
                <w:iCs/>
                <w:color w:val="000000" w:themeColor="text1"/>
                <w:sz w:val="24"/>
                <w:szCs w:val="24"/>
              </w:rPr>
              <w:t xml:space="preserve">researchers </w:t>
            </w:r>
            <w:r w:rsidR="00C17126" w:rsidRPr="005B7193">
              <w:rPr>
                <w:rFonts w:cstheme="minorHAnsi"/>
                <w:iCs/>
                <w:color w:val="000000" w:themeColor="text1"/>
                <w:sz w:val="24"/>
                <w:szCs w:val="24"/>
              </w:rPr>
              <w:t xml:space="preserve">including race, ethnicity, </w:t>
            </w:r>
            <w:r w:rsidR="00400721">
              <w:rPr>
                <w:rFonts w:cstheme="minorHAnsi"/>
                <w:iCs/>
                <w:color w:val="000000" w:themeColor="text1"/>
                <w:sz w:val="24"/>
                <w:szCs w:val="24"/>
              </w:rPr>
              <w:t xml:space="preserve">gender, </w:t>
            </w:r>
            <w:r w:rsidR="00C17126" w:rsidRPr="005B7193">
              <w:rPr>
                <w:rFonts w:cstheme="minorHAnsi"/>
                <w:iCs/>
                <w:color w:val="000000" w:themeColor="text1"/>
                <w:sz w:val="24"/>
                <w:szCs w:val="24"/>
              </w:rPr>
              <w:t xml:space="preserve">and other </w:t>
            </w:r>
            <w:r w:rsidR="00315673" w:rsidRPr="005B7193">
              <w:rPr>
                <w:rFonts w:cstheme="minorHAnsi"/>
                <w:iCs/>
                <w:color w:val="000000" w:themeColor="text1"/>
                <w:sz w:val="24"/>
                <w:szCs w:val="24"/>
              </w:rPr>
              <w:t>under-represent</w:t>
            </w:r>
            <w:r w:rsidR="00315673">
              <w:rPr>
                <w:rFonts w:cstheme="minorHAnsi"/>
                <w:iCs/>
                <w:color w:val="000000" w:themeColor="text1"/>
                <w:sz w:val="24"/>
                <w:szCs w:val="24"/>
              </w:rPr>
              <w:t>ed</w:t>
            </w:r>
            <w:r w:rsidR="00C17126" w:rsidRPr="005B7193">
              <w:rPr>
                <w:rFonts w:cstheme="minorHAnsi"/>
                <w:iCs/>
                <w:color w:val="000000" w:themeColor="text1"/>
                <w:sz w:val="24"/>
                <w:szCs w:val="24"/>
              </w:rPr>
              <w:t xml:space="preserve"> group variables.</w:t>
            </w:r>
            <w:r w:rsidR="009F7C44">
              <w:rPr>
                <w:rFonts w:cstheme="minorHAnsi"/>
                <w:iCs/>
                <w:color w:val="000000" w:themeColor="text1"/>
                <w:sz w:val="24"/>
                <w:szCs w:val="24"/>
              </w:rPr>
              <w:br/>
            </w:r>
          </w:p>
          <w:p w14:paraId="777208D4" w14:textId="6EF24633" w:rsidR="00B87E36" w:rsidRPr="005B7193" w:rsidRDefault="00B87E36" w:rsidP="002967F9">
            <w:pPr>
              <w:pStyle w:val="ListParagraph"/>
              <w:numPr>
                <w:ilvl w:val="0"/>
                <w:numId w:val="40"/>
              </w:numPr>
              <w:ind w:left="436" w:hanging="436"/>
              <w:rPr>
                <w:rFonts w:cstheme="minorHAnsi"/>
                <w:iCs/>
                <w:color w:val="000000" w:themeColor="text1"/>
                <w:sz w:val="24"/>
                <w:szCs w:val="24"/>
              </w:rPr>
            </w:pPr>
            <w:r w:rsidRPr="005B7193">
              <w:rPr>
                <w:rFonts w:cstheme="minorHAnsi"/>
                <w:iCs/>
                <w:color w:val="000000" w:themeColor="text1"/>
                <w:sz w:val="24"/>
                <w:szCs w:val="24"/>
              </w:rPr>
              <w:t>By the end of calendar year 202</w:t>
            </w:r>
            <w:r w:rsidR="00E32D72">
              <w:rPr>
                <w:rFonts w:cstheme="minorHAnsi"/>
                <w:iCs/>
                <w:color w:val="000000" w:themeColor="text1"/>
                <w:sz w:val="24"/>
                <w:szCs w:val="24"/>
              </w:rPr>
              <w:t>2</w:t>
            </w:r>
            <w:r w:rsidRPr="005B7193">
              <w:rPr>
                <w:rFonts w:cstheme="minorHAnsi"/>
                <w:iCs/>
                <w:color w:val="000000" w:themeColor="text1"/>
                <w:sz w:val="24"/>
                <w:szCs w:val="24"/>
              </w:rPr>
              <w:t xml:space="preserve">, both industry and non-profit variables will be </w:t>
            </w:r>
            <w:r w:rsidR="00E92C86" w:rsidRPr="005B7193">
              <w:rPr>
                <w:rFonts w:cstheme="minorHAnsi"/>
                <w:iCs/>
                <w:color w:val="000000" w:themeColor="text1"/>
                <w:sz w:val="24"/>
                <w:szCs w:val="24"/>
              </w:rPr>
              <w:lastRenderedPageBreak/>
              <w:t>compiled.</w:t>
            </w:r>
          </w:p>
          <w:p w14:paraId="74C7E541" w14:textId="7C692C07" w:rsidR="004B699C" w:rsidRDefault="004B699C" w:rsidP="002967F9">
            <w:pPr>
              <w:pStyle w:val="ListParagraph"/>
              <w:numPr>
                <w:ilvl w:val="0"/>
                <w:numId w:val="40"/>
              </w:numPr>
              <w:ind w:left="436" w:hanging="436"/>
              <w:rPr>
                <w:rFonts w:cstheme="minorHAnsi"/>
                <w:iCs/>
                <w:color w:val="000000" w:themeColor="text1"/>
                <w:sz w:val="24"/>
                <w:szCs w:val="24"/>
              </w:rPr>
            </w:pPr>
            <w:r w:rsidRPr="005B7193">
              <w:rPr>
                <w:rFonts w:cstheme="minorHAnsi"/>
                <w:iCs/>
                <w:color w:val="000000" w:themeColor="text1"/>
                <w:sz w:val="24"/>
                <w:szCs w:val="24"/>
              </w:rPr>
              <w:t>By the end of calendar year 202</w:t>
            </w:r>
            <w:r>
              <w:rPr>
                <w:rFonts w:cstheme="minorHAnsi"/>
                <w:iCs/>
                <w:color w:val="000000" w:themeColor="text1"/>
                <w:sz w:val="24"/>
                <w:szCs w:val="24"/>
              </w:rPr>
              <w:t>2</w:t>
            </w:r>
            <w:r w:rsidRPr="005B7193">
              <w:rPr>
                <w:rFonts w:cstheme="minorHAnsi"/>
                <w:iCs/>
                <w:color w:val="000000" w:themeColor="text1"/>
                <w:sz w:val="24"/>
                <w:szCs w:val="24"/>
              </w:rPr>
              <w:t xml:space="preserve">, both industry </w:t>
            </w:r>
            <w:r>
              <w:rPr>
                <w:rFonts w:cstheme="minorHAnsi"/>
                <w:iCs/>
                <w:color w:val="000000" w:themeColor="text1"/>
                <w:sz w:val="24"/>
                <w:szCs w:val="24"/>
              </w:rPr>
              <w:t xml:space="preserve">companies </w:t>
            </w:r>
            <w:r w:rsidRPr="005B7193">
              <w:rPr>
                <w:rFonts w:cstheme="minorHAnsi"/>
                <w:iCs/>
                <w:color w:val="000000" w:themeColor="text1"/>
                <w:sz w:val="24"/>
                <w:szCs w:val="24"/>
              </w:rPr>
              <w:t xml:space="preserve">and non-profit </w:t>
            </w:r>
            <w:r>
              <w:rPr>
                <w:rFonts w:cstheme="minorHAnsi"/>
                <w:iCs/>
                <w:color w:val="000000" w:themeColor="text1"/>
                <w:sz w:val="24"/>
                <w:szCs w:val="24"/>
              </w:rPr>
              <w:t>centers</w:t>
            </w:r>
            <w:r w:rsidRPr="005B7193">
              <w:rPr>
                <w:rFonts w:cstheme="minorHAnsi"/>
                <w:iCs/>
                <w:color w:val="000000" w:themeColor="text1"/>
                <w:sz w:val="24"/>
                <w:szCs w:val="24"/>
              </w:rPr>
              <w:t xml:space="preserve"> variables will be </w:t>
            </w:r>
            <w:r>
              <w:rPr>
                <w:rFonts w:cstheme="minorHAnsi"/>
                <w:iCs/>
                <w:color w:val="000000" w:themeColor="text1"/>
                <w:sz w:val="24"/>
                <w:szCs w:val="24"/>
              </w:rPr>
              <w:t>educated regarding the rules to come</w:t>
            </w:r>
            <w:r w:rsidRPr="005B7193">
              <w:rPr>
                <w:rFonts w:cstheme="minorHAnsi"/>
                <w:iCs/>
                <w:color w:val="000000" w:themeColor="text1"/>
                <w:sz w:val="24"/>
                <w:szCs w:val="24"/>
              </w:rPr>
              <w:t>.</w:t>
            </w:r>
          </w:p>
          <w:p w14:paraId="69CB0CCA" w14:textId="70108B97" w:rsidR="004D6413" w:rsidRPr="005B7193" w:rsidRDefault="004D6413" w:rsidP="002967F9">
            <w:pPr>
              <w:pStyle w:val="ListParagraph"/>
              <w:numPr>
                <w:ilvl w:val="0"/>
                <w:numId w:val="40"/>
              </w:numPr>
              <w:ind w:left="436" w:hanging="436"/>
              <w:rPr>
                <w:rFonts w:cstheme="minorHAnsi"/>
                <w:iCs/>
                <w:color w:val="000000" w:themeColor="text1"/>
                <w:sz w:val="24"/>
                <w:szCs w:val="24"/>
              </w:rPr>
            </w:pPr>
            <w:r>
              <w:rPr>
                <w:rFonts w:cstheme="minorHAnsi"/>
                <w:iCs/>
                <w:color w:val="000000" w:themeColor="text1"/>
                <w:sz w:val="24"/>
                <w:szCs w:val="24"/>
              </w:rPr>
              <w:t xml:space="preserve">By the end of calendar year 2022, </w:t>
            </w:r>
            <w:r w:rsidR="000E173D">
              <w:rPr>
                <w:rFonts w:cstheme="minorHAnsi"/>
                <w:iCs/>
                <w:color w:val="000000" w:themeColor="text1"/>
                <w:sz w:val="24"/>
                <w:szCs w:val="24"/>
              </w:rPr>
              <w:t xml:space="preserve">we will share our recommendations with </w:t>
            </w:r>
            <w:r>
              <w:rPr>
                <w:rFonts w:cstheme="minorHAnsi"/>
                <w:iCs/>
                <w:color w:val="000000" w:themeColor="text1"/>
                <w:sz w:val="24"/>
                <w:szCs w:val="24"/>
              </w:rPr>
              <w:t xml:space="preserve">all </w:t>
            </w:r>
            <w:r w:rsidR="00935CD6">
              <w:rPr>
                <w:rFonts w:cstheme="minorHAnsi"/>
                <w:iCs/>
                <w:color w:val="000000" w:themeColor="text1"/>
                <w:sz w:val="24"/>
                <w:szCs w:val="24"/>
              </w:rPr>
              <w:t xml:space="preserve">US </w:t>
            </w:r>
            <w:r>
              <w:rPr>
                <w:rFonts w:cstheme="minorHAnsi"/>
                <w:iCs/>
                <w:color w:val="000000" w:themeColor="text1"/>
                <w:sz w:val="24"/>
                <w:szCs w:val="24"/>
              </w:rPr>
              <w:t xml:space="preserve">states </w:t>
            </w:r>
            <w:r w:rsidR="00935CD6">
              <w:rPr>
                <w:rFonts w:cstheme="minorHAnsi"/>
                <w:iCs/>
                <w:color w:val="000000" w:themeColor="text1"/>
                <w:sz w:val="24"/>
                <w:szCs w:val="24"/>
              </w:rPr>
              <w:t>plus Puerto Rico and encourage</w:t>
            </w:r>
            <w:r w:rsidR="000E173D">
              <w:rPr>
                <w:rFonts w:cstheme="minorHAnsi"/>
                <w:iCs/>
                <w:color w:val="000000" w:themeColor="text1"/>
                <w:sz w:val="24"/>
                <w:szCs w:val="24"/>
              </w:rPr>
              <w:t xml:space="preserve"> them</w:t>
            </w:r>
            <w:r w:rsidR="00935CD6">
              <w:rPr>
                <w:rFonts w:cstheme="minorHAnsi"/>
                <w:iCs/>
                <w:color w:val="000000" w:themeColor="text1"/>
                <w:sz w:val="24"/>
                <w:szCs w:val="24"/>
              </w:rPr>
              <w:t xml:space="preserve"> to set up analogous programs of their own. </w:t>
            </w:r>
          </w:p>
          <w:p w14:paraId="09C5EFDC" w14:textId="356613C9" w:rsidR="00192349" w:rsidRPr="005B7193" w:rsidRDefault="00C24FD7" w:rsidP="002967F9">
            <w:pPr>
              <w:pStyle w:val="ListParagraph"/>
              <w:numPr>
                <w:ilvl w:val="0"/>
                <w:numId w:val="40"/>
              </w:numPr>
              <w:ind w:left="436" w:hanging="436"/>
              <w:rPr>
                <w:rFonts w:cstheme="minorHAnsi"/>
                <w:iCs/>
                <w:color w:val="000000" w:themeColor="text1"/>
                <w:sz w:val="24"/>
                <w:szCs w:val="24"/>
              </w:rPr>
            </w:pPr>
            <w:r w:rsidRPr="005B7193">
              <w:rPr>
                <w:rFonts w:cstheme="minorHAnsi"/>
                <w:iCs/>
                <w:color w:val="000000" w:themeColor="text1"/>
                <w:sz w:val="24"/>
                <w:szCs w:val="24"/>
              </w:rPr>
              <w:t>By the end of calendar year 202</w:t>
            </w:r>
            <w:r>
              <w:rPr>
                <w:rFonts w:cstheme="minorHAnsi"/>
                <w:iCs/>
                <w:color w:val="000000" w:themeColor="text1"/>
                <w:sz w:val="24"/>
                <w:szCs w:val="24"/>
              </w:rPr>
              <w:t xml:space="preserve">1, </w:t>
            </w:r>
            <w:r w:rsidR="00192349" w:rsidRPr="005B7193">
              <w:rPr>
                <w:rFonts w:cstheme="minorHAnsi"/>
                <w:iCs/>
                <w:color w:val="000000" w:themeColor="text1"/>
                <w:sz w:val="24"/>
                <w:szCs w:val="24"/>
              </w:rPr>
              <w:t>$</w:t>
            </w:r>
            <w:r w:rsidR="00AA4A05" w:rsidRPr="005B7193">
              <w:rPr>
                <w:rFonts w:cstheme="minorHAnsi"/>
                <w:iCs/>
                <w:color w:val="000000" w:themeColor="text1"/>
                <w:sz w:val="24"/>
                <w:szCs w:val="24"/>
              </w:rPr>
              <w:t>1</w:t>
            </w:r>
            <w:r w:rsidR="004B699C">
              <w:rPr>
                <w:rFonts w:cstheme="minorHAnsi"/>
                <w:iCs/>
                <w:color w:val="000000" w:themeColor="text1"/>
                <w:sz w:val="24"/>
                <w:szCs w:val="24"/>
              </w:rPr>
              <w:t>5</w:t>
            </w:r>
            <w:r w:rsidR="00AA4A05" w:rsidRPr="005B7193">
              <w:rPr>
                <w:rFonts w:cstheme="minorHAnsi"/>
                <w:iCs/>
                <w:color w:val="000000" w:themeColor="text1"/>
                <w:sz w:val="24"/>
                <w:szCs w:val="24"/>
              </w:rPr>
              <w:t>0,000</w:t>
            </w:r>
            <w:r>
              <w:rPr>
                <w:rFonts w:cstheme="minorHAnsi"/>
                <w:iCs/>
                <w:color w:val="000000" w:themeColor="text1"/>
                <w:sz w:val="24"/>
                <w:szCs w:val="24"/>
              </w:rPr>
              <w:t>/year</w:t>
            </w:r>
            <w:r w:rsidR="00192349" w:rsidRPr="005B7193">
              <w:rPr>
                <w:rFonts w:cstheme="minorHAnsi"/>
                <w:iCs/>
                <w:color w:val="000000" w:themeColor="text1"/>
                <w:sz w:val="24"/>
                <w:szCs w:val="24"/>
              </w:rPr>
              <w:t xml:space="preserve"> </w:t>
            </w:r>
            <w:r>
              <w:rPr>
                <w:rFonts w:cstheme="minorHAnsi"/>
                <w:iCs/>
                <w:color w:val="000000" w:themeColor="text1"/>
                <w:sz w:val="24"/>
                <w:szCs w:val="24"/>
              </w:rPr>
              <w:t xml:space="preserve">will be </w:t>
            </w:r>
            <w:r w:rsidR="00192349" w:rsidRPr="005B7193">
              <w:rPr>
                <w:rFonts w:cstheme="minorHAnsi"/>
                <w:iCs/>
                <w:color w:val="000000" w:themeColor="text1"/>
                <w:sz w:val="24"/>
                <w:szCs w:val="24"/>
              </w:rPr>
              <w:t xml:space="preserve">secured for personnel </w:t>
            </w:r>
            <w:r w:rsidR="00764C03">
              <w:rPr>
                <w:rFonts w:cstheme="minorHAnsi"/>
                <w:iCs/>
                <w:color w:val="000000" w:themeColor="text1"/>
                <w:sz w:val="24"/>
                <w:szCs w:val="24"/>
              </w:rPr>
              <w:t xml:space="preserve">and oversight </w:t>
            </w:r>
            <w:r w:rsidR="00BF551D" w:rsidRPr="005B7193">
              <w:rPr>
                <w:rFonts w:cstheme="minorHAnsi"/>
                <w:iCs/>
                <w:color w:val="000000" w:themeColor="text1"/>
                <w:sz w:val="24"/>
                <w:szCs w:val="24"/>
              </w:rPr>
              <w:t xml:space="preserve">to </w:t>
            </w:r>
            <w:r>
              <w:rPr>
                <w:rFonts w:cstheme="minorHAnsi"/>
                <w:iCs/>
                <w:color w:val="000000" w:themeColor="text1"/>
                <w:sz w:val="24"/>
                <w:szCs w:val="24"/>
              </w:rPr>
              <w:t>compile necessary data and educate industry companies and non-profit centers</w:t>
            </w:r>
            <w:r w:rsidR="00316A49" w:rsidRPr="005B7193">
              <w:rPr>
                <w:rFonts w:cstheme="minorHAnsi"/>
                <w:iCs/>
                <w:color w:val="000000" w:themeColor="text1"/>
                <w:sz w:val="24"/>
                <w:szCs w:val="24"/>
              </w:rPr>
              <w:t>.</w:t>
            </w:r>
            <w:r w:rsidR="00192349" w:rsidRPr="005B7193">
              <w:rPr>
                <w:rFonts w:cstheme="minorHAnsi"/>
                <w:iCs/>
                <w:color w:val="000000" w:themeColor="text1"/>
                <w:sz w:val="24"/>
                <w:szCs w:val="24"/>
              </w:rPr>
              <w:t xml:space="preserve"> </w:t>
            </w:r>
            <w:r>
              <w:rPr>
                <w:rFonts w:cstheme="minorHAnsi"/>
                <w:iCs/>
                <w:color w:val="000000" w:themeColor="text1"/>
                <w:sz w:val="24"/>
                <w:szCs w:val="24"/>
              </w:rPr>
              <w:t>The $150,000 will likely be in the form of a grant to a non-profit center.</w:t>
            </w:r>
          </w:p>
        </w:tc>
      </w:tr>
      <w:tr w:rsidR="00DC6720" w:rsidRPr="001A2C69" w14:paraId="5F63BCB7" w14:textId="098F75EF" w:rsidTr="002967F9">
        <w:trPr>
          <w:trHeight w:val="557"/>
        </w:trPr>
        <w:tc>
          <w:tcPr>
            <w:tcW w:w="879" w:type="dxa"/>
            <w:vMerge/>
          </w:tcPr>
          <w:p w14:paraId="353B591C" w14:textId="6F01C20B" w:rsidR="00DC6720" w:rsidRPr="001A2C69" w:rsidRDefault="00DC6720" w:rsidP="00873D43">
            <w:pPr>
              <w:jc w:val="center"/>
              <w:rPr>
                <w:rFonts w:cstheme="minorHAnsi"/>
                <w:b/>
                <w:bCs/>
                <w:sz w:val="24"/>
                <w:szCs w:val="24"/>
              </w:rPr>
            </w:pPr>
          </w:p>
        </w:tc>
        <w:tc>
          <w:tcPr>
            <w:tcW w:w="12436" w:type="dxa"/>
            <w:gridSpan w:val="2"/>
            <w:shd w:val="clear" w:color="auto" w:fill="D5DCE4" w:themeFill="text2" w:themeFillTint="33"/>
            <w:vAlign w:val="center"/>
          </w:tcPr>
          <w:p w14:paraId="5FAC0F57" w14:textId="7DF3CDBB" w:rsidR="00DC6720" w:rsidRPr="00EF2D3F" w:rsidRDefault="00DC6720" w:rsidP="00EF2D3F">
            <w:pPr>
              <w:rPr>
                <w:rFonts w:cstheme="minorHAnsi"/>
                <w:b/>
                <w:sz w:val="24"/>
                <w:szCs w:val="24"/>
              </w:rPr>
            </w:pPr>
            <w:r>
              <w:rPr>
                <w:rFonts w:cstheme="minorHAnsi"/>
                <w:b/>
                <w:sz w:val="24"/>
                <w:szCs w:val="24"/>
              </w:rPr>
              <w:t xml:space="preserve">Strategy 2 – </w:t>
            </w:r>
            <w:r w:rsidRPr="00EF2D3F">
              <w:rPr>
                <w:rFonts w:cstheme="minorHAnsi"/>
                <w:b/>
                <w:sz w:val="24"/>
                <w:szCs w:val="24"/>
              </w:rPr>
              <w:t>Research</w:t>
            </w:r>
            <w:r>
              <w:rPr>
                <w:rFonts w:cstheme="minorHAnsi"/>
                <w:b/>
                <w:sz w:val="24"/>
                <w:szCs w:val="24"/>
              </w:rPr>
              <w:t xml:space="preserve"> S</w:t>
            </w:r>
            <w:r w:rsidRPr="00EF2D3F">
              <w:rPr>
                <w:rFonts w:cstheme="minorHAnsi"/>
                <w:b/>
                <w:sz w:val="24"/>
                <w:szCs w:val="24"/>
              </w:rPr>
              <w:t>upport</w:t>
            </w:r>
            <w:r>
              <w:rPr>
                <w:rFonts w:cstheme="minorHAnsi"/>
                <w:b/>
                <w:sz w:val="24"/>
                <w:szCs w:val="24"/>
              </w:rPr>
              <w:t xml:space="preserve"> Grants</w:t>
            </w:r>
          </w:p>
        </w:tc>
      </w:tr>
      <w:tr w:rsidR="00DC6720" w:rsidRPr="001A2C69" w14:paraId="29C261BD" w14:textId="66D55B50" w:rsidTr="002967F9">
        <w:trPr>
          <w:trHeight w:val="1952"/>
        </w:trPr>
        <w:tc>
          <w:tcPr>
            <w:tcW w:w="879" w:type="dxa"/>
            <w:vMerge/>
          </w:tcPr>
          <w:p w14:paraId="3AC788F7" w14:textId="77777777" w:rsidR="00DC6720" w:rsidRPr="001A2C69" w:rsidRDefault="00DC6720" w:rsidP="00873D43">
            <w:pPr>
              <w:jc w:val="center"/>
              <w:rPr>
                <w:rFonts w:cstheme="minorHAnsi"/>
                <w:b/>
                <w:bCs/>
                <w:sz w:val="24"/>
                <w:szCs w:val="24"/>
              </w:rPr>
            </w:pPr>
          </w:p>
        </w:tc>
        <w:tc>
          <w:tcPr>
            <w:tcW w:w="3706" w:type="dxa"/>
          </w:tcPr>
          <w:p w14:paraId="21CABEDA" w14:textId="125D652F" w:rsidR="00DC6720" w:rsidRPr="00DC6720" w:rsidRDefault="00165265" w:rsidP="00DC6720">
            <w:pPr>
              <w:pStyle w:val="ListParagraph"/>
              <w:numPr>
                <w:ilvl w:val="0"/>
                <w:numId w:val="20"/>
              </w:numPr>
              <w:rPr>
                <w:rFonts w:cstheme="minorHAnsi"/>
                <w:sz w:val="24"/>
                <w:szCs w:val="24"/>
              </w:rPr>
            </w:pPr>
            <w:r>
              <w:rPr>
                <w:rFonts w:cstheme="minorHAnsi"/>
                <w:b/>
                <w:sz w:val="24"/>
                <w:szCs w:val="24"/>
              </w:rPr>
              <w:t>Provide</w:t>
            </w:r>
            <w:r w:rsidR="00DC6720" w:rsidRPr="00DC6720">
              <w:rPr>
                <w:rFonts w:cstheme="minorHAnsi"/>
                <w:b/>
                <w:sz w:val="24"/>
                <w:szCs w:val="24"/>
              </w:rPr>
              <w:t xml:space="preserve"> sources of funding for small research support grants</w:t>
            </w:r>
            <w:r w:rsidR="00DC6720" w:rsidRPr="00DC6720">
              <w:rPr>
                <w:rFonts w:cstheme="minorHAnsi"/>
                <w:sz w:val="24"/>
                <w:szCs w:val="24"/>
              </w:rPr>
              <w:t xml:space="preserve"> for </w:t>
            </w:r>
            <w:r>
              <w:rPr>
                <w:rFonts w:cstheme="minorHAnsi"/>
                <w:sz w:val="24"/>
                <w:szCs w:val="24"/>
              </w:rPr>
              <w:t xml:space="preserve">increasing the diversity of </w:t>
            </w:r>
            <w:r w:rsidR="00DC6720" w:rsidRPr="00DC6720">
              <w:rPr>
                <w:rFonts w:cstheme="minorHAnsi"/>
                <w:sz w:val="24"/>
                <w:szCs w:val="24"/>
              </w:rPr>
              <w:t xml:space="preserve">underrepresented </w:t>
            </w:r>
            <w:r>
              <w:rPr>
                <w:rFonts w:cstheme="minorHAnsi"/>
                <w:sz w:val="24"/>
                <w:szCs w:val="24"/>
              </w:rPr>
              <w:t>participants, disease stages, research methodologies, and researchers</w:t>
            </w:r>
            <w:r w:rsidR="00DC6720" w:rsidRPr="00DC6720">
              <w:rPr>
                <w:rFonts w:cstheme="minorHAnsi"/>
                <w:sz w:val="24"/>
                <w:szCs w:val="24"/>
              </w:rPr>
              <w:t>.</w:t>
            </w:r>
          </w:p>
          <w:p w14:paraId="589FCC64" w14:textId="77777777" w:rsidR="00DC6720" w:rsidRPr="002967F9" w:rsidRDefault="00DC6720" w:rsidP="00DC6720">
            <w:pPr>
              <w:pStyle w:val="ListParagraph"/>
              <w:numPr>
                <w:ilvl w:val="0"/>
                <w:numId w:val="20"/>
              </w:numPr>
              <w:rPr>
                <w:rFonts w:cstheme="minorHAnsi"/>
                <w:b/>
                <w:sz w:val="24"/>
                <w:szCs w:val="24"/>
              </w:rPr>
            </w:pPr>
            <w:r w:rsidRPr="00DC6720">
              <w:rPr>
                <w:rFonts w:cstheme="minorHAnsi"/>
                <w:b/>
                <w:sz w:val="24"/>
                <w:szCs w:val="24"/>
              </w:rPr>
              <w:t>Secure funding</w:t>
            </w:r>
            <w:r w:rsidRPr="00DC6720">
              <w:rPr>
                <w:rFonts w:cstheme="minorHAnsi"/>
                <w:sz w:val="24"/>
                <w:szCs w:val="24"/>
              </w:rPr>
              <w:t xml:space="preserve"> and establish application mechanism</w:t>
            </w:r>
            <w:r w:rsidR="00316A49">
              <w:rPr>
                <w:rFonts w:cstheme="minorHAnsi"/>
                <w:sz w:val="24"/>
                <w:szCs w:val="24"/>
              </w:rPr>
              <w:t>.</w:t>
            </w:r>
          </w:p>
          <w:p w14:paraId="375DA729" w14:textId="77777777" w:rsidR="002967F9" w:rsidRDefault="002967F9" w:rsidP="002967F9">
            <w:pPr>
              <w:rPr>
                <w:rFonts w:cstheme="minorHAnsi"/>
                <w:b/>
                <w:sz w:val="24"/>
                <w:szCs w:val="24"/>
              </w:rPr>
            </w:pPr>
          </w:p>
          <w:p w14:paraId="7665DC2F" w14:textId="77777777" w:rsidR="002967F9" w:rsidRDefault="002967F9" w:rsidP="002967F9">
            <w:pPr>
              <w:rPr>
                <w:rFonts w:cstheme="minorHAnsi"/>
                <w:b/>
                <w:sz w:val="24"/>
                <w:szCs w:val="24"/>
              </w:rPr>
            </w:pPr>
          </w:p>
          <w:p w14:paraId="380854E2" w14:textId="77777777" w:rsidR="002967F9" w:rsidRDefault="002967F9" w:rsidP="002967F9">
            <w:pPr>
              <w:rPr>
                <w:rFonts w:cstheme="minorHAnsi"/>
                <w:b/>
                <w:sz w:val="24"/>
                <w:szCs w:val="24"/>
              </w:rPr>
            </w:pPr>
          </w:p>
          <w:p w14:paraId="3A490514" w14:textId="77777777" w:rsidR="002967F9" w:rsidRDefault="002967F9" w:rsidP="002967F9">
            <w:pPr>
              <w:rPr>
                <w:rFonts w:cstheme="minorHAnsi"/>
                <w:b/>
                <w:sz w:val="24"/>
                <w:szCs w:val="24"/>
              </w:rPr>
            </w:pPr>
          </w:p>
          <w:p w14:paraId="2F3A1490" w14:textId="77777777" w:rsidR="002967F9" w:rsidRDefault="002967F9" w:rsidP="002967F9">
            <w:pPr>
              <w:rPr>
                <w:rFonts w:cstheme="minorHAnsi"/>
                <w:b/>
                <w:sz w:val="24"/>
                <w:szCs w:val="24"/>
              </w:rPr>
            </w:pPr>
          </w:p>
          <w:p w14:paraId="71639513" w14:textId="77777777" w:rsidR="002967F9" w:rsidRDefault="002967F9" w:rsidP="002967F9">
            <w:pPr>
              <w:rPr>
                <w:rFonts w:cstheme="minorHAnsi"/>
                <w:b/>
                <w:sz w:val="24"/>
                <w:szCs w:val="24"/>
              </w:rPr>
            </w:pPr>
          </w:p>
          <w:p w14:paraId="7EE6AA3F" w14:textId="77777777" w:rsidR="002967F9" w:rsidRDefault="002967F9" w:rsidP="002967F9">
            <w:pPr>
              <w:rPr>
                <w:rFonts w:cstheme="minorHAnsi"/>
                <w:b/>
                <w:sz w:val="24"/>
                <w:szCs w:val="24"/>
              </w:rPr>
            </w:pPr>
          </w:p>
          <w:p w14:paraId="0CE55C4F" w14:textId="77777777" w:rsidR="002967F9" w:rsidRDefault="002967F9" w:rsidP="002967F9">
            <w:pPr>
              <w:rPr>
                <w:rFonts w:cstheme="minorHAnsi"/>
                <w:b/>
                <w:sz w:val="24"/>
                <w:szCs w:val="24"/>
              </w:rPr>
            </w:pPr>
          </w:p>
          <w:p w14:paraId="13DE37A3" w14:textId="721E3BB4" w:rsidR="002967F9" w:rsidRPr="002967F9" w:rsidRDefault="002967F9" w:rsidP="002967F9">
            <w:pPr>
              <w:rPr>
                <w:rFonts w:cstheme="minorHAnsi"/>
                <w:b/>
                <w:sz w:val="24"/>
                <w:szCs w:val="24"/>
              </w:rPr>
            </w:pPr>
          </w:p>
        </w:tc>
        <w:tc>
          <w:tcPr>
            <w:tcW w:w="8730" w:type="dxa"/>
          </w:tcPr>
          <w:p w14:paraId="0DE777F6" w14:textId="2FD8AACC" w:rsidR="00C04003" w:rsidRDefault="001B6EA0" w:rsidP="00C04003">
            <w:pPr>
              <w:pStyle w:val="ListParagraph"/>
              <w:numPr>
                <w:ilvl w:val="0"/>
                <w:numId w:val="22"/>
              </w:numPr>
              <w:rPr>
                <w:rFonts w:cstheme="minorHAnsi"/>
                <w:iCs/>
                <w:color w:val="000000" w:themeColor="text1"/>
                <w:sz w:val="24"/>
                <w:szCs w:val="24"/>
              </w:rPr>
            </w:pPr>
            <w:r w:rsidRPr="005B7193">
              <w:rPr>
                <w:rFonts w:cstheme="minorHAnsi"/>
                <w:iCs/>
                <w:color w:val="000000" w:themeColor="text1"/>
                <w:sz w:val="24"/>
                <w:szCs w:val="24"/>
              </w:rPr>
              <w:t>By the end of calendar year 202</w:t>
            </w:r>
            <w:r>
              <w:rPr>
                <w:rFonts w:cstheme="minorHAnsi"/>
                <w:iCs/>
                <w:color w:val="000000" w:themeColor="text1"/>
                <w:sz w:val="24"/>
                <w:szCs w:val="24"/>
              </w:rPr>
              <w:t>1</w:t>
            </w:r>
            <w:r w:rsidRPr="005B7193">
              <w:rPr>
                <w:rFonts w:cstheme="minorHAnsi"/>
                <w:iCs/>
                <w:color w:val="000000" w:themeColor="text1"/>
                <w:sz w:val="24"/>
                <w:szCs w:val="24"/>
              </w:rPr>
              <w:t>,</w:t>
            </w:r>
            <w:r>
              <w:rPr>
                <w:rFonts w:cstheme="minorHAnsi"/>
                <w:iCs/>
                <w:color w:val="000000" w:themeColor="text1"/>
                <w:sz w:val="24"/>
                <w:szCs w:val="24"/>
              </w:rPr>
              <w:t xml:space="preserve"> a</w:t>
            </w:r>
            <w:r w:rsidR="00C04003" w:rsidRPr="001B6EA0">
              <w:rPr>
                <w:rFonts w:cstheme="minorHAnsi"/>
                <w:iCs/>
                <w:color w:val="000000" w:themeColor="text1"/>
                <w:sz w:val="24"/>
                <w:szCs w:val="24"/>
              </w:rPr>
              <w:t>pplication mechanism</w:t>
            </w:r>
            <w:r w:rsidR="005B1A77" w:rsidRPr="001B6EA0">
              <w:rPr>
                <w:rFonts w:cstheme="minorHAnsi"/>
                <w:iCs/>
                <w:color w:val="000000" w:themeColor="text1"/>
                <w:sz w:val="24"/>
                <w:szCs w:val="24"/>
              </w:rPr>
              <w:t xml:space="preserve"> established</w:t>
            </w:r>
            <w:r w:rsidR="00316A49" w:rsidRPr="001B6EA0">
              <w:rPr>
                <w:rFonts w:cstheme="minorHAnsi"/>
                <w:iCs/>
                <w:color w:val="000000" w:themeColor="text1"/>
                <w:sz w:val="24"/>
                <w:szCs w:val="24"/>
              </w:rPr>
              <w:t>.</w:t>
            </w:r>
          </w:p>
          <w:p w14:paraId="5B590650" w14:textId="77777777" w:rsidR="00DC6720" w:rsidRPr="0047654F" w:rsidRDefault="001B6EA0" w:rsidP="0047654F">
            <w:pPr>
              <w:pStyle w:val="ListParagraph"/>
              <w:numPr>
                <w:ilvl w:val="0"/>
                <w:numId w:val="22"/>
              </w:numPr>
              <w:rPr>
                <w:rFonts w:cstheme="minorHAnsi"/>
                <w:sz w:val="24"/>
                <w:szCs w:val="24"/>
              </w:rPr>
            </w:pPr>
            <w:r w:rsidRPr="005B7193">
              <w:rPr>
                <w:rFonts w:cstheme="minorHAnsi"/>
                <w:iCs/>
                <w:color w:val="000000" w:themeColor="text1"/>
                <w:sz w:val="24"/>
                <w:szCs w:val="24"/>
              </w:rPr>
              <w:t>By the end of calendar year 202</w:t>
            </w:r>
            <w:r>
              <w:rPr>
                <w:rFonts w:cstheme="minorHAnsi"/>
                <w:iCs/>
                <w:color w:val="000000" w:themeColor="text1"/>
                <w:sz w:val="24"/>
                <w:szCs w:val="24"/>
              </w:rPr>
              <w:t>2</w:t>
            </w:r>
            <w:r w:rsidRPr="005B7193">
              <w:rPr>
                <w:rFonts w:cstheme="minorHAnsi"/>
                <w:iCs/>
                <w:color w:val="000000" w:themeColor="text1"/>
                <w:sz w:val="24"/>
                <w:szCs w:val="24"/>
              </w:rPr>
              <w:t>,</w:t>
            </w:r>
            <w:r>
              <w:rPr>
                <w:rFonts w:cstheme="minorHAnsi"/>
                <w:iCs/>
                <w:color w:val="000000" w:themeColor="text1"/>
                <w:sz w:val="24"/>
                <w:szCs w:val="24"/>
              </w:rPr>
              <w:t xml:space="preserve"> </w:t>
            </w:r>
            <w:r w:rsidR="00C04003" w:rsidRPr="001B6EA0">
              <w:rPr>
                <w:rFonts w:cstheme="minorHAnsi"/>
                <w:iCs/>
                <w:color w:val="000000" w:themeColor="text1"/>
                <w:sz w:val="24"/>
                <w:szCs w:val="24"/>
              </w:rPr>
              <w:t>$</w:t>
            </w:r>
            <w:r w:rsidR="00D978CC" w:rsidRPr="001B6EA0">
              <w:rPr>
                <w:rFonts w:cstheme="minorHAnsi"/>
                <w:iCs/>
                <w:color w:val="000000" w:themeColor="text1"/>
                <w:sz w:val="24"/>
                <w:szCs w:val="24"/>
              </w:rPr>
              <w:t>1</w:t>
            </w:r>
            <w:r w:rsidR="00AA4A05" w:rsidRPr="001B6EA0">
              <w:rPr>
                <w:rFonts w:cstheme="minorHAnsi"/>
                <w:iCs/>
                <w:color w:val="000000" w:themeColor="text1"/>
                <w:sz w:val="24"/>
                <w:szCs w:val="24"/>
              </w:rPr>
              <w:t xml:space="preserve">00,000 </w:t>
            </w:r>
            <w:r w:rsidR="00C04003" w:rsidRPr="001B6EA0">
              <w:rPr>
                <w:rFonts w:cstheme="minorHAnsi"/>
                <w:iCs/>
                <w:color w:val="000000" w:themeColor="text1"/>
                <w:sz w:val="24"/>
                <w:szCs w:val="24"/>
              </w:rPr>
              <w:t xml:space="preserve">funding secured for </w:t>
            </w:r>
            <w:r w:rsidR="00D978CC" w:rsidRPr="001B6EA0">
              <w:rPr>
                <w:rFonts w:cstheme="minorHAnsi"/>
                <w:iCs/>
                <w:color w:val="000000" w:themeColor="text1"/>
                <w:sz w:val="24"/>
                <w:szCs w:val="24"/>
              </w:rPr>
              <w:t>1</w:t>
            </w:r>
            <w:r w:rsidR="00AA4A05" w:rsidRPr="001B6EA0">
              <w:rPr>
                <w:rFonts w:cstheme="minorHAnsi"/>
                <w:iCs/>
                <w:color w:val="000000" w:themeColor="text1"/>
                <w:sz w:val="24"/>
                <w:szCs w:val="24"/>
              </w:rPr>
              <w:t xml:space="preserve">0 </w:t>
            </w:r>
            <w:r w:rsidR="00C04003" w:rsidRPr="001B6EA0">
              <w:rPr>
                <w:rFonts w:cstheme="minorHAnsi"/>
                <w:iCs/>
                <w:color w:val="000000" w:themeColor="text1"/>
                <w:sz w:val="24"/>
                <w:szCs w:val="24"/>
              </w:rPr>
              <w:t xml:space="preserve">grants to be </w:t>
            </w:r>
            <w:r w:rsidR="005B1A77" w:rsidRPr="001B6EA0">
              <w:rPr>
                <w:rFonts w:cstheme="minorHAnsi"/>
                <w:iCs/>
                <w:color w:val="000000" w:themeColor="text1"/>
                <w:sz w:val="24"/>
                <w:szCs w:val="24"/>
              </w:rPr>
              <w:t>awarded in years 3-4</w:t>
            </w:r>
            <w:r w:rsidR="00316A49" w:rsidRPr="001B6EA0">
              <w:rPr>
                <w:rFonts w:cstheme="minorHAnsi"/>
                <w:iCs/>
                <w:color w:val="000000" w:themeColor="text1"/>
                <w:sz w:val="24"/>
                <w:szCs w:val="24"/>
              </w:rPr>
              <w:t>.</w:t>
            </w:r>
            <w:r w:rsidR="00C04003" w:rsidRPr="001B6EA0">
              <w:rPr>
                <w:rFonts w:cstheme="minorHAnsi"/>
                <w:i/>
                <w:color w:val="000000" w:themeColor="text1"/>
                <w:sz w:val="24"/>
                <w:szCs w:val="24"/>
              </w:rPr>
              <w:t xml:space="preserve"> </w:t>
            </w:r>
          </w:p>
          <w:p w14:paraId="6BE920F5" w14:textId="77777777" w:rsidR="0047654F" w:rsidRDefault="00624CAE" w:rsidP="009561C4">
            <w:pPr>
              <w:pStyle w:val="ListParagraph"/>
              <w:ind w:left="360"/>
              <w:rPr>
                <w:rFonts w:cstheme="minorHAnsi"/>
                <w:sz w:val="24"/>
                <w:szCs w:val="24"/>
              </w:rPr>
            </w:pPr>
            <w:r>
              <w:rPr>
                <w:rFonts w:cstheme="minorHAnsi"/>
                <w:sz w:val="24"/>
                <w:szCs w:val="24"/>
              </w:rPr>
              <w:t>The p</w:t>
            </w:r>
            <w:r w:rsidR="0047654F">
              <w:rPr>
                <w:rFonts w:cstheme="minorHAnsi"/>
                <w:sz w:val="24"/>
                <w:szCs w:val="24"/>
              </w:rPr>
              <w:t xml:space="preserve">urpose of grants will be for seed funding that can leverage larger </w:t>
            </w:r>
            <w:r w:rsidR="00074225">
              <w:rPr>
                <w:rFonts w:cstheme="minorHAnsi"/>
                <w:sz w:val="24"/>
                <w:szCs w:val="24"/>
              </w:rPr>
              <w:t>grants</w:t>
            </w:r>
            <w:r w:rsidR="004B3D27">
              <w:rPr>
                <w:rFonts w:cstheme="minorHAnsi"/>
                <w:sz w:val="24"/>
                <w:szCs w:val="24"/>
              </w:rPr>
              <w:t xml:space="preserve"> and research projects to promote </w:t>
            </w:r>
            <w:r w:rsidR="00677982">
              <w:rPr>
                <w:rFonts w:cstheme="minorHAnsi"/>
                <w:sz w:val="24"/>
                <w:szCs w:val="24"/>
              </w:rPr>
              <w:t>recommendations</w:t>
            </w:r>
            <w:r w:rsidR="00074225">
              <w:rPr>
                <w:rFonts w:cstheme="minorHAnsi"/>
                <w:sz w:val="24"/>
                <w:szCs w:val="24"/>
              </w:rPr>
              <w:t>.</w:t>
            </w:r>
          </w:p>
          <w:p w14:paraId="221CFCAF" w14:textId="63A5504B" w:rsidR="002967F9" w:rsidRPr="00C04003" w:rsidRDefault="002967F9" w:rsidP="009561C4">
            <w:pPr>
              <w:pStyle w:val="ListParagraph"/>
              <w:ind w:left="360"/>
              <w:rPr>
                <w:rFonts w:cstheme="minorHAnsi"/>
                <w:sz w:val="24"/>
                <w:szCs w:val="24"/>
              </w:rPr>
            </w:pPr>
          </w:p>
        </w:tc>
      </w:tr>
      <w:tr w:rsidR="00B67502" w:rsidRPr="001A2C69" w14:paraId="41B5081D" w14:textId="4D167946" w:rsidTr="002967F9">
        <w:tc>
          <w:tcPr>
            <w:tcW w:w="879" w:type="dxa"/>
            <w:vMerge w:val="restart"/>
            <w:vAlign w:val="center"/>
          </w:tcPr>
          <w:p w14:paraId="329C26A9" w14:textId="2D539967" w:rsidR="00B67502" w:rsidRPr="001A2C69" w:rsidRDefault="00B67502" w:rsidP="00B67502">
            <w:pPr>
              <w:rPr>
                <w:rFonts w:cstheme="minorHAnsi"/>
                <w:b/>
                <w:bCs/>
                <w:sz w:val="24"/>
                <w:szCs w:val="24"/>
              </w:rPr>
            </w:pPr>
            <w:r w:rsidRPr="001A2C69">
              <w:rPr>
                <w:rFonts w:cstheme="minorHAnsi"/>
                <w:b/>
                <w:bCs/>
                <w:sz w:val="24"/>
                <w:szCs w:val="24"/>
              </w:rPr>
              <w:t>3-4</w:t>
            </w:r>
            <w:r w:rsidR="00B21386">
              <w:rPr>
                <w:rFonts w:cstheme="minorHAnsi"/>
                <w:b/>
                <w:bCs/>
                <w:sz w:val="24"/>
                <w:szCs w:val="24"/>
              </w:rPr>
              <w:t>+</w:t>
            </w:r>
          </w:p>
        </w:tc>
        <w:tc>
          <w:tcPr>
            <w:tcW w:w="12436" w:type="dxa"/>
            <w:gridSpan w:val="2"/>
            <w:shd w:val="clear" w:color="auto" w:fill="D5DCE4" w:themeFill="text2" w:themeFillTint="33"/>
          </w:tcPr>
          <w:p w14:paraId="72375901" w14:textId="2B26243F" w:rsidR="00B67502" w:rsidRPr="00B67502" w:rsidRDefault="00B67502" w:rsidP="00B67502">
            <w:pPr>
              <w:rPr>
                <w:rFonts w:cstheme="minorHAnsi"/>
                <w:sz w:val="24"/>
                <w:szCs w:val="24"/>
              </w:rPr>
            </w:pPr>
            <w:r>
              <w:rPr>
                <w:rFonts w:cstheme="minorHAnsi"/>
                <w:b/>
                <w:bCs/>
                <w:color w:val="000000" w:themeColor="text1"/>
                <w:sz w:val="24"/>
                <w:szCs w:val="24"/>
              </w:rPr>
              <w:t>S</w:t>
            </w:r>
            <w:r w:rsidRPr="00B67502">
              <w:rPr>
                <w:rFonts w:cstheme="minorHAnsi"/>
                <w:b/>
                <w:bCs/>
                <w:color w:val="000000" w:themeColor="text1"/>
                <w:sz w:val="24"/>
                <w:szCs w:val="24"/>
              </w:rPr>
              <w:t>trategy 1 – Outreach</w:t>
            </w:r>
          </w:p>
        </w:tc>
      </w:tr>
      <w:tr w:rsidR="00B67502" w:rsidRPr="001A2C69" w14:paraId="67051213" w14:textId="77777777" w:rsidTr="002967F9">
        <w:trPr>
          <w:trHeight w:val="3770"/>
        </w:trPr>
        <w:tc>
          <w:tcPr>
            <w:tcW w:w="879" w:type="dxa"/>
            <w:vMerge/>
          </w:tcPr>
          <w:p w14:paraId="3ED3CC7F" w14:textId="77777777" w:rsidR="00B67502" w:rsidRPr="001A2C69" w:rsidRDefault="00B67502" w:rsidP="00873D43">
            <w:pPr>
              <w:jc w:val="center"/>
              <w:rPr>
                <w:rFonts w:cstheme="minorHAnsi"/>
                <w:b/>
                <w:bCs/>
                <w:sz w:val="24"/>
                <w:szCs w:val="24"/>
              </w:rPr>
            </w:pPr>
          </w:p>
        </w:tc>
        <w:tc>
          <w:tcPr>
            <w:tcW w:w="3706" w:type="dxa"/>
          </w:tcPr>
          <w:p w14:paraId="02AC2DD5" w14:textId="77777777" w:rsidR="00043A6C" w:rsidRPr="005B7193" w:rsidRDefault="00043A6C" w:rsidP="00043A6C">
            <w:pPr>
              <w:pStyle w:val="ListParagraph"/>
              <w:numPr>
                <w:ilvl w:val="0"/>
                <w:numId w:val="37"/>
              </w:numPr>
              <w:rPr>
                <w:rFonts w:cstheme="minorHAnsi"/>
                <w:color w:val="000000" w:themeColor="text1"/>
                <w:sz w:val="24"/>
                <w:szCs w:val="24"/>
              </w:rPr>
            </w:pPr>
            <w:r w:rsidRPr="005B7193">
              <w:rPr>
                <w:rFonts w:cstheme="minorHAnsi"/>
                <w:b/>
                <w:color w:val="000000" w:themeColor="text1"/>
                <w:sz w:val="24"/>
                <w:szCs w:val="24"/>
              </w:rPr>
              <w:t xml:space="preserve">Compile data </w:t>
            </w:r>
            <w:r w:rsidRPr="008A5BC6">
              <w:rPr>
                <w:rFonts w:cstheme="minorHAnsi"/>
                <w:bCs/>
                <w:color w:val="000000" w:themeColor="text1"/>
                <w:sz w:val="24"/>
                <w:szCs w:val="24"/>
              </w:rPr>
              <w:t xml:space="preserve">for: </w:t>
            </w:r>
            <w:r w:rsidRPr="005B7193">
              <w:rPr>
                <w:rFonts w:cstheme="minorHAnsi"/>
                <w:bCs/>
                <w:color w:val="000000" w:themeColor="text1"/>
                <w:sz w:val="24"/>
                <w:szCs w:val="24"/>
              </w:rPr>
              <w:t>participants, disease stages, methods, and researchers</w:t>
            </w:r>
            <w:r w:rsidRPr="005B7193">
              <w:rPr>
                <w:rFonts w:cstheme="minorHAnsi"/>
                <w:color w:val="000000" w:themeColor="text1"/>
                <w:sz w:val="24"/>
                <w:szCs w:val="24"/>
              </w:rPr>
              <w:t>.</w:t>
            </w:r>
          </w:p>
          <w:p w14:paraId="2267050B" w14:textId="77777777" w:rsidR="00043A6C" w:rsidRPr="005B7193" w:rsidRDefault="00043A6C" w:rsidP="00043A6C">
            <w:pPr>
              <w:pStyle w:val="ListParagraph"/>
              <w:numPr>
                <w:ilvl w:val="0"/>
                <w:numId w:val="37"/>
              </w:numPr>
              <w:rPr>
                <w:rFonts w:cstheme="minorHAnsi"/>
                <w:color w:val="000000" w:themeColor="text1"/>
                <w:sz w:val="24"/>
                <w:szCs w:val="24"/>
              </w:rPr>
            </w:pPr>
            <w:r w:rsidRPr="005B7193">
              <w:rPr>
                <w:rFonts w:cstheme="minorHAnsi"/>
                <w:b/>
                <w:color w:val="000000" w:themeColor="text1"/>
                <w:sz w:val="24"/>
                <w:szCs w:val="24"/>
              </w:rPr>
              <w:t>Inform and educate industry companies and non-profit centers</w:t>
            </w:r>
            <w:r>
              <w:rPr>
                <w:rFonts w:cstheme="minorHAnsi"/>
                <w:bCs/>
                <w:color w:val="000000" w:themeColor="text1"/>
                <w:sz w:val="24"/>
                <w:szCs w:val="24"/>
              </w:rPr>
              <w:t xml:space="preserve"> regarding new rules to come regarding required diversity of participants, disease stages, methods, and researchers</w:t>
            </w:r>
            <w:r w:rsidRPr="005B7193">
              <w:rPr>
                <w:rFonts w:cstheme="minorHAnsi"/>
                <w:color w:val="000000" w:themeColor="text1"/>
                <w:sz w:val="24"/>
                <w:szCs w:val="24"/>
              </w:rPr>
              <w:t>.</w:t>
            </w:r>
          </w:p>
          <w:p w14:paraId="5E58F5F5" w14:textId="419F05D1" w:rsidR="00B67502" w:rsidRPr="00B67502" w:rsidRDefault="00B67502" w:rsidP="00B67502">
            <w:pPr>
              <w:pStyle w:val="ListParagraph"/>
              <w:ind w:left="360"/>
              <w:rPr>
                <w:rFonts w:cstheme="minorHAnsi"/>
                <w:sz w:val="24"/>
                <w:szCs w:val="24"/>
              </w:rPr>
            </w:pPr>
          </w:p>
        </w:tc>
        <w:tc>
          <w:tcPr>
            <w:tcW w:w="8730" w:type="dxa"/>
          </w:tcPr>
          <w:p w14:paraId="48B9AE88" w14:textId="71071EEF" w:rsidR="00923007" w:rsidRPr="005B7193" w:rsidRDefault="00644BD6"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 i</w:t>
            </w:r>
            <w:r w:rsidR="00923007" w:rsidRPr="005B7193">
              <w:rPr>
                <w:rFonts w:cstheme="minorHAnsi"/>
                <w:iCs/>
                <w:color w:val="000000" w:themeColor="text1"/>
                <w:sz w:val="24"/>
                <w:szCs w:val="24"/>
              </w:rPr>
              <w:t xml:space="preserve">ndustry companies/studies taking place in the Commonwealth (including both specific sites and overall study leadership) </w:t>
            </w:r>
            <w:r w:rsidR="00043A6C">
              <w:rPr>
                <w:rFonts w:cstheme="minorHAnsi"/>
                <w:iCs/>
                <w:color w:val="000000" w:themeColor="text1"/>
                <w:sz w:val="24"/>
                <w:szCs w:val="24"/>
              </w:rPr>
              <w:t>must increase the</w:t>
            </w:r>
            <w:r w:rsidR="00923007" w:rsidRPr="005B7193">
              <w:rPr>
                <w:rFonts w:cstheme="minorHAnsi"/>
                <w:iCs/>
                <w:color w:val="000000" w:themeColor="text1"/>
                <w:sz w:val="24"/>
                <w:szCs w:val="24"/>
              </w:rPr>
              <w:t xml:space="preserve"> diversity of participants including race, ethnicity, and other under-represent</w:t>
            </w:r>
            <w:r w:rsidR="00923007">
              <w:rPr>
                <w:rFonts w:cstheme="minorHAnsi"/>
                <w:iCs/>
                <w:color w:val="000000" w:themeColor="text1"/>
                <w:sz w:val="24"/>
                <w:szCs w:val="24"/>
              </w:rPr>
              <w:t>ed</w:t>
            </w:r>
            <w:r w:rsidR="00923007" w:rsidRPr="005B7193">
              <w:rPr>
                <w:rFonts w:cstheme="minorHAnsi"/>
                <w:iCs/>
                <w:color w:val="000000" w:themeColor="text1"/>
                <w:sz w:val="24"/>
                <w:szCs w:val="24"/>
              </w:rPr>
              <w:t xml:space="preserve"> group variables</w:t>
            </w:r>
            <w:r w:rsidR="00043A6C">
              <w:rPr>
                <w:rFonts w:cstheme="minorHAnsi"/>
                <w:iCs/>
                <w:color w:val="000000" w:themeColor="text1"/>
                <w:sz w:val="24"/>
                <w:szCs w:val="24"/>
              </w:rPr>
              <w:t xml:space="preserve"> by </w:t>
            </w:r>
            <w:r w:rsidR="00B22AC8">
              <w:rPr>
                <w:rFonts w:cstheme="minorHAnsi"/>
                <w:iCs/>
                <w:color w:val="000000" w:themeColor="text1"/>
                <w:sz w:val="24"/>
                <w:szCs w:val="24"/>
              </w:rPr>
              <w:t>1.5</w:t>
            </w:r>
            <w:r w:rsidR="00043A6C">
              <w:rPr>
                <w:rFonts w:cstheme="minorHAnsi"/>
                <w:iCs/>
                <w:color w:val="000000" w:themeColor="text1"/>
                <w:sz w:val="24"/>
                <w:szCs w:val="24"/>
              </w:rPr>
              <w:t>% per year until diversity matches catchment area</w:t>
            </w:r>
            <w:r w:rsidR="00923007" w:rsidRPr="005B7193">
              <w:rPr>
                <w:rFonts w:cstheme="minorHAnsi"/>
                <w:iCs/>
                <w:color w:val="000000" w:themeColor="text1"/>
                <w:sz w:val="24"/>
                <w:szCs w:val="24"/>
              </w:rPr>
              <w:t>.</w:t>
            </w:r>
          </w:p>
          <w:p w14:paraId="166966D5" w14:textId="4944A29D" w:rsidR="00923007" w:rsidRPr="005B7193" w:rsidRDefault="00644BD6"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 n</w:t>
            </w:r>
            <w:r w:rsidR="00923007" w:rsidRPr="005B7193">
              <w:rPr>
                <w:rFonts w:cstheme="minorHAnsi"/>
                <w:iCs/>
                <w:color w:val="000000" w:themeColor="text1"/>
                <w:sz w:val="24"/>
                <w:szCs w:val="24"/>
              </w:rPr>
              <w:t xml:space="preserve">on-profit centers/studies taking place in the Commonwealth </w:t>
            </w:r>
            <w:r w:rsidR="00B22AC8">
              <w:rPr>
                <w:rFonts w:cstheme="minorHAnsi"/>
                <w:iCs/>
                <w:color w:val="000000" w:themeColor="text1"/>
                <w:sz w:val="24"/>
                <w:szCs w:val="24"/>
              </w:rPr>
              <w:t>must increase the</w:t>
            </w:r>
            <w:r w:rsidR="00923007" w:rsidRPr="005B7193">
              <w:rPr>
                <w:rFonts w:cstheme="minorHAnsi"/>
                <w:iCs/>
                <w:color w:val="000000" w:themeColor="text1"/>
                <w:sz w:val="24"/>
                <w:szCs w:val="24"/>
              </w:rPr>
              <w:t xml:space="preserve"> diversity of participants including race, ethnicity, and other under-represent</w:t>
            </w:r>
            <w:r w:rsidR="00923007">
              <w:rPr>
                <w:rFonts w:cstheme="minorHAnsi"/>
                <w:iCs/>
                <w:color w:val="000000" w:themeColor="text1"/>
                <w:sz w:val="24"/>
                <w:szCs w:val="24"/>
              </w:rPr>
              <w:t>ed</w:t>
            </w:r>
            <w:r w:rsidR="00923007" w:rsidRPr="005B7193">
              <w:rPr>
                <w:rFonts w:cstheme="minorHAnsi"/>
                <w:iCs/>
                <w:color w:val="000000" w:themeColor="text1"/>
                <w:sz w:val="24"/>
                <w:szCs w:val="24"/>
              </w:rPr>
              <w:t xml:space="preserve"> group variables</w:t>
            </w:r>
            <w:r w:rsidR="00B22AC8">
              <w:rPr>
                <w:rFonts w:cstheme="minorHAnsi"/>
                <w:iCs/>
                <w:color w:val="000000" w:themeColor="text1"/>
                <w:sz w:val="24"/>
                <w:szCs w:val="24"/>
              </w:rPr>
              <w:t xml:space="preserve"> by 3% per year until diversity matches catchment area</w:t>
            </w:r>
            <w:r w:rsidR="00B22AC8" w:rsidRPr="005B7193">
              <w:rPr>
                <w:rFonts w:cstheme="minorHAnsi"/>
                <w:iCs/>
                <w:color w:val="000000" w:themeColor="text1"/>
                <w:sz w:val="24"/>
                <w:szCs w:val="24"/>
              </w:rPr>
              <w:t>.</w:t>
            </w:r>
          </w:p>
          <w:p w14:paraId="649AC188" w14:textId="36D15113" w:rsidR="00923007" w:rsidRPr="005B7193" w:rsidRDefault="00644BD6"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 i</w:t>
            </w:r>
            <w:r w:rsidR="00923007" w:rsidRPr="005B7193">
              <w:rPr>
                <w:rFonts w:cstheme="minorHAnsi"/>
                <w:iCs/>
                <w:color w:val="000000" w:themeColor="text1"/>
                <w:sz w:val="24"/>
                <w:szCs w:val="24"/>
              </w:rPr>
              <w:t xml:space="preserve">ndustry companies/studies taking place in the Commonwealth (including both specific sites and overall study leadership) </w:t>
            </w:r>
            <w:r w:rsidR="00FA5460">
              <w:rPr>
                <w:rFonts w:cstheme="minorHAnsi"/>
                <w:iCs/>
                <w:color w:val="000000" w:themeColor="text1"/>
                <w:sz w:val="24"/>
                <w:szCs w:val="24"/>
              </w:rPr>
              <w:t>must pursue therapeutic</w:t>
            </w:r>
            <w:r w:rsidR="00923007" w:rsidRPr="005B7193">
              <w:rPr>
                <w:rFonts w:cstheme="minorHAnsi"/>
                <w:iCs/>
                <w:color w:val="000000" w:themeColor="text1"/>
                <w:sz w:val="24"/>
                <w:szCs w:val="24"/>
              </w:rPr>
              <w:t xml:space="preserve"> </w:t>
            </w:r>
            <w:r w:rsidR="00FA5460">
              <w:rPr>
                <w:rFonts w:cstheme="minorHAnsi"/>
                <w:iCs/>
                <w:color w:val="000000" w:themeColor="text1"/>
                <w:sz w:val="24"/>
                <w:szCs w:val="24"/>
              </w:rPr>
              <w:t xml:space="preserve">and/or beneficial </w:t>
            </w:r>
            <w:r w:rsidR="000750F9">
              <w:rPr>
                <w:rFonts w:cstheme="minorHAnsi"/>
                <w:iCs/>
                <w:color w:val="000000" w:themeColor="text1"/>
                <w:sz w:val="24"/>
                <w:szCs w:val="24"/>
              </w:rPr>
              <w:t xml:space="preserve">research in all </w:t>
            </w:r>
            <w:r w:rsidR="00923007">
              <w:rPr>
                <w:rFonts w:cstheme="minorHAnsi"/>
                <w:iCs/>
                <w:color w:val="000000" w:themeColor="text1"/>
                <w:sz w:val="24"/>
                <w:szCs w:val="24"/>
              </w:rPr>
              <w:t>disease stages</w:t>
            </w:r>
            <w:r w:rsidR="00852645">
              <w:rPr>
                <w:rFonts w:cstheme="minorHAnsi"/>
                <w:iCs/>
                <w:color w:val="000000" w:themeColor="text1"/>
                <w:sz w:val="24"/>
                <w:szCs w:val="24"/>
              </w:rPr>
              <w:t>, from preventative and preclinical to severe dementia</w:t>
            </w:r>
            <w:r w:rsidR="00923007" w:rsidRPr="005B7193">
              <w:rPr>
                <w:rFonts w:cstheme="minorHAnsi"/>
                <w:iCs/>
                <w:color w:val="000000" w:themeColor="text1"/>
                <w:sz w:val="24"/>
                <w:szCs w:val="24"/>
              </w:rPr>
              <w:t>.</w:t>
            </w:r>
            <w:r w:rsidR="000750F9">
              <w:rPr>
                <w:rFonts w:cstheme="minorHAnsi"/>
                <w:iCs/>
                <w:color w:val="000000" w:themeColor="text1"/>
                <w:sz w:val="24"/>
                <w:szCs w:val="24"/>
              </w:rPr>
              <w:t xml:space="preserve"> Such research may include studies of novel drugs, existing drugs for novel indications, </w:t>
            </w:r>
            <w:r w:rsidR="00852645">
              <w:rPr>
                <w:rFonts w:cstheme="minorHAnsi"/>
                <w:iCs/>
                <w:color w:val="000000" w:themeColor="text1"/>
                <w:sz w:val="24"/>
                <w:szCs w:val="24"/>
              </w:rPr>
              <w:t>strategies for people with dementia, strategies for caregivers, etc.</w:t>
            </w:r>
          </w:p>
          <w:p w14:paraId="1FFF7B8A" w14:textId="2EF1B60E" w:rsidR="00923007" w:rsidRPr="005B7193" w:rsidRDefault="00644BD6"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 n</w:t>
            </w:r>
            <w:r w:rsidR="00923007" w:rsidRPr="005B7193">
              <w:rPr>
                <w:rFonts w:cstheme="minorHAnsi"/>
                <w:iCs/>
                <w:color w:val="000000" w:themeColor="text1"/>
                <w:sz w:val="24"/>
                <w:szCs w:val="24"/>
              </w:rPr>
              <w:t xml:space="preserve">on-profit centers/studies taking place in the Commonwealth </w:t>
            </w:r>
            <w:r w:rsidR="00852645">
              <w:rPr>
                <w:rFonts w:cstheme="minorHAnsi"/>
                <w:iCs/>
                <w:color w:val="000000" w:themeColor="text1"/>
                <w:sz w:val="24"/>
                <w:szCs w:val="24"/>
              </w:rPr>
              <w:t>must pursue therapeutic</w:t>
            </w:r>
            <w:r w:rsidR="00852645" w:rsidRPr="005B7193">
              <w:rPr>
                <w:rFonts w:cstheme="minorHAnsi"/>
                <w:iCs/>
                <w:color w:val="000000" w:themeColor="text1"/>
                <w:sz w:val="24"/>
                <w:szCs w:val="24"/>
              </w:rPr>
              <w:t xml:space="preserve"> </w:t>
            </w:r>
            <w:r w:rsidR="00852645">
              <w:rPr>
                <w:rFonts w:cstheme="minorHAnsi"/>
                <w:iCs/>
                <w:color w:val="000000" w:themeColor="text1"/>
                <w:sz w:val="24"/>
                <w:szCs w:val="24"/>
              </w:rPr>
              <w:t>and/or beneficial research in all disease stages</w:t>
            </w:r>
            <w:r w:rsidR="003E5B7E">
              <w:rPr>
                <w:rFonts w:cstheme="minorHAnsi"/>
                <w:iCs/>
                <w:color w:val="000000" w:themeColor="text1"/>
                <w:sz w:val="24"/>
                <w:szCs w:val="24"/>
              </w:rPr>
              <w:t xml:space="preserve"> from preventative and preclinical to severe dementia</w:t>
            </w:r>
            <w:r w:rsidR="00852645" w:rsidRPr="005B7193">
              <w:rPr>
                <w:rFonts w:cstheme="minorHAnsi"/>
                <w:iCs/>
                <w:color w:val="000000" w:themeColor="text1"/>
                <w:sz w:val="24"/>
                <w:szCs w:val="24"/>
              </w:rPr>
              <w:t>.</w:t>
            </w:r>
            <w:r w:rsidR="00852645">
              <w:rPr>
                <w:rFonts w:cstheme="minorHAnsi"/>
                <w:iCs/>
                <w:color w:val="000000" w:themeColor="text1"/>
                <w:sz w:val="24"/>
                <w:szCs w:val="24"/>
              </w:rPr>
              <w:t xml:space="preserve"> Such research may include studies of novel drugs, existing drugs for novel indications, strategies for people with dementia, strategies for caregivers, etc.</w:t>
            </w:r>
          </w:p>
          <w:p w14:paraId="27331DA6" w14:textId="24A71B43" w:rsidR="00923007" w:rsidRPr="005B7193" w:rsidRDefault="00644BD6"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 i</w:t>
            </w:r>
            <w:r w:rsidR="00923007" w:rsidRPr="005B7193">
              <w:rPr>
                <w:rFonts w:cstheme="minorHAnsi"/>
                <w:iCs/>
                <w:color w:val="000000" w:themeColor="text1"/>
                <w:sz w:val="24"/>
                <w:szCs w:val="24"/>
              </w:rPr>
              <w:t xml:space="preserve">ndustry companies/studies taking place in the Commonwealth (including both specific sites and overall study leadership) </w:t>
            </w:r>
            <w:r w:rsidR="00247507">
              <w:rPr>
                <w:rFonts w:cstheme="minorHAnsi"/>
                <w:iCs/>
                <w:color w:val="000000" w:themeColor="text1"/>
                <w:sz w:val="24"/>
                <w:szCs w:val="24"/>
              </w:rPr>
              <w:t>must inc</w:t>
            </w:r>
            <w:r>
              <w:rPr>
                <w:rFonts w:cstheme="minorHAnsi"/>
                <w:iCs/>
                <w:color w:val="000000" w:themeColor="text1"/>
                <w:sz w:val="24"/>
                <w:szCs w:val="24"/>
              </w:rPr>
              <w:t xml:space="preserve">rease the </w:t>
            </w:r>
            <w:r w:rsidR="00923007" w:rsidRPr="005B7193">
              <w:rPr>
                <w:rFonts w:cstheme="minorHAnsi"/>
                <w:iCs/>
                <w:color w:val="000000" w:themeColor="text1"/>
                <w:sz w:val="24"/>
                <w:szCs w:val="24"/>
              </w:rPr>
              <w:t xml:space="preserve">diversity of </w:t>
            </w:r>
            <w:r w:rsidR="00923007">
              <w:rPr>
                <w:rFonts w:cstheme="minorHAnsi"/>
                <w:iCs/>
                <w:color w:val="000000" w:themeColor="text1"/>
                <w:sz w:val="24"/>
                <w:szCs w:val="24"/>
              </w:rPr>
              <w:t>methodologies being used</w:t>
            </w:r>
            <w:r>
              <w:rPr>
                <w:rFonts w:cstheme="minorHAnsi"/>
                <w:iCs/>
                <w:color w:val="000000" w:themeColor="text1"/>
                <w:sz w:val="24"/>
                <w:szCs w:val="24"/>
              </w:rPr>
              <w:t xml:space="preserve"> by 50% the first year, and 10% each year after that until the number of methodologies are at least doubled (100% increase)</w:t>
            </w:r>
            <w:r w:rsidR="00923007" w:rsidRPr="005B7193">
              <w:rPr>
                <w:rFonts w:cstheme="minorHAnsi"/>
                <w:iCs/>
                <w:color w:val="000000" w:themeColor="text1"/>
                <w:sz w:val="24"/>
                <w:szCs w:val="24"/>
              </w:rPr>
              <w:t>.</w:t>
            </w:r>
            <w:r w:rsidR="00017C3E">
              <w:rPr>
                <w:rFonts w:cstheme="minorHAnsi"/>
                <w:iCs/>
                <w:color w:val="000000" w:themeColor="text1"/>
                <w:sz w:val="24"/>
                <w:szCs w:val="24"/>
              </w:rPr>
              <w:t xml:space="preserve"> Such methods may include adding diverse research contexts (e.g., the built environment), diverse research aims (e.g., health disparities), diverse research approaches (e.g., new technologies), etc. </w:t>
            </w:r>
          </w:p>
          <w:p w14:paraId="6F052BD7" w14:textId="029E04F1" w:rsidR="00923007" w:rsidRPr="005B7193" w:rsidRDefault="000A1364"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w:t>
            </w:r>
            <w:r w:rsidR="00923007" w:rsidRPr="005B7193">
              <w:rPr>
                <w:rFonts w:cstheme="minorHAnsi"/>
                <w:iCs/>
                <w:color w:val="000000" w:themeColor="text1"/>
                <w:sz w:val="24"/>
                <w:szCs w:val="24"/>
              </w:rPr>
              <w:t xml:space="preserve"> non-profit centers/studies taking place in the Commonwealth </w:t>
            </w:r>
            <w:r>
              <w:rPr>
                <w:rFonts w:cstheme="minorHAnsi"/>
                <w:iCs/>
                <w:color w:val="000000" w:themeColor="text1"/>
                <w:sz w:val="24"/>
                <w:szCs w:val="24"/>
              </w:rPr>
              <w:t xml:space="preserve">must increase the </w:t>
            </w:r>
            <w:r w:rsidRPr="005B7193">
              <w:rPr>
                <w:rFonts w:cstheme="minorHAnsi"/>
                <w:iCs/>
                <w:color w:val="000000" w:themeColor="text1"/>
                <w:sz w:val="24"/>
                <w:szCs w:val="24"/>
              </w:rPr>
              <w:t xml:space="preserve">diversity of </w:t>
            </w:r>
            <w:r>
              <w:rPr>
                <w:rFonts w:cstheme="minorHAnsi"/>
                <w:iCs/>
                <w:color w:val="000000" w:themeColor="text1"/>
                <w:sz w:val="24"/>
                <w:szCs w:val="24"/>
              </w:rPr>
              <w:t>methodologies being used by 50% the first year, and 10% each year after that until the number of methodologies are at least doubled (100% increase)</w:t>
            </w:r>
            <w:r w:rsidRPr="005B7193">
              <w:rPr>
                <w:rFonts w:cstheme="minorHAnsi"/>
                <w:iCs/>
                <w:color w:val="000000" w:themeColor="text1"/>
                <w:sz w:val="24"/>
                <w:szCs w:val="24"/>
              </w:rPr>
              <w:t>.</w:t>
            </w:r>
            <w:r w:rsidR="00017C3E">
              <w:rPr>
                <w:rFonts w:cstheme="minorHAnsi"/>
                <w:iCs/>
                <w:color w:val="000000" w:themeColor="text1"/>
                <w:sz w:val="24"/>
                <w:szCs w:val="24"/>
              </w:rPr>
              <w:t xml:space="preserve"> Such methods may include adding diverse </w:t>
            </w:r>
            <w:r w:rsidR="00017C3E">
              <w:rPr>
                <w:rFonts w:cstheme="minorHAnsi"/>
                <w:iCs/>
                <w:color w:val="000000" w:themeColor="text1"/>
                <w:sz w:val="24"/>
                <w:szCs w:val="24"/>
              </w:rPr>
              <w:lastRenderedPageBreak/>
              <w:t>research contexts (e.g., the built environment), diverse research aims (e.g., health disparities), diverse research approaches (e.g., new technologies), etc.</w:t>
            </w:r>
          </w:p>
          <w:p w14:paraId="346FBC56" w14:textId="1D48D07B" w:rsidR="00923007" w:rsidRPr="005B7193" w:rsidRDefault="00387F13"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w:t>
            </w:r>
            <w:r w:rsidR="00923007" w:rsidRPr="005B7193">
              <w:rPr>
                <w:rFonts w:cstheme="minorHAnsi"/>
                <w:iCs/>
                <w:color w:val="000000" w:themeColor="text1"/>
                <w:sz w:val="24"/>
                <w:szCs w:val="24"/>
              </w:rPr>
              <w:t xml:space="preserve"> industry companies/studies taking place in the Commonwealth (including both specific sites and overall study leadership) </w:t>
            </w:r>
            <w:r w:rsidR="00400721">
              <w:rPr>
                <w:rFonts w:cstheme="minorHAnsi"/>
                <w:iCs/>
                <w:color w:val="000000" w:themeColor="text1"/>
                <w:sz w:val="24"/>
                <w:szCs w:val="24"/>
              </w:rPr>
              <w:t xml:space="preserve">must increase the </w:t>
            </w:r>
            <w:r w:rsidR="00923007" w:rsidRPr="005B7193">
              <w:rPr>
                <w:rFonts w:cstheme="minorHAnsi"/>
                <w:iCs/>
                <w:color w:val="000000" w:themeColor="text1"/>
                <w:sz w:val="24"/>
                <w:szCs w:val="24"/>
              </w:rPr>
              <w:t xml:space="preserve">diversity of </w:t>
            </w:r>
            <w:r w:rsidR="00923007">
              <w:rPr>
                <w:rFonts w:cstheme="minorHAnsi"/>
                <w:iCs/>
                <w:color w:val="000000" w:themeColor="text1"/>
                <w:sz w:val="24"/>
                <w:szCs w:val="24"/>
              </w:rPr>
              <w:t xml:space="preserve">researchers </w:t>
            </w:r>
            <w:r w:rsidR="00923007" w:rsidRPr="005B7193">
              <w:rPr>
                <w:rFonts w:cstheme="minorHAnsi"/>
                <w:iCs/>
                <w:color w:val="000000" w:themeColor="text1"/>
                <w:sz w:val="24"/>
                <w:szCs w:val="24"/>
              </w:rPr>
              <w:t xml:space="preserve">including race, ethnicity, </w:t>
            </w:r>
            <w:r w:rsidR="004B3D27">
              <w:rPr>
                <w:rFonts w:cstheme="minorHAnsi"/>
                <w:iCs/>
                <w:color w:val="000000" w:themeColor="text1"/>
                <w:sz w:val="24"/>
                <w:szCs w:val="24"/>
              </w:rPr>
              <w:t xml:space="preserve">gender, </w:t>
            </w:r>
            <w:r w:rsidR="00923007" w:rsidRPr="005B7193">
              <w:rPr>
                <w:rFonts w:cstheme="minorHAnsi"/>
                <w:iCs/>
                <w:color w:val="000000" w:themeColor="text1"/>
                <w:sz w:val="24"/>
                <w:szCs w:val="24"/>
              </w:rPr>
              <w:t>and other under-represent</w:t>
            </w:r>
            <w:r w:rsidR="00923007">
              <w:rPr>
                <w:rFonts w:cstheme="minorHAnsi"/>
                <w:iCs/>
                <w:color w:val="000000" w:themeColor="text1"/>
                <w:sz w:val="24"/>
                <w:szCs w:val="24"/>
              </w:rPr>
              <w:t>ed</w:t>
            </w:r>
            <w:r w:rsidR="00923007" w:rsidRPr="005B7193">
              <w:rPr>
                <w:rFonts w:cstheme="minorHAnsi"/>
                <w:iCs/>
                <w:color w:val="000000" w:themeColor="text1"/>
                <w:sz w:val="24"/>
                <w:szCs w:val="24"/>
              </w:rPr>
              <w:t xml:space="preserve"> group variables</w:t>
            </w:r>
            <w:r w:rsidR="004B3D27">
              <w:rPr>
                <w:rFonts w:cstheme="minorHAnsi"/>
                <w:iCs/>
                <w:color w:val="000000" w:themeColor="text1"/>
                <w:sz w:val="24"/>
                <w:szCs w:val="24"/>
              </w:rPr>
              <w:t xml:space="preserve"> by 1.5% per year until diversity matches catchment area</w:t>
            </w:r>
            <w:r w:rsidR="00923007" w:rsidRPr="005B7193">
              <w:rPr>
                <w:rFonts w:cstheme="minorHAnsi"/>
                <w:iCs/>
                <w:color w:val="000000" w:themeColor="text1"/>
                <w:sz w:val="24"/>
                <w:szCs w:val="24"/>
              </w:rPr>
              <w:t>.</w:t>
            </w:r>
          </w:p>
          <w:p w14:paraId="3D98F201" w14:textId="78B6D387" w:rsidR="00923007" w:rsidRDefault="00387F13"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Starting calendar year 2023,</w:t>
            </w:r>
            <w:r w:rsidRPr="005B7193">
              <w:rPr>
                <w:rFonts w:cstheme="minorHAnsi"/>
                <w:iCs/>
                <w:color w:val="000000" w:themeColor="text1"/>
                <w:sz w:val="24"/>
                <w:szCs w:val="24"/>
              </w:rPr>
              <w:t xml:space="preserve"> </w:t>
            </w:r>
            <w:r w:rsidR="00923007" w:rsidRPr="005B7193">
              <w:rPr>
                <w:rFonts w:cstheme="minorHAnsi"/>
                <w:iCs/>
                <w:color w:val="000000" w:themeColor="text1"/>
                <w:sz w:val="24"/>
                <w:szCs w:val="24"/>
              </w:rPr>
              <w:t xml:space="preserve">non-profit centers/studies taking place in the Commonwealth regarding diversity of </w:t>
            </w:r>
            <w:r w:rsidR="00923007">
              <w:rPr>
                <w:rFonts w:cstheme="minorHAnsi"/>
                <w:iCs/>
                <w:color w:val="000000" w:themeColor="text1"/>
                <w:sz w:val="24"/>
                <w:szCs w:val="24"/>
              </w:rPr>
              <w:t xml:space="preserve">researchers </w:t>
            </w:r>
            <w:r w:rsidR="00923007" w:rsidRPr="005B7193">
              <w:rPr>
                <w:rFonts w:cstheme="minorHAnsi"/>
                <w:iCs/>
                <w:color w:val="000000" w:themeColor="text1"/>
                <w:sz w:val="24"/>
                <w:szCs w:val="24"/>
              </w:rPr>
              <w:t xml:space="preserve">including race, ethnicity, </w:t>
            </w:r>
            <w:r w:rsidR="004B3D27">
              <w:rPr>
                <w:rFonts w:cstheme="minorHAnsi"/>
                <w:iCs/>
                <w:color w:val="000000" w:themeColor="text1"/>
                <w:sz w:val="24"/>
                <w:szCs w:val="24"/>
              </w:rPr>
              <w:t xml:space="preserve">gender, </w:t>
            </w:r>
            <w:r w:rsidR="00923007" w:rsidRPr="005B7193">
              <w:rPr>
                <w:rFonts w:cstheme="minorHAnsi"/>
                <w:iCs/>
                <w:color w:val="000000" w:themeColor="text1"/>
                <w:sz w:val="24"/>
                <w:szCs w:val="24"/>
              </w:rPr>
              <w:t>and other under-represent</w:t>
            </w:r>
            <w:r w:rsidR="00923007">
              <w:rPr>
                <w:rFonts w:cstheme="minorHAnsi"/>
                <w:iCs/>
                <w:color w:val="000000" w:themeColor="text1"/>
                <w:sz w:val="24"/>
                <w:szCs w:val="24"/>
              </w:rPr>
              <w:t>ed</w:t>
            </w:r>
            <w:r w:rsidR="00923007" w:rsidRPr="005B7193">
              <w:rPr>
                <w:rFonts w:cstheme="minorHAnsi"/>
                <w:iCs/>
                <w:color w:val="000000" w:themeColor="text1"/>
                <w:sz w:val="24"/>
                <w:szCs w:val="24"/>
              </w:rPr>
              <w:t xml:space="preserve"> group variables</w:t>
            </w:r>
            <w:r w:rsidR="004B3D27">
              <w:rPr>
                <w:rFonts w:cstheme="minorHAnsi"/>
                <w:iCs/>
                <w:color w:val="000000" w:themeColor="text1"/>
                <w:sz w:val="24"/>
                <w:szCs w:val="24"/>
              </w:rPr>
              <w:t xml:space="preserve"> by 1.5% per year until diversity matches catchment area</w:t>
            </w:r>
            <w:r w:rsidR="00923007" w:rsidRPr="005B7193">
              <w:rPr>
                <w:rFonts w:cstheme="minorHAnsi"/>
                <w:iCs/>
                <w:color w:val="000000" w:themeColor="text1"/>
                <w:sz w:val="24"/>
                <w:szCs w:val="24"/>
              </w:rPr>
              <w:t>.</w:t>
            </w:r>
          </w:p>
          <w:p w14:paraId="05B7D8DA" w14:textId="12814399" w:rsidR="00353C10" w:rsidRDefault="00353C10" w:rsidP="00353C10">
            <w:pPr>
              <w:pStyle w:val="ListParagraph"/>
              <w:numPr>
                <w:ilvl w:val="0"/>
                <w:numId w:val="36"/>
              </w:numPr>
              <w:rPr>
                <w:rFonts w:cstheme="minorHAnsi"/>
                <w:iCs/>
                <w:color w:val="000000" w:themeColor="text1"/>
                <w:sz w:val="24"/>
                <w:szCs w:val="24"/>
              </w:rPr>
            </w:pPr>
            <w:r>
              <w:rPr>
                <w:rFonts w:cstheme="minorHAnsi"/>
                <w:iCs/>
                <w:color w:val="000000" w:themeColor="text1"/>
                <w:sz w:val="24"/>
                <w:szCs w:val="24"/>
              </w:rPr>
              <w:t>Each year we will compile data on the</w:t>
            </w:r>
            <w:r w:rsidR="007679DB">
              <w:rPr>
                <w:rFonts w:cstheme="minorHAnsi"/>
                <w:iCs/>
                <w:color w:val="000000" w:themeColor="text1"/>
                <w:sz w:val="24"/>
                <w:szCs w:val="24"/>
              </w:rPr>
              <w:t xml:space="preserve"> success of these measurements.</w:t>
            </w:r>
          </w:p>
          <w:p w14:paraId="15E0AACC" w14:textId="3FBACD4F" w:rsidR="00A81382" w:rsidRPr="008F01AC" w:rsidRDefault="00353C10" w:rsidP="00CC4334">
            <w:pPr>
              <w:pStyle w:val="ListParagraph"/>
              <w:numPr>
                <w:ilvl w:val="0"/>
                <w:numId w:val="36"/>
              </w:numPr>
            </w:pPr>
            <w:r>
              <w:rPr>
                <w:rFonts w:cstheme="minorHAnsi"/>
                <w:iCs/>
                <w:color w:val="000000" w:themeColor="text1"/>
                <w:sz w:val="24"/>
                <w:szCs w:val="24"/>
              </w:rPr>
              <w:t xml:space="preserve">Each year we will compile data regarding how many US states plus Puerto Rico have set up analogous programs of their own. </w:t>
            </w:r>
          </w:p>
        </w:tc>
      </w:tr>
      <w:tr w:rsidR="00B67502" w:rsidRPr="001A2C69" w14:paraId="3843A7F2" w14:textId="77777777" w:rsidTr="002967F9">
        <w:tc>
          <w:tcPr>
            <w:tcW w:w="879" w:type="dxa"/>
            <w:vMerge/>
          </w:tcPr>
          <w:p w14:paraId="2F32A1D2" w14:textId="77777777" w:rsidR="00B67502" w:rsidRPr="001A2C69" w:rsidRDefault="00B67502" w:rsidP="00873D43">
            <w:pPr>
              <w:jc w:val="center"/>
              <w:rPr>
                <w:rFonts w:cstheme="minorHAnsi"/>
                <w:b/>
                <w:bCs/>
                <w:sz w:val="24"/>
                <w:szCs w:val="24"/>
              </w:rPr>
            </w:pPr>
          </w:p>
        </w:tc>
        <w:tc>
          <w:tcPr>
            <w:tcW w:w="12436" w:type="dxa"/>
            <w:gridSpan w:val="2"/>
            <w:shd w:val="clear" w:color="auto" w:fill="D5DCE4" w:themeFill="text2" w:themeFillTint="33"/>
          </w:tcPr>
          <w:p w14:paraId="19C1BB85" w14:textId="09D3A0C0" w:rsidR="00B67502" w:rsidRPr="002D5AC3" w:rsidRDefault="00B67502" w:rsidP="002D5AC3">
            <w:pPr>
              <w:rPr>
                <w:rFonts w:cstheme="minorHAnsi"/>
                <w:sz w:val="24"/>
                <w:szCs w:val="24"/>
              </w:rPr>
            </w:pPr>
            <w:r w:rsidRPr="002D5AC3">
              <w:rPr>
                <w:rFonts w:cstheme="minorHAnsi"/>
                <w:b/>
                <w:sz w:val="24"/>
                <w:szCs w:val="24"/>
              </w:rPr>
              <w:t>Strategy 2 – Research Support Grants</w:t>
            </w:r>
          </w:p>
        </w:tc>
      </w:tr>
      <w:tr w:rsidR="00B67502" w:rsidRPr="001A2C69" w14:paraId="56E1BC80" w14:textId="77777777" w:rsidTr="002967F9">
        <w:trPr>
          <w:trHeight w:val="818"/>
        </w:trPr>
        <w:tc>
          <w:tcPr>
            <w:tcW w:w="879" w:type="dxa"/>
            <w:vMerge/>
          </w:tcPr>
          <w:p w14:paraId="45C32686" w14:textId="77777777" w:rsidR="00B67502" w:rsidRPr="001A2C69" w:rsidRDefault="00B67502" w:rsidP="00873D43">
            <w:pPr>
              <w:jc w:val="center"/>
              <w:rPr>
                <w:rFonts w:cstheme="minorHAnsi"/>
                <w:b/>
                <w:bCs/>
                <w:sz w:val="24"/>
                <w:szCs w:val="24"/>
              </w:rPr>
            </w:pPr>
          </w:p>
        </w:tc>
        <w:tc>
          <w:tcPr>
            <w:tcW w:w="3706" w:type="dxa"/>
          </w:tcPr>
          <w:p w14:paraId="6AA9B6E6" w14:textId="1538D2CB" w:rsidR="00B67502" w:rsidRDefault="00B67502" w:rsidP="00767A60">
            <w:pPr>
              <w:pStyle w:val="ListParagraph"/>
              <w:numPr>
                <w:ilvl w:val="0"/>
                <w:numId w:val="6"/>
              </w:numPr>
              <w:rPr>
                <w:rFonts w:cstheme="minorHAnsi"/>
                <w:sz w:val="24"/>
                <w:szCs w:val="24"/>
              </w:rPr>
            </w:pPr>
            <w:r w:rsidRPr="00B67502">
              <w:rPr>
                <w:rFonts w:cstheme="minorHAnsi"/>
                <w:b/>
                <w:sz w:val="24"/>
                <w:szCs w:val="24"/>
              </w:rPr>
              <w:t xml:space="preserve">Evaluate and fund </w:t>
            </w:r>
            <w:r>
              <w:rPr>
                <w:rFonts w:cstheme="minorHAnsi"/>
                <w:sz w:val="24"/>
                <w:szCs w:val="24"/>
              </w:rPr>
              <w:t xml:space="preserve">small research support </w:t>
            </w:r>
            <w:r w:rsidR="000838E8">
              <w:rPr>
                <w:rFonts w:cstheme="minorHAnsi"/>
                <w:sz w:val="24"/>
                <w:szCs w:val="24"/>
              </w:rPr>
              <w:t>grant applications</w:t>
            </w:r>
            <w:r w:rsidR="00316A49">
              <w:rPr>
                <w:rFonts w:cstheme="minorHAnsi"/>
                <w:sz w:val="24"/>
                <w:szCs w:val="24"/>
              </w:rPr>
              <w:t>.</w:t>
            </w:r>
          </w:p>
        </w:tc>
        <w:tc>
          <w:tcPr>
            <w:tcW w:w="8730" w:type="dxa"/>
          </w:tcPr>
          <w:p w14:paraId="1A9D317E" w14:textId="170E418A" w:rsidR="00B25CEC" w:rsidRPr="00091FBF" w:rsidRDefault="00B25CEC" w:rsidP="00B25CEC">
            <w:pPr>
              <w:pStyle w:val="ListParagraph"/>
              <w:numPr>
                <w:ilvl w:val="0"/>
                <w:numId w:val="38"/>
              </w:numPr>
              <w:rPr>
                <w:rFonts w:cstheme="minorHAnsi"/>
                <w:sz w:val="24"/>
                <w:szCs w:val="24"/>
              </w:rPr>
            </w:pPr>
            <w:r w:rsidRPr="00B25CEC">
              <w:rPr>
                <w:rFonts w:cstheme="minorHAnsi"/>
                <w:iCs/>
                <w:color w:val="000000" w:themeColor="text1"/>
                <w:sz w:val="24"/>
                <w:szCs w:val="24"/>
              </w:rPr>
              <w:t xml:space="preserve">By the end of calendar year 2023, </w:t>
            </w:r>
            <w:r>
              <w:rPr>
                <w:rFonts w:cstheme="minorHAnsi"/>
                <w:iCs/>
                <w:color w:val="000000" w:themeColor="text1"/>
                <w:sz w:val="24"/>
                <w:szCs w:val="24"/>
              </w:rPr>
              <w:t>10</w:t>
            </w:r>
            <w:r w:rsidRPr="00B25CEC">
              <w:rPr>
                <w:rFonts w:cstheme="minorHAnsi"/>
                <w:iCs/>
                <w:color w:val="000000" w:themeColor="text1"/>
                <w:sz w:val="24"/>
                <w:szCs w:val="24"/>
              </w:rPr>
              <w:t xml:space="preserve"> $10,000 grants </w:t>
            </w:r>
            <w:r>
              <w:rPr>
                <w:rFonts w:cstheme="minorHAnsi"/>
                <w:iCs/>
                <w:color w:val="000000" w:themeColor="text1"/>
                <w:sz w:val="24"/>
                <w:szCs w:val="24"/>
              </w:rPr>
              <w:t>will be</w:t>
            </w:r>
            <w:r w:rsidRPr="00B25CEC">
              <w:rPr>
                <w:rFonts w:cstheme="minorHAnsi"/>
                <w:iCs/>
                <w:color w:val="000000" w:themeColor="text1"/>
                <w:sz w:val="24"/>
                <w:szCs w:val="24"/>
              </w:rPr>
              <w:t xml:space="preserve"> awarded.</w:t>
            </w:r>
            <w:r w:rsidRPr="00B25CEC">
              <w:rPr>
                <w:rFonts w:cstheme="minorHAnsi"/>
                <w:i/>
                <w:color w:val="000000" w:themeColor="text1"/>
                <w:sz w:val="24"/>
                <w:szCs w:val="24"/>
              </w:rPr>
              <w:t xml:space="preserve"> </w:t>
            </w:r>
          </w:p>
          <w:p w14:paraId="18F4F804" w14:textId="174C4BEA" w:rsidR="00091FBF" w:rsidRPr="00B25CEC" w:rsidRDefault="00091FBF" w:rsidP="00B25CEC">
            <w:pPr>
              <w:pStyle w:val="ListParagraph"/>
              <w:numPr>
                <w:ilvl w:val="0"/>
                <w:numId w:val="38"/>
              </w:numPr>
              <w:rPr>
                <w:rFonts w:cstheme="minorHAnsi"/>
                <w:sz w:val="24"/>
                <w:szCs w:val="24"/>
              </w:rPr>
            </w:pPr>
            <w:r>
              <w:rPr>
                <w:rFonts w:cstheme="minorHAnsi"/>
                <w:sz w:val="24"/>
                <w:szCs w:val="24"/>
              </w:rPr>
              <w:t xml:space="preserve">Progress reports will be required at 0.5, 1, 1.5, 2, 3, 4, &amp; 5 years to assess the grant’s initial and legacy impact. </w:t>
            </w:r>
          </w:p>
          <w:p w14:paraId="7D7C1758" w14:textId="14E40CF8" w:rsidR="00247551" w:rsidRDefault="00247551" w:rsidP="00B25CEC">
            <w:pPr>
              <w:pStyle w:val="ListParagraph"/>
              <w:numPr>
                <w:ilvl w:val="0"/>
                <w:numId w:val="38"/>
              </w:numPr>
              <w:rPr>
                <w:rFonts w:cstheme="minorHAnsi"/>
                <w:sz w:val="24"/>
                <w:szCs w:val="24"/>
              </w:rPr>
            </w:pPr>
            <w:r>
              <w:rPr>
                <w:rFonts w:cstheme="minorHAnsi"/>
                <w:sz w:val="24"/>
                <w:szCs w:val="24"/>
              </w:rPr>
              <w:t>Individual g</w:t>
            </w:r>
            <w:r w:rsidR="00B25CEC">
              <w:rPr>
                <w:rFonts w:cstheme="minorHAnsi"/>
                <w:sz w:val="24"/>
                <w:szCs w:val="24"/>
              </w:rPr>
              <w:t xml:space="preserve">rants will be </w:t>
            </w:r>
            <w:r>
              <w:rPr>
                <w:rFonts w:cstheme="minorHAnsi"/>
                <w:sz w:val="24"/>
                <w:szCs w:val="24"/>
              </w:rPr>
              <w:t xml:space="preserve">evaluated for </w:t>
            </w:r>
            <w:r w:rsidR="00CE3F60">
              <w:rPr>
                <w:rFonts w:cstheme="minorHAnsi"/>
                <w:sz w:val="24"/>
                <w:szCs w:val="24"/>
              </w:rPr>
              <w:t>their progress toward and achievement of their individual research aims and goals</w:t>
            </w:r>
            <w:r w:rsidR="00515FB6">
              <w:rPr>
                <w:rFonts w:cstheme="minorHAnsi"/>
                <w:sz w:val="24"/>
                <w:szCs w:val="24"/>
              </w:rPr>
              <w:t xml:space="preserve"> at each progress report interval</w:t>
            </w:r>
            <w:r w:rsidR="00CE3F60">
              <w:rPr>
                <w:rFonts w:cstheme="minorHAnsi"/>
                <w:sz w:val="24"/>
                <w:szCs w:val="24"/>
              </w:rPr>
              <w:t>.</w:t>
            </w:r>
          </w:p>
          <w:p w14:paraId="584D1E60" w14:textId="1DB181CE" w:rsidR="00B67502" w:rsidRPr="007679DB" w:rsidRDefault="007679DB" w:rsidP="00B25CEC">
            <w:pPr>
              <w:pStyle w:val="ListParagraph"/>
              <w:numPr>
                <w:ilvl w:val="0"/>
                <w:numId w:val="38"/>
              </w:numPr>
              <w:rPr>
                <w:rFonts w:cstheme="minorHAnsi"/>
                <w:sz w:val="24"/>
                <w:szCs w:val="24"/>
              </w:rPr>
            </w:pPr>
            <w:r>
              <w:rPr>
                <w:rFonts w:cstheme="minorHAnsi"/>
                <w:sz w:val="24"/>
                <w:szCs w:val="24"/>
              </w:rPr>
              <w:t>By the end of calendar year 2024, t</w:t>
            </w:r>
            <w:r w:rsidR="00CE3F60">
              <w:rPr>
                <w:rFonts w:cstheme="minorHAnsi"/>
                <w:sz w:val="24"/>
                <w:szCs w:val="24"/>
              </w:rPr>
              <w:t xml:space="preserve">he overall research support grants program will be evaluated toward its overall goals of increasing diversity </w:t>
            </w:r>
            <w:r w:rsidR="00B25CEC">
              <w:rPr>
                <w:rFonts w:cstheme="minorHAnsi"/>
                <w:sz w:val="24"/>
                <w:szCs w:val="24"/>
              </w:rPr>
              <w:t>seed</w:t>
            </w:r>
            <w:r w:rsidR="00BE6A1E">
              <w:rPr>
                <w:rFonts w:cstheme="minorHAnsi"/>
                <w:sz w:val="24"/>
                <w:szCs w:val="24"/>
              </w:rPr>
              <w:t>ing</w:t>
            </w:r>
            <w:r w:rsidR="00B25CEC">
              <w:rPr>
                <w:rFonts w:cstheme="minorHAnsi"/>
                <w:sz w:val="24"/>
                <w:szCs w:val="24"/>
              </w:rPr>
              <w:t xml:space="preserve"> larger grants and research projects to promote </w:t>
            </w:r>
            <w:r w:rsidR="00BE6A1E">
              <w:rPr>
                <w:rFonts w:cstheme="minorHAnsi"/>
                <w:sz w:val="24"/>
                <w:szCs w:val="24"/>
              </w:rPr>
              <w:t xml:space="preserve">these </w:t>
            </w:r>
            <w:r w:rsidR="00B25CEC">
              <w:rPr>
                <w:rFonts w:cstheme="minorHAnsi"/>
                <w:sz w:val="24"/>
                <w:szCs w:val="24"/>
              </w:rPr>
              <w:t>recommendations.</w:t>
            </w:r>
            <w:r w:rsidR="002D5AC3">
              <w:rPr>
                <w:rFonts w:cstheme="minorHAnsi"/>
                <w:iCs/>
                <w:sz w:val="24"/>
                <w:szCs w:val="24"/>
              </w:rPr>
              <w:t xml:space="preserve"> </w:t>
            </w:r>
          </w:p>
          <w:p w14:paraId="0BDA75B1" w14:textId="23E011AE" w:rsidR="00F86445" w:rsidRPr="00F86445" w:rsidRDefault="007679DB" w:rsidP="00CC4334">
            <w:pPr>
              <w:pStyle w:val="ListParagraph"/>
              <w:numPr>
                <w:ilvl w:val="0"/>
                <w:numId w:val="38"/>
              </w:numPr>
              <w:rPr>
                <w:rFonts w:cstheme="minorHAnsi"/>
                <w:sz w:val="24"/>
                <w:szCs w:val="24"/>
              </w:rPr>
            </w:pPr>
            <w:r>
              <w:rPr>
                <w:rFonts w:cstheme="minorHAnsi"/>
                <w:iCs/>
                <w:sz w:val="24"/>
                <w:szCs w:val="24"/>
              </w:rPr>
              <w:t xml:space="preserve">By the end of calendar year 2024, decisions will be made to continue, discontinue, or modify the grant program depending upon </w:t>
            </w:r>
            <w:r w:rsidR="00B4476D">
              <w:rPr>
                <w:rFonts w:cstheme="minorHAnsi"/>
                <w:iCs/>
                <w:sz w:val="24"/>
                <w:szCs w:val="24"/>
              </w:rPr>
              <w:t>its success or failure toward achieving its overall goals.</w:t>
            </w:r>
          </w:p>
        </w:tc>
      </w:tr>
    </w:tbl>
    <w:p w14:paraId="298A0D1E" w14:textId="77777777" w:rsidR="00E4253D" w:rsidRPr="001A2C69" w:rsidRDefault="00E4253D" w:rsidP="004A46D3">
      <w:pPr>
        <w:rPr>
          <w:rFonts w:cstheme="minorHAnsi"/>
          <w:sz w:val="24"/>
          <w:szCs w:val="24"/>
        </w:rPr>
      </w:pPr>
    </w:p>
    <w:p w14:paraId="2B5576E5" w14:textId="77777777" w:rsidR="004A508C" w:rsidRDefault="004A508C">
      <w:pPr>
        <w:rPr>
          <w:rFonts w:cstheme="minorHAnsi"/>
          <w:b/>
          <w:bCs/>
          <w:sz w:val="24"/>
          <w:szCs w:val="24"/>
        </w:rPr>
      </w:pPr>
      <w:r>
        <w:rPr>
          <w:rFonts w:cstheme="minorHAnsi"/>
          <w:b/>
          <w:bCs/>
          <w:sz w:val="24"/>
          <w:szCs w:val="24"/>
        </w:rPr>
        <w:br w:type="page"/>
      </w:r>
    </w:p>
    <w:p w14:paraId="463927F6" w14:textId="32FED54E" w:rsidR="00481BAF" w:rsidRPr="001A2C69" w:rsidRDefault="00481BAF" w:rsidP="00481BAF">
      <w:pPr>
        <w:rPr>
          <w:rFonts w:cstheme="minorHAnsi"/>
          <w:b/>
          <w:bCs/>
          <w:sz w:val="24"/>
          <w:szCs w:val="24"/>
        </w:rPr>
      </w:pPr>
      <w:r w:rsidRPr="001A2C69">
        <w:rPr>
          <w:rFonts w:cstheme="minorHAnsi"/>
          <w:b/>
          <w:bCs/>
          <w:sz w:val="24"/>
          <w:szCs w:val="24"/>
        </w:rPr>
        <w:lastRenderedPageBreak/>
        <w:t xml:space="preserve">RISKS TO </w:t>
      </w:r>
      <w:r w:rsidR="001910E5">
        <w:rPr>
          <w:rFonts w:cstheme="minorHAnsi"/>
          <w:b/>
          <w:bCs/>
          <w:sz w:val="24"/>
          <w:szCs w:val="24"/>
        </w:rPr>
        <w:t xml:space="preserve">IMPLEMENTATION AND </w:t>
      </w:r>
      <w:r w:rsidRPr="001A2C69">
        <w:rPr>
          <w:rFonts w:cstheme="minorHAnsi"/>
          <w:b/>
          <w:bCs/>
          <w:sz w:val="24"/>
          <w:szCs w:val="24"/>
        </w:rPr>
        <w:t>SUSTAINABILIITY</w:t>
      </w:r>
      <w:r w:rsidR="001910E5">
        <w:rPr>
          <w:rFonts w:cstheme="minorHAnsi"/>
          <w:b/>
          <w:bCs/>
          <w:sz w:val="24"/>
          <w:szCs w:val="24"/>
        </w:rPr>
        <w:t>,</w:t>
      </w:r>
      <w:r w:rsidRPr="001A2C69">
        <w:rPr>
          <w:rFonts w:cstheme="minorHAnsi"/>
          <w:b/>
          <w:bCs/>
          <w:sz w:val="24"/>
          <w:szCs w:val="24"/>
        </w:rPr>
        <w:t xml:space="preserve"> AND RISK RESPONSE STRATEGIES</w:t>
      </w:r>
    </w:p>
    <w:p w14:paraId="78E7D033" w14:textId="3881EC43" w:rsidR="00E51555" w:rsidRDefault="00CB32FE" w:rsidP="002967F9">
      <w:pPr>
        <w:ind w:left="270" w:hanging="270"/>
        <w:rPr>
          <w:rFonts w:cstheme="minorHAnsi"/>
          <w:sz w:val="24"/>
          <w:szCs w:val="24"/>
        </w:rPr>
      </w:pPr>
      <w:r>
        <w:rPr>
          <w:rFonts w:cstheme="minorHAnsi"/>
          <w:sz w:val="24"/>
          <w:szCs w:val="24"/>
        </w:rPr>
        <w:t xml:space="preserve">1. Industry </w:t>
      </w:r>
      <w:r w:rsidR="009F4522">
        <w:rPr>
          <w:rFonts w:cstheme="minorHAnsi"/>
          <w:sz w:val="24"/>
          <w:szCs w:val="24"/>
        </w:rPr>
        <w:t xml:space="preserve">companies </w:t>
      </w:r>
      <w:r>
        <w:rPr>
          <w:rFonts w:cstheme="minorHAnsi"/>
          <w:sz w:val="24"/>
          <w:szCs w:val="24"/>
        </w:rPr>
        <w:t>and non-profit centers may not wish to share information with us regarding the diversity of their participants, disease stages, methodologies, and researchers.</w:t>
      </w:r>
    </w:p>
    <w:p w14:paraId="274EBB1A" w14:textId="2A156912" w:rsidR="00104696" w:rsidRDefault="00104696" w:rsidP="00104696">
      <w:pPr>
        <w:ind w:left="720"/>
        <w:rPr>
          <w:rFonts w:cstheme="minorHAnsi"/>
          <w:sz w:val="24"/>
          <w:szCs w:val="24"/>
        </w:rPr>
      </w:pPr>
      <w:r>
        <w:rPr>
          <w:rFonts w:cstheme="minorHAnsi"/>
          <w:sz w:val="24"/>
          <w:szCs w:val="24"/>
        </w:rPr>
        <w:t xml:space="preserve">RESPONSE: </w:t>
      </w:r>
      <w:r w:rsidR="00B83514">
        <w:rPr>
          <w:rFonts w:cstheme="minorHAnsi"/>
          <w:sz w:val="24"/>
          <w:szCs w:val="24"/>
        </w:rPr>
        <w:t>To encourage participation w</w:t>
      </w:r>
      <w:r>
        <w:rPr>
          <w:rFonts w:cstheme="minorHAnsi"/>
          <w:sz w:val="24"/>
          <w:szCs w:val="24"/>
        </w:rPr>
        <w:t xml:space="preserve">e can either use incentives (such as less rapid implementation of mandated guidelines) or </w:t>
      </w:r>
      <w:r w:rsidR="007E3B26">
        <w:rPr>
          <w:rFonts w:cstheme="minorHAnsi"/>
          <w:sz w:val="24"/>
          <w:szCs w:val="24"/>
        </w:rPr>
        <w:t>penalties</w:t>
      </w:r>
      <w:r>
        <w:rPr>
          <w:rFonts w:cstheme="minorHAnsi"/>
          <w:sz w:val="24"/>
          <w:szCs w:val="24"/>
        </w:rPr>
        <w:t xml:space="preserve"> </w:t>
      </w:r>
      <w:r w:rsidR="00B83514">
        <w:rPr>
          <w:rFonts w:cstheme="minorHAnsi"/>
          <w:sz w:val="24"/>
          <w:szCs w:val="24"/>
        </w:rPr>
        <w:t xml:space="preserve">(such as financial or other penalties). </w:t>
      </w:r>
    </w:p>
    <w:p w14:paraId="0005408E" w14:textId="5D8EA734" w:rsidR="001910E5" w:rsidRDefault="001910E5" w:rsidP="004A46D3">
      <w:pPr>
        <w:rPr>
          <w:rFonts w:cstheme="minorHAnsi"/>
          <w:sz w:val="24"/>
          <w:szCs w:val="24"/>
        </w:rPr>
      </w:pPr>
      <w:r>
        <w:rPr>
          <w:rFonts w:cstheme="minorHAnsi"/>
          <w:sz w:val="24"/>
          <w:szCs w:val="24"/>
        </w:rPr>
        <w:t>2. Other US states and territories may not be interested in our recommendations and may choose not to set up analogous programs.</w:t>
      </w:r>
    </w:p>
    <w:p w14:paraId="44B16DDA" w14:textId="35D84662" w:rsidR="00B83514" w:rsidRDefault="00B83514" w:rsidP="00B83514">
      <w:pPr>
        <w:ind w:left="720"/>
        <w:rPr>
          <w:rFonts w:cstheme="minorHAnsi"/>
          <w:sz w:val="24"/>
          <w:szCs w:val="24"/>
        </w:rPr>
      </w:pPr>
      <w:r>
        <w:rPr>
          <w:rFonts w:cstheme="minorHAnsi"/>
          <w:sz w:val="24"/>
          <w:szCs w:val="24"/>
        </w:rPr>
        <w:t xml:space="preserve">RESPONSE: We can explain that such recommendations are important both for the benefit of the science as well as for the citizens of each state and territory. </w:t>
      </w:r>
    </w:p>
    <w:p w14:paraId="31B66860" w14:textId="61FCC0EB" w:rsidR="001910E5" w:rsidRDefault="001910E5" w:rsidP="002967F9">
      <w:pPr>
        <w:ind w:left="180" w:hanging="180"/>
        <w:rPr>
          <w:rFonts w:cstheme="minorHAnsi"/>
          <w:sz w:val="24"/>
          <w:szCs w:val="24"/>
        </w:rPr>
      </w:pPr>
      <w:r>
        <w:rPr>
          <w:rFonts w:cstheme="minorHAnsi"/>
          <w:sz w:val="24"/>
          <w:szCs w:val="24"/>
        </w:rPr>
        <w:t xml:space="preserve">3. </w:t>
      </w:r>
      <w:r w:rsidR="000D51B3">
        <w:rPr>
          <w:rFonts w:cstheme="minorHAnsi"/>
          <w:sz w:val="24"/>
          <w:szCs w:val="24"/>
        </w:rPr>
        <w:t xml:space="preserve">Industry </w:t>
      </w:r>
      <w:r w:rsidR="009F4522">
        <w:rPr>
          <w:rFonts w:cstheme="minorHAnsi"/>
          <w:sz w:val="24"/>
          <w:szCs w:val="24"/>
        </w:rPr>
        <w:t xml:space="preserve">companies </w:t>
      </w:r>
      <w:r w:rsidR="000D51B3">
        <w:rPr>
          <w:rFonts w:cstheme="minorHAnsi"/>
          <w:sz w:val="24"/>
          <w:szCs w:val="24"/>
        </w:rPr>
        <w:t>and non-profit centers may not wish to implement the mandated guidelines regarding the diversity of their participants, disease stages, methodologies, and researchers.</w:t>
      </w:r>
    </w:p>
    <w:p w14:paraId="3B4A295B" w14:textId="7874BB0E" w:rsidR="00D21372" w:rsidRDefault="00D21372" w:rsidP="00D21372">
      <w:pPr>
        <w:ind w:left="720"/>
        <w:rPr>
          <w:rFonts w:cstheme="minorHAnsi"/>
          <w:sz w:val="24"/>
          <w:szCs w:val="24"/>
        </w:rPr>
      </w:pPr>
      <w:r>
        <w:rPr>
          <w:rFonts w:cstheme="minorHAnsi"/>
          <w:sz w:val="24"/>
          <w:szCs w:val="24"/>
        </w:rPr>
        <w:t>RESPONSE: To encourage participation we can use incentives (such as sharing outreach and recruitment materials and strategies to increase diversity)</w:t>
      </w:r>
      <w:r w:rsidR="007E3B26">
        <w:rPr>
          <w:rFonts w:cstheme="minorHAnsi"/>
          <w:sz w:val="24"/>
          <w:szCs w:val="24"/>
        </w:rPr>
        <w:t xml:space="preserve"> </w:t>
      </w:r>
      <w:r>
        <w:rPr>
          <w:rFonts w:cstheme="minorHAnsi"/>
          <w:sz w:val="24"/>
          <w:szCs w:val="24"/>
        </w:rPr>
        <w:t xml:space="preserve">or </w:t>
      </w:r>
      <w:r w:rsidR="007E3B26">
        <w:rPr>
          <w:rFonts w:cstheme="minorHAnsi"/>
          <w:sz w:val="24"/>
          <w:szCs w:val="24"/>
        </w:rPr>
        <w:t>penalties (such as financial or other penalties).</w:t>
      </w:r>
    </w:p>
    <w:p w14:paraId="6E2152E3" w14:textId="5C7D4B62" w:rsidR="00CB32FE" w:rsidRDefault="007E3B26" w:rsidP="002967F9">
      <w:pPr>
        <w:ind w:left="270" w:hanging="270"/>
        <w:rPr>
          <w:rFonts w:cstheme="minorHAnsi"/>
          <w:sz w:val="24"/>
          <w:szCs w:val="24"/>
        </w:rPr>
      </w:pPr>
      <w:r>
        <w:rPr>
          <w:rFonts w:cstheme="minorHAnsi"/>
          <w:sz w:val="24"/>
          <w:szCs w:val="24"/>
        </w:rPr>
        <w:t xml:space="preserve">4. Industry </w:t>
      </w:r>
      <w:r w:rsidR="009F4522">
        <w:rPr>
          <w:rFonts w:cstheme="minorHAnsi"/>
          <w:sz w:val="24"/>
          <w:szCs w:val="24"/>
        </w:rPr>
        <w:t xml:space="preserve">companies </w:t>
      </w:r>
      <w:r>
        <w:rPr>
          <w:rFonts w:cstheme="minorHAnsi"/>
          <w:sz w:val="24"/>
          <w:szCs w:val="24"/>
        </w:rPr>
        <w:t>and non-profit centers may complain that the new mandated guidelines make it more difficult to operate in Massachusetts and may threaten to leave.</w:t>
      </w:r>
    </w:p>
    <w:p w14:paraId="04228506" w14:textId="2FD2766C" w:rsidR="00BF1C16" w:rsidRDefault="00BF1C16" w:rsidP="00BF1C16">
      <w:pPr>
        <w:ind w:left="720"/>
        <w:rPr>
          <w:rFonts w:cstheme="minorHAnsi"/>
          <w:sz w:val="24"/>
          <w:szCs w:val="24"/>
        </w:rPr>
      </w:pPr>
      <w:r>
        <w:rPr>
          <w:rFonts w:cstheme="minorHAnsi"/>
          <w:sz w:val="24"/>
          <w:szCs w:val="24"/>
        </w:rPr>
        <w:t xml:space="preserve">RESPONSE: We can work to ensure similar guidelines are in place in many US states and territories. We can also work to help </w:t>
      </w:r>
      <w:r w:rsidR="00E87015">
        <w:rPr>
          <w:rFonts w:cstheme="minorHAnsi"/>
          <w:sz w:val="24"/>
          <w:szCs w:val="24"/>
        </w:rPr>
        <w:t xml:space="preserve">companies and centers to achieve guidelines painlessly. </w:t>
      </w:r>
    </w:p>
    <w:p w14:paraId="2F631EC0" w14:textId="0EC978F5" w:rsidR="00E4253D" w:rsidRPr="006B321E" w:rsidRDefault="00B462BF" w:rsidP="004A46D3">
      <w:pPr>
        <w:rPr>
          <w:rFonts w:cstheme="minorHAnsi"/>
          <w:sz w:val="24"/>
          <w:szCs w:val="24"/>
        </w:rPr>
      </w:pPr>
      <w:r w:rsidRPr="001A2C69">
        <w:rPr>
          <w:rFonts w:cstheme="minorHAnsi"/>
          <w:b/>
          <w:bCs/>
          <w:sz w:val="24"/>
          <w:szCs w:val="24"/>
        </w:rPr>
        <w:t>RESPONSIBLE ORGANIZATIONS</w:t>
      </w:r>
    </w:p>
    <w:p w14:paraId="1CC9BE13" w14:textId="26A4E909" w:rsidR="00183111" w:rsidRPr="00183111" w:rsidRDefault="00AC019B" w:rsidP="004A46D3">
      <w:pPr>
        <w:rPr>
          <w:rFonts w:cstheme="minorHAnsi"/>
          <w:b/>
          <w:bCs/>
          <w:sz w:val="24"/>
          <w:szCs w:val="24"/>
        </w:rPr>
      </w:pPr>
      <w:r>
        <w:rPr>
          <w:rFonts w:cstheme="minorHAnsi"/>
          <w:sz w:val="24"/>
          <w:szCs w:val="24"/>
        </w:rPr>
        <w:t>T</w:t>
      </w:r>
      <w:r w:rsidR="00183111">
        <w:rPr>
          <w:rFonts w:cstheme="minorHAnsi"/>
          <w:sz w:val="24"/>
          <w:szCs w:val="24"/>
        </w:rPr>
        <w:t>he Commonwealth</w:t>
      </w:r>
      <w:r>
        <w:rPr>
          <w:rFonts w:cstheme="minorHAnsi"/>
          <w:sz w:val="24"/>
          <w:szCs w:val="24"/>
        </w:rPr>
        <w:t>, its Alzheimer’s Advisory Council</w:t>
      </w:r>
      <w:r w:rsidR="00865AD0">
        <w:rPr>
          <w:rFonts w:cstheme="minorHAnsi"/>
          <w:sz w:val="24"/>
          <w:szCs w:val="24"/>
        </w:rPr>
        <w:t>, and Alzheimer’s Advisory Council’s Research Workgroup.</w:t>
      </w:r>
    </w:p>
    <w:p w14:paraId="71B066F9" w14:textId="20B3A93D" w:rsidR="00703528" w:rsidRPr="001A2C69" w:rsidRDefault="00703528" w:rsidP="004A46D3">
      <w:pPr>
        <w:rPr>
          <w:rFonts w:cstheme="minorHAnsi"/>
          <w:b/>
          <w:bCs/>
          <w:sz w:val="24"/>
          <w:szCs w:val="24"/>
        </w:rPr>
      </w:pPr>
      <w:r w:rsidRPr="001A2C69">
        <w:rPr>
          <w:rFonts w:cstheme="minorHAnsi"/>
          <w:b/>
          <w:bCs/>
          <w:sz w:val="24"/>
          <w:szCs w:val="24"/>
        </w:rPr>
        <w:t>COSTS</w:t>
      </w:r>
      <w:r w:rsidR="00F86445">
        <w:rPr>
          <w:rFonts w:cstheme="minorHAnsi"/>
          <w:b/>
          <w:bCs/>
          <w:sz w:val="24"/>
          <w:szCs w:val="24"/>
        </w:rPr>
        <w:t>/ RESOURCES</w:t>
      </w:r>
    </w:p>
    <w:p w14:paraId="048C036E" w14:textId="45418B50" w:rsidR="00CF5364" w:rsidRDefault="00CF5364" w:rsidP="00703528">
      <w:pPr>
        <w:rPr>
          <w:rFonts w:cstheme="minorHAnsi"/>
          <w:sz w:val="24"/>
          <w:szCs w:val="24"/>
        </w:rPr>
      </w:pPr>
      <w:r>
        <w:rPr>
          <w:rFonts w:cstheme="minorHAnsi"/>
          <w:sz w:val="24"/>
          <w:szCs w:val="24"/>
        </w:rPr>
        <w:t xml:space="preserve">Associated costs include funding for personnel, outreach materials and costs, and funding for the small research </w:t>
      </w:r>
      <w:r w:rsidR="000745E0">
        <w:rPr>
          <w:rFonts w:cstheme="minorHAnsi"/>
          <w:sz w:val="24"/>
          <w:szCs w:val="24"/>
        </w:rPr>
        <w:t xml:space="preserve">support </w:t>
      </w:r>
      <w:r>
        <w:rPr>
          <w:rFonts w:cstheme="minorHAnsi"/>
          <w:sz w:val="24"/>
          <w:szCs w:val="24"/>
        </w:rPr>
        <w:t>grants</w:t>
      </w:r>
      <w:r w:rsidR="009F2F73">
        <w:rPr>
          <w:rFonts w:cstheme="minorHAnsi"/>
          <w:sz w:val="24"/>
          <w:szCs w:val="24"/>
        </w:rPr>
        <w:t xml:space="preserve"> to support the Recommendations and </w:t>
      </w:r>
      <w:r w:rsidR="00F86445">
        <w:rPr>
          <w:rFonts w:cstheme="minorHAnsi"/>
          <w:sz w:val="24"/>
          <w:szCs w:val="24"/>
        </w:rPr>
        <w:t xml:space="preserve">Strategic Priorities </w:t>
      </w:r>
      <w:r w:rsidR="009F2F73">
        <w:rPr>
          <w:rFonts w:cstheme="minorHAnsi"/>
          <w:sz w:val="24"/>
          <w:szCs w:val="24"/>
        </w:rPr>
        <w:t>outlined above</w:t>
      </w:r>
      <w:r>
        <w:rPr>
          <w:rFonts w:cstheme="minorHAnsi"/>
          <w:sz w:val="24"/>
          <w:szCs w:val="24"/>
        </w:rPr>
        <w:t>.</w:t>
      </w:r>
      <w:r w:rsidR="00220781">
        <w:rPr>
          <w:rFonts w:cstheme="minorHAnsi"/>
          <w:sz w:val="24"/>
          <w:szCs w:val="24"/>
        </w:rPr>
        <w:t xml:space="preserve"> </w:t>
      </w:r>
      <w:r w:rsidR="00CB32FE">
        <w:rPr>
          <w:rFonts w:cstheme="minorHAnsi"/>
          <w:sz w:val="24"/>
          <w:szCs w:val="24"/>
        </w:rPr>
        <w:t>Specifically:</w:t>
      </w:r>
    </w:p>
    <w:p w14:paraId="7E8A5633" w14:textId="7BB76873" w:rsidR="00CB32FE" w:rsidRDefault="00CB32FE" w:rsidP="00703528">
      <w:pPr>
        <w:rPr>
          <w:rFonts w:cstheme="minorHAnsi"/>
          <w:sz w:val="24"/>
          <w:szCs w:val="24"/>
        </w:rPr>
      </w:pPr>
      <w:r>
        <w:rPr>
          <w:rFonts w:cstheme="minorHAnsi"/>
          <w:sz w:val="24"/>
          <w:szCs w:val="24"/>
        </w:rPr>
        <w:t>Year 1: $150</w:t>
      </w:r>
      <w:r w:rsidR="00764C03">
        <w:rPr>
          <w:rFonts w:cstheme="minorHAnsi"/>
          <w:sz w:val="24"/>
          <w:szCs w:val="24"/>
        </w:rPr>
        <w:t>,000 grant to non-profit for personnel and oversight of this entire program. This will be a yearly recurring cost, termed “$150,000 Personnel Grant.”</w:t>
      </w:r>
    </w:p>
    <w:p w14:paraId="028B8722" w14:textId="5860783F" w:rsidR="00764C03" w:rsidRDefault="00764C03" w:rsidP="00703528">
      <w:pPr>
        <w:rPr>
          <w:rFonts w:cstheme="minorHAnsi"/>
          <w:sz w:val="24"/>
          <w:szCs w:val="24"/>
        </w:rPr>
      </w:pPr>
      <w:r>
        <w:rPr>
          <w:rFonts w:cstheme="minorHAnsi"/>
          <w:sz w:val="24"/>
          <w:szCs w:val="24"/>
        </w:rPr>
        <w:lastRenderedPageBreak/>
        <w:t>Year 2: $150,000 Personnel Grant</w:t>
      </w:r>
    </w:p>
    <w:p w14:paraId="07F1EA99" w14:textId="04954929" w:rsidR="00DF373D" w:rsidRDefault="00DF373D" w:rsidP="00703528">
      <w:pPr>
        <w:rPr>
          <w:rFonts w:cstheme="minorHAnsi"/>
          <w:sz w:val="24"/>
          <w:szCs w:val="24"/>
        </w:rPr>
      </w:pPr>
      <w:r>
        <w:rPr>
          <w:rFonts w:cstheme="minorHAnsi"/>
          <w:sz w:val="24"/>
          <w:szCs w:val="24"/>
        </w:rPr>
        <w:t xml:space="preserve">Year 3: $150,000 Personnel Grant plus $200,000 Research Grant (includes overhead monies that range from </w:t>
      </w:r>
      <w:r w:rsidR="00617945">
        <w:rPr>
          <w:rFonts w:cstheme="minorHAnsi"/>
          <w:sz w:val="24"/>
          <w:szCs w:val="24"/>
        </w:rPr>
        <w:t>15% to 79%</w:t>
      </w:r>
      <w:r>
        <w:rPr>
          <w:rFonts w:cstheme="minorHAnsi"/>
          <w:sz w:val="24"/>
          <w:szCs w:val="24"/>
        </w:rPr>
        <w:t>)</w:t>
      </w:r>
      <w:r w:rsidR="00617945">
        <w:rPr>
          <w:rFonts w:cstheme="minorHAnsi"/>
          <w:sz w:val="24"/>
          <w:szCs w:val="24"/>
        </w:rPr>
        <w:t>. Note: Any additional Research Grant funds available will be used to fund additional grants until all monies are exhausted. Total Year 3: $</w:t>
      </w:r>
      <w:r w:rsidR="000D51B3">
        <w:rPr>
          <w:rFonts w:cstheme="minorHAnsi"/>
          <w:sz w:val="24"/>
          <w:szCs w:val="24"/>
        </w:rPr>
        <w:t>3</w:t>
      </w:r>
      <w:r w:rsidR="00617945">
        <w:rPr>
          <w:rFonts w:cstheme="minorHAnsi"/>
          <w:sz w:val="24"/>
          <w:szCs w:val="24"/>
        </w:rPr>
        <w:t>50,000.</w:t>
      </w:r>
    </w:p>
    <w:p w14:paraId="4271A19D" w14:textId="216F7F4B" w:rsidR="00617945" w:rsidRDefault="00617945" w:rsidP="00703528">
      <w:pPr>
        <w:rPr>
          <w:rFonts w:cstheme="minorHAnsi"/>
          <w:sz w:val="24"/>
          <w:szCs w:val="24"/>
        </w:rPr>
      </w:pPr>
      <w:r>
        <w:rPr>
          <w:rFonts w:cstheme="minorHAnsi"/>
          <w:sz w:val="24"/>
          <w:szCs w:val="24"/>
        </w:rPr>
        <w:t>Year 4</w:t>
      </w:r>
      <w:r w:rsidR="00FD6F32">
        <w:rPr>
          <w:rFonts w:cstheme="minorHAnsi"/>
          <w:sz w:val="24"/>
          <w:szCs w:val="24"/>
        </w:rPr>
        <w:t>: $150,000 Personnel Grant</w:t>
      </w:r>
    </w:p>
    <w:p w14:paraId="4D7311DA" w14:textId="66BA12E6" w:rsidR="00FD6F32" w:rsidRDefault="00FD6F32" w:rsidP="00703528">
      <w:pPr>
        <w:rPr>
          <w:rFonts w:cstheme="minorHAnsi"/>
          <w:sz w:val="24"/>
          <w:szCs w:val="24"/>
        </w:rPr>
      </w:pPr>
      <w:r>
        <w:rPr>
          <w:rFonts w:cstheme="minorHAnsi"/>
          <w:sz w:val="24"/>
          <w:szCs w:val="24"/>
        </w:rPr>
        <w:t xml:space="preserve">Year 5: $150,000 Personnel Grant plus $200,000 Research Grant (if the Research Grant program is continued). Total Year 4: either </w:t>
      </w:r>
      <w:r w:rsidR="000D51B3">
        <w:rPr>
          <w:rFonts w:cstheme="minorHAnsi"/>
          <w:sz w:val="24"/>
          <w:szCs w:val="24"/>
        </w:rPr>
        <w:t>$350,000 or $150,000 depending upon whether the Research Grant program is continued.</w:t>
      </w:r>
    </w:p>
    <w:p w14:paraId="1EFD498F" w14:textId="77777777" w:rsidR="0025115C" w:rsidRDefault="0025115C">
      <w:pPr>
        <w:rPr>
          <w:rFonts w:cstheme="minorHAnsi"/>
          <w:sz w:val="24"/>
          <w:szCs w:val="24"/>
        </w:rPr>
      </w:pPr>
      <w:r>
        <w:rPr>
          <w:rFonts w:cstheme="minorHAnsi"/>
          <w:sz w:val="24"/>
          <w:szCs w:val="24"/>
        </w:rPr>
        <w:br w:type="page"/>
      </w:r>
    </w:p>
    <w:p w14:paraId="616C5764" w14:textId="1C19A5E0" w:rsidR="00AB5C2B" w:rsidRPr="001A2C69" w:rsidRDefault="004D1FDE" w:rsidP="004D1FDE">
      <w:pPr>
        <w:jc w:val="center"/>
        <w:rPr>
          <w:rFonts w:cstheme="minorHAnsi"/>
          <w:sz w:val="24"/>
          <w:szCs w:val="24"/>
        </w:rPr>
      </w:pPr>
      <w:r w:rsidRPr="001A2C69">
        <w:rPr>
          <w:rFonts w:cstheme="minorHAnsi"/>
          <w:sz w:val="24"/>
          <w:szCs w:val="24"/>
        </w:rPr>
        <w:lastRenderedPageBreak/>
        <w:t>References</w:t>
      </w:r>
    </w:p>
    <w:p w14:paraId="2B6678F5" w14:textId="5D9B16AC" w:rsidR="001579AC" w:rsidRPr="001579AC" w:rsidRDefault="001E0DC0" w:rsidP="001579AC">
      <w:pPr>
        <w:widowControl w:val="0"/>
        <w:autoSpaceDE w:val="0"/>
        <w:autoSpaceDN w:val="0"/>
        <w:adjustRightInd w:val="0"/>
        <w:spacing w:line="240" w:lineRule="auto"/>
        <w:ind w:left="480" w:hanging="480"/>
        <w:rPr>
          <w:rFonts w:ascii="Calibri" w:hAnsi="Calibri" w:cs="Calibri"/>
          <w:noProof/>
          <w:sz w:val="24"/>
          <w:szCs w:val="24"/>
        </w:rPr>
      </w:pPr>
      <w:r>
        <w:rPr>
          <w:rFonts w:cstheme="minorHAnsi"/>
          <w:sz w:val="24"/>
          <w:szCs w:val="24"/>
        </w:rPr>
        <w:fldChar w:fldCharType="begin" w:fldLock="1"/>
      </w:r>
      <w:r>
        <w:rPr>
          <w:rFonts w:cstheme="minorHAnsi"/>
          <w:sz w:val="24"/>
          <w:szCs w:val="24"/>
        </w:rPr>
        <w:instrText xml:space="preserve">ADDIN Mendeley Bibliography CSL_BIBLIOGRAPHY </w:instrText>
      </w:r>
      <w:r>
        <w:rPr>
          <w:rFonts w:cstheme="minorHAnsi"/>
          <w:sz w:val="24"/>
          <w:szCs w:val="24"/>
        </w:rPr>
        <w:fldChar w:fldCharType="separate"/>
      </w:r>
      <w:r w:rsidR="001579AC" w:rsidRPr="001579AC">
        <w:rPr>
          <w:rFonts w:ascii="Calibri" w:hAnsi="Calibri" w:cs="Calibri"/>
          <w:noProof/>
          <w:sz w:val="24"/>
          <w:szCs w:val="24"/>
        </w:rPr>
        <w:t xml:space="preserve">Alzheimer’s Association. (2020). 2020 Alzheimer’s disease facts and figures. </w:t>
      </w:r>
      <w:r w:rsidR="001579AC" w:rsidRPr="001579AC">
        <w:rPr>
          <w:rFonts w:ascii="Calibri" w:hAnsi="Calibri" w:cs="Calibri"/>
          <w:i/>
          <w:iCs/>
          <w:noProof/>
          <w:sz w:val="24"/>
          <w:szCs w:val="24"/>
        </w:rPr>
        <w:t>Alzheimer’s and Dementia</w:t>
      </w:r>
      <w:r w:rsidR="001579AC" w:rsidRPr="001579AC">
        <w:rPr>
          <w:rFonts w:ascii="Calibri" w:hAnsi="Calibri" w:cs="Calibri"/>
          <w:noProof/>
          <w:sz w:val="24"/>
          <w:szCs w:val="24"/>
        </w:rPr>
        <w:t xml:space="preserve">, </w:t>
      </w:r>
      <w:r w:rsidR="001579AC" w:rsidRPr="001579AC">
        <w:rPr>
          <w:rFonts w:ascii="Calibri" w:hAnsi="Calibri" w:cs="Calibri"/>
          <w:i/>
          <w:iCs/>
          <w:noProof/>
          <w:sz w:val="24"/>
          <w:szCs w:val="24"/>
        </w:rPr>
        <w:t>16</w:t>
      </w:r>
      <w:r w:rsidR="001579AC" w:rsidRPr="001579AC">
        <w:rPr>
          <w:rFonts w:ascii="Calibri" w:hAnsi="Calibri" w:cs="Calibri"/>
          <w:noProof/>
          <w:sz w:val="24"/>
          <w:szCs w:val="24"/>
        </w:rPr>
        <w:t>(3), 391. https://doi.org/10.1016/j.jalz.2017.02.001</w:t>
      </w:r>
    </w:p>
    <w:p w14:paraId="153B1AFC"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Biernat, M., Carnes, M., Filut, A., &amp; Kaatz, A. (2020). Gender, Race, and Grant Reviews: Translating and Responding to Research Feedback. </w:t>
      </w:r>
      <w:r w:rsidRPr="001579AC">
        <w:rPr>
          <w:rFonts w:ascii="Calibri" w:hAnsi="Calibri" w:cs="Calibri"/>
          <w:i/>
          <w:iCs/>
          <w:noProof/>
          <w:sz w:val="24"/>
          <w:szCs w:val="24"/>
        </w:rPr>
        <w:t>Personality and Social Psychology Bulletin</w:t>
      </w:r>
      <w:r w:rsidRPr="001579AC">
        <w:rPr>
          <w:rFonts w:ascii="Calibri" w:hAnsi="Calibri" w:cs="Calibri"/>
          <w:noProof/>
          <w:sz w:val="24"/>
          <w:szCs w:val="24"/>
        </w:rPr>
        <w:t xml:space="preserve">, </w:t>
      </w:r>
      <w:r w:rsidRPr="001579AC">
        <w:rPr>
          <w:rFonts w:ascii="Calibri" w:hAnsi="Calibri" w:cs="Calibri"/>
          <w:i/>
          <w:iCs/>
          <w:noProof/>
          <w:sz w:val="24"/>
          <w:szCs w:val="24"/>
        </w:rPr>
        <w:t>46</w:t>
      </w:r>
      <w:r w:rsidRPr="001579AC">
        <w:rPr>
          <w:rFonts w:ascii="Calibri" w:hAnsi="Calibri" w:cs="Calibri"/>
          <w:noProof/>
          <w:sz w:val="24"/>
          <w:szCs w:val="24"/>
        </w:rPr>
        <w:t>(1), 140–154. https://doi.org/10.1177/0146167219845921</w:t>
      </w:r>
    </w:p>
    <w:p w14:paraId="1786F012"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Blanchard, S. A., Rivers, R., Martinez, W., &amp; Agodoa, L. (2019). Building the network of minority health research investigators: A novel program to enhance leadership and success of underrepresented minorities in biomedical research. </w:t>
      </w:r>
      <w:r w:rsidRPr="001579AC">
        <w:rPr>
          <w:rFonts w:ascii="Calibri" w:hAnsi="Calibri" w:cs="Calibri"/>
          <w:i/>
          <w:iCs/>
          <w:noProof/>
          <w:sz w:val="24"/>
          <w:szCs w:val="24"/>
        </w:rPr>
        <w:t>Ethnicity and Disease</w:t>
      </w:r>
      <w:r w:rsidRPr="001579AC">
        <w:rPr>
          <w:rFonts w:ascii="Calibri" w:hAnsi="Calibri" w:cs="Calibri"/>
          <w:noProof/>
          <w:sz w:val="24"/>
          <w:szCs w:val="24"/>
        </w:rPr>
        <w:t xml:space="preserve">, </w:t>
      </w:r>
      <w:r w:rsidRPr="001579AC">
        <w:rPr>
          <w:rFonts w:ascii="Calibri" w:hAnsi="Calibri" w:cs="Calibri"/>
          <w:i/>
          <w:iCs/>
          <w:noProof/>
          <w:sz w:val="24"/>
          <w:szCs w:val="24"/>
        </w:rPr>
        <w:t>29</w:t>
      </w:r>
      <w:r w:rsidRPr="001579AC">
        <w:rPr>
          <w:rFonts w:ascii="Calibri" w:hAnsi="Calibri" w:cs="Calibri"/>
          <w:noProof/>
          <w:sz w:val="24"/>
          <w:szCs w:val="24"/>
        </w:rPr>
        <w:t>(Suppl 1), 119–122. https://doi.org/10.18865/ed.29.S1.119</w:t>
      </w:r>
    </w:p>
    <w:p w14:paraId="2EB490B2"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Connell, C. M., Shaw, B. A., Holmes, S. B., &amp; Foster, N. L. (2001). Caregivers’ attitudes toward their family members’ participation in Alzheimer disease research: Implications for recruitment and retention. </w:t>
      </w:r>
      <w:r w:rsidRPr="001579AC">
        <w:rPr>
          <w:rFonts w:ascii="Calibri" w:hAnsi="Calibri" w:cs="Calibri"/>
          <w:i/>
          <w:iCs/>
          <w:noProof/>
          <w:sz w:val="24"/>
          <w:szCs w:val="24"/>
        </w:rPr>
        <w:t>Alzheimer Disease and Associated Disorders</w:t>
      </w:r>
      <w:r w:rsidRPr="001579AC">
        <w:rPr>
          <w:rFonts w:ascii="Calibri" w:hAnsi="Calibri" w:cs="Calibri"/>
          <w:noProof/>
          <w:sz w:val="24"/>
          <w:szCs w:val="24"/>
        </w:rPr>
        <w:t xml:space="preserve">, </w:t>
      </w:r>
      <w:r w:rsidRPr="001579AC">
        <w:rPr>
          <w:rFonts w:ascii="Calibri" w:hAnsi="Calibri" w:cs="Calibri"/>
          <w:i/>
          <w:iCs/>
          <w:noProof/>
          <w:sz w:val="24"/>
          <w:szCs w:val="24"/>
        </w:rPr>
        <w:t>15</w:t>
      </w:r>
      <w:r w:rsidRPr="001579AC">
        <w:rPr>
          <w:rFonts w:ascii="Calibri" w:hAnsi="Calibri" w:cs="Calibri"/>
          <w:noProof/>
          <w:sz w:val="24"/>
          <w:szCs w:val="24"/>
        </w:rPr>
        <w:t>(3), 137–145. https://doi.org/10.1097/00002093-200107000-00005</w:t>
      </w:r>
    </w:p>
    <w:p w14:paraId="601FD24E"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Frank, J. B. (2008). Evidence for grief as the major barrier faced by Alzheimer caregivers: A qualitative analysis. </w:t>
      </w:r>
      <w:r w:rsidRPr="001579AC">
        <w:rPr>
          <w:rFonts w:ascii="Calibri" w:hAnsi="Calibri" w:cs="Calibri"/>
          <w:i/>
          <w:iCs/>
          <w:noProof/>
          <w:sz w:val="24"/>
          <w:szCs w:val="24"/>
        </w:rPr>
        <w:t>American Journal of Alzheimer’s Disease and Other Dementias</w:t>
      </w:r>
      <w:r w:rsidRPr="001579AC">
        <w:rPr>
          <w:rFonts w:ascii="Calibri" w:hAnsi="Calibri" w:cs="Calibri"/>
          <w:noProof/>
          <w:sz w:val="24"/>
          <w:szCs w:val="24"/>
        </w:rPr>
        <w:t xml:space="preserve">, </w:t>
      </w:r>
      <w:r w:rsidRPr="001579AC">
        <w:rPr>
          <w:rFonts w:ascii="Calibri" w:hAnsi="Calibri" w:cs="Calibri"/>
          <w:i/>
          <w:iCs/>
          <w:noProof/>
          <w:sz w:val="24"/>
          <w:szCs w:val="24"/>
        </w:rPr>
        <w:t>22</w:t>
      </w:r>
      <w:r w:rsidRPr="001579AC">
        <w:rPr>
          <w:rFonts w:ascii="Calibri" w:hAnsi="Calibri" w:cs="Calibri"/>
          <w:noProof/>
          <w:sz w:val="24"/>
          <w:szCs w:val="24"/>
        </w:rPr>
        <w:t>(6), 516–527. https://doi.org/10.1177/1533317507307787</w:t>
      </w:r>
    </w:p>
    <w:p w14:paraId="3FD3EBC7"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Gilmore-Bykovskyi, A. L., Jin, Y., Gleason, C., Flowers-Benton, S., Block, L. M., Dilworth-Anderson, P., Barnes, L. L., Shah, M. N., &amp; Zuelsdorff, M. (2019). Recruitment and retention of underrepresented populations in Alzheimer’s disease research: A systematic review. In </w:t>
      </w:r>
      <w:r w:rsidRPr="001579AC">
        <w:rPr>
          <w:rFonts w:ascii="Calibri" w:hAnsi="Calibri" w:cs="Calibri"/>
          <w:i/>
          <w:iCs/>
          <w:noProof/>
          <w:sz w:val="24"/>
          <w:szCs w:val="24"/>
        </w:rPr>
        <w:t>Alzheimer’s and Dementia: Translational Research and Clinical Interventions</w:t>
      </w:r>
      <w:r w:rsidRPr="001579AC">
        <w:rPr>
          <w:rFonts w:ascii="Calibri" w:hAnsi="Calibri" w:cs="Calibri"/>
          <w:noProof/>
          <w:sz w:val="24"/>
          <w:szCs w:val="24"/>
        </w:rPr>
        <w:t xml:space="preserve"> (Vol. 5, pp. 751–770). https://doi.org/10.1016/j.trci.2019.09.018</w:t>
      </w:r>
    </w:p>
    <w:p w14:paraId="40090B48"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Ginther, D. K., Schaffer, W. T., Schnell, J., Masimore, B., Liu, F., Haak, L. L., &amp; Kington, R. (2011). Race, ethnicity, and NIH research awards. </w:t>
      </w:r>
      <w:r w:rsidRPr="001579AC">
        <w:rPr>
          <w:rFonts w:ascii="Calibri" w:hAnsi="Calibri" w:cs="Calibri"/>
          <w:i/>
          <w:iCs/>
          <w:noProof/>
          <w:sz w:val="24"/>
          <w:szCs w:val="24"/>
        </w:rPr>
        <w:t>Science</w:t>
      </w:r>
      <w:r w:rsidRPr="001579AC">
        <w:rPr>
          <w:rFonts w:ascii="Calibri" w:hAnsi="Calibri" w:cs="Calibri"/>
          <w:noProof/>
          <w:sz w:val="24"/>
          <w:szCs w:val="24"/>
        </w:rPr>
        <w:t xml:space="preserve">, </w:t>
      </w:r>
      <w:r w:rsidRPr="001579AC">
        <w:rPr>
          <w:rFonts w:ascii="Calibri" w:hAnsi="Calibri" w:cs="Calibri"/>
          <w:i/>
          <w:iCs/>
          <w:noProof/>
          <w:sz w:val="24"/>
          <w:szCs w:val="24"/>
        </w:rPr>
        <w:t>333</w:t>
      </w:r>
      <w:r w:rsidRPr="001579AC">
        <w:rPr>
          <w:rFonts w:ascii="Calibri" w:hAnsi="Calibri" w:cs="Calibri"/>
          <w:noProof/>
          <w:sz w:val="24"/>
          <w:szCs w:val="24"/>
        </w:rPr>
        <w:t>(6045), 1015–1019. https://doi.org/10.1126/science.1196783</w:t>
      </w:r>
    </w:p>
    <w:p w14:paraId="3602A8C4"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Goulden, M., Mason, M. A., &amp; Frasch, K. (2011). Keeping Women in the Science Pipeline. </w:t>
      </w:r>
      <w:r w:rsidRPr="001579AC">
        <w:rPr>
          <w:rFonts w:ascii="Calibri" w:hAnsi="Calibri" w:cs="Calibri"/>
          <w:i/>
          <w:iCs/>
          <w:noProof/>
          <w:sz w:val="24"/>
          <w:szCs w:val="24"/>
        </w:rPr>
        <w:t>The ANNALS of the American Academy of Political and Social Science</w:t>
      </w:r>
      <w:r w:rsidRPr="001579AC">
        <w:rPr>
          <w:rFonts w:ascii="Calibri" w:hAnsi="Calibri" w:cs="Calibri"/>
          <w:noProof/>
          <w:sz w:val="24"/>
          <w:szCs w:val="24"/>
        </w:rPr>
        <w:t xml:space="preserve">, </w:t>
      </w:r>
      <w:r w:rsidRPr="001579AC">
        <w:rPr>
          <w:rFonts w:ascii="Calibri" w:hAnsi="Calibri" w:cs="Calibri"/>
          <w:i/>
          <w:iCs/>
          <w:noProof/>
          <w:sz w:val="24"/>
          <w:szCs w:val="24"/>
        </w:rPr>
        <w:t>638</w:t>
      </w:r>
      <w:r w:rsidRPr="001579AC">
        <w:rPr>
          <w:rFonts w:ascii="Calibri" w:hAnsi="Calibri" w:cs="Calibri"/>
          <w:noProof/>
          <w:sz w:val="24"/>
          <w:szCs w:val="24"/>
        </w:rPr>
        <w:t>(1), 141–162. https://doi.org/10.1177/0002716211416925</w:t>
      </w:r>
    </w:p>
    <w:p w14:paraId="1F11385A"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Helmer, M., Schottdorf, M., Neef, A., &amp; Battaglia, D. (2017). Gender bias in scholarly peer review. In </w:t>
      </w:r>
      <w:r w:rsidRPr="001579AC">
        <w:rPr>
          <w:rFonts w:ascii="Calibri" w:hAnsi="Calibri" w:cs="Calibri"/>
          <w:i/>
          <w:iCs/>
          <w:noProof/>
          <w:sz w:val="24"/>
          <w:szCs w:val="24"/>
        </w:rPr>
        <w:t>eLife</w:t>
      </w:r>
      <w:r w:rsidRPr="001579AC">
        <w:rPr>
          <w:rFonts w:ascii="Calibri" w:hAnsi="Calibri" w:cs="Calibri"/>
          <w:noProof/>
          <w:sz w:val="24"/>
          <w:szCs w:val="24"/>
        </w:rPr>
        <w:t xml:space="preserve"> (Vol. 6). eLife Sciences Publications Ltd. https://doi.org/10.7554/eLife.21718</w:t>
      </w:r>
    </w:p>
    <w:p w14:paraId="72ABA3AB"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Hofstra, B., Kulkarni, V. V., Galvez, S. M. N., He, B., Jurafsky, D., &amp; McFarland, D. A. (2020). The diversity–innovation paradox in science. </w:t>
      </w:r>
      <w:r w:rsidRPr="001579AC">
        <w:rPr>
          <w:rFonts w:ascii="Calibri" w:hAnsi="Calibri" w:cs="Calibri"/>
          <w:i/>
          <w:iCs/>
          <w:noProof/>
          <w:sz w:val="24"/>
          <w:szCs w:val="24"/>
        </w:rPr>
        <w:t>Proceedings of the National Academy of Sciences of the United States of America</w:t>
      </w:r>
      <w:r w:rsidRPr="001579AC">
        <w:rPr>
          <w:rFonts w:ascii="Calibri" w:hAnsi="Calibri" w:cs="Calibri"/>
          <w:noProof/>
          <w:sz w:val="24"/>
          <w:szCs w:val="24"/>
        </w:rPr>
        <w:t xml:space="preserve">, </w:t>
      </w:r>
      <w:r w:rsidRPr="001579AC">
        <w:rPr>
          <w:rFonts w:ascii="Calibri" w:hAnsi="Calibri" w:cs="Calibri"/>
          <w:i/>
          <w:iCs/>
          <w:noProof/>
          <w:sz w:val="24"/>
          <w:szCs w:val="24"/>
        </w:rPr>
        <w:t>117</w:t>
      </w:r>
      <w:r w:rsidRPr="001579AC">
        <w:rPr>
          <w:rFonts w:ascii="Calibri" w:hAnsi="Calibri" w:cs="Calibri"/>
          <w:noProof/>
          <w:sz w:val="24"/>
          <w:szCs w:val="24"/>
        </w:rPr>
        <w:t>(17), 9284–9291. https://doi.org/10.1073/pnas.1915378117</w:t>
      </w:r>
    </w:p>
    <w:p w14:paraId="3DB2C232"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lastRenderedPageBreak/>
        <w:t xml:space="preserve">Hoppe, T. A., Litovitz, A., Willis, K. A., Meseroll, R. A., Perkins, M. J., Hutchins, B. I., Davis, A. F., Lauer, M. S., Valantine, H. A., Anderson, J. M., &amp; Santangelo, G. M. (2019). Topic choice contributes to the lower rate of NIH awards to African-American/black scientists. </w:t>
      </w:r>
      <w:r w:rsidRPr="001579AC">
        <w:rPr>
          <w:rFonts w:ascii="Calibri" w:hAnsi="Calibri" w:cs="Calibri"/>
          <w:i/>
          <w:iCs/>
          <w:noProof/>
          <w:sz w:val="24"/>
          <w:szCs w:val="24"/>
        </w:rPr>
        <w:t>Science Advances</w:t>
      </w:r>
      <w:r w:rsidRPr="001579AC">
        <w:rPr>
          <w:rFonts w:ascii="Calibri" w:hAnsi="Calibri" w:cs="Calibri"/>
          <w:noProof/>
          <w:sz w:val="24"/>
          <w:szCs w:val="24"/>
        </w:rPr>
        <w:t xml:space="preserve">, </w:t>
      </w:r>
      <w:r w:rsidRPr="001579AC">
        <w:rPr>
          <w:rFonts w:ascii="Calibri" w:hAnsi="Calibri" w:cs="Calibri"/>
          <w:i/>
          <w:iCs/>
          <w:noProof/>
          <w:sz w:val="24"/>
          <w:szCs w:val="24"/>
        </w:rPr>
        <w:t>5</w:t>
      </w:r>
      <w:r w:rsidRPr="001579AC">
        <w:rPr>
          <w:rFonts w:ascii="Calibri" w:hAnsi="Calibri" w:cs="Calibri"/>
          <w:noProof/>
          <w:sz w:val="24"/>
          <w:szCs w:val="24"/>
        </w:rPr>
        <w:t>(10), eaaw7238. https://doi.org/10.1126/sciadv.aaw7238</w:t>
      </w:r>
    </w:p>
    <w:p w14:paraId="0DD0C15F"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Imtiaz, B., Tolppanen, A. M., Kivipelto, M., &amp; Soininen, H. (2014). Future directions in Alzheimer’s disease from risk factors to prevention. </w:t>
      </w:r>
      <w:r w:rsidRPr="001579AC">
        <w:rPr>
          <w:rFonts w:ascii="Calibri" w:hAnsi="Calibri" w:cs="Calibri"/>
          <w:i/>
          <w:iCs/>
          <w:noProof/>
          <w:sz w:val="24"/>
          <w:szCs w:val="24"/>
        </w:rPr>
        <w:t>Biochemical Pharmacology</w:t>
      </w:r>
      <w:r w:rsidRPr="001579AC">
        <w:rPr>
          <w:rFonts w:ascii="Calibri" w:hAnsi="Calibri" w:cs="Calibri"/>
          <w:noProof/>
          <w:sz w:val="24"/>
          <w:szCs w:val="24"/>
        </w:rPr>
        <w:t xml:space="preserve">, </w:t>
      </w:r>
      <w:r w:rsidRPr="001579AC">
        <w:rPr>
          <w:rFonts w:ascii="Calibri" w:hAnsi="Calibri" w:cs="Calibri"/>
          <w:i/>
          <w:iCs/>
          <w:noProof/>
          <w:sz w:val="24"/>
          <w:szCs w:val="24"/>
        </w:rPr>
        <w:t>88</w:t>
      </w:r>
      <w:r w:rsidRPr="001579AC">
        <w:rPr>
          <w:rFonts w:ascii="Calibri" w:hAnsi="Calibri" w:cs="Calibri"/>
          <w:noProof/>
          <w:sz w:val="24"/>
          <w:szCs w:val="24"/>
        </w:rPr>
        <w:t>(4), 661–670. https://doi.org/10.1016/j.bcp.2014.01.003</w:t>
      </w:r>
    </w:p>
    <w:p w14:paraId="1C971EBF"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Kennedy, R. E., Cutter, G. R., Wang, G., &amp; Schneider, L. S. (2017). Challenging Assumptions About African American Participation in Alzheimer’s Trials HHS Public Access. </w:t>
      </w:r>
      <w:r w:rsidRPr="001579AC">
        <w:rPr>
          <w:rFonts w:ascii="Calibri" w:hAnsi="Calibri" w:cs="Calibri"/>
          <w:i/>
          <w:iCs/>
          <w:noProof/>
          <w:sz w:val="24"/>
          <w:szCs w:val="24"/>
        </w:rPr>
        <w:t>Am J Geriatr Psychiatry</w:t>
      </w:r>
      <w:r w:rsidRPr="001579AC">
        <w:rPr>
          <w:rFonts w:ascii="Calibri" w:hAnsi="Calibri" w:cs="Calibri"/>
          <w:noProof/>
          <w:sz w:val="24"/>
          <w:szCs w:val="24"/>
        </w:rPr>
        <w:t xml:space="preserve">, </w:t>
      </w:r>
      <w:r w:rsidRPr="001579AC">
        <w:rPr>
          <w:rFonts w:ascii="Calibri" w:hAnsi="Calibri" w:cs="Calibri"/>
          <w:i/>
          <w:iCs/>
          <w:noProof/>
          <w:sz w:val="24"/>
          <w:szCs w:val="24"/>
        </w:rPr>
        <w:t>25</w:t>
      </w:r>
      <w:r w:rsidRPr="001579AC">
        <w:rPr>
          <w:rFonts w:ascii="Calibri" w:hAnsi="Calibri" w:cs="Calibri"/>
          <w:noProof/>
          <w:sz w:val="24"/>
          <w:szCs w:val="24"/>
        </w:rPr>
        <w:t>(10), 1150–1159. https://doi.org/10.1016/j.jagp.2017.04.013</w:t>
      </w:r>
    </w:p>
    <w:p w14:paraId="6C8358EE"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Malisch, J. L., Harris, B. N., Sherrer, S. M., Lewis, K. A., Shepherd, S. L., McCarthy, P. C., Spott, J. L., Karam, E. P., Moustaid-Moussa, N., Calarco, J. M. C., Ramalingam, L., Talley, A. E., Cañas-Carrell, J. E., Ardon-Dryer, K., Weiser, D. A., Bernal, X. E., &amp; Deitloff, J. (2020). Opinion: In the wake of COVID-19, academia needs new solutions to ensure gender equity. In </w:t>
      </w:r>
      <w:r w:rsidRPr="001579AC">
        <w:rPr>
          <w:rFonts w:ascii="Calibri" w:hAnsi="Calibri" w:cs="Calibri"/>
          <w:i/>
          <w:iCs/>
          <w:noProof/>
          <w:sz w:val="24"/>
          <w:szCs w:val="24"/>
        </w:rPr>
        <w:t>Proceedings of the National Academy of Sciences of the United States of America</w:t>
      </w:r>
      <w:r w:rsidRPr="001579AC">
        <w:rPr>
          <w:rFonts w:ascii="Calibri" w:hAnsi="Calibri" w:cs="Calibri"/>
          <w:noProof/>
          <w:sz w:val="24"/>
          <w:szCs w:val="24"/>
        </w:rPr>
        <w:t xml:space="preserve"> (Vol. 117, Issue 27, pp. 15378–15381). National Academy of Sciences. https://doi.org/10.1073/pnas.2010636117</w:t>
      </w:r>
    </w:p>
    <w:p w14:paraId="05F7909C"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Moss-Racusin, C. A., Dovidio, J. F., Brescoll, V. L., Graham, M. J., &amp; Handelsman, J. (2012). Science faculty’s subtle gender biases favor male students. </w:t>
      </w:r>
      <w:r w:rsidRPr="001579AC">
        <w:rPr>
          <w:rFonts w:ascii="Calibri" w:hAnsi="Calibri" w:cs="Calibri"/>
          <w:i/>
          <w:iCs/>
          <w:noProof/>
          <w:sz w:val="24"/>
          <w:szCs w:val="24"/>
        </w:rPr>
        <w:t>Proceedings of the National Academy of Sciences of the United States of America</w:t>
      </w:r>
      <w:r w:rsidRPr="001579AC">
        <w:rPr>
          <w:rFonts w:ascii="Calibri" w:hAnsi="Calibri" w:cs="Calibri"/>
          <w:noProof/>
          <w:sz w:val="24"/>
          <w:szCs w:val="24"/>
        </w:rPr>
        <w:t xml:space="preserve">, </w:t>
      </w:r>
      <w:r w:rsidRPr="001579AC">
        <w:rPr>
          <w:rFonts w:ascii="Calibri" w:hAnsi="Calibri" w:cs="Calibri"/>
          <w:i/>
          <w:iCs/>
          <w:noProof/>
          <w:sz w:val="24"/>
          <w:szCs w:val="24"/>
        </w:rPr>
        <w:t>109</w:t>
      </w:r>
      <w:r w:rsidRPr="001579AC">
        <w:rPr>
          <w:rFonts w:ascii="Calibri" w:hAnsi="Calibri" w:cs="Calibri"/>
          <w:noProof/>
          <w:sz w:val="24"/>
          <w:szCs w:val="24"/>
        </w:rPr>
        <w:t>(41), 16474–16479. https://doi.org/10.1073/pnas.1211286109</w:t>
      </w:r>
    </w:p>
    <w:p w14:paraId="057364C0"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szCs w:val="24"/>
        </w:rPr>
      </w:pPr>
      <w:r w:rsidRPr="001579AC">
        <w:rPr>
          <w:rFonts w:ascii="Calibri" w:hAnsi="Calibri" w:cs="Calibri"/>
          <w:noProof/>
          <w:sz w:val="24"/>
          <w:szCs w:val="24"/>
        </w:rPr>
        <w:t xml:space="preserve">Ritchie, C. W., Terrera, G. M., &amp; Quinn, T. J. (2015). Dementia trials and dementia tribulations: Methodological and analytical challenges in dementia research. In </w:t>
      </w:r>
      <w:r w:rsidRPr="001579AC">
        <w:rPr>
          <w:rFonts w:ascii="Calibri" w:hAnsi="Calibri" w:cs="Calibri"/>
          <w:i/>
          <w:iCs/>
          <w:noProof/>
          <w:sz w:val="24"/>
          <w:szCs w:val="24"/>
        </w:rPr>
        <w:t>Alzheimer’s Research and Therapy</w:t>
      </w:r>
      <w:r w:rsidRPr="001579AC">
        <w:rPr>
          <w:rFonts w:ascii="Calibri" w:hAnsi="Calibri" w:cs="Calibri"/>
          <w:noProof/>
          <w:sz w:val="24"/>
          <w:szCs w:val="24"/>
        </w:rPr>
        <w:t xml:space="preserve"> (Vol. 7, Issue 1, pp. 1–11). BioMed Central Ltd. https://doi.org/10.1186/s13195-015-0113-6</w:t>
      </w:r>
    </w:p>
    <w:p w14:paraId="36ECD671" w14:textId="77777777" w:rsidR="001579AC" w:rsidRPr="001579AC" w:rsidRDefault="001579AC" w:rsidP="001579AC">
      <w:pPr>
        <w:widowControl w:val="0"/>
        <w:autoSpaceDE w:val="0"/>
        <w:autoSpaceDN w:val="0"/>
        <w:adjustRightInd w:val="0"/>
        <w:spacing w:line="240" w:lineRule="auto"/>
        <w:ind w:left="480" w:hanging="480"/>
        <w:rPr>
          <w:rFonts w:ascii="Calibri" w:hAnsi="Calibri" w:cs="Calibri"/>
          <w:noProof/>
          <w:sz w:val="24"/>
        </w:rPr>
      </w:pPr>
      <w:r w:rsidRPr="001579AC">
        <w:rPr>
          <w:rFonts w:ascii="Calibri" w:hAnsi="Calibri" w:cs="Calibri"/>
          <w:noProof/>
          <w:sz w:val="24"/>
          <w:szCs w:val="24"/>
        </w:rPr>
        <w:t xml:space="preserve">Witteman, H. O., Hendricks, M., Straus, S., &amp; Tannenbaum, C. (2019). Are gender gaps due to evaluations of the applicant or the science? A natural experiment at a national funding agency. </w:t>
      </w:r>
      <w:r w:rsidRPr="001579AC">
        <w:rPr>
          <w:rFonts w:ascii="Calibri" w:hAnsi="Calibri" w:cs="Calibri"/>
          <w:i/>
          <w:iCs/>
          <w:noProof/>
          <w:sz w:val="24"/>
          <w:szCs w:val="24"/>
        </w:rPr>
        <w:t>The Lancet</w:t>
      </w:r>
      <w:r w:rsidRPr="001579AC">
        <w:rPr>
          <w:rFonts w:ascii="Calibri" w:hAnsi="Calibri" w:cs="Calibri"/>
          <w:noProof/>
          <w:sz w:val="24"/>
          <w:szCs w:val="24"/>
        </w:rPr>
        <w:t xml:space="preserve">, </w:t>
      </w:r>
      <w:r w:rsidRPr="001579AC">
        <w:rPr>
          <w:rFonts w:ascii="Calibri" w:hAnsi="Calibri" w:cs="Calibri"/>
          <w:i/>
          <w:iCs/>
          <w:noProof/>
          <w:sz w:val="24"/>
          <w:szCs w:val="24"/>
        </w:rPr>
        <w:t>393</w:t>
      </w:r>
      <w:r w:rsidRPr="001579AC">
        <w:rPr>
          <w:rFonts w:ascii="Calibri" w:hAnsi="Calibri" w:cs="Calibri"/>
          <w:noProof/>
          <w:sz w:val="24"/>
          <w:szCs w:val="24"/>
        </w:rPr>
        <w:t>(10171), 531–540. https://doi.org/10.1016/S0140-6736(18)32611-4</w:t>
      </w:r>
    </w:p>
    <w:p w14:paraId="34D8CB7C" w14:textId="3901E12E" w:rsidR="00BB1B54" w:rsidRDefault="001E0DC0" w:rsidP="004D1FDE">
      <w:pPr>
        <w:rPr>
          <w:rFonts w:cstheme="minorHAnsi"/>
          <w:sz w:val="24"/>
          <w:szCs w:val="24"/>
        </w:rPr>
      </w:pPr>
      <w:r>
        <w:rPr>
          <w:rFonts w:cstheme="minorHAnsi"/>
          <w:sz w:val="24"/>
          <w:szCs w:val="24"/>
        </w:rPr>
        <w:fldChar w:fldCharType="end"/>
      </w:r>
    </w:p>
    <w:p w14:paraId="1828697F" w14:textId="77777777" w:rsidR="00BB1B54" w:rsidRDefault="00BB1B54">
      <w:pPr>
        <w:rPr>
          <w:rFonts w:cstheme="minorHAnsi"/>
          <w:sz w:val="24"/>
          <w:szCs w:val="24"/>
        </w:rPr>
      </w:pPr>
      <w:r>
        <w:rPr>
          <w:rFonts w:cstheme="minorHAnsi"/>
          <w:sz w:val="24"/>
          <w:szCs w:val="24"/>
        </w:rPr>
        <w:br w:type="page"/>
      </w:r>
    </w:p>
    <w:p w14:paraId="1CA04C23" w14:textId="39139EB6" w:rsidR="00BB1B54" w:rsidRPr="00C41B48" w:rsidRDefault="00BB1B54">
      <w:pPr>
        <w:rPr>
          <w:rFonts w:cstheme="minorHAnsi"/>
          <w:sz w:val="28"/>
          <w:szCs w:val="28"/>
        </w:rPr>
      </w:pPr>
      <w:r w:rsidRPr="00C41B48">
        <w:rPr>
          <w:rFonts w:cstheme="minorHAnsi"/>
          <w:noProof/>
          <w:sz w:val="28"/>
          <w:szCs w:val="28"/>
        </w:rPr>
        <w:lastRenderedPageBreak/>
        <mc:AlternateContent>
          <mc:Choice Requires="wps">
            <w:drawing>
              <wp:anchor distT="0" distB="0" distL="114300" distR="114300" simplePos="0" relativeHeight="251667456" behindDoc="0" locked="0" layoutInCell="1" allowOverlap="1" wp14:anchorId="653EFC87" wp14:editId="5FC06EEB">
                <wp:simplePos x="0" y="0"/>
                <wp:positionH relativeFrom="margin">
                  <wp:align>right</wp:align>
                </wp:positionH>
                <wp:positionV relativeFrom="paragraph">
                  <wp:posOffset>1017570</wp:posOffset>
                </wp:positionV>
                <wp:extent cx="3806735" cy="4572000"/>
                <wp:effectExtent l="0" t="0" r="3810" b="0"/>
                <wp:wrapNone/>
                <wp:docPr id="5"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806735" cy="4572000"/>
                        </a:xfrm>
                        <a:prstGeom prst="rect">
                          <a:avLst/>
                        </a:prstGeom>
                        <a:noFill/>
                        <a:ln w="9525">
                          <a:noFill/>
                          <a:miter lim="800000"/>
                          <a:headEnd/>
                          <a:tailEnd/>
                        </a:ln>
                      </wps:spPr>
                      <wps:txbx>
                        <w:txbxContent>
                          <w:p w14:paraId="5A95119A"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Renée DeCaro, PhD</w:t>
                            </w:r>
                          </w:p>
                          <w:p w14:paraId="23D12F64"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Postdoctoral Research Fellow</w:t>
                            </w:r>
                          </w:p>
                          <w:p w14:paraId="2B13DF21"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Center for Translational Cognitive Neuroscience</w:t>
                            </w:r>
                          </w:p>
                          <w:p w14:paraId="3463B9A0"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Boston Veterans Affairs | Boston University Alzheimer’s Disease Center</w:t>
                            </w:r>
                          </w:p>
                          <w:p w14:paraId="5E9B2982" w14:textId="77777777" w:rsidR="00C41B48" w:rsidRPr="00C41B48" w:rsidRDefault="00C41B48" w:rsidP="00C41B48">
                            <w:pPr>
                              <w:kinsoku w:val="0"/>
                              <w:overflowPunct w:val="0"/>
                              <w:spacing w:line="256" w:lineRule="auto"/>
                              <w:textAlignment w:val="baseline"/>
                              <w:rPr>
                                <w:rFonts w:ascii="Calibri" w:eastAsia="Calibri" w:hAnsi="Calibri"/>
                                <w:b/>
                                <w:bCs/>
                                <w:color w:val="000000" w:themeColor="text1"/>
                                <w:sz w:val="28"/>
                                <w:szCs w:val="28"/>
                              </w:rPr>
                            </w:pPr>
                          </w:p>
                          <w:p w14:paraId="70D4F149" w14:textId="69B4F801"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Anna Marin</w:t>
                            </w:r>
                          </w:p>
                          <w:p w14:paraId="34396645" w14:textId="77777777" w:rsidR="00BB1B54" w:rsidRPr="00C41B48" w:rsidRDefault="00BB1B54" w:rsidP="00C41B48">
                            <w:pPr>
                              <w:kinsoku w:val="0"/>
                              <w:overflowPunct w:val="0"/>
                              <w:spacing w:after="0"/>
                              <w:textAlignment w:val="baseline"/>
                              <w:rPr>
                                <w:sz w:val="28"/>
                                <w:szCs w:val="28"/>
                              </w:rPr>
                            </w:pPr>
                            <w:r w:rsidRPr="00C41B48">
                              <w:rPr>
                                <w:rFonts w:ascii="Calibri" w:eastAsia="Calibri" w:hAnsi="Calibri"/>
                                <w:color w:val="000000" w:themeColor="text1"/>
                                <w:sz w:val="28"/>
                                <w:szCs w:val="28"/>
                              </w:rPr>
                              <w:t>PhD Student, Behavioral Neuroscience, Boston University School of Medicine</w:t>
                            </w:r>
                            <w:r w:rsidRPr="00C41B48">
                              <w:rPr>
                                <w:rFonts w:ascii="Calibri" w:eastAsia="Calibri" w:hAnsi="Calibri"/>
                                <w:color w:val="000000" w:themeColor="text1"/>
                                <w:sz w:val="28"/>
                                <w:szCs w:val="28"/>
                              </w:rPr>
                              <w:br/>
                              <w:t>Center for Translational Cognitive Neuroscience, VA Boston Healthcare System</w:t>
                            </w:r>
                          </w:p>
                        </w:txbxContent>
                      </wps:txbx>
                      <wps:bodyPr vert="horz" wrap="square" lIns="45720" tIns="46038" rIns="45720" bIns="46038" numCol="1" anchor="t" anchorCtr="0" compatLnSpc="1">
                        <a:prstTxWarp prst="textNoShape">
                          <a:avLst/>
                        </a:prstTxWarp>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3EFC87" id="Content Placeholder 3" o:spid="_x0000_s1026" style="position:absolute;margin-left:248.55pt;margin-top:80.1pt;width:299.75pt;height:5in;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" filled="f" stroked="f">
                <o:lock v:ext="edit" grouping="t"/>
                <v:textbox inset="3.6pt,1.2788mm,3.6pt,1.2788mm">
                  <w:txbxContent>
                    <w:p w14:paraId="5A95119A"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Renée DeCaro, PhD</w:t>
                      </w:r>
                    </w:p>
                    <w:p w14:paraId="23D12F64"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Postdoctoral Research Fellow</w:t>
                      </w:r>
                    </w:p>
                    <w:p w14:paraId="2B13DF21"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Center for Translational Cognitive Neuroscience</w:t>
                      </w:r>
                    </w:p>
                    <w:p w14:paraId="3463B9A0"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Boston Veterans Affairs | Boston University Alzheimer’s Disease Center</w:t>
                      </w:r>
                    </w:p>
                    <w:p w14:paraId="5E9B2982" w14:textId="77777777" w:rsidR="00C41B48" w:rsidRPr="00C41B48" w:rsidRDefault="00C41B48" w:rsidP="00C41B48">
                      <w:pPr>
                        <w:kinsoku w:val="0"/>
                        <w:overflowPunct w:val="0"/>
                        <w:spacing w:line="256" w:lineRule="auto"/>
                        <w:textAlignment w:val="baseline"/>
                        <w:rPr>
                          <w:rFonts w:ascii="Calibri" w:eastAsia="Calibri" w:hAnsi="Calibri"/>
                          <w:b/>
                          <w:bCs/>
                          <w:color w:val="000000" w:themeColor="text1"/>
                          <w:sz w:val="28"/>
                          <w:szCs w:val="28"/>
                        </w:rPr>
                      </w:pPr>
                    </w:p>
                    <w:p w14:paraId="70D4F149" w14:textId="69B4F801"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Anna Marin</w:t>
                      </w:r>
                    </w:p>
                    <w:p w14:paraId="34396645" w14:textId="77777777" w:rsidR="00BB1B54" w:rsidRPr="00C41B48" w:rsidRDefault="00BB1B54" w:rsidP="00C41B48">
                      <w:pPr>
                        <w:kinsoku w:val="0"/>
                        <w:overflowPunct w:val="0"/>
                        <w:spacing w:after="0"/>
                        <w:textAlignment w:val="baseline"/>
                        <w:rPr>
                          <w:sz w:val="28"/>
                          <w:szCs w:val="28"/>
                        </w:rPr>
                      </w:pPr>
                      <w:r w:rsidRPr="00C41B48">
                        <w:rPr>
                          <w:rFonts w:ascii="Calibri" w:eastAsia="Calibri" w:hAnsi="Calibri"/>
                          <w:color w:val="000000" w:themeColor="text1"/>
                          <w:sz w:val="28"/>
                          <w:szCs w:val="28"/>
                        </w:rPr>
                        <w:t>PhD Student, Behavioral Neuroscience, Boston University School of Medicine</w:t>
                      </w:r>
                      <w:r w:rsidRPr="00C41B48">
                        <w:rPr>
                          <w:rFonts w:ascii="Calibri" w:eastAsia="Calibri" w:hAnsi="Calibri"/>
                          <w:color w:val="000000" w:themeColor="text1"/>
                          <w:sz w:val="28"/>
                          <w:szCs w:val="28"/>
                        </w:rPr>
                        <w:br/>
                        <w:t>Center for Translational Cognitive Neuroscience, VA Boston Healthcare System</w:t>
                      </w:r>
                    </w:p>
                  </w:txbxContent>
                </v:textbox>
                <w10:wrap anchorx="margin"/>
              </v:rect>
            </w:pict>
          </mc:Fallback>
        </mc:AlternateContent>
      </w:r>
      <w:r w:rsidRPr="00C41B48">
        <w:rPr>
          <w:rFonts w:cstheme="minorHAnsi"/>
          <w:noProof/>
          <w:sz w:val="28"/>
          <w:szCs w:val="28"/>
        </w:rPr>
        <mc:AlternateContent>
          <mc:Choice Requires="wps">
            <w:drawing>
              <wp:anchor distT="0" distB="0" distL="114300" distR="114300" simplePos="0" relativeHeight="251663360" behindDoc="0" locked="0" layoutInCell="1" allowOverlap="1" wp14:anchorId="1562E08F" wp14:editId="2822F626">
                <wp:simplePos x="0" y="0"/>
                <wp:positionH relativeFrom="margin">
                  <wp:align>center</wp:align>
                </wp:positionH>
                <wp:positionV relativeFrom="paragraph">
                  <wp:posOffset>-38100</wp:posOffset>
                </wp:positionV>
                <wp:extent cx="3806735" cy="885825"/>
                <wp:effectExtent l="0" t="0" r="3810" b="0"/>
                <wp:wrapNone/>
                <wp:docPr id="1"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806735" cy="885825"/>
                        </a:xfrm>
                        <a:prstGeom prst="rect">
                          <a:avLst/>
                        </a:prstGeom>
                        <a:noFill/>
                        <a:ln w="9525">
                          <a:noFill/>
                          <a:miter lim="800000"/>
                          <a:headEnd/>
                          <a:tailEnd/>
                        </a:ln>
                      </wps:spPr>
                      <wps:txbx>
                        <w:txbxContent>
                          <w:p w14:paraId="4C95A9C4" w14:textId="77777777" w:rsidR="00BB1B54" w:rsidRDefault="00BB1B54" w:rsidP="00BB1B54">
                            <w:pPr>
                              <w:kinsoku w:val="0"/>
                              <w:overflowPunct w:val="0"/>
                              <w:spacing w:line="256" w:lineRule="auto"/>
                              <w:textAlignment w:val="baseline"/>
                              <w:rPr>
                                <w:rFonts w:ascii="Calibri" w:eastAsia="Calibri" w:hAnsi="Calibri"/>
                                <w:b/>
                                <w:bCs/>
                                <w:color w:val="000000" w:themeColor="text1"/>
                                <w:sz w:val="32"/>
                                <w:szCs w:val="32"/>
                              </w:rPr>
                            </w:pPr>
                          </w:p>
                          <w:p w14:paraId="249E8FE2" w14:textId="333AAD5F" w:rsidR="00BB1B54" w:rsidRDefault="00BB1B54" w:rsidP="00BB1B54">
                            <w:pPr>
                              <w:kinsoku w:val="0"/>
                              <w:overflowPunct w:val="0"/>
                              <w:spacing w:line="256" w:lineRule="auto"/>
                              <w:jc w:val="center"/>
                              <w:textAlignment w:val="baseline"/>
                              <w:rPr>
                                <w:sz w:val="24"/>
                                <w:szCs w:val="24"/>
                              </w:rPr>
                            </w:pPr>
                            <w:r>
                              <w:rPr>
                                <w:rFonts w:ascii="Calibri" w:eastAsia="Calibri" w:hAnsi="Calibri"/>
                                <w:b/>
                                <w:bCs/>
                                <w:color w:val="000000" w:themeColor="text1"/>
                                <w:sz w:val="32"/>
                                <w:szCs w:val="32"/>
                              </w:rPr>
                              <w:t>Research Workgroup Members</w:t>
                            </w:r>
                          </w:p>
                        </w:txbxContent>
                      </wps:txbx>
                      <wps:bodyPr vert="horz" wrap="square" lIns="45720" tIns="46038" rIns="45720" bIns="46038" numCol="1" anchor="t" anchorCtr="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62E08F" id="_x0000_s1027" style="position:absolute;margin-left:0;margin-top:-3pt;width:299.75pt;height:69.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" filled="f" stroked="f">
                <o:lock v:ext="edit" grouping="t"/>
                <v:textbox inset="3.6pt,1.2788mm,3.6pt,1.2788mm">
                  <w:txbxContent>
                    <w:p w14:paraId="4C95A9C4" w14:textId="77777777" w:rsidR="00BB1B54" w:rsidRDefault="00BB1B54" w:rsidP="00BB1B54">
                      <w:pPr>
                        <w:kinsoku w:val="0"/>
                        <w:overflowPunct w:val="0"/>
                        <w:spacing w:line="256" w:lineRule="auto"/>
                        <w:textAlignment w:val="baseline"/>
                        <w:rPr>
                          <w:rFonts w:ascii="Calibri" w:eastAsia="Calibri" w:hAnsi="Calibri"/>
                          <w:b/>
                          <w:bCs/>
                          <w:color w:val="000000" w:themeColor="text1"/>
                          <w:sz w:val="32"/>
                          <w:szCs w:val="32"/>
                        </w:rPr>
                      </w:pPr>
                    </w:p>
                    <w:p w14:paraId="249E8FE2" w14:textId="333AAD5F" w:rsidR="00BB1B54" w:rsidRDefault="00BB1B54" w:rsidP="00BB1B54">
                      <w:pPr>
                        <w:kinsoku w:val="0"/>
                        <w:overflowPunct w:val="0"/>
                        <w:spacing w:line="256" w:lineRule="auto"/>
                        <w:jc w:val="center"/>
                        <w:textAlignment w:val="baseline"/>
                        <w:rPr>
                          <w:sz w:val="24"/>
                          <w:szCs w:val="24"/>
                        </w:rPr>
                      </w:pPr>
                      <w:r>
                        <w:rPr>
                          <w:rFonts w:ascii="Calibri" w:eastAsia="Calibri" w:hAnsi="Calibri"/>
                          <w:b/>
                          <w:bCs/>
                          <w:color w:val="000000" w:themeColor="text1"/>
                          <w:sz w:val="32"/>
                          <w:szCs w:val="32"/>
                        </w:rPr>
                        <w:t>Research Workgroup Members</w:t>
                      </w:r>
                    </w:p>
                  </w:txbxContent>
                </v:textbox>
                <w10:wrap anchorx="margin"/>
              </v:rect>
            </w:pict>
          </mc:Fallback>
        </mc:AlternateContent>
      </w:r>
      <w:r w:rsidRPr="00C41B48">
        <w:rPr>
          <w:rFonts w:cstheme="minorHAnsi"/>
          <w:noProof/>
          <w:sz w:val="28"/>
          <w:szCs w:val="28"/>
        </w:rPr>
        <mc:AlternateContent>
          <mc:Choice Requires="wps">
            <w:drawing>
              <wp:anchor distT="0" distB="0" distL="114300" distR="114300" simplePos="0" relativeHeight="251665408" behindDoc="0" locked="0" layoutInCell="1" allowOverlap="1" wp14:anchorId="3E5F7B09" wp14:editId="0E2B5E98">
                <wp:simplePos x="0" y="0"/>
                <wp:positionH relativeFrom="column">
                  <wp:posOffset>-180975</wp:posOffset>
                </wp:positionH>
                <wp:positionV relativeFrom="paragraph">
                  <wp:posOffset>981075</wp:posOffset>
                </wp:positionV>
                <wp:extent cx="4420688" cy="4511040"/>
                <wp:effectExtent l="0" t="0" r="0" b="3810"/>
                <wp:wrapNone/>
                <wp:docPr id="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420688" cy="4511040"/>
                        </a:xfrm>
                        <a:prstGeom prst="rect">
                          <a:avLst/>
                        </a:prstGeom>
                        <a:noFill/>
                        <a:ln w="9525">
                          <a:noFill/>
                          <a:miter lim="800000"/>
                          <a:headEnd/>
                          <a:tailEnd/>
                        </a:ln>
                      </wps:spPr>
                      <wps:txbx>
                        <w:txbxContent>
                          <w:p w14:paraId="6C9C945C"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Andrew Budson, MD</w:t>
                            </w:r>
                          </w:p>
                          <w:p w14:paraId="4DF47B91"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Workgroup Lead and Council Member</w:t>
                            </w:r>
                            <w:r w:rsidRPr="00C41B48">
                              <w:rPr>
                                <w:rFonts w:ascii="Calibri" w:eastAsia="Calibri" w:hAnsi="Calibri"/>
                                <w:color w:val="000000" w:themeColor="text1"/>
                                <w:sz w:val="28"/>
                                <w:szCs w:val="28"/>
                              </w:rPr>
                              <w:br/>
                              <w:t>Chief of Cognitive &amp; Behavioral Neurology, Associate Chief of Staff for Education, and Director of the Center for Translational Cognitive Neuroscience at Veterans Affairs (VA) Boston Healthcare System</w:t>
                            </w:r>
                          </w:p>
                          <w:p w14:paraId="3735441D"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Associate Director for Research at Boston University Alzheimer’s Disease Center</w:t>
                            </w:r>
                          </w:p>
                          <w:p w14:paraId="1182EF98"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Lecturer in Neurology at Harvard Medical School</w:t>
                            </w:r>
                          </w:p>
                          <w:p w14:paraId="672E52A3" w14:textId="77777777" w:rsidR="00BB1B54" w:rsidRPr="00C41B48" w:rsidRDefault="00BB1B54" w:rsidP="00C41B48">
                            <w:pPr>
                              <w:kinsoku w:val="0"/>
                              <w:overflowPunct w:val="0"/>
                              <w:spacing w:after="0"/>
                              <w:textAlignment w:val="baseline"/>
                              <w:rPr>
                                <w:sz w:val="28"/>
                                <w:szCs w:val="28"/>
                              </w:rPr>
                            </w:pPr>
                            <w:r w:rsidRPr="00C41B48">
                              <w:rPr>
                                <w:rFonts w:ascii="Calibri" w:eastAsia="Calibri" w:hAnsi="Calibri"/>
                                <w:color w:val="000000" w:themeColor="text1"/>
                                <w:sz w:val="28"/>
                                <w:szCs w:val="28"/>
                              </w:rPr>
                              <w:t xml:space="preserve">Medical Director of the Boston Center for Memory </w:t>
                            </w:r>
                          </w:p>
                          <w:p w14:paraId="466DBA5D" w14:textId="77777777" w:rsidR="00C41B48" w:rsidRPr="00C41B48" w:rsidRDefault="00C41B48" w:rsidP="00C41B48">
                            <w:pPr>
                              <w:kinsoku w:val="0"/>
                              <w:overflowPunct w:val="0"/>
                              <w:spacing w:line="256" w:lineRule="auto"/>
                              <w:textAlignment w:val="baseline"/>
                              <w:rPr>
                                <w:rFonts w:ascii="Calibri" w:eastAsia="Calibri" w:hAnsi="Calibri"/>
                                <w:b/>
                                <w:bCs/>
                                <w:color w:val="000000" w:themeColor="text1"/>
                                <w:sz w:val="28"/>
                                <w:szCs w:val="28"/>
                              </w:rPr>
                            </w:pPr>
                          </w:p>
                          <w:p w14:paraId="77252ECC" w14:textId="1586BF9B"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Jonathan Jackson</w:t>
                            </w:r>
                            <w:r w:rsidR="000A7FA9">
                              <w:rPr>
                                <w:rFonts w:ascii="Calibri" w:eastAsia="Calibri" w:hAnsi="Calibri"/>
                                <w:b/>
                                <w:bCs/>
                                <w:color w:val="000000" w:themeColor="text1"/>
                                <w:sz w:val="28"/>
                                <w:szCs w:val="28"/>
                              </w:rPr>
                              <w:t>, PhD</w:t>
                            </w:r>
                          </w:p>
                          <w:p w14:paraId="6881446A"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Council Member</w:t>
                            </w:r>
                          </w:p>
                          <w:p w14:paraId="422A7D89"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Founder and Executive Director</w:t>
                            </w:r>
                          </w:p>
                          <w:p w14:paraId="731EC13D"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Community Access, Recruitment, &amp; Engagement (CARE) Research Center</w:t>
                            </w:r>
                          </w:p>
                          <w:p w14:paraId="7DE84482" w14:textId="77777777" w:rsidR="00BB1B54" w:rsidRPr="00C41B48" w:rsidRDefault="00BB1B54" w:rsidP="00C41B48">
                            <w:pPr>
                              <w:kinsoku w:val="0"/>
                              <w:overflowPunct w:val="0"/>
                              <w:spacing w:after="0" w:line="256" w:lineRule="auto"/>
                              <w:textAlignment w:val="baseline"/>
                            </w:pPr>
                            <w:r w:rsidRPr="00C41B48">
                              <w:rPr>
                                <w:rFonts w:ascii="Calibri" w:eastAsia="Calibri" w:hAnsi="Calibri"/>
                                <w:color w:val="000000" w:themeColor="text1"/>
                                <w:sz w:val="28"/>
                                <w:szCs w:val="28"/>
                              </w:rPr>
                              <w:t>Massachusetts General Hospital</w:t>
                            </w:r>
                          </w:p>
                          <w:p w14:paraId="52991919" w14:textId="77777777" w:rsidR="00BB1B54" w:rsidRPr="00C41B48" w:rsidRDefault="00BB1B54" w:rsidP="00C41B48">
                            <w:pPr>
                              <w:kinsoku w:val="0"/>
                              <w:overflowPunct w:val="0"/>
                              <w:spacing w:after="0" w:line="256" w:lineRule="auto"/>
                              <w:textAlignment w:val="baseline"/>
                            </w:pPr>
                            <w:r w:rsidRPr="00C41B48">
                              <w:rPr>
                                <w:rFonts w:ascii="Calibri" w:eastAsia="Calibri" w:hAnsi="Calibri"/>
                                <w:color w:val="000000" w:themeColor="text1"/>
                                <w:sz w:val="28"/>
                                <w:szCs w:val="28"/>
                              </w:rPr>
                              <w:t>Instructor in Neurology at Harvard Medical School</w:t>
                            </w:r>
                          </w:p>
                          <w:p w14:paraId="5664C73F" w14:textId="77777777" w:rsidR="00BB1B54" w:rsidRDefault="00BB1B54" w:rsidP="00C41B48">
                            <w:pPr>
                              <w:kinsoku w:val="0"/>
                              <w:overflowPunct w:val="0"/>
                              <w:spacing w:line="256" w:lineRule="auto"/>
                              <w:textAlignment w:val="baseline"/>
                            </w:pPr>
                          </w:p>
                          <w:p w14:paraId="733C9CB1" w14:textId="77777777" w:rsidR="00BB1B54" w:rsidRDefault="00BB1B54" w:rsidP="00BB1B54">
                            <w:pPr>
                              <w:kinsoku w:val="0"/>
                              <w:overflowPunct w:val="0"/>
                              <w:spacing w:line="256" w:lineRule="auto"/>
                              <w:textAlignment w:val="baseline"/>
                            </w:pPr>
                            <w:r>
                              <w:rPr>
                                <w:rFonts w:ascii="Calibri" w:eastAsia="Calibri" w:hAnsi="Calibri"/>
                                <w:color w:val="000000" w:themeColor="text1"/>
                                <w:sz w:val="20"/>
                                <w:szCs w:val="20"/>
                              </w:rPr>
                              <w:t> </w:t>
                            </w:r>
                          </w:p>
                        </w:txbxContent>
                      </wps:txbx>
                      <wps:bodyPr vert="horz" wrap="square" lIns="45720" tIns="46038" rIns="45720" bIns="46038" numCol="1" anchor="t" anchorCtr="0" compatLnSpc="1">
                        <a:prstTxWarp prst="textNoShape">
                          <a:avLst/>
                        </a:prstTxWarp>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5F7B09" id="Content Placeholder 2" o:spid="_x0000_s1028" style="position:absolute;margin-left:-14.25pt;margin-top:77.25pt;width:348.1pt;height:355.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" filled="f" stroked="f">
                <o:lock v:ext="edit" grouping="t"/>
                <v:textbox inset="3.6pt,1.2788mm,3.6pt,1.2788mm">
                  <w:txbxContent>
                    <w:p w14:paraId="6C9C945C"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Andrew Budson, MD</w:t>
                      </w:r>
                    </w:p>
                    <w:p w14:paraId="4DF47B91"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Workgroup Lead and Council Member</w:t>
                      </w:r>
                      <w:r w:rsidRPr="00C41B48">
                        <w:rPr>
                          <w:rFonts w:ascii="Calibri" w:eastAsia="Calibri" w:hAnsi="Calibri"/>
                          <w:color w:val="000000" w:themeColor="text1"/>
                          <w:sz w:val="28"/>
                          <w:szCs w:val="28"/>
                        </w:rPr>
                        <w:br/>
                        <w:t>Chief of Cognitive &amp; Behavioral Neurology, Associate Chief of Staff for Education, and Director of the Center for Translational Cognitive Neuroscience at Veterans Affairs (VA) Boston Healthcare System</w:t>
                      </w:r>
                    </w:p>
                    <w:p w14:paraId="3735441D"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Associate Director for Research at Boston University Alzheimer’s Disease Center</w:t>
                      </w:r>
                    </w:p>
                    <w:p w14:paraId="1182EF98"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Lecturer in Neurology at Harvard Medical School</w:t>
                      </w:r>
                    </w:p>
                    <w:p w14:paraId="672E52A3" w14:textId="77777777" w:rsidR="00BB1B54" w:rsidRPr="00C41B48" w:rsidRDefault="00BB1B54" w:rsidP="00C41B48">
                      <w:pPr>
                        <w:kinsoku w:val="0"/>
                        <w:overflowPunct w:val="0"/>
                        <w:spacing w:after="0"/>
                        <w:textAlignment w:val="baseline"/>
                        <w:rPr>
                          <w:sz w:val="28"/>
                          <w:szCs w:val="28"/>
                        </w:rPr>
                      </w:pPr>
                      <w:r w:rsidRPr="00C41B48">
                        <w:rPr>
                          <w:rFonts w:ascii="Calibri" w:eastAsia="Calibri" w:hAnsi="Calibri"/>
                          <w:color w:val="000000" w:themeColor="text1"/>
                          <w:sz w:val="28"/>
                          <w:szCs w:val="28"/>
                        </w:rPr>
                        <w:t xml:space="preserve">Medical Director of the Boston Center for Memory </w:t>
                      </w:r>
                    </w:p>
                    <w:p w14:paraId="466DBA5D" w14:textId="77777777" w:rsidR="00C41B48" w:rsidRPr="00C41B48" w:rsidRDefault="00C41B48" w:rsidP="00C41B48">
                      <w:pPr>
                        <w:kinsoku w:val="0"/>
                        <w:overflowPunct w:val="0"/>
                        <w:spacing w:line="256" w:lineRule="auto"/>
                        <w:textAlignment w:val="baseline"/>
                        <w:rPr>
                          <w:rFonts w:ascii="Calibri" w:eastAsia="Calibri" w:hAnsi="Calibri"/>
                          <w:b/>
                          <w:bCs/>
                          <w:color w:val="000000" w:themeColor="text1"/>
                          <w:sz w:val="28"/>
                          <w:szCs w:val="28"/>
                        </w:rPr>
                      </w:pPr>
                    </w:p>
                    <w:p w14:paraId="77252ECC" w14:textId="1586BF9B"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Jonathan Jackson</w:t>
                      </w:r>
                      <w:r w:rsidR="000A7FA9">
                        <w:rPr>
                          <w:rFonts w:ascii="Calibri" w:eastAsia="Calibri" w:hAnsi="Calibri"/>
                          <w:b/>
                          <w:bCs/>
                          <w:color w:val="000000" w:themeColor="text1"/>
                          <w:sz w:val="28"/>
                          <w:szCs w:val="28"/>
                        </w:rPr>
                        <w:t>, PhD</w:t>
                      </w:r>
                    </w:p>
                    <w:p w14:paraId="6881446A"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b/>
                          <w:bCs/>
                          <w:color w:val="000000" w:themeColor="text1"/>
                          <w:sz w:val="28"/>
                          <w:szCs w:val="28"/>
                        </w:rPr>
                        <w:t>Council Member</w:t>
                      </w:r>
                    </w:p>
                    <w:p w14:paraId="422A7D89"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Founder and Executive Director</w:t>
                      </w:r>
                    </w:p>
                    <w:p w14:paraId="731EC13D" w14:textId="77777777" w:rsidR="00BB1B54" w:rsidRPr="00C41B48" w:rsidRDefault="00BB1B54" w:rsidP="00C41B48">
                      <w:pPr>
                        <w:kinsoku w:val="0"/>
                        <w:overflowPunct w:val="0"/>
                        <w:spacing w:after="0" w:line="256" w:lineRule="auto"/>
                        <w:textAlignment w:val="baseline"/>
                        <w:rPr>
                          <w:sz w:val="28"/>
                          <w:szCs w:val="28"/>
                        </w:rPr>
                      </w:pPr>
                      <w:r w:rsidRPr="00C41B48">
                        <w:rPr>
                          <w:rFonts w:ascii="Calibri" w:eastAsia="Calibri" w:hAnsi="Calibri"/>
                          <w:color w:val="000000" w:themeColor="text1"/>
                          <w:sz w:val="28"/>
                          <w:szCs w:val="28"/>
                        </w:rPr>
                        <w:t>Community Access, Recruitment, &amp; Engagement (CARE) Research Center</w:t>
                      </w:r>
                    </w:p>
                    <w:p w14:paraId="7DE84482" w14:textId="77777777" w:rsidR="00BB1B54" w:rsidRPr="00C41B48" w:rsidRDefault="00BB1B54" w:rsidP="00C41B48">
                      <w:pPr>
                        <w:kinsoku w:val="0"/>
                        <w:overflowPunct w:val="0"/>
                        <w:spacing w:after="0" w:line="256" w:lineRule="auto"/>
                        <w:textAlignment w:val="baseline"/>
                      </w:pPr>
                      <w:r w:rsidRPr="00C41B48">
                        <w:rPr>
                          <w:rFonts w:ascii="Calibri" w:eastAsia="Calibri" w:hAnsi="Calibri"/>
                          <w:color w:val="000000" w:themeColor="text1"/>
                          <w:sz w:val="28"/>
                          <w:szCs w:val="28"/>
                        </w:rPr>
                        <w:t>Massachusetts General Hospital</w:t>
                      </w:r>
                    </w:p>
                    <w:p w14:paraId="52991919" w14:textId="77777777" w:rsidR="00BB1B54" w:rsidRPr="00C41B48" w:rsidRDefault="00BB1B54" w:rsidP="00C41B48">
                      <w:pPr>
                        <w:kinsoku w:val="0"/>
                        <w:overflowPunct w:val="0"/>
                        <w:spacing w:after="0" w:line="256" w:lineRule="auto"/>
                        <w:textAlignment w:val="baseline"/>
                      </w:pPr>
                      <w:r w:rsidRPr="00C41B48">
                        <w:rPr>
                          <w:rFonts w:ascii="Calibri" w:eastAsia="Calibri" w:hAnsi="Calibri"/>
                          <w:color w:val="000000" w:themeColor="text1"/>
                          <w:sz w:val="28"/>
                          <w:szCs w:val="28"/>
                        </w:rPr>
                        <w:t>Instructor in Neurology at Harvard Medical School</w:t>
                      </w:r>
                    </w:p>
                    <w:p w14:paraId="5664C73F" w14:textId="77777777" w:rsidR="00BB1B54" w:rsidRDefault="00BB1B54" w:rsidP="00C41B48">
                      <w:pPr>
                        <w:kinsoku w:val="0"/>
                        <w:overflowPunct w:val="0"/>
                        <w:spacing w:line="256" w:lineRule="auto"/>
                        <w:textAlignment w:val="baseline"/>
                      </w:pPr>
                    </w:p>
                    <w:p w14:paraId="733C9CB1" w14:textId="77777777" w:rsidR="00BB1B54" w:rsidRDefault="00BB1B54" w:rsidP="00BB1B54">
                      <w:pPr>
                        <w:kinsoku w:val="0"/>
                        <w:overflowPunct w:val="0"/>
                        <w:spacing w:line="256" w:lineRule="auto"/>
                        <w:textAlignment w:val="baseline"/>
                      </w:pPr>
                      <w:r>
                        <w:rPr>
                          <w:rFonts w:ascii="Calibri" w:eastAsia="Calibri" w:hAnsi="Calibri"/>
                          <w:color w:val="000000" w:themeColor="text1"/>
                          <w:sz w:val="20"/>
                          <w:szCs w:val="20"/>
                        </w:rPr>
                        <w:t> </w:t>
                      </w:r>
                    </w:p>
                  </w:txbxContent>
                </v:textbox>
              </v:rect>
            </w:pict>
          </mc:Fallback>
        </mc:AlternateContent>
      </w:r>
    </w:p>
    <w:sectPr w:rsidR="00BB1B54" w:rsidRPr="00C41B48" w:rsidSect="00DC672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3ACED" w14:textId="77777777" w:rsidR="000F0D6A" w:rsidRDefault="000F0D6A" w:rsidP="00080002">
      <w:pPr>
        <w:spacing w:after="0" w:line="240" w:lineRule="auto"/>
      </w:pPr>
      <w:r>
        <w:separator/>
      </w:r>
    </w:p>
  </w:endnote>
  <w:endnote w:type="continuationSeparator" w:id="0">
    <w:p w14:paraId="2B534810" w14:textId="77777777" w:rsidR="000F0D6A" w:rsidRDefault="000F0D6A" w:rsidP="0008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notTrueType/>
    <w:pitch w:val="variable"/>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82B9E" w14:textId="644153B4" w:rsidR="00624CAE" w:rsidRPr="00594418" w:rsidRDefault="00624CAE">
    <w:pPr>
      <w:pStyle w:val="Footer"/>
      <w:jc w:val="right"/>
      <w:rPr>
        <w:sz w:val="24"/>
        <w:szCs w:val="24"/>
      </w:rPr>
    </w:pPr>
    <w:r w:rsidRPr="00594418">
      <w:rPr>
        <w:sz w:val="24"/>
        <w:szCs w:val="24"/>
      </w:rPr>
      <w:t xml:space="preserve">Page </w:t>
    </w:r>
    <w:sdt>
      <w:sdtPr>
        <w:rPr>
          <w:sz w:val="24"/>
          <w:szCs w:val="24"/>
        </w:rPr>
        <w:id w:val="450361524"/>
        <w:docPartObj>
          <w:docPartGallery w:val="Page Numbers (Bottom of Page)"/>
          <w:docPartUnique/>
        </w:docPartObj>
      </w:sdtPr>
      <w:sdtEndPr>
        <w:rPr>
          <w:noProof/>
        </w:rPr>
      </w:sdtEndPr>
      <w:sdtContent>
        <w:r w:rsidRPr="00594418">
          <w:rPr>
            <w:sz w:val="24"/>
            <w:szCs w:val="24"/>
          </w:rPr>
          <w:fldChar w:fldCharType="begin"/>
        </w:r>
        <w:r w:rsidRPr="00594418">
          <w:rPr>
            <w:sz w:val="24"/>
            <w:szCs w:val="24"/>
          </w:rPr>
          <w:instrText xml:space="preserve"> PAGE   \* MERGEFORMAT </w:instrText>
        </w:r>
        <w:r w:rsidRPr="00594418">
          <w:rPr>
            <w:sz w:val="24"/>
            <w:szCs w:val="24"/>
          </w:rPr>
          <w:fldChar w:fldCharType="separate"/>
        </w:r>
        <w:r w:rsidR="00542E7B">
          <w:rPr>
            <w:noProof/>
            <w:sz w:val="24"/>
            <w:szCs w:val="24"/>
          </w:rPr>
          <w:t>1</w:t>
        </w:r>
        <w:r w:rsidRPr="00594418">
          <w:rPr>
            <w:noProof/>
            <w:sz w:val="24"/>
            <w:szCs w:val="24"/>
          </w:rPr>
          <w:fldChar w:fldCharType="end"/>
        </w:r>
        <w:r w:rsidRPr="00594418">
          <w:rPr>
            <w:noProof/>
            <w:sz w:val="24"/>
            <w:szCs w:val="24"/>
          </w:rPr>
          <w:t xml:space="preserve"> of </w:t>
        </w:r>
        <w:r w:rsidRPr="00594418">
          <w:rPr>
            <w:noProof/>
            <w:sz w:val="24"/>
            <w:szCs w:val="24"/>
          </w:rPr>
          <w:fldChar w:fldCharType="begin"/>
        </w:r>
        <w:r w:rsidRPr="00594418">
          <w:rPr>
            <w:noProof/>
            <w:sz w:val="24"/>
            <w:szCs w:val="24"/>
          </w:rPr>
          <w:instrText xml:space="preserve"> NUMPAGES   \* MERGEFORMAT </w:instrText>
        </w:r>
        <w:r w:rsidRPr="00594418">
          <w:rPr>
            <w:noProof/>
            <w:sz w:val="24"/>
            <w:szCs w:val="24"/>
          </w:rPr>
          <w:fldChar w:fldCharType="separate"/>
        </w:r>
        <w:r w:rsidR="00542E7B">
          <w:rPr>
            <w:noProof/>
            <w:sz w:val="24"/>
            <w:szCs w:val="24"/>
          </w:rPr>
          <w:t>13</w:t>
        </w:r>
        <w:r w:rsidRPr="00594418">
          <w:rPr>
            <w:noProof/>
            <w:sz w:val="24"/>
            <w:szCs w:val="24"/>
          </w:rPr>
          <w:fldChar w:fldCharType="end"/>
        </w:r>
      </w:sdtContent>
    </w:sdt>
  </w:p>
  <w:p w14:paraId="64D6F0F7" w14:textId="1B8D3CF4" w:rsidR="00624CAE" w:rsidRDefault="00624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D633C" w14:textId="77777777" w:rsidR="000F0D6A" w:rsidRDefault="000F0D6A" w:rsidP="00080002">
      <w:pPr>
        <w:spacing w:after="0" w:line="240" w:lineRule="auto"/>
      </w:pPr>
      <w:r>
        <w:separator/>
      </w:r>
    </w:p>
  </w:footnote>
  <w:footnote w:type="continuationSeparator" w:id="0">
    <w:p w14:paraId="2711B369" w14:textId="77777777" w:rsidR="000F0D6A" w:rsidRDefault="000F0D6A" w:rsidP="00080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F578B" w14:textId="4824548B" w:rsidR="00624CAE" w:rsidRDefault="00624CAE" w:rsidP="00682179">
    <w:pPr>
      <w:pStyle w:val="Header"/>
      <w:tabs>
        <w:tab w:val="clear" w:pos="4680"/>
        <w:tab w:val="center" w:pos="810"/>
      </w:tabs>
      <w:ind w:left="-630" w:hanging="810"/>
      <w:jc w:val="both"/>
      <w:rPr>
        <w:i/>
        <w:iCs/>
        <w:sz w:val="28"/>
        <w:szCs w:val="28"/>
      </w:rPr>
    </w:pPr>
    <w:r>
      <w:rPr>
        <w:b/>
        <w:bCs/>
        <w:sz w:val="28"/>
        <w:szCs w:val="28"/>
      </w:rPr>
      <w:tab/>
    </w:r>
    <w:r w:rsidR="00682179" w:rsidRPr="00682179">
      <w:rPr>
        <w:i/>
        <w:iCs/>
        <w:sz w:val="28"/>
        <w:szCs w:val="28"/>
      </w:rPr>
      <w:t>Al</w:t>
    </w:r>
    <w:r w:rsidR="00682179">
      <w:rPr>
        <w:i/>
        <w:iCs/>
        <w:sz w:val="28"/>
        <w:szCs w:val="28"/>
      </w:rPr>
      <w:t>zheimer’s Advisory Council</w:t>
    </w:r>
  </w:p>
  <w:p w14:paraId="34CC333C" w14:textId="7B2FC215" w:rsidR="00682179" w:rsidRPr="00682179" w:rsidRDefault="00682179" w:rsidP="00682179">
    <w:pPr>
      <w:pStyle w:val="Header"/>
      <w:tabs>
        <w:tab w:val="clear" w:pos="4680"/>
        <w:tab w:val="center" w:pos="810"/>
      </w:tabs>
      <w:ind w:left="-630"/>
      <w:jc w:val="both"/>
      <w:rPr>
        <w:i/>
        <w:iCs/>
        <w:sz w:val="28"/>
        <w:szCs w:val="28"/>
      </w:rPr>
    </w:pPr>
    <w:r>
      <w:rPr>
        <w:i/>
        <w:iCs/>
        <w:sz w:val="28"/>
        <w:szCs w:val="28"/>
      </w:rPr>
      <w:t>11/15/20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346"/>
    <w:multiLevelType w:val="multilevel"/>
    <w:tmpl w:val="C29C7390"/>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5137CF"/>
    <w:multiLevelType w:val="hybridMultilevel"/>
    <w:tmpl w:val="7A384A48"/>
    <w:lvl w:ilvl="0" w:tplc="7EC4C5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14DE9"/>
    <w:multiLevelType w:val="hybridMultilevel"/>
    <w:tmpl w:val="0CF8DA56"/>
    <w:lvl w:ilvl="0" w:tplc="C448992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75749"/>
    <w:multiLevelType w:val="hybridMultilevel"/>
    <w:tmpl w:val="F278AA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A0432"/>
    <w:multiLevelType w:val="hybridMultilevel"/>
    <w:tmpl w:val="323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12888"/>
    <w:multiLevelType w:val="multilevel"/>
    <w:tmpl w:val="DD00FBAA"/>
    <w:lvl w:ilvl="0">
      <w:start w:val="1"/>
      <w:numFmt w:val="decimal"/>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BB2710"/>
    <w:multiLevelType w:val="multilevel"/>
    <w:tmpl w:val="73DC5CF6"/>
    <w:lvl w:ilvl="0">
      <w:start w:val="1"/>
      <w:numFmt w:val="decimal"/>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006D50"/>
    <w:multiLevelType w:val="hybridMultilevel"/>
    <w:tmpl w:val="8806B3E4"/>
    <w:lvl w:ilvl="0" w:tplc="0914AC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D59C1"/>
    <w:multiLevelType w:val="hybridMultilevel"/>
    <w:tmpl w:val="18C828DC"/>
    <w:lvl w:ilvl="0" w:tplc="E49244D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1024F"/>
    <w:multiLevelType w:val="hybridMultilevel"/>
    <w:tmpl w:val="7CDEEE9C"/>
    <w:lvl w:ilvl="0" w:tplc="C448992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90C4F"/>
    <w:multiLevelType w:val="hybridMultilevel"/>
    <w:tmpl w:val="CF66F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E924B0"/>
    <w:multiLevelType w:val="hybridMultilevel"/>
    <w:tmpl w:val="98C8999E"/>
    <w:lvl w:ilvl="0" w:tplc="F6DC1D4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22640"/>
    <w:multiLevelType w:val="hybridMultilevel"/>
    <w:tmpl w:val="1D0E0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054531"/>
    <w:multiLevelType w:val="hybridMultilevel"/>
    <w:tmpl w:val="8806B3E4"/>
    <w:lvl w:ilvl="0" w:tplc="0914AC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A5E07"/>
    <w:multiLevelType w:val="hybridMultilevel"/>
    <w:tmpl w:val="995A9C52"/>
    <w:lvl w:ilvl="0" w:tplc="0914AC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262F46"/>
    <w:multiLevelType w:val="hybridMultilevel"/>
    <w:tmpl w:val="872E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1382B"/>
    <w:multiLevelType w:val="hybridMultilevel"/>
    <w:tmpl w:val="3228A868"/>
    <w:lvl w:ilvl="0" w:tplc="BC5EDC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969CB"/>
    <w:multiLevelType w:val="hybridMultilevel"/>
    <w:tmpl w:val="5140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207ECD"/>
    <w:multiLevelType w:val="hybridMultilevel"/>
    <w:tmpl w:val="C18E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76A8A"/>
    <w:multiLevelType w:val="hybridMultilevel"/>
    <w:tmpl w:val="9C2E2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A547BC"/>
    <w:multiLevelType w:val="hybridMultilevel"/>
    <w:tmpl w:val="CD7A52B4"/>
    <w:lvl w:ilvl="0" w:tplc="2A44F478">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3144D3"/>
    <w:multiLevelType w:val="hybridMultilevel"/>
    <w:tmpl w:val="3B7C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1482E"/>
    <w:multiLevelType w:val="hybridMultilevel"/>
    <w:tmpl w:val="DA88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3F5FFC"/>
    <w:multiLevelType w:val="hybridMultilevel"/>
    <w:tmpl w:val="0ABC1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00FF5"/>
    <w:multiLevelType w:val="multilevel"/>
    <w:tmpl w:val="6F266A1A"/>
    <w:lvl w:ilvl="0">
      <w:start w:val="1"/>
      <w:numFmt w:val="decimal"/>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503523"/>
    <w:multiLevelType w:val="hybridMultilevel"/>
    <w:tmpl w:val="9F0068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868CF"/>
    <w:multiLevelType w:val="hybridMultilevel"/>
    <w:tmpl w:val="CF66FD9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624A7EF9"/>
    <w:multiLevelType w:val="hybridMultilevel"/>
    <w:tmpl w:val="0CF8DA56"/>
    <w:lvl w:ilvl="0" w:tplc="C448992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86638A"/>
    <w:multiLevelType w:val="multilevel"/>
    <w:tmpl w:val="F48682E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65386176"/>
    <w:multiLevelType w:val="hybridMultilevel"/>
    <w:tmpl w:val="CD7A52B4"/>
    <w:lvl w:ilvl="0" w:tplc="2A44F478">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445225"/>
    <w:multiLevelType w:val="hybridMultilevel"/>
    <w:tmpl w:val="9DE49F08"/>
    <w:lvl w:ilvl="0" w:tplc="76BC910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1850BB"/>
    <w:multiLevelType w:val="hybridMultilevel"/>
    <w:tmpl w:val="4C1EA608"/>
    <w:lvl w:ilvl="0" w:tplc="59C2F040">
      <w:start w:val="1"/>
      <w:numFmt w:val="decimal"/>
      <w:lvlText w:val="%1."/>
      <w:lvlJc w:val="left"/>
      <w:pPr>
        <w:ind w:left="360" w:hanging="360"/>
      </w:pPr>
      <w:rPr>
        <w:rFonts w:asciiTheme="minorHAnsi" w:hAnsiTheme="minorHAnsi" w:cstheme="minorHAnsi"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1218C5"/>
    <w:multiLevelType w:val="hybridMultilevel"/>
    <w:tmpl w:val="E4E24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8549F0"/>
    <w:multiLevelType w:val="hybridMultilevel"/>
    <w:tmpl w:val="94A02BDA"/>
    <w:lvl w:ilvl="0" w:tplc="AA9CD2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151ED"/>
    <w:multiLevelType w:val="hybridMultilevel"/>
    <w:tmpl w:val="1EE0D582"/>
    <w:lvl w:ilvl="0" w:tplc="69880B3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091FC5"/>
    <w:multiLevelType w:val="hybridMultilevel"/>
    <w:tmpl w:val="1F36ACF6"/>
    <w:lvl w:ilvl="0" w:tplc="C448992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532AC1"/>
    <w:multiLevelType w:val="hybridMultilevel"/>
    <w:tmpl w:val="C9A8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F86880"/>
    <w:multiLevelType w:val="multilevel"/>
    <w:tmpl w:val="C8448E10"/>
    <w:lvl w:ilvl="0">
      <w:start w:val="1"/>
      <w:numFmt w:val="decimal"/>
      <w:lvlText w:val="%1."/>
      <w:lvlJc w:val="left"/>
      <w:pPr>
        <w:ind w:left="360" w:hanging="360"/>
      </w:pPr>
      <w:rPr>
        <w:rFonts w:ascii="Calibri" w:hAnsi="Calibri" w:hint="default"/>
        <w:b w:val="0"/>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BC34BE1"/>
    <w:multiLevelType w:val="hybridMultilevel"/>
    <w:tmpl w:val="8806B3E4"/>
    <w:lvl w:ilvl="0" w:tplc="0914AC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0F6A7A"/>
    <w:multiLevelType w:val="hybridMultilevel"/>
    <w:tmpl w:val="5132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18"/>
  </w:num>
  <w:num w:numId="4">
    <w:abstractNumId w:val="39"/>
  </w:num>
  <w:num w:numId="5">
    <w:abstractNumId w:val="20"/>
  </w:num>
  <w:num w:numId="6">
    <w:abstractNumId w:val="38"/>
  </w:num>
  <w:num w:numId="7">
    <w:abstractNumId w:val="2"/>
  </w:num>
  <w:num w:numId="8">
    <w:abstractNumId w:val="33"/>
  </w:num>
  <w:num w:numId="9">
    <w:abstractNumId w:val="14"/>
  </w:num>
  <w:num w:numId="10">
    <w:abstractNumId w:val="1"/>
  </w:num>
  <w:num w:numId="11">
    <w:abstractNumId w:val="16"/>
  </w:num>
  <w:num w:numId="12">
    <w:abstractNumId w:val="15"/>
  </w:num>
  <w:num w:numId="13">
    <w:abstractNumId w:val="4"/>
  </w:num>
  <w:num w:numId="14">
    <w:abstractNumId w:val="21"/>
  </w:num>
  <w:num w:numId="15">
    <w:abstractNumId w:val="12"/>
  </w:num>
  <w:num w:numId="16">
    <w:abstractNumId w:val="36"/>
  </w:num>
  <w:num w:numId="17">
    <w:abstractNumId w:val="34"/>
  </w:num>
  <w:num w:numId="18">
    <w:abstractNumId w:val="30"/>
  </w:num>
  <w:num w:numId="19">
    <w:abstractNumId w:val="28"/>
  </w:num>
  <w:num w:numId="20">
    <w:abstractNumId w:val="0"/>
  </w:num>
  <w:num w:numId="21">
    <w:abstractNumId w:val="11"/>
  </w:num>
  <w:num w:numId="22">
    <w:abstractNumId w:val="37"/>
  </w:num>
  <w:num w:numId="23">
    <w:abstractNumId w:val="8"/>
  </w:num>
  <w:num w:numId="24">
    <w:abstractNumId w:val="19"/>
  </w:num>
  <w:num w:numId="25">
    <w:abstractNumId w:val="26"/>
  </w:num>
  <w:num w:numId="26">
    <w:abstractNumId w:val="25"/>
  </w:num>
  <w:num w:numId="27">
    <w:abstractNumId w:val="10"/>
  </w:num>
  <w:num w:numId="28">
    <w:abstractNumId w:val="3"/>
  </w:num>
  <w:num w:numId="29">
    <w:abstractNumId w:val="13"/>
  </w:num>
  <w:num w:numId="30">
    <w:abstractNumId w:val="27"/>
  </w:num>
  <w:num w:numId="31">
    <w:abstractNumId w:val="9"/>
  </w:num>
  <w:num w:numId="32">
    <w:abstractNumId w:val="35"/>
  </w:num>
  <w:num w:numId="33">
    <w:abstractNumId w:val="5"/>
  </w:num>
  <w:num w:numId="34">
    <w:abstractNumId w:val="6"/>
  </w:num>
  <w:num w:numId="35">
    <w:abstractNumId w:val="24"/>
  </w:num>
  <w:num w:numId="36">
    <w:abstractNumId w:val="31"/>
  </w:num>
  <w:num w:numId="37">
    <w:abstractNumId w:val="29"/>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E6"/>
    <w:rsid w:val="00017C3E"/>
    <w:rsid w:val="00032101"/>
    <w:rsid w:val="00043A6C"/>
    <w:rsid w:val="0004473C"/>
    <w:rsid w:val="000540F6"/>
    <w:rsid w:val="0005554F"/>
    <w:rsid w:val="0007253A"/>
    <w:rsid w:val="00074225"/>
    <w:rsid w:val="000745E0"/>
    <w:rsid w:val="00074D07"/>
    <w:rsid w:val="000750F9"/>
    <w:rsid w:val="00076645"/>
    <w:rsid w:val="00080002"/>
    <w:rsid w:val="000838E8"/>
    <w:rsid w:val="00087E4F"/>
    <w:rsid w:val="00091FBF"/>
    <w:rsid w:val="000A0D47"/>
    <w:rsid w:val="000A1364"/>
    <w:rsid w:val="000A4477"/>
    <w:rsid w:val="000A7FA9"/>
    <w:rsid w:val="000C206E"/>
    <w:rsid w:val="000C24D5"/>
    <w:rsid w:val="000C62C4"/>
    <w:rsid w:val="000D51B3"/>
    <w:rsid w:val="000D534A"/>
    <w:rsid w:val="000E173D"/>
    <w:rsid w:val="000E3D2F"/>
    <w:rsid w:val="000E6623"/>
    <w:rsid w:val="000F0D6A"/>
    <w:rsid w:val="000F2B63"/>
    <w:rsid w:val="00104696"/>
    <w:rsid w:val="0012118B"/>
    <w:rsid w:val="00135A6F"/>
    <w:rsid w:val="001579AC"/>
    <w:rsid w:val="001648D4"/>
    <w:rsid w:val="00165265"/>
    <w:rsid w:val="00183111"/>
    <w:rsid w:val="001910E5"/>
    <w:rsid w:val="00192349"/>
    <w:rsid w:val="00193177"/>
    <w:rsid w:val="001A06BD"/>
    <w:rsid w:val="001A2C69"/>
    <w:rsid w:val="001B12C8"/>
    <w:rsid w:val="001B6EA0"/>
    <w:rsid w:val="001D022A"/>
    <w:rsid w:val="001D5BEC"/>
    <w:rsid w:val="001D6E4F"/>
    <w:rsid w:val="001E0DC0"/>
    <w:rsid w:val="001E45E2"/>
    <w:rsid w:val="00206873"/>
    <w:rsid w:val="00220781"/>
    <w:rsid w:val="002370FD"/>
    <w:rsid w:val="00247507"/>
    <w:rsid w:val="00247551"/>
    <w:rsid w:val="0025115C"/>
    <w:rsid w:val="0026225E"/>
    <w:rsid w:val="00263EAC"/>
    <w:rsid w:val="00263F7F"/>
    <w:rsid w:val="00270E0B"/>
    <w:rsid w:val="00272C85"/>
    <w:rsid w:val="00284109"/>
    <w:rsid w:val="002967F9"/>
    <w:rsid w:val="002C1438"/>
    <w:rsid w:val="002C1B7B"/>
    <w:rsid w:val="002D4308"/>
    <w:rsid w:val="002D5AC3"/>
    <w:rsid w:val="002E2218"/>
    <w:rsid w:val="002E256A"/>
    <w:rsid w:val="002F007A"/>
    <w:rsid w:val="002F1DAC"/>
    <w:rsid w:val="003000F6"/>
    <w:rsid w:val="00314746"/>
    <w:rsid w:val="00315673"/>
    <w:rsid w:val="00316A49"/>
    <w:rsid w:val="00322822"/>
    <w:rsid w:val="003421D7"/>
    <w:rsid w:val="00353C10"/>
    <w:rsid w:val="00371904"/>
    <w:rsid w:val="00387F13"/>
    <w:rsid w:val="003A0CC3"/>
    <w:rsid w:val="003A64B0"/>
    <w:rsid w:val="003A6551"/>
    <w:rsid w:val="003B02A8"/>
    <w:rsid w:val="003B7D8C"/>
    <w:rsid w:val="003E5B7E"/>
    <w:rsid w:val="003E6959"/>
    <w:rsid w:val="003E7E45"/>
    <w:rsid w:val="003F3DBC"/>
    <w:rsid w:val="00400721"/>
    <w:rsid w:val="00406287"/>
    <w:rsid w:val="0041514F"/>
    <w:rsid w:val="00426751"/>
    <w:rsid w:val="0043171B"/>
    <w:rsid w:val="004564BC"/>
    <w:rsid w:val="00465BD3"/>
    <w:rsid w:val="0047654F"/>
    <w:rsid w:val="004777F3"/>
    <w:rsid w:val="00481BAF"/>
    <w:rsid w:val="004850F3"/>
    <w:rsid w:val="004919B5"/>
    <w:rsid w:val="004A3178"/>
    <w:rsid w:val="004A46D3"/>
    <w:rsid w:val="004A508C"/>
    <w:rsid w:val="004B3BCF"/>
    <w:rsid w:val="004B3D27"/>
    <w:rsid w:val="004B699C"/>
    <w:rsid w:val="004B7C2F"/>
    <w:rsid w:val="004C4A60"/>
    <w:rsid w:val="004D1FDE"/>
    <w:rsid w:val="004D6413"/>
    <w:rsid w:val="004D72B5"/>
    <w:rsid w:val="004F3727"/>
    <w:rsid w:val="004F6954"/>
    <w:rsid w:val="00507CD8"/>
    <w:rsid w:val="00515FB6"/>
    <w:rsid w:val="005300FD"/>
    <w:rsid w:val="00542E7B"/>
    <w:rsid w:val="00543EF4"/>
    <w:rsid w:val="005578E3"/>
    <w:rsid w:val="00572173"/>
    <w:rsid w:val="005911F4"/>
    <w:rsid w:val="00594418"/>
    <w:rsid w:val="005A7CD1"/>
    <w:rsid w:val="005B0E16"/>
    <w:rsid w:val="005B1A77"/>
    <w:rsid w:val="005B7193"/>
    <w:rsid w:val="005E6FE1"/>
    <w:rsid w:val="005F13EB"/>
    <w:rsid w:val="00605911"/>
    <w:rsid w:val="00612B60"/>
    <w:rsid w:val="00617945"/>
    <w:rsid w:val="006247A8"/>
    <w:rsid w:val="00624CAE"/>
    <w:rsid w:val="00625573"/>
    <w:rsid w:val="00625ABD"/>
    <w:rsid w:val="006336CB"/>
    <w:rsid w:val="00634B00"/>
    <w:rsid w:val="00644B7B"/>
    <w:rsid w:val="00644BD6"/>
    <w:rsid w:val="00650432"/>
    <w:rsid w:val="00677982"/>
    <w:rsid w:val="00682179"/>
    <w:rsid w:val="006A0FF6"/>
    <w:rsid w:val="006B321E"/>
    <w:rsid w:val="006B6DC6"/>
    <w:rsid w:val="006D0326"/>
    <w:rsid w:val="006D3864"/>
    <w:rsid w:val="006D608F"/>
    <w:rsid w:val="00703528"/>
    <w:rsid w:val="00706DD6"/>
    <w:rsid w:val="007230AD"/>
    <w:rsid w:val="00732FE0"/>
    <w:rsid w:val="007449F1"/>
    <w:rsid w:val="00764C03"/>
    <w:rsid w:val="007679DB"/>
    <w:rsid w:val="00767A60"/>
    <w:rsid w:val="00797426"/>
    <w:rsid w:val="007E3B26"/>
    <w:rsid w:val="0080439A"/>
    <w:rsid w:val="00810311"/>
    <w:rsid w:val="00815EE2"/>
    <w:rsid w:val="008300CF"/>
    <w:rsid w:val="0084662A"/>
    <w:rsid w:val="0085025C"/>
    <w:rsid w:val="00852645"/>
    <w:rsid w:val="008651F0"/>
    <w:rsid w:val="00865AD0"/>
    <w:rsid w:val="00872981"/>
    <w:rsid w:val="00873D43"/>
    <w:rsid w:val="00886877"/>
    <w:rsid w:val="008874DB"/>
    <w:rsid w:val="008A541F"/>
    <w:rsid w:val="008A5BC6"/>
    <w:rsid w:val="008B3D2C"/>
    <w:rsid w:val="008B3FF4"/>
    <w:rsid w:val="008C058D"/>
    <w:rsid w:val="008C6CCF"/>
    <w:rsid w:val="008D61DA"/>
    <w:rsid w:val="008E299F"/>
    <w:rsid w:val="008F01AC"/>
    <w:rsid w:val="00910E48"/>
    <w:rsid w:val="00916CAB"/>
    <w:rsid w:val="0092169E"/>
    <w:rsid w:val="00923007"/>
    <w:rsid w:val="0093025C"/>
    <w:rsid w:val="00932C13"/>
    <w:rsid w:val="0093424A"/>
    <w:rsid w:val="00935CD6"/>
    <w:rsid w:val="00936C69"/>
    <w:rsid w:val="00941F6F"/>
    <w:rsid w:val="0095194F"/>
    <w:rsid w:val="009561C4"/>
    <w:rsid w:val="00975D62"/>
    <w:rsid w:val="009925B6"/>
    <w:rsid w:val="00997234"/>
    <w:rsid w:val="009C046C"/>
    <w:rsid w:val="009C1E27"/>
    <w:rsid w:val="009D3C4F"/>
    <w:rsid w:val="009D7CFA"/>
    <w:rsid w:val="009F2F73"/>
    <w:rsid w:val="009F3AA9"/>
    <w:rsid w:val="009F4522"/>
    <w:rsid w:val="009F7C44"/>
    <w:rsid w:val="00A07541"/>
    <w:rsid w:val="00A40429"/>
    <w:rsid w:val="00A57830"/>
    <w:rsid w:val="00A606A4"/>
    <w:rsid w:val="00A81382"/>
    <w:rsid w:val="00AA1DDC"/>
    <w:rsid w:val="00AA1ED4"/>
    <w:rsid w:val="00AA4A05"/>
    <w:rsid w:val="00AB5C2B"/>
    <w:rsid w:val="00AC019B"/>
    <w:rsid w:val="00AC3CA5"/>
    <w:rsid w:val="00AD7C1B"/>
    <w:rsid w:val="00AE6727"/>
    <w:rsid w:val="00B21386"/>
    <w:rsid w:val="00B22AC8"/>
    <w:rsid w:val="00B25CEC"/>
    <w:rsid w:val="00B30F31"/>
    <w:rsid w:val="00B4476D"/>
    <w:rsid w:val="00B462BF"/>
    <w:rsid w:val="00B540D7"/>
    <w:rsid w:val="00B60DF7"/>
    <w:rsid w:val="00B62192"/>
    <w:rsid w:val="00B67502"/>
    <w:rsid w:val="00B83514"/>
    <w:rsid w:val="00B87E36"/>
    <w:rsid w:val="00BA27AD"/>
    <w:rsid w:val="00BA4382"/>
    <w:rsid w:val="00BB1B54"/>
    <w:rsid w:val="00BB2866"/>
    <w:rsid w:val="00BB675B"/>
    <w:rsid w:val="00BD765E"/>
    <w:rsid w:val="00BE6A1E"/>
    <w:rsid w:val="00BF1C16"/>
    <w:rsid w:val="00BF3337"/>
    <w:rsid w:val="00BF551D"/>
    <w:rsid w:val="00C026A4"/>
    <w:rsid w:val="00C04003"/>
    <w:rsid w:val="00C104EE"/>
    <w:rsid w:val="00C17126"/>
    <w:rsid w:val="00C24FD7"/>
    <w:rsid w:val="00C25AB6"/>
    <w:rsid w:val="00C274BF"/>
    <w:rsid w:val="00C41B48"/>
    <w:rsid w:val="00C45F39"/>
    <w:rsid w:val="00C551B4"/>
    <w:rsid w:val="00C74310"/>
    <w:rsid w:val="00C7584F"/>
    <w:rsid w:val="00C9247C"/>
    <w:rsid w:val="00CA39C3"/>
    <w:rsid w:val="00CB32FE"/>
    <w:rsid w:val="00CC4334"/>
    <w:rsid w:val="00CE3F60"/>
    <w:rsid w:val="00CF5364"/>
    <w:rsid w:val="00CF74FB"/>
    <w:rsid w:val="00D00E83"/>
    <w:rsid w:val="00D21372"/>
    <w:rsid w:val="00D25E99"/>
    <w:rsid w:val="00D32798"/>
    <w:rsid w:val="00D41EE6"/>
    <w:rsid w:val="00D45A8B"/>
    <w:rsid w:val="00D714BA"/>
    <w:rsid w:val="00D844E2"/>
    <w:rsid w:val="00D856F6"/>
    <w:rsid w:val="00D978CC"/>
    <w:rsid w:val="00DA085E"/>
    <w:rsid w:val="00DA43EC"/>
    <w:rsid w:val="00DA7D47"/>
    <w:rsid w:val="00DC6720"/>
    <w:rsid w:val="00DD692E"/>
    <w:rsid w:val="00DE0179"/>
    <w:rsid w:val="00DF0800"/>
    <w:rsid w:val="00DF373D"/>
    <w:rsid w:val="00E068A7"/>
    <w:rsid w:val="00E32D72"/>
    <w:rsid w:val="00E4253D"/>
    <w:rsid w:val="00E51555"/>
    <w:rsid w:val="00E75B10"/>
    <w:rsid w:val="00E75E4A"/>
    <w:rsid w:val="00E87015"/>
    <w:rsid w:val="00E9273F"/>
    <w:rsid w:val="00E92C86"/>
    <w:rsid w:val="00E95CB9"/>
    <w:rsid w:val="00EA1FA1"/>
    <w:rsid w:val="00EB7A23"/>
    <w:rsid w:val="00EC1E62"/>
    <w:rsid w:val="00EF255D"/>
    <w:rsid w:val="00EF2D3F"/>
    <w:rsid w:val="00F00857"/>
    <w:rsid w:val="00F07279"/>
    <w:rsid w:val="00F468C7"/>
    <w:rsid w:val="00F64C59"/>
    <w:rsid w:val="00F751C1"/>
    <w:rsid w:val="00F86445"/>
    <w:rsid w:val="00F92FE2"/>
    <w:rsid w:val="00F947E2"/>
    <w:rsid w:val="00F968B6"/>
    <w:rsid w:val="00FA5460"/>
    <w:rsid w:val="00FC0FB2"/>
    <w:rsid w:val="00FC46B7"/>
    <w:rsid w:val="00FD0571"/>
    <w:rsid w:val="00FD19B3"/>
    <w:rsid w:val="00FD6F32"/>
    <w:rsid w:val="00FE2486"/>
    <w:rsid w:val="00FE55CD"/>
    <w:rsid w:val="00FE6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9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1DA"/>
    <w:pPr>
      <w:ind w:left="720"/>
      <w:contextualSpacing/>
    </w:pPr>
  </w:style>
  <w:style w:type="paragraph" w:styleId="Header">
    <w:name w:val="header"/>
    <w:basedOn w:val="Normal"/>
    <w:link w:val="HeaderChar"/>
    <w:uiPriority w:val="99"/>
    <w:unhideWhenUsed/>
    <w:rsid w:val="0008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2"/>
  </w:style>
  <w:style w:type="paragraph" w:styleId="Footer">
    <w:name w:val="footer"/>
    <w:basedOn w:val="Normal"/>
    <w:link w:val="FooterChar"/>
    <w:uiPriority w:val="99"/>
    <w:unhideWhenUsed/>
    <w:rsid w:val="00080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2"/>
  </w:style>
  <w:style w:type="table" w:styleId="TableGrid">
    <w:name w:val="Table Grid"/>
    <w:basedOn w:val="TableNormal"/>
    <w:uiPriority w:val="59"/>
    <w:rsid w:val="00E4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765E"/>
    <w:pPr>
      <w:spacing w:after="0" w:line="240" w:lineRule="auto"/>
    </w:pPr>
  </w:style>
  <w:style w:type="paragraph" w:styleId="FootnoteText">
    <w:name w:val="footnote text"/>
    <w:basedOn w:val="Normal"/>
    <w:link w:val="FootnoteTextChar"/>
    <w:uiPriority w:val="99"/>
    <w:semiHidden/>
    <w:unhideWhenUsed/>
    <w:rsid w:val="00BD76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65E"/>
    <w:rPr>
      <w:sz w:val="20"/>
      <w:szCs w:val="20"/>
    </w:rPr>
  </w:style>
  <w:style w:type="character" w:styleId="FootnoteReference">
    <w:name w:val="footnote reference"/>
    <w:basedOn w:val="DefaultParagraphFont"/>
    <w:uiPriority w:val="99"/>
    <w:semiHidden/>
    <w:unhideWhenUsed/>
    <w:rsid w:val="00BD765E"/>
    <w:rPr>
      <w:vertAlign w:val="superscript"/>
    </w:rPr>
  </w:style>
  <w:style w:type="character" w:styleId="Hyperlink">
    <w:name w:val="Hyperlink"/>
    <w:basedOn w:val="DefaultParagraphFont"/>
    <w:uiPriority w:val="99"/>
    <w:unhideWhenUsed/>
    <w:rsid w:val="004D1FDE"/>
    <w:rPr>
      <w:color w:val="0563C1" w:themeColor="hyperlink"/>
      <w:u w:val="single"/>
    </w:rPr>
  </w:style>
  <w:style w:type="character" w:customStyle="1" w:styleId="UnresolvedMention1">
    <w:name w:val="Unresolved Mention1"/>
    <w:basedOn w:val="DefaultParagraphFont"/>
    <w:uiPriority w:val="99"/>
    <w:semiHidden/>
    <w:unhideWhenUsed/>
    <w:rsid w:val="004D1FDE"/>
    <w:rPr>
      <w:color w:val="605E5C"/>
      <w:shd w:val="clear" w:color="auto" w:fill="E1DFDD"/>
    </w:rPr>
  </w:style>
  <w:style w:type="character" w:styleId="FollowedHyperlink">
    <w:name w:val="FollowedHyperlink"/>
    <w:basedOn w:val="DefaultParagraphFont"/>
    <w:uiPriority w:val="99"/>
    <w:semiHidden/>
    <w:unhideWhenUsed/>
    <w:rsid w:val="0007253A"/>
    <w:rPr>
      <w:color w:val="954F72" w:themeColor="followedHyperlink"/>
      <w:u w:val="single"/>
    </w:rPr>
  </w:style>
  <w:style w:type="paragraph" w:styleId="CommentText">
    <w:name w:val="annotation text"/>
    <w:basedOn w:val="Normal"/>
    <w:link w:val="CommentTextChar"/>
    <w:uiPriority w:val="99"/>
    <w:semiHidden/>
    <w:unhideWhenUsed/>
    <w:rsid w:val="00AC3CA5"/>
    <w:pPr>
      <w:spacing w:line="240" w:lineRule="auto"/>
    </w:pPr>
    <w:rPr>
      <w:sz w:val="20"/>
      <w:szCs w:val="20"/>
    </w:rPr>
  </w:style>
  <w:style w:type="character" w:customStyle="1" w:styleId="CommentTextChar">
    <w:name w:val="Comment Text Char"/>
    <w:basedOn w:val="DefaultParagraphFont"/>
    <w:link w:val="CommentText"/>
    <w:uiPriority w:val="99"/>
    <w:semiHidden/>
    <w:rsid w:val="00AC3CA5"/>
    <w:rPr>
      <w:sz w:val="20"/>
      <w:szCs w:val="20"/>
    </w:rPr>
  </w:style>
  <w:style w:type="character" w:styleId="CommentReference">
    <w:name w:val="annotation reference"/>
    <w:basedOn w:val="DefaultParagraphFont"/>
    <w:uiPriority w:val="99"/>
    <w:semiHidden/>
    <w:unhideWhenUsed/>
    <w:rsid w:val="00AC3CA5"/>
    <w:rPr>
      <w:sz w:val="16"/>
      <w:szCs w:val="16"/>
    </w:rPr>
  </w:style>
  <w:style w:type="paragraph" w:styleId="BalloonText">
    <w:name w:val="Balloon Text"/>
    <w:basedOn w:val="Normal"/>
    <w:link w:val="BalloonTextChar"/>
    <w:uiPriority w:val="99"/>
    <w:semiHidden/>
    <w:unhideWhenUsed/>
    <w:rsid w:val="00AC3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C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3177"/>
    <w:rPr>
      <w:b/>
      <w:bCs/>
    </w:rPr>
  </w:style>
  <w:style w:type="character" w:customStyle="1" w:styleId="CommentSubjectChar">
    <w:name w:val="Comment Subject Char"/>
    <w:basedOn w:val="CommentTextChar"/>
    <w:link w:val="CommentSubject"/>
    <w:uiPriority w:val="99"/>
    <w:semiHidden/>
    <w:rsid w:val="00193177"/>
    <w:rPr>
      <w:b/>
      <w:bCs/>
      <w:sz w:val="20"/>
      <w:szCs w:val="20"/>
    </w:rPr>
  </w:style>
  <w:style w:type="paragraph" w:styleId="Revision">
    <w:name w:val="Revision"/>
    <w:hidden/>
    <w:uiPriority w:val="99"/>
    <w:semiHidden/>
    <w:rsid w:val="006D38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1DA"/>
    <w:pPr>
      <w:ind w:left="720"/>
      <w:contextualSpacing/>
    </w:pPr>
  </w:style>
  <w:style w:type="paragraph" w:styleId="Header">
    <w:name w:val="header"/>
    <w:basedOn w:val="Normal"/>
    <w:link w:val="HeaderChar"/>
    <w:uiPriority w:val="99"/>
    <w:unhideWhenUsed/>
    <w:rsid w:val="0008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2"/>
  </w:style>
  <w:style w:type="paragraph" w:styleId="Footer">
    <w:name w:val="footer"/>
    <w:basedOn w:val="Normal"/>
    <w:link w:val="FooterChar"/>
    <w:uiPriority w:val="99"/>
    <w:unhideWhenUsed/>
    <w:rsid w:val="00080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2"/>
  </w:style>
  <w:style w:type="table" w:styleId="TableGrid">
    <w:name w:val="Table Grid"/>
    <w:basedOn w:val="TableNormal"/>
    <w:uiPriority w:val="59"/>
    <w:rsid w:val="00E4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765E"/>
    <w:pPr>
      <w:spacing w:after="0" w:line="240" w:lineRule="auto"/>
    </w:pPr>
  </w:style>
  <w:style w:type="paragraph" w:styleId="FootnoteText">
    <w:name w:val="footnote text"/>
    <w:basedOn w:val="Normal"/>
    <w:link w:val="FootnoteTextChar"/>
    <w:uiPriority w:val="99"/>
    <w:semiHidden/>
    <w:unhideWhenUsed/>
    <w:rsid w:val="00BD76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65E"/>
    <w:rPr>
      <w:sz w:val="20"/>
      <w:szCs w:val="20"/>
    </w:rPr>
  </w:style>
  <w:style w:type="character" w:styleId="FootnoteReference">
    <w:name w:val="footnote reference"/>
    <w:basedOn w:val="DefaultParagraphFont"/>
    <w:uiPriority w:val="99"/>
    <w:semiHidden/>
    <w:unhideWhenUsed/>
    <w:rsid w:val="00BD765E"/>
    <w:rPr>
      <w:vertAlign w:val="superscript"/>
    </w:rPr>
  </w:style>
  <w:style w:type="character" w:styleId="Hyperlink">
    <w:name w:val="Hyperlink"/>
    <w:basedOn w:val="DefaultParagraphFont"/>
    <w:uiPriority w:val="99"/>
    <w:unhideWhenUsed/>
    <w:rsid w:val="004D1FDE"/>
    <w:rPr>
      <w:color w:val="0563C1" w:themeColor="hyperlink"/>
      <w:u w:val="single"/>
    </w:rPr>
  </w:style>
  <w:style w:type="character" w:customStyle="1" w:styleId="UnresolvedMention1">
    <w:name w:val="Unresolved Mention1"/>
    <w:basedOn w:val="DefaultParagraphFont"/>
    <w:uiPriority w:val="99"/>
    <w:semiHidden/>
    <w:unhideWhenUsed/>
    <w:rsid w:val="004D1FDE"/>
    <w:rPr>
      <w:color w:val="605E5C"/>
      <w:shd w:val="clear" w:color="auto" w:fill="E1DFDD"/>
    </w:rPr>
  </w:style>
  <w:style w:type="character" w:styleId="FollowedHyperlink">
    <w:name w:val="FollowedHyperlink"/>
    <w:basedOn w:val="DefaultParagraphFont"/>
    <w:uiPriority w:val="99"/>
    <w:semiHidden/>
    <w:unhideWhenUsed/>
    <w:rsid w:val="0007253A"/>
    <w:rPr>
      <w:color w:val="954F72" w:themeColor="followedHyperlink"/>
      <w:u w:val="single"/>
    </w:rPr>
  </w:style>
  <w:style w:type="paragraph" w:styleId="CommentText">
    <w:name w:val="annotation text"/>
    <w:basedOn w:val="Normal"/>
    <w:link w:val="CommentTextChar"/>
    <w:uiPriority w:val="99"/>
    <w:semiHidden/>
    <w:unhideWhenUsed/>
    <w:rsid w:val="00AC3CA5"/>
    <w:pPr>
      <w:spacing w:line="240" w:lineRule="auto"/>
    </w:pPr>
    <w:rPr>
      <w:sz w:val="20"/>
      <w:szCs w:val="20"/>
    </w:rPr>
  </w:style>
  <w:style w:type="character" w:customStyle="1" w:styleId="CommentTextChar">
    <w:name w:val="Comment Text Char"/>
    <w:basedOn w:val="DefaultParagraphFont"/>
    <w:link w:val="CommentText"/>
    <w:uiPriority w:val="99"/>
    <w:semiHidden/>
    <w:rsid w:val="00AC3CA5"/>
    <w:rPr>
      <w:sz w:val="20"/>
      <w:szCs w:val="20"/>
    </w:rPr>
  </w:style>
  <w:style w:type="character" w:styleId="CommentReference">
    <w:name w:val="annotation reference"/>
    <w:basedOn w:val="DefaultParagraphFont"/>
    <w:uiPriority w:val="99"/>
    <w:semiHidden/>
    <w:unhideWhenUsed/>
    <w:rsid w:val="00AC3CA5"/>
    <w:rPr>
      <w:sz w:val="16"/>
      <w:szCs w:val="16"/>
    </w:rPr>
  </w:style>
  <w:style w:type="paragraph" w:styleId="BalloonText">
    <w:name w:val="Balloon Text"/>
    <w:basedOn w:val="Normal"/>
    <w:link w:val="BalloonTextChar"/>
    <w:uiPriority w:val="99"/>
    <w:semiHidden/>
    <w:unhideWhenUsed/>
    <w:rsid w:val="00AC3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C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3177"/>
    <w:rPr>
      <w:b/>
      <w:bCs/>
    </w:rPr>
  </w:style>
  <w:style w:type="character" w:customStyle="1" w:styleId="CommentSubjectChar">
    <w:name w:val="Comment Subject Char"/>
    <w:basedOn w:val="CommentTextChar"/>
    <w:link w:val="CommentSubject"/>
    <w:uiPriority w:val="99"/>
    <w:semiHidden/>
    <w:rsid w:val="00193177"/>
    <w:rPr>
      <w:b/>
      <w:bCs/>
      <w:sz w:val="20"/>
      <w:szCs w:val="20"/>
    </w:rPr>
  </w:style>
  <w:style w:type="paragraph" w:styleId="Revision">
    <w:name w:val="Revision"/>
    <w:hidden/>
    <w:uiPriority w:val="99"/>
    <w:semiHidden/>
    <w:rsid w:val="006D3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4A5E-F58F-43A4-A165-F0B5F37B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12261</Words>
  <Characters>69892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MacLeod</dc:creator>
  <cp:lastModifiedBy>Gabriel Cohen</cp:lastModifiedBy>
  <cp:revision>2</cp:revision>
  <cp:lastPrinted>2020-10-26T14:26:00Z</cp:lastPrinted>
  <dcterms:created xsi:type="dcterms:W3CDTF">2020-12-02T21:57:00Z</dcterms:created>
  <dcterms:modified xsi:type="dcterms:W3CDTF">2020-12-02T21:57:00Z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618bb43d-c242-3fe5-b444-bcad3b2408c8</vt:lpwstr>
  </property>
  <property fmtid="{D5CDD505-2E9C-101B-9397-08002B2CF9AE}" pid="24" name="Mendeley Citation Style_1">
    <vt:lpwstr>http://www.zotero.org/styles/apa</vt:lpwstr>
  </property>
</Properties>
</file>