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F7B0" w14:textId="77777777" w:rsidR="00704D08" w:rsidRPr="004654ED" w:rsidRDefault="00704D08" w:rsidP="00704D08">
      <w:pPr>
        <w:rPr>
          <w:rFonts w:ascii="Arial" w:hAnsi="Arial"/>
          <w:sz w:val="32"/>
          <w:szCs w:val="20"/>
        </w:rPr>
      </w:pPr>
      <w:r>
        <w:rPr>
          <w:rFonts w:ascii="LinePrinter" w:hAnsi="LinePrinter"/>
          <w:noProof/>
        </w:rPr>
        <w:drawing>
          <wp:inline distT="0" distB="0" distL="0" distR="0" wp14:anchorId="64F09B3E" wp14:editId="7D8083EB">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sidRPr="004654ED">
        <w:rPr>
          <w:rFonts w:ascii="Arial" w:hAnsi="Arial"/>
          <w:sz w:val="32"/>
          <w:szCs w:val="20"/>
        </w:rPr>
        <w:tab/>
        <w:t>The Commonwealth of Massachusetts</w:t>
      </w:r>
    </w:p>
    <w:p w14:paraId="5D79FC1E" w14:textId="77777777" w:rsidR="00704D08" w:rsidRPr="004654ED" w:rsidRDefault="00704D08" w:rsidP="00704D08">
      <w:pPr>
        <w:pStyle w:val="ExecOffice"/>
        <w:framePr w:w="0" w:hSpace="0" w:wrap="auto" w:vAnchor="margin" w:hAnchor="text" w:xAlign="left" w:yAlign="inline"/>
        <w:rPr>
          <w:sz w:val="24"/>
          <w:szCs w:val="18"/>
        </w:rPr>
      </w:pPr>
      <w:r w:rsidRPr="004654ED">
        <w:rPr>
          <w:sz w:val="24"/>
          <w:szCs w:val="18"/>
        </w:rPr>
        <w:t>Executive Office of Health and Human Services</w:t>
      </w:r>
    </w:p>
    <w:p w14:paraId="2BC9FB4B" w14:textId="77777777" w:rsidR="00704D08" w:rsidRPr="004654ED" w:rsidRDefault="00704D08" w:rsidP="00704D08">
      <w:pPr>
        <w:pStyle w:val="ExecOffice"/>
        <w:framePr w:w="0" w:hSpace="0" w:wrap="auto" w:vAnchor="margin" w:hAnchor="text" w:xAlign="left" w:yAlign="inline"/>
        <w:rPr>
          <w:sz w:val="24"/>
          <w:szCs w:val="18"/>
        </w:rPr>
      </w:pPr>
      <w:r w:rsidRPr="004654ED">
        <w:rPr>
          <w:sz w:val="24"/>
          <w:szCs w:val="18"/>
        </w:rPr>
        <w:t>Department of Public Health</w:t>
      </w:r>
    </w:p>
    <w:p w14:paraId="7EBA3167" w14:textId="77777777" w:rsidR="00704D08" w:rsidRPr="004654ED" w:rsidRDefault="00704D08" w:rsidP="00704D08">
      <w:pPr>
        <w:pStyle w:val="ExecOffice"/>
        <w:framePr w:w="0" w:hSpace="0" w:wrap="auto" w:vAnchor="margin" w:hAnchor="text" w:xAlign="left" w:yAlign="inline"/>
        <w:rPr>
          <w:sz w:val="24"/>
          <w:szCs w:val="18"/>
        </w:rPr>
      </w:pPr>
      <w:r w:rsidRPr="004654ED">
        <w:rPr>
          <w:sz w:val="24"/>
          <w:szCs w:val="18"/>
        </w:rPr>
        <w:t>250 Washington Street, Boston, MA 02108-4619</w:t>
      </w:r>
    </w:p>
    <w:p w14:paraId="38690094" w14:textId="77777777" w:rsidR="00704D08" w:rsidRPr="004654ED" w:rsidRDefault="00704D08" w:rsidP="00704D08">
      <w:pPr>
        <w:ind w:right="2790"/>
        <w:contextualSpacing/>
        <w:rPr>
          <w:rFonts w:ascii="Arial Rounded MT Bold" w:hAnsi="Arial Rounded MT Bold"/>
          <w:sz w:val="16"/>
          <w:szCs w:val="20"/>
        </w:rPr>
      </w:pPr>
    </w:p>
    <w:p w14:paraId="48062F5C" w14:textId="3609FE2E" w:rsidR="00704D08" w:rsidRPr="004654ED" w:rsidRDefault="00704D08" w:rsidP="002F79FA">
      <w:pPr>
        <w:spacing w:after="0" w:line="240" w:lineRule="auto"/>
        <w:ind w:right="2790"/>
        <w:contextualSpacing/>
        <w:rPr>
          <w:rFonts w:ascii="Arial Rounded MT Bold" w:hAnsi="Arial Rounded MT Bold"/>
          <w:sz w:val="16"/>
          <w:szCs w:val="20"/>
        </w:rPr>
        <w:sectPr w:rsidR="00704D08" w:rsidRPr="004654ED" w:rsidSect="006D765D">
          <w:headerReference w:type="even" r:id="rId8"/>
          <w:footerReference w:type="default" r:id="rId9"/>
          <w:headerReference w:type="first" r:id="rId10"/>
          <w:pgSz w:w="12240" w:h="15840"/>
          <w:pgMar w:top="90" w:right="1440" w:bottom="1440" w:left="1440" w:header="720" w:footer="720" w:gutter="0"/>
          <w:cols w:space="720"/>
          <w:docGrid w:linePitch="360"/>
        </w:sectPr>
      </w:pPr>
    </w:p>
    <w:p w14:paraId="147311D0" w14:textId="77777777" w:rsidR="00704D08" w:rsidRPr="004654ED" w:rsidRDefault="00704D08" w:rsidP="002F79FA">
      <w:pPr>
        <w:spacing w:after="0" w:line="240" w:lineRule="auto"/>
        <w:ind w:right="2340"/>
        <w:contextualSpacing/>
        <w:jc w:val="center"/>
        <w:rPr>
          <w:rFonts w:ascii="Arial Rounded MT Bold" w:hAnsi="Arial Rounded MT Bold"/>
          <w:sz w:val="16"/>
          <w:szCs w:val="20"/>
        </w:rPr>
      </w:pPr>
      <w:r w:rsidRPr="004654ED">
        <w:rPr>
          <w:rFonts w:ascii="Arial Rounded MT Bold" w:hAnsi="Arial Rounded MT Bold"/>
          <w:sz w:val="16"/>
          <w:szCs w:val="20"/>
        </w:rPr>
        <w:t>CHARLES D. BAKER</w:t>
      </w:r>
    </w:p>
    <w:p w14:paraId="1D7F029A" w14:textId="77777777" w:rsidR="00704D08" w:rsidRPr="004654ED" w:rsidRDefault="00704D08" w:rsidP="002F79FA">
      <w:pPr>
        <w:pStyle w:val="Weld"/>
        <w:framePr w:hSpace="0" w:wrap="auto" w:vAnchor="margin" w:hAnchor="text" w:xAlign="left" w:yAlign="inline"/>
        <w:ind w:right="2340"/>
        <w:rPr>
          <w:sz w:val="14"/>
          <w:szCs w:val="18"/>
        </w:rPr>
      </w:pPr>
      <w:r w:rsidRPr="004654ED">
        <w:rPr>
          <w:sz w:val="14"/>
          <w:szCs w:val="18"/>
        </w:rPr>
        <w:t>Governor</w:t>
      </w:r>
    </w:p>
    <w:p w14:paraId="2C937D9A" w14:textId="77777777" w:rsidR="00704D08" w:rsidRPr="004654ED" w:rsidRDefault="00704D08" w:rsidP="002F79FA">
      <w:pPr>
        <w:spacing w:after="0" w:line="240" w:lineRule="auto"/>
        <w:ind w:right="2340"/>
        <w:contextualSpacing/>
        <w:jc w:val="center"/>
        <w:rPr>
          <w:sz w:val="14"/>
          <w:szCs w:val="20"/>
        </w:rPr>
      </w:pPr>
    </w:p>
    <w:p w14:paraId="31464481" w14:textId="77777777" w:rsidR="00704D08" w:rsidRPr="004654ED" w:rsidRDefault="00704D08" w:rsidP="002F79FA">
      <w:pPr>
        <w:spacing w:after="0" w:line="240" w:lineRule="auto"/>
        <w:ind w:right="2340"/>
        <w:contextualSpacing/>
        <w:jc w:val="center"/>
        <w:rPr>
          <w:rFonts w:ascii="Arial Rounded MT Bold" w:hAnsi="Arial Rounded MT Bold"/>
          <w:sz w:val="16"/>
          <w:szCs w:val="20"/>
        </w:rPr>
      </w:pPr>
      <w:r w:rsidRPr="004654ED">
        <w:rPr>
          <w:rFonts w:ascii="Arial Rounded MT Bold" w:hAnsi="Arial Rounded MT Bold"/>
          <w:sz w:val="16"/>
          <w:szCs w:val="20"/>
        </w:rPr>
        <w:t>KARYN E. POLITO</w:t>
      </w:r>
    </w:p>
    <w:p w14:paraId="6FBECE3F" w14:textId="77777777" w:rsidR="00704D08" w:rsidRPr="004654ED" w:rsidRDefault="00704D08" w:rsidP="002F79FA">
      <w:pPr>
        <w:pStyle w:val="Weld"/>
        <w:framePr w:hSpace="0" w:wrap="auto" w:vAnchor="margin" w:hAnchor="text" w:xAlign="left" w:yAlign="inline"/>
        <w:ind w:right="2340"/>
        <w:rPr>
          <w:rFonts w:ascii="Calibri" w:hAnsi="Calibri" w:cs="Calibri"/>
          <w:sz w:val="14"/>
          <w:szCs w:val="22"/>
        </w:rPr>
      </w:pPr>
      <w:r w:rsidRPr="004654ED">
        <w:rPr>
          <w:sz w:val="14"/>
          <w:szCs w:val="18"/>
        </w:rPr>
        <w:t>Lieutenant Governor</w:t>
      </w:r>
    </w:p>
    <w:p w14:paraId="05FB285F" w14:textId="77777777" w:rsidR="00704D08" w:rsidRPr="004654ED" w:rsidRDefault="00704D08" w:rsidP="002F79FA">
      <w:pPr>
        <w:pStyle w:val="Weld"/>
        <w:framePr w:hSpace="0" w:wrap="auto" w:vAnchor="margin" w:hAnchor="text" w:xAlign="left" w:yAlign="inline"/>
        <w:ind w:right="2340"/>
        <w:jc w:val="left"/>
        <w:rPr>
          <w:sz w:val="14"/>
          <w:szCs w:val="18"/>
        </w:rPr>
      </w:pPr>
    </w:p>
    <w:p w14:paraId="0F488421" w14:textId="77777777" w:rsidR="00704D08" w:rsidRPr="004654ED" w:rsidRDefault="00704D08" w:rsidP="002F79FA">
      <w:pPr>
        <w:pStyle w:val="Weld"/>
        <w:framePr w:hSpace="0" w:wrap="auto" w:vAnchor="margin" w:hAnchor="text" w:xAlign="left" w:yAlign="inline"/>
        <w:ind w:right="2340"/>
        <w:jc w:val="left"/>
        <w:rPr>
          <w:sz w:val="14"/>
          <w:szCs w:val="18"/>
        </w:rPr>
      </w:pPr>
    </w:p>
    <w:p w14:paraId="15A28DCF" w14:textId="77777777" w:rsidR="00704D08" w:rsidRPr="004654ED" w:rsidRDefault="00704D08" w:rsidP="002F79FA">
      <w:pPr>
        <w:spacing w:after="0" w:line="240" w:lineRule="auto"/>
        <w:ind w:left="1980"/>
        <w:contextualSpacing/>
        <w:jc w:val="center"/>
        <w:rPr>
          <w:rFonts w:ascii="Arial Rounded MT Bold" w:hAnsi="Arial Rounded MT Bold"/>
          <w:sz w:val="16"/>
          <w:szCs w:val="20"/>
        </w:rPr>
      </w:pPr>
      <w:r w:rsidRPr="004654ED">
        <w:rPr>
          <w:rFonts w:ascii="Arial Rounded MT Bold" w:hAnsi="Arial Rounded MT Bold"/>
          <w:sz w:val="16"/>
          <w:szCs w:val="20"/>
        </w:rPr>
        <w:t>MARYLOU SUDDERS</w:t>
      </w:r>
    </w:p>
    <w:p w14:paraId="1826FC78" w14:textId="77777777" w:rsidR="00704D08" w:rsidRPr="004654ED" w:rsidRDefault="00704D08" w:rsidP="002F79FA">
      <w:pPr>
        <w:pStyle w:val="Weld"/>
        <w:framePr w:hSpace="0" w:wrap="auto" w:vAnchor="margin" w:hAnchor="text" w:xAlign="left" w:yAlign="inline"/>
        <w:ind w:left="1980"/>
        <w:rPr>
          <w:sz w:val="14"/>
          <w:szCs w:val="18"/>
        </w:rPr>
      </w:pPr>
      <w:r w:rsidRPr="004654ED">
        <w:rPr>
          <w:sz w:val="14"/>
          <w:szCs w:val="18"/>
        </w:rPr>
        <w:t>Secretary</w:t>
      </w:r>
    </w:p>
    <w:p w14:paraId="2AB038E6" w14:textId="77777777" w:rsidR="00704D08" w:rsidRPr="004654ED" w:rsidRDefault="00704D08" w:rsidP="002F79FA">
      <w:pPr>
        <w:pStyle w:val="Weld"/>
        <w:framePr w:hSpace="0" w:wrap="auto" w:vAnchor="margin" w:hAnchor="text" w:xAlign="left" w:yAlign="inline"/>
        <w:ind w:left="1980"/>
        <w:rPr>
          <w:sz w:val="14"/>
          <w:szCs w:val="18"/>
        </w:rPr>
      </w:pPr>
    </w:p>
    <w:p w14:paraId="458396F6" w14:textId="77777777" w:rsidR="00704D08" w:rsidRPr="004654ED" w:rsidRDefault="00704D08" w:rsidP="002F79FA">
      <w:pPr>
        <w:spacing w:after="0" w:line="240" w:lineRule="auto"/>
        <w:ind w:left="1980"/>
        <w:contextualSpacing/>
        <w:jc w:val="center"/>
        <w:rPr>
          <w:sz w:val="20"/>
          <w:szCs w:val="14"/>
        </w:rPr>
      </w:pPr>
      <w:r w:rsidRPr="004654ED">
        <w:rPr>
          <w:rFonts w:ascii="Arial Rounded MT Bold" w:hAnsi="Arial Rounded MT Bold"/>
          <w:sz w:val="16"/>
          <w:szCs w:val="20"/>
        </w:rPr>
        <w:t>MARGRET R. COOKE</w:t>
      </w:r>
    </w:p>
    <w:p w14:paraId="6443392D" w14:textId="77777777" w:rsidR="00704D08" w:rsidRPr="004654ED" w:rsidRDefault="00704D08" w:rsidP="002F79FA">
      <w:pPr>
        <w:pStyle w:val="Weld"/>
        <w:framePr w:hSpace="0" w:wrap="auto" w:vAnchor="margin" w:hAnchor="text" w:xAlign="left" w:yAlign="inline"/>
        <w:ind w:left="1980"/>
        <w:rPr>
          <w:sz w:val="14"/>
          <w:szCs w:val="18"/>
        </w:rPr>
      </w:pPr>
      <w:r w:rsidRPr="004654ED">
        <w:rPr>
          <w:sz w:val="14"/>
          <w:szCs w:val="12"/>
        </w:rPr>
        <w:t>Commissioner</w:t>
      </w:r>
    </w:p>
    <w:p w14:paraId="01F55D13" w14:textId="77777777" w:rsidR="00704D08" w:rsidRPr="004654ED" w:rsidRDefault="00704D08" w:rsidP="002F79FA">
      <w:pPr>
        <w:pStyle w:val="Governor"/>
        <w:framePr w:hSpace="0" w:wrap="auto" w:vAnchor="margin" w:hAnchor="text" w:xAlign="left" w:yAlign="inline"/>
        <w:spacing w:after="0"/>
        <w:ind w:left="1980"/>
        <w:rPr>
          <w:rFonts w:ascii="Arial" w:hAnsi="Arial" w:cs="Arial"/>
          <w:b/>
          <w:sz w:val="12"/>
          <w:szCs w:val="12"/>
        </w:rPr>
      </w:pPr>
    </w:p>
    <w:p w14:paraId="3D0060B1" w14:textId="77777777" w:rsidR="00704D08" w:rsidRPr="004654ED" w:rsidRDefault="00704D08" w:rsidP="002F79FA">
      <w:pPr>
        <w:pStyle w:val="Governor"/>
        <w:framePr w:hSpace="0" w:wrap="auto" w:vAnchor="margin" w:hAnchor="text" w:xAlign="left" w:yAlign="inline"/>
        <w:spacing w:after="0"/>
        <w:ind w:left="1980"/>
        <w:rPr>
          <w:rFonts w:ascii="Arial" w:hAnsi="Arial" w:cs="Arial"/>
          <w:b/>
          <w:sz w:val="12"/>
          <w:szCs w:val="12"/>
        </w:rPr>
      </w:pPr>
      <w:r w:rsidRPr="004654ED">
        <w:rPr>
          <w:rFonts w:ascii="Arial" w:hAnsi="Arial" w:cs="Arial"/>
          <w:b/>
          <w:sz w:val="12"/>
          <w:szCs w:val="12"/>
        </w:rPr>
        <w:t>Tel: 617-624-6000</w:t>
      </w:r>
    </w:p>
    <w:p w14:paraId="528A4862" w14:textId="77777777" w:rsidR="00704D08" w:rsidRPr="004654ED" w:rsidRDefault="00EB5BA1" w:rsidP="002F79FA">
      <w:pPr>
        <w:pStyle w:val="Governor"/>
        <w:framePr w:hSpace="0" w:wrap="auto" w:vAnchor="margin" w:hAnchor="text" w:xAlign="left" w:yAlign="inline"/>
        <w:spacing w:after="0"/>
        <w:ind w:left="1980"/>
        <w:rPr>
          <w:szCs w:val="18"/>
        </w:rPr>
      </w:pPr>
      <w:hyperlink r:id="rId11" w:history="1">
        <w:r w:rsidR="00704D08" w:rsidRPr="004654ED">
          <w:rPr>
            <w:rStyle w:val="Hyperlink"/>
            <w:rFonts w:ascii="Arial" w:hAnsi="Arial" w:cs="Arial"/>
            <w:b/>
            <w:sz w:val="12"/>
            <w:szCs w:val="12"/>
            <w:lang w:val="fr-FR"/>
          </w:rPr>
          <w:t>www.mass.gov/dph</w:t>
        </w:r>
      </w:hyperlink>
    </w:p>
    <w:p w14:paraId="1E07BF88" w14:textId="77777777" w:rsidR="00704D08" w:rsidRDefault="00704D08" w:rsidP="00704D08">
      <w:pPr>
        <w:ind w:right="2340"/>
        <w:sectPr w:rsidR="00704D08" w:rsidSect="005B14DC">
          <w:type w:val="continuous"/>
          <w:pgSz w:w="12240" w:h="15840"/>
          <w:pgMar w:top="1440" w:right="1440" w:bottom="1440" w:left="1440" w:header="720" w:footer="720" w:gutter="0"/>
          <w:cols w:num="2" w:space="720"/>
          <w:docGrid w:linePitch="360"/>
        </w:sectPr>
      </w:pPr>
    </w:p>
    <w:p w14:paraId="6D284B7B" w14:textId="77777777" w:rsidR="006D765D" w:rsidRDefault="006D765D" w:rsidP="006D765D">
      <w:pPr>
        <w:spacing w:after="0" w:line="240" w:lineRule="auto"/>
        <w:rPr>
          <w:rFonts w:ascii="Calibri" w:eastAsia="Calibri" w:hAnsi="Calibri" w:cs="Calibri"/>
          <w:szCs w:val="24"/>
        </w:rPr>
      </w:pPr>
    </w:p>
    <w:p w14:paraId="0AA571FF" w14:textId="30274254" w:rsidR="00704D08" w:rsidRPr="004934D9"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 xml:space="preserve">DATE: </w:t>
      </w:r>
      <w:r w:rsidRPr="00D75EE1">
        <w:rPr>
          <w:rFonts w:ascii="Calibri" w:eastAsia="Calibri" w:hAnsi="Calibri" w:cs="Calibri"/>
          <w:szCs w:val="24"/>
        </w:rPr>
        <w:t>July 2</w:t>
      </w:r>
      <w:r>
        <w:rPr>
          <w:rFonts w:ascii="Calibri" w:eastAsia="Calibri" w:hAnsi="Calibri" w:cs="Calibri"/>
          <w:szCs w:val="24"/>
        </w:rPr>
        <w:t>1</w:t>
      </w:r>
      <w:r w:rsidRPr="00D75EE1">
        <w:rPr>
          <w:rFonts w:ascii="Calibri" w:eastAsia="Calibri" w:hAnsi="Calibri" w:cs="Calibri"/>
          <w:szCs w:val="24"/>
        </w:rPr>
        <w:t>, 2022</w:t>
      </w:r>
      <w:r w:rsidRPr="004934D9">
        <w:rPr>
          <w:rFonts w:ascii="Calibri" w:eastAsia="Calibri" w:hAnsi="Calibri" w:cs="Calibri"/>
          <w:szCs w:val="24"/>
        </w:rPr>
        <w:t xml:space="preserve"> </w:t>
      </w:r>
    </w:p>
    <w:p w14:paraId="0812F7DE" w14:textId="77777777" w:rsidR="00704D08" w:rsidRPr="004934D9" w:rsidRDefault="00704D08" w:rsidP="006D765D">
      <w:pPr>
        <w:spacing w:after="0" w:line="240" w:lineRule="auto"/>
        <w:rPr>
          <w:rFonts w:ascii="Calibri" w:eastAsia="Calibri" w:hAnsi="Calibri" w:cs="Calibri"/>
          <w:szCs w:val="24"/>
        </w:rPr>
      </w:pPr>
    </w:p>
    <w:p w14:paraId="5ABBA3EA" w14:textId="77777777" w:rsidR="00704D08" w:rsidRPr="004934D9"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Kathleen Harrell, Esq.</w:t>
      </w:r>
    </w:p>
    <w:p w14:paraId="6B8C1E8C" w14:textId="77777777" w:rsidR="00704D08" w:rsidRPr="004934D9"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10 Overlook Circle</w:t>
      </w:r>
    </w:p>
    <w:p w14:paraId="797CD931" w14:textId="77777777" w:rsidR="00704D08" w:rsidRPr="004934D9"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Plymouth, Massachusetts, 02360</w:t>
      </w:r>
    </w:p>
    <w:p w14:paraId="45A52237" w14:textId="77777777" w:rsidR="00704D08" w:rsidRPr="004934D9" w:rsidRDefault="00704D08" w:rsidP="006D765D">
      <w:pPr>
        <w:spacing w:after="0" w:line="240" w:lineRule="auto"/>
        <w:rPr>
          <w:rFonts w:ascii="Calibri" w:eastAsia="Calibri" w:hAnsi="Calibri" w:cs="Calibri"/>
          <w:szCs w:val="24"/>
        </w:rPr>
      </w:pPr>
    </w:p>
    <w:p w14:paraId="6B1E63BB" w14:textId="2609E6FC" w:rsidR="00704D08"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 xml:space="preserve">VIA EMAIL: </w:t>
      </w:r>
      <w:hyperlink r:id="rId12" w:history="1">
        <w:r w:rsidR="006D765D" w:rsidRPr="007774A5">
          <w:rPr>
            <w:rStyle w:val="Hyperlink"/>
            <w:rFonts w:ascii="Calibri" w:eastAsia="Calibri" w:hAnsi="Calibri" w:cs="Calibri"/>
            <w:szCs w:val="24"/>
          </w:rPr>
          <w:t>kharrell@barrettharrell.com</w:t>
        </w:r>
      </w:hyperlink>
    </w:p>
    <w:p w14:paraId="4FD5144C" w14:textId="77777777" w:rsidR="006D765D" w:rsidRPr="004934D9" w:rsidRDefault="006D765D" w:rsidP="006D765D">
      <w:pPr>
        <w:spacing w:after="0" w:line="240" w:lineRule="auto"/>
        <w:rPr>
          <w:rFonts w:ascii="Calibri" w:eastAsia="Calibri" w:hAnsi="Calibri" w:cs="Calibri"/>
          <w:szCs w:val="24"/>
        </w:rPr>
      </w:pPr>
    </w:p>
    <w:p w14:paraId="07E4EF47" w14:textId="64EF0D30" w:rsidR="00704D08"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RE: Boston Medical Center— Notice of Transfer of Site Application # BMCHS-22062406-TS</w:t>
      </w:r>
    </w:p>
    <w:p w14:paraId="41D9DAC1" w14:textId="77777777" w:rsidR="006D765D" w:rsidRPr="004934D9" w:rsidRDefault="006D765D" w:rsidP="006D765D">
      <w:pPr>
        <w:spacing w:after="0" w:line="240" w:lineRule="auto"/>
        <w:rPr>
          <w:rFonts w:ascii="Calibri" w:eastAsia="Calibri" w:hAnsi="Calibri" w:cs="Calibri"/>
          <w:szCs w:val="24"/>
        </w:rPr>
      </w:pPr>
    </w:p>
    <w:p w14:paraId="74BC3175" w14:textId="5DAA02AA" w:rsidR="00704D08" w:rsidRDefault="00704D08" w:rsidP="006D765D">
      <w:pPr>
        <w:spacing w:after="0" w:line="240" w:lineRule="auto"/>
        <w:rPr>
          <w:rFonts w:ascii="Calibri" w:eastAsia="Calibri" w:hAnsi="Calibri" w:cs="Calibri"/>
          <w:szCs w:val="24"/>
        </w:rPr>
      </w:pPr>
      <w:r w:rsidRPr="004934D9">
        <w:rPr>
          <w:rFonts w:ascii="Calibri" w:eastAsia="Calibri" w:hAnsi="Calibri" w:cs="Calibri"/>
          <w:szCs w:val="24"/>
        </w:rPr>
        <w:t>Dear Ms. Harrell,</w:t>
      </w:r>
    </w:p>
    <w:p w14:paraId="5E352AD1" w14:textId="77777777" w:rsidR="006D765D" w:rsidRPr="004934D9" w:rsidRDefault="006D765D" w:rsidP="006D765D">
      <w:pPr>
        <w:spacing w:after="0" w:line="240" w:lineRule="auto"/>
        <w:rPr>
          <w:rFonts w:ascii="Calibri" w:eastAsia="Calibri" w:hAnsi="Calibri" w:cs="Calibri"/>
          <w:szCs w:val="24"/>
        </w:rPr>
      </w:pPr>
    </w:p>
    <w:p w14:paraId="72C25E52"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We are in receipt of the above-referenced Notice and its accompanying attachments, dated June</w:t>
      </w:r>
      <w:r>
        <w:rPr>
          <w:rFonts w:ascii="Calibri" w:eastAsia="Calibri" w:hAnsi="Calibri" w:cs="Calibri"/>
          <w:szCs w:val="24"/>
        </w:rPr>
        <w:t xml:space="preserve"> 24, </w:t>
      </w:r>
      <w:r w:rsidRPr="004934D9">
        <w:rPr>
          <w:rFonts w:ascii="Calibri" w:eastAsia="Calibri" w:hAnsi="Calibri" w:cs="Calibri"/>
          <w:szCs w:val="24"/>
        </w:rPr>
        <w:t xml:space="preserve">2022, wherein Boston Medical Center (BMC) provided notice to the Department of Public Health (the Department) in accordance with 105 CMR 100.745 for a proposed transfer of site of two outpatient services from various locations </w:t>
      </w:r>
      <w:r>
        <w:rPr>
          <w:rFonts w:ascii="Calibri" w:eastAsia="Calibri" w:hAnsi="Calibri" w:cs="Calibri"/>
          <w:szCs w:val="24"/>
        </w:rPr>
        <w:t xml:space="preserve">adjacent to and </w:t>
      </w:r>
      <w:r w:rsidRPr="004934D9">
        <w:rPr>
          <w:rFonts w:ascii="Calibri" w:eastAsia="Calibri" w:hAnsi="Calibri" w:cs="Calibri"/>
          <w:szCs w:val="24"/>
        </w:rPr>
        <w:t>within the main hospital as described below.</w:t>
      </w:r>
    </w:p>
    <w:p w14:paraId="25A963B4"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BMC has complied with the requirements of Notice and has provided information sufficient to allow the Department to make a finding that the proposed transaction will neither result in a Substantial Capital Expenditure nor Substantial Change in Service, and thus will not first require a Notice of Determination of Need (</w:t>
      </w:r>
      <w:proofErr w:type="spellStart"/>
      <w:r w:rsidRPr="004934D9">
        <w:rPr>
          <w:rFonts w:ascii="Calibri" w:eastAsia="Calibri" w:hAnsi="Calibri" w:cs="Calibri"/>
          <w:szCs w:val="24"/>
        </w:rPr>
        <w:t>DoN</w:t>
      </w:r>
      <w:proofErr w:type="spellEnd"/>
      <w:r w:rsidRPr="004934D9">
        <w:rPr>
          <w:rFonts w:ascii="Calibri" w:eastAsia="Calibri" w:hAnsi="Calibri" w:cs="Calibri"/>
          <w:szCs w:val="24"/>
        </w:rPr>
        <w:t>).</w:t>
      </w:r>
    </w:p>
    <w:p w14:paraId="6E62CA3A" w14:textId="77777777" w:rsidR="00704D08" w:rsidRPr="004934D9" w:rsidRDefault="00704D08" w:rsidP="00704D08">
      <w:pPr>
        <w:rPr>
          <w:rFonts w:ascii="Calibri" w:eastAsia="Calibri" w:hAnsi="Calibri" w:cs="Calibri"/>
          <w:szCs w:val="24"/>
        </w:rPr>
      </w:pPr>
      <w:bookmarkStart w:id="0" w:name="_Hlk109209025"/>
      <w:r w:rsidRPr="004934D9">
        <w:rPr>
          <w:rFonts w:ascii="Calibri" w:eastAsia="Calibri" w:hAnsi="Calibri" w:cs="Calibri"/>
          <w:szCs w:val="24"/>
        </w:rPr>
        <w:t xml:space="preserve">The proposed transfer of site involves several of BMC’s services: </w:t>
      </w:r>
    </w:p>
    <w:p w14:paraId="1EC0067F" w14:textId="7DE29E52" w:rsidR="00704D08" w:rsidRPr="004934D9" w:rsidRDefault="00704D08" w:rsidP="00704D08">
      <w:pPr>
        <w:rPr>
          <w:rFonts w:ascii="Calibri" w:eastAsia="Calibri" w:hAnsi="Calibri" w:cs="Calibri"/>
          <w:szCs w:val="24"/>
        </w:rPr>
      </w:pPr>
      <w:r w:rsidRPr="004934D9">
        <w:rPr>
          <w:rFonts w:ascii="Calibri" w:eastAsia="Calibri" w:hAnsi="Calibri" w:cs="Calibri"/>
          <w:szCs w:val="24"/>
        </w:rPr>
        <w:t>(1) Transfer of Site of outpatient physical therapy (PT) and occupational therapy (OT)</w:t>
      </w:r>
      <w:r w:rsidR="006D765D">
        <w:rPr>
          <w:rFonts w:ascii="Calibri" w:eastAsia="Calibri" w:hAnsi="Calibri" w:cs="Calibri"/>
          <w:szCs w:val="24"/>
        </w:rPr>
        <w:t xml:space="preserve"> </w:t>
      </w:r>
      <w:r w:rsidRPr="004934D9">
        <w:rPr>
          <w:rFonts w:ascii="Calibri" w:eastAsia="Calibri" w:hAnsi="Calibri" w:cs="Calibri"/>
          <w:szCs w:val="24"/>
        </w:rPr>
        <w:t>services from BMC’s main hospital in the Preston Family Building,</w:t>
      </w:r>
      <w:r w:rsidRPr="004934D9">
        <w:rPr>
          <w:rFonts w:ascii="Calibri" w:eastAsia="Calibri" w:hAnsi="Calibri" w:cs="Calibri"/>
          <w:szCs w:val="24"/>
          <w:vertAlign w:val="superscript"/>
        </w:rPr>
        <w:footnoteReference w:id="1"/>
      </w:r>
      <w:r w:rsidRPr="004934D9">
        <w:rPr>
          <w:rFonts w:ascii="Calibri" w:eastAsia="Calibri" w:hAnsi="Calibri" w:cs="Calibri"/>
          <w:szCs w:val="24"/>
        </w:rPr>
        <w:t xml:space="preserve"> to a new South Bay Satellite (“Proposed South Bay Project”) at 39B District Avenue, Dorchester, MA 02125</w:t>
      </w:r>
      <w:r>
        <w:rPr>
          <w:rFonts w:ascii="Calibri" w:eastAsia="Calibri" w:hAnsi="Calibri" w:cs="Calibri"/>
          <w:szCs w:val="24"/>
        </w:rPr>
        <w:t>.</w:t>
      </w:r>
    </w:p>
    <w:p w14:paraId="0C581F78" w14:textId="15F2D89D" w:rsidR="00704D08" w:rsidRPr="004934D9" w:rsidRDefault="00704D08" w:rsidP="00704D08">
      <w:pPr>
        <w:rPr>
          <w:rFonts w:ascii="Calibri" w:eastAsia="Calibri" w:hAnsi="Calibri" w:cs="Calibri"/>
          <w:szCs w:val="24"/>
        </w:rPr>
      </w:pPr>
      <w:r w:rsidRPr="004934D9">
        <w:rPr>
          <w:rFonts w:ascii="Calibri" w:eastAsia="Calibri" w:hAnsi="Calibri" w:cs="Calibri"/>
          <w:szCs w:val="24"/>
        </w:rPr>
        <w:t>(2) Transfer of Site of outpatient pediatric primary care, pediatric psychiatry, adolescent</w:t>
      </w:r>
      <w:r w:rsidR="004654ED">
        <w:rPr>
          <w:rFonts w:ascii="Calibri" w:eastAsia="Calibri" w:hAnsi="Calibri" w:cs="Calibri"/>
          <w:szCs w:val="24"/>
        </w:rPr>
        <w:t xml:space="preserve"> </w:t>
      </w:r>
      <w:r w:rsidRPr="004934D9">
        <w:rPr>
          <w:rFonts w:ascii="Calibri" w:eastAsia="Calibri" w:hAnsi="Calibri" w:cs="Calibri"/>
          <w:szCs w:val="24"/>
        </w:rPr>
        <w:t>primary care, and STAR (Services for Trauma and Resources for families) unit services</w:t>
      </w:r>
      <w:r w:rsidR="004654ED">
        <w:rPr>
          <w:rFonts w:ascii="Calibri" w:eastAsia="Calibri" w:hAnsi="Calibri" w:cs="Calibri"/>
          <w:szCs w:val="24"/>
        </w:rPr>
        <w:t xml:space="preserve"> </w:t>
      </w:r>
      <w:r w:rsidRPr="004934D9">
        <w:rPr>
          <w:rFonts w:ascii="Calibri" w:eastAsia="Calibri" w:hAnsi="Calibri" w:cs="Calibri"/>
          <w:szCs w:val="24"/>
        </w:rPr>
        <w:t xml:space="preserve">from BMC’s main hospital </w:t>
      </w:r>
      <w:proofErr w:type="spellStart"/>
      <w:r w:rsidRPr="004934D9">
        <w:rPr>
          <w:rFonts w:ascii="Calibri" w:eastAsia="Calibri" w:hAnsi="Calibri" w:cs="Calibri"/>
          <w:szCs w:val="24"/>
        </w:rPr>
        <w:t>Yawkey</w:t>
      </w:r>
      <w:proofErr w:type="spellEnd"/>
      <w:r w:rsidRPr="004934D9">
        <w:rPr>
          <w:rFonts w:ascii="Calibri" w:eastAsia="Calibri" w:hAnsi="Calibri" w:cs="Calibri"/>
          <w:szCs w:val="24"/>
        </w:rPr>
        <w:t xml:space="preserve"> Building, pediatric neurology services from BMC’s main hospital Shapiro Building,</w:t>
      </w:r>
      <w:r w:rsidRPr="004934D9">
        <w:rPr>
          <w:rFonts w:ascii="Calibri" w:eastAsia="Calibri" w:hAnsi="Calibri" w:cs="Calibri"/>
          <w:szCs w:val="24"/>
          <w:vertAlign w:val="superscript"/>
        </w:rPr>
        <w:footnoteReference w:id="2"/>
      </w:r>
      <w:r w:rsidRPr="004934D9">
        <w:rPr>
          <w:rFonts w:ascii="Calibri" w:eastAsia="Calibri" w:hAnsi="Calibri" w:cs="Calibri"/>
          <w:szCs w:val="24"/>
        </w:rPr>
        <w:t xml:space="preserve"> to BMC’s</w:t>
      </w:r>
      <w:r w:rsidR="004654ED">
        <w:rPr>
          <w:rFonts w:ascii="Calibri" w:eastAsia="Calibri" w:hAnsi="Calibri" w:cs="Calibri"/>
          <w:szCs w:val="24"/>
        </w:rPr>
        <w:t xml:space="preserve"> </w:t>
      </w:r>
      <w:r w:rsidRPr="004934D9">
        <w:rPr>
          <w:rFonts w:ascii="Calibri" w:eastAsia="Calibri" w:hAnsi="Calibri" w:cs="Calibri"/>
          <w:szCs w:val="24"/>
        </w:rPr>
        <w:lastRenderedPageBreak/>
        <w:t>Crosstown Satellite (“Proposed Crosstown Project”) located at 801 Massachusetts Avenue, Boston, MA 02118.</w:t>
      </w:r>
      <w:bookmarkEnd w:id="0"/>
    </w:p>
    <w:p w14:paraId="2BBBEA94" w14:textId="77777777" w:rsidR="00704D08" w:rsidRDefault="00704D08" w:rsidP="00704D08">
      <w:pPr>
        <w:keepNext/>
        <w:keepLines/>
        <w:spacing w:before="40"/>
        <w:outlineLvl w:val="1"/>
        <w:rPr>
          <w:rFonts w:ascii="Calibri" w:hAnsi="Calibri" w:cs="Calibri"/>
          <w:color w:val="2F5496"/>
          <w:sz w:val="28"/>
          <w:szCs w:val="28"/>
        </w:rPr>
      </w:pPr>
      <w:r w:rsidRPr="004934D9">
        <w:rPr>
          <w:rFonts w:ascii="Calibri" w:hAnsi="Calibri" w:cs="Calibri"/>
          <w:color w:val="2F5496"/>
          <w:sz w:val="28"/>
          <w:szCs w:val="28"/>
        </w:rPr>
        <w:t>Reason for Request</w:t>
      </w:r>
    </w:p>
    <w:p w14:paraId="6322FB24" w14:textId="77777777" w:rsidR="00704D08" w:rsidRPr="004934D9" w:rsidRDefault="00704D08" w:rsidP="00704D08">
      <w:pPr>
        <w:spacing w:before="240"/>
        <w:rPr>
          <w:rFonts w:ascii="Calibri" w:eastAsia="Calibri" w:hAnsi="Calibri" w:cs="Calibri"/>
          <w:bCs/>
          <w:szCs w:val="24"/>
        </w:rPr>
      </w:pPr>
      <w:r w:rsidRPr="004934D9">
        <w:rPr>
          <w:rFonts w:ascii="Calibri" w:eastAsia="Calibri" w:hAnsi="Calibri" w:cs="Calibri"/>
          <w:bCs/>
          <w:szCs w:val="24"/>
        </w:rPr>
        <w:t>In attempting to meet patient demand for all services, the Applicant has identified a need for strategic space modifications to better use existing building resources, establish centralized services and complementary use adjacencies, and drive operational efficiency. To address the evolving healthcare landscape and to meet demand for high-quality, cost-effective, and efficient patient care, the Applicant states it continually engages in a long-range planning to “right-size its campus.” Through careful site planning of building resource use BMC has undertaken a “measured approach to renovation and new construction” to ensure the Hospital’s sustainability as an academic medical center.  The two proposed Transfer of Site Change in Designated Location, Proposed Projects outlined below work towards accomplishing that aim.</w:t>
      </w:r>
    </w:p>
    <w:p w14:paraId="500989F1" w14:textId="77777777" w:rsidR="00704D08" w:rsidRPr="004934D9" w:rsidRDefault="00704D08" w:rsidP="00704D08">
      <w:pPr>
        <w:keepNext/>
        <w:keepLines/>
        <w:spacing w:before="40"/>
        <w:outlineLvl w:val="1"/>
        <w:rPr>
          <w:rFonts w:ascii="Calibri" w:hAnsi="Calibri" w:cs="Calibri"/>
          <w:color w:val="2F5496"/>
          <w:sz w:val="28"/>
          <w:szCs w:val="28"/>
        </w:rPr>
      </w:pPr>
      <w:r w:rsidRPr="004934D9">
        <w:rPr>
          <w:rFonts w:ascii="Calibri" w:hAnsi="Calibri" w:cs="Calibri"/>
          <w:color w:val="2F5496"/>
          <w:sz w:val="28"/>
          <w:szCs w:val="28"/>
        </w:rPr>
        <w:t>Project #1</w:t>
      </w:r>
      <w:r>
        <w:rPr>
          <w:rFonts w:ascii="Calibri" w:hAnsi="Calibri" w:cs="Calibri"/>
          <w:color w:val="2F5496"/>
          <w:sz w:val="28"/>
          <w:szCs w:val="28"/>
        </w:rPr>
        <w:t>:</w:t>
      </w:r>
      <w:r w:rsidRPr="004934D9">
        <w:rPr>
          <w:rFonts w:ascii="Calibri" w:hAnsi="Calibri" w:cs="Calibri"/>
          <w:color w:val="2F5496"/>
          <w:sz w:val="28"/>
          <w:szCs w:val="28"/>
        </w:rPr>
        <w:t xml:space="preserve"> Proposed South Bay Project</w:t>
      </w:r>
    </w:p>
    <w:p w14:paraId="18FDB1AE" w14:textId="77777777" w:rsidR="00704D08" w:rsidRPr="004934D9" w:rsidRDefault="00704D08" w:rsidP="00704D08">
      <w:pPr>
        <w:numPr>
          <w:ilvl w:val="0"/>
          <w:numId w:val="3"/>
        </w:numPr>
        <w:spacing w:before="240"/>
        <w:ind w:left="270" w:hanging="270"/>
        <w:rPr>
          <w:rFonts w:ascii="Calibri" w:hAnsi="Calibri" w:cs="Calibri"/>
          <w:szCs w:val="24"/>
        </w:rPr>
      </w:pPr>
      <w:r w:rsidRPr="004934D9">
        <w:rPr>
          <w:rFonts w:ascii="Calibri" w:hAnsi="Calibri" w:cs="Calibri"/>
          <w:b/>
          <w:bCs/>
          <w:i/>
          <w:iCs/>
          <w:szCs w:val="24"/>
        </w:rPr>
        <w:t>Description</w:t>
      </w:r>
      <w:r w:rsidRPr="004934D9">
        <w:rPr>
          <w:rFonts w:ascii="Calibri" w:hAnsi="Calibri" w:cs="Calibri"/>
          <w:b/>
          <w:bCs/>
          <w:szCs w:val="24"/>
        </w:rPr>
        <w:t xml:space="preserve"> </w:t>
      </w:r>
    </w:p>
    <w:p w14:paraId="57960C7E" w14:textId="77777777" w:rsidR="00704D08" w:rsidRPr="004934D9" w:rsidRDefault="00704D08" w:rsidP="004654ED">
      <w:pPr>
        <w:spacing w:after="0" w:line="240" w:lineRule="auto"/>
        <w:rPr>
          <w:rFonts w:ascii="Calibri" w:hAnsi="Calibri" w:cs="Calibri"/>
          <w:szCs w:val="24"/>
        </w:rPr>
      </w:pPr>
      <w:r w:rsidRPr="004934D9">
        <w:rPr>
          <w:rFonts w:ascii="Calibri" w:hAnsi="Calibri" w:cs="Calibri"/>
          <w:szCs w:val="24"/>
        </w:rPr>
        <w:t>The Hospital’s outpatient retail pharmacy operates in a leased space;</w:t>
      </w:r>
      <w:r w:rsidRPr="004934D9">
        <w:rPr>
          <w:rFonts w:ascii="Calibri" w:hAnsi="Calibri" w:cs="Calibri"/>
          <w:szCs w:val="24"/>
          <w:vertAlign w:val="superscript"/>
        </w:rPr>
        <w:footnoteReference w:id="3"/>
      </w:r>
      <w:r w:rsidRPr="004934D9">
        <w:rPr>
          <w:rFonts w:ascii="Calibri" w:hAnsi="Calibri" w:cs="Calibri"/>
          <w:szCs w:val="24"/>
        </w:rPr>
        <w:t xml:space="preserve"> that lease will soon end, and thus requires relocation. The pharmacy primarily services outpatients seeking care in the nearby buildings, including the Hospital’s Preston Family (Preston) building. The Applicant has determined the need for the pharmacy to support BMC patients utilizing the outpatient services within Preston. The only space identified was the current location of the outpatient PT and OT services. To accomplish this the Applicant proposes to relocate PT and OT services from the first floor of the Preston Family Building to a new BMC satellite located in leased space at South Bay Center (South Bay), approximately one (1) mile from BMC’s main hospital. </w:t>
      </w:r>
    </w:p>
    <w:p w14:paraId="326A2507" w14:textId="77777777" w:rsidR="00704D08" w:rsidRPr="004934D9" w:rsidRDefault="00704D08" w:rsidP="004654ED">
      <w:pPr>
        <w:spacing w:after="0" w:line="240" w:lineRule="auto"/>
        <w:rPr>
          <w:rFonts w:ascii="Calibri" w:hAnsi="Calibri" w:cs="Calibri"/>
          <w:szCs w:val="24"/>
        </w:rPr>
      </w:pPr>
    </w:p>
    <w:p w14:paraId="2D1B3C8F" w14:textId="77777777" w:rsidR="00704D08" w:rsidRPr="004934D9" w:rsidRDefault="00704D08" w:rsidP="004654ED">
      <w:pPr>
        <w:shd w:val="clear" w:color="auto" w:fill="FFFFFF"/>
        <w:spacing w:after="0" w:line="240" w:lineRule="auto"/>
        <w:rPr>
          <w:rFonts w:ascii="Calibri" w:hAnsi="Calibri" w:cs="Calibri"/>
          <w:szCs w:val="24"/>
        </w:rPr>
      </w:pPr>
      <w:r w:rsidRPr="004934D9">
        <w:rPr>
          <w:rFonts w:ascii="Calibri" w:hAnsi="Calibri" w:cs="Calibri"/>
          <w:szCs w:val="24"/>
        </w:rPr>
        <w:t>The Applicant asserts that the Proposed South Bay Project constitutes a Transfer of Site or Change of Designated Location of a Health Care Facility, as it involves the relocation of a part of the Hospital from the licensed main hospital to a new hospital satellite</w:t>
      </w:r>
      <w:r>
        <w:rPr>
          <w:rFonts w:ascii="Calibri" w:hAnsi="Calibri" w:cs="Calibri"/>
          <w:szCs w:val="24"/>
        </w:rPr>
        <w:t>.</w:t>
      </w:r>
      <w:r w:rsidRPr="004934D9">
        <w:rPr>
          <w:rFonts w:ascii="Calibri" w:hAnsi="Calibri" w:cs="Calibri"/>
          <w:szCs w:val="24"/>
          <w:vertAlign w:val="superscript"/>
        </w:rPr>
        <w:footnoteReference w:id="4"/>
      </w:r>
      <w:r w:rsidRPr="004934D9">
        <w:rPr>
          <w:rFonts w:ascii="Calibri" w:hAnsi="Calibri" w:cs="Calibri"/>
          <w:szCs w:val="24"/>
        </w:rPr>
        <w:t xml:space="preserve"> The Applicant also asserts  that the Proposed South Bay Project either when considered alone or when consolidated with the Proposed Crosstown Project (described below) is less than the current expenditure minimum that would require a full </w:t>
      </w:r>
      <w:proofErr w:type="spellStart"/>
      <w:r w:rsidRPr="004934D9">
        <w:rPr>
          <w:rFonts w:ascii="Calibri" w:hAnsi="Calibri" w:cs="Calibri"/>
          <w:szCs w:val="24"/>
        </w:rPr>
        <w:t>DoN</w:t>
      </w:r>
      <w:proofErr w:type="spellEnd"/>
      <w:r w:rsidRPr="004934D9">
        <w:rPr>
          <w:rFonts w:ascii="Calibri" w:hAnsi="Calibri" w:cs="Calibri"/>
          <w:szCs w:val="24"/>
        </w:rPr>
        <w:t xml:space="preserve"> submission for either a</w:t>
      </w:r>
      <w:r w:rsidRPr="004934D9">
        <w:rPr>
          <w:rFonts w:ascii="Calibri" w:eastAsia="Calibri" w:hAnsi="Calibri" w:cs="Calibri"/>
          <w:szCs w:val="24"/>
        </w:rPr>
        <w:t xml:space="preserve"> </w:t>
      </w:r>
      <w:r w:rsidRPr="004934D9">
        <w:rPr>
          <w:rFonts w:ascii="Calibri" w:hAnsi="Calibri" w:cs="Calibri"/>
          <w:szCs w:val="24"/>
        </w:rPr>
        <w:t xml:space="preserve">Substantial Change in Service or Substantial Capital Expenditure. Accordingly, the Applicant seeks approval from the Department to move forward with implementation of the Proposed South Bay Project as a Transfer of Site.  </w:t>
      </w:r>
    </w:p>
    <w:p w14:paraId="08EF0A93" w14:textId="77777777" w:rsidR="00704D08" w:rsidRPr="004934D9" w:rsidRDefault="00704D08" w:rsidP="00704D08">
      <w:pPr>
        <w:numPr>
          <w:ilvl w:val="0"/>
          <w:numId w:val="3"/>
        </w:numPr>
        <w:shd w:val="clear" w:color="auto" w:fill="FFFFFF"/>
        <w:spacing w:beforeAutospacing="1" w:after="240"/>
        <w:ind w:left="360"/>
        <w:rPr>
          <w:rFonts w:ascii="Calibri" w:hAnsi="Calibri" w:cs="Calibri"/>
          <w:szCs w:val="24"/>
        </w:rPr>
      </w:pPr>
      <w:r w:rsidRPr="004934D9">
        <w:rPr>
          <w:rFonts w:ascii="Calibri" w:hAnsi="Calibri" w:cs="Calibri"/>
          <w:b/>
          <w:bCs/>
          <w:i/>
          <w:iCs/>
          <w:szCs w:val="24"/>
        </w:rPr>
        <w:t>Gross Square Feet (GSF)</w:t>
      </w:r>
      <w:r w:rsidRPr="004934D9">
        <w:rPr>
          <w:rFonts w:ascii="Calibri" w:hAnsi="Calibri" w:cs="Calibri"/>
          <w:szCs w:val="24"/>
        </w:rPr>
        <w:t xml:space="preserve"> </w:t>
      </w:r>
    </w:p>
    <w:p w14:paraId="55756DF6" w14:textId="77777777" w:rsidR="00704D08" w:rsidRDefault="00704D08" w:rsidP="00704D08">
      <w:pPr>
        <w:shd w:val="clear" w:color="auto" w:fill="FFFFFF"/>
        <w:spacing w:beforeAutospacing="1" w:after="240"/>
        <w:rPr>
          <w:rFonts w:ascii="Calibri" w:hAnsi="Calibri" w:cs="Calibri"/>
          <w:szCs w:val="24"/>
        </w:rPr>
      </w:pPr>
      <w:r w:rsidRPr="004934D9">
        <w:rPr>
          <w:rFonts w:ascii="Calibri" w:hAnsi="Calibri" w:cs="Calibri"/>
          <w:szCs w:val="24"/>
        </w:rPr>
        <w:t>The Hospital’s PT and OT services currently occupy 9,423 GSF within the Preston Family Building. The services will occupy 7.2% more space (10,102 GSF) at South Bay, if approved.</w:t>
      </w:r>
    </w:p>
    <w:p w14:paraId="150857ED" w14:textId="77777777" w:rsidR="00704D08" w:rsidRPr="004934D9" w:rsidRDefault="00704D08" w:rsidP="00704D08">
      <w:pPr>
        <w:shd w:val="clear" w:color="auto" w:fill="FFFFFF"/>
        <w:spacing w:beforeAutospacing="1" w:after="240"/>
        <w:rPr>
          <w:rFonts w:ascii="Calibri" w:hAnsi="Calibri" w:cs="Calibri"/>
          <w:szCs w:val="24"/>
        </w:rPr>
      </w:pPr>
    </w:p>
    <w:p w14:paraId="7C21E59A" w14:textId="77777777" w:rsidR="00704D08" w:rsidRPr="004934D9" w:rsidRDefault="00704D08" w:rsidP="004654ED">
      <w:pPr>
        <w:numPr>
          <w:ilvl w:val="0"/>
          <w:numId w:val="3"/>
        </w:numPr>
        <w:shd w:val="clear" w:color="auto" w:fill="FFFFFF"/>
        <w:spacing w:after="0" w:line="240" w:lineRule="auto"/>
        <w:ind w:left="360"/>
        <w:rPr>
          <w:rFonts w:ascii="Calibri" w:hAnsi="Calibri" w:cs="Calibri"/>
          <w:szCs w:val="24"/>
        </w:rPr>
      </w:pPr>
      <w:r w:rsidRPr="004934D9">
        <w:rPr>
          <w:rFonts w:ascii="Calibri" w:hAnsi="Calibri" w:cs="Calibri"/>
          <w:b/>
          <w:bCs/>
          <w:i/>
          <w:iCs/>
          <w:szCs w:val="24"/>
        </w:rPr>
        <w:t>Demographics and Primary Service Area (PSA)</w:t>
      </w:r>
      <w:r w:rsidRPr="004934D9">
        <w:rPr>
          <w:rFonts w:ascii="Calibri" w:hAnsi="Calibri" w:cs="Calibri"/>
          <w:szCs w:val="24"/>
        </w:rPr>
        <w:t xml:space="preserve"> </w:t>
      </w:r>
    </w:p>
    <w:p w14:paraId="3B72423A" w14:textId="4B58A390" w:rsidR="00704D08" w:rsidRDefault="00704D08" w:rsidP="004654ED">
      <w:pPr>
        <w:shd w:val="clear" w:color="auto" w:fill="FFFFFF"/>
        <w:spacing w:after="0" w:line="240" w:lineRule="auto"/>
        <w:rPr>
          <w:rFonts w:ascii="Calibri" w:hAnsi="Calibri" w:cs="Calibri"/>
          <w:szCs w:val="24"/>
        </w:rPr>
      </w:pPr>
      <w:r w:rsidRPr="004934D9">
        <w:rPr>
          <w:rFonts w:ascii="Calibri" w:hAnsi="Calibri" w:cs="Calibri"/>
          <w:szCs w:val="24"/>
        </w:rPr>
        <w:t>The Applicant provided detailed patient demographic and patient origin information of its PT and OT Services.</w:t>
      </w:r>
      <w:r w:rsidRPr="004934D9">
        <w:rPr>
          <w:rFonts w:ascii="Calibri" w:hAnsi="Calibri" w:cs="Calibri"/>
          <w:szCs w:val="24"/>
          <w:vertAlign w:val="superscript"/>
        </w:rPr>
        <w:footnoteReference w:id="5"/>
      </w:r>
      <w:r w:rsidRPr="004934D9">
        <w:rPr>
          <w:rFonts w:ascii="Calibri" w:hAnsi="Calibri" w:cs="Calibri"/>
          <w:szCs w:val="24"/>
        </w:rPr>
        <w:t xml:space="preserve"> Given that the South Bay Satellite will be located approximately 1.4 miles from BMC’s licensed main hospital,</w:t>
      </w:r>
      <w:r w:rsidRPr="004934D9">
        <w:rPr>
          <w:rFonts w:ascii="Calibri" w:hAnsi="Calibri" w:cs="Calibri"/>
          <w:b/>
          <w:bCs/>
          <w:szCs w:val="24"/>
        </w:rPr>
        <w:t xml:space="preserve"> </w:t>
      </w:r>
      <w:r w:rsidRPr="004934D9">
        <w:rPr>
          <w:rFonts w:ascii="Calibri" w:hAnsi="Calibri" w:cs="Calibri"/>
          <w:szCs w:val="24"/>
        </w:rPr>
        <w:t xml:space="preserve">the Applicant does not anticipate any changes to the patient population for BMC’s PT and OT services if the project is approved. The Applicant is a high public paying hospital with compensation from government sources exceeding 65%. </w:t>
      </w:r>
    </w:p>
    <w:p w14:paraId="2287B4F7" w14:textId="77777777" w:rsidR="004654ED" w:rsidRPr="004934D9" w:rsidRDefault="004654ED" w:rsidP="004654ED">
      <w:pPr>
        <w:shd w:val="clear" w:color="auto" w:fill="FFFFFF"/>
        <w:spacing w:after="0" w:line="240" w:lineRule="auto"/>
        <w:rPr>
          <w:rFonts w:ascii="Calibri" w:hAnsi="Calibri" w:cs="Calibri"/>
          <w:szCs w:val="24"/>
        </w:rPr>
      </w:pPr>
    </w:p>
    <w:p w14:paraId="29637986" w14:textId="77777777" w:rsidR="00704D08" w:rsidRPr="004934D9" w:rsidRDefault="00704D08" w:rsidP="004654ED">
      <w:pPr>
        <w:numPr>
          <w:ilvl w:val="0"/>
          <w:numId w:val="3"/>
        </w:numPr>
        <w:spacing w:after="0" w:line="240" w:lineRule="auto"/>
        <w:ind w:left="360"/>
        <w:jc w:val="both"/>
        <w:rPr>
          <w:rFonts w:ascii="Calibri" w:hAnsi="Calibri" w:cs="Calibri"/>
          <w:szCs w:val="24"/>
        </w:rPr>
      </w:pPr>
      <w:r w:rsidRPr="004934D9">
        <w:rPr>
          <w:rFonts w:ascii="Calibri" w:hAnsi="Calibri" w:cs="Calibri"/>
          <w:b/>
          <w:bCs/>
          <w:i/>
          <w:iCs/>
          <w:szCs w:val="24"/>
        </w:rPr>
        <w:t>Patient Access</w:t>
      </w:r>
      <w:r w:rsidRPr="004934D9">
        <w:rPr>
          <w:rFonts w:ascii="Calibri" w:hAnsi="Calibri" w:cs="Calibri"/>
          <w:szCs w:val="24"/>
        </w:rPr>
        <w:t xml:space="preserve"> </w:t>
      </w:r>
    </w:p>
    <w:p w14:paraId="6839C3F9" w14:textId="77777777" w:rsidR="00704D08" w:rsidRPr="004934D9" w:rsidRDefault="00704D08" w:rsidP="004654ED">
      <w:pPr>
        <w:spacing w:after="0" w:line="240" w:lineRule="auto"/>
        <w:rPr>
          <w:rFonts w:ascii="Calibri" w:hAnsi="Calibri" w:cs="Calibri"/>
          <w:szCs w:val="24"/>
        </w:rPr>
      </w:pPr>
      <w:r w:rsidRPr="004934D9">
        <w:rPr>
          <w:rFonts w:ascii="Calibri" w:hAnsi="Calibri" w:cs="Calibri"/>
          <w:szCs w:val="24"/>
        </w:rPr>
        <w:t>Given the approaching end of BMC’s Doctors Office Building leasehold</w:t>
      </w:r>
      <w:r>
        <w:rPr>
          <w:rFonts w:ascii="Calibri" w:hAnsi="Calibri" w:cs="Calibri"/>
          <w:szCs w:val="24"/>
        </w:rPr>
        <w:t>,</w:t>
      </w:r>
      <w:r w:rsidRPr="004934D9">
        <w:rPr>
          <w:rFonts w:ascii="Calibri" w:hAnsi="Calibri" w:cs="Calibri"/>
          <w:szCs w:val="24"/>
        </w:rPr>
        <w:t xml:space="preserve"> the Proposed South Bay Project will ensure continued access to outpatient PT and OT services as well as outpatient pharmacy services for the Hospital’s patient panel. Located approximately one (1) mile from BMC’s main hospital, the proposed new site is easily accessible by public transportation, is within walking distance of the Andrew Square MBTA Station on the Red Line (0.6 miles), and the Newmarket MBTA Stop on the Fairmount Commuter Rail Line (0.1 miles), as well as several MBTA bus lines and major highways.</w:t>
      </w:r>
      <w:r w:rsidRPr="004934D9">
        <w:rPr>
          <w:rFonts w:ascii="Calibri" w:hAnsi="Calibri" w:cs="Calibri"/>
          <w:szCs w:val="24"/>
          <w:vertAlign w:val="superscript"/>
        </w:rPr>
        <w:footnoteReference w:id="6"/>
      </w:r>
    </w:p>
    <w:p w14:paraId="0B200D70" w14:textId="77777777" w:rsidR="00704D08" w:rsidRPr="004934D9" w:rsidRDefault="00704D08" w:rsidP="004654ED">
      <w:pPr>
        <w:spacing w:after="0" w:line="240" w:lineRule="auto"/>
        <w:ind w:left="360"/>
        <w:jc w:val="both"/>
        <w:rPr>
          <w:rFonts w:ascii="Calibri" w:hAnsi="Calibri" w:cs="Calibri"/>
          <w:szCs w:val="24"/>
        </w:rPr>
      </w:pPr>
    </w:p>
    <w:p w14:paraId="67B03D54" w14:textId="77777777" w:rsidR="00704D08" w:rsidRPr="004934D9" w:rsidRDefault="00704D08" w:rsidP="004654ED">
      <w:pPr>
        <w:spacing w:after="0" w:line="240" w:lineRule="auto"/>
        <w:rPr>
          <w:rFonts w:ascii="Calibri" w:hAnsi="Calibri" w:cs="Calibri"/>
          <w:szCs w:val="24"/>
        </w:rPr>
      </w:pPr>
      <w:r w:rsidRPr="004934D9">
        <w:rPr>
          <w:rFonts w:ascii="Calibri" w:hAnsi="Calibri" w:cs="Calibri"/>
          <w:szCs w:val="24"/>
        </w:rPr>
        <w:t>Further, the proposed new South Bay site is at ground level, ensuring access for persons with disabilities, is easily navigable, and included free garage parking. Given these factors, the Applicant anticipates that as other services migrate to the Satellite,</w:t>
      </w:r>
      <w:r w:rsidRPr="004934D9">
        <w:rPr>
          <w:rFonts w:ascii="Calibri" w:hAnsi="Calibri" w:cs="Calibri"/>
          <w:szCs w:val="24"/>
          <w:vertAlign w:val="superscript"/>
        </w:rPr>
        <w:footnoteReference w:id="7"/>
      </w:r>
      <w:r w:rsidRPr="004934D9">
        <w:rPr>
          <w:rFonts w:ascii="Calibri" w:hAnsi="Calibri" w:cs="Calibri"/>
          <w:szCs w:val="24"/>
        </w:rPr>
        <w:t xml:space="preserve"> the site will allow patients the convenience of an integrated outpatient care setting close to home, transport, and close to BMC’s main hospital. </w:t>
      </w:r>
    </w:p>
    <w:p w14:paraId="6F2DAFD5" w14:textId="77777777" w:rsidR="00704D08" w:rsidRPr="004934D9" w:rsidRDefault="00704D08" w:rsidP="004654ED">
      <w:pPr>
        <w:spacing w:after="0" w:line="240" w:lineRule="auto"/>
        <w:rPr>
          <w:rFonts w:ascii="Calibri" w:hAnsi="Calibri" w:cs="Calibri"/>
          <w:szCs w:val="24"/>
        </w:rPr>
      </w:pPr>
    </w:p>
    <w:p w14:paraId="46BF62EF" w14:textId="77777777" w:rsidR="00704D08" w:rsidRPr="004934D9" w:rsidRDefault="00704D08" w:rsidP="004654ED">
      <w:pPr>
        <w:numPr>
          <w:ilvl w:val="0"/>
          <w:numId w:val="3"/>
        </w:numPr>
        <w:spacing w:after="0" w:line="240" w:lineRule="auto"/>
        <w:ind w:left="270" w:hanging="270"/>
        <w:rPr>
          <w:rFonts w:ascii="Calibri" w:hAnsi="Calibri" w:cs="Calibri"/>
          <w:b/>
          <w:bCs/>
          <w:i/>
          <w:iCs/>
          <w:szCs w:val="24"/>
        </w:rPr>
      </w:pPr>
      <w:r w:rsidRPr="004934D9">
        <w:rPr>
          <w:rFonts w:ascii="Calibri" w:hAnsi="Calibri" w:cs="Calibri"/>
          <w:b/>
          <w:bCs/>
          <w:i/>
          <w:iCs/>
          <w:szCs w:val="24"/>
        </w:rPr>
        <w:t>Documentation of Sufficient Interest in the Proposed Site</w:t>
      </w:r>
      <w:r w:rsidRPr="004934D9">
        <w:rPr>
          <w:rFonts w:ascii="Calibri" w:hAnsi="Calibri" w:cs="Calibri"/>
          <w:b/>
          <w:bCs/>
          <w:szCs w:val="24"/>
        </w:rPr>
        <w:t xml:space="preserve"> </w:t>
      </w:r>
    </w:p>
    <w:p w14:paraId="37433BAC" w14:textId="77777777" w:rsidR="00704D08" w:rsidRPr="004934D9" w:rsidRDefault="00704D08" w:rsidP="004654ED">
      <w:pPr>
        <w:spacing w:after="0" w:line="240" w:lineRule="auto"/>
        <w:rPr>
          <w:rFonts w:ascii="Calibri" w:hAnsi="Calibri" w:cs="Calibri"/>
          <w:szCs w:val="24"/>
        </w:rPr>
      </w:pPr>
      <w:r w:rsidRPr="004934D9">
        <w:rPr>
          <w:rFonts w:ascii="Calibri" w:hAnsi="Calibri" w:cs="Calibri"/>
          <w:szCs w:val="24"/>
        </w:rPr>
        <w:t>The Hospital has entered into a lease agreement for the proposed new South Bay Satellite. This space is appropriately zoned to provide healthcare services, including PT and OT services. If approved, the Applicant will pursue architectural plan review, custom retrofit the space, and proceed with licensure.</w:t>
      </w:r>
    </w:p>
    <w:p w14:paraId="29550EF3" w14:textId="77777777" w:rsidR="00704D08" w:rsidRPr="004934D9" w:rsidRDefault="00704D08" w:rsidP="004654ED">
      <w:pPr>
        <w:spacing w:after="0" w:line="240" w:lineRule="auto"/>
        <w:rPr>
          <w:rFonts w:ascii="Calibri" w:hAnsi="Calibri" w:cs="Calibri"/>
          <w:szCs w:val="24"/>
        </w:rPr>
      </w:pPr>
    </w:p>
    <w:p w14:paraId="3F2B5579" w14:textId="77777777" w:rsidR="00704D08" w:rsidRPr="004934D9" w:rsidRDefault="00704D08" w:rsidP="004654ED">
      <w:pPr>
        <w:numPr>
          <w:ilvl w:val="0"/>
          <w:numId w:val="3"/>
        </w:numPr>
        <w:spacing w:after="0" w:line="240" w:lineRule="auto"/>
        <w:ind w:left="270" w:hanging="270"/>
        <w:rPr>
          <w:rFonts w:ascii="Calibri" w:hAnsi="Calibri" w:cs="Calibri"/>
          <w:b/>
          <w:bCs/>
          <w:i/>
          <w:iCs/>
          <w:szCs w:val="24"/>
        </w:rPr>
      </w:pPr>
      <w:r w:rsidRPr="004934D9">
        <w:rPr>
          <w:rFonts w:ascii="Calibri" w:hAnsi="Calibri" w:cs="Calibri"/>
          <w:b/>
          <w:bCs/>
          <w:i/>
          <w:iCs/>
          <w:szCs w:val="24"/>
        </w:rPr>
        <w:t xml:space="preserve">Impact on Health Care Spending  </w:t>
      </w:r>
    </w:p>
    <w:p w14:paraId="7C7ACA96" w14:textId="77777777" w:rsidR="00704D08" w:rsidRPr="004934D9" w:rsidRDefault="00704D08" w:rsidP="004654ED">
      <w:pPr>
        <w:spacing w:after="0" w:line="240" w:lineRule="auto"/>
        <w:ind w:left="270"/>
        <w:rPr>
          <w:rFonts w:ascii="Calibri" w:hAnsi="Calibri" w:cs="Calibri"/>
          <w:b/>
          <w:bCs/>
          <w:i/>
          <w:iCs/>
          <w:szCs w:val="24"/>
        </w:rPr>
      </w:pPr>
    </w:p>
    <w:p w14:paraId="0DBACF36" w14:textId="77777777" w:rsidR="00704D08" w:rsidRPr="004934D9" w:rsidRDefault="00704D08" w:rsidP="004654ED">
      <w:pPr>
        <w:spacing w:after="0" w:line="240" w:lineRule="auto"/>
        <w:rPr>
          <w:rFonts w:ascii="Calibri" w:hAnsi="Calibri" w:cs="Calibri"/>
          <w:b/>
          <w:bCs/>
          <w:i/>
          <w:iCs/>
          <w:szCs w:val="24"/>
        </w:rPr>
      </w:pPr>
      <w:r w:rsidRPr="004934D9">
        <w:rPr>
          <w:rFonts w:ascii="Calibri" w:hAnsi="Calibri" w:cs="Calibri"/>
          <w:szCs w:val="24"/>
        </w:rPr>
        <w:t>Staff will consider this discussion in concert with the second proposed Transfer of site below.</w:t>
      </w:r>
    </w:p>
    <w:p w14:paraId="52AC01B0" w14:textId="77777777" w:rsidR="00704D08" w:rsidRPr="004934D9" w:rsidRDefault="00704D08" w:rsidP="00704D08">
      <w:pPr>
        <w:ind w:left="720"/>
        <w:contextualSpacing/>
        <w:rPr>
          <w:rFonts w:ascii="Calibri" w:eastAsia="Calibri" w:hAnsi="Calibri" w:cs="Calibri"/>
          <w:b/>
          <w:bCs/>
          <w:i/>
          <w:iCs/>
          <w:szCs w:val="24"/>
        </w:rPr>
      </w:pPr>
    </w:p>
    <w:p w14:paraId="2BC9AA2F" w14:textId="77777777" w:rsidR="00704D08" w:rsidRPr="004934D9" w:rsidRDefault="00704D08" w:rsidP="00704D08">
      <w:pPr>
        <w:keepNext/>
        <w:keepLines/>
        <w:spacing w:before="40"/>
        <w:outlineLvl w:val="1"/>
        <w:rPr>
          <w:rFonts w:ascii="Calibri" w:hAnsi="Calibri" w:cs="Calibri"/>
          <w:color w:val="2F5496"/>
          <w:sz w:val="28"/>
          <w:szCs w:val="28"/>
        </w:rPr>
      </w:pPr>
      <w:r w:rsidRPr="004934D9">
        <w:rPr>
          <w:rFonts w:ascii="Calibri" w:hAnsi="Calibri" w:cs="Calibri"/>
          <w:color w:val="2F5496"/>
          <w:sz w:val="28"/>
          <w:szCs w:val="28"/>
        </w:rPr>
        <w:t>Project #2 Proposed Crosstown Project</w:t>
      </w:r>
    </w:p>
    <w:p w14:paraId="7292A077" w14:textId="77777777" w:rsidR="00704D08" w:rsidRPr="004934D9" w:rsidRDefault="00704D08" w:rsidP="00704D08">
      <w:pPr>
        <w:numPr>
          <w:ilvl w:val="0"/>
          <w:numId w:val="2"/>
        </w:numPr>
        <w:spacing w:beforeAutospacing="1" w:afterAutospacing="1"/>
        <w:ind w:left="360"/>
        <w:rPr>
          <w:rFonts w:ascii="Calibri" w:hAnsi="Calibri" w:cs="Calibri"/>
          <w:b/>
          <w:bCs/>
          <w:i/>
          <w:iCs/>
          <w:szCs w:val="24"/>
        </w:rPr>
      </w:pPr>
      <w:r w:rsidRPr="004934D9">
        <w:rPr>
          <w:rFonts w:ascii="Calibri" w:hAnsi="Calibri" w:cs="Calibri"/>
          <w:b/>
          <w:bCs/>
          <w:i/>
          <w:iCs/>
          <w:szCs w:val="24"/>
        </w:rPr>
        <w:t>Description</w:t>
      </w:r>
    </w:p>
    <w:p w14:paraId="7E22FBCC" w14:textId="77777777" w:rsidR="00704D08" w:rsidRPr="004934D9" w:rsidRDefault="00704D08" w:rsidP="00704D08">
      <w:pPr>
        <w:spacing w:before="100" w:beforeAutospacing="1" w:after="100" w:afterAutospacing="1"/>
        <w:rPr>
          <w:rFonts w:ascii="Calibri" w:hAnsi="Calibri" w:cs="Calibri"/>
          <w:szCs w:val="24"/>
        </w:rPr>
      </w:pPr>
      <w:r w:rsidRPr="004934D9">
        <w:rPr>
          <w:rFonts w:ascii="Calibri" w:hAnsi="Calibri" w:cs="Calibri"/>
          <w:szCs w:val="24"/>
        </w:rPr>
        <w:t xml:space="preserve">The Hospital’s pediatric primary care, pediatric psychiatry, adolescent primary care, and STAR unit services are located on the sixth floor of BMC's </w:t>
      </w:r>
      <w:proofErr w:type="spellStart"/>
      <w:r w:rsidRPr="004934D9">
        <w:rPr>
          <w:rFonts w:ascii="Calibri" w:hAnsi="Calibri" w:cs="Calibri"/>
          <w:szCs w:val="24"/>
        </w:rPr>
        <w:t>Yawkey</w:t>
      </w:r>
      <w:proofErr w:type="spellEnd"/>
      <w:r w:rsidRPr="004934D9">
        <w:rPr>
          <w:rFonts w:ascii="Calibri" w:hAnsi="Calibri" w:cs="Calibri"/>
          <w:szCs w:val="24"/>
        </w:rPr>
        <w:t xml:space="preserve"> Building: its pediatric neurology services are located on the eighth floor of BMC’s Shapiro Building. The Applicant proposes to transfer </w:t>
      </w:r>
      <w:proofErr w:type="gramStart"/>
      <w:r w:rsidRPr="004934D9">
        <w:rPr>
          <w:rFonts w:ascii="Calibri" w:hAnsi="Calibri" w:cs="Calibri"/>
          <w:szCs w:val="24"/>
        </w:rPr>
        <w:t>all of</w:t>
      </w:r>
      <w:proofErr w:type="gramEnd"/>
      <w:r w:rsidRPr="004934D9">
        <w:rPr>
          <w:rFonts w:ascii="Calibri" w:hAnsi="Calibri" w:cs="Calibri"/>
          <w:szCs w:val="24"/>
        </w:rPr>
        <w:t xml:space="preserve"> these services to the seventh floor of BMC’s licensed Crosstown satellite, located across the street</w:t>
      </w:r>
      <w:r>
        <w:rPr>
          <w:rFonts w:ascii="Calibri" w:hAnsi="Calibri" w:cs="Calibri"/>
          <w:szCs w:val="24"/>
        </w:rPr>
        <w:t>,</w:t>
      </w:r>
      <w:r w:rsidRPr="004934D9">
        <w:rPr>
          <w:rFonts w:ascii="Calibri" w:hAnsi="Calibri" w:cs="Calibri"/>
          <w:szCs w:val="24"/>
        </w:rPr>
        <w:t xml:space="preserve"> in order to address space constraints driven by increased demand, support a team-based model of integrated </w:t>
      </w:r>
      <w:r w:rsidRPr="004934D9">
        <w:rPr>
          <w:rFonts w:ascii="Calibri" w:hAnsi="Calibri" w:cs="Calibri"/>
          <w:szCs w:val="24"/>
        </w:rPr>
        <w:lastRenderedPageBreak/>
        <w:t xml:space="preserve">pediatric care, and improve use of campus adjacencies, while maximizing the use of existing BMC inpatient and outpatient campus space.  </w:t>
      </w:r>
    </w:p>
    <w:p w14:paraId="1F22CA01" w14:textId="77777777" w:rsidR="00704D08" w:rsidRPr="004934D9" w:rsidRDefault="00704D08" w:rsidP="00704D08">
      <w:pPr>
        <w:spacing w:before="100" w:beforeAutospacing="1" w:after="100" w:afterAutospacing="1"/>
        <w:rPr>
          <w:rFonts w:ascii="Calibri" w:hAnsi="Calibri" w:cs="Calibri"/>
          <w:szCs w:val="24"/>
        </w:rPr>
      </w:pPr>
      <w:r w:rsidRPr="004934D9">
        <w:rPr>
          <w:rFonts w:ascii="Calibri" w:hAnsi="Calibri" w:cs="Calibri"/>
          <w:szCs w:val="24"/>
        </w:rPr>
        <w:t xml:space="preserve">The Proposed Crosstown Project will allow the Hospital to maximize clinical space and redesign patient throughput, thereby reducing the need for travel between BMC’s various buildings, improving access for patients. The Applicant anticipates colocation of these services will increase collaboration among providers which is anticipated to improve coordination of care, create </w:t>
      </w:r>
      <w:proofErr w:type="gramStart"/>
      <w:r w:rsidRPr="004934D9">
        <w:rPr>
          <w:rFonts w:ascii="Calibri" w:hAnsi="Calibri" w:cs="Calibri"/>
          <w:szCs w:val="24"/>
        </w:rPr>
        <w:t>efficiencies</w:t>
      </w:r>
      <w:proofErr w:type="gramEnd"/>
      <w:r w:rsidRPr="004934D9">
        <w:rPr>
          <w:rFonts w:ascii="Calibri" w:hAnsi="Calibri" w:cs="Calibri"/>
          <w:szCs w:val="24"/>
        </w:rPr>
        <w:t xml:space="preserve"> and facilitate improved health outcomes. </w:t>
      </w:r>
    </w:p>
    <w:p w14:paraId="14AC5CCF" w14:textId="77777777" w:rsidR="00704D08" w:rsidRPr="004934D9" w:rsidRDefault="00704D08" w:rsidP="00704D08">
      <w:pPr>
        <w:spacing w:before="100" w:beforeAutospacing="1" w:after="100" w:afterAutospacing="1"/>
        <w:rPr>
          <w:rFonts w:ascii="Calibri" w:hAnsi="Calibri" w:cs="Calibri"/>
          <w:szCs w:val="24"/>
        </w:rPr>
      </w:pPr>
      <w:r w:rsidRPr="004934D9">
        <w:rPr>
          <w:rFonts w:ascii="Calibri" w:hAnsi="Calibri" w:cs="Calibri"/>
          <w:szCs w:val="24"/>
        </w:rPr>
        <w:t>The Applicant asserts that the Proposed Crosstown Project constitutes a Transfer of Site or Change of Designated Location of a Health Care Facility, as it involves the relocation of a part of the Hospital from the licensed main hospital to a hospital satellite.</w:t>
      </w:r>
      <w:r w:rsidRPr="004934D9">
        <w:rPr>
          <w:rFonts w:ascii="Calibri" w:hAnsi="Calibri" w:cs="Calibri"/>
          <w:szCs w:val="24"/>
          <w:vertAlign w:val="superscript"/>
        </w:rPr>
        <w:footnoteReference w:id="8"/>
      </w:r>
      <w:r w:rsidRPr="004934D9">
        <w:rPr>
          <w:rFonts w:ascii="Calibri" w:hAnsi="Calibri" w:cs="Calibri"/>
          <w:szCs w:val="24"/>
        </w:rPr>
        <w:t xml:space="preserve"> Additionally, it asserts the Proposed Crosstown Project either when considered alone or when consolidated with the Proposed South Bay Project (described above) is less than the current expenditure minimum that would require a full </w:t>
      </w:r>
      <w:proofErr w:type="spellStart"/>
      <w:r w:rsidRPr="004934D9">
        <w:rPr>
          <w:rFonts w:ascii="Calibri" w:hAnsi="Calibri" w:cs="Calibri"/>
          <w:szCs w:val="24"/>
        </w:rPr>
        <w:t>DoN</w:t>
      </w:r>
      <w:proofErr w:type="spellEnd"/>
      <w:r w:rsidRPr="004934D9">
        <w:rPr>
          <w:rFonts w:ascii="Calibri" w:hAnsi="Calibri" w:cs="Calibri"/>
          <w:szCs w:val="24"/>
        </w:rPr>
        <w:t xml:space="preserve"> submission for either a Substantial Change in Service or Substantial Capital Expenditure. Given these factors, the Applicant seeks approval to move forward with implementation of the Proposed Crosstown Project as a Transfer of Site. </w:t>
      </w:r>
    </w:p>
    <w:p w14:paraId="33713FE0" w14:textId="77777777" w:rsidR="00704D08" w:rsidRPr="004934D9" w:rsidRDefault="00704D08" w:rsidP="00704D08">
      <w:pPr>
        <w:numPr>
          <w:ilvl w:val="0"/>
          <w:numId w:val="2"/>
        </w:numPr>
        <w:spacing w:beforeAutospacing="1" w:afterAutospacing="1"/>
        <w:ind w:left="360"/>
        <w:rPr>
          <w:rFonts w:ascii="Calibri" w:hAnsi="Calibri" w:cs="Calibri"/>
          <w:b/>
          <w:bCs/>
          <w:i/>
          <w:iCs/>
          <w:szCs w:val="24"/>
        </w:rPr>
      </w:pPr>
      <w:r w:rsidRPr="004934D9">
        <w:rPr>
          <w:rFonts w:ascii="Calibri" w:hAnsi="Calibri" w:cs="Calibri"/>
          <w:b/>
          <w:bCs/>
          <w:i/>
          <w:iCs/>
          <w:szCs w:val="24"/>
        </w:rPr>
        <w:t>Gross Square Feet (“GSF”)</w:t>
      </w:r>
    </w:p>
    <w:p w14:paraId="1AAC4394" w14:textId="77777777" w:rsidR="00704D08" w:rsidRPr="004934D9" w:rsidRDefault="00704D08" w:rsidP="00704D08">
      <w:pPr>
        <w:spacing w:before="100" w:beforeAutospacing="1" w:after="100" w:afterAutospacing="1"/>
        <w:rPr>
          <w:rFonts w:ascii="Calibri" w:hAnsi="Calibri" w:cs="Calibri"/>
          <w:szCs w:val="24"/>
        </w:rPr>
      </w:pPr>
      <w:r w:rsidRPr="004934D9">
        <w:rPr>
          <w:rFonts w:ascii="Calibri" w:hAnsi="Calibri" w:cs="Calibri"/>
          <w:szCs w:val="24"/>
        </w:rPr>
        <w:t xml:space="preserve">The Hospital’s pediatric primary care, pediatric psychiatry, adolescent primary care, and STAR unit services currently occupy 21,096 GSF within the </w:t>
      </w:r>
      <w:proofErr w:type="spellStart"/>
      <w:r w:rsidRPr="004934D9">
        <w:rPr>
          <w:rFonts w:ascii="Calibri" w:hAnsi="Calibri" w:cs="Calibri"/>
          <w:szCs w:val="24"/>
        </w:rPr>
        <w:t>Yawkey</w:t>
      </w:r>
      <w:proofErr w:type="spellEnd"/>
      <w:r w:rsidRPr="004934D9">
        <w:rPr>
          <w:rFonts w:ascii="Calibri" w:hAnsi="Calibri" w:cs="Calibri"/>
          <w:szCs w:val="24"/>
        </w:rPr>
        <w:t xml:space="preserve"> Building, and the Hospital’s pediatric neurology services occupy 4,321 GSF within the Shapiro Building, totaling 25,417 GSF. The services will occupy 2.2% more space (25,985 GSF) at Crosstown if approved. </w:t>
      </w:r>
    </w:p>
    <w:p w14:paraId="5DA93804" w14:textId="77777777" w:rsidR="00704D08" w:rsidRPr="004934D9" w:rsidRDefault="00704D08" w:rsidP="00704D08">
      <w:pPr>
        <w:numPr>
          <w:ilvl w:val="0"/>
          <w:numId w:val="2"/>
        </w:numPr>
        <w:spacing w:beforeAutospacing="1" w:afterAutospacing="1"/>
        <w:ind w:left="360"/>
        <w:rPr>
          <w:rFonts w:ascii="Calibri" w:hAnsi="Calibri" w:cs="Calibri"/>
          <w:b/>
          <w:bCs/>
          <w:i/>
          <w:iCs/>
          <w:szCs w:val="24"/>
        </w:rPr>
      </w:pPr>
      <w:r w:rsidRPr="004934D9">
        <w:rPr>
          <w:rFonts w:ascii="Calibri" w:hAnsi="Calibri" w:cs="Calibri"/>
          <w:b/>
          <w:bCs/>
          <w:i/>
          <w:iCs/>
          <w:szCs w:val="24"/>
        </w:rPr>
        <w:t>Demographics and Primary Service Area (“PSA”) Towns Served</w:t>
      </w:r>
    </w:p>
    <w:p w14:paraId="3FD6D495" w14:textId="77777777" w:rsidR="00704D08" w:rsidRPr="004934D9" w:rsidRDefault="00704D08" w:rsidP="00704D08">
      <w:pPr>
        <w:spacing w:before="100" w:beforeAutospacing="1" w:after="100" w:afterAutospacing="1"/>
        <w:rPr>
          <w:rFonts w:ascii="Calibri" w:hAnsi="Calibri" w:cs="Calibri"/>
          <w:szCs w:val="24"/>
        </w:rPr>
      </w:pPr>
      <w:r w:rsidRPr="004934D9">
        <w:rPr>
          <w:rFonts w:ascii="Calibri" w:hAnsi="Calibri" w:cs="Calibri"/>
          <w:szCs w:val="24"/>
        </w:rPr>
        <w:t>The Applicant provided detailed patient demographic and patient origin information of its pediatric primary care, pediatric psychiatry, adolescent primary care, STAR unit, and pediatric neurology Services. Given that the Crosstown Satellite is conveniently located across the street from BMC’s main hospital,</w:t>
      </w:r>
      <w:r w:rsidRPr="004934D9">
        <w:rPr>
          <w:rFonts w:ascii="Calibri" w:hAnsi="Calibri" w:cs="Calibri"/>
          <w:b/>
          <w:bCs/>
          <w:szCs w:val="24"/>
        </w:rPr>
        <w:t xml:space="preserve"> </w:t>
      </w:r>
      <w:r w:rsidRPr="004934D9">
        <w:rPr>
          <w:rFonts w:ascii="Calibri" w:hAnsi="Calibri" w:cs="Calibri"/>
          <w:szCs w:val="24"/>
        </w:rPr>
        <w:t>the Applicant does not anticipate any changes to the Patient population served for these services following the Transfer of Site. The Applicant is a high public paying hospital with compensation from government sources exceeding 65%.</w:t>
      </w:r>
    </w:p>
    <w:p w14:paraId="2FA63DE2" w14:textId="77777777" w:rsidR="00704D08" w:rsidRPr="004934D9" w:rsidRDefault="00704D08" w:rsidP="00704D08">
      <w:pPr>
        <w:numPr>
          <w:ilvl w:val="0"/>
          <w:numId w:val="2"/>
        </w:numPr>
        <w:spacing w:beforeAutospacing="1" w:afterAutospacing="1"/>
        <w:ind w:left="360"/>
        <w:rPr>
          <w:rFonts w:ascii="Calibri" w:hAnsi="Calibri" w:cs="Calibri"/>
          <w:b/>
          <w:bCs/>
          <w:i/>
          <w:iCs/>
          <w:szCs w:val="24"/>
        </w:rPr>
      </w:pPr>
      <w:r w:rsidRPr="004934D9">
        <w:rPr>
          <w:rFonts w:ascii="Calibri" w:hAnsi="Calibri" w:cs="Calibri"/>
          <w:b/>
          <w:bCs/>
          <w:i/>
          <w:iCs/>
          <w:szCs w:val="24"/>
        </w:rPr>
        <w:t>Patient Access</w:t>
      </w:r>
    </w:p>
    <w:p w14:paraId="17A0D435" w14:textId="0789DBA1" w:rsidR="00704D08" w:rsidRDefault="00704D08" w:rsidP="00663BCA">
      <w:pPr>
        <w:spacing w:after="0" w:line="240" w:lineRule="auto"/>
        <w:rPr>
          <w:rFonts w:ascii="Calibri" w:hAnsi="Calibri" w:cs="Calibri"/>
          <w:szCs w:val="24"/>
        </w:rPr>
      </w:pPr>
      <w:r w:rsidRPr="004934D9">
        <w:rPr>
          <w:rFonts w:ascii="Calibri" w:hAnsi="Calibri" w:cs="Calibri"/>
          <w:szCs w:val="24"/>
        </w:rPr>
        <w:t xml:space="preserve">The Applicant anticipates that the Proposed Crosstown Project will improve access to these services for its pediatric patient population. The proposed Transfer of Site of these services from various buildings within BMC’s main hospital across the street to the outpatient Crosstown Satellite will help address care fragmentation and allow patients to receive a full complement of comprehensive, integrated pediatric and adolescent care on a single floor within one building. Such co-location of services will improve the patient care experience. The Applicant anticipates that the Proposed Crosstown Project will reduce the </w:t>
      </w:r>
      <w:r w:rsidRPr="004934D9">
        <w:rPr>
          <w:rFonts w:ascii="Calibri" w:hAnsi="Calibri" w:cs="Calibri"/>
          <w:szCs w:val="24"/>
        </w:rPr>
        <w:lastRenderedPageBreak/>
        <w:t>need for travel between BMC’s various buildings, increase collaboration among providers, promote better coordination of care, create greater efficiencies in care processes, and, overall, improve access for patients.</w:t>
      </w:r>
    </w:p>
    <w:p w14:paraId="4EBB540D" w14:textId="77777777" w:rsidR="00663BCA" w:rsidRPr="004934D9" w:rsidRDefault="00663BCA" w:rsidP="00663BCA">
      <w:pPr>
        <w:spacing w:after="0" w:line="240" w:lineRule="auto"/>
        <w:rPr>
          <w:rFonts w:ascii="Calibri" w:hAnsi="Calibri" w:cs="Calibri"/>
          <w:szCs w:val="24"/>
        </w:rPr>
      </w:pPr>
    </w:p>
    <w:p w14:paraId="0FF9A536" w14:textId="77777777" w:rsidR="00704D08" w:rsidRPr="004934D9" w:rsidRDefault="00704D08" w:rsidP="00663BCA">
      <w:pPr>
        <w:numPr>
          <w:ilvl w:val="0"/>
          <w:numId w:val="4"/>
        </w:numPr>
        <w:spacing w:after="0" w:line="240" w:lineRule="auto"/>
        <w:rPr>
          <w:rFonts w:ascii="Calibri" w:hAnsi="Calibri" w:cs="Calibri"/>
          <w:b/>
          <w:bCs/>
          <w:i/>
          <w:iCs/>
          <w:szCs w:val="24"/>
        </w:rPr>
      </w:pPr>
      <w:r w:rsidRPr="004934D9">
        <w:rPr>
          <w:rFonts w:ascii="Calibri" w:hAnsi="Calibri" w:cs="Calibri"/>
          <w:b/>
          <w:bCs/>
          <w:i/>
          <w:iCs/>
          <w:szCs w:val="24"/>
        </w:rPr>
        <w:t>Documentation of Sufficient Interest in the Proposed Site</w:t>
      </w:r>
    </w:p>
    <w:p w14:paraId="7743C5AE" w14:textId="03946924" w:rsidR="00704D08" w:rsidRDefault="00704D08" w:rsidP="00663BCA">
      <w:pPr>
        <w:spacing w:after="0" w:line="240" w:lineRule="auto"/>
        <w:rPr>
          <w:rFonts w:ascii="Calibri" w:hAnsi="Calibri" w:cs="Calibri"/>
          <w:szCs w:val="24"/>
        </w:rPr>
      </w:pPr>
      <w:r w:rsidRPr="004934D9">
        <w:rPr>
          <w:rFonts w:ascii="Calibri" w:hAnsi="Calibri" w:cs="Calibri"/>
          <w:szCs w:val="24"/>
        </w:rPr>
        <w:t xml:space="preserve">The Hospital owns the Crosstown Satellite, which is appropriately zoned to provide healthcare services, including those proposed for this project. Upon approval of the Proposed Project the Applicant will proceed with completion of architectural plan review, renovations, with licensure. </w:t>
      </w:r>
    </w:p>
    <w:p w14:paraId="6F924B90" w14:textId="77777777" w:rsidR="00663BCA" w:rsidRPr="004934D9" w:rsidRDefault="00663BCA" w:rsidP="00663BCA">
      <w:pPr>
        <w:spacing w:after="0" w:line="240" w:lineRule="auto"/>
        <w:rPr>
          <w:rFonts w:ascii="Calibri" w:hAnsi="Calibri" w:cs="Calibri"/>
          <w:szCs w:val="24"/>
        </w:rPr>
      </w:pPr>
    </w:p>
    <w:p w14:paraId="7E03A5D5" w14:textId="77777777" w:rsidR="00704D08" w:rsidRPr="004934D9" w:rsidRDefault="00704D08" w:rsidP="00663BCA">
      <w:pPr>
        <w:numPr>
          <w:ilvl w:val="0"/>
          <w:numId w:val="5"/>
        </w:numPr>
        <w:spacing w:after="0" w:line="240" w:lineRule="auto"/>
        <w:rPr>
          <w:rFonts w:ascii="Calibri" w:hAnsi="Calibri" w:cs="Calibri"/>
          <w:b/>
          <w:bCs/>
          <w:i/>
          <w:iCs/>
          <w:szCs w:val="24"/>
        </w:rPr>
      </w:pPr>
      <w:r w:rsidRPr="004934D9">
        <w:rPr>
          <w:rFonts w:ascii="Calibri" w:hAnsi="Calibri" w:cs="Calibri"/>
          <w:b/>
          <w:bCs/>
          <w:i/>
          <w:iCs/>
          <w:szCs w:val="24"/>
        </w:rPr>
        <w:t>Impact on Health Care Spending</w:t>
      </w:r>
    </w:p>
    <w:p w14:paraId="6CFDE5DF" w14:textId="77777777" w:rsidR="00704D08" w:rsidRPr="004934D9" w:rsidRDefault="00704D08" w:rsidP="00663BCA">
      <w:pPr>
        <w:spacing w:after="0" w:line="240" w:lineRule="auto"/>
        <w:ind w:left="360"/>
        <w:rPr>
          <w:rFonts w:ascii="Calibri" w:hAnsi="Calibri" w:cs="Calibri"/>
          <w:b/>
          <w:bCs/>
          <w:i/>
          <w:iCs/>
          <w:szCs w:val="24"/>
        </w:rPr>
      </w:pPr>
    </w:p>
    <w:p w14:paraId="636881D6" w14:textId="77777777" w:rsidR="00704D08" w:rsidRDefault="00704D08" w:rsidP="00663BCA">
      <w:pPr>
        <w:spacing w:after="0" w:line="240" w:lineRule="auto"/>
        <w:rPr>
          <w:rFonts w:ascii="Calibri" w:hAnsi="Calibri" w:cs="Calibri"/>
          <w:szCs w:val="24"/>
        </w:rPr>
      </w:pPr>
      <w:r w:rsidRPr="004934D9">
        <w:rPr>
          <w:rFonts w:ascii="Calibri" w:hAnsi="Calibri" w:cs="Calibri"/>
          <w:szCs w:val="24"/>
        </w:rPr>
        <w:t>Staff will consider this discussion in concert with the first proposed Transfer of site described above.</w:t>
      </w:r>
    </w:p>
    <w:p w14:paraId="3B49E940" w14:textId="77777777" w:rsidR="00704D08" w:rsidRPr="004934D9" w:rsidRDefault="00704D08" w:rsidP="00663BCA">
      <w:pPr>
        <w:spacing w:after="0" w:line="240" w:lineRule="auto"/>
        <w:rPr>
          <w:rFonts w:ascii="Calibri" w:hAnsi="Calibri" w:cs="Calibri"/>
          <w:b/>
          <w:bCs/>
          <w:i/>
          <w:iCs/>
          <w:szCs w:val="24"/>
        </w:rPr>
      </w:pPr>
    </w:p>
    <w:p w14:paraId="1D86156B" w14:textId="77777777" w:rsidR="00704D08" w:rsidRPr="004934D9" w:rsidRDefault="00704D08" w:rsidP="00663BCA">
      <w:pPr>
        <w:keepNext/>
        <w:keepLines/>
        <w:spacing w:after="0" w:line="240" w:lineRule="auto"/>
        <w:outlineLvl w:val="1"/>
        <w:rPr>
          <w:rFonts w:ascii="Calibri" w:hAnsi="Calibri" w:cs="Calibri"/>
          <w:color w:val="2F5496"/>
          <w:sz w:val="28"/>
          <w:szCs w:val="28"/>
        </w:rPr>
      </w:pPr>
      <w:r w:rsidRPr="004934D9">
        <w:rPr>
          <w:rFonts w:ascii="Calibri" w:hAnsi="Calibri" w:cs="Calibri"/>
          <w:color w:val="2F5496"/>
          <w:sz w:val="28"/>
          <w:szCs w:val="28"/>
        </w:rPr>
        <w:t xml:space="preserve">Overall Impact on </w:t>
      </w:r>
      <w:bookmarkStart w:id="1" w:name="_Hlk108010140"/>
      <w:r w:rsidRPr="004934D9">
        <w:rPr>
          <w:rFonts w:ascii="Calibri" w:hAnsi="Calibri" w:cs="Calibri"/>
          <w:color w:val="2F5496"/>
          <w:sz w:val="28"/>
          <w:szCs w:val="28"/>
        </w:rPr>
        <w:t>Health Care Spending</w:t>
      </w:r>
      <w:bookmarkEnd w:id="1"/>
    </w:p>
    <w:p w14:paraId="3BF06331" w14:textId="77777777" w:rsidR="00704D08" w:rsidRPr="004934D9" w:rsidRDefault="00704D08" w:rsidP="00663BCA">
      <w:pPr>
        <w:spacing w:after="0" w:line="240" w:lineRule="auto"/>
        <w:rPr>
          <w:rFonts w:ascii="Calibri" w:eastAsia="Calibri" w:hAnsi="Calibri" w:cs="Calibri"/>
          <w:szCs w:val="24"/>
        </w:rPr>
      </w:pPr>
      <w:r w:rsidRPr="004934D9">
        <w:rPr>
          <w:rFonts w:ascii="Calibri" w:eastAsia="Calibri" w:hAnsi="Calibri" w:cs="Calibri"/>
          <w:szCs w:val="24"/>
        </w:rPr>
        <w:t xml:space="preserve">The Applicant does not anticipate that the either project will have any impact on price, total medical expenditures, or provider costs. As described herein, the Applicant currently provides all these services either at BMC’s main hospital or adjacent to it.  If </w:t>
      </w:r>
      <w:r>
        <w:rPr>
          <w:rFonts w:ascii="Calibri" w:eastAsia="Calibri" w:hAnsi="Calibri" w:cs="Calibri"/>
          <w:szCs w:val="24"/>
        </w:rPr>
        <w:t>a</w:t>
      </w:r>
      <w:r w:rsidRPr="004934D9">
        <w:rPr>
          <w:rFonts w:ascii="Calibri" w:eastAsia="Calibri" w:hAnsi="Calibri" w:cs="Calibri"/>
          <w:szCs w:val="24"/>
        </w:rPr>
        <w:t>pproved, all pricing will remain consistent with current charges for these services.</w:t>
      </w:r>
    </w:p>
    <w:p w14:paraId="101A26EB" w14:textId="77777777" w:rsidR="00704D08" w:rsidRPr="004934D9" w:rsidRDefault="00704D08" w:rsidP="00663BCA">
      <w:pPr>
        <w:spacing w:after="0" w:line="240" w:lineRule="auto"/>
        <w:rPr>
          <w:rFonts w:ascii="Calibri" w:eastAsia="Calibri" w:hAnsi="Calibri" w:cs="Calibri"/>
          <w:szCs w:val="24"/>
        </w:rPr>
      </w:pPr>
      <w:r w:rsidRPr="004934D9">
        <w:rPr>
          <w:rFonts w:ascii="Calibri" w:eastAsia="Calibri" w:hAnsi="Calibri" w:cs="Calibri"/>
          <w:szCs w:val="24"/>
        </w:rPr>
        <w:t xml:space="preserve">The Applicant states that the combined Capital Expenditures for both proposed transfers of site </w:t>
      </w:r>
      <w:proofErr w:type="gramStart"/>
      <w:r w:rsidRPr="004934D9">
        <w:rPr>
          <w:rFonts w:ascii="Calibri" w:eastAsia="Calibri" w:hAnsi="Calibri" w:cs="Calibri"/>
          <w:szCs w:val="24"/>
        </w:rPr>
        <w:t>is</w:t>
      </w:r>
      <w:proofErr w:type="gramEnd"/>
      <w:r w:rsidRPr="004934D9">
        <w:rPr>
          <w:rFonts w:ascii="Calibri" w:eastAsia="Calibri" w:hAnsi="Calibri" w:cs="Calibri"/>
          <w:szCs w:val="24"/>
        </w:rPr>
        <w:t xml:space="preserve"> $20,838,426, for the construction/renovation of space to accommodate the projects as shown in Table 1 Below.</w:t>
      </w:r>
    </w:p>
    <w:p w14:paraId="5653D039" w14:textId="77777777" w:rsidR="00704D08" w:rsidRPr="004934D9" w:rsidRDefault="00704D08" w:rsidP="00663BCA">
      <w:pPr>
        <w:spacing w:after="0" w:line="240" w:lineRule="auto"/>
        <w:jc w:val="center"/>
        <w:rPr>
          <w:rFonts w:ascii="Calibri" w:eastAsia="Calibri" w:hAnsi="Calibri" w:cs="Calibri"/>
          <w:b/>
          <w:bCs/>
          <w:szCs w:val="24"/>
        </w:rPr>
      </w:pPr>
      <w:r w:rsidRPr="004934D9">
        <w:rPr>
          <w:rFonts w:ascii="Calibri" w:eastAsia="Calibri" w:hAnsi="Calibri" w:cs="Calibri"/>
          <w:b/>
          <w:bCs/>
          <w:szCs w:val="24"/>
        </w:rPr>
        <w:t>Table 1: Cost Breakdown of Each Transfer of Site</w:t>
      </w:r>
    </w:p>
    <w:p w14:paraId="68680627" w14:textId="77777777" w:rsidR="00704D08" w:rsidRPr="004934D9" w:rsidRDefault="00704D08" w:rsidP="00704D08">
      <w:pPr>
        <w:rPr>
          <w:rFonts w:ascii="Calibri" w:eastAsia="Calibri" w:hAnsi="Calibri" w:cs="Calibri"/>
          <w:szCs w:val="24"/>
        </w:rPr>
      </w:pPr>
    </w:p>
    <w:tbl>
      <w:tblPr>
        <w:tblW w:w="8046" w:type="dxa"/>
        <w:jc w:val="center"/>
        <w:tblLook w:val="04A0" w:firstRow="1" w:lastRow="0" w:firstColumn="1" w:lastColumn="0" w:noHBand="0" w:noVBand="1"/>
      </w:tblPr>
      <w:tblGrid>
        <w:gridCol w:w="3375"/>
        <w:gridCol w:w="1720"/>
        <w:gridCol w:w="1650"/>
        <w:gridCol w:w="1330"/>
      </w:tblGrid>
      <w:tr w:rsidR="00704D08" w:rsidRPr="004934D9" w14:paraId="163A7580" w14:textId="77777777" w:rsidTr="00663BCA">
        <w:trPr>
          <w:cantSplit/>
          <w:trHeight w:val="290"/>
          <w:tblHeader/>
          <w:jc w:val="center"/>
        </w:trPr>
        <w:tc>
          <w:tcPr>
            <w:tcW w:w="337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9C0F223" w14:textId="77777777" w:rsidR="00704D08" w:rsidRPr="004934D9" w:rsidRDefault="00704D08" w:rsidP="00663BCA">
            <w:pPr>
              <w:spacing w:after="0" w:line="240" w:lineRule="auto"/>
              <w:rPr>
                <w:rFonts w:ascii="Calibri" w:hAnsi="Calibri" w:cs="Calibri"/>
                <w:b/>
                <w:bCs/>
                <w:color w:val="000000"/>
                <w:szCs w:val="24"/>
              </w:rPr>
            </w:pPr>
            <w:r w:rsidRPr="004934D9">
              <w:rPr>
                <w:rFonts w:ascii="Calibri" w:hAnsi="Calibri" w:cs="Calibri"/>
                <w:b/>
                <w:bCs/>
                <w:color w:val="000000"/>
                <w:szCs w:val="24"/>
              </w:rPr>
              <w:t xml:space="preserve">Project </w:t>
            </w:r>
          </w:p>
        </w:tc>
        <w:tc>
          <w:tcPr>
            <w:tcW w:w="1720" w:type="dxa"/>
            <w:tcBorders>
              <w:top w:val="single" w:sz="4" w:space="0" w:color="auto"/>
              <w:left w:val="nil"/>
              <w:bottom w:val="single" w:sz="4" w:space="0" w:color="auto"/>
              <w:right w:val="single" w:sz="4" w:space="0" w:color="auto"/>
            </w:tcBorders>
            <w:shd w:val="clear" w:color="000000" w:fill="DDEBF7"/>
            <w:noWrap/>
            <w:vAlign w:val="bottom"/>
            <w:hideMark/>
          </w:tcPr>
          <w:p w14:paraId="7A161F19" w14:textId="77777777" w:rsidR="00704D08" w:rsidRPr="004934D9" w:rsidRDefault="00704D08" w:rsidP="00663BCA">
            <w:pPr>
              <w:spacing w:after="0" w:line="240" w:lineRule="auto"/>
              <w:jc w:val="center"/>
              <w:rPr>
                <w:rFonts w:ascii="Calibri" w:hAnsi="Calibri" w:cs="Calibri"/>
                <w:b/>
                <w:bCs/>
                <w:color w:val="000000"/>
                <w:szCs w:val="24"/>
              </w:rPr>
            </w:pPr>
            <w:r w:rsidRPr="004934D9">
              <w:rPr>
                <w:rFonts w:ascii="Calibri" w:hAnsi="Calibri" w:cs="Calibri"/>
                <w:b/>
                <w:bCs/>
                <w:color w:val="000000"/>
                <w:szCs w:val="24"/>
              </w:rPr>
              <w:t xml:space="preserve">#1-South Bay </w:t>
            </w:r>
          </w:p>
        </w:tc>
        <w:tc>
          <w:tcPr>
            <w:tcW w:w="1650" w:type="dxa"/>
            <w:tcBorders>
              <w:top w:val="single" w:sz="4" w:space="0" w:color="auto"/>
              <w:left w:val="nil"/>
              <w:bottom w:val="single" w:sz="4" w:space="0" w:color="auto"/>
              <w:right w:val="single" w:sz="4" w:space="0" w:color="auto"/>
            </w:tcBorders>
            <w:shd w:val="clear" w:color="000000" w:fill="DDEBF7"/>
            <w:noWrap/>
            <w:vAlign w:val="bottom"/>
            <w:hideMark/>
          </w:tcPr>
          <w:p w14:paraId="3DB401FC" w14:textId="77777777" w:rsidR="00704D08" w:rsidRPr="004934D9" w:rsidRDefault="00704D08" w:rsidP="00663BCA">
            <w:pPr>
              <w:spacing w:after="0" w:line="240" w:lineRule="auto"/>
              <w:jc w:val="center"/>
              <w:rPr>
                <w:rFonts w:ascii="Calibri" w:hAnsi="Calibri" w:cs="Calibri"/>
                <w:b/>
                <w:bCs/>
                <w:color w:val="000000"/>
                <w:szCs w:val="24"/>
              </w:rPr>
            </w:pPr>
            <w:r w:rsidRPr="004934D9">
              <w:rPr>
                <w:rFonts w:ascii="Calibri" w:hAnsi="Calibri" w:cs="Calibri"/>
                <w:b/>
                <w:bCs/>
                <w:color w:val="000000"/>
                <w:szCs w:val="24"/>
              </w:rPr>
              <w:t>#2-Crosstown</w:t>
            </w:r>
          </w:p>
        </w:tc>
        <w:tc>
          <w:tcPr>
            <w:tcW w:w="1301" w:type="dxa"/>
            <w:tcBorders>
              <w:top w:val="single" w:sz="4" w:space="0" w:color="auto"/>
              <w:left w:val="nil"/>
              <w:bottom w:val="single" w:sz="4" w:space="0" w:color="auto"/>
              <w:right w:val="single" w:sz="4" w:space="0" w:color="auto"/>
            </w:tcBorders>
            <w:shd w:val="clear" w:color="000000" w:fill="DDEBF7"/>
            <w:noWrap/>
            <w:vAlign w:val="bottom"/>
            <w:hideMark/>
          </w:tcPr>
          <w:p w14:paraId="3DBCFCC9" w14:textId="77777777" w:rsidR="00704D08" w:rsidRPr="004934D9" w:rsidRDefault="00704D08" w:rsidP="00663BCA">
            <w:pPr>
              <w:spacing w:after="0" w:line="240" w:lineRule="auto"/>
              <w:rPr>
                <w:rFonts w:ascii="Calibri" w:hAnsi="Calibri" w:cs="Calibri"/>
                <w:color w:val="000000"/>
                <w:szCs w:val="24"/>
              </w:rPr>
            </w:pPr>
            <w:r w:rsidRPr="004934D9">
              <w:rPr>
                <w:rFonts w:ascii="Calibri" w:hAnsi="Calibri" w:cs="Calibri"/>
                <w:color w:val="000000"/>
                <w:szCs w:val="24"/>
              </w:rPr>
              <w:t> </w:t>
            </w:r>
          </w:p>
        </w:tc>
      </w:tr>
      <w:tr w:rsidR="00704D08" w:rsidRPr="004934D9" w14:paraId="1ABEF0DC" w14:textId="77777777" w:rsidTr="00663BCA">
        <w:trPr>
          <w:cantSplit/>
          <w:trHeight w:val="290"/>
          <w:tblHeader/>
          <w:jc w:val="center"/>
        </w:trPr>
        <w:tc>
          <w:tcPr>
            <w:tcW w:w="3375" w:type="dxa"/>
            <w:tcBorders>
              <w:top w:val="nil"/>
              <w:left w:val="single" w:sz="4" w:space="0" w:color="auto"/>
              <w:bottom w:val="single" w:sz="4" w:space="0" w:color="auto"/>
              <w:right w:val="single" w:sz="4" w:space="0" w:color="auto"/>
            </w:tcBorders>
            <w:shd w:val="clear" w:color="000000" w:fill="DDEBF7"/>
            <w:noWrap/>
            <w:vAlign w:val="bottom"/>
            <w:hideMark/>
          </w:tcPr>
          <w:p w14:paraId="5BBA781B" w14:textId="77777777" w:rsidR="00704D08" w:rsidRPr="004934D9" w:rsidRDefault="00704D08" w:rsidP="00663BCA">
            <w:pPr>
              <w:spacing w:after="0" w:line="240" w:lineRule="auto"/>
              <w:rPr>
                <w:rFonts w:ascii="Calibri" w:hAnsi="Calibri" w:cs="Calibri"/>
                <w:b/>
                <w:bCs/>
                <w:color w:val="000000"/>
                <w:szCs w:val="24"/>
              </w:rPr>
            </w:pPr>
            <w:r w:rsidRPr="004934D9">
              <w:rPr>
                <w:rFonts w:ascii="Calibri" w:hAnsi="Calibri" w:cs="Calibri"/>
                <w:b/>
                <w:bCs/>
                <w:szCs w:val="24"/>
              </w:rPr>
              <w:t>Cost Breakdown</w:t>
            </w:r>
          </w:p>
        </w:tc>
        <w:tc>
          <w:tcPr>
            <w:tcW w:w="1720" w:type="dxa"/>
            <w:tcBorders>
              <w:top w:val="nil"/>
              <w:left w:val="nil"/>
              <w:bottom w:val="single" w:sz="4" w:space="0" w:color="auto"/>
              <w:right w:val="single" w:sz="4" w:space="0" w:color="auto"/>
            </w:tcBorders>
            <w:shd w:val="clear" w:color="000000" w:fill="DDEBF7"/>
            <w:noWrap/>
            <w:vAlign w:val="bottom"/>
            <w:hideMark/>
          </w:tcPr>
          <w:p w14:paraId="1B9E7E06" w14:textId="77777777" w:rsidR="00704D08" w:rsidRPr="004934D9" w:rsidRDefault="00704D08" w:rsidP="00663BCA">
            <w:pPr>
              <w:spacing w:after="0" w:line="240" w:lineRule="auto"/>
              <w:jc w:val="center"/>
              <w:rPr>
                <w:rFonts w:ascii="Calibri" w:hAnsi="Calibri" w:cs="Calibri"/>
                <w:b/>
                <w:bCs/>
                <w:color w:val="000000"/>
                <w:szCs w:val="24"/>
              </w:rPr>
            </w:pPr>
            <w:r w:rsidRPr="004934D9">
              <w:rPr>
                <w:rFonts w:ascii="Calibri" w:hAnsi="Calibri" w:cs="Calibri"/>
                <w:b/>
                <w:bCs/>
                <w:szCs w:val="24"/>
              </w:rPr>
              <w:t>Amount</w:t>
            </w:r>
          </w:p>
        </w:tc>
        <w:tc>
          <w:tcPr>
            <w:tcW w:w="1650" w:type="dxa"/>
            <w:tcBorders>
              <w:top w:val="nil"/>
              <w:left w:val="nil"/>
              <w:bottom w:val="single" w:sz="4" w:space="0" w:color="auto"/>
              <w:right w:val="single" w:sz="4" w:space="0" w:color="auto"/>
            </w:tcBorders>
            <w:shd w:val="clear" w:color="000000" w:fill="DDEBF7"/>
            <w:noWrap/>
            <w:vAlign w:val="bottom"/>
            <w:hideMark/>
          </w:tcPr>
          <w:p w14:paraId="2A557A55" w14:textId="77777777" w:rsidR="00704D08" w:rsidRPr="004934D9" w:rsidRDefault="00704D08" w:rsidP="00663BCA">
            <w:pPr>
              <w:spacing w:after="0" w:line="240" w:lineRule="auto"/>
              <w:jc w:val="center"/>
              <w:rPr>
                <w:rFonts w:ascii="Calibri" w:hAnsi="Calibri" w:cs="Calibri"/>
                <w:b/>
                <w:bCs/>
                <w:color w:val="000000"/>
                <w:szCs w:val="24"/>
              </w:rPr>
            </w:pPr>
            <w:r w:rsidRPr="004934D9">
              <w:rPr>
                <w:rFonts w:ascii="Calibri" w:hAnsi="Calibri" w:cs="Calibri"/>
                <w:b/>
                <w:bCs/>
                <w:color w:val="000000"/>
                <w:szCs w:val="24"/>
              </w:rPr>
              <w:t>Amount</w:t>
            </w:r>
          </w:p>
        </w:tc>
        <w:tc>
          <w:tcPr>
            <w:tcW w:w="1301" w:type="dxa"/>
            <w:tcBorders>
              <w:top w:val="nil"/>
              <w:left w:val="nil"/>
              <w:bottom w:val="single" w:sz="4" w:space="0" w:color="auto"/>
              <w:right w:val="single" w:sz="4" w:space="0" w:color="auto"/>
            </w:tcBorders>
            <w:shd w:val="clear" w:color="000000" w:fill="DDEBF7"/>
            <w:noWrap/>
            <w:vAlign w:val="center"/>
            <w:hideMark/>
          </w:tcPr>
          <w:p w14:paraId="2C42D3AA" w14:textId="77777777" w:rsidR="00704D08" w:rsidRPr="004934D9" w:rsidRDefault="00704D08" w:rsidP="00663BCA">
            <w:pPr>
              <w:spacing w:after="0" w:line="240" w:lineRule="auto"/>
              <w:jc w:val="center"/>
              <w:rPr>
                <w:rFonts w:ascii="Calibri" w:hAnsi="Calibri" w:cs="Calibri"/>
                <w:b/>
                <w:bCs/>
                <w:color w:val="000000"/>
                <w:szCs w:val="24"/>
              </w:rPr>
            </w:pPr>
            <w:r w:rsidRPr="004934D9">
              <w:rPr>
                <w:rFonts w:ascii="Calibri" w:hAnsi="Calibri" w:cs="Calibri"/>
                <w:b/>
                <w:bCs/>
                <w:color w:val="000000"/>
                <w:szCs w:val="24"/>
              </w:rPr>
              <w:t>Total</w:t>
            </w:r>
          </w:p>
        </w:tc>
      </w:tr>
      <w:tr w:rsidR="00704D08" w:rsidRPr="004934D9" w14:paraId="494256D0" w14:textId="77777777" w:rsidTr="00663BCA">
        <w:trPr>
          <w:cantSplit/>
          <w:trHeight w:val="290"/>
          <w:jc w:val="center"/>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2A2AE211" w14:textId="77777777" w:rsidR="00704D08" w:rsidRPr="004934D9" w:rsidRDefault="00704D08" w:rsidP="00663BCA">
            <w:pPr>
              <w:spacing w:after="0" w:line="240" w:lineRule="auto"/>
              <w:rPr>
                <w:rFonts w:ascii="Calibri" w:hAnsi="Calibri" w:cs="Calibri"/>
                <w:color w:val="000000"/>
                <w:szCs w:val="24"/>
              </w:rPr>
            </w:pPr>
            <w:r w:rsidRPr="004934D9">
              <w:rPr>
                <w:rFonts w:ascii="Calibri" w:hAnsi="Calibri" w:cs="Calibri"/>
                <w:color w:val="000000"/>
                <w:szCs w:val="24"/>
              </w:rPr>
              <w:t>Cost of Obtaining Space</w:t>
            </w:r>
          </w:p>
        </w:tc>
        <w:tc>
          <w:tcPr>
            <w:tcW w:w="1720" w:type="dxa"/>
            <w:tcBorders>
              <w:top w:val="nil"/>
              <w:left w:val="nil"/>
              <w:bottom w:val="single" w:sz="4" w:space="0" w:color="auto"/>
              <w:right w:val="single" w:sz="4" w:space="0" w:color="auto"/>
            </w:tcBorders>
            <w:shd w:val="clear" w:color="auto" w:fill="auto"/>
            <w:noWrap/>
            <w:vAlign w:val="bottom"/>
            <w:hideMark/>
          </w:tcPr>
          <w:p w14:paraId="4A2F7E37"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$5,499,224 </w:t>
            </w:r>
          </w:p>
        </w:tc>
        <w:tc>
          <w:tcPr>
            <w:tcW w:w="1650" w:type="dxa"/>
            <w:tcBorders>
              <w:top w:val="nil"/>
              <w:left w:val="nil"/>
              <w:bottom w:val="single" w:sz="4" w:space="0" w:color="auto"/>
              <w:right w:val="single" w:sz="4" w:space="0" w:color="auto"/>
            </w:tcBorders>
            <w:shd w:val="clear" w:color="auto" w:fill="auto"/>
            <w:noWrap/>
            <w:vAlign w:val="center"/>
            <w:hideMark/>
          </w:tcPr>
          <w:p w14:paraId="1B09EE3B" w14:textId="77777777" w:rsidR="00704D08" w:rsidRPr="004934D9" w:rsidRDefault="00704D08" w:rsidP="00663BCA">
            <w:pPr>
              <w:spacing w:after="0" w:line="240" w:lineRule="auto"/>
              <w:jc w:val="center"/>
              <w:rPr>
                <w:rFonts w:ascii="Calibri" w:hAnsi="Calibri" w:cs="Calibri"/>
                <w:color w:val="000000"/>
                <w:szCs w:val="24"/>
              </w:rPr>
            </w:pPr>
            <w:r w:rsidRPr="004934D9">
              <w:rPr>
                <w:rFonts w:ascii="Calibri" w:hAnsi="Calibri" w:cs="Calibri"/>
                <w:color w:val="000000"/>
                <w:szCs w:val="24"/>
              </w:rPr>
              <w:t>N/A</w:t>
            </w:r>
          </w:p>
        </w:tc>
        <w:tc>
          <w:tcPr>
            <w:tcW w:w="1301" w:type="dxa"/>
            <w:tcBorders>
              <w:top w:val="nil"/>
              <w:left w:val="nil"/>
              <w:bottom w:val="single" w:sz="4" w:space="0" w:color="auto"/>
              <w:right w:val="single" w:sz="4" w:space="0" w:color="auto"/>
            </w:tcBorders>
            <w:shd w:val="clear" w:color="auto" w:fill="auto"/>
            <w:noWrap/>
            <w:vAlign w:val="bottom"/>
            <w:hideMark/>
          </w:tcPr>
          <w:p w14:paraId="670516A3"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$5,499,224 </w:t>
            </w:r>
          </w:p>
        </w:tc>
      </w:tr>
      <w:tr w:rsidR="00704D08" w:rsidRPr="004934D9" w14:paraId="5E9C1BCA" w14:textId="77777777" w:rsidTr="00663BCA">
        <w:trPr>
          <w:cantSplit/>
          <w:trHeight w:val="290"/>
          <w:jc w:val="center"/>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11093D1C" w14:textId="77777777" w:rsidR="00704D08" w:rsidRPr="004934D9" w:rsidRDefault="00704D08" w:rsidP="00663BCA">
            <w:pPr>
              <w:spacing w:after="0" w:line="240" w:lineRule="auto"/>
              <w:rPr>
                <w:rFonts w:ascii="Calibri" w:hAnsi="Calibri" w:cs="Calibri"/>
                <w:color w:val="000000"/>
                <w:szCs w:val="24"/>
              </w:rPr>
            </w:pPr>
            <w:r w:rsidRPr="004934D9">
              <w:rPr>
                <w:rFonts w:ascii="Calibri" w:hAnsi="Calibri" w:cs="Calibri"/>
                <w:color w:val="000000"/>
                <w:szCs w:val="24"/>
              </w:rPr>
              <w:t>Construction Contract</w:t>
            </w:r>
          </w:p>
        </w:tc>
        <w:tc>
          <w:tcPr>
            <w:tcW w:w="1720" w:type="dxa"/>
            <w:tcBorders>
              <w:top w:val="nil"/>
              <w:left w:val="nil"/>
              <w:bottom w:val="single" w:sz="4" w:space="0" w:color="auto"/>
              <w:right w:val="single" w:sz="4" w:space="0" w:color="auto"/>
            </w:tcBorders>
            <w:shd w:val="clear" w:color="auto" w:fill="auto"/>
            <w:noWrap/>
            <w:vAlign w:val="bottom"/>
            <w:hideMark/>
          </w:tcPr>
          <w:p w14:paraId="2A7A22F4"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$4,319,084 </w:t>
            </w:r>
          </w:p>
        </w:tc>
        <w:tc>
          <w:tcPr>
            <w:tcW w:w="1650" w:type="dxa"/>
            <w:tcBorders>
              <w:top w:val="nil"/>
              <w:left w:val="nil"/>
              <w:bottom w:val="single" w:sz="4" w:space="0" w:color="auto"/>
              <w:right w:val="single" w:sz="4" w:space="0" w:color="auto"/>
            </w:tcBorders>
            <w:shd w:val="clear" w:color="auto" w:fill="auto"/>
            <w:noWrap/>
            <w:vAlign w:val="bottom"/>
            <w:hideMark/>
          </w:tcPr>
          <w:p w14:paraId="2A9BC4EE"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$9,731,740 </w:t>
            </w:r>
          </w:p>
        </w:tc>
        <w:tc>
          <w:tcPr>
            <w:tcW w:w="1301" w:type="dxa"/>
            <w:tcBorders>
              <w:top w:val="nil"/>
              <w:left w:val="nil"/>
              <w:bottom w:val="single" w:sz="4" w:space="0" w:color="auto"/>
              <w:right w:val="single" w:sz="4" w:space="0" w:color="auto"/>
            </w:tcBorders>
            <w:shd w:val="clear" w:color="auto" w:fill="auto"/>
            <w:noWrap/>
            <w:vAlign w:val="bottom"/>
            <w:hideMark/>
          </w:tcPr>
          <w:p w14:paraId="34DEB395"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$14,050,824 </w:t>
            </w:r>
          </w:p>
        </w:tc>
      </w:tr>
      <w:tr w:rsidR="00704D08" w:rsidRPr="004934D9" w14:paraId="1D374E09" w14:textId="77777777" w:rsidTr="00663BCA">
        <w:trPr>
          <w:cantSplit/>
          <w:trHeight w:val="290"/>
          <w:jc w:val="center"/>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25E30B39" w14:textId="77777777" w:rsidR="00704D08" w:rsidRPr="004934D9" w:rsidRDefault="00704D08" w:rsidP="00663BCA">
            <w:pPr>
              <w:spacing w:after="0" w:line="240" w:lineRule="auto"/>
              <w:rPr>
                <w:rFonts w:ascii="Calibri" w:hAnsi="Calibri" w:cs="Calibri"/>
                <w:color w:val="000000"/>
                <w:szCs w:val="24"/>
              </w:rPr>
            </w:pPr>
            <w:r w:rsidRPr="004934D9">
              <w:rPr>
                <w:rFonts w:ascii="Calibri" w:hAnsi="Calibri" w:cs="Calibri"/>
                <w:color w:val="000000"/>
                <w:szCs w:val="24"/>
              </w:rPr>
              <w:t>Architectural and Engineering</w:t>
            </w:r>
          </w:p>
        </w:tc>
        <w:tc>
          <w:tcPr>
            <w:tcW w:w="1720" w:type="dxa"/>
            <w:tcBorders>
              <w:top w:val="nil"/>
              <w:left w:val="nil"/>
              <w:bottom w:val="single" w:sz="4" w:space="0" w:color="auto"/>
              <w:right w:val="single" w:sz="4" w:space="0" w:color="auto"/>
            </w:tcBorders>
            <w:shd w:val="clear" w:color="auto" w:fill="auto"/>
            <w:noWrap/>
            <w:vAlign w:val="bottom"/>
            <w:hideMark/>
          </w:tcPr>
          <w:p w14:paraId="12324055"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$388,717 </w:t>
            </w:r>
          </w:p>
        </w:tc>
        <w:tc>
          <w:tcPr>
            <w:tcW w:w="1650" w:type="dxa"/>
            <w:tcBorders>
              <w:top w:val="nil"/>
              <w:left w:val="nil"/>
              <w:bottom w:val="single" w:sz="4" w:space="0" w:color="auto"/>
              <w:right w:val="single" w:sz="4" w:space="0" w:color="auto"/>
            </w:tcBorders>
            <w:shd w:val="clear" w:color="auto" w:fill="auto"/>
            <w:noWrap/>
            <w:vAlign w:val="bottom"/>
            <w:hideMark/>
          </w:tcPr>
          <w:p w14:paraId="2CDAC051"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$874,957 </w:t>
            </w:r>
          </w:p>
        </w:tc>
        <w:tc>
          <w:tcPr>
            <w:tcW w:w="1301" w:type="dxa"/>
            <w:tcBorders>
              <w:top w:val="nil"/>
              <w:left w:val="nil"/>
              <w:bottom w:val="single" w:sz="4" w:space="0" w:color="auto"/>
              <w:right w:val="single" w:sz="4" w:space="0" w:color="auto"/>
            </w:tcBorders>
            <w:shd w:val="clear" w:color="auto" w:fill="auto"/>
            <w:noWrap/>
            <w:vAlign w:val="bottom"/>
            <w:hideMark/>
          </w:tcPr>
          <w:p w14:paraId="5F10A92F"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$1,263,674 </w:t>
            </w:r>
          </w:p>
        </w:tc>
      </w:tr>
      <w:tr w:rsidR="00704D08" w:rsidRPr="004934D9" w14:paraId="4407E4C7" w14:textId="77777777" w:rsidTr="00663BCA">
        <w:trPr>
          <w:cantSplit/>
          <w:trHeight w:val="580"/>
          <w:jc w:val="center"/>
        </w:trPr>
        <w:tc>
          <w:tcPr>
            <w:tcW w:w="3375" w:type="dxa"/>
            <w:tcBorders>
              <w:top w:val="nil"/>
              <w:left w:val="single" w:sz="4" w:space="0" w:color="auto"/>
              <w:bottom w:val="single" w:sz="4" w:space="0" w:color="auto"/>
              <w:right w:val="single" w:sz="4" w:space="0" w:color="auto"/>
            </w:tcBorders>
            <w:shd w:val="clear" w:color="auto" w:fill="auto"/>
            <w:vAlign w:val="bottom"/>
            <w:hideMark/>
          </w:tcPr>
          <w:p w14:paraId="6DB98090" w14:textId="77777777" w:rsidR="00704D08" w:rsidRPr="004934D9" w:rsidRDefault="00704D08" w:rsidP="00663BCA">
            <w:pPr>
              <w:spacing w:after="0" w:line="240" w:lineRule="auto"/>
              <w:rPr>
                <w:rFonts w:ascii="Calibri" w:hAnsi="Calibri" w:cs="Calibri"/>
                <w:color w:val="000000"/>
                <w:szCs w:val="24"/>
              </w:rPr>
            </w:pPr>
            <w:r w:rsidRPr="004934D9">
              <w:rPr>
                <w:rFonts w:ascii="Calibri" w:hAnsi="Calibri" w:cs="Calibri"/>
                <w:color w:val="000000"/>
                <w:szCs w:val="24"/>
              </w:rPr>
              <w:t>Pre- and Post-Filing Planning and Development</w:t>
            </w:r>
          </w:p>
        </w:tc>
        <w:tc>
          <w:tcPr>
            <w:tcW w:w="1720" w:type="dxa"/>
            <w:tcBorders>
              <w:top w:val="nil"/>
              <w:left w:val="nil"/>
              <w:bottom w:val="single" w:sz="4" w:space="0" w:color="auto"/>
              <w:right w:val="single" w:sz="4" w:space="0" w:color="auto"/>
            </w:tcBorders>
            <w:shd w:val="clear" w:color="auto" w:fill="auto"/>
            <w:noWrap/>
            <w:vAlign w:val="bottom"/>
            <w:hideMark/>
          </w:tcPr>
          <w:p w14:paraId="00861797"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$12,115 </w:t>
            </w:r>
          </w:p>
        </w:tc>
        <w:tc>
          <w:tcPr>
            <w:tcW w:w="1650" w:type="dxa"/>
            <w:tcBorders>
              <w:top w:val="nil"/>
              <w:left w:val="nil"/>
              <w:bottom w:val="single" w:sz="4" w:space="0" w:color="auto"/>
              <w:right w:val="single" w:sz="4" w:space="0" w:color="auto"/>
            </w:tcBorders>
            <w:shd w:val="clear" w:color="auto" w:fill="auto"/>
            <w:noWrap/>
            <w:vAlign w:val="bottom"/>
            <w:hideMark/>
          </w:tcPr>
          <w:p w14:paraId="3343B853"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$12,589 </w:t>
            </w:r>
          </w:p>
        </w:tc>
        <w:tc>
          <w:tcPr>
            <w:tcW w:w="1301" w:type="dxa"/>
            <w:tcBorders>
              <w:top w:val="nil"/>
              <w:left w:val="nil"/>
              <w:bottom w:val="single" w:sz="4" w:space="0" w:color="auto"/>
              <w:right w:val="single" w:sz="4" w:space="0" w:color="auto"/>
            </w:tcBorders>
            <w:shd w:val="clear" w:color="auto" w:fill="auto"/>
            <w:noWrap/>
            <w:vAlign w:val="bottom"/>
            <w:hideMark/>
          </w:tcPr>
          <w:p w14:paraId="48031208" w14:textId="77777777" w:rsidR="00704D08" w:rsidRPr="004934D9" w:rsidRDefault="00704D08" w:rsidP="00663BCA">
            <w:pPr>
              <w:spacing w:after="0" w:line="240" w:lineRule="auto"/>
              <w:rPr>
                <w:rFonts w:ascii="Calibri" w:hAnsi="Calibri" w:cs="Calibri"/>
                <w:color w:val="000000"/>
                <w:szCs w:val="24"/>
              </w:rPr>
            </w:pPr>
            <w:r w:rsidRPr="004934D9">
              <w:rPr>
                <w:rFonts w:ascii="Calibri" w:hAnsi="Calibri" w:cs="Calibri"/>
                <w:color w:val="000000"/>
                <w:szCs w:val="24"/>
              </w:rPr>
              <w:t> </w:t>
            </w:r>
          </w:p>
          <w:p w14:paraId="38D7A5FE"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$24,704 </w:t>
            </w:r>
          </w:p>
        </w:tc>
      </w:tr>
      <w:tr w:rsidR="00704D08" w:rsidRPr="004934D9" w14:paraId="4055A5B7" w14:textId="77777777" w:rsidTr="00663BCA">
        <w:trPr>
          <w:cantSplit/>
          <w:trHeight w:val="290"/>
          <w:jc w:val="center"/>
        </w:trPr>
        <w:tc>
          <w:tcPr>
            <w:tcW w:w="3375" w:type="dxa"/>
            <w:tcBorders>
              <w:top w:val="nil"/>
              <w:left w:val="single" w:sz="4" w:space="0" w:color="auto"/>
              <w:bottom w:val="single" w:sz="4" w:space="0" w:color="auto"/>
              <w:right w:val="single" w:sz="4" w:space="0" w:color="auto"/>
            </w:tcBorders>
            <w:shd w:val="clear" w:color="auto" w:fill="auto"/>
            <w:noWrap/>
            <w:vAlign w:val="bottom"/>
            <w:hideMark/>
          </w:tcPr>
          <w:p w14:paraId="7DE08885" w14:textId="77777777" w:rsidR="00704D08" w:rsidRPr="004934D9" w:rsidRDefault="00704D08" w:rsidP="00663BCA">
            <w:pPr>
              <w:spacing w:after="0" w:line="240" w:lineRule="auto"/>
              <w:rPr>
                <w:rFonts w:ascii="Calibri" w:hAnsi="Calibri" w:cs="Calibri"/>
                <w:b/>
                <w:bCs/>
                <w:color w:val="000000"/>
                <w:szCs w:val="24"/>
              </w:rPr>
            </w:pPr>
            <w:bookmarkStart w:id="2" w:name="_Hlk109130996"/>
            <w:r w:rsidRPr="004934D9">
              <w:rPr>
                <w:rFonts w:ascii="Calibri" w:hAnsi="Calibri" w:cs="Calibri"/>
                <w:b/>
                <w:bCs/>
                <w:color w:val="000000"/>
                <w:szCs w:val="24"/>
              </w:rPr>
              <w:t>Total</w:t>
            </w:r>
          </w:p>
        </w:tc>
        <w:tc>
          <w:tcPr>
            <w:tcW w:w="1720" w:type="dxa"/>
            <w:tcBorders>
              <w:top w:val="nil"/>
              <w:left w:val="nil"/>
              <w:bottom w:val="single" w:sz="4" w:space="0" w:color="auto"/>
              <w:right w:val="single" w:sz="4" w:space="0" w:color="auto"/>
            </w:tcBorders>
            <w:shd w:val="clear" w:color="auto" w:fill="auto"/>
            <w:noWrap/>
            <w:vAlign w:val="bottom"/>
            <w:hideMark/>
          </w:tcPr>
          <w:p w14:paraId="29E25B8A" w14:textId="77777777" w:rsidR="00704D08" w:rsidRPr="004934D9" w:rsidRDefault="00704D08" w:rsidP="00663BCA">
            <w:pPr>
              <w:spacing w:after="0" w:line="240" w:lineRule="auto"/>
              <w:jc w:val="right"/>
              <w:rPr>
                <w:rFonts w:ascii="Calibri" w:hAnsi="Calibri" w:cs="Calibri"/>
                <w:color w:val="000000"/>
                <w:szCs w:val="24"/>
              </w:rPr>
            </w:pPr>
            <w:bookmarkStart w:id="3" w:name="_Hlk109131282"/>
            <w:r w:rsidRPr="004934D9">
              <w:rPr>
                <w:rFonts w:ascii="Calibri" w:hAnsi="Calibri" w:cs="Calibri"/>
                <w:color w:val="000000"/>
                <w:szCs w:val="24"/>
              </w:rPr>
              <w:t xml:space="preserve">$10,219,140 </w:t>
            </w:r>
            <w:bookmarkEnd w:id="3"/>
          </w:p>
        </w:tc>
        <w:tc>
          <w:tcPr>
            <w:tcW w:w="1650" w:type="dxa"/>
            <w:tcBorders>
              <w:top w:val="nil"/>
              <w:left w:val="nil"/>
              <w:bottom w:val="single" w:sz="4" w:space="0" w:color="auto"/>
              <w:right w:val="single" w:sz="4" w:space="0" w:color="auto"/>
            </w:tcBorders>
            <w:shd w:val="clear" w:color="auto" w:fill="auto"/>
            <w:noWrap/>
            <w:vAlign w:val="bottom"/>
            <w:hideMark/>
          </w:tcPr>
          <w:p w14:paraId="6BDE9579" w14:textId="77777777" w:rsidR="00704D08" w:rsidRPr="004934D9" w:rsidRDefault="00704D08" w:rsidP="00663BCA">
            <w:pPr>
              <w:spacing w:after="0" w:line="240" w:lineRule="auto"/>
              <w:jc w:val="right"/>
              <w:rPr>
                <w:rFonts w:ascii="Calibri" w:hAnsi="Calibri" w:cs="Calibri"/>
                <w:color w:val="000000"/>
                <w:szCs w:val="24"/>
              </w:rPr>
            </w:pPr>
            <w:bookmarkStart w:id="4" w:name="_Hlk109130924"/>
            <w:r w:rsidRPr="004934D9">
              <w:rPr>
                <w:rFonts w:ascii="Calibri" w:hAnsi="Calibri" w:cs="Calibri"/>
                <w:color w:val="000000"/>
                <w:szCs w:val="24"/>
              </w:rPr>
              <w:t xml:space="preserve">$10,619,286 </w:t>
            </w:r>
            <w:bookmarkEnd w:id="4"/>
          </w:p>
        </w:tc>
        <w:tc>
          <w:tcPr>
            <w:tcW w:w="1301" w:type="dxa"/>
            <w:tcBorders>
              <w:top w:val="nil"/>
              <w:left w:val="nil"/>
              <w:bottom w:val="single" w:sz="4" w:space="0" w:color="auto"/>
              <w:right w:val="single" w:sz="4" w:space="0" w:color="auto"/>
            </w:tcBorders>
            <w:shd w:val="clear" w:color="auto" w:fill="auto"/>
            <w:noWrap/>
            <w:vAlign w:val="bottom"/>
            <w:hideMark/>
          </w:tcPr>
          <w:p w14:paraId="551922B7" w14:textId="77777777" w:rsidR="00704D08" w:rsidRPr="004934D9" w:rsidRDefault="00704D08" w:rsidP="00663BCA">
            <w:pPr>
              <w:spacing w:after="0" w:line="240" w:lineRule="auto"/>
              <w:jc w:val="right"/>
              <w:rPr>
                <w:rFonts w:ascii="Calibri" w:hAnsi="Calibri" w:cs="Calibri"/>
                <w:color w:val="000000"/>
                <w:szCs w:val="24"/>
              </w:rPr>
            </w:pPr>
            <w:r w:rsidRPr="004934D9">
              <w:rPr>
                <w:rFonts w:ascii="Calibri" w:hAnsi="Calibri" w:cs="Calibri"/>
                <w:color w:val="000000"/>
                <w:szCs w:val="24"/>
              </w:rPr>
              <w:t xml:space="preserve">$20,838,426 </w:t>
            </w:r>
          </w:p>
        </w:tc>
      </w:tr>
      <w:bookmarkEnd w:id="2"/>
    </w:tbl>
    <w:p w14:paraId="30C33227" w14:textId="77777777" w:rsidR="00704D08" w:rsidRPr="004934D9" w:rsidRDefault="00704D08" w:rsidP="00704D08">
      <w:pPr>
        <w:rPr>
          <w:rFonts w:ascii="Calibri" w:eastAsia="Calibri" w:hAnsi="Calibri" w:cs="Calibri"/>
          <w:szCs w:val="24"/>
        </w:rPr>
      </w:pPr>
    </w:p>
    <w:p w14:paraId="4B67BF62"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 xml:space="preserve">Project #1: The capital expenditure associated with the proposed South Bay Project is projected to be $10,219,140. The cost of obtaining the space accounts for </w:t>
      </w:r>
      <w:proofErr w:type="gramStart"/>
      <w:r w:rsidRPr="004934D9">
        <w:rPr>
          <w:rFonts w:ascii="Calibri" w:eastAsia="Calibri" w:hAnsi="Calibri" w:cs="Calibri"/>
          <w:szCs w:val="24"/>
        </w:rPr>
        <w:t>the majority of</w:t>
      </w:r>
      <w:proofErr w:type="gramEnd"/>
      <w:r w:rsidRPr="004934D9">
        <w:rPr>
          <w:rFonts w:ascii="Calibri" w:eastAsia="Calibri" w:hAnsi="Calibri" w:cs="Calibri"/>
          <w:szCs w:val="24"/>
        </w:rPr>
        <w:t xml:space="preserve"> the expenses, 54% and the construction contract comprises the next largest component, 42%.</w:t>
      </w:r>
    </w:p>
    <w:p w14:paraId="6625FBCD"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 xml:space="preserve">The Applicant stresses that for patients, out of pocket costs for patients may be reduced because of access to free parking at the site and that prices will not change. </w:t>
      </w:r>
    </w:p>
    <w:p w14:paraId="5A39C236"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 xml:space="preserve">Project #2: As shown in Table 1 above, the capital expenditure associated with the Proposed Crosstown Project is anticipated to be $10,619,286 for renovations to accommodate the relocated pediatric primary care, pediatric psychiatry, pediatric neurology, adolescent primary care, and STAR unit services. The construction contract accounts for 92% of the total costs of this project. </w:t>
      </w:r>
    </w:p>
    <w:p w14:paraId="74DC6A2E" w14:textId="2DB62211" w:rsidR="00704D08" w:rsidRDefault="00704D08" w:rsidP="00663BCA">
      <w:pPr>
        <w:spacing w:after="0" w:line="240" w:lineRule="auto"/>
        <w:rPr>
          <w:rFonts w:ascii="Calibri" w:eastAsia="Calibri" w:hAnsi="Calibri" w:cs="Calibri"/>
          <w:szCs w:val="24"/>
        </w:rPr>
      </w:pPr>
      <w:r w:rsidRPr="004934D9">
        <w:rPr>
          <w:rFonts w:ascii="Calibri" w:eastAsia="Calibri" w:hAnsi="Calibri" w:cs="Calibri"/>
          <w:szCs w:val="24"/>
        </w:rPr>
        <w:t xml:space="preserve">The Applicant stresses that given current market constraints relating to the inflated costs of construction materials, and architectural and engineering services, the cost of these projects is higher than normal.  </w:t>
      </w:r>
      <w:r w:rsidRPr="004934D9">
        <w:rPr>
          <w:rFonts w:ascii="Calibri" w:eastAsia="Calibri" w:hAnsi="Calibri" w:cs="Calibri"/>
          <w:szCs w:val="24"/>
        </w:rPr>
        <w:lastRenderedPageBreak/>
        <w:t xml:space="preserve">However, the Applicant notes that the anticipated capital expenditure for each project when considered either individually or aggregated does not exceed the Substantial Capital Expenditure threshold for filing a </w:t>
      </w:r>
      <w:proofErr w:type="spellStart"/>
      <w:r w:rsidRPr="004934D9">
        <w:rPr>
          <w:rFonts w:ascii="Calibri" w:eastAsia="Calibri" w:hAnsi="Calibri" w:cs="Calibri"/>
          <w:szCs w:val="24"/>
        </w:rPr>
        <w:t>DoN</w:t>
      </w:r>
      <w:proofErr w:type="spellEnd"/>
      <w:r w:rsidRPr="004934D9">
        <w:rPr>
          <w:rFonts w:ascii="Calibri" w:eastAsia="Calibri" w:hAnsi="Calibri" w:cs="Calibri"/>
          <w:szCs w:val="24"/>
        </w:rPr>
        <w:t xml:space="preserve"> for outpatient projects, </w:t>
      </w:r>
      <w:bookmarkStart w:id="5" w:name="_Hlk109210483"/>
      <w:r w:rsidRPr="004934D9">
        <w:rPr>
          <w:rFonts w:ascii="Calibri" w:eastAsia="Calibri" w:hAnsi="Calibri" w:cs="Calibri"/>
          <w:szCs w:val="24"/>
        </w:rPr>
        <w:t>which is currently $34,988,545</w:t>
      </w:r>
      <w:bookmarkEnd w:id="5"/>
      <w:r w:rsidRPr="004934D9">
        <w:rPr>
          <w:rFonts w:ascii="Calibri" w:eastAsia="Calibri" w:hAnsi="Calibri" w:cs="Calibri"/>
          <w:szCs w:val="24"/>
        </w:rPr>
        <w:t>.</w:t>
      </w:r>
      <w:r w:rsidRPr="004934D9">
        <w:rPr>
          <w:rFonts w:ascii="Calibri" w:eastAsia="Calibri" w:hAnsi="Calibri" w:cs="Calibri"/>
          <w:szCs w:val="24"/>
          <w:vertAlign w:val="superscript"/>
        </w:rPr>
        <w:footnoteReference w:id="9"/>
      </w:r>
      <w:r w:rsidRPr="004934D9">
        <w:rPr>
          <w:rFonts w:ascii="Calibri" w:eastAsia="Calibri" w:hAnsi="Calibri" w:cs="Calibri"/>
          <w:szCs w:val="24"/>
        </w:rPr>
        <w:t xml:space="preserve"> Accordingly, the Proposed Project does not require a </w:t>
      </w:r>
      <w:proofErr w:type="spellStart"/>
      <w:r w:rsidRPr="004934D9">
        <w:rPr>
          <w:rFonts w:ascii="Calibri" w:eastAsia="Calibri" w:hAnsi="Calibri" w:cs="Calibri"/>
          <w:szCs w:val="24"/>
        </w:rPr>
        <w:t>DoN</w:t>
      </w:r>
      <w:proofErr w:type="spellEnd"/>
      <w:r w:rsidRPr="004934D9">
        <w:rPr>
          <w:rFonts w:ascii="Calibri" w:eastAsia="Calibri" w:hAnsi="Calibri" w:cs="Calibri"/>
          <w:szCs w:val="24"/>
        </w:rPr>
        <w:t xml:space="preserve"> submission.</w:t>
      </w:r>
    </w:p>
    <w:p w14:paraId="3F45A2DE" w14:textId="77777777" w:rsidR="00225276" w:rsidRPr="004934D9" w:rsidRDefault="00225276" w:rsidP="00663BCA">
      <w:pPr>
        <w:spacing w:after="0" w:line="240" w:lineRule="auto"/>
        <w:rPr>
          <w:rFonts w:ascii="Calibri" w:eastAsia="Calibri" w:hAnsi="Calibri" w:cs="Calibri"/>
          <w:szCs w:val="24"/>
        </w:rPr>
      </w:pPr>
    </w:p>
    <w:p w14:paraId="46E25B60" w14:textId="6D85FD6E" w:rsidR="00704D08" w:rsidRDefault="00704D08" w:rsidP="00663BCA">
      <w:pPr>
        <w:spacing w:after="0" w:line="240" w:lineRule="auto"/>
        <w:rPr>
          <w:rFonts w:ascii="Calibri" w:eastAsia="Calibri" w:hAnsi="Calibri" w:cs="Calibri"/>
          <w:b/>
          <w:szCs w:val="24"/>
        </w:rPr>
      </w:pPr>
      <w:r w:rsidRPr="004934D9">
        <w:rPr>
          <w:rFonts w:ascii="Calibri" w:eastAsia="Calibri" w:hAnsi="Calibri" w:cs="Calibri"/>
          <w:b/>
          <w:szCs w:val="24"/>
        </w:rPr>
        <w:t>Findings:</w:t>
      </w:r>
    </w:p>
    <w:p w14:paraId="48585C8C" w14:textId="77777777" w:rsidR="00225276" w:rsidRPr="004934D9" w:rsidRDefault="00225276" w:rsidP="00663BCA">
      <w:pPr>
        <w:spacing w:after="0" w:line="240" w:lineRule="auto"/>
        <w:rPr>
          <w:rFonts w:ascii="Calibri" w:eastAsia="Calibri" w:hAnsi="Calibri" w:cs="Calibri"/>
          <w:b/>
          <w:szCs w:val="24"/>
        </w:rPr>
      </w:pPr>
    </w:p>
    <w:p w14:paraId="74D844AB" w14:textId="77777777" w:rsidR="00704D08" w:rsidRPr="004934D9" w:rsidRDefault="00704D08" w:rsidP="00663BCA">
      <w:pPr>
        <w:spacing w:after="0" w:line="240" w:lineRule="auto"/>
        <w:rPr>
          <w:rFonts w:ascii="Calibri" w:eastAsia="Calibri" w:hAnsi="Calibri" w:cs="Calibri"/>
          <w:szCs w:val="24"/>
        </w:rPr>
      </w:pPr>
      <w:r w:rsidRPr="004934D9">
        <w:rPr>
          <w:rFonts w:ascii="Calibri" w:eastAsia="Calibri" w:hAnsi="Calibri" w:cs="Calibri"/>
          <w:szCs w:val="24"/>
        </w:rPr>
        <w:t xml:space="preserve">The Department finds that Boston Medical Center has provided the Department with the information required in 105 CMR 100.745(D). Based upon review of the Notice and supporting materials, the Department finds that this transaction does not require a </w:t>
      </w:r>
      <w:proofErr w:type="spellStart"/>
      <w:r w:rsidRPr="004934D9">
        <w:rPr>
          <w:rFonts w:ascii="Calibri" w:eastAsia="Calibri" w:hAnsi="Calibri" w:cs="Calibri"/>
          <w:szCs w:val="24"/>
        </w:rPr>
        <w:t>DoN</w:t>
      </w:r>
      <w:proofErr w:type="spellEnd"/>
      <w:r w:rsidRPr="004934D9">
        <w:rPr>
          <w:rFonts w:ascii="Calibri" w:eastAsia="Calibri" w:hAnsi="Calibri" w:cs="Calibri"/>
          <w:szCs w:val="24"/>
        </w:rPr>
        <w:t xml:space="preserve"> either as a Substantial Capital Expenditure or Substantial Change in Service, pursuant to 105 CMR 100.730, and that BMC may move forward with the proposed transfers and changes at the designated locations.</w:t>
      </w:r>
    </w:p>
    <w:p w14:paraId="27CF4950" w14:textId="77777777" w:rsidR="00704D08" w:rsidRPr="004934D9" w:rsidRDefault="00704D08" w:rsidP="00704D08">
      <w:pPr>
        <w:rPr>
          <w:rFonts w:ascii="Calibri" w:eastAsia="Calibri" w:hAnsi="Calibri" w:cs="Calibri"/>
          <w:szCs w:val="24"/>
        </w:rPr>
      </w:pPr>
    </w:p>
    <w:p w14:paraId="563C38D6" w14:textId="662DF094" w:rsidR="00704D08" w:rsidRDefault="00663BCA" w:rsidP="00704D08">
      <w:pPr>
        <w:rPr>
          <w:noProof/>
          <w:sz w:val="20"/>
        </w:rPr>
      </w:pPr>
      <w:r>
        <w:rPr>
          <w:noProof/>
          <w:sz w:val="20"/>
        </w:rPr>
        <w:t>[signature on file]</w:t>
      </w:r>
    </w:p>
    <w:p w14:paraId="0B733BA8" w14:textId="77777777" w:rsidR="00663BCA" w:rsidRPr="004934D9" w:rsidRDefault="00663BCA" w:rsidP="00704D08">
      <w:pPr>
        <w:rPr>
          <w:rFonts w:ascii="Calibri" w:eastAsia="Calibri" w:hAnsi="Calibri" w:cs="Calibri"/>
          <w:szCs w:val="24"/>
        </w:rPr>
      </w:pPr>
    </w:p>
    <w:p w14:paraId="5F5D3B1D"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Margret R. Cooke</w:t>
      </w:r>
    </w:p>
    <w:p w14:paraId="16B1AB6B" w14:textId="77777777" w:rsidR="00704D08" w:rsidRPr="004934D9" w:rsidRDefault="00704D08" w:rsidP="00704D08">
      <w:pPr>
        <w:rPr>
          <w:rFonts w:ascii="Calibri" w:eastAsia="Calibri" w:hAnsi="Calibri" w:cs="Calibri"/>
          <w:szCs w:val="24"/>
        </w:rPr>
      </w:pPr>
      <w:r w:rsidRPr="004934D9">
        <w:rPr>
          <w:rFonts w:ascii="Calibri" w:eastAsia="Calibri" w:hAnsi="Calibri" w:cs="Calibri"/>
          <w:szCs w:val="24"/>
        </w:rPr>
        <w:t>Commissioner</w:t>
      </w:r>
    </w:p>
    <w:p w14:paraId="67BB98B0" w14:textId="77777777" w:rsidR="00733436" w:rsidRPr="00704D08" w:rsidRDefault="00733436" w:rsidP="00704D08"/>
    <w:sectPr w:rsidR="00733436" w:rsidRPr="00704D08" w:rsidSect="004654ED">
      <w:type w:val="continuous"/>
      <w:pgSz w:w="12240" w:h="15840"/>
      <w:pgMar w:top="1440" w:right="1440" w:bottom="1440" w:left="144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FAD2" w14:textId="77777777" w:rsidR="00EB5BA1" w:rsidRDefault="00EB5BA1" w:rsidP="00704D08">
      <w:pPr>
        <w:spacing w:after="0" w:line="240" w:lineRule="auto"/>
      </w:pPr>
      <w:r>
        <w:separator/>
      </w:r>
    </w:p>
  </w:endnote>
  <w:endnote w:type="continuationSeparator" w:id="0">
    <w:p w14:paraId="38DFB75D" w14:textId="77777777" w:rsidR="00EB5BA1" w:rsidRDefault="00EB5BA1" w:rsidP="0070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86280"/>
      <w:docPartObj>
        <w:docPartGallery w:val="Page Numbers (Bottom of Page)"/>
        <w:docPartUnique/>
      </w:docPartObj>
    </w:sdtPr>
    <w:sdtEndPr>
      <w:rPr>
        <w:noProof/>
      </w:rPr>
    </w:sdtEndPr>
    <w:sdtContent>
      <w:p w14:paraId="49D9A464" w14:textId="77777777" w:rsidR="00651EA9" w:rsidRDefault="00651EA9" w:rsidP="00651EA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9DD77D0" w14:textId="77777777" w:rsidR="00651EA9" w:rsidRDefault="00651EA9" w:rsidP="00651EA9">
        <w:pPr>
          <w:pStyle w:val="Footer"/>
          <w:jc w:val="center"/>
          <w:rPr>
            <w:noProof/>
          </w:rPr>
        </w:pPr>
      </w:p>
      <w:p w14:paraId="012D5E51" w14:textId="3FB54919" w:rsidR="00651EA9" w:rsidRDefault="00EB5BA1" w:rsidP="00651EA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A86C" w14:textId="77777777" w:rsidR="00EB5BA1" w:rsidRDefault="00EB5BA1" w:rsidP="00704D08">
      <w:pPr>
        <w:spacing w:after="0" w:line="240" w:lineRule="auto"/>
      </w:pPr>
      <w:r>
        <w:separator/>
      </w:r>
    </w:p>
  </w:footnote>
  <w:footnote w:type="continuationSeparator" w:id="0">
    <w:p w14:paraId="5E21CC31" w14:textId="77777777" w:rsidR="00EB5BA1" w:rsidRDefault="00EB5BA1" w:rsidP="00704D08">
      <w:pPr>
        <w:spacing w:after="0" w:line="240" w:lineRule="auto"/>
      </w:pPr>
      <w:r>
        <w:continuationSeparator/>
      </w:r>
    </w:p>
  </w:footnote>
  <w:footnote w:id="1">
    <w:p w14:paraId="3909E038" w14:textId="77777777" w:rsidR="00704D08" w:rsidRPr="00CA2C6D" w:rsidRDefault="00704D08" w:rsidP="004654ED">
      <w:pPr>
        <w:spacing w:after="0" w:line="240" w:lineRule="auto"/>
        <w:rPr>
          <w:rFonts w:ascii="Calibri" w:hAnsi="Calibri" w:cs="Calibri"/>
        </w:rPr>
      </w:pPr>
      <w:r>
        <w:rPr>
          <w:rStyle w:val="FootnoteReference"/>
        </w:rPr>
        <w:footnoteRef/>
      </w:r>
      <w:r w:rsidRPr="00CA2C6D">
        <w:rPr>
          <w:rFonts w:ascii="Calibri" w:hAnsi="Calibri" w:cs="Calibri"/>
          <w:sz w:val="20"/>
        </w:rPr>
        <w:t xml:space="preserve"> 732 Harrison Avenue, Boston, MA 02118</w:t>
      </w:r>
    </w:p>
  </w:footnote>
  <w:footnote w:id="2">
    <w:p w14:paraId="4AEB8E99" w14:textId="77777777" w:rsidR="00704D08" w:rsidRPr="00CA2C6D" w:rsidRDefault="00704D08" w:rsidP="004654ED">
      <w:pPr>
        <w:pStyle w:val="FootnoteText"/>
        <w:rPr>
          <w:rFonts w:cs="Calibri"/>
        </w:rPr>
      </w:pPr>
      <w:r w:rsidRPr="00CA2C6D">
        <w:rPr>
          <w:rStyle w:val="FootnoteReference"/>
          <w:rFonts w:cs="Calibri"/>
        </w:rPr>
        <w:footnoteRef/>
      </w:r>
      <w:r w:rsidRPr="00CA2C6D">
        <w:rPr>
          <w:rFonts w:cs="Calibri"/>
        </w:rPr>
        <w:t xml:space="preserve"> 725 Albany Street, Boston, MA 02118,</w:t>
      </w:r>
    </w:p>
  </w:footnote>
  <w:footnote w:id="3">
    <w:p w14:paraId="49CA5DA5" w14:textId="77777777" w:rsidR="00704D08" w:rsidRPr="004934D9" w:rsidRDefault="00704D08" w:rsidP="00704D08">
      <w:pPr>
        <w:pStyle w:val="FootnoteText"/>
        <w:rPr>
          <w:rFonts w:cs="Calibri"/>
        </w:rPr>
      </w:pPr>
      <w:r w:rsidRPr="004934D9">
        <w:rPr>
          <w:rStyle w:val="FootnoteReference"/>
          <w:rFonts w:cs="Calibri"/>
        </w:rPr>
        <w:footnoteRef/>
      </w:r>
      <w:r w:rsidRPr="004934D9">
        <w:rPr>
          <w:rFonts w:cs="Calibri"/>
        </w:rPr>
        <w:t xml:space="preserve"> In the Doctor’s Office Building</w:t>
      </w:r>
    </w:p>
  </w:footnote>
  <w:footnote w:id="4">
    <w:p w14:paraId="73776984" w14:textId="77777777" w:rsidR="00704D08" w:rsidRPr="004934D9" w:rsidRDefault="00704D08" w:rsidP="00704D08">
      <w:pPr>
        <w:pStyle w:val="FootnoteText"/>
        <w:spacing w:line="252" w:lineRule="auto"/>
        <w:rPr>
          <w:rFonts w:cs="Calibri"/>
        </w:rPr>
      </w:pPr>
      <w:r w:rsidRPr="004934D9">
        <w:rPr>
          <w:rStyle w:val="FootnoteReference"/>
          <w:rFonts w:cs="Calibri"/>
        </w:rPr>
        <w:footnoteRef/>
      </w:r>
      <w:r w:rsidRPr="004934D9">
        <w:rPr>
          <w:rFonts w:cs="Calibri"/>
        </w:rPr>
        <w:t xml:space="preserve"> Pursuant to MGL Ch. 111 s. 25B, “Health Care Facility” is defined to include “a hospital or clinic . . . and any part of such facilities.” </w:t>
      </w:r>
    </w:p>
  </w:footnote>
  <w:footnote w:id="5">
    <w:p w14:paraId="4717E058" w14:textId="77777777" w:rsidR="00704D08" w:rsidRDefault="00704D08" w:rsidP="00704D08">
      <w:pPr>
        <w:pStyle w:val="FootnoteText"/>
      </w:pPr>
      <w:r w:rsidRPr="004934D9">
        <w:rPr>
          <w:rStyle w:val="FootnoteReference"/>
          <w:rFonts w:cs="Calibri"/>
        </w:rPr>
        <w:footnoteRef/>
      </w:r>
      <w:r w:rsidRPr="004934D9">
        <w:rPr>
          <w:rFonts w:cs="Calibri"/>
        </w:rPr>
        <w:t xml:space="preserve"> Which it defines as the cities and towns from which 75% of BMC’s PT and OT patients originate.</w:t>
      </w:r>
    </w:p>
  </w:footnote>
  <w:footnote w:id="6">
    <w:p w14:paraId="7A065F51" w14:textId="77777777" w:rsidR="00704D08" w:rsidRDefault="00704D08" w:rsidP="00704D08">
      <w:pPr>
        <w:pStyle w:val="FootnoteText"/>
      </w:pPr>
      <w:r>
        <w:rPr>
          <w:rStyle w:val="FootnoteReference"/>
        </w:rPr>
        <w:footnoteRef/>
      </w:r>
      <w:r>
        <w:t xml:space="preserve"> </w:t>
      </w:r>
      <w:r w:rsidRPr="009C460C">
        <w:t>major highways</w:t>
      </w:r>
    </w:p>
  </w:footnote>
  <w:footnote w:id="7">
    <w:p w14:paraId="61838DFA" w14:textId="77777777" w:rsidR="00704D08" w:rsidRPr="004934D9" w:rsidRDefault="00704D08" w:rsidP="00704D08">
      <w:pPr>
        <w:pStyle w:val="FootnoteText"/>
        <w:rPr>
          <w:rFonts w:cs="Calibri"/>
        </w:rPr>
      </w:pPr>
      <w:r w:rsidRPr="004934D9">
        <w:rPr>
          <w:rStyle w:val="FootnoteReference"/>
          <w:rFonts w:cs="Calibri"/>
        </w:rPr>
        <w:footnoteRef/>
      </w:r>
      <w:r w:rsidRPr="004934D9">
        <w:rPr>
          <w:rFonts w:cs="Calibri"/>
        </w:rPr>
        <w:t xml:space="preserve"> Separately, the Applicant has signaled the intent to relocate such services as orthopedics to the site. The Applicant is aware that for certain services or Substantial Capital Expenditures, a full </w:t>
      </w:r>
      <w:proofErr w:type="spellStart"/>
      <w:r w:rsidRPr="004934D9">
        <w:rPr>
          <w:rFonts w:cs="Calibri"/>
        </w:rPr>
        <w:t>DoN</w:t>
      </w:r>
      <w:proofErr w:type="spellEnd"/>
      <w:r w:rsidRPr="004934D9">
        <w:rPr>
          <w:rFonts w:cs="Calibri"/>
        </w:rPr>
        <w:t xml:space="preserve"> submission may be required. </w:t>
      </w:r>
    </w:p>
  </w:footnote>
  <w:footnote w:id="8">
    <w:p w14:paraId="0EEA8ADD" w14:textId="77777777" w:rsidR="00704D08" w:rsidRPr="004934D9" w:rsidRDefault="00704D08" w:rsidP="00704D08">
      <w:pPr>
        <w:pStyle w:val="FootnoteText"/>
        <w:rPr>
          <w:rFonts w:cs="Calibri"/>
        </w:rPr>
      </w:pPr>
      <w:r w:rsidRPr="004934D9">
        <w:rPr>
          <w:rStyle w:val="FootnoteReference"/>
          <w:rFonts w:cs="Calibri"/>
        </w:rPr>
        <w:footnoteRef/>
      </w:r>
      <w:r w:rsidRPr="004934D9">
        <w:rPr>
          <w:rFonts w:cs="Calibri"/>
        </w:rPr>
        <w:t xml:space="preserve"> Pursuant to MGL Ch. 111 s. 25B, “Health Care Facility” is defined to include “a hospital or clinic . . . and any part of such facilities.” </w:t>
      </w:r>
    </w:p>
  </w:footnote>
  <w:footnote w:id="9">
    <w:p w14:paraId="56DDE7FF" w14:textId="77777777" w:rsidR="00704D08" w:rsidRDefault="00704D08" w:rsidP="00704D08">
      <w:pPr>
        <w:pStyle w:val="FootnoteText"/>
      </w:pPr>
      <w:r>
        <w:rPr>
          <w:rStyle w:val="FootnoteReference"/>
        </w:rPr>
        <w:footnoteRef/>
      </w:r>
      <w:r>
        <w:t xml:space="preserve"> For FY 2022; it is adjusted annually for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4119" w14:textId="77777777" w:rsidR="00704D08" w:rsidRDefault="00EB5BA1">
    <w:pPr>
      <w:pStyle w:val="Header"/>
    </w:pPr>
    <w:r>
      <w:rPr>
        <w:noProof/>
      </w:rPr>
      <w:pict w14:anchorId="4651C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7"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3B98" w14:textId="77777777" w:rsidR="00704D08" w:rsidRDefault="00EB5BA1">
    <w:pPr>
      <w:pStyle w:val="Header"/>
    </w:pPr>
    <w:r>
      <w:rPr>
        <w:noProof/>
      </w:rPr>
      <w:pict w14:anchorId="4B073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8"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6BAB"/>
    <w:multiLevelType w:val="hybridMultilevel"/>
    <w:tmpl w:val="1ADCE7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E0259A"/>
    <w:multiLevelType w:val="hybridMultilevel"/>
    <w:tmpl w:val="EE46A706"/>
    <w:lvl w:ilvl="0" w:tplc="BC3CD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81884"/>
    <w:multiLevelType w:val="hybridMultilevel"/>
    <w:tmpl w:val="0400E318"/>
    <w:lvl w:ilvl="0" w:tplc="EC5ACB40">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DD113E9"/>
    <w:multiLevelType w:val="hybridMultilevel"/>
    <w:tmpl w:val="08BA4618"/>
    <w:lvl w:ilvl="0" w:tplc="B2A27DC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12120F"/>
    <w:multiLevelType w:val="hybridMultilevel"/>
    <w:tmpl w:val="DDAEF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887302">
    <w:abstractNumId w:val="4"/>
  </w:num>
  <w:num w:numId="2" w16cid:durableId="1763144732">
    <w:abstractNumId w:val="0"/>
  </w:num>
  <w:num w:numId="3" w16cid:durableId="450168524">
    <w:abstractNumId w:val="1"/>
  </w:num>
  <w:num w:numId="4" w16cid:durableId="1957061294">
    <w:abstractNumId w:val="2"/>
  </w:num>
  <w:num w:numId="5" w16cid:durableId="87700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08"/>
    <w:rsid w:val="001065FC"/>
    <w:rsid w:val="00225276"/>
    <w:rsid w:val="002F79FA"/>
    <w:rsid w:val="004654ED"/>
    <w:rsid w:val="00651EA9"/>
    <w:rsid w:val="00663BCA"/>
    <w:rsid w:val="006D765D"/>
    <w:rsid w:val="00704D08"/>
    <w:rsid w:val="00733436"/>
    <w:rsid w:val="00D97FF5"/>
    <w:rsid w:val="00EB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4006"/>
  <w15:chartTrackingRefBased/>
  <w15:docId w15:val="{0DD0F87E-F565-4B9C-9F24-D5E80A45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704D08"/>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704D08"/>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704D08"/>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character" w:styleId="Hyperlink">
    <w:name w:val="Hyperlink"/>
    <w:rsid w:val="00704D08"/>
    <w:rPr>
      <w:color w:val="0000FF"/>
      <w:u w:val="single"/>
    </w:rPr>
  </w:style>
  <w:style w:type="paragraph" w:styleId="Header">
    <w:name w:val="header"/>
    <w:basedOn w:val="Normal"/>
    <w:link w:val="HeaderChar"/>
    <w:rsid w:val="00704D08"/>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04D08"/>
    <w:rPr>
      <w:rFonts w:ascii="Times New Roman" w:eastAsia="Times New Roman" w:hAnsi="Times New Roman" w:cs="Times New Roman"/>
      <w:sz w:val="24"/>
      <w:szCs w:val="20"/>
    </w:rPr>
  </w:style>
  <w:style w:type="paragraph" w:styleId="Footer">
    <w:name w:val="footer"/>
    <w:basedOn w:val="Normal"/>
    <w:link w:val="FooterChar"/>
    <w:uiPriority w:val="99"/>
    <w:rsid w:val="00704D08"/>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04D08"/>
    <w:rPr>
      <w:rFonts w:ascii="Times New Roman" w:eastAsia="Times New Roman" w:hAnsi="Times New Roman" w:cs="Times New Roman"/>
      <w:sz w:val="24"/>
      <w:szCs w:val="20"/>
    </w:rPr>
  </w:style>
  <w:style w:type="paragraph" w:styleId="ListParagraph">
    <w:name w:val="List Paragraph"/>
    <w:basedOn w:val="Normal"/>
    <w:uiPriority w:val="34"/>
    <w:qFormat/>
    <w:rsid w:val="00704D08"/>
    <w:pPr>
      <w:spacing w:after="0" w:line="240" w:lineRule="auto"/>
      <w:ind w:left="720"/>
      <w:contextualSpacing/>
    </w:pPr>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704D0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04D08"/>
    <w:rPr>
      <w:rFonts w:ascii="Calibri" w:eastAsia="Calibri" w:hAnsi="Calibri" w:cs="Times New Roman"/>
      <w:sz w:val="20"/>
      <w:szCs w:val="20"/>
    </w:rPr>
  </w:style>
  <w:style w:type="character" w:styleId="FootnoteReference">
    <w:name w:val="footnote reference"/>
    <w:uiPriority w:val="99"/>
    <w:unhideWhenUsed/>
    <w:rsid w:val="00704D08"/>
    <w:rPr>
      <w:vertAlign w:val="superscript"/>
    </w:rPr>
  </w:style>
  <w:style w:type="character" w:styleId="UnresolvedMention">
    <w:name w:val="Unresolved Mention"/>
    <w:basedOn w:val="DefaultParagraphFont"/>
    <w:uiPriority w:val="99"/>
    <w:semiHidden/>
    <w:unhideWhenUsed/>
    <w:rsid w:val="006D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harrell@barrettharr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cp:revision>
  <dcterms:created xsi:type="dcterms:W3CDTF">2022-08-02T15:22:00Z</dcterms:created>
  <dcterms:modified xsi:type="dcterms:W3CDTF">2022-08-02T18:29:00Z</dcterms:modified>
</cp:coreProperties>
</file>