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7F43" w14:textId="77777777" w:rsidR="001C476B" w:rsidRDefault="001C476B" w:rsidP="001C476B">
      <w:pPr>
        <w:rPr>
          <w:rFonts w:ascii="Arial" w:hAnsi="Arial"/>
          <w:sz w:val="36"/>
        </w:rPr>
      </w:pPr>
      <w:r>
        <w:rPr>
          <w:rFonts w:ascii="LinePrinter" w:hAnsi="LinePrinter"/>
          <w:noProof/>
        </w:rPr>
        <w:drawing>
          <wp:inline distT="0" distB="0" distL="0" distR="0" wp14:anchorId="102D8310" wp14:editId="3D09B1E6">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575FF1E6" w14:textId="77777777" w:rsidR="001C476B" w:rsidRDefault="001C476B" w:rsidP="001C476B">
      <w:pPr>
        <w:pStyle w:val="ExecOffice"/>
        <w:framePr w:w="0" w:hSpace="0" w:wrap="auto" w:vAnchor="margin" w:hAnchor="text" w:xAlign="left" w:yAlign="inline"/>
      </w:pPr>
      <w:r>
        <w:t>Executive Office of Health and Human Services</w:t>
      </w:r>
    </w:p>
    <w:p w14:paraId="16CFE61D" w14:textId="77777777" w:rsidR="001C476B" w:rsidRDefault="001C476B" w:rsidP="001C476B">
      <w:pPr>
        <w:pStyle w:val="ExecOffice"/>
        <w:framePr w:w="0" w:hSpace="0" w:wrap="auto" w:vAnchor="margin" w:hAnchor="text" w:xAlign="left" w:yAlign="inline"/>
      </w:pPr>
      <w:r>
        <w:t>Department of Public Health</w:t>
      </w:r>
    </w:p>
    <w:p w14:paraId="40BBAD0B" w14:textId="77777777" w:rsidR="001C476B" w:rsidRDefault="001C476B" w:rsidP="001C476B">
      <w:pPr>
        <w:pStyle w:val="ExecOffice"/>
        <w:framePr w:w="0" w:hSpace="0" w:wrap="auto" w:vAnchor="margin" w:hAnchor="text" w:xAlign="left" w:yAlign="inline"/>
      </w:pPr>
      <w:r>
        <w:t>250 Washington Street, Boston, MA 02108-4619</w:t>
      </w:r>
    </w:p>
    <w:p w14:paraId="7AEA55E9" w14:textId="77777777" w:rsidR="001C476B" w:rsidRDefault="001C476B" w:rsidP="001C476B">
      <w:pPr>
        <w:ind w:right="2790"/>
        <w:contextualSpacing/>
        <w:rPr>
          <w:rFonts w:ascii="Arial Rounded MT Bold" w:hAnsi="Arial Rounded MT Bold"/>
          <w:sz w:val="18"/>
          <w:szCs w:val="22"/>
        </w:rPr>
        <w:sectPr w:rsidR="001C476B" w:rsidSect="00CF7736">
          <w:headerReference w:type="even" r:id="rId6"/>
          <w:headerReference w:type="first" r:id="rId7"/>
          <w:pgSz w:w="12240" w:h="15840"/>
          <w:pgMar w:top="536" w:right="1440" w:bottom="1440" w:left="1440" w:header="720" w:footer="288" w:gutter="0"/>
          <w:cols w:space="720"/>
          <w:docGrid w:linePitch="360"/>
        </w:sectPr>
      </w:pPr>
    </w:p>
    <w:p w14:paraId="0AEEC076" w14:textId="77777777" w:rsidR="001C476B" w:rsidRDefault="001C476B" w:rsidP="001C476B">
      <w:pPr>
        <w:ind w:right="2790"/>
        <w:contextualSpacing/>
        <w:rPr>
          <w:rFonts w:ascii="Arial Rounded MT Bold" w:hAnsi="Arial Rounded MT Bold"/>
          <w:sz w:val="18"/>
          <w:szCs w:val="22"/>
        </w:rPr>
      </w:pPr>
    </w:p>
    <w:p w14:paraId="045A293E" w14:textId="77777777" w:rsidR="001C476B" w:rsidRPr="00554081" w:rsidRDefault="001C476B" w:rsidP="001C476B">
      <w:pPr>
        <w:ind w:right="2340"/>
        <w:contextualSpacing/>
        <w:jc w:val="center"/>
        <w:rPr>
          <w:rFonts w:ascii="Arial Rounded MT Bold" w:hAnsi="Arial Rounded MT Bold"/>
          <w:sz w:val="18"/>
          <w:szCs w:val="22"/>
        </w:rPr>
      </w:pPr>
      <w:r>
        <w:rPr>
          <w:rFonts w:ascii="Arial Rounded MT Bold" w:hAnsi="Arial Rounded MT Bold"/>
          <w:sz w:val="18"/>
          <w:szCs w:val="22"/>
        </w:rPr>
        <w:t>MAURA T. HEALEY</w:t>
      </w:r>
    </w:p>
    <w:p w14:paraId="11ECCFBF" w14:textId="77777777" w:rsidR="001C476B" w:rsidRDefault="001C476B" w:rsidP="001C476B">
      <w:pPr>
        <w:pStyle w:val="Weld"/>
        <w:framePr w:hSpace="0" w:wrap="auto" w:vAnchor="margin" w:hAnchor="text" w:xAlign="left" w:yAlign="inline"/>
        <w:ind w:right="2340"/>
      </w:pPr>
      <w:r>
        <w:t>Governor</w:t>
      </w:r>
    </w:p>
    <w:p w14:paraId="44EA89E9" w14:textId="77777777" w:rsidR="001C476B" w:rsidRDefault="001C476B" w:rsidP="001C476B">
      <w:pPr>
        <w:ind w:right="2340"/>
        <w:contextualSpacing/>
        <w:jc w:val="center"/>
        <w:rPr>
          <w:sz w:val="16"/>
        </w:rPr>
      </w:pPr>
    </w:p>
    <w:p w14:paraId="74B979F8" w14:textId="77777777" w:rsidR="001C476B" w:rsidRPr="00554081" w:rsidRDefault="001C476B" w:rsidP="001C476B">
      <w:pPr>
        <w:ind w:right="2250"/>
        <w:contextualSpacing/>
        <w:jc w:val="center"/>
        <w:rPr>
          <w:rFonts w:ascii="Arial Rounded MT Bold" w:hAnsi="Arial Rounded MT Bold"/>
          <w:sz w:val="18"/>
          <w:szCs w:val="22"/>
        </w:rPr>
      </w:pPr>
      <w:r>
        <w:rPr>
          <w:rFonts w:ascii="Arial Rounded MT Bold" w:hAnsi="Arial Rounded MT Bold"/>
          <w:sz w:val="18"/>
          <w:szCs w:val="22"/>
        </w:rPr>
        <w:t>KIMBERLEY DRISCOLL</w:t>
      </w:r>
    </w:p>
    <w:p w14:paraId="0A89267E" w14:textId="77777777" w:rsidR="001C476B" w:rsidRPr="00624404" w:rsidRDefault="001C476B" w:rsidP="001C476B">
      <w:pPr>
        <w:pStyle w:val="Weld"/>
        <w:framePr w:hSpace="0" w:wrap="auto" w:vAnchor="margin" w:hAnchor="text" w:xAlign="left" w:yAlign="inline"/>
        <w:ind w:right="2340"/>
        <w:rPr>
          <w:rFonts w:ascii="Calibri" w:hAnsi="Calibri" w:cs="Calibri"/>
          <w:szCs w:val="24"/>
        </w:rPr>
      </w:pPr>
      <w:r>
        <w:t>Lieutenant Governor</w:t>
      </w:r>
    </w:p>
    <w:p w14:paraId="4A966BF1" w14:textId="77777777" w:rsidR="001C476B" w:rsidRDefault="001C476B" w:rsidP="001C476B">
      <w:pPr>
        <w:pStyle w:val="Weld"/>
        <w:framePr w:hSpace="0" w:wrap="auto" w:vAnchor="margin" w:hAnchor="text" w:xAlign="left" w:yAlign="inline"/>
        <w:ind w:right="2340"/>
        <w:jc w:val="left"/>
      </w:pPr>
    </w:p>
    <w:p w14:paraId="07B7D0EC" w14:textId="77777777" w:rsidR="001C476B" w:rsidRDefault="001C476B" w:rsidP="001C476B">
      <w:pPr>
        <w:pStyle w:val="Weld"/>
        <w:framePr w:hSpace="0" w:wrap="auto" w:vAnchor="margin" w:hAnchor="text" w:xAlign="left" w:yAlign="inline"/>
        <w:ind w:right="2340"/>
        <w:jc w:val="left"/>
      </w:pPr>
    </w:p>
    <w:p w14:paraId="31D6B571" w14:textId="77777777" w:rsidR="001C476B" w:rsidRDefault="001C476B" w:rsidP="001C476B">
      <w:pPr>
        <w:pStyle w:val="Weld"/>
        <w:framePr w:hSpace="0" w:wrap="auto" w:vAnchor="margin" w:hAnchor="text" w:xAlign="left" w:yAlign="inline"/>
        <w:ind w:right="2340"/>
        <w:jc w:val="left"/>
      </w:pPr>
    </w:p>
    <w:p w14:paraId="14FB8360" w14:textId="77777777" w:rsidR="001C476B" w:rsidRPr="00554081" w:rsidRDefault="001C476B" w:rsidP="001C476B">
      <w:pPr>
        <w:ind w:left="1980"/>
        <w:contextualSpacing/>
        <w:jc w:val="center"/>
        <w:rPr>
          <w:rFonts w:ascii="Arial Rounded MT Bold" w:hAnsi="Arial Rounded MT Bold"/>
          <w:sz w:val="18"/>
          <w:szCs w:val="22"/>
        </w:rPr>
      </w:pPr>
      <w:r>
        <w:rPr>
          <w:rFonts w:ascii="Arial Rounded MT Bold" w:hAnsi="Arial Rounded MT Bold"/>
          <w:sz w:val="18"/>
          <w:szCs w:val="22"/>
        </w:rPr>
        <w:t>MARY A BECKMAN</w:t>
      </w:r>
    </w:p>
    <w:p w14:paraId="0FEBACC1" w14:textId="77777777" w:rsidR="001C476B" w:rsidRDefault="001C476B" w:rsidP="001C476B">
      <w:pPr>
        <w:pStyle w:val="Weld"/>
        <w:framePr w:hSpace="0" w:wrap="auto" w:vAnchor="margin" w:hAnchor="text" w:xAlign="left" w:yAlign="inline"/>
        <w:ind w:left="1980"/>
      </w:pPr>
      <w:r>
        <w:t>Acting Secretary</w:t>
      </w:r>
    </w:p>
    <w:p w14:paraId="5F4F2866" w14:textId="77777777" w:rsidR="001C476B" w:rsidRDefault="001C476B" w:rsidP="001C476B">
      <w:pPr>
        <w:pStyle w:val="Weld"/>
        <w:framePr w:hSpace="0" w:wrap="auto" w:vAnchor="margin" w:hAnchor="text" w:xAlign="left" w:yAlign="inline"/>
        <w:ind w:left="1980"/>
      </w:pPr>
    </w:p>
    <w:p w14:paraId="7ACDCB69" w14:textId="77777777" w:rsidR="001C476B" w:rsidRDefault="001C476B" w:rsidP="001C476B">
      <w:pPr>
        <w:ind w:left="1980"/>
        <w:contextualSpacing/>
        <w:jc w:val="center"/>
        <w:rPr>
          <w:szCs w:val="16"/>
        </w:rPr>
      </w:pPr>
      <w:r w:rsidRPr="00554081">
        <w:rPr>
          <w:rFonts w:ascii="Arial Rounded MT Bold" w:hAnsi="Arial Rounded MT Bold"/>
          <w:sz w:val="18"/>
          <w:szCs w:val="22"/>
        </w:rPr>
        <w:t>MARGRET R. COOKE</w:t>
      </w:r>
    </w:p>
    <w:p w14:paraId="44016CBC" w14:textId="77777777" w:rsidR="001C476B" w:rsidRPr="00C2477D" w:rsidRDefault="001C476B" w:rsidP="001C476B">
      <w:pPr>
        <w:pStyle w:val="Weld"/>
        <w:framePr w:hSpace="0" w:wrap="auto" w:vAnchor="margin" w:hAnchor="text" w:xAlign="left" w:yAlign="inline"/>
        <w:ind w:left="1980"/>
      </w:pPr>
      <w:r>
        <w:rPr>
          <w:szCs w:val="14"/>
        </w:rPr>
        <w:t>C</w:t>
      </w:r>
      <w:r w:rsidRPr="00FC6B42">
        <w:rPr>
          <w:szCs w:val="14"/>
        </w:rPr>
        <w:t>ommissioner</w:t>
      </w:r>
    </w:p>
    <w:p w14:paraId="05B5503A" w14:textId="77777777" w:rsidR="001C476B" w:rsidRDefault="001C476B" w:rsidP="001C476B">
      <w:pPr>
        <w:pStyle w:val="Governor"/>
        <w:framePr w:hSpace="0" w:wrap="auto" w:vAnchor="margin" w:hAnchor="text" w:xAlign="left" w:yAlign="inline"/>
        <w:spacing w:after="0"/>
        <w:ind w:left="1980"/>
        <w:rPr>
          <w:rFonts w:ascii="Arial" w:hAnsi="Arial" w:cs="Arial"/>
          <w:b/>
          <w:szCs w:val="14"/>
        </w:rPr>
      </w:pPr>
    </w:p>
    <w:p w14:paraId="17D37214" w14:textId="77777777" w:rsidR="001C476B" w:rsidRDefault="001C476B" w:rsidP="001C476B">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CC14CD" w14:textId="77777777" w:rsidR="001C476B" w:rsidRPr="00A763BA" w:rsidRDefault="001C476B" w:rsidP="001C476B">
      <w:pPr>
        <w:pStyle w:val="Governor"/>
        <w:framePr w:hSpace="0" w:wrap="auto" w:vAnchor="margin" w:hAnchor="text" w:xAlign="left" w:yAlign="inline"/>
        <w:spacing w:after="0"/>
        <w:ind w:left="1980"/>
        <w:rPr>
          <w:sz w:val="16"/>
        </w:rPr>
      </w:pPr>
      <w:hyperlink r:id="rId8" w:history="1">
        <w:r w:rsidRPr="00A51A30">
          <w:rPr>
            <w:rStyle w:val="Hyperlink"/>
            <w:rFonts w:ascii="Arial" w:hAnsi="Arial" w:cs="Arial"/>
            <w:b/>
            <w:szCs w:val="14"/>
            <w:lang w:val="fr-FR"/>
          </w:rPr>
          <w:t>www.mass.gov/dph</w:t>
        </w:r>
      </w:hyperlink>
    </w:p>
    <w:p w14:paraId="2146C468" w14:textId="77777777" w:rsidR="001C476B" w:rsidRDefault="001C476B" w:rsidP="001C476B">
      <w:pPr>
        <w:ind w:right="2340"/>
        <w:sectPr w:rsidR="001C476B" w:rsidSect="005B14DC">
          <w:type w:val="continuous"/>
          <w:pgSz w:w="12240" w:h="15840"/>
          <w:pgMar w:top="1440" w:right="1440" w:bottom="1440" w:left="1440" w:header="720" w:footer="720" w:gutter="0"/>
          <w:cols w:num="2" w:space="720"/>
          <w:docGrid w:linePitch="360"/>
        </w:sectPr>
      </w:pPr>
    </w:p>
    <w:p w14:paraId="32E98BA5" w14:textId="77777777" w:rsidR="001C476B" w:rsidRDefault="001C476B" w:rsidP="001C476B">
      <w:pPr>
        <w:rPr>
          <w:szCs w:val="24"/>
        </w:rPr>
      </w:pPr>
    </w:p>
    <w:p w14:paraId="19D43D73" w14:textId="77777777" w:rsidR="001C476B" w:rsidRDefault="001C476B" w:rsidP="001C476B">
      <w:pPr>
        <w:pStyle w:val="BodyText"/>
        <w:spacing w:before="110"/>
        <w:ind w:left="840"/>
      </w:pPr>
      <w:r>
        <w:t>DATE:</w:t>
      </w:r>
      <w:r>
        <w:rPr>
          <w:spacing w:val="-3"/>
        </w:rPr>
        <w:t xml:space="preserve"> </w:t>
      </w:r>
      <w:r>
        <w:t>February</w:t>
      </w:r>
      <w:r>
        <w:rPr>
          <w:spacing w:val="-3"/>
        </w:rPr>
        <w:t xml:space="preserve"> </w:t>
      </w:r>
      <w:r>
        <w:t>28</w:t>
      </w:r>
      <w:r>
        <w:rPr>
          <w:vertAlign w:val="superscript"/>
        </w:rPr>
        <w:t>th</w:t>
      </w:r>
      <w:r>
        <w:t>,</w:t>
      </w:r>
      <w:r>
        <w:rPr>
          <w:spacing w:val="-2"/>
        </w:rPr>
        <w:t xml:space="preserve"> </w:t>
      </w:r>
      <w:r>
        <w:rPr>
          <w:spacing w:val="-4"/>
        </w:rPr>
        <w:t>2023</w:t>
      </w:r>
    </w:p>
    <w:p w14:paraId="7E4617A6" w14:textId="77777777" w:rsidR="001C476B" w:rsidRDefault="001C476B" w:rsidP="001C476B">
      <w:pPr>
        <w:pStyle w:val="BodyText"/>
      </w:pPr>
    </w:p>
    <w:p w14:paraId="62064851" w14:textId="77777777" w:rsidR="001C476B" w:rsidRDefault="001C476B" w:rsidP="001C476B">
      <w:pPr>
        <w:pStyle w:val="BodyText"/>
        <w:ind w:left="839" w:right="7055"/>
      </w:pPr>
      <w:r>
        <w:t>Courtney</w:t>
      </w:r>
      <w:r>
        <w:rPr>
          <w:spacing w:val="-12"/>
        </w:rPr>
        <w:t xml:space="preserve"> </w:t>
      </w:r>
      <w:r>
        <w:t>Pasay</w:t>
      </w:r>
      <w:r>
        <w:rPr>
          <w:spacing w:val="-12"/>
        </w:rPr>
        <w:t xml:space="preserve"> </w:t>
      </w:r>
      <w:r>
        <w:t>Vaughan,</w:t>
      </w:r>
      <w:r>
        <w:rPr>
          <w:spacing w:val="-12"/>
        </w:rPr>
        <w:t xml:space="preserve"> </w:t>
      </w:r>
      <w:r>
        <w:t>Esq. Health Care Counsel</w:t>
      </w:r>
    </w:p>
    <w:p w14:paraId="261145EF" w14:textId="77777777" w:rsidR="001C476B" w:rsidRDefault="001C476B" w:rsidP="001C476B">
      <w:pPr>
        <w:pStyle w:val="BodyText"/>
        <w:ind w:left="839" w:right="7055"/>
      </w:pPr>
      <w:r>
        <w:t>Smith,</w:t>
      </w:r>
      <w:r>
        <w:rPr>
          <w:spacing w:val="-13"/>
        </w:rPr>
        <w:t xml:space="preserve"> </w:t>
      </w:r>
      <w:r>
        <w:t>Costello</w:t>
      </w:r>
      <w:r>
        <w:rPr>
          <w:spacing w:val="-13"/>
        </w:rPr>
        <w:t xml:space="preserve"> </w:t>
      </w:r>
      <w:r>
        <w:t>&amp;</w:t>
      </w:r>
      <w:r>
        <w:rPr>
          <w:spacing w:val="-13"/>
        </w:rPr>
        <w:t xml:space="preserve"> </w:t>
      </w:r>
      <w:r>
        <w:t>Crawford Public Policy Law Group.</w:t>
      </w:r>
    </w:p>
    <w:p w14:paraId="7FB4BAFC" w14:textId="77777777" w:rsidR="001C476B" w:rsidRDefault="001C476B" w:rsidP="001C476B">
      <w:pPr>
        <w:pStyle w:val="BodyText"/>
        <w:ind w:left="839" w:right="7055"/>
      </w:pPr>
      <w:r>
        <w:t>One</w:t>
      </w:r>
      <w:r>
        <w:rPr>
          <w:spacing w:val="-10"/>
        </w:rPr>
        <w:t xml:space="preserve"> </w:t>
      </w:r>
      <w:r>
        <w:t>State</w:t>
      </w:r>
      <w:r>
        <w:rPr>
          <w:spacing w:val="-10"/>
        </w:rPr>
        <w:t xml:space="preserve"> </w:t>
      </w:r>
      <w:r>
        <w:t>Street,</w:t>
      </w:r>
      <w:r>
        <w:rPr>
          <w:spacing w:val="-9"/>
        </w:rPr>
        <w:t xml:space="preserve"> </w:t>
      </w:r>
      <w:r>
        <w:t>15th</w:t>
      </w:r>
      <w:r>
        <w:rPr>
          <w:spacing w:val="-9"/>
        </w:rPr>
        <w:t xml:space="preserve"> </w:t>
      </w:r>
      <w:r>
        <w:t>Floor Boston, MA 02109</w:t>
      </w:r>
    </w:p>
    <w:p w14:paraId="53765B98" w14:textId="77777777" w:rsidR="001C476B" w:rsidRDefault="001C476B" w:rsidP="001C476B">
      <w:pPr>
        <w:pStyle w:val="BodyText"/>
      </w:pPr>
    </w:p>
    <w:p w14:paraId="7EA4AE68" w14:textId="77777777" w:rsidR="001C476B" w:rsidRDefault="001C476B" w:rsidP="001C476B">
      <w:pPr>
        <w:pStyle w:val="BodyText"/>
        <w:ind w:left="839"/>
      </w:pPr>
      <w:r>
        <w:t>VIA</w:t>
      </w:r>
      <w:r>
        <w:rPr>
          <w:spacing w:val="-4"/>
        </w:rPr>
        <w:t xml:space="preserve"> </w:t>
      </w:r>
      <w:r>
        <w:t>electronic</w:t>
      </w:r>
      <w:r>
        <w:rPr>
          <w:spacing w:val="-4"/>
        </w:rPr>
        <w:t xml:space="preserve"> </w:t>
      </w:r>
      <w:r>
        <w:t>mail:</w:t>
      </w:r>
      <w:r>
        <w:rPr>
          <w:spacing w:val="-2"/>
        </w:rPr>
        <w:t xml:space="preserve"> </w:t>
      </w:r>
      <w:hyperlink r:id="rId9">
        <w:r>
          <w:rPr>
            <w:color w:val="0000FF"/>
            <w:spacing w:val="-2"/>
            <w:u w:val="single" w:color="0000FF"/>
          </w:rPr>
          <w:t>CPVaughan@publicpolicylaw.com</w:t>
        </w:r>
      </w:hyperlink>
    </w:p>
    <w:p w14:paraId="0EC3C3F8" w14:textId="77777777" w:rsidR="001C476B" w:rsidRDefault="001C476B" w:rsidP="001C476B">
      <w:pPr>
        <w:pStyle w:val="BodyText"/>
        <w:rPr>
          <w:sz w:val="26"/>
        </w:rPr>
      </w:pPr>
    </w:p>
    <w:p w14:paraId="0741C20F" w14:textId="77777777" w:rsidR="001C476B" w:rsidRDefault="001C476B" w:rsidP="001C476B">
      <w:pPr>
        <w:pStyle w:val="BodyText"/>
        <w:rPr>
          <w:sz w:val="22"/>
        </w:rPr>
      </w:pPr>
    </w:p>
    <w:p w14:paraId="00BE7F70" w14:textId="77777777" w:rsidR="001C476B" w:rsidRDefault="001C476B" w:rsidP="001C476B">
      <w:pPr>
        <w:pStyle w:val="BodyText"/>
        <w:spacing w:before="1" w:line="480" w:lineRule="auto"/>
        <w:ind w:left="840" w:right="4123"/>
      </w:pPr>
      <w:r>
        <w:t>RE:</w:t>
      </w:r>
      <w:r>
        <w:rPr>
          <w:spacing w:val="-5"/>
        </w:rPr>
        <w:t xml:space="preserve"> </w:t>
      </w:r>
      <w:r>
        <w:t>Notice</w:t>
      </w:r>
      <w:r>
        <w:rPr>
          <w:spacing w:val="-6"/>
        </w:rPr>
        <w:t xml:space="preserve"> </w:t>
      </w:r>
      <w:r>
        <w:t>of</w:t>
      </w:r>
      <w:r>
        <w:rPr>
          <w:spacing w:val="-7"/>
        </w:rPr>
        <w:t xml:space="preserve"> </w:t>
      </w:r>
      <w:r>
        <w:t>Transfer</w:t>
      </w:r>
      <w:r>
        <w:rPr>
          <w:spacing w:val="-6"/>
        </w:rPr>
        <w:t xml:space="preserve"> </w:t>
      </w:r>
      <w:r>
        <w:t>of</w:t>
      </w:r>
      <w:r>
        <w:rPr>
          <w:spacing w:val="-6"/>
        </w:rPr>
        <w:t xml:space="preserve"> </w:t>
      </w:r>
      <w:r>
        <w:t>Site</w:t>
      </w:r>
      <w:r>
        <w:rPr>
          <w:spacing w:val="-6"/>
        </w:rPr>
        <w:t xml:space="preserve"> </w:t>
      </w:r>
      <w:r>
        <w:t>Application</w:t>
      </w:r>
      <w:r>
        <w:rPr>
          <w:spacing w:val="-6"/>
        </w:rPr>
        <w:t xml:space="preserve"> </w:t>
      </w:r>
      <w:r>
        <w:t>#23022314-TS Dear Attorney Vaughan,</w:t>
      </w:r>
    </w:p>
    <w:p w14:paraId="272B91D4" w14:textId="77777777" w:rsidR="001C476B" w:rsidRDefault="001C476B" w:rsidP="001C476B">
      <w:pPr>
        <w:pStyle w:val="BodyText"/>
        <w:ind w:left="839" w:right="816"/>
      </w:pPr>
      <w:r>
        <w:t>We are in receipt of the above-referenced Notice and its accompanying attachments, dated February 27, 2023, wherein Shields Signature Imaging, LLC (Shields) provided notice to the Department of Public Health (the Department) in accordance with 105 CMR 100.745 for a proposed temporary transfer of site of one mobile positron emission tomography/computed tomography (PET-CT) unit from its licensed clinic located at Signature Healthcare Brockton Hospital</w:t>
      </w:r>
      <w:r>
        <w:rPr>
          <w:spacing w:val="-5"/>
        </w:rPr>
        <w:t xml:space="preserve"> </w:t>
      </w:r>
      <w:r>
        <w:t>(Brockton</w:t>
      </w:r>
      <w:r>
        <w:rPr>
          <w:spacing w:val="-5"/>
        </w:rPr>
        <w:t xml:space="preserve"> </w:t>
      </w:r>
      <w:r>
        <w:t>Hospital</w:t>
      </w:r>
      <w:r>
        <w:rPr>
          <w:spacing w:val="-4"/>
        </w:rPr>
        <w:t xml:space="preserve"> </w:t>
      </w:r>
      <w:r>
        <w:t>or</w:t>
      </w:r>
      <w:r>
        <w:rPr>
          <w:spacing w:val="-6"/>
        </w:rPr>
        <w:t xml:space="preserve"> </w:t>
      </w:r>
      <w:r>
        <w:t>Hospital)</w:t>
      </w:r>
      <w:r>
        <w:rPr>
          <w:spacing w:val="-6"/>
        </w:rPr>
        <w:t xml:space="preserve"> </w:t>
      </w:r>
      <w:r>
        <w:t>campus,</w:t>
      </w:r>
      <w:r>
        <w:rPr>
          <w:spacing w:val="-3"/>
        </w:rPr>
        <w:t xml:space="preserve"> </w:t>
      </w:r>
      <w:r>
        <w:t>680</w:t>
      </w:r>
      <w:r>
        <w:rPr>
          <w:spacing w:val="-5"/>
        </w:rPr>
        <w:t xml:space="preserve"> </w:t>
      </w:r>
      <w:r>
        <w:t>Centre</w:t>
      </w:r>
      <w:r>
        <w:rPr>
          <w:spacing w:val="-6"/>
        </w:rPr>
        <w:t xml:space="preserve"> </w:t>
      </w:r>
      <w:r>
        <w:t>Street</w:t>
      </w:r>
      <w:r>
        <w:rPr>
          <w:spacing w:val="-5"/>
        </w:rPr>
        <w:t xml:space="preserve"> </w:t>
      </w:r>
      <w:r>
        <w:t>Brockton,</w:t>
      </w:r>
      <w:r>
        <w:rPr>
          <w:spacing w:val="-6"/>
        </w:rPr>
        <w:t xml:space="preserve"> </w:t>
      </w:r>
      <w:r>
        <w:t>MA</w:t>
      </w:r>
      <w:r>
        <w:rPr>
          <w:spacing w:val="-6"/>
        </w:rPr>
        <w:t xml:space="preserve"> </w:t>
      </w:r>
      <w:r>
        <w:t>to</w:t>
      </w:r>
      <w:r>
        <w:rPr>
          <w:spacing w:val="-5"/>
        </w:rPr>
        <w:t xml:space="preserve"> </w:t>
      </w:r>
      <w:r>
        <w:t>Shields MRI Brockton located at 265 Westgate Drive, as described below. The proposed temporary transfer</w:t>
      </w:r>
      <w:r>
        <w:rPr>
          <w:spacing w:val="-3"/>
        </w:rPr>
        <w:t xml:space="preserve"> </w:t>
      </w:r>
      <w:r>
        <w:t>of</w:t>
      </w:r>
      <w:r>
        <w:rPr>
          <w:spacing w:val="-2"/>
        </w:rPr>
        <w:t xml:space="preserve"> </w:t>
      </w:r>
      <w:r>
        <w:t>site</w:t>
      </w:r>
      <w:r>
        <w:rPr>
          <w:spacing w:val="-2"/>
        </w:rPr>
        <w:t xml:space="preserve"> </w:t>
      </w:r>
      <w:r>
        <w:t>involves</w:t>
      </w:r>
      <w:r>
        <w:rPr>
          <w:spacing w:val="-2"/>
        </w:rPr>
        <w:t xml:space="preserve"> </w:t>
      </w:r>
      <w:r>
        <w:t>the</w:t>
      </w:r>
      <w:r>
        <w:rPr>
          <w:spacing w:val="-3"/>
        </w:rPr>
        <w:t xml:space="preserve"> </w:t>
      </w:r>
      <w:r>
        <w:t>relocation</w:t>
      </w:r>
      <w:r>
        <w:rPr>
          <w:spacing w:val="-2"/>
        </w:rPr>
        <w:t xml:space="preserve"> </w:t>
      </w:r>
      <w:r>
        <w:t>of</w:t>
      </w:r>
      <w:r>
        <w:rPr>
          <w:spacing w:val="-1"/>
        </w:rPr>
        <w:t xml:space="preserve"> </w:t>
      </w:r>
      <w:r>
        <w:t>one</w:t>
      </w:r>
      <w:r>
        <w:rPr>
          <w:spacing w:val="-2"/>
        </w:rPr>
        <w:t xml:space="preserve"> </w:t>
      </w:r>
      <w:r>
        <w:t>mobile</w:t>
      </w:r>
      <w:r>
        <w:rPr>
          <w:spacing w:val="-3"/>
        </w:rPr>
        <w:t xml:space="preserve"> </w:t>
      </w:r>
      <w:r>
        <w:t>PET-CT</w:t>
      </w:r>
      <w:r>
        <w:rPr>
          <w:spacing w:val="-2"/>
        </w:rPr>
        <w:t xml:space="preserve"> </w:t>
      </w:r>
      <w:r>
        <w:t>unit</w:t>
      </w:r>
      <w:r>
        <w:rPr>
          <w:spacing w:val="-1"/>
        </w:rPr>
        <w:t xml:space="preserve"> </w:t>
      </w:r>
      <w:r>
        <w:t>from</w:t>
      </w:r>
      <w:r>
        <w:rPr>
          <w:spacing w:val="-1"/>
        </w:rPr>
        <w:t xml:space="preserve"> </w:t>
      </w:r>
      <w:r>
        <w:t>its</w:t>
      </w:r>
      <w:r>
        <w:rPr>
          <w:spacing w:val="-4"/>
        </w:rPr>
        <w:t xml:space="preserve"> </w:t>
      </w:r>
      <w:r>
        <w:t>current</w:t>
      </w:r>
      <w:r>
        <w:rPr>
          <w:spacing w:val="-1"/>
        </w:rPr>
        <w:t xml:space="preserve"> </w:t>
      </w:r>
      <w:r>
        <w:t>location</w:t>
      </w:r>
      <w:r>
        <w:rPr>
          <w:spacing w:val="-1"/>
        </w:rPr>
        <w:t xml:space="preserve"> </w:t>
      </w:r>
      <w:r>
        <w:t>in Brockton, MA to the proposed location, four to five miles away, also in Brockton, MA. The proposed location is in the same primary service area (PSA) as the existing location.</w:t>
      </w:r>
    </w:p>
    <w:p w14:paraId="4D8636F3" w14:textId="77777777" w:rsidR="001C476B" w:rsidRDefault="001C476B" w:rsidP="001C476B">
      <w:pPr>
        <w:pStyle w:val="BodyText"/>
        <w:spacing w:before="158"/>
        <w:ind w:left="839" w:right="816"/>
      </w:pPr>
      <w:r>
        <w:t>Shields</w:t>
      </w:r>
      <w:r>
        <w:rPr>
          <w:spacing w:val="-1"/>
        </w:rPr>
        <w:t xml:space="preserve"> </w:t>
      </w:r>
      <w:r>
        <w:t>has complied with</w:t>
      </w:r>
      <w:r>
        <w:rPr>
          <w:spacing w:val="-1"/>
        </w:rPr>
        <w:t xml:space="preserve"> </w:t>
      </w:r>
      <w:r>
        <w:t>the</w:t>
      </w:r>
      <w:r>
        <w:rPr>
          <w:spacing w:val="-2"/>
        </w:rPr>
        <w:t xml:space="preserve"> </w:t>
      </w:r>
      <w:r>
        <w:t>requirements of</w:t>
      </w:r>
      <w:r>
        <w:rPr>
          <w:spacing w:val="-2"/>
        </w:rPr>
        <w:t xml:space="preserve"> </w:t>
      </w:r>
      <w:r>
        <w:t>Notice</w:t>
      </w:r>
      <w:r>
        <w:rPr>
          <w:spacing w:val="-1"/>
        </w:rPr>
        <w:t xml:space="preserve"> </w:t>
      </w:r>
      <w:r>
        <w:t>and has provided information</w:t>
      </w:r>
      <w:r>
        <w:rPr>
          <w:spacing w:val="-1"/>
        </w:rPr>
        <w:t xml:space="preserve"> </w:t>
      </w:r>
      <w:r>
        <w:t>sufficient</w:t>
      </w:r>
      <w:r>
        <w:rPr>
          <w:spacing w:val="-1"/>
        </w:rPr>
        <w:t xml:space="preserve"> </w:t>
      </w:r>
      <w:r>
        <w:t>to allow the Department to make a finding that the proposed transaction will neither result in a Substantial</w:t>
      </w:r>
      <w:r>
        <w:rPr>
          <w:spacing w:val="-3"/>
        </w:rPr>
        <w:t xml:space="preserve"> </w:t>
      </w:r>
      <w:r>
        <w:t>Capital</w:t>
      </w:r>
      <w:r>
        <w:rPr>
          <w:spacing w:val="-3"/>
        </w:rPr>
        <w:t xml:space="preserve"> </w:t>
      </w:r>
      <w:r>
        <w:t>Expenditure</w:t>
      </w:r>
      <w:r>
        <w:rPr>
          <w:spacing w:val="-4"/>
        </w:rPr>
        <w:t xml:space="preserve"> </w:t>
      </w:r>
      <w:r>
        <w:t>nor</w:t>
      </w:r>
      <w:r>
        <w:rPr>
          <w:spacing w:val="-4"/>
        </w:rPr>
        <w:t xml:space="preserve"> </w:t>
      </w:r>
      <w:r>
        <w:t>Substantial</w:t>
      </w:r>
      <w:r>
        <w:rPr>
          <w:spacing w:val="-3"/>
        </w:rPr>
        <w:t xml:space="preserve"> </w:t>
      </w:r>
      <w:r>
        <w:t>Change</w:t>
      </w:r>
      <w:r>
        <w:rPr>
          <w:spacing w:val="-4"/>
        </w:rPr>
        <w:t xml:space="preserve"> </w:t>
      </w:r>
      <w:r>
        <w:t>in</w:t>
      </w:r>
      <w:r>
        <w:rPr>
          <w:spacing w:val="-3"/>
        </w:rPr>
        <w:t xml:space="preserve"> </w:t>
      </w:r>
      <w:r>
        <w:t>Service,</w:t>
      </w:r>
      <w:r>
        <w:rPr>
          <w:spacing w:val="-1"/>
        </w:rPr>
        <w:t xml:space="preserve"> </w:t>
      </w:r>
      <w:r>
        <w:t>and</w:t>
      </w:r>
      <w:r>
        <w:rPr>
          <w:spacing w:val="-3"/>
        </w:rPr>
        <w:t xml:space="preserve"> </w:t>
      </w:r>
      <w:r>
        <w:t>thus</w:t>
      </w:r>
      <w:r>
        <w:rPr>
          <w:spacing w:val="-3"/>
        </w:rPr>
        <w:t xml:space="preserve"> </w:t>
      </w:r>
      <w:r>
        <w:t>will</w:t>
      </w:r>
      <w:r>
        <w:rPr>
          <w:spacing w:val="-3"/>
        </w:rPr>
        <w:t xml:space="preserve"> </w:t>
      </w:r>
      <w:r>
        <w:t>not</w:t>
      </w:r>
      <w:r>
        <w:rPr>
          <w:spacing w:val="-2"/>
        </w:rPr>
        <w:t xml:space="preserve"> </w:t>
      </w:r>
      <w:r>
        <w:t>first</w:t>
      </w:r>
      <w:r>
        <w:rPr>
          <w:spacing w:val="-3"/>
        </w:rPr>
        <w:t xml:space="preserve"> </w:t>
      </w:r>
      <w:r>
        <w:t>require a Notice of Determination of Need (</w:t>
      </w:r>
      <w:proofErr w:type="spellStart"/>
      <w:r>
        <w:t>DoN</w:t>
      </w:r>
      <w:proofErr w:type="spellEnd"/>
      <w:r>
        <w:t>).</w:t>
      </w:r>
    </w:p>
    <w:p w14:paraId="30F6F1D1" w14:textId="77777777" w:rsidR="001C476B" w:rsidRDefault="001C476B" w:rsidP="001C476B">
      <w:pPr>
        <w:sectPr w:rsidR="001C476B">
          <w:type w:val="continuous"/>
          <w:pgSz w:w="12240" w:h="15840"/>
          <w:pgMar w:top="560" w:right="680" w:bottom="1260" w:left="600" w:header="0" w:footer="1063" w:gutter="0"/>
          <w:cols w:space="720"/>
        </w:sectPr>
      </w:pPr>
    </w:p>
    <w:p w14:paraId="0CA79F84" w14:textId="77777777" w:rsidR="001C476B" w:rsidRDefault="001C476B" w:rsidP="001C476B">
      <w:pPr>
        <w:pStyle w:val="Heading1"/>
        <w:spacing w:before="79"/>
      </w:pPr>
      <w:r>
        <w:lastRenderedPageBreak/>
        <w:t>Reason</w:t>
      </w:r>
      <w:r>
        <w:rPr>
          <w:spacing w:val="-2"/>
        </w:rPr>
        <w:t xml:space="preserve"> </w:t>
      </w:r>
      <w:r>
        <w:t>for</w:t>
      </w:r>
      <w:r>
        <w:rPr>
          <w:spacing w:val="-2"/>
        </w:rPr>
        <w:t xml:space="preserve"> Request</w:t>
      </w:r>
    </w:p>
    <w:p w14:paraId="159F5476" w14:textId="77777777" w:rsidR="001C476B" w:rsidRDefault="001C476B" w:rsidP="001C476B">
      <w:pPr>
        <w:pStyle w:val="BodyText"/>
        <w:spacing w:before="10"/>
        <w:rPr>
          <w:b/>
          <w:sz w:val="20"/>
        </w:rPr>
      </w:pPr>
    </w:p>
    <w:p w14:paraId="1C77ED9D" w14:textId="77777777" w:rsidR="001C476B" w:rsidRDefault="001C476B" w:rsidP="001C476B">
      <w:pPr>
        <w:pStyle w:val="ListParagraph"/>
        <w:widowControl w:val="0"/>
        <w:numPr>
          <w:ilvl w:val="0"/>
          <w:numId w:val="2"/>
        </w:numPr>
        <w:tabs>
          <w:tab w:val="left" w:pos="1112"/>
        </w:tabs>
        <w:autoSpaceDE w:val="0"/>
        <w:autoSpaceDN w:val="0"/>
        <w:contextualSpacing w:val="0"/>
        <w:rPr>
          <w:b/>
        </w:rPr>
      </w:pPr>
      <w:r>
        <w:rPr>
          <w:b/>
          <w:spacing w:val="-2"/>
        </w:rPr>
        <w:t>Description</w:t>
      </w:r>
    </w:p>
    <w:p w14:paraId="3FE36319" w14:textId="77777777" w:rsidR="001C476B" w:rsidRDefault="001C476B" w:rsidP="001C476B">
      <w:pPr>
        <w:pStyle w:val="BodyText"/>
        <w:spacing w:before="178"/>
        <w:ind w:left="840" w:right="816"/>
      </w:pPr>
      <w:r>
        <w:t>The Applicant is a joint venture between Shields and Brockton Hospital. The existing mobile PET-CT unit at Brockton Hospital is no longer serviceable on the Hospital’s campus because of a</w:t>
      </w:r>
      <w:r>
        <w:rPr>
          <w:spacing w:val="-4"/>
        </w:rPr>
        <w:t xml:space="preserve"> </w:t>
      </w:r>
      <w:r>
        <w:t>fire</w:t>
      </w:r>
      <w:r>
        <w:rPr>
          <w:spacing w:val="-4"/>
        </w:rPr>
        <w:t xml:space="preserve"> </w:t>
      </w:r>
      <w:r>
        <w:t>that</w:t>
      </w:r>
      <w:r>
        <w:rPr>
          <w:spacing w:val="-3"/>
        </w:rPr>
        <w:t xml:space="preserve"> </w:t>
      </w:r>
      <w:r>
        <w:t>occurred</w:t>
      </w:r>
      <w:r>
        <w:rPr>
          <w:spacing w:val="-3"/>
        </w:rPr>
        <w:t xml:space="preserve"> </w:t>
      </w:r>
      <w:r>
        <w:t>at</w:t>
      </w:r>
      <w:r>
        <w:rPr>
          <w:spacing w:val="-3"/>
        </w:rPr>
        <w:t xml:space="preserve"> </w:t>
      </w:r>
      <w:r>
        <w:t>Brockton</w:t>
      </w:r>
      <w:r>
        <w:rPr>
          <w:spacing w:val="-3"/>
        </w:rPr>
        <w:t xml:space="preserve"> </w:t>
      </w:r>
      <w:r>
        <w:t>Hospital</w:t>
      </w:r>
      <w:r>
        <w:rPr>
          <w:spacing w:val="-3"/>
        </w:rPr>
        <w:t xml:space="preserve"> </w:t>
      </w:r>
      <w:r>
        <w:t>on</w:t>
      </w:r>
      <w:r>
        <w:rPr>
          <w:spacing w:val="-3"/>
        </w:rPr>
        <w:t xml:space="preserve"> </w:t>
      </w:r>
      <w:r>
        <w:t>February</w:t>
      </w:r>
      <w:r>
        <w:rPr>
          <w:spacing w:val="-4"/>
        </w:rPr>
        <w:t xml:space="preserve"> </w:t>
      </w:r>
      <w:r>
        <w:t>7,</w:t>
      </w:r>
      <w:r>
        <w:rPr>
          <w:spacing w:val="-3"/>
        </w:rPr>
        <w:t xml:space="preserve"> </w:t>
      </w:r>
      <w:r>
        <w:t>2023.</w:t>
      </w:r>
      <w:r>
        <w:rPr>
          <w:spacing w:val="-1"/>
        </w:rPr>
        <w:t xml:space="preserve"> </w:t>
      </w:r>
      <w:r>
        <w:t>In</w:t>
      </w:r>
      <w:r>
        <w:rPr>
          <w:spacing w:val="-3"/>
        </w:rPr>
        <w:t xml:space="preserve"> </w:t>
      </w:r>
      <w:r>
        <w:t>addition,</w:t>
      </w:r>
      <w:r>
        <w:rPr>
          <w:spacing w:val="-3"/>
        </w:rPr>
        <w:t xml:space="preserve"> </w:t>
      </w:r>
      <w:r>
        <w:t>there</w:t>
      </w:r>
      <w:r>
        <w:rPr>
          <w:spacing w:val="-4"/>
        </w:rPr>
        <w:t xml:space="preserve"> </w:t>
      </w:r>
      <w:r>
        <w:t>is</w:t>
      </w:r>
      <w:r>
        <w:rPr>
          <w:spacing w:val="-3"/>
        </w:rPr>
        <w:t xml:space="preserve"> </w:t>
      </w:r>
      <w:r>
        <w:t>no</w:t>
      </w:r>
      <w:r>
        <w:rPr>
          <w:spacing w:val="-3"/>
        </w:rPr>
        <w:t xml:space="preserve"> </w:t>
      </w:r>
      <w:r>
        <w:t>alternative, local diagnostic imaging option for patients. Consequently, patients have been without access to PET-CT</w:t>
      </w:r>
      <w:r>
        <w:rPr>
          <w:spacing w:val="-4"/>
        </w:rPr>
        <w:t xml:space="preserve"> </w:t>
      </w:r>
      <w:r>
        <w:t>imaging</w:t>
      </w:r>
      <w:r>
        <w:rPr>
          <w:spacing w:val="-3"/>
        </w:rPr>
        <w:t xml:space="preserve"> </w:t>
      </w:r>
      <w:r>
        <w:t>services</w:t>
      </w:r>
      <w:r>
        <w:rPr>
          <w:spacing w:val="-3"/>
        </w:rPr>
        <w:t xml:space="preserve"> </w:t>
      </w:r>
      <w:r>
        <w:t>since</w:t>
      </w:r>
      <w:r>
        <w:rPr>
          <w:spacing w:val="-4"/>
        </w:rPr>
        <w:t xml:space="preserve"> </w:t>
      </w:r>
      <w:r>
        <w:t>the</w:t>
      </w:r>
      <w:r>
        <w:rPr>
          <w:spacing w:val="-4"/>
        </w:rPr>
        <w:t xml:space="preserve"> </w:t>
      </w:r>
      <w:r>
        <w:t>fire</w:t>
      </w:r>
      <w:r>
        <w:rPr>
          <w:spacing w:val="-4"/>
        </w:rPr>
        <w:t xml:space="preserve"> </w:t>
      </w:r>
      <w:r>
        <w:t>occurred.</w:t>
      </w:r>
      <w:r>
        <w:rPr>
          <w:spacing w:val="-1"/>
        </w:rPr>
        <w:t xml:space="preserve"> </w:t>
      </w:r>
      <w:r>
        <w:t>The</w:t>
      </w:r>
      <w:r>
        <w:rPr>
          <w:spacing w:val="-4"/>
        </w:rPr>
        <w:t xml:space="preserve"> </w:t>
      </w:r>
      <w:r>
        <w:t>PET-CT</w:t>
      </w:r>
      <w:r>
        <w:rPr>
          <w:spacing w:val="-4"/>
        </w:rPr>
        <w:t xml:space="preserve"> </w:t>
      </w:r>
      <w:r>
        <w:t>unit</w:t>
      </w:r>
      <w:r>
        <w:rPr>
          <w:spacing w:val="-3"/>
        </w:rPr>
        <w:t xml:space="preserve"> </w:t>
      </w:r>
      <w:r>
        <w:t>is</w:t>
      </w:r>
      <w:r>
        <w:rPr>
          <w:spacing w:val="-3"/>
        </w:rPr>
        <w:t xml:space="preserve"> </w:t>
      </w:r>
      <w:r>
        <w:t>urgently</w:t>
      </w:r>
      <w:r>
        <w:rPr>
          <w:spacing w:val="-3"/>
        </w:rPr>
        <w:t xml:space="preserve"> </w:t>
      </w:r>
      <w:r>
        <w:t>needed</w:t>
      </w:r>
      <w:r>
        <w:rPr>
          <w:spacing w:val="-3"/>
        </w:rPr>
        <w:t xml:space="preserve"> </w:t>
      </w:r>
      <w:r>
        <w:t>to</w:t>
      </w:r>
      <w:r>
        <w:rPr>
          <w:spacing w:val="-3"/>
        </w:rPr>
        <w:t xml:space="preserve"> </w:t>
      </w:r>
      <w:r>
        <w:t>service the oncological imaging needs of patients in the PSA. PET-CT imaging is</w:t>
      </w:r>
      <w:r>
        <w:rPr>
          <w:spacing w:val="-1"/>
        </w:rPr>
        <w:t xml:space="preserve"> </w:t>
      </w:r>
      <w:r>
        <w:t xml:space="preserve">used for patients with cancer and similar diagnoses, in detection, diagnosis, staging, treatment and to assess the effectiveness of treatment. Restoring access to PET-CT imaging services will contribute to appropriate and timely diagnosis and treatment as well as improved health outcomes. </w:t>
      </w:r>
      <w:proofErr w:type="gramStart"/>
      <w:r>
        <w:t>In order to</w:t>
      </w:r>
      <w:proofErr w:type="gramEnd"/>
      <w:r>
        <w:t xml:space="preserve"> preserve timely access to PET-CT imaging services for the patient population, the Applicant is proposing to temporarily relocate the mobile PET-CT unit from its current location on the Hospital’s campus, to Shields MRI Brockton. The Applicant would like to ensure continued access to PET-CT services while the Hospital focuses on addressing community health care and access needs after the fire. The proposed location with an existing mobile pad, will be able to accommodate the mobile PET-CT unit and the patient flow of the existing space.</w:t>
      </w:r>
    </w:p>
    <w:p w14:paraId="115D7F5D" w14:textId="77777777" w:rsidR="001C476B" w:rsidRDefault="001C476B" w:rsidP="001C476B">
      <w:pPr>
        <w:pStyle w:val="BodyText"/>
      </w:pPr>
    </w:p>
    <w:p w14:paraId="4AEBDEFD" w14:textId="77777777" w:rsidR="001C476B" w:rsidRDefault="001C476B" w:rsidP="001C476B">
      <w:pPr>
        <w:pStyle w:val="Heading1"/>
      </w:pPr>
      <w:r>
        <w:t>Gross</w:t>
      </w:r>
      <w:r>
        <w:rPr>
          <w:spacing w:val="-2"/>
        </w:rPr>
        <w:t xml:space="preserve"> </w:t>
      </w:r>
      <w:r>
        <w:t>Square</w:t>
      </w:r>
      <w:r>
        <w:rPr>
          <w:spacing w:val="-3"/>
        </w:rPr>
        <w:t xml:space="preserve"> </w:t>
      </w:r>
      <w:r>
        <w:t>Feet</w:t>
      </w:r>
      <w:r>
        <w:rPr>
          <w:spacing w:val="-2"/>
        </w:rPr>
        <w:t xml:space="preserve"> (GSF)</w:t>
      </w:r>
    </w:p>
    <w:p w14:paraId="55D65F55" w14:textId="77777777" w:rsidR="001C476B" w:rsidRDefault="001C476B" w:rsidP="001C476B">
      <w:pPr>
        <w:pStyle w:val="BodyText"/>
        <w:ind w:left="840" w:right="816"/>
      </w:pPr>
      <w:r>
        <w:t>The</w:t>
      </w:r>
      <w:r>
        <w:rPr>
          <w:spacing w:val="-4"/>
        </w:rPr>
        <w:t xml:space="preserve"> </w:t>
      </w:r>
      <w:r>
        <w:t>existing</w:t>
      </w:r>
      <w:r>
        <w:rPr>
          <w:spacing w:val="-4"/>
        </w:rPr>
        <w:t xml:space="preserve"> </w:t>
      </w:r>
      <w:r>
        <w:t>space</w:t>
      </w:r>
      <w:r>
        <w:rPr>
          <w:spacing w:val="-3"/>
        </w:rPr>
        <w:t xml:space="preserve"> </w:t>
      </w:r>
      <w:r>
        <w:t>comprises</w:t>
      </w:r>
      <w:r>
        <w:rPr>
          <w:spacing w:val="-4"/>
        </w:rPr>
        <w:t xml:space="preserve"> </w:t>
      </w:r>
      <w:r>
        <w:t>the</w:t>
      </w:r>
      <w:r>
        <w:rPr>
          <w:spacing w:val="-4"/>
        </w:rPr>
        <w:t xml:space="preserve"> </w:t>
      </w:r>
      <w:r>
        <w:t>space</w:t>
      </w:r>
      <w:r>
        <w:rPr>
          <w:spacing w:val="-4"/>
        </w:rPr>
        <w:t xml:space="preserve"> </w:t>
      </w:r>
      <w:r>
        <w:t>from</w:t>
      </w:r>
      <w:r>
        <w:rPr>
          <w:spacing w:val="-4"/>
        </w:rPr>
        <w:t xml:space="preserve"> </w:t>
      </w:r>
      <w:r>
        <w:t>the</w:t>
      </w:r>
      <w:r>
        <w:rPr>
          <w:spacing w:val="-4"/>
        </w:rPr>
        <w:t xml:space="preserve"> </w:t>
      </w:r>
      <w:r>
        <w:t>front</w:t>
      </w:r>
      <w:r>
        <w:rPr>
          <w:spacing w:val="-4"/>
        </w:rPr>
        <w:t xml:space="preserve"> </w:t>
      </w:r>
      <w:r>
        <w:t>door,</w:t>
      </w:r>
      <w:r>
        <w:rPr>
          <w:spacing w:val="-4"/>
        </w:rPr>
        <w:t xml:space="preserve"> </w:t>
      </w:r>
      <w:r>
        <w:t>through</w:t>
      </w:r>
      <w:r>
        <w:rPr>
          <w:spacing w:val="-4"/>
        </w:rPr>
        <w:t xml:space="preserve"> </w:t>
      </w:r>
      <w:r>
        <w:t>the</w:t>
      </w:r>
      <w:r>
        <w:rPr>
          <w:spacing w:val="-4"/>
        </w:rPr>
        <w:t xml:space="preserve"> </w:t>
      </w:r>
      <w:r>
        <w:t>hallways/corridors,</w:t>
      </w:r>
      <w:r>
        <w:rPr>
          <w:spacing w:val="-4"/>
        </w:rPr>
        <w:t xml:space="preserve"> </w:t>
      </w:r>
      <w:r>
        <w:t>and into the PET-CT unit itself and is approximately 2,731 square feet. The proposed space comprises the space from the front door, through the hallways/corridors, and into the PET-CT unit itself, and is approximately 1,650 square feet. The Applicant provided a schematic of the mobile PET-CT unit and docking station at the proposed space, Shields MRI Brockton.</w:t>
      </w:r>
    </w:p>
    <w:p w14:paraId="1C142E67" w14:textId="77777777" w:rsidR="001C476B" w:rsidRDefault="001C476B" w:rsidP="001C476B">
      <w:pPr>
        <w:pStyle w:val="BodyText"/>
        <w:rPr>
          <w:sz w:val="26"/>
        </w:rPr>
      </w:pPr>
    </w:p>
    <w:p w14:paraId="4D44D5D2" w14:textId="77777777" w:rsidR="001C476B" w:rsidRDefault="001C476B" w:rsidP="001C476B">
      <w:pPr>
        <w:pStyle w:val="BodyText"/>
        <w:rPr>
          <w:sz w:val="22"/>
        </w:rPr>
      </w:pPr>
    </w:p>
    <w:p w14:paraId="64CBC02A" w14:textId="77777777" w:rsidR="001C476B" w:rsidRDefault="001C476B" w:rsidP="001C476B">
      <w:pPr>
        <w:pStyle w:val="Heading1"/>
        <w:numPr>
          <w:ilvl w:val="0"/>
          <w:numId w:val="2"/>
        </w:numPr>
        <w:tabs>
          <w:tab w:val="left" w:pos="1200"/>
        </w:tabs>
        <w:ind w:left="1200" w:hanging="360"/>
      </w:pPr>
      <w:r>
        <w:t>Demographics</w:t>
      </w:r>
      <w:r>
        <w:rPr>
          <w:spacing w:val="-3"/>
        </w:rPr>
        <w:t xml:space="preserve"> </w:t>
      </w:r>
      <w:r>
        <w:t>and</w:t>
      </w:r>
      <w:r>
        <w:rPr>
          <w:spacing w:val="-2"/>
        </w:rPr>
        <w:t xml:space="preserve"> </w:t>
      </w:r>
      <w:r>
        <w:t>Primary</w:t>
      </w:r>
      <w:r>
        <w:rPr>
          <w:spacing w:val="-2"/>
        </w:rPr>
        <w:t xml:space="preserve"> </w:t>
      </w:r>
      <w:r>
        <w:t>Service</w:t>
      </w:r>
      <w:r>
        <w:rPr>
          <w:spacing w:val="-3"/>
        </w:rPr>
        <w:t xml:space="preserve"> </w:t>
      </w:r>
      <w:r>
        <w:t>Area</w:t>
      </w:r>
      <w:r>
        <w:rPr>
          <w:spacing w:val="-2"/>
        </w:rPr>
        <w:t xml:space="preserve"> </w:t>
      </w:r>
      <w:r>
        <w:rPr>
          <w:spacing w:val="-4"/>
        </w:rPr>
        <w:t>(PSA)</w:t>
      </w:r>
    </w:p>
    <w:p w14:paraId="7797F428" w14:textId="77777777" w:rsidR="001C476B" w:rsidRDefault="001C476B" w:rsidP="001C476B">
      <w:pPr>
        <w:pStyle w:val="BodyText"/>
        <w:spacing w:before="178"/>
        <w:ind w:left="840" w:right="1193"/>
        <w:jc w:val="both"/>
      </w:pPr>
      <w:r>
        <w:t>The</w:t>
      </w:r>
      <w:r>
        <w:rPr>
          <w:spacing w:val="-2"/>
        </w:rPr>
        <w:t xml:space="preserve"> </w:t>
      </w:r>
      <w:r>
        <w:t>Applicant</w:t>
      </w:r>
      <w:r>
        <w:rPr>
          <w:spacing w:val="-1"/>
        </w:rPr>
        <w:t xml:space="preserve"> </w:t>
      </w:r>
      <w:r>
        <w:t>provided demographic</w:t>
      </w:r>
      <w:r>
        <w:rPr>
          <w:spacing w:val="-2"/>
        </w:rPr>
        <w:t xml:space="preserve"> </w:t>
      </w:r>
      <w:r>
        <w:t>information</w:t>
      </w:r>
      <w:r>
        <w:rPr>
          <w:spacing w:val="-1"/>
        </w:rPr>
        <w:t xml:space="preserve"> </w:t>
      </w:r>
      <w:r>
        <w:t>on</w:t>
      </w:r>
      <w:r>
        <w:rPr>
          <w:spacing w:val="-1"/>
        </w:rPr>
        <w:t xml:space="preserve"> </w:t>
      </w:r>
      <w:r>
        <w:t>764</w:t>
      </w:r>
      <w:r>
        <w:rPr>
          <w:spacing w:val="-1"/>
        </w:rPr>
        <w:t xml:space="preserve"> </w:t>
      </w:r>
      <w:r>
        <w:t>patients</w:t>
      </w:r>
      <w:r>
        <w:rPr>
          <w:spacing w:val="-1"/>
        </w:rPr>
        <w:t xml:space="preserve"> </w:t>
      </w:r>
      <w:r>
        <w:t>served</w:t>
      </w:r>
      <w:r>
        <w:rPr>
          <w:spacing w:val="-1"/>
        </w:rPr>
        <w:t xml:space="preserve"> </w:t>
      </w:r>
      <w:r>
        <w:t>for</w:t>
      </w:r>
      <w:r>
        <w:rPr>
          <w:spacing w:val="-2"/>
        </w:rPr>
        <w:t xml:space="preserve"> </w:t>
      </w:r>
      <w:r>
        <w:t>FY22,</w:t>
      </w:r>
      <w:r>
        <w:rPr>
          <w:spacing w:val="-1"/>
        </w:rPr>
        <w:t xml:space="preserve"> </w:t>
      </w:r>
      <w:r>
        <w:t>the</w:t>
      </w:r>
      <w:r>
        <w:rPr>
          <w:spacing w:val="-2"/>
        </w:rPr>
        <w:t xml:space="preserve"> </w:t>
      </w:r>
      <w:r>
        <w:t>most recent</w:t>
      </w:r>
      <w:r>
        <w:rPr>
          <w:spacing w:val="-2"/>
        </w:rPr>
        <w:t xml:space="preserve"> </w:t>
      </w:r>
      <w:r>
        <w:t>year</w:t>
      </w:r>
      <w:r>
        <w:rPr>
          <w:spacing w:val="-1"/>
        </w:rPr>
        <w:t xml:space="preserve"> </w:t>
      </w:r>
      <w:r>
        <w:t>available,</w:t>
      </w:r>
      <w:r>
        <w:rPr>
          <w:spacing w:val="-2"/>
        </w:rPr>
        <w:t xml:space="preserve"> </w:t>
      </w:r>
      <w:r>
        <w:t>noting</w:t>
      </w:r>
      <w:r>
        <w:rPr>
          <w:spacing w:val="-2"/>
        </w:rPr>
        <w:t xml:space="preserve"> </w:t>
      </w:r>
      <w:r>
        <w:t>that</w:t>
      </w:r>
      <w:r>
        <w:rPr>
          <w:spacing w:val="-2"/>
        </w:rPr>
        <w:t xml:space="preserve"> </w:t>
      </w:r>
      <w:r>
        <w:t>the</w:t>
      </w:r>
      <w:r>
        <w:rPr>
          <w:spacing w:val="-3"/>
        </w:rPr>
        <w:t xml:space="preserve"> </w:t>
      </w:r>
      <w:r>
        <w:t>existing</w:t>
      </w:r>
      <w:r>
        <w:rPr>
          <w:spacing w:val="-3"/>
        </w:rPr>
        <w:t xml:space="preserve"> </w:t>
      </w:r>
      <w:r>
        <w:t>and</w:t>
      </w:r>
      <w:r>
        <w:rPr>
          <w:spacing w:val="-2"/>
        </w:rPr>
        <w:t xml:space="preserve"> </w:t>
      </w:r>
      <w:r>
        <w:t>proposed</w:t>
      </w:r>
      <w:r>
        <w:rPr>
          <w:spacing w:val="-2"/>
        </w:rPr>
        <w:t xml:space="preserve"> </w:t>
      </w:r>
      <w:r>
        <w:t>site</w:t>
      </w:r>
      <w:r>
        <w:rPr>
          <w:spacing w:val="-3"/>
        </w:rPr>
        <w:t xml:space="preserve"> </w:t>
      </w:r>
      <w:r>
        <w:t>of</w:t>
      </w:r>
      <w:r>
        <w:rPr>
          <w:spacing w:val="-3"/>
        </w:rPr>
        <w:t xml:space="preserve"> </w:t>
      </w:r>
      <w:r>
        <w:t>the</w:t>
      </w:r>
      <w:r>
        <w:rPr>
          <w:spacing w:val="-3"/>
        </w:rPr>
        <w:t xml:space="preserve"> </w:t>
      </w:r>
      <w:r>
        <w:t>PET-CT</w:t>
      </w:r>
      <w:r>
        <w:rPr>
          <w:spacing w:val="-3"/>
        </w:rPr>
        <w:t xml:space="preserve"> </w:t>
      </w:r>
      <w:r>
        <w:t>unit</w:t>
      </w:r>
      <w:r>
        <w:rPr>
          <w:spacing w:val="-2"/>
        </w:rPr>
        <w:t xml:space="preserve"> </w:t>
      </w:r>
      <w:r>
        <w:t>are</w:t>
      </w:r>
      <w:r>
        <w:rPr>
          <w:spacing w:val="-3"/>
        </w:rPr>
        <w:t xml:space="preserve"> </w:t>
      </w:r>
      <w:r>
        <w:t>in</w:t>
      </w:r>
      <w:r>
        <w:rPr>
          <w:spacing w:val="-2"/>
        </w:rPr>
        <w:t xml:space="preserve"> </w:t>
      </w:r>
      <w:r>
        <w:t>the same PSA.</w:t>
      </w:r>
    </w:p>
    <w:p w14:paraId="1B7E87C3" w14:textId="77777777" w:rsidR="001C476B" w:rsidRDefault="001C476B" w:rsidP="001C476B">
      <w:pPr>
        <w:pStyle w:val="BodyText"/>
        <w:ind w:left="840"/>
      </w:pPr>
      <w:r>
        <w:rPr>
          <w:b/>
        </w:rPr>
        <w:t>Age</w:t>
      </w:r>
      <w:r>
        <w:t>:</w:t>
      </w:r>
      <w:r>
        <w:rPr>
          <w:spacing w:val="-1"/>
        </w:rPr>
        <w:t xml:space="preserve"> </w:t>
      </w:r>
      <w:r>
        <w:t>73%</w:t>
      </w:r>
      <w:r>
        <w:rPr>
          <w:spacing w:val="-2"/>
        </w:rPr>
        <w:t xml:space="preserve"> </w:t>
      </w:r>
      <w:r>
        <w:t>of</w:t>
      </w:r>
      <w:r>
        <w:rPr>
          <w:spacing w:val="-2"/>
        </w:rPr>
        <w:t xml:space="preserve"> </w:t>
      </w:r>
      <w:r>
        <w:t>patients</w:t>
      </w:r>
      <w:r>
        <w:rPr>
          <w:spacing w:val="-1"/>
        </w:rPr>
        <w:t xml:space="preserve"> </w:t>
      </w:r>
      <w:r>
        <w:t>are aged</w:t>
      </w:r>
      <w:r>
        <w:rPr>
          <w:spacing w:val="-1"/>
        </w:rPr>
        <w:t xml:space="preserve"> </w:t>
      </w:r>
      <w:r>
        <w:t>65</w:t>
      </w:r>
      <w:r>
        <w:rPr>
          <w:spacing w:val="-1"/>
        </w:rPr>
        <w:t xml:space="preserve"> </w:t>
      </w:r>
      <w:r>
        <w:t>and</w:t>
      </w:r>
      <w:r>
        <w:rPr>
          <w:spacing w:val="-1"/>
        </w:rPr>
        <w:t xml:space="preserve"> </w:t>
      </w:r>
      <w:r>
        <w:rPr>
          <w:spacing w:val="-2"/>
        </w:rPr>
        <w:t>older.</w:t>
      </w:r>
    </w:p>
    <w:p w14:paraId="602B0699" w14:textId="77777777" w:rsidR="001C476B" w:rsidRDefault="001C476B" w:rsidP="001C476B">
      <w:pPr>
        <w:pStyle w:val="BodyText"/>
        <w:ind w:left="840" w:right="818"/>
      </w:pPr>
      <w:r>
        <w:rPr>
          <w:b/>
        </w:rPr>
        <w:t>Patient Origin</w:t>
      </w:r>
      <w:r>
        <w:t>: The Brockton Hospital PET-CT PSA includes the following cities/towns: Brockton, Bridgewater, East Bridgewater, Whitman, Abington, Stoughton, West</w:t>
      </w:r>
      <w:r>
        <w:rPr>
          <w:spacing w:val="-4"/>
        </w:rPr>
        <w:t xml:space="preserve"> </w:t>
      </w:r>
      <w:r>
        <w:t>Bridgewater,</w:t>
      </w:r>
      <w:r>
        <w:rPr>
          <w:spacing w:val="-4"/>
        </w:rPr>
        <w:t xml:space="preserve"> </w:t>
      </w:r>
      <w:r>
        <w:t>Holbrook,</w:t>
      </w:r>
      <w:r>
        <w:rPr>
          <w:spacing w:val="-4"/>
        </w:rPr>
        <w:t xml:space="preserve"> </w:t>
      </w:r>
      <w:r>
        <w:t>and</w:t>
      </w:r>
      <w:r>
        <w:rPr>
          <w:spacing w:val="-4"/>
        </w:rPr>
        <w:t xml:space="preserve"> </w:t>
      </w:r>
      <w:r>
        <w:t>Raynham.</w:t>
      </w:r>
      <w:r>
        <w:rPr>
          <w:spacing w:val="-4"/>
        </w:rPr>
        <w:t xml:space="preserve"> </w:t>
      </w:r>
      <w:r>
        <w:t>Almost</w:t>
      </w:r>
      <w:r>
        <w:rPr>
          <w:spacing w:val="-4"/>
        </w:rPr>
        <w:t xml:space="preserve"> </w:t>
      </w:r>
      <w:r>
        <w:t>a</w:t>
      </w:r>
      <w:r>
        <w:rPr>
          <w:spacing w:val="-5"/>
        </w:rPr>
        <w:t xml:space="preserve"> </w:t>
      </w:r>
      <w:r>
        <w:t>quarter</w:t>
      </w:r>
      <w:r>
        <w:rPr>
          <w:spacing w:val="-5"/>
        </w:rPr>
        <w:t xml:space="preserve"> </w:t>
      </w:r>
      <w:r>
        <w:t>of</w:t>
      </w:r>
      <w:r>
        <w:rPr>
          <w:spacing w:val="-5"/>
        </w:rPr>
        <w:t xml:space="preserve"> </w:t>
      </w:r>
      <w:r>
        <w:t>PET-CT</w:t>
      </w:r>
      <w:r>
        <w:rPr>
          <w:spacing w:val="-5"/>
        </w:rPr>
        <w:t xml:space="preserve"> </w:t>
      </w:r>
      <w:r>
        <w:t>patients</w:t>
      </w:r>
      <w:r>
        <w:rPr>
          <w:spacing w:val="-4"/>
        </w:rPr>
        <w:t xml:space="preserve"> </w:t>
      </w:r>
      <w:r>
        <w:t>served in FY22 originate from Brockton.</w:t>
      </w:r>
    </w:p>
    <w:p w14:paraId="6DA915B6" w14:textId="77777777" w:rsidR="001C476B" w:rsidRDefault="001C476B" w:rsidP="001C476B">
      <w:pPr>
        <w:pStyle w:val="BodyText"/>
        <w:ind w:left="840" w:right="816"/>
      </w:pPr>
      <w:r>
        <w:rPr>
          <w:b/>
        </w:rPr>
        <w:t>Insurance</w:t>
      </w:r>
      <w:r>
        <w:t>:</w:t>
      </w:r>
      <w:r>
        <w:rPr>
          <w:spacing w:val="-3"/>
        </w:rPr>
        <w:t xml:space="preserve"> </w:t>
      </w:r>
      <w:r>
        <w:t>Medicare</w:t>
      </w:r>
      <w:r>
        <w:rPr>
          <w:spacing w:val="-2"/>
        </w:rPr>
        <w:t xml:space="preserve"> </w:t>
      </w:r>
      <w:r>
        <w:t>(Fee</w:t>
      </w:r>
      <w:r>
        <w:rPr>
          <w:spacing w:val="-4"/>
        </w:rPr>
        <w:t xml:space="preserve"> </w:t>
      </w:r>
      <w:proofErr w:type="gramStart"/>
      <w:r>
        <w:t>For</w:t>
      </w:r>
      <w:proofErr w:type="gramEnd"/>
      <w:r>
        <w:rPr>
          <w:spacing w:val="-4"/>
        </w:rPr>
        <w:t xml:space="preserve"> </w:t>
      </w:r>
      <w:r>
        <w:t>Service)</w:t>
      </w:r>
      <w:r>
        <w:rPr>
          <w:spacing w:val="-2"/>
        </w:rPr>
        <w:t xml:space="preserve"> </w:t>
      </w:r>
      <w:r>
        <w:t>is</w:t>
      </w:r>
      <w:r>
        <w:rPr>
          <w:spacing w:val="-3"/>
        </w:rPr>
        <w:t xml:space="preserve"> </w:t>
      </w:r>
      <w:r>
        <w:t>the</w:t>
      </w:r>
      <w:r>
        <w:rPr>
          <w:spacing w:val="-4"/>
        </w:rPr>
        <w:t xml:space="preserve"> </w:t>
      </w:r>
      <w:r>
        <w:t>largest</w:t>
      </w:r>
      <w:r>
        <w:rPr>
          <w:spacing w:val="-3"/>
        </w:rPr>
        <w:t xml:space="preserve"> </w:t>
      </w:r>
      <w:r>
        <w:t>payer</w:t>
      </w:r>
      <w:r>
        <w:rPr>
          <w:spacing w:val="-4"/>
        </w:rPr>
        <w:t xml:space="preserve"> </w:t>
      </w:r>
      <w:r>
        <w:t>source</w:t>
      </w:r>
      <w:r>
        <w:rPr>
          <w:spacing w:val="-4"/>
        </w:rPr>
        <w:t xml:space="preserve"> </w:t>
      </w:r>
      <w:r>
        <w:t>(46%)</w:t>
      </w:r>
      <w:r>
        <w:rPr>
          <w:spacing w:val="-4"/>
        </w:rPr>
        <w:t xml:space="preserve"> </w:t>
      </w:r>
      <w:r>
        <w:t>for</w:t>
      </w:r>
      <w:r>
        <w:rPr>
          <w:spacing w:val="-4"/>
        </w:rPr>
        <w:t xml:space="preserve"> </w:t>
      </w:r>
      <w:r>
        <w:t>PET-CT patients in FY22.</w:t>
      </w:r>
    </w:p>
    <w:p w14:paraId="0AB2EA2C" w14:textId="77777777" w:rsidR="001C476B" w:rsidRDefault="001C476B" w:rsidP="001C476B">
      <w:pPr>
        <w:pStyle w:val="BodyText"/>
      </w:pPr>
    </w:p>
    <w:p w14:paraId="0CCE41A0" w14:textId="77777777" w:rsidR="001C476B" w:rsidRDefault="001C476B" w:rsidP="001C476B">
      <w:pPr>
        <w:pStyle w:val="Heading1"/>
        <w:numPr>
          <w:ilvl w:val="0"/>
          <w:numId w:val="2"/>
        </w:numPr>
        <w:tabs>
          <w:tab w:val="left" w:pos="1200"/>
        </w:tabs>
        <w:ind w:left="1200" w:hanging="360"/>
      </w:pPr>
      <w:r>
        <w:t>Patient</w:t>
      </w:r>
      <w:r>
        <w:rPr>
          <w:spacing w:val="-3"/>
        </w:rPr>
        <w:t xml:space="preserve"> </w:t>
      </w:r>
      <w:r>
        <w:rPr>
          <w:spacing w:val="-2"/>
        </w:rPr>
        <w:t>Access</w:t>
      </w:r>
    </w:p>
    <w:p w14:paraId="5FB84DF9" w14:textId="77777777" w:rsidR="001C476B" w:rsidRDefault="001C476B" w:rsidP="001C476B">
      <w:pPr>
        <w:pStyle w:val="BodyText"/>
        <w:spacing w:before="180" w:line="254" w:lineRule="auto"/>
        <w:ind w:left="839"/>
      </w:pPr>
      <w:r>
        <w:t>Because</w:t>
      </w:r>
      <w:r>
        <w:rPr>
          <w:spacing w:val="25"/>
        </w:rPr>
        <w:t xml:space="preserve"> </w:t>
      </w:r>
      <w:r>
        <w:t>the</w:t>
      </w:r>
      <w:r>
        <w:rPr>
          <w:spacing w:val="25"/>
        </w:rPr>
        <w:t xml:space="preserve"> </w:t>
      </w:r>
      <w:r>
        <w:t>proposed</w:t>
      </w:r>
      <w:r>
        <w:rPr>
          <w:spacing w:val="26"/>
        </w:rPr>
        <w:t xml:space="preserve"> </w:t>
      </w:r>
      <w:r>
        <w:t>site</w:t>
      </w:r>
      <w:r>
        <w:rPr>
          <w:spacing w:val="25"/>
        </w:rPr>
        <w:t xml:space="preserve"> </w:t>
      </w:r>
      <w:r>
        <w:t>is</w:t>
      </w:r>
      <w:r>
        <w:rPr>
          <w:spacing w:val="27"/>
        </w:rPr>
        <w:t xml:space="preserve"> </w:t>
      </w:r>
      <w:r>
        <w:t>within</w:t>
      </w:r>
      <w:r>
        <w:rPr>
          <w:spacing w:val="26"/>
        </w:rPr>
        <w:t xml:space="preserve"> </w:t>
      </w:r>
      <w:r>
        <w:t>the</w:t>
      </w:r>
      <w:r>
        <w:rPr>
          <w:spacing w:val="25"/>
        </w:rPr>
        <w:t xml:space="preserve"> </w:t>
      </w:r>
      <w:r>
        <w:t>same</w:t>
      </w:r>
      <w:r>
        <w:rPr>
          <w:spacing w:val="25"/>
        </w:rPr>
        <w:t xml:space="preserve"> </w:t>
      </w:r>
      <w:r>
        <w:t>PSA</w:t>
      </w:r>
      <w:r>
        <w:rPr>
          <w:spacing w:val="26"/>
        </w:rPr>
        <w:t xml:space="preserve"> </w:t>
      </w:r>
      <w:r>
        <w:t>as</w:t>
      </w:r>
      <w:r>
        <w:rPr>
          <w:spacing w:val="27"/>
        </w:rPr>
        <w:t xml:space="preserve"> </w:t>
      </w:r>
      <w:r>
        <w:t>the</w:t>
      </w:r>
      <w:r>
        <w:rPr>
          <w:spacing w:val="25"/>
        </w:rPr>
        <w:t xml:space="preserve"> </w:t>
      </w:r>
      <w:r>
        <w:t>existing</w:t>
      </w:r>
      <w:r>
        <w:rPr>
          <w:spacing w:val="26"/>
        </w:rPr>
        <w:t xml:space="preserve"> </w:t>
      </w:r>
      <w:r>
        <w:t>site,</w:t>
      </w:r>
      <w:r>
        <w:rPr>
          <w:spacing w:val="26"/>
        </w:rPr>
        <w:t xml:space="preserve"> </w:t>
      </w:r>
      <w:r>
        <w:t>the</w:t>
      </w:r>
      <w:r>
        <w:rPr>
          <w:spacing w:val="25"/>
        </w:rPr>
        <w:t xml:space="preserve"> </w:t>
      </w:r>
      <w:r>
        <w:t>Applicant</w:t>
      </w:r>
      <w:r>
        <w:rPr>
          <w:spacing w:val="27"/>
        </w:rPr>
        <w:t xml:space="preserve"> </w:t>
      </w:r>
      <w:r>
        <w:t>does</w:t>
      </w:r>
      <w:r>
        <w:rPr>
          <w:spacing w:val="27"/>
        </w:rPr>
        <w:t xml:space="preserve"> </w:t>
      </w:r>
      <w:r>
        <w:t>not anticipate any impact on the Patient Panel’s access to PET-CT services.</w:t>
      </w:r>
    </w:p>
    <w:p w14:paraId="539ABDF9" w14:textId="77777777" w:rsidR="001C476B" w:rsidRDefault="001C476B" w:rsidP="001C476B">
      <w:pPr>
        <w:spacing w:line="254" w:lineRule="auto"/>
      </w:pPr>
    </w:p>
    <w:p w14:paraId="7EFADC53" w14:textId="77777777" w:rsidR="001C476B" w:rsidRDefault="001C476B" w:rsidP="001C476B">
      <w:pPr>
        <w:spacing w:line="254" w:lineRule="auto"/>
        <w:sectPr w:rsidR="001C476B">
          <w:pgSz w:w="12240" w:h="15840"/>
          <w:pgMar w:top="1360" w:right="680" w:bottom="1260" w:left="600" w:header="0" w:footer="1063" w:gutter="0"/>
          <w:cols w:space="720"/>
        </w:sectPr>
      </w:pPr>
    </w:p>
    <w:p w14:paraId="3C9421CC" w14:textId="7276D83D" w:rsidR="001C476B" w:rsidRDefault="001C476B" w:rsidP="001C476B">
      <w:pPr>
        <w:spacing w:line="254" w:lineRule="auto"/>
        <w:sectPr w:rsidR="001C476B">
          <w:pgSz w:w="12240" w:h="15840"/>
          <w:pgMar w:top="1360" w:right="680" w:bottom="1260" w:left="600" w:header="0" w:footer="1063" w:gutter="0"/>
          <w:cols w:space="720"/>
        </w:sectPr>
      </w:pPr>
    </w:p>
    <w:p w14:paraId="19E16EDF" w14:textId="77777777" w:rsidR="001C476B" w:rsidRDefault="001C476B" w:rsidP="001C476B">
      <w:pPr>
        <w:pStyle w:val="Heading1"/>
        <w:numPr>
          <w:ilvl w:val="0"/>
          <w:numId w:val="2"/>
        </w:numPr>
        <w:spacing w:before="75"/>
        <w:ind w:left="360" w:hanging="360"/>
      </w:pPr>
      <w:r>
        <w:t>Impact</w:t>
      </w:r>
      <w:r>
        <w:rPr>
          <w:spacing w:val="-3"/>
        </w:rPr>
        <w:t xml:space="preserve"> </w:t>
      </w:r>
      <w:r>
        <w:t>on</w:t>
      </w:r>
      <w:r>
        <w:rPr>
          <w:spacing w:val="-1"/>
        </w:rPr>
        <w:t xml:space="preserve"> </w:t>
      </w:r>
      <w:r>
        <w:t>Health</w:t>
      </w:r>
      <w:r>
        <w:rPr>
          <w:spacing w:val="-1"/>
        </w:rPr>
        <w:t xml:space="preserve"> </w:t>
      </w:r>
      <w:r>
        <w:t>Care</w:t>
      </w:r>
      <w:r>
        <w:rPr>
          <w:spacing w:val="-2"/>
        </w:rPr>
        <w:t xml:space="preserve"> Spending</w:t>
      </w:r>
    </w:p>
    <w:p w14:paraId="786719BB" w14:textId="77777777" w:rsidR="001C476B" w:rsidRDefault="001C476B" w:rsidP="001C476B">
      <w:pPr>
        <w:pStyle w:val="BodyText"/>
        <w:spacing w:before="177"/>
        <w:ind w:right="818"/>
      </w:pPr>
      <w:r>
        <w:t>The Applicant does not anticipate that the proposed Transfer of Site will have an impact on price, total medical expenditures (TME), or provider costs because all independent diagnostic testing facility (IDTF) reimbursement arrangements, with respect to Centers for Medicare and Medicaid</w:t>
      </w:r>
      <w:r>
        <w:rPr>
          <w:spacing w:val="-3"/>
        </w:rPr>
        <w:t xml:space="preserve"> </w:t>
      </w:r>
      <w:r>
        <w:t>(CMS)</w:t>
      </w:r>
      <w:r>
        <w:rPr>
          <w:spacing w:val="-4"/>
        </w:rPr>
        <w:t xml:space="preserve"> </w:t>
      </w:r>
      <w:r>
        <w:t>rates</w:t>
      </w:r>
      <w:r>
        <w:rPr>
          <w:spacing w:val="-1"/>
        </w:rPr>
        <w:t xml:space="preserve"> </w:t>
      </w:r>
      <w:r>
        <w:t>and</w:t>
      </w:r>
      <w:r>
        <w:rPr>
          <w:spacing w:val="-3"/>
        </w:rPr>
        <w:t xml:space="preserve"> </w:t>
      </w:r>
      <w:r>
        <w:t>commercial</w:t>
      </w:r>
      <w:r>
        <w:rPr>
          <w:spacing w:val="-3"/>
        </w:rPr>
        <w:t xml:space="preserve"> </w:t>
      </w:r>
      <w:r>
        <w:t>payer</w:t>
      </w:r>
      <w:r>
        <w:rPr>
          <w:spacing w:val="-4"/>
        </w:rPr>
        <w:t xml:space="preserve"> </w:t>
      </w:r>
      <w:r>
        <w:t>rates,</w:t>
      </w:r>
      <w:r>
        <w:rPr>
          <w:spacing w:val="-3"/>
        </w:rPr>
        <w:t xml:space="preserve"> </w:t>
      </w:r>
      <w:r>
        <w:t>will</w:t>
      </w:r>
      <w:r>
        <w:rPr>
          <w:spacing w:val="-3"/>
        </w:rPr>
        <w:t xml:space="preserve"> </w:t>
      </w:r>
      <w:r>
        <w:t>remain</w:t>
      </w:r>
      <w:r>
        <w:rPr>
          <w:spacing w:val="-3"/>
        </w:rPr>
        <w:t xml:space="preserve"> </w:t>
      </w:r>
      <w:r>
        <w:t>the</w:t>
      </w:r>
      <w:r>
        <w:rPr>
          <w:spacing w:val="-4"/>
        </w:rPr>
        <w:t xml:space="preserve"> </w:t>
      </w:r>
      <w:r>
        <w:t>same</w:t>
      </w:r>
      <w:r>
        <w:rPr>
          <w:spacing w:val="-4"/>
        </w:rPr>
        <w:t xml:space="preserve"> </w:t>
      </w:r>
      <w:r>
        <w:t>throughout</w:t>
      </w:r>
      <w:r>
        <w:rPr>
          <w:spacing w:val="-3"/>
        </w:rPr>
        <w:t xml:space="preserve"> </w:t>
      </w:r>
      <w:r>
        <w:t>the</w:t>
      </w:r>
      <w:r>
        <w:rPr>
          <w:spacing w:val="-4"/>
        </w:rPr>
        <w:t xml:space="preserve"> </w:t>
      </w:r>
      <w:r>
        <w:t>duration of</w:t>
      </w:r>
      <w:r>
        <w:rPr>
          <w:spacing w:val="-2"/>
        </w:rPr>
        <w:t xml:space="preserve"> </w:t>
      </w:r>
      <w:r>
        <w:t>the</w:t>
      </w:r>
      <w:r>
        <w:rPr>
          <w:spacing w:val="-2"/>
        </w:rPr>
        <w:t xml:space="preserve"> </w:t>
      </w:r>
      <w:r>
        <w:t>temporary</w:t>
      </w:r>
      <w:r>
        <w:rPr>
          <w:spacing w:val="-1"/>
        </w:rPr>
        <w:t xml:space="preserve"> </w:t>
      </w:r>
      <w:r>
        <w:t>transfer of</w:t>
      </w:r>
      <w:r>
        <w:rPr>
          <w:spacing w:val="-2"/>
        </w:rPr>
        <w:t xml:space="preserve"> </w:t>
      </w:r>
      <w:r>
        <w:t>site.</w:t>
      </w:r>
      <w:r>
        <w:rPr>
          <w:spacing w:val="-2"/>
        </w:rPr>
        <w:t xml:space="preserve"> </w:t>
      </w:r>
      <w:r>
        <w:t>Shields</w:t>
      </w:r>
      <w:r>
        <w:rPr>
          <w:spacing w:val="-1"/>
        </w:rPr>
        <w:t xml:space="preserve"> </w:t>
      </w:r>
      <w:r>
        <w:t>will</w:t>
      </w:r>
      <w:r>
        <w:rPr>
          <w:spacing w:val="-1"/>
        </w:rPr>
        <w:t xml:space="preserve"> </w:t>
      </w:r>
      <w:r>
        <w:t>remain</w:t>
      </w:r>
      <w:r>
        <w:rPr>
          <w:spacing w:val="-1"/>
        </w:rPr>
        <w:t xml:space="preserve"> </w:t>
      </w:r>
      <w:r>
        <w:t>the</w:t>
      </w:r>
      <w:r>
        <w:rPr>
          <w:spacing w:val="-3"/>
        </w:rPr>
        <w:t xml:space="preserve"> </w:t>
      </w:r>
      <w:r>
        <w:t>operational</w:t>
      </w:r>
      <w:r>
        <w:rPr>
          <w:spacing w:val="-1"/>
        </w:rPr>
        <w:t xml:space="preserve"> </w:t>
      </w:r>
      <w:r>
        <w:t>manager</w:t>
      </w:r>
      <w:r>
        <w:rPr>
          <w:spacing w:val="-2"/>
        </w:rPr>
        <w:t xml:space="preserve"> </w:t>
      </w:r>
      <w:r>
        <w:t>of</w:t>
      </w:r>
      <w:r>
        <w:rPr>
          <w:spacing w:val="-2"/>
        </w:rPr>
        <w:t xml:space="preserve"> </w:t>
      </w:r>
      <w:r>
        <w:t>the clinic</w:t>
      </w:r>
      <w:r>
        <w:rPr>
          <w:spacing w:val="-2"/>
        </w:rPr>
        <w:t xml:space="preserve"> </w:t>
      </w:r>
      <w:r>
        <w:t>and</w:t>
      </w:r>
      <w:r>
        <w:rPr>
          <w:spacing w:val="-1"/>
        </w:rPr>
        <w:t xml:space="preserve"> </w:t>
      </w:r>
      <w:r>
        <w:t>as such will identify opportunities to reduce costs while preserving access to high-quality care. In addition, the current staffing arrangement will not be impacted by the proposed transfer of site, and thus provider costs will not be impacted.</w:t>
      </w:r>
    </w:p>
    <w:p w14:paraId="26530808" w14:textId="77777777" w:rsidR="001C476B" w:rsidRDefault="001C476B" w:rsidP="001C476B">
      <w:pPr>
        <w:pStyle w:val="BodyText"/>
      </w:pPr>
    </w:p>
    <w:p w14:paraId="5A67E05D" w14:textId="77777777" w:rsidR="001C476B" w:rsidRDefault="001C476B" w:rsidP="001C476B">
      <w:pPr>
        <w:pStyle w:val="BodyText"/>
        <w:spacing w:before="1"/>
        <w:ind w:right="816"/>
      </w:pPr>
      <w:r>
        <w:t>There</w:t>
      </w:r>
      <w:r>
        <w:rPr>
          <w:spacing w:val="-4"/>
        </w:rPr>
        <w:t xml:space="preserve"> </w:t>
      </w:r>
      <w:r>
        <w:t>is</w:t>
      </w:r>
      <w:r>
        <w:rPr>
          <w:spacing w:val="-3"/>
        </w:rPr>
        <w:t xml:space="preserve"> </w:t>
      </w:r>
      <w:r>
        <w:t>no</w:t>
      </w:r>
      <w:r>
        <w:rPr>
          <w:spacing w:val="-3"/>
        </w:rPr>
        <w:t xml:space="preserve"> </w:t>
      </w:r>
      <w:r>
        <w:t>capital</w:t>
      </w:r>
      <w:r>
        <w:rPr>
          <w:spacing w:val="-3"/>
        </w:rPr>
        <w:t xml:space="preserve"> </w:t>
      </w:r>
      <w:r>
        <w:t>expenditure</w:t>
      </w:r>
      <w:r>
        <w:rPr>
          <w:spacing w:val="-4"/>
        </w:rPr>
        <w:t xml:space="preserve"> </w:t>
      </w:r>
      <w:r>
        <w:t>associated</w:t>
      </w:r>
      <w:r>
        <w:rPr>
          <w:spacing w:val="-3"/>
        </w:rPr>
        <w:t xml:space="preserve"> </w:t>
      </w:r>
      <w:r>
        <w:t>with</w:t>
      </w:r>
      <w:r>
        <w:rPr>
          <w:spacing w:val="-3"/>
        </w:rPr>
        <w:t xml:space="preserve"> </w:t>
      </w:r>
      <w:r>
        <w:t>the</w:t>
      </w:r>
      <w:r>
        <w:rPr>
          <w:spacing w:val="-2"/>
        </w:rPr>
        <w:t xml:space="preserve"> </w:t>
      </w:r>
      <w:r>
        <w:t>proposed</w:t>
      </w:r>
      <w:r>
        <w:rPr>
          <w:spacing w:val="-3"/>
        </w:rPr>
        <w:t xml:space="preserve"> </w:t>
      </w:r>
      <w:r>
        <w:t>transfer</w:t>
      </w:r>
      <w:r>
        <w:rPr>
          <w:spacing w:val="-4"/>
        </w:rPr>
        <w:t xml:space="preserve"> </w:t>
      </w:r>
      <w:r>
        <w:t>of</w:t>
      </w:r>
      <w:r>
        <w:rPr>
          <w:spacing w:val="-4"/>
        </w:rPr>
        <w:t xml:space="preserve"> </w:t>
      </w:r>
      <w:r>
        <w:t>site.</w:t>
      </w:r>
      <w:r>
        <w:rPr>
          <w:spacing w:val="-1"/>
        </w:rPr>
        <w:t xml:space="preserve"> </w:t>
      </w:r>
      <w:r>
        <w:t>The</w:t>
      </w:r>
      <w:r>
        <w:rPr>
          <w:spacing w:val="-4"/>
        </w:rPr>
        <w:t xml:space="preserve"> </w:t>
      </w:r>
      <w:r>
        <w:t>proposed</w:t>
      </w:r>
      <w:r>
        <w:rPr>
          <w:spacing w:val="-3"/>
        </w:rPr>
        <w:t xml:space="preserve"> </w:t>
      </w:r>
      <w:r>
        <w:t>site</w:t>
      </w:r>
      <w:r>
        <w:rPr>
          <w:spacing w:val="-4"/>
        </w:rPr>
        <w:t xml:space="preserve"> </w:t>
      </w:r>
      <w:r>
        <w:t>is fully equipped to receive the PET-CT unit.</w:t>
      </w:r>
    </w:p>
    <w:p w14:paraId="5E17383C" w14:textId="77777777" w:rsidR="001C476B" w:rsidRDefault="001C476B" w:rsidP="001C476B">
      <w:pPr>
        <w:pStyle w:val="BodyText"/>
        <w:rPr>
          <w:sz w:val="26"/>
        </w:rPr>
      </w:pPr>
    </w:p>
    <w:p w14:paraId="3BD53794" w14:textId="77777777" w:rsidR="001C476B" w:rsidRDefault="001C476B" w:rsidP="001C476B">
      <w:pPr>
        <w:pStyle w:val="BodyText"/>
        <w:rPr>
          <w:sz w:val="22"/>
        </w:rPr>
      </w:pPr>
    </w:p>
    <w:p w14:paraId="7DC2042D" w14:textId="77777777" w:rsidR="001C476B" w:rsidRDefault="001C476B" w:rsidP="001C476B">
      <w:pPr>
        <w:pStyle w:val="Heading1"/>
        <w:ind w:left="0"/>
      </w:pPr>
      <w:r>
        <w:rPr>
          <w:spacing w:val="-2"/>
        </w:rPr>
        <w:t>Findings:</w:t>
      </w:r>
    </w:p>
    <w:p w14:paraId="17272344" w14:textId="77777777" w:rsidR="001C476B" w:rsidRDefault="001C476B" w:rsidP="001C476B">
      <w:pPr>
        <w:pStyle w:val="BodyText"/>
        <w:rPr>
          <w:b/>
        </w:rPr>
      </w:pPr>
    </w:p>
    <w:p w14:paraId="5380B75A" w14:textId="77777777" w:rsidR="001C476B" w:rsidRDefault="001C476B" w:rsidP="001C476B">
      <w:pPr>
        <w:pStyle w:val="BodyText"/>
        <w:ind w:right="859"/>
      </w:pPr>
      <w:r>
        <w:t>The Department finds that Shields Signature Imaging, LLC has provided the Department with the information required in 105 CMR 100.745(D). Based upon review of the Notice and supporting</w:t>
      </w:r>
      <w:r>
        <w:rPr>
          <w:spacing w:val="-3"/>
        </w:rPr>
        <w:t xml:space="preserve"> </w:t>
      </w:r>
      <w:r>
        <w:t>materials,</w:t>
      </w:r>
      <w:r>
        <w:rPr>
          <w:spacing w:val="-3"/>
        </w:rPr>
        <w:t xml:space="preserve"> </w:t>
      </w:r>
      <w:r>
        <w:t>the</w:t>
      </w:r>
      <w:r>
        <w:rPr>
          <w:spacing w:val="-2"/>
        </w:rPr>
        <w:t xml:space="preserve"> </w:t>
      </w:r>
      <w:r>
        <w:t>Department</w:t>
      </w:r>
      <w:r>
        <w:rPr>
          <w:spacing w:val="-3"/>
        </w:rPr>
        <w:t xml:space="preserve"> </w:t>
      </w:r>
      <w:r>
        <w:t>finds</w:t>
      </w:r>
      <w:r>
        <w:rPr>
          <w:spacing w:val="-3"/>
        </w:rPr>
        <w:t xml:space="preserve"> </w:t>
      </w:r>
      <w:r>
        <w:t>that</w:t>
      </w:r>
      <w:r>
        <w:rPr>
          <w:spacing w:val="-3"/>
        </w:rPr>
        <w:t xml:space="preserve"> </w:t>
      </w:r>
      <w:r>
        <w:t>this</w:t>
      </w:r>
      <w:r>
        <w:rPr>
          <w:spacing w:val="-3"/>
        </w:rPr>
        <w:t xml:space="preserve"> </w:t>
      </w:r>
      <w:r>
        <w:t>transaction</w:t>
      </w:r>
      <w:r>
        <w:rPr>
          <w:spacing w:val="-3"/>
        </w:rPr>
        <w:t xml:space="preserve"> </w:t>
      </w:r>
      <w:r>
        <w:t>does</w:t>
      </w:r>
      <w:r>
        <w:rPr>
          <w:spacing w:val="-3"/>
        </w:rPr>
        <w:t xml:space="preserve"> </w:t>
      </w:r>
      <w:r>
        <w:t>not</w:t>
      </w:r>
      <w:r>
        <w:rPr>
          <w:spacing w:val="-3"/>
        </w:rPr>
        <w:t xml:space="preserve"> </w:t>
      </w:r>
      <w:r>
        <w:t>require</w:t>
      </w:r>
      <w:r>
        <w:rPr>
          <w:spacing w:val="-4"/>
        </w:rPr>
        <w:t xml:space="preserve"> </w:t>
      </w:r>
      <w:r>
        <w:t>a</w:t>
      </w:r>
      <w:r>
        <w:rPr>
          <w:spacing w:val="-4"/>
        </w:rPr>
        <w:t xml:space="preserve"> </w:t>
      </w:r>
      <w:proofErr w:type="spellStart"/>
      <w:r>
        <w:t>DoN</w:t>
      </w:r>
      <w:proofErr w:type="spellEnd"/>
      <w:r>
        <w:rPr>
          <w:spacing w:val="-2"/>
        </w:rPr>
        <w:t xml:space="preserve"> </w:t>
      </w:r>
      <w:r>
        <w:t>either</w:t>
      </w:r>
      <w:r>
        <w:rPr>
          <w:spacing w:val="-4"/>
        </w:rPr>
        <w:t xml:space="preserve"> </w:t>
      </w:r>
      <w:r>
        <w:t>as a Substantial Capital Expenditure or Substantial Change in Service, pursuant to 105 CMR 100.730. The Applicant has stated that the proposed Transfer of Site is temporary and the PET- CT unit will be returned to its original location. If the Applicant decides that the proposed transfer</w:t>
      </w:r>
      <w:r>
        <w:rPr>
          <w:spacing w:val="-1"/>
        </w:rPr>
        <w:t xml:space="preserve"> </w:t>
      </w:r>
      <w:r>
        <w:t>of</w:t>
      </w:r>
      <w:r>
        <w:rPr>
          <w:spacing w:val="-1"/>
        </w:rPr>
        <w:t xml:space="preserve"> </w:t>
      </w:r>
      <w:r>
        <w:t>site</w:t>
      </w:r>
      <w:r>
        <w:rPr>
          <w:spacing w:val="-1"/>
        </w:rPr>
        <w:t xml:space="preserve"> </w:t>
      </w:r>
      <w:r>
        <w:t>of</w:t>
      </w:r>
      <w:r>
        <w:rPr>
          <w:spacing w:val="-1"/>
        </w:rPr>
        <w:t xml:space="preserve"> </w:t>
      </w:r>
      <w:r>
        <w:t>the</w:t>
      </w:r>
      <w:r>
        <w:rPr>
          <w:spacing w:val="-1"/>
        </w:rPr>
        <w:t xml:space="preserve"> </w:t>
      </w:r>
      <w:r>
        <w:t>PET-CT</w:t>
      </w:r>
      <w:r>
        <w:rPr>
          <w:spacing w:val="-1"/>
        </w:rPr>
        <w:t xml:space="preserve"> </w:t>
      </w:r>
      <w:r>
        <w:t>unit is to be</w:t>
      </w:r>
      <w:r>
        <w:rPr>
          <w:spacing w:val="-1"/>
        </w:rPr>
        <w:t xml:space="preserve"> </w:t>
      </w:r>
      <w:r>
        <w:t>made</w:t>
      </w:r>
      <w:r>
        <w:rPr>
          <w:spacing w:val="-1"/>
        </w:rPr>
        <w:t xml:space="preserve"> </w:t>
      </w:r>
      <w:r>
        <w:t>permanent, then the Applicant will be</w:t>
      </w:r>
      <w:r>
        <w:rPr>
          <w:spacing w:val="-2"/>
        </w:rPr>
        <w:t xml:space="preserve"> </w:t>
      </w:r>
      <w:r>
        <w:t xml:space="preserve">required to apply for </w:t>
      </w:r>
      <w:proofErr w:type="spellStart"/>
      <w:r>
        <w:t>DoN</w:t>
      </w:r>
      <w:proofErr w:type="spellEnd"/>
      <w:r>
        <w:t xml:space="preserve"> approval.</w:t>
      </w:r>
    </w:p>
    <w:p w14:paraId="0C06D4C2" w14:textId="77777777" w:rsidR="001C476B" w:rsidRDefault="001C476B" w:rsidP="001C476B">
      <w:pPr>
        <w:pStyle w:val="BodyText"/>
        <w:rPr>
          <w:sz w:val="20"/>
        </w:rPr>
      </w:pPr>
    </w:p>
    <w:p w14:paraId="7D1CE0E1" w14:textId="38E2189E" w:rsidR="001C476B" w:rsidRDefault="001C476B" w:rsidP="001C476B">
      <w:pPr>
        <w:pStyle w:val="BodyText"/>
        <w:spacing w:before="1"/>
        <w:rPr>
          <w:sz w:val="10"/>
        </w:rPr>
      </w:pPr>
    </w:p>
    <w:p w14:paraId="5F34C941" w14:textId="5D83282C" w:rsidR="001C476B" w:rsidRDefault="001C476B" w:rsidP="001C476B">
      <w:pPr>
        <w:pStyle w:val="BodyText"/>
        <w:spacing w:before="118" w:line="393" w:lineRule="auto"/>
        <w:ind w:right="7055"/>
      </w:pPr>
      <w:r>
        <w:t>[signature on file]</w:t>
      </w:r>
    </w:p>
    <w:p w14:paraId="57EBFFBD" w14:textId="54D735B8" w:rsidR="001C476B" w:rsidRDefault="001C476B" w:rsidP="001C476B">
      <w:pPr>
        <w:pStyle w:val="BodyText"/>
        <w:spacing w:before="118" w:line="393" w:lineRule="auto"/>
        <w:ind w:right="7055"/>
      </w:pPr>
      <w:r>
        <w:t>Margret</w:t>
      </w:r>
      <w:r>
        <w:rPr>
          <w:spacing w:val="-15"/>
        </w:rPr>
        <w:t xml:space="preserve"> </w:t>
      </w:r>
      <w:r>
        <w:t>R.</w:t>
      </w:r>
      <w:r>
        <w:rPr>
          <w:spacing w:val="-15"/>
        </w:rPr>
        <w:t xml:space="preserve"> </w:t>
      </w:r>
      <w:r>
        <w:t xml:space="preserve">Cooke </w:t>
      </w:r>
      <w:r>
        <w:rPr>
          <w:spacing w:val="-2"/>
        </w:rPr>
        <w:t>Commissioner</w:t>
      </w:r>
    </w:p>
    <w:p w14:paraId="6EA6BDDB" w14:textId="77777777" w:rsidR="00311405" w:rsidRDefault="00311405" w:rsidP="001C476B">
      <w:pPr>
        <w:pStyle w:val="BodyText"/>
        <w:spacing w:before="1"/>
      </w:pPr>
    </w:p>
    <w:sectPr w:rsidR="00311405" w:rsidSect="005A6BF8">
      <w:type w:val="continuous"/>
      <w:pgSz w:w="12240" w:h="15840"/>
      <w:pgMar w:top="1440" w:right="1440" w:bottom="540" w:left="1440" w:header="540" w:footer="2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C978" w14:textId="77777777" w:rsidR="005A6BF8" w:rsidRDefault="00D1137A">
    <w:pPr>
      <w:pStyle w:val="Header"/>
    </w:pPr>
    <w:r>
      <w:rPr>
        <w:noProof/>
      </w:rPr>
      <w:pict w14:anchorId="0BE3B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F7E6" w14:textId="77777777" w:rsidR="005A6BF8" w:rsidRDefault="00D1137A">
    <w:pPr>
      <w:pStyle w:val="Header"/>
    </w:pPr>
    <w:r>
      <w:rPr>
        <w:noProof/>
      </w:rPr>
      <w:pict w14:anchorId="3B2E0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DF3"/>
    <w:multiLevelType w:val="hybridMultilevel"/>
    <w:tmpl w:val="2BFCD282"/>
    <w:lvl w:ilvl="0" w:tplc="3D0A37FA">
      <w:start w:val="1"/>
      <w:numFmt w:val="lowerLetter"/>
      <w:lvlText w:val="%1."/>
      <w:lvlJc w:val="left"/>
      <w:pPr>
        <w:ind w:left="11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8885A4A">
      <w:numFmt w:val="bullet"/>
      <w:lvlText w:val="•"/>
      <w:lvlJc w:val="left"/>
      <w:pPr>
        <w:ind w:left="2113" w:hanging="360"/>
      </w:pPr>
      <w:rPr>
        <w:rFonts w:hint="default"/>
        <w:lang w:val="en-US" w:eastAsia="en-US" w:bidi="ar-SA"/>
      </w:rPr>
    </w:lvl>
    <w:lvl w:ilvl="2" w:tplc="4500987C">
      <w:numFmt w:val="bullet"/>
      <w:lvlText w:val="•"/>
      <w:lvlJc w:val="left"/>
      <w:pPr>
        <w:ind w:left="3125" w:hanging="360"/>
      </w:pPr>
      <w:rPr>
        <w:rFonts w:hint="default"/>
        <w:lang w:val="en-US" w:eastAsia="en-US" w:bidi="ar-SA"/>
      </w:rPr>
    </w:lvl>
    <w:lvl w:ilvl="3" w:tplc="5C4A1BE6">
      <w:numFmt w:val="bullet"/>
      <w:lvlText w:val="•"/>
      <w:lvlJc w:val="left"/>
      <w:pPr>
        <w:ind w:left="4137" w:hanging="360"/>
      </w:pPr>
      <w:rPr>
        <w:rFonts w:hint="default"/>
        <w:lang w:val="en-US" w:eastAsia="en-US" w:bidi="ar-SA"/>
      </w:rPr>
    </w:lvl>
    <w:lvl w:ilvl="4" w:tplc="923811D8">
      <w:numFmt w:val="bullet"/>
      <w:lvlText w:val="•"/>
      <w:lvlJc w:val="left"/>
      <w:pPr>
        <w:ind w:left="5149" w:hanging="360"/>
      </w:pPr>
      <w:rPr>
        <w:rFonts w:hint="default"/>
        <w:lang w:val="en-US" w:eastAsia="en-US" w:bidi="ar-SA"/>
      </w:rPr>
    </w:lvl>
    <w:lvl w:ilvl="5" w:tplc="F3CC6EC2">
      <w:numFmt w:val="bullet"/>
      <w:lvlText w:val="•"/>
      <w:lvlJc w:val="left"/>
      <w:pPr>
        <w:ind w:left="6161" w:hanging="360"/>
      </w:pPr>
      <w:rPr>
        <w:rFonts w:hint="default"/>
        <w:lang w:val="en-US" w:eastAsia="en-US" w:bidi="ar-SA"/>
      </w:rPr>
    </w:lvl>
    <w:lvl w:ilvl="6" w:tplc="8E528AA2">
      <w:numFmt w:val="bullet"/>
      <w:lvlText w:val="•"/>
      <w:lvlJc w:val="left"/>
      <w:pPr>
        <w:ind w:left="7173" w:hanging="360"/>
      </w:pPr>
      <w:rPr>
        <w:rFonts w:hint="default"/>
        <w:lang w:val="en-US" w:eastAsia="en-US" w:bidi="ar-SA"/>
      </w:rPr>
    </w:lvl>
    <w:lvl w:ilvl="7" w:tplc="FF085AE8">
      <w:numFmt w:val="bullet"/>
      <w:lvlText w:val="•"/>
      <w:lvlJc w:val="left"/>
      <w:pPr>
        <w:ind w:left="8185" w:hanging="360"/>
      </w:pPr>
      <w:rPr>
        <w:rFonts w:hint="default"/>
        <w:lang w:val="en-US" w:eastAsia="en-US" w:bidi="ar-SA"/>
      </w:rPr>
    </w:lvl>
    <w:lvl w:ilvl="8" w:tplc="E990D1FA">
      <w:numFmt w:val="bullet"/>
      <w:lvlText w:val="•"/>
      <w:lvlJc w:val="left"/>
      <w:pPr>
        <w:ind w:left="9197" w:hanging="360"/>
      </w:pPr>
      <w:rPr>
        <w:rFonts w:hint="default"/>
        <w:lang w:val="en-US" w:eastAsia="en-US" w:bidi="ar-SA"/>
      </w:rPr>
    </w:lvl>
  </w:abstractNum>
  <w:abstractNum w:abstractNumId="1" w15:restartNumberingAfterBreak="0">
    <w:nsid w:val="78AB13B0"/>
    <w:multiLevelType w:val="hybridMultilevel"/>
    <w:tmpl w:val="E4285D10"/>
    <w:lvl w:ilvl="0" w:tplc="9216BD36">
      <w:start w:val="1"/>
      <w:numFmt w:val="decimal"/>
      <w:lvlText w:val="%1."/>
      <w:lvlJc w:val="left"/>
      <w:pPr>
        <w:ind w:left="1111" w:hanging="272"/>
        <w:jc w:val="left"/>
      </w:pPr>
      <w:rPr>
        <w:rFonts w:ascii="Times New Roman" w:eastAsia="Times New Roman" w:hAnsi="Times New Roman" w:cs="Times New Roman" w:hint="default"/>
        <w:b/>
        <w:bCs/>
        <w:i w:val="0"/>
        <w:iCs w:val="0"/>
        <w:w w:val="100"/>
        <w:sz w:val="24"/>
        <w:szCs w:val="24"/>
        <w:lang w:val="en-US" w:eastAsia="en-US" w:bidi="ar-SA"/>
      </w:rPr>
    </w:lvl>
    <w:lvl w:ilvl="1" w:tplc="34528BBE">
      <w:numFmt w:val="bullet"/>
      <w:lvlText w:val="•"/>
      <w:lvlJc w:val="left"/>
      <w:pPr>
        <w:ind w:left="2104" w:hanging="272"/>
      </w:pPr>
      <w:rPr>
        <w:rFonts w:hint="default"/>
        <w:lang w:val="en-US" w:eastAsia="en-US" w:bidi="ar-SA"/>
      </w:rPr>
    </w:lvl>
    <w:lvl w:ilvl="2" w:tplc="7A521C6E">
      <w:numFmt w:val="bullet"/>
      <w:lvlText w:val="•"/>
      <w:lvlJc w:val="left"/>
      <w:pPr>
        <w:ind w:left="3088" w:hanging="272"/>
      </w:pPr>
      <w:rPr>
        <w:rFonts w:hint="default"/>
        <w:lang w:val="en-US" w:eastAsia="en-US" w:bidi="ar-SA"/>
      </w:rPr>
    </w:lvl>
    <w:lvl w:ilvl="3" w:tplc="1BB8C83C">
      <w:numFmt w:val="bullet"/>
      <w:lvlText w:val="•"/>
      <w:lvlJc w:val="left"/>
      <w:pPr>
        <w:ind w:left="4072" w:hanging="272"/>
      </w:pPr>
      <w:rPr>
        <w:rFonts w:hint="default"/>
        <w:lang w:val="en-US" w:eastAsia="en-US" w:bidi="ar-SA"/>
      </w:rPr>
    </w:lvl>
    <w:lvl w:ilvl="4" w:tplc="399A4BFA">
      <w:numFmt w:val="bullet"/>
      <w:lvlText w:val="•"/>
      <w:lvlJc w:val="left"/>
      <w:pPr>
        <w:ind w:left="5056" w:hanging="272"/>
      </w:pPr>
      <w:rPr>
        <w:rFonts w:hint="default"/>
        <w:lang w:val="en-US" w:eastAsia="en-US" w:bidi="ar-SA"/>
      </w:rPr>
    </w:lvl>
    <w:lvl w:ilvl="5" w:tplc="4F38A3FE">
      <w:numFmt w:val="bullet"/>
      <w:lvlText w:val="•"/>
      <w:lvlJc w:val="left"/>
      <w:pPr>
        <w:ind w:left="6040" w:hanging="272"/>
      </w:pPr>
      <w:rPr>
        <w:rFonts w:hint="default"/>
        <w:lang w:val="en-US" w:eastAsia="en-US" w:bidi="ar-SA"/>
      </w:rPr>
    </w:lvl>
    <w:lvl w:ilvl="6" w:tplc="CB44A51C">
      <w:numFmt w:val="bullet"/>
      <w:lvlText w:val="•"/>
      <w:lvlJc w:val="left"/>
      <w:pPr>
        <w:ind w:left="7024" w:hanging="272"/>
      </w:pPr>
      <w:rPr>
        <w:rFonts w:hint="default"/>
        <w:lang w:val="en-US" w:eastAsia="en-US" w:bidi="ar-SA"/>
      </w:rPr>
    </w:lvl>
    <w:lvl w:ilvl="7" w:tplc="ABCC23A4">
      <w:numFmt w:val="bullet"/>
      <w:lvlText w:val="•"/>
      <w:lvlJc w:val="left"/>
      <w:pPr>
        <w:ind w:left="8008" w:hanging="272"/>
      </w:pPr>
      <w:rPr>
        <w:rFonts w:hint="default"/>
        <w:lang w:val="en-US" w:eastAsia="en-US" w:bidi="ar-SA"/>
      </w:rPr>
    </w:lvl>
    <w:lvl w:ilvl="8" w:tplc="BF303E38">
      <w:numFmt w:val="bullet"/>
      <w:lvlText w:val="•"/>
      <w:lvlJc w:val="left"/>
      <w:pPr>
        <w:ind w:left="8992" w:hanging="272"/>
      </w:pPr>
      <w:rPr>
        <w:rFonts w:hint="default"/>
        <w:lang w:val="en-US" w:eastAsia="en-US" w:bidi="ar-SA"/>
      </w:rPr>
    </w:lvl>
  </w:abstractNum>
  <w:num w:numId="1" w16cid:durableId="1466005152">
    <w:abstractNumId w:val="0"/>
  </w:num>
  <w:num w:numId="2" w16cid:durableId="202821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6B"/>
    <w:rsid w:val="001C476B"/>
    <w:rsid w:val="00311405"/>
    <w:rsid w:val="00D1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D61DF"/>
  <w15:chartTrackingRefBased/>
  <w15:docId w15:val="{07F669E1-1D73-4755-9EB0-36AA2E57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6B"/>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1C476B"/>
    <w:pPr>
      <w:widowControl w:val="0"/>
      <w:autoSpaceDE w:val="0"/>
      <w:autoSpaceDN w:val="0"/>
      <w:ind w:left="84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1C476B"/>
    <w:pPr>
      <w:framePr w:w="6927" w:hSpace="187" w:wrap="notBeside" w:vAnchor="text" w:hAnchor="page" w:x="3594" w:y="1"/>
      <w:jc w:val="center"/>
    </w:pPr>
    <w:rPr>
      <w:rFonts w:ascii="Arial" w:hAnsi="Arial"/>
      <w:sz w:val="28"/>
    </w:rPr>
  </w:style>
  <w:style w:type="paragraph" w:customStyle="1" w:styleId="Weld">
    <w:name w:val="Weld"/>
    <w:basedOn w:val="Normal"/>
    <w:rsid w:val="001C476B"/>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1C476B"/>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1C476B"/>
    <w:rPr>
      <w:color w:val="0000FF"/>
      <w:u w:val="single"/>
    </w:rPr>
  </w:style>
  <w:style w:type="paragraph" w:styleId="Header">
    <w:name w:val="header"/>
    <w:basedOn w:val="Normal"/>
    <w:link w:val="HeaderChar"/>
    <w:rsid w:val="001C476B"/>
    <w:pPr>
      <w:tabs>
        <w:tab w:val="center" w:pos="4680"/>
        <w:tab w:val="right" w:pos="9360"/>
      </w:tabs>
    </w:pPr>
  </w:style>
  <w:style w:type="character" w:customStyle="1" w:styleId="HeaderChar">
    <w:name w:val="Header Char"/>
    <w:basedOn w:val="DefaultParagraphFont"/>
    <w:link w:val="Header"/>
    <w:rsid w:val="001C476B"/>
    <w:rPr>
      <w:rFonts w:ascii="Times New Roman" w:eastAsia="Times New Roman" w:hAnsi="Times New Roman" w:cs="Times New Roman"/>
      <w:sz w:val="24"/>
      <w:szCs w:val="20"/>
    </w:rPr>
  </w:style>
  <w:style w:type="paragraph" w:styleId="ListParagraph">
    <w:name w:val="List Paragraph"/>
    <w:basedOn w:val="Normal"/>
    <w:uiPriority w:val="1"/>
    <w:qFormat/>
    <w:rsid w:val="001C476B"/>
    <w:pPr>
      <w:ind w:left="720"/>
      <w:contextualSpacing/>
    </w:pPr>
  </w:style>
  <w:style w:type="paragraph" w:styleId="BodyText">
    <w:name w:val="Body Text"/>
    <w:basedOn w:val="Normal"/>
    <w:link w:val="BodyTextChar"/>
    <w:uiPriority w:val="1"/>
    <w:qFormat/>
    <w:rsid w:val="001C476B"/>
    <w:pPr>
      <w:widowControl w:val="0"/>
      <w:autoSpaceDE w:val="0"/>
      <w:autoSpaceDN w:val="0"/>
    </w:pPr>
    <w:rPr>
      <w:szCs w:val="24"/>
    </w:rPr>
  </w:style>
  <w:style w:type="character" w:customStyle="1" w:styleId="BodyTextChar">
    <w:name w:val="Body Text Char"/>
    <w:basedOn w:val="DefaultParagraphFont"/>
    <w:link w:val="BodyText"/>
    <w:uiPriority w:val="1"/>
    <w:rsid w:val="001C476B"/>
    <w:rPr>
      <w:rFonts w:ascii="Times New Roman" w:eastAsia="Times New Roman" w:hAnsi="Times New Roman" w:cs="Times New Roman"/>
      <w:sz w:val="24"/>
      <w:szCs w:val="24"/>
    </w:rPr>
  </w:style>
  <w:style w:type="character" w:customStyle="1" w:styleId="contentpasted1">
    <w:name w:val="contentpasted1"/>
    <w:basedOn w:val="DefaultParagraphFont"/>
    <w:rsid w:val="001C476B"/>
  </w:style>
  <w:style w:type="paragraph" w:styleId="NormalWeb">
    <w:name w:val="Normal (Web)"/>
    <w:basedOn w:val="Normal"/>
    <w:uiPriority w:val="99"/>
    <w:unhideWhenUsed/>
    <w:rsid w:val="001C476B"/>
    <w:rPr>
      <w:rFonts w:eastAsia="Calibri"/>
      <w:szCs w:val="24"/>
    </w:rPr>
  </w:style>
  <w:style w:type="character" w:customStyle="1" w:styleId="contentpasted7">
    <w:name w:val="contentpasted7"/>
    <w:basedOn w:val="DefaultParagraphFont"/>
    <w:rsid w:val="001C476B"/>
  </w:style>
  <w:style w:type="character" w:customStyle="1" w:styleId="Heading1Char">
    <w:name w:val="Heading 1 Char"/>
    <w:basedOn w:val="DefaultParagraphFont"/>
    <w:link w:val="Heading1"/>
    <w:uiPriority w:val="9"/>
    <w:rsid w:val="001C4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PVaughan@publicpolicy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2023-04-05T11:51:00Z</dcterms:created>
  <dcterms:modified xsi:type="dcterms:W3CDTF">2023-04-05T12:06:00Z</dcterms:modified>
</cp:coreProperties>
</file>