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73BB" w14:textId="77777777" w:rsidR="00F315BE" w:rsidRDefault="00F315BE" w:rsidP="007808AE">
      <w:pPr>
        <w:ind w:left="720" w:right="270"/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389D2A10" wp14:editId="00637BE3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  <w:t>The Commonwealth of Massachusetts</w:t>
      </w:r>
    </w:p>
    <w:p w14:paraId="55B2BA54" w14:textId="77777777" w:rsidR="00F315BE" w:rsidRDefault="00F315BE" w:rsidP="007808AE">
      <w:pPr>
        <w:pStyle w:val="ExecOffice"/>
        <w:framePr w:w="0" w:hSpace="0" w:wrap="auto" w:vAnchor="margin" w:hAnchor="text" w:xAlign="left" w:yAlign="inline"/>
        <w:ind w:left="720" w:right="270"/>
      </w:pPr>
      <w:r>
        <w:t>Executive Office of Health and Human Services</w:t>
      </w:r>
    </w:p>
    <w:p w14:paraId="44A309D9" w14:textId="77777777" w:rsidR="00F315BE" w:rsidRDefault="00F315BE" w:rsidP="007808AE">
      <w:pPr>
        <w:pStyle w:val="ExecOffice"/>
        <w:framePr w:w="0" w:hSpace="0" w:wrap="auto" w:vAnchor="margin" w:hAnchor="text" w:xAlign="left" w:yAlign="inline"/>
        <w:ind w:left="720" w:right="270"/>
      </w:pPr>
      <w:r>
        <w:t>Department of Public Health</w:t>
      </w:r>
    </w:p>
    <w:p w14:paraId="3DBDA1CC" w14:textId="77777777" w:rsidR="00F315BE" w:rsidRDefault="00F315BE" w:rsidP="007808AE">
      <w:pPr>
        <w:pStyle w:val="ExecOffice"/>
        <w:framePr w:w="0" w:hSpace="0" w:wrap="auto" w:vAnchor="margin" w:hAnchor="text" w:xAlign="left" w:yAlign="inline"/>
        <w:ind w:left="720" w:right="270"/>
      </w:pPr>
      <w:r>
        <w:t>250 Washington Street, Boston, MA 02108-4619</w:t>
      </w:r>
    </w:p>
    <w:p w14:paraId="2EF4F264" w14:textId="77777777" w:rsidR="00F315BE" w:rsidRDefault="00F315BE" w:rsidP="007808AE">
      <w:pPr>
        <w:pStyle w:val="ExecOffice"/>
        <w:framePr w:w="0" w:hSpace="0" w:wrap="auto" w:vAnchor="margin" w:hAnchor="text" w:xAlign="left" w:yAlign="inline"/>
        <w:ind w:left="720" w:right="270"/>
      </w:pPr>
      <w:r w:rsidRPr="00DD783A">
        <w:t>617-624-6000 | mass.gov/</w:t>
      </w:r>
      <w:proofErr w:type="spellStart"/>
      <w:r w:rsidRPr="00DD783A">
        <w:t>dph</w:t>
      </w:r>
      <w:proofErr w:type="spellEnd"/>
    </w:p>
    <w:p w14:paraId="0603B3A8" w14:textId="77777777" w:rsidR="00F315BE" w:rsidRDefault="00F315BE" w:rsidP="00F315BE">
      <w:pPr>
        <w:ind w:right="2340"/>
        <w:contextualSpacing/>
        <w:rPr>
          <w:rFonts w:ascii="Arial Rounded MT Bold" w:hAnsi="Arial Rounded MT Bold"/>
          <w:sz w:val="16"/>
        </w:rPr>
        <w:sectPr w:rsidR="00F315BE" w:rsidSect="00F315BE">
          <w:headerReference w:type="even" r:id="rId12"/>
          <w:footerReference w:type="default" r:id="rId13"/>
          <w:headerReference w:type="first" r:id="rId14"/>
          <w:type w:val="continuous"/>
          <w:pgSz w:w="12240" w:h="15840"/>
          <w:pgMar w:top="540" w:right="260" w:bottom="1260" w:left="640" w:header="0" w:footer="1061" w:gutter="0"/>
          <w:cols w:space="720"/>
        </w:sectPr>
      </w:pPr>
    </w:p>
    <w:p w14:paraId="570FF8E4" w14:textId="77777777" w:rsidR="00F315BE" w:rsidRPr="001D6D5B" w:rsidRDefault="00F315BE" w:rsidP="007808AE">
      <w:pPr>
        <w:ind w:left="450" w:right="270" w:firstLine="270"/>
        <w:contextualSpacing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MAURA T. HEALEY</w:t>
      </w:r>
    </w:p>
    <w:p w14:paraId="1ACC19E6" w14:textId="77777777" w:rsidR="00F315BE" w:rsidRPr="001D6D5B" w:rsidRDefault="00F315BE" w:rsidP="007808AE">
      <w:pPr>
        <w:pStyle w:val="Weld"/>
        <w:framePr w:hSpace="0" w:wrap="auto" w:vAnchor="margin" w:hAnchor="text" w:xAlign="left" w:yAlign="inline"/>
        <w:ind w:left="450" w:right="270" w:firstLine="270"/>
        <w:jc w:val="left"/>
        <w:rPr>
          <w:sz w:val="14"/>
          <w:szCs w:val="18"/>
        </w:rPr>
      </w:pPr>
      <w:r w:rsidRPr="001D6D5B">
        <w:rPr>
          <w:sz w:val="14"/>
          <w:szCs w:val="18"/>
        </w:rPr>
        <w:t>Governor</w:t>
      </w:r>
    </w:p>
    <w:p w14:paraId="230A4295" w14:textId="77777777" w:rsidR="00F315BE" w:rsidRPr="001D6D5B" w:rsidRDefault="00F315BE" w:rsidP="007808AE">
      <w:pPr>
        <w:ind w:left="450" w:right="270" w:firstLine="270"/>
        <w:contextualSpacing/>
        <w:rPr>
          <w:sz w:val="14"/>
          <w:szCs w:val="18"/>
        </w:rPr>
      </w:pPr>
    </w:p>
    <w:p w14:paraId="5BA9002E" w14:textId="77777777" w:rsidR="00F315BE" w:rsidRPr="001D6D5B" w:rsidRDefault="00F315BE" w:rsidP="007808AE">
      <w:pPr>
        <w:ind w:left="450" w:right="270" w:firstLine="270"/>
        <w:contextualSpacing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KIMBERLEY DRISCOLL</w:t>
      </w:r>
    </w:p>
    <w:p w14:paraId="7D78CB6F" w14:textId="77777777" w:rsidR="00F315BE" w:rsidRPr="001D6D5B" w:rsidRDefault="00F315BE" w:rsidP="007808AE">
      <w:pPr>
        <w:pStyle w:val="Weld"/>
        <w:framePr w:hSpace="0" w:wrap="auto" w:vAnchor="margin" w:hAnchor="text" w:xAlign="left" w:yAlign="inline"/>
        <w:ind w:left="450" w:right="270" w:firstLine="270"/>
        <w:jc w:val="left"/>
        <w:rPr>
          <w:rFonts w:ascii="Calibri" w:hAnsi="Calibri" w:cs="Calibri"/>
          <w:sz w:val="14"/>
          <w:szCs w:val="22"/>
        </w:rPr>
      </w:pPr>
      <w:r w:rsidRPr="001D6D5B">
        <w:rPr>
          <w:sz w:val="14"/>
          <w:szCs w:val="18"/>
        </w:rPr>
        <w:t>Lieutenant Governor</w:t>
      </w:r>
    </w:p>
    <w:p w14:paraId="1E2162A7" w14:textId="77777777" w:rsidR="00F315BE" w:rsidRPr="001D6D5B" w:rsidRDefault="00F315BE" w:rsidP="007808AE">
      <w:pPr>
        <w:pStyle w:val="Weld"/>
        <w:framePr w:hSpace="0" w:wrap="auto" w:vAnchor="margin" w:hAnchor="text" w:xAlign="left" w:yAlign="inline"/>
        <w:ind w:right="270"/>
        <w:jc w:val="left"/>
        <w:rPr>
          <w:sz w:val="14"/>
          <w:szCs w:val="18"/>
        </w:rPr>
      </w:pPr>
    </w:p>
    <w:p w14:paraId="01D267EE" w14:textId="77777777" w:rsidR="00F315BE" w:rsidRPr="001D6D5B" w:rsidRDefault="00F315BE" w:rsidP="007808AE">
      <w:pPr>
        <w:pStyle w:val="Weld"/>
        <w:framePr w:hSpace="0" w:wrap="auto" w:vAnchor="margin" w:hAnchor="text" w:xAlign="left" w:yAlign="inline"/>
        <w:ind w:right="270"/>
        <w:jc w:val="left"/>
        <w:rPr>
          <w:sz w:val="14"/>
          <w:szCs w:val="18"/>
        </w:rPr>
      </w:pPr>
    </w:p>
    <w:p w14:paraId="7FE9BEF8" w14:textId="77777777" w:rsidR="00F315BE" w:rsidRPr="001D6D5B" w:rsidRDefault="00F315BE" w:rsidP="007808AE">
      <w:pPr>
        <w:pStyle w:val="Weld"/>
        <w:framePr w:hSpace="0" w:wrap="auto" w:vAnchor="margin" w:hAnchor="text" w:xAlign="left" w:yAlign="inline"/>
        <w:ind w:right="270"/>
        <w:jc w:val="left"/>
        <w:rPr>
          <w:sz w:val="14"/>
          <w:szCs w:val="18"/>
        </w:rPr>
      </w:pPr>
    </w:p>
    <w:p w14:paraId="45502210" w14:textId="77777777" w:rsidR="00F315BE" w:rsidRDefault="00F315BE" w:rsidP="007808AE">
      <w:pPr>
        <w:ind w:left="1980" w:right="270"/>
        <w:contextualSpacing/>
        <w:jc w:val="center"/>
        <w:rPr>
          <w:rFonts w:ascii="Arial Rounded MT Bold" w:hAnsi="Arial Rounded MT Bold"/>
          <w:sz w:val="16"/>
        </w:rPr>
      </w:pPr>
    </w:p>
    <w:p w14:paraId="2E3794DC" w14:textId="77777777" w:rsidR="00F315BE" w:rsidRPr="001D6D5B" w:rsidRDefault="00F315BE" w:rsidP="007808AE">
      <w:pPr>
        <w:pStyle w:val="Weld"/>
        <w:framePr w:hSpace="0" w:wrap="auto" w:vAnchor="margin" w:hAnchor="text" w:xAlign="left" w:yAlign="inline"/>
        <w:ind w:left="1980" w:right="270"/>
        <w:jc w:val="right"/>
        <w:rPr>
          <w:sz w:val="14"/>
          <w:szCs w:val="18"/>
        </w:rPr>
      </w:pPr>
      <w:r w:rsidRPr="00413D9A">
        <w:t xml:space="preserve">Kiame Mahaniah, MD, MBA </w:t>
      </w:r>
      <w:r w:rsidRPr="001D6D5B">
        <w:rPr>
          <w:sz w:val="14"/>
          <w:szCs w:val="18"/>
        </w:rPr>
        <w:t>Secretary</w:t>
      </w:r>
    </w:p>
    <w:p w14:paraId="2556759E" w14:textId="77777777" w:rsidR="00F315BE" w:rsidRPr="001D6D5B" w:rsidRDefault="00F315BE" w:rsidP="007808AE">
      <w:pPr>
        <w:pStyle w:val="Weld"/>
        <w:framePr w:hSpace="0" w:wrap="auto" w:vAnchor="margin" w:hAnchor="text" w:xAlign="left" w:yAlign="inline"/>
        <w:ind w:left="1980" w:right="270"/>
        <w:jc w:val="right"/>
        <w:rPr>
          <w:sz w:val="14"/>
          <w:szCs w:val="18"/>
        </w:rPr>
      </w:pPr>
    </w:p>
    <w:p w14:paraId="00EB02FF" w14:textId="77777777" w:rsidR="00F315BE" w:rsidRPr="001D6D5B" w:rsidRDefault="00F315BE" w:rsidP="007808AE">
      <w:pPr>
        <w:pStyle w:val="Weld"/>
        <w:framePr w:hSpace="0" w:wrap="auto" w:vAnchor="margin" w:hAnchor="text" w:xAlign="left" w:yAlign="inline"/>
        <w:ind w:left="1980" w:right="270"/>
        <w:jc w:val="right"/>
        <w:rPr>
          <w:sz w:val="12"/>
          <w:szCs w:val="16"/>
        </w:rPr>
      </w:pPr>
      <w:r w:rsidRPr="001D6D5B">
        <w:rPr>
          <w:sz w:val="12"/>
          <w:szCs w:val="16"/>
        </w:rPr>
        <w:t>ROBERT GOLDSTEIN, MD, PhD</w:t>
      </w:r>
    </w:p>
    <w:p w14:paraId="52DEA6E2" w14:textId="77777777" w:rsidR="00F315BE" w:rsidRPr="00C2477D" w:rsidRDefault="00F315BE" w:rsidP="007808AE">
      <w:pPr>
        <w:pStyle w:val="Weld"/>
        <w:framePr w:hSpace="0" w:wrap="auto" w:vAnchor="margin" w:hAnchor="text" w:xAlign="left" w:yAlign="inline"/>
        <w:ind w:left="1980" w:right="270"/>
        <w:jc w:val="right"/>
      </w:pPr>
      <w:r w:rsidRPr="001D6D5B">
        <w:rPr>
          <w:sz w:val="14"/>
          <w:szCs w:val="12"/>
        </w:rPr>
        <w:t>Commissioner</w:t>
      </w:r>
    </w:p>
    <w:p w14:paraId="285A508B" w14:textId="77777777" w:rsidR="007808AE" w:rsidRDefault="007808AE" w:rsidP="00F315BE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  <w:sectPr w:rsidR="007808AE" w:rsidSect="007808AE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2B5196C" w14:textId="77777777" w:rsidR="00F315BE" w:rsidRDefault="00F315BE" w:rsidP="00F315BE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5A00B06D" w14:textId="264DB97C" w:rsidR="004F7A25" w:rsidRDefault="00E673DA" w:rsidP="004F7A25">
      <w:pPr>
        <w:pStyle w:val="BodyText"/>
        <w:rPr>
          <w:spacing w:val="-4"/>
        </w:rPr>
      </w:pPr>
      <w:r>
        <w:rPr>
          <w:spacing w:val="-4"/>
        </w:rPr>
        <w:t>December 16, 2025</w:t>
      </w:r>
    </w:p>
    <w:p w14:paraId="1994E3A4" w14:textId="77777777" w:rsidR="00E673DA" w:rsidRDefault="00E673DA" w:rsidP="004F7A25">
      <w:pPr>
        <w:pStyle w:val="BodyText"/>
        <w:rPr>
          <w:spacing w:val="-4"/>
        </w:rPr>
      </w:pPr>
    </w:p>
    <w:p w14:paraId="677D3E74" w14:textId="77777777" w:rsidR="004F7A25" w:rsidRDefault="004F7A25" w:rsidP="004F7A25">
      <w:pPr>
        <w:rPr>
          <w:color w:val="000000"/>
          <w:szCs w:val="24"/>
        </w:rPr>
      </w:pPr>
      <w:r w:rsidRPr="0006787A">
        <w:rPr>
          <w:color w:val="000000"/>
          <w:szCs w:val="24"/>
        </w:rPr>
        <w:t>Crystal Bloom</w:t>
      </w:r>
      <w:r>
        <w:rPr>
          <w:color w:val="000000"/>
          <w:szCs w:val="24"/>
        </w:rPr>
        <w:t>, Esq</w:t>
      </w:r>
    </w:p>
    <w:p w14:paraId="4AD1E7D1" w14:textId="77777777" w:rsidR="004F7A25" w:rsidRPr="0006787A" w:rsidRDefault="004F7A25" w:rsidP="004F7A25">
      <w:pPr>
        <w:rPr>
          <w:szCs w:val="24"/>
        </w:rPr>
      </w:pPr>
      <w:r>
        <w:rPr>
          <w:color w:val="000000"/>
          <w:szCs w:val="24"/>
        </w:rPr>
        <w:t>Partner</w:t>
      </w:r>
    </w:p>
    <w:p w14:paraId="71B72A8B" w14:textId="77777777" w:rsidR="004F7A25" w:rsidRPr="0006787A" w:rsidRDefault="004F7A25" w:rsidP="004F7A25">
      <w:pPr>
        <w:rPr>
          <w:szCs w:val="24"/>
        </w:rPr>
      </w:pPr>
      <w:r w:rsidRPr="0077356F">
        <w:rPr>
          <w:color w:val="000000"/>
          <w:szCs w:val="24"/>
        </w:rPr>
        <w:t>Husch Blackwell</w:t>
      </w:r>
      <w:r w:rsidRPr="0006787A">
        <w:rPr>
          <w:color w:val="000000"/>
          <w:szCs w:val="24"/>
        </w:rPr>
        <w:t xml:space="preserve"> LLP</w:t>
      </w:r>
    </w:p>
    <w:p w14:paraId="594EC455" w14:textId="77777777" w:rsidR="004F7A25" w:rsidRDefault="004F7A25" w:rsidP="004F7A25">
      <w:pPr>
        <w:pStyle w:val="BodyText"/>
        <w:rPr>
          <w:color w:val="000000"/>
        </w:rPr>
      </w:pPr>
      <w:r w:rsidRPr="004F7A25">
        <w:rPr>
          <w:color w:val="000000"/>
        </w:rPr>
        <w:t xml:space="preserve">One Congress Street, Suite 3102 </w:t>
      </w:r>
    </w:p>
    <w:p w14:paraId="72CE42B2" w14:textId="41F7C509" w:rsidR="004F7A25" w:rsidRDefault="004F7A25" w:rsidP="004F7A25">
      <w:pPr>
        <w:pStyle w:val="BodyText"/>
        <w:rPr>
          <w:color w:val="000000"/>
        </w:rPr>
      </w:pPr>
      <w:r w:rsidRPr="004F7A25">
        <w:rPr>
          <w:color w:val="000000"/>
        </w:rPr>
        <w:t>Boston, MA 02114</w:t>
      </w:r>
    </w:p>
    <w:p w14:paraId="5B28A967" w14:textId="77777777" w:rsidR="004F7A25" w:rsidRPr="0006787A" w:rsidRDefault="004F7A25" w:rsidP="004F7A25">
      <w:pPr>
        <w:pStyle w:val="BodyText"/>
        <w:rPr>
          <w:highlight w:val="yellow"/>
        </w:rPr>
      </w:pPr>
    </w:p>
    <w:p w14:paraId="6DE1ADE8" w14:textId="13F3B232" w:rsidR="004F7A25" w:rsidRPr="0006787A" w:rsidRDefault="004F7A25" w:rsidP="004F7A25">
      <w:pPr>
        <w:rPr>
          <w:szCs w:val="24"/>
        </w:rPr>
      </w:pPr>
      <w:r>
        <w:rPr>
          <w:szCs w:val="24"/>
        </w:rPr>
        <w:t xml:space="preserve">VIA </w:t>
      </w:r>
      <w:r w:rsidRPr="0006787A">
        <w:rPr>
          <w:szCs w:val="24"/>
        </w:rPr>
        <w:t>Email:</w:t>
      </w:r>
      <w:r w:rsidRPr="0006787A">
        <w:rPr>
          <w:spacing w:val="-1"/>
          <w:szCs w:val="24"/>
        </w:rPr>
        <w:t xml:space="preserve"> </w:t>
      </w:r>
      <w:hyperlink r:id="rId15" w:history="1">
        <w:r w:rsidRPr="00EE0BC5">
          <w:rPr>
            <w:rStyle w:val="Hyperlink"/>
            <w:szCs w:val="24"/>
          </w:rPr>
          <w:t>crystal.bloom@huschblackwell.com</w:t>
        </w:r>
      </w:hyperlink>
    </w:p>
    <w:p w14:paraId="05D9983E" w14:textId="77777777" w:rsidR="004F7A25" w:rsidRDefault="004F7A25" w:rsidP="004F7A25">
      <w:pPr>
        <w:pStyle w:val="BodyText"/>
        <w:ind w:right="1170"/>
      </w:pPr>
    </w:p>
    <w:p w14:paraId="25609111" w14:textId="55754B10" w:rsidR="00E673DA" w:rsidRDefault="00E673DA" w:rsidP="004F7A25">
      <w:r>
        <w:t xml:space="preserve">Re: </w:t>
      </w:r>
      <w:proofErr w:type="spellStart"/>
      <w:r>
        <w:t>DoN</w:t>
      </w:r>
      <w:proofErr w:type="spellEnd"/>
      <w:r>
        <w:t xml:space="preserve"> #UMMH-25041715-AM – Pending Amendment Change Request</w:t>
      </w:r>
    </w:p>
    <w:p w14:paraId="0B3B170B" w14:textId="77777777" w:rsidR="00E673DA" w:rsidRDefault="00E673DA" w:rsidP="004F7A25"/>
    <w:p w14:paraId="3350E258" w14:textId="77777777" w:rsidR="00E673DA" w:rsidRDefault="00E673DA" w:rsidP="004F7A25">
      <w:r>
        <w:t>Dear Attorney Bloom:</w:t>
      </w:r>
    </w:p>
    <w:p w14:paraId="6DDFEA10" w14:textId="77777777" w:rsidR="00E673DA" w:rsidRDefault="00E673DA" w:rsidP="004F7A25"/>
    <w:p w14:paraId="7FDF57B5" w14:textId="6FF02457" w:rsidR="00FE23F8" w:rsidRDefault="00E673DA" w:rsidP="5B0A9369">
      <w:pPr>
        <w:ind w:right="-10" w:firstLine="720"/>
      </w:pPr>
      <w:r>
        <w:t xml:space="preserve">On December 9, 2025, the Department of Public Health received a letter </w:t>
      </w:r>
      <w:r w:rsidR="6A23E03B">
        <w:t>from UM</w:t>
      </w:r>
      <w:r w:rsidR="7C01C937">
        <w:t>ass</w:t>
      </w:r>
      <w:r w:rsidR="6A23E03B">
        <w:t xml:space="preserve"> </w:t>
      </w:r>
      <w:r w:rsidR="548D4D02">
        <w:t>M</w:t>
      </w:r>
      <w:r w:rsidR="6A23E03B">
        <w:t xml:space="preserve">emorial Health Care (“Holder”) </w:t>
      </w:r>
      <w:r>
        <w:t>with respect to the pending Significant Change Amendment</w:t>
      </w:r>
      <w:r w:rsidR="23FF4E2F">
        <w:t xml:space="preserve"> </w:t>
      </w:r>
      <w:r w:rsidR="000126F5">
        <w:t xml:space="preserve">(“Amendment”) </w:t>
      </w:r>
      <w:r>
        <w:t xml:space="preserve">(# UMMH-25041715-AM) as </w:t>
      </w:r>
      <w:r w:rsidR="6A23E03B">
        <w:t>h</w:t>
      </w:r>
      <w:r>
        <w:t>older of an approved Determination of Need (“</w:t>
      </w:r>
      <w:proofErr w:type="spellStart"/>
      <w:r>
        <w:t>DoN</w:t>
      </w:r>
      <w:proofErr w:type="spellEnd"/>
      <w:r>
        <w:t xml:space="preserve">”) issued on November 18, 2022 (“Original </w:t>
      </w:r>
      <w:proofErr w:type="spellStart"/>
      <w:r>
        <w:t>DoN</w:t>
      </w:r>
      <w:proofErr w:type="spellEnd"/>
      <w:r>
        <w:t>”) (UMMH-22042514-HE).</w:t>
      </w:r>
      <w:r w:rsidR="23FF4E2F">
        <w:t xml:space="preserve"> The letter contained a request to change the Maximum Capital Expenditure (“MCE”) of the Proposed Amendment and the Original </w:t>
      </w:r>
      <w:proofErr w:type="spellStart"/>
      <w:r w:rsidR="23FF4E2F">
        <w:t>DoN</w:t>
      </w:r>
      <w:proofErr w:type="spellEnd"/>
      <w:r w:rsidR="23FF4E2F">
        <w:t xml:space="preserve"> (“MCE </w:t>
      </w:r>
      <w:r w:rsidR="4E595AA9">
        <w:t xml:space="preserve">Change </w:t>
      </w:r>
      <w:r w:rsidR="23FF4E2F">
        <w:t xml:space="preserve">Request”). </w:t>
      </w:r>
    </w:p>
    <w:p w14:paraId="3F9D6383" w14:textId="77777777" w:rsidR="00FE23F8" w:rsidRDefault="00FE23F8" w:rsidP="00E673DA">
      <w:pPr>
        <w:ind w:right="-10"/>
        <w:rPr>
          <w:bCs/>
        </w:rPr>
      </w:pPr>
    </w:p>
    <w:p w14:paraId="4A29BD13" w14:textId="1B23F864" w:rsidR="00AF7A91" w:rsidRDefault="2E734A76" w:rsidP="00750DA7">
      <w:pPr>
        <w:ind w:right="-10" w:firstLine="720"/>
      </w:pPr>
      <w:r>
        <w:t>T</w:t>
      </w:r>
      <w:r w:rsidR="00FE23F8">
        <w:t xml:space="preserve">he Department clarifies </w:t>
      </w:r>
      <w:r w:rsidR="054E2AA4">
        <w:t>that</w:t>
      </w:r>
      <w:r w:rsidR="00FE23F8">
        <w:t xml:space="preserve"> </w:t>
      </w:r>
      <w:r w:rsidR="03B2E4C9">
        <w:t>i</w:t>
      </w:r>
      <w:r w:rsidR="00FE23F8">
        <w:t>n instances</w:t>
      </w:r>
      <w:r w:rsidR="206ACC15">
        <w:t>, such as here,</w:t>
      </w:r>
      <w:r w:rsidR="00FE23F8">
        <w:t xml:space="preserve"> where there is a pending </w:t>
      </w:r>
      <w:r w:rsidR="00AF7A91">
        <w:t>Significant Change Amendment</w:t>
      </w:r>
      <w:r w:rsidR="00FE23F8">
        <w:t>, the Department must</w:t>
      </w:r>
      <w:r w:rsidR="00AF7A91">
        <w:t xml:space="preserve"> </w:t>
      </w:r>
      <w:r w:rsidR="00FE23F8">
        <w:t>determine</w:t>
      </w:r>
      <w:r w:rsidR="00AF7A91">
        <w:t xml:space="preserve"> whether a</w:t>
      </w:r>
      <w:r w:rsidR="000126F5">
        <w:t xml:space="preserve"> change </w:t>
      </w:r>
      <w:r w:rsidR="00AF7A91">
        <w:t xml:space="preserve">to the pending Significant Change Amendment is deemed </w:t>
      </w:r>
      <w:r w:rsidR="000126F5">
        <w:t>permissible</w:t>
      </w:r>
      <w:r w:rsidR="66930454">
        <w:t xml:space="preserve">, not whether </w:t>
      </w:r>
      <w:r w:rsidR="45D1ABE1">
        <w:t>said</w:t>
      </w:r>
      <w:r w:rsidR="66930454">
        <w:t xml:space="preserve"> change constitutes a Material or Immaterial </w:t>
      </w:r>
      <w:r w:rsidR="0087234F">
        <w:t>C</w:t>
      </w:r>
      <w:r w:rsidR="66930454">
        <w:t xml:space="preserve">hange as contemplated </w:t>
      </w:r>
      <w:r w:rsidR="329C5E26">
        <w:t xml:space="preserve">by </w:t>
      </w:r>
      <w:r w:rsidR="66930454">
        <w:t>10</w:t>
      </w:r>
      <w:r w:rsidR="641FBF51">
        <w:t>5</w:t>
      </w:r>
      <w:r w:rsidR="66930454">
        <w:t xml:space="preserve"> CMR</w:t>
      </w:r>
      <w:r w:rsidR="7DBFDA2F">
        <w:t xml:space="preserve"> 100.100</w:t>
      </w:r>
      <w:r w:rsidR="00AF7A91">
        <w:t>.</w:t>
      </w:r>
    </w:p>
    <w:p w14:paraId="542CA776" w14:textId="77777777" w:rsidR="00AF7A91" w:rsidRDefault="00AF7A91" w:rsidP="00E673DA">
      <w:pPr>
        <w:ind w:right="-10"/>
      </w:pPr>
    </w:p>
    <w:p w14:paraId="5437AE7E" w14:textId="35F641E7" w:rsidR="00E673DA" w:rsidRPr="00E673DA" w:rsidRDefault="00AF7A91" w:rsidP="00750DA7">
      <w:pPr>
        <w:ind w:right="-10" w:firstLine="720"/>
        <w:rPr>
          <w:szCs w:val="24"/>
          <w:highlight w:val="yellow"/>
        </w:rPr>
      </w:pPr>
      <w:r>
        <w:rPr>
          <w:szCs w:val="24"/>
        </w:rPr>
        <w:t xml:space="preserve">Pursuant to </w:t>
      </w:r>
      <w:r w:rsidR="00E673DA" w:rsidRPr="00D378FF">
        <w:rPr>
          <w:szCs w:val="24"/>
        </w:rPr>
        <w:t>105 CMR 100.425</w:t>
      </w:r>
      <w:r>
        <w:rPr>
          <w:szCs w:val="24"/>
        </w:rPr>
        <w:t xml:space="preserve">, </w:t>
      </w:r>
      <w:r w:rsidR="00E673DA">
        <w:rPr>
          <w:szCs w:val="24"/>
        </w:rPr>
        <w:t>changes</w:t>
      </w:r>
      <w:r w:rsidR="00E673DA" w:rsidRPr="00D378FF">
        <w:rPr>
          <w:szCs w:val="24"/>
        </w:rPr>
        <w:t xml:space="preserve"> to pending Applications </w:t>
      </w:r>
      <w:r w:rsidR="00E673DA">
        <w:rPr>
          <w:szCs w:val="24"/>
        </w:rPr>
        <w:t xml:space="preserve">and </w:t>
      </w:r>
      <w:r w:rsidR="000126F5">
        <w:rPr>
          <w:szCs w:val="24"/>
        </w:rPr>
        <w:t xml:space="preserve">Significant Change </w:t>
      </w:r>
      <w:r w:rsidR="00E673DA">
        <w:rPr>
          <w:szCs w:val="24"/>
        </w:rPr>
        <w:t>Amendments are permissible</w:t>
      </w:r>
      <w:r w:rsidR="00E673DA" w:rsidRPr="00D378FF">
        <w:rPr>
          <w:szCs w:val="24"/>
        </w:rPr>
        <w:t xml:space="preserve"> unless the change</w:t>
      </w:r>
      <w:r w:rsidR="00E673DA">
        <w:rPr>
          <w:szCs w:val="24"/>
        </w:rPr>
        <w:t xml:space="preserve"> </w:t>
      </w:r>
      <w:r w:rsidR="00E673DA" w:rsidRPr="00D378FF">
        <w:rPr>
          <w:szCs w:val="24"/>
        </w:rPr>
        <w:t>“substantially alters</w:t>
      </w:r>
      <w:r w:rsidR="00E673DA">
        <w:rPr>
          <w:szCs w:val="24"/>
        </w:rPr>
        <w:t xml:space="preserve"> </w:t>
      </w:r>
      <w:r w:rsidR="00E673DA" w:rsidRPr="00D378FF">
        <w:rPr>
          <w:szCs w:val="24"/>
        </w:rPr>
        <w:t>the Proposed Project in nature, scope, costs, or financing, or in any way substantially alters or affects the Department's evaluation of the Proposed Project.”</w:t>
      </w:r>
      <w:r w:rsidR="00E673DA">
        <w:rPr>
          <w:rStyle w:val="FootnoteReference"/>
          <w:rFonts w:eastAsia="Calibri"/>
          <w:szCs w:val="24"/>
        </w:rPr>
        <w:footnoteReference w:id="1"/>
      </w:r>
      <w:r w:rsidR="00E673DA" w:rsidRPr="00D378FF">
        <w:rPr>
          <w:szCs w:val="24"/>
        </w:rPr>
        <w:t xml:space="preserve">  </w:t>
      </w:r>
      <w:r w:rsidR="00E673DA">
        <w:rPr>
          <w:szCs w:val="24"/>
        </w:rPr>
        <w:t xml:space="preserve"> </w:t>
      </w:r>
    </w:p>
    <w:p w14:paraId="772DF07C" w14:textId="77777777" w:rsidR="00E673DA" w:rsidRDefault="00E673DA" w:rsidP="00E673DA">
      <w:pPr>
        <w:ind w:right="-10"/>
        <w:rPr>
          <w:szCs w:val="24"/>
        </w:rPr>
      </w:pPr>
    </w:p>
    <w:p w14:paraId="2BA67694" w14:textId="3360CE28" w:rsidR="00750DA7" w:rsidRDefault="00E673DA" w:rsidP="00750DA7">
      <w:pPr>
        <w:ind w:right="-10" w:firstLine="360"/>
        <w:rPr>
          <w:szCs w:val="24"/>
        </w:rPr>
      </w:pPr>
      <w:r>
        <w:rPr>
          <w:szCs w:val="24"/>
        </w:rPr>
        <w:t xml:space="preserve">In this instance, the </w:t>
      </w:r>
      <w:r w:rsidR="00AF7A91">
        <w:rPr>
          <w:szCs w:val="24"/>
        </w:rPr>
        <w:t>Holder</w:t>
      </w:r>
      <w:r>
        <w:rPr>
          <w:szCs w:val="24"/>
        </w:rPr>
        <w:t xml:space="preserve"> </w:t>
      </w:r>
      <w:r w:rsidR="00AF7A91">
        <w:rPr>
          <w:szCs w:val="24"/>
        </w:rPr>
        <w:t xml:space="preserve">described several factors impacting the MCE associated with the Amendment, and specifically </w:t>
      </w:r>
      <w:r>
        <w:rPr>
          <w:szCs w:val="24"/>
        </w:rPr>
        <w:t xml:space="preserve">requested the following changes to the MCE: </w:t>
      </w:r>
    </w:p>
    <w:p w14:paraId="7A7E98AA" w14:textId="77777777" w:rsidR="00750DA7" w:rsidRDefault="00750DA7" w:rsidP="00E673DA">
      <w:pPr>
        <w:ind w:right="-10"/>
        <w:rPr>
          <w:szCs w:val="24"/>
        </w:rPr>
      </w:pPr>
    </w:p>
    <w:p w14:paraId="5D53CD04" w14:textId="06550081" w:rsidR="00750DA7" w:rsidRPr="00750DA7" w:rsidRDefault="00E673DA" w:rsidP="00750DA7">
      <w:pPr>
        <w:pStyle w:val="ListParagraph"/>
        <w:numPr>
          <w:ilvl w:val="0"/>
          <w:numId w:val="2"/>
        </w:numPr>
        <w:ind w:right="-10"/>
        <w:rPr>
          <w:szCs w:val="24"/>
        </w:rPr>
      </w:pPr>
      <w:r w:rsidRPr="00750DA7">
        <w:rPr>
          <w:szCs w:val="24"/>
        </w:rPr>
        <w:t xml:space="preserve">Decrease the Original </w:t>
      </w:r>
      <w:proofErr w:type="spellStart"/>
      <w:r w:rsidRPr="00750DA7">
        <w:rPr>
          <w:szCs w:val="24"/>
        </w:rPr>
        <w:t>DoN</w:t>
      </w:r>
      <w:proofErr w:type="spellEnd"/>
      <w:r w:rsidRPr="00750DA7">
        <w:rPr>
          <w:szCs w:val="24"/>
        </w:rPr>
        <w:t xml:space="preserve"> MCE by $3,227,049 to exclude certain costs inadvertently included but not within the scope of the </w:t>
      </w:r>
      <w:proofErr w:type="spellStart"/>
      <w:r w:rsidRPr="00750DA7">
        <w:rPr>
          <w:szCs w:val="24"/>
        </w:rPr>
        <w:t>DoN</w:t>
      </w:r>
      <w:proofErr w:type="spellEnd"/>
      <w:r w:rsidRPr="00750DA7">
        <w:rPr>
          <w:szCs w:val="24"/>
        </w:rPr>
        <w:t xml:space="preserve"> review</w:t>
      </w:r>
      <w:r w:rsidR="00750DA7" w:rsidRPr="00750DA7">
        <w:rPr>
          <w:szCs w:val="24"/>
        </w:rPr>
        <w:t xml:space="preserve"> as they relate to parking and related site </w:t>
      </w:r>
      <w:proofErr w:type="gramStart"/>
      <w:r w:rsidR="00750DA7" w:rsidRPr="00750DA7">
        <w:rPr>
          <w:szCs w:val="24"/>
        </w:rPr>
        <w:t>work</w:t>
      </w:r>
      <w:r w:rsidRPr="00750DA7">
        <w:rPr>
          <w:szCs w:val="24"/>
        </w:rPr>
        <w:t>;</w:t>
      </w:r>
      <w:proofErr w:type="gramEnd"/>
      <w:r w:rsidRPr="00750DA7">
        <w:rPr>
          <w:szCs w:val="24"/>
        </w:rPr>
        <w:t xml:space="preserve"> </w:t>
      </w:r>
    </w:p>
    <w:p w14:paraId="45A87E7F" w14:textId="296F68EC" w:rsidR="000126F5" w:rsidRDefault="00E673DA" w:rsidP="000126F5">
      <w:pPr>
        <w:pStyle w:val="ListParagraph"/>
        <w:numPr>
          <w:ilvl w:val="0"/>
          <w:numId w:val="2"/>
        </w:numPr>
        <w:ind w:right="-10"/>
        <w:rPr>
          <w:szCs w:val="24"/>
        </w:rPr>
      </w:pPr>
      <w:r w:rsidRPr="00750DA7">
        <w:rPr>
          <w:szCs w:val="24"/>
        </w:rPr>
        <w:t>Decrease the Amendment MCE by $3,421,430 to exclude costs incorrectly included</w:t>
      </w:r>
      <w:r w:rsidR="00750DA7" w:rsidRPr="00750DA7">
        <w:rPr>
          <w:szCs w:val="24"/>
        </w:rPr>
        <w:t xml:space="preserve"> as these costs are related solely to renovations to a radiology suite not located within the North Pavilion shell space</w:t>
      </w:r>
      <w:r w:rsidR="000126F5">
        <w:rPr>
          <w:szCs w:val="24"/>
        </w:rPr>
        <w:t>; and</w:t>
      </w:r>
    </w:p>
    <w:p w14:paraId="01D575D0" w14:textId="420223A3" w:rsidR="000126F5" w:rsidRPr="000126F5" w:rsidRDefault="000126F5" w:rsidP="000126F5">
      <w:pPr>
        <w:pStyle w:val="ListParagraph"/>
        <w:numPr>
          <w:ilvl w:val="0"/>
          <w:numId w:val="2"/>
        </w:numPr>
        <w:ind w:right="-10"/>
        <w:rPr>
          <w:szCs w:val="24"/>
        </w:rPr>
      </w:pPr>
      <w:r>
        <w:rPr>
          <w:szCs w:val="24"/>
        </w:rPr>
        <w:t>Adjust the Community Health Initiative Contribution accordingly.</w:t>
      </w:r>
    </w:p>
    <w:p w14:paraId="76444AA9" w14:textId="77777777" w:rsidR="00AF7A91" w:rsidRDefault="00AF7A91" w:rsidP="00E673DA">
      <w:pPr>
        <w:ind w:right="-10"/>
        <w:rPr>
          <w:szCs w:val="24"/>
        </w:rPr>
      </w:pPr>
    </w:p>
    <w:p w14:paraId="386FC7A6" w14:textId="3715D6A9" w:rsidR="00E673DA" w:rsidRDefault="00AF7A91" w:rsidP="00E673DA">
      <w:pPr>
        <w:ind w:right="-10"/>
        <w:rPr>
          <w:szCs w:val="24"/>
        </w:rPr>
      </w:pPr>
      <w:r>
        <w:rPr>
          <w:szCs w:val="24"/>
        </w:rPr>
        <w:t>The following table reflects the</w:t>
      </w:r>
      <w:r w:rsidR="00750DA7">
        <w:rPr>
          <w:szCs w:val="24"/>
        </w:rPr>
        <w:t xml:space="preserve"> pertinent factors of the</w:t>
      </w:r>
      <w:r>
        <w:rPr>
          <w:szCs w:val="24"/>
        </w:rPr>
        <w:t xml:space="preserve"> </w:t>
      </w:r>
      <w:r w:rsidR="00750DA7">
        <w:rPr>
          <w:szCs w:val="24"/>
        </w:rPr>
        <w:t xml:space="preserve">MCE Change Request: </w:t>
      </w:r>
    </w:p>
    <w:p w14:paraId="64B03820" w14:textId="77777777" w:rsidR="00E673DA" w:rsidRDefault="00E673DA" w:rsidP="00E673DA">
      <w:pPr>
        <w:ind w:right="-10"/>
        <w:jc w:val="center"/>
        <w:rPr>
          <w:b/>
          <w:bCs/>
          <w:szCs w:val="24"/>
        </w:rPr>
      </w:pPr>
    </w:p>
    <w:tbl>
      <w:tblPr>
        <w:tblStyle w:val="TableGrid"/>
        <w:tblW w:w="105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690"/>
        <w:gridCol w:w="1108"/>
        <w:gridCol w:w="1172"/>
        <w:gridCol w:w="1440"/>
        <w:gridCol w:w="1260"/>
        <w:gridCol w:w="1350"/>
        <w:gridCol w:w="1170"/>
        <w:gridCol w:w="1170"/>
        <w:gridCol w:w="1170"/>
      </w:tblGrid>
      <w:tr w:rsidR="000A0E2C" w14:paraId="38CC4DCF" w14:textId="77777777" w:rsidTr="00B91839">
        <w:trPr>
          <w:cantSplit/>
          <w:trHeight w:val="300"/>
          <w:tblHeader/>
        </w:trPr>
        <w:tc>
          <w:tcPr>
            <w:tcW w:w="690" w:type="dxa"/>
          </w:tcPr>
          <w:p w14:paraId="4330091D" w14:textId="08A5A5E7" w:rsidR="000A0E2C" w:rsidRDefault="000A0E2C" w:rsidP="000A0E2C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19C740EE" w14:textId="77777777" w:rsidR="000A0E2C" w:rsidRDefault="000A0E2C" w:rsidP="000A0E2C">
            <w:pPr>
              <w:jc w:val="center"/>
              <w:rPr>
                <w:b/>
                <w:bCs/>
                <w:sz w:val="16"/>
                <w:szCs w:val="16"/>
              </w:rPr>
            </w:pPr>
            <w:r w:rsidRPr="26ED7890">
              <w:rPr>
                <w:b/>
                <w:bCs/>
                <w:sz w:val="16"/>
                <w:szCs w:val="16"/>
              </w:rPr>
              <w:t>Amendment Request</w:t>
            </w:r>
          </w:p>
        </w:tc>
        <w:tc>
          <w:tcPr>
            <w:tcW w:w="1172" w:type="dxa"/>
          </w:tcPr>
          <w:p w14:paraId="0C12B205" w14:textId="5E00C370" w:rsidR="000A0E2C" w:rsidRDefault="000A0E2C" w:rsidP="000A0E2C">
            <w:pPr>
              <w:jc w:val="center"/>
              <w:rPr>
                <w:b/>
                <w:bCs/>
                <w:sz w:val="16"/>
                <w:szCs w:val="16"/>
              </w:rPr>
            </w:pPr>
            <w:r w:rsidRPr="26ED7890">
              <w:rPr>
                <w:b/>
                <w:bCs/>
                <w:sz w:val="16"/>
                <w:szCs w:val="16"/>
              </w:rPr>
              <w:t>Amendment Request</w:t>
            </w:r>
          </w:p>
        </w:tc>
        <w:tc>
          <w:tcPr>
            <w:tcW w:w="1440" w:type="dxa"/>
          </w:tcPr>
          <w:p w14:paraId="44442F33" w14:textId="5E56927A" w:rsidR="000A0E2C" w:rsidRDefault="000A0E2C" w:rsidP="000A0E2C">
            <w:pPr>
              <w:jc w:val="center"/>
              <w:rPr>
                <w:b/>
                <w:bCs/>
                <w:sz w:val="16"/>
                <w:szCs w:val="16"/>
              </w:rPr>
            </w:pPr>
            <w:r w:rsidRPr="26ED7890">
              <w:rPr>
                <w:b/>
                <w:bCs/>
                <w:sz w:val="16"/>
                <w:szCs w:val="16"/>
              </w:rPr>
              <w:t>Amendment Request</w:t>
            </w:r>
          </w:p>
        </w:tc>
        <w:tc>
          <w:tcPr>
            <w:tcW w:w="1260" w:type="dxa"/>
          </w:tcPr>
          <w:p w14:paraId="39435054" w14:textId="3A3E36A6" w:rsidR="000A0E2C" w:rsidRDefault="000A0E2C" w:rsidP="000A0E2C">
            <w:pPr>
              <w:jc w:val="center"/>
              <w:rPr>
                <w:b/>
                <w:bCs/>
                <w:sz w:val="16"/>
                <w:szCs w:val="16"/>
              </w:rPr>
            </w:pPr>
            <w:r w:rsidRPr="26ED7890">
              <w:rPr>
                <w:b/>
                <w:bCs/>
                <w:sz w:val="16"/>
                <w:szCs w:val="16"/>
              </w:rPr>
              <w:t>Amendment Request</w:t>
            </w:r>
          </w:p>
        </w:tc>
        <w:tc>
          <w:tcPr>
            <w:tcW w:w="1350" w:type="dxa"/>
          </w:tcPr>
          <w:p w14:paraId="58084DFD" w14:textId="77777777" w:rsidR="000A0E2C" w:rsidRDefault="000A0E2C" w:rsidP="000A0E2C">
            <w:pPr>
              <w:jc w:val="center"/>
              <w:rPr>
                <w:b/>
                <w:bCs/>
                <w:sz w:val="16"/>
                <w:szCs w:val="16"/>
              </w:rPr>
            </w:pPr>
            <w:r w:rsidRPr="26ED7890">
              <w:rPr>
                <w:b/>
                <w:bCs/>
                <w:sz w:val="16"/>
                <w:szCs w:val="16"/>
              </w:rPr>
              <w:t>December 9 Supplemental Request</w:t>
            </w:r>
          </w:p>
        </w:tc>
        <w:tc>
          <w:tcPr>
            <w:tcW w:w="1170" w:type="dxa"/>
          </w:tcPr>
          <w:p w14:paraId="51A4D985" w14:textId="1378373C" w:rsidR="000A0E2C" w:rsidRDefault="000A0E2C" w:rsidP="000A0E2C">
            <w:pPr>
              <w:jc w:val="center"/>
              <w:rPr>
                <w:b/>
                <w:bCs/>
                <w:sz w:val="16"/>
                <w:szCs w:val="16"/>
              </w:rPr>
            </w:pPr>
            <w:r w:rsidRPr="002D5659">
              <w:rPr>
                <w:b/>
                <w:bCs/>
                <w:sz w:val="16"/>
                <w:szCs w:val="16"/>
              </w:rPr>
              <w:t>December 9 Supplemental Request</w:t>
            </w:r>
          </w:p>
        </w:tc>
        <w:tc>
          <w:tcPr>
            <w:tcW w:w="1170" w:type="dxa"/>
          </w:tcPr>
          <w:p w14:paraId="3C39B1C3" w14:textId="05EBBB1D" w:rsidR="000A0E2C" w:rsidRDefault="000A0E2C" w:rsidP="000A0E2C">
            <w:pPr>
              <w:jc w:val="center"/>
              <w:rPr>
                <w:b/>
                <w:bCs/>
                <w:sz w:val="16"/>
                <w:szCs w:val="16"/>
              </w:rPr>
            </w:pPr>
            <w:r w:rsidRPr="002D5659">
              <w:rPr>
                <w:b/>
                <w:bCs/>
                <w:sz w:val="16"/>
                <w:szCs w:val="16"/>
              </w:rPr>
              <w:t>December 9 Supplemental Request</w:t>
            </w:r>
          </w:p>
        </w:tc>
        <w:tc>
          <w:tcPr>
            <w:tcW w:w="1170" w:type="dxa"/>
          </w:tcPr>
          <w:p w14:paraId="422D95D3" w14:textId="3F75F17F" w:rsidR="000A0E2C" w:rsidRDefault="000A0E2C" w:rsidP="000A0E2C">
            <w:pPr>
              <w:jc w:val="center"/>
              <w:rPr>
                <w:b/>
                <w:bCs/>
                <w:sz w:val="16"/>
                <w:szCs w:val="16"/>
              </w:rPr>
            </w:pPr>
            <w:r w:rsidRPr="002D5659">
              <w:rPr>
                <w:b/>
                <w:bCs/>
                <w:sz w:val="16"/>
                <w:szCs w:val="16"/>
              </w:rPr>
              <w:t>December 9 Supplemental Request</w:t>
            </w:r>
          </w:p>
        </w:tc>
      </w:tr>
      <w:tr w:rsidR="00645912" w14:paraId="21538605" w14:textId="77777777" w:rsidTr="00B91839">
        <w:trPr>
          <w:cantSplit/>
          <w:tblHeader/>
        </w:trPr>
        <w:tc>
          <w:tcPr>
            <w:tcW w:w="690" w:type="dxa"/>
          </w:tcPr>
          <w:p w14:paraId="5AC8FB4A" w14:textId="77777777" w:rsidR="00645912" w:rsidRPr="004E5BF6" w:rsidRDefault="00645912" w:rsidP="00645912">
            <w:pPr>
              <w:ind w:right="-10"/>
              <w:rPr>
                <w:sz w:val="20"/>
              </w:rPr>
            </w:pPr>
          </w:p>
        </w:tc>
        <w:tc>
          <w:tcPr>
            <w:tcW w:w="1108" w:type="dxa"/>
          </w:tcPr>
          <w:p w14:paraId="6B5D195A" w14:textId="19F5F7EF" w:rsidR="00645912" w:rsidRPr="00645912" w:rsidRDefault="00645912" w:rsidP="00645912">
            <w:pPr>
              <w:ind w:right="-10"/>
              <w:jc w:val="center"/>
              <w:rPr>
                <w:b/>
                <w:bCs/>
                <w:sz w:val="18"/>
                <w:szCs w:val="18"/>
              </w:rPr>
            </w:pPr>
            <w:r w:rsidRPr="0064591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72" w:type="dxa"/>
          </w:tcPr>
          <w:p w14:paraId="6DA278DE" w14:textId="0C3553E9" w:rsidR="00645912" w:rsidRPr="00645912" w:rsidRDefault="00645912" w:rsidP="00645912">
            <w:pPr>
              <w:ind w:right="-10"/>
              <w:jc w:val="center"/>
              <w:rPr>
                <w:b/>
                <w:bCs/>
                <w:sz w:val="18"/>
                <w:szCs w:val="18"/>
              </w:rPr>
            </w:pPr>
            <w:r w:rsidRPr="0064591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40" w:type="dxa"/>
          </w:tcPr>
          <w:p w14:paraId="0D03E180" w14:textId="74E0BB14" w:rsidR="00645912" w:rsidRPr="00645912" w:rsidRDefault="00645912" w:rsidP="00645912">
            <w:pPr>
              <w:ind w:right="-10"/>
              <w:jc w:val="center"/>
              <w:rPr>
                <w:b/>
                <w:bCs/>
                <w:sz w:val="18"/>
                <w:szCs w:val="18"/>
              </w:rPr>
            </w:pPr>
            <w:r w:rsidRPr="0064591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68EEA0EC" w14:textId="6C75D943" w:rsidR="00645912" w:rsidRPr="00645912" w:rsidRDefault="00645912" w:rsidP="00645912">
            <w:pPr>
              <w:ind w:right="-10"/>
              <w:jc w:val="center"/>
              <w:rPr>
                <w:b/>
                <w:bCs/>
                <w:sz w:val="18"/>
                <w:szCs w:val="18"/>
              </w:rPr>
            </w:pPr>
            <w:r w:rsidRPr="0064591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50" w:type="dxa"/>
          </w:tcPr>
          <w:p w14:paraId="25A06B22" w14:textId="001CC7DE" w:rsidR="00645912" w:rsidRPr="00645912" w:rsidRDefault="00645912" w:rsidP="00645912">
            <w:pPr>
              <w:ind w:right="-10"/>
              <w:jc w:val="center"/>
              <w:rPr>
                <w:b/>
                <w:bCs/>
                <w:sz w:val="18"/>
                <w:szCs w:val="18"/>
              </w:rPr>
            </w:pPr>
            <w:r w:rsidRPr="00645912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70" w:type="dxa"/>
          </w:tcPr>
          <w:p w14:paraId="163AB253" w14:textId="6B2C521C" w:rsidR="00645912" w:rsidRPr="00645912" w:rsidRDefault="00645912" w:rsidP="00645912">
            <w:pPr>
              <w:ind w:right="-10"/>
              <w:jc w:val="center"/>
              <w:rPr>
                <w:b/>
                <w:bCs/>
                <w:sz w:val="18"/>
                <w:szCs w:val="18"/>
              </w:rPr>
            </w:pPr>
            <w:r w:rsidRPr="00645912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70" w:type="dxa"/>
          </w:tcPr>
          <w:p w14:paraId="64D7CBC1" w14:textId="1E56DA6F" w:rsidR="00645912" w:rsidRPr="00645912" w:rsidRDefault="00645912" w:rsidP="00645912">
            <w:pPr>
              <w:ind w:right="-10"/>
              <w:jc w:val="center"/>
              <w:rPr>
                <w:b/>
                <w:bCs/>
                <w:sz w:val="18"/>
                <w:szCs w:val="18"/>
              </w:rPr>
            </w:pPr>
            <w:r w:rsidRPr="00645912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70" w:type="dxa"/>
          </w:tcPr>
          <w:p w14:paraId="45B08E65" w14:textId="0506A986" w:rsidR="00645912" w:rsidRPr="00645912" w:rsidRDefault="00645912" w:rsidP="00645912">
            <w:pPr>
              <w:ind w:right="-10"/>
              <w:jc w:val="center"/>
              <w:rPr>
                <w:b/>
                <w:bCs/>
                <w:sz w:val="18"/>
                <w:szCs w:val="18"/>
              </w:rPr>
            </w:pPr>
            <w:r w:rsidRPr="00645912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A13AE9" w14:paraId="149B9C42" w14:textId="77777777" w:rsidTr="00B91839">
        <w:trPr>
          <w:cantSplit/>
          <w:tblHeader/>
        </w:trPr>
        <w:tc>
          <w:tcPr>
            <w:tcW w:w="690" w:type="dxa"/>
          </w:tcPr>
          <w:p w14:paraId="576619F0" w14:textId="77777777" w:rsidR="00E673DA" w:rsidRPr="004E5BF6" w:rsidRDefault="00E673DA" w:rsidP="00FA5144">
            <w:pPr>
              <w:ind w:right="-10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48BCDC36" w14:textId="77777777" w:rsidR="00E673DA" w:rsidRDefault="00E673DA" w:rsidP="00FA5144">
            <w:pPr>
              <w:ind w:right="-10"/>
              <w:rPr>
                <w:b/>
                <w:bCs/>
                <w:sz w:val="18"/>
                <w:szCs w:val="18"/>
              </w:rPr>
            </w:pPr>
            <w:r w:rsidRPr="00E4050A">
              <w:rPr>
                <w:b/>
                <w:bCs/>
                <w:sz w:val="18"/>
                <w:szCs w:val="18"/>
              </w:rPr>
              <w:t xml:space="preserve">Original </w:t>
            </w:r>
            <w:proofErr w:type="spellStart"/>
            <w:r w:rsidRPr="00E4050A">
              <w:rPr>
                <w:b/>
                <w:bCs/>
                <w:sz w:val="18"/>
                <w:szCs w:val="18"/>
              </w:rPr>
              <w:t>DoN</w:t>
            </w:r>
            <w:proofErr w:type="spellEnd"/>
          </w:p>
          <w:p w14:paraId="02FDDEC3" w14:textId="0B8ACB2D" w:rsidR="002C3A95" w:rsidRPr="00E4050A" w:rsidRDefault="002C3A95" w:rsidP="00CD60E4">
            <w:pPr>
              <w:ind w:right="-10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14:paraId="0B4DA7F1" w14:textId="77777777" w:rsidR="003C362A" w:rsidRDefault="00311556" w:rsidP="00B5596B">
            <w:pPr>
              <w:ind w:right="-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Initial</w:t>
            </w:r>
            <w:r w:rsidR="003B3B93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05798C2" w14:textId="4FE62538" w:rsidR="00BE429B" w:rsidRPr="00E4050A" w:rsidRDefault="00DB2282" w:rsidP="00B5596B">
            <w:pPr>
              <w:ind w:right="-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Amendment Filing</w:t>
            </w:r>
          </w:p>
        </w:tc>
        <w:tc>
          <w:tcPr>
            <w:tcW w:w="1440" w:type="dxa"/>
          </w:tcPr>
          <w:p w14:paraId="1B8C33FB" w14:textId="00DB488E" w:rsidR="00E673DA" w:rsidRPr="00E4050A" w:rsidRDefault="00E673DA" w:rsidP="00FA5144">
            <w:pPr>
              <w:ind w:right="-10"/>
              <w:rPr>
                <w:b/>
                <w:bCs/>
                <w:sz w:val="18"/>
                <w:szCs w:val="18"/>
              </w:rPr>
            </w:pPr>
            <w:r w:rsidRPr="00E4050A">
              <w:rPr>
                <w:b/>
                <w:bCs/>
                <w:sz w:val="18"/>
                <w:szCs w:val="18"/>
              </w:rPr>
              <w:t>Initial Adjusted</w:t>
            </w:r>
            <w:r w:rsidRPr="00E4050A">
              <w:rPr>
                <w:rStyle w:val="FootnoteReference"/>
                <w:sz w:val="18"/>
                <w:szCs w:val="18"/>
              </w:rPr>
              <w:footnoteReference w:id="2"/>
            </w:r>
            <w:r w:rsidRPr="00E4050A">
              <w:rPr>
                <w:b/>
                <w:bCs/>
                <w:sz w:val="18"/>
                <w:szCs w:val="18"/>
              </w:rPr>
              <w:t xml:space="preserve"> Amendment </w:t>
            </w:r>
            <w:r w:rsidR="00DB2282">
              <w:rPr>
                <w:b/>
                <w:bCs/>
                <w:sz w:val="18"/>
                <w:szCs w:val="18"/>
              </w:rPr>
              <w:t>Filing</w:t>
            </w:r>
          </w:p>
          <w:p w14:paraId="6CB2E512" w14:textId="2B6D19D7" w:rsidR="00E673DA" w:rsidRPr="00E4050A" w:rsidRDefault="00E673DA" w:rsidP="00FA5144">
            <w:pPr>
              <w:ind w:right="-10"/>
              <w:rPr>
                <w:b/>
                <w:bCs/>
                <w:sz w:val="18"/>
                <w:szCs w:val="18"/>
              </w:rPr>
            </w:pPr>
            <w:r w:rsidRPr="00E4050A">
              <w:rPr>
                <w:b/>
                <w:bCs/>
                <w:sz w:val="18"/>
                <w:szCs w:val="18"/>
              </w:rPr>
              <w:t>(</w:t>
            </w:r>
            <w:r w:rsidR="00300D6A">
              <w:rPr>
                <w:b/>
                <w:bCs/>
                <w:sz w:val="18"/>
                <w:szCs w:val="18"/>
              </w:rPr>
              <w:t>Column 2 -</w:t>
            </w:r>
            <w:r w:rsidRPr="00E4050A">
              <w:rPr>
                <w:b/>
                <w:bCs/>
                <w:sz w:val="18"/>
                <w:szCs w:val="18"/>
              </w:rPr>
              <w:t>$7,</w:t>
            </w:r>
            <w:r w:rsidR="00C36927">
              <w:rPr>
                <w:b/>
                <w:bCs/>
                <w:sz w:val="18"/>
                <w:szCs w:val="18"/>
              </w:rPr>
              <w:t>335,</w:t>
            </w:r>
            <w:r w:rsidR="00B5132D">
              <w:rPr>
                <w:b/>
                <w:bCs/>
                <w:sz w:val="18"/>
                <w:szCs w:val="18"/>
              </w:rPr>
              <w:t>836</w:t>
            </w:r>
            <w:r w:rsidRPr="00E4050A">
              <w:rPr>
                <w:b/>
                <w:bCs/>
                <w:sz w:val="18"/>
                <w:szCs w:val="18"/>
              </w:rPr>
              <w:t>)</w:t>
            </w:r>
          </w:p>
          <w:p w14:paraId="260AC8EB" w14:textId="77777777" w:rsidR="00E673DA" w:rsidRPr="00E4050A" w:rsidRDefault="00E673DA" w:rsidP="00C54F34">
            <w:pPr>
              <w:ind w:right="-1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2063052D" w14:textId="30FACD9F" w:rsidR="00E673DA" w:rsidRDefault="00E673DA" w:rsidP="00FA5144">
            <w:pPr>
              <w:ind w:right="-10"/>
              <w:rPr>
                <w:b/>
                <w:bCs/>
                <w:sz w:val="18"/>
                <w:szCs w:val="18"/>
              </w:rPr>
            </w:pPr>
            <w:r w:rsidRPr="00E4050A">
              <w:rPr>
                <w:b/>
                <w:bCs/>
                <w:sz w:val="18"/>
                <w:szCs w:val="18"/>
              </w:rPr>
              <w:t xml:space="preserve">Initial </w:t>
            </w:r>
            <w:r w:rsidR="000274C5">
              <w:rPr>
                <w:b/>
                <w:bCs/>
                <w:sz w:val="18"/>
                <w:szCs w:val="18"/>
              </w:rPr>
              <w:t>Proposed Amendment Total</w:t>
            </w:r>
          </w:p>
          <w:p w14:paraId="1288E010" w14:textId="0428A0E7" w:rsidR="001E7510" w:rsidRDefault="00DB5ACE" w:rsidP="00FA5144">
            <w:pPr>
              <w:ind w:right="-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="002C3A95">
              <w:rPr>
                <w:b/>
                <w:bCs/>
                <w:sz w:val="18"/>
                <w:szCs w:val="18"/>
              </w:rPr>
              <w:t xml:space="preserve">Columns </w:t>
            </w:r>
            <w:r>
              <w:rPr>
                <w:b/>
                <w:bCs/>
                <w:sz w:val="18"/>
                <w:szCs w:val="18"/>
              </w:rPr>
              <w:t>1</w:t>
            </w:r>
            <w:r w:rsidR="00606820">
              <w:rPr>
                <w:b/>
                <w:bCs/>
                <w:sz w:val="18"/>
                <w:szCs w:val="18"/>
              </w:rPr>
              <w:t xml:space="preserve">+3) </w:t>
            </w:r>
          </w:p>
          <w:p w14:paraId="06CAB013" w14:textId="561F4D64" w:rsidR="001E7510" w:rsidRPr="00E4050A" w:rsidRDefault="001E7510" w:rsidP="00FA5144">
            <w:pPr>
              <w:ind w:right="-1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28D16E12" w14:textId="41AA781B" w:rsidR="005D52D0" w:rsidRPr="00645912" w:rsidRDefault="00A3058A" w:rsidP="00645912">
            <w:pPr>
              <w:ind w:right="-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Updated </w:t>
            </w:r>
            <w:r w:rsidR="00E673DA" w:rsidRPr="00E4050A">
              <w:rPr>
                <w:b/>
                <w:bCs/>
                <w:sz w:val="18"/>
                <w:szCs w:val="18"/>
              </w:rPr>
              <w:t xml:space="preserve">Original </w:t>
            </w:r>
            <w:proofErr w:type="spellStart"/>
            <w:r w:rsidR="00E673DA" w:rsidRPr="00E4050A">
              <w:rPr>
                <w:b/>
                <w:bCs/>
                <w:sz w:val="18"/>
                <w:szCs w:val="18"/>
              </w:rPr>
              <w:t>DoN</w:t>
            </w:r>
            <w:proofErr w:type="spellEnd"/>
            <w:r w:rsidR="003C362A">
              <w:rPr>
                <w:b/>
                <w:bCs/>
                <w:sz w:val="18"/>
                <w:szCs w:val="18"/>
              </w:rPr>
              <w:t xml:space="preserve"> </w:t>
            </w:r>
            <w:r w:rsidR="00E673DA" w:rsidRPr="001D6485">
              <w:rPr>
                <w:b/>
                <w:bCs/>
                <w:sz w:val="16"/>
                <w:szCs w:val="16"/>
              </w:rPr>
              <w:t>(</w:t>
            </w:r>
            <w:r w:rsidR="00645912" w:rsidRPr="001D6485">
              <w:rPr>
                <w:b/>
                <w:bCs/>
                <w:sz w:val="16"/>
                <w:szCs w:val="16"/>
              </w:rPr>
              <w:t xml:space="preserve">Column 1 - </w:t>
            </w:r>
            <w:r w:rsidR="00E673DA" w:rsidRPr="001D6485">
              <w:rPr>
                <w:b/>
                <w:bCs/>
                <w:sz w:val="16"/>
                <w:szCs w:val="16"/>
              </w:rPr>
              <w:t>$3,227,049)</w:t>
            </w:r>
            <w:r w:rsidR="00DF5898" w:rsidRPr="001D6485">
              <w:rPr>
                <w:rStyle w:val="FootnoteReference"/>
                <w:b/>
                <w:bCs/>
                <w:sz w:val="16"/>
                <w:szCs w:val="16"/>
              </w:rPr>
              <w:footnoteReference w:id="3"/>
            </w:r>
          </w:p>
        </w:tc>
        <w:tc>
          <w:tcPr>
            <w:tcW w:w="1170" w:type="dxa"/>
          </w:tcPr>
          <w:p w14:paraId="19B0B377" w14:textId="0E232144" w:rsidR="00B5596B" w:rsidRDefault="00CD60E4" w:rsidP="00FA5144">
            <w:pPr>
              <w:ind w:right="-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Updated Amendment Filing</w:t>
            </w:r>
          </w:p>
          <w:p w14:paraId="68AF5889" w14:textId="6DA2FDE9" w:rsidR="00E673DA" w:rsidRDefault="00E673DA" w:rsidP="00FA5144">
            <w:pPr>
              <w:ind w:right="-10"/>
              <w:rPr>
                <w:b/>
                <w:bCs/>
                <w:sz w:val="18"/>
                <w:szCs w:val="18"/>
              </w:rPr>
            </w:pPr>
            <w:r w:rsidRPr="00E4050A">
              <w:rPr>
                <w:b/>
                <w:bCs/>
                <w:sz w:val="18"/>
                <w:szCs w:val="18"/>
              </w:rPr>
              <w:t>(</w:t>
            </w:r>
            <w:r w:rsidR="00971183">
              <w:rPr>
                <w:b/>
                <w:bCs/>
                <w:sz w:val="18"/>
                <w:szCs w:val="18"/>
              </w:rPr>
              <w:t xml:space="preserve">Column 2 - </w:t>
            </w:r>
            <w:r w:rsidRPr="00E4050A">
              <w:rPr>
                <w:b/>
                <w:bCs/>
                <w:sz w:val="18"/>
                <w:szCs w:val="18"/>
              </w:rPr>
              <w:t>$3,4</w:t>
            </w:r>
            <w:r>
              <w:rPr>
                <w:b/>
                <w:bCs/>
                <w:sz w:val="18"/>
                <w:szCs w:val="18"/>
              </w:rPr>
              <w:t>21,430</w:t>
            </w:r>
            <w:r w:rsidRPr="00E4050A">
              <w:rPr>
                <w:b/>
                <w:bCs/>
                <w:sz w:val="18"/>
                <w:szCs w:val="18"/>
              </w:rPr>
              <w:t>)</w:t>
            </w:r>
            <w:r w:rsidR="00882A0B">
              <w:rPr>
                <w:rStyle w:val="FootnoteReference"/>
                <w:b/>
                <w:bCs/>
                <w:sz w:val="18"/>
                <w:szCs w:val="18"/>
              </w:rPr>
              <w:footnoteReference w:id="4"/>
            </w:r>
          </w:p>
          <w:p w14:paraId="75F8D0EA" w14:textId="674B91A0" w:rsidR="007C35E0" w:rsidRPr="00E4050A" w:rsidRDefault="007C35E0" w:rsidP="00FA5144">
            <w:pPr>
              <w:ind w:right="-1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65739AC4" w14:textId="72C3DFB2" w:rsidR="00E673DA" w:rsidRPr="00E4050A" w:rsidRDefault="00CD60E4" w:rsidP="00FA5144">
            <w:pPr>
              <w:ind w:right="-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Updated </w:t>
            </w:r>
            <w:r w:rsidR="00E673DA" w:rsidRPr="00E4050A">
              <w:rPr>
                <w:b/>
                <w:bCs/>
                <w:sz w:val="18"/>
                <w:szCs w:val="18"/>
              </w:rPr>
              <w:t xml:space="preserve">Adjusted </w:t>
            </w:r>
            <w:r w:rsidR="00E673DA" w:rsidRPr="00E4050A">
              <w:rPr>
                <w:rStyle w:val="FootnoteReference"/>
                <w:sz w:val="18"/>
                <w:szCs w:val="18"/>
              </w:rPr>
              <w:footnoteReference w:id="5"/>
            </w:r>
            <w:r w:rsidR="00E673DA" w:rsidRPr="00E4050A">
              <w:rPr>
                <w:b/>
                <w:bCs/>
                <w:sz w:val="18"/>
                <w:szCs w:val="18"/>
              </w:rPr>
              <w:t xml:space="preserve">  Amendment </w:t>
            </w:r>
            <w:r w:rsidR="00A13AE9">
              <w:rPr>
                <w:b/>
                <w:bCs/>
                <w:sz w:val="18"/>
                <w:szCs w:val="18"/>
              </w:rPr>
              <w:t>Filing</w:t>
            </w:r>
          </w:p>
          <w:p w14:paraId="1F05317D" w14:textId="56536E5E" w:rsidR="00E673DA" w:rsidRPr="00E4050A" w:rsidRDefault="00E673DA" w:rsidP="00FA5144">
            <w:pPr>
              <w:ind w:right="-10"/>
              <w:rPr>
                <w:b/>
                <w:bCs/>
                <w:sz w:val="18"/>
                <w:szCs w:val="18"/>
              </w:rPr>
            </w:pPr>
            <w:r w:rsidRPr="00E4050A">
              <w:rPr>
                <w:b/>
                <w:bCs/>
                <w:sz w:val="18"/>
                <w:szCs w:val="18"/>
              </w:rPr>
              <w:t>(</w:t>
            </w:r>
            <w:r w:rsidR="00971183">
              <w:rPr>
                <w:b/>
                <w:bCs/>
                <w:sz w:val="18"/>
                <w:szCs w:val="18"/>
              </w:rPr>
              <w:t>Column 6 -</w:t>
            </w:r>
            <w:r w:rsidRPr="00E4050A">
              <w:rPr>
                <w:b/>
                <w:bCs/>
                <w:sz w:val="18"/>
                <w:szCs w:val="18"/>
              </w:rPr>
              <w:t>$7,409,382)</w:t>
            </w:r>
            <w:r w:rsidR="004E3354">
              <w:rPr>
                <w:rStyle w:val="FootnoteReference"/>
                <w:b/>
                <w:bCs/>
                <w:sz w:val="18"/>
                <w:szCs w:val="18"/>
              </w:rPr>
              <w:footnoteReference w:id="6"/>
            </w:r>
          </w:p>
          <w:p w14:paraId="25484B8C" w14:textId="680737AB" w:rsidR="00E673DA" w:rsidRPr="00E4050A" w:rsidRDefault="00E673DA" w:rsidP="00FA5144">
            <w:pPr>
              <w:ind w:right="-1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4E12ADE9" w14:textId="5A08A2E4" w:rsidR="00E673DA" w:rsidRDefault="00A13AE9" w:rsidP="00FA5144">
            <w:pPr>
              <w:ind w:right="-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Updated Proposed Amendment </w:t>
            </w:r>
            <w:r w:rsidR="00E673DA" w:rsidRPr="00E4050A">
              <w:rPr>
                <w:b/>
                <w:bCs/>
                <w:sz w:val="18"/>
                <w:szCs w:val="18"/>
              </w:rPr>
              <w:t>Total</w:t>
            </w:r>
          </w:p>
          <w:p w14:paraId="61870A1B" w14:textId="21F71493" w:rsidR="0056573A" w:rsidRPr="00E4050A" w:rsidRDefault="00307846" w:rsidP="00FA5144">
            <w:pPr>
              <w:ind w:right="-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="00971183">
              <w:rPr>
                <w:b/>
                <w:bCs/>
                <w:sz w:val="18"/>
                <w:szCs w:val="18"/>
              </w:rPr>
              <w:t xml:space="preserve">Columns </w:t>
            </w:r>
            <w:r>
              <w:rPr>
                <w:b/>
                <w:bCs/>
                <w:sz w:val="18"/>
                <w:szCs w:val="18"/>
              </w:rPr>
              <w:t>5</w:t>
            </w:r>
            <w:r w:rsidR="0097118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+</w:t>
            </w:r>
            <w:r w:rsidR="0097118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7)</w:t>
            </w:r>
          </w:p>
        </w:tc>
      </w:tr>
      <w:tr w:rsidR="00A13AE9" w14:paraId="4989F421" w14:textId="77777777" w:rsidTr="00B91839">
        <w:trPr>
          <w:cantSplit/>
        </w:trPr>
        <w:tc>
          <w:tcPr>
            <w:tcW w:w="690" w:type="dxa"/>
          </w:tcPr>
          <w:p w14:paraId="30C6396A" w14:textId="77777777" w:rsidR="00E673DA" w:rsidRPr="00876B23" w:rsidRDefault="00E673DA" w:rsidP="00FA5144">
            <w:pPr>
              <w:ind w:right="-10"/>
              <w:rPr>
                <w:b/>
                <w:bCs/>
                <w:sz w:val="20"/>
                <w:szCs w:val="20"/>
              </w:rPr>
            </w:pPr>
            <w:r w:rsidRPr="00876B23">
              <w:rPr>
                <w:b/>
                <w:bCs/>
                <w:sz w:val="20"/>
                <w:szCs w:val="20"/>
              </w:rPr>
              <w:t>MCE</w:t>
            </w:r>
          </w:p>
        </w:tc>
        <w:tc>
          <w:tcPr>
            <w:tcW w:w="1108" w:type="dxa"/>
          </w:tcPr>
          <w:p w14:paraId="3F955C24" w14:textId="77777777" w:rsidR="00E673DA" w:rsidRPr="00927396" w:rsidRDefault="00E673DA" w:rsidP="00FA5144">
            <w:pPr>
              <w:ind w:right="-10"/>
              <w:rPr>
                <w:sz w:val="16"/>
                <w:szCs w:val="16"/>
              </w:rPr>
            </w:pPr>
            <w:r w:rsidRPr="00927396">
              <w:rPr>
                <w:sz w:val="16"/>
                <w:szCs w:val="16"/>
              </w:rPr>
              <w:t>$143,242,167</w:t>
            </w:r>
          </w:p>
        </w:tc>
        <w:tc>
          <w:tcPr>
            <w:tcW w:w="1172" w:type="dxa"/>
          </w:tcPr>
          <w:p w14:paraId="5FFCB99A" w14:textId="77777777" w:rsidR="00E673DA" w:rsidRPr="00927396" w:rsidRDefault="00E673DA" w:rsidP="00FA5144">
            <w:pPr>
              <w:ind w:right="-10"/>
              <w:rPr>
                <w:sz w:val="16"/>
                <w:szCs w:val="16"/>
              </w:rPr>
            </w:pPr>
            <w:r w:rsidRPr="00927396">
              <w:rPr>
                <w:sz w:val="16"/>
                <w:szCs w:val="16"/>
              </w:rPr>
              <w:t>$16,247,426</w:t>
            </w:r>
          </w:p>
        </w:tc>
        <w:tc>
          <w:tcPr>
            <w:tcW w:w="1440" w:type="dxa"/>
          </w:tcPr>
          <w:p w14:paraId="7D6931B1" w14:textId="77777777" w:rsidR="00E673DA" w:rsidRPr="00927396" w:rsidRDefault="00E673DA" w:rsidP="00FA5144">
            <w:pPr>
              <w:ind w:right="-10"/>
              <w:rPr>
                <w:sz w:val="16"/>
                <w:szCs w:val="16"/>
              </w:rPr>
            </w:pPr>
            <w:r w:rsidRPr="00927396">
              <w:rPr>
                <w:sz w:val="16"/>
                <w:szCs w:val="16"/>
              </w:rPr>
              <w:t>$8,911,590</w:t>
            </w:r>
          </w:p>
        </w:tc>
        <w:tc>
          <w:tcPr>
            <w:tcW w:w="1260" w:type="dxa"/>
          </w:tcPr>
          <w:p w14:paraId="47A450F5" w14:textId="77777777" w:rsidR="00E673DA" w:rsidRPr="00927396" w:rsidRDefault="00E673DA" w:rsidP="00FA5144">
            <w:pPr>
              <w:ind w:right="-10"/>
              <w:rPr>
                <w:sz w:val="16"/>
                <w:szCs w:val="16"/>
              </w:rPr>
            </w:pPr>
            <w:r w:rsidRPr="00927396">
              <w:rPr>
                <w:sz w:val="16"/>
                <w:szCs w:val="16"/>
              </w:rPr>
              <w:t>$152,153,757</w:t>
            </w:r>
          </w:p>
        </w:tc>
        <w:tc>
          <w:tcPr>
            <w:tcW w:w="1350" w:type="dxa"/>
          </w:tcPr>
          <w:p w14:paraId="05C29203" w14:textId="77777777" w:rsidR="00E673DA" w:rsidRPr="00927396" w:rsidRDefault="00E673DA" w:rsidP="00FA5144">
            <w:pPr>
              <w:ind w:right="-10"/>
              <w:rPr>
                <w:sz w:val="16"/>
                <w:szCs w:val="16"/>
              </w:rPr>
            </w:pPr>
            <w:r w:rsidRPr="00927396">
              <w:rPr>
                <w:sz w:val="16"/>
                <w:szCs w:val="16"/>
              </w:rPr>
              <w:t>$140,015,118</w:t>
            </w:r>
          </w:p>
        </w:tc>
        <w:tc>
          <w:tcPr>
            <w:tcW w:w="1170" w:type="dxa"/>
          </w:tcPr>
          <w:p w14:paraId="146829C0" w14:textId="77777777" w:rsidR="00E673DA" w:rsidRPr="00927396" w:rsidRDefault="00E673DA" w:rsidP="00FA5144">
            <w:pPr>
              <w:ind w:right="-10"/>
              <w:rPr>
                <w:sz w:val="16"/>
                <w:szCs w:val="16"/>
              </w:rPr>
            </w:pPr>
            <w:r w:rsidRPr="00927396">
              <w:rPr>
                <w:sz w:val="16"/>
                <w:szCs w:val="16"/>
              </w:rPr>
              <w:t>$12,825,996</w:t>
            </w:r>
          </w:p>
        </w:tc>
        <w:tc>
          <w:tcPr>
            <w:tcW w:w="1170" w:type="dxa"/>
          </w:tcPr>
          <w:p w14:paraId="7B16681D" w14:textId="77777777" w:rsidR="00E673DA" w:rsidRPr="00927396" w:rsidRDefault="00E673DA" w:rsidP="00FA5144">
            <w:pPr>
              <w:ind w:right="-10"/>
              <w:rPr>
                <w:sz w:val="16"/>
                <w:szCs w:val="16"/>
              </w:rPr>
            </w:pPr>
            <w:r w:rsidRPr="00927396">
              <w:rPr>
                <w:sz w:val="16"/>
                <w:szCs w:val="16"/>
              </w:rPr>
              <w:t>$5,416,614</w:t>
            </w:r>
          </w:p>
        </w:tc>
        <w:tc>
          <w:tcPr>
            <w:tcW w:w="1170" w:type="dxa"/>
          </w:tcPr>
          <w:p w14:paraId="25A517AC" w14:textId="77777777" w:rsidR="00E673DA" w:rsidRPr="00927396" w:rsidRDefault="00E673DA" w:rsidP="00FA5144">
            <w:pPr>
              <w:ind w:right="-10"/>
              <w:rPr>
                <w:sz w:val="16"/>
                <w:szCs w:val="16"/>
              </w:rPr>
            </w:pPr>
            <w:r w:rsidRPr="00927396">
              <w:rPr>
                <w:sz w:val="16"/>
                <w:szCs w:val="16"/>
              </w:rPr>
              <w:t>$145,431,732</w:t>
            </w:r>
          </w:p>
        </w:tc>
      </w:tr>
      <w:tr w:rsidR="0056573A" w14:paraId="5AD1C84A" w14:textId="77777777" w:rsidTr="00B91839">
        <w:trPr>
          <w:cantSplit/>
        </w:trPr>
        <w:tc>
          <w:tcPr>
            <w:tcW w:w="690" w:type="dxa"/>
          </w:tcPr>
          <w:p w14:paraId="4C677D3D" w14:textId="77777777" w:rsidR="00E673DA" w:rsidRPr="00876B23" w:rsidRDefault="00E673DA" w:rsidP="00FA5144">
            <w:pPr>
              <w:ind w:right="-10"/>
              <w:rPr>
                <w:b/>
                <w:bCs/>
                <w:sz w:val="20"/>
                <w:szCs w:val="20"/>
              </w:rPr>
            </w:pPr>
            <w:r w:rsidRPr="00876B23">
              <w:rPr>
                <w:b/>
                <w:bCs/>
                <w:sz w:val="20"/>
                <w:szCs w:val="20"/>
              </w:rPr>
              <w:t>CHI</w:t>
            </w:r>
          </w:p>
        </w:tc>
        <w:tc>
          <w:tcPr>
            <w:tcW w:w="1108" w:type="dxa"/>
          </w:tcPr>
          <w:p w14:paraId="393C728A" w14:textId="77777777" w:rsidR="00E673DA" w:rsidRPr="00927396" w:rsidRDefault="00E673DA" w:rsidP="00FA5144">
            <w:pPr>
              <w:ind w:right="-10"/>
              <w:rPr>
                <w:sz w:val="18"/>
                <w:szCs w:val="18"/>
              </w:rPr>
            </w:pPr>
            <w:r w:rsidRPr="00927396">
              <w:rPr>
                <w:sz w:val="18"/>
                <w:szCs w:val="18"/>
              </w:rPr>
              <w:t>$7,162,108</w:t>
            </w:r>
          </w:p>
        </w:tc>
        <w:tc>
          <w:tcPr>
            <w:tcW w:w="1172" w:type="dxa"/>
            <w:shd w:val="clear" w:color="auto" w:fill="BFBFBF" w:themeFill="background1" w:themeFillShade="BF"/>
          </w:tcPr>
          <w:p w14:paraId="5F02E8C1" w14:textId="490AC6AE" w:rsidR="00E673DA" w:rsidRPr="00927396" w:rsidRDefault="00E673DA" w:rsidP="00FA5144">
            <w:pPr>
              <w:ind w:right="-10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0DA81F0A" w14:textId="77777777" w:rsidR="00E673DA" w:rsidRPr="00927396" w:rsidRDefault="00E673DA" w:rsidP="00FA5144">
            <w:pPr>
              <w:ind w:right="-10"/>
              <w:rPr>
                <w:sz w:val="18"/>
                <w:szCs w:val="18"/>
              </w:rPr>
            </w:pPr>
            <w:r w:rsidRPr="00927396">
              <w:rPr>
                <w:sz w:val="18"/>
                <w:szCs w:val="18"/>
              </w:rPr>
              <w:t>$445,569</w:t>
            </w:r>
          </w:p>
        </w:tc>
        <w:tc>
          <w:tcPr>
            <w:tcW w:w="1260" w:type="dxa"/>
          </w:tcPr>
          <w:p w14:paraId="05BB7DD4" w14:textId="77777777" w:rsidR="00E673DA" w:rsidRPr="00927396" w:rsidRDefault="00E673DA" w:rsidP="00FA5144">
            <w:pPr>
              <w:ind w:right="-10"/>
              <w:rPr>
                <w:sz w:val="18"/>
                <w:szCs w:val="18"/>
              </w:rPr>
            </w:pPr>
            <w:r w:rsidRPr="00927396">
              <w:rPr>
                <w:sz w:val="18"/>
                <w:szCs w:val="18"/>
              </w:rPr>
              <w:t>$7,607,667</w:t>
            </w:r>
          </w:p>
        </w:tc>
        <w:tc>
          <w:tcPr>
            <w:tcW w:w="1350" w:type="dxa"/>
          </w:tcPr>
          <w:p w14:paraId="04D6F487" w14:textId="73FB5F07" w:rsidR="00E673DA" w:rsidRPr="00927396" w:rsidRDefault="00E673DA" w:rsidP="00FA5144">
            <w:pPr>
              <w:ind w:right="-10"/>
              <w:rPr>
                <w:sz w:val="18"/>
                <w:szCs w:val="18"/>
              </w:rPr>
            </w:pPr>
            <w:r w:rsidRPr="00927396">
              <w:rPr>
                <w:sz w:val="18"/>
                <w:szCs w:val="18"/>
              </w:rPr>
              <w:t>$7,162,108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456F8F99" w14:textId="56886154" w:rsidR="00E673DA" w:rsidRPr="001A4BF8" w:rsidRDefault="00E673DA" w:rsidP="00FA5144">
            <w:pPr>
              <w:ind w:right="-10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3E4AF08" w14:textId="77777777" w:rsidR="00E673DA" w:rsidRPr="00927396" w:rsidRDefault="00E673DA" w:rsidP="00FA5144">
            <w:pPr>
              <w:ind w:right="-10"/>
              <w:rPr>
                <w:sz w:val="18"/>
                <w:szCs w:val="18"/>
              </w:rPr>
            </w:pPr>
            <w:r w:rsidRPr="00927396">
              <w:rPr>
                <w:sz w:val="18"/>
                <w:szCs w:val="18"/>
              </w:rPr>
              <w:t>$109,478</w:t>
            </w:r>
          </w:p>
        </w:tc>
        <w:tc>
          <w:tcPr>
            <w:tcW w:w="1170" w:type="dxa"/>
          </w:tcPr>
          <w:p w14:paraId="571BA690" w14:textId="77777777" w:rsidR="00E673DA" w:rsidRPr="00927396" w:rsidRDefault="00E673DA" w:rsidP="00FA5144">
            <w:pPr>
              <w:ind w:right="-10"/>
              <w:rPr>
                <w:sz w:val="18"/>
                <w:szCs w:val="18"/>
              </w:rPr>
            </w:pPr>
            <w:r w:rsidRPr="00927396">
              <w:rPr>
                <w:sz w:val="18"/>
                <w:szCs w:val="18"/>
              </w:rPr>
              <w:t>$7,271,586</w:t>
            </w:r>
          </w:p>
        </w:tc>
      </w:tr>
      <w:tr w:rsidR="00A13AE9" w14:paraId="614F11BB" w14:textId="77777777" w:rsidTr="00B91839">
        <w:trPr>
          <w:cantSplit/>
        </w:trPr>
        <w:tc>
          <w:tcPr>
            <w:tcW w:w="690" w:type="dxa"/>
            <w:shd w:val="clear" w:color="auto" w:fill="FFFFFF" w:themeFill="background1"/>
          </w:tcPr>
          <w:p w14:paraId="3CFDA0E4" w14:textId="66AD1A21" w:rsidR="00E673DA" w:rsidRPr="001A4BF8" w:rsidRDefault="00E673DA" w:rsidP="00FA5144">
            <w:pPr>
              <w:ind w:right="-10"/>
              <w:rPr>
                <w:b/>
                <w:bCs/>
                <w:sz w:val="16"/>
                <w:szCs w:val="16"/>
              </w:rPr>
            </w:pPr>
            <w:proofErr w:type="gramStart"/>
            <w:r w:rsidRPr="001A4BF8">
              <w:rPr>
                <w:b/>
                <w:bCs/>
                <w:sz w:val="16"/>
                <w:szCs w:val="16"/>
              </w:rPr>
              <w:t xml:space="preserve">% </w:t>
            </w:r>
            <w:r w:rsidR="00AF7A91">
              <w:rPr>
                <w:b/>
                <w:bCs/>
                <w:sz w:val="16"/>
                <w:szCs w:val="16"/>
              </w:rPr>
              <w:t xml:space="preserve"> </w:t>
            </w:r>
            <w:r w:rsidRPr="001A4BF8">
              <w:rPr>
                <w:b/>
                <w:bCs/>
                <w:sz w:val="16"/>
                <w:szCs w:val="16"/>
              </w:rPr>
              <w:t>change</w:t>
            </w:r>
            <w:proofErr w:type="gramEnd"/>
            <w:r w:rsidRPr="001A4BF8">
              <w:rPr>
                <w:b/>
                <w:bCs/>
                <w:sz w:val="16"/>
                <w:szCs w:val="16"/>
              </w:rPr>
              <w:t xml:space="preserve"> to MCE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14:paraId="691214C8" w14:textId="77777777" w:rsidR="00E673DA" w:rsidRPr="001A4BF8" w:rsidRDefault="00E673DA" w:rsidP="00FA5144">
            <w:pPr>
              <w:ind w:right="-10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</w:tcPr>
          <w:p w14:paraId="75B42135" w14:textId="4021354A" w:rsidR="00E673DA" w:rsidRPr="001A4BF8" w:rsidRDefault="00E673DA" w:rsidP="00FA5144">
            <w:pPr>
              <w:ind w:right="-1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1A6AE551" w14:textId="77777777" w:rsidR="00E673DA" w:rsidRPr="001A4BF8" w:rsidRDefault="00E673DA" w:rsidP="00FA5144">
            <w:pPr>
              <w:ind w:right="-10"/>
              <w:rPr>
                <w:sz w:val="18"/>
                <w:szCs w:val="18"/>
              </w:rPr>
            </w:pPr>
            <w:r w:rsidRPr="001A4BF8">
              <w:rPr>
                <w:sz w:val="18"/>
                <w:szCs w:val="18"/>
              </w:rPr>
              <w:t>6.2%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11EC2008" w14:textId="77777777" w:rsidR="00E673DA" w:rsidRPr="001A4BF8" w:rsidRDefault="00E673DA" w:rsidP="00FA5144">
            <w:pPr>
              <w:ind w:right="-10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2A9590F3" w14:textId="77777777" w:rsidR="00E673DA" w:rsidRPr="001A4BF8" w:rsidRDefault="00E673DA" w:rsidP="00FA5144">
            <w:pPr>
              <w:ind w:right="-10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46E67D0A" w14:textId="3FC341BB" w:rsidR="00E673DA" w:rsidRPr="001A4BF8" w:rsidRDefault="00E673DA" w:rsidP="00FA5144">
            <w:pPr>
              <w:ind w:right="-10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357BC68" w14:textId="77777777" w:rsidR="00E673DA" w:rsidRPr="00927396" w:rsidRDefault="00E673DA" w:rsidP="00FA5144">
            <w:pPr>
              <w:ind w:right="-10"/>
              <w:rPr>
                <w:sz w:val="18"/>
                <w:szCs w:val="18"/>
              </w:rPr>
            </w:pPr>
            <w:r w:rsidRPr="001A4BF8">
              <w:rPr>
                <w:sz w:val="18"/>
                <w:szCs w:val="18"/>
              </w:rPr>
              <w:t>3.8%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27E3981B" w14:textId="77777777" w:rsidR="00E673DA" w:rsidRPr="00927396" w:rsidRDefault="00E673DA" w:rsidP="00FA5144">
            <w:pPr>
              <w:ind w:right="-10"/>
              <w:rPr>
                <w:sz w:val="18"/>
                <w:szCs w:val="18"/>
              </w:rPr>
            </w:pPr>
          </w:p>
        </w:tc>
      </w:tr>
    </w:tbl>
    <w:p w14:paraId="2F312C2B" w14:textId="77777777" w:rsidR="00750DA7" w:rsidRDefault="00750DA7" w:rsidP="00E673DA">
      <w:pPr>
        <w:ind w:right="-10"/>
        <w:rPr>
          <w:szCs w:val="24"/>
        </w:rPr>
      </w:pPr>
    </w:p>
    <w:p w14:paraId="313C55AB" w14:textId="735CB24E" w:rsidR="000126F5" w:rsidRDefault="00750DA7" w:rsidP="000126F5">
      <w:pPr>
        <w:ind w:right="-10" w:firstLine="720"/>
      </w:pPr>
      <w:r>
        <w:t xml:space="preserve">Upon review, the Department deems the MCE Change Request permissible as </w:t>
      </w:r>
      <w:r w:rsidR="00EF66CB">
        <w:t>the scope of the changes proposed do not substantially alter the Amendment. Specifically, the Department deems the MCE Change Request</w:t>
      </w:r>
      <w:r w:rsidR="000126F5">
        <w:t xml:space="preserve"> is made for the </w:t>
      </w:r>
      <w:r w:rsidR="00E673DA">
        <w:t xml:space="preserve">purpose of correcting errors in both the Original </w:t>
      </w:r>
      <w:proofErr w:type="spellStart"/>
      <w:r w:rsidR="00E673DA">
        <w:t>DoN</w:t>
      </w:r>
      <w:proofErr w:type="spellEnd"/>
      <w:r w:rsidR="00E673DA">
        <w:t xml:space="preserve"> and </w:t>
      </w:r>
      <w:r w:rsidR="4DC43020">
        <w:t xml:space="preserve">the </w:t>
      </w:r>
      <w:r w:rsidR="00EF66CB">
        <w:t>Amendment.</w:t>
      </w:r>
      <w:r w:rsidR="00E673DA">
        <w:t xml:space="preserve"> </w:t>
      </w:r>
      <w:r w:rsidR="00EF66CB">
        <w:t>As a result, the Department has incorporated the MCE Change Request into their review of the pending Amendment</w:t>
      </w:r>
      <w:r w:rsidR="000126F5">
        <w:t xml:space="preserve"> pursuant to 105 CMR 100.425. The Holder is not required to withdraw and resubmit their pending Proposed Amendment. </w:t>
      </w:r>
    </w:p>
    <w:p w14:paraId="20C9F200" w14:textId="72AF4FDE" w:rsidR="000126F5" w:rsidRPr="000126F5" w:rsidRDefault="000126F5" w:rsidP="00EF66CB">
      <w:pPr>
        <w:ind w:right="-10" w:firstLine="720"/>
        <w:rPr>
          <w:b/>
          <w:bCs/>
          <w:szCs w:val="24"/>
        </w:rPr>
      </w:pPr>
    </w:p>
    <w:p w14:paraId="7FF334EF" w14:textId="15F9D082" w:rsidR="000126F5" w:rsidRDefault="000126F5" w:rsidP="000126F5">
      <w:pPr>
        <w:ind w:right="-10" w:firstLine="720"/>
        <w:rPr>
          <w:szCs w:val="24"/>
        </w:rPr>
      </w:pPr>
      <w:r>
        <w:rPr>
          <w:szCs w:val="24"/>
        </w:rPr>
        <w:t xml:space="preserve">Accordingly, the Amendment will reflect a decrease to the Original </w:t>
      </w:r>
      <w:proofErr w:type="spellStart"/>
      <w:r>
        <w:rPr>
          <w:szCs w:val="24"/>
        </w:rPr>
        <w:t>DoN</w:t>
      </w:r>
      <w:proofErr w:type="spellEnd"/>
      <w:r>
        <w:rPr>
          <w:szCs w:val="24"/>
        </w:rPr>
        <w:t xml:space="preserve"> MCE in the amount of $3,227,049 to exclude certain costs. The resulting Original </w:t>
      </w:r>
      <w:proofErr w:type="spellStart"/>
      <w:r>
        <w:rPr>
          <w:szCs w:val="24"/>
        </w:rPr>
        <w:t>DoN</w:t>
      </w:r>
      <w:proofErr w:type="spellEnd"/>
      <w:r>
        <w:rPr>
          <w:szCs w:val="24"/>
        </w:rPr>
        <w:t xml:space="preserve"> MCE is </w:t>
      </w:r>
      <w:r w:rsidR="00EF66CB">
        <w:rPr>
          <w:szCs w:val="24"/>
        </w:rPr>
        <w:t>$140,015,118</w:t>
      </w:r>
      <w:r>
        <w:rPr>
          <w:szCs w:val="24"/>
        </w:rPr>
        <w:t xml:space="preserve">. The Amendment will reflect a decrease to </w:t>
      </w:r>
      <w:r w:rsidR="00723E09">
        <w:rPr>
          <w:szCs w:val="24"/>
        </w:rPr>
        <w:t>Proposed Amendment</w:t>
      </w:r>
      <w:r w:rsidR="003265D9">
        <w:rPr>
          <w:szCs w:val="24"/>
        </w:rPr>
        <w:t xml:space="preserve"> </w:t>
      </w:r>
      <w:r>
        <w:rPr>
          <w:szCs w:val="24"/>
        </w:rPr>
        <w:t>in the amount of $3,421,430 to remove radiology renovation costs. The resulting Amendment MCE is</w:t>
      </w:r>
      <w:r w:rsidR="00EF66CB">
        <w:rPr>
          <w:szCs w:val="24"/>
        </w:rPr>
        <w:t xml:space="preserve"> </w:t>
      </w:r>
      <w:r w:rsidR="00EF66CB">
        <w:rPr>
          <w:szCs w:val="24"/>
        </w:rPr>
        <w:lastRenderedPageBreak/>
        <w:t>$145,431,732</w:t>
      </w:r>
      <w:r>
        <w:rPr>
          <w:szCs w:val="24"/>
        </w:rPr>
        <w:t>. Finally, the</w:t>
      </w:r>
      <w:r w:rsidR="00EF66CB">
        <w:rPr>
          <w:szCs w:val="24"/>
        </w:rPr>
        <w:t xml:space="preserve"> Community Health Initiative contribution </w:t>
      </w:r>
      <w:r>
        <w:rPr>
          <w:szCs w:val="24"/>
        </w:rPr>
        <w:t xml:space="preserve">will be adjusted to </w:t>
      </w:r>
      <w:r w:rsidR="00EF66CB">
        <w:rPr>
          <w:szCs w:val="24"/>
        </w:rPr>
        <w:t xml:space="preserve">$7,721,586. </w:t>
      </w:r>
    </w:p>
    <w:p w14:paraId="163A3572" w14:textId="77777777" w:rsidR="004F7A25" w:rsidRDefault="004F7A25" w:rsidP="0072610D"/>
    <w:p w14:paraId="2B539423" w14:textId="77777777" w:rsidR="000126F5" w:rsidRDefault="000126F5" w:rsidP="0072610D"/>
    <w:p w14:paraId="452DC500" w14:textId="15E0D559" w:rsidR="000126F5" w:rsidRDefault="00E3506A" w:rsidP="0072610D">
      <w:r>
        <w:t>Sincerely,</w:t>
      </w:r>
    </w:p>
    <w:p w14:paraId="1BFC6983" w14:textId="01339B90" w:rsidR="646C7424" w:rsidRDefault="646C7424"/>
    <w:p w14:paraId="6026F3DB" w14:textId="45653FE3" w:rsidR="32B5BE11" w:rsidRDefault="32B5BE11">
      <w:r>
        <w:t xml:space="preserve">Teryl Smith, </w:t>
      </w:r>
      <w:r w:rsidR="0CFE5818">
        <w:t>Bureau Director,</w:t>
      </w:r>
      <w:r>
        <w:t xml:space="preserve"> Health Care Safety and Quality</w:t>
      </w:r>
    </w:p>
    <w:p w14:paraId="086EE565" w14:textId="1A4BCB90" w:rsidR="4D48D86D" w:rsidRDefault="4D48D86D"/>
    <w:p w14:paraId="0B59BB2C" w14:textId="77777777" w:rsidR="00011B72" w:rsidRDefault="00011B72"/>
    <w:p w14:paraId="2ACA4C5E" w14:textId="77777777" w:rsidR="00011B72" w:rsidRDefault="00011B72"/>
    <w:p w14:paraId="681C6D2E" w14:textId="4054B4B0" w:rsidR="32B5BE11" w:rsidRDefault="32B5BE11">
      <w:r>
        <w:t>cc:</w:t>
      </w:r>
    </w:p>
    <w:p w14:paraId="50A378C5" w14:textId="6BE3E001" w:rsidR="0376864D" w:rsidRDefault="0376864D" w:rsidP="26ED7890">
      <w:pPr>
        <w:rPr>
          <w:szCs w:val="24"/>
        </w:rPr>
      </w:pPr>
      <w:r w:rsidRPr="26ED7890">
        <w:rPr>
          <w:color w:val="000000" w:themeColor="text1"/>
          <w:szCs w:val="24"/>
        </w:rPr>
        <w:t>Jaclyn Gagné, Esq., Chief Deputy General Counsel Health Care Licensure</w:t>
      </w:r>
    </w:p>
    <w:p w14:paraId="7533A8B6" w14:textId="2FEFEC80" w:rsidR="5C3DA069" w:rsidRDefault="7DA68E9D">
      <w:r>
        <w:t xml:space="preserve">Susannah Arterian, </w:t>
      </w:r>
      <w:r w:rsidR="00011B72">
        <w:t xml:space="preserve">Deputy </w:t>
      </w:r>
      <w:r w:rsidR="00027D5E">
        <w:t>General Counsel</w:t>
      </w:r>
    </w:p>
    <w:p w14:paraId="7E5D27D6" w14:textId="7A7B7268" w:rsidR="29E33E57" w:rsidRDefault="32B5BE11">
      <w:r>
        <w:t>Torey McNamara</w:t>
      </w:r>
      <w:r w:rsidR="5FB006DF">
        <w:t>, Senior Policy Advisor</w:t>
      </w:r>
    </w:p>
    <w:p w14:paraId="4803712B" w14:textId="1BDB0F87" w:rsidR="7B2852A3" w:rsidRDefault="32B5BE11">
      <w:r>
        <w:t xml:space="preserve">Fabiola Catulle, </w:t>
      </w:r>
      <w:proofErr w:type="spellStart"/>
      <w:r>
        <w:t>DoN</w:t>
      </w:r>
      <w:proofErr w:type="spellEnd"/>
      <w:r>
        <w:t xml:space="preserve"> Application Manager</w:t>
      </w:r>
    </w:p>
    <w:p w14:paraId="420FF50C" w14:textId="5B3B7792" w:rsidR="470DD5ED" w:rsidRDefault="470DD5ED"/>
    <w:p w14:paraId="696B7A17" w14:textId="77777777" w:rsidR="00E3506A" w:rsidRDefault="00E3506A" w:rsidP="0072610D"/>
    <w:p w14:paraId="022999E8" w14:textId="77777777" w:rsidR="00E3506A" w:rsidRDefault="00E3506A" w:rsidP="0072610D"/>
    <w:p w14:paraId="15740E61" w14:textId="77777777" w:rsidR="00E3506A" w:rsidRPr="009908FF" w:rsidRDefault="00E3506A" w:rsidP="0072610D"/>
    <w:sectPr w:rsidR="00E3506A" w:rsidRPr="009908FF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AC772" w14:textId="77777777" w:rsidR="00BA3AEF" w:rsidRDefault="00BA3AEF" w:rsidP="00E673DA">
      <w:r>
        <w:separator/>
      </w:r>
    </w:p>
  </w:endnote>
  <w:endnote w:type="continuationSeparator" w:id="0">
    <w:p w14:paraId="5CE39D34" w14:textId="77777777" w:rsidR="00BA3AEF" w:rsidRDefault="00BA3AEF" w:rsidP="00E6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5223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E1EEDA" w14:textId="77777777" w:rsidR="00F315BE" w:rsidRDefault="00F315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94F9E9" w14:textId="77777777" w:rsidR="00F315BE" w:rsidRDefault="00F31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98D24" w14:textId="77777777" w:rsidR="00BA3AEF" w:rsidRDefault="00BA3AEF" w:rsidP="00E673DA">
      <w:r>
        <w:separator/>
      </w:r>
    </w:p>
  </w:footnote>
  <w:footnote w:type="continuationSeparator" w:id="0">
    <w:p w14:paraId="152A1975" w14:textId="77777777" w:rsidR="00BA3AEF" w:rsidRDefault="00BA3AEF" w:rsidP="00E673DA">
      <w:r>
        <w:continuationSeparator/>
      </w:r>
    </w:p>
  </w:footnote>
  <w:footnote w:id="1">
    <w:p w14:paraId="09B09FBF" w14:textId="77777777" w:rsidR="00E673DA" w:rsidRPr="00EF66CB" w:rsidRDefault="00E673DA" w:rsidP="00E673DA">
      <w:pPr>
        <w:pStyle w:val="FootnoteText"/>
        <w:rPr>
          <w:rFonts w:ascii="Times New Roman" w:hAnsi="Times New Roman" w:cs="Times New Roman"/>
        </w:rPr>
      </w:pPr>
      <w:r w:rsidRPr="000A5E92">
        <w:rPr>
          <w:rStyle w:val="FootnoteReference"/>
        </w:rPr>
        <w:footnoteRef/>
      </w:r>
      <w:r w:rsidRPr="000A5E92">
        <w:t xml:space="preserve"> </w:t>
      </w:r>
      <w:r w:rsidRPr="00AF7A91">
        <w:rPr>
          <w:rFonts w:ascii="Times New Roman" w:hAnsi="Times New Roman" w:cs="Times New Roman"/>
        </w:rPr>
        <w:t xml:space="preserve">Additionally, pursuant to 105 CMR 100.425, the Department has discretion in “making reasonable </w:t>
      </w:r>
      <w:r w:rsidRPr="00EF66CB">
        <w:rPr>
          <w:rFonts w:ascii="Times New Roman" w:hAnsi="Times New Roman" w:cs="Times New Roman"/>
        </w:rPr>
        <w:t>accommodations for any necessary technical corrections by the Applicant, or other changes based on updated information related to the Proposed Project.”</w:t>
      </w:r>
    </w:p>
  </w:footnote>
  <w:footnote w:id="2">
    <w:p w14:paraId="0E785260" w14:textId="4E3E0B40" w:rsidR="00E673DA" w:rsidRPr="0051610B" w:rsidRDefault="00E673DA" w:rsidP="00E673DA">
      <w:pPr>
        <w:pStyle w:val="FootnoteText"/>
        <w:rPr>
          <w:rFonts w:ascii="Times New Roman" w:hAnsi="Times New Roman" w:cs="Times New Roman"/>
        </w:rPr>
      </w:pPr>
      <w:r w:rsidRPr="00EF66CB">
        <w:rPr>
          <w:rStyle w:val="FootnoteReference"/>
          <w:rFonts w:ascii="Times New Roman" w:hAnsi="Times New Roman" w:cs="Times New Roman"/>
        </w:rPr>
        <w:footnoteRef/>
      </w:r>
      <w:r w:rsidRPr="00EF66CB">
        <w:rPr>
          <w:rFonts w:ascii="Times New Roman" w:hAnsi="Times New Roman" w:cs="Times New Roman"/>
        </w:rPr>
        <w:t xml:space="preserve"> </w:t>
      </w:r>
      <w:r w:rsidR="004E3354">
        <w:rPr>
          <w:rFonts w:ascii="Times New Roman" w:hAnsi="Times New Roman" w:cs="Times New Roman"/>
        </w:rPr>
        <w:t>Reflecting adjustments to reallocate</w:t>
      </w:r>
      <w:r w:rsidR="00EF66CB" w:rsidRPr="00EF66CB">
        <w:rPr>
          <w:rFonts w:ascii="Times New Roman" w:hAnsi="Times New Roman" w:cs="Times New Roman"/>
        </w:rPr>
        <w:t xml:space="preserve"> </w:t>
      </w:r>
      <w:r w:rsidR="00750DA7" w:rsidRPr="00EF66CB">
        <w:rPr>
          <w:rFonts w:ascii="Times New Roman" w:hAnsi="Times New Roman" w:cs="Times New Roman"/>
        </w:rPr>
        <w:t>$7,</w:t>
      </w:r>
      <w:r w:rsidR="00723E09">
        <w:rPr>
          <w:rFonts w:ascii="Times New Roman" w:hAnsi="Times New Roman" w:cs="Times New Roman"/>
        </w:rPr>
        <w:t>335</w:t>
      </w:r>
      <w:r w:rsidR="004E3354">
        <w:rPr>
          <w:rFonts w:ascii="Times New Roman" w:hAnsi="Times New Roman" w:cs="Times New Roman"/>
        </w:rPr>
        <w:t xml:space="preserve">,836 </w:t>
      </w:r>
      <w:r w:rsidR="00750DA7" w:rsidRPr="00EF66CB">
        <w:rPr>
          <w:rFonts w:ascii="Times New Roman" w:hAnsi="Times New Roman" w:cs="Times New Roman"/>
        </w:rPr>
        <w:t xml:space="preserve">in unspent funds relative to the approved Original </w:t>
      </w:r>
      <w:proofErr w:type="spellStart"/>
      <w:r w:rsidR="00750DA7" w:rsidRPr="00EF66CB">
        <w:rPr>
          <w:rFonts w:ascii="Times New Roman" w:hAnsi="Times New Roman" w:cs="Times New Roman"/>
        </w:rPr>
        <w:t>DoN</w:t>
      </w:r>
      <w:proofErr w:type="spellEnd"/>
      <w:r w:rsidR="00750DA7" w:rsidRPr="00EF66CB">
        <w:rPr>
          <w:rFonts w:ascii="Times New Roman" w:hAnsi="Times New Roman" w:cs="Times New Roman"/>
        </w:rPr>
        <w:t xml:space="preserve"> MCE. The </w:t>
      </w:r>
      <w:r w:rsidR="00750DA7" w:rsidRPr="0051610B">
        <w:rPr>
          <w:rFonts w:ascii="Times New Roman" w:hAnsi="Times New Roman" w:cs="Times New Roman"/>
        </w:rPr>
        <w:t xml:space="preserve">Holder asserts these funds are anticipated to remain </w:t>
      </w:r>
      <w:r w:rsidRPr="0051610B">
        <w:rPr>
          <w:rFonts w:ascii="Times New Roman" w:hAnsi="Times New Roman" w:cs="Times New Roman"/>
        </w:rPr>
        <w:t>unspent largely due to the decision not to implement the Memorial Bed project</w:t>
      </w:r>
      <w:r w:rsidR="00750DA7" w:rsidRPr="0051610B">
        <w:rPr>
          <w:rFonts w:ascii="Times New Roman" w:hAnsi="Times New Roman" w:cs="Times New Roman"/>
        </w:rPr>
        <w:t xml:space="preserve">. </w:t>
      </w:r>
    </w:p>
  </w:footnote>
  <w:footnote w:id="3">
    <w:p w14:paraId="4A615A7D" w14:textId="760D60DD" w:rsidR="00DF5898" w:rsidRPr="0051610B" w:rsidRDefault="00DF5898">
      <w:pPr>
        <w:pStyle w:val="FootnoteText"/>
        <w:rPr>
          <w:rFonts w:ascii="Times New Roman" w:hAnsi="Times New Roman" w:cs="Times New Roman"/>
        </w:rPr>
      </w:pPr>
      <w:r w:rsidRPr="0051610B">
        <w:rPr>
          <w:rStyle w:val="FootnoteReference"/>
          <w:rFonts w:ascii="Times New Roman" w:hAnsi="Times New Roman" w:cs="Times New Roman"/>
        </w:rPr>
        <w:footnoteRef/>
      </w:r>
      <w:r w:rsidRPr="0051610B">
        <w:rPr>
          <w:rFonts w:ascii="Times New Roman" w:hAnsi="Times New Roman" w:cs="Times New Roman"/>
        </w:rPr>
        <w:t xml:space="preserve"> Exc</w:t>
      </w:r>
      <w:r w:rsidR="00723E09" w:rsidRPr="0051610B">
        <w:rPr>
          <w:rFonts w:ascii="Times New Roman" w:hAnsi="Times New Roman" w:cs="Times New Roman"/>
        </w:rPr>
        <w:t>l</w:t>
      </w:r>
      <w:r w:rsidRPr="0051610B">
        <w:rPr>
          <w:rFonts w:ascii="Times New Roman" w:hAnsi="Times New Roman" w:cs="Times New Roman"/>
        </w:rPr>
        <w:t>udable costs</w:t>
      </w:r>
      <w:r w:rsidR="005D52D0" w:rsidRPr="0051610B">
        <w:rPr>
          <w:rFonts w:ascii="Times New Roman" w:hAnsi="Times New Roman" w:cs="Times New Roman"/>
        </w:rPr>
        <w:t xml:space="preserve"> inadvertently included in the Original </w:t>
      </w:r>
      <w:proofErr w:type="spellStart"/>
      <w:r w:rsidR="005D52D0" w:rsidRPr="0051610B">
        <w:rPr>
          <w:rFonts w:ascii="Times New Roman" w:hAnsi="Times New Roman" w:cs="Times New Roman"/>
        </w:rPr>
        <w:t>DoN</w:t>
      </w:r>
      <w:proofErr w:type="spellEnd"/>
      <w:r w:rsidR="005D52D0" w:rsidRPr="0051610B">
        <w:rPr>
          <w:rFonts w:ascii="Times New Roman" w:hAnsi="Times New Roman" w:cs="Times New Roman"/>
        </w:rPr>
        <w:t>.</w:t>
      </w:r>
    </w:p>
  </w:footnote>
  <w:footnote w:id="4">
    <w:p w14:paraId="6C271984" w14:textId="47ABCE2A" w:rsidR="00882A0B" w:rsidRPr="0051610B" w:rsidRDefault="00882A0B">
      <w:pPr>
        <w:pStyle w:val="FootnoteText"/>
        <w:rPr>
          <w:rFonts w:ascii="Times New Roman" w:hAnsi="Times New Roman" w:cs="Times New Roman"/>
        </w:rPr>
      </w:pPr>
      <w:r w:rsidRPr="0051610B">
        <w:rPr>
          <w:rStyle w:val="FootnoteReference"/>
          <w:rFonts w:ascii="Times New Roman" w:hAnsi="Times New Roman" w:cs="Times New Roman"/>
        </w:rPr>
        <w:footnoteRef/>
      </w:r>
      <w:r w:rsidRPr="0051610B">
        <w:rPr>
          <w:rFonts w:ascii="Times New Roman" w:hAnsi="Times New Roman" w:cs="Times New Roman"/>
        </w:rPr>
        <w:t xml:space="preserve"> Adjusted amount for unrelated radiology costs.</w:t>
      </w:r>
    </w:p>
  </w:footnote>
  <w:footnote w:id="5">
    <w:p w14:paraId="38FCE12D" w14:textId="3D1078EE" w:rsidR="00E673DA" w:rsidRPr="0051610B" w:rsidRDefault="00E673DA" w:rsidP="00E673DA">
      <w:pPr>
        <w:pStyle w:val="FootnoteText"/>
        <w:rPr>
          <w:rFonts w:ascii="Times New Roman" w:hAnsi="Times New Roman" w:cs="Times New Roman"/>
        </w:rPr>
      </w:pPr>
      <w:r w:rsidRPr="0051610B">
        <w:rPr>
          <w:rStyle w:val="FootnoteReference"/>
          <w:rFonts w:ascii="Times New Roman" w:hAnsi="Times New Roman" w:cs="Times New Roman"/>
        </w:rPr>
        <w:footnoteRef/>
      </w:r>
      <w:r w:rsidRPr="0051610B">
        <w:rPr>
          <w:rFonts w:ascii="Times New Roman" w:hAnsi="Times New Roman" w:cs="Times New Roman"/>
        </w:rPr>
        <w:t xml:space="preserve"> </w:t>
      </w:r>
      <w:r w:rsidRPr="0051610B">
        <w:rPr>
          <w:rFonts w:ascii="Times New Roman" w:hAnsi="Times New Roman" w:cs="Times New Roman"/>
          <w:i/>
          <w:iCs/>
        </w:rPr>
        <w:t>See</w:t>
      </w:r>
      <w:r w:rsidRPr="0051610B">
        <w:rPr>
          <w:rFonts w:ascii="Times New Roman" w:hAnsi="Times New Roman" w:cs="Times New Roman"/>
        </w:rPr>
        <w:t xml:space="preserve"> Footnote </w:t>
      </w:r>
      <w:r w:rsidR="00750DA7" w:rsidRPr="0051610B">
        <w:rPr>
          <w:rFonts w:ascii="Times New Roman" w:hAnsi="Times New Roman" w:cs="Times New Roman"/>
        </w:rPr>
        <w:t>2.</w:t>
      </w:r>
      <w:r w:rsidRPr="0051610B">
        <w:rPr>
          <w:rFonts w:ascii="Times New Roman" w:hAnsi="Times New Roman" w:cs="Times New Roman"/>
        </w:rPr>
        <w:t xml:space="preserve"> </w:t>
      </w:r>
    </w:p>
  </w:footnote>
  <w:footnote w:id="6">
    <w:p w14:paraId="59BDE95C" w14:textId="56ED0B16" w:rsidR="004E3354" w:rsidRDefault="004E3354">
      <w:pPr>
        <w:pStyle w:val="FootnoteText"/>
      </w:pPr>
      <w:r w:rsidRPr="0051610B">
        <w:rPr>
          <w:rStyle w:val="FootnoteReference"/>
          <w:rFonts w:ascii="Times New Roman" w:hAnsi="Times New Roman" w:cs="Times New Roman"/>
        </w:rPr>
        <w:footnoteRef/>
      </w:r>
      <w:r w:rsidRPr="0051610B">
        <w:rPr>
          <w:rFonts w:ascii="Times New Roman" w:hAnsi="Times New Roman" w:cs="Times New Roman"/>
        </w:rPr>
        <w:t xml:space="preserve"> Reflecting adjustments to reallocate $7,335,836 as described in </w:t>
      </w:r>
      <w:r w:rsidRPr="0051610B">
        <w:rPr>
          <w:rFonts w:ascii="Times New Roman" w:hAnsi="Times New Roman" w:cs="Times New Roman"/>
          <w:i/>
          <w:iCs/>
        </w:rPr>
        <w:t>Footnote 2</w:t>
      </w:r>
      <w:r w:rsidRPr="0051610B">
        <w:rPr>
          <w:rFonts w:ascii="Times New Roman" w:hAnsi="Times New Roman" w:cs="Times New Roman"/>
        </w:rPr>
        <w:t xml:space="preserve"> and the addition of $73,546 in further identified unspent MCE</w:t>
      </w:r>
      <w:r w:rsidR="0051610B" w:rsidRPr="0051610B">
        <w:rPr>
          <w:rFonts w:ascii="Times New Roman" w:hAnsi="Times New Roman" w:cs="Times New Roman"/>
        </w:rPr>
        <w:t xml:space="preserve"> for a total of $7,409,382.</w:t>
      </w:r>
      <w:r w:rsidR="0051610B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CA6A" w14:textId="77777777" w:rsidR="00F315BE" w:rsidRDefault="00000000">
    <w:pPr>
      <w:pStyle w:val="Header"/>
    </w:pPr>
    <w:r>
      <w:rPr>
        <w:noProof/>
      </w:rPr>
      <w:pict w14:anchorId="03945F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926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77BC" w14:textId="77777777" w:rsidR="00F315BE" w:rsidRDefault="00000000">
    <w:pPr>
      <w:pStyle w:val="Header"/>
    </w:pPr>
    <w:r>
      <w:rPr>
        <w:noProof/>
      </w:rPr>
      <w:pict w14:anchorId="56BA17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5749"/>
    <w:multiLevelType w:val="hybridMultilevel"/>
    <w:tmpl w:val="483232B4"/>
    <w:lvl w:ilvl="0" w:tplc="653876F0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37F05"/>
    <w:multiLevelType w:val="hybridMultilevel"/>
    <w:tmpl w:val="BBBC9106"/>
    <w:lvl w:ilvl="0" w:tplc="C6728C7A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71D90"/>
    <w:multiLevelType w:val="hybridMultilevel"/>
    <w:tmpl w:val="B7386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A4EBD"/>
    <w:multiLevelType w:val="hybridMultilevel"/>
    <w:tmpl w:val="C83E6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65115"/>
    <w:multiLevelType w:val="hybridMultilevel"/>
    <w:tmpl w:val="E788E2FC"/>
    <w:lvl w:ilvl="0" w:tplc="7F127B40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802704">
    <w:abstractNumId w:val="3"/>
  </w:num>
  <w:num w:numId="2" w16cid:durableId="1240364452">
    <w:abstractNumId w:val="2"/>
  </w:num>
  <w:num w:numId="3" w16cid:durableId="423648100">
    <w:abstractNumId w:val="1"/>
  </w:num>
  <w:num w:numId="4" w16cid:durableId="324238989">
    <w:abstractNumId w:val="0"/>
  </w:num>
  <w:num w:numId="5" w16cid:durableId="1815295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DCB"/>
    <w:rsid w:val="0000218B"/>
    <w:rsid w:val="00011B72"/>
    <w:rsid w:val="000126F5"/>
    <w:rsid w:val="000164B3"/>
    <w:rsid w:val="000274C5"/>
    <w:rsid w:val="00027D5E"/>
    <w:rsid w:val="00033154"/>
    <w:rsid w:val="000338E4"/>
    <w:rsid w:val="00037935"/>
    <w:rsid w:val="00037A78"/>
    <w:rsid w:val="00042048"/>
    <w:rsid w:val="00044F2C"/>
    <w:rsid w:val="000537DA"/>
    <w:rsid w:val="00057DA4"/>
    <w:rsid w:val="000670E8"/>
    <w:rsid w:val="00076AD9"/>
    <w:rsid w:val="00080E32"/>
    <w:rsid w:val="000879F3"/>
    <w:rsid w:val="00090436"/>
    <w:rsid w:val="000A0E2C"/>
    <w:rsid w:val="000A1DE1"/>
    <w:rsid w:val="000A7EB0"/>
    <w:rsid w:val="000B7238"/>
    <w:rsid w:val="000B7D96"/>
    <w:rsid w:val="000C0274"/>
    <w:rsid w:val="000C2E20"/>
    <w:rsid w:val="000C3418"/>
    <w:rsid w:val="000C3AFB"/>
    <w:rsid w:val="000D10A3"/>
    <w:rsid w:val="000D73A1"/>
    <w:rsid w:val="000E0395"/>
    <w:rsid w:val="000E2017"/>
    <w:rsid w:val="000E596D"/>
    <w:rsid w:val="000F1421"/>
    <w:rsid w:val="000F1EE7"/>
    <w:rsid w:val="000F315B"/>
    <w:rsid w:val="000F4DD8"/>
    <w:rsid w:val="000F5BE1"/>
    <w:rsid w:val="00106480"/>
    <w:rsid w:val="00112295"/>
    <w:rsid w:val="001125C0"/>
    <w:rsid w:val="00113303"/>
    <w:rsid w:val="00136B8C"/>
    <w:rsid w:val="0015268B"/>
    <w:rsid w:val="00156FB8"/>
    <w:rsid w:val="0015709E"/>
    <w:rsid w:val="0016020B"/>
    <w:rsid w:val="00171E37"/>
    <w:rsid w:val="00172E70"/>
    <w:rsid w:val="00174C0D"/>
    <w:rsid w:val="0017749A"/>
    <w:rsid w:val="00177C77"/>
    <w:rsid w:val="001848F7"/>
    <w:rsid w:val="001A1314"/>
    <w:rsid w:val="001A6CA8"/>
    <w:rsid w:val="001A7E66"/>
    <w:rsid w:val="001A7FAB"/>
    <w:rsid w:val="001B13F1"/>
    <w:rsid w:val="001B1B71"/>
    <w:rsid w:val="001B36A8"/>
    <w:rsid w:val="001B3876"/>
    <w:rsid w:val="001B6693"/>
    <w:rsid w:val="001C373F"/>
    <w:rsid w:val="001C41AC"/>
    <w:rsid w:val="001C7959"/>
    <w:rsid w:val="001D0956"/>
    <w:rsid w:val="001D3008"/>
    <w:rsid w:val="001D4E5E"/>
    <w:rsid w:val="001D54D0"/>
    <w:rsid w:val="001D6485"/>
    <w:rsid w:val="001D7ECB"/>
    <w:rsid w:val="001E7510"/>
    <w:rsid w:val="001F7041"/>
    <w:rsid w:val="002130B6"/>
    <w:rsid w:val="0021698C"/>
    <w:rsid w:val="00216E16"/>
    <w:rsid w:val="00217787"/>
    <w:rsid w:val="00217DE2"/>
    <w:rsid w:val="00222503"/>
    <w:rsid w:val="00237280"/>
    <w:rsid w:val="0024241B"/>
    <w:rsid w:val="00252CD6"/>
    <w:rsid w:val="002568FF"/>
    <w:rsid w:val="00260D54"/>
    <w:rsid w:val="002626BF"/>
    <w:rsid w:val="00263230"/>
    <w:rsid w:val="00276957"/>
    <w:rsid w:val="00276DCC"/>
    <w:rsid w:val="00281CC8"/>
    <w:rsid w:val="00285511"/>
    <w:rsid w:val="0029018A"/>
    <w:rsid w:val="0029662E"/>
    <w:rsid w:val="002A08D9"/>
    <w:rsid w:val="002A132F"/>
    <w:rsid w:val="002B0E8B"/>
    <w:rsid w:val="002B14EF"/>
    <w:rsid w:val="002B5F20"/>
    <w:rsid w:val="002C2B82"/>
    <w:rsid w:val="002C3A95"/>
    <w:rsid w:val="002C6551"/>
    <w:rsid w:val="002D1C21"/>
    <w:rsid w:val="002E65EF"/>
    <w:rsid w:val="002E7A70"/>
    <w:rsid w:val="002F0133"/>
    <w:rsid w:val="00300D6A"/>
    <w:rsid w:val="00301022"/>
    <w:rsid w:val="00302CFA"/>
    <w:rsid w:val="00307846"/>
    <w:rsid w:val="00311556"/>
    <w:rsid w:val="00311604"/>
    <w:rsid w:val="00311AF0"/>
    <w:rsid w:val="00314DB9"/>
    <w:rsid w:val="00316A3D"/>
    <w:rsid w:val="003253DB"/>
    <w:rsid w:val="0032540D"/>
    <w:rsid w:val="003265D9"/>
    <w:rsid w:val="003307A4"/>
    <w:rsid w:val="00332CEB"/>
    <w:rsid w:val="00345F23"/>
    <w:rsid w:val="00354FB5"/>
    <w:rsid w:val="0035565C"/>
    <w:rsid w:val="00356F39"/>
    <w:rsid w:val="00357A68"/>
    <w:rsid w:val="00357DD9"/>
    <w:rsid w:val="00362651"/>
    <w:rsid w:val="00365317"/>
    <w:rsid w:val="003654AE"/>
    <w:rsid w:val="003728CE"/>
    <w:rsid w:val="00373DF8"/>
    <w:rsid w:val="00375EAD"/>
    <w:rsid w:val="00383164"/>
    <w:rsid w:val="00385812"/>
    <w:rsid w:val="00392D0B"/>
    <w:rsid w:val="003A4EB4"/>
    <w:rsid w:val="003A693E"/>
    <w:rsid w:val="003A7AFC"/>
    <w:rsid w:val="003B0BCB"/>
    <w:rsid w:val="003B3B93"/>
    <w:rsid w:val="003C1C76"/>
    <w:rsid w:val="003C20F8"/>
    <w:rsid w:val="003C27A6"/>
    <w:rsid w:val="003C362A"/>
    <w:rsid w:val="003C60EF"/>
    <w:rsid w:val="003D0AC3"/>
    <w:rsid w:val="003D561C"/>
    <w:rsid w:val="003D75E8"/>
    <w:rsid w:val="003F2270"/>
    <w:rsid w:val="00417508"/>
    <w:rsid w:val="0043536D"/>
    <w:rsid w:val="0044347A"/>
    <w:rsid w:val="00466361"/>
    <w:rsid w:val="0046718C"/>
    <w:rsid w:val="004813AC"/>
    <w:rsid w:val="0049134B"/>
    <w:rsid w:val="004A10D5"/>
    <w:rsid w:val="004B37A0"/>
    <w:rsid w:val="004B5CFB"/>
    <w:rsid w:val="004C4106"/>
    <w:rsid w:val="004D6B39"/>
    <w:rsid w:val="004E0C3F"/>
    <w:rsid w:val="004E3354"/>
    <w:rsid w:val="004F7A25"/>
    <w:rsid w:val="005034B8"/>
    <w:rsid w:val="00507453"/>
    <w:rsid w:val="00507FB2"/>
    <w:rsid w:val="00510751"/>
    <w:rsid w:val="00511545"/>
    <w:rsid w:val="00512956"/>
    <w:rsid w:val="0051610B"/>
    <w:rsid w:val="0052645F"/>
    <w:rsid w:val="00530145"/>
    <w:rsid w:val="00531753"/>
    <w:rsid w:val="005448AA"/>
    <w:rsid w:val="005505C9"/>
    <w:rsid w:val="00554BC9"/>
    <w:rsid w:val="00561CC8"/>
    <w:rsid w:val="0056322B"/>
    <w:rsid w:val="00564547"/>
    <w:rsid w:val="0056573A"/>
    <w:rsid w:val="00572A6E"/>
    <w:rsid w:val="00574612"/>
    <w:rsid w:val="00590D06"/>
    <w:rsid w:val="00593B6D"/>
    <w:rsid w:val="005948D6"/>
    <w:rsid w:val="005A2C17"/>
    <w:rsid w:val="005A636D"/>
    <w:rsid w:val="005B2FDA"/>
    <w:rsid w:val="005C1F2A"/>
    <w:rsid w:val="005D00DB"/>
    <w:rsid w:val="005D52D0"/>
    <w:rsid w:val="005E28FF"/>
    <w:rsid w:val="005E79FC"/>
    <w:rsid w:val="005F2EC4"/>
    <w:rsid w:val="005F5EAF"/>
    <w:rsid w:val="005F7226"/>
    <w:rsid w:val="00606820"/>
    <w:rsid w:val="00610AD7"/>
    <w:rsid w:val="0062355A"/>
    <w:rsid w:val="00623FB1"/>
    <w:rsid w:val="006253DF"/>
    <w:rsid w:val="00633A71"/>
    <w:rsid w:val="00643976"/>
    <w:rsid w:val="00645912"/>
    <w:rsid w:val="00651D88"/>
    <w:rsid w:val="00653F94"/>
    <w:rsid w:val="00665796"/>
    <w:rsid w:val="006817C3"/>
    <w:rsid w:val="00684162"/>
    <w:rsid w:val="00687125"/>
    <w:rsid w:val="0069148F"/>
    <w:rsid w:val="006923B4"/>
    <w:rsid w:val="00693419"/>
    <w:rsid w:val="00695080"/>
    <w:rsid w:val="006B1201"/>
    <w:rsid w:val="006B56F1"/>
    <w:rsid w:val="006C19D5"/>
    <w:rsid w:val="006C1A6D"/>
    <w:rsid w:val="006C415D"/>
    <w:rsid w:val="006D06D9"/>
    <w:rsid w:val="006D152A"/>
    <w:rsid w:val="006D77A6"/>
    <w:rsid w:val="006E478A"/>
    <w:rsid w:val="006E7679"/>
    <w:rsid w:val="006F51FB"/>
    <w:rsid w:val="006F60DB"/>
    <w:rsid w:val="006F7C9C"/>
    <w:rsid w:val="007008DD"/>
    <w:rsid w:val="00702109"/>
    <w:rsid w:val="0070531F"/>
    <w:rsid w:val="00707951"/>
    <w:rsid w:val="007104CF"/>
    <w:rsid w:val="00710DB6"/>
    <w:rsid w:val="007210FB"/>
    <w:rsid w:val="00723E09"/>
    <w:rsid w:val="0072610D"/>
    <w:rsid w:val="007350D2"/>
    <w:rsid w:val="007359C3"/>
    <w:rsid w:val="007373B4"/>
    <w:rsid w:val="00750DA7"/>
    <w:rsid w:val="00757006"/>
    <w:rsid w:val="00764E62"/>
    <w:rsid w:val="0076630B"/>
    <w:rsid w:val="00771A02"/>
    <w:rsid w:val="00771FEB"/>
    <w:rsid w:val="0077411B"/>
    <w:rsid w:val="00780832"/>
    <w:rsid w:val="007808AE"/>
    <w:rsid w:val="007A5E66"/>
    <w:rsid w:val="007B3F4B"/>
    <w:rsid w:val="007B661F"/>
    <w:rsid w:val="007B7347"/>
    <w:rsid w:val="007C35E0"/>
    <w:rsid w:val="007C4639"/>
    <w:rsid w:val="007C5751"/>
    <w:rsid w:val="007C7D02"/>
    <w:rsid w:val="007D10F3"/>
    <w:rsid w:val="007D1D51"/>
    <w:rsid w:val="007D6073"/>
    <w:rsid w:val="007E06B4"/>
    <w:rsid w:val="007E1C4B"/>
    <w:rsid w:val="007E216E"/>
    <w:rsid w:val="007E5A49"/>
    <w:rsid w:val="007E60FC"/>
    <w:rsid w:val="007F32D7"/>
    <w:rsid w:val="007F3CDB"/>
    <w:rsid w:val="00802852"/>
    <w:rsid w:val="00815967"/>
    <w:rsid w:val="0081770C"/>
    <w:rsid w:val="00820AA3"/>
    <w:rsid w:val="00846740"/>
    <w:rsid w:val="00846B30"/>
    <w:rsid w:val="0084743A"/>
    <w:rsid w:val="00847DD8"/>
    <w:rsid w:val="00850407"/>
    <w:rsid w:val="00861ADC"/>
    <w:rsid w:val="00867F41"/>
    <w:rsid w:val="0087234F"/>
    <w:rsid w:val="00880AD0"/>
    <w:rsid w:val="00882A0B"/>
    <w:rsid w:val="0088305B"/>
    <w:rsid w:val="008872B1"/>
    <w:rsid w:val="008A1708"/>
    <w:rsid w:val="008A3E8B"/>
    <w:rsid w:val="008A464E"/>
    <w:rsid w:val="008A5C39"/>
    <w:rsid w:val="008B425A"/>
    <w:rsid w:val="008C0535"/>
    <w:rsid w:val="008C1D65"/>
    <w:rsid w:val="008C2398"/>
    <w:rsid w:val="008C2C1C"/>
    <w:rsid w:val="008F7871"/>
    <w:rsid w:val="009010D1"/>
    <w:rsid w:val="00901E5D"/>
    <w:rsid w:val="00902FEA"/>
    <w:rsid w:val="00916BF3"/>
    <w:rsid w:val="0092482B"/>
    <w:rsid w:val="00932B72"/>
    <w:rsid w:val="00943FC2"/>
    <w:rsid w:val="0094437E"/>
    <w:rsid w:val="0095057B"/>
    <w:rsid w:val="00951305"/>
    <w:rsid w:val="00964574"/>
    <w:rsid w:val="0096466F"/>
    <w:rsid w:val="0096568C"/>
    <w:rsid w:val="00970505"/>
    <w:rsid w:val="00971183"/>
    <w:rsid w:val="009730E5"/>
    <w:rsid w:val="0098123F"/>
    <w:rsid w:val="00983933"/>
    <w:rsid w:val="009908FF"/>
    <w:rsid w:val="00994162"/>
    <w:rsid w:val="00995505"/>
    <w:rsid w:val="00995AAD"/>
    <w:rsid w:val="009A0EA3"/>
    <w:rsid w:val="009A275B"/>
    <w:rsid w:val="009B7BF8"/>
    <w:rsid w:val="009C19C0"/>
    <w:rsid w:val="009C4428"/>
    <w:rsid w:val="009C501F"/>
    <w:rsid w:val="009C79BE"/>
    <w:rsid w:val="009D48CD"/>
    <w:rsid w:val="009E30B2"/>
    <w:rsid w:val="009E4739"/>
    <w:rsid w:val="009F0E76"/>
    <w:rsid w:val="009F6021"/>
    <w:rsid w:val="00A0688D"/>
    <w:rsid w:val="00A13AE9"/>
    <w:rsid w:val="00A211E0"/>
    <w:rsid w:val="00A30254"/>
    <w:rsid w:val="00A302EA"/>
    <w:rsid w:val="00A3058A"/>
    <w:rsid w:val="00A332B4"/>
    <w:rsid w:val="00A33377"/>
    <w:rsid w:val="00A5547C"/>
    <w:rsid w:val="00A64BBC"/>
    <w:rsid w:val="00A65101"/>
    <w:rsid w:val="00A67398"/>
    <w:rsid w:val="00A75595"/>
    <w:rsid w:val="00A76AB3"/>
    <w:rsid w:val="00A87BFF"/>
    <w:rsid w:val="00A91851"/>
    <w:rsid w:val="00A93A3A"/>
    <w:rsid w:val="00A95722"/>
    <w:rsid w:val="00AA1286"/>
    <w:rsid w:val="00AA173A"/>
    <w:rsid w:val="00AB6FC3"/>
    <w:rsid w:val="00AD0140"/>
    <w:rsid w:val="00AD3AB1"/>
    <w:rsid w:val="00AE5B9D"/>
    <w:rsid w:val="00AF07EE"/>
    <w:rsid w:val="00AF4C02"/>
    <w:rsid w:val="00AF5A52"/>
    <w:rsid w:val="00AF75D2"/>
    <w:rsid w:val="00AF7A91"/>
    <w:rsid w:val="00B05783"/>
    <w:rsid w:val="00B16401"/>
    <w:rsid w:val="00B16EE8"/>
    <w:rsid w:val="00B172FB"/>
    <w:rsid w:val="00B24F14"/>
    <w:rsid w:val="00B403BF"/>
    <w:rsid w:val="00B40B7D"/>
    <w:rsid w:val="00B5109B"/>
    <w:rsid w:val="00B5132D"/>
    <w:rsid w:val="00B52F3C"/>
    <w:rsid w:val="00B5596B"/>
    <w:rsid w:val="00B608D9"/>
    <w:rsid w:val="00B6369C"/>
    <w:rsid w:val="00B72F22"/>
    <w:rsid w:val="00B84BEE"/>
    <w:rsid w:val="00B91839"/>
    <w:rsid w:val="00BA15C5"/>
    <w:rsid w:val="00BA3AEF"/>
    <w:rsid w:val="00BA4055"/>
    <w:rsid w:val="00BA7FB6"/>
    <w:rsid w:val="00BB1741"/>
    <w:rsid w:val="00BB75B6"/>
    <w:rsid w:val="00BD3A94"/>
    <w:rsid w:val="00BE2760"/>
    <w:rsid w:val="00BE429B"/>
    <w:rsid w:val="00BF0598"/>
    <w:rsid w:val="00BF0654"/>
    <w:rsid w:val="00BF3F9E"/>
    <w:rsid w:val="00C0223B"/>
    <w:rsid w:val="00C05F93"/>
    <w:rsid w:val="00C1525E"/>
    <w:rsid w:val="00C20BFE"/>
    <w:rsid w:val="00C23E11"/>
    <w:rsid w:val="00C31928"/>
    <w:rsid w:val="00C342FB"/>
    <w:rsid w:val="00C36927"/>
    <w:rsid w:val="00C37D3E"/>
    <w:rsid w:val="00C46D29"/>
    <w:rsid w:val="00C51E3B"/>
    <w:rsid w:val="00C54471"/>
    <w:rsid w:val="00C54F34"/>
    <w:rsid w:val="00C7011B"/>
    <w:rsid w:val="00C76595"/>
    <w:rsid w:val="00C8547E"/>
    <w:rsid w:val="00CA023C"/>
    <w:rsid w:val="00CA3BA6"/>
    <w:rsid w:val="00CB5231"/>
    <w:rsid w:val="00CB7D3C"/>
    <w:rsid w:val="00CC1778"/>
    <w:rsid w:val="00CC69FB"/>
    <w:rsid w:val="00CD60E4"/>
    <w:rsid w:val="00CD6C12"/>
    <w:rsid w:val="00CE575B"/>
    <w:rsid w:val="00CF2699"/>
    <w:rsid w:val="00CF3DE8"/>
    <w:rsid w:val="00D04475"/>
    <w:rsid w:val="00D0493F"/>
    <w:rsid w:val="00D10DDE"/>
    <w:rsid w:val="00D112C7"/>
    <w:rsid w:val="00D253AE"/>
    <w:rsid w:val="00D35129"/>
    <w:rsid w:val="00D37324"/>
    <w:rsid w:val="00D37A89"/>
    <w:rsid w:val="00D447BC"/>
    <w:rsid w:val="00D46CC4"/>
    <w:rsid w:val="00D47EF1"/>
    <w:rsid w:val="00D510B0"/>
    <w:rsid w:val="00D56F91"/>
    <w:rsid w:val="00D57DAC"/>
    <w:rsid w:val="00D6378A"/>
    <w:rsid w:val="00D64BE9"/>
    <w:rsid w:val="00D67ABF"/>
    <w:rsid w:val="00D76119"/>
    <w:rsid w:val="00D81900"/>
    <w:rsid w:val="00D85889"/>
    <w:rsid w:val="00D8671C"/>
    <w:rsid w:val="00D878D6"/>
    <w:rsid w:val="00D91390"/>
    <w:rsid w:val="00D96F1A"/>
    <w:rsid w:val="00DA04A2"/>
    <w:rsid w:val="00DA2E36"/>
    <w:rsid w:val="00DA4573"/>
    <w:rsid w:val="00DA57C3"/>
    <w:rsid w:val="00DA6270"/>
    <w:rsid w:val="00DA7D2F"/>
    <w:rsid w:val="00DB0273"/>
    <w:rsid w:val="00DB2282"/>
    <w:rsid w:val="00DB5ACE"/>
    <w:rsid w:val="00DC3855"/>
    <w:rsid w:val="00DD51DF"/>
    <w:rsid w:val="00DD6C45"/>
    <w:rsid w:val="00DF3A0D"/>
    <w:rsid w:val="00DF5898"/>
    <w:rsid w:val="00E066CB"/>
    <w:rsid w:val="00E0695E"/>
    <w:rsid w:val="00E1172A"/>
    <w:rsid w:val="00E15234"/>
    <w:rsid w:val="00E159A0"/>
    <w:rsid w:val="00E15C3D"/>
    <w:rsid w:val="00E23CFD"/>
    <w:rsid w:val="00E242A8"/>
    <w:rsid w:val="00E274B8"/>
    <w:rsid w:val="00E275E7"/>
    <w:rsid w:val="00E27CDC"/>
    <w:rsid w:val="00E3506A"/>
    <w:rsid w:val="00E41A08"/>
    <w:rsid w:val="00E5675D"/>
    <w:rsid w:val="00E673DA"/>
    <w:rsid w:val="00E72707"/>
    <w:rsid w:val="00E814A1"/>
    <w:rsid w:val="00E92038"/>
    <w:rsid w:val="00EA07E6"/>
    <w:rsid w:val="00EA0F95"/>
    <w:rsid w:val="00EA25BF"/>
    <w:rsid w:val="00EA59D6"/>
    <w:rsid w:val="00EA6F04"/>
    <w:rsid w:val="00EB330B"/>
    <w:rsid w:val="00EC2577"/>
    <w:rsid w:val="00EC6033"/>
    <w:rsid w:val="00ED6248"/>
    <w:rsid w:val="00EE3732"/>
    <w:rsid w:val="00EE3767"/>
    <w:rsid w:val="00EF0780"/>
    <w:rsid w:val="00EF0E6D"/>
    <w:rsid w:val="00EF66CB"/>
    <w:rsid w:val="00F0586E"/>
    <w:rsid w:val="00F066D9"/>
    <w:rsid w:val="00F23D37"/>
    <w:rsid w:val="00F315BE"/>
    <w:rsid w:val="00F323A8"/>
    <w:rsid w:val="00F36E5B"/>
    <w:rsid w:val="00F43932"/>
    <w:rsid w:val="00F577BE"/>
    <w:rsid w:val="00F63E64"/>
    <w:rsid w:val="00F662EB"/>
    <w:rsid w:val="00F70173"/>
    <w:rsid w:val="00F92F17"/>
    <w:rsid w:val="00F939B8"/>
    <w:rsid w:val="00F93C18"/>
    <w:rsid w:val="00F94C92"/>
    <w:rsid w:val="00FA433B"/>
    <w:rsid w:val="00FA5144"/>
    <w:rsid w:val="00FA575E"/>
    <w:rsid w:val="00FB4086"/>
    <w:rsid w:val="00FC6B42"/>
    <w:rsid w:val="00FD08CE"/>
    <w:rsid w:val="00FD446D"/>
    <w:rsid w:val="00FE23F8"/>
    <w:rsid w:val="0155D593"/>
    <w:rsid w:val="024AC544"/>
    <w:rsid w:val="0275846E"/>
    <w:rsid w:val="0376864D"/>
    <w:rsid w:val="03B2E4C9"/>
    <w:rsid w:val="03EB654A"/>
    <w:rsid w:val="04533D53"/>
    <w:rsid w:val="05414D54"/>
    <w:rsid w:val="054E2AA4"/>
    <w:rsid w:val="0555E167"/>
    <w:rsid w:val="06246130"/>
    <w:rsid w:val="08019247"/>
    <w:rsid w:val="0993C649"/>
    <w:rsid w:val="09FD2394"/>
    <w:rsid w:val="0AF72093"/>
    <w:rsid w:val="0BB7C859"/>
    <w:rsid w:val="0BC9E4F8"/>
    <w:rsid w:val="0CFE5818"/>
    <w:rsid w:val="0EBB4991"/>
    <w:rsid w:val="0F61F9C7"/>
    <w:rsid w:val="124C7D80"/>
    <w:rsid w:val="1253C13C"/>
    <w:rsid w:val="15A962E2"/>
    <w:rsid w:val="16A3F35A"/>
    <w:rsid w:val="16CFDEE5"/>
    <w:rsid w:val="18A555FE"/>
    <w:rsid w:val="1A20987A"/>
    <w:rsid w:val="1A99734D"/>
    <w:rsid w:val="1B23D01A"/>
    <w:rsid w:val="206ACC15"/>
    <w:rsid w:val="229613B1"/>
    <w:rsid w:val="23FF4E2F"/>
    <w:rsid w:val="26ED7890"/>
    <w:rsid w:val="274DC7FC"/>
    <w:rsid w:val="29AEB0EE"/>
    <w:rsid w:val="29E33E57"/>
    <w:rsid w:val="2C986C8A"/>
    <w:rsid w:val="2E734A76"/>
    <w:rsid w:val="2EB1D6CF"/>
    <w:rsid w:val="30BC5948"/>
    <w:rsid w:val="329C5E26"/>
    <w:rsid w:val="32B5BE11"/>
    <w:rsid w:val="33956C11"/>
    <w:rsid w:val="34072B98"/>
    <w:rsid w:val="34169ED4"/>
    <w:rsid w:val="387C7B68"/>
    <w:rsid w:val="39EDC2B9"/>
    <w:rsid w:val="3B718F1D"/>
    <w:rsid w:val="3CAC2BB5"/>
    <w:rsid w:val="3D3F44F5"/>
    <w:rsid w:val="3D509825"/>
    <w:rsid w:val="3FF3C230"/>
    <w:rsid w:val="45D1ABE1"/>
    <w:rsid w:val="46C1F0D2"/>
    <w:rsid w:val="470DD5ED"/>
    <w:rsid w:val="4A6CA07B"/>
    <w:rsid w:val="4D48D86D"/>
    <w:rsid w:val="4DC43020"/>
    <w:rsid w:val="4E595AA9"/>
    <w:rsid w:val="508DA4C4"/>
    <w:rsid w:val="5246F037"/>
    <w:rsid w:val="548D4D02"/>
    <w:rsid w:val="54A1D327"/>
    <w:rsid w:val="5AFF6F26"/>
    <w:rsid w:val="5B0A9369"/>
    <w:rsid w:val="5B85406C"/>
    <w:rsid w:val="5BD32F59"/>
    <w:rsid w:val="5C3DA069"/>
    <w:rsid w:val="5C50D236"/>
    <w:rsid w:val="5EFEE4F0"/>
    <w:rsid w:val="5F0C82D4"/>
    <w:rsid w:val="5F33E440"/>
    <w:rsid w:val="5FB006DF"/>
    <w:rsid w:val="60C8C223"/>
    <w:rsid w:val="60E0912F"/>
    <w:rsid w:val="62BEFFFD"/>
    <w:rsid w:val="641DF08C"/>
    <w:rsid w:val="641FBF51"/>
    <w:rsid w:val="646C7424"/>
    <w:rsid w:val="65141192"/>
    <w:rsid w:val="66930454"/>
    <w:rsid w:val="6747C5B2"/>
    <w:rsid w:val="692E6927"/>
    <w:rsid w:val="6A23E03B"/>
    <w:rsid w:val="6C21205B"/>
    <w:rsid w:val="6C8169CA"/>
    <w:rsid w:val="6C8346EC"/>
    <w:rsid w:val="6CDB0D44"/>
    <w:rsid w:val="6DE8181A"/>
    <w:rsid w:val="6E394984"/>
    <w:rsid w:val="757E2F2E"/>
    <w:rsid w:val="7581CC39"/>
    <w:rsid w:val="773E12BB"/>
    <w:rsid w:val="7B2852A3"/>
    <w:rsid w:val="7C01C937"/>
    <w:rsid w:val="7DA516B9"/>
    <w:rsid w:val="7DA68E9D"/>
    <w:rsid w:val="7DBB0B7F"/>
    <w:rsid w:val="7DBFDA2F"/>
    <w:rsid w:val="7E07B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C35FA603-204F-4265-A811-E4423184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paragraph" w:styleId="BodyText">
    <w:name w:val="Body Text"/>
    <w:basedOn w:val="Normal"/>
    <w:link w:val="BodyTextChar"/>
    <w:uiPriority w:val="1"/>
    <w:qFormat/>
    <w:rsid w:val="004F7A25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7A2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7A2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E67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73DA"/>
    <w:pPr>
      <w:widowControl w:val="0"/>
      <w:autoSpaceDE w:val="0"/>
      <w:autoSpaceDN w:val="0"/>
    </w:pPr>
    <w:rPr>
      <w:rFonts w:ascii="Calibri" w:eastAsia="Calibri" w:hAnsi="Calibri" w:cs="Calibri"/>
      <w:sz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3DA"/>
    <w:rPr>
      <w:rFonts w:ascii="Calibri" w:eastAsia="Calibri" w:hAnsi="Calibri" w:cs="Calibri"/>
      <w:lang w:bidi="en-US"/>
    </w:rPr>
  </w:style>
  <w:style w:type="paragraph" w:styleId="FootnoteText">
    <w:name w:val="footnote text"/>
    <w:basedOn w:val="Normal"/>
    <w:link w:val="FootnoteTextChar"/>
    <w:uiPriority w:val="99"/>
    <w:unhideWhenUsed/>
    <w:rsid w:val="00E673DA"/>
    <w:pPr>
      <w:widowControl w:val="0"/>
      <w:autoSpaceDE w:val="0"/>
      <w:autoSpaceDN w:val="0"/>
    </w:pPr>
    <w:rPr>
      <w:rFonts w:ascii="Calibri" w:eastAsia="Calibri" w:hAnsi="Calibri" w:cs="Calibri"/>
      <w:sz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73DA"/>
    <w:rPr>
      <w:rFonts w:ascii="Calibri" w:eastAsia="Calibri" w:hAnsi="Calibri" w:cs="Calibri"/>
      <w:lang w:bidi="en-US"/>
    </w:rPr>
  </w:style>
  <w:style w:type="character" w:styleId="FootnoteReference">
    <w:name w:val="footnote reference"/>
    <w:basedOn w:val="DefaultParagraphFont"/>
    <w:uiPriority w:val="99"/>
    <w:unhideWhenUsed/>
    <w:rsid w:val="00E673DA"/>
    <w:rPr>
      <w:vertAlign w:val="superscript"/>
    </w:rPr>
  </w:style>
  <w:style w:type="table" w:styleId="TableGrid">
    <w:name w:val="Table Grid"/>
    <w:basedOn w:val="TableNormal"/>
    <w:uiPriority w:val="59"/>
    <w:unhideWhenUsed/>
    <w:rsid w:val="00E673D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E673DA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0DA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E3506A"/>
    <w:pPr>
      <w:widowControl/>
      <w:autoSpaceDE/>
      <w:autoSpaceDN/>
    </w:pPr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rsid w:val="00E3506A"/>
    <w:rPr>
      <w:rFonts w:ascii="Calibri" w:eastAsia="Calibri" w:hAnsi="Calibri" w:cs="Calibri"/>
      <w:b/>
      <w:bCs/>
      <w:lang w:bidi="en-US"/>
    </w:rPr>
  </w:style>
  <w:style w:type="paragraph" w:styleId="Header">
    <w:name w:val="header"/>
    <w:basedOn w:val="Normal"/>
    <w:link w:val="HeaderChar"/>
    <w:rsid w:val="00302C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02CFA"/>
    <w:rPr>
      <w:sz w:val="24"/>
    </w:rPr>
  </w:style>
  <w:style w:type="paragraph" w:styleId="Footer">
    <w:name w:val="footer"/>
    <w:basedOn w:val="Normal"/>
    <w:link w:val="FooterChar"/>
    <w:uiPriority w:val="99"/>
    <w:rsid w:val="00302C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CF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rystal.bloom@huschblackwell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F220C6-C61C-499B-85D7-C1A48ADFE6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37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Marks, Brett (DPH)</cp:lastModifiedBy>
  <cp:revision>7</cp:revision>
  <cp:lastPrinted>2015-01-29T14:50:00Z</cp:lastPrinted>
  <dcterms:created xsi:type="dcterms:W3CDTF">2025-12-18T20:33:00Z</dcterms:created>
  <dcterms:modified xsi:type="dcterms:W3CDTF">2025-12-22T14:33:00Z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