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09" w:rsidRDefault="00B62509">
      <w:pPr>
        <w:jc w:val="center"/>
        <w:rPr>
          <w:rFonts w:ascii="Garamond" w:eastAsia="Garamond" w:hAnsi="Garamond" w:cs="Garamond"/>
          <w:b/>
        </w:rPr>
      </w:pPr>
    </w:p>
    <w:p w:rsidR="00B62509" w:rsidRDefault="000D5487">
      <w:pPr>
        <w:jc w:val="center"/>
        <w:rPr>
          <w:b/>
        </w:rPr>
      </w:pPr>
      <w:r>
        <w:rPr>
          <w:b/>
        </w:rPr>
        <w:t>APPLICANT QUESTIONS</w:t>
      </w:r>
    </w:p>
    <w:p w:rsidR="00B62509" w:rsidRDefault="000D5487">
      <w:pPr>
        <w:jc w:val="center"/>
      </w:pPr>
      <w:r>
        <w:rPr>
          <w:i/>
        </w:rPr>
        <w:t xml:space="preserve">Responses should be sent to </w:t>
      </w:r>
      <w:proofErr w:type="spellStart"/>
      <w:r>
        <w:rPr>
          <w:i/>
        </w:rPr>
        <w:t>DoN</w:t>
      </w:r>
      <w:proofErr w:type="spellEnd"/>
      <w:r>
        <w:rPr>
          <w:i/>
        </w:rPr>
        <w:t xml:space="preserve"> staff at </w:t>
      </w:r>
      <w:hyperlink r:id="rId8">
        <w:r>
          <w:rPr>
            <w:color w:val="0563C1"/>
            <w:u w:val="single"/>
          </w:rPr>
          <w:t>DPH.DON@State.MA.US</w:t>
        </w:r>
      </w:hyperlink>
    </w:p>
    <w:tbl>
      <w:tblPr>
        <w:tblStyle w:val="a"/>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Instructions"/>
        <w:tblDescription w:val="While you may submit each answer as available, please &#10;● List question number and question for each answer you provide &#10;● Submit responses as a separate word document, using the above application title and number as a running header and page numbers in the footer &#10;● When providing the answer to the final question, submit all questions and answers in one final document &#10;● Whenever possible, include a table with the response&#10;● Responses must be available in PDF and source document (Excel preferred for data and Word for narrative).&#10;"/>
      </w:tblPr>
      <w:tblGrid>
        <w:gridCol w:w="9350"/>
      </w:tblGrid>
      <w:tr w:rsidR="00B62509" w:rsidTr="002B4E15">
        <w:trPr>
          <w:tblHeader/>
          <w:jc w:val="center"/>
        </w:trPr>
        <w:tc>
          <w:tcPr>
            <w:tcW w:w="9350" w:type="dxa"/>
          </w:tcPr>
          <w:p w:rsidR="00B62509" w:rsidRDefault="000D5487">
            <w:r>
              <w:t xml:space="preserve">While you may submit each answer as available, please </w:t>
            </w:r>
          </w:p>
          <w:p w:rsidR="00B62509" w:rsidRDefault="000D5487">
            <w:pPr>
              <w:numPr>
                <w:ilvl w:val="0"/>
                <w:numId w:val="1"/>
              </w:numPr>
              <w:pBdr>
                <w:top w:val="nil"/>
                <w:left w:val="nil"/>
                <w:bottom w:val="nil"/>
                <w:right w:val="nil"/>
                <w:between w:val="nil"/>
              </w:pBdr>
              <w:spacing w:line="259" w:lineRule="auto"/>
              <w:rPr>
                <w:color w:val="000000"/>
              </w:rPr>
            </w:pPr>
            <w:r>
              <w:rPr>
                <w:color w:val="000000"/>
              </w:rPr>
              <w:t xml:space="preserve">List question number and question for each answer you provide </w:t>
            </w:r>
          </w:p>
          <w:p w:rsidR="00B62509" w:rsidRDefault="000D5487">
            <w:pPr>
              <w:numPr>
                <w:ilvl w:val="0"/>
                <w:numId w:val="1"/>
              </w:numPr>
              <w:pBdr>
                <w:top w:val="nil"/>
                <w:left w:val="nil"/>
                <w:bottom w:val="nil"/>
                <w:right w:val="nil"/>
                <w:between w:val="nil"/>
              </w:pBdr>
              <w:spacing w:line="259" w:lineRule="auto"/>
              <w:rPr>
                <w:color w:val="000000"/>
              </w:rPr>
            </w:pPr>
            <w:r>
              <w:rPr>
                <w:color w:val="000000"/>
              </w:rPr>
              <w:t xml:space="preserve">Submit responses as a separate word document, using the above application title and number as a running header and page numbers in the footer </w:t>
            </w:r>
          </w:p>
          <w:p w:rsidR="00B62509" w:rsidRDefault="000D5487">
            <w:pPr>
              <w:numPr>
                <w:ilvl w:val="0"/>
                <w:numId w:val="1"/>
              </w:numPr>
              <w:pBdr>
                <w:top w:val="nil"/>
                <w:left w:val="nil"/>
                <w:bottom w:val="nil"/>
                <w:right w:val="nil"/>
                <w:between w:val="nil"/>
              </w:pBdr>
              <w:spacing w:line="259" w:lineRule="auto"/>
              <w:rPr>
                <w:color w:val="000000"/>
              </w:rPr>
            </w:pPr>
            <w:r>
              <w:rPr>
                <w:color w:val="000000"/>
              </w:rPr>
              <w:t xml:space="preserve">When providing the answer to the final question, submit all questions and answers in one final document </w:t>
            </w:r>
          </w:p>
          <w:p w:rsidR="00B62509" w:rsidRDefault="000D5487">
            <w:pPr>
              <w:numPr>
                <w:ilvl w:val="0"/>
                <w:numId w:val="1"/>
              </w:numPr>
              <w:pBdr>
                <w:top w:val="nil"/>
                <w:left w:val="nil"/>
                <w:bottom w:val="nil"/>
                <w:right w:val="nil"/>
                <w:between w:val="nil"/>
              </w:pBdr>
              <w:spacing w:line="259" w:lineRule="auto"/>
              <w:rPr>
                <w:color w:val="000000"/>
              </w:rPr>
            </w:pPr>
            <w:r>
              <w:rPr>
                <w:color w:val="000000"/>
              </w:rPr>
              <w:t>Whenever possible, include a table with the response</w:t>
            </w:r>
          </w:p>
          <w:p w:rsidR="00B62509" w:rsidRDefault="000D5487">
            <w:pPr>
              <w:numPr>
                <w:ilvl w:val="0"/>
                <w:numId w:val="1"/>
              </w:numPr>
              <w:pBdr>
                <w:top w:val="nil"/>
                <w:left w:val="nil"/>
                <w:bottom w:val="nil"/>
                <w:right w:val="nil"/>
                <w:between w:val="nil"/>
              </w:pBdr>
              <w:spacing w:after="160" w:line="259" w:lineRule="auto"/>
              <w:rPr>
                <w:b/>
                <w:color w:val="000000"/>
              </w:rPr>
            </w:pPr>
            <w:r>
              <w:rPr>
                <w:color w:val="000000"/>
              </w:rPr>
              <w:t>Responses must be available in PDF and source document (Excel preferred for data and Word for narrative).</w:t>
            </w:r>
          </w:p>
        </w:tc>
      </w:tr>
    </w:tbl>
    <w:p w:rsidR="00B62509" w:rsidRDefault="00B62509">
      <w:pPr>
        <w:spacing w:after="0" w:line="240" w:lineRule="auto"/>
        <w:rPr>
          <w:sz w:val="24"/>
          <w:szCs w:val="24"/>
        </w:rPr>
      </w:pPr>
    </w:p>
    <w:p w:rsidR="00B62509" w:rsidRDefault="000D5487">
      <w:pPr>
        <w:spacing w:after="0" w:line="240" w:lineRule="auto"/>
        <w:ind w:left="720" w:hanging="360"/>
        <w:rPr>
          <w:b/>
          <w:sz w:val="24"/>
          <w:szCs w:val="24"/>
        </w:rPr>
      </w:pPr>
      <w:r>
        <w:rPr>
          <w:b/>
          <w:sz w:val="24"/>
          <w:szCs w:val="24"/>
        </w:rPr>
        <w:t xml:space="preserve">Factor 1a: Patient Panel Need </w:t>
      </w:r>
    </w:p>
    <w:p w:rsidR="00750358" w:rsidRPr="003764F8" w:rsidRDefault="00750358" w:rsidP="00750358">
      <w:pPr>
        <w:pStyle w:val="ListParagraph"/>
        <w:numPr>
          <w:ilvl w:val="0"/>
          <w:numId w:val="10"/>
        </w:numPr>
        <w:spacing w:after="0" w:line="240" w:lineRule="auto"/>
        <w:rPr>
          <w:sz w:val="24"/>
          <w:szCs w:val="24"/>
        </w:rPr>
      </w:pPr>
      <w:r w:rsidRPr="003764F8">
        <w:rPr>
          <w:sz w:val="24"/>
          <w:szCs w:val="24"/>
        </w:rPr>
        <w:t>Provide the APM contract percentage for Heywood Hospital and Athol Hospital using the table provided below</w:t>
      </w:r>
      <w:r>
        <w:rPr>
          <w:sz w:val="24"/>
          <w:szCs w:val="24"/>
        </w:rPr>
        <w:t xml:space="preserve"> for the most recent year available.</w:t>
      </w:r>
      <w:r w:rsidRPr="003764F8">
        <w:rPr>
          <w:sz w:val="24"/>
          <w:szCs w:val="24"/>
        </w:rPr>
        <w:t xml:space="preserve"> Provide a year for the data. </w:t>
      </w:r>
    </w:p>
    <w:tbl>
      <w:tblPr>
        <w:tblpPr w:leftFromText="180" w:rightFromText="180" w:vertAnchor="text" w:horzAnchor="page" w:tblpXSpec="center" w:tblpY="145"/>
        <w:tblW w:w="3305" w:type="dxa"/>
        <w:tblCellMar>
          <w:left w:w="0" w:type="dxa"/>
          <w:right w:w="0" w:type="dxa"/>
        </w:tblCellMar>
        <w:tblLook w:val="04A0" w:firstRow="1" w:lastRow="0" w:firstColumn="1" w:lastColumn="0" w:noHBand="0" w:noVBand="1"/>
      </w:tblPr>
      <w:tblGrid>
        <w:gridCol w:w="3305"/>
      </w:tblGrid>
      <w:tr w:rsidR="00750358" w:rsidRPr="00024DF7" w:rsidTr="00FC20BB">
        <w:trPr>
          <w:trHeight w:val="502"/>
        </w:trPr>
        <w:tc>
          <w:tcPr>
            <w:tcW w:w="3305" w:type="dxa"/>
            <w:tcBorders>
              <w:top w:val="single" w:sz="4" w:space="0" w:color="auto"/>
              <w:left w:val="single" w:sz="4" w:space="0" w:color="auto"/>
              <w:bottom w:val="single" w:sz="4" w:space="0" w:color="auto"/>
              <w:right w:val="single" w:sz="4" w:space="0" w:color="auto"/>
            </w:tcBorders>
          </w:tcPr>
          <w:p w:rsidR="00750358" w:rsidRPr="00024DF7" w:rsidRDefault="00750358" w:rsidP="00FC20BB">
            <w:pPr>
              <w:spacing w:before="100" w:beforeAutospacing="1" w:after="0" w:line="240" w:lineRule="auto"/>
              <w:ind w:left="360"/>
              <w:contextualSpacing/>
              <w:rPr>
                <w:rFonts w:cstheme="minorHAnsi"/>
                <w:b/>
                <w:bCs/>
              </w:rPr>
            </w:pPr>
            <w:r w:rsidRPr="00024DF7">
              <w:rPr>
                <w:rFonts w:cstheme="minorHAnsi"/>
                <w:b/>
                <w:bCs/>
              </w:rPr>
              <w:t>APM Contract</w:t>
            </w:r>
          </w:p>
          <w:p w:rsidR="00750358" w:rsidRPr="00024DF7" w:rsidRDefault="00750358" w:rsidP="00FC20BB">
            <w:pPr>
              <w:spacing w:before="100" w:beforeAutospacing="1" w:after="0" w:line="240" w:lineRule="auto"/>
              <w:ind w:left="360"/>
              <w:contextualSpacing/>
              <w:rPr>
                <w:rFonts w:cstheme="minorHAnsi"/>
                <w:b/>
                <w:bCs/>
              </w:rPr>
            </w:pPr>
            <w:r w:rsidRPr="00024DF7">
              <w:rPr>
                <w:rFonts w:cstheme="minorHAnsi"/>
                <w:b/>
                <w:bCs/>
              </w:rPr>
              <w:t xml:space="preserve">percentages </w:t>
            </w:r>
            <w:r w:rsidRPr="00024DF7">
              <w:rPr>
                <w:rFonts w:cstheme="minorHAnsi"/>
                <w:bCs/>
              </w:rPr>
              <w:t>(for any system-affiliated Primary Care Physicians)</w:t>
            </w:r>
          </w:p>
        </w:tc>
      </w:tr>
      <w:tr w:rsidR="00750358" w:rsidRPr="00024DF7" w:rsidTr="00FC20BB">
        <w:tc>
          <w:tcPr>
            <w:tcW w:w="3305" w:type="dxa"/>
            <w:tcBorders>
              <w:top w:val="single" w:sz="4" w:space="0" w:color="auto"/>
              <w:left w:val="single" w:sz="8" w:space="0" w:color="auto"/>
              <w:bottom w:val="single" w:sz="8" w:space="0" w:color="auto"/>
              <w:right w:val="single" w:sz="8" w:space="0" w:color="auto"/>
            </w:tcBorders>
          </w:tcPr>
          <w:p w:rsidR="00750358" w:rsidRPr="00024DF7" w:rsidRDefault="00750358" w:rsidP="00750358">
            <w:pPr>
              <w:numPr>
                <w:ilvl w:val="0"/>
                <w:numId w:val="9"/>
              </w:numPr>
              <w:spacing w:before="100" w:beforeAutospacing="1" w:after="0" w:line="240" w:lineRule="auto"/>
              <w:contextualSpacing/>
              <w:rPr>
                <w:rFonts w:cstheme="minorHAnsi"/>
              </w:rPr>
            </w:pPr>
            <w:r w:rsidRPr="00024DF7">
              <w:rPr>
                <w:rFonts w:cstheme="minorHAnsi"/>
              </w:rPr>
              <w:t>ACO and APM Contracts</w:t>
            </w:r>
          </w:p>
          <w:p w:rsidR="00750358" w:rsidRPr="00024DF7" w:rsidRDefault="00750358" w:rsidP="00750358">
            <w:pPr>
              <w:numPr>
                <w:ilvl w:val="0"/>
                <w:numId w:val="9"/>
              </w:numPr>
              <w:spacing w:before="100" w:beforeAutospacing="1" w:after="0" w:line="240" w:lineRule="auto"/>
              <w:contextualSpacing/>
              <w:rPr>
                <w:rFonts w:cstheme="minorHAnsi"/>
              </w:rPr>
            </w:pPr>
            <w:r w:rsidRPr="00024DF7">
              <w:rPr>
                <w:rFonts w:cstheme="minorHAnsi"/>
              </w:rPr>
              <w:t>Non-ACO and Non-APM Contracts</w:t>
            </w:r>
          </w:p>
        </w:tc>
      </w:tr>
    </w:tbl>
    <w:p w:rsidR="00750358" w:rsidRDefault="00750358" w:rsidP="00750358">
      <w:pPr>
        <w:spacing w:line="240" w:lineRule="auto"/>
      </w:pPr>
    </w:p>
    <w:p w:rsidR="00750358" w:rsidRDefault="00750358" w:rsidP="00750358">
      <w:pPr>
        <w:spacing w:line="240" w:lineRule="auto"/>
      </w:pPr>
      <w:bookmarkStart w:id="0" w:name="_GoBack"/>
      <w:bookmarkEnd w:id="0"/>
    </w:p>
    <w:p w:rsidR="00750358" w:rsidRDefault="00750358" w:rsidP="00750358">
      <w:pPr>
        <w:spacing w:line="240" w:lineRule="auto"/>
      </w:pPr>
    </w:p>
    <w:p w:rsidR="00750358" w:rsidRDefault="00750358" w:rsidP="00750358">
      <w:pPr>
        <w:spacing w:line="240" w:lineRule="auto"/>
      </w:pPr>
    </w:p>
    <w:p w:rsidR="00750358" w:rsidRPr="00FF3B45" w:rsidRDefault="00750358" w:rsidP="00FF3B45">
      <w:pPr>
        <w:spacing w:line="240" w:lineRule="auto"/>
        <w:rPr>
          <w:sz w:val="24"/>
          <w:szCs w:val="24"/>
        </w:rPr>
      </w:pPr>
    </w:p>
    <w:p w:rsidR="00B62509" w:rsidRPr="00750358" w:rsidRDefault="00750358">
      <w:pPr>
        <w:pBdr>
          <w:top w:val="nil"/>
          <w:left w:val="nil"/>
          <w:bottom w:val="nil"/>
          <w:right w:val="nil"/>
          <w:between w:val="nil"/>
        </w:pBdr>
        <w:spacing w:after="0" w:line="240" w:lineRule="auto"/>
        <w:rPr>
          <w:i/>
          <w:color w:val="0070C0"/>
          <w:sz w:val="24"/>
          <w:szCs w:val="24"/>
        </w:rPr>
      </w:pPr>
      <w:r w:rsidRPr="00750358">
        <w:rPr>
          <w:rFonts w:ascii="Arial" w:hAnsi="Arial" w:cs="Arial"/>
          <w:i/>
          <w:color w:val="0070C0"/>
          <w:sz w:val="24"/>
          <w:szCs w:val="24"/>
          <w:shd w:val="clear" w:color="auto" w:fill="FFFFFF"/>
        </w:rPr>
        <w:t>Heywood Healthcare is currently a partner in the ACO led by UMass Memorial Heal</w:t>
      </w:r>
      <w:r>
        <w:rPr>
          <w:rFonts w:ascii="Arial" w:hAnsi="Arial" w:cs="Arial"/>
          <w:i/>
          <w:color w:val="0070C0"/>
          <w:sz w:val="24"/>
          <w:szCs w:val="24"/>
          <w:shd w:val="clear" w:color="auto" w:fill="FFFFFF"/>
        </w:rPr>
        <w:t>th.</w:t>
      </w:r>
      <w:r w:rsidRPr="00750358">
        <w:rPr>
          <w:rFonts w:ascii="Arial" w:hAnsi="Arial" w:cs="Arial"/>
          <w:i/>
          <w:color w:val="0070C0"/>
          <w:sz w:val="24"/>
          <w:szCs w:val="24"/>
          <w:shd w:val="clear" w:color="auto" w:fill="FFFFFF"/>
        </w:rPr>
        <w:t xml:space="preserve"> However, </w:t>
      </w:r>
      <w:r>
        <w:rPr>
          <w:rFonts w:ascii="Arial" w:hAnsi="Arial" w:cs="Arial"/>
          <w:i/>
          <w:color w:val="0070C0"/>
          <w:sz w:val="24"/>
          <w:szCs w:val="24"/>
          <w:shd w:val="clear" w:color="auto" w:fill="FFFFFF"/>
        </w:rPr>
        <w:t>Heywood is</w:t>
      </w:r>
      <w:r w:rsidRPr="00750358">
        <w:rPr>
          <w:rFonts w:ascii="Arial" w:hAnsi="Arial" w:cs="Arial"/>
          <w:i/>
          <w:color w:val="0070C0"/>
          <w:sz w:val="24"/>
          <w:szCs w:val="24"/>
          <w:shd w:val="clear" w:color="auto" w:fill="FFFFFF"/>
        </w:rPr>
        <w:t xml:space="preserve"> currently not enrolled in any national Alternative Payment Model Programs.</w:t>
      </w:r>
    </w:p>
    <w:p w:rsidR="00750358" w:rsidRDefault="00750358">
      <w:pPr>
        <w:pBdr>
          <w:top w:val="nil"/>
          <w:left w:val="nil"/>
          <w:bottom w:val="nil"/>
          <w:right w:val="nil"/>
          <w:between w:val="nil"/>
        </w:pBdr>
        <w:spacing w:after="0" w:line="240" w:lineRule="auto"/>
        <w:rPr>
          <w:color w:val="000000"/>
          <w:sz w:val="24"/>
          <w:szCs w:val="24"/>
        </w:rPr>
      </w:pPr>
    </w:p>
    <w:p w:rsidR="00B62509" w:rsidRPr="00EF0710" w:rsidRDefault="000D5487" w:rsidP="00EF0710">
      <w:pPr>
        <w:pStyle w:val="ListParagraph"/>
        <w:numPr>
          <w:ilvl w:val="0"/>
          <w:numId w:val="7"/>
        </w:numPr>
        <w:pBdr>
          <w:top w:val="nil"/>
          <w:left w:val="nil"/>
          <w:bottom w:val="nil"/>
          <w:right w:val="nil"/>
          <w:between w:val="nil"/>
        </w:pBdr>
        <w:spacing w:after="0" w:line="240" w:lineRule="auto"/>
        <w:rPr>
          <w:color w:val="000000"/>
          <w:sz w:val="24"/>
          <w:szCs w:val="24"/>
        </w:rPr>
      </w:pPr>
      <w:r w:rsidRPr="00EF0710">
        <w:rPr>
          <w:color w:val="000000"/>
          <w:sz w:val="24"/>
          <w:szCs w:val="24"/>
        </w:rPr>
        <w:t>The regulation defines Patient Panel as “The total of the individual patients regardless of payer, including those patients seen within an emergency department(s) if applicable, seen over the course of the most recent complete 36-month period by the Applicant or Holder.”</w:t>
      </w:r>
    </w:p>
    <w:p w:rsidR="00B62509" w:rsidRDefault="000D5487">
      <w:pPr>
        <w:numPr>
          <w:ilvl w:val="1"/>
          <w:numId w:val="5"/>
        </w:numPr>
        <w:pBdr>
          <w:top w:val="nil"/>
          <w:left w:val="nil"/>
          <w:bottom w:val="nil"/>
          <w:right w:val="nil"/>
          <w:between w:val="nil"/>
        </w:pBdr>
        <w:spacing w:after="0" w:line="240" w:lineRule="auto"/>
        <w:rPr>
          <w:color w:val="000000"/>
          <w:sz w:val="24"/>
          <w:szCs w:val="24"/>
        </w:rPr>
      </w:pPr>
      <w:r>
        <w:rPr>
          <w:color w:val="000000"/>
          <w:sz w:val="24"/>
          <w:szCs w:val="24"/>
        </w:rPr>
        <w:t>Do the data provided for Heywood and Athol Hospitals represent the most recent complete 36-month period (FY2018-FY2020)? If not, please explain what years are represented and how you decided to utilize those years.</w:t>
      </w:r>
    </w:p>
    <w:p w:rsidR="00B62509" w:rsidRDefault="000D5487">
      <w:pPr>
        <w:pBdr>
          <w:top w:val="nil"/>
          <w:left w:val="nil"/>
          <w:bottom w:val="nil"/>
          <w:right w:val="nil"/>
          <w:between w:val="nil"/>
        </w:pBdr>
        <w:spacing w:after="0" w:line="240" w:lineRule="auto"/>
        <w:ind w:left="1440"/>
        <w:rPr>
          <w:rFonts w:ascii="Arial" w:eastAsia="Arial" w:hAnsi="Arial" w:cs="Arial"/>
          <w:i/>
          <w:color w:val="0070C0"/>
          <w:sz w:val="24"/>
          <w:szCs w:val="24"/>
        </w:rPr>
      </w:pPr>
      <w:r>
        <w:rPr>
          <w:rFonts w:ascii="Arial" w:eastAsia="Arial" w:hAnsi="Arial" w:cs="Arial"/>
          <w:i/>
          <w:color w:val="0070C0"/>
          <w:sz w:val="24"/>
          <w:szCs w:val="24"/>
        </w:rPr>
        <w:t xml:space="preserve">Yes, the data represented FY18-FY20 </w:t>
      </w:r>
    </w:p>
    <w:p w:rsidR="00B62509" w:rsidRDefault="000D5487">
      <w:pPr>
        <w:numPr>
          <w:ilvl w:val="1"/>
          <w:numId w:val="5"/>
        </w:numPr>
        <w:pBdr>
          <w:top w:val="nil"/>
          <w:left w:val="nil"/>
          <w:bottom w:val="nil"/>
          <w:right w:val="nil"/>
          <w:between w:val="nil"/>
        </w:pBdr>
        <w:spacing w:after="0" w:line="240" w:lineRule="auto"/>
        <w:rPr>
          <w:color w:val="000000"/>
          <w:sz w:val="24"/>
          <w:szCs w:val="24"/>
        </w:rPr>
      </w:pPr>
      <w:r>
        <w:rPr>
          <w:color w:val="000000"/>
          <w:sz w:val="24"/>
          <w:szCs w:val="24"/>
        </w:rPr>
        <w:t xml:space="preserve">When combining the Patient Panel data from the Heywood Hospital and Athol </w:t>
      </w:r>
      <w:proofErr w:type="gramStart"/>
      <w:r>
        <w:rPr>
          <w:color w:val="000000"/>
          <w:sz w:val="24"/>
          <w:szCs w:val="24"/>
        </w:rPr>
        <w:t>Hospital  for</w:t>
      </w:r>
      <w:proofErr w:type="gramEnd"/>
      <w:r>
        <w:rPr>
          <w:color w:val="000000"/>
          <w:sz w:val="24"/>
          <w:szCs w:val="24"/>
        </w:rPr>
        <w:t xml:space="preserve"> FY2018 to FY2020, will some patients be counted more than once?</w:t>
      </w:r>
    </w:p>
    <w:p w:rsidR="00B62509" w:rsidRDefault="000D5487">
      <w:pPr>
        <w:pBdr>
          <w:top w:val="nil"/>
          <w:left w:val="nil"/>
          <w:bottom w:val="nil"/>
          <w:right w:val="nil"/>
          <w:between w:val="nil"/>
        </w:pBdr>
        <w:spacing w:after="0" w:line="240" w:lineRule="auto"/>
        <w:ind w:left="1440"/>
        <w:rPr>
          <w:i/>
          <w:color w:val="0070C0"/>
          <w:sz w:val="24"/>
          <w:szCs w:val="24"/>
        </w:rPr>
      </w:pPr>
      <w:r>
        <w:rPr>
          <w:rFonts w:ascii="Arial" w:eastAsia="Arial" w:hAnsi="Arial" w:cs="Arial"/>
          <w:i/>
          <w:color w:val="0070C0"/>
          <w:sz w:val="24"/>
          <w:szCs w:val="24"/>
          <w:highlight w:val="white"/>
        </w:rPr>
        <w:t>Yes, if the Patient Panel data was combined for Athol and Heywood, there may be patients counted more than once.</w:t>
      </w:r>
    </w:p>
    <w:p w:rsidR="00B62509" w:rsidRDefault="00B62509">
      <w:pPr>
        <w:pBdr>
          <w:top w:val="nil"/>
          <w:left w:val="nil"/>
          <w:bottom w:val="nil"/>
          <w:right w:val="nil"/>
          <w:between w:val="nil"/>
        </w:pBdr>
        <w:spacing w:after="0" w:line="240" w:lineRule="auto"/>
        <w:ind w:left="1440"/>
        <w:rPr>
          <w:color w:val="000000"/>
          <w:sz w:val="24"/>
          <w:szCs w:val="24"/>
        </w:rPr>
      </w:pPr>
    </w:p>
    <w:p w:rsidR="00B62509" w:rsidRPr="00EF0710" w:rsidRDefault="000D5487" w:rsidP="00EF0710">
      <w:pPr>
        <w:pStyle w:val="ListParagraph"/>
        <w:numPr>
          <w:ilvl w:val="0"/>
          <w:numId w:val="7"/>
        </w:numPr>
        <w:pBdr>
          <w:top w:val="nil"/>
          <w:left w:val="nil"/>
          <w:bottom w:val="nil"/>
          <w:right w:val="nil"/>
          <w:between w:val="nil"/>
        </w:pBdr>
        <w:spacing w:after="0" w:line="240" w:lineRule="auto"/>
        <w:rPr>
          <w:color w:val="000000"/>
          <w:sz w:val="24"/>
          <w:szCs w:val="24"/>
        </w:rPr>
      </w:pPr>
      <w:r w:rsidRPr="00EF0710">
        <w:rPr>
          <w:color w:val="000000"/>
          <w:sz w:val="24"/>
          <w:szCs w:val="24"/>
        </w:rPr>
        <w:t xml:space="preserve">The application includes a breakdown of the Heywood Hospital and Athol Hospital Patient Panels by race/ethnicity. To better understand the race/ethnicity of the Patient Panel, briefly describe how race/ethnicity data are collected. </w:t>
      </w:r>
    </w:p>
    <w:p w:rsidR="00B62509" w:rsidRDefault="000D5487" w:rsidP="00EF0710">
      <w:pPr>
        <w:numPr>
          <w:ilvl w:val="1"/>
          <w:numId w:val="7"/>
        </w:numPr>
        <w:pBdr>
          <w:top w:val="nil"/>
          <w:left w:val="nil"/>
          <w:bottom w:val="nil"/>
          <w:right w:val="nil"/>
          <w:between w:val="nil"/>
        </w:pBdr>
        <w:spacing w:after="0" w:line="240" w:lineRule="auto"/>
        <w:rPr>
          <w:color w:val="000000"/>
          <w:sz w:val="24"/>
          <w:szCs w:val="24"/>
        </w:rPr>
      </w:pPr>
      <w:r>
        <w:rPr>
          <w:color w:val="000000"/>
          <w:sz w:val="24"/>
          <w:szCs w:val="24"/>
        </w:rPr>
        <w:lastRenderedPageBreak/>
        <w:t>Is race/ethnicity self-reported?</w:t>
      </w:r>
    </w:p>
    <w:p w:rsidR="00B62509" w:rsidRDefault="000D5487">
      <w:pPr>
        <w:pBdr>
          <w:top w:val="nil"/>
          <w:left w:val="nil"/>
          <w:bottom w:val="nil"/>
          <w:right w:val="nil"/>
          <w:between w:val="nil"/>
        </w:pBdr>
        <w:spacing w:after="0" w:line="240" w:lineRule="auto"/>
        <w:ind w:left="1440"/>
        <w:rPr>
          <w:rFonts w:ascii="Arial" w:eastAsia="Arial" w:hAnsi="Arial" w:cs="Arial"/>
          <w:i/>
          <w:color w:val="0070C0"/>
          <w:sz w:val="24"/>
          <w:szCs w:val="24"/>
        </w:rPr>
      </w:pPr>
      <w:r>
        <w:rPr>
          <w:rFonts w:ascii="Arial" w:eastAsia="Arial" w:hAnsi="Arial" w:cs="Arial"/>
          <w:i/>
          <w:color w:val="0070C0"/>
          <w:sz w:val="24"/>
          <w:szCs w:val="24"/>
        </w:rPr>
        <w:t>Yes, race/ethnicity is self-reported.</w:t>
      </w:r>
    </w:p>
    <w:p w:rsidR="00B62509" w:rsidRDefault="000D5487" w:rsidP="00EF0710">
      <w:pPr>
        <w:numPr>
          <w:ilvl w:val="1"/>
          <w:numId w:val="7"/>
        </w:numPr>
        <w:pBdr>
          <w:top w:val="nil"/>
          <w:left w:val="nil"/>
          <w:bottom w:val="nil"/>
          <w:right w:val="nil"/>
          <w:between w:val="nil"/>
        </w:pBdr>
        <w:spacing w:after="0" w:line="240" w:lineRule="auto"/>
        <w:rPr>
          <w:color w:val="000000"/>
          <w:sz w:val="24"/>
          <w:szCs w:val="24"/>
        </w:rPr>
      </w:pPr>
      <w:r>
        <w:rPr>
          <w:color w:val="000000"/>
          <w:sz w:val="24"/>
          <w:szCs w:val="24"/>
        </w:rPr>
        <w:t>Is the category Hispanic captured in the collection of ethnicity data? Provide the percent of Heywood Hospital and Athol Hospital patients identifying as Hispanic for FY2020.</w:t>
      </w:r>
    </w:p>
    <w:p w:rsidR="00B62509" w:rsidRDefault="000D5487">
      <w:pPr>
        <w:pBdr>
          <w:top w:val="nil"/>
          <w:left w:val="nil"/>
          <w:bottom w:val="nil"/>
          <w:right w:val="nil"/>
          <w:between w:val="nil"/>
        </w:pBdr>
        <w:spacing w:after="0" w:line="240" w:lineRule="auto"/>
        <w:ind w:left="720"/>
        <w:rPr>
          <w:rFonts w:ascii="Times New Roman" w:eastAsia="Times New Roman" w:hAnsi="Times New Roman" w:cs="Times New Roman"/>
          <w:i/>
          <w:color w:val="0070C0"/>
          <w:sz w:val="24"/>
          <w:szCs w:val="24"/>
        </w:rPr>
      </w:pPr>
      <w:r>
        <w:rPr>
          <w:rFonts w:ascii="Arial" w:eastAsia="Arial" w:hAnsi="Arial" w:cs="Arial"/>
          <w:i/>
          <w:color w:val="0070C0"/>
          <w:sz w:val="24"/>
          <w:szCs w:val="24"/>
          <w:highlight w:val="white"/>
        </w:rPr>
        <w:t>Yes, the category Hispanic is captured in the collection of ethnicity data.  The percentage of Hispanic patients for FY2020 is 3% for Heywood and 2% for Athol.</w:t>
      </w:r>
    </w:p>
    <w:p w:rsidR="00B62509" w:rsidRDefault="00B62509">
      <w:pPr>
        <w:pBdr>
          <w:top w:val="nil"/>
          <w:left w:val="nil"/>
          <w:bottom w:val="nil"/>
          <w:right w:val="nil"/>
          <w:between w:val="nil"/>
        </w:pBdr>
        <w:spacing w:after="0" w:line="240" w:lineRule="auto"/>
        <w:ind w:left="1440"/>
        <w:rPr>
          <w:color w:val="000000"/>
          <w:sz w:val="24"/>
          <w:szCs w:val="24"/>
        </w:rPr>
      </w:pPr>
    </w:p>
    <w:p w:rsidR="00B62509" w:rsidRDefault="000D5487" w:rsidP="00EF0710">
      <w:pPr>
        <w:numPr>
          <w:ilvl w:val="0"/>
          <w:numId w:val="7"/>
        </w:numPr>
        <w:pBdr>
          <w:top w:val="nil"/>
          <w:left w:val="nil"/>
          <w:bottom w:val="nil"/>
          <w:right w:val="nil"/>
          <w:between w:val="nil"/>
        </w:pBdr>
        <w:rPr>
          <w:color w:val="000000"/>
          <w:sz w:val="24"/>
          <w:szCs w:val="24"/>
        </w:rPr>
      </w:pPr>
      <w:r>
        <w:rPr>
          <w:color w:val="000000"/>
          <w:sz w:val="24"/>
          <w:szCs w:val="24"/>
        </w:rPr>
        <w:t xml:space="preserve">The change in service form provides existing and proposed volume. </w:t>
      </w:r>
    </w:p>
    <w:tbl>
      <w:tblPr>
        <w:tblStyle w:val="a1"/>
        <w:tblW w:w="3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Existing Volume: 5,400 Proposed Volume: 6,480&#10;"/>
      </w:tblPr>
      <w:tblGrid>
        <w:gridCol w:w="1679"/>
        <w:gridCol w:w="1843"/>
      </w:tblGrid>
      <w:tr w:rsidR="00B62509" w:rsidTr="002B4E15">
        <w:trPr>
          <w:tblHeader/>
          <w:jc w:val="center"/>
        </w:trPr>
        <w:tc>
          <w:tcPr>
            <w:tcW w:w="1679" w:type="dxa"/>
            <w:shd w:val="clear" w:color="auto" w:fill="F2F2F2"/>
          </w:tcPr>
          <w:p w:rsidR="00B62509" w:rsidRDefault="000D5487">
            <w:pPr>
              <w:rPr>
                <w:b/>
              </w:rPr>
            </w:pPr>
            <w:r>
              <w:rPr>
                <w:b/>
              </w:rPr>
              <w:t xml:space="preserve">Existing Volume </w:t>
            </w:r>
          </w:p>
        </w:tc>
        <w:tc>
          <w:tcPr>
            <w:tcW w:w="1843" w:type="dxa"/>
            <w:shd w:val="clear" w:color="auto" w:fill="F2F2F2"/>
          </w:tcPr>
          <w:p w:rsidR="00B62509" w:rsidRDefault="000D5487">
            <w:pPr>
              <w:rPr>
                <w:b/>
              </w:rPr>
            </w:pPr>
            <w:r>
              <w:rPr>
                <w:b/>
              </w:rPr>
              <w:t>Proposed Volume</w:t>
            </w:r>
          </w:p>
        </w:tc>
      </w:tr>
      <w:tr w:rsidR="00B62509">
        <w:trPr>
          <w:jc w:val="center"/>
        </w:trPr>
        <w:tc>
          <w:tcPr>
            <w:tcW w:w="1679" w:type="dxa"/>
          </w:tcPr>
          <w:p w:rsidR="00B62509" w:rsidRDefault="000D5487">
            <w:pPr>
              <w:jc w:val="center"/>
            </w:pPr>
            <w:r>
              <w:t>5,400</w:t>
            </w:r>
          </w:p>
        </w:tc>
        <w:tc>
          <w:tcPr>
            <w:tcW w:w="1843" w:type="dxa"/>
          </w:tcPr>
          <w:p w:rsidR="00B62509" w:rsidRDefault="000D5487">
            <w:pPr>
              <w:jc w:val="center"/>
            </w:pPr>
            <w:r>
              <w:t>6,480</w:t>
            </w:r>
          </w:p>
        </w:tc>
      </w:tr>
    </w:tbl>
    <w:p w:rsidR="00B62509" w:rsidRDefault="00B62509">
      <w:pPr>
        <w:spacing w:after="0"/>
      </w:pPr>
    </w:p>
    <w:p w:rsidR="00B62509" w:rsidRDefault="000D5487">
      <w:pPr>
        <w:spacing w:after="0"/>
        <w:ind w:firstLine="720"/>
        <w:rPr>
          <w:sz w:val="24"/>
          <w:szCs w:val="24"/>
        </w:rPr>
      </w:pPr>
      <w:proofErr w:type="gramStart"/>
      <w:r>
        <w:rPr>
          <w:sz w:val="24"/>
          <w:szCs w:val="24"/>
        </w:rPr>
        <w:t>In order to</w:t>
      </w:r>
      <w:proofErr w:type="gramEnd"/>
      <w:r>
        <w:rPr>
          <w:sz w:val="24"/>
          <w:szCs w:val="24"/>
        </w:rPr>
        <w:t xml:space="preserve"> understand the impact of the Proposed Project on surgical volume:</w:t>
      </w:r>
    </w:p>
    <w:p w:rsidR="00B62509" w:rsidRDefault="000D5487" w:rsidP="00EF0710">
      <w:pPr>
        <w:numPr>
          <w:ilvl w:val="1"/>
          <w:numId w:val="7"/>
        </w:numPr>
        <w:pBdr>
          <w:top w:val="nil"/>
          <w:left w:val="nil"/>
          <w:bottom w:val="nil"/>
          <w:right w:val="nil"/>
          <w:between w:val="nil"/>
        </w:pBdr>
        <w:spacing w:after="0" w:line="240" w:lineRule="auto"/>
        <w:rPr>
          <w:rFonts w:ascii="Arial" w:eastAsia="Arial" w:hAnsi="Arial" w:cs="Arial"/>
          <w:i/>
          <w:color w:val="0070C0"/>
          <w:sz w:val="24"/>
          <w:szCs w:val="24"/>
        </w:rPr>
      </w:pPr>
      <w:r>
        <w:rPr>
          <w:color w:val="000000"/>
          <w:sz w:val="24"/>
          <w:szCs w:val="24"/>
        </w:rPr>
        <w:t xml:space="preserve">Provide a year for the existing data and a year for the proposed volume. </w:t>
      </w:r>
    </w:p>
    <w:p w:rsidR="00B62509" w:rsidRDefault="000D5487">
      <w:pPr>
        <w:pBdr>
          <w:top w:val="nil"/>
          <w:left w:val="nil"/>
          <w:bottom w:val="nil"/>
          <w:right w:val="nil"/>
          <w:between w:val="nil"/>
        </w:pBdr>
        <w:spacing w:after="0" w:line="240" w:lineRule="auto"/>
        <w:ind w:left="720"/>
        <w:rPr>
          <w:rFonts w:ascii="Arial" w:eastAsia="Arial" w:hAnsi="Arial" w:cs="Arial"/>
          <w:i/>
          <w:color w:val="0070C0"/>
          <w:sz w:val="24"/>
          <w:szCs w:val="24"/>
        </w:rPr>
      </w:pPr>
      <w:r>
        <w:rPr>
          <w:rFonts w:ascii="Arial" w:eastAsia="Arial" w:hAnsi="Arial" w:cs="Arial"/>
          <w:i/>
          <w:color w:val="0070C0"/>
          <w:sz w:val="24"/>
          <w:szCs w:val="24"/>
        </w:rPr>
        <w:t>The existing volume reported on the change in service form is from CY2019. (Data for CY2020 was skewed due to the mandatory weeks-long closure of the operating room for elective cases.)</w:t>
      </w:r>
    </w:p>
    <w:p w:rsidR="00B62509" w:rsidRDefault="00B62509">
      <w:pPr>
        <w:pBdr>
          <w:top w:val="nil"/>
          <w:left w:val="nil"/>
          <w:bottom w:val="nil"/>
          <w:right w:val="nil"/>
          <w:between w:val="nil"/>
        </w:pBdr>
        <w:spacing w:after="0" w:line="240" w:lineRule="auto"/>
        <w:ind w:left="1440"/>
        <w:rPr>
          <w:color w:val="000000"/>
          <w:sz w:val="24"/>
          <w:szCs w:val="24"/>
        </w:rPr>
      </w:pPr>
    </w:p>
    <w:p w:rsidR="00B62509" w:rsidRDefault="000D5487" w:rsidP="00EF0710">
      <w:pPr>
        <w:numPr>
          <w:ilvl w:val="1"/>
          <w:numId w:val="7"/>
        </w:numPr>
        <w:pBdr>
          <w:top w:val="nil"/>
          <w:left w:val="nil"/>
          <w:bottom w:val="nil"/>
          <w:right w:val="nil"/>
          <w:between w:val="nil"/>
        </w:pBdr>
        <w:spacing w:after="0" w:line="240" w:lineRule="auto"/>
        <w:rPr>
          <w:color w:val="000000"/>
          <w:sz w:val="24"/>
          <w:szCs w:val="24"/>
        </w:rPr>
      </w:pPr>
      <w:r>
        <w:rPr>
          <w:color w:val="000000"/>
          <w:sz w:val="24"/>
          <w:szCs w:val="24"/>
        </w:rPr>
        <w:t xml:space="preserve">By what year do you expect to reach the proposed volume? </w:t>
      </w:r>
    </w:p>
    <w:p w:rsidR="00B62509" w:rsidRDefault="000D5487">
      <w:pPr>
        <w:pBdr>
          <w:top w:val="nil"/>
          <w:left w:val="nil"/>
          <w:bottom w:val="nil"/>
          <w:right w:val="nil"/>
          <w:between w:val="nil"/>
        </w:pBdr>
        <w:spacing w:after="0" w:line="240" w:lineRule="auto"/>
        <w:ind w:left="1440"/>
        <w:rPr>
          <w:rFonts w:ascii="Arial" w:eastAsia="Arial" w:hAnsi="Arial" w:cs="Arial"/>
          <w:i/>
          <w:color w:val="0070C0"/>
          <w:sz w:val="24"/>
          <w:szCs w:val="24"/>
        </w:rPr>
      </w:pPr>
      <w:r>
        <w:rPr>
          <w:rFonts w:ascii="Arial" w:eastAsia="Arial" w:hAnsi="Arial" w:cs="Arial"/>
          <w:i/>
          <w:color w:val="0070C0"/>
          <w:sz w:val="24"/>
          <w:szCs w:val="24"/>
        </w:rPr>
        <w:t>2029</w:t>
      </w:r>
    </w:p>
    <w:p w:rsidR="00B62509" w:rsidRDefault="000D5487" w:rsidP="00EF0710">
      <w:pPr>
        <w:numPr>
          <w:ilvl w:val="1"/>
          <w:numId w:val="7"/>
        </w:numPr>
        <w:pBdr>
          <w:top w:val="nil"/>
          <w:left w:val="nil"/>
          <w:bottom w:val="nil"/>
          <w:right w:val="nil"/>
          <w:between w:val="nil"/>
        </w:pBdr>
        <w:spacing w:after="0" w:line="240" w:lineRule="auto"/>
        <w:rPr>
          <w:color w:val="000000"/>
          <w:sz w:val="24"/>
          <w:szCs w:val="24"/>
        </w:rPr>
      </w:pPr>
      <w:r>
        <w:rPr>
          <w:color w:val="000000"/>
          <w:sz w:val="24"/>
          <w:szCs w:val="24"/>
        </w:rPr>
        <w:t xml:space="preserve">Where do you anticipate new </w:t>
      </w:r>
      <w:proofErr w:type="gramStart"/>
      <w:r>
        <w:rPr>
          <w:color w:val="000000"/>
          <w:sz w:val="24"/>
          <w:szCs w:val="24"/>
        </w:rPr>
        <w:t>patient</w:t>
      </w:r>
      <w:proofErr w:type="gramEnd"/>
      <w:r>
        <w:rPr>
          <w:color w:val="000000"/>
          <w:sz w:val="24"/>
          <w:szCs w:val="24"/>
        </w:rPr>
        <w:t xml:space="preserve"> volume will originate (within the Patient Panel, or new patients)?</w:t>
      </w:r>
    </w:p>
    <w:p w:rsidR="00B62509" w:rsidRDefault="000D5487">
      <w:pPr>
        <w:pBdr>
          <w:top w:val="nil"/>
          <w:left w:val="nil"/>
          <w:bottom w:val="nil"/>
          <w:right w:val="nil"/>
          <w:between w:val="nil"/>
        </w:pBdr>
        <w:spacing w:after="0" w:line="240" w:lineRule="auto"/>
        <w:ind w:left="1440"/>
        <w:rPr>
          <w:rFonts w:ascii="Arial" w:eastAsia="Arial" w:hAnsi="Arial" w:cs="Arial"/>
          <w:i/>
          <w:color w:val="0070C0"/>
          <w:sz w:val="24"/>
          <w:szCs w:val="24"/>
        </w:rPr>
      </w:pPr>
      <w:r>
        <w:rPr>
          <w:rFonts w:ascii="Arial" w:eastAsia="Arial" w:hAnsi="Arial" w:cs="Arial"/>
          <w:i/>
          <w:color w:val="0070C0"/>
          <w:sz w:val="24"/>
          <w:szCs w:val="24"/>
        </w:rPr>
        <w:t>As has happened recently when new service lines were added (e.g., bariatric surgery, anterior hip arthroplasty and ERCP), we anticipate that new case volume will come both from within the existing patient panel and from new patients who would otherwise have gone to a tertiary facility to receive needed procedural care.</w:t>
      </w:r>
    </w:p>
    <w:p w:rsidR="00B62509" w:rsidRDefault="000D5487" w:rsidP="00EF0710">
      <w:pPr>
        <w:numPr>
          <w:ilvl w:val="0"/>
          <w:numId w:val="7"/>
        </w:numPr>
        <w:pBdr>
          <w:top w:val="nil"/>
          <w:left w:val="nil"/>
          <w:bottom w:val="nil"/>
          <w:right w:val="nil"/>
          <w:between w:val="nil"/>
        </w:pBdr>
        <w:spacing w:after="0"/>
        <w:rPr>
          <w:color w:val="000000"/>
          <w:sz w:val="24"/>
          <w:szCs w:val="24"/>
        </w:rPr>
      </w:pPr>
      <w:r>
        <w:rPr>
          <w:color w:val="000000"/>
          <w:sz w:val="24"/>
          <w:szCs w:val="24"/>
        </w:rPr>
        <w:t xml:space="preserve">The Application states that Heywood will be increasing the number of operating rooms from four to six through the Proposed Project (pg.3). </w:t>
      </w:r>
    </w:p>
    <w:p w:rsidR="00B62509" w:rsidRDefault="000D5487" w:rsidP="00EF0710">
      <w:pPr>
        <w:numPr>
          <w:ilvl w:val="1"/>
          <w:numId w:val="7"/>
        </w:numPr>
        <w:pBdr>
          <w:top w:val="nil"/>
          <w:left w:val="nil"/>
          <w:bottom w:val="nil"/>
          <w:right w:val="nil"/>
          <w:between w:val="nil"/>
        </w:pBdr>
        <w:spacing w:after="0"/>
        <w:rPr>
          <w:color w:val="000000"/>
          <w:sz w:val="24"/>
          <w:szCs w:val="24"/>
        </w:rPr>
      </w:pPr>
      <w:r>
        <w:rPr>
          <w:color w:val="000000"/>
          <w:sz w:val="24"/>
          <w:szCs w:val="24"/>
        </w:rPr>
        <w:t>How did you calculate the number of ORs needed to address Patient Panel need for surgical services? Include data, source and methodology used.</w:t>
      </w:r>
    </w:p>
    <w:p w:rsidR="00B62509" w:rsidRDefault="000D5487">
      <w:pPr>
        <w:pBdr>
          <w:top w:val="nil"/>
          <w:left w:val="nil"/>
          <w:bottom w:val="nil"/>
          <w:right w:val="nil"/>
          <w:between w:val="nil"/>
        </w:pBdr>
        <w:spacing w:after="0"/>
        <w:ind w:left="720"/>
        <w:rPr>
          <w:rFonts w:ascii="Arial" w:eastAsia="Arial" w:hAnsi="Arial" w:cs="Arial"/>
          <w:i/>
          <w:color w:val="0070C0"/>
          <w:sz w:val="24"/>
          <w:szCs w:val="24"/>
        </w:rPr>
      </w:pPr>
      <w:r>
        <w:rPr>
          <w:rFonts w:ascii="Arial" w:eastAsia="Arial" w:hAnsi="Arial" w:cs="Arial"/>
          <w:i/>
          <w:color w:val="0070C0"/>
          <w:sz w:val="24"/>
          <w:szCs w:val="24"/>
        </w:rPr>
        <w:t>In 1961, the current surgical suite opened with six operating rooms. As equipment needs evolved over the ensuing decades, two of those six rooms had to be repurposed due to their small size: at only 200sf, OR 6 became a storage closet and at 283sf, OR 5 became a minor procedure room. Presently, we continue to use ORs 1 through 4, but they are all undersized by modern standards and only one of these rooms can safely and efficiently accommodate anesthesia, radiology, and special surgical equipment (such as the Hana table) at the same time. With the recent growth in case volume and in the variety of surgical procedures offered at Heywood, the challenges that derive from the small size of the operating rooms have become increasingly impactful.</w:t>
      </w:r>
    </w:p>
    <w:p w:rsidR="00B62509" w:rsidRDefault="000D5487">
      <w:pPr>
        <w:pBdr>
          <w:top w:val="nil"/>
          <w:left w:val="nil"/>
          <w:bottom w:val="nil"/>
          <w:right w:val="nil"/>
          <w:between w:val="nil"/>
        </w:pBdr>
        <w:spacing w:after="0"/>
        <w:ind w:left="720"/>
        <w:rPr>
          <w:rFonts w:ascii="Arial" w:eastAsia="Arial" w:hAnsi="Arial" w:cs="Arial"/>
          <w:i/>
          <w:color w:val="0070C0"/>
          <w:sz w:val="24"/>
          <w:szCs w:val="24"/>
        </w:rPr>
      </w:pPr>
      <w:r>
        <w:rPr>
          <w:rFonts w:ascii="Arial" w:eastAsia="Arial" w:hAnsi="Arial" w:cs="Arial"/>
          <w:i/>
          <w:color w:val="0070C0"/>
          <w:sz w:val="24"/>
          <w:szCs w:val="24"/>
        </w:rPr>
        <w:t xml:space="preserve"> </w:t>
      </w:r>
    </w:p>
    <w:p w:rsidR="00B62509" w:rsidRDefault="000D5487" w:rsidP="00EF0710">
      <w:pPr>
        <w:numPr>
          <w:ilvl w:val="0"/>
          <w:numId w:val="7"/>
        </w:numPr>
        <w:pBdr>
          <w:top w:val="nil"/>
          <w:left w:val="nil"/>
          <w:bottom w:val="nil"/>
          <w:right w:val="nil"/>
          <w:between w:val="nil"/>
        </w:pBdr>
        <w:spacing w:after="0"/>
        <w:rPr>
          <w:color w:val="000000"/>
          <w:sz w:val="24"/>
          <w:szCs w:val="24"/>
        </w:rPr>
      </w:pPr>
      <w:r>
        <w:rPr>
          <w:color w:val="000000"/>
          <w:sz w:val="24"/>
          <w:szCs w:val="24"/>
        </w:rPr>
        <w:t xml:space="preserve">The application states that with only twelve admission bays in the Surgical Day Care Unit and eight in the PACU, patient care bottlenecks are all too common (pg.7). </w:t>
      </w:r>
    </w:p>
    <w:p w:rsidR="00B62509" w:rsidRDefault="000D5487" w:rsidP="00EF0710">
      <w:pPr>
        <w:numPr>
          <w:ilvl w:val="1"/>
          <w:numId w:val="7"/>
        </w:numPr>
        <w:pBdr>
          <w:top w:val="nil"/>
          <w:left w:val="nil"/>
          <w:bottom w:val="nil"/>
          <w:right w:val="nil"/>
          <w:between w:val="nil"/>
        </w:pBdr>
        <w:spacing w:after="0"/>
        <w:rPr>
          <w:color w:val="000000"/>
          <w:sz w:val="24"/>
          <w:szCs w:val="24"/>
        </w:rPr>
      </w:pPr>
      <w:r>
        <w:rPr>
          <w:color w:val="000000"/>
          <w:sz w:val="24"/>
          <w:szCs w:val="24"/>
        </w:rPr>
        <w:lastRenderedPageBreak/>
        <w:t>How did you calculate the number of pre/post procedure bays needed to address Patient Panel need? Include data, source, and methodology used.</w:t>
      </w:r>
    </w:p>
    <w:p w:rsidR="00B62509" w:rsidRDefault="000D5487">
      <w:pPr>
        <w:pBdr>
          <w:top w:val="nil"/>
          <w:left w:val="nil"/>
          <w:bottom w:val="nil"/>
          <w:right w:val="nil"/>
          <w:between w:val="nil"/>
        </w:pBdr>
        <w:spacing w:after="0"/>
        <w:ind w:left="1440"/>
        <w:rPr>
          <w:rFonts w:ascii="Arial" w:eastAsia="Arial" w:hAnsi="Arial" w:cs="Arial"/>
          <w:i/>
          <w:color w:val="0070C0"/>
          <w:sz w:val="24"/>
          <w:szCs w:val="24"/>
        </w:rPr>
      </w:pPr>
      <w:r>
        <w:rPr>
          <w:rFonts w:ascii="Arial" w:eastAsia="Arial" w:hAnsi="Arial" w:cs="Arial"/>
          <w:i/>
          <w:color w:val="0070C0"/>
          <w:sz w:val="24"/>
          <w:szCs w:val="24"/>
        </w:rPr>
        <w:t xml:space="preserve">Perioperative Services currently has 20 combined pre/post rooms that support seven procedural rooms: four ORs, two endoscopy rooms and one pain procedure room. Even with this ratio of 2.9 pre/post rooms per procedural room (a ratio that far exceeds the FGI guideline of at least two combined pre/post rooms per OR), patient care bottlenecks are nonetheless relatively common. When this happens, it is typically the result of one or more PACU bays being tied up by patients who, though fully recovered, </w:t>
      </w:r>
      <w:proofErr w:type="gramStart"/>
      <w:r>
        <w:rPr>
          <w:rFonts w:ascii="Arial" w:eastAsia="Arial" w:hAnsi="Arial" w:cs="Arial"/>
          <w:i/>
          <w:color w:val="0070C0"/>
          <w:sz w:val="24"/>
          <w:szCs w:val="24"/>
        </w:rPr>
        <w:t>have to</w:t>
      </w:r>
      <w:proofErr w:type="gramEnd"/>
      <w:r>
        <w:rPr>
          <w:rFonts w:ascii="Arial" w:eastAsia="Arial" w:hAnsi="Arial" w:cs="Arial"/>
          <w:i/>
          <w:color w:val="0070C0"/>
          <w:sz w:val="24"/>
          <w:szCs w:val="24"/>
        </w:rPr>
        <w:t xml:space="preserve"> “board” in PACU until an inpatient bed becomes available. With a schedule that is typically comprised of a large volume of relatively quick procedures and a recovery room that has only eight bays in it, it does not take much for a patient care bottleneck to develop. It is for these reasons that a ratio of three combined pre/post procedure rooms per OR has been included in the plans for the new operating suite.</w:t>
      </w:r>
    </w:p>
    <w:p w:rsidR="00B62509" w:rsidRDefault="00B62509">
      <w:pPr>
        <w:pBdr>
          <w:top w:val="nil"/>
          <w:left w:val="nil"/>
          <w:bottom w:val="nil"/>
          <w:right w:val="nil"/>
          <w:between w:val="nil"/>
        </w:pBdr>
        <w:spacing w:after="0" w:line="240" w:lineRule="auto"/>
        <w:ind w:left="1440"/>
        <w:rPr>
          <w:color w:val="000000"/>
          <w:sz w:val="24"/>
          <w:szCs w:val="24"/>
        </w:rPr>
      </w:pPr>
    </w:p>
    <w:p w:rsidR="00B62509" w:rsidRDefault="000D5487" w:rsidP="00EF071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The application states that case volume of surgical procedures grew 20% from 2016 to 2018 and that this increase in case volume brought Perioperative Services to peak capacity and maximal utilization (pg.5). </w:t>
      </w:r>
    </w:p>
    <w:p w:rsidR="00B62509" w:rsidRDefault="000D5487" w:rsidP="00EF0710">
      <w:pPr>
        <w:numPr>
          <w:ilvl w:val="1"/>
          <w:numId w:val="7"/>
        </w:numPr>
        <w:pBdr>
          <w:top w:val="nil"/>
          <w:left w:val="nil"/>
          <w:bottom w:val="nil"/>
          <w:right w:val="nil"/>
          <w:between w:val="nil"/>
        </w:pBdr>
        <w:spacing w:line="240" w:lineRule="auto"/>
        <w:rPr>
          <w:color w:val="000000"/>
          <w:sz w:val="24"/>
          <w:szCs w:val="24"/>
        </w:rPr>
      </w:pPr>
      <w:proofErr w:type="gramStart"/>
      <w:r>
        <w:rPr>
          <w:color w:val="000000"/>
          <w:sz w:val="24"/>
          <w:szCs w:val="24"/>
        </w:rPr>
        <w:t>In order to</w:t>
      </w:r>
      <w:proofErr w:type="gramEnd"/>
      <w:r>
        <w:rPr>
          <w:color w:val="000000"/>
          <w:sz w:val="24"/>
          <w:szCs w:val="24"/>
        </w:rPr>
        <w:t xml:space="preserve"> demonstrate an increasing need for surgical services based on case volume, provide the number of patients receiving services and case volume for 2016, 2017, and 2018.</w:t>
      </w:r>
    </w:p>
    <w:tbl>
      <w:tblPr>
        <w:tblStyle w:val="a2"/>
        <w:tblW w:w="4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Individual Patients and Case Volume, 2016-2018"/>
        <w:tblDescription w:val="Individual Patients 2016: 3,506, Case Volume 2016: 4,469, Individual Patients 2017: 3,624, Case Volume 2017: 4,709, Individual Patients 2018: 4,187, Case Volume 2018: 5,486, Individual Patients Total: 9,627, * 9,627 is the total number of individual (unique) patients who had one or more surgical procedure(s) completed at Heywood Hospital between January 1, 2016 and December 31, 2018. Case Volume Total: 14,664"/>
      </w:tblPr>
      <w:tblGrid>
        <w:gridCol w:w="725"/>
        <w:gridCol w:w="2076"/>
        <w:gridCol w:w="1508"/>
      </w:tblGrid>
      <w:tr w:rsidR="00B62509" w:rsidTr="002B4E15">
        <w:trPr>
          <w:tblHeader/>
          <w:jc w:val="center"/>
        </w:trPr>
        <w:tc>
          <w:tcPr>
            <w:tcW w:w="725" w:type="dxa"/>
          </w:tcPr>
          <w:p w:rsidR="00B62509" w:rsidRDefault="00B62509">
            <w:pPr>
              <w:pBdr>
                <w:top w:val="nil"/>
                <w:left w:val="nil"/>
                <w:bottom w:val="nil"/>
                <w:right w:val="nil"/>
                <w:between w:val="nil"/>
              </w:pBdr>
              <w:spacing w:after="160" w:line="259" w:lineRule="auto"/>
              <w:rPr>
                <w:color w:val="000000"/>
                <w:sz w:val="24"/>
                <w:szCs w:val="24"/>
              </w:rPr>
            </w:pPr>
          </w:p>
        </w:tc>
        <w:tc>
          <w:tcPr>
            <w:tcW w:w="2076" w:type="dxa"/>
            <w:shd w:val="clear" w:color="auto" w:fill="F2F2F2"/>
          </w:tcPr>
          <w:p w:rsidR="00B62509" w:rsidRDefault="000D5487">
            <w:pPr>
              <w:pBdr>
                <w:top w:val="nil"/>
                <w:left w:val="nil"/>
                <w:bottom w:val="nil"/>
                <w:right w:val="nil"/>
                <w:between w:val="nil"/>
              </w:pBdr>
              <w:spacing w:after="160" w:line="259" w:lineRule="auto"/>
              <w:rPr>
                <w:b/>
                <w:color w:val="000000"/>
                <w:sz w:val="24"/>
                <w:szCs w:val="24"/>
              </w:rPr>
            </w:pPr>
            <w:r>
              <w:rPr>
                <w:b/>
                <w:color w:val="000000"/>
                <w:sz w:val="24"/>
                <w:szCs w:val="24"/>
              </w:rPr>
              <w:t>Individual Patients</w:t>
            </w:r>
          </w:p>
        </w:tc>
        <w:tc>
          <w:tcPr>
            <w:tcW w:w="1508" w:type="dxa"/>
            <w:shd w:val="clear" w:color="auto" w:fill="F2F2F2"/>
          </w:tcPr>
          <w:p w:rsidR="00B62509" w:rsidRDefault="000D5487">
            <w:pPr>
              <w:pBdr>
                <w:top w:val="nil"/>
                <w:left w:val="nil"/>
                <w:bottom w:val="nil"/>
                <w:right w:val="nil"/>
                <w:between w:val="nil"/>
              </w:pBdr>
              <w:spacing w:after="160" w:line="259" w:lineRule="auto"/>
              <w:rPr>
                <w:b/>
                <w:color w:val="000000"/>
                <w:sz w:val="24"/>
                <w:szCs w:val="24"/>
              </w:rPr>
            </w:pPr>
            <w:r>
              <w:rPr>
                <w:b/>
                <w:color w:val="000000"/>
                <w:sz w:val="24"/>
                <w:szCs w:val="24"/>
              </w:rPr>
              <w:t>Case Volume</w:t>
            </w:r>
          </w:p>
        </w:tc>
      </w:tr>
      <w:tr w:rsidR="00B62509">
        <w:trPr>
          <w:jc w:val="center"/>
        </w:trPr>
        <w:tc>
          <w:tcPr>
            <w:tcW w:w="725" w:type="dxa"/>
          </w:tcPr>
          <w:p w:rsidR="00B62509" w:rsidRDefault="000D5487">
            <w:pPr>
              <w:pBdr>
                <w:top w:val="nil"/>
                <w:left w:val="nil"/>
                <w:bottom w:val="nil"/>
                <w:right w:val="nil"/>
                <w:between w:val="nil"/>
              </w:pBdr>
              <w:spacing w:after="160" w:line="259" w:lineRule="auto"/>
              <w:rPr>
                <w:b/>
                <w:color w:val="000000"/>
                <w:sz w:val="24"/>
                <w:szCs w:val="24"/>
              </w:rPr>
            </w:pPr>
            <w:r>
              <w:rPr>
                <w:b/>
                <w:color w:val="000000"/>
                <w:sz w:val="24"/>
                <w:szCs w:val="24"/>
              </w:rPr>
              <w:t>2016</w:t>
            </w:r>
          </w:p>
        </w:tc>
        <w:tc>
          <w:tcPr>
            <w:tcW w:w="2076" w:type="dxa"/>
          </w:tcPr>
          <w:p w:rsidR="00B62509" w:rsidRDefault="000D5487">
            <w:pPr>
              <w:pBdr>
                <w:top w:val="nil"/>
                <w:left w:val="nil"/>
                <w:bottom w:val="nil"/>
                <w:right w:val="nil"/>
                <w:between w:val="nil"/>
              </w:pBdr>
              <w:spacing w:after="160" w:line="259" w:lineRule="auto"/>
              <w:rPr>
                <w:color w:val="0070C0"/>
                <w:sz w:val="24"/>
                <w:szCs w:val="24"/>
              </w:rPr>
            </w:pPr>
            <w:r>
              <w:rPr>
                <w:color w:val="0070C0"/>
                <w:sz w:val="24"/>
                <w:szCs w:val="24"/>
              </w:rPr>
              <w:t>3,506</w:t>
            </w:r>
          </w:p>
        </w:tc>
        <w:tc>
          <w:tcPr>
            <w:tcW w:w="1508" w:type="dxa"/>
          </w:tcPr>
          <w:p w:rsidR="00B62509" w:rsidRDefault="000D5487">
            <w:pPr>
              <w:pBdr>
                <w:top w:val="nil"/>
                <w:left w:val="nil"/>
                <w:bottom w:val="nil"/>
                <w:right w:val="nil"/>
                <w:between w:val="nil"/>
              </w:pBdr>
              <w:spacing w:after="160" w:line="259" w:lineRule="auto"/>
              <w:rPr>
                <w:color w:val="000000"/>
                <w:sz w:val="24"/>
                <w:szCs w:val="24"/>
              </w:rPr>
            </w:pPr>
            <w:r>
              <w:rPr>
                <w:color w:val="0070C0"/>
                <w:sz w:val="24"/>
                <w:szCs w:val="24"/>
              </w:rPr>
              <w:t>4,469</w:t>
            </w:r>
          </w:p>
        </w:tc>
      </w:tr>
      <w:tr w:rsidR="00B62509">
        <w:trPr>
          <w:jc w:val="center"/>
        </w:trPr>
        <w:tc>
          <w:tcPr>
            <w:tcW w:w="725" w:type="dxa"/>
          </w:tcPr>
          <w:p w:rsidR="00B62509" w:rsidRDefault="000D5487">
            <w:pPr>
              <w:pBdr>
                <w:top w:val="nil"/>
                <w:left w:val="nil"/>
                <w:bottom w:val="nil"/>
                <w:right w:val="nil"/>
                <w:between w:val="nil"/>
              </w:pBdr>
              <w:spacing w:after="160" w:line="259" w:lineRule="auto"/>
              <w:rPr>
                <w:b/>
                <w:color w:val="000000"/>
                <w:sz w:val="24"/>
                <w:szCs w:val="24"/>
              </w:rPr>
            </w:pPr>
            <w:r>
              <w:rPr>
                <w:b/>
                <w:color w:val="000000"/>
                <w:sz w:val="24"/>
                <w:szCs w:val="24"/>
              </w:rPr>
              <w:t>2017</w:t>
            </w:r>
          </w:p>
        </w:tc>
        <w:tc>
          <w:tcPr>
            <w:tcW w:w="2076" w:type="dxa"/>
          </w:tcPr>
          <w:p w:rsidR="00B62509" w:rsidRDefault="000D5487">
            <w:pPr>
              <w:pBdr>
                <w:top w:val="nil"/>
                <w:left w:val="nil"/>
                <w:bottom w:val="nil"/>
                <w:right w:val="nil"/>
                <w:between w:val="nil"/>
              </w:pBdr>
              <w:spacing w:after="160" w:line="259" w:lineRule="auto"/>
              <w:rPr>
                <w:color w:val="0070C0"/>
                <w:sz w:val="24"/>
                <w:szCs w:val="24"/>
              </w:rPr>
            </w:pPr>
            <w:r>
              <w:rPr>
                <w:color w:val="0070C0"/>
                <w:sz w:val="24"/>
                <w:szCs w:val="24"/>
              </w:rPr>
              <w:t>3,624</w:t>
            </w:r>
          </w:p>
        </w:tc>
        <w:tc>
          <w:tcPr>
            <w:tcW w:w="1508" w:type="dxa"/>
          </w:tcPr>
          <w:p w:rsidR="00B62509" w:rsidRDefault="000D5487">
            <w:pPr>
              <w:pBdr>
                <w:top w:val="nil"/>
                <w:left w:val="nil"/>
                <w:bottom w:val="nil"/>
                <w:right w:val="nil"/>
                <w:between w:val="nil"/>
              </w:pBdr>
              <w:spacing w:after="160" w:line="259" w:lineRule="auto"/>
              <w:rPr>
                <w:color w:val="0070C0"/>
                <w:sz w:val="24"/>
                <w:szCs w:val="24"/>
              </w:rPr>
            </w:pPr>
            <w:r>
              <w:rPr>
                <w:color w:val="0070C0"/>
                <w:sz w:val="24"/>
                <w:szCs w:val="24"/>
              </w:rPr>
              <w:t>4,709</w:t>
            </w:r>
          </w:p>
        </w:tc>
      </w:tr>
      <w:tr w:rsidR="00B62509">
        <w:trPr>
          <w:jc w:val="center"/>
        </w:trPr>
        <w:tc>
          <w:tcPr>
            <w:tcW w:w="725" w:type="dxa"/>
          </w:tcPr>
          <w:p w:rsidR="00B62509" w:rsidRDefault="000D5487">
            <w:pPr>
              <w:pBdr>
                <w:top w:val="nil"/>
                <w:left w:val="nil"/>
                <w:bottom w:val="nil"/>
                <w:right w:val="nil"/>
                <w:between w:val="nil"/>
              </w:pBdr>
              <w:spacing w:after="160" w:line="259" w:lineRule="auto"/>
              <w:rPr>
                <w:b/>
                <w:color w:val="000000"/>
                <w:sz w:val="24"/>
                <w:szCs w:val="24"/>
              </w:rPr>
            </w:pPr>
            <w:r>
              <w:rPr>
                <w:b/>
                <w:color w:val="000000"/>
                <w:sz w:val="24"/>
                <w:szCs w:val="24"/>
              </w:rPr>
              <w:t>2018</w:t>
            </w:r>
          </w:p>
        </w:tc>
        <w:tc>
          <w:tcPr>
            <w:tcW w:w="2076" w:type="dxa"/>
          </w:tcPr>
          <w:p w:rsidR="00B62509" w:rsidRDefault="000D5487">
            <w:pPr>
              <w:pBdr>
                <w:top w:val="nil"/>
                <w:left w:val="nil"/>
                <w:bottom w:val="nil"/>
                <w:right w:val="nil"/>
                <w:between w:val="nil"/>
              </w:pBdr>
              <w:spacing w:after="160" w:line="259" w:lineRule="auto"/>
              <w:rPr>
                <w:color w:val="0070C0"/>
                <w:sz w:val="24"/>
                <w:szCs w:val="24"/>
              </w:rPr>
            </w:pPr>
            <w:r>
              <w:rPr>
                <w:color w:val="0070C0"/>
                <w:sz w:val="24"/>
                <w:szCs w:val="24"/>
              </w:rPr>
              <w:t>4,187</w:t>
            </w:r>
          </w:p>
        </w:tc>
        <w:tc>
          <w:tcPr>
            <w:tcW w:w="1508" w:type="dxa"/>
          </w:tcPr>
          <w:p w:rsidR="00B62509" w:rsidRDefault="000D5487">
            <w:pPr>
              <w:pBdr>
                <w:top w:val="nil"/>
                <w:left w:val="nil"/>
                <w:bottom w:val="nil"/>
                <w:right w:val="nil"/>
                <w:between w:val="nil"/>
              </w:pBdr>
              <w:spacing w:after="160" w:line="259" w:lineRule="auto"/>
              <w:rPr>
                <w:color w:val="000000"/>
                <w:sz w:val="24"/>
                <w:szCs w:val="24"/>
              </w:rPr>
            </w:pPr>
            <w:r>
              <w:rPr>
                <w:color w:val="000000"/>
                <w:sz w:val="24"/>
                <w:szCs w:val="24"/>
              </w:rPr>
              <w:t>5,486</w:t>
            </w:r>
          </w:p>
        </w:tc>
      </w:tr>
      <w:tr w:rsidR="00B62509">
        <w:trPr>
          <w:jc w:val="center"/>
        </w:trPr>
        <w:tc>
          <w:tcPr>
            <w:tcW w:w="725" w:type="dxa"/>
          </w:tcPr>
          <w:p w:rsidR="00B62509" w:rsidRDefault="000D5487">
            <w:pPr>
              <w:pBdr>
                <w:top w:val="nil"/>
                <w:left w:val="nil"/>
                <w:bottom w:val="nil"/>
                <w:right w:val="nil"/>
                <w:between w:val="nil"/>
              </w:pBdr>
              <w:spacing w:after="160" w:line="259" w:lineRule="auto"/>
              <w:rPr>
                <w:b/>
                <w:color w:val="000000"/>
                <w:sz w:val="24"/>
                <w:szCs w:val="24"/>
              </w:rPr>
            </w:pPr>
            <w:r>
              <w:rPr>
                <w:b/>
                <w:color w:val="000000"/>
                <w:sz w:val="24"/>
                <w:szCs w:val="24"/>
              </w:rPr>
              <w:t>Total</w:t>
            </w:r>
          </w:p>
        </w:tc>
        <w:tc>
          <w:tcPr>
            <w:tcW w:w="2076" w:type="dxa"/>
          </w:tcPr>
          <w:p w:rsidR="00B62509" w:rsidRDefault="000D5487">
            <w:pPr>
              <w:pBdr>
                <w:top w:val="nil"/>
                <w:left w:val="nil"/>
                <w:bottom w:val="nil"/>
                <w:right w:val="nil"/>
                <w:between w:val="nil"/>
              </w:pBdr>
              <w:spacing w:after="160" w:line="259" w:lineRule="auto"/>
              <w:rPr>
                <w:color w:val="0070C0"/>
                <w:sz w:val="24"/>
                <w:szCs w:val="24"/>
              </w:rPr>
            </w:pPr>
            <w:r>
              <w:rPr>
                <w:color w:val="0070C0"/>
                <w:sz w:val="24"/>
                <w:szCs w:val="24"/>
              </w:rPr>
              <w:t>9,627*</w:t>
            </w:r>
          </w:p>
        </w:tc>
        <w:tc>
          <w:tcPr>
            <w:tcW w:w="1508" w:type="dxa"/>
          </w:tcPr>
          <w:p w:rsidR="00B62509" w:rsidRDefault="000D5487">
            <w:pPr>
              <w:pBdr>
                <w:top w:val="nil"/>
                <w:left w:val="nil"/>
                <w:bottom w:val="nil"/>
                <w:right w:val="nil"/>
                <w:between w:val="nil"/>
              </w:pBdr>
              <w:spacing w:after="160" w:line="259" w:lineRule="auto"/>
              <w:rPr>
                <w:color w:val="0070C0"/>
                <w:sz w:val="24"/>
                <w:szCs w:val="24"/>
              </w:rPr>
            </w:pPr>
            <w:r>
              <w:rPr>
                <w:color w:val="0070C0"/>
                <w:sz w:val="24"/>
                <w:szCs w:val="24"/>
              </w:rPr>
              <w:t>14,664</w:t>
            </w:r>
          </w:p>
        </w:tc>
      </w:tr>
    </w:tbl>
    <w:p w:rsidR="00B62509" w:rsidRDefault="000D5487">
      <w:pPr>
        <w:spacing w:line="240" w:lineRule="auto"/>
        <w:rPr>
          <w:rFonts w:ascii="Arial" w:eastAsia="Arial" w:hAnsi="Arial" w:cs="Arial"/>
          <w:i/>
          <w:color w:val="0070C0"/>
          <w:sz w:val="18"/>
          <w:szCs w:val="18"/>
        </w:rPr>
      </w:pPr>
      <w:r>
        <w:rPr>
          <w:rFonts w:ascii="Arial" w:eastAsia="Arial" w:hAnsi="Arial" w:cs="Arial"/>
          <w:i/>
          <w:color w:val="0070C0"/>
          <w:sz w:val="18"/>
          <w:szCs w:val="18"/>
        </w:rPr>
        <w:t>* 9,627 is the total number of individual (unique) patients who had one or more surgical procedure(s) completed at Heywood Hospital between January 1, 2016 and December 31, 2018.</w:t>
      </w:r>
    </w:p>
    <w:p w:rsidR="00B62509" w:rsidRDefault="000D5487" w:rsidP="00EF0710">
      <w:pPr>
        <w:numPr>
          <w:ilvl w:val="1"/>
          <w:numId w:val="7"/>
        </w:numPr>
        <w:pBdr>
          <w:top w:val="nil"/>
          <w:left w:val="nil"/>
          <w:bottom w:val="nil"/>
          <w:right w:val="nil"/>
          <w:between w:val="nil"/>
        </w:pBdr>
        <w:spacing w:after="0" w:line="240" w:lineRule="auto"/>
        <w:rPr>
          <w:color w:val="000000"/>
          <w:sz w:val="24"/>
          <w:szCs w:val="24"/>
        </w:rPr>
      </w:pPr>
      <w:r>
        <w:rPr>
          <w:color w:val="000000"/>
          <w:sz w:val="24"/>
          <w:szCs w:val="24"/>
        </w:rPr>
        <w:t>Provide data to demonstrate maximum utilization of Perioperative services during this period.</w:t>
      </w:r>
    </w:p>
    <w:p w:rsidR="00B62509" w:rsidRDefault="000D5487">
      <w:pPr>
        <w:pBdr>
          <w:top w:val="nil"/>
          <w:left w:val="nil"/>
          <w:bottom w:val="nil"/>
          <w:right w:val="nil"/>
          <w:between w:val="nil"/>
        </w:pBdr>
        <w:spacing w:after="0" w:line="240" w:lineRule="auto"/>
        <w:rPr>
          <w:rFonts w:ascii="Arial" w:eastAsia="Arial" w:hAnsi="Arial" w:cs="Arial"/>
          <w:i/>
          <w:color w:val="0070C0"/>
          <w:sz w:val="24"/>
          <w:szCs w:val="24"/>
        </w:rPr>
      </w:pPr>
      <w:r>
        <w:rPr>
          <w:rFonts w:ascii="Arial" w:eastAsia="Arial" w:hAnsi="Arial" w:cs="Arial"/>
          <w:i/>
          <w:color w:val="0070C0"/>
          <w:sz w:val="24"/>
          <w:szCs w:val="24"/>
        </w:rPr>
        <w:t>To appreciate why the existing perioperative infrastructure is running at peak capacity and maximum utilization with the current demand for surgical services, consideration must be given to a multitude of factors:</w:t>
      </w:r>
    </w:p>
    <w:p w:rsidR="00B62509" w:rsidRDefault="00B62509">
      <w:pPr>
        <w:pBdr>
          <w:top w:val="nil"/>
          <w:left w:val="nil"/>
          <w:bottom w:val="nil"/>
          <w:right w:val="nil"/>
          <w:between w:val="nil"/>
        </w:pBdr>
        <w:spacing w:after="0" w:line="240" w:lineRule="auto"/>
        <w:rPr>
          <w:rFonts w:ascii="Arial" w:eastAsia="Arial" w:hAnsi="Arial" w:cs="Arial"/>
          <w:i/>
          <w:color w:val="0070C0"/>
          <w:sz w:val="24"/>
          <w:szCs w:val="24"/>
        </w:rPr>
      </w:pPr>
    </w:p>
    <w:p w:rsidR="00B62509" w:rsidRDefault="000D5487">
      <w:pPr>
        <w:numPr>
          <w:ilvl w:val="0"/>
          <w:numId w:val="6"/>
        </w:numPr>
        <w:pBdr>
          <w:top w:val="nil"/>
          <w:left w:val="nil"/>
          <w:bottom w:val="nil"/>
          <w:right w:val="nil"/>
          <w:between w:val="nil"/>
        </w:pBdr>
        <w:spacing w:after="0" w:line="240" w:lineRule="auto"/>
        <w:rPr>
          <w:rFonts w:ascii="Arial" w:eastAsia="Arial" w:hAnsi="Arial" w:cs="Arial"/>
          <w:i/>
          <w:color w:val="0070C0"/>
          <w:sz w:val="24"/>
          <w:szCs w:val="24"/>
        </w:rPr>
      </w:pPr>
      <w:r>
        <w:rPr>
          <w:rFonts w:ascii="Arial" w:eastAsia="Arial" w:hAnsi="Arial" w:cs="Arial"/>
          <w:b/>
          <w:i/>
          <w:color w:val="0070C0"/>
          <w:sz w:val="24"/>
          <w:szCs w:val="24"/>
          <w:u w:val="single"/>
        </w:rPr>
        <w:t>OR Size</w:t>
      </w:r>
      <w:r>
        <w:rPr>
          <w:rFonts w:ascii="Arial" w:eastAsia="Arial" w:hAnsi="Arial" w:cs="Arial"/>
          <w:i/>
          <w:color w:val="0070C0"/>
          <w:sz w:val="24"/>
          <w:szCs w:val="24"/>
        </w:rPr>
        <w:t>:</w:t>
      </w:r>
    </w:p>
    <w:p w:rsidR="00B62509" w:rsidRDefault="000D5487">
      <w:pPr>
        <w:pBdr>
          <w:top w:val="nil"/>
          <w:left w:val="nil"/>
          <w:bottom w:val="nil"/>
          <w:right w:val="nil"/>
          <w:between w:val="nil"/>
        </w:pBdr>
        <w:spacing w:after="0" w:line="240" w:lineRule="auto"/>
        <w:ind w:left="720"/>
        <w:rPr>
          <w:rFonts w:ascii="Arial" w:eastAsia="Arial" w:hAnsi="Arial" w:cs="Arial"/>
          <w:i/>
          <w:color w:val="0070C0"/>
          <w:sz w:val="24"/>
          <w:szCs w:val="24"/>
        </w:rPr>
      </w:pPr>
      <w:r>
        <w:rPr>
          <w:rFonts w:ascii="Arial" w:eastAsia="Arial" w:hAnsi="Arial" w:cs="Arial"/>
          <w:i/>
          <w:color w:val="0070C0"/>
          <w:sz w:val="24"/>
          <w:szCs w:val="24"/>
        </w:rPr>
        <w:t>Two of the existing “six” ORs are only 200ft</w:t>
      </w:r>
      <w:r>
        <w:rPr>
          <w:rFonts w:ascii="Arial" w:eastAsia="Arial" w:hAnsi="Arial" w:cs="Arial"/>
          <w:i/>
          <w:color w:val="0070C0"/>
          <w:sz w:val="24"/>
          <w:szCs w:val="24"/>
          <w:vertAlign w:val="superscript"/>
        </w:rPr>
        <w:t>2</w:t>
      </w:r>
      <w:r>
        <w:rPr>
          <w:rFonts w:ascii="Arial" w:eastAsia="Arial" w:hAnsi="Arial" w:cs="Arial"/>
          <w:i/>
          <w:color w:val="0070C0"/>
          <w:sz w:val="24"/>
          <w:szCs w:val="24"/>
        </w:rPr>
        <w:t xml:space="preserve"> and 283ft</w:t>
      </w:r>
      <w:r>
        <w:rPr>
          <w:rFonts w:ascii="Arial" w:eastAsia="Arial" w:hAnsi="Arial" w:cs="Arial"/>
          <w:i/>
          <w:color w:val="0070C0"/>
          <w:sz w:val="24"/>
          <w:szCs w:val="24"/>
          <w:vertAlign w:val="superscript"/>
        </w:rPr>
        <w:t>2</w:t>
      </w:r>
      <w:r>
        <w:rPr>
          <w:rFonts w:ascii="Arial" w:eastAsia="Arial" w:hAnsi="Arial" w:cs="Arial"/>
          <w:i/>
          <w:color w:val="0070C0"/>
          <w:sz w:val="24"/>
          <w:szCs w:val="24"/>
        </w:rPr>
        <w:t xml:space="preserve"> and, as such, are no longer used </w:t>
      </w:r>
      <w:r w:rsidR="00EF0710">
        <w:rPr>
          <w:rFonts w:ascii="Arial" w:eastAsia="Arial" w:hAnsi="Arial" w:cs="Arial"/>
          <w:i/>
          <w:color w:val="0070C0"/>
          <w:sz w:val="24"/>
          <w:szCs w:val="24"/>
        </w:rPr>
        <w:t>as ORs. Ranging in size from 347</w:t>
      </w:r>
      <w:r w:rsidR="00EF0710">
        <w:rPr>
          <w:rFonts w:ascii="Arial" w:hAnsi="Arial" w:cs="Arial"/>
          <w:i/>
          <w:iCs/>
          <w:color w:val="0070C0"/>
        </w:rPr>
        <w:t>ft</w:t>
      </w:r>
      <w:r w:rsidR="00EF0710">
        <w:rPr>
          <w:rFonts w:ascii="Arial" w:hAnsi="Arial" w:cs="Arial"/>
          <w:i/>
          <w:iCs/>
          <w:color w:val="0070C0"/>
          <w:sz w:val="14"/>
          <w:szCs w:val="14"/>
          <w:vertAlign w:val="superscript"/>
        </w:rPr>
        <w:t>2</w:t>
      </w:r>
      <w:r w:rsidR="00EF0710">
        <w:rPr>
          <w:rFonts w:ascii="Arial" w:eastAsia="Arial" w:hAnsi="Arial" w:cs="Arial"/>
          <w:i/>
          <w:color w:val="0070C0"/>
          <w:sz w:val="24"/>
          <w:szCs w:val="24"/>
        </w:rPr>
        <w:t xml:space="preserve"> to 392</w:t>
      </w:r>
      <w:r w:rsidR="00EF0710">
        <w:rPr>
          <w:rFonts w:ascii="Arial" w:hAnsi="Arial" w:cs="Arial"/>
          <w:i/>
          <w:iCs/>
          <w:color w:val="0070C0"/>
        </w:rPr>
        <w:t>ft</w:t>
      </w:r>
      <w:r w:rsidR="00EF0710">
        <w:rPr>
          <w:rFonts w:ascii="Arial" w:hAnsi="Arial" w:cs="Arial"/>
          <w:i/>
          <w:iCs/>
          <w:color w:val="0070C0"/>
          <w:sz w:val="14"/>
          <w:szCs w:val="14"/>
          <w:vertAlign w:val="superscript"/>
        </w:rPr>
        <w:t>2</w:t>
      </w:r>
      <w:r>
        <w:rPr>
          <w:rFonts w:ascii="Arial" w:eastAsia="Arial" w:hAnsi="Arial" w:cs="Arial"/>
          <w:i/>
          <w:color w:val="0070C0"/>
          <w:sz w:val="24"/>
          <w:szCs w:val="24"/>
        </w:rPr>
        <w:t>, three of the remaining four ORs are too small to accommodate cases that require large equipment, such as the Hana table that is needed for anterior approach total hip arthroplasty cases. The existing perioperative suite has one operating room that can accommo</w:t>
      </w:r>
      <w:r w:rsidR="00EF0710">
        <w:rPr>
          <w:rFonts w:ascii="Arial" w:eastAsia="Arial" w:hAnsi="Arial" w:cs="Arial"/>
          <w:i/>
          <w:color w:val="0070C0"/>
          <w:sz w:val="24"/>
          <w:szCs w:val="24"/>
        </w:rPr>
        <w:t xml:space="preserve">date such cases, but at </w:t>
      </w:r>
      <w:r w:rsidR="00EF0710">
        <w:rPr>
          <w:rFonts w:ascii="Arial" w:eastAsia="Arial" w:hAnsi="Arial" w:cs="Arial"/>
          <w:i/>
          <w:color w:val="0070C0"/>
          <w:sz w:val="24"/>
          <w:szCs w:val="24"/>
        </w:rPr>
        <w:lastRenderedPageBreak/>
        <w:t>only 429</w:t>
      </w:r>
      <w:r w:rsidR="00EF0710">
        <w:rPr>
          <w:rFonts w:ascii="Arial" w:hAnsi="Arial" w:cs="Arial"/>
          <w:i/>
          <w:iCs/>
          <w:color w:val="0070C0"/>
        </w:rPr>
        <w:t>ft</w:t>
      </w:r>
      <w:r w:rsidR="00EF0710">
        <w:rPr>
          <w:rFonts w:ascii="Arial" w:hAnsi="Arial" w:cs="Arial"/>
          <w:i/>
          <w:iCs/>
          <w:color w:val="0070C0"/>
          <w:sz w:val="14"/>
          <w:szCs w:val="14"/>
          <w:vertAlign w:val="superscript"/>
        </w:rPr>
        <w:t>2</w:t>
      </w:r>
      <w:r>
        <w:rPr>
          <w:rFonts w:ascii="Arial" w:eastAsia="Arial" w:hAnsi="Arial" w:cs="Arial"/>
          <w:i/>
          <w:color w:val="0070C0"/>
          <w:sz w:val="24"/>
          <w:szCs w:val="24"/>
        </w:rPr>
        <w:t>, the footprint of this “large” OR is still one-third smaller than the 600sf that is currently recommended for cases requiring specialized equipment. In recent years, the operational challenges that derive from the small size of the existing ORs have been further exacerbated by service line expansions that have brought new procedures to Heywood Hospital, but that require large and bulky equipment, such as a bariatric surgery program and the endoscopic retrograde cholangiopancreatography (ERCP) service.</w:t>
      </w:r>
    </w:p>
    <w:p w:rsidR="00B62509" w:rsidRDefault="00B62509">
      <w:pPr>
        <w:pBdr>
          <w:top w:val="nil"/>
          <w:left w:val="nil"/>
          <w:bottom w:val="nil"/>
          <w:right w:val="nil"/>
          <w:between w:val="nil"/>
        </w:pBdr>
        <w:spacing w:after="0" w:line="240" w:lineRule="auto"/>
        <w:ind w:left="720"/>
        <w:rPr>
          <w:rFonts w:ascii="Arial" w:eastAsia="Arial" w:hAnsi="Arial" w:cs="Arial"/>
          <w:i/>
          <w:color w:val="0070C0"/>
          <w:sz w:val="24"/>
          <w:szCs w:val="24"/>
        </w:rPr>
      </w:pPr>
    </w:p>
    <w:p w:rsidR="00B62509" w:rsidRDefault="000D5487">
      <w:pPr>
        <w:numPr>
          <w:ilvl w:val="0"/>
          <w:numId w:val="6"/>
        </w:numPr>
        <w:pBdr>
          <w:top w:val="nil"/>
          <w:left w:val="nil"/>
          <w:bottom w:val="nil"/>
          <w:right w:val="nil"/>
          <w:between w:val="nil"/>
        </w:pBdr>
        <w:spacing w:after="0" w:line="240" w:lineRule="auto"/>
        <w:rPr>
          <w:rFonts w:ascii="Arial" w:eastAsia="Arial" w:hAnsi="Arial" w:cs="Arial"/>
          <w:i/>
          <w:color w:val="0070C0"/>
          <w:sz w:val="24"/>
          <w:szCs w:val="24"/>
        </w:rPr>
      </w:pPr>
      <w:r>
        <w:rPr>
          <w:rFonts w:ascii="Arial" w:eastAsia="Arial" w:hAnsi="Arial" w:cs="Arial"/>
          <w:b/>
          <w:i/>
          <w:color w:val="0070C0"/>
          <w:sz w:val="24"/>
          <w:szCs w:val="24"/>
          <w:u w:val="single"/>
        </w:rPr>
        <w:t>Case Mix</w:t>
      </w:r>
      <w:r>
        <w:rPr>
          <w:rFonts w:ascii="Arial" w:eastAsia="Arial" w:hAnsi="Arial" w:cs="Arial"/>
          <w:i/>
          <w:color w:val="0070C0"/>
          <w:sz w:val="24"/>
          <w:szCs w:val="24"/>
        </w:rPr>
        <w:t>:</w:t>
      </w:r>
    </w:p>
    <w:p w:rsidR="00B62509" w:rsidRDefault="000D5487">
      <w:pPr>
        <w:pBdr>
          <w:top w:val="nil"/>
          <w:left w:val="nil"/>
          <w:bottom w:val="nil"/>
          <w:right w:val="nil"/>
          <w:between w:val="nil"/>
        </w:pBdr>
        <w:spacing w:after="0" w:line="240" w:lineRule="auto"/>
        <w:ind w:left="720"/>
        <w:rPr>
          <w:rFonts w:ascii="Arial" w:eastAsia="Arial" w:hAnsi="Arial" w:cs="Arial"/>
          <w:i/>
          <w:color w:val="0070C0"/>
          <w:sz w:val="24"/>
          <w:szCs w:val="24"/>
        </w:rPr>
      </w:pPr>
      <w:r>
        <w:rPr>
          <w:rFonts w:ascii="Arial" w:eastAsia="Arial" w:hAnsi="Arial" w:cs="Arial"/>
          <w:i/>
          <w:color w:val="0070C0"/>
          <w:sz w:val="24"/>
          <w:szCs w:val="24"/>
        </w:rPr>
        <w:t xml:space="preserve">Across </w:t>
      </w:r>
      <w:proofErr w:type="gramStart"/>
      <w:r>
        <w:rPr>
          <w:rFonts w:ascii="Arial" w:eastAsia="Arial" w:hAnsi="Arial" w:cs="Arial"/>
          <w:i/>
          <w:color w:val="0070C0"/>
          <w:sz w:val="24"/>
          <w:szCs w:val="24"/>
        </w:rPr>
        <w:t>all of</w:t>
      </w:r>
      <w:proofErr w:type="gramEnd"/>
      <w:r>
        <w:rPr>
          <w:rFonts w:ascii="Arial" w:eastAsia="Arial" w:hAnsi="Arial" w:cs="Arial"/>
          <w:i/>
          <w:color w:val="0070C0"/>
          <w:sz w:val="24"/>
          <w:szCs w:val="24"/>
        </w:rPr>
        <w:t xml:space="preserve"> Perioperative Services, the average case length is only 47 minutes (patient in-room to patient out-of-room). With a large volume of short cases that have rapid turnarounds, it is not uncommon for patient care bottlenecks to occur during check-in in Surgical Day Care and/or during recovery in the Post-Anesthesia Care Unit.</w:t>
      </w:r>
    </w:p>
    <w:p w:rsidR="00B62509" w:rsidRDefault="00B62509">
      <w:pPr>
        <w:pBdr>
          <w:top w:val="nil"/>
          <w:left w:val="nil"/>
          <w:bottom w:val="nil"/>
          <w:right w:val="nil"/>
          <w:between w:val="nil"/>
        </w:pBdr>
        <w:spacing w:after="0" w:line="240" w:lineRule="auto"/>
        <w:ind w:left="720"/>
        <w:rPr>
          <w:rFonts w:ascii="Arial" w:eastAsia="Arial" w:hAnsi="Arial" w:cs="Arial"/>
          <w:i/>
          <w:color w:val="0070C0"/>
          <w:sz w:val="24"/>
          <w:szCs w:val="24"/>
        </w:rPr>
      </w:pPr>
    </w:p>
    <w:p w:rsidR="00B62509" w:rsidRDefault="000D5487">
      <w:pPr>
        <w:numPr>
          <w:ilvl w:val="0"/>
          <w:numId w:val="6"/>
        </w:numPr>
        <w:pBdr>
          <w:top w:val="nil"/>
          <w:left w:val="nil"/>
          <w:bottom w:val="nil"/>
          <w:right w:val="nil"/>
          <w:between w:val="nil"/>
        </w:pBdr>
        <w:spacing w:after="0" w:line="240" w:lineRule="auto"/>
        <w:rPr>
          <w:rFonts w:ascii="Arial" w:eastAsia="Arial" w:hAnsi="Arial" w:cs="Arial"/>
          <w:i/>
          <w:color w:val="0070C0"/>
          <w:sz w:val="24"/>
          <w:szCs w:val="24"/>
        </w:rPr>
      </w:pPr>
      <w:r>
        <w:rPr>
          <w:rFonts w:ascii="Arial" w:eastAsia="Arial" w:hAnsi="Arial" w:cs="Arial"/>
          <w:b/>
          <w:i/>
          <w:color w:val="0070C0"/>
          <w:sz w:val="24"/>
          <w:szCs w:val="24"/>
          <w:u w:val="single"/>
        </w:rPr>
        <w:t>Daily Schedule</w:t>
      </w:r>
      <w:r>
        <w:rPr>
          <w:rFonts w:ascii="Arial" w:eastAsia="Arial" w:hAnsi="Arial" w:cs="Arial"/>
          <w:i/>
          <w:color w:val="0070C0"/>
          <w:sz w:val="24"/>
          <w:szCs w:val="24"/>
        </w:rPr>
        <w:t>:</w:t>
      </w:r>
    </w:p>
    <w:p w:rsidR="00B62509" w:rsidRDefault="000D5487">
      <w:pPr>
        <w:pBdr>
          <w:top w:val="nil"/>
          <w:left w:val="nil"/>
          <w:bottom w:val="nil"/>
          <w:right w:val="nil"/>
          <w:between w:val="nil"/>
        </w:pBdr>
        <w:spacing w:after="0" w:line="240" w:lineRule="auto"/>
        <w:ind w:left="720"/>
        <w:rPr>
          <w:rFonts w:ascii="Arial" w:eastAsia="Arial" w:hAnsi="Arial" w:cs="Arial"/>
          <w:i/>
          <w:color w:val="0070C0"/>
          <w:sz w:val="24"/>
          <w:szCs w:val="24"/>
        </w:rPr>
      </w:pPr>
      <w:r>
        <w:rPr>
          <w:rFonts w:ascii="Arial" w:eastAsia="Arial" w:hAnsi="Arial" w:cs="Arial"/>
          <w:i/>
          <w:color w:val="0070C0"/>
          <w:sz w:val="24"/>
          <w:szCs w:val="24"/>
        </w:rPr>
        <w:t>As can be seen from the following chart, there has been significant growth in the average number of scheduled cases per day in Perioperative Services:</w:t>
      </w:r>
    </w:p>
    <w:p w:rsidR="00B62509" w:rsidRDefault="000D5487">
      <w:pPr>
        <w:spacing w:after="0" w:line="240" w:lineRule="auto"/>
        <w:rPr>
          <w:rFonts w:ascii="Arial" w:eastAsia="Arial" w:hAnsi="Arial" w:cs="Arial"/>
          <w:i/>
          <w:color w:val="0070C0"/>
          <w:sz w:val="24"/>
          <w:szCs w:val="24"/>
        </w:rPr>
      </w:pPr>
      <w:r>
        <w:rPr>
          <w:rFonts w:ascii="Arial" w:eastAsia="Arial" w:hAnsi="Arial" w:cs="Arial"/>
          <w:i/>
          <w:noProof/>
          <w:color w:val="0070C0"/>
          <w:sz w:val="24"/>
          <w:szCs w:val="24"/>
        </w:rPr>
        <w:drawing>
          <wp:inline distT="114300" distB="114300" distL="114300" distR="114300">
            <wp:extent cx="3681413" cy="2960772"/>
            <wp:effectExtent l="0" t="0" r="0" b="0"/>
            <wp:docPr id="2" name="image1.png" descr="FY16-Q2: 30&#10;FY16-Q3: 32&#10;FY16-Q4: 29&#10;FY17-Q1: 32&#10;FY17-Q2: 33&#10;FY17-Q3: 33&#10;FY17-Q4: 31&#10;FY18-Q1: 37&#10;FY18-Q2: 35&#10;FY18-Q3: 38&#10;FY18-Q4: 36&#10;FY19-Q1: 36&#10;FY19-Q2: 39&#10;FY19-Q3: 37&#10;FY19-Q4: 36" title="Average Number of Cases per Day in Perioperative Services"/>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681413" cy="2960772"/>
                    </a:xfrm>
                    <a:prstGeom prst="rect">
                      <a:avLst/>
                    </a:prstGeom>
                    <a:ln/>
                  </pic:spPr>
                </pic:pic>
              </a:graphicData>
            </a:graphic>
          </wp:inline>
        </w:drawing>
      </w:r>
    </w:p>
    <w:p w:rsidR="00B62509" w:rsidRDefault="00B62509">
      <w:pPr>
        <w:spacing w:after="0" w:line="240" w:lineRule="auto"/>
        <w:rPr>
          <w:rFonts w:ascii="Arial" w:eastAsia="Arial" w:hAnsi="Arial" w:cs="Arial"/>
          <w:i/>
          <w:color w:val="0070C0"/>
          <w:sz w:val="24"/>
          <w:szCs w:val="24"/>
        </w:rPr>
      </w:pPr>
    </w:p>
    <w:p w:rsidR="00B62509" w:rsidRDefault="000D5487">
      <w:pPr>
        <w:numPr>
          <w:ilvl w:val="0"/>
          <w:numId w:val="6"/>
        </w:numPr>
        <w:spacing w:after="0" w:line="240" w:lineRule="auto"/>
        <w:rPr>
          <w:rFonts w:ascii="Arial" w:eastAsia="Arial" w:hAnsi="Arial" w:cs="Arial"/>
          <w:i/>
          <w:color w:val="0070C0"/>
          <w:sz w:val="24"/>
          <w:szCs w:val="24"/>
        </w:rPr>
      </w:pPr>
      <w:r>
        <w:rPr>
          <w:rFonts w:ascii="Arial" w:eastAsia="Arial" w:hAnsi="Arial" w:cs="Arial"/>
          <w:b/>
          <w:i/>
          <w:color w:val="0070C0"/>
          <w:sz w:val="24"/>
          <w:szCs w:val="24"/>
          <w:u w:val="single"/>
        </w:rPr>
        <w:t>OR Utilization</w:t>
      </w:r>
      <w:r>
        <w:rPr>
          <w:rFonts w:ascii="Arial" w:eastAsia="Arial" w:hAnsi="Arial" w:cs="Arial"/>
          <w:i/>
          <w:color w:val="0070C0"/>
          <w:sz w:val="24"/>
          <w:szCs w:val="24"/>
        </w:rPr>
        <w:t xml:space="preserve">: </w:t>
      </w:r>
    </w:p>
    <w:p w:rsidR="00B62509" w:rsidRDefault="000D5487">
      <w:pPr>
        <w:spacing w:after="0" w:line="240" w:lineRule="auto"/>
        <w:ind w:left="720"/>
        <w:rPr>
          <w:rFonts w:ascii="Arial" w:eastAsia="Arial" w:hAnsi="Arial" w:cs="Arial"/>
          <w:i/>
          <w:color w:val="0070C0"/>
          <w:sz w:val="24"/>
          <w:szCs w:val="24"/>
        </w:rPr>
      </w:pPr>
      <w:r>
        <w:rPr>
          <w:rFonts w:ascii="Arial" w:eastAsia="Arial" w:hAnsi="Arial" w:cs="Arial"/>
          <w:i/>
          <w:color w:val="0070C0"/>
          <w:sz w:val="24"/>
          <w:szCs w:val="24"/>
        </w:rPr>
        <w:t xml:space="preserve">In 2016, the operating room was staffed with three teams during the day (07:00 - 15:30) and one on-call team that was available after 15:30. Under this model, overall OR utilization during elective surgery hours was 79% in 2016, 84% in 2017 and, had the staffing model not changed, would have been 98% in </w:t>
      </w:r>
      <w:proofErr w:type="gramStart"/>
      <w:r>
        <w:rPr>
          <w:rFonts w:ascii="Arial" w:eastAsia="Arial" w:hAnsi="Arial" w:cs="Arial"/>
          <w:i/>
          <w:color w:val="0070C0"/>
          <w:sz w:val="24"/>
          <w:szCs w:val="24"/>
        </w:rPr>
        <w:t>2018.*</w:t>
      </w:r>
      <w:proofErr w:type="gramEnd"/>
      <w:r>
        <w:rPr>
          <w:rFonts w:ascii="Arial" w:eastAsia="Arial" w:hAnsi="Arial" w:cs="Arial"/>
          <w:i/>
          <w:color w:val="0070C0"/>
          <w:sz w:val="24"/>
          <w:szCs w:val="24"/>
        </w:rPr>
        <w:t xml:space="preserve"> In order to achieve a more sustainable utilization level, the Perioperative Leadership team began experimenting with alternative staffing arrangements in 2018. Several configurations were trialed, including extended elective operating hours (07:00 - 17:00) and/or the addition of a fourth team to enable all four ORs to be used simultaneously. While these new staffing models did allow for some decompression of surgical cases and more sustainable levels of overall utilization (ranging from 62% to 90%, depending on the time period and staffing arrangement being trialed at the time), their ultimate impact was limited by two </w:t>
      </w:r>
      <w:r>
        <w:rPr>
          <w:rFonts w:ascii="Arial" w:eastAsia="Arial" w:hAnsi="Arial" w:cs="Arial"/>
          <w:i/>
          <w:color w:val="0070C0"/>
          <w:sz w:val="24"/>
          <w:szCs w:val="24"/>
        </w:rPr>
        <w:lastRenderedPageBreak/>
        <w:t>new challenges that presented after they were rolled out: 1. Case scheduling limitations imposed by the small size of the ORs (as detailed above) which frequently compromised the productivity of the fourth team; 2. Reluctance on the part of patients and surgeons alike to start elective surgery late in the afternoon.</w:t>
      </w:r>
    </w:p>
    <w:p w:rsidR="00B62509" w:rsidRDefault="000D5487">
      <w:pPr>
        <w:spacing w:after="0" w:line="240" w:lineRule="auto"/>
        <w:ind w:left="720"/>
        <w:rPr>
          <w:rFonts w:ascii="Arial" w:eastAsia="Arial" w:hAnsi="Arial" w:cs="Arial"/>
          <w:i/>
          <w:color w:val="0070C0"/>
          <w:sz w:val="16"/>
          <w:szCs w:val="16"/>
        </w:rPr>
      </w:pPr>
      <w:r>
        <w:rPr>
          <w:rFonts w:ascii="Arial" w:eastAsia="Arial" w:hAnsi="Arial" w:cs="Arial"/>
          <w:i/>
          <w:color w:val="0070C0"/>
          <w:sz w:val="16"/>
          <w:szCs w:val="16"/>
        </w:rPr>
        <w:t>*Calculated as follows: [(Total case minutes) + (Turnover time))] / [(Total staffed minutes)]</w:t>
      </w:r>
    </w:p>
    <w:p w:rsidR="00B62509" w:rsidRDefault="00B62509">
      <w:pPr>
        <w:spacing w:after="0" w:line="240" w:lineRule="auto"/>
        <w:rPr>
          <w:sz w:val="24"/>
          <w:szCs w:val="24"/>
        </w:rPr>
      </w:pPr>
    </w:p>
    <w:p w:rsidR="00B62509" w:rsidRDefault="000D5487">
      <w:pPr>
        <w:numPr>
          <w:ilvl w:val="0"/>
          <w:numId w:val="6"/>
        </w:numPr>
        <w:pBdr>
          <w:top w:val="nil"/>
          <w:left w:val="nil"/>
          <w:bottom w:val="nil"/>
          <w:right w:val="nil"/>
          <w:between w:val="nil"/>
        </w:pBdr>
        <w:spacing w:after="0" w:line="240" w:lineRule="auto"/>
        <w:rPr>
          <w:rFonts w:ascii="Arial" w:eastAsia="Arial" w:hAnsi="Arial" w:cs="Arial"/>
          <w:i/>
          <w:color w:val="0070C0"/>
          <w:sz w:val="24"/>
          <w:szCs w:val="24"/>
        </w:rPr>
      </w:pPr>
      <w:r>
        <w:rPr>
          <w:rFonts w:ascii="Arial" w:eastAsia="Arial" w:hAnsi="Arial" w:cs="Arial"/>
          <w:b/>
          <w:i/>
          <w:color w:val="0070C0"/>
          <w:sz w:val="24"/>
          <w:szCs w:val="24"/>
          <w:u w:val="single"/>
        </w:rPr>
        <w:t>Call Team Usage</w:t>
      </w:r>
      <w:r>
        <w:rPr>
          <w:rFonts w:ascii="Arial" w:eastAsia="Arial" w:hAnsi="Arial" w:cs="Arial"/>
          <w:i/>
          <w:color w:val="0070C0"/>
          <w:sz w:val="24"/>
          <w:szCs w:val="24"/>
        </w:rPr>
        <w:t>:</w:t>
      </w:r>
    </w:p>
    <w:p w:rsidR="00B62509" w:rsidRDefault="000D5487">
      <w:pPr>
        <w:pBdr>
          <w:top w:val="nil"/>
          <w:left w:val="nil"/>
          <w:bottom w:val="nil"/>
          <w:right w:val="nil"/>
          <w:between w:val="nil"/>
        </w:pBdr>
        <w:spacing w:after="0" w:line="240" w:lineRule="auto"/>
        <w:ind w:left="720"/>
        <w:rPr>
          <w:rFonts w:ascii="Arial" w:eastAsia="Arial" w:hAnsi="Arial" w:cs="Arial"/>
          <w:i/>
          <w:color w:val="0070C0"/>
          <w:sz w:val="24"/>
          <w:szCs w:val="24"/>
        </w:rPr>
      </w:pPr>
      <w:r>
        <w:rPr>
          <w:rFonts w:ascii="Arial" w:eastAsia="Arial" w:hAnsi="Arial" w:cs="Arial"/>
          <w:i/>
          <w:color w:val="0070C0"/>
          <w:sz w:val="24"/>
          <w:szCs w:val="24"/>
        </w:rPr>
        <w:t xml:space="preserve">Use of the on-call team results in increased costs and, with limited personnel available during on-call hours, has the potential to make complicated cases and/or patients particularly challenging. Unfortunately, due to the </w:t>
      </w:r>
      <w:proofErr w:type="gramStart"/>
      <w:r>
        <w:rPr>
          <w:rFonts w:ascii="Arial" w:eastAsia="Arial" w:hAnsi="Arial" w:cs="Arial"/>
          <w:i/>
          <w:color w:val="0070C0"/>
          <w:sz w:val="24"/>
          <w:szCs w:val="24"/>
        </w:rPr>
        <w:t>aforementioned reasons</w:t>
      </w:r>
      <w:proofErr w:type="gramEnd"/>
      <w:r>
        <w:rPr>
          <w:rFonts w:ascii="Arial" w:eastAsia="Arial" w:hAnsi="Arial" w:cs="Arial"/>
          <w:i/>
          <w:color w:val="0070C0"/>
          <w:sz w:val="24"/>
          <w:szCs w:val="24"/>
        </w:rPr>
        <w:t>, the on-call team has been used with increasing frequency in recent years in order to finish scheduled cases and/or accommodate urgent/emergent add-on cases.</w:t>
      </w:r>
    </w:p>
    <w:p w:rsidR="00B62509" w:rsidRDefault="000D5487">
      <w:pPr>
        <w:pBdr>
          <w:top w:val="nil"/>
          <w:left w:val="nil"/>
          <w:bottom w:val="nil"/>
          <w:right w:val="nil"/>
          <w:between w:val="nil"/>
        </w:pBdr>
        <w:spacing w:after="0" w:line="240" w:lineRule="auto"/>
        <w:ind w:left="720"/>
        <w:rPr>
          <w:rFonts w:ascii="Arial" w:eastAsia="Arial" w:hAnsi="Arial" w:cs="Arial"/>
          <w:i/>
          <w:color w:val="0070C0"/>
          <w:sz w:val="24"/>
          <w:szCs w:val="24"/>
        </w:rPr>
      </w:pPr>
      <w:r>
        <w:rPr>
          <w:rFonts w:ascii="Arial" w:eastAsia="Arial" w:hAnsi="Arial" w:cs="Arial"/>
          <w:i/>
          <w:noProof/>
          <w:color w:val="0070C0"/>
          <w:sz w:val="24"/>
          <w:szCs w:val="24"/>
        </w:rPr>
        <w:drawing>
          <wp:inline distT="114300" distB="114300" distL="114300" distR="114300">
            <wp:extent cx="3942835" cy="2605088"/>
            <wp:effectExtent l="0" t="0" r="635" b="5080"/>
            <wp:docPr id="1" name="image2.png" descr="2016&#10;Last case finished after 15:30: 161&#10;Last case finished after 17:00: 105&#10;&#10;2017&#10;Last case finished after 15:30: 159&#10;Last case finished after 17:00: 93&#10;&#10;2018&#10;Last case finished after 15:30: 192&#10;Last case finished after 17:00: 123&#10;&#10;2019&#10;Last case finished after 15:30: 189&#10;Last case finished after 17:00: 129" title="Weekday Call Team Usage"/>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42835" cy="2605088"/>
                    </a:xfrm>
                    <a:prstGeom prst="rect">
                      <a:avLst/>
                    </a:prstGeom>
                    <a:ln/>
                  </pic:spPr>
                </pic:pic>
              </a:graphicData>
            </a:graphic>
          </wp:inline>
        </w:drawing>
      </w:r>
    </w:p>
    <w:p w:rsidR="00B62509" w:rsidRDefault="00B62509">
      <w:pPr>
        <w:pBdr>
          <w:top w:val="nil"/>
          <w:left w:val="nil"/>
          <w:bottom w:val="nil"/>
          <w:right w:val="nil"/>
          <w:between w:val="nil"/>
        </w:pBdr>
        <w:spacing w:after="0" w:line="240" w:lineRule="auto"/>
        <w:ind w:left="720"/>
        <w:rPr>
          <w:rFonts w:ascii="Arial" w:eastAsia="Arial" w:hAnsi="Arial" w:cs="Arial"/>
          <w:i/>
          <w:color w:val="0070C0"/>
          <w:sz w:val="24"/>
          <w:szCs w:val="24"/>
        </w:rPr>
      </w:pPr>
    </w:p>
    <w:p w:rsidR="00B62509" w:rsidRDefault="000D5487" w:rsidP="00EF071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The application states that the Applicant decided against the alternative to construct an ambulatory surgery center (ASC) because it would not address the needs of inpatients and emergency room surgical patients (pg.20).  </w:t>
      </w:r>
    </w:p>
    <w:p w:rsidR="00B62509" w:rsidRDefault="000D5487" w:rsidP="00EF0710">
      <w:pPr>
        <w:numPr>
          <w:ilvl w:val="1"/>
          <w:numId w:val="7"/>
        </w:numPr>
        <w:pBdr>
          <w:top w:val="nil"/>
          <w:left w:val="nil"/>
          <w:bottom w:val="nil"/>
          <w:right w:val="nil"/>
          <w:between w:val="nil"/>
        </w:pBdr>
        <w:spacing w:after="0" w:line="240" w:lineRule="auto"/>
        <w:rPr>
          <w:color w:val="000000"/>
          <w:sz w:val="24"/>
          <w:szCs w:val="24"/>
        </w:rPr>
      </w:pPr>
      <w:r>
        <w:rPr>
          <w:color w:val="000000"/>
          <w:sz w:val="24"/>
          <w:szCs w:val="24"/>
        </w:rPr>
        <w:t xml:space="preserve">In order to understand Patient </w:t>
      </w:r>
      <w:proofErr w:type="gramStart"/>
      <w:r>
        <w:rPr>
          <w:color w:val="000000"/>
          <w:sz w:val="24"/>
          <w:szCs w:val="24"/>
        </w:rPr>
        <w:t>Panel</w:t>
      </w:r>
      <w:proofErr w:type="gramEnd"/>
      <w:r>
        <w:rPr>
          <w:color w:val="000000"/>
          <w:sz w:val="24"/>
          <w:szCs w:val="24"/>
        </w:rPr>
        <w:t xml:space="preserve"> need for surgical services by patient status, provide a breakdown of 2019 Heywood OR volume by inpatient, outpatient, and emergency status.</w:t>
      </w:r>
    </w:p>
    <w:p w:rsidR="00B62509" w:rsidRDefault="00B62509">
      <w:pPr>
        <w:pBdr>
          <w:top w:val="nil"/>
          <w:left w:val="nil"/>
          <w:bottom w:val="nil"/>
          <w:right w:val="nil"/>
          <w:between w:val="nil"/>
        </w:pBdr>
        <w:spacing w:line="240" w:lineRule="auto"/>
        <w:ind w:left="720"/>
        <w:rPr>
          <w:color w:val="000000"/>
          <w:sz w:val="24"/>
          <w:szCs w:val="24"/>
        </w:rPr>
      </w:pPr>
    </w:p>
    <w:tbl>
      <w:tblPr>
        <w:tblStyle w:val="a3"/>
        <w:tblW w:w="2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Heywood OR"/>
        <w:tblDescription w:val=" Heywood OR&#10;(5,430)&#10;Inpatient 13% (698)&#10;Outpatient 79% (4,273)&#10;Emergency 9% (459)&#10;Total 100%&#10;"/>
      </w:tblPr>
      <w:tblGrid>
        <w:gridCol w:w="1207"/>
        <w:gridCol w:w="1448"/>
      </w:tblGrid>
      <w:tr w:rsidR="00B62509" w:rsidTr="002B4E15">
        <w:trPr>
          <w:tblHeader/>
          <w:jc w:val="center"/>
        </w:trPr>
        <w:tc>
          <w:tcPr>
            <w:tcW w:w="1207" w:type="dxa"/>
          </w:tcPr>
          <w:p w:rsidR="00B62509" w:rsidRDefault="00B62509">
            <w:pPr>
              <w:pBdr>
                <w:top w:val="nil"/>
                <w:left w:val="nil"/>
                <w:bottom w:val="nil"/>
                <w:right w:val="nil"/>
                <w:between w:val="nil"/>
              </w:pBdr>
              <w:spacing w:after="160" w:line="259" w:lineRule="auto"/>
              <w:rPr>
                <w:color w:val="000000"/>
              </w:rPr>
            </w:pPr>
          </w:p>
        </w:tc>
        <w:tc>
          <w:tcPr>
            <w:tcW w:w="1448" w:type="dxa"/>
            <w:shd w:val="clear" w:color="auto" w:fill="F2F2F2"/>
          </w:tcPr>
          <w:p w:rsidR="00B62509" w:rsidRDefault="000D5487">
            <w:pPr>
              <w:pBdr>
                <w:top w:val="nil"/>
                <w:left w:val="nil"/>
                <w:bottom w:val="nil"/>
                <w:right w:val="nil"/>
                <w:between w:val="nil"/>
              </w:pBdr>
              <w:spacing w:line="259" w:lineRule="auto"/>
              <w:jc w:val="center"/>
              <w:rPr>
                <w:b/>
                <w:color w:val="000000"/>
              </w:rPr>
            </w:pPr>
            <w:r>
              <w:rPr>
                <w:b/>
                <w:color w:val="000000"/>
              </w:rPr>
              <w:t>Heywood OR</w:t>
            </w:r>
          </w:p>
          <w:p w:rsidR="00B62509" w:rsidRDefault="000D5487">
            <w:pPr>
              <w:pBdr>
                <w:top w:val="nil"/>
                <w:left w:val="nil"/>
                <w:bottom w:val="nil"/>
                <w:right w:val="nil"/>
                <w:between w:val="nil"/>
              </w:pBdr>
              <w:spacing w:after="160" w:line="259" w:lineRule="auto"/>
              <w:jc w:val="center"/>
              <w:rPr>
                <w:b/>
                <w:color w:val="000000"/>
              </w:rPr>
            </w:pPr>
            <w:r>
              <w:rPr>
                <w:b/>
                <w:color w:val="000000"/>
              </w:rPr>
              <w:t>(5,430)</w:t>
            </w:r>
          </w:p>
        </w:tc>
      </w:tr>
      <w:tr w:rsidR="00B62509">
        <w:trPr>
          <w:jc w:val="center"/>
        </w:trPr>
        <w:tc>
          <w:tcPr>
            <w:tcW w:w="1207" w:type="dxa"/>
          </w:tcPr>
          <w:p w:rsidR="00B62509" w:rsidRDefault="000D5487">
            <w:pPr>
              <w:pBdr>
                <w:top w:val="nil"/>
                <w:left w:val="nil"/>
                <w:bottom w:val="nil"/>
                <w:right w:val="nil"/>
                <w:between w:val="nil"/>
              </w:pBdr>
              <w:spacing w:after="160" w:line="259" w:lineRule="auto"/>
              <w:rPr>
                <w:color w:val="000000"/>
              </w:rPr>
            </w:pPr>
            <w:r>
              <w:rPr>
                <w:color w:val="000000"/>
              </w:rPr>
              <w:t>Inpatient</w:t>
            </w:r>
          </w:p>
        </w:tc>
        <w:tc>
          <w:tcPr>
            <w:tcW w:w="1448" w:type="dxa"/>
          </w:tcPr>
          <w:p w:rsidR="00B62509" w:rsidRDefault="000D5487">
            <w:pPr>
              <w:pBdr>
                <w:top w:val="nil"/>
                <w:left w:val="nil"/>
                <w:bottom w:val="nil"/>
                <w:right w:val="nil"/>
                <w:between w:val="nil"/>
              </w:pBdr>
              <w:spacing w:after="160" w:line="259" w:lineRule="auto"/>
              <w:rPr>
                <w:color w:val="0070C0"/>
              </w:rPr>
            </w:pPr>
            <w:r>
              <w:rPr>
                <w:color w:val="0070C0"/>
              </w:rPr>
              <w:t>13% (698)</w:t>
            </w:r>
          </w:p>
        </w:tc>
      </w:tr>
      <w:tr w:rsidR="00B62509">
        <w:trPr>
          <w:jc w:val="center"/>
        </w:trPr>
        <w:tc>
          <w:tcPr>
            <w:tcW w:w="1207" w:type="dxa"/>
          </w:tcPr>
          <w:p w:rsidR="00B62509" w:rsidRDefault="000D5487">
            <w:pPr>
              <w:pBdr>
                <w:top w:val="nil"/>
                <w:left w:val="nil"/>
                <w:bottom w:val="nil"/>
                <w:right w:val="nil"/>
                <w:between w:val="nil"/>
              </w:pBdr>
              <w:spacing w:after="160" w:line="259" w:lineRule="auto"/>
              <w:rPr>
                <w:color w:val="000000"/>
              </w:rPr>
            </w:pPr>
            <w:r>
              <w:rPr>
                <w:color w:val="000000"/>
              </w:rPr>
              <w:t>Outpatient</w:t>
            </w:r>
          </w:p>
        </w:tc>
        <w:tc>
          <w:tcPr>
            <w:tcW w:w="1448" w:type="dxa"/>
          </w:tcPr>
          <w:p w:rsidR="00B62509" w:rsidRDefault="000D5487">
            <w:pPr>
              <w:pBdr>
                <w:top w:val="nil"/>
                <w:left w:val="nil"/>
                <w:bottom w:val="nil"/>
                <w:right w:val="nil"/>
                <w:between w:val="nil"/>
              </w:pBdr>
              <w:spacing w:after="160" w:line="259" w:lineRule="auto"/>
              <w:rPr>
                <w:color w:val="0070C0"/>
              </w:rPr>
            </w:pPr>
            <w:r>
              <w:rPr>
                <w:color w:val="0070C0"/>
              </w:rPr>
              <w:t>79% (4,273)</w:t>
            </w:r>
          </w:p>
        </w:tc>
      </w:tr>
      <w:tr w:rsidR="00B62509">
        <w:trPr>
          <w:jc w:val="center"/>
        </w:trPr>
        <w:tc>
          <w:tcPr>
            <w:tcW w:w="1207" w:type="dxa"/>
          </w:tcPr>
          <w:p w:rsidR="00B62509" w:rsidRDefault="000D5487">
            <w:pPr>
              <w:pBdr>
                <w:top w:val="nil"/>
                <w:left w:val="nil"/>
                <w:bottom w:val="nil"/>
                <w:right w:val="nil"/>
                <w:between w:val="nil"/>
              </w:pBdr>
              <w:spacing w:after="160" w:line="259" w:lineRule="auto"/>
              <w:rPr>
                <w:color w:val="000000"/>
              </w:rPr>
            </w:pPr>
            <w:r>
              <w:rPr>
                <w:color w:val="000000"/>
              </w:rPr>
              <w:t>Emergency</w:t>
            </w:r>
          </w:p>
        </w:tc>
        <w:tc>
          <w:tcPr>
            <w:tcW w:w="1448" w:type="dxa"/>
          </w:tcPr>
          <w:p w:rsidR="00B62509" w:rsidRDefault="000D5487">
            <w:pPr>
              <w:pBdr>
                <w:top w:val="nil"/>
                <w:left w:val="nil"/>
                <w:bottom w:val="nil"/>
                <w:right w:val="nil"/>
                <w:between w:val="nil"/>
              </w:pBdr>
              <w:spacing w:after="160" w:line="259" w:lineRule="auto"/>
              <w:rPr>
                <w:color w:val="0070C0"/>
              </w:rPr>
            </w:pPr>
            <w:r>
              <w:rPr>
                <w:color w:val="0070C0"/>
              </w:rPr>
              <w:t>9% (459)</w:t>
            </w:r>
          </w:p>
        </w:tc>
      </w:tr>
      <w:tr w:rsidR="00B62509">
        <w:trPr>
          <w:jc w:val="center"/>
        </w:trPr>
        <w:tc>
          <w:tcPr>
            <w:tcW w:w="1207" w:type="dxa"/>
          </w:tcPr>
          <w:p w:rsidR="00B62509" w:rsidRDefault="000D5487">
            <w:pPr>
              <w:pBdr>
                <w:top w:val="nil"/>
                <w:left w:val="nil"/>
                <w:bottom w:val="nil"/>
                <w:right w:val="nil"/>
                <w:between w:val="nil"/>
              </w:pBdr>
              <w:spacing w:after="160" w:line="259" w:lineRule="auto"/>
              <w:rPr>
                <w:b/>
                <w:color w:val="000000"/>
              </w:rPr>
            </w:pPr>
            <w:r>
              <w:rPr>
                <w:b/>
                <w:color w:val="000000"/>
              </w:rPr>
              <w:t>Total</w:t>
            </w:r>
          </w:p>
        </w:tc>
        <w:tc>
          <w:tcPr>
            <w:tcW w:w="1448" w:type="dxa"/>
          </w:tcPr>
          <w:p w:rsidR="00B62509" w:rsidRDefault="000D5487">
            <w:pPr>
              <w:pBdr>
                <w:top w:val="nil"/>
                <w:left w:val="nil"/>
                <w:bottom w:val="nil"/>
                <w:right w:val="nil"/>
                <w:between w:val="nil"/>
              </w:pBdr>
              <w:spacing w:after="160" w:line="259" w:lineRule="auto"/>
              <w:rPr>
                <w:b/>
                <w:color w:val="000000"/>
              </w:rPr>
            </w:pPr>
            <w:r>
              <w:rPr>
                <w:b/>
                <w:color w:val="000000"/>
              </w:rPr>
              <w:t>100%</w:t>
            </w:r>
          </w:p>
        </w:tc>
      </w:tr>
    </w:tbl>
    <w:p w:rsidR="00B62509" w:rsidRDefault="000D5487">
      <w:pPr>
        <w:rPr>
          <w:i/>
          <w:color w:val="0070C0"/>
          <w:sz w:val="24"/>
          <w:szCs w:val="24"/>
        </w:rPr>
      </w:pPr>
      <w:r>
        <w:rPr>
          <w:i/>
          <w:color w:val="0070C0"/>
          <w:sz w:val="24"/>
          <w:szCs w:val="24"/>
        </w:rPr>
        <w:lastRenderedPageBreak/>
        <w:t>Note: Of the 459 emergency cases, 79% (363 cases) were for inpatients and 21% (96 cases) were for outpatients.</w:t>
      </w:r>
    </w:p>
    <w:p w:rsidR="00B62509" w:rsidRDefault="000D5487" w:rsidP="00EF0710">
      <w:pPr>
        <w:numPr>
          <w:ilvl w:val="0"/>
          <w:numId w:val="7"/>
        </w:numPr>
        <w:pBdr>
          <w:top w:val="nil"/>
          <w:left w:val="nil"/>
          <w:bottom w:val="nil"/>
          <w:right w:val="nil"/>
          <w:between w:val="nil"/>
        </w:pBdr>
        <w:spacing w:after="0"/>
        <w:rPr>
          <w:color w:val="000000"/>
          <w:sz w:val="24"/>
          <w:szCs w:val="24"/>
        </w:rPr>
      </w:pPr>
      <w:r>
        <w:rPr>
          <w:color w:val="000000"/>
          <w:sz w:val="24"/>
          <w:szCs w:val="24"/>
        </w:rPr>
        <w:t xml:space="preserve">The application states the Proposed Project includes an increase in the number of the ORs from 4 to 6, which will reduce waiting times for procedures and increase the overall surgical volume (pg.15). </w:t>
      </w:r>
    </w:p>
    <w:p w:rsidR="00B62509" w:rsidRDefault="000D5487" w:rsidP="00EF0710">
      <w:pPr>
        <w:numPr>
          <w:ilvl w:val="1"/>
          <w:numId w:val="7"/>
        </w:numPr>
        <w:pBdr>
          <w:top w:val="nil"/>
          <w:left w:val="nil"/>
          <w:bottom w:val="nil"/>
          <w:right w:val="nil"/>
          <w:between w:val="nil"/>
        </w:pBdr>
        <w:spacing w:after="0" w:line="240" w:lineRule="auto"/>
        <w:rPr>
          <w:color w:val="000000"/>
          <w:sz w:val="24"/>
          <w:szCs w:val="24"/>
        </w:rPr>
      </w:pPr>
      <w:r>
        <w:rPr>
          <w:color w:val="000000"/>
          <w:sz w:val="24"/>
          <w:szCs w:val="24"/>
        </w:rPr>
        <w:t xml:space="preserve">In order to understand Patient </w:t>
      </w:r>
      <w:proofErr w:type="gramStart"/>
      <w:r>
        <w:rPr>
          <w:color w:val="000000"/>
          <w:sz w:val="24"/>
          <w:szCs w:val="24"/>
        </w:rPr>
        <w:t>Panel</w:t>
      </w:r>
      <w:proofErr w:type="gramEnd"/>
      <w:r>
        <w:rPr>
          <w:color w:val="000000"/>
          <w:sz w:val="24"/>
          <w:szCs w:val="24"/>
        </w:rPr>
        <w:t xml:space="preserve"> need for surgical services, provide average wait times (with date) for procedures. </w:t>
      </w:r>
    </w:p>
    <w:p w:rsidR="00B62509" w:rsidRDefault="00B62509">
      <w:pPr>
        <w:pBdr>
          <w:top w:val="nil"/>
          <w:left w:val="nil"/>
          <w:bottom w:val="nil"/>
          <w:right w:val="nil"/>
          <w:between w:val="nil"/>
        </w:pBdr>
        <w:spacing w:after="0" w:line="240" w:lineRule="auto"/>
        <w:ind w:left="1440"/>
        <w:rPr>
          <w:sz w:val="24"/>
          <w:szCs w:val="24"/>
        </w:rPr>
      </w:pPr>
    </w:p>
    <w:tbl>
      <w:tblPr>
        <w:tblStyle w:val="a4"/>
        <w:tblW w:w="6525"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Description w:val="Surgical Specialty Averaged Wait for Elective Procedure (in weeks)&#10;Local/Minor procedures 1-2 weeks&#10;General Surgery 3 weeks&#10;Bariatric Surgery 4 weeks&#10;Orthopedic 16-20 weeks&#10;Interventional Pain 2 weeks&#10;GYN 5 weeks&#10;Urology 2 weeks&#10;Gastroenterology 6 weeks&#10;"/>
      </w:tblPr>
      <w:tblGrid>
        <w:gridCol w:w="3075"/>
        <w:gridCol w:w="3450"/>
      </w:tblGrid>
      <w:tr w:rsidR="00B62509" w:rsidTr="002B4E15">
        <w:trPr>
          <w:tblHeader/>
        </w:trPr>
        <w:tc>
          <w:tcPr>
            <w:tcW w:w="3075"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Surgical Specialty</w:t>
            </w:r>
          </w:p>
        </w:tc>
        <w:tc>
          <w:tcPr>
            <w:tcW w:w="3450"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Averaged Wait for Elective Procedure (in weeks)</w:t>
            </w:r>
          </w:p>
        </w:tc>
      </w:tr>
      <w:tr w:rsidR="00B62509">
        <w:tc>
          <w:tcPr>
            <w:tcW w:w="3075"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Local/Minor procedures</w:t>
            </w:r>
          </w:p>
        </w:tc>
        <w:tc>
          <w:tcPr>
            <w:tcW w:w="3450"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1-2 weeks</w:t>
            </w:r>
          </w:p>
        </w:tc>
      </w:tr>
      <w:tr w:rsidR="00B62509">
        <w:tc>
          <w:tcPr>
            <w:tcW w:w="3075"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General Surgery</w:t>
            </w:r>
          </w:p>
        </w:tc>
        <w:tc>
          <w:tcPr>
            <w:tcW w:w="3450"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3 weeks</w:t>
            </w:r>
          </w:p>
        </w:tc>
      </w:tr>
      <w:tr w:rsidR="00B62509">
        <w:tc>
          <w:tcPr>
            <w:tcW w:w="3075"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Bariatric Surgery</w:t>
            </w:r>
          </w:p>
        </w:tc>
        <w:tc>
          <w:tcPr>
            <w:tcW w:w="3450"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4 weeks</w:t>
            </w:r>
          </w:p>
        </w:tc>
      </w:tr>
      <w:tr w:rsidR="00B62509">
        <w:tc>
          <w:tcPr>
            <w:tcW w:w="3075"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Orthopedic</w:t>
            </w:r>
          </w:p>
        </w:tc>
        <w:tc>
          <w:tcPr>
            <w:tcW w:w="3450"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16-20 weeks</w:t>
            </w:r>
          </w:p>
        </w:tc>
      </w:tr>
      <w:tr w:rsidR="00B62509">
        <w:tc>
          <w:tcPr>
            <w:tcW w:w="3075"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Interventional Pain</w:t>
            </w:r>
          </w:p>
        </w:tc>
        <w:tc>
          <w:tcPr>
            <w:tcW w:w="3450"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2 weeks</w:t>
            </w:r>
          </w:p>
        </w:tc>
      </w:tr>
      <w:tr w:rsidR="00B62509">
        <w:tc>
          <w:tcPr>
            <w:tcW w:w="3075"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GYN</w:t>
            </w:r>
          </w:p>
        </w:tc>
        <w:tc>
          <w:tcPr>
            <w:tcW w:w="3450"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5 weeks</w:t>
            </w:r>
          </w:p>
        </w:tc>
      </w:tr>
      <w:tr w:rsidR="00B62509">
        <w:tc>
          <w:tcPr>
            <w:tcW w:w="3075"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Urology</w:t>
            </w:r>
          </w:p>
        </w:tc>
        <w:tc>
          <w:tcPr>
            <w:tcW w:w="3450"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2 weeks</w:t>
            </w:r>
          </w:p>
        </w:tc>
      </w:tr>
      <w:tr w:rsidR="00B62509">
        <w:tc>
          <w:tcPr>
            <w:tcW w:w="3075"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Gastroenterology</w:t>
            </w:r>
          </w:p>
        </w:tc>
        <w:tc>
          <w:tcPr>
            <w:tcW w:w="3450" w:type="dxa"/>
            <w:shd w:val="clear" w:color="auto" w:fill="auto"/>
            <w:tcMar>
              <w:top w:w="100" w:type="dxa"/>
              <w:left w:w="100" w:type="dxa"/>
              <w:bottom w:w="100" w:type="dxa"/>
              <w:right w:w="100" w:type="dxa"/>
            </w:tcMar>
          </w:tcPr>
          <w:p w:rsidR="00B62509" w:rsidRDefault="000D5487">
            <w:pPr>
              <w:widowControl w:val="0"/>
              <w:pBdr>
                <w:top w:val="nil"/>
                <w:left w:val="nil"/>
                <w:bottom w:val="nil"/>
                <w:right w:val="nil"/>
                <w:between w:val="nil"/>
              </w:pBdr>
              <w:spacing w:after="0" w:line="240" w:lineRule="auto"/>
              <w:rPr>
                <w:sz w:val="24"/>
                <w:szCs w:val="24"/>
              </w:rPr>
            </w:pPr>
            <w:r>
              <w:rPr>
                <w:sz w:val="24"/>
                <w:szCs w:val="24"/>
              </w:rPr>
              <w:t>6 weeks</w:t>
            </w:r>
          </w:p>
        </w:tc>
      </w:tr>
    </w:tbl>
    <w:p w:rsidR="00B62509" w:rsidRDefault="00B62509">
      <w:pPr>
        <w:pBdr>
          <w:top w:val="nil"/>
          <w:left w:val="nil"/>
          <w:bottom w:val="nil"/>
          <w:right w:val="nil"/>
          <w:between w:val="nil"/>
        </w:pBdr>
        <w:spacing w:after="0" w:line="240" w:lineRule="auto"/>
        <w:ind w:left="1440"/>
        <w:rPr>
          <w:sz w:val="24"/>
          <w:szCs w:val="24"/>
        </w:rPr>
      </w:pPr>
    </w:p>
    <w:p w:rsidR="00B62509" w:rsidRDefault="00B62509">
      <w:pPr>
        <w:pBdr>
          <w:top w:val="nil"/>
          <w:left w:val="nil"/>
          <w:bottom w:val="nil"/>
          <w:right w:val="nil"/>
          <w:between w:val="nil"/>
        </w:pBdr>
        <w:spacing w:line="240" w:lineRule="auto"/>
        <w:ind w:left="1440"/>
        <w:rPr>
          <w:color w:val="000000"/>
        </w:rPr>
      </w:pPr>
    </w:p>
    <w:p w:rsidR="00B62509" w:rsidRDefault="000D5487">
      <w:pPr>
        <w:spacing w:line="240" w:lineRule="auto"/>
        <w:rPr>
          <w:b/>
          <w:sz w:val="24"/>
          <w:szCs w:val="24"/>
        </w:rPr>
      </w:pPr>
      <w:r>
        <w:rPr>
          <w:b/>
          <w:sz w:val="24"/>
          <w:szCs w:val="24"/>
        </w:rPr>
        <w:t>Factor 1b: Public Health Value</w:t>
      </w:r>
    </w:p>
    <w:p w:rsidR="00B62509" w:rsidRDefault="000D5487" w:rsidP="00EF071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The application describes wide-ranging disparities in income and poverty rates across the Service Area as well as health status and access problems across the Heywood Hospital Service area (pg.5). The application also states in response to the COVID1-19 pandemic, Heywood is focusing on the following areas:</w:t>
      </w:r>
      <w:r>
        <w:rPr>
          <w:color w:val="000000"/>
        </w:rPr>
        <w:t xml:space="preserve"> </w:t>
      </w:r>
      <w:r>
        <w:rPr>
          <w:color w:val="000000"/>
          <w:sz w:val="24"/>
          <w:szCs w:val="24"/>
        </w:rPr>
        <w:t>1. Data for identifying and addressing health disparities 2. Equitable distribution of health care resources 3. Telehealth as a tool for expanding equitable access to care 4. Health care workforce diversity 5. Social determinants of health and root causes of health inequities (pgs.8-9).</w:t>
      </w:r>
    </w:p>
    <w:p w:rsidR="00B62509" w:rsidRDefault="000D5487" w:rsidP="00EF0710">
      <w:pPr>
        <w:numPr>
          <w:ilvl w:val="1"/>
          <w:numId w:val="7"/>
        </w:numPr>
        <w:pBdr>
          <w:top w:val="nil"/>
          <w:left w:val="nil"/>
          <w:bottom w:val="nil"/>
          <w:right w:val="nil"/>
          <w:between w:val="nil"/>
        </w:pBdr>
        <w:spacing w:after="0" w:line="240" w:lineRule="auto"/>
        <w:rPr>
          <w:color w:val="000000"/>
          <w:sz w:val="24"/>
          <w:szCs w:val="24"/>
        </w:rPr>
      </w:pPr>
      <w:r>
        <w:rPr>
          <w:color w:val="000000"/>
          <w:sz w:val="24"/>
          <w:szCs w:val="24"/>
        </w:rPr>
        <w:t>How does the Proposed Project plan to leverage existing/new initiatives to identify and address healthcare disparities at Heywood Hospital and/or larger community related to the Proposed Project?</w:t>
      </w:r>
    </w:p>
    <w:p w:rsidR="00EF0710" w:rsidRPr="00BA3E6B" w:rsidRDefault="00EF0710" w:rsidP="00EF0710">
      <w:pPr>
        <w:pStyle w:val="ListParagraph"/>
        <w:shd w:val="clear" w:color="auto" w:fill="FFFFFF"/>
        <w:spacing w:after="0" w:line="240" w:lineRule="auto"/>
        <w:rPr>
          <w:rFonts w:ascii="Arial" w:eastAsia="Arial" w:hAnsi="Arial" w:cs="Arial"/>
          <w:i/>
          <w:color w:val="0070C0"/>
          <w:sz w:val="24"/>
          <w:szCs w:val="24"/>
        </w:rPr>
      </w:pPr>
      <w:r w:rsidRPr="00BA3E6B">
        <w:rPr>
          <w:rFonts w:ascii="Arial" w:eastAsia="Arial" w:hAnsi="Arial" w:cs="Arial"/>
          <w:i/>
          <w:color w:val="0070C0"/>
          <w:sz w:val="24"/>
          <w:szCs w:val="24"/>
        </w:rPr>
        <w:t xml:space="preserve">Healthcare disparities are identified and addressed through the triennial Community Health Needs Assessment(CHNA).  The CHNA is a comprehensive qualitative and quantitative assessment tool which presents issues related to the health, wellbeing and related factors that impact the health of those living in Heywood Healthcare’s catchment </w:t>
      </w:r>
      <w:r w:rsidRPr="00BA3E6B">
        <w:rPr>
          <w:rFonts w:ascii="Arial" w:eastAsia="Arial" w:hAnsi="Arial" w:cs="Arial"/>
          <w:i/>
          <w:color w:val="0070C0"/>
          <w:sz w:val="24"/>
          <w:szCs w:val="24"/>
        </w:rPr>
        <w:lastRenderedPageBreak/>
        <w:t xml:space="preserve">area. This study is a collaborative effort conducted by Heywood Healthcare’s Heywood Hospital and Athol Hospital; the </w:t>
      </w:r>
      <w:proofErr w:type="spellStart"/>
      <w:r w:rsidRPr="00BA3E6B">
        <w:rPr>
          <w:rFonts w:ascii="Arial" w:eastAsia="Arial" w:hAnsi="Arial" w:cs="Arial"/>
          <w:i/>
          <w:color w:val="0070C0"/>
          <w:sz w:val="24"/>
          <w:szCs w:val="24"/>
        </w:rPr>
        <w:t>Montachusett</w:t>
      </w:r>
      <w:proofErr w:type="spellEnd"/>
      <w:r w:rsidRPr="00BA3E6B">
        <w:rPr>
          <w:rFonts w:ascii="Arial" w:eastAsia="Arial" w:hAnsi="Arial" w:cs="Arial"/>
          <w:i/>
          <w:color w:val="0070C0"/>
          <w:sz w:val="24"/>
          <w:szCs w:val="24"/>
        </w:rPr>
        <w:t xml:space="preserve"> Regional Planning Commission; UMASS Memorial Health Alliance Clinton Hospital; The CHNA 9 Group; and John Snow, Inc. </w:t>
      </w:r>
    </w:p>
    <w:p w:rsidR="00EF0710" w:rsidRPr="00BA3E6B" w:rsidRDefault="00EF0710" w:rsidP="00EF0710">
      <w:pPr>
        <w:pStyle w:val="ListParagraph"/>
        <w:shd w:val="clear" w:color="auto" w:fill="FFFFFF"/>
        <w:spacing w:after="0" w:line="240" w:lineRule="auto"/>
        <w:jc w:val="both"/>
        <w:rPr>
          <w:rFonts w:ascii="Arial" w:eastAsia="Arial" w:hAnsi="Arial" w:cs="Arial"/>
          <w:i/>
          <w:color w:val="0070C0"/>
          <w:sz w:val="24"/>
          <w:szCs w:val="24"/>
        </w:rPr>
      </w:pPr>
    </w:p>
    <w:p w:rsidR="00EF0710" w:rsidRPr="00BA3E6B" w:rsidRDefault="00EF0710" w:rsidP="00EF0710">
      <w:pPr>
        <w:pStyle w:val="ListParagraph"/>
        <w:shd w:val="clear" w:color="auto" w:fill="FFFFFF"/>
        <w:spacing w:after="0" w:line="240" w:lineRule="auto"/>
        <w:rPr>
          <w:rFonts w:ascii="Arial" w:eastAsia="Arial" w:hAnsi="Arial" w:cs="Arial"/>
          <w:i/>
          <w:color w:val="0070C0"/>
          <w:sz w:val="24"/>
          <w:szCs w:val="24"/>
        </w:rPr>
      </w:pPr>
      <w:r w:rsidRPr="00BA3E6B">
        <w:rPr>
          <w:rFonts w:ascii="Arial" w:eastAsia="Arial" w:hAnsi="Arial" w:cs="Arial"/>
          <w:i/>
          <w:color w:val="0070C0"/>
          <w:sz w:val="24"/>
          <w:szCs w:val="24"/>
        </w:rPr>
        <w:t xml:space="preserve">Various other organizations and individuals also contribute to this effort, including community-based organizations and health service partners, as well as advocacy efforts from hospitals, health centers, rehabilitation centers, primary care physician and specialty networks, public health networks and local schools. </w:t>
      </w:r>
    </w:p>
    <w:p w:rsidR="00EF0710" w:rsidRPr="00BA3E6B" w:rsidRDefault="00EF0710" w:rsidP="00EF0710">
      <w:pPr>
        <w:pStyle w:val="ListParagraph"/>
        <w:shd w:val="clear" w:color="auto" w:fill="FFFFFF"/>
        <w:spacing w:after="0" w:line="240" w:lineRule="auto"/>
        <w:rPr>
          <w:rFonts w:ascii="Arial" w:eastAsia="Arial" w:hAnsi="Arial" w:cs="Arial"/>
          <w:i/>
          <w:color w:val="0070C0"/>
          <w:sz w:val="24"/>
          <w:szCs w:val="24"/>
        </w:rPr>
      </w:pPr>
    </w:p>
    <w:p w:rsidR="00EF0710" w:rsidRPr="004C1131" w:rsidRDefault="00EF0710" w:rsidP="004C1131">
      <w:pPr>
        <w:pStyle w:val="ListParagraph"/>
        <w:shd w:val="clear" w:color="auto" w:fill="FFFFFF"/>
        <w:spacing w:after="0" w:line="240" w:lineRule="auto"/>
        <w:jc w:val="both"/>
        <w:rPr>
          <w:rFonts w:ascii="Arial" w:eastAsia="Arial" w:hAnsi="Arial" w:cs="Arial"/>
          <w:i/>
          <w:color w:val="0070C0"/>
          <w:sz w:val="24"/>
          <w:szCs w:val="24"/>
        </w:rPr>
      </w:pPr>
      <w:r w:rsidRPr="00BA3E6B">
        <w:rPr>
          <w:rFonts w:ascii="Arial" w:eastAsia="Arial" w:hAnsi="Arial" w:cs="Arial"/>
          <w:i/>
          <w:color w:val="0070C0"/>
          <w:sz w:val="24"/>
          <w:szCs w:val="24"/>
        </w:rPr>
        <w:t>Based on study findings and identification of prevalent health needs, a Community Health Improvement Plan or CHIP is formulated, with initiatives carried out over the next three years.  Heywood Healthcare works closely with community partners and the CHNA9, to address regional disparities.</w:t>
      </w:r>
    </w:p>
    <w:p w:rsidR="00EF0710" w:rsidRPr="00BA3E6B" w:rsidRDefault="00EF0710" w:rsidP="00EF0710">
      <w:pPr>
        <w:pStyle w:val="ListParagraph"/>
        <w:shd w:val="clear" w:color="auto" w:fill="FFFFFF"/>
        <w:spacing w:after="0" w:line="240" w:lineRule="auto"/>
        <w:jc w:val="both"/>
        <w:rPr>
          <w:rFonts w:ascii="Arial" w:eastAsia="Arial" w:hAnsi="Arial" w:cs="Arial"/>
          <w:i/>
          <w:color w:val="0070C0"/>
          <w:sz w:val="24"/>
          <w:szCs w:val="24"/>
        </w:rPr>
      </w:pPr>
      <w:r w:rsidRPr="00BA3E6B">
        <w:rPr>
          <w:rFonts w:ascii="Arial" w:eastAsia="Arial" w:hAnsi="Arial" w:cs="Arial"/>
          <w:i/>
          <w:color w:val="0070C0"/>
          <w:sz w:val="24"/>
          <w:szCs w:val="24"/>
        </w:rPr>
        <w:t xml:space="preserve">Heywood Hospital will use regional health disparity information to inform outreach initiatives to ensure access for those needing surgical care. </w:t>
      </w:r>
    </w:p>
    <w:p w:rsidR="00B62509" w:rsidRDefault="00B62509">
      <w:pPr>
        <w:pBdr>
          <w:top w:val="nil"/>
          <w:left w:val="nil"/>
          <w:bottom w:val="nil"/>
          <w:right w:val="nil"/>
          <w:between w:val="nil"/>
        </w:pBdr>
        <w:spacing w:line="240" w:lineRule="auto"/>
        <w:ind w:left="1440"/>
        <w:rPr>
          <w:color w:val="000000"/>
          <w:sz w:val="24"/>
          <w:szCs w:val="24"/>
        </w:rPr>
      </w:pPr>
    </w:p>
    <w:p w:rsidR="00B62509" w:rsidRDefault="000D5487">
      <w:pPr>
        <w:spacing w:line="240" w:lineRule="auto"/>
        <w:rPr>
          <w:b/>
          <w:sz w:val="24"/>
          <w:szCs w:val="24"/>
        </w:rPr>
      </w:pPr>
      <w:r>
        <w:rPr>
          <w:b/>
          <w:sz w:val="24"/>
          <w:szCs w:val="24"/>
        </w:rPr>
        <w:t>Factor 1e Community Engagement</w:t>
      </w:r>
    </w:p>
    <w:p w:rsidR="00B62509" w:rsidRDefault="000D5487" w:rsidP="00EF0710">
      <w:pPr>
        <w:numPr>
          <w:ilvl w:val="0"/>
          <w:numId w:val="7"/>
        </w:numPr>
        <w:pBdr>
          <w:top w:val="nil"/>
          <w:left w:val="nil"/>
          <w:bottom w:val="nil"/>
          <w:right w:val="nil"/>
          <w:between w:val="nil"/>
        </w:pBdr>
        <w:spacing w:line="240" w:lineRule="auto"/>
        <w:rPr>
          <w:color w:val="000000"/>
          <w:sz w:val="24"/>
          <w:szCs w:val="24"/>
        </w:rPr>
      </w:pPr>
      <w:proofErr w:type="gramStart"/>
      <w:r>
        <w:rPr>
          <w:color w:val="000000"/>
          <w:sz w:val="24"/>
          <w:szCs w:val="24"/>
        </w:rPr>
        <w:t>In order to</w:t>
      </w:r>
      <w:proofErr w:type="gramEnd"/>
      <w:r>
        <w:rPr>
          <w:color w:val="000000"/>
          <w:sz w:val="24"/>
          <w:szCs w:val="24"/>
        </w:rPr>
        <w:t xml:space="preserve"> better understand the Applicant’s community engagement process during the development of the Proposed Project please complete the following table: </w:t>
      </w:r>
    </w:p>
    <w:tbl>
      <w:tblPr>
        <w:tblStyle w:val="a5"/>
        <w:tblW w:w="6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Event/Meeting Date Completed Attendance (if applicable)&#10;Patient Family Advisory Council 09/22/2020 &#10;Patient Family Advisory Council 10/20/2020 &#10;Community Based Advisory Committee 05/24/2021 &#10;Surgical Pavilion – Neighborhood Session 06/16/2021 &#10;Community Based Advisory Committee 06/21/2021 &#10;Surgical Pavilion Community Reception 07/27/2021 &#10;"/>
      </w:tblPr>
      <w:tblGrid>
        <w:gridCol w:w="2695"/>
        <w:gridCol w:w="1980"/>
        <w:gridCol w:w="1955"/>
      </w:tblGrid>
      <w:tr w:rsidR="00B62509" w:rsidTr="002B4E15">
        <w:trPr>
          <w:tblHeader/>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2F2F2"/>
          </w:tcPr>
          <w:p w:rsidR="00B62509" w:rsidRDefault="000D5487">
            <w:pPr>
              <w:rPr>
                <w:b/>
              </w:rPr>
            </w:pPr>
            <w:r>
              <w:rPr>
                <w:b/>
              </w:rPr>
              <w:t>Event/Meeting</w:t>
            </w:r>
          </w:p>
        </w:tc>
        <w:tc>
          <w:tcPr>
            <w:tcW w:w="1980" w:type="dxa"/>
            <w:tcBorders>
              <w:top w:val="single" w:sz="4" w:space="0" w:color="000000"/>
              <w:left w:val="single" w:sz="4" w:space="0" w:color="000000"/>
              <w:bottom w:val="single" w:sz="4" w:space="0" w:color="000000"/>
              <w:right w:val="single" w:sz="4" w:space="0" w:color="000000"/>
            </w:tcBorders>
            <w:shd w:val="clear" w:color="auto" w:fill="F2F2F2"/>
          </w:tcPr>
          <w:p w:rsidR="00B62509" w:rsidRDefault="000D5487">
            <w:pPr>
              <w:rPr>
                <w:b/>
              </w:rPr>
            </w:pPr>
            <w:r>
              <w:rPr>
                <w:b/>
              </w:rPr>
              <w:t>Date Completed</w:t>
            </w:r>
          </w:p>
        </w:tc>
        <w:tc>
          <w:tcPr>
            <w:tcW w:w="1955" w:type="dxa"/>
            <w:tcBorders>
              <w:top w:val="single" w:sz="4" w:space="0" w:color="000000"/>
              <w:left w:val="single" w:sz="4" w:space="0" w:color="000000"/>
              <w:bottom w:val="single" w:sz="4" w:space="0" w:color="000000"/>
              <w:right w:val="single" w:sz="4" w:space="0" w:color="000000"/>
            </w:tcBorders>
            <w:shd w:val="clear" w:color="auto" w:fill="F2F2F2"/>
          </w:tcPr>
          <w:p w:rsidR="00B62509" w:rsidRDefault="000D5487">
            <w:pPr>
              <w:rPr>
                <w:b/>
              </w:rPr>
            </w:pPr>
            <w:r>
              <w:rPr>
                <w:b/>
              </w:rPr>
              <w:t>Attendance (if applicable)</w:t>
            </w:r>
          </w:p>
        </w:tc>
      </w:tr>
      <w:tr w:rsidR="00B62509" w:rsidTr="00764124">
        <w:trPr>
          <w:jc w:val="center"/>
        </w:trPr>
        <w:tc>
          <w:tcPr>
            <w:tcW w:w="2695" w:type="dxa"/>
            <w:tcBorders>
              <w:top w:val="single" w:sz="4" w:space="0" w:color="000000"/>
              <w:left w:val="single" w:sz="4" w:space="0" w:color="000000"/>
              <w:bottom w:val="single" w:sz="4" w:space="0" w:color="000000"/>
              <w:right w:val="single" w:sz="4" w:space="0" w:color="000000"/>
            </w:tcBorders>
          </w:tcPr>
          <w:p w:rsidR="00B62509" w:rsidRDefault="00764124">
            <w:pPr>
              <w:rPr>
                <w:b/>
              </w:rPr>
            </w:pPr>
            <w:r>
              <w:rPr>
                <w:b/>
              </w:rPr>
              <w:t>Patient Family Advisory Council</w:t>
            </w:r>
          </w:p>
        </w:tc>
        <w:tc>
          <w:tcPr>
            <w:tcW w:w="1980" w:type="dxa"/>
            <w:tcBorders>
              <w:top w:val="single" w:sz="4" w:space="0" w:color="000000"/>
              <w:left w:val="single" w:sz="4" w:space="0" w:color="000000"/>
              <w:bottom w:val="single" w:sz="4" w:space="0" w:color="000000"/>
              <w:right w:val="single" w:sz="4" w:space="0" w:color="000000"/>
            </w:tcBorders>
          </w:tcPr>
          <w:p w:rsidR="00B62509" w:rsidRDefault="00764124">
            <w:pPr>
              <w:rPr>
                <w:b/>
              </w:rPr>
            </w:pPr>
            <w:r>
              <w:rPr>
                <w:b/>
              </w:rPr>
              <w:t>09/22/2020</w:t>
            </w:r>
          </w:p>
        </w:tc>
        <w:tc>
          <w:tcPr>
            <w:tcW w:w="1955" w:type="dxa"/>
            <w:tcBorders>
              <w:top w:val="single" w:sz="4" w:space="0" w:color="000000"/>
              <w:left w:val="single" w:sz="4" w:space="0" w:color="000000"/>
              <w:bottom w:val="single" w:sz="4" w:space="0" w:color="000000"/>
              <w:right w:val="single" w:sz="4" w:space="0" w:color="000000"/>
            </w:tcBorders>
          </w:tcPr>
          <w:p w:rsidR="00B62509" w:rsidRDefault="00B62509">
            <w:pPr>
              <w:rPr>
                <w:b/>
              </w:rPr>
            </w:pPr>
          </w:p>
        </w:tc>
      </w:tr>
      <w:tr w:rsidR="00B62509" w:rsidTr="00764124">
        <w:trPr>
          <w:jc w:val="center"/>
        </w:trPr>
        <w:tc>
          <w:tcPr>
            <w:tcW w:w="2695" w:type="dxa"/>
            <w:tcBorders>
              <w:top w:val="single" w:sz="4" w:space="0" w:color="000000"/>
              <w:left w:val="single" w:sz="4" w:space="0" w:color="000000"/>
              <w:bottom w:val="single" w:sz="4" w:space="0" w:color="000000"/>
              <w:right w:val="single" w:sz="4" w:space="0" w:color="000000"/>
            </w:tcBorders>
          </w:tcPr>
          <w:p w:rsidR="00B62509" w:rsidRDefault="00764124">
            <w:pPr>
              <w:rPr>
                <w:b/>
              </w:rPr>
            </w:pPr>
            <w:r>
              <w:rPr>
                <w:b/>
              </w:rPr>
              <w:t>Patient Family Advisory Council</w:t>
            </w:r>
          </w:p>
        </w:tc>
        <w:tc>
          <w:tcPr>
            <w:tcW w:w="1980" w:type="dxa"/>
            <w:tcBorders>
              <w:top w:val="single" w:sz="4" w:space="0" w:color="000000"/>
              <w:left w:val="single" w:sz="4" w:space="0" w:color="000000"/>
              <w:bottom w:val="single" w:sz="4" w:space="0" w:color="000000"/>
              <w:right w:val="single" w:sz="4" w:space="0" w:color="000000"/>
            </w:tcBorders>
          </w:tcPr>
          <w:p w:rsidR="00B62509" w:rsidRDefault="00764124">
            <w:pPr>
              <w:rPr>
                <w:b/>
              </w:rPr>
            </w:pPr>
            <w:r>
              <w:rPr>
                <w:b/>
              </w:rPr>
              <w:t>10/20/2020</w:t>
            </w:r>
          </w:p>
        </w:tc>
        <w:tc>
          <w:tcPr>
            <w:tcW w:w="1955" w:type="dxa"/>
            <w:tcBorders>
              <w:top w:val="single" w:sz="4" w:space="0" w:color="000000"/>
              <w:left w:val="single" w:sz="4" w:space="0" w:color="000000"/>
              <w:bottom w:val="single" w:sz="4" w:space="0" w:color="000000"/>
              <w:right w:val="single" w:sz="4" w:space="0" w:color="000000"/>
            </w:tcBorders>
          </w:tcPr>
          <w:p w:rsidR="00B62509" w:rsidRDefault="00B62509">
            <w:pPr>
              <w:rPr>
                <w:b/>
              </w:rPr>
            </w:pPr>
          </w:p>
        </w:tc>
      </w:tr>
      <w:tr w:rsidR="000D5487" w:rsidTr="00764124">
        <w:trPr>
          <w:jc w:val="center"/>
        </w:trPr>
        <w:tc>
          <w:tcPr>
            <w:tcW w:w="2695" w:type="dxa"/>
            <w:tcBorders>
              <w:top w:val="single" w:sz="4" w:space="0" w:color="000000"/>
              <w:left w:val="single" w:sz="4" w:space="0" w:color="000000"/>
              <w:bottom w:val="single" w:sz="4" w:space="0" w:color="000000"/>
              <w:right w:val="single" w:sz="4" w:space="0" w:color="000000"/>
            </w:tcBorders>
          </w:tcPr>
          <w:p w:rsidR="000D5487" w:rsidRDefault="000D5487">
            <w:pPr>
              <w:rPr>
                <w:b/>
              </w:rPr>
            </w:pPr>
            <w:r>
              <w:rPr>
                <w:b/>
              </w:rPr>
              <w:t>Community Based Advisory Committee</w:t>
            </w:r>
          </w:p>
        </w:tc>
        <w:tc>
          <w:tcPr>
            <w:tcW w:w="1980" w:type="dxa"/>
            <w:tcBorders>
              <w:top w:val="single" w:sz="4" w:space="0" w:color="000000"/>
              <w:left w:val="single" w:sz="4" w:space="0" w:color="000000"/>
              <w:bottom w:val="single" w:sz="4" w:space="0" w:color="000000"/>
              <w:right w:val="single" w:sz="4" w:space="0" w:color="000000"/>
            </w:tcBorders>
          </w:tcPr>
          <w:p w:rsidR="000D5487" w:rsidRDefault="000D5487">
            <w:pPr>
              <w:rPr>
                <w:b/>
              </w:rPr>
            </w:pPr>
            <w:r>
              <w:rPr>
                <w:b/>
              </w:rPr>
              <w:t>05/24/2021</w:t>
            </w:r>
          </w:p>
        </w:tc>
        <w:tc>
          <w:tcPr>
            <w:tcW w:w="1955" w:type="dxa"/>
            <w:tcBorders>
              <w:top w:val="single" w:sz="4" w:space="0" w:color="000000"/>
              <w:left w:val="single" w:sz="4" w:space="0" w:color="000000"/>
              <w:bottom w:val="single" w:sz="4" w:space="0" w:color="000000"/>
              <w:right w:val="single" w:sz="4" w:space="0" w:color="000000"/>
            </w:tcBorders>
          </w:tcPr>
          <w:p w:rsidR="000D5487" w:rsidRDefault="000D5487">
            <w:pPr>
              <w:rPr>
                <w:b/>
              </w:rPr>
            </w:pPr>
          </w:p>
        </w:tc>
      </w:tr>
      <w:tr w:rsidR="00B62509" w:rsidTr="00764124">
        <w:trPr>
          <w:jc w:val="center"/>
        </w:trPr>
        <w:tc>
          <w:tcPr>
            <w:tcW w:w="2695" w:type="dxa"/>
            <w:tcBorders>
              <w:top w:val="single" w:sz="4" w:space="0" w:color="000000"/>
              <w:left w:val="single" w:sz="4" w:space="0" w:color="000000"/>
              <w:bottom w:val="single" w:sz="4" w:space="0" w:color="000000"/>
              <w:right w:val="single" w:sz="4" w:space="0" w:color="000000"/>
            </w:tcBorders>
          </w:tcPr>
          <w:p w:rsidR="00B62509" w:rsidRDefault="00764124">
            <w:pPr>
              <w:rPr>
                <w:b/>
              </w:rPr>
            </w:pPr>
            <w:r>
              <w:rPr>
                <w:b/>
              </w:rPr>
              <w:t>Surgical Pavilion – Neighborhood Session</w:t>
            </w:r>
          </w:p>
        </w:tc>
        <w:tc>
          <w:tcPr>
            <w:tcW w:w="1980" w:type="dxa"/>
            <w:tcBorders>
              <w:top w:val="single" w:sz="4" w:space="0" w:color="000000"/>
              <w:left w:val="single" w:sz="4" w:space="0" w:color="000000"/>
              <w:bottom w:val="single" w:sz="4" w:space="0" w:color="000000"/>
              <w:right w:val="single" w:sz="4" w:space="0" w:color="000000"/>
            </w:tcBorders>
          </w:tcPr>
          <w:p w:rsidR="00B62509" w:rsidRDefault="00764124">
            <w:pPr>
              <w:rPr>
                <w:b/>
              </w:rPr>
            </w:pPr>
            <w:r>
              <w:rPr>
                <w:b/>
              </w:rPr>
              <w:t>06/16/2021</w:t>
            </w:r>
          </w:p>
        </w:tc>
        <w:tc>
          <w:tcPr>
            <w:tcW w:w="1955" w:type="dxa"/>
            <w:tcBorders>
              <w:top w:val="single" w:sz="4" w:space="0" w:color="000000"/>
              <w:left w:val="single" w:sz="4" w:space="0" w:color="000000"/>
              <w:bottom w:val="single" w:sz="4" w:space="0" w:color="000000"/>
              <w:right w:val="single" w:sz="4" w:space="0" w:color="000000"/>
            </w:tcBorders>
          </w:tcPr>
          <w:p w:rsidR="00B62509" w:rsidRDefault="00B62509">
            <w:pPr>
              <w:rPr>
                <w:b/>
              </w:rPr>
            </w:pPr>
          </w:p>
        </w:tc>
      </w:tr>
      <w:tr w:rsidR="000D5487" w:rsidTr="00764124">
        <w:trPr>
          <w:jc w:val="center"/>
        </w:trPr>
        <w:tc>
          <w:tcPr>
            <w:tcW w:w="2695" w:type="dxa"/>
            <w:tcBorders>
              <w:top w:val="single" w:sz="4" w:space="0" w:color="000000"/>
              <w:left w:val="single" w:sz="4" w:space="0" w:color="000000"/>
              <w:bottom w:val="single" w:sz="4" w:space="0" w:color="000000"/>
              <w:right w:val="single" w:sz="4" w:space="0" w:color="000000"/>
            </w:tcBorders>
          </w:tcPr>
          <w:p w:rsidR="000D5487" w:rsidRDefault="000D5487">
            <w:pPr>
              <w:rPr>
                <w:b/>
              </w:rPr>
            </w:pPr>
            <w:r>
              <w:rPr>
                <w:b/>
              </w:rPr>
              <w:t>Community Based Advisory Committee</w:t>
            </w:r>
          </w:p>
        </w:tc>
        <w:tc>
          <w:tcPr>
            <w:tcW w:w="1980" w:type="dxa"/>
            <w:tcBorders>
              <w:top w:val="single" w:sz="4" w:space="0" w:color="000000"/>
              <w:left w:val="single" w:sz="4" w:space="0" w:color="000000"/>
              <w:bottom w:val="single" w:sz="4" w:space="0" w:color="000000"/>
              <w:right w:val="single" w:sz="4" w:space="0" w:color="000000"/>
            </w:tcBorders>
          </w:tcPr>
          <w:p w:rsidR="000D5487" w:rsidRDefault="000D5487">
            <w:pPr>
              <w:rPr>
                <w:b/>
              </w:rPr>
            </w:pPr>
            <w:r>
              <w:rPr>
                <w:b/>
              </w:rPr>
              <w:t>06/21/2021</w:t>
            </w:r>
          </w:p>
        </w:tc>
        <w:tc>
          <w:tcPr>
            <w:tcW w:w="1955" w:type="dxa"/>
            <w:tcBorders>
              <w:top w:val="single" w:sz="4" w:space="0" w:color="000000"/>
              <w:left w:val="single" w:sz="4" w:space="0" w:color="000000"/>
              <w:bottom w:val="single" w:sz="4" w:space="0" w:color="000000"/>
              <w:right w:val="single" w:sz="4" w:space="0" w:color="000000"/>
            </w:tcBorders>
          </w:tcPr>
          <w:p w:rsidR="000D5487" w:rsidRDefault="000D5487">
            <w:pPr>
              <w:rPr>
                <w:b/>
              </w:rPr>
            </w:pPr>
          </w:p>
        </w:tc>
      </w:tr>
      <w:tr w:rsidR="00764124" w:rsidTr="00764124">
        <w:trPr>
          <w:jc w:val="center"/>
        </w:trPr>
        <w:tc>
          <w:tcPr>
            <w:tcW w:w="2695" w:type="dxa"/>
            <w:tcBorders>
              <w:top w:val="single" w:sz="4" w:space="0" w:color="000000"/>
              <w:left w:val="single" w:sz="4" w:space="0" w:color="000000"/>
              <w:bottom w:val="single" w:sz="4" w:space="0" w:color="000000"/>
              <w:right w:val="single" w:sz="4" w:space="0" w:color="000000"/>
            </w:tcBorders>
          </w:tcPr>
          <w:p w:rsidR="00764124" w:rsidRDefault="00764124" w:rsidP="00764124">
            <w:pPr>
              <w:rPr>
                <w:b/>
              </w:rPr>
            </w:pPr>
            <w:r>
              <w:rPr>
                <w:b/>
              </w:rPr>
              <w:t>Surgical Pavilion Community Reception</w:t>
            </w:r>
          </w:p>
        </w:tc>
        <w:tc>
          <w:tcPr>
            <w:tcW w:w="1980" w:type="dxa"/>
            <w:tcBorders>
              <w:top w:val="single" w:sz="4" w:space="0" w:color="000000"/>
              <w:left w:val="single" w:sz="4" w:space="0" w:color="000000"/>
              <w:bottom w:val="single" w:sz="4" w:space="0" w:color="000000"/>
              <w:right w:val="single" w:sz="4" w:space="0" w:color="000000"/>
            </w:tcBorders>
          </w:tcPr>
          <w:p w:rsidR="00764124" w:rsidRDefault="00764124">
            <w:pPr>
              <w:rPr>
                <w:b/>
              </w:rPr>
            </w:pPr>
            <w:r>
              <w:rPr>
                <w:b/>
              </w:rPr>
              <w:t>07/27/2021</w:t>
            </w:r>
          </w:p>
        </w:tc>
        <w:tc>
          <w:tcPr>
            <w:tcW w:w="1955" w:type="dxa"/>
            <w:tcBorders>
              <w:top w:val="single" w:sz="4" w:space="0" w:color="000000"/>
              <w:left w:val="single" w:sz="4" w:space="0" w:color="000000"/>
              <w:bottom w:val="single" w:sz="4" w:space="0" w:color="000000"/>
              <w:right w:val="single" w:sz="4" w:space="0" w:color="000000"/>
            </w:tcBorders>
          </w:tcPr>
          <w:p w:rsidR="00764124" w:rsidRDefault="00764124">
            <w:pPr>
              <w:rPr>
                <w:b/>
              </w:rPr>
            </w:pPr>
          </w:p>
        </w:tc>
      </w:tr>
    </w:tbl>
    <w:p w:rsidR="00B62509" w:rsidRDefault="00B62509">
      <w:pPr>
        <w:spacing w:line="240" w:lineRule="auto"/>
        <w:ind w:left="1440"/>
        <w:rPr>
          <w:sz w:val="24"/>
          <w:szCs w:val="24"/>
        </w:rPr>
      </w:pPr>
    </w:p>
    <w:p w:rsidR="00B62509" w:rsidRDefault="000D5487">
      <w:pPr>
        <w:numPr>
          <w:ilvl w:val="1"/>
          <w:numId w:val="3"/>
        </w:numPr>
        <w:spacing w:line="240" w:lineRule="auto"/>
        <w:rPr>
          <w:sz w:val="24"/>
          <w:szCs w:val="24"/>
        </w:rPr>
      </w:pPr>
      <w:r>
        <w:rPr>
          <w:sz w:val="24"/>
          <w:szCs w:val="24"/>
        </w:rPr>
        <w:t xml:space="preserve">Briefly explain how the PFAC and Multicultural Committee engaged for the purposes of the Proposed Project are representative of the Patient Panel (e.g., demographics—age, race/ethnicity, gender/gender identity, </w:t>
      </w:r>
      <w:proofErr w:type="gramStart"/>
      <w:r>
        <w:rPr>
          <w:sz w:val="24"/>
          <w:szCs w:val="24"/>
        </w:rPr>
        <w:t>veterans</w:t>
      </w:r>
      <w:proofErr w:type="gramEnd"/>
      <w:r>
        <w:rPr>
          <w:sz w:val="24"/>
          <w:szCs w:val="24"/>
        </w:rPr>
        <w:t xml:space="preserve"> status, disability status)?</w:t>
      </w:r>
    </w:p>
    <w:p w:rsidR="00B62509" w:rsidRPr="00BA3E6B" w:rsidRDefault="000D5487">
      <w:pPr>
        <w:rPr>
          <w:rFonts w:ascii="Arial" w:eastAsia="Arial" w:hAnsi="Arial" w:cs="Arial"/>
          <w:i/>
          <w:color w:val="0070C0"/>
          <w:sz w:val="24"/>
          <w:szCs w:val="24"/>
        </w:rPr>
      </w:pPr>
      <w:r w:rsidRPr="00BA3E6B">
        <w:rPr>
          <w:rFonts w:ascii="Arial" w:eastAsia="Arial" w:hAnsi="Arial" w:cs="Arial"/>
          <w:i/>
          <w:color w:val="0070C0"/>
          <w:sz w:val="24"/>
          <w:szCs w:val="24"/>
        </w:rPr>
        <w:t xml:space="preserve">Refer to </w:t>
      </w:r>
      <w:r w:rsidR="00A26F5C" w:rsidRPr="00BA3E6B">
        <w:rPr>
          <w:rFonts w:ascii="Arial" w:eastAsia="Arial" w:hAnsi="Arial" w:cs="Arial"/>
          <w:i/>
          <w:color w:val="0070C0"/>
          <w:sz w:val="24"/>
          <w:szCs w:val="24"/>
        </w:rPr>
        <w:t xml:space="preserve">the </w:t>
      </w:r>
      <w:r w:rsidRPr="00BA3E6B">
        <w:rPr>
          <w:rFonts w:ascii="Arial" w:eastAsia="Arial" w:hAnsi="Arial" w:cs="Arial"/>
          <w:i/>
          <w:color w:val="0070C0"/>
          <w:sz w:val="24"/>
          <w:szCs w:val="24"/>
        </w:rPr>
        <w:t xml:space="preserve">attached Demographic Sheet for PFAC Heywood. </w:t>
      </w:r>
    </w:p>
    <w:p w:rsidR="00B62509" w:rsidRPr="00BA3E6B" w:rsidRDefault="000D5487">
      <w:pPr>
        <w:rPr>
          <w:rFonts w:ascii="Arial" w:eastAsia="Arial" w:hAnsi="Arial" w:cs="Arial"/>
          <w:i/>
          <w:color w:val="0070C0"/>
          <w:sz w:val="24"/>
          <w:szCs w:val="24"/>
        </w:rPr>
      </w:pPr>
      <w:r w:rsidRPr="00BA3E6B">
        <w:rPr>
          <w:rFonts w:ascii="Arial" w:eastAsia="Arial" w:hAnsi="Arial" w:cs="Arial"/>
          <w:i/>
          <w:color w:val="0070C0"/>
          <w:sz w:val="24"/>
          <w:szCs w:val="24"/>
        </w:rPr>
        <w:t xml:space="preserve">The Multicultural Task Force has evolved this year into Heywood's DEI Diversity, Equity and Inclusion Committee. Through this evolution, we have membership not only from the various hospital departments but have added previous patients, families, community agencies attempting to secure representation from all groups within our catchment area.  Membership </w:t>
      </w:r>
      <w:r w:rsidRPr="00BA3E6B">
        <w:rPr>
          <w:rFonts w:ascii="Arial" w:eastAsia="Arial" w:hAnsi="Arial" w:cs="Arial"/>
          <w:i/>
          <w:color w:val="0070C0"/>
          <w:sz w:val="24"/>
          <w:szCs w:val="24"/>
        </w:rPr>
        <w:lastRenderedPageBreak/>
        <w:t xml:space="preserve">includes but not limited to: Representation from the following: </w:t>
      </w:r>
      <w:proofErr w:type="spellStart"/>
      <w:r w:rsidRPr="00BA3E6B">
        <w:rPr>
          <w:rFonts w:ascii="Arial" w:eastAsia="Arial" w:hAnsi="Arial" w:cs="Arial"/>
          <w:i/>
          <w:color w:val="0070C0"/>
          <w:sz w:val="24"/>
          <w:szCs w:val="24"/>
        </w:rPr>
        <w:t>Ahmadiyya</w:t>
      </w:r>
      <w:proofErr w:type="spellEnd"/>
      <w:r w:rsidRPr="00BA3E6B">
        <w:rPr>
          <w:rFonts w:ascii="Arial" w:eastAsia="Arial" w:hAnsi="Arial" w:cs="Arial"/>
          <w:i/>
          <w:color w:val="0070C0"/>
          <w:sz w:val="24"/>
          <w:szCs w:val="24"/>
        </w:rPr>
        <w:t xml:space="preserve"> Muslim Community, Care Central </w:t>
      </w:r>
      <w:proofErr w:type="spellStart"/>
      <w:r w:rsidRPr="00BA3E6B">
        <w:rPr>
          <w:rFonts w:ascii="Arial" w:eastAsia="Arial" w:hAnsi="Arial" w:cs="Arial"/>
          <w:i/>
          <w:color w:val="0070C0"/>
          <w:sz w:val="24"/>
          <w:szCs w:val="24"/>
        </w:rPr>
        <w:t>VNA,City</w:t>
      </w:r>
      <w:proofErr w:type="spellEnd"/>
      <w:r w:rsidRPr="00BA3E6B">
        <w:rPr>
          <w:rFonts w:ascii="Arial" w:eastAsia="Arial" w:hAnsi="Arial" w:cs="Arial"/>
          <w:i/>
          <w:color w:val="0070C0"/>
          <w:sz w:val="24"/>
          <w:szCs w:val="24"/>
        </w:rPr>
        <w:t xml:space="preserve"> of Gardner, Community Health </w:t>
      </w:r>
      <w:proofErr w:type="spellStart"/>
      <w:r w:rsidRPr="00BA3E6B">
        <w:rPr>
          <w:rFonts w:ascii="Arial" w:eastAsia="Arial" w:hAnsi="Arial" w:cs="Arial"/>
          <w:i/>
          <w:color w:val="0070C0"/>
          <w:sz w:val="24"/>
          <w:szCs w:val="24"/>
        </w:rPr>
        <w:t>Center,Congressman</w:t>
      </w:r>
      <w:proofErr w:type="spellEnd"/>
      <w:r w:rsidRPr="00BA3E6B">
        <w:rPr>
          <w:rFonts w:ascii="Arial" w:eastAsia="Arial" w:hAnsi="Arial" w:cs="Arial"/>
          <w:i/>
          <w:color w:val="0070C0"/>
          <w:sz w:val="24"/>
          <w:szCs w:val="24"/>
        </w:rPr>
        <w:t xml:space="preserve"> McGovern’s Office, Congresswoman Trahan’s office,  GAIT-Gardner Area Interagency Team, Gardner CAC, Disability Commission Heywood Healthcare-Athol &amp; Heywood Hospital-</w:t>
      </w:r>
      <w:proofErr w:type="spellStart"/>
      <w:r w:rsidRPr="00BA3E6B">
        <w:rPr>
          <w:rFonts w:ascii="Arial" w:eastAsia="Arial" w:hAnsi="Arial" w:cs="Arial"/>
          <w:i/>
          <w:color w:val="0070C0"/>
          <w:sz w:val="24"/>
          <w:szCs w:val="24"/>
        </w:rPr>
        <w:t>FS,HMG,HR,MCS,Pt</w:t>
      </w:r>
      <w:proofErr w:type="spellEnd"/>
      <w:r w:rsidRPr="00BA3E6B">
        <w:rPr>
          <w:rFonts w:ascii="Arial" w:eastAsia="Arial" w:hAnsi="Arial" w:cs="Arial"/>
          <w:i/>
          <w:color w:val="0070C0"/>
          <w:sz w:val="24"/>
          <w:szCs w:val="24"/>
        </w:rPr>
        <w:t xml:space="preserve"> </w:t>
      </w:r>
      <w:proofErr w:type="spellStart"/>
      <w:r w:rsidRPr="00BA3E6B">
        <w:rPr>
          <w:rFonts w:ascii="Arial" w:eastAsia="Arial" w:hAnsi="Arial" w:cs="Arial"/>
          <w:i/>
          <w:color w:val="0070C0"/>
          <w:sz w:val="24"/>
          <w:szCs w:val="24"/>
        </w:rPr>
        <w:t>Reg,PD,RS,SS,Telehealth</w:t>
      </w:r>
      <w:proofErr w:type="spellEnd"/>
      <w:r w:rsidRPr="00BA3E6B">
        <w:rPr>
          <w:rFonts w:ascii="Arial" w:eastAsia="Arial" w:hAnsi="Arial" w:cs="Arial"/>
          <w:i/>
          <w:color w:val="0070C0"/>
          <w:sz w:val="24"/>
          <w:szCs w:val="24"/>
        </w:rPr>
        <w:t xml:space="preserve"> Program, Genesis Healthcare, Heywood-Wakefield Commons, Leominster Haitian American Community Center,  LUK ,Massachusetts Department of Mental Health, MOC-Making Opportunity Count, </w:t>
      </w:r>
      <w:proofErr w:type="spellStart"/>
      <w:r w:rsidRPr="00BA3E6B">
        <w:rPr>
          <w:rFonts w:ascii="Arial" w:eastAsia="Arial" w:hAnsi="Arial" w:cs="Arial"/>
          <w:i/>
          <w:color w:val="0070C0"/>
          <w:sz w:val="24"/>
          <w:szCs w:val="24"/>
        </w:rPr>
        <w:t>Montachusett</w:t>
      </w:r>
      <w:proofErr w:type="spellEnd"/>
      <w:r w:rsidRPr="00BA3E6B">
        <w:rPr>
          <w:rFonts w:ascii="Arial" w:eastAsia="Arial" w:hAnsi="Arial" w:cs="Arial"/>
          <w:i/>
          <w:color w:val="0070C0"/>
          <w:sz w:val="24"/>
          <w:szCs w:val="24"/>
        </w:rPr>
        <w:t xml:space="preserve"> Suicide Prevention Task Force, North Central Mass Minority Coalition, Open Sky, Patient Family Advisory Committee, Spanish American Center , Three Pyramids Inc, United Hmong of Massachusetts, </w:t>
      </w:r>
      <w:proofErr w:type="spellStart"/>
      <w:r w:rsidRPr="00BA3E6B">
        <w:rPr>
          <w:rFonts w:ascii="Arial" w:eastAsia="Arial" w:hAnsi="Arial" w:cs="Arial"/>
          <w:i/>
          <w:color w:val="0070C0"/>
          <w:sz w:val="24"/>
          <w:szCs w:val="24"/>
        </w:rPr>
        <w:t>Wachusett</w:t>
      </w:r>
      <w:proofErr w:type="spellEnd"/>
      <w:r w:rsidRPr="00BA3E6B">
        <w:rPr>
          <w:rFonts w:ascii="Arial" w:eastAsia="Arial" w:hAnsi="Arial" w:cs="Arial"/>
          <w:i/>
          <w:color w:val="0070C0"/>
          <w:sz w:val="24"/>
          <w:szCs w:val="24"/>
        </w:rPr>
        <w:t xml:space="preserve"> Medical Reserve, </w:t>
      </w:r>
      <w:proofErr w:type="spellStart"/>
      <w:r w:rsidRPr="00BA3E6B">
        <w:rPr>
          <w:rFonts w:ascii="Arial" w:eastAsia="Arial" w:hAnsi="Arial" w:cs="Arial"/>
          <w:i/>
          <w:color w:val="0070C0"/>
          <w:sz w:val="24"/>
          <w:szCs w:val="24"/>
        </w:rPr>
        <w:t>Wachusett</w:t>
      </w:r>
      <w:proofErr w:type="spellEnd"/>
      <w:r w:rsidRPr="00BA3E6B">
        <w:rPr>
          <w:rFonts w:ascii="Arial" w:eastAsia="Arial" w:hAnsi="Arial" w:cs="Arial"/>
          <w:i/>
          <w:color w:val="0070C0"/>
          <w:sz w:val="24"/>
          <w:szCs w:val="24"/>
        </w:rPr>
        <w:t xml:space="preserve"> Rehab &amp; Nursing Center. Attendees are also representative of the LGBTQI+, veterans, </w:t>
      </w:r>
      <w:proofErr w:type="spellStart"/>
      <w:r w:rsidRPr="00BA3E6B">
        <w:rPr>
          <w:rFonts w:ascii="Arial" w:eastAsia="Arial" w:hAnsi="Arial" w:cs="Arial"/>
          <w:i/>
          <w:color w:val="0070C0"/>
          <w:sz w:val="24"/>
          <w:szCs w:val="24"/>
        </w:rPr>
        <w:t>disabiled</w:t>
      </w:r>
      <w:proofErr w:type="spellEnd"/>
      <w:r w:rsidRPr="00BA3E6B">
        <w:rPr>
          <w:rFonts w:ascii="Arial" w:eastAsia="Arial" w:hAnsi="Arial" w:cs="Arial"/>
          <w:i/>
          <w:color w:val="0070C0"/>
          <w:sz w:val="24"/>
          <w:szCs w:val="24"/>
        </w:rPr>
        <w:t>, elderly, youth etc.</w:t>
      </w:r>
    </w:p>
    <w:p w:rsidR="00B62509" w:rsidRPr="00BA3E6B" w:rsidRDefault="000D5487">
      <w:pPr>
        <w:rPr>
          <w:rFonts w:ascii="Arial" w:eastAsia="Arial" w:hAnsi="Arial" w:cs="Arial"/>
          <w:i/>
          <w:color w:val="0070C0"/>
          <w:sz w:val="24"/>
          <w:szCs w:val="24"/>
        </w:rPr>
      </w:pPr>
      <w:r w:rsidRPr="00BA3E6B">
        <w:rPr>
          <w:rFonts w:ascii="Arial" w:eastAsia="Arial" w:hAnsi="Arial" w:cs="Arial"/>
          <w:i/>
          <w:color w:val="0070C0"/>
          <w:sz w:val="24"/>
          <w:szCs w:val="24"/>
        </w:rPr>
        <w:t>Our Multicultural Service Department conducts an annual Language Needs Assessment (LNA) and works with the committee in development of strategies to best meet the needs of these populations. We serve on various Boards, committees and subgroups. Currently our HR Department is working on additional educational opportunities identified by staff on working with DEI initiatives.</w:t>
      </w:r>
    </w:p>
    <w:p w:rsidR="00B62509" w:rsidRPr="00BA3E6B" w:rsidRDefault="000D5487">
      <w:pPr>
        <w:rPr>
          <w:rFonts w:ascii="Arial" w:eastAsia="Arial" w:hAnsi="Arial" w:cs="Arial"/>
          <w:i/>
          <w:color w:val="4472C4" w:themeColor="accent1"/>
        </w:rPr>
      </w:pPr>
      <w:r w:rsidRPr="00BA3E6B">
        <w:rPr>
          <w:rFonts w:ascii="Arial" w:eastAsia="Arial" w:hAnsi="Arial" w:cs="Arial"/>
          <w:i/>
          <w:color w:val="0070C0"/>
          <w:sz w:val="24"/>
          <w:szCs w:val="24"/>
        </w:rPr>
        <w:t xml:space="preserve"> This committee is also part of the </w:t>
      </w:r>
      <w:proofErr w:type="spellStart"/>
      <w:r w:rsidRPr="00BA3E6B">
        <w:rPr>
          <w:rFonts w:ascii="Arial" w:eastAsia="Arial" w:hAnsi="Arial" w:cs="Arial"/>
          <w:i/>
          <w:color w:val="0070C0"/>
          <w:sz w:val="24"/>
          <w:szCs w:val="24"/>
        </w:rPr>
        <w:t>Montachusett</w:t>
      </w:r>
      <w:proofErr w:type="spellEnd"/>
      <w:r w:rsidRPr="00BA3E6B">
        <w:rPr>
          <w:rFonts w:ascii="Arial" w:eastAsia="Arial" w:hAnsi="Arial" w:cs="Arial"/>
          <w:i/>
          <w:color w:val="0070C0"/>
          <w:sz w:val="24"/>
          <w:szCs w:val="24"/>
        </w:rPr>
        <w:t xml:space="preserve"> Suicide Prevention Task Force. This Task Force is a member of the Mass Coalition for Suicide Prevention and it focuses on reducing suicide in our region. </w:t>
      </w:r>
    </w:p>
    <w:p w:rsidR="00B62509" w:rsidRDefault="00B62509">
      <w:pPr>
        <w:spacing w:after="0" w:line="240" w:lineRule="auto"/>
        <w:rPr>
          <w:b/>
          <w:sz w:val="24"/>
          <w:szCs w:val="24"/>
        </w:rPr>
      </w:pPr>
    </w:p>
    <w:p w:rsidR="00B62509" w:rsidRDefault="000D5487">
      <w:pPr>
        <w:spacing w:after="0" w:line="240" w:lineRule="auto"/>
        <w:rPr>
          <w:b/>
          <w:sz w:val="24"/>
          <w:szCs w:val="24"/>
        </w:rPr>
      </w:pPr>
      <w:r>
        <w:rPr>
          <w:b/>
          <w:sz w:val="24"/>
          <w:szCs w:val="24"/>
        </w:rPr>
        <w:t>Factor 1f. Competition</w:t>
      </w:r>
    </w:p>
    <w:p w:rsidR="00B62509" w:rsidRDefault="000D5487" w:rsidP="00EF071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The application states as more patients </w:t>
      </w:r>
      <w:proofErr w:type="gramStart"/>
      <w:r>
        <w:rPr>
          <w:color w:val="000000"/>
          <w:sz w:val="24"/>
          <w:szCs w:val="24"/>
        </w:rPr>
        <w:t>are able to</w:t>
      </w:r>
      <w:proofErr w:type="gramEnd"/>
      <w:r>
        <w:rPr>
          <w:color w:val="000000"/>
          <w:sz w:val="24"/>
          <w:szCs w:val="24"/>
        </w:rPr>
        <w:t xml:space="preserve"> receive procedural care at Heywood Hospital, fewer referrals to higher-cost tertiary centers will need to be made (pg.6). </w:t>
      </w:r>
    </w:p>
    <w:p w:rsidR="00B62509" w:rsidRDefault="000D5487" w:rsidP="00EF0710">
      <w:pPr>
        <w:numPr>
          <w:ilvl w:val="1"/>
          <w:numId w:val="7"/>
        </w:numPr>
        <w:pBdr>
          <w:top w:val="nil"/>
          <w:left w:val="nil"/>
          <w:bottom w:val="nil"/>
          <w:right w:val="nil"/>
          <w:between w:val="nil"/>
        </w:pBdr>
        <w:spacing w:line="240" w:lineRule="auto"/>
        <w:rPr>
          <w:color w:val="000000"/>
          <w:sz w:val="24"/>
          <w:szCs w:val="24"/>
        </w:rPr>
      </w:pPr>
      <w:r>
        <w:rPr>
          <w:color w:val="000000"/>
          <w:sz w:val="24"/>
          <w:szCs w:val="24"/>
        </w:rPr>
        <w:t xml:space="preserve">To better understand the impact of the Proposed Project on access to care in a lower cost setting, provide the number of patient referrals to higher-cost tertiary centers, if possible. </w:t>
      </w:r>
    </w:p>
    <w:tbl>
      <w:tblPr>
        <w:tblW w:w="0" w:type="auto"/>
        <w:tblInd w:w="990" w:type="dxa"/>
        <w:tblLayout w:type="fixed"/>
        <w:tblLook w:val="0000" w:firstRow="0" w:lastRow="0" w:firstColumn="0" w:lastColumn="0" w:noHBand="0" w:noVBand="0"/>
      </w:tblPr>
      <w:tblGrid>
        <w:gridCol w:w="2700"/>
        <w:gridCol w:w="2700"/>
        <w:gridCol w:w="2700"/>
      </w:tblGrid>
      <w:tr w:rsidR="00EF0710" w:rsidRPr="00EF0710" w:rsidTr="00EF0710">
        <w:trPr>
          <w:trHeight w:val="345"/>
        </w:trPr>
        <w:tc>
          <w:tcPr>
            <w:tcW w:w="8100" w:type="dxa"/>
            <w:gridSpan w:val="3"/>
            <w:tcBorders>
              <w:top w:val="nil"/>
              <w:left w:val="nil"/>
              <w:bottom w:val="nil"/>
              <w:right w:val="nil"/>
            </w:tcBorders>
          </w:tcPr>
          <w:p w:rsidR="00EF0710" w:rsidRDefault="00EF0710" w:rsidP="00EF0710">
            <w:pPr>
              <w:pBdr>
                <w:top w:val="nil"/>
                <w:left w:val="nil"/>
                <w:bottom w:val="nil"/>
                <w:right w:val="nil"/>
                <w:between w:val="nil"/>
              </w:pBdr>
              <w:spacing w:after="0" w:line="240" w:lineRule="auto"/>
              <w:ind w:left="1440"/>
              <w:jc w:val="center"/>
              <w:rPr>
                <w:color w:val="000000"/>
                <w:sz w:val="24"/>
                <w:szCs w:val="24"/>
              </w:rPr>
            </w:pPr>
            <w:r w:rsidRPr="00EF0710">
              <w:rPr>
                <w:color w:val="000000"/>
                <w:sz w:val="24"/>
                <w:szCs w:val="24"/>
              </w:rPr>
              <w:t>Surgical Cases Performed at Other Healthcare Facilities</w:t>
            </w:r>
          </w:p>
          <w:p w:rsidR="00EF0710" w:rsidRPr="00EF0710" w:rsidRDefault="00EF0710" w:rsidP="00EF0710">
            <w:pPr>
              <w:pBdr>
                <w:top w:val="nil"/>
                <w:left w:val="nil"/>
                <w:bottom w:val="nil"/>
                <w:right w:val="nil"/>
                <w:between w:val="nil"/>
              </w:pBdr>
              <w:spacing w:after="0" w:line="240" w:lineRule="auto"/>
              <w:ind w:left="1440"/>
              <w:jc w:val="center"/>
              <w:rPr>
                <w:color w:val="000000"/>
                <w:sz w:val="24"/>
                <w:szCs w:val="24"/>
              </w:rPr>
            </w:pPr>
            <w:r>
              <w:rPr>
                <w:color w:val="000000"/>
                <w:sz w:val="24"/>
                <w:szCs w:val="24"/>
              </w:rPr>
              <w:t>(see attached PDF for details)</w:t>
            </w:r>
          </w:p>
        </w:tc>
      </w:tr>
      <w:tr w:rsidR="00EF0710" w:rsidRPr="00EF0710" w:rsidTr="00EF0710">
        <w:trPr>
          <w:trHeight w:val="285"/>
        </w:trPr>
        <w:tc>
          <w:tcPr>
            <w:tcW w:w="2700" w:type="dxa"/>
            <w:tcBorders>
              <w:top w:val="nil"/>
              <w:left w:val="nil"/>
              <w:bottom w:val="nil"/>
              <w:right w:val="nil"/>
            </w:tcBorders>
          </w:tcPr>
          <w:p w:rsidR="00EF0710" w:rsidRPr="00EF0710" w:rsidRDefault="00EF0710" w:rsidP="00EF0710">
            <w:pPr>
              <w:pBdr>
                <w:top w:val="nil"/>
                <w:left w:val="nil"/>
                <w:bottom w:val="nil"/>
                <w:right w:val="nil"/>
                <w:between w:val="nil"/>
              </w:pBdr>
              <w:spacing w:line="240" w:lineRule="auto"/>
              <w:ind w:left="1440"/>
              <w:rPr>
                <w:color w:val="000000"/>
                <w:sz w:val="24"/>
                <w:szCs w:val="24"/>
              </w:rPr>
            </w:pPr>
          </w:p>
        </w:tc>
        <w:tc>
          <w:tcPr>
            <w:tcW w:w="2700" w:type="dxa"/>
            <w:tcBorders>
              <w:top w:val="nil"/>
              <w:left w:val="nil"/>
              <w:bottom w:val="nil"/>
              <w:right w:val="nil"/>
            </w:tcBorders>
          </w:tcPr>
          <w:p w:rsidR="00EF0710" w:rsidRPr="00EF0710" w:rsidRDefault="00EF0710" w:rsidP="00EF0710">
            <w:pPr>
              <w:pBdr>
                <w:top w:val="nil"/>
                <w:left w:val="nil"/>
                <w:bottom w:val="nil"/>
                <w:right w:val="nil"/>
                <w:between w:val="nil"/>
              </w:pBdr>
              <w:spacing w:line="240" w:lineRule="auto"/>
              <w:ind w:left="1440"/>
              <w:rPr>
                <w:color w:val="000000"/>
                <w:sz w:val="24"/>
                <w:szCs w:val="24"/>
              </w:rPr>
            </w:pPr>
          </w:p>
        </w:tc>
        <w:tc>
          <w:tcPr>
            <w:tcW w:w="2700" w:type="dxa"/>
            <w:tcBorders>
              <w:top w:val="nil"/>
              <w:left w:val="nil"/>
              <w:bottom w:val="nil"/>
              <w:right w:val="nil"/>
            </w:tcBorders>
          </w:tcPr>
          <w:p w:rsidR="00EF0710" w:rsidRPr="00EF0710" w:rsidRDefault="00EF0710" w:rsidP="00EF0710">
            <w:pPr>
              <w:pBdr>
                <w:top w:val="nil"/>
                <w:left w:val="nil"/>
                <w:bottom w:val="nil"/>
                <w:right w:val="nil"/>
                <w:between w:val="nil"/>
              </w:pBdr>
              <w:spacing w:line="240" w:lineRule="auto"/>
              <w:ind w:left="1440"/>
              <w:rPr>
                <w:color w:val="000000"/>
                <w:sz w:val="24"/>
                <w:szCs w:val="24"/>
              </w:rPr>
            </w:pPr>
          </w:p>
        </w:tc>
      </w:tr>
      <w:tr w:rsidR="00EF0710" w:rsidRPr="00EF0710" w:rsidTr="00EF0710">
        <w:trPr>
          <w:trHeight w:val="465"/>
        </w:trPr>
        <w:tc>
          <w:tcPr>
            <w:tcW w:w="2700" w:type="dxa"/>
            <w:tcBorders>
              <w:top w:val="single" w:sz="6" w:space="0" w:color="auto"/>
              <w:left w:val="single" w:sz="6" w:space="0" w:color="auto"/>
              <w:bottom w:val="single" w:sz="6" w:space="0" w:color="auto"/>
              <w:right w:val="single" w:sz="6" w:space="0" w:color="auto"/>
            </w:tcBorders>
            <w:shd w:val="solid" w:color="99CCFF" w:fill="auto"/>
          </w:tcPr>
          <w:p w:rsidR="00EF0710" w:rsidRPr="00EF0710" w:rsidRDefault="00EF0710" w:rsidP="00EF0710">
            <w:pPr>
              <w:pBdr>
                <w:top w:val="nil"/>
                <w:left w:val="nil"/>
                <w:bottom w:val="nil"/>
                <w:right w:val="nil"/>
                <w:between w:val="nil"/>
              </w:pBdr>
              <w:spacing w:line="240" w:lineRule="auto"/>
              <w:ind w:left="1440"/>
              <w:rPr>
                <w:b/>
                <w:bCs/>
                <w:color w:val="000000"/>
                <w:sz w:val="24"/>
                <w:szCs w:val="24"/>
              </w:rPr>
            </w:pPr>
            <w:r w:rsidRPr="00EF0710">
              <w:rPr>
                <w:b/>
                <w:bCs/>
                <w:color w:val="000000"/>
                <w:sz w:val="24"/>
                <w:szCs w:val="24"/>
              </w:rPr>
              <w:t>FY2017</w:t>
            </w:r>
          </w:p>
        </w:tc>
        <w:tc>
          <w:tcPr>
            <w:tcW w:w="2700" w:type="dxa"/>
            <w:tcBorders>
              <w:top w:val="single" w:sz="6" w:space="0" w:color="auto"/>
              <w:left w:val="single" w:sz="6" w:space="0" w:color="auto"/>
              <w:bottom w:val="single" w:sz="6" w:space="0" w:color="auto"/>
              <w:right w:val="single" w:sz="6" w:space="0" w:color="auto"/>
            </w:tcBorders>
            <w:shd w:val="solid" w:color="99CCFF" w:fill="auto"/>
          </w:tcPr>
          <w:p w:rsidR="00EF0710" w:rsidRPr="00EF0710" w:rsidRDefault="00EF0710" w:rsidP="00EF0710">
            <w:pPr>
              <w:pBdr>
                <w:top w:val="nil"/>
                <w:left w:val="nil"/>
                <w:bottom w:val="nil"/>
                <w:right w:val="nil"/>
                <w:between w:val="nil"/>
              </w:pBdr>
              <w:spacing w:line="240" w:lineRule="auto"/>
              <w:ind w:left="1440"/>
              <w:rPr>
                <w:b/>
                <w:bCs/>
                <w:color w:val="000000"/>
                <w:sz w:val="24"/>
                <w:szCs w:val="24"/>
              </w:rPr>
            </w:pPr>
            <w:r w:rsidRPr="00EF0710">
              <w:rPr>
                <w:b/>
                <w:bCs/>
                <w:color w:val="000000"/>
                <w:sz w:val="24"/>
                <w:szCs w:val="24"/>
              </w:rPr>
              <w:t>FY2018</w:t>
            </w:r>
          </w:p>
        </w:tc>
        <w:tc>
          <w:tcPr>
            <w:tcW w:w="2700" w:type="dxa"/>
            <w:tcBorders>
              <w:top w:val="single" w:sz="6" w:space="0" w:color="auto"/>
              <w:left w:val="single" w:sz="6" w:space="0" w:color="auto"/>
              <w:bottom w:val="single" w:sz="6" w:space="0" w:color="auto"/>
              <w:right w:val="single" w:sz="6" w:space="0" w:color="auto"/>
            </w:tcBorders>
            <w:shd w:val="solid" w:color="99CCFF" w:fill="auto"/>
          </w:tcPr>
          <w:p w:rsidR="00EF0710" w:rsidRPr="00EF0710" w:rsidRDefault="00EF0710" w:rsidP="00EF0710">
            <w:pPr>
              <w:pBdr>
                <w:top w:val="nil"/>
                <w:left w:val="nil"/>
                <w:bottom w:val="nil"/>
                <w:right w:val="nil"/>
                <w:between w:val="nil"/>
              </w:pBdr>
              <w:spacing w:line="240" w:lineRule="auto"/>
              <w:ind w:left="1440"/>
              <w:rPr>
                <w:b/>
                <w:bCs/>
                <w:color w:val="000000"/>
                <w:sz w:val="24"/>
                <w:szCs w:val="24"/>
              </w:rPr>
            </w:pPr>
            <w:r w:rsidRPr="00EF0710">
              <w:rPr>
                <w:b/>
                <w:bCs/>
                <w:color w:val="000000"/>
                <w:sz w:val="24"/>
                <w:szCs w:val="24"/>
              </w:rPr>
              <w:t>FY2019</w:t>
            </w:r>
          </w:p>
        </w:tc>
      </w:tr>
      <w:tr w:rsidR="00EF0710" w:rsidRPr="00EF0710" w:rsidTr="00EF0710">
        <w:trPr>
          <w:trHeight w:val="465"/>
        </w:trPr>
        <w:tc>
          <w:tcPr>
            <w:tcW w:w="2700" w:type="dxa"/>
            <w:tcBorders>
              <w:top w:val="single" w:sz="6" w:space="0" w:color="auto"/>
              <w:left w:val="single" w:sz="6" w:space="0" w:color="auto"/>
              <w:bottom w:val="single" w:sz="6" w:space="0" w:color="auto"/>
              <w:right w:val="single" w:sz="6" w:space="0" w:color="auto"/>
            </w:tcBorders>
          </w:tcPr>
          <w:p w:rsidR="00EF0710" w:rsidRPr="00EF0710" w:rsidRDefault="00EF0710" w:rsidP="00EF0710">
            <w:pPr>
              <w:pBdr>
                <w:top w:val="nil"/>
                <w:left w:val="nil"/>
                <w:bottom w:val="nil"/>
                <w:right w:val="nil"/>
                <w:between w:val="nil"/>
              </w:pBdr>
              <w:spacing w:line="240" w:lineRule="auto"/>
              <w:ind w:left="1440"/>
              <w:rPr>
                <w:color w:val="000000"/>
                <w:sz w:val="24"/>
                <w:szCs w:val="24"/>
              </w:rPr>
            </w:pPr>
            <w:r w:rsidRPr="00EF0710">
              <w:rPr>
                <w:color w:val="000000"/>
                <w:sz w:val="24"/>
                <w:szCs w:val="24"/>
              </w:rPr>
              <w:t xml:space="preserve">2,309 </w:t>
            </w:r>
          </w:p>
        </w:tc>
        <w:tc>
          <w:tcPr>
            <w:tcW w:w="2700" w:type="dxa"/>
            <w:tcBorders>
              <w:top w:val="single" w:sz="6" w:space="0" w:color="auto"/>
              <w:left w:val="single" w:sz="6" w:space="0" w:color="auto"/>
              <w:bottom w:val="single" w:sz="6" w:space="0" w:color="auto"/>
              <w:right w:val="single" w:sz="6" w:space="0" w:color="auto"/>
            </w:tcBorders>
          </w:tcPr>
          <w:p w:rsidR="00EF0710" w:rsidRPr="00EF0710" w:rsidRDefault="00EF0710" w:rsidP="00EF0710">
            <w:pPr>
              <w:pBdr>
                <w:top w:val="nil"/>
                <w:left w:val="nil"/>
                <w:bottom w:val="nil"/>
                <w:right w:val="nil"/>
                <w:between w:val="nil"/>
              </w:pBdr>
              <w:spacing w:line="240" w:lineRule="auto"/>
              <w:ind w:left="1440"/>
              <w:rPr>
                <w:color w:val="000000"/>
                <w:sz w:val="24"/>
                <w:szCs w:val="24"/>
              </w:rPr>
            </w:pPr>
            <w:r w:rsidRPr="00EF0710">
              <w:rPr>
                <w:color w:val="000000"/>
                <w:sz w:val="24"/>
                <w:szCs w:val="24"/>
              </w:rPr>
              <w:t xml:space="preserve">2,053 </w:t>
            </w:r>
          </w:p>
        </w:tc>
        <w:tc>
          <w:tcPr>
            <w:tcW w:w="2700" w:type="dxa"/>
            <w:tcBorders>
              <w:top w:val="single" w:sz="6" w:space="0" w:color="auto"/>
              <w:left w:val="single" w:sz="6" w:space="0" w:color="auto"/>
              <w:bottom w:val="single" w:sz="6" w:space="0" w:color="auto"/>
              <w:right w:val="single" w:sz="6" w:space="0" w:color="auto"/>
            </w:tcBorders>
          </w:tcPr>
          <w:p w:rsidR="00EF0710" w:rsidRPr="00EF0710" w:rsidRDefault="00EF0710" w:rsidP="00EF0710">
            <w:pPr>
              <w:pBdr>
                <w:top w:val="nil"/>
                <w:left w:val="nil"/>
                <w:bottom w:val="nil"/>
                <w:right w:val="nil"/>
                <w:between w:val="nil"/>
              </w:pBdr>
              <w:spacing w:line="240" w:lineRule="auto"/>
              <w:ind w:left="1440"/>
              <w:rPr>
                <w:color w:val="000000"/>
                <w:sz w:val="24"/>
                <w:szCs w:val="24"/>
              </w:rPr>
            </w:pPr>
            <w:r w:rsidRPr="00EF0710">
              <w:rPr>
                <w:color w:val="000000"/>
                <w:sz w:val="24"/>
                <w:szCs w:val="24"/>
              </w:rPr>
              <w:t xml:space="preserve">2,016 </w:t>
            </w:r>
          </w:p>
        </w:tc>
      </w:tr>
    </w:tbl>
    <w:p w:rsidR="00EF0710" w:rsidRDefault="00EF0710" w:rsidP="00EF0710">
      <w:pPr>
        <w:pBdr>
          <w:top w:val="nil"/>
          <w:left w:val="nil"/>
          <w:bottom w:val="nil"/>
          <w:right w:val="nil"/>
          <w:between w:val="nil"/>
        </w:pBdr>
        <w:spacing w:line="240" w:lineRule="auto"/>
        <w:ind w:left="1440"/>
        <w:rPr>
          <w:color w:val="000000"/>
          <w:sz w:val="24"/>
          <w:szCs w:val="24"/>
        </w:rPr>
      </w:pPr>
    </w:p>
    <w:p w:rsidR="00B62509" w:rsidRDefault="000D5487">
      <w:pPr>
        <w:spacing w:line="240" w:lineRule="auto"/>
        <w:rPr>
          <w:b/>
          <w:sz w:val="24"/>
          <w:szCs w:val="24"/>
        </w:rPr>
      </w:pPr>
      <w:r>
        <w:rPr>
          <w:b/>
          <w:sz w:val="24"/>
          <w:szCs w:val="24"/>
        </w:rPr>
        <w:t xml:space="preserve">Factor 2 Delivery System Transformation </w:t>
      </w:r>
    </w:p>
    <w:p w:rsidR="00B62509" w:rsidRDefault="000D5487" w:rsidP="00EF0710">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The application states that patients will be provided with linkages to address identified social determinants, and assigned a community health worker to assist with unanticipated challenges (pg.16). </w:t>
      </w:r>
    </w:p>
    <w:p w:rsidR="00B62509" w:rsidRDefault="000D5487">
      <w:pPr>
        <w:numPr>
          <w:ilvl w:val="0"/>
          <w:numId w:val="2"/>
        </w:numPr>
        <w:pBdr>
          <w:top w:val="nil"/>
          <w:left w:val="nil"/>
          <w:bottom w:val="nil"/>
          <w:right w:val="nil"/>
          <w:between w:val="nil"/>
        </w:pBdr>
        <w:spacing w:after="0" w:line="240" w:lineRule="auto"/>
        <w:rPr>
          <w:color w:val="000000"/>
          <w:sz w:val="24"/>
          <w:szCs w:val="24"/>
        </w:rPr>
      </w:pPr>
      <w:proofErr w:type="gramStart"/>
      <w:r>
        <w:rPr>
          <w:color w:val="000000"/>
          <w:sz w:val="24"/>
          <w:szCs w:val="24"/>
        </w:rPr>
        <w:t>In order to</w:t>
      </w:r>
      <w:proofErr w:type="gramEnd"/>
      <w:r>
        <w:rPr>
          <w:color w:val="000000"/>
          <w:sz w:val="24"/>
          <w:szCs w:val="24"/>
        </w:rPr>
        <w:t xml:space="preserve"> better understand the impact of the Proposed Project on Delivery System Transformation, provide a brief description of the social determinants of health (</w:t>
      </w:r>
      <w:proofErr w:type="spellStart"/>
      <w:r>
        <w:rPr>
          <w:color w:val="000000"/>
          <w:sz w:val="24"/>
          <w:szCs w:val="24"/>
        </w:rPr>
        <w:t>SDoH</w:t>
      </w:r>
      <w:proofErr w:type="spellEnd"/>
      <w:r>
        <w:rPr>
          <w:color w:val="000000"/>
          <w:sz w:val="24"/>
          <w:szCs w:val="24"/>
        </w:rPr>
        <w:t xml:space="preserve">) </w:t>
      </w:r>
      <w:r>
        <w:rPr>
          <w:color w:val="000000"/>
          <w:sz w:val="24"/>
          <w:szCs w:val="24"/>
        </w:rPr>
        <w:lastRenderedPageBreak/>
        <w:t xml:space="preserve">screening process, including when and how patients are screened, screening domains, and the referral and tracking process for positive screens related to </w:t>
      </w:r>
      <w:proofErr w:type="spellStart"/>
      <w:r>
        <w:rPr>
          <w:color w:val="000000"/>
          <w:sz w:val="24"/>
          <w:szCs w:val="24"/>
        </w:rPr>
        <w:t>SDoH</w:t>
      </w:r>
      <w:proofErr w:type="spellEnd"/>
      <w:r>
        <w:rPr>
          <w:color w:val="000000"/>
          <w:sz w:val="24"/>
          <w:szCs w:val="24"/>
        </w:rPr>
        <w:t xml:space="preserve">. </w:t>
      </w:r>
    </w:p>
    <w:p w:rsidR="00E33102" w:rsidRDefault="00E33102" w:rsidP="00E33102">
      <w:pPr>
        <w:pBdr>
          <w:top w:val="nil"/>
          <w:left w:val="nil"/>
          <w:bottom w:val="nil"/>
          <w:right w:val="nil"/>
          <w:between w:val="nil"/>
        </w:pBdr>
        <w:spacing w:after="0" w:line="240" w:lineRule="auto"/>
        <w:ind w:left="1440"/>
        <w:rPr>
          <w:color w:val="000000"/>
          <w:sz w:val="24"/>
          <w:szCs w:val="24"/>
        </w:rPr>
      </w:pPr>
    </w:p>
    <w:p w:rsidR="00E33102" w:rsidRPr="00BA3E6B" w:rsidRDefault="00E33102" w:rsidP="00E33102">
      <w:pPr>
        <w:spacing w:after="0" w:line="240" w:lineRule="auto"/>
        <w:rPr>
          <w:rFonts w:ascii="Times New Roman" w:eastAsia="Times New Roman" w:hAnsi="Times New Roman" w:cs="Times New Roman"/>
          <w:i/>
          <w:color w:val="0070C0"/>
          <w:sz w:val="24"/>
          <w:szCs w:val="24"/>
        </w:rPr>
      </w:pPr>
      <w:r w:rsidRPr="00BA3E6B">
        <w:rPr>
          <w:rFonts w:ascii="Arial" w:hAnsi="Arial" w:cs="Arial"/>
          <w:i/>
          <w:color w:val="0070C0"/>
          <w:sz w:val="24"/>
          <w:szCs w:val="24"/>
          <w:shd w:val="clear" w:color="auto" w:fill="FFFFFF"/>
        </w:rPr>
        <w:t xml:space="preserve">Patients are screened in various ways to identify potential needs upon entry to the hospital. Please refer to the attached policies from the Department of Social Services. </w:t>
      </w:r>
      <w:r w:rsidRPr="00BA3E6B">
        <w:rPr>
          <w:rFonts w:ascii="Arial" w:eastAsia="Times New Roman" w:hAnsi="Arial" w:cs="Arial"/>
          <w:i/>
          <w:color w:val="0070C0"/>
          <w:sz w:val="24"/>
          <w:szCs w:val="24"/>
          <w:shd w:val="clear" w:color="auto" w:fill="FFFFFF"/>
        </w:rPr>
        <w:t>Transportation is also considered a social determent in this rural area. Department of social services works closely with the local community agencies to secure transportation for those in need. For those patients who are not financially able to secure legal services for guardianships, the hospital covers</w:t>
      </w:r>
      <w:r w:rsidRPr="00BA3E6B">
        <w:rPr>
          <w:rFonts w:ascii="Times New Roman" w:eastAsia="Times New Roman" w:hAnsi="Times New Roman" w:cs="Times New Roman"/>
          <w:i/>
          <w:color w:val="0070C0"/>
          <w:sz w:val="24"/>
          <w:szCs w:val="24"/>
        </w:rPr>
        <w:t xml:space="preserve"> </w:t>
      </w:r>
      <w:r w:rsidRPr="00BA3E6B">
        <w:rPr>
          <w:rFonts w:ascii="Arial" w:eastAsia="Times New Roman" w:hAnsi="Arial" w:cs="Arial"/>
          <w:i/>
          <w:color w:val="0070C0"/>
          <w:sz w:val="24"/>
          <w:szCs w:val="24"/>
        </w:rPr>
        <w:t xml:space="preserve">the cost and secures an appropriate discharge plan. </w:t>
      </w:r>
    </w:p>
    <w:p w:rsidR="00750358" w:rsidRPr="00750358" w:rsidRDefault="00750358" w:rsidP="00750358">
      <w:pPr>
        <w:pStyle w:val="ListParagraph"/>
        <w:numPr>
          <w:ilvl w:val="0"/>
          <w:numId w:val="2"/>
        </w:numPr>
        <w:spacing w:line="240" w:lineRule="auto"/>
        <w:rPr>
          <w:sz w:val="24"/>
          <w:szCs w:val="24"/>
        </w:rPr>
      </w:pPr>
      <w:r w:rsidRPr="00750358">
        <w:rPr>
          <w:sz w:val="24"/>
          <w:szCs w:val="24"/>
        </w:rPr>
        <w:t xml:space="preserve">Is Heywood Healthcare affiliated with any accountable care organization (ACO)? If so, provide the name and number of member patients. </w:t>
      </w:r>
    </w:p>
    <w:p w:rsidR="00B62509" w:rsidRPr="00750358" w:rsidRDefault="00750358" w:rsidP="004C1131">
      <w:pPr>
        <w:pBdr>
          <w:top w:val="nil"/>
          <w:left w:val="nil"/>
          <w:bottom w:val="nil"/>
          <w:right w:val="nil"/>
          <w:between w:val="nil"/>
        </w:pBdr>
        <w:spacing w:after="0" w:line="240" w:lineRule="auto"/>
        <w:rPr>
          <w:sz w:val="24"/>
          <w:szCs w:val="24"/>
        </w:rPr>
      </w:pPr>
      <w:r w:rsidRPr="00750358">
        <w:rPr>
          <w:rFonts w:ascii="Arial" w:hAnsi="Arial" w:cs="Arial"/>
          <w:i/>
          <w:color w:val="0070C0"/>
          <w:sz w:val="24"/>
          <w:szCs w:val="24"/>
          <w:shd w:val="clear" w:color="auto" w:fill="FFFFFF"/>
        </w:rPr>
        <w:t>The name of ACO is UMass Memorial Accountable Care, Inc.  Total number of member patients is 45,580.  Total number of Heywood member patients is 5,096.</w:t>
      </w:r>
    </w:p>
    <w:p w:rsidR="00B62509" w:rsidRDefault="00B62509">
      <w:pPr>
        <w:rPr>
          <w:sz w:val="24"/>
          <w:szCs w:val="24"/>
        </w:rPr>
      </w:pPr>
    </w:p>
    <w:sectPr w:rsidR="00B62509">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430" w:rsidRDefault="000D5487">
      <w:pPr>
        <w:spacing w:after="0" w:line="240" w:lineRule="auto"/>
      </w:pPr>
      <w:r>
        <w:separator/>
      </w:r>
    </w:p>
  </w:endnote>
  <w:endnote w:type="continuationSeparator" w:id="0">
    <w:p w:rsidR="000A1430" w:rsidRDefault="000D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09" w:rsidRDefault="00B6250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09" w:rsidRDefault="000D548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7432C">
      <w:rPr>
        <w:noProof/>
        <w:color w:val="000000"/>
      </w:rPr>
      <w:t>9</w:t>
    </w:r>
    <w:r>
      <w:rPr>
        <w:color w:val="000000"/>
      </w:rPr>
      <w:fldChar w:fldCharType="end"/>
    </w:r>
  </w:p>
  <w:p w:rsidR="00B62509" w:rsidRDefault="00B6250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09" w:rsidRDefault="00B6250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430" w:rsidRDefault="000D5487">
      <w:pPr>
        <w:spacing w:after="0" w:line="240" w:lineRule="auto"/>
      </w:pPr>
      <w:r>
        <w:separator/>
      </w:r>
    </w:p>
  </w:footnote>
  <w:footnote w:type="continuationSeparator" w:id="0">
    <w:p w:rsidR="000A1430" w:rsidRDefault="000D5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09" w:rsidRDefault="00B6250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09" w:rsidRDefault="000D5487">
    <w:pPr>
      <w:pBdr>
        <w:top w:val="nil"/>
        <w:left w:val="nil"/>
        <w:bottom w:val="single" w:sz="4" w:space="1" w:color="000000"/>
        <w:right w:val="nil"/>
        <w:between w:val="nil"/>
      </w:pBdr>
      <w:tabs>
        <w:tab w:val="center" w:pos="4680"/>
        <w:tab w:val="right" w:pos="9360"/>
      </w:tabs>
      <w:spacing w:after="0" w:line="240" w:lineRule="auto"/>
      <w:jc w:val="center"/>
      <w:rPr>
        <w:b/>
        <w:color w:val="000000"/>
        <w:sz w:val="28"/>
        <w:szCs w:val="28"/>
      </w:rPr>
    </w:pPr>
    <w:r>
      <w:rPr>
        <w:b/>
        <w:color w:val="000000"/>
        <w:sz w:val="28"/>
        <w:szCs w:val="28"/>
      </w:rPr>
      <w:t>Heywood Healthcare, Inc.</w:t>
    </w:r>
  </w:p>
  <w:p w:rsidR="00B62509" w:rsidRDefault="000D5487">
    <w:pPr>
      <w:pBdr>
        <w:top w:val="nil"/>
        <w:left w:val="nil"/>
        <w:bottom w:val="single" w:sz="4" w:space="1" w:color="000000"/>
        <w:right w:val="nil"/>
        <w:between w:val="nil"/>
      </w:pBdr>
      <w:tabs>
        <w:tab w:val="center" w:pos="4680"/>
        <w:tab w:val="right" w:pos="9360"/>
      </w:tabs>
      <w:spacing w:after="0" w:line="240" w:lineRule="auto"/>
      <w:jc w:val="center"/>
      <w:rPr>
        <w:color w:val="000000"/>
        <w:sz w:val="28"/>
        <w:szCs w:val="28"/>
      </w:rPr>
    </w:pPr>
    <w:proofErr w:type="spellStart"/>
    <w:r>
      <w:rPr>
        <w:color w:val="000000"/>
        <w:sz w:val="28"/>
        <w:szCs w:val="28"/>
      </w:rPr>
      <w:t>DoN</w:t>
    </w:r>
    <w:proofErr w:type="spellEnd"/>
    <w:r>
      <w:rPr>
        <w:color w:val="000000"/>
        <w:sz w:val="28"/>
        <w:szCs w:val="28"/>
      </w:rPr>
      <w:t xml:space="preserve"> #HH21071315-HE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09" w:rsidRDefault="00B6250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016"/>
    <w:multiLevelType w:val="multilevel"/>
    <w:tmpl w:val="930CD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B9098F"/>
    <w:multiLevelType w:val="hybridMultilevel"/>
    <w:tmpl w:val="230CDF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45237E"/>
    <w:multiLevelType w:val="hybridMultilevel"/>
    <w:tmpl w:val="28D2512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56016"/>
    <w:multiLevelType w:val="hybridMultilevel"/>
    <w:tmpl w:val="39144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E27F8"/>
    <w:multiLevelType w:val="hybridMultilevel"/>
    <w:tmpl w:val="19E0E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A12372"/>
    <w:multiLevelType w:val="multilevel"/>
    <w:tmpl w:val="E5209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9033F1"/>
    <w:multiLevelType w:val="multilevel"/>
    <w:tmpl w:val="AEC899F6"/>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D452BC"/>
    <w:multiLevelType w:val="multilevel"/>
    <w:tmpl w:val="857EB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BE567B"/>
    <w:multiLevelType w:val="multilevel"/>
    <w:tmpl w:val="0480E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CA47E54"/>
    <w:multiLevelType w:val="multilevel"/>
    <w:tmpl w:val="66F643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7"/>
  </w:num>
  <w:num w:numId="2">
    <w:abstractNumId w:val="9"/>
  </w:num>
  <w:num w:numId="3">
    <w:abstractNumId w:val="6"/>
  </w:num>
  <w:num w:numId="4">
    <w:abstractNumId w:val="0"/>
  </w:num>
  <w:num w:numId="5">
    <w:abstractNumId w:val="5"/>
  </w:num>
  <w:num w:numId="6">
    <w:abstractNumId w:val="8"/>
  </w:num>
  <w:num w:numId="7">
    <w:abstractNumId w:val="2"/>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09"/>
    <w:rsid w:val="00041C4D"/>
    <w:rsid w:val="000A1430"/>
    <w:rsid w:val="000D5487"/>
    <w:rsid w:val="000F03C0"/>
    <w:rsid w:val="001544BB"/>
    <w:rsid w:val="00171503"/>
    <w:rsid w:val="002B4E15"/>
    <w:rsid w:val="00476A08"/>
    <w:rsid w:val="00492759"/>
    <w:rsid w:val="004C1131"/>
    <w:rsid w:val="005E4B63"/>
    <w:rsid w:val="00610881"/>
    <w:rsid w:val="006C727A"/>
    <w:rsid w:val="00750358"/>
    <w:rsid w:val="00764124"/>
    <w:rsid w:val="008C6CF2"/>
    <w:rsid w:val="0097432C"/>
    <w:rsid w:val="00975C23"/>
    <w:rsid w:val="00977266"/>
    <w:rsid w:val="009E6421"/>
    <w:rsid w:val="00A22338"/>
    <w:rsid w:val="00A26F5C"/>
    <w:rsid w:val="00B55C6A"/>
    <w:rsid w:val="00B62509"/>
    <w:rsid w:val="00BA3E6B"/>
    <w:rsid w:val="00D0258B"/>
    <w:rsid w:val="00D66DEF"/>
    <w:rsid w:val="00E13A58"/>
    <w:rsid w:val="00E33102"/>
    <w:rsid w:val="00EF0710"/>
    <w:rsid w:val="00FF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A0C6"/>
  <w15:docId w15:val="{19AB88D6-5745-4C2D-BD8F-93BE8AE8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10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semiHidden/>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semiHidden/>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character" w:customStyle="1" w:styleId="UnresolvedMention">
    <w:name w:val="Unresolved Mention"/>
    <w:basedOn w:val="DefaultParagraphFont"/>
    <w:uiPriority w:val="99"/>
    <w:semiHidden/>
    <w:unhideWhenUsed/>
    <w:rsid w:val="008C25B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442631">
      <w:bodyDiv w:val="1"/>
      <w:marLeft w:val="0"/>
      <w:marRight w:val="0"/>
      <w:marTop w:val="0"/>
      <w:marBottom w:val="0"/>
      <w:divBdr>
        <w:top w:val="none" w:sz="0" w:space="0" w:color="auto"/>
        <w:left w:val="none" w:sz="0" w:space="0" w:color="auto"/>
        <w:bottom w:val="none" w:sz="0" w:space="0" w:color="auto"/>
        <w:right w:val="none" w:sz="0" w:space="0" w:color="auto"/>
      </w:divBdr>
      <w:divsChild>
        <w:div w:id="1632249863">
          <w:marLeft w:val="0"/>
          <w:marRight w:val="0"/>
          <w:marTop w:val="0"/>
          <w:marBottom w:val="0"/>
          <w:divBdr>
            <w:top w:val="none" w:sz="0" w:space="0" w:color="auto"/>
            <w:left w:val="none" w:sz="0" w:space="0" w:color="auto"/>
            <w:bottom w:val="none" w:sz="0" w:space="0" w:color="auto"/>
            <w:right w:val="none" w:sz="0" w:space="0" w:color="auto"/>
          </w:divBdr>
        </w:div>
      </w:divsChild>
    </w:div>
    <w:div w:id="1946300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NrwMamsMCZAOh5ErNctK46Odpg==">AMUW2mUDMFYE3nJHVsvqdnk19FapnhSUbwCf+EwanbchHZrph8E4RZ/iO/QYUqVTFcdzCfMA68FvLPCWOD3TFGcXd6BFHXf7QsMS8I4xSIuT5ziAB+Ve2gg=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Heywood Healthcare</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Cioffari-Macphee, Diana (DPH)</cp:lastModifiedBy>
  <cp:revision>25</cp:revision>
  <dcterms:created xsi:type="dcterms:W3CDTF">2021-10-07T15:40:00Z</dcterms:created>
  <dcterms:modified xsi:type="dcterms:W3CDTF">2021-10-07T16:45:00Z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