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A76317" w:rsidRDefault="0060745D" w:rsidP="00D45CF3">
      <w:pPr>
        <w:jc w:val="center"/>
        <w:rPr>
          <w:rFonts w:cstheme="minorHAnsi"/>
          <w:b/>
          <w:bCs/>
          <w:sz w:val="24"/>
          <w:szCs w:val="24"/>
        </w:rPr>
      </w:pPr>
    </w:p>
    <w:p w14:paraId="26D9C4F2" w14:textId="30E60F18" w:rsidR="00D45CF3" w:rsidRPr="00A76317" w:rsidRDefault="001348C0" w:rsidP="001A63CB">
      <w:pPr>
        <w:pStyle w:val="Heading1"/>
        <w:rPr>
          <w:sz w:val="24"/>
          <w:szCs w:val="24"/>
        </w:rPr>
      </w:pPr>
      <w:r w:rsidRPr="00A76317">
        <w:rPr>
          <w:sz w:val="24"/>
          <w:szCs w:val="24"/>
        </w:rPr>
        <w:t xml:space="preserve"> </w:t>
      </w:r>
      <w:r w:rsidR="00DE3345" w:rsidRPr="00A76317">
        <w:rPr>
          <w:sz w:val="24"/>
          <w:szCs w:val="24"/>
        </w:rPr>
        <w:t>Determination of Need (</w:t>
      </w:r>
      <w:proofErr w:type="spellStart"/>
      <w:r w:rsidRPr="00A76317">
        <w:rPr>
          <w:sz w:val="24"/>
          <w:szCs w:val="24"/>
        </w:rPr>
        <w:t>DoN</w:t>
      </w:r>
      <w:proofErr w:type="spellEnd"/>
      <w:r w:rsidR="00DE3345" w:rsidRPr="00A76317">
        <w:rPr>
          <w:sz w:val="24"/>
          <w:szCs w:val="24"/>
        </w:rPr>
        <w:t>)</w:t>
      </w:r>
      <w:r w:rsidRPr="00A76317">
        <w:rPr>
          <w:sz w:val="24"/>
          <w:szCs w:val="24"/>
        </w:rPr>
        <w:t xml:space="preserve"> </w:t>
      </w:r>
      <w:r w:rsidR="00DE3345" w:rsidRPr="00A76317">
        <w:rPr>
          <w:sz w:val="24"/>
          <w:szCs w:val="24"/>
        </w:rPr>
        <w:t xml:space="preserve">Questions </w:t>
      </w:r>
      <w:r w:rsidR="00B371F2" w:rsidRPr="00A76317">
        <w:rPr>
          <w:sz w:val="24"/>
          <w:szCs w:val="24"/>
        </w:rPr>
        <w:t>1</w:t>
      </w:r>
    </w:p>
    <w:p w14:paraId="0B653DC0" w14:textId="77777777" w:rsidR="00D45CF3" w:rsidRPr="00A76317" w:rsidRDefault="00D45CF3" w:rsidP="00D45CF3">
      <w:pPr>
        <w:jc w:val="center"/>
        <w:rPr>
          <w:rFonts w:cstheme="minorHAnsi"/>
          <w:sz w:val="24"/>
          <w:szCs w:val="24"/>
        </w:rPr>
      </w:pPr>
      <w:r w:rsidRPr="00A76317">
        <w:rPr>
          <w:rFonts w:cstheme="minorHAnsi"/>
          <w:i/>
          <w:iCs/>
          <w:sz w:val="24"/>
          <w:szCs w:val="24"/>
        </w:rPr>
        <w:t xml:space="preserve">Responses should be sent to DoN staff at </w:t>
      </w:r>
      <w:hyperlink r:id="rId7" w:history="1">
        <w:r w:rsidRPr="00A76317">
          <w:rPr>
            <w:rStyle w:val="Hyperlink"/>
            <w:rFonts w:cstheme="minorHAnsi"/>
            <w:sz w:val="24"/>
            <w:szCs w:val="24"/>
          </w:rPr>
          <w:t>DPH.DON@State.MA.US</w:t>
        </w:r>
      </w:hyperlink>
    </w:p>
    <w:p w14:paraId="167CA3F1" w14:textId="77777777" w:rsidR="00EA1DC1" w:rsidRPr="00A76317" w:rsidRDefault="00EA1DC1" w:rsidP="00EA1DC1">
      <w:pPr>
        <w:rPr>
          <w:rFonts w:cstheme="minorHAnsi"/>
          <w:bCs/>
          <w:sz w:val="24"/>
          <w:szCs w:val="24"/>
        </w:rPr>
      </w:pPr>
      <w:proofErr w:type="gramStart"/>
      <w:r w:rsidRPr="00A76317">
        <w:rPr>
          <w:rFonts w:cstheme="minorHAnsi"/>
          <w:bCs/>
          <w:sz w:val="24"/>
          <w:szCs w:val="24"/>
        </w:rPr>
        <w:t>While</w:t>
      </w:r>
      <w:proofErr w:type="gramEnd"/>
      <w:r w:rsidRPr="00A76317">
        <w:rPr>
          <w:rFonts w:cstheme="minorHAnsi"/>
          <w:bCs/>
          <w:sz w:val="24"/>
          <w:szCs w:val="24"/>
        </w:rPr>
        <w:t xml:space="preserve"> you may submit each answer as available, please </w:t>
      </w:r>
    </w:p>
    <w:p w14:paraId="46AA0D59" w14:textId="77777777" w:rsidR="00EA1DC1" w:rsidRPr="00A76317" w:rsidRDefault="00EA1DC1" w:rsidP="00EA1DC1">
      <w:pPr>
        <w:pStyle w:val="ListParagraph"/>
        <w:numPr>
          <w:ilvl w:val="0"/>
          <w:numId w:val="2"/>
        </w:numPr>
        <w:rPr>
          <w:rFonts w:cstheme="minorHAnsi"/>
          <w:bCs/>
          <w:sz w:val="24"/>
          <w:szCs w:val="24"/>
        </w:rPr>
      </w:pPr>
      <w:r w:rsidRPr="00A76317">
        <w:rPr>
          <w:rFonts w:cstheme="minorHAnsi"/>
          <w:bCs/>
          <w:sz w:val="24"/>
          <w:szCs w:val="24"/>
        </w:rPr>
        <w:t xml:space="preserve">List question number and question for each answer you provide </w:t>
      </w:r>
    </w:p>
    <w:p w14:paraId="04CEDD09" w14:textId="77777777" w:rsidR="00EA1DC1" w:rsidRPr="00A76317" w:rsidRDefault="00EA1DC1" w:rsidP="00EA1DC1">
      <w:pPr>
        <w:pStyle w:val="ListParagraph"/>
        <w:numPr>
          <w:ilvl w:val="0"/>
          <w:numId w:val="2"/>
        </w:numPr>
        <w:rPr>
          <w:rFonts w:cstheme="minorHAnsi"/>
          <w:bCs/>
          <w:sz w:val="24"/>
          <w:szCs w:val="24"/>
        </w:rPr>
      </w:pPr>
      <w:r w:rsidRPr="00A76317">
        <w:rPr>
          <w:rFonts w:cstheme="minorHAnsi"/>
          <w:bCs/>
          <w:sz w:val="24"/>
          <w:szCs w:val="24"/>
        </w:rPr>
        <w:t xml:space="preserve">Submit responses as a separate word document, using the above application title and number as a running header and page numbers in the footer </w:t>
      </w:r>
    </w:p>
    <w:p w14:paraId="0F02639C" w14:textId="77777777" w:rsidR="00EA1DC1" w:rsidRPr="00A76317" w:rsidRDefault="00EA1DC1" w:rsidP="00EA1DC1">
      <w:pPr>
        <w:pStyle w:val="ListParagraph"/>
        <w:numPr>
          <w:ilvl w:val="0"/>
          <w:numId w:val="2"/>
        </w:numPr>
        <w:rPr>
          <w:rFonts w:cstheme="minorHAnsi"/>
          <w:bCs/>
          <w:sz w:val="24"/>
          <w:szCs w:val="24"/>
        </w:rPr>
      </w:pPr>
      <w:r w:rsidRPr="00A76317">
        <w:rPr>
          <w:rFonts w:cstheme="minorHAnsi"/>
          <w:bCs/>
          <w:sz w:val="24"/>
          <w:szCs w:val="24"/>
        </w:rPr>
        <w:t xml:space="preserve">When providing the answer to the final question, submit all questions and answers in one final document </w:t>
      </w:r>
    </w:p>
    <w:p w14:paraId="3BF8EB78" w14:textId="77777777" w:rsidR="004B5A02" w:rsidRPr="00A76317" w:rsidRDefault="004B5A02" w:rsidP="004B5A02">
      <w:pPr>
        <w:pStyle w:val="ListParagraph"/>
        <w:numPr>
          <w:ilvl w:val="0"/>
          <w:numId w:val="2"/>
        </w:numPr>
        <w:rPr>
          <w:rFonts w:cstheme="minorHAnsi"/>
          <w:bCs/>
          <w:sz w:val="24"/>
          <w:szCs w:val="24"/>
        </w:rPr>
      </w:pPr>
      <w:r w:rsidRPr="00A76317">
        <w:rPr>
          <w:rFonts w:cstheme="minorHAnsi"/>
          <w:bCs/>
          <w:sz w:val="24"/>
          <w:szCs w:val="24"/>
        </w:rPr>
        <w:t xml:space="preserve">Submit responses in Word or Excel; only use pdf’s if </w:t>
      </w:r>
      <w:proofErr w:type="gramStart"/>
      <w:r w:rsidRPr="00A76317">
        <w:rPr>
          <w:rFonts w:cstheme="minorHAnsi"/>
          <w:bCs/>
          <w:sz w:val="24"/>
          <w:szCs w:val="24"/>
        </w:rPr>
        <w:t>absolutely necessary</w:t>
      </w:r>
      <w:proofErr w:type="gramEnd"/>
      <w:r w:rsidRPr="00A76317">
        <w:rPr>
          <w:rFonts w:cstheme="minorHAnsi"/>
          <w:bCs/>
          <w:sz w:val="24"/>
          <w:szCs w:val="24"/>
        </w:rPr>
        <w:t>. If “cutting and pasting” charts, provide them in a pdf so they can be clearly seen</w:t>
      </w:r>
    </w:p>
    <w:p w14:paraId="46BC4BF7" w14:textId="77777777" w:rsidR="00EA1DC1" w:rsidRPr="00A76317" w:rsidRDefault="00EA1DC1" w:rsidP="00EA1DC1">
      <w:pPr>
        <w:pStyle w:val="ListParagraph"/>
        <w:numPr>
          <w:ilvl w:val="0"/>
          <w:numId w:val="2"/>
        </w:numPr>
        <w:rPr>
          <w:rFonts w:cstheme="minorHAnsi"/>
          <w:b/>
          <w:sz w:val="24"/>
          <w:szCs w:val="24"/>
        </w:rPr>
      </w:pPr>
      <w:r w:rsidRPr="00A76317">
        <w:rPr>
          <w:rFonts w:cstheme="minorHAnsi"/>
          <w:b/>
          <w:sz w:val="24"/>
          <w:szCs w:val="24"/>
        </w:rPr>
        <w:t>Whenever possible, include a table with the response</w:t>
      </w:r>
    </w:p>
    <w:p w14:paraId="0A81B0B9" w14:textId="46931A17" w:rsidR="0066604A" w:rsidRPr="00A76317" w:rsidRDefault="00EA1DC1" w:rsidP="00EA1DC1">
      <w:pPr>
        <w:pStyle w:val="ListParagraph"/>
        <w:numPr>
          <w:ilvl w:val="0"/>
          <w:numId w:val="2"/>
        </w:numPr>
        <w:rPr>
          <w:rFonts w:cstheme="minorHAnsi"/>
          <w:b/>
          <w:sz w:val="24"/>
          <w:szCs w:val="24"/>
        </w:rPr>
      </w:pPr>
      <w:r w:rsidRPr="00A76317">
        <w:rPr>
          <w:rFonts w:cstheme="minorHAnsi"/>
          <w:b/>
          <w:sz w:val="24"/>
          <w:szCs w:val="24"/>
        </w:rPr>
        <w:t xml:space="preserve">For </w:t>
      </w:r>
      <w:r w:rsidR="00480F49" w:rsidRPr="00A76317">
        <w:rPr>
          <w:rFonts w:cstheme="minorHAnsi"/>
          <w:b/>
          <w:sz w:val="24"/>
          <w:szCs w:val="24"/>
        </w:rPr>
        <w:t xml:space="preserve">Health Insurance Portability and Accountability Act (HIPAA) </w:t>
      </w:r>
      <w:r w:rsidRPr="00A76317">
        <w:rPr>
          <w:rFonts w:cstheme="minorHAnsi"/>
          <w:b/>
          <w:sz w:val="24"/>
          <w:szCs w:val="24"/>
        </w:rPr>
        <w:t>compliance Do not include numbers &lt;11.</w:t>
      </w:r>
    </w:p>
    <w:p w14:paraId="6E542D62" w14:textId="6685CFFC" w:rsidR="00332060" w:rsidRPr="00A76317" w:rsidRDefault="00332060" w:rsidP="00BB332F">
      <w:pPr>
        <w:spacing w:after="120" w:line="240" w:lineRule="auto"/>
        <w:rPr>
          <w:rFonts w:ascii="Aptos" w:hAnsi="Aptos" w:cstheme="minorHAnsi"/>
          <w:b/>
          <w:bCs/>
          <w:sz w:val="24"/>
          <w:szCs w:val="24"/>
        </w:rPr>
      </w:pPr>
      <w:r w:rsidRPr="00A76317">
        <w:rPr>
          <w:rFonts w:ascii="Aptos" w:hAnsi="Aptos" w:cstheme="minorHAnsi"/>
          <w:b/>
          <w:bCs/>
          <w:sz w:val="24"/>
          <w:szCs w:val="24"/>
        </w:rPr>
        <w:t>Factor 1a: Patient Panel Need</w:t>
      </w:r>
    </w:p>
    <w:p w14:paraId="1697D363" w14:textId="5617F14B" w:rsidR="007450AB" w:rsidRPr="00A76317" w:rsidRDefault="004D5DFF" w:rsidP="00792485">
      <w:pPr>
        <w:pStyle w:val="Heading2"/>
        <w:rPr>
          <w:sz w:val="24"/>
          <w:szCs w:val="24"/>
        </w:rPr>
      </w:pPr>
      <w:r w:rsidRPr="00A76317">
        <w:rPr>
          <w:sz w:val="24"/>
          <w:szCs w:val="24"/>
        </w:rPr>
        <w:t xml:space="preserve">Describe the </w:t>
      </w:r>
      <w:r w:rsidR="007D5ED8" w:rsidRPr="00A76317">
        <w:rPr>
          <w:sz w:val="24"/>
          <w:szCs w:val="24"/>
        </w:rPr>
        <w:t>collaboration</w:t>
      </w:r>
      <w:r w:rsidRPr="00A76317">
        <w:rPr>
          <w:sz w:val="24"/>
          <w:szCs w:val="24"/>
        </w:rPr>
        <w:t xml:space="preserve"> between Sturdy Memorial Hospital, Inc. and University Orthopedics Inc.</w:t>
      </w:r>
      <w:r w:rsidR="00787877" w:rsidRPr="00A76317">
        <w:rPr>
          <w:sz w:val="24"/>
          <w:szCs w:val="24"/>
        </w:rPr>
        <w:t xml:space="preserve"> (p</w:t>
      </w:r>
      <w:r w:rsidR="002519D3">
        <w:rPr>
          <w:sz w:val="24"/>
          <w:szCs w:val="24"/>
        </w:rPr>
        <w:t>age (</w:t>
      </w:r>
      <w:proofErr w:type="spellStart"/>
      <w:r w:rsidR="002519D3">
        <w:rPr>
          <w:sz w:val="24"/>
          <w:szCs w:val="24"/>
        </w:rPr>
        <w:t>p</w:t>
      </w:r>
      <w:r w:rsidR="00787877" w:rsidRPr="00A76317">
        <w:rPr>
          <w:sz w:val="24"/>
          <w:szCs w:val="24"/>
        </w:rPr>
        <w:t>g</w:t>
      </w:r>
      <w:proofErr w:type="spellEnd"/>
      <w:r w:rsidR="002519D3">
        <w:rPr>
          <w:sz w:val="24"/>
          <w:szCs w:val="24"/>
        </w:rPr>
        <w:t>)</w:t>
      </w:r>
      <w:r w:rsidR="00787877" w:rsidRPr="00A76317">
        <w:rPr>
          <w:sz w:val="24"/>
          <w:szCs w:val="24"/>
        </w:rPr>
        <w:t>.</w:t>
      </w:r>
      <w:r w:rsidR="00E2644D" w:rsidRPr="00A76317">
        <w:rPr>
          <w:sz w:val="24"/>
          <w:szCs w:val="24"/>
        </w:rPr>
        <w:t>5 Narrative</w:t>
      </w:r>
      <w:r w:rsidR="00787877" w:rsidRPr="00A76317">
        <w:rPr>
          <w:sz w:val="24"/>
          <w:szCs w:val="24"/>
        </w:rPr>
        <w:t>).</w:t>
      </w:r>
    </w:p>
    <w:p w14:paraId="249C94EB" w14:textId="4B8E969A" w:rsidR="00A82FCB" w:rsidRPr="00A76317" w:rsidRDefault="00A82FCB" w:rsidP="00BB332F">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 xml:space="preserve">Explain why University </w:t>
      </w:r>
      <w:r w:rsidR="00983D07" w:rsidRPr="00A76317">
        <w:rPr>
          <w:rFonts w:ascii="Aptos" w:hAnsi="Aptos" w:cstheme="minorHAnsi"/>
          <w:sz w:val="24"/>
          <w:szCs w:val="24"/>
        </w:rPr>
        <w:t xml:space="preserve">is the optimal joint venture partner for the proposed </w:t>
      </w:r>
      <w:r w:rsidR="009422F7" w:rsidRPr="009422F7">
        <w:rPr>
          <w:rFonts w:ascii="Aptos" w:hAnsi="Aptos" w:cstheme="minorHAnsi"/>
          <w:sz w:val="24"/>
          <w:szCs w:val="24"/>
        </w:rPr>
        <w:t>Ambulatory Surgical Center</w:t>
      </w:r>
      <w:r w:rsidR="009422F7">
        <w:rPr>
          <w:rFonts w:ascii="Aptos" w:hAnsi="Aptos" w:cstheme="minorHAnsi"/>
          <w:sz w:val="24"/>
          <w:szCs w:val="24"/>
        </w:rPr>
        <w:t xml:space="preserve"> (</w:t>
      </w:r>
      <w:r w:rsidR="00983D07" w:rsidRPr="00A76317">
        <w:rPr>
          <w:rFonts w:ascii="Aptos" w:hAnsi="Aptos" w:cstheme="minorHAnsi"/>
          <w:sz w:val="24"/>
          <w:szCs w:val="24"/>
        </w:rPr>
        <w:t>ASC</w:t>
      </w:r>
      <w:r w:rsidR="009422F7">
        <w:rPr>
          <w:rFonts w:ascii="Aptos" w:hAnsi="Aptos" w:cstheme="minorHAnsi"/>
          <w:sz w:val="24"/>
          <w:szCs w:val="24"/>
        </w:rPr>
        <w:t>)</w:t>
      </w:r>
      <w:r w:rsidR="00983D07" w:rsidRPr="00A76317">
        <w:rPr>
          <w:rFonts w:ascii="Aptos" w:hAnsi="Aptos" w:cstheme="minorHAnsi"/>
          <w:sz w:val="24"/>
          <w:szCs w:val="24"/>
        </w:rPr>
        <w:t xml:space="preserve">. </w:t>
      </w:r>
    </w:p>
    <w:p w14:paraId="07A41EA3" w14:textId="625C9D15" w:rsidR="007514D6" w:rsidRPr="00A76317" w:rsidRDefault="006F7453" w:rsidP="00C82175">
      <w:pPr>
        <w:pStyle w:val="ListParagraph"/>
        <w:spacing w:after="120" w:line="240" w:lineRule="auto"/>
        <w:ind w:left="1440"/>
        <w:contextualSpacing w:val="0"/>
        <w:jc w:val="both"/>
        <w:rPr>
          <w:rFonts w:ascii="Aptos" w:hAnsi="Aptos" w:cstheme="minorHAnsi"/>
          <w:b/>
          <w:bCs/>
          <w:sz w:val="24"/>
          <w:szCs w:val="24"/>
        </w:rPr>
      </w:pPr>
      <w:r w:rsidRPr="00A76317">
        <w:rPr>
          <w:rFonts w:ascii="Aptos" w:hAnsi="Aptos" w:cstheme="minorHAnsi"/>
          <w:b/>
          <w:bCs/>
          <w:sz w:val="24"/>
          <w:szCs w:val="24"/>
        </w:rPr>
        <w:t>As noted in the DoN</w:t>
      </w:r>
      <w:r w:rsidR="00F13816" w:rsidRPr="00A76317">
        <w:rPr>
          <w:rFonts w:ascii="Aptos" w:hAnsi="Aptos" w:cstheme="minorHAnsi"/>
          <w:b/>
          <w:bCs/>
          <w:sz w:val="24"/>
          <w:szCs w:val="24"/>
        </w:rPr>
        <w:t xml:space="preserve"> application</w:t>
      </w:r>
      <w:r w:rsidRPr="00A76317">
        <w:rPr>
          <w:rFonts w:ascii="Aptos" w:hAnsi="Aptos" w:cstheme="minorHAnsi"/>
          <w:b/>
          <w:bCs/>
          <w:sz w:val="24"/>
          <w:szCs w:val="24"/>
        </w:rPr>
        <w:t xml:space="preserve">, Sturdy </w:t>
      </w:r>
      <w:r w:rsidR="009D24BB" w:rsidRPr="00A76317">
        <w:rPr>
          <w:rFonts w:ascii="Aptos" w:hAnsi="Aptos" w:cstheme="minorHAnsi"/>
          <w:b/>
          <w:bCs/>
          <w:sz w:val="24"/>
          <w:szCs w:val="24"/>
        </w:rPr>
        <w:t>and University began collaborating in 2022</w:t>
      </w:r>
      <w:r w:rsidR="000466E9" w:rsidRPr="00A76317">
        <w:rPr>
          <w:rFonts w:ascii="Aptos" w:hAnsi="Aptos" w:cstheme="minorHAnsi"/>
          <w:b/>
          <w:bCs/>
          <w:sz w:val="24"/>
          <w:szCs w:val="24"/>
        </w:rPr>
        <w:t xml:space="preserve"> </w:t>
      </w:r>
      <w:r w:rsidR="00101D85" w:rsidRPr="00A76317">
        <w:rPr>
          <w:rFonts w:ascii="Aptos" w:hAnsi="Aptos" w:cstheme="minorHAnsi"/>
          <w:b/>
          <w:bCs/>
          <w:sz w:val="24"/>
          <w:szCs w:val="24"/>
        </w:rPr>
        <w:t>to address the n</w:t>
      </w:r>
      <w:r w:rsidR="000466E9" w:rsidRPr="00A76317">
        <w:rPr>
          <w:rFonts w:ascii="Aptos" w:hAnsi="Aptos" w:cstheme="minorHAnsi"/>
          <w:b/>
          <w:bCs/>
          <w:sz w:val="24"/>
          <w:szCs w:val="24"/>
        </w:rPr>
        <w:t>eed to expand access to orthopedic surgery in the community. Like Sturdy, University has a demonstrated record of providing exception</w:t>
      </w:r>
      <w:r w:rsidR="008636EC" w:rsidRPr="00A76317">
        <w:rPr>
          <w:rFonts w:ascii="Aptos" w:hAnsi="Aptos" w:cstheme="minorHAnsi"/>
          <w:b/>
          <w:bCs/>
          <w:sz w:val="24"/>
          <w:szCs w:val="24"/>
        </w:rPr>
        <w:t>al</w:t>
      </w:r>
      <w:r w:rsidR="000466E9" w:rsidRPr="00A76317">
        <w:rPr>
          <w:rFonts w:ascii="Aptos" w:hAnsi="Aptos" w:cstheme="minorHAnsi"/>
          <w:b/>
          <w:bCs/>
          <w:sz w:val="24"/>
          <w:szCs w:val="24"/>
        </w:rPr>
        <w:t xml:space="preserve"> care. It was the first provider to open an orthopedic ambulatory surgery center in Rhode Island (East Bay Surgery Center, 2018). Moreover</w:t>
      </w:r>
      <w:r w:rsidR="009D24BB" w:rsidRPr="00A76317">
        <w:rPr>
          <w:rFonts w:ascii="Aptos" w:hAnsi="Aptos" w:cstheme="minorHAnsi"/>
          <w:b/>
          <w:bCs/>
          <w:sz w:val="24"/>
          <w:szCs w:val="24"/>
        </w:rPr>
        <w:t>, 43</w:t>
      </w:r>
      <w:r w:rsidR="002F5C05">
        <w:rPr>
          <w:rFonts w:ascii="Aptos" w:hAnsi="Aptos" w:cstheme="minorHAnsi"/>
          <w:b/>
          <w:bCs/>
          <w:sz w:val="24"/>
          <w:szCs w:val="24"/>
        </w:rPr>
        <w:t xml:space="preserve"> percent</w:t>
      </w:r>
      <w:r w:rsidR="009D24BB" w:rsidRPr="00A76317">
        <w:rPr>
          <w:rFonts w:ascii="Aptos" w:hAnsi="Aptos" w:cstheme="minorHAnsi"/>
          <w:b/>
          <w:bCs/>
          <w:sz w:val="24"/>
          <w:szCs w:val="24"/>
        </w:rPr>
        <w:t xml:space="preserve"> of all </w:t>
      </w:r>
      <w:proofErr w:type="gramStart"/>
      <w:r w:rsidR="000466E9" w:rsidRPr="00A76317">
        <w:rPr>
          <w:rFonts w:ascii="Aptos" w:hAnsi="Aptos" w:cstheme="minorHAnsi"/>
          <w:b/>
          <w:bCs/>
          <w:sz w:val="24"/>
          <w:szCs w:val="24"/>
        </w:rPr>
        <w:t>outpatient</w:t>
      </w:r>
      <w:proofErr w:type="gramEnd"/>
      <w:r w:rsidR="000466E9" w:rsidRPr="00A76317">
        <w:rPr>
          <w:rFonts w:ascii="Aptos" w:hAnsi="Aptos" w:cstheme="minorHAnsi"/>
          <w:b/>
          <w:bCs/>
          <w:sz w:val="24"/>
          <w:szCs w:val="24"/>
        </w:rPr>
        <w:t xml:space="preserve"> orthopedic </w:t>
      </w:r>
      <w:r w:rsidR="009D24BB" w:rsidRPr="00A76317">
        <w:rPr>
          <w:rFonts w:ascii="Aptos" w:hAnsi="Aptos" w:cstheme="minorHAnsi"/>
          <w:b/>
          <w:bCs/>
          <w:sz w:val="24"/>
          <w:szCs w:val="24"/>
        </w:rPr>
        <w:t xml:space="preserve">cases at Sturdy were performed by a </w:t>
      </w:r>
      <w:proofErr w:type="gramStart"/>
      <w:r w:rsidR="009D24BB" w:rsidRPr="00A76317">
        <w:rPr>
          <w:rFonts w:ascii="Aptos" w:hAnsi="Aptos" w:cstheme="minorHAnsi"/>
          <w:b/>
          <w:bCs/>
          <w:sz w:val="24"/>
          <w:szCs w:val="24"/>
        </w:rPr>
        <w:t>University</w:t>
      </w:r>
      <w:proofErr w:type="gramEnd"/>
      <w:r w:rsidR="009D24BB" w:rsidRPr="00A76317">
        <w:rPr>
          <w:rFonts w:ascii="Aptos" w:hAnsi="Aptos" w:cstheme="minorHAnsi"/>
          <w:b/>
          <w:bCs/>
          <w:sz w:val="24"/>
          <w:szCs w:val="24"/>
        </w:rPr>
        <w:t xml:space="preserve"> physician</w:t>
      </w:r>
      <w:r w:rsidR="00020D8E" w:rsidRPr="00A76317">
        <w:rPr>
          <w:rFonts w:ascii="Aptos" w:hAnsi="Aptos" w:cstheme="minorHAnsi"/>
          <w:b/>
          <w:bCs/>
          <w:sz w:val="24"/>
          <w:szCs w:val="24"/>
        </w:rPr>
        <w:t xml:space="preserve"> in </w:t>
      </w:r>
      <w:r w:rsidR="002C5414">
        <w:rPr>
          <w:rFonts w:ascii="Aptos" w:hAnsi="Aptos" w:cstheme="minorHAnsi"/>
          <w:b/>
          <w:bCs/>
          <w:sz w:val="24"/>
          <w:szCs w:val="24"/>
        </w:rPr>
        <w:t>Fiscal Year (</w:t>
      </w:r>
      <w:r w:rsidR="00020D8E" w:rsidRPr="00A76317">
        <w:rPr>
          <w:rFonts w:ascii="Aptos" w:hAnsi="Aptos" w:cstheme="minorHAnsi"/>
          <w:b/>
          <w:bCs/>
          <w:sz w:val="24"/>
          <w:szCs w:val="24"/>
        </w:rPr>
        <w:t>FY</w:t>
      </w:r>
      <w:r w:rsidR="002C5414">
        <w:rPr>
          <w:rFonts w:ascii="Aptos" w:hAnsi="Aptos" w:cstheme="minorHAnsi"/>
          <w:b/>
          <w:bCs/>
          <w:sz w:val="24"/>
          <w:szCs w:val="24"/>
        </w:rPr>
        <w:t xml:space="preserve">) </w:t>
      </w:r>
      <w:r w:rsidR="00020D8E" w:rsidRPr="00A76317">
        <w:rPr>
          <w:rFonts w:ascii="Aptos" w:hAnsi="Aptos" w:cstheme="minorHAnsi"/>
          <w:b/>
          <w:bCs/>
          <w:sz w:val="24"/>
          <w:szCs w:val="24"/>
        </w:rPr>
        <w:t>25</w:t>
      </w:r>
      <w:r w:rsidR="009D24BB" w:rsidRPr="00A76317">
        <w:rPr>
          <w:rFonts w:ascii="Aptos" w:hAnsi="Aptos" w:cstheme="minorHAnsi"/>
          <w:b/>
          <w:bCs/>
          <w:sz w:val="24"/>
          <w:szCs w:val="24"/>
        </w:rPr>
        <w:t xml:space="preserve">. </w:t>
      </w:r>
      <w:r w:rsidR="00020D8E" w:rsidRPr="00A76317">
        <w:rPr>
          <w:rFonts w:ascii="Aptos" w:hAnsi="Aptos" w:cstheme="minorHAnsi"/>
          <w:b/>
          <w:bCs/>
          <w:sz w:val="24"/>
          <w:szCs w:val="24"/>
        </w:rPr>
        <w:t xml:space="preserve">The volume of University </w:t>
      </w:r>
      <w:r w:rsidR="00F13816" w:rsidRPr="00A76317">
        <w:rPr>
          <w:rFonts w:ascii="Aptos" w:hAnsi="Aptos" w:cstheme="minorHAnsi"/>
          <w:b/>
          <w:bCs/>
          <w:sz w:val="24"/>
          <w:szCs w:val="24"/>
        </w:rPr>
        <w:t xml:space="preserve">physician </w:t>
      </w:r>
      <w:r w:rsidR="00020D8E" w:rsidRPr="00A76317">
        <w:rPr>
          <w:rFonts w:ascii="Aptos" w:hAnsi="Aptos" w:cstheme="minorHAnsi"/>
          <w:b/>
          <w:bCs/>
          <w:sz w:val="24"/>
          <w:szCs w:val="24"/>
        </w:rPr>
        <w:t xml:space="preserve">cases at Sturdy </w:t>
      </w:r>
      <w:r w:rsidR="009D24BB" w:rsidRPr="00A76317">
        <w:rPr>
          <w:rFonts w:ascii="Aptos" w:hAnsi="Aptos" w:cstheme="minorHAnsi"/>
          <w:b/>
          <w:bCs/>
          <w:sz w:val="24"/>
          <w:szCs w:val="24"/>
        </w:rPr>
        <w:t xml:space="preserve">demonstrates that the partnership </w:t>
      </w:r>
      <w:r w:rsidR="00044E5B" w:rsidRPr="00A76317">
        <w:rPr>
          <w:rFonts w:ascii="Aptos" w:hAnsi="Aptos" w:cstheme="minorHAnsi"/>
          <w:b/>
          <w:bCs/>
          <w:sz w:val="24"/>
          <w:szCs w:val="24"/>
        </w:rPr>
        <w:t>allows</w:t>
      </w:r>
      <w:r w:rsidR="009D24BB" w:rsidRPr="00A76317">
        <w:rPr>
          <w:rFonts w:ascii="Aptos" w:hAnsi="Aptos" w:cstheme="minorHAnsi"/>
          <w:b/>
          <w:bCs/>
          <w:sz w:val="24"/>
          <w:szCs w:val="24"/>
        </w:rPr>
        <w:t xml:space="preserve"> orthopedic care to remain within the community. Without block time at Sturdy, University patients would need to receive care farther away at one of the other locations where University providers have </w:t>
      </w:r>
      <w:r w:rsidR="00020D8E" w:rsidRPr="00A76317">
        <w:rPr>
          <w:rFonts w:ascii="Aptos" w:hAnsi="Aptos" w:cstheme="minorHAnsi"/>
          <w:b/>
          <w:bCs/>
          <w:sz w:val="24"/>
          <w:szCs w:val="24"/>
        </w:rPr>
        <w:t xml:space="preserve">surgical </w:t>
      </w:r>
      <w:r w:rsidR="009D24BB" w:rsidRPr="00A76317">
        <w:rPr>
          <w:rFonts w:ascii="Aptos" w:hAnsi="Aptos" w:cstheme="minorHAnsi"/>
          <w:b/>
          <w:bCs/>
          <w:sz w:val="24"/>
          <w:szCs w:val="24"/>
        </w:rPr>
        <w:t xml:space="preserve">privileges, such as Morton Hospital (12.5 miles from Sturdy), North Easton Surgery Center (17.8 miles from Sturdy), or </w:t>
      </w:r>
      <w:r w:rsidR="002C5414">
        <w:rPr>
          <w:rFonts w:ascii="Aptos" w:hAnsi="Aptos" w:cstheme="minorHAnsi"/>
          <w:b/>
          <w:bCs/>
          <w:sz w:val="24"/>
          <w:szCs w:val="24"/>
        </w:rPr>
        <w:t>Boston Medical Center (</w:t>
      </w:r>
      <w:r w:rsidR="009D24BB" w:rsidRPr="00A76317">
        <w:rPr>
          <w:rFonts w:ascii="Aptos" w:hAnsi="Aptos" w:cstheme="minorHAnsi"/>
          <w:b/>
          <w:bCs/>
          <w:sz w:val="24"/>
          <w:szCs w:val="24"/>
        </w:rPr>
        <w:t>BMC</w:t>
      </w:r>
      <w:r w:rsidR="002C5414">
        <w:rPr>
          <w:rFonts w:ascii="Aptos" w:hAnsi="Aptos" w:cstheme="minorHAnsi"/>
          <w:b/>
          <w:bCs/>
          <w:sz w:val="24"/>
          <w:szCs w:val="24"/>
        </w:rPr>
        <w:t>)</w:t>
      </w:r>
      <w:r w:rsidR="009D24BB" w:rsidRPr="00A76317">
        <w:rPr>
          <w:rFonts w:ascii="Aptos" w:hAnsi="Aptos" w:cstheme="minorHAnsi"/>
          <w:b/>
          <w:bCs/>
          <w:sz w:val="24"/>
          <w:szCs w:val="24"/>
        </w:rPr>
        <w:t xml:space="preserve"> South (25.7 miles from Sturdy). Given the </w:t>
      </w:r>
      <w:r w:rsidR="00F13816" w:rsidRPr="00A76317">
        <w:rPr>
          <w:rFonts w:ascii="Aptos" w:hAnsi="Aptos" w:cstheme="minorHAnsi"/>
          <w:b/>
          <w:bCs/>
          <w:sz w:val="24"/>
          <w:szCs w:val="24"/>
        </w:rPr>
        <w:t xml:space="preserve">strong existing partnership between Sturdy and University to serve the Patient Panel and the fact that the University volume at Sturdy can be performed in an ASC, the parties determined that a joint venture to operate an ASC would best meet the needs of the Patient Panel. </w:t>
      </w:r>
    </w:p>
    <w:p w14:paraId="7D73D63A" w14:textId="093ADAF8" w:rsidR="00511D81" w:rsidRPr="00A76317" w:rsidRDefault="00511D81" w:rsidP="00792485">
      <w:pPr>
        <w:pStyle w:val="Heading2"/>
        <w:rPr>
          <w:sz w:val="24"/>
          <w:szCs w:val="24"/>
        </w:rPr>
      </w:pPr>
      <w:r w:rsidRPr="00A76317">
        <w:rPr>
          <w:sz w:val="24"/>
          <w:szCs w:val="24"/>
        </w:rPr>
        <w:t xml:space="preserve">Provide the ownership interest for Sturdy and University. </w:t>
      </w:r>
    </w:p>
    <w:p w14:paraId="54ED6653" w14:textId="43732467" w:rsidR="00BB332F" w:rsidRPr="00A76317" w:rsidRDefault="00BB332F" w:rsidP="00BB332F">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lastRenderedPageBreak/>
        <w:t>Sturdy and University each own 50</w:t>
      </w:r>
      <w:r w:rsidR="002519D3">
        <w:rPr>
          <w:rFonts w:ascii="Aptos" w:hAnsi="Aptos" w:cstheme="minorHAnsi"/>
          <w:b/>
          <w:bCs/>
          <w:sz w:val="24"/>
          <w:szCs w:val="24"/>
        </w:rPr>
        <w:t xml:space="preserve"> percent</w:t>
      </w:r>
      <w:r w:rsidRPr="00A76317">
        <w:rPr>
          <w:rFonts w:ascii="Aptos" w:hAnsi="Aptos" w:cstheme="minorHAnsi"/>
          <w:b/>
          <w:bCs/>
          <w:sz w:val="24"/>
          <w:szCs w:val="24"/>
        </w:rPr>
        <w:t xml:space="preserve"> of the joint venture. </w:t>
      </w:r>
    </w:p>
    <w:p w14:paraId="5FB0F246" w14:textId="26866EF1" w:rsidR="00787877" w:rsidRPr="00A76317" w:rsidRDefault="00787877" w:rsidP="00792485">
      <w:pPr>
        <w:pStyle w:val="Heading2"/>
        <w:rPr>
          <w:sz w:val="24"/>
          <w:szCs w:val="24"/>
        </w:rPr>
      </w:pPr>
      <w:r w:rsidRPr="00A76317">
        <w:rPr>
          <w:sz w:val="24"/>
          <w:szCs w:val="24"/>
        </w:rPr>
        <w:t>The Application states University has four Massachusetts locations in Mansfield, Plymouth, Raynham, and North Easton (pg.</w:t>
      </w:r>
      <w:r w:rsidR="00245246" w:rsidRPr="00A76317">
        <w:rPr>
          <w:sz w:val="24"/>
          <w:szCs w:val="24"/>
        </w:rPr>
        <w:t>1 Narrative)</w:t>
      </w:r>
    </w:p>
    <w:p w14:paraId="23FE7702" w14:textId="2EDE03D8" w:rsidR="00E2644D" w:rsidRPr="00A76317" w:rsidRDefault="00E2644D" w:rsidP="00BB332F">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What kind of locations are these, including services provided, and licensure status?</w:t>
      </w:r>
    </w:p>
    <w:p w14:paraId="6ACD75C5" w14:textId="4AB38541" w:rsidR="00BB63B8" w:rsidRPr="00A76317" w:rsidRDefault="00BB63B8" w:rsidP="00F13816">
      <w:pPr>
        <w:spacing w:after="120" w:line="240" w:lineRule="auto"/>
        <w:ind w:left="1440"/>
        <w:rPr>
          <w:rFonts w:ascii="Aptos" w:hAnsi="Aptos" w:cstheme="minorHAnsi"/>
          <w:b/>
          <w:bCs/>
          <w:sz w:val="24"/>
          <w:szCs w:val="24"/>
        </w:rPr>
      </w:pPr>
      <w:r w:rsidRPr="00A76317">
        <w:rPr>
          <w:rFonts w:ascii="Aptos" w:hAnsi="Aptos" w:cstheme="minorHAnsi"/>
          <w:b/>
          <w:bCs/>
          <w:sz w:val="24"/>
          <w:szCs w:val="24"/>
        </w:rPr>
        <w:t xml:space="preserve">The four Massachusetts locations are </w:t>
      </w:r>
      <w:r w:rsidR="00F13816" w:rsidRPr="00A76317">
        <w:rPr>
          <w:rFonts w:ascii="Aptos" w:hAnsi="Aptos" w:cstheme="minorHAnsi"/>
          <w:b/>
          <w:bCs/>
          <w:sz w:val="24"/>
          <w:szCs w:val="24"/>
        </w:rPr>
        <w:t xml:space="preserve">University </w:t>
      </w:r>
      <w:r w:rsidRPr="00A76317">
        <w:rPr>
          <w:rFonts w:ascii="Aptos" w:hAnsi="Aptos" w:cstheme="minorHAnsi"/>
          <w:b/>
          <w:bCs/>
          <w:sz w:val="24"/>
          <w:szCs w:val="24"/>
        </w:rPr>
        <w:t>physician practices that provide comprehensive musculoskeletal care. These sites function as</w:t>
      </w:r>
      <w:r w:rsidR="00F13816" w:rsidRPr="00A76317">
        <w:rPr>
          <w:rFonts w:ascii="Aptos" w:hAnsi="Aptos" w:cstheme="minorHAnsi"/>
          <w:b/>
          <w:bCs/>
          <w:sz w:val="24"/>
          <w:szCs w:val="24"/>
        </w:rPr>
        <w:t xml:space="preserve"> physician offices</w:t>
      </w:r>
      <w:r w:rsidRPr="00A76317">
        <w:rPr>
          <w:rFonts w:ascii="Aptos" w:hAnsi="Aptos" w:cstheme="minorHAnsi"/>
          <w:b/>
          <w:bCs/>
          <w:sz w:val="24"/>
          <w:szCs w:val="24"/>
        </w:rPr>
        <w:t xml:space="preserve"> where patients receive evaluation, diagnosis, and treatment for orthopedic and related conditions.</w:t>
      </w:r>
      <w:r w:rsidR="00F13816" w:rsidRPr="00A76317">
        <w:rPr>
          <w:rFonts w:ascii="Aptos" w:hAnsi="Aptos" w:cstheme="minorHAnsi"/>
          <w:b/>
          <w:bCs/>
          <w:sz w:val="24"/>
          <w:szCs w:val="24"/>
        </w:rPr>
        <w:t xml:space="preserve"> </w:t>
      </w:r>
      <w:r w:rsidRPr="00A76317">
        <w:rPr>
          <w:rFonts w:ascii="Aptos" w:hAnsi="Aptos" w:cstheme="minorHAnsi"/>
          <w:b/>
          <w:bCs/>
          <w:sz w:val="24"/>
          <w:szCs w:val="24"/>
        </w:rPr>
        <w:t>Services provided at these locations include:</w:t>
      </w:r>
    </w:p>
    <w:p w14:paraId="672BFA41" w14:textId="512A4F28" w:rsidR="00BB63B8" w:rsidRPr="00A76317" w:rsidRDefault="00F13816" w:rsidP="00BB63B8">
      <w:pPr>
        <w:numPr>
          <w:ilvl w:val="0"/>
          <w:numId w:val="38"/>
        </w:numPr>
        <w:spacing w:after="120" w:line="240" w:lineRule="auto"/>
        <w:rPr>
          <w:rFonts w:ascii="Aptos" w:hAnsi="Aptos" w:cstheme="minorHAnsi"/>
          <w:b/>
          <w:bCs/>
          <w:sz w:val="24"/>
          <w:szCs w:val="24"/>
        </w:rPr>
      </w:pPr>
      <w:r w:rsidRPr="00A76317">
        <w:rPr>
          <w:rFonts w:ascii="Aptos" w:hAnsi="Aptos" w:cstheme="minorHAnsi"/>
          <w:b/>
          <w:bCs/>
          <w:sz w:val="24"/>
          <w:szCs w:val="24"/>
        </w:rPr>
        <w:t>E</w:t>
      </w:r>
      <w:r w:rsidR="00BB63B8" w:rsidRPr="00A76317">
        <w:rPr>
          <w:rFonts w:ascii="Aptos" w:hAnsi="Aptos" w:cstheme="minorHAnsi"/>
          <w:b/>
          <w:bCs/>
          <w:sz w:val="24"/>
          <w:szCs w:val="24"/>
        </w:rPr>
        <w:t>valuations, consultations, and non-surgical treatment of musculoskeletal conditions</w:t>
      </w:r>
    </w:p>
    <w:p w14:paraId="1D2C7AD7" w14:textId="77777777" w:rsidR="00BB63B8" w:rsidRPr="00A76317" w:rsidRDefault="00BB63B8" w:rsidP="00BB63B8">
      <w:pPr>
        <w:numPr>
          <w:ilvl w:val="0"/>
          <w:numId w:val="38"/>
        </w:numPr>
        <w:spacing w:after="120" w:line="240" w:lineRule="auto"/>
        <w:rPr>
          <w:rFonts w:ascii="Aptos" w:hAnsi="Aptos" w:cstheme="minorHAnsi"/>
          <w:b/>
          <w:bCs/>
          <w:sz w:val="24"/>
          <w:szCs w:val="24"/>
        </w:rPr>
      </w:pPr>
      <w:r w:rsidRPr="00A76317">
        <w:rPr>
          <w:rFonts w:ascii="Aptos" w:hAnsi="Aptos" w:cstheme="minorHAnsi"/>
          <w:b/>
          <w:bCs/>
          <w:sz w:val="24"/>
          <w:szCs w:val="24"/>
        </w:rPr>
        <w:t>On-site radiology services to support diagnosis and treatment planning</w:t>
      </w:r>
    </w:p>
    <w:p w14:paraId="4E713ACF" w14:textId="77777777" w:rsidR="00BB63B8" w:rsidRPr="00A76317" w:rsidRDefault="00BB63B8" w:rsidP="00BB63B8">
      <w:pPr>
        <w:numPr>
          <w:ilvl w:val="0"/>
          <w:numId w:val="38"/>
        </w:numPr>
        <w:spacing w:after="120" w:line="240" w:lineRule="auto"/>
        <w:rPr>
          <w:rFonts w:ascii="Aptos" w:hAnsi="Aptos" w:cstheme="minorHAnsi"/>
          <w:b/>
          <w:bCs/>
          <w:sz w:val="24"/>
          <w:szCs w:val="24"/>
        </w:rPr>
      </w:pPr>
      <w:r w:rsidRPr="00A76317">
        <w:rPr>
          <w:rFonts w:ascii="Aptos" w:hAnsi="Aptos" w:cstheme="minorHAnsi"/>
          <w:b/>
          <w:bCs/>
          <w:sz w:val="24"/>
          <w:szCs w:val="24"/>
        </w:rPr>
        <w:t>Physical therapy and occupational therapy services delivered by licensed therapists</w:t>
      </w:r>
    </w:p>
    <w:p w14:paraId="68E9F395" w14:textId="77777777" w:rsidR="00BB63B8" w:rsidRPr="00A76317" w:rsidRDefault="00BB63B8" w:rsidP="00BB63B8">
      <w:pPr>
        <w:numPr>
          <w:ilvl w:val="0"/>
          <w:numId w:val="38"/>
        </w:numPr>
        <w:spacing w:after="120" w:line="240" w:lineRule="auto"/>
        <w:rPr>
          <w:rFonts w:ascii="Aptos" w:hAnsi="Aptos" w:cstheme="minorHAnsi"/>
          <w:b/>
          <w:bCs/>
          <w:sz w:val="24"/>
          <w:szCs w:val="24"/>
        </w:rPr>
      </w:pPr>
      <w:r w:rsidRPr="00A76317">
        <w:rPr>
          <w:rFonts w:ascii="Aptos" w:hAnsi="Aptos" w:cstheme="minorHAnsi"/>
          <w:b/>
          <w:bCs/>
          <w:sz w:val="24"/>
          <w:szCs w:val="24"/>
        </w:rPr>
        <w:t>Application and management of orthopedic casting and splinting</w:t>
      </w:r>
    </w:p>
    <w:p w14:paraId="723299E8" w14:textId="77777777" w:rsidR="00BB63B8" w:rsidRPr="00A76317" w:rsidRDefault="00BB63B8" w:rsidP="00BB63B8">
      <w:pPr>
        <w:numPr>
          <w:ilvl w:val="0"/>
          <w:numId w:val="38"/>
        </w:numPr>
        <w:spacing w:after="120" w:line="240" w:lineRule="auto"/>
        <w:rPr>
          <w:rFonts w:ascii="Aptos" w:hAnsi="Aptos" w:cstheme="minorHAnsi"/>
          <w:b/>
          <w:bCs/>
          <w:sz w:val="24"/>
          <w:szCs w:val="24"/>
        </w:rPr>
      </w:pPr>
      <w:r w:rsidRPr="00A76317">
        <w:rPr>
          <w:rFonts w:ascii="Aptos" w:hAnsi="Aptos" w:cstheme="minorHAnsi"/>
          <w:b/>
          <w:bCs/>
          <w:sz w:val="24"/>
          <w:szCs w:val="24"/>
        </w:rPr>
        <w:t>Dispensing of durable medical equipment (DME), such as braces and supports, as clinically indicated</w:t>
      </w:r>
    </w:p>
    <w:p w14:paraId="28BF8110" w14:textId="0BC606F1" w:rsidR="00BB63B8" w:rsidRPr="00A76317" w:rsidRDefault="00BB63B8" w:rsidP="00F13816">
      <w:pPr>
        <w:spacing w:after="120" w:line="240" w:lineRule="auto"/>
        <w:ind w:left="1260"/>
        <w:rPr>
          <w:rFonts w:ascii="Aptos" w:hAnsi="Aptos" w:cstheme="minorHAnsi"/>
          <w:b/>
          <w:bCs/>
          <w:sz w:val="24"/>
          <w:szCs w:val="24"/>
        </w:rPr>
      </w:pPr>
      <w:r w:rsidRPr="00A76317">
        <w:rPr>
          <w:rFonts w:ascii="Aptos" w:hAnsi="Aptos" w:cstheme="minorHAnsi"/>
          <w:b/>
          <w:bCs/>
          <w:sz w:val="24"/>
          <w:szCs w:val="24"/>
        </w:rPr>
        <w:t xml:space="preserve">With respect to licensure, these locations operate as physician practice sites which do not require licensure </w:t>
      </w:r>
      <w:r w:rsidR="000466E9" w:rsidRPr="00A76317">
        <w:rPr>
          <w:rFonts w:ascii="Aptos" w:hAnsi="Aptos" w:cstheme="minorHAnsi"/>
          <w:b/>
          <w:bCs/>
          <w:sz w:val="24"/>
          <w:szCs w:val="24"/>
        </w:rPr>
        <w:t>in Massachusetts</w:t>
      </w:r>
      <w:r w:rsidRPr="00A76317">
        <w:rPr>
          <w:rFonts w:ascii="Aptos" w:hAnsi="Aptos" w:cstheme="minorHAnsi"/>
          <w:b/>
          <w:bCs/>
          <w:sz w:val="24"/>
          <w:szCs w:val="24"/>
        </w:rPr>
        <w:t xml:space="preserve">. Professional services such as physician care, physical therapy, and occupational therapy are provided by appropriately licensed clinicians </w:t>
      </w:r>
      <w:r w:rsidR="000466E9" w:rsidRPr="00A76317">
        <w:rPr>
          <w:rFonts w:ascii="Aptos" w:hAnsi="Aptos" w:cstheme="minorHAnsi"/>
          <w:b/>
          <w:bCs/>
          <w:sz w:val="24"/>
          <w:szCs w:val="24"/>
        </w:rPr>
        <w:t>pursuant to</w:t>
      </w:r>
      <w:r w:rsidRPr="00A76317">
        <w:rPr>
          <w:rFonts w:ascii="Aptos" w:hAnsi="Aptos" w:cstheme="minorHAnsi"/>
          <w:b/>
          <w:bCs/>
          <w:sz w:val="24"/>
          <w:szCs w:val="24"/>
        </w:rPr>
        <w:t xml:space="preserve"> Massachusetts law. </w:t>
      </w:r>
    </w:p>
    <w:p w14:paraId="2D65326E" w14:textId="002E7509" w:rsidR="00584D35" w:rsidRPr="00A76317" w:rsidRDefault="00584D35" w:rsidP="00792485">
      <w:pPr>
        <w:pStyle w:val="Heading2"/>
        <w:rPr>
          <w:sz w:val="24"/>
          <w:szCs w:val="24"/>
        </w:rPr>
      </w:pPr>
      <w:r w:rsidRPr="00A76317">
        <w:rPr>
          <w:sz w:val="24"/>
          <w:szCs w:val="24"/>
        </w:rPr>
        <w:t>Patient Panel Origin – what is included in the category “Other”?</w:t>
      </w:r>
      <w:r w:rsidR="006424E1" w:rsidRPr="00A76317">
        <w:rPr>
          <w:sz w:val="24"/>
          <w:szCs w:val="24"/>
        </w:rPr>
        <w:t xml:space="preserve"> What is included in the category “Other” for payer mix. </w:t>
      </w:r>
    </w:p>
    <w:p w14:paraId="3D27142B" w14:textId="19897C6B" w:rsidR="00047E26" w:rsidRPr="00A76317" w:rsidRDefault="00AF5D2D" w:rsidP="00047E26">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t xml:space="preserve">The “Other” category in Patient Origin includes all other zip codes from which the Patient Panel originates. </w:t>
      </w:r>
    </w:p>
    <w:p w14:paraId="24EDC487" w14:textId="23A75BCA" w:rsidR="00047E26" w:rsidRPr="00A76317" w:rsidRDefault="00AF5D2D" w:rsidP="00AF5D2D">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t xml:space="preserve">The “Other” category in payer mix includes self-pay, Worker’s Comp, and </w:t>
      </w:r>
      <w:r w:rsidR="007C342F" w:rsidRPr="007C342F">
        <w:rPr>
          <w:rFonts w:ascii="Aptos" w:hAnsi="Aptos" w:cstheme="minorHAnsi"/>
          <w:b/>
          <w:bCs/>
          <w:sz w:val="24"/>
          <w:szCs w:val="24"/>
        </w:rPr>
        <w:t>Veterans Affairs</w:t>
      </w:r>
      <w:r w:rsidR="007C342F">
        <w:rPr>
          <w:rFonts w:ascii="Aptos" w:hAnsi="Aptos" w:cstheme="minorHAnsi"/>
          <w:b/>
          <w:bCs/>
          <w:sz w:val="24"/>
          <w:szCs w:val="24"/>
        </w:rPr>
        <w:t xml:space="preserve"> (</w:t>
      </w:r>
      <w:r w:rsidRPr="00A76317">
        <w:rPr>
          <w:rFonts w:ascii="Aptos" w:hAnsi="Aptos" w:cstheme="minorHAnsi"/>
          <w:b/>
          <w:bCs/>
          <w:sz w:val="24"/>
          <w:szCs w:val="24"/>
        </w:rPr>
        <w:t>VA</w:t>
      </w:r>
      <w:r w:rsidR="007C342F">
        <w:rPr>
          <w:rFonts w:ascii="Aptos" w:hAnsi="Aptos" w:cstheme="minorHAnsi"/>
          <w:b/>
          <w:bCs/>
          <w:sz w:val="24"/>
          <w:szCs w:val="24"/>
        </w:rPr>
        <w:t>)</w:t>
      </w:r>
      <w:r w:rsidRPr="00A76317">
        <w:rPr>
          <w:rFonts w:ascii="Aptos" w:hAnsi="Aptos" w:cstheme="minorHAnsi"/>
          <w:b/>
          <w:bCs/>
          <w:sz w:val="24"/>
          <w:szCs w:val="24"/>
        </w:rPr>
        <w:t>/</w:t>
      </w:r>
      <w:proofErr w:type="spellStart"/>
      <w:r w:rsidRPr="00A76317">
        <w:rPr>
          <w:rFonts w:ascii="Aptos" w:hAnsi="Aptos" w:cstheme="minorHAnsi"/>
          <w:b/>
          <w:bCs/>
          <w:sz w:val="24"/>
          <w:szCs w:val="24"/>
        </w:rPr>
        <w:t>TriCare</w:t>
      </w:r>
      <w:proofErr w:type="spellEnd"/>
      <w:r w:rsidRPr="00A76317">
        <w:rPr>
          <w:rFonts w:ascii="Aptos" w:hAnsi="Aptos" w:cstheme="minorHAnsi"/>
          <w:b/>
          <w:bCs/>
          <w:sz w:val="24"/>
          <w:szCs w:val="24"/>
        </w:rPr>
        <w:t>.</w:t>
      </w:r>
    </w:p>
    <w:p w14:paraId="1166C52D" w14:textId="30A41109" w:rsidR="0022235A" w:rsidRPr="00A76317" w:rsidRDefault="0022235A" w:rsidP="00792485">
      <w:pPr>
        <w:pStyle w:val="Heading2"/>
        <w:rPr>
          <w:sz w:val="24"/>
          <w:szCs w:val="24"/>
        </w:rPr>
      </w:pPr>
      <w:r w:rsidRPr="00A76317">
        <w:rPr>
          <w:sz w:val="24"/>
          <w:szCs w:val="24"/>
        </w:rPr>
        <w:t xml:space="preserve">Provide a </w:t>
      </w:r>
      <w:r w:rsidR="00983B11" w:rsidRPr="00A76317">
        <w:rPr>
          <w:sz w:val="24"/>
          <w:szCs w:val="24"/>
        </w:rPr>
        <w:t xml:space="preserve">percentage </w:t>
      </w:r>
      <w:r w:rsidRPr="00A76317">
        <w:rPr>
          <w:sz w:val="24"/>
          <w:szCs w:val="24"/>
        </w:rPr>
        <w:t xml:space="preserve">breakdown of outpatient </w:t>
      </w:r>
      <w:r w:rsidR="0048507A" w:rsidRPr="00A76317">
        <w:rPr>
          <w:sz w:val="24"/>
          <w:szCs w:val="24"/>
        </w:rPr>
        <w:t xml:space="preserve">orthopedic surgery patients by Sturdy or University for the most recent year available. </w:t>
      </w:r>
    </w:p>
    <w:tbl>
      <w:tblPr>
        <w:tblW w:w="498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centage breakdown of outpatient orthopedic surgery patients"/>
      </w:tblPr>
      <w:tblGrid>
        <w:gridCol w:w="2640"/>
        <w:gridCol w:w="960"/>
        <w:gridCol w:w="1380"/>
      </w:tblGrid>
      <w:tr w:rsidR="00BB63B8" w:rsidRPr="00A76317" w14:paraId="01093095" w14:textId="77777777" w:rsidTr="00AA4282">
        <w:trPr>
          <w:cantSplit/>
          <w:trHeight w:val="300"/>
          <w:tblHeader/>
        </w:trPr>
        <w:tc>
          <w:tcPr>
            <w:tcW w:w="2640" w:type="dxa"/>
            <w:shd w:val="clear" w:color="000000" w:fill="D5DCE4"/>
            <w:noWrap/>
            <w:vAlign w:val="center"/>
            <w:hideMark/>
          </w:tcPr>
          <w:p w14:paraId="29F03686" w14:textId="77777777" w:rsidR="00BB63B8" w:rsidRPr="00A76317" w:rsidRDefault="00BB63B8" w:rsidP="00BB63B8">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FY25</w:t>
            </w:r>
          </w:p>
        </w:tc>
        <w:tc>
          <w:tcPr>
            <w:tcW w:w="960" w:type="dxa"/>
            <w:shd w:val="clear" w:color="000000" w:fill="D5DCE4"/>
            <w:noWrap/>
            <w:vAlign w:val="center"/>
            <w:hideMark/>
          </w:tcPr>
          <w:p w14:paraId="7F688579"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 xml:space="preserve">Sturdy </w:t>
            </w:r>
          </w:p>
        </w:tc>
        <w:tc>
          <w:tcPr>
            <w:tcW w:w="1380" w:type="dxa"/>
            <w:shd w:val="clear" w:color="000000" w:fill="D5DCE4"/>
            <w:noWrap/>
            <w:vAlign w:val="center"/>
            <w:hideMark/>
          </w:tcPr>
          <w:p w14:paraId="67D56825"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 xml:space="preserve">University </w:t>
            </w:r>
          </w:p>
        </w:tc>
      </w:tr>
      <w:tr w:rsidR="00BB63B8" w:rsidRPr="00A76317" w14:paraId="5C670EED" w14:textId="77777777" w:rsidTr="00AA4282">
        <w:trPr>
          <w:cantSplit/>
          <w:trHeight w:val="300"/>
        </w:trPr>
        <w:tc>
          <w:tcPr>
            <w:tcW w:w="2640" w:type="dxa"/>
            <w:noWrap/>
            <w:vAlign w:val="center"/>
            <w:hideMark/>
          </w:tcPr>
          <w:p w14:paraId="58996F23" w14:textId="77777777" w:rsidR="00BB63B8" w:rsidRPr="00A76317" w:rsidRDefault="00BB63B8" w:rsidP="00BB63B8">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 xml:space="preserve">Unique Patients  </w:t>
            </w:r>
          </w:p>
        </w:tc>
        <w:tc>
          <w:tcPr>
            <w:tcW w:w="960" w:type="dxa"/>
            <w:noWrap/>
            <w:vAlign w:val="center"/>
            <w:hideMark/>
          </w:tcPr>
          <w:p w14:paraId="11497599"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56.04%</w:t>
            </w:r>
          </w:p>
        </w:tc>
        <w:tc>
          <w:tcPr>
            <w:tcW w:w="1380" w:type="dxa"/>
            <w:noWrap/>
            <w:vAlign w:val="center"/>
            <w:hideMark/>
          </w:tcPr>
          <w:p w14:paraId="4A313264"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43.96%</w:t>
            </w:r>
          </w:p>
        </w:tc>
      </w:tr>
      <w:tr w:rsidR="00BB63B8" w:rsidRPr="00A76317" w14:paraId="3E283A3D" w14:textId="77777777" w:rsidTr="00AA4282">
        <w:trPr>
          <w:cantSplit/>
          <w:trHeight w:val="300"/>
        </w:trPr>
        <w:tc>
          <w:tcPr>
            <w:tcW w:w="2640" w:type="dxa"/>
            <w:noWrap/>
            <w:vAlign w:val="center"/>
            <w:hideMark/>
          </w:tcPr>
          <w:p w14:paraId="78B489D0" w14:textId="77777777" w:rsidR="00BB63B8" w:rsidRPr="00A76317" w:rsidRDefault="00BB63B8" w:rsidP="00BB63B8">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Ortho Cases</w:t>
            </w:r>
          </w:p>
        </w:tc>
        <w:tc>
          <w:tcPr>
            <w:tcW w:w="960" w:type="dxa"/>
            <w:noWrap/>
            <w:vAlign w:val="center"/>
            <w:hideMark/>
          </w:tcPr>
          <w:p w14:paraId="4117EA19"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57.13%</w:t>
            </w:r>
          </w:p>
        </w:tc>
        <w:tc>
          <w:tcPr>
            <w:tcW w:w="1380" w:type="dxa"/>
            <w:noWrap/>
            <w:vAlign w:val="center"/>
            <w:hideMark/>
          </w:tcPr>
          <w:p w14:paraId="4D7C8C89" w14:textId="77777777" w:rsidR="00BB63B8" w:rsidRPr="00A76317" w:rsidRDefault="00BB63B8" w:rsidP="00BB63B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42.87%</w:t>
            </w:r>
          </w:p>
        </w:tc>
      </w:tr>
    </w:tbl>
    <w:p w14:paraId="5B19A460" w14:textId="77777777" w:rsidR="00BB63B8" w:rsidRPr="00A76317" w:rsidRDefault="00BB63B8" w:rsidP="00BB63B8">
      <w:pPr>
        <w:pStyle w:val="ListParagraph"/>
        <w:spacing w:after="120" w:line="240" w:lineRule="auto"/>
        <w:contextualSpacing w:val="0"/>
        <w:rPr>
          <w:rFonts w:ascii="Aptos" w:hAnsi="Aptos" w:cstheme="minorHAnsi"/>
          <w:sz w:val="24"/>
          <w:szCs w:val="24"/>
          <w:highlight w:val="yellow"/>
        </w:rPr>
      </w:pPr>
    </w:p>
    <w:p w14:paraId="0E1A3D36" w14:textId="31629DB6" w:rsidR="001A276B" w:rsidRPr="00A76317" w:rsidRDefault="001A276B" w:rsidP="00792485">
      <w:pPr>
        <w:pStyle w:val="Heading2"/>
        <w:rPr>
          <w:sz w:val="24"/>
          <w:szCs w:val="24"/>
        </w:rPr>
      </w:pPr>
      <w:r w:rsidRPr="00A76317">
        <w:rPr>
          <w:sz w:val="24"/>
          <w:szCs w:val="24"/>
        </w:rPr>
        <w:t xml:space="preserve">Explain the reason for the decrease in Medicare in the Applicant’s payer mix. </w:t>
      </w:r>
    </w:p>
    <w:p w14:paraId="3C3B9825" w14:textId="58F09113" w:rsidR="00884DD0" w:rsidRPr="00A76317" w:rsidRDefault="00884DD0" w:rsidP="00884DD0">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lastRenderedPageBreak/>
        <w:t xml:space="preserve">Please refer to the revised table below – Medicare and Medicaid were </w:t>
      </w:r>
      <w:r w:rsidR="00F13816" w:rsidRPr="00A76317">
        <w:rPr>
          <w:rFonts w:ascii="Aptos" w:hAnsi="Aptos" w:cstheme="minorHAnsi"/>
          <w:b/>
          <w:bCs/>
          <w:sz w:val="24"/>
          <w:szCs w:val="24"/>
        </w:rPr>
        <w:t>transposed</w:t>
      </w:r>
      <w:r w:rsidRPr="00A76317">
        <w:rPr>
          <w:rFonts w:ascii="Aptos" w:hAnsi="Aptos" w:cstheme="minorHAnsi"/>
          <w:b/>
          <w:bCs/>
          <w:sz w:val="24"/>
          <w:szCs w:val="24"/>
        </w:rPr>
        <w:t xml:space="preserve"> in the previous table.</w:t>
      </w:r>
    </w:p>
    <w:tbl>
      <w:tblPr>
        <w:tblW w:w="702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Sturdy Ortho Payer Mix FY23-25"/>
      </w:tblPr>
      <w:tblGrid>
        <w:gridCol w:w="2992"/>
        <w:gridCol w:w="1342"/>
        <w:gridCol w:w="1343"/>
        <w:gridCol w:w="1343"/>
      </w:tblGrid>
      <w:tr w:rsidR="00884DD0" w:rsidRPr="00A76317" w14:paraId="7C446875" w14:textId="77777777" w:rsidTr="006F7753">
        <w:trPr>
          <w:cantSplit/>
          <w:trHeight w:val="315"/>
          <w:tblHeader/>
        </w:trPr>
        <w:tc>
          <w:tcPr>
            <w:tcW w:w="2992" w:type="dxa"/>
            <w:shd w:val="clear" w:color="auto" w:fill="D5DCE4" w:themeFill="text2" w:themeFillTint="33"/>
            <w:noWrap/>
            <w:tcMar>
              <w:top w:w="0" w:type="dxa"/>
              <w:left w:w="108" w:type="dxa"/>
              <w:bottom w:w="0" w:type="dxa"/>
              <w:right w:w="108" w:type="dxa"/>
            </w:tcMar>
            <w:hideMark/>
          </w:tcPr>
          <w:p w14:paraId="5161BAFE" w14:textId="1C1862FB" w:rsidR="00884DD0" w:rsidRPr="00A76317" w:rsidRDefault="00884DD0" w:rsidP="00B334F2">
            <w:pPr>
              <w:pStyle w:val="ListParagraph"/>
              <w:spacing w:after="60" w:line="240" w:lineRule="auto"/>
              <w:ind w:hanging="650"/>
              <w:contextualSpacing w:val="0"/>
              <w:rPr>
                <w:rFonts w:ascii="Aptos" w:hAnsi="Aptos" w:cstheme="minorHAnsi"/>
                <w:b/>
                <w:bCs/>
                <w:sz w:val="24"/>
                <w:szCs w:val="24"/>
              </w:rPr>
            </w:pPr>
            <w:r w:rsidRPr="00A76317">
              <w:rPr>
                <w:rFonts w:ascii="Aptos" w:hAnsi="Aptos" w:cstheme="minorHAnsi"/>
                <w:b/>
                <w:bCs/>
                <w:sz w:val="24"/>
                <w:szCs w:val="24"/>
              </w:rPr>
              <w:t xml:space="preserve">Sturdy OP </w:t>
            </w:r>
            <w:r w:rsidR="006F7753" w:rsidRPr="00A76317">
              <w:rPr>
                <w:rFonts w:ascii="Aptos" w:hAnsi="Aptos" w:cstheme="minorHAnsi"/>
                <w:b/>
                <w:bCs/>
                <w:sz w:val="24"/>
                <w:szCs w:val="24"/>
              </w:rPr>
              <w:t>Ortho Payer</w:t>
            </w:r>
            <w:r w:rsidRPr="00A76317">
              <w:rPr>
                <w:rFonts w:ascii="Aptos" w:hAnsi="Aptos" w:cstheme="minorHAnsi"/>
                <w:b/>
                <w:bCs/>
                <w:sz w:val="24"/>
                <w:szCs w:val="24"/>
              </w:rPr>
              <w:t xml:space="preserve"> Mix</w:t>
            </w:r>
          </w:p>
        </w:tc>
        <w:tc>
          <w:tcPr>
            <w:tcW w:w="1342" w:type="dxa"/>
            <w:shd w:val="clear" w:color="auto" w:fill="D5DCE4" w:themeFill="text2" w:themeFillTint="33"/>
            <w:noWrap/>
            <w:tcMar>
              <w:top w:w="0" w:type="dxa"/>
              <w:left w:w="108" w:type="dxa"/>
              <w:bottom w:w="0" w:type="dxa"/>
              <w:right w:w="108" w:type="dxa"/>
            </w:tcMar>
            <w:vAlign w:val="center"/>
            <w:hideMark/>
          </w:tcPr>
          <w:p w14:paraId="2D4F7944"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FY23</w:t>
            </w:r>
          </w:p>
        </w:tc>
        <w:tc>
          <w:tcPr>
            <w:tcW w:w="1343" w:type="dxa"/>
            <w:shd w:val="clear" w:color="auto" w:fill="D5DCE4" w:themeFill="text2" w:themeFillTint="33"/>
            <w:vAlign w:val="center"/>
            <w:hideMark/>
          </w:tcPr>
          <w:p w14:paraId="5CEBFB1F"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FY24</w:t>
            </w:r>
          </w:p>
        </w:tc>
        <w:tc>
          <w:tcPr>
            <w:tcW w:w="1343" w:type="dxa"/>
            <w:shd w:val="clear" w:color="auto" w:fill="D5DCE4" w:themeFill="text2" w:themeFillTint="33"/>
            <w:vAlign w:val="center"/>
            <w:hideMark/>
          </w:tcPr>
          <w:p w14:paraId="640DB0CC"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FY25</w:t>
            </w:r>
          </w:p>
        </w:tc>
      </w:tr>
      <w:tr w:rsidR="00884DD0" w:rsidRPr="00A76317" w14:paraId="787EE33B" w14:textId="77777777" w:rsidTr="006F7753">
        <w:trPr>
          <w:cantSplit/>
          <w:trHeight w:val="315"/>
        </w:trPr>
        <w:tc>
          <w:tcPr>
            <w:tcW w:w="2992" w:type="dxa"/>
            <w:noWrap/>
            <w:tcMar>
              <w:top w:w="0" w:type="dxa"/>
              <w:left w:w="108" w:type="dxa"/>
              <w:bottom w:w="0" w:type="dxa"/>
              <w:right w:w="108" w:type="dxa"/>
            </w:tcMar>
            <w:vAlign w:val="center"/>
            <w:hideMark/>
          </w:tcPr>
          <w:p w14:paraId="13A18403" w14:textId="77777777" w:rsidR="00884DD0" w:rsidRPr="00A76317" w:rsidRDefault="00884DD0" w:rsidP="00B334F2">
            <w:pPr>
              <w:pStyle w:val="ListParagraph"/>
              <w:spacing w:after="60" w:line="240" w:lineRule="auto"/>
              <w:ind w:left="70"/>
              <w:contextualSpacing w:val="0"/>
              <w:rPr>
                <w:rFonts w:ascii="Aptos" w:hAnsi="Aptos" w:cstheme="minorHAnsi"/>
                <w:b/>
                <w:bCs/>
                <w:sz w:val="24"/>
                <w:szCs w:val="24"/>
              </w:rPr>
            </w:pPr>
            <w:r w:rsidRPr="00A76317">
              <w:rPr>
                <w:rFonts w:ascii="Aptos" w:hAnsi="Aptos" w:cstheme="minorHAnsi"/>
                <w:b/>
                <w:bCs/>
                <w:sz w:val="24"/>
                <w:szCs w:val="24"/>
              </w:rPr>
              <w:t>Payer: Commercial</w:t>
            </w:r>
          </w:p>
        </w:tc>
        <w:tc>
          <w:tcPr>
            <w:tcW w:w="1342" w:type="dxa"/>
            <w:noWrap/>
            <w:tcMar>
              <w:top w:w="0" w:type="dxa"/>
              <w:left w:w="108" w:type="dxa"/>
              <w:bottom w:w="0" w:type="dxa"/>
              <w:right w:w="108" w:type="dxa"/>
            </w:tcMar>
            <w:vAlign w:val="bottom"/>
            <w:hideMark/>
          </w:tcPr>
          <w:p w14:paraId="3652304C"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412</w:t>
            </w:r>
          </w:p>
        </w:tc>
        <w:tc>
          <w:tcPr>
            <w:tcW w:w="1343" w:type="dxa"/>
            <w:vAlign w:val="bottom"/>
            <w:hideMark/>
          </w:tcPr>
          <w:p w14:paraId="0A1398D9"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569</w:t>
            </w:r>
          </w:p>
        </w:tc>
        <w:tc>
          <w:tcPr>
            <w:tcW w:w="1343" w:type="dxa"/>
            <w:vAlign w:val="bottom"/>
            <w:hideMark/>
          </w:tcPr>
          <w:p w14:paraId="2CDB6A04"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542</w:t>
            </w:r>
          </w:p>
        </w:tc>
      </w:tr>
      <w:tr w:rsidR="00884DD0" w:rsidRPr="00A76317" w14:paraId="46097343" w14:textId="77777777" w:rsidTr="006F7753">
        <w:trPr>
          <w:cantSplit/>
          <w:trHeight w:val="315"/>
        </w:trPr>
        <w:tc>
          <w:tcPr>
            <w:tcW w:w="2992" w:type="dxa"/>
            <w:noWrap/>
            <w:tcMar>
              <w:top w:w="0" w:type="dxa"/>
              <w:left w:w="108" w:type="dxa"/>
              <w:bottom w:w="0" w:type="dxa"/>
              <w:right w:w="108" w:type="dxa"/>
            </w:tcMar>
            <w:vAlign w:val="center"/>
            <w:hideMark/>
          </w:tcPr>
          <w:p w14:paraId="36E04F16" w14:textId="77777777" w:rsidR="00884DD0" w:rsidRPr="00A76317" w:rsidRDefault="00884DD0" w:rsidP="00B334F2">
            <w:pPr>
              <w:pStyle w:val="ListParagraph"/>
              <w:spacing w:after="60" w:line="240" w:lineRule="auto"/>
              <w:ind w:left="70"/>
              <w:contextualSpacing w:val="0"/>
              <w:rPr>
                <w:rFonts w:ascii="Aptos" w:hAnsi="Aptos" w:cstheme="minorHAnsi"/>
                <w:b/>
                <w:bCs/>
                <w:sz w:val="24"/>
                <w:szCs w:val="24"/>
              </w:rPr>
            </w:pPr>
            <w:r w:rsidRPr="00A76317">
              <w:rPr>
                <w:rFonts w:ascii="Aptos" w:hAnsi="Aptos" w:cstheme="minorHAnsi"/>
                <w:b/>
                <w:bCs/>
                <w:sz w:val="24"/>
                <w:szCs w:val="24"/>
              </w:rPr>
              <w:t>Payer: Medicare</w:t>
            </w:r>
          </w:p>
        </w:tc>
        <w:tc>
          <w:tcPr>
            <w:tcW w:w="1342" w:type="dxa"/>
            <w:noWrap/>
            <w:tcMar>
              <w:top w:w="0" w:type="dxa"/>
              <w:left w:w="108" w:type="dxa"/>
              <w:bottom w:w="0" w:type="dxa"/>
              <w:right w:w="108" w:type="dxa"/>
            </w:tcMar>
            <w:vAlign w:val="bottom"/>
            <w:hideMark/>
          </w:tcPr>
          <w:p w14:paraId="5646D42F"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333</w:t>
            </w:r>
          </w:p>
        </w:tc>
        <w:tc>
          <w:tcPr>
            <w:tcW w:w="1343" w:type="dxa"/>
            <w:vAlign w:val="bottom"/>
            <w:hideMark/>
          </w:tcPr>
          <w:p w14:paraId="7646FD11"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443</w:t>
            </w:r>
          </w:p>
        </w:tc>
        <w:tc>
          <w:tcPr>
            <w:tcW w:w="1343" w:type="dxa"/>
            <w:vAlign w:val="bottom"/>
            <w:hideMark/>
          </w:tcPr>
          <w:p w14:paraId="1C6767E5"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491</w:t>
            </w:r>
          </w:p>
        </w:tc>
      </w:tr>
      <w:tr w:rsidR="00884DD0" w:rsidRPr="00A76317" w14:paraId="74C6DFB6" w14:textId="77777777" w:rsidTr="006F7753">
        <w:trPr>
          <w:cantSplit/>
          <w:trHeight w:val="315"/>
        </w:trPr>
        <w:tc>
          <w:tcPr>
            <w:tcW w:w="2992" w:type="dxa"/>
            <w:noWrap/>
            <w:tcMar>
              <w:top w:w="0" w:type="dxa"/>
              <w:left w:w="108" w:type="dxa"/>
              <w:bottom w:w="0" w:type="dxa"/>
              <w:right w:w="108" w:type="dxa"/>
            </w:tcMar>
            <w:vAlign w:val="center"/>
            <w:hideMark/>
          </w:tcPr>
          <w:p w14:paraId="7397BE95" w14:textId="77777777" w:rsidR="00884DD0" w:rsidRPr="00A76317" w:rsidRDefault="00884DD0" w:rsidP="00B334F2">
            <w:pPr>
              <w:pStyle w:val="ListParagraph"/>
              <w:spacing w:after="60" w:line="240" w:lineRule="auto"/>
              <w:ind w:left="70"/>
              <w:contextualSpacing w:val="0"/>
              <w:rPr>
                <w:rFonts w:ascii="Aptos" w:hAnsi="Aptos" w:cstheme="minorHAnsi"/>
                <w:b/>
                <w:bCs/>
                <w:sz w:val="24"/>
                <w:szCs w:val="24"/>
              </w:rPr>
            </w:pPr>
            <w:r w:rsidRPr="00A76317">
              <w:rPr>
                <w:rFonts w:ascii="Aptos" w:hAnsi="Aptos" w:cstheme="minorHAnsi"/>
                <w:b/>
                <w:bCs/>
                <w:sz w:val="24"/>
                <w:szCs w:val="24"/>
              </w:rPr>
              <w:t>Payer: Medicaid</w:t>
            </w:r>
          </w:p>
        </w:tc>
        <w:tc>
          <w:tcPr>
            <w:tcW w:w="1342" w:type="dxa"/>
            <w:noWrap/>
            <w:tcMar>
              <w:top w:w="0" w:type="dxa"/>
              <w:left w:w="108" w:type="dxa"/>
              <w:bottom w:w="0" w:type="dxa"/>
              <w:right w:w="108" w:type="dxa"/>
            </w:tcMar>
            <w:vAlign w:val="bottom"/>
            <w:hideMark/>
          </w:tcPr>
          <w:p w14:paraId="1F7753E4"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159</w:t>
            </w:r>
          </w:p>
        </w:tc>
        <w:tc>
          <w:tcPr>
            <w:tcW w:w="1343" w:type="dxa"/>
            <w:vAlign w:val="bottom"/>
            <w:hideMark/>
          </w:tcPr>
          <w:p w14:paraId="3FDA0BBF"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204</w:t>
            </w:r>
          </w:p>
        </w:tc>
        <w:tc>
          <w:tcPr>
            <w:tcW w:w="1343" w:type="dxa"/>
            <w:vAlign w:val="bottom"/>
            <w:hideMark/>
          </w:tcPr>
          <w:p w14:paraId="2B0187E3"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193</w:t>
            </w:r>
          </w:p>
        </w:tc>
      </w:tr>
      <w:tr w:rsidR="00884DD0" w:rsidRPr="00A76317" w14:paraId="41526699" w14:textId="77777777" w:rsidTr="006F7753">
        <w:trPr>
          <w:cantSplit/>
          <w:trHeight w:val="315"/>
        </w:trPr>
        <w:tc>
          <w:tcPr>
            <w:tcW w:w="2992" w:type="dxa"/>
            <w:shd w:val="clear" w:color="auto" w:fill="FFFFFF"/>
            <w:noWrap/>
            <w:tcMar>
              <w:top w:w="0" w:type="dxa"/>
              <w:left w:w="108" w:type="dxa"/>
              <w:bottom w:w="0" w:type="dxa"/>
              <w:right w:w="108" w:type="dxa"/>
            </w:tcMar>
            <w:vAlign w:val="center"/>
            <w:hideMark/>
          </w:tcPr>
          <w:p w14:paraId="0C813791" w14:textId="77777777" w:rsidR="00884DD0" w:rsidRPr="00A76317" w:rsidRDefault="00884DD0" w:rsidP="00B334F2">
            <w:pPr>
              <w:pStyle w:val="ListParagraph"/>
              <w:spacing w:after="60" w:line="240" w:lineRule="auto"/>
              <w:ind w:left="70"/>
              <w:contextualSpacing w:val="0"/>
              <w:rPr>
                <w:rFonts w:ascii="Aptos" w:hAnsi="Aptos" w:cstheme="minorHAnsi"/>
                <w:b/>
                <w:bCs/>
                <w:sz w:val="24"/>
                <w:szCs w:val="24"/>
              </w:rPr>
            </w:pPr>
            <w:r w:rsidRPr="00A76317">
              <w:rPr>
                <w:rFonts w:ascii="Aptos" w:hAnsi="Aptos" w:cstheme="minorHAnsi"/>
                <w:b/>
                <w:bCs/>
                <w:sz w:val="24"/>
                <w:szCs w:val="24"/>
              </w:rPr>
              <w:t>Payer: HSN</w:t>
            </w:r>
          </w:p>
        </w:tc>
        <w:tc>
          <w:tcPr>
            <w:tcW w:w="1342" w:type="dxa"/>
            <w:noWrap/>
            <w:tcMar>
              <w:top w:w="0" w:type="dxa"/>
              <w:left w:w="108" w:type="dxa"/>
              <w:bottom w:w="0" w:type="dxa"/>
              <w:right w:w="108" w:type="dxa"/>
            </w:tcMar>
            <w:vAlign w:val="bottom"/>
            <w:hideMark/>
          </w:tcPr>
          <w:p w14:paraId="543D5F43"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0</w:t>
            </w:r>
          </w:p>
        </w:tc>
        <w:tc>
          <w:tcPr>
            <w:tcW w:w="1343" w:type="dxa"/>
            <w:vAlign w:val="bottom"/>
            <w:hideMark/>
          </w:tcPr>
          <w:p w14:paraId="517C5FE9"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0</w:t>
            </w:r>
          </w:p>
        </w:tc>
        <w:tc>
          <w:tcPr>
            <w:tcW w:w="1343" w:type="dxa"/>
            <w:vAlign w:val="bottom"/>
            <w:hideMark/>
          </w:tcPr>
          <w:p w14:paraId="2B784DEE"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0</w:t>
            </w:r>
          </w:p>
        </w:tc>
      </w:tr>
      <w:tr w:rsidR="00884DD0" w:rsidRPr="00A76317" w14:paraId="710E3082" w14:textId="77777777" w:rsidTr="006F7753">
        <w:trPr>
          <w:cantSplit/>
          <w:trHeight w:val="315"/>
        </w:trPr>
        <w:tc>
          <w:tcPr>
            <w:tcW w:w="2992" w:type="dxa"/>
            <w:shd w:val="clear" w:color="auto" w:fill="FFFFFF"/>
            <w:noWrap/>
            <w:tcMar>
              <w:top w:w="0" w:type="dxa"/>
              <w:left w:w="108" w:type="dxa"/>
              <w:bottom w:w="0" w:type="dxa"/>
              <w:right w:w="108" w:type="dxa"/>
            </w:tcMar>
            <w:vAlign w:val="center"/>
            <w:hideMark/>
          </w:tcPr>
          <w:p w14:paraId="1136CBD5" w14:textId="77777777" w:rsidR="00884DD0" w:rsidRPr="00A76317" w:rsidRDefault="00884DD0" w:rsidP="00B334F2">
            <w:pPr>
              <w:pStyle w:val="ListParagraph"/>
              <w:spacing w:after="60" w:line="240" w:lineRule="auto"/>
              <w:ind w:left="70"/>
              <w:contextualSpacing w:val="0"/>
              <w:rPr>
                <w:rFonts w:ascii="Aptos" w:hAnsi="Aptos" w:cstheme="minorHAnsi"/>
                <w:b/>
                <w:bCs/>
                <w:sz w:val="24"/>
                <w:szCs w:val="24"/>
              </w:rPr>
            </w:pPr>
            <w:r w:rsidRPr="00A76317">
              <w:rPr>
                <w:rFonts w:ascii="Aptos" w:hAnsi="Aptos" w:cstheme="minorHAnsi"/>
                <w:b/>
                <w:bCs/>
                <w:sz w:val="24"/>
                <w:szCs w:val="24"/>
              </w:rPr>
              <w:t>Payer: Other</w:t>
            </w:r>
          </w:p>
        </w:tc>
        <w:tc>
          <w:tcPr>
            <w:tcW w:w="1342" w:type="dxa"/>
            <w:noWrap/>
            <w:tcMar>
              <w:top w:w="0" w:type="dxa"/>
              <w:left w:w="108" w:type="dxa"/>
              <w:bottom w:w="0" w:type="dxa"/>
              <w:right w:w="108" w:type="dxa"/>
            </w:tcMar>
            <w:vAlign w:val="bottom"/>
            <w:hideMark/>
          </w:tcPr>
          <w:p w14:paraId="7E367275" w14:textId="77777777" w:rsidR="00884DD0" w:rsidRPr="00A76317" w:rsidRDefault="00884DD0" w:rsidP="00B334F2">
            <w:pPr>
              <w:pStyle w:val="ListParagraph"/>
              <w:spacing w:after="60" w:line="240" w:lineRule="auto"/>
              <w:ind w:hanging="720"/>
              <w:contextualSpacing w:val="0"/>
              <w:jc w:val="center"/>
              <w:rPr>
                <w:rFonts w:ascii="Aptos" w:hAnsi="Aptos" w:cstheme="minorHAnsi"/>
                <w:b/>
                <w:bCs/>
                <w:sz w:val="24"/>
                <w:szCs w:val="24"/>
              </w:rPr>
            </w:pPr>
            <w:r w:rsidRPr="00A76317">
              <w:rPr>
                <w:rFonts w:ascii="Aptos" w:hAnsi="Aptos" w:cstheme="minorHAnsi"/>
                <w:b/>
                <w:bCs/>
                <w:sz w:val="24"/>
                <w:szCs w:val="24"/>
              </w:rPr>
              <w:t>83</w:t>
            </w:r>
          </w:p>
        </w:tc>
        <w:tc>
          <w:tcPr>
            <w:tcW w:w="1343" w:type="dxa"/>
            <w:vAlign w:val="bottom"/>
            <w:hideMark/>
          </w:tcPr>
          <w:p w14:paraId="09D1E8AB" w14:textId="77777777" w:rsidR="00884DD0" w:rsidRPr="00A76317" w:rsidRDefault="00884DD0" w:rsidP="00B334F2">
            <w:pPr>
              <w:pStyle w:val="ListParagraph"/>
              <w:spacing w:after="60" w:line="240" w:lineRule="auto"/>
              <w:ind w:hanging="630"/>
              <w:contextualSpacing w:val="0"/>
              <w:jc w:val="center"/>
              <w:rPr>
                <w:rFonts w:ascii="Aptos" w:hAnsi="Aptos" w:cstheme="minorHAnsi"/>
                <w:b/>
                <w:bCs/>
                <w:sz w:val="24"/>
                <w:szCs w:val="24"/>
              </w:rPr>
            </w:pPr>
            <w:r w:rsidRPr="00A76317">
              <w:rPr>
                <w:rFonts w:ascii="Aptos" w:hAnsi="Aptos" w:cstheme="minorHAnsi"/>
                <w:b/>
                <w:bCs/>
                <w:sz w:val="24"/>
                <w:szCs w:val="24"/>
              </w:rPr>
              <w:t>107</w:t>
            </w:r>
          </w:p>
        </w:tc>
        <w:tc>
          <w:tcPr>
            <w:tcW w:w="1343" w:type="dxa"/>
            <w:vAlign w:val="bottom"/>
            <w:hideMark/>
          </w:tcPr>
          <w:p w14:paraId="54D7ACD4" w14:textId="77777777" w:rsidR="00884DD0" w:rsidRPr="00A76317" w:rsidRDefault="00884DD0" w:rsidP="00B334F2">
            <w:pPr>
              <w:pStyle w:val="ListParagraph"/>
              <w:spacing w:after="60" w:line="240" w:lineRule="auto"/>
              <w:ind w:hanging="640"/>
              <w:contextualSpacing w:val="0"/>
              <w:jc w:val="center"/>
              <w:rPr>
                <w:rFonts w:ascii="Aptos" w:hAnsi="Aptos" w:cstheme="minorHAnsi"/>
                <w:b/>
                <w:bCs/>
                <w:sz w:val="24"/>
                <w:szCs w:val="24"/>
              </w:rPr>
            </w:pPr>
            <w:r w:rsidRPr="00A76317">
              <w:rPr>
                <w:rFonts w:ascii="Aptos" w:hAnsi="Aptos" w:cstheme="minorHAnsi"/>
                <w:b/>
                <w:bCs/>
                <w:sz w:val="24"/>
                <w:szCs w:val="24"/>
              </w:rPr>
              <w:t>115</w:t>
            </w:r>
          </w:p>
        </w:tc>
      </w:tr>
    </w:tbl>
    <w:p w14:paraId="306EC7DA" w14:textId="77777777" w:rsidR="00884DD0" w:rsidRPr="00A76317" w:rsidRDefault="00884DD0" w:rsidP="00884DD0">
      <w:pPr>
        <w:pStyle w:val="ListParagraph"/>
        <w:spacing w:after="120" w:line="240" w:lineRule="auto"/>
        <w:contextualSpacing w:val="0"/>
        <w:rPr>
          <w:rFonts w:ascii="Aptos" w:hAnsi="Aptos" w:cstheme="minorHAnsi"/>
          <w:sz w:val="24"/>
          <w:szCs w:val="24"/>
        </w:rPr>
      </w:pPr>
    </w:p>
    <w:p w14:paraId="4EAAD1EA" w14:textId="77777777" w:rsidR="00E63063" w:rsidRPr="00A76317" w:rsidRDefault="00E63063" w:rsidP="00792485">
      <w:pPr>
        <w:pStyle w:val="Heading2"/>
        <w:rPr>
          <w:sz w:val="24"/>
          <w:szCs w:val="24"/>
        </w:rPr>
      </w:pPr>
      <w:r w:rsidRPr="00A76317">
        <w:rPr>
          <w:sz w:val="24"/>
          <w:szCs w:val="24"/>
        </w:rPr>
        <w:t xml:space="preserve">The application states that current wait times vary by individual providers, but average four to six weeks (pg.5, narrative). </w:t>
      </w:r>
    </w:p>
    <w:p w14:paraId="5A36B133" w14:textId="01D7ADD1" w:rsidR="00C06663" w:rsidRPr="00A76317" w:rsidRDefault="00E63063" w:rsidP="00044E5B">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 xml:space="preserve">Please provide </w:t>
      </w:r>
      <w:r w:rsidR="0013338E" w:rsidRPr="00A76317">
        <w:rPr>
          <w:rFonts w:ascii="Aptos" w:hAnsi="Aptos" w:cstheme="minorHAnsi"/>
          <w:sz w:val="24"/>
          <w:szCs w:val="24"/>
        </w:rPr>
        <w:t>average</w:t>
      </w:r>
      <w:r w:rsidR="00B63430" w:rsidRPr="00A76317">
        <w:rPr>
          <w:rFonts w:ascii="Aptos" w:hAnsi="Aptos" w:cstheme="minorHAnsi"/>
          <w:sz w:val="24"/>
          <w:szCs w:val="24"/>
        </w:rPr>
        <w:t xml:space="preserve"> wait times for procedure by specialty </w:t>
      </w:r>
      <w:r w:rsidR="009E49AC" w:rsidRPr="00A76317">
        <w:rPr>
          <w:rFonts w:ascii="Aptos" w:hAnsi="Aptos" w:cstheme="minorHAnsi"/>
          <w:sz w:val="24"/>
          <w:szCs w:val="24"/>
        </w:rPr>
        <w:t xml:space="preserve">and proposed wait times after project </w:t>
      </w:r>
      <w:proofErr w:type="gramStart"/>
      <w:r w:rsidR="009E49AC" w:rsidRPr="00A76317">
        <w:rPr>
          <w:rFonts w:ascii="Aptos" w:hAnsi="Aptos" w:cstheme="minorHAnsi"/>
          <w:sz w:val="24"/>
          <w:szCs w:val="24"/>
        </w:rPr>
        <w:t>implementatio</w:t>
      </w:r>
      <w:r w:rsidR="003029C0" w:rsidRPr="00A76317">
        <w:rPr>
          <w:rFonts w:ascii="Aptos" w:hAnsi="Aptos" w:cstheme="minorHAnsi"/>
          <w:sz w:val="24"/>
          <w:szCs w:val="24"/>
        </w:rPr>
        <w:t xml:space="preserve">n, </w:t>
      </w:r>
      <w:r w:rsidR="0013338E" w:rsidRPr="00A76317">
        <w:rPr>
          <w:rFonts w:ascii="Aptos" w:hAnsi="Aptos" w:cstheme="minorHAnsi"/>
          <w:sz w:val="24"/>
          <w:szCs w:val="24"/>
        </w:rPr>
        <w:t>and</w:t>
      </w:r>
      <w:proofErr w:type="gramEnd"/>
      <w:r w:rsidR="0013338E" w:rsidRPr="00A76317">
        <w:rPr>
          <w:rFonts w:ascii="Aptos" w:hAnsi="Aptos" w:cstheme="minorHAnsi"/>
          <w:sz w:val="24"/>
          <w:szCs w:val="24"/>
        </w:rPr>
        <w:t xml:space="preserve"> include</w:t>
      </w:r>
      <w:r w:rsidR="003029C0" w:rsidRPr="00A76317">
        <w:rPr>
          <w:rFonts w:ascii="Aptos" w:hAnsi="Aptos" w:cstheme="minorHAnsi"/>
          <w:sz w:val="24"/>
          <w:szCs w:val="24"/>
        </w:rPr>
        <w:t xml:space="preserve"> any </w:t>
      </w:r>
      <w:r w:rsidR="0013338E" w:rsidRPr="00A76317">
        <w:rPr>
          <w:rFonts w:ascii="Aptos" w:hAnsi="Aptos" w:cstheme="minorHAnsi"/>
          <w:sz w:val="24"/>
          <w:szCs w:val="24"/>
        </w:rPr>
        <w:t xml:space="preserve">industry </w:t>
      </w:r>
      <w:r w:rsidR="003029C0" w:rsidRPr="00A76317">
        <w:rPr>
          <w:rFonts w:ascii="Aptos" w:hAnsi="Aptos" w:cstheme="minorHAnsi"/>
          <w:sz w:val="24"/>
          <w:szCs w:val="24"/>
        </w:rPr>
        <w:t xml:space="preserve">standards for wait times. </w:t>
      </w:r>
    </w:p>
    <w:p w14:paraId="27B89EA8" w14:textId="0FA98340" w:rsidR="00C06663" w:rsidRPr="00A76317" w:rsidRDefault="00C06663" w:rsidP="00C06663">
      <w:pPr>
        <w:pStyle w:val="ListParagraph"/>
        <w:spacing w:after="120" w:line="240" w:lineRule="auto"/>
        <w:ind w:left="1440"/>
        <w:contextualSpacing w:val="0"/>
        <w:rPr>
          <w:rFonts w:ascii="Aptos" w:hAnsi="Aptos" w:cstheme="minorHAnsi"/>
          <w:b/>
          <w:bCs/>
          <w:sz w:val="24"/>
          <w:szCs w:val="24"/>
        </w:rPr>
      </w:pPr>
      <w:r w:rsidRPr="00A76317">
        <w:rPr>
          <w:rFonts w:ascii="Aptos" w:hAnsi="Aptos" w:cstheme="minorHAnsi"/>
          <w:b/>
          <w:bCs/>
          <w:sz w:val="24"/>
          <w:szCs w:val="24"/>
        </w:rPr>
        <w:t xml:space="preserve">There are no industry standards for </w:t>
      </w:r>
      <w:proofErr w:type="gramStart"/>
      <w:r w:rsidRPr="00A76317">
        <w:rPr>
          <w:rFonts w:ascii="Aptos" w:hAnsi="Aptos" w:cstheme="minorHAnsi"/>
          <w:b/>
          <w:bCs/>
          <w:sz w:val="24"/>
          <w:szCs w:val="24"/>
        </w:rPr>
        <w:t>wait</w:t>
      </w:r>
      <w:proofErr w:type="gramEnd"/>
      <w:r w:rsidRPr="00A76317">
        <w:rPr>
          <w:rFonts w:ascii="Aptos" w:hAnsi="Aptos" w:cstheme="minorHAnsi"/>
          <w:b/>
          <w:bCs/>
          <w:sz w:val="24"/>
          <w:szCs w:val="24"/>
        </w:rPr>
        <w:t xml:space="preserve"> times; however, conditions requiring orthopedic surgery often impact quality of life and delays in care can lead to worsening including further deterioration, pain and impaired mobility. </w:t>
      </w: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it times for procedure by providers"/>
      </w:tblPr>
      <w:tblGrid>
        <w:gridCol w:w="2610"/>
        <w:gridCol w:w="1890"/>
        <w:gridCol w:w="2070"/>
        <w:gridCol w:w="1800"/>
      </w:tblGrid>
      <w:tr w:rsidR="00E25779" w:rsidRPr="00A76317" w14:paraId="59910322" w14:textId="77777777" w:rsidTr="00E3002F">
        <w:trPr>
          <w:cantSplit/>
          <w:trHeight w:val="290"/>
          <w:tblHeader/>
        </w:trPr>
        <w:tc>
          <w:tcPr>
            <w:tcW w:w="261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2EA8A16" w14:textId="3F319BA5" w:rsidR="00E25779" w:rsidRPr="00A76317" w:rsidRDefault="00E25779" w:rsidP="00191BE8">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 xml:space="preserve">Wait Times </w:t>
            </w:r>
            <w:r w:rsidR="00C06663" w:rsidRPr="00A76317">
              <w:rPr>
                <w:rFonts w:ascii="Aptos Narrow" w:eastAsia="Times New Roman" w:hAnsi="Aptos Narrow" w:cs="Times New Roman"/>
                <w:b/>
                <w:bCs/>
                <w:color w:val="000000"/>
                <w:sz w:val="24"/>
                <w:szCs w:val="24"/>
              </w:rPr>
              <w:t>(days)</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2AC072EB" w14:textId="77777777" w:rsidR="00E25779" w:rsidRPr="00A76317" w:rsidRDefault="00E25779" w:rsidP="00191BE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Sturdy Providers</w:t>
            </w:r>
          </w:p>
        </w:tc>
        <w:tc>
          <w:tcPr>
            <w:tcW w:w="207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4055DD7" w14:textId="77777777" w:rsidR="00E25779" w:rsidRPr="00A76317" w:rsidRDefault="00E25779" w:rsidP="00191BE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University Providers</w:t>
            </w:r>
          </w:p>
        </w:tc>
        <w:tc>
          <w:tcPr>
            <w:tcW w:w="180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4CEDCAFC" w14:textId="77777777" w:rsidR="00E25779" w:rsidRPr="00A76317" w:rsidRDefault="00E25779" w:rsidP="00191BE8">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Projected ASC</w:t>
            </w:r>
          </w:p>
        </w:tc>
      </w:tr>
      <w:tr w:rsidR="009D4F43" w:rsidRPr="00A76317" w14:paraId="206828FB" w14:textId="77777777" w:rsidTr="00E3002F">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2B32042C" w14:textId="77777777" w:rsidR="009D4F43" w:rsidRPr="00A76317" w:rsidRDefault="009D4F43" w:rsidP="009D4F43">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Hand</w:t>
            </w:r>
          </w:p>
        </w:tc>
        <w:tc>
          <w:tcPr>
            <w:tcW w:w="1890" w:type="dxa"/>
            <w:tcBorders>
              <w:top w:val="single" w:sz="4" w:space="0" w:color="auto"/>
              <w:left w:val="single" w:sz="4" w:space="0" w:color="auto"/>
              <w:bottom w:val="single" w:sz="4" w:space="0" w:color="auto"/>
              <w:right w:val="single" w:sz="4" w:space="0" w:color="auto"/>
            </w:tcBorders>
            <w:noWrap/>
            <w:vAlign w:val="bottom"/>
          </w:tcPr>
          <w:p w14:paraId="38D6D723" w14:textId="62ACDD72"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40</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5083AAD"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7BFB3F9"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21</w:t>
            </w:r>
          </w:p>
        </w:tc>
      </w:tr>
      <w:tr w:rsidR="009D4F43" w:rsidRPr="00A76317" w14:paraId="4B5665C0" w14:textId="77777777" w:rsidTr="00E3002F">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56F8F0A3" w14:textId="77777777" w:rsidR="009D4F43" w:rsidRPr="00A76317" w:rsidRDefault="009D4F43" w:rsidP="009D4F43">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Adult</w:t>
            </w:r>
          </w:p>
        </w:tc>
        <w:tc>
          <w:tcPr>
            <w:tcW w:w="1890" w:type="dxa"/>
            <w:tcBorders>
              <w:top w:val="single" w:sz="4" w:space="0" w:color="auto"/>
              <w:left w:val="single" w:sz="4" w:space="0" w:color="auto"/>
              <w:bottom w:val="single" w:sz="4" w:space="0" w:color="auto"/>
              <w:right w:val="single" w:sz="4" w:space="0" w:color="auto"/>
            </w:tcBorders>
            <w:noWrap/>
            <w:vAlign w:val="bottom"/>
          </w:tcPr>
          <w:p w14:paraId="273473AF" w14:textId="1CB83B8D"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38</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246CB94"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51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0FCBFCA"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21</w:t>
            </w:r>
          </w:p>
        </w:tc>
      </w:tr>
      <w:tr w:rsidR="009D4F43" w:rsidRPr="00A76317" w14:paraId="28070F54" w14:textId="77777777" w:rsidTr="00E3002F">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4C8A4786" w14:textId="77777777" w:rsidR="009D4F43" w:rsidRPr="00A76317" w:rsidRDefault="009D4F43" w:rsidP="009D4F43">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General</w:t>
            </w:r>
          </w:p>
        </w:tc>
        <w:tc>
          <w:tcPr>
            <w:tcW w:w="1890" w:type="dxa"/>
            <w:tcBorders>
              <w:top w:val="single" w:sz="4" w:space="0" w:color="auto"/>
              <w:left w:val="single" w:sz="4" w:space="0" w:color="auto"/>
              <w:bottom w:val="single" w:sz="4" w:space="0" w:color="auto"/>
              <w:right w:val="single" w:sz="4" w:space="0" w:color="auto"/>
            </w:tcBorders>
            <w:noWrap/>
            <w:vAlign w:val="bottom"/>
          </w:tcPr>
          <w:p w14:paraId="6FE6B22C" w14:textId="62D16198"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35</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04E41AB"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38</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539DE03"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21</w:t>
            </w:r>
          </w:p>
        </w:tc>
      </w:tr>
      <w:tr w:rsidR="009D4F43" w:rsidRPr="00A76317" w14:paraId="39FC37BB" w14:textId="77777777" w:rsidTr="00E3002F">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31E3E381" w14:textId="77777777" w:rsidR="009D4F43" w:rsidRPr="00A76317" w:rsidRDefault="009D4F43" w:rsidP="009D4F43">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Spine</w:t>
            </w:r>
          </w:p>
        </w:tc>
        <w:tc>
          <w:tcPr>
            <w:tcW w:w="1890" w:type="dxa"/>
            <w:tcBorders>
              <w:top w:val="single" w:sz="4" w:space="0" w:color="auto"/>
              <w:left w:val="single" w:sz="4" w:space="0" w:color="auto"/>
              <w:bottom w:val="single" w:sz="4" w:space="0" w:color="auto"/>
              <w:right w:val="single" w:sz="4" w:space="0" w:color="auto"/>
            </w:tcBorders>
            <w:noWrap/>
            <w:vAlign w:val="bottom"/>
          </w:tcPr>
          <w:p w14:paraId="0E9BAB7A" w14:textId="1599E81A"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N/A</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50E121C"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62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7D964C9"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21</w:t>
            </w:r>
          </w:p>
        </w:tc>
      </w:tr>
      <w:tr w:rsidR="009D4F43" w:rsidRPr="00A76317" w14:paraId="2D42F910" w14:textId="77777777" w:rsidTr="00E3002F">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1BF2CA11" w14:textId="77777777" w:rsidR="009D4F43" w:rsidRPr="00A76317" w:rsidRDefault="009D4F43" w:rsidP="009D4F43">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 xml:space="preserve">Sports </w:t>
            </w:r>
          </w:p>
        </w:tc>
        <w:tc>
          <w:tcPr>
            <w:tcW w:w="1890" w:type="dxa"/>
            <w:tcBorders>
              <w:top w:val="single" w:sz="4" w:space="0" w:color="auto"/>
              <w:left w:val="single" w:sz="4" w:space="0" w:color="auto"/>
              <w:bottom w:val="single" w:sz="4" w:space="0" w:color="auto"/>
              <w:right w:val="single" w:sz="4" w:space="0" w:color="auto"/>
            </w:tcBorders>
            <w:noWrap/>
            <w:vAlign w:val="bottom"/>
          </w:tcPr>
          <w:p w14:paraId="4C3EAC71" w14:textId="4C69E5CA"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42</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1B6A42B8"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46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68E5440" w14:textId="77777777" w:rsidR="009D4F43" w:rsidRPr="00A76317" w:rsidRDefault="009D4F43" w:rsidP="009D4F43">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21</w:t>
            </w:r>
          </w:p>
        </w:tc>
      </w:tr>
    </w:tbl>
    <w:p w14:paraId="5E0424C5" w14:textId="77777777" w:rsidR="00BB63B8" w:rsidRPr="00A76317" w:rsidRDefault="00BB63B8" w:rsidP="00E25779">
      <w:pPr>
        <w:spacing w:after="120" w:line="240" w:lineRule="auto"/>
        <w:ind w:left="720"/>
        <w:rPr>
          <w:rFonts w:ascii="Aptos" w:hAnsi="Aptos" w:cstheme="minorHAnsi"/>
          <w:sz w:val="24"/>
          <w:szCs w:val="24"/>
          <w:highlight w:val="yellow"/>
        </w:rPr>
      </w:pPr>
    </w:p>
    <w:p w14:paraId="44C2A0AB" w14:textId="3890CFF6" w:rsidR="00464B8E" w:rsidRPr="00A76317" w:rsidRDefault="00464B8E" w:rsidP="00077948">
      <w:pPr>
        <w:pStyle w:val="Heading2"/>
        <w:rPr>
          <w:sz w:val="24"/>
          <w:szCs w:val="24"/>
        </w:rPr>
      </w:pPr>
      <w:r w:rsidRPr="00A76317">
        <w:rPr>
          <w:sz w:val="24"/>
          <w:szCs w:val="24"/>
        </w:rPr>
        <w:t>Explain</w:t>
      </w:r>
      <w:r w:rsidR="003640BC" w:rsidRPr="00A76317">
        <w:rPr>
          <w:sz w:val="24"/>
          <w:szCs w:val="24"/>
        </w:rPr>
        <w:t>, with data,</w:t>
      </w:r>
      <w:r w:rsidRPr="00A76317">
        <w:rPr>
          <w:sz w:val="24"/>
          <w:szCs w:val="24"/>
        </w:rPr>
        <w:t xml:space="preserve"> the methodology used to determine that four operating room</w:t>
      </w:r>
      <w:r w:rsidR="008636EC" w:rsidRPr="00A76317">
        <w:rPr>
          <w:sz w:val="24"/>
          <w:szCs w:val="24"/>
        </w:rPr>
        <w:t>s</w:t>
      </w:r>
      <w:r w:rsidRPr="00A76317">
        <w:rPr>
          <w:sz w:val="24"/>
          <w:szCs w:val="24"/>
        </w:rPr>
        <w:t xml:space="preserve"> are required for the proposed ASC to address Patient Panel need for ambulatory orthopedic surgery. </w:t>
      </w:r>
    </w:p>
    <w:p w14:paraId="3E2F2A02" w14:textId="1B3DC5BB" w:rsidR="002A5377" w:rsidRPr="00A76317" w:rsidRDefault="00DF7832" w:rsidP="00AC49A1">
      <w:pPr>
        <w:spacing w:after="120" w:line="240" w:lineRule="auto"/>
        <w:ind w:left="720"/>
        <w:jc w:val="both"/>
        <w:rPr>
          <w:rFonts w:ascii="Aptos" w:hAnsi="Aptos" w:cstheme="minorHAnsi"/>
          <w:b/>
          <w:bCs/>
          <w:sz w:val="24"/>
          <w:szCs w:val="24"/>
        </w:rPr>
      </w:pPr>
      <w:r w:rsidRPr="00A76317">
        <w:rPr>
          <w:rFonts w:ascii="Aptos" w:hAnsi="Aptos" w:cstheme="minorHAnsi"/>
          <w:b/>
          <w:bCs/>
          <w:sz w:val="24"/>
          <w:szCs w:val="24"/>
        </w:rPr>
        <w:t xml:space="preserve">As noted in the </w:t>
      </w:r>
      <w:proofErr w:type="spellStart"/>
      <w:r w:rsidRPr="00A76317">
        <w:rPr>
          <w:rFonts w:ascii="Aptos" w:hAnsi="Aptos" w:cstheme="minorHAnsi"/>
          <w:b/>
          <w:bCs/>
          <w:sz w:val="24"/>
          <w:szCs w:val="24"/>
        </w:rPr>
        <w:t>DoN</w:t>
      </w:r>
      <w:proofErr w:type="spellEnd"/>
      <w:r w:rsidR="00C06663" w:rsidRPr="00A76317">
        <w:rPr>
          <w:rFonts w:ascii="Aptos" w:hAnsi="Aptos" w:cstheme="minorHAnsi"/>
          <w:b/>
          <w:bCs/>
          <w:sz w:val="24"/>
          <w:szCs w:val="24"/>
        </w:rPr>
        <w:t xml:space="preserve"> application</w:t>
      </w:r>
      <w:r w:rsidRPr="00A76317">
        <w:rPr>
          <w:rFonts w:ascii="Aptos" w:hAnsi="Aptos" w:cstheme="minorHAnsi"/>
          <w:b/>
          <w:bCs/>
          <w:sz w:val="24"/>
          <w:szCs w:val="24"/>
        </w:rPr>
        <w:t xml:space="preserve">, Sturdy’s </w:t>
      </w:r>
      <w:r w:rsidR="00864ED8">
        <w:rPr>
          <w:rFonts w:ascii="Aptos" w:hAnsi="Aptos" w:cstheme="minorHAnsi"/>
          <w:b/>
          <w:bCs/>
          <w:sz w:val="24"/>
          <w:szCs w:val="24"/>
        </w:rPr>
        <w:t>operating rooms (</w:t>
      </w:r>
      <w:r w:rsidRPr="00A76317">
        <w:rPr>
          <w:rFonts w:ascii="Aptos" w:hAnsi="Aptos" w:cstheme="minorHAnsi"/>
          <w:b/>
          <w:bCs/>
          <w:sz w:val="24"/>
          <w:szCs w:val="24"/>
        </w:rPr>
        <w:t>O</w:t>
      </w:r>
      <w:r w:rsidR="004E05E4">
        <w:rPr>
          <w:rFonts w:ascii="Aptos" w:hAnsi="Aptos" w:cstheme="minorHAnsi"/>
          <w:b/>
          <w:bCs/>
          <w:sz w:val="24"/>
          <w:szCs w:val="24"/>
        </w:rPr>
        <w:t>R</w:t>
      </w:r>
      <w:r w:rsidRPr="00A76317">
        <w:rPr>
          <w:rFonts w:ascii="Aptos" w:hAnsi="Aptos" w:cstheme="minorHAnsi"/>
          <w:b/>
          <w:bCs/>
          <w:sz w:val="24"/>
          <w:szCs w:val="24"/>
        </w:rPr>
        <w:t>s</w:t>
      </w:r>
      <w:r w:rsidR="00864ED8">
        <w:rPr>
          <w:rFonts w:ascii="Aptos" w:hAnsi="Aptos" w:cstheme="minorHAnsi"/>
          <w:b/>
          <w:bCs/>
          <w:sz w:val="24"/>
          <w:szCs w:val="24"/>
        </w:rPr>
        <w:t>)</w:t>
      </w:r>
      <w:r w:rsidRPr="00A76317">
        <w:rPr>
          <w:rFonts w:ascii="Aptos" w:hAnsi="Aptos" w:cstheme="minorHAnsi"/>
          <w:b/>
          <w:bCs/>
          <w:sz w:val="24"/>
          <w:szCs w:val="24"/>
        </w:rPr>
        <w:t xml:space="preserve"> are at capacity and cannot accommodate orthopedic providers’ request for additional block time despite year-over-year trends demonstrating a growing need by the Patient Panel. </w:t>
      </w:r>
      <w:r w:rsidR="00C06663" w:rsidRPr="00A76317">
        <w:rPr>
          <w:rFonts w:ascii="Aptos" w:hAnsi="Aptos" w:cstheme="minorHAnsi"/>
          <w:b/>
          <w:bCs/>
          <w:sz w:val="24"/>
          <w:szCs w:val="24"/>
        </w:rPr>
        <w:t>Sturdy’s ORs are utilized for inpatient, outpatient and emergency surgery. The</w:t>
      </w:r>
      <w:r w:rsidRPr="00A76317">
        <w:rPr>
          <w:rFonts w:ascii="Aptos" w:hAnsi="Aptos" w:cstheme="minorHAnsi"/>
          <w:b/>
          <w:bCs/>
          <w:sz w:val="24"/>
          <w:szCs w:val="24"/>
        </w:rPr>
        <w:t xml:space="preserve"> Applicant </w:t>
      </w:r>
      <w:r w:rsidR="002A5377" w:rsidRPr="00A76317">
        <w:rPr>
          <w:rFonts w:ascii="Aptos" w:hAnsi="Aptos" w:cstheme="minorHAnsi"/>
          <w:b/>
          <w:bCs/>
          <w:sz w:val="24"/>
          <w:szCs w:val="24"/>
        </w:rPr>
        <w:t xml:space="preserve">expects the majority of </w:t>
      </w:r>
      <w:r w:rsidR="00C06663" w:rsidRPr="00A76317">
        <w:rPr>
          <w:rFonts w:ascii="Aptos" w:hAnsi="Aptos" w:cstheme="minorHAnsi"/>
          <w:b/>
          <w:bCs/>
          <w:sz w:val="24"/>
          <w:szCs w:val="24"/>
        </w:rPr>
        <w:t xml:space="preserve">historical </w:t>
      </w:r>
      <w:r w:rsidR="002A5377" w:rsidRPr="00A76317">
        <w:rPr>
          <w:rFonts w:ascii="Aptos" w:hAnsi="Aptos" w:cstheme="minorHAnsi"/>
          <w:b/>
          <w:bCs/>
          <w:sz w:val="24"/>
          <w:szCs w:val="24"/>
        </w:rPr>
        <w:t>outpatient orthopedic</w:t>
      </w:r>
      <w:r w:rsidR="00C06663" w:rsidRPr="00A76317">
        <w:rPr>
          <w:rFonts w:ascii="Aptos" w:hAnsi="Aptos" w:cstheme="minorHAnsi"/>
          <w:b/>
          <w:bCs/>
          <w:sz w:val="24"/>
          <w:szCs w:val="24"/>
        </w:rPr>
        <w:t xml:space="preserve"> surgery</w:t>
      </w:r>
      <w:r w:rsidR="002A5377" w:rsidRPr="00A76317">
        <w:rPr>
          <w:rFonts w:ascii="Aptos" w:hAnsi="Aptos" w:cstheme="minorHAnsi"/>
          <w:b/>
          <w:bCs/>
          <w:sz w:val="24"/>
          <w:szCs w:val="24"/>
        </w:rPr>
        <w:t xml:space="preserve"> volume to shift from the hospital to the ASC. To </w:t>
      </w:r>
      <w:r w:rsidR="00C06663" w:rsidRPr="00A76317">
        <w:rPr>
          <w:rFonts w:ascii="Aptos" w:hAnsi="Aptos" w:cstheme="minorHAnsi"/>
          <w:b/>
          <w:bCs/>
          <w:sz w:val="24"/>
          <w:szCs w:val="24"/>
        </w:rPr>
        <w:t>accommodate</w:t>
      </w:r>
      <w:r w:rsidR="002A5377" w:rsidRPr="00A76317">
        <w:rPr>
          <w:rFonts w:ascii="Aptos" w:hAnsi="Aptos" w:cstheme="minorHAnsi"/>
          <w:b/>
          <w:bCs/>
          <w:sz w:val="24"/>
          <w:szCs w:val="24"/>
        </w:rPr>
        <w:t xml:space="preserve"> existing volume </w:t>
      </w:r>
      <w:r w:rsidR="00C06663" w:rsidRPr="00A76317">
        <w:rPr>
          <w:rFonts w:ascii="Aptos" w:hAnsi="Aptos" w:cstheme="minorHAnsi"/>
          <w:b/>
          <w:bCs/>
          <w:sz w:val="24"/>
          <w:szCs w:val="24"/>
        </w:rPr>
        <w:t>at the proposed</w:t>
      </w:r>
      <w:r w:rsidR="002A5377" w:rsidRPr="00A76317">
        <w:rPr>
          <w:rFonts w:ascii="Aptos" w:hAnsi="Aptos" w:cstheme="minorHAnsi"/>
          <w:b/>
          <w:bCs/>
          <w:sz w:val="24"/>
          <w:szCs w:val="24"/>
        </w:rPr>
        <w:t xml:space="preserve"> ASC, a minimum of three ORs are needed based on average case lengths and available operating time. </w:t>
      </w:r>
    </w:p>
    <w:p w14:paraId="10AC2FDB" w14:textId="0C3687EE" w:rsidR="005609F1" w:rsidRPr="00A76317" w:rsidRDefault="00C06663" w:rsidP="00AC49A1">
      <w:pPr>
        <w:spacing w:after="120" w:line="240" w:lineRule="auto"/>
        <w:ind w:left="720"/>
        <w:jc w:val="both"/>
        <w:rPr>
          <w:rFonts w:ascii="Aptos" w:hAnsi="Aptos" w:cstheme="minorHAnsi"/>
          <w:b/>
          <w:bCs/>
          <w:sz w:val="24"/>
          <w:szCs w:val="24"/>
        </w:rPr>
      </w:pPr>
      <w:r w:rsidRPr="00A76317">
        <w:rPr>
          <w:rFonts w:ascii="Aptos" w:hAnsi="Aptos" w:cstheme="minorHAnsi"/>
          <w:b/>
          <w:bCs/>
          <w:sz w:val="24"/>
          <w:szCs w:val="24"/>
        </w:rPr>
        <w:lastRenderedPageBreak/>
        <w:t>The ASC will operate</w:t>
      </w:r>
      <w:r w:rsidR="005609F1" w:rsidRPr="00A76317">
        <w:rPr>
          <w:rFonts w:ascii="Aptos" w:hAnsi="Aptos" w:cstheme="minorHAnsi"/>
          <w:b/>
          <w:bCs/>
          <w:sz w:val="24"/>
          <w:szCs w:val="24"/>
        </w:rPr>
        <w:t xml:space="preserve"> 245 days per year</w:t>
      </w:r>
      <w:r w:rsidRPr="00A76317">
        <w:rPr>
          <w:rFonts w:ascii="Aptos" w:hAnsi="Aptos" w:cstheme="minorHAnsi"/>
          <w:b/>
          <w:bCs/>
          <w:sz w:val="24"/>
          <w:szCs w:val="24"/>
        </w:rPr>
        <w:t xml:space="preserve">, </w:t>
      </w:r>
      <w:r w:rsidR="005609F1" w:rsidRPr="00A76317">
        <w:rPr>
          <w:rFonts w:ascii="Aptos" w:hAnsi="Aptos" w:cstheme="minorHAnsi"/>
          <w:b/>
          <w:bCs/>
          <w:sz w:val="24"/>
          <w:szCs w:val="24"/>
        </w:rPr>
        <w:t>10 hours per day</w:t>
      </w:r>
      <w:r w:rsidRPr="00A76317">
        <w:rPr>
          <w:rFonts w:ascii="Aptos" w:hAnsi="Aptos" w:cstheme="minorHAnsi"/>
          <w:b/>
          <w:bCs/>
          <w:sz w:val="24"/>
          <w:szCs w:val="24"/>
        </w:rPr>
        <w:t xml:space="preserve"> with</w:t>
      </w:r>
      <w:r w:rsidR="005609F1" w:rsidRPr="00A76317">
        <w:rPr>
          <w:rFonts w:ascii="Aptos" w:hAnsi="Aptos" w:cstheme="minorHAnsi"/>
          <w:b/>
          <w:bCs/>
          <w:sz w:val="24"/>
          <w:szCs w:val="24"/>
        </w:rPr>
        <w:t xml:space="preserve"> 147,000 available minutes</w:t>
      </w:r>
      <w:r w:rsidRPr="00A76317">
        <w:rPr>
          <w:rFonts w:ascii="Aptos" w:hAnsi="Aptos" w:cstheme="minorHAnsi"/>
          <w:b/>
          <w:bCs/>
          <w:sz w:val="24"/>
          <w:szCs w:val="24"/>
        </w:rPr>
        <w:t xml:space="preserve"> per OR</w:t>
      </w:r>
      <w:r w:rsidR="005609F1" w:rsidRPr="00A76317">
        <w:rPr>
          <w:rFonts w:ascii="Aptos" w:hAnsi="Aptos" w:cstheme="minorHAnsi"/>
          <w:b/>
          <w:bCs/>
          <w:sz w:val="24"/>
          <w:szCs w:val="24"/>
        </w:rPr>
        <w:t xml:space="preserve">. </w:t>
      </w:r>
      <w:r w:rsidRPr="00A76317">
        <w:rPr>
          <w:rFonts w:ascii="Aptos" w:hAnsi="Aptos" w:cstheme="minorHAnsi"/>
          <w:b/>
          <w:bCs/>
          <w:sz w:val="24"/>
          <w:szCs w:val="24"/>
        </w:rPr>
        <w:t>An ASC with o</w:t>
      </w:r>
      <w:r w:rsidR="00B03A15" w:rsidRPr="00A76317">
        <w:rPr>
          <w:rFonts w:ascii="Aptos" w:hAnsi="Aptos" w:cstheme="minorHAnsi"/>
          <w:b/>
          <w:bCs/>
          <w:sz w:val="24"/>
          <w:szCs w:val="24"/>
        </w:rPr>
        <w:t>ne</w:t>
      </w:r>
      <w:r w:rsidR="005609F1" w:rsidRPr="00A76317">
        <w:rPr>
          <w:rFonts w:ascii="Aptos" w:hAnsi="Aptos" w:cstheme="minorHAnsi"/>
          <w:b/>
          <w:bCs/>
          <w:sz w:val="24"/>
          <w:szCs w:val="24"/>
        </w:rPr>
        <w:t xml:space="preserve"> OR</w:t>
      </w:r>
      <w:r w:rsidR="00B03A15" w:rsidRPr="00A76317">
        <w:rPr>
          <w:rFonts w:ascii="Aptos" w:hAnsi="Aptos" w:cstheme="minorHAnsi"/>
          <w:b/>
          <w:bCs/>
          <w:sz w:val="24"/>
          <w:szCs w:val="24"/>
        </w:rPr>
        <w:t xml:space="preserve"> would result in </w:t>
      </w:r>
      <w:r w:rsidR="005609F1" w:rsidRPr="00A76317">
        <w:rPr>
          <w:rFonts w:ascii="Aptos" w:hAnsi="Aptos" w:cstheme="minorHAnsi"/>
          <w:b/>
          <w:bCs/>
          <w:sz w:val="24"/>
          <w:szCs w:val="24"/>
        </w:rPr>
        <w:t xml:space="preserve">utilization </w:t>
      </w:r>
      <w:r w:rsidR="00B03A15" w:rsidRPr="00A76317">
        <w:rPr>
          <w:rFonts w:ascii="Aptos" w:hAnsi="Aptos" w:cstheme="minorHAnsi"/>
          <w:b/>
          <w:bCs/>
          <w:sz w:val="24"/>
          <w:szCs w:val="24"/>
        </w:rPr>
        <w:t xml:space="preserve">of </w:t>
      </w:r>
      <w:r w:rsidR="005609F1" w:rsidRPr="00A76317">
        <w:rPr>
          <w:rFonts w:ascii="Aptos" w:hAnsi="Aptos" w:cstheme="minorHAnsi"/>
          <w:b/>
          <w:bCs/>
          <w:sz w:val="24"/>
          <w:szCs w:val="24"/>
        </w:rPr>
        <w:t>194</w:t>
      </w:r>
      <w:r w:rsidR="00615783">
        <w:rPr>
          <w:rFonts w:ascii="Aptos" w:hAnsi="Aptos" w:cstheme="minorHAnsi"/>
          <w:b/>
          <w:bCs/>
          <w:sz w:val="24"/>
          <w:szCs w:val="24"/>
        </w:rPr>
        <w:t xml:space="preserve"> percent</w:t>
      </w:r>
      <w:r w:rsidR="005609F1" w:rsidRPr="00A76317">
        <w:rPr>
          <w:rFonts w:ascii="Aptos" w:hAnsi="Aptos" w:cstheme="minorHAnsi"/>
          <w:b/>
          <w:bCs/>
          <w:sz w:val="24"/>
          <w:szCs w:val="24"/>
        </w:rPr>
        <w:t xml:space="preserve">; </w:t>
      </w:r>
      <w:r w:rsidR="00B03A15" w:rsidRPr="00A76317">
        <w:rPr>
          <w:rFonts w:ascii="Aptos" w:hAnsi="Aptos" w:cstheme="minorHAnsi"/>
          <w:b/>
          <w:bCs/>
          <w:sz w:val="24"/>
          <w:szCs w:val="24"/>
        </w:rPr>
        <w:t xml:space="preserve">two ORs </w:t>
      </w:r>
      <w:r w:rsidR="005F3263" w:rsidRPr="00A76317">
        <w:rPr>
          <w:rFonts w:ascii="Aptos" w:hAnsi="Aptos" w:cstheme="minorHAnsi"/>
          <w:b/>
          <w:bCs/>
          <w:sz w:val="24"/>
          <w:szCs w:val="24"/>
        </w:rPr>
        <w:t xml:space="preserve">at </w:t>
      </w:r>
      <w:r w:rsidR="005609F1" w:rsidRPr="00A76317">
        <w:rPr>
          <w:rFonts w:ascii="Aptos" w:hAnsi="Aptos" w:cstheme="minorHAnsi"/>
          <w:b/>
          <w:bCs/>
          <w:sz w:val="24"/>
          <w:szCs w:val="24"/>
        </w:rPr>
        <w:t>97</w:t>
      </w:r>
      <w:r w:rsidR="00615783">
        <w:rPr>
          <w:rFonts w:ascii="Aptos" w:hAnsi="Aptos" w:cstheme="minorHAnsi"/>
          <w:b/>
          <w:bCs/>
          <w:sz w:val="24"/>
          <w:szCs w:val="24"/>
        </w:rPr>
        <w:t xml:space="preserve"> percent</w:t>
      </w:r>
      <w:r w:rsidR="005609F1" w:rsidRPr="00A76317">
        <w:rPr>
          <w:rFonts w:ascii="Aptos" w:hAnsi="Aptos" w:cstheme="minorHAnsi"/>
          <w:b/>
          <w:bCs/>
          <w:sz w:val="24"/>
          <w:szCs w:val="24"/>
        </w:rPr>
        <w:t xml:space="preserve">; and </w:t>
      </w:r>
      <w:r w:rsidR="00B03A15" w:rsidRPr="00A76317">
        <w:rPr>
          <w:rFonts w:ascii="Aptos" w:hAnsi="Aptos" w:cstheme="minorHAnsi"/>
          <w:b/>
          <w:bCs/>
          <w:sz w:val="24"/>
          <w:szCs w:val="24"/>
        </w:rPr>
        <w:t>thre</w:t>
      </w:r>
      <w:r w:rsidR="005609F1" w:rsidRPr="00A76317">
        <w:rPr>
          <w:rFonts w:ascii="Aptos" w:hAnsi="Aptos" w:cstheme="minorHAnsi"/>
          <w:b/>
          <w:bCs/>
          <w:sz w:val="24"/>
          <w:szCs w:val="24"/>
        </w:rPr>
        <w:t>e ORs</w:t>
      </w:r>
      <w:r w:rsidR="00B03A15" w:rsidRPr="00A76317">
        <w:rPr>
          <w:rFonts w:ascii="Aptos" w:hAnsi="Aptos" w:cstheme="minorHAnsi"/>
          <w:b/>
          <w:bCs/>
          <w:sz w:val="24"/>
          <w:szCs w:val="24"/>
        </w:rPr>
        <w:t xml:space="preserve"> </w:t>
      </w:r>
      <w:r w:rsidR="005F3263" w:rsidRPr="00A76317">
        <w:rPr>
          <w:rFonts w:ascii="Aptos" w:hAnsi="Aptos" w:cstheme="minorHAnsi"/>
          <w:b/>
          <w:bCs/>
          <w:sz w:val="24"/>
          <w:szCs w:val="24"/>
        </w:rPr>
        <w:t xml:space="preserve">at </w:t>
      </w:r>
      <w:r w:rsidR="005609F1" w:rsidRPr="00A76317">
        <w:rPr>
          <w:rFonts w:ascii="Aptos" w:hAnsi="Aptos" w:cstheme="minorHAnsi"/>
          <w:b/>
          <w:bCs/>
          <w:sz w:val="24"/>
          <w:szCs w:val="24"/>
        </w:rPr>
        <w:t>64</w:t>
      </w:r>
      <w:r w:rsidR="00615783">
        <w:rPr>
          <w:rFonts w:ascii="Aptos" w:hAnsi="Aptos" w:cstheme="minorHAnsi"/>
          <w:b/>
          <w:bCs/>
          <w:sz w:val="24"/>
          <w:szCs w:val="24"/>
        </w:rPr>
        <w:t xml:space="preserve"> percent</w:t>
      </w:r>
      <w:r w:rsidR="005609F1" w:rsidRPr="00A76317">
        <w:rPr>
          <w:rFonts w:ascii="Aptos" w:hAnsi="Aptos" w:cstheme="minorHAnsi"/>
          <w:b/>
          <w:bCs/>
          <w:sz w:val="24"/>
          <w:szCs w:val="24"/>
        </w:rPr>
        <w:t xml:space="preserve">. </w:t>
      </w:r>
      <w:r w:rsidR="00B03A15" w:rsidRPr="00A76317">
        <w:rPr>
          <w:rFonts w:ascii="Aptos" w:hAnsi="Aptos" w:cstheme="minorHAnsi"/>
          <w:b/>
          <w:bCs/>
          <w:sz w:val="24"/>
          <w:szCs w:val="24"/>
        </w:rPr>
        <w:t xml:space="preserve">Factoring in </w:t>
      </w:r>
      <w:r w:rsidR="005609F1" w:rsidRPr="00A76317">
        <w:rPr>
          <w:rFonts w:ascii="Aptos" w:hAnsi="Aptos" w:cstheme="minorHAnsi"/>
          <w:b/>
          <w:bCs/>
          <w:sz w:val="24"/>
          <w:szCs w:val="24"/>
        </w:rPr>
        <w:t xml:space="preserve">projected volume from new providers </w:t>
      </w:r>
      <w:r w:rsidR="00B03A15" w:rsidRPr="00A76317">
        <w:rPr>
          <w:rFonts w:ascii="Aptos" w:hAnsi="Aptos" w:cstheme="minorHAnsi"/>
          <w:b/>
          <w:bCs/>
          <w:sz w:val="24"/>
          <w:szCs w:val="24"/>
        </w:rPr>
        <w:t>(446 cases in Year 1), utilization increases to 255</w:t>
      </w:r>
      <w:r w:rsidR="00D94CFE">
        <w:rPr>
          <w:rFonts w:ascii="Aptos" w:hAnsi="Aptos" w:cstheme="minorHAnsi"/>
          <w:b/>
          <w:bCs/>
          <w:sz w:val="24"/>
          <w:szCs w:val="24"/>
        </w:rPr>
        <w:t xml:space="preserve"> percent</w:t>
      </w:r>
      <w:r w:rsidR="00B03A15" w:rsidRPr="00A76317">
        <w:rPr>
          <w:rFonts w:ascii="Aptos" w:hAnsi="Aptos" w:cstheme="minorHAnsi"/>
          <w:b/>
          <w:bCs/>
          <w:sz w:val="24"/>
          <w:szCs w:val="24"/>
        </w:rPr>
        <w:t xml:space="preserve"> with one OR, 127</w:t>
      </w:r>
      <w:r w:rsidR="00302689">
        <w:rPr>
          <w:rFonts w:ascii="Aptos" w:hAnsi="Aptos" w:cstheme="minorHAnsi"/>
          <w:b/>
          <w:bCs/>
          <w:sz w:val="24"/>
          <w:szCs w:val="24"/>
        </w:rPr>
        <w:t xml:space="preserve"> percent</w:t>
      </w:r>
      <w:r w:rsidR="00B03A15" w:rsidRPr="00A76317">
        <w:rPr>
          <w:rFonts w:ascii="Aptos" w:hAnsi="Aptos" w:cstheme="minorHAnsi"/>
          <w:b/>
          <w:bCs/>
          <w:sz w:val="24"/>
          <w:szCs w:val="24"/>
        </w:rPr>
        <w:t xml:space="preserve"> with two ORs, and 85</w:t>
      </w:r>
      <w:r w:rsidR="00302689">
        <w:rPr>
          <w:rFonts w:ascii="Aptos" w:hAnsi="Aptos" w:cstheme="minorHAnsi"/>
          <w:b/>
          <w:bCs/>
          <w:sz w:val="24"/>
          <w:szCs w:val="24"/>
        </w:rPr>
        <w:t xml:space="preserve"> percent</w:t>
      </w:r>
      <w:r w:rsidR="00B03A15" w:rsidRPr="00A76317">
        <w:rPr>
          <w:rFonts w:ascii="Aptos" w:hAnsi="Aptos" w:cstheme="minorHAnsi"/>
          <w:b/>
          <w:bCs/>
          <w:sz w:val="24"/>
          <w:szCs w:val="24"/>
        </w:rPr>
        <w:t xml:space="preserve"> with three ORs. </w:t>
      </w:r>
      <w:r w:rsidRPr="00A76317">
        <w:rPr>
          <w:rFonts w:ascii="Aptos" w:hAnsi="Aptos" w:cstheme="minorHAnsi"/>
          <w:b/>
          <w:bCs/>
          <w:sz w:val="24"/>
          <w:szCs w:val="24"/>
        </w:rPr>
        <w:t xml:space="preserve">With </w:t>
      </w:r>
      <w:r w:rsidR="00B03A15" w:rsidRPr="00A76317">
        <w:rPr>
          <w:rFonts w:ascii="Aptos" w:hAnsi="Aptos" w:cstheme="minorHAnsi"/>
          <w:b/>
          <w:bCs/>
          <w:sz w:val="24"/>
          <w:szCs w:val="24"/>
        </w:rPr>
        <w:t>85</w:t>
      </w:r>
      <w:r w:rsidR="00302689">
        <w:rPr>
          <w:rFonts w:ascii="Aptos" w:hAnsi="Aptos" w:cstheme="minorHAnsi"/>
          <w:b/>
          <w:bCs/>
          <w:sz w:val="24"/>
          <w:szCs w:val="24"/>
        </w:rPr>
        <w:t xml:space="preserve"> percent</w:t>
      </w:r>
      <w:r w:rsidR="00B03A15" w:rsidRPr="00A76317">
        <w:rPr>
          <w:rFonts w:ascii="Aptos" w:hAnsi="Aptos" w:cstheme="minorHAnsi"/>
          <w:b/>
          <w:bCs/>
          <w:sz w:val="24"/>
          <w:szCs w:val="24"/>
        </w:rPr>
        <w:t xml:space="preserve"> </w:t>
      </w:r>
      <w:r w:rsidRPr="00A76317">
        <w:rPr>
          <w:rFonts w:ascii="Aptos" w:hAnsi="Aptos" w:cstheme="minorHAnsi"/>
          <w:b/>
          <w:bCs/>
          <w:sz w:val="24"/>
          <w:szCs w:val="24"/>
        </w:rPr>
        <w:t>utilization as</w:t>
      </w:r>
      <w:r w:rsidR="00B03A15" w:rsidRPr="00A76317">
        <w:rPr>
          <w:rFonts w:ascii="Aptos" w:hAnsi="Aptos" w:cstheme="minorHAnsi"/>
          <w:b/>
          <w:bCs/>
          <w:sz w:val="24"/>
          <w:szCs w:val="24"/>
        </w:rPr>
        <w:t xml:space="preserve"> </w:t>
      </w:r>
      <w:r w:rsidR="00456930" w:rsidRPr="00A76317">
        <w:rPr>
          <w:rFonts w:ascii="Aptos" w:hAnsi="Aptos" w:cstheme="minorHAnsi"/>
          <w:b/>
          <w:bCs/>
          <w:sz w:val="24"/>
          <w:szCs w:val="24"/>
        </w:rPr>
        <w:t>the higher end of ideal OR utilization</w:t>
      </w:r>
      <w:r w:rsidRPr="00A76317">
        <w:rPr>
          <w:rFonts w:ascii="Aptos" w:hAnsi="Aptos" w:cstheme="minorHAnsi"/>
          <w:b/>
          <w:bCs/>
          <w:sz w:val="24"/>
          <w:szCs w:val="24"/>
        </w:rPr>
        <w:t>,</w:t>
      </w:r>
      <w:r w:rsidR="00B03A15" w:rsidRPr="00A76317">
        <w:rPr>
          <w:rFonts w:ascii="Aptos" w:hAnsi="Aptos" w:cstheme="minorHAnsi"/>
          <w:b/>
          <w:bCs/>
          <w:sz w:val="24"/>
          <w:szCs w:val="24"/>
        </w:rPr>
        <w:t xml:space="preserve"> three ORs would </w:t>
      </w:r>
      <w:r w:rsidRPr="00A76317">
        <w:rPr>
          <w:rFonts w:ascii="Aptos" w:hAnsi="Aptos" w:cstheme="minorHAnsi"/>
          <w:b/>
          <w:bCs/>
          <w:sz w:val="24"/>
          <w:szCs w:val="24"/>
        </w:rPr>
        <w:t>not accommodate projected volume after</w:t>
      </w:r>
      <w:r w:rsidR="00B03A15" w:rsidRPr="00A76317">
        <w:rPr>
          <w:rFonts w:ascii="Aptos" w:hAnsi="Aptos" w:cstheme="minorHAnsi"/>
          <w:b/>
          <w:bCs/>
          <w:sz w:val="24"/>
          <w:szCs w:val="24"/>
        </w:rPr>
        <w:t xml:space="preserve"> Year 1. </w:t>
      </w:r>
      <w:r w:rsidR="00AC49A1" w:rsidRPr="00A76317">
        <w:rPr>
          <w:rFonts w:ascii="Aptos" w:hAnsi="Aptos" w:cstheme="minorHAnsi"/>
          <w:b/>
          <w:bCs/>
          <w:sz w:val="24"/>
          <w:szCs w:val="24"/>
        </w:rPr>
        <w:t xml:space="preserve">Therefore, four ORs are needed to meet the current and future needs of the Applicant’s Patient Panel. </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inutes of care by specialty"/>
      </w:tblPr>
      <w:tblGrid>
        <w:gridCol w:w="1440"/>
        <w:gridCol w:w="2400"/>
        <w:gridCol w:w="2400"/>
        <w:gridCol w:w="2400"/>
      </w:tblGrid>
      <w:tr w:rsidR="002A5377" w:rsidRPr="00A76317" w14:paraId="41F96A4E" w14:textId="77777777" w:rsidTr="00D27D71">
        <w:trPr>
          <w:cantSplit/>
          <w:trHeight w:val="290"/>
          <w:tblHeader/>
        </w:trPr>
        <w:tc>
          <w:tcPr>
            <w:tcW w:w="1440" w:type="dxa"/>
            <w:shd w:val="clear" w:color="auto" w:fill="D9E2F3" w:themeFill="accent1" w:themeFillTint="33"/>
            <w:vAlign w:val="center"/>
          </w:tcPr>
          <w:p w14:paraId="581577C7" w14:textId="675E0306" w:rsidR="002A5377" w:rsidRPr="00A76317" w:rsidRDefault="002A5377" w:rsidP="00B94E1E">
            <w:pPr>
              <w:spacing w:after="0" w:line="240" w:lineRule="auto"/>
              <w:jc w:val="both"/>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Specialty</w:t>
            </w:r>
          </w:p>
        </w:tc>
        <w:tc>
          <w:tcPr>
            <w:tcW w:w="2400" w:type="dxa"/>
            <w:shd w:val="clear" w:color="auto" w:fill="D9E2F3" w:themeFill="accent1" w:themeFillTint="33"/>
            <w:noWrap/>
            <w:vAlign w:val="center"/>
            <w:hideMark/>
          </w:tcPr>
          <w:p w14:paraId="6E035C86" w14:textId="3919FC05" w:rsidR="002A5377" w:rsidRPr="00A76317" w:rsidRDefault="005609F1" w:rsidP="00B94E1E">
            <w:pPr>
              <w:spacing w:after="0" w:line="240" w:lineRule="auto"/>
              <w:jc w:val="both"/>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 xml:space="preserve">Volume </w:t>
            </w:r>
          </w:p>
        </w:tc>
        <w:tc>
          <w:tcPr>
            <w:tcW w:w="2400" w:type="dxa"/>
            <w:shd w:val="clear" w:color="auto" w:fill="D9E2F3" w:themeFill="accent1" w:themeFillTint="33"/>
            <w:noWrap/>
            <w:vAlign w:val="center"/>
            <w:hideMark/>
          </w:tcPr>
          <w:p w14:paraId="12016982" w14:textId="7CED9A35" w:rsidR="002A5377" w:rsidRPr="00A76317" w:rsidRDefault="005609F1" w:rsidP="00B94E1E">
            <w:pPr>
              <w:spacing w:after="0" w:line="240" w:lineRule="auto"/>
              <w:jc w:val="both"/>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Average Case Length</w:t>
            </w:r>
            <w:r w:rsidR="002A5377" w:rsidRPr="00A76317">
              <w:rPr>
                <w:rFonts w:ascii="Aptos Narrow" w:eastAsia="Times New Roman" w:hAnsi="Aptos Narrow" w:cs="Times New Roman"/>
                <w:b/>
                <w:bCs/>
                <w:color w:val="000000" w:themeColor="text1"/>
                <w:sz w:val="24"/>
                <w:szCs w:val="24"/>
              </w:rPr>
              <w:t xml:space="preserve"> </w:t>
            </w:r>
            <w:r w:rsidR="000466E9" w:rsidRPr="00A76317">
              <w:rPr>
                <w:rFonts w:ascii="Aptos Narrow" w:eastAsia="Times New Roman" w:hAnsi="Aptos Narrow" w:cs="Times New Roman"/>
                <w:b/>
                <w:bCs/>
                <w:color w:val="000000" w:themeColor="text1"/>
                <w:sz w:val="24"/>
                <w:szCs w:val="24"/>
              </w:rPr>
              <w:t>(min)</w:t>
            </w:r>
          </w:p>
        </w:tc>
        <w:tc>
          <w:tcPr>
            <w:tcW w:w="2400" w:type="dxa"/>
            <w:shd w:val="clear" w:color="auto" w:fill="D9E2F3" w:themeFill="accent1" w:themeFillTint="33"/>
            <w:noWrap/>
            <w:vAlign w:val="center"/>
            <w:hideMark/>
          </w:tcPr>
          <w:p w14:paraId="5B395832" w14:textId="77777777" w:rsidR="002A5377" w:rsidRPr="00A76317" w:rsidRDefault="002A5377" w:rsidP="00B94E1E">
            <w:pPr>
              <w:spacing w:after="0" w:line="240" w:lineRule="auto"/>
              <w:jc w:val="both"/>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 xml:space="preserve">Total Minutes </w:t>
            </w:r>
          </w:p>
        </w:tc>
      </w:tr>
      <w:tr w:rsidR="005609F1" w:rsidRPr="00A76317" w14:paraId="7B365107" w14:textId="77777777" w:rsidTr="00D27D71">
        <w:trPr>
          <w:cantSplit/>
          <w:trHeight w:val="290"/>
        </w:trPr>
        <w:tc>
          <w:tcPr>
            <w:tcW w:w="1440" w:type="dxa"/>
            <w:vAlign w:val="center"/>
          </w:tcPr>
          <w:p w14:paraId="1D7EB8FE" w14:textId="37164A01" w:rsidR="005609F1" w:rsidRPr="00A76317" w:rsidRDefault="005609F1" w:rsidP="00B94E1E">
            <w:pPr>
              <w:spacing w:after="0" w:line="240" w:lineRule="auto"/>
              <w:jc w:val="both"/>
              <w:rPr>
                <w:rFonts w:ascii="Aptos Narrow" w:eastAsia="Times New Roman" w:hAnsi="Aptos Narrow" w:cs="Times New Roman"/>
                <w:color w:val="000000"/>
                <w:sz w:val="24"/>
                <w:szCs w:val="24"/>
              </w:rPr>
            </w:pPr>
            <w:r w:rsidRPr="00A76317">
              <w:rPr>
                <w:rFonts w:ascii="Aptos Narrow" w:hAnsi="Aptos Narrow"/>
                <w:color w:val="000000"/>
                <w:sz w:val="24"/>
                <w:szCs w:val="24"/>
              </w:rPr>
              <w:t>Hand</w:t>
            </w:r>
          </w:p>
        </w:tc>
        <w:tc>
          <w:tcPr>
            <w:tcW w:w="2400" w:type="dxa"/>
            <w:noWrap/>
            <w:vAlign w:val="center"/>
            <w:hideMark/>
          </w:tcPr>
          <w:p w14:paraId="186FFAA5" w14:textId="4AA0FFB6" w:rsidR="005609F1" w:rsidRPr="00A76317" w:rsidRDefault="005609F1" w:rsidP="00B94E1E">
            <w:pPr>
              <w:spacing w:after="0" w:line="240" w:lineRule="auto"/>
              <w:jc w:val="both"/>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608</w:t>
            </w:r>
          </w:p>
        </w:tc>
        <w:tc>
          <w:tcPr>
            <w:tcW w:w="2400" w:type="dxa"/>
            <w:noWrap/>
            <w:vAlign w:val="center"/>
            <w:hideMark/>
          </w:tcPr>
          <w:p w14:paraId="1AEF4A49" w14:textId="77777777" w:rsidR="005609F1" w:rsidRPr="00A76317" w:rsidRDefault="005609F1" w:rsidP="00B94E1E">
            <w:pPr>
              <w:spacing w:after="0" w:line="240" w:lineRule="auto"/>
              <w:jc w:val="both"/>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128.13</w:t>
            </w:r>
          </w:p>
        </w:tc>
        <w:tc>
          <w:tcPr>
            <w:tcW w:w="2400" w:type="dxa"/>
            <w:noWrap/>
            <w:vAlign w:val="center"/>
            <w:hideMark/>
          </w:tcPr>
          <w:p w14:paraId="69018ACA" w14:textId="499FC533" w:rsidR="005609F1" w:rsidRPr="00A76317" w:rsidRDefault="005609F1" w:rsidP="00B94E1E">
            <w:pPr>
              <w:spacing w:after="0" w:line="240" w:lineRule="auto"/>
              <w:jc w:val="both"/>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77,902.6</w:t>
            </w:r>
          </w:p>
        </w:tc>
      </w:tr>
      <w:tr w:rsidR="005609F1" w:rsidRPr="00A76317" w14:paraId="0C5849DB" w14:textId="77777777" w:rsidTr="00D27D71">
        <w:trPr>
          <w:cantSplit/>
          <w:trHeight w:val="290"/>
        </w:trPr>
        <w:tc>
          <w:tcPr>
            <w:tcW w:w="1440" w:type="dxa"/>
            <w:vAlign w:val="center"/>
          </w:tcPr>
          <w:p w14:paraId="07807CC8" w14:textId="017C10C4"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hAnsi="Aptos Narrow"/>
                <w:color w:val="000000"/>
                <w:sz w:val="24"/>
                <w:szCs w:val="24"/>
              </w:rPr>
              <w:t>Adult</w:t>
            </w:r>
          </w:p>
        </w:tc>
        <w:tc>
          <w:tcPr>
            <w:tcW w:w="2400" w:type="dxa"/>
            <w:noWrap/>
            <w:vAlign w:val="center"/>
            <w:hideMark/>
          </w:tcPr>
          <w:p w14:paraId="6DCF7E17" w14:textId="218BB3E1"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321</w:t>
            </w:r>
          </w:p>
        </w:tc>
        <w:tc>
          <w:tcPr>
            <w:tcW w:w="2400" w:type="dxa"/>
            <w:noWrap/>
            <w:vAlign w:val="center"/>
            <w:hideMark/>
          </w:tcPr>
          <w:p w14:paraId="4C251EA2" w14:textId="77777777"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382.61</w:t>
            </w:r>
          </w:p>
        </w:tc>
        <w:tc>
          <w:tcPr>
            <w:tcW w:w="2400" w:type="dxa"/>
            <w:noWrap/>
            <w:vAlign w:val="center"/>
            <w:hideMark/>
          </w:tcPr>
          <w:p w14:paraId="47150471" w14:textId="5F6BE792"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122,818.1</w:t>
            </w:r>
          </w:p>
        </w:tc>
      </w:tr>
      <w:tr w:rsidR="005609F1" w:rsidRPr="00A76317" w14:paraId="1E0F4BAD" w14:textId="77777777" w:rsidTr="00D27D71">
        <w:trPr>
          <w:cantSplit/>
          <w:trHeight w:val="290"/>
        </w:trPr>
        <w:tc>
          <w:tcPr>
            <w:tcW w:w="1440" w:type="dxa"/>
            <w:vAlign w:val="center"/>
          </w:tcPr>
          <w:p w14:paraId="14D227A5" w14:textId="4D4E9E89"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hAnsi="Aptos Narrow"/>
                <w:color w:val="000000"/>
                <w:sz w:val="24"/>
                <w:szCs w:val="24"/>
              </w:rPr>
              <w:t>General</w:t>
            </w:r>
          </w:p>
        </w:tc>
        <w:tc>
          <w:tcPr>
            <w:tcW w:w="2400" w:type="dxa"/>
            <w:noWrap/>
            <w:vAlign w:val="center"/>
            <w:hideMark/>
          </w:tcPr>
          <w:p w14:paraId="32161221" w14:textId="673FC76A"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36</w:t>
            </w:r>
          </w:p>
        </w:tc>
        <w:tc>
          <w:tcPr>
            <w:tcW w:w="2400" w:type="dxa"/>
            <w:noWrap/>
            <w:vAlign w:val="center"/>
            <w:hideMark/>
          </w:tcPr>
          <w:p w14:paraId="13C23EFA" w14:textId="77777777"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219.85</w:t>
            </w:r>
          </w:p>
        </w:tc>
        <w:tc>
          <w:tcPr>
            <w:tcW w:w="2400" w:type="dxa"/>
            <w:noWrap/>
            <w:vAlign w:val="center"/>
            <w:hideMark/>
          </w:tcPr>
          <w:p w14:paraId="1DF6BF22" w14:textId="705A9DFD"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7,914.462</w:t>
            </w:r>
          </w:p>
        </w:tc>
      </w:tr>
      <w:tr w:rsidR="005609F1" w:rsidRPr="00A76317" w14:paraId="62F4BAD6" w14:textId="77777777" w:rsidTr="00D27D71">
        <w:trPr>
          <w:cantSplit/>
          <w:trHeight w:val="290"/>
        </w:trPr>
        <w:tc>
          <w:tcPr>
            <w:tcW w:w="1440" w:type="dxa"/>
            <w:vAlign w:val="center"/>
          </w:tcPr>
          <w:p w14:paraId="1F1C4DA2" w14:textId="77498095"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hAnsi="Aptos Narrow"/>
                <w:color w:val="000000"/>
                <w:sz w:val="24"/>
                <w:szCs w:val="24"/>
              </w:rPr>
              <w:t>Spine</w:t>
            </w:r>
          </w:p>
        </w:tc>
        <w:tc>
          <w:tcPr>
            <w:tcW w:w="2400" w:type="dxa"/>
            <w:noWrap/>
            <w:vAlign w:val="center"/>
            <w:hideMark/>
          </w:tcPr>
          <w:p w14:paraId="4BD6FAE6" w14:textId="5D479B43"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15</w:t>
            </w:r>
          </w:p>
        </w:tc>
        <w:tc>
          <w:tcPr>
            <w:tcW w:w="2400" w:type="dxa"/>
            <w:noWrap/>
            <w:vAlign w:val="center"/>
            <w:hideMark/>
          </w:tcPr>
          <w:p w14:paraId="1164153C" w14:textId="77777777"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268.44</w:t>
            </w:r>
          </w:p>
        </w:tc>
        <w:tc>
          <w:tcPr>
            <w:tcW w:w="2400" w:type="dxa"/>
            <w:noWrap/>
            <w:vAlign w:val="center"/>
            <w:hideMark/>
          </w:tcPr>
          <w:p w14:paraId="478F63CE" w14:textId="1A2A6622"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w:t>
            </w:r>
            <w:r w:rsidR="008636EC" w:rsidRPr="00A76317">
              <w:rPr>
                <w:rFonts w:ascii="Aptos Narrow" w:eastAsia="Times New Roman" w:hAnsi="Aptos Narrow" w:cs="Times New Roman"/>
                <w:color w:val="000000"/>
                <w:sz w:val="24"/>
                <w:szCs w:val="24"/>
              </w:rPr>
              <w:t>,</w:t>
            </w:r>
            <w:r w:rsidRPr="00A76317">
              <w:rPr>
                <w:rFonts w:ascii="Aptos Narrow" w:eastAsia="Times New Roman" w:hAnsi="Aptos Narrow" w:cs="Times New Roman"/>
                <w:color w:val="000000"/>
                <w:sz w:val="24"/>
                <w:szCs w:val="24"/>
              </w:rPr>
              <w:t>026</w:t>
            </w:r>
            <w:r w:rsidR="008636EC" w:rsidRPr="00A76317">
              <w:rPr>
                <w:rFonts w:ascii="Aptos Narrow" w:eastAsia="Times New Roman" w:hAnsi="Aptos Narrow" w:cs="Times New Roman"/>
                <w:color w:val="000000"/>
                <w:sz w:val="24"/>
                <w:szCs w:val="24"/>
              </w:rPr>
              <w:t>.6</w:t>
            </w:r>
            <w:r w:rsidRPr="00A76317">
              <w:rPr>
                <w:rFonts w:ascii="Aptos Narrow" w:eastAsia="Times New Roman" w:hAnsi="Aptos Narrow" w:cs="Times New Roman"/>
                <w:color w:val="000000"/>
                <w:sz w:val="24"/>
                <w:szCs w:val="24"/>
              </w:rPr>
              <w:t>67</w:t>
            </w:r>
          </w:p>
        </w:tc>
      </w:tr>
      <w:tr w:rsidR="005609F1" w:rsidRPr="00A76317" w14:paraId="3C83AFEB" w14:textId="77777777" w:rsidTr="00D27D71">
        <w:trPr>
          <w:cantSplit/>
          <w:trHeight w:val="290"/>
        </w:trPr>
        <w:tc>
          <w:tcPr>
            <w:tcW w:w="1440" w:type="dxa"/>
            <w:vAlign w:val="center"/>
          </w:tcPr>
          <w:p w14:paraId="392BB565" w14:textId="7B7F4062"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hAnsi="Aptos Narrow"/>
                <w:color w:val="000000"/>
                <w:sz w:val="24"/>
                <w:szCs w:val="24"/>
              </w:rPr>
              <w:t>Sports</w:t>
            </w:r>
          </w:p>
        </w:tc>
        <w:tc>
          <w:tcPr>
            <w:tcW w:w="2400" w:type="dxa"/>
            <w:noWrap/>
            <w:vAlign w:val="center"/>
            <w:hideMark/>
          </w:tcPr>
          <w:p w14:paraId="61B09E40" w14:textId="1BDAEFBC"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359</w:t>
            </w:r>
          </w:p>
        </w:tc>
        <w:tc>
          <w:tcPr>
            <w:tcW w:w="2400" w:type="dxa"/>
            <w:noWrap/>
            <w:vAlign w:val="center"/>
            <w:hideMark/>
          </w:tcPr>
          <w:p w14:paraId="4FB3D66A" w14:textId="77777777"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200.63</w:t>
            </w:r>
          </w:p>
        </w:tc>
        <w:tc>
          <w:tcPr>
            <w:tcW w:w="2400" w:type="dxa"/>
            <w:noWrap/>
            <w:vAlign w:val="center"/>
            <w:hideMark/>
          </w:tcPr>
          <w:p w14:paraId="41358031" w14:textId="48954CA4" w:rsidR="005609F1" w:rsidRPr="00A76317" w:rsidRDefault="005609F1" w:rsidP="005609F1">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72,027.33</w:t>
            </w:r>
          </w:p>
        </w:tc>
      </w:tr>
      <w:tr w:rsidR="002A5377" w:rsidRPr="00A76317" w14:paraId="525DF81A" w14:textId="77777777" w:rsidTr="00D27D71">
        <w:trPr>
          <w:cantSplit/>
          <w:trHeight w:val="290"/>
        </w:trPr>
        <w:tc>
          <w:tcPr>
            <w:tcW w:w="1440" w:type="dxa"/>
            <w:vAlign w:val="center"/>
          </w:tcPr>
          <w:p w14:paraId="4F7A9282" w14:textId="7E657FED" w:rsidR="002A5377" w:rsidRPr="00A76317" w:rsidRDefault="005609F1" w:rsidP="005609F1">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Total</w:t>
            </w:r>
          </w:p>
        </w:tc>
        <w:tc>
          <w:tcPr>
            <w:tcW w:w="2400" w:type="dxa"/>
            <w:noWrap/>
            <w:vAlign w:val="center"/>
            <w:hideMark/>
          </w:tcPr>
          <w:p w14:paraId="2300953A" w14:textId="5F76206D" w:rsidR="002A5377" w:rsidRPr="00A76317" w:rsidRDefault="002A5377" w:rsidP="005609F1">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1</w:t>
            </w:r>
            <w:r w:rsidR="000466E9" w:rsidRPr="00A76317">
              <w:rPr>
                <w:rFonts w:ascii="Aptos Narrow" w:eastAsia="Times New Roman" w:hAnsi="Aptos Narrow" w:cs="Times New Roman"/>
                <w:b/>
                <w:bCs/>
                <w:color w:val="000000"/>
                <w:sz w:val="24"/>
                <w:szCs w:val="24"/>
              </w:rPr>
              <w:t>,</w:t>
            </w:r>
            <w:r w:rsidRPr="00A76317">
              <w:rPr>
                <w:rFonts w:ascii="Aptos Narrow" w:eastAsia="Times New Roman" w:hAnsi="Aptos Narrow" w:cs="Times New Roman"/>
                <w:b/>
                <w:bCs/>
                <w:color w:val="000000"/>
                <w:sz w:val="24"/>
                <w:szCs w:val="24"/>
              </w:rPr>
              <w:t>339</w:t>
            </w:r>
          </w:p>
        </w:tc>
        <w:tc>
          <w:tcPr>
            <w:tcW w:w="2400" w:type="dxa"/>
            <w:noWrap/>
            <w:vAlign w:val="center"/>
            <w:hideMark/>
          </w:tcPr>
          <w:p w14:paraId="68699727" w14:textId="2CBC9BC6" w:rsidR="002A5377" w:rsidRPr="00A76317" w:rsidRDefault="005609F1" w:rsidP="005609F1">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239.9</w:t>
            </w:r>
          </w:p>
        </w:tc>
        <w:tc>
          <w:tcPr>
            <w:tcW w:w="2400" w:type="dxa"/>
            <w:noWrap/>
            <w:vAlign w:val="center"/>
            <w:hideMark/>
          </w:tcPr>
          <w:p w14:paraId="35D89F24" w14:textId="5AB0B825" w:rsidR="002A5377" w:rsidRPr="00A76317" w:rsidRDefault="002A5377" w:rsidP="005609F1">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284</w:t>
            </w:r>
            <w:r w:rsidR="005609F1" w:rsidRPr="00A76317">
              <w:rPr>
                <w:rFonts w:ascii="Aptos Narrow" w:eastAsia="Times New Roman" w:hAnsi="Aptos Narrow" w:cs="Times New Roman"/>
                <w:b/>
                <w:bCs/>
                <w:color w:val="000000"/>
                <w:sz w:val="24"/>
                <w:szCs w:val="24"/>
              </w:rPr>
              <w:t>,</w:t>
            </w:r>
            <w:r w:rsidRPr="00A76317">
              <w:rPr>
                <w:rFonts w:ascii="Aptos Narrow" w:eastAsia="Times New Roman" w:hAnsi="Aptos Narrow" w:cs="Times New Roman"/>
                <w:b/>
                <w:bCs/>
                <w:color w:val="000000"/>
                <w:sz w:val="24"/>
                <w:szCs w:val="24"/>
              </w:rPr>
              <w:t>689.2</w:t>
            </w:r>
          </w:p>
        </w:tc>
      </w:tr>
    </w:tbl>
    <w:p w14:paraId="4EF21AD1" w14:textId="77777777" w:rsidR="00C27089" w:rsidRPr="00A76317" w:rsidRDefault="00C27089" w:rsidP="00B03A15">
      <w:pPr>
        <w:spacing w:after="120" w:line="240" w:lineRule="auto"/>
        <w:rPr>
          <w:rFonts w:ascii="Aptos Narrow" w:hAnsi="Aptos Narrow" w:cstheme="minorHAnsi"/>
          <w:b/>
          <w:bCs/>
          <w:sz w:val="24"/>
          <w:szCs w:val="24"/>
        </w:rPr>
      </w:pPr>
    </w:p>
    <w:p w14:paraId="29028CD1" w14:textId="77777777" w:rsidR="00C27089" w:rsidRPr="00A76317" w:rsidRDefault="00C27089" w:rsidP="00B03A15">
      <w:pPr>
        <w:spacing w:after="120" w:line="240" w:lineRule="auto"/>
        <w:rPr>
          <w:rFonts w:ascii="Aptos Narrow" w:hAnsi="Aptos Narrow" w:cstheme="minorHAnsi"/>
          <w:b/>
          <w:bCs/>
          <w:sz w:val="24"/>
          <w:szCs w:val="24"/>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R Minutes available vs. Utililization"/>
      </w:tblPr>
      <w:tblGrid>
        <w:gridCol w:w="2250"/>
        <w:gridCol w:w="2790"/>
        <w:gridCol w:w="3600"/>
      </w:tblGrid>
      <w:tr w:rsidR="00AC49A1" w:rsidRPr="00A76317" w14:paraId="320EAD6E" w14:textId="77777777" w:rsidTr="00A55CA5">
        <w:trPr>
          <w:cantSplit/>
          <w:trHeight w:val="290"/>
          <w:tblHeader/>
        </w:trPr>
        <w:tc>
          <w:tcPr>
            <w:tcW w:w="2250" w:type="dxa"/>
            <w:shd w:val="clear" w:color="auto" w:fill="D9E2F3" w:themeFill="accent1" w:themeFillTint="33"/>
            <w:noWrap/>
            <w:vAlign w:val="bottom"/>
          </w:tcPr>
          <w:p w14:paraId="6F9BB77A" w14:textId="38CB2EBB" w:rsidR="00AC49A1" w:rsidRPr="00A76317" w:rsidRDefault="00AC49A1" w:rsidP="00AC49A1">
            <w:pPr>
              <w:spacing w:after="0" w:line="240" w:lineRule="auto"/>
              <w:rPr>
                <w:rFonts w:ascii="Aptos Narrow" w:eastAsia="Times New Roman" w:hAnsi="Aptos Narrow" w:cs="Arial"/>
                <w:b/>
                <w:bCs/>
                <w:color w:val="000000" w:themeColor="text1"/>
                <w:sz w:val="24"/>
                <w:szCs w:val="24"/>
              </w:rPr>
            </w:pPr>
            <w:r w:rsidRPr="00A76317">
              <w:rPr>
                <w:rFonts w:ascii="Aptos Narrow" w:eastAsia="Times New Roman" w:hAnsi="Aptos Narrow" w:cs="Arial"/>
                <w:b/>
                <w:bCs/>
                <w:color w:val="000000" w:themeColor="text1"/>
                <w:sz w:val="24"/>
                <w:szCs w:val="24"/>
              </w:rPr>
              <w:t xml:space="preserve">OR </w:t>
            </w:r>
            <w:r w:rsidR="00573623">
              <w:rPr>
                <w:rFonts w:ascii="Aptos Narrow" w:eastAsia="Times New Roman" w:hAnsi="Aptos Narrow" w:cs="Arial"/>
                <w:b/>
                <w:bCs/>
                <w:color w:val="000000" w:themeColor="text1"/>
                <w:sz w:val="24"/>
                <w:szCs w:val="24"/>
              </w:rPr>
              <w:t>Number</w:t>
            </w:r>
            <w:r w:rsidR="000466E9" w:rsidRPr="00A76317">
              <w:rPr>
                <w:rFonts w:ascii="Aptos Narrow" w:eastAsia="Times New Roman" w:hAnsi="Aptos Narrow" w:cs="Arial"/>
                <w:b/>
                <w:bCs/>
                <w:color w:val="000000" w:themeColor="text1"/>
                <w:sz w:val="24"/>
                <w:szCs w:val="24"/>
              </w:rPr>
              <w:t xml:space="preserve"> (minutes available)</w:t>
            </w:r>
          </w:p>
        </w:tc>
        <w:tc>
          <w:tcPr>
            <w:tcW w:w="2790" w:type="dxa"/>
            <w:shd w:val="clear" w:color="auto" w:fill="D9E2F3" w:themeFill="accent1" w:themeFillTint="33"/>
            <w:noWrap/>
            <w:vAlign w:val="bottom"/>
          </w:tcPr>
          <w:p w14:paraId="4C7BFD11" w14:textId="77777777" w:rsidR="0093049B" w:rsidRPr="00A76317" w:rsidRDefault="00AC49A1" w:rsidP="00AC49A1">
            <w:pPr>
              <w:spacing w:after="0" w:line="240" w:lineRule="auto"/>
              <w:jc w:val="right"/>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 xml:space="preserve">Utilization – </w:t>
            </w:r>
            <w:r w:rsidR="0093049B" w:rsidRPr="00A76317">
              <w:rPr>
                <w:rFonts w:ascii="Aptos Narrow" w:eastAsia="Times New Roman" w:hAnsi="Aptos Narrow" w:cs="Times New Roman"/>
                <w:b/>
                <w:bCs/>
                <w:color w:val="000000" w:themeColor="text1"/>
                <w:sz w:val="24"/>
                <w:szCs w:val="24"/>
              </w:rPr>
              <w:t xml:space="preserve">FY25 Volume </w:t>
            </w:r>
          </w:p>
          <w:p w14:paraId="43DAB2AA" w14:textId="016A9FC0" w:rsidR="00AC49A1" w:rsidRPr="00A76317" w:rsidRDefault="0093049B" w:rsidP="00AC49A1">
            <w:pPr>
              <w:spacing w:after="0" w:line="240" w:lineRule="auto"/>
              <w:jc w:val="right"/>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w:t>
            </w:r>
            <w:r w:rsidR="00AC49A1" w:rsidRPr="00A76317">
              <w:rPr>
                <w:rFonts w:ascii="Aptos Narrow" w:eastAsia="Times New Roman" w:hAnsi="Aptos Narrow" w:cs="Times New Roman"/>
                <w:b/>
                <w:bCs/>
                <w:color w:val="000000" w:themeColor="text1"/>
                <w:sz w:val="24"/>
                <w:szCs w:val="24"/>
              </w:rPr>
              <w:t>1,339 Cases</w:t>
            </w:r>
            <w:r w:rsidR="00B65D67" w:rsidRPr="00A76317">
              <w:rPr>
                <w:rFonts w:ascii="Aptos Narrow" w:eastAsia="Times New Roman" w:hAnsi="Aptos Narrow" w:cs="Times New Roman"/>
                <w:b/>
                <w:bCs/>
                <w:color w:val="000000" w:themeColor="text1"/>
                <w:sz w:val="24"/>
                <w:szCs w:val="24"/>
              </w:rPr>
              <w:t>/284,689 min</w:t>
            </w:r>
            <w:r w:rsidRPr="00A76317">
              <w:rPr>
                <w:rFonts w:ascii="Aptos Narrow" w:eastAsia="Times New Roman" w:hAnsi="Aptos Narrow" w:cs="Times New Roman"/>
                <w:b/>
                <w:bCs/>
                <w:color w:val="000000" w:themeColor="text1"/>
                <w:sz w:val="24"/>
                <w:szCs w:val="24"/>
              </w:rPr>
              <w:t>)</w:t>
            </w:r>
          </w:p>
        </w:tc>
        <w:tc>
          <w:tcPr>
            <w:tcW w:w="3600" w:type="dxa"/>
            <w:shd w:val="clear" w:color="auto" w:fill="D9E2F3" w:themeFill="accent1" w:themeFillTint="33"/>
            <w:noWrap/>
            <w:vAlign w:val="bottom"/>
          </w:tcPr>
          <w:p w14:paraId="3804FA9A" w14:textId="08DF63D4" w:rsidR="00AC49A1" w:rsidRPr="00A76317" w:rsidRDefault="00AC49A1" w:rsidP="00687338">
            <w:pPr>
              <w:spacing w:after="0" w:line="240" w:lineRule="auto"/>
              <w:jc w:val="right"/>
              <w:rPr>
                <w:rFonts w:ascii="Aptos Narrow" w:eastAsia="Times New Roman" w:hAnsi="Aptos Narrow" w:cs="Times New Roman"/>
                <w:b/>
                <w:bCs/>
                <w:color w:val="000000" w:themeColor="text1"/>
                <w:sz w:val="24"/>
                <w:szCs w:val="24"/>
              </w:rPr>
            </w:pPr>
            <w:r w:rsidRPr="00A76317">
              <w:rPr>
                <w:rFonts w:ascii="Aptos Narrow" w:eastAsia="Times New Roman" w:hAnsi="Aptos Narrow" w:cs="Times New Roman"/>
                <w:b/>
                <w:bCs/>
                <w:color w:val="000000" w:themeColor="text1"/>
                <w:sz w:val="24"/>
                <w:szCs w:val="24"/>
              </w:rPr>
              <w:t xml:space="preserve">Utilization </w:t>
            </w:r>
            <w:proofErr w:type="gramStart"/>
            <w:r w:rsidRPr="00A76317">
              <w:rPr>
                <w:rFonts w:ascii="Aptos Narrow" w:eastAsia="Times New Roman" w:hAnsi="Aptos Narrow" w:cs="Times New Roman"/>
                <w:b/>
                <w:bCs/>
                <w:color w:val="000000" w:themeColor="text1"/>
                <w:sz w:val="24"/>
                <w:szCs w:val="24"/>
              </w:rPr>
              <w:t xml:space="preserve">– </w:t>
            </w:r>
            <w:r w:rsidR="0093049B" w:rsidRPr="00A76317">
              <w:rPr>
                <w:rFonts w:ascii="Aptos Narrow" w:eastAsia="Times New Roman" w:hAnsi="Aptos Narrow" w:cs="Times New Roman"/>
                <w:b/>
                <w:bCs/>
                <w:color w:val="000000" w:themeColor="text1"/>
                <w:sz w:val="24"/>
                <w:szCs w:val="24"/>
              </w:rPr>
              <w:t xml:space="preserve"> FY</w:t>
            </w:r>
            <w:proofErr w:type="gramEnd"/>
            <w:r w:rsidR="0093049B" w:rsidRPr="00A76317">
              <w:rPr>
                <w:rFonts w:ascii="Aptos Narrow" w:eastAsia="Times New Roman" w:hAnsi="Aptos Narrow" w:cs="Times New Roman"/>
                <w:b/>
                <w:bCs/>
                <w:color w:val="000000" w:themeColor="text1"/>
                <w:sz w:val="24"/>
                <w:szCs w:val="24"/>
              </w:rPr>
              <w:t xml:space="preserve">2025 Volume </w:t>
            </w:r>
            <w:r w:rsidR="00573623">
              <w:rPr>
                <w:rFonts w:ascii="Aptos Narrow" w:eastAsia="Times New Roman" w:hAnsi="Aptos Narrow" w:cs="Times New Roman"/>
                <w:b/>
                <w:bCs/>
                <w:color w:val="000000" w:themeColor="text1"/>
                <w:sz w:val="24"/>
                <w:szCs w:val="24"/>
              </w:rPr>
              <w:t>and</w:t>
            </w:r>
            <w:r w:rsidR="0093049B" w:rsidRPr="00A76317">
              <w:rPr>
                <w:rFonts w:ascii="Aptos Narrow" w:eastAsia="Times New Roman" w:hAnsi="Aptos Narrow" w:cs="Times New Roman"/>
                <w:b/>
                <w:bCs/>
                <w:color w:val="000000" w:themeColor="text1"/>
                <w:sz w:val="24"/>
                <w:szCs w:val="24"/>
              </w:rPr>
              <w:t xml:space="preserve"> New</w:t>
            </w:r>
            <w:r w:rsidR="00687338" w:rsidRPr="00A76317">
              <w:rPr>
                <w:rFonts w:ascii="Aptos Narrow" w:eastAsia="Times New Roman" w:hAnsi="Aptos Narrow" w:cs="Times New Roman"/>
                <w:b/>
                <w:bCs/>
                <w:color w:val="000000" w:themeColor="text1"/>
                <w:sz w:val="24"/>
                <w:szCs w:val="24"/>
              </w:rPr>
              <w:t xml:space="preserve"> </w:t>
            </w:r>
            <w:r w:rsidR="0093049B" w:rsidRPr="00A76317">
              <w:rPr>
                <w:rFonts w:ascii="Aptos Narrow" w:eastAsia="Times New Roman" w:hAnsi="Aptos Narrow" w:cs="Times New Roman"/>
                <w:b/>
                <w:bCs/>
                <w:color w:val="000000" w:themeColor="text1"/>
                <w:sz w:val="24"/>
                <w:szCs w:val="24"/>
              </w:rPr>
              <w:t>Providers</w:t>
            </w:r>
            <w:r w:rsidR="00687338" w:rsidRPr="00A76317">
              <w:rPr>
                <w:rFonts w:ascii="Aptos Narrow" w:eastAsia="Times New Roman" w:hAnsi="Aptos Narrow" w:cs="Times New Roman"/>
                <w:b/>
                <w:bCs/>
                <w:color w:val="000000" w:themeColor="text1"/>
                <w:sz w:val="24"/>
                <w:szCs w:val="24"/>
              </w:rPr>
              <w:t xml:space="preserve"> </w:t>
            </w:r>
            <w:r w:rsidR="0093049B" w:rsidRPr="00A76317">
              <w:rPr>
                <w:rFonts w:ascii="Aptos Narrow" w:eastAsia="Times New Roman" w:hAnsi="Aptos Narrow" w:cs="Times New Roman"/>
                <w:b/>
                <w:bCs/>
                <w:color w:val="000000" w:themeColor="text1"/>
                <w:sz w:val="24"/>
                <w:szCs w:val="24"/>
              </w:rPr>
              <w:t>(</w:t>
            </w:r>
            <w:r w:rsidRPr="00A76317">
              <w:rPr>
                <w:rFonts w:ascii="Aptos Narrow" w:eastAsia="Times New Roman" w:hAnsi="Aptos Narrow" w:cs="Times New Roman"/>
                <w:b/>
                <w:bCs/>
                <w:color w:val="000000" w:themeColor="text1"/>
                <w:sz w:val="24"/>
                <w:szCs w:val="24"/>
              </w:rPr>
              <w:t>1,</w:t>
            </w:r>
            <w:r w:rsidR="0093049B" w:rsidRPr="00A76317">
              <w:rPr>
                <w:rFonts w:ascii="Aptos Narrow" w:eastAsia="Times New Roman" w:hAnsi="Aptos Narrow" w:cs="Times New Roman"/>
                <w:b/>
                <w:bCs/>
                <w:color w:val="000000" w:themeColor="text1"/>
                <w:sz w:val="24"/>
                <w:szCs w:val="24"/>
              </w:rPr>
              <w:t xml:space="preserve">785 </w:t>
            </w:r>
            <w:r w:rsidRPr="00A76317">
              <w:rPr>
                <w:rFonts w:ascii="Aptos Narrow" w:eastAsia="Times New Roman" w:hAnsi="Aptos Narrow" w:cs="Times New Roman"/>
                <w:b/>
                <w:bCs/>
                <w:color w:val="000000" w:themeColor="text1"/>
                <w:sz w:val="24"/>
                <w:szCs w:val="24"/>
              </w:rPr>
              <w:t>Cases</w:t>
            </w:r>
            <w:r w:rsidR="00B65D67" w:rsidRPr="00A76317">
              <w:rPr>
                <w:rFonts w:ascii="Aptos Narrow" w:eastAsia="Times New Roman" w:hAnsi="Aptos Narrow" w:cs="Times New Roman"/>
                <w:b/>
                <w:bCs/>
                <w:color w:val="000000" w:themeColor="text1"/>
                <w:sz w:val="24"/>
                <w:szCs w:val="24"/>
              </w:rPr>
              <w:t>/</w:t>
            </w:r>
            <w:r w:rsidR="00687338" w:rsidRPr="00A76317">
              <w:rPr>
                <w:rFonts w:ascii="Aptos Narrow" w:eastAsia="Times New Roman" w:hAnsi="Aptos Narrow" w:cs="Times New Roman"/>
                <w:b/>
                <w:bCs/>
                <w:color w:val="000000" w:themeColor="text1"/>
                <w:sz w:val="24"/>
                <w:szCs w:val="24"/>
              </w:rPr>
              <w:t xml:space="preserve"> 374,593.3</w:t>
            </w:r>
            <w:r w:rsidR="00B65D67" w:rsidRPr="00A76317">
              <w:rPr>
                <w:rFonts w:ascii="Aptos Narrow" w:eastAsia="Times New Roman" w:hAnsi="Aptos Narrow" w:cs="Times New Roman"/>
                <w:b/>
                <w:bCs/>
                <w:color w:val="000000" w:themeColor="text1"/>
                <w:sz w:val="24"/>
                <w:szCs w:val="24"/>
              </w:rPr>
              <w:t xml:space="preserve"> min</w:t>
            </w:r>
            <w:r w:rsidR="0093049B" w:rsidRPr="00A76317">
              <w:rPr>
                <w:rFonts w:ascii="Aptos Narrow" w:eastAsia="Times New Roman" w:hAnsi="Aptos Narrow" w:cs="Times New Roman"/>
                <w:b/>
                <w:bCs/>
                <w:color w:val="000000" w:themeColor="text1"/>
                <w:sz w:val="24"/>
                <w:szCs w:val="24"/>
              </w:rPr>
              <w:t>)</w:t>
            </w:r>
          </w:p>
        </w:tc>
      </w:tr>
      <w:tr w:rsidR="00687338" w:rsidRPr="00A76317" w14:paraId="2440FF2C" w14:textId="77777777" w:rsidTr="00A55CA5">
        <w:trPr>
          <w:cantSplit/>
          <w:trHeight w:val="290"/>
        </w:trPr>
        <w:tc>
          <w:tcPr>
            <w:tcW w:w="2250" w:type="dxa"/>
            <w:shd w:val="clear" w:color="000000" w:fill="FFFFFF"/>
            <w:noWrap/>
            <w:vAlign w:val="bottom"/>
          </w:tcPr>
          <w:p w14:paraId="4A9912E1" w14:textId="06FEA0CD" w:rsidR="00687338" w:rsidRPr="00A76317" w:rsidRDefault="00687338" w:rsidP="00687338">
            <w:pPr>
              <w:spacing w:after="0" w:line="240" w:lineRule="auto"/>
              <w:rPr>
                <w:rFonts w:ascii="Aptos Narrow" w:eastAsia="Times New Roman" w:hAnsi="Aptos Narrow" w:cs="Arial"/>
                <w:sz w:val="24"/>
                <w:szCs w:val="24"/>
              </w:rPr>
            </w:pPr>
            <w:r w:rsidRPr="00A76317">
              <w:rPr>
                <w:rFonts w:ascii="Aptos Narrow" w:eastAsia="Times New Roman" w:hAnsi="Aptos Narrow" w:cs="Arial"/>
                <w:sz w:val="24"/>
                <w:szCs w:val="24"/>
              </w:rPr>
              <w:t>1 (147,000)</w:t>
            </w:r>
          </w:p>
        </w:tc>
        <w:tc>
          <w:tcPr>
            <w:tcW w:w="2790" w:type="dxa"/>
            <w:noWrap/>
            <w:vAlign w:val="center"/>
          </w:tcPr>
          <w:p w14:paraId="6D762743" w14:textId="5164484B"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194%</w:t>
            </w:r>
          </w:p>
        </w:tc>
        <w:tc>
          <w:tcPr>
            <w:tcW w:w="3600" w:type="dxa"/>
            <w:noWrap/>
            <w:vAlign w:val="center"/>
          </w:tcPr>
          <w:p w14:paraId="68CD3A43" w14:textId="32271DBF"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255%</w:t>
            </w:r>
          </w:p>
        </w:tc>
      </w:tr>
      <w:tr w:rsidR="00687338" w:rsidRPr="00A76317" w14:paraId="4B3AA364" w14:textId="77777777" w:rsidTr="00A55CA5">
        <w:trPr>
          <w:cantSplit/>
          <w:trHeight w:val="290"/>
        </w:trPr>
        <w:tc>
          <w:tcPr>
            <w:tcW w:w="2250" w:type="dxa"/>
            <w:shd w:val="clear" w:color="000000" w:fill="FFFFFF"/>
            <w:noWrap/>
            <w:vAlign w:val="bottom"/>
          </w:tcPr>
          <w:p w14:paraId="78201360" w14:textId="716B79D0" w:rsidR="00687338" w:rsidRPr="00A76317" w:rsidRDefault="00687338" w:rsidP="00687338">
            <w:pPr>
              <w:spacing w:after="0" w:line="240" w:lineRule="auto"/>
              <w:rPr>
                <w:rFonts w:ascii="Aptos Narrow" w:eastAsia="Times New Roman" w:hAnsi="Aptos Narrow" w:cs="Arial"/>
                <w:sz w:val="24"/>
                <w:szCs w:val="24"/>
              </w:rPr>
            </w:pPr>
            <w:r w:rsidRPr="00A76317">
              <w:rPr>
                <w:rFonts w:ascii="Aptos Narrow" w:eastAsia="Times New Roman" w:hAnsi="Aptos Narrow" w:cs="Arial"/>
                <w:sz w:val="24"/>
                <w:szCs w:val="24"/>
              </w:rPr>
              <w:t>2 (294,000)</w:t>
            </w:r>
          </w:p>
        </w:tc>
        <w:tc>
          <w:tcPr>
            <w:tcW w:w="2790" w:type="dxa"/>
            <w:noWrap/>
            <w:vAlign w:val="center"/>
            <w:hideMark/>
          </w:tcPr>
          <w:p w14:paraId="01942F7B" w14:textId="05243DC8"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97%</w:t>
            </w:r>
          </w:p>
        </w:tc>
        <w:tc>
          <w:tcPr>
            <w:tcW w:w="3600" w:type="dxa"/>
            <w:noWrap/>
            <w:vAlign w:val="center"/>
            <w:hideMark/>
          </w:tcPr>
          <w:p w14:paraId="2CEE40DA" w14:textId="1BB7151D"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127%</w:t>
            </w:r>
          </w:p>
        </w:tc>
      </w:tr>
      <w:tr w:rsidR="00687338" w:rsidRPr="00A76317" w14:paraId="7F81596F" w14:textId="77777777" w:rsidTr="00A55CA5">
        <w:trPr>
          <w:cantSplit/>
          <w:trHeight w:val="290"/>
        </w:trPr>
        <w:tc>
          <w:tcPr>
            <w:tcW w:w="2250" w:type="dxa"/>
            <w:shd w:val="clear" w:color="000000" w:fill="FFFFFF"/>
            <w:noWrap/>
            <w:vAlign w:val="bottom"/>
          </w:tcPr>
          <w:p w14:paraId="239B2183" w14:textId="432D1A3F" w:rsidR="00687338" w:rsidRPr="00A76317" w:rsidRDefault="00687338" w:rsidP="00687338">
            <w:pPr>
              <w:spacing w:after="0" w:line="240" w:lineRule="auto"/>
              <w:rPr>
                <w:rFonts w:ascii="Aptos Narrow" w:eastAsia="Times New Roman" w:hAnsi="Aptos Narrow" w:cs="Arial"/>
                <w:sz w:val="24"/>
                <w:szCs w:val="24"/>
              </w:rPr>
            </w:pPr>
            <w:r w:rsidRPr="00A76317">
              <w:rPr>
                <w:rFonts w:ascii="Aptos Narrow" w:eastAsia="Times New Roman" w:hAnsi="Aptos Narrow" w:cs="Arial"/>
                <w:sz w:val="24"/>
                <w:szCs w:val="24"/>
              </w:rPr>
              <w:t>3 (441,000)</w:t>
            </w:r>
          </w:p>
        </w:tc>
        <w:tc>
          <w:tcPr>
            <w:tcW w:w="2790" w:type="dxa"/>
            <w:noWrap/>
            <w:vAlign w:val="center"/>
            <w:hideMark/>
          </w:tcPr>
          <w:p w14:paraId="11616939" w14:textId="12638574"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65%</w:t>
            </w:r>
          </w:p>
        </w:tc>
        <w:tc>
          <w:tcPr>
            <w:tcW w:w="3600" w:type="dxa"/>
            <w:noWrap/>
            <w:vAlign w:val="center"/>
            <w:hideMark/>
          </w:tcPr>
          <w:p w14:paraId="610E5FE2" w14:textId="0F53DAC8"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85%</w:t>
            </w:r>
          </w:p>
        </w:tc>
      </w:tr>
      <w:tr w:rsidR="00687338" w:rsidRPr="00A76317" w14:paraId="1E293587" w14:textId="77777777" w:rsidTr="00A55CA5">
        <w:trPr>
          <w:cantSplit/>
          <w:trHeight w:val="290"/>
        </w:trPr>
        <w:tc>
          <w:tcPr>
            <w:tcW w:w="2250" w:type="dxa"/>
            <w:shd w:val="clear" w:color="000000" w:fill="FFFFFF"/>
            <w:noWrap/>
            <w:vAlign w:val="bottom"/>
          </w:tcPr>
          <w:p w14:paraId="2050EC97" w14:textId="3454BC21" w:rsidR="00687338" w:rsidRPr="00A76317" w:rsidRDefault="00687338" w:rsidP="00687338">
            <w:pPr>
              <w:spacing w:after="0" w:line="240" w:lineRule="auto"/>
              <w:rPr>
                <w:rFonts w:ascii="Aptos Narrow" w:eastAsia="Times New Roman" w:hAnsi="Aptos Narrow" w:cs="Arial"/>
                <w:sz w:val="24"/>
                <w:szCs w:val="24"/>
              </w:rPr>
            </w:pPr>
            <w:r w:rsidRPr="00A76317">
              <w:rPr>
                <w:rFonts w:ascii="Aptos Narrow" w:eastAsia="Times New Roman" w:hAnsi="Aptos Narrow" w:cs="Arial"/>
                <w:sz w:val="24"/>
                <w:szCs w:val="24"/>
              </w:rPr>
              <w:t>4 (588,000)</w:t>
            </w:r>
          </w:p>
        </w:tc>
        <w:tc>
          <w:tcPr>
            <w:tcW w:w="2790" w:type="dxa"/>
            <w:noWrap/>
            <w:vAlign w:val="center"/>
            <w:hideMark/>
          </w:tcPr>
          <w:p w14:paraId="5B911AAC" w14:textId="680A7731"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48%</w:t>
            </w:r>
          </w:p>
        </w:tc>
        <w:tc>
          <w:tcPr>
            <w:tcW w:w="3600" w:type="dxa"/>
            <w:noWrap/>
            <w:vAlign w:val="center"/>
            <w:hideMark/>
          </w:tcPr>
          <w:p w14:paraId="68B90CB4" w14:textId="25EA4933" w:rsidR="00687338" w:rsidRPr="00A76317" w:rsidRDefault="00687338" w:rsidP="00687338">
            <w:pPr>
              <w:spacing w:after="0" w:line="240" w:lineRule="auto"/>
              <w:jc w:val="right"/>
              <w:rPr>
                <w:rFonts w:ascii="Aptos Narrow" w:eastAsia="Times New Roman" w:hAnsi="Aptos Narrow" w:cs="Times New Roman"/>
                <w:color w:val="000000"/>
                <w:sz w:val="24"/>
                <w:szCs w:val="24"/>
              </w:rPr>
            </w:pPr>
            <w:r w:rsidRPr="00A76317">
              <w:rPr>
                <w:rFonts w:ascii="Aptos Narrow" w:hAnsi="Aptos Narrow"/>
                <w:color w:val="000000"/>
                <w:sz w:val="24"/>
                <w:szCs w:val="24"/>
              </w:rPr>
              <w:t>64%</w:t>
            </w:r>
          </w:p>
        </w:tc>
      </w:tr>
    </w:tbl>
    <w:p w14:paraId="317ACE7C" w14:textId="77777777" w:rsidR="00AC49A1" w:rsidRPr="00A76317" w:rsidRDefault="00AC49A1" w:rsidP="00B03A15">
      <w:pPr>
        <w:spacing w:after="120" w:line="240" w:lineRule="auto"/>
        <w:rPr>
          <w:rFonts w:ascii="Aptos" w:hAnsi="Aptos" w:cstheme="minorHAnsi"/>
          <w:b/>
          <w:bCs/>
          <w:sz w:val="24"/>
          <w:szCs w:val="24"/>
        </w:rPr>
      </w:pPr>
    </w:p>
    <w:p w14:paraId="398B28B2" w14:textId="77777777" w:rsidR="00A927A0" w:rsidRPr="00A76317" w:rsidRDefault="003640BC" w:rsidP="00077948">
      <w:pPr>
        <w:pStyle w:val="Heading2"/>
        <w:rPr>
          <w:sz w:val="24"/>
          <w:szCs w:val="24"/>
        </w:rPr>
      </w:pPr>
      <w:r w:rsidRPr="00A76317">
        <w:rPr>
          <w:sz w:val="24"/>
          <w:szCs w:val="24"/>
        </w:rPr>
        <w:t>What is the c</w:t>
      </w:r>
      <w:r w:rsidR="008D768F" w:rsidRPr="00A76317">
        <w:rPr>
          <w:sz w:val="24"/>
          <w:szCs w:val="24"/>
        </w:rPr>
        <w:t xml:space="preserve">urrent number of University and Sturdy providers with block time. </w:t>
      </w:r>
    </w:p>
    <w:p w14:paraId="3530051A" w14:textId="2F60DC49" w:rsidR="007514D6" w:rsidRPr="00A76317" w:rsidRDefault="005F3263" w:rsidP="007514D6">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t>Five Sturdy providers and six University providers have block time at the hospital.</w:t>
      </w:r>
    </w:p>
    <w:p w14:paraId="130EA775" w14:textId="77777777" w:rsidR="00A927A0" w:rsidRPr="00A76317" w:rsidRDefault="00F37128" w:rsidP="00077948">
      <w:pPr>
        <w:pStyle w:val="Heading2"/>
        <w:rPr>
          <w:sz w:val="24"/>
          <w:szCs w:val="24"/>
        </w:rPr>
      </w:pPr>
      <w:r w:rsidRPr="00A76317">
        <w:rPr>
          <w:sz w:val="24"/>
          <w:szCs w:val="24"/>
        </w:rPr>
        <w:t xml:space="preserve">The application </w:t>
      </w:r>
      <w:r w:rsidR="00191BCD" w:rsidRPr="00A76317">
        <w:rPr>
          <w:sz w:val="24"/>
          <w:szCs w:val="24"/>
        </w:rPr>
        <w:t>states that</w:t>
      </w:r>
      <w:r w:rsidRPr="00A76317">
        <w:rPr>
          <w:sz w:val="24"/>
          <w:szCs w:val="24"/>
        </w:rPr>
        <w:t xml:space="preserve"> during the first five years of operation, the Applicant anticipates a total of 13 surgeons will have block time at the ASC, including four adult/joint replacement surgeons, three sports surgeons, two hand surgeons, two spine surgeons, and two general orthopedic surgeons</w:t>
      </w:r>
      <w:r w:rsidR="000D3EC4" w:rsidRPr="00A76317">
        <w:rPr>
          <w:sz w:val="24"/>
          <w:szCs w:val="24"/>
        </w:rPr>
        <w:t xml:space="preserve"> (pg.23)</w:t>
      </w:r>
      <w:r w:rsidRPr="00A76317">
        <w:rPr>
          <w:sz w:val="24"/>
          <w:szCs w:val="24"/>
        </w:rPr>
        <w:t>.</w:t>
      </w:r>
    </w:p>
    <w:p w14:paraId="19731342" w14:textId="77777777" w:rsidR="005F3263" w:rsidRPr="00A76317" w:rsidRDefault="000D3EC4" w:rsidP="005F3263">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How many will be Sturdy providers and how many will be University providers</w:t>
      </w:r>
      <w:r w:rsidR="0068234A" w:rsidRPr="00A76317">
        <w:rPr>
          <w:rFonts w:ascii="Aptos" w:hAnsi="Aptos" w:cstheme="minorHAnsi"/>
          <w:sz w:val="24"/>
          <w:szCs w:val="24"/>
        </w:rPr>
        <w:t>?</w:t>
      </w:r>
      <w:r w:rsidRPr="00A76317">
        <w:rPr>
          <w:rFonts w:ascii="Aptos" w:hAnsi="Aptos" w:cstheme="minorHAnsi"/>
          <w:sz w:val="24"/>
          <w:szCs w:val="24"/>
        </w:rPr>
        <w:t xml:space="preserve"> </w:t>
      </w:r>
    </w:p>
    <w:p w14:paraId="6A62F6B5" w14:textId="30EC9B9A" w:rsidR="005F3263" w:rsidRPr="00A76317" w:rsidRDefault="005F3263" w:rsidP="005F3263">
      <w:pPr>
        <w:pStyle w:val="ListParagraph"/>
        <w:spacing w:after="120" w:line="240" w:lineRule="auto"/>
        <w:ind w:left="1440"/>
        <w:contextualSpacing w:val="0"/>
        <w:rPr>
          <w:rFonts w:ascii="Aptos" w:hAnsi="Aptos" w:cstheme="minorHAnsi"/>
          <w:b/>
          <w:bCs/>
          <w:sz w:val="24"/>
          <w:szCs w:val="24"/>
        </w:rPr>
      </w:pPr>
      <w:r w:rsidRPr="00A76317">
        <w:rPr>
          <w:rFonts w:ascii="Aptos" w:hAnsi="Aptos" w:cstheme="minorHAnsi"/>
          <w:b/>
          <w:bCs/>
          <w:sz w:val="24"/>
          <w:szCs w:val="24"/>
        </w:rPr>
        <w:t>Five Sturdy providers and eight University providers will have block time at the ASC.</w:t>
      </w:r>
    </w:p>
    <w:p w14:paraId="4E17C9D7" w14:textId="7195ADBD" w:rsidR="008E1D4A" w:rsidRPr="00A76317" w:rsidRDefault="005F3263" w:rsidP="005F3263">
      <w:pPr>
        <w:pStyle w:val="ListParagraph"/>
        <w:numPr>
          <w:ilvl w:val="1"/>
          <w:numId w:val="37"/>
        </w:numPr>
        <w:spacing w:after="0" w:line="240" w:lineRule="auto"/>
        <w:rPr>
          <w:rFonts w:ascii="Aptos" w:hAnsi="Aptos" w:cstheme="minorHAnsi"/>
          <w:sz w:val="24"/>
          <w:szCs w:val="24"/>
        </w:rPr>
      </w:pPr>
      <w:r w:rsidRPr="00A76317">
        <w:rPr>
          <w:rFonts w:ascii="Aptos" w:hAnsi="Aptos" w:cstheme="minorHAnsi"/>
          <w:b/>
          <w:bCs/>
          <w:sz w:val="24"/>
          <w:szCs w:val="24"/>
        </w:rPr>
        <w:lastRenderedPageBreak/>
        <w:t xml:space="preserve"> </w:t>
      </w:r>
      <w:proofErr w:type="gramStart"/>
      <w:r w:rsidR="008E1D4A" w:rsidRPr="00A76317">
        <w:rPr>
          <w:rFonts w:ascii="Aptos" w:hAnsi="Aptos" w:cstheme="minorHAnsi"/>
          <w:sz w:val="24"/>
          <w:szCs w:val="24"/>
        </w:rPr>
        <w:t>In order to</w:t>
      </w:r>
      <w:proofErr w:type="gramEnd"/>
      <w:r w:rsidR="008E1D4A" w:rsidRPr="00A76317">
        <w:rPr>
          <w:rFonts w:ascii="Aptos" w:hAnsi="Aptos" w:cstheme="minorHAnsi"/>
          <w:sz w:val="24"/>
          <w:szCs w:val="24"/>
        </w:rPr>
        <w:t xml:space="preserve"> understand patient volume alongside increases in utilization, please provide the number of </w:t>
      </w:r>
      <w:r w:rsidR="00AD5B39" w:rsidRPr="00A76317">
        <w:rPr>
          <w:rFonts w:ascii="Aptos" w:hAnsi="Aptos" w:cstheme="minorHAnsi"/>
          <w:sz w:val="24"/>
          <w:szCs w:val="24"/>
        </w:rPr>
        <w:t xml:space="preserve">Sturdy outpatient orthopedic surgery patients for FY22. </w:t>
      </w:r>
    </w:p>
    <w:p w14:paraId="41760048" w14:textId="77777777" w:rsidR="005F3263" w:rsidRPr="00A76317" w:rsidRDefault="005F3263" w:rsidP="005F3263">
      <w:pPr>
        <w:pStyle w:val="ListParagraph"/>
        <w:spacing w:after="0" w:line="240" w:lineRule="auto"/>
        <w:contextualSpacing w:val="0"/>
        <w:rPr>
          <w:rFonts w:ascii="Aptos" w:hAnsi="Aptos" w:cstheme="minorHAnsi"/>
          <w:b/>
          <w:bCs/>
          <w:sz w:val="24"/>
          <w:szCs w:val="24"/>
        </w:rPr>
      </w:pPr>
    </w:p>
    <w:p w14:paraId="46C8D0F5" w14:textId="1E125C92" w:rsidR="00BB332F" w:rsidRPr="00A76317" w:rsidRDefault="00BB332F" w:rsidP="005F3263">
      <w:pPr>
        <w:pStyle w:val="ListParagraph"/>
        <w:spacing w:after="120" w:line="240" w:lineRule="auto"/>
        <w:ind w:firstLine="720"/>
        <w:contextualSpacing w:val="0"/>
        <w:rPr>
          <w:rFonts w:ascii="Aptos" w:hAnsi="Aptos" w:cstheme="minorHAnsi"/>
          <w:b/>
          <w:bCs/>
          <w:sz w:val="24"/>
          <w:szCs w:val="24"/>
        </w:rPr>
      </w:pPr>
      <w:r w:rsidRPr="00A76317">
        <w:rPr>
          <w:rFonts w:ascii="Aptos" w:hAnsi="Aptos" w:cstheme="minorHAnsi"/>
          <w:b/>
          <w:bCs/>
          <w:sz w:val="24"/>
          <w:szCs w:val="24"/>
        </w:rPr>
        <w:t>There were 779 unique outpatient orthopedic surgery patients in FY22.</w:t>
      </w:r>
    </w:p>
    <w:p w14:paraId="72F0B3BA" w14:textId="4AB33EC1" w:rsidR="00860570" w:rsidRPr="00A76317" w:rsidRDefault="00860570" w:rsidP="00077948">
      <w:pPr>
        <w:pStyle w:val="Heading2"/>
        <w:rPr>
          <w:sz w:val="24"/>
          <w:szCs w:val="24"/>
        </w:rPr>
      </w:pPr>
      <w:r w:rsidRPr="00A76317">
        <w:rPr>
          <w:sz w:val="24"/>
          <w:szCs w:val="24"/>
        </w:rPr>
        <w:t>Table 7 is labeled “2025 Medicare Procedural Out-of-Pocket Costs for Patient”</w:t>
      </w:r>
    </w:p>
    <w:p w14:paraId="6C3A08FF" w14:textId="0EDEC489" w:rsidR="00860570" w:rsidRPr="00A76317" w:rsidRDefault="00860570" w:rsidP="00BB332F">
      <w:pPr>
        <w:pStyle w:val="ListParagraph"/>
        <w:spacing w:after="120" w:line="240" w:lineRule="auto"/>
        <w:contextualSpacing w:val="0"/>
        <w:rPr>
          <w:rFonts w:ascii="Aptos" w:hAnsi="Aptos" w:cstheme="minorHAnsi"/>
          <w:sz w:val="24"/>
          <w:szCs w:val="24"/>
        </w:rPr>
      </w:pPr>
      <w:r w:rsidRPr="00A76317">
        <w:rPr>
          <w:rFonts w:ascii="Aptos" w:hAnsi="Aptos" w:cstheme="minorHAnsi"/>
          <w:sz w:val="24"/>
          <w:szCs w:val="24"/>
        </w:rPr>
        <w:t xml:space="preserve">Please confirm that the costs listed in the table are out-of-pocket costs for patients and not the total costs for the procedure. </w:t>
      </w:r>
    </w:p>
    <w:p w14:paraId="37B9FAB2" w14:textId="16A85D76" w:rsidR="00884DD0" w:rsidRPr="00A76317" w:rsidRDefault="00884DD0" w:rsidP="00BB332F">
      <w:pPr>
        <w:pStyle w:val="ListParagraph"/>
        <w:spacing w:after="120" w:line="240" w:lineRule="auto"/>
        <w:contextualSpacing w:val="0"/>
        <w:rPr>
          <w:rFonts w:ascii="Aptos" w:hAnsi="Aptos" w:cstheme="minorHAnsi"/>
          <w:b/>
          <w:bCs/>
          <w:sz w:val="24"/>
          <w:szCs w:val="24"/>
        </w:rPr>
      </w:pPr>
      <w:r w:rsidRPr="00A76317">
        <w:rPr>
          <w:rFonts w:ascii="Aptos" w:hAnsi="Aptos" w:cstheme="minorHAnsi"/>
          <w:b/>
          <w:bCs/>
          <w:sz w:val="24"/>
          <w:szCs w:val="24"/>
        </w:rPr>
        <w:t>Please use the revised table below.</w:t>
      </w:r>
    </w:p>
    <w:tbl>
      <w:tblPr>
        <w:tblW w:w="8640" w:type="dxa"/>
        <w:tblInd w:w="710" w:type="dxa"/>
        <w:tblLook w:val="04A0" w:firstRow="1" w:lastRow="0" w:firstColumn="1" w:lastColumn="0" w:noHBand="0" w:noVBand="1"/>
        <w:tblCaption w:val="Type of costs and savings vs procedure type"/>
      </w:tblPr>
      <w:tblGrid>
        <w:gridCol w:w="1686"/>
        <w:gridCol w:w="1170"/>
        <w:gridCol w:w="1411"/>
        <w:gridCol w:w="2097"/>
        <w:gridCol w:w="2276"/>
      </w:tblGrid>
      <w:tr w:rsidR="009D4F43" w:rsidRPr="00A76317" w14:paraId="33446343" w14:textId="77777777" w:rsidTr="00327BAC">
        <w:trPr>
          <w:cantSplit/>
          <w:trHeight w:val="520"/>
          <w:tblHeader/>
        </w:trPr>
        <w:tc>
          <w:tcPr>
            <w:tcW w:w="1710" w:type="dxa"/>
            <w:tcBorders>
              <w:top w:val="single" w:sz="8" w:space="0" w:color="auto"/>
              <w:left w:val="single" w:sz="8" w:space="0" w:color="auto"/>
              <w:bottom w:val="nil"/>
              <w:right w:val="single" w:sz="8" w:space="0" w:color="auto"/>
            </w:tcBorders>
            <w:shd w:val="clear" w:color="000000" w:fill="156082"/>
            <w:vAlign w:val="center"/>
            <w:hideMark/>
          </w:tcPr>
          <w:p w14:paraId="43946AC2" w14:textId="77777777" w:rsidR="009D4F43" w:rsidRPr="00A76317" w:rsidRDefault="009D4F43" w:rsidP="009D4F43">
            <w:pPr>
              <w:spacing w:after="0" w:line="240" w:lineRule="auto"/>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Procedure (CPT)</w:t>
            </w:r>
          </w:p>
        </w:tc>
        <w:tc>
          <w:tcPr>
            <w:tcW w:w="1170" w:type="dxa"/>
            <w:tcBorders>
              <w:top w:val="single" w:sz="8" w:space="0" w:color="auto"/>
              <w:left w:val="nil"/>
              <w:bottom w:val="nil"/>
              <w:right w:val="single" w:sz="8" w:space="0" w:color="auto"/>
            </w:tcBorders>
            <w:shd w:val="clear" w:color="000000" w:fill="156082"/>
            <w:vAlign w:val="center"/>
            <w:hideMark/>
          </w:tcPr>
          <w:p w14:paraId="2FD068EC" w14:textId="33E05155" w:rsidR="009D4F43" w:rsidRPr="00A76317" w:rsidRDefault="009D4F43" w:rsidP="009D4F43">
            <w:pPr>
              <w:spacing w:after="0" w:line="240" w:lineRule="auto"/>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ASC</w:t>
            </w:r>
            <w:r w:rsidR="0093049B" w:rsidRPr="00A76317">
              <w:rPr>
                <w:rFonts w:ascii="Aptos Narrow" w:eastAsia="Times New Roman" w:hAnsi="Aptos Narrow" w:cs="Times New Roman"/>
                <w:b/>
                <w:bCs/>
                <w:color w:val="FFFFFF"/>
                <w:sz w:val="24"/>
                <w:szCs w:val="24"/>
              </w:rPr>
              <w:t xml:space="preserve"> </w:t>
            </w:r>
            <w:r w:rsidR="008C5AE2">
              <w:rPr>
                <w:rFonts w:ascii="Aptos Narrow" w:eastAsia="Times New Roman" w:hAnsi="Aptos Narrow" w:cs="Times New Roman"/>
                <w:b/>
                <w:bCs/>
                <w:color w:val="FFFFFF"/>
                <w:sz w:val="24"/>
                <w:szCs w:val="24"/>
              </w:rPr>
              <w:t>Out of Pocket (</w:t>
            </w:r>
            <w:r w:rsidR="0093049B" w:rsidRPr="00A76317">
              <w:rPr>
                <w:rFonts w:ascii="Aptos Narrow" w:eastAsia="Times New Roman" w:hAnsi="Aptos Narrow" w:cs="Times New Roman"/>
                <w:b/>
                <w:bCs/>
                <w:color w:val="FFFFFF"/>
                <w:sz w:val="24"/>
                <w:szCs w:val="24"/>
              </w:rPr>
              <w:t>OOP</w:t>
            </w:r>
            <w:r w:rsidR="008C5AE2">
              <w:rPr>
                <w:rFonts w:ascii="Aptos Narrow" w:eastAsia="Times New Roman" w:hAnsi="Aptos Narrow" w:cs="Times New Roman"/>
                <w:b/>
                <w:bCs/>
                <w:color w:val="FFFFFF"/>
                <w:sz w:val="24"/>
                <w:szCs w:val="24"/>
              </w:rPr>
              <w:t>)</w:t>
            </w:r>
          </w:p>
        </w:tc>
        <w:tc>
          <w:tcPr>
            <w:tcW w:w="1260" w:type="dxa"/>
            <w:tcBorders>
              <w:top w:val="single" w:sz="8" w:space="0" w:color="auto"/>
              <w:left w:val="nil"/>
              <w:bottom w:val="nil"/>
              <w:right w:val="single" w:sz="8" w:space="0" w:color="auto"/>
            </w:tcBorders>
            <w:shd w:val="clear" w:color="000000" w:fill="156082"/>
            <w:vAlign w:val="center"/>
            <w:hideMark/>
          </w:tcPr>
          <w:p w14:paraId="6955F468" w14:textId="414BBE66" w:rsidR="009D4F43" w:rsidRPr="00A76317" w:rsidRDefault="001C11A5" w:rsidP="009D4F43">
            <w:pPr>
              <w:spacing w:after="0" w:line="240" w:lineRule="auto"/>
              <w:rPr>
                <w:rFonts w:ascii="Aptos Narrow" w:eastAsia="Times New Roman" w:hAnsi="Aptos Narrow" w:cs="Times New Roman"/>
                <w:b/>
                <w:bCs/>
                <w:color w:val="FFFFFF"/>
                <w:sz w:val="24"/>
                <w:szCs w:val="24"/>
              </w:rPr>
            </w:pPr>
            <w:r>
              <w:rPr>
                <w:rFonts w:ascii="Aptos Narrow" w:eastAsia="Times New Roman" w:hAnsi="Aptos Narrow" w:cs="Times New Roman"/>
                <w:b/>
                <w:bCs/>
                <w:color w:val="FFFFFF"/>
                <w:sz w:val="24"/>
                <w:szCs w:val="24"/>
              </w:rPr>
              <w:t>Hospital Outpatient Department (</w:t>
            </w:r>
            <w:r w:rsidR="009D4F43" w:rsidRPr="00A76317">
              <w:rPr>
                <w:rFonts w:ascii="Aptos Narrow" w:eastAsia="Times New Roman" w:hAnsi="Aptos Narrow" w:cs="Times New Roman"/>
                <w:b/>
                <w:bCs/>
                <w:color w:val="FFFFFF"/>
                <w:sz w:val="24"/>
                <w:szCs w:val="24"/>
              </w:rPr>
              <w:t>HOPD</w:t>
            </w:r>
            <w:r>
              <w:rPr>
                <w:rFonts w:ascii="Aptos Narrow" w:eastAsia="Times New Roman" w:hAnsi="Aptos Narrow" w:cs="Times New Roman"/>
                <w:b/>
                <w:bCs/>
                <w:color w:val="FFFFFF"/>
                <w:sz w:val="24"/>
                <w:szCs w:val="24"/>
              </w:rPr>
              <w:t>)</w:t>
            </w:r>
            <w:r w:rsidR="0093049B" w:rsidRPr="00A76317">
              <w:rPr>
                <w:rFonts w:ascii="Aptos Narrow" w:eastAsia="Times New Roman" w:hAnsi="Aptos Narrow" w:cs="Times New Roman"/>
                <w:b/>
                <w:bCs/>
                <w:color w:val="FFFFFF"/>
                <w:sz w:val="24"/>
                <w:szCs w:val="24"/>
              </w:rPr>
              <w:t xml:space="preserve"> OOP</w:t>
            </w:r>
          </w:p>
        </w:tc>
        <w:tc>
          <w:tcPr>
            <w:tcW w:w="2160" w:type="dxa"/>
            <w:tcBorders>
              <w:top w:val="single" w:sz="8" w:space="0" w:color="auto"/>
              <w:left w:val="nil"/>
              <w:bottom w:val="nil"/>
              <w:right w:val="single" w:sz="8" w:space="0" w:color="auto"/>
            </w:tcBorders>
            <w:shd w:val="clear" w:color="000000" w:fill="156082"/>
            <w:vAlign w:val="center"/>
            <w:hideMark/>
          </w:tcPr>
          <w:p w14:paraId="218E2F59" w14:textId="5AABBF7B" w:rsidR="009D4F43" w:rsidRPr="00A76317" w:rsidRDefault="009D4F43" w:rsidP="009D4F43">
            <w:pPr>
              <w:spacing w:after="0" w:line="240" w:lineRule="auto"/>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 xml:space="preserve">Cost </w:t>
            </w:r>
            <w:r w:rsidR="001C11A5" w:rsidRPr="00A76317">
              <w:rPr>
                <w:rFonts w:ascii="Aptos Narrow" w:eastAsia="Times New Roman" w:hAnsi="Aptos Narrow" w:cs="Times New Roman"/>
                <w:b/>
                <w:bCs/>
                <w:color w:val="FFFFFF"/>
                <w:sz w:val="24"/>
                <w:szCs w:val="24"/>
              </w:rPr>
              <w:t>Savings of</w:t>
            </w:r>
            <w:r w:rsidRPr="00A76317">
              <w:rPr>
                <w:rFonts w:ascii="Aptos Narrow" w:eastAsia="Times New Roman" w:hAnsi="Aptos Narrow" w:cs="Times New Roman"/>
                <w:b/>
                <w:bCs/>
                <w:color w:val="FFFFFF"/>
                <w:sz w:val="24"/>
                <w:szCs w:val="24"/>
              </w:rPr>
              <w:t xml:space="preserve"> ASC ($)</w:t>
            </w:r>
          </w:p>
        </w:tc>
        <w:tc>
          <w:tcPr>
            <w:tcW w:w="2340" w:type="dxa"/>
            <w:tcBorders>
              <w:top w:val="single" w:sz="8" w:space="0" w:color="auto"/>
              <w:left w:val="nil"/>
              <w:bottom w:val="nil"/>
              <w:right w:val="single" w:sz="8" w:space="0" w:color="auto"/>
            </w:tcBorders>
            <w:shd w:val="clear" w:color="000000" w:fill="156082"/>
            <w:vAlign w:val="center"/>
            <w:hideMark/>
          </w:tcPr>
          <w:p w14:paraId="66BB1C95" w14:textId="140C210A" w:rsidR="009D4F43" w:rsidRPr="00A76317" w:rsidRDefault="009D4F43" w:rsidP="009D4F43">
            <w:pPr>
              <w:spacing w:after="0" w:line="240" w:lineRule="auto"/>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 xml:space="preserve">Cost </w:t>
            </w:r>
            <w:r w:rsidR="001C11A5" w:rsidRPr="00A76317">
              <w:rPr>
                <w:rFonts w:ascii="Aptos Narrow" w:eastAsia="Times New Roman" w:hAnsi="Aptos Narrow" w:cs="Times New Roman"/>
                <w:b/>
                <w:bCs/>
                <w:color w:val="FFFFFF"/>
                <w:sz w:val="24"/>
                <w:szCs w:val="24"/>
              </w:rPr>
              <w:t>Savings of</w:t>
            </w:r>
            <w:r w:rsidRPr="00A76317">
              <w:rPr>
                <w:rFonts w:ascii="Aptos Narrow" w:eastAsia="Times New Roman" w:hAnsi="Aptos Narrow" w:cs="Times New Roman"/>
                <w:b/>
                <w:bCs/>
                <w:color w:val="FFFFFF"/>
                <w:sz w:val="24"/>
                <w:szCs w:val="24"/>
              </w:rPr>
              <w:t xml:space="preserve"> ASC (</w:t>
            </w:r>
            <w:r w:rsidR="007D3767">
              <w:rPr>
                <w:rFonts w:ascii="Aptos Narrow" w:eastAsia="Times New Roman" w:hAnsi="Aptos Narrow" w:cs="Times New Roman"/>
                <w:b/>
                <w:bCs/>
                <w:color w:val="FFFFFF"/>
                <w:sz w:val="24"/>
                <w:szCs w:val="24"/>
              </w:rPr>
              <w:t>percent</w:t>
            </w:r>
            <w:r w:rsidRPr="00A76317">
              <w:rPr>
                <w:rFonts w:ascii="Aptos Narrow" w:eastAsia="Times New Roman" w:hAnsi="Aptos Narrow" w:cs="Times New Roman"/>
                <w:b/>
                <w:bCs/>
                <w:color w:val="FFFFFF"/>
                <w:sz w:val="24"/>
                <w:szCs w:val="24"/>
              </w:rPr>
              <w:t>)</w:t>
            </w:r>
          </w:p>
        </w:tc>
      </w:tr>
      <w:tr w:rsidR="009D4F43" w:rsidRPr="00A76317" w14:paraId="327E649E" w14:textId="77777777" w:rsidTr="00327BAC">
        <w:trPr>
          <w:cantSplit/>
          <w:trHeight w:val="290"/>
        </w:trPr>
        <w:tc>
          <w:tcPr>
            <w:tcW w:w="1710" w:type="dxa"/>
            <w:tcBorders>
              <w:top w:val="single" w:sz="4" w:space="0" w:color="auto"/>
              <w:left w:val="single" w:sz="4" w:space="0" w:color="auto"/>
              <w:bottom w:val="single" w:sz="4" w:space="0" w:color="auto"/>
              <w:right w:val="single" w:sz="4" w:space="0" w:color="auto"/>
            </w:tcBorders>
            <w:vAlign w:val="center"/>
            <w:hideMark/>
          </w:tcPr>
          <w:p w14:paraId="61A0C0BA"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29827</w:t>
            </w:r>
          </w:p>
        </w:tc>
        <w:tc>
          <w:tcPr>
            <w:tcW w:w="1170" w:type="dxa"/>
            <w:tcBorders>
              <w:top w:val="single" w:sz="4" w:space="0" w:color="auto"/>
              <w:left w:val="nil"/>
              <w:bottom w:val="single" w:sz="4" w:space="0" w:color="auto"/>
              <w:right w:val="single" w:sz="4" w:space="0" w:color="auto"/>
            </w:tcBorders>
            <w:vAlign w:val="center"/>
            <w:hideMark/>
          </w:tcPr>
          <w:p w14:paraId="6F0E9308"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$934 </w:t>
            </w:r>
          </w:p>
        </w:tc>
        <w:tc>
          <w:tcPr>
            <w:tcW w:w="1260" w:type="dxa"/>
            <w:tcBorders>
              <w:top w:val="single" w:sz="4" w:space="0" w:color="auto"/>
              <w:left w:val="nil"/>
              <w:bottom w:val="single" w:sz="4" w:space="0" w:color="auto"/>
              <w:right w:val="single" w:sz="4" w:space="0" w:color="auto"/>
            </w:tcBorders>
            <w:vAlign w:val="center"/>
            <w:hideMark/>
          </w:tcPr>
          <w:p w14:paraId="1D2B969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$1,677 </w:t>
            </w:r>
          </w:p>
        </w:tc>
        <w:tc>
          <w:tcPr>
            <w:tcW w:w="2160" w:type="dxa"/>
            <w:tcBorders>
              <w:top w:val="single" w:sz="4" w:space="0" w:color="auto"/>
              <w:left w:val="nil"/>
              <w:bottom w:val="single" w:sz="4" w:space="0" w:color="auto"/>
              <w:right w:val="single" w:sz="4" w:space="0" w:color="auto"/>
            </w:tcBorders>
            <w:vAlign w:val="center"/>
            <w:hideMark/>
          </w:tcPr>
          <w:p w14:paraId="2C3CDBEC"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$743 </w:t>
            </w:r>
          </w:p>
        </w:tc>
        <w:tc>
          <w:tcPr>
            <w:tcW w:w="2340" w:type="dxa"/>
            <w:tcBorders>
              <w:top w:val="single" w:sz="4" w:space="0" w:color="auto"/>
              <w:left w:val="nil"/>
              <w:bottom w:val="single" w:sz="4" w:space="0" w:color="auto"/>
              <w:right w:val="single" w:sz="4" w:space="0" w:color="auto"/>
            </w:tcBorders>
            <w:vAlign w:val="center"/>
            <w:hideMark/>
          </w:tcPr>
          <w:p w14:paraId="35CDC7F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44.31%</w:t>
            </w:r>
          </w:p>
        </w:tc>
      </w:tr>
      <w:tr w:rsidR="009D4F43" w:rsidRPr="00A76317" w14:paraId="074F7DF0"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35E6D93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29881</w:t>
            </w:r>
          </w:p>
        </w:tc>
        <w:tc>
          <w:tcPr>
            <w:tcW w:w="1170" w:type="dxa"/>
            <w:tcBorders>
              <w:top w:val="nil"/>
              <w:left w:val="nil"/>
              <w:bottom w:val="single" w:sz="4" w:space="0" w:color="auto"/>
              <w:right w:val="single" w:sz="4" w:space="0" w:color="auto"/>
            </w:tcBorders>
            <w:noWrap/>
            <w:vAlign w:val="bottom"/>
            <w:hideMark/>
          </w:tcPr>
          <w:p w14:paraId="7427E852"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$431 </w:t>
            </w:r>
          </w:p>
        </w:tc>
        <w:tc>
          <w:tcPr>
            <w:tcW w:w="1260" w:type="dxa"/>
            <w:tcBorders>
              <w:top w:val="nil"/>
              <w:left w:val="nil"/>
              <w:bottom w:val="single" w:sz="4" w:space="0" w:color="auto"/>
              <w:right w:val="single" w:sz="4" w:space="0" w:color="auto"/>
            </w:tcBorders>
            <w:noWrap/>
            <w:vAlign w:val="bottom"/>
            <w:hideMark/>
          </w:tcPr>
          <w:p w14:paraId="3A088DB9"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$771 </w:t>
            </w:r>
          </w:p>
        </w:tc>
        <w:tc>
          <w:tcPr>
            <w:tcW w:w="2160" w:type="dxa"/>
            <w:tcBorders>
              <w:top w:val="nil"/>
              <w:left w:val="nil"/>
              <w:bottom w:val="single" w:sz="4" w:space="0" w:color="auto"/>
              <w:right w:val="single" w:sz="4" w:space="0" w:color="auto"/>
            </w:tcBorders>
            <w:vAlign w:val="center"/>
            <w:hideMark/>
          </w:tcPr>
          <w:p w14:paraId="7531B67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$340 </w:t>
            </w:r>
          </w:p>
        </w:tc>
        <w:tc>
          <w:tcPr>
            <w:tcW w:w="2340" w:type="dxa"/>
            <w:tcBorders>
              <w:top w:val="nil"/>
              <w:left w:val="nil"/>
              <w:bottom w:val="single" w:sz="4" w:space="0" w:color="auto"/>
              <w:right w:val="single" w:sz="4" w:space="0" w:color="auto"/>
            </w:tcBorders>
            <w:vAlign w:val="center"/>
            <w:hideMark/>
          </w:tcPr>
          <w:p w14:paraId="0F31DF48"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44.10%</w:t>
            </w:r>
          </w:p>
        </w:tc>
      </w:tr>
      <w:tr w:rsidR="009D4F43" w:rsidRPr="00A76317" w14:paraId="18593282"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0F9F1D2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29823</w:t>
            </w:r>
          </w:p>
        </w:tc>
        <w:tc>
          <w:tcPr>
            <w:tcW w:w="1170" w:type="dxa"/>
            <w:tcBorders>
              <w:top w:val="nil"/>
              <w:left w:val="nil"/>
              <w:bottom w:val="single" w:sz="4" w:space="0" w:color="auto"/>
              <w:right w:val="single" w:sz="4" w:space="0" w:color="auto"/>
            </w:tcBorders>
            <w:noWrap/>
            <w:vAlign w:val="bottom"/>
            <w:hideMark/>
          </w:tcPr>
          <w:p w14:paraId="662F4201"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$439 </w:t>
            </w:r>
          </w:p>
        </w:tc>
        <w:tc>
          <w:tcPr>
            <w:tcW w:w="1260" w:type="dxa"/>
            <w:tcBorders>
              <w:top w:val="nil"/>
              <w:left w:val="nil"/>
              <w:bottom w:val="single" w:sz="4" w:space="0" w:color="auto"/>
              <w:right w:val="single" w:sz="4" w:space="0" w:color="auto"/>
            </w:tcBorders>
            <w:noWrap/>
            <w:vAlign w:val="bottom"/>
            <w:hideMark/>
          </w:tcPr>
          <w:p w14:paraId="3E04077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$779 </w:t>
            </w:r>
          </w:p>
        </w:tc>
        <w:tc>
          <w:tcPr>
            <w:tcW w:w="2160" w:type="dxa"/>
            <w:tcBorders>
              <w:top w:val="nil"/>
              <w:left w:val="nil"/>
              <w:bottom w:val="single" w:sz="4" w:space="0" w:color="auto"/>
              <w:right w:val="single" w:sz="4" w:space="0" w:color="auto"/>
            </w:tcBorders>
            <w:vAlign w:val="center"/>
            <w:hideMark/>
          </w:tcPr>
          <w:p w14:paraId="3B9F37AC"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$340 </w:t>
            </w:r>
          </w:p>
        </w:tc>
        <w:tc>
          <w:tcPr>
            <w:tcW w:w="2340" w:type="dxa"/>
            <w:tcBorders>
              <w:top w:val="nil"/>
              <w:left w:val="nil"/>
              <w:bottom w:val="single" w:sz="4" w:space="0" w:color="auto"/>
              <w:right w:val="single" w:sz="4" w:space="0" w:color="auto"/>
            </w:tcBorders>
            <w:vAlign w:val="center"/>
            <w:hideMark/>
          </w:tcPr>
          <w:p w14:paraId="66279A59"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43.65%</w:t>
            </w:r>
          </w:p>
        </w:tc>
      </w:tr>
      <w:tr w:rsidR="009D4F43" w:rsidRPr="00A76317" w14:paraId="18D5A02A"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30F3677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64721</w:t>
            </w:r>
          </w:p>
        </w:tc>
        <w:tc>
          <w:tcPr>
            <w:tcW w:w="1170" w:type="dxa"/>
            <w:tcBorders>
              <w:top w:val="nil"/>
              <w:left w:val="nil"/>
              <w:bottom w:val="single" w:sz="4" w:space="0" w:color="auto"/>
              <w:right w:val="single" w:sz="4" w:space="0" w:color="auto"/>
            </w:tcBorders>
            <w:vAlign w:val="center"/>
            <w:hideMark/>
          </w:tcPr>
          <w:p w14:paraId="04D50997"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$273 </w:t>
            </w:r>
          </w:p>
        </w:tc>
        <w:tc>
          <w:tcPr>
            <w:tcW w:w="1260" w:type="dxa"/>
            <w:tcBorders>
              <w:top w:val="nil"/>
              <w:left w:val="nil"/>
              <w:bottom w:val="single" w:sz="4" w:space="0" w:color="auto"/>
              <w:right w:val="single" w:sz="4" w:space="0" w:color="auto"/>
            </w:tcBorders>
            <w:vAlign w:val="center"/>
            <w:hideMark/>
          </w:tcPr>
          <w:p w14:paraId="7BDD92A9"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$483 </w:t>
            </w:r>
          </w:p>
        </w:tc>
        <w:tc>
          <w:tcPr>
            <w:tcW w:w="2160" w:type="dxa"/>
            <w:tcBorders>
              <w:top w:val="nil"/>
              <w:left w:val="nil"/>
              <w:bottom w:val="single" w:sz="4" w:space="0" w:color="auto"/>
              <w:right w:val="single" w:sz="4" w:space="0" w:color="auto"/>
            </w:tcBorders>
            <w:vAlign w:val="center"/>
            <w:hideMark/>
          </w:tcPr>
          <w:p w14:paraId="7E504F0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$210 </w:t>
            </w:r>
          </w:p>
        </w:tc>
        <w:tc>
          <w:tcPr>
            <w:tcW w:w="2340" w:type="dxa"/>
            <w:tcBorders>
              <w:top w:val="nil"/>
              <w:left w:val="nil"/>
              <w:bottom w:val="single" w:sz="4" w:space="0" w:color="auto"/>
              <w:right w:val="single" w:sz="4" w:space="0" w:color="auto"/>
            </w:tcBorders>
            <w:vAlign w:val="center"/>
            <w:hideMark/>
          </w:tcPr>
          <w:p w14:paraId="69F5E16A"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43.48%</w:t>
            </w:r>
          </w:p>
        </w:tc>
      </w:tr>
      <w:tr w:rsidR="009D4F43" w:rsidRPr="00A76317" w14:paraId="0E80E1D2"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566E1A03"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64718</w:t>
            </w:r>
          </w:p>
        </w:tc>
        <w:tc>
          <w:tcPr>
            <w:tcW w:w="1170" w:type="dxa"/>
            <w:tcBorders>
              <w:top w:val="nil"/>
              <w:left w:val="nil"/>
              <w:bottom w:val="single" w:sz="4" w:space="0" w:color="auto"/>
              <w:right w:val="single" w:sz="4" w:space="0" w:color="auto"/>
            </w:tcBorders>
            <w:vAlign w:val="center"/>
            <w:hideMark/>
          </w:tcPr>
          <w:p w14:paraId="58E8CC1D"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$304 </w:t>
            </w:r>
          </w:p>
        </w:tc>
        <w:tc>
          <w:tcPr>
            <w:tcW w:w="1260" w:type="dxa"/>
            <w:tcBorders>
              <w:top w:val="nil"/>
              <w:left w:val="nil"/>
              <w:bottom w:val="single" w:sz="4" w:space="0" w:color="auto"/>
              <w:right w:val="single" w:sz="4" w:space="0" w:color="auto"/>
            </w:tcBorders>
            <w:vAlign w:val="center"/>
            <w:hideMark/>
          </w:tcPr>
          <w:p w14:paraId="75EB6B5E"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$514 </w:t>
            </w:r>
          </w:p>
        </w:tc>
        <w:tc>
          <w:tcPr>
            <w:tcW w:w="2160" w:type="dxa"/>
            <w:tcBorders>
              <w:top w:val="nil"/>
              <w:left w:val="nil"/>
              <w:bottom w:val="single" w:sz="4" w:space="0" w:color="auto"/>
              <w:right w:val="single" w:sz="4" w:space="0" w:color="auto"/>
            </w:tcBorders>
            <w:vAlign w:val="center"/>
            <w:hideMark/>
          </w:tcPr>
          <w:p w14:paraId="6382F87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$210 </w:t>
            </w:r>
          </w:p>
        </w:tc>
        <w:tc>
          <w:tcPr>
            <w:tcW w:w="2340" w:type="dxa"/>
            <w:tcBorders>
              <w:top w:val="nil"/>
              <w:left w:val="nil"/>
              <w:bottom w:val="single" w:sz="4" w:space="0" w:color="auto"/>
              <w:right w:val="single" w:sz="4" w:space="0" w:color="auto"/>
            </w:tcBorders>
            <w:vAlign w:val="center"/>
            <w:hideMark/>
          </w:tcPr>
          <w:p w14:paraId="32840A03"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40.86%</w:t>
            </w:r>
          </w:p>
        </w:tc>
      </w:tr>
      <w:tr w:rsidR="009D4F43" w:rsidRPr="00A76317" w14:paraId="43A47FA9"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0163E8C5"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26055</w:t>
            </w:r>
          </w:p>
        </w:tc>
        <w:tc>
          <w:tcPr>
            <w:tcW w:w="1170" w:type="dxa"/>
            <w:tcBorders>
              <w:top w:val="nil"/>
              <w:left w:val="nil"/>
              <w:bottom w:val="single" w:sz="4" w:space="0" w:color="auto"/>
              <w:right w:val="single" w:sz="4" w:space="0" w:color="auto"/>
            </w:tcBorders>
            <w:vAlign w:val="center"/>
            <w:hideMark/>
          </w:tcPr>
          <w:p w14:paraId="70E578D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$231 </w:t>
            </w:r>
          </w:p>
        </w:tc>
        <w:tc>
          <w:tcPr>
            <w:tcW w:w="1260" w:type="dxa"/>
            <w:tcBorders>
              <w:top w:val="nil"/>
              <w:left w:val="nil"/>
              <w:bottom w:val="single" w:sz="4" w:space="0" w:color="auto"/>
              <w:right w:val="single" w:sz="4" w:space="0" w:color="auto"/>
            </w:tcBorders>
            <w:vAlign w:val="center"/>
            <w:hideMark/>
          </w:tcPr>
          <w:p w14:paraId="2E5B02C4"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$385 </w:t>
            </w:r>
          </w:p>
        </w:tc>
        <w:tc>
          <w:tcPr>
            <w:tcW w:w="2160" w:type="dxa"/>
            <w:tcBorders>
              <w:top w:val="nil"/>
              <w:left w:val="nil"/>
              <w:bottom w:val="single" w:sz="4" w:space="0" w:color="auto"/>
              <w:right w:val="single" w:sz="4" w:space="0" w:color="auto"/>
            </w:tcBorders>
            <w:vAlign w:val="center"/>
            <w:hideMark/>
          </w:tcPr>
          <w:p w14:paraId="7485F30A"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$154 </w:t>
            </w:r>
          </w:p>
        </w:tc>
        <w:tc>
          <w:tcPr>
            <w:tcW w:w="2340" w:type="dxa"/>
            <w:tcBorders>
              <w:top w:val="nil"/>
              <w:left w:val="nil"/>
              <w:bottom w:val="single" w:sz="4" w:space="0" w:color="auto"/>
              <w:right w:val="single" w:sz="4" w:space="0" w:color="auto"/>
            </w:tcBorders>
            <w:vAlign w:val="center"/>
            <w:hideMark/>
          </w:tcPr>
          <w:p w14:paraId="51C9BEAB"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40.00%</w:t>
            </w:r>
          </w:p>
        </w:tc>
      </w:tr>
      <w:tr w:rsidR="009D4F43" w:rsidRPr="00A76317" w14:paraId="055666CE" w14:textId="77777777" w:rsidTr="00327BAC">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18C2528F"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29888</w:t>
            </w:r>
          </w:p>
        </w:tc>
        <w:tc>
          <w:tcPr>
            <w:tcW w:w="1170" w:type="dxa"/>
            <w:tcBorders>
              <w:top w:val="nil"/>
              <w:left w:val="nil"/>
              <w:bottom w:val="single" w:sz="4" w:space="0" w:color="auto"/>
              <w:right w:val="single" w:sz="4" w:space="0" w:color="auto"/>
            </w:tcBorders>
            <w:noWrap/>
            <w:vAlign w:val="bottom"/>
            <w:hideMark/>
          </w:tcPr>
          <w:p w14:paraId="71E5FB75"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$1,140 </w:t>
            </w:r>
          </w:p>
        </w:tc>
        <w:tc>
          <w:tcPr>
            <w:tcW w:w="1260" w:type="dxa"/>
            <w:tcBorders>
              <w:top w:val="nil"/>
              <w:left w:val="nil"/>
              <w:bottom w:val="single" w:sz="4" w:space="0" w:color="auto"/>
              <w:right w:val="single" w:sz="4" w:space="0" w:color="auto"/>
            </w:tcBorders>
            <w:noWrap/>
            <w:vAlign w:val="bottom"/>
            <w:hideMark/>
          </w:tcPr>
          <w:p w14:paraId="1EECAA99"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$1,659 </w:t>
            </w:r>
          </w:p>
        </w:tc>
        <w:tc>
          <w:tcPr>
            <w:tcW w:w="2160" w:type="dxa"/>
            <w:tcBorders>
              <w:top w:val="nil"/>
              <w:left w:val="nil"/>
              <w:bottom w:val="single" w:sz="4" w:space="0" w:color="auto"/>
              <w:right w:val="single" w:sz="4" w:space="0" w:color="auto"/>
            </w:tcBorders>
            <w:vAlign w:val="center"/>
            <w:hideMark/>
          </w:tcPr>
          <w:p w14:paraId="7859630E"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 xml:space="preserve">$519 </w:t>
            </w:r>
          </w:p>
        </w:tc>
        <w:tc>
          <w:tcPr>
            <w:tcW w:w="2340" w:type="dxa"/>
            <w:tcBorders>
              <w:top w:val="nil"/>
              <w:left w:val="nil"/>
              <w:bottom w:val="single" w:sz="4" w:space="0" w:color="auto"/>
              <w:right w:val="single" w:sz="4" w:space="0" w:color="auto"/>
            </w:tcBorders>
            <w:vAlign w:val="center"/>
            <w:hideMark/>
          </w:tcPr>
          <w:p w14:paraId="183A0820" w14:textId="77777777" w:rsidR="009D4F43" w:rsidRPr="00A76317" w:rsidRDefault="009D4F43" w:rsidP="009D4F43">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31.28%</w:t>
            </w:r>
          </w:p>
        </w:tc>
      </w:tr>
    </w:tbl>
    <w:p w14:paraId="4C45F961" w14:textId="77777777" w:rsidR="009D4F43" w:rsidRPr="00A76317" w:rsidRDefault="009D4F43" w:rsidP="00BB332F">
      <w:pPr>
        <w:pStyle w:val="ListParagraph"/>
        <w:spacing w:after="120" w:line="240" w:lineRule="auto"/>
        <w:contextualSpacing w:val="0"/>
        <w:rPr>
          <w:rFonts w:ascii="Aptos" w:hAnsi="Aptos" w:cstheme="minorHAnsi"/>
          <w:b/>
          <w:bCs/>
          <w:sz w:val="24"/>
          <w:szCs w:val="24"/>
        </w:rPr>
      </w:pPr>
    </w:p>
    <w:p w14:paraId="3CDB6347" w14:textId="2AAA7D23" w:rsidR="00062604" w:rsidRPr="00A76317" w:rsidRDefault="00014363" w:rsidP="00077948">
      <w:pPr>
        <w:pStyle w:val="Heading2"/>
        <w:rPr>
          <w:sz w:val="24"/>
          <w:szCs w:val="24"/>
        </w:rPr>
      </w:pPr>
      <w:r w:rsidRPr="00A76317">
        <w:rPr>
          <w:sz w:val="24"/>
          <w:szCs w:val="24"/>
        </w:rPr>
        <w:t xml:space="preserve">The application </w:t>
      </w:r>
      <w:proofErr w:type="gramStart"/>
      <w:r w:rsidRPr="00A76317">
        <w:rPr>
          <w:sz w:val="24"/>
          <w:szCs w:val="24"/>
        </w:rPr>
        <w:t>states,</w:t>
      </w:r>
      <w:proofErr w:type="gramEnd"/>
      <w:r w:rsidRPr="00A76317">
        <w:rPr>
          <w:sz w:val="24"/>
          <w:szCs w:val="24"/>
        </w:rPr>
        <w:t xml:space="preserve"> t</w:t>
      </w:r>
      <w:r w:rsidR="00062604" w:rsidRPr="00A76317">
        <w:rPr>
          <w:sz w:val="24"/>
          <w:szCs w:val="24"/>
        </w:rPr>
        <w:t xml:space="preserve">hese increases will collectively result in an additional 5,000 people who will be most at risk of needing </w:t>
      </w:r>
      <w:proofErr w:type="gramStart"/>
      <w:r w:rsidR="00062604" w:rsidRPr="00A76317">
        <w:rPr>
          <w:sz w:val="24"/>
          <w:szCs w:val="24"/>
        </w:rPr>
        <w:t>an orthopedic</w:t>
      </w:r>
      <w:proofErr w:type="gramEnd"/>
      <w:r w:rsidR="00062604" w:rsidRPr="00A76317">
        <w:rPr>
          <w:sz w:val="24"/>
          <w:szCs w:val="24"/>
        </w:rPr>
        <w:t xml:space="preserve"> surgical intervention. Without adding capacity, any increase in surgical volume will result in longer wait times for patients.</w:t>
      </w:r>
    </w:p>
    <w:p w14:paraId="17DBB732" w14:textId="461FCF5B" w:rsidR="00062604" w:rsidRPr="00A76317" w:rsidRDefault="00062604" w:rsidP="0093049B">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Explain how the Applicant determined that an additional 5,000 people would be at risk of needing orthopedic surgical intervention</w:t>
      </w:r>
      <w:r w:rsidR="00D23957" w:rsidRPr="00A76317">
        <w:rPr>
          <w:rFonts w:ascii="Aptos" w:hAnsi="Aptos" w:cstheme="minorHAnsi"/>
          <w:sz w:val="24"/>
          <w:szCs w:val="24"/>
        </w:rPr>
        <w:t xml:space="preserve"> based on projected population increases from 2025 to 2030. </w:t>
      </w:r>
    </w:p>
    <w:p w14:paraId="5913D99C" w14:textId="7720C861" w:rsidR="00AC49A1" w:rsidRPr="00A76317" w:rsidRDefault="00AC49A1" w:rsidP="00456930">
      <w:pPr>
        <w:pStyle w:val="ListParagraph"/>
        <w:spacing w:after="120" w:line="240" w:lineRule="auto"/>
        <w:contextualSpacing w:val="0"/>
        <w:jc w:val="both"/>
        <w:rPr>
          <w:rFonts w:ascii="Aptos" w:hAnsi="Aptos" w:cstheme="minorHAnsi"/>
          <w:b/>
          <w:bCs/>
          <w:sz w:val="24"/>
          <w:szCs w:val="24"/>
        </w:rPr>
      </w:pPr>
      <w:r w:rsidRPr="00A76317">
        <w:rPr>
          <w:rFonts w:ascii="Aptos" w:hAnsi="Aptos" w:cstheme="minorHAnsi"/>
          <w:b/>
          <w:bCs/>
          <w:sz w:val="24"/>
          <w:szCs w:val="24"/>
        </w:rPr>
        <w:t>UM</w:t>
      </w:r>
      <w:r w:rsidR="005F3263" w:rsidRPr="00A76317">
        <w:rPr>
          <w:rFonts w:ascii="Aptos" w:hAnsi="Aptos" w:cstheme="minorHAnsi"/>
          <w:b/>
          <w:bCs/>
          <w:sz w:val="24"/>
          <w:szCs w:val="24"/>
        </w:rPr>
        <w:t>ass D</w:t>
      </w:r>
      <w:r w:rsidR="00044E5B" w:rsidRPr="00A76317">
        <w:rPr>
          <w:rFonts w:ascii="Aptos" w:hAnsi="Aptos" w:cstheme="minorHAnsi"/>
          <w:b/>
          <w:bCs/>
          <w:sz w:val="24"/>
          <w:szCs w:val="24"/>
        </w:rPr>
        <w:t>onahue</w:t>
      </w:r>
      <w:r w:rsidR="005F3263" w:rsidRPr="00A76317">
        <w:rPr>
          <w:rFonts w:ascii="Aptos" w:hAnsi="Aptos" w:cstheme="minorHAnsi"/>
          <w:b/>
          <w:bCs/>
          <w:sz w:val="24"/>
          <w:szCs w:val="24"/>
        </w:rPr>
        <w:t xml:space="preserve"> Institute</w:t>
      </w:r>
      <w:r w:rsidRPr="00A76317">
        <w:rPr>
          <w:rFonts w:ascii="Aptos" w:hAnsi="Aptos" w:cstheme="minorHAnsi"/>
          <w:b/>
          <w:bCs/>
          <w:sz w:val="24"/>
          <w:szCs w:val="24"/>
        </w:rPr>
        <w:t xml:space="preserve"> projections </w:t>
      </w:r>
      <w:r w:rsidR="005F3263" w:rsidRPr="00A76317">
        <w:rPr>
          <w:rFonts w:ascii="Aptos" w:hAnsi="Aptos" w:cstheme="minorHAnsi"/>
          <w:b/>
          <w:bCs/>
          <w:sz w:val="24"/>
          <w:szCs w:val="24"/>
        </w:rPr>
        <w:t>estimate that</w:t>
      </w:r>
      <w:r w:rsidRPr="00A76317">
        <w:rPr>
          <w:rFonts w:ascii="Aptos" w:hAnsi="Aptos" w:cstheme="minorHAnsi"/>
          <w:b/>
          <w:bCs/>
          <w:sz w:val="24"/>
          <w:szCs w:val="24"/>
        </w:rPr>
        <w:t xml:space="preserve"> 3,128 additional residents</w:t>
      </w:r>
      <w:r w:rsidR="0093049B" w:rsidRPr="00A76317">
        <w:rPr>
          <w:rFonts w:ascii="Aptos" w:hAnsi="Aptos" w:cstheme="minorHAnsi"/>
          <w:b/>
          <w:bCs/>
          <w:sz w:val="24"/>
          <w:szCs w:val="24"/>
        </w:rPr>
        <w:t xml:space="preserve"> by 2030</w:t>
      </w:r>
      <w:r w:rsidRPr="00A76317">
        <w:rPr>
          <w:rFonts w:ascii="Aptos" w:hAnsi="Aptos" w:cstheme="minorHAnsi"/>
          <w:b/>
          <w:bCs/>
          <w:sz w:val="24"/>
          <w:szCs w:val="24"/>
        </w:rPr>
        <w:t xml:space="preserve"> </w:t>
      </w:r>
      <w:r w:rsidR="005F3263" w:rsidRPr="00A76317">
        <w:rPr>
          <w:rFonts w:ascii="Aptos" w:hAnsi="Aptos" w:cstheme="minorHAnsi"/>
          <w:b/>
          <w:bCs/>
          <w:sz w:val="24"/>
          <w:szCs w:val="24"/>
        </w:rPr>
        <w:t xml:space="preserve">will be </w:t>
      </w:r>
      <w:r w:rsidRPr="00A76317">
        <w:rPr>
          <w:rFonts w:ascii="Aptos" w:hAnsi="Aptos" w:cstheme="minorHAnsi"/>
          <w:b/>
          <w:bCs/>
          <w:sz w:val="24"/>
          <w:szCs w:val="24"/>
        </w:rPr>
        <w:t xml:space="preserve">aged 60-85 in the towns of Attleboro, North Attleboro, Norton, Rehoboth, and Mansfield. </w:t>
      </w:r>
      <w:r w:rsidR="0093049B" w:rsidRPr="00A76317">
        <w:rPr>
          <w:rFonts w:ascii="Aptos" w:hAnsi="Aptos" w:cstheme="minorHAnsi"/>
          <w:b/>
          <w:bCs/>
          <w:sz w:val="24"/>
          <w:szCs w:val="24"/>
        </w:rPr>
        <w:t xml:space="preserve">By 2035, this age cohort is expected to grow to 3,543 additional residents of these towns. </w:t>
      </w:r>
      <w:r w:rsidR="00D72E72" w:rsidRPr="00A76317">
        <w:rPr>
          <w:rFonts w:ascii="Aptos" w:hAnsi="Aptos" w:cstheme="minorHAnsi"/>
          <w:b/>
          <w:bCs/>
          <w:sz w:val="24"/>
          <w:szCs w:val="24"/>
        </w:rPr>
        <w:t>Additionally, the Applicant is anticipating approximately 1,360 cases will originate from new Sturdy primary care patients</w:t>
      </w:r>
      <w:r w:rsidR="0093049B" w:rsidRPr="00A76317">
        <w:rPr>
          <w:rFonts w:ascii="Aptos" w:hAnsi="Aptos" w:cstheme="minorHAnsi"/>
          <w:b/>
          <w:bCs/>
          <w:sz w:val="24"/>
          <w:szCs w:val="24"/>
        </w:rPr>
        <w:t xml:space="preserve"> (13.6</w:t>
      </w:r>
      <w:r w:rsidR="00580AC3">
        <w:rPr>
          <w:rFonts w:ascii="Aptos" w:hAnsi="Aptos" w:cstheme="minorHAnsi"/>
          <w:b/>
          <w:bCs/>
          <w:sz w:val="24"/>
          <w:szCs w:val="24"/>
        </w:rPr>
        <w:t xml:space="preserve"> percent</w:t>
      </w:r>
      <w:r w:rsidR="0093049B" w:rsidRPr="00A76317">
        <w:rPr>
          <w:rFonts w:ascii="Aptos" w:hAnsi="Aptos" w:cstheme="minorHAnsi"/>
          <w:b/>
          <w:bCs/>
          <w:sz w:val="24"/>
          <w:szCs w:val="24"/>
        </w:rPr>
        <w:t xml:space="preserve"> of the estimated 10,000 new primary care patients</w:t>
      </w:r>
      <w:r w:rsidR="008636EC" w:rsidRPr="00A76317">
        <w:rPr>
          <w:rFonts w:ascii="Aptos" w:hAnsi="Aptos" w:cstheme="minorHAnsi"/>
          <w:b/>
          <w:bCs/>
          <w:sz w:val="24"/>
          <w:szCs w:val="24"/>
        </w:rPr>
        <w:t>)</w:t>
      </w:r>
      <w:r w:rsidR="0093049B" w:rsidRPr="00A76317">
        <w:rPr>
          <w:rFonts w:ascii="Aptos" w:hAnsi="Aptos" w:cstheme="minorHAnsi"/>
          <w:b/>
          <w:bCs/>
          <w:sz w:val="24"/>
          <w:szCs w:val="24"/>
        </w:rPr>
        <w:t>. Collectively, this is approximately 5,000 additional patients who are either a</w:t>
      </w:r>
      <w:r w:rsidR="005F3263" w:rsidRPr="00A76317">
        <w:rPr>
          <w:rFonts w:ascii="Aptos" w:hAnsi="Aptos" w:cstheme="minorHAnsi"/>
          <w:b/>
          <w:bCs/>
          <w:sz w:val="24"/>
          <w:szCs w:val="24"/>
        </w:rPr>
        <w:t>t</w:t>
      </w:r>
      <w:r w:rsidR="0093049B" w:rsidRPr="00A76317">
        <w:rPr>
          <w:rFonts w:ascii="Aptos" w:hAnsi="Aptos" w:cstheme="minorHAnsi"/>
          <w:b/>
          <w:bCs/>
          <w:sz w:val="24"/>
          <w:szCs w:val="24"/>
        </w:rPr>
        <w:t xml:space="preserve"> higher risk </w:t>
      </w:r>
      <w:r w:rsidR="00456930" w:rsidRPr="00A76317">
        <w:rPr>
          <w:rFonts w:ascii="Aptos" w:hAnsi="Aptos" w:cstheme="minorHAnsi"/>
          <w:b/>
          <w:bCs/>
          <w:sz w:val="24"/>
          <w:szCs w:val="24"/>
        </w:rPr>
        <w:t xml:space="preserve">for orthopedic intervention </w:t>
      </w:r>
      <w:r w:rsidR="0093049B" w:rsidRPr="00A76317">
        <w:rPr>
          <w:rFonts w:ascii="Aptos" w:hAnsi="Aptos" w:cstheme="minorHAnsi"/>
          <w:b/>
          <w:bCs/>
          <w:sz w:val="24"/>
          <w:szCs w:val="24"/>
        </w:rPr>
        <w:t xml:space="preserve">due to </w:t>
      </w:r>
      <w:proofErr w:type="gramStart"/>
      <w:r w:rsidR="0093049B" w:rsidRPr="00A76317">
        <w:rPr>
          <w:rFonts w:ascii="Aptos" w:hAnsi="Aptos" w:cstheme="minorHAnsi"/>
          <w:b/>
          <w:bCs/>
          <w:sz w:val="24"/>
          <w:szCs w:val="24"/>
        </w:rPr>
        <w:t>age, or</w:t>
      </w:r>
      <w:proofErr w:type="gramEnd"/>
      <w:r w:rsidR="0093049B" w:rsidRPr="00A76317">
        <w:rPr>
          <w:rFonts w:ascii="Aptos" w:hAnsi="Aptos" w:cstheme="minorHAnsi"/>
          <w:b/>
          <w:bCs/>
          <w:sz w:val="24"/>
          <w:szCs w:val="24"/>
        </w:rPr>
        <w:t xml:space="preserve"> </w:t>
      </w:r>
      <w:r w:rsidR="005F3263" w:rsidRPr="00A76317">
        <w:rPr>
          <w:rFonts w:ascii="Aptos" w:hAnsi="Aptos" w:cstheme="minorHAnsi"/>
          <w:b/>
          <w:bCs/>
          <w:sz w:val="24"/>
          <w:szCs w:val="24"/>
        </w:rPr>
        <w:t>historically had</w:t>
      </w:r>
      <w:r w:rsidR="00456930" w:rsidRPr="00A76317">
        <w:rPr>
          <w:rFonts w:ascii="Aptos" w:hAnsi="Aptos" w:cstheme="minorHAnsi"/>
          <w:b/>
          <w:bCs/>
          <w:sz w:val="24"/>
          <w:szCs w:val="24"/>
        </w:rPr>
        <w:t xml:space="preserve"> insufficient </w:t>
      </w:r>
      <w:r w:rsidR="0093049B" w:rsidRPr="00A76317">
        <w:rPr>
          <w:rFonts w:ascii="Aptos" w:hAnsi="Aptos" w:cstheme="minorHAnsi"/>
          <w:b/>
          <w:bCs/>
          <w:sz w:val="24"/>
          <w:szCs w:val="24"/>
        </w:rPr>
        <w:t xml:space="preserve">primary care </w:t>
      </w:r>
      <w:r w:rsidR="00456930" w:rsidRPr="00A76317">
        <w:rPr>
          <w:rFonts w:ascii="Aptos" w:hAnsi="Aptos" w:cstheme="minorHAnsi"/>
          <w:b/>
          <w:bCs/>
          <w:sz w:val="24"/>
          <w:szCs w:val="24"/>
        </w:rPr>
        <w:t xml:space="preserve">to make appropriate referrals to orthopedics. </w:t>
      </w:r>
    </w:p>
    <w:tbl>
      <w:tblPr>
        <w:tblW w:w="11075" w:type="dxa"/>
        <w:tblInd w:w="-815" w:type="dxa"/>
        <w:tblLayout w:type="fixed"/>
        <w:tblLook w:val="04A0" w:firstRow="1" w:lastRow="0" w:firstColumn="1" w:lastColumn="0" w:noHBand="0" w:noVBand="1"/>
        <w:tblCaption w:val="Projected Populations increases 2025-2035"/>
      </w:tblPr>
      <w:tblGrid>
        <w:gridCol w:w="1710"/>
        <w:gridCol w:w="1873"/>
        <w:gridCol w:w="1873"/>
        <w:gridCol w:w="1873"/>
        <w:gridCol w:w="1873"/>
        <w:gridCol w:w="1873"/>
      </w:tblGrid>
      <w:tr w:rsidR="0093049B" w:rsidRPr="00A76317" w14:paraId="422824A5" w14:textId="77777777" w:rsidTr="005B36E3">
        <w:trPr>
          <w:cantSplit/>
          <w:trHeight w:val="780"/>
          <w:tblHeader/>
        </w:trPr>
        <w:tc>
          <w:tcPr>
            <w:tcW w:w="1710" w:type="dxa"/>
            <w:tcBorders>
              <w:top w:val="single" w:sz="4" w:space="0" w:color="auto"/>
              <w:left w:val="single" w:sz="4" w:space="0" w:color="auto"/>
              <w:bottom w:val="single" w:sz="4" w:space="0" w:color="auto"/>
              <w:right w:val="single" w:sz="4" w:space="0" w:color="auto"/>
            </w:tcBorders>
            <w:shd w:val="clear" w:color="000000" w:fill="156082"/>
            <w:noWrap/>
            <w:vAlign w:val="center"/>
            <w:hideMark/>
          </w:tcPr>
          <w:p w14:paraId="126A8EB1" w14:textId="77777777" w:rsidR="0093049B" w:rsidRPr="00A76317" w:rsidRDefault="0093049B" w:rsidP="0093049B">
            <w:pPr>
              <w:spacing w:after="0" w:line="240" w:lineRule="auto"/>
              <w:rPr>
                <w:rFonts w:ascii="Aptos Narrow" w:eastAsia="Times New Roman" w:hAnsi="Aptos Narrow" w:cs="Calibri"/>
                <w:b/>
                <w:bCs/>
                <w:color w:val="FFFFFF"/>
                <w:sz w:val="24"/>
                <w:szCs w:val="24"/>
              </w:rPr>
            </w:pPr>
            <w:r w:rsidRPr="00A76317">
              <w:rPr>
                <w:rFonts w:ascii="Aptos Narrow" w:eastAsia="Times New Roman" w:hAnsi="Aptos Narrow" w:cs="Calibri"/>
                <w:b/>
                <w:bCs/>
                <w:color w:val="FFFFFF"/>
                <w:sz w:val="24"/>
                <w:szCs w:val="24"/>
              </w:rPr>
              <w:lastRenderedPageBreak/>
              <w:t>Town</w:t>
            </w:r>
          </w:p>
        </w:tc>
        <w:tc>
          <w:tcPr>
            <w:tcW w:w="1873" w:type="dxa"/>
            <w:tcBorders>
              <w:top w:val="single" w:sz="4" w:space="0" w:color="auto"/>
              <w:left w:val="nil"/>
              <w:bottom w:val="single" w:sz="4" w:space="0" w:color="auto"/>
              <w:right w:val="single" w:sz="4" w:space="0" w:color="auto"/>
            </w:tcBorders>
            <w:shd w:val="clear" w:color="000000" w:fill="156082"/>
            <w:vAlign w:val="center"/>
            <w:hideMark/>
          </w:tcPr>
          <w:p w14:paraId="1CF0E97B" w14:textId="77777777" w:rsidR="0093049B" w:rsidRPr="00A76317" w:rsidRDefault="0093049B" w:rsidP="0093049B">
            <w:pPr>
              <w:spacing w:after="0" w:line="240" w:lineRule="auto"/>
              <w:jc w:val="center"/>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Projected Population: 2025</w:t>
            </w:r>
          </w:p>
        </w:tc>
        <w:tc>
          <w:tcPr>
            <w:tcW w:w="1873" w:type="dxa"/>
            <w:tcBorders>
              <w:top w:val="single" w:sz="4" w:space="0" w:color="auto"/>
              <w:left w:val="nil"/>
              <w:bottom w:val="single" w:sz="4" w:space="0" w:color="auto"/>
              <w:right w:val="single" w:sz="4" w:space="0" w:color="auto"/>
            </w:tcBorders>
            <w:shd w:val="clear" w:color="000000" w:fill="156082"/>
            <w:vAlign w:val="center"/>
            <w:hideMark/>
          </w:tcPr>
          <w:p w14:paraId="6139CA9B" w14:textId="77777777" w:rsidR="0093049B" w:rsidRPr="00A76317" w:rsidRDefault="0093049B" w:rsidP="0093049B">
            <w:pPr>
              <w:spacing w:after="0" w:line="240" w:lineRule="auto"/>
              <w:jc w:val="center"/>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Projected Population: 2030</w:t>
            </w:r>
          </w:p>
        </w:tc>
        <w:tc>
          <w:tcPr>
            <w:tcW w:w="1873" w:type="dxa"/>
            <w:tcBorders>
              <w:top w:val="single" w:sz="4" w:space="0" w:color="auto"/>
              <w:left w:val="nil"/>
              <w:bottom w:val="single" w:sz="4" w:space="0" w:color="auto"/>
              <w:right w:val="single" w:sz="4" w:space="0" w:color="auto"/>
            </w:tcBorders>
            <w:shd w:val="clear" w:color="000000" w:fill="156082"/>
            <w:vAlign w:val="center"/>
            <w:hideMark/>
          </w:tcPr>
          <w:p w14:paraId="011E7B9F" w14:textId="324036C8" w:rsidR="0093049B" w:rsidRPr="00A76317" w:rsidRDefault="0093049B" w:rsidP="0093049B">
            <w:pPr>
              <w:spacing w:after="0" w:line="240" w:lineRule="auto"/>
              <w:jc w:val="center"/>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 xml:space="preserve">Projected Population: </w:t>
            </w:r>
            <w:r w:rsidR="008636EC" w:rsidRPr="00A76317">
              <w:rPr>
                <w:rFonts w:ascii="Aptos Narrow" w:eastAsia="Times New Roman" w:hAnsi="Aptos Narrow" w:cs="Times New Roman"/>
                <w:b/>
                <w:bCs/>
                <w:color w:val="FFFFFF"/>
                <w:sz w:val="24"/>
                <w:szCs w:val="24"/>
              </w:rPr>
              <w:t>2035</w:t>
            </w:r>
          </w:p>
        </w:tc>
        <w:tc>
          <w:tcPr>
            <w:tcW w:w="1873" w:type="dxa"/>
            <w:tcBorders>
              <w:top w:val="single" w:sz="4" w:space="0" w:color="auto"/>
              <w:left w:val="nil"/>
              <w:bottom w:val="single" w:sz="4" w:space="0" w:color="auto"/>
              <w:right w:val="single" w:sz="4" w:space="0" w:color="auto"/>
            </w:tcBorders>
            <w:shd w:val="clear" w:color="000000" w:fill="156082"/>
            <w:vAlign w:val="center"/>
            <w:hideMark/>
          </w:tcPr>
          <w:p w14:paraId="0979380A" w14:textId="77777777" w:rsidR="0093049B" w:rsidRPr="00A76317" w:rsidRDefault="0093049B" w:rsidP="0093049B">
            <w:pPr>
              <w:spacing w:after="0" w:line="240" w:lineRule="auto"/>
              <w:jc w:val="center"/>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Population Growth: 2030</w:t>
            </w:r>
          </w:p>
        </w:tc>
        <w:tc>
          <w:tcPr>
            <w:tcW w:w="1873" w:type="dxa"/>
            <w:tcBorders>
              <w:top w:val="single" w:sz="4" w:space="0" w:color="auto"/>
              <w:left w:val="nil"/>
              <w:bottom w:val="single" w:sz="4" w:space="0" w:color="auto"/>
              <w:right w:val="single" w:sz="4" w:space="0" w:color="auto"/>
            </w:tcBorders>
            <w:shd w:val="clear" w:color="000000" w:fill="156082"/>
            <w:vAlign w:val="center"/>
            <w:hideMark/>
          </w:tcPr>
          <w:p w14:paraId="0A6790BC" w14:textId="77777777" w:rsidR="0093049B" w:rsidRPr="00A76317" w:rsidRDefault="0093049B" w:rsidP="0093049B">
            <w:pPr>
              <w:spacing w:after="0" w:line="240" w:lineRule="auto"/>
              <w:jc w:val="center"/>
              <w:rPr>
                <w:rFonts w:ascii="Aptos Narrow" w:eastAsia="Times New Roman" w:hAnsi="Aptos Narrow" w:cs="Times New Roman"/>
                <w:b/>
                <w:bCs/>
                <w:color w:val="FFFFFF"/>
                <w:sz w:val="24"/>
                <w:szCs w:val="24"/>
              </w:rPr>
            </w:pPr>
            <w:r w:rsidRPr="00A76317">
              <w:rPr>
                <w:rFonts w:ascii="Aptos Narrow" w:eastAsia="Times New Roman" w:hAnsi="Aptos Narrow" w:cs="Times New Roman"/>
                <w:b/>
                <w:bCs/>
                <w:color w:val="FFFFFF"/>
                <w:sz w:val="24"/>
                <w:szCs w:val="24"/>
              </w:rPr>
              <w:t>Population Growth: 2035</w:t>
            </w:r>
          </w:p>
        </w:tc>
      </w:tr>
      <w:tr w:rsidR="0093049B" w:rsidRPr="00A76317" w14:paraId="5B7B9251" w14:textId="77777777" w:rsidTr="005B36E3">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1912B3CF" w14:textId="77777777" w:rsidR="0093049B" w:rsidRPr="00A76317" w:rsidRDefault="0093049B" w:rsidP="0093049B">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Attleboro</w:t>
            </w:r>
          </w:p>
        </w:tc>
        <w:tc>
          <w:tcPr>
            <w:tcW w:w="1873" w:type="dxa"/>
            <w:tcBorders>
              <w:top w:val="nil"/>
              <w:left w:val="nil"/>
              <w:bottom w:val="single" w:sz="4" w:space="0" w:color="auto"/>
              <w:right w:val="single" w:sz="4" w:space="0" w:color="auto"/>
            </w:tcBorders>
            <w:vAlign w:val="center"/>
            <w:hideMark/>
          </w:tcPr>
          <w:p w14:paraId="7D88D088"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11,763</w:t>
            </w:r>
          </w:p>
        </w:tc>
        <w:tc>
          <w:tcPr>
            <w:tcW w:w="1873" w:type="dxa"/>
            <w:tcBorders>
              <w:top w:val="nil"/>
              <w:left w:val="nil"/>
              <w:bottom w:val="single" w:sz="4" w:space="0" w:color="auto"/>
              <w:right w:val="single" w:sz="4" w:space="0" w:color="auto"/>
            </w:tcBorders>
            <w:vAlign w:val="center"/>
            <w:hideMark/>
          </w:tcPr>
          <w:p w14:paraId="04B4E46D"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12,931</w:t>
            </w:r>
          </w:p>
        </w:tc>
        <w:tc>
          <w:tcPr>
            <w:tcW w:w="1873" w:type="dxa"/>
            <w:tcBorders>
              <w:top w:val="nil"/>
              <w:left w:val="nil"/>
              <w:bottom w:val="single" w:sz="4" w:space="0" w:color="auto"/>
              <w:right w:val="single" w:sz="4" w:space="0" w:color="auto"/>
            </w:tcBorders>
            <w:vAlign w:val="center"/>
            <w:hideMark/>
          </w:tcPr>
          <w:p w14:paraId="2AABD62E"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13,345</w:t>
            </w:r>
          </w:p>
        </w:tc>
        <w:tc>
          <w:tcPr>
            <w:tcW w:w="1873" w:type="dxa"/>
            <w:tcBorders>
              <w:top w:val="nil"/>
              <w:left w:val="nil"/>
              <w:bottom w:val="single" w:sz="4" w:space="0" w:color="auto"/>
              <w:right w:val="single" w:sz="4" w:space="0" w:color="auto"/>
            </w:tcBorders>
            <w:vAlign w:val="center"/>
            <w:hideMark/>
          </w:tcPr>
          <w:p w14:paraId="1D447F79"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1,168</w:t>
            </w:r>
          </w:p>
        </w:tc>
        <w:tc>
          <w:tcPr>
            <w:tcW w:w="1873" w:type="dxa"/>
            <w:tcBorders>
              <w:top w:val="nil"/>
              <w:left w:val="nil"/>
              <w:bottom w:val="single" w:sz="4" w:space="0" w:color="auto"/>
              <w:right w:val="single" w:sz="4" w:space="0" w:color="auto"/>
            </w:tcBorders>
            <w:vAlign w:val="center"/>
            <w:hideMark/>
          </w:tcPr>
          <w:p w14:paraId="67DB19D9"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1,582</w:t>
            </w:r>
          </w:p>
        </w:tc>
      </w:tr>
      <w:tr w:rsidR="0093049B" w:rsidRPr="00A76317" w14:paraId="41D0E3EF" w14:textId="77777777" w:rsidTr="005B36E3">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2EA90A43" w14:textId="77777777" w:rsidR="0093049B" w:rsidRPr="00A76317" w:rsidRDefault="0093049B" w:rsidP="0093049B">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North Attleboro</w:t>
            </w:r>
          </w:p>
        </w:tc>
        <w:tc>
          <w:tcPr>
            <w:tcW w:w="1873" w:type="dxa"/>
            <w:tcBorders>
              <w:top w:val="nil"/>
              <w:left w:val="nil"/>
              <w:bottom w:val="single" w:sz="4" w:space="0" w:color="auto"/>
              <w:right w:val="single" w:sz="4" w:space="0" w:color="auto"/>
            </w:tcBorders>
            <w:vAlign w:val="center"/>
            <w:hideMark/>
          </w:tcPr>
          <w:p w14:paraId="25FB8834"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7,610</w:t>
            </w:r>
          </w:p>
        </w:tc>
        <w:tc>
          <w:tcPr>
            <w:tcW w:w="1873" w:type="dxa"/>
            <w:tcBorders>
              <w:top w:val="nil"/>
              <w:left w:val="nil"/>
              <w:bottom w:val="single" w:sz="4" w:space="0" w:color="auto"/>
              <w:right w:val="single" w:sz="4" w:space="0" w:color="auto"/>
            </w:tcBorders>
            <w:vAlign w:val="center"/>
            <w:hideMark/>
          </w:tcPr>
          <w:p w14:paraId="3DA500E4"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8,359</w:t>
            </w:r>
          </w:p>
        </w:tc>
        <w:tc>
          <w:tcPr>
            <w:tcW w:w="1873" w:type="dxa"/>
            <w:tcBorders>
              <w:top w:val="nil"/>
              <w:left w:val="nil"/>
              <w:bottom w:val="single" w:sz="4" w:space="0" w:color="auto"/>
              <w:right w:val="single" w:sz="4" w:space="0" w:color="auto"/>
            </w:tcBorders>
            <w:vAlign w:val="center"/>
            <w:hideMark/>
          </w:tcPr>
          <w:p w14:paraId="7E200809"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8,648</w:t>
            </w:r>
          </w:p>
        </w:tc>
        <w:tc>
          <w:tcPr>
            <w:tcW w:w="1873" w:type="dxa"/>
            <w:tcBorders>
              <w:top w:val="nil"/>
              <w:left w:val="nil"/>
              <w:bottom w:val="single" w:sz="4" w:space="0" w:color="auto"/>
              <w:right w:val="single" w:sz="4" w:space="0" w:color="auto"/>
            </w:tcBorders>
            <w:vAlign w:val="center"/>
            <w:hideMark/>
          </w:tcPr>
          <w:p w14:paraId="2DE13FFA"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749</w:t>
            </w:r>
          </w:p>
        </w:tc>
        <w:tc>
          <w:tcPr>
            <w:tcW w:w="1873" w:type="dxa"/>
            <w:tcBorders>
              <w:top w:val="nil"/>
              <w:left w:val="nil"/>
              <w:bottom w:val="single" w:sz="4" w:space="0" w:color="auto"/>
              <w:right w:val="single" w:sz="4" w:space="0" w:color="auto"/>
            </w:tcBorders>
            <w:vAlign w:val="center"/>
            <w:hideMark/>
          </w:tcPr>
          <w:p w14:paraId="3560134B"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1,038</w:t>
            </w:r>
          </w:p>
        </w:tc>
      </w:tr>
      <w:tr w:rsidR="0093049B" w:rsidRPr="00A76317" w14:paraId="7E6B613F" w14:textId="77777777" w:rsidTr="005B36E3">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05C530CD" w14:textId="77777777" w:rsidR="0093049B" w:rsidRPr="00A76317" w:rsidRDefault="0093049B" w:rsidP="0093049B">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Norton</w:t>
            </w:r>
          </w:p>
        </w:tc>
        <w:tc>
          <w:tcPr>
            <w:tcW w:w="1873" w:type="dxa"/>
            <w:tcBorders>
              <w:top w:val="nil"/>
              <w:left w:val="nil"/>
              <w:bottom w:val="single" w:sz="4" w:space="0" w:color="auto"/>
              <w:right w:val="single" w:sz="4" w:space="0" w:color="auto"/>
            </w:tcBorders>
            <w:vAlign w:val="center"/>
            <w:hideMark/>
          </w:tcPr>
          <w:p w14:paraId="78EDEE4D"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4,975</w:t>
            </w:r>
          </w:p>
        </w:tc>
        <w:tc>
          <w:tcPr>
            <w:tcW w:w="1873" w:type="dxa"/>
            <w:tcBorders>
              <w:top w:val="nil"/>
              <w:left w:val="nil"/>
              <w:bottom w:val="single" w:sz="4" w:space="0" w:color="auto"/>
              <w:right w:val="single" w:sz="4" w:space="0" w:color="auto"/>
            </w:tcBorders>
            <w:vAlign w:val="center"/>
            <w:hideMark/>
          </w:tcPr>
          <w:p w14:paraId="5ADC0B43"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5,305</w:t>
            </w:r>
          </w:p>
        </w:tc>
        <w:tc>
          <w:tcPr>
            <w:tcW w:w="1873" w:type="dxa"/>
            <w:tcBorders>
              <w:top w:val="nil"/>
              <w:left w:val="nil"/>
              <w:bottom w:val="single" w:sz="4" w:space="0" w:color="auto"/>
              <w:right w:val="single" w:sz="4" w:space="0" w:color="auto"/>
            </w:tcBorders>
            <w:vAlign w:val="center"/>
            <w:hideMark/>
          </w:tcPr>
          <w:p w14:paraId="46A8FCF4"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5,175</w:t>
            </w:r>
          </w:p>
        </w:tc>
        <w:tc>
          <w:tcPr>
            <w:tcW w:w="1873" w:type="dxa"/>
            <w:tcBorders>
              <w:top w:val="nil"/>
              <w:left w:val="nil"/>
              <w:bottom w:val="single" w:sz="4" w:space="0" w:color="auto"/>
              <w:right w:val="single" w:sz="4" w:space="0" w:color="auto"/>
            </w:tcBorders>
            <w:vAlign w:val="center"/>
            <w:hideMark/>
          </w:tcPr>
          <w:p w14:paraId="5BFD00E5"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330</w:t>
            </w:r>
          </w:p>
        </w:tc>
        <w:tc>
          <w:tcPr>
            <w:tcW w:w="1873" w:type="dxa"/>
            <w:tcBorders>
              <w:top w:val="nil"/>
              <w:left w:val="nil"/>
              <w:bottom w:val="single" w:sz="4" w:space="0" w:color="auto"/>
              <w:right w:val="single" w:sz="4" w:space="0" w:color="auto"/>
            </w:tcBorders>
            <w:vAlign w:val="center"/>
            <w:hideMark/>
          </w:tcPr>
          <w:p w14:paraId="14182C62"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200</w:t>
            </w:r>
          </w:p>
        </w:tc>
      </w:tr>
      <w:tr w:rsidR="0093049B" w:rsidRPr="00A76317" w14:paraId="68E3D717" w14:textId="77777777" w:rsidTr="005B36E3">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787EB02F" w14:textId="77777777" w:rsidR="0093049B" w:rsidRPr="00A76317" w:rsidRDefault="0093049B" w:rsidP="0093049B">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Rehoboth</w:t>
            </w:r>
          </w:p>
        </w:tc>
        <w:tc>
          <w:tcPr>
            <w:tcW w:w="1873" w:type="dxa"/>
            <w:tcBorders>
              <w:top w:val="nil"/>
              <w:left w:val="nil"/>
              <w:bottom w:val="single" w:sz="4" w:space="0" w:color="auto"/>
              <w:right w:val="single" w:sz="4" w:space="0" w:color="auto"/>
            </w:tcBorders>
            <w:vAlign w:val="center"/>
            <w:hideMark/>
          </w:tcPr>
          <w:p w14:paraId="2F39F67C"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3,693</w:t>
            </w:r>
          </w:p>
        </w:tc>
        <w:tc>
          <w:tcPr>
            <w:tcW w:w="1873" w:type="dxa"/>
            <w:tcBorders>
              <w:top w:val="nil"/>
              <w:left w:val="nil"/>
              <w:bottom w:val="single" w:sz="4" w:space="0" w:color="auto"/>
              <w:right w:val="single" w:sz="4" w:space="0" w:color="auto"/>
            </w:tcBorders>
            <w:vAlign w:val="center"/>
            <w:hideMark/>
          </w:tcPr>
          <w:p w14:paraId="5DB1ACD1"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3,906</w:t>
            </w:r>
          </w:p>
        </w:tc>
        <w:tc>
          <w:tcPr>
            <w:tcW w:w="1873" w:type="dxa"/>
            <w:tcBorders>
              <w:top w:val="nil"/>
              <w:left w:val="nil"/>
              <w:bottom w:val="single" w:sz="4" w:space="0" w:color="auto"/>
              <w:right w:val="single" w:sz="4" w:space="0" w:color="auto"/>
            </w:tcBorders>
            <w:vAlign w:val="center"/>
            <w:hideMark/>
          </w:tcPr>
          <w:p w14:paraId="043FA97E"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3,747</w:t>
            </w:r>
          </w:p>
        </w:tc>
        <w:tc>
          <w:tcPr>
            <w:tcW w:w="1873" w:type="dxa"/>
            <w:tcBorders>
              <w:top w:val="nil"/>
              <w:left w:val="nil"/>
              <w:bottom w:val="single" w:sz="4" w:space="0" w:color="auto"/>
              <w:right w:val="single" w:sz="4" w:space="0" w:color="auto"/>
            </w:tcBorders>
            <w:vAlign w:val="center"/>
            <w:hideMark/>
          </w:tcPr>
          <w:p w14:paraId="1955F8E7"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213</w:t>
            </w:r>
          </w:p>
        </w:tc>
        <w:tc>
          <w:tcPr>
            <w:tcW w:w="1873" w:type="dxa"/>
            <w:tcBorders>
              <w:top w:val="nil"/>
              <w:left w:val="nil"/>
              <w:bottom w:val="single" w:sz="4" w:space="0" w:color="auto"/>
              <w:right w:val="single" w:sz="4" w:space="0" w:color="auto"/>
            </w:tcBorders>
            <w:vAlign w:val="center"/>
            <w:hideMark/>
          </w:tcPr>
          <w:p w14:paraId="123A7D41"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54</w:t>
            </w:r>
          </w:p>
        </w:tc>
      </w:tr>
      <w:tr w:rsidR="0093049B" w:rsidRPr="00A76317" w14:paraId="44FB255E" w14:textId="77777777" w:rsidTr="005B36E3">
        <w:trPr>
          <w:cantSplit/>
          <w:trHeight w:val="290"/>
        </w:trPr>
        <w:tc>
          <w:tcPr>
            <w:tcW w:w="1710" w:type="dxa"/>
            <w:tcBorders>
              <w:top w:val="nil"/>
              <w:left w:val="single" w:sz="4" w:space="0" w:color="auto"/>
              <w:bottom w:val="single" w:sz="4" w:space="0" w:color="auto"/>
              <w:right w:val="single" w:sz="4" w:space="0" w:color="auto"/>
            </w:tcBorders>
            <w:vAlign w:val="center"/>
            <w:hideMark/>
          </w:tcPr>
          <w:p w14:paraId="07BF7B34" w14:textId="77777777" w:rsidR="0093049B" w:rsidRPr="00A76317" w:rsidRDefault="0093049B" w:rsidP="0093049B">
            <w:pPr>
              <w:spacing w:after="0" w:line="240" w:lineRule="auto"/>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Mansfield</w:t>
            </w:r>
          </w:p>
        </w:tc>
        <w:tc>
          <w:tcPr>
            <w:tcW w:w="1873" w:type="dxa"/>
            <w:tcBorders>
              <w:top w:val="nil"/>
              <w:left w:val="nil"/>
              <w:bottom w:val="single" w:sz="4" w:space="0" w:color="auto"/>
              <w:right w:val="single" w:sz="4" w:space="0" w:color="auto"/>
            </w:tcBorders>
            <w:noWrap/>
            <w:vAlign w:val="bottom"/>
            <w:hideMark/>
          </w:tcPr>
          <w:p w14:paraId="57E6384E"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5,586</w:t>
            </w:r>
          </w:p>
        </w:tc>
        <w:tc>
          <w:tcPr>
            <w:tcW w:w="1873" w:type="dxa"/>
            <w:tcBorders>
              <w:top w:val="nil"/>
              <w:left w:val="nil"/>
              <w:bottom w:val="single" w:sz="4" w:space="0" w:color="auto"/>
              <w:right w:val="single" w:sz="4" w:space="0" w:color="auto"/>
            </w:tcBorders>
            <w:noWrap/>
            <w:vAlign w:val="bottom"/>
            <w:hideMark/>
          </w:tcPr>
          <w:p w14:paraId="360AEDF1"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6,254</w:t>
            </w:r>
          </w:p>
        </w:tc>
        <w:tc>
          <w:tcPr>
            <w:tcW w:w="1873" w:type="dxa"/>
            <w:tcBorders>
              <w:top w:val="nil"/>
              <w:left w:val="nil"/>
              <w:bottom w:val="single" w:sz="4" w:space="0" w:color="auto"/>
              <w:right w:val="single" w:sz="4" w:space="0" w:color="auto"/>
            </w:tcBorders>
            <w:noWrap/>
            <w:vAlign w:val="bottom"/>
            <w:hideMark/>
          </w:tcPr>
          <w:p w14:paraId="5C56F5B7"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6,255</w:t>
            </w:r>
          </w:p>
        </w:tc>
        <w:tc>
          <w:tcPr>
            <w:tcW w:w="1873" w:type="dxa"/>
            <w:tcBorders>
              <w:top w:val="nil"/>
              <w:left w:val="nil"/>
              <w:bottom w:val="single" w:sz="4" w:space="0" w:color="auto"/>
              <w:right w:val="single" w:sz="4" w:space="0" w:color="auto"/>
            </w:tcBorders>
            <w:vAlign w:val="center"/>
            <w:hideMark/>
          </w:tcPr>
          <w:p w14:paraId="0F1D4C0B"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668</w:t>
            </w:r>
          </w:p>
        </w:tc>
        <w:tc>
          <w:tcPr>
            <w:tcW w:w="1873" w:type="dxa"/>
            <w:tcBorders>
              <w:top w:val="nil"/>
              <w:left w:val="nil"/>
              <w:bottom w:val="single" w:sz="4" w:space="0" w:color="auto"/>
              <w:right w:val="single" w:sz="4" w:space="0" w:color="auto"/>
            </w:tcBorders>
            <w:vAlign w:val="center"/>
            <w:hideMark/>
          </w:tcPr>
          <w:p w14:paraId="71FAFE50" w14:textId="77777777" w:rsidR="0093049B" w:rsidRPr="00A76317" w:rsidRDefault="0093049B" w:rsidP="0093049B">
            <w:pPr>
              <w:spacing w:after="0" w:line="240" w:lineRule="auto"/>
              <w:jc w:val="center"/>
              <w:rPr>
                <w:rFonts w:ascii="Aptos Narrow" w:eastAsia="Times New Roman" w:hAnsi="Aptos Narrow" w:cs="Times New Roman"/>
                <w:color w:val="000000"/>
                <w:sz w:val="24"/>
                <w:szCs w:val="24"/>
              </w:rPr>
            </w:pPr>
            <w:r w:rsidRPr="00A76317">
              <w:rPr>
                <w:rFonts w:ascii="Aptos Narrow" w:eastAsia="Times New Roman" w:hAnsi="Aptos Narrow" w:cs="Times New Roman"/>
                <w:color w:val="000000"/>
                <w:sz w:val="24"/>
                <w:szCs w:val="24"/>
              </w:rPr>
              <w:t>669</w:t>
            </w:r>
          </w:p>
        </w:tc>
      </w:tr>
      <w:tr w:rsidR="0093049B" w:rsidRPr="00A76317" w14:paraId="7EAEAC2E" w14:textId="77777777" w:rsidTr="005B36E3">
        <w:trPr>
          <w:cantSplit/>
          <w:trHeight w:val="290"/>
        </w:trPr>
        <w:tc>
          <w:tcPr>
            <w:tcW w:w="1710" w:type="dxa"/>
            <w:tcBorders>
              <w:top w:val="nil"/>
              <w:left w:val="single" w:sz="4" w:space="0" w:color="auto"/>
              <w:bottom w:val="single" w:sz="4" w:space="0" w:color="auto"/>
              <w:right w:val="single" w:sz="4" w:space="0" w:color="auto"/>
            </w:tcBorders>
            <w:shd w:val="clear" w:color="000000" w:fill="DAE9F8"/>
            <w:vAlign w:val="center"/>
            <w:hideMark/>
          </w:tcPr>
          <w:p w14:paraId="71D56CF9" w14:textId="77777777" w:rsidR="0093049B" w:rsidRPr="00A76317" w:rsidRDefault="0093049B" w:rsidP="0093049B">
            <w:pPr>
              <w:spacing w:after="0" w:line="240" w:lineRule="auto"/>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TOTAL</w:t>
            </w:r>
          </w:p>
        </w:tc>
        <w:tc>
          <w:tcPr>
            <w:tcW w:w="1873" w:type="dxa"/>
            <w:tcBorders>
              <w:top w:val="nil"/>
              <w:left w:val="nil"/>
              <w:bottom w:val="single" w:sz="4" w:space="0" w:color="auto"/>
              <w:right w:val="single" w:sz="4" w:space="0" w:color="auto"/>
            </w:tcBorders>
            <w:shd w:val="clear" w:color="000000" w:fill="DAE9F8"/>
            <w:noWrap/>
            <w:vAlign w:val="bottom"/>
            <w:hideMark/>
          </w:tcPr>
          <w:p w14:paraId="23C286E4" w14:textId="77777777" w:rsidR="0093049B" w:rsidRPr="00A76317" w:rsidRDefault="0093049B" w:rsidP="0093049B">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33,627</w:t>
            </w:r>
          </w:p>
        </w:tc>
        <w:tc>
          <w:tcPr>
            <w:tcW w:w="1873" w:type="dxa"/>
            <w:tcBorders>
              <w:top w:val="nil"/>
              <w:left w:val="nil"/>
              <w:bottom w:val="single" w:sz="4" w:space="0" w:color="auto"/>
              <w:right w:val="single" w:sz="4" w:space="0" w:color="auto"/>
            </w:tcBorders>
            <w:shd w:val="clear" w:color="000000" w:fill="DAE9F8"/>
            <w:noWrap/>
            <w:vAlign w:val="bottom"/>
            <w:hideMark/>
          </w:tcPr>
          <w:p w14:paraId="78BDAB2C" w14:textId="77777777" w:rsidR="0093049B" w:rsidRPr="00A76317" w:rsidRDefault="0093049B" w:rsidP="0093049B">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36,755</w:t>
            </w:r>
          </w:p>
        </w:tc>
        <w:tc>
          <w:tcPr>
            <w:tcW w:w="1873" w:type="dxa"/>
            <w:tcBorders>
              <w:top w:val="nil"/>
              <w:left w:val="nil"/>
              <w:bottom w:val="single" w:sz="4" w:space="0" w:color="auto"/>
              <w:right w:val="single" w:sz="4" w:space="0" w:color="auto"/>
            </w:tcBorders>
            <w:shd w:val="clear" w:color="000000" w:fill="DAE9F8"/>
            <w:noWrap/>
            <w:vAlign w:val="bottom"/>
            <w:hideMark/>
          </w:tcPr>
          <w:p w14:paraId="1F5CA8BA" w14:textId="77777777" w:rsidR="0093049B" w:rsidRPr="00A76317" w:rsidRDefault="0093049B" w:rsidP="0093049B">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37,170</w:t>
            </w:r>
          </w:p>
        </w:tc>
        <w:tc>
          <w:tcPr>
            <w:tcW w:w="1873" w:type="dxa"/>
            <w:tcBorders>
              <w:top w:val="nil"/>
              <w:left w:val="nil"/>
              <w:bottom w:val="single" w:sz="4" w:space="0" w:color="auto"/>
              <w:right w:val="single" w:sz="4" w:space="0" w:color="auto"/>
            </w:tcBorders>
            <w:shd w:val="clear" w:color="000000" w:fill="DAE9F8"/>
            <w:vAlign w:val="center"/>
            <w:hideMark/>
          </w:tcPr>
          <w:p w14:paraId="40C1B738" w14:textId="77777777" w:rsidR="0093049B" w:rsidRPr="00A76317" w:rsidRDefault="0093049B" w:rsidP="0093049B">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3,128</w:t>
            </w:r>
          </w:p>
        </w:tc>
        <w:tc>
          <w:tcPr>
            <w:tcW w:w="1873" w:type="dxa"/>
            <w:tcBorders>
              <w:top w:val="nil"/>
              <w:left w:val="nil"/>
              <w:bottom w:val="single" w:sz="4" w:space="0" w:color="auto"/>
              <w:right w:val="single" w:sz="4" w:space="0" w:color="auto"/>
            </w:tcBorders>
            <w:shd w:val="clear" w:color="000000" w:fill="DAE9F8"/>
            <w:vAlign w:val="center"/>
            <w:hideMark/>
          </w:tcPr>
          <w:p w14:paraId="629EBC67" w14:textId="77777777" w:rsidR="0093049B" w:rsidRPr="00A76317" w:rsidRDefault="0093049B" w:rsidP="0093049B">
            <w:pPr>
              <w:spacing w:after="0" w:line="240" w:lineRule="auto"/>
              <w:jc w:val="center"/>
              <w:rPr>
                <w:rFonts w:ascii="Aptos Narrow" w:eastAsia="Times New Roman" w:hAnsi="Aptos Narrow" w:cs="Times New Roman"/>
                <w:b/>
                <w:bCs/>
                <w:color w:val="000000"/>
                <w:sz w:val="24"/>
                <w:szCs w:val="24"/>
              </w:rPr>
            </w:pPr>
            <w:r w:rsidRPr="00A76317">
              <w:rPr>
                <w:rFonts w:ascii="Aptos Narrow" w:eastAsia="Times New Roman" w:hAnsi="Aptos Narrow" w:cs="Times New Roman"/>
                <w:b/>
                <w:bCs/>
                <w:color w:val="000000"/>
                <w:sz w:val="24"/>
                <w:szCs w:val="24"/>
              </w:rPr>
              <w:t>3,543</w:t>
            </w:r>
          </w:p>
        </w:tc>
      </w:tr>
    </w:tbl>
    <w:p w14:paraId="725B9869" w14:textId="77777777" w:rsidR="00AC49A1" w:rsidRPr="00A76317" w:rsidRDefault="00AC49A1" w:rsidP="0093049B">
      <w:pPr>
        <w:spacing w:after="120" w:line="240" w:lineRule="auto"/>
        <w:rPr>
          <w:rFonts w:ascii="Aptos" w:hAnsi="Aptos" w:cstheme="minorHAnsi"/>
          <w:b/>
          <w:bCs/>
          <w:sz w:val="24"/>
          <w:szCs w:val="24"/>
        </w:rPr>
      </w:pPr>
    </w:p>
    <w:p w14:paraId="4B3E766B" w14:textId="7B5C4490" w:rsidR="00291644" w:rsidRPr="00A76317" w:rsidRDefault="00291644" w:rsidP="00077948">
      <w:pPr>
        <w:pStyle w:val="Heading2"/>
        <w:rPr>
          <w:sz w:val="24"/>
          <w:szCs w:val="24"/>
        </w:rPr>
      </w:pPr>
      <w:r w:rsidRPr="00A76317">
        <w:rPr>
          <w:sz w:val="24"/>
          <w:szCs w:val="24"/>
        </w:rPr>
        <w:t>Explain the reason for the 155</w:t>
      </w:r>
      <w:r w:rsidR="00580AC3">
        <w:rPr>
          <w:sz w:val="24"/>
          <w:szCs w:val="24"/>
        </w:rPr>
        <w:t xml:space="preserve"> percent</w:t>
      </w:r>
      <w:r w:rsidRPr="00A76317">
        <w:rPr>
          <w:sz w:val="24"/>
          <w:szCs w:val="24"/>
        </w:rPr>
        <w:t xml:space="preserve"> increase in Adult/Joint replacement from FY22 to FY25</w:t>
      </w:r>
      <w:r w:rsidR="00CD4F49" w:rsidRPr="00A76317">
        <w:rPr>
          <w:sz w:val="24"/>
          <w:szCs w:val="24"/>
        </w:rPr>
        <w:t xml:space="preserve"> (pg.6, Narrative)</w:t>
      </w:r>
      <w:r w:rsidRPr="00A76317">
        <w:rPr>
          <w:sz w:val="24"/>
          <w:szCs w:val="24"/>
        </w:rPr>
        <w:t xml:space="preserve">. </w:t>
      </w:r>
    </w:p>
    <w:p w14:paraId="57B32695" w14:textId="22A5FE17" w:rsidR="00BB63B8" w:rsidRPr="00A76317" w:rsidRDefault="00BB63B8" w:rsidP="0093049B">
      <w:pPr>
        <w:pStyle w:val="ListParagraph"/>
        <w:spacing w:after="120"/>
        <w:contextualSpacing w:val="0"/>
        <w:rPr>
          <w:rFonts w:cstheme="minorHAnsi"/>
          <w:b/>
          <w:bCs/>
          <w:sz w:val="24"/>
          <w:szCs w:val="24"/>
        </w:rPr>
      </w:pPr>
      <w:r w:rsidRPr="00A76317">
        <w:rPr>
          <w:rFonts w:cstheme="minorHAnsi"/>
          <w:b/>
          <w:bCs/>
          <w:sz w:val="24"/>
          <w:szCs w:val="24"/>
        </w:rPr>
        <w:t>Two additional physicians performed joint replacements at Sturdy in FY25 that were not operating at Sturdy in FY22.</w:t>
      </w:r>
    </w:p>
    <w:p w14:paraId="3737165D" w14:textId="648258E4" w:rsidR="0004760C" w:rsidRPr="00A76317" w:rsidRDefault="0004760C" w:rsidP="00077948">
      <w:pPr>
        <w:pStyle w:val="Heading2"/>
        <w:rPr>
          <w:sz w:val="24"/>
          <w:szCs w:val="24"/>
        </w:rPr>
      </w:pPr>
      <w:r w:rsidRPr="00A76317">
        <w:rPr>
          <w:sz w:val="24"/>
          <w:szCs w:val="24"/>
        </w:rPr>
        <w:t>The application states that Stu</w:t>
      </w:r>
      <w:r w:rsidR="008636EC" w:rsidRPr="00A76317">
        <w:rPr>
          <w:sz w:val="24"/>
          <w:szCs w:val="24"/>
        </w:rPr>
        <w:t>r</w:t>
      </w:r>
      <w:r w:rsidRPr="00A76317">
        <w:rPr>
          <w:sz w:val="24"/>
          <w:szCs w:val="24"/>
        </w:rPr>
        <w:t xml:space="preserve">dy Memorial Hospital has six licensed ORs, and a seventh which is available only for emergent cases. </w:t>
      </w:r>
    </w:p>
    <w:p w14:paraId="47D99497" w14:textId="5A00BE89" w:rsidR="00084D76" w:rsidRPr="00A76317" w:rsidRDefault="00084D76" w:rsidP="0093049B">
      <w:pPr>
        <w:pStyle w:val="ListParagraph"/>
        <w:numPr>
          <w:ilvl w:val="1"/>
          <w:numId w:val="37"/>
        </w:numPr>
        <w:spacing w:after="120" w:line="240" w:lineRule="auto"/>
        <w:contextualSpacing w:val="0"/>
        <w:rPr>
          <w:rFonts w:ascii="Aptos" w:hAnsi="Aptos" w:cstheme="minorHAnsi"/>
          <w:sz w:val="24"/>
          <w:szCs w:val="24"/>
        </w:rPr>
      </w:pPr>
      <w:r w:rsidRPr="00A76317">
        <w:rPr>
          <w:rFonts w:ascii="Aptos" w:hAnsi="Aptos" w:cstheme="minorHAnsi"/>
          <w:sz w:val="24"/>
          <w:szCs w:val="24"/>
        </w:rPr>
        <w:t>Are these HOPD-designated operating rooms?</w:t>
      </w:r>
    </w:p>
    <w:p w14:paraId="1EF6AD5F" w14:textId="3760BF30" w:rsidR="00291644" w:rsidRPr="00A76317" w:rsidRDefault="006F7453" w:rsidP="0093049B">
      <w:pPr>
        <w:pStyle w:val="ListParagraph"/>
        <w:spacing w:after="120" w:line="240" w:lineRule="auto"/>
        <w:ind w:left="1440"/>
        <w:contextualSpacing w:val="0"/>
        <w:rPr>
          <w:rFonts w:ascii="Aptos" w:hAnsi="Aptos" w:cstheme="minorHAnsi"/>
          <w:b/>
          <w:bCs/>
          <w:sz w:val="24"/>
          <w:szCs w:val="24"/>
        </w:rPr>
      </w:pPr>
      <w:r w:rsidRPr="00A76317">
        <w:rPr>
          <w:rFonts w:ascii="Aptos" w:hAnsi="Aptos" w:cstheme="minorHAnsi"/>
          <w:b/>
          <w:bCs/>
          <w:sz w:val="24"/>
          <w:szCs w:val="24"/>
        </w:rPr>
        <w:t xml:space="preserve">Yes, </w:t>
      </w:r>
      <w:r w:rsidR="005F3263" w:rsidRPr="00A76317">
        <w:rPr>
          <w:rFonts w:ascii="Aptos" w:hAnsi="Aptos" w:cstheme="minorHAnsi"/>
          <w:b/>
          <w:bCs/>
          <w:sz w:val="24"/>
          <w:szCs w:val="24"/>
        </w:rPr>
        <w:t>all operating rooms at the hospital are licensed to the hospital.</w:t>
      </w:r>
      <w:r w:rsidRPr="00A76317">
        <w:rPr>
          <w:rFonts w:ascii="Aptos" w:hAnsi="Aptos" w:cstheme="minorHAnsi"/>
          <w:b/>
          <w:bCs/>
          <w:sz w:val="24"/>
          <w:szCs w:val="24"/>
        </w:rPr>
        <w:t xml:space="preserve"> </w:t>
      </w:r>
    </w:p>
    <w:p w14:paraId="3C4A19A2" w14:textId="350D4FDD" w:rsidR="00332060" w:rsidRPr="00A76317" w:rsidRDefault="00BC0A97" w:rsidP="0093049B">
      <w:pPr>
        <w:spacing w:after="120" w:line="240" w:lineRule="auto"/>
        <w:rPr>
          <w:rFonts w:ascii="Aptos" w:hAnsi="Aptos" w:cstheme="minorHAnsi"/>
          <w:sz w:val="24"/>
          <w:szCs w:val="24"/>
        </w:rPr>
      </w:pPr>
      <w:r w:rsidRPr="00A76317">
        <w:rPr>
          <w:rFonts w:ascii="Aptos" w:hAnsi="Aptos" w:cstheme="minorHAnsi"/>
          <w:b/>
          <w:bCs/>
          <w:sz w:val="24"/>
          <w:szCs w:val="24"/>
        </w:rPr>
        <w:t>F</w:t>
      </w:r>
      <w:r w:rsidR="00332060" w:rsidRPr="00A76317">
        <w:rPr>
          <w:rFonts w:ascii="Aptos" w:hAnsi="Aptos" w:cstheme="minorHAnsi"/>
          <w:b/>
          <w:bCs/>
          <w:sz w:val="24"/>
          <w:szCs w:val="24"/>
        </w:rPr>
        <w:t xml:space="preserve">actor 1b: Public Health Value </w:t>
      </w:r>
    </w:p>
    <w:p w14:paraId="5FA54A40" w14:textId="02F6B6A4" w:rsidR="00A6204F" w:rsidRPr="00A76317" w:rsidRDefault="00A6204F" w:rsidP="009F03FA">
      <w:pPr>
        <w:pStyle w:val="Heading2"/>
        <w:rPr>
          <w:b/>
          <w:bCs/>
          <w:sz w:val="24"/>
          <w:szCs w:val="24"/>
        </w:rPr>
      </w:pPr>
      <w:r w:rsidRPr="00A76317">
        <w:rPr>
          <w:sz w:val="24"/>
          <w:szCs w:val="24"/>
        </w:rPr>
        <w:t>Explain the eligibility criteria for the Applicant’s financial assistance policy</w:t>
      </w:r>
      <w:r w:rsidR="002862E3" w:rsidRPr="00A76317">
        <w:rPr>
          <w:sz w:val="24"/>
          <w:szCs w:val="24"/>
        </w:rPr>
        <w:t xml:space="preserve"> </w:t>
      </w:r>
      <w:r w:rsidRPr="00A76317">
        <w:rPr>
          <w:sz w:val="24"/>
          <w:szCs w:val="24"/>
        </w:rPr>
        <w:t xml:space="preserve">(pg.17, Narrative). </w:t>
      </w:r>
    </w:p>
    <w:p w14:paraId="73304FF2" w14:textId="00F68AA6" w:rsidR="006F7453" w:rsidRPr="00A76317" w:rsidRDefault="006F7453" w:rsidP="0093049B">
      <w:pPr>
        <w:pStyle w:val="ListParagraph"/>
        <w:spacing w:after="120"/>
        <w:contextualSpacing w:val="0"/>
        <w:rPr>
          <w:rFonts w:ascii="Aptos" w:hAnsi="Aptos" w:cstheme="minorHAnsi"/>
          <w:b/>
          <w:bCs/>
          <w:sz w:val="24"/>
          <w:szCs w:val="24"/>
        </w:rPr>
      </w:pPr>
      <w:r w:rsidRPr="00A76317">
        <w:rPr>
          <w:rFonts w:ascii="Aptos" w:hAnsi="Aptos" w:cstheme="minorHAnsi"/>
          <w:b/>
          <w:bCs/>
          <w:sz w:val="24"/>
          <w:szCs w:val="24"/>
        </w:rPr>
        <w:t xml:space="preserve">The ASC will maintain a financial assistance policy to help patients without insurance access medically necessary care. </w:t>
      </w:r>
      <w:r w:rsidR="005F3263" w:rsidRPr="00A76317">
        <w:rPr>
          <w:rFonts w:ascii="Aptos" w:hAnsi="Aptos" w:cstheme="minorHAnsi"/>
          <w:b/>
          <w:bCs/>
          <w:sz w:val="24"/>
          <w:szCs w:val="24"/>
        </w:rPr>
        <w:t>The Applicant</w:t>
      </w:r>
      <w:r w:rsidRPr="00A76317">
        <w:rPr>
          <w:rFonts w:ascii="Aptos" w:hAnsi="Aptos" w:cstheme="minorHAnsi"/>
          <w:b/>
          <w:bCs/>
          <w:sz w:val="24"/>
          <w:szCs w:val="24"/>
        </w:rPr>
        <w:t xml:space="preserve"> will consider all applications that demonstrate a financial hardship for patients to be provided free or discounted care based on the following </w:t>
      </w:r>
      <w:r w:rsidR="005F3263" w:rsidRPr="00A76317">
        <w:rPr>
          <w:rFonts w:ascii="Aptos" w:hAnsi="Aptos" w:cstheme="minorHAnsi"/>
          <w:b/>
          <w:bCs/>
          <w:sz w:val="24"/>
          <w:szCs w:val="24"/>
        </w:rPr>
        <w:t>criteria</w:t>
      </w:r>
      <w:r w:rsidRPr="00A76317">
        <w:rPr>
          <w:rFonts w:ascii="Aptos" w:hAnsi="Aptos" w:cstheme="minorHAnsi"/>
          <w:b/>
          <w:bCs/>
          <w:sz w:val="24"/>
          <w:szCs w:val="24"/>
        </w:rPr>
        <w:t>:</w:t>
      </w:r>
    </w:p>
    <w:p w14:paraId="1F77FDA3" w14:textId="49692C50" w:rsidR="006F7453" w:rsidRPr="00A76317" w:rsidRDefault="006F7453" w:rsidP="0093049B">
      <w:pPr>
        <w:pStyle w:val="ListParagraph"/>
        <w:numPr>
          <w:ilvl w:val="0"/>
          <w:numId w:val="39"/>
        </w:numPr>
        <w:spacing w:after="120"/>
        <w:contextualSpacing w:val="0"/>
        <w:jc w:val="both"/>
        <w:rPr>
          <w:rFonts w:ascii="Aptos" w:hAnsi="Aptos" w:cstheme="minorHAnsi"/>
          <w:b/>
          <w:bCs/>
          <w:sz w:val="24"/>
          <w:szCs w:val="24"/>
        </w:rPr>
      </w:pPr>
      <w:r w:rsidRPr="00A76317">
        <w:rPr>
          <w:rFonts w:ascii="Aptos" w:hAnsi="Aptos" w:cstheme="minorHAnsi"/>
          <w:b/>
          <w:bCs/>
          <w:sz w:val="24"/>
          <w:szCs w:val="24"/>
        </w:rPr>
        <w:t>Full financial assistance is provided to patients whose family income falls within 0</w:t>
      </w:r>
      <w:r w:rsidR="00092604">
        <w:rPr>
          <w:rFonts w:ascii="Aptos" w:hAnsi="Aptos" w:cstheme="minorHAnsi"/>
          <w:b/>
          <w:bCs/>
          <w:sz w:val="24"/>
          <w:szCs w:val="24"/>
        </w:rPr>
        <w:t xml:space="preserve"> percent</w:t>
      </w:r>
      <w:r w:rsidRPr="00A76317">
        <w:rPr>
          <w:rFonts w:ascii="Aptos" w:hAnsi="Aptos" w:cstheme="minorHAnsi"/>
          <w:b/>
          <w:bCs/>
          <w:sz w:val="24"/>
          <w:szCs w:val="24"/>
        </w:rPr>
        <w:t xml:space="preserve"> to 200</w:t>
      </w:r>
      <w:r w:rsidR="00092604">
        <w:rPr>
          <w:rFonts w:ascii="Aptos" w:hAnsi="Aptos" w:cstheme="minorHAnsi"/>
          <w:b/>
          <w:bCs/>
          <w:sz w:val="24"/>
          <w:szCs w:val="24"/>
        </w:rPr>
        <w:t xml:space="preserve"> percent</w:t>
      </w:r>
      <w:r w:rsidRPr="00A76317">
        <w:rPr>
          <w:rFonts w:ascii="Aptos" w:hAnsi="Aptos" w:cstheme="minorHAnsi"/>
          <w:b/>
          <w:bCs/>
          <w:sz w:val="24"/>
          <w:szCs w:val="24"/>
        </w:rPr>
        <w:t xml:space="preserve"> of Federal Poverty Guidelines.</w:t>
      </w:r>
    </w:p>
    <w:p w14:paraId="65AF66E9" w14:textId="3D3F9AF0" w:rsidR="00A6204F" w:rsidRPr="00A76317" w:rsidRDefault="006F7453" w:rsidP="00456930">
      <w:pPr>
        <w:pStyle w:val="ListParagraph"/>
        <w:numPr>
          <w:ilvl w:val="0"/>
          <w:numId w:val="39"/>
        </w:numPr>
        <w:spacing w:after="120"/>
        <w:contextualSpacing w:val="0"/>
        <w:jc w:val="both"/>
        <w:rPr>
          <w:rFonts w:ascii="Aptos" w:hAnsi="Aptos" w:cstheme="minorHAnsi"/>
          <w:b/>
          <w:bCs/>
          <w:sz w:val="24"/>
          <w:szCs w:val="24"/>
        </w:rPr>
      </w:pPr>
      <w:r w:rsidRPr="00A76317">
        <w:rPr>
          <w:rFonts w:ascii="Aptos" w:hAnsi="Aptos" w:cstheme="minorHAnsi"/>
          <w:b/>
          <w:bCs/>
          <w:sz w:val="24"/>
          <w:szCs w:val="24"/>
        </w:rPr>
        <w:t xml:space="preserve">Partial financial assistance is provided to patients whose family income </w:t>
      </w:r>
      <w:proofErr w:type="gramStart"/>
      <w:r w:rsidRPr="00A76317">
        <w:rPr>
          <w:rFonts w:ascii="Aptos" w:hAnsi="Aptos" w:cstheme="minorHAnsi"/>
          <w:b/>
          <w:bCs/>
          <w:sz w:val="24"/>
          <w:szCs w:val="24"/>
        </w:rPr>
        <w:t>falls</w:t>
      </w:r>
      <w:proofErr w:type="gramEnd"/>
      <w:r w:rsidRPr="00A76317">
        <w:rPr>
          <w:rFonts w:ascii="Aptos" w:hAnsi="Aptos" w:cstheme="minorHAnsi"/>
          <w:b/>
          <w:bCs/>
          <w:sz w:val="24"/>
          <w:szCs w:val="24"/>
        </w:rPr>
        <w:t xml:space="preserve"> within 201</w:t>
      </w:r>
      <w:r w:rsidR="00092604">
        <w:rPr>
          <w:rFonts w:ascii="Aptos" w:hAnsi="Aptos" w:cstheme="minorHAnsi"/>
          <w:b/>
          <w:bCs/>
          <w:sz w:val="24"/>
          <w:szCs w:val="24"/>
        </w:rPr>
        <w:t xml:space="preserve"> percent</w:t>
      </w:r>
      <w:r w:rsidRPr="00A76317">
        <w:rPr>
          <w:rFonts w:ascii="Aptos" w:hAnsi="Aptos" w:cstheme="minorHAnsi"/>
          <w:b/>
          <w:bCs/>
          <w:sz w:val="24"/>
          <w:szCs w:val="24"/>
        </w:rPr>
        <w:t>-300</w:t>
      </w:r>
      <w:r w:rsidR="00092604">
        <w:rPr>
          <w:rFonts w:ascii="Aptos" w:hAnsi="Aptos" w:cstheme="minorHAnsi"/>
          <w:b/>
          <w:bCs/>
          <w:sz w:val="24"/>
          <w:szCs w:val="24"/>
        </w:rPr>
        <w:t xml:space="preserve"> percent</w:t>
      </w:r>
      <w:r w:rsidRPr="00A76317">
        <w:rPr>
          <w:rFonts w:ascii="Aptos" w:hAnsi="Aptos" w:cstheme="minorHAnsi"/>
          <w:b/>
          <w:bCs/>
          <w:sz w:val="24"/>
          <w:szCs w:val="24"/>
        </w:rPr>
        <w:t>.  For patients within this income range, Sturdy Health – University Orthopedics Center for Orthopedic Surgery will use 50</w:t>
      </w:r>
      <w:r w:rsidR="00092604">
        <w:rPr>
          <w:rFonts w:ascii="Aptos" w:hAnsi="Aptos" w:cstheme="minorHAnsi"/>
          <w:b/>
          <w:bCs/>
          <w:sz w:val="24"/>
          <w:szCs w:val="24"/>
        </w:rPr>
        <w:t xml:space="preserve"> percent</w:t>
      </w:r>
      <w:r w:rsidRPr="00A76317">
        <w:rPr>
          <w:rFonts w:ascii="Aptos" w:hAnsi="Aptos" w:cstheme="minorHAnsi"/>
          <w:b/>
          <w:bCs/>
          <w:sz w:val="24"/>
          <w:szCs w:val="24"/>
        </w:rPr>
        <w:t xml:space="preserve"> of the Medicare fee schedule.</w:t>
      </w:r>
    </w:p>
    <w:p w14:paraId="1B66A33C" w14:textId="77777777" w:rsidR="00044E5B" w:rsidRPr="00A76317" w:rsidRDefault="00044E5B" w:rsidP="0093049B">
      <w:pPr>
        <w:spacing w:after="120" w:line="240" w:lineRule="auto"/>
        <w:rPr>
          <w:rFonts w:ascii="Aptos" w:hAnsi="Aptos" w:cstheme="minorHAnsi"/>
          <w:b/>
          <w:bCs/>
          <w:sz w:val="24"/>
          <w:szCs w:val="24"/>
        </w:rPr>
      </w:pPr>
    </w:p>
    <w:p w14:paraId="53D9BA7F" w14:textId="0E6F42DB" w:rsidR="00332060" w:rsidRPr="00A76317" w:rsidRDefault="00332060" w:rsidP="0093049B">
      <w:pPr>
        <w:spacing w:after="120" w:line="240" w:lineRule="auto"/>
        <w:rPr>
          <w:rFonts w:ascii="Aptos" w:hAnsi="Aptos" w:cstheme="minorHAnsi"/>
          <w:b/>
          <w:bCs/>
          <w:sz w:val="24"/>
          <w:szCs w:val="24"/>
        </w:rPr>
      </w:pPr>
      <w:r w:rsidRPr="00A76317">
        <w:rPr>
          <w:rFonts w:ascii="Aptos" w:hAnsi="Aptos" w:cstheme="minorHAnsi"/>
          <w:b/>
          <w:bCs/>
          <w:sz w:val="24"/>
          <w:szCs w:val="24"/>
        </w:rPr>
        <w:t>Factor 1e: Community Engagement</w:t>
      </w:r>
    </w:p>
    <w:p w14:paraId="09A615CB" w14:textId="408FA862" w:rsidR="00E80DAE" w:rsidRPr="00A76317" w:rsidRDefault="00CD6C3F" w:rsidP="009F03FA">
      <w:pPr>
        <w:pStyle w:val="Heading2"/>
        <w:rPr>
          <w:b/>
          <w:bCs/>
          <w:sz w:val="24"/>
          <w:szCs w:val="24"/>
        </w:rPr>
      </w:pPr>
      <w:r w:rsidRPr="00A76317">
        <w:rPr>
          <w:sz w:val="24"/>
          <w:szCs w:val="24"/>
        </w:rPr>
        <w:t xml:space="preserve">How many attendees were at the </w:t>
      </w:r>
      <w:r w:rsidR="003B170B" w:rsidRPr="003B170B">
        <w:rPr>
          <w:sz w:val="24"/>
          <w:szCs w:val="24"/>
        </w:rPr>
        <w:t>Patient and Family Advisory Council</w:t>
      </w:r>
      <w:r w:rsidR="003B170B">
        <w:rPr>
          <w:sz w:val="24"/>
          <w:szCs w:val="24"/>
        </w:rPr>
        <w:t xml:space="preserve"> (</w:t>
      </w:r>
      <w:r w:rsidRPr="00A76317">
        <w:rPr>
          <w:sz w:val="24"/>
          <w:szCs w:val="24"/>
        </w:rPr>
        <w:t>PFAC</w:t>
      </w:r>
      <w:r w:rsidR="003B170B">
        <w:rPr>
          <w:sz w:val="24"/>
          <w:szCs w:val="24"/>
        </w:rPr>
        <w:t>)</w:t>
      </w:r>
      <w:r w:rsidRPr="00A76317">
        <w:rPr>
          <w:sz w:val="24"/>
          <w:szCs w:val="24"/>
        </w:rPr>
        <w:t xml:space="preserve"> meeting and the community event?</w:t>
      </w:r>
    </w:p>
    <w:p w14:paraId="1D0050C2" w14:textId="33E8B1F3" w:rsidR="00D1689C" w:rsidRPr="00A76317" w:rsidRDefault="005F3263" w:rsidP="005F3263">
      <w:pPr>
        <w:pStyle w:val="ListParagraph"/>
        <w:spacing w:after="120" w:line="240" w:lineRule="auto"/>
        <w:contextualSpacing w:val="0"/>
        <w:jc w:val="both"/>
        <w:rPr>
          <w:rFonts w:ascii="Aptos" w:hAnsi="Aptos" w:cstheme="minorHAnsi"/>
          <w:b/>
          <w:bCs/>
          <w:sz w:val="24"/>
          <w:szCs w:val="24"/>
        </w:rPr>
      </w:pPr>
      <w:r w:rsidRPr="00A76317">
        <w:rPr>
          <w:rFonts w:ascii="Aptos" w:hAnsi="Aptos" w:cstheme="minorHAnsi"/>
          <w:b/>
          <w:bCs/>
          <w:sz w:val="24"/>
          <w:szCs w:val="24"/>
        </w:rPr>
        <w:lastRenderedPageBreak/>
        <w:t xml:space="preserve">Twelve </w:t>
      </w:r>
      <w:r w:rsidR="00BB332F" w:rsidRPr="00A76317">
        <w:rPr>
          <w:rFonts w:ascii="Aptos" w:hAnsi="Aptos" w:cstheme="minorHAnsi"/>
          <w:b/>
          <w:bCs/>
          <w:sz w:val="24"/>
          <w:szCs w:val="24"/>
        </w:rPr>
        <w:t>people attended the PFAC meeting</w:t>
      </w:r>
      <w:r w:rsidR="00BB63B8" w:rsidRPr="00A76317">
        <w:rPr>
          <w:rFonts w:ascii="Aptos" w:hAnsi="Aptos" w:cstheme="minorHAnsi"/>
          <w:b/>
          <w:bCs/>
          <w:sz w:val="24"/>
          <w:szCs w:val="24"/>
        </w:rPr>
        <w:t xml:space="preserve"> and five individuals attended the community event on March 24, 2026. </w:t>
      </w:r>
    </w:p>
    <w:p w14:paraId="5EA81D85" w14:textId="01A217E4" w:rsidR="00513919" w:rsidRPr="00A76317" w:rsidRDefault="00E80DAE" w:rsidP="0093049B">
      <w:pPr>
        <w:spacing w:after="120" w:line="240" w:lineRule="auto"/>
        <w:rPr>
          <w:rFonts w:ascii="Aptos" w:hAnsi="Aptos" w:cstheme="minorHAnsi"/>
          <w:b/>
          <w:bCs/>
          <w:sz w:val="24"/>
          <w:szCs w:val="24"/>
        </w:rPr>
      </w:pPr>
      <w:r w:rsidRPr="00A76317">
        <w:rPr>
          <w:rFonts w:ascii="Aptos" w:hAnsi="Aptos" w:cstheme="minorHAnsi"/>
          <w:b/>
          <w:bCs/>
          <w:sz w:val="24"/>
          <w:szCs w:val="24"/>
        </w:rPr>
        <w:t xml:space="preserve">Factor 2: Delivery System Transformation </w:t>
      </w:r>
    </w:p>
    <w:p w14:paraId="048DE5F2" w14:textId="01D340C5" w:rsidR="003975D4" w:rsidRPr="00A76317" w:rsidRDefault="00F728C7" w:rsidP="009F03FA">
      <w:pPr>
        <w:pStyle w:val="Heading2"/>
        <w:rPr>
          <w:sz w:val="24"/>
          <w:szCs w:val="24"/>
        </w:rPr>
      </w:pPr>
      <w:r w:rsidRPr="00A76317">
        <w:rPr>
          <w:sz w:val="24"/>
          <w:szCs w:val="24"/>
        </w:rPr>
        <w:t xml:space="preserve">Does the proposed ASC have a plan to conduct </w:t>
      </w:r>
      <w:r w:rsidR="006715CD" w:rsidRPr="006715CD">
        <w:rPr>
          <w:sz w:val="24"/>
          <w:szCs w:val="24"/>
        </w:rPr>
        <w:t>Social Determinants of Health</w:t>
      </w:r>
      <w:r w:rsidR="006715CD">
        <w:rPr>
          <w:sz w:val="24"/>
          <w:szCs w:val="24"/>
        </w:rPr>
        <w:t xml:space="preserve"> (</w:t>
      </w:r>
      <w:proofErr w:type="spellStart"/>
      <w:r w:rsidRPr="00A76317">
        <w:rPr>
          <w:sz w:val="24"/>
          <w:szCs w:val="24"/>
        </w:rPr>
        <w:t>SDoH</w:t>
      </w:r>
      <w:proofErr w:type="spellEnd"/>
      <w:r w:rsidR="006715CD">
        <w:rPr>
          <w:sz w:val="24"/>
          <w:szCs w:val="24"/>
        </w:rPr>
        <w:t>)</w:t>
      </w:r>
      <w:r w:rsidRPr="00A76317">
        <w:rPr>
          <w:sz w:val="24"/>
          <w:szCs w:val="24"/>
        </w:rPr>
        <w:t xml:space="preserve"> Screenings on site </w:t>
      </w:r>
      <w:proofErr w:type="gramStart"/>
      <w:r w:rsidRPr="00A76317">
        <w:rPr>
          <w:sz w:val="24"/>
          <w:szCs w:val="24"/>
        </w:rPr>
        <w:t>in order to</w:t>
      </w:r>
      <w:proofErr w:type="gramEnd"/>
      <w:r w:rsidRPr="00A76317">
        <w:rPr>
          <w:sz w:val="24"/>
          <w:szCs w:val="24"/>
        </w:rPr>
        <w:t xml:space="preserve"> connect the</w:t>
      </w:r>
      <w:r w:rsidR="009F03FA" w:rsidRPr="00A76317">
        <w:rPr>
          <w:sz w:val="24"/>
          <w:szCs w:val="24"/>
        </w:rPr>
        <w:t xml:space="preserve"> </w:t>
      </w:r>
      <w:r w:rsidRPr="00A76317">
        <w:rPr>
          <w:sz w:val="24"/>
          <w:szCs w:val="24"/>
        </w:rPr>
        <w:t>medical services it provides with social support</w:t>
      </w:r>
      <w:r w:rsidR="00D1689C" w:rsidRPr="00A76317">
        <w:rPr>
          <w:sz w:val="24"/>
          <w:szCs w:val="24"/>
        </w:rPr>
        <w:t>?</w:t>
      </w:r>
    </w:p>
    <w:p w14:paraId="15CC1854" w14:textId="1FBD0461" w:rsidR="003975D4" w:rsidRPr="00A76317" w:rsidRDefault="003975D4" w:rsidP="0093049B">
      <w:pPr>
        <w:pStyle w:val="ListParagraph"/>
        <w:spacing w:after="120" w:line="240" w:lineRule="auto"/>
        <w:contextualSpacing w:val="0"/>
        <w:rPr>
          <w:rFonts w:ascii="Aptos" w:hAnsi="Aptos" w:cstheme="minorHAnsi"/>
          <w:sz w:val="24"/>
          <w:szCs w:val="24"/>
        </w:rPr>
      </w:pPr>
      <w:r w:rsidRPr="00A76317">
        <w:rPr>
          <w:rFonts w:ascii="Aptos" w:hAnsi="Aptos" w:cstheme="minorHAnsi"/>
          <w:sz w:val="24"/>
          <w:szCs w:val="24"/>
        </w:rPr>
        <w:t>If so, explain the proposed ASCs processes for screening patients for SDoH needs, including domains screened for, and referrals for positive screens.</w:t>
      </w:r>
    </w:p>
    <w:p w14:paraId="01151085" w14:textId="6EF3D7DF" w:rsidR="00F62963" w:rsidRPr="00A76317" w:rsidRDefault="00F62963" w:rsidP="00044E5B">
      <w:pPr>
        <w:spacing w:after="120" w:line="240" w:lineRule="auto"/>
        <w:ind w:left="720"/>
        <w:jc w:val="both"/>
        <w:rPr>
          <w:rFonts w:ascii="Aptos" w:hAnsi="Aptos" w:cstheme="minorHAnsi"/>
          <w:b/>
          <w:bCs/>
          <w:sz w:val="24"/>
          <w:szCs w:val="24"/>
        </w:rPr>
      </w:pPr>
      <w:r w:rsidRPr="00A76317">
        <w:rPr>
          <w:rFonts w:ascii="Aptos" w:hAnsi="Aptos" w:cstheme="minorHAnsi"/>
          <w:b/>
          <w:bCs/>
          <w:sz w:val="24"/>
          <w:szCs w:val="24"/>
        </w:rPr>
        <w:t xml:space="preserve">No, the proposed ASC does not plan to conduct </w:t>
      </w:r>
      <w:r w:rsidR="00044E5B" w:rsidRPr="00A76317">
        <w:rPr>
          <w:rFonts w:ascii="Aptos" w:hAnsi="Aptos" w:cstheme="minorHAnsi"/>
          <w:b/>
          <w:bCs/>
          <w:sz w:val="24"/>
          <w:szCs w:val="24"/>
        </w:rPr>
        <w:t xml:space="preserve">full </w:t>
      </w:r>
      <w:proofErr w:type="spellStart"/>
      <w:r w:rsidRPr="00A76317">
        <w:rPr>
          <w:rFonts w:ascii="Aptos" w:hAnsi="Aptos" w:cstheme="minorHAnsi"/>
          <w:b/>
          <w:bCs/>
          <w:sz w:val="24"/>
          <w:szCs w:val="24"/>
        </w:rPr>
        <w:t>SDoH</w:t>
      </w:r>
      <w:proofErr w:type="spellEnd"/>
      <w:r w:rsidRPr="00A76317">
        <w:rPr>
          <w:rFonts w:ascii="Aptos" w:hAnsi="Aptos" w:cstheme="minorHAnsi"/>
          <w:b/>
          <w:bCs/>
          <w:sz w:val="24"/>
          <w:szCs w:val="24"/>
        </w:rPr>
        <w:t xml:space="preserve"> Screenings on-site.</w:t>
      </w:r>
      <w:r w:rsidR="00044E5B" w:rsidRPr="00A76317">
        <w:rPr>
          <w:rFonts w:ascii="Aptos" w:hAnsi="Aptos" w:cstheme="minorHAnsi"/>
          <w:b/>
          <w:bCs/>
          <w:sz w:val="24"/>
          <w:szCs w:val="24"/>
        </w:rPr>
        <w:t xml:space="preserve"> However, the ASC will document positive screens in the patient’s </w:t>
      </w:r>
      <w:r w:rsidR="00D05073">
        <w:rPr>
          <w:rFonts w:ascii="Aptos" w:hAnsi="Aptos" w:cstheme="minorHAnsi"/>
          <w:b/>
          <w:bCs/>
          <w:sz w:val="24"/>
          <w:szCs w:val="24"/>
        </w:rPr>
        <w:t>electronic medical record (</w:t>
      </w:r>
      <w:r w:rsidR="00044E5B" w:rsidRPr="00A76317">
        <w:rPr>
          <w:rFonts w:ascii="Aptos" w:hAnsi="Aptos" w:cstheme="minorHAnsi"/>
          <w:b/>
          <w:bCs/>
          <w:sz w:val="24"/>
          <w:szCs w:val="24"/>
        </w:rPr>
        <w:t>EMR</w:t>
      </w:r>
      <w:r w:rsidR="00D05073">
        <w:rPr>
          <w:rFonts w:ascii="Aptos" w:hAnsi="Aptos" w:cstheme="minorHAnsi"/>
          <w:b/>
          <w:bCs/>
          <w:sz w:val="24"/>
          <w:szCs w:val="24"/>
        </w:rPr>
        <w:t>)</w:t>
      </w:r>
      <w:r w:rsidR="00044E5B" w:rsidRPr="00A76317">
        <w:rPr>
          <w:rFonts w:ascii="Aptos" w:hAnsi="Aptos" w:cstheme="minorHAnsi"/>
          <w:b/>
          <w:bCs/>
          <w:sz w:val="24"/>
          <w:szCs w:val="24"/>
        </w:rPr>
        <w:t xml:space="preserve"> and communicate the need for follow-up with the patient’s primary care team. </w:t>
      </w:r>
    </w:p>
    <w:p w14:paraId="5302ABD9" w14:textId="0D2063E0" w:rsidR="00332060" w:rsidRPr="00A76317" w:rsidRDefault="00332060" w:rsidP="0093049B">
      <w:pPr>
        <w:spacing w:after="120" w:line="240" w:lineRule="auto"/>
        <w:rPr>
          <w:rFonts w:ascii="Aptos" w:hAnsi="Aptos"/>
          <w:b/>
          <w:bCs/>
          <w:sz w:val="24"/>
          <w:szCs w:val="24"/>
        </w:rPr>
      </w:pPr>
      <w:r w:rsidRPr="00A76317">
        <w:rPr>
          <w:rFonts w:ascii="Aptos" w:hAnsi="Aptos"/>
          <w:b/>
          <w:bCs/>
          <w:sz w:val="24"/>
          <w:szCs w:val="24"/>
        </w:rPr>
        <w:t xml:space="preserve"> </w:t>
      </w:r>
      <w:r w:rsidR="00926826" w:rsidRPr="00A76317">
        <w:rPr>
          <w:rFonts w:ascii="Aptos" w:hAnsi="Aptos"/>
          <w:b/>
          <w:bCs/>
          <w:sz w:val="24"/>
          <w:szCs w:val="24"/>
        </w:rPr>
        <w:t>Factor 5: Relative Merit</w:t>
      </w:r>
    </w:p>
    <w:p w14:paraId="5C941AF4" w14:textId="6812C4A6" w:rsidR="009B79E7" w:rsidRPr="00A76317" w:rsidRDefault="009B79E7" w:rsidP="009F03FA">
      <w:pPr>
        <w:pStyle w:val="Heading2"/>
        <w:rPr>
          <w:sz w:val="24"/>
          <w:szCs w:val="24"/>
        </w:rPr>
      </w:pPr>
      <w:r w:rsidRPr="00A76317">
        <w:rPr>
          <w:sz w:val="24"/>
          <w:szCs w:val="24"/>
        </w:rPr>
        <w:t>Was Sturdy operating at proposed site on its own considered?</w:t>
      </w:r>
    </w:p>
    <w:p w14:paraId="19FBDE28" w14:textId="7CC647AE" w:rsidR="00884DD0" w:rsidRPr="00A76317" w:rsidRDefault="00884DD0" w:rsidP="0093049B">
      <w:pPr>
        <w:pStyle w:val="ListParagraph"/>
        <w:spacing w:after="120" w:line="240" w:lineRule="auto"/>
        <w:contextualSpacing w:val="0"/>
        <w:jc w:val="both"/>
        <w:rPr>
          <w:rFonts w:ascii="Aptos" w:hAnsi="Aptos" w:cstheme="minorHAnsi"/>
          <w:b/>
          <w:bCs/>
          <w:sz w:val="24"/>
          <w:szCs w:val="24"/>
        </w:rPr>
      </w:pPr>
      <w:r w:rsidRPr="00A76317">
        <w:rPr>
          <w:rFonts w:ascii="Aptos" w:hAnsi="Aptos" w:cstheme="minorHAnsi"/>
          <w:b/>
          <w:bCs/>
          <w:sz w:val="24"/>
          <w:szCs w:val="24"/>
        </w:rPr>
        <w:t xml:space="preserve">No, Sturdy did not consider operating at the proposed site on its own because </w:t>
      </w:r>
      <w:r w:rsidR="005F3263" w:rsidRPr="00A76317">
        <w:rPr>
          <w:rFonts w:ascii="Aptos" w:hAnsi="Aptos" w:cstheme="minorHAnsi"/>
          <w:b/>
          <w:bCs/>
          <w:sz w:val="24"/>
          <w:szCs w:val="24"/>
        </w:rPr>
        <w:t xml:space="preserve">University physicians care for this population in the service area </w:t>
      </w:r>
      <w:r w:rsidR="00BC59FD" w:rsidRPr="00A76317">
        <w:rPr>
          <w:rFonts w:ascii="Aptos" w:hAnsi="Aptos" w:cstheme="minorHAnsi"/>
          <w:b/>
          <w:bCs/>
          <w:sz w:val="24"/>
          <w:szCs w:val="24"/>
        </w:rPr>
        <w:t>and</w:t>
      </w:r>
      <w:r w:rsidRPr="00A76317">
        <w:rPr>
          <w:rFonts w:ascii="Aptos" w:hAnsi="Aptos" w:cstheme="minorHAnsi"/>
          <w:b/>
          <w:bCs/>
          <w:sz w:val="24"/>
          <w:szCs w:val="24"/>
        </w:rPr>
        <w:t xml:space="preserve"> University </w:t>
      </w:r>
      <w:r w:rsidR="00712F7E" w:rsidRPr="00A76317">
        <w:rPr>
          <w:rFonts w:ascii="Aptos" w:hAnsi="Aptos" w:cstheme="minorHAnsi"/>
          <w:b/>
          <w:bCs/>
          <w:sz w:val="24"/>
          <w:szCs w:val="24"/>
        </w:rPr>
        <w:t>has</w:t>
      </w:r>
      <w:r w:rsidR="00BC59FD" w:rsidRPr="00A76317">
        <w:rPr>
          <w:rFonts w:ascii="Aptos" w:hAnsi="Aptos" w:cstheme="minorHAnsi"/>
          <w:b/>
          <w:bCs/>
          <w:sz w:val="24"/>
          <w:szCs w:val="24"/>
        </w:rPr>
        <w:t xml:space="preserve"> expertise</w:t>
      </w:r>
      <w:r w:rsidRPr="00A76317">
        <w:rPr>
          <w:rFonts w:ascii="Aptos" w:hAnsi="Aptos" w:cstheme="minorHAnsi"/>
          <w:b/>
          <w:bCs/>
          <w:sz w:val="24"/>
          <w:szCs w:val="24"/>
        </w:rPr>
        <w:t xml:space="preserve"> operating ambulatory surgical centers. </w:t>
      </w:r>
      <w:r w:rsidR="00712F7E" w:rsidRPr="00A76317">
        <w:rPr>
          <w:rFonts w:ascii="Aptos" w:hAnsi="Aptos" w:cstheme="minorHAnsi"/>
          <w:b/>
          <w:bCs/>
          <w:sz w:val="24"/>
          <w:szCs w:val="24"/>
        </w:rPr>
        <w:t xml:space="preserve">The proposed ASC will be jointly owned by the parties and managed by </w:t>
      </w:r>
      <w:proofErr w:type="gramStart"/>
      <w:r w:rsidR="00712F7E" w:rsidRPr="00A76317">
        <w:rPr>
          <w:rFonts w:ascii="Aptos" w:hAnsi="Aptos" w:cstheme="minorHAnsi"/>
          <w:b/>
          <w:bCs/>
          <w:sz w:val="24"/>
          <w:szCs w:val="24"/>
        </w:rPr>
        <w:t>University</w:t>
      </w:r>
      <w:proofErr w:type="gramEnd"/>
      <w:r w:rsidR="00712F7E" w:rsidRPr="00A76317">
        <w:rPr>
          <w:rFonts w:ascii="Aptos" w:hAnsi="Aptos" w:cstheme="minorHAnsi"/>
          <w:b/>
          <w:bCs/>
          <w:sz w:val="24"/>
          <w:szCs w:val="24"/>
        </w:rPr>
        <w:t xml:space="preserve">. This arrangement ensures high-quality care will be provided by both Sturdy and University surgeons, while also being managed by an operator with current experience specific to orthopedic surgery. </w:t>
      </w:r>
    </w:p>
    <w:p w14:paraId="6626DCA9" w14:textId="2A3197F9" w:rsidR="00926826" w:rsidRPr="00A76317" w:rsidRDefault="00912B45" w:rsidP="009F03FA">
      <w:pPr>
        <w:pStyle w:val="Heading2"/>
        <w:rPr>
          <w:sz w:val="24"/>
          <w:szCs w:val="24"/>
        </w:rPr>
      </w:pPr>
      <w:r w:rsidRPr="00A76317">
        <w:rPr>
          <w:sz w:val="24"/>
          <w:szCs w:val="24"/>
        </w:rPr>
        <w:t>Given Attleboro is the top location for Sturdy outpatient orthopedic patients, why did the Applicant decide to locate the proposed ASC in Mansfield?</w:t>
      </w:r>
    </w:p>
    <w:p w14:paraId="4E5C3DF2" w14:textId="5985134D" w:rsidR="00BB63B8" w:rsidRPr="00A76317" w:rsidRDefault="00044E5B" w:rsidP="00456930">
      <w:pPr>
        <w:pStyle w:val="ListParagraph"/>
        <w:spacing w:after="120"/>
        <w:contextualSpacing w:val="0"/>
        <w:jc w:val="both"/>
        <w:rPr>
          <w:rFonts w:ascii="Aptos" w:hAnsi="Aptos" w:cstheme="minorHAnsi"/>
          <w:b/>
          <w:bCs/>
          <w:sz w:val="24"/>
          <w:szCs w:val="24"/>
        </w:rPr>
      </w:pPr>
      <w:r w:rsidRPr="00A76317">
        <w:rPr>
          <w:rFonts w:ascii="Aptos" w:hAnsi="Aptos" w:cstheme="minorHAnsi"/>
          <w:b/>
          <w:bCs/>
          <w:sz w:val="24"/>
          <w:szCs w:val="24"/>
        </w:rPr>
        <w:t xml:space="preserve">Mansfield is within Sturdy’s primary service </w:t>
      </w:r>
      <w:proofErr w:type="gramStart"/>
      <w:r w:rsidRPr="00A76317">
        <w:rPr>
          <w:rFonts w:ascii="Aptos" w:hAnsi="Aptos" w:cstheme="minorHAnsi"/>
          <w:b/>
          <w:bCs/>
          <w:sz w:val="24"/>
          <w:szCs w:val="24"/>
        </w:rPr>
        <w:t>area</w:t>
      </w:r>
      <w:proofErr w:type="gramEnd"/>
      <w:r w:rsidRPr="00A76317">
        <w:rPr>
          <w:rFonts w:ascii="Aptos" w:hAnsi="Aptos" w:cstheme="minorHAnsi"/>
          <w:b/>
          <w:bCs/>
          <w:sz w:val="24"/>
          <w:szCs w:val="24"/>
        </w:rPr>
        <w:t xml:space="preserve"> and this </w:t>
      </w:r>
      <w:proofErr w:type="gramStart"/>
      <w:r w:rsidRPr="00A76317">
        <w:rPr>
          <w:rFonts w:ascii="Aptos" w:hAnsi="Aptos" w:cstheme="minorHAnsi"/>
          <w:b/>
          <w:bCs/>
          <w:sz w:val="24"/>
          <w:szCs w:val="24"/>
        </w:rPr>
        <w:t>particular</w:t>
      </w:r>
      <w:r w:rsidR="00BB63B8" w:rsidRPr="00A76317">
        <w:rPr>
          <w:rFonts w:ascii="Aptos" w:hAnsi="Aptos" w:cstheme="minorHAnsi"/>
          <w:b/>
          <w:bCs/>
          <w:sz w:val="24"/>
          <w:szCs w:val="24"/>
        </w:rPr>
        <w:t xml:space="preserve"> location</w:t>
      </w:r>
      <w:proofErr w:type="gramEnd"/>
      <w:r w:rsidR="00BB63B8" w:rsidRPr="00A76317">
        <w:rPr>
          <w:rFonts w:ascii="Aptos" w:hAnsi="Aptos" w:cstheme="minorHAnsi"/>
          <w:b/>
          <w:bCs/>
          <w:sz w:val="24"/>
          <w:szCs w:val="24"/>
        </w:rPr>
        <w:t xml:space="preserve"> </w:t>
      </w:r>
      <w:r w:rsidR="00BC59FD" w:rsidRPr="00A76317">
        <w:rPr>
          <w:rFonts w:ascii="Aptos" w:hAnsi="Aptos" w:cstheme="minorHAnsi"/>
          <w:b/>
          <w:bCs/>
          <w:sz w:val="24"/>
          <w:szCs w:val="24"/>
        </w:rPr>
        <w:t xml:space="preserve">is </w:t>
      </w:r>
      <w:proofErr w:type="gramStart"/>
      <w:r w:rsidR="00BC59FD" w:rsidRPr="00A76317">
        <w:rPr>
          <w:rFonts w:ascii="Aptos" w:hAnsi="Aptos" w:cstheme="minorHAnsi"/>
          <w:b/>
          <w:bCs/>
          <w:sz w:val="24"/>
          <w:szCs w:val="24"/>
        </w:rPr>
        <w:t>in close</w:t>
      </w:r>
      <w:r w:rsidR="00BB63B8" w:rsidRPr="00A76317">
        <w:rPr>
          <w:rFonts w:ascii="Aptos" w:hAnsi="Aptos" w:cstheme="minorHAnsi"/>
          <w:b/>
          <w:bCs/>
          <w:sz w:val="24"/>
          <w:szCs w:val="24"/>
        </w:rPr>
        <w:t xml:space="preserve"> proximity to</w:t>
      </w:r>
      <w:proofErr w:type="gramEnd"/>
      <w:r w:rsidR="00BB63B8" w:rsidRPr="00A76317">
        <w:rPr>
          <w:rFonts w:ascii="Aptos" w:hAnsi="Aptos" w:cstheme="minorHAnsi"/>
          <w:b/>
          <w:bCs/>
          <w:sz w:val="24"/>
          <w:szCs w:val="24"/>
        </w:rPr>
        <w:t xml:space="preserve"> University’s existing physician clinic in Mansfield</w:t>
      </w:r>
      <w:r w:rsidR="00BC59FD" w:rsidRPr="00A76317">
        <w:rPr>
          <w:rFonts w:ascii="Aptos" w:hAnsi="Aptos" w:cstheme="minorHAnsi"/>
          <w:b/>
          <w:bCs/>
          <w:sz w:val="24"/>
          <w:szCs w:val="24"/>
        </w:rPr>
        <w:t xml:space="preserve"> where patients receive non-surgical care from the same providers</w:t>
      </w:r>
      <w:r w:rsidR="00BB63B8" w:rsidRPr="00A76317">
        <w:rPr>
          <w:rFonts w:ascii="Aptos" w:hAnsi="Aptos" w:cstheme="minorHAnsi"/>
          <w:b/>
          <w:bCs/>
          <w:sz w:val="24"/>
          <w:szCs w:val="24"/>
        </w:rPr>
        <w:t xml:space="preserve">. Additionally, the proposed site offers access to major highways. </w:t>
      </w:r>
      <w:r w:rsidR="00E25779" w:rsidRPr="00A76317">
        <w:rPr>
          <w:rFonts w:ascii="Aptos" w:hAnsi="Aptos" w:cstheme="minorHAnsi"/>
          <w:b/>
          <w:bCs/>
          <w:sz w:val="24"/>
          <w:szCs w:val="24"/>
        </w:rPr>
        <w:t>The Applicant determined that t</w:t>
      </w:r>
      <w:r w:rsidR="00BB63B8" w:rsidRPr="00A76317">
        <w:rPr>
          <w:rFonts w:ascii="Aptos" w:hAnsi="Aptos" w:cstheme="minorHAnsi"/>
          <w:b/>
          <w:bCs/>
          <w:sz w:val="24"/>
          <w:szCs w:val="24"/>
        </w:rPr>
        <w:t xml:space="preserve">he combination of proximity to University’s existing practice and </w:t>
      </w:r>
      <w:r w:rsidR="00E25779" w:rsidRPr="00A76317">
        <w:rPr>
          <w:rFonts w:ascii="Aptos" w:hAnsi="Aptos" w:cstheme="minorHAnsi"/>
          <w:b/>
          <w:bCs/>
          <w:sz w:val="24"/>
          <w:szCs w:val="24"/>
        </w:rPr>
        <w:t>highway access</w:t>
      </w:r>
      <w:r w:rsidR="00BB63B8" w:rsidRPr="00A76317">
        <w:rPr>
          <w:rFonts w:ascii="Aptos" w:hAnsi="Aptos" w:cstheme="minorHAnsi"/>
          <w:b/>
          <w:bCs/>
          <w:sz w:val="24"/>
          <w:szCs w:val="24"/>
        </w:rPr>
        <w:t xml:space="preserve"> outweighs the </w:t>
      </w:r>
      <w:r w:rsidR="00E25779" w:rsidRPr="00A76317">
        <w:rPr>
          <w:rFonts w:ascii="Aptos" w:hAnsi="Aptos" w:cstheme="minorHAnsi"/>
          <w:b/>
          <w:bCs/>
          <w:sz w:val="24"/>
          <w:szCs w:val="24"/>
        </w:rPr>
        <w:t xml:space="preserve">distance from Sturdy Hospital in Attleboro. </w:t>
      </w:r>
    </w:p>
    <w:sectPr w:rsidR="00BB63B8" w:rsidRPr="00A76317" w:rsidSect="00C04577">
      <w:headerReference w:type="even" r:id="rId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F1C6" w14:textId="77777777" w:rsidR="00C97200" w:rsidRDefault="00C97200" w:rsidP="00E45D1C">
      <w:pPr>
        <w:spacing w:after="0" w:line="240" w:lineRule="auto"/>
      </w:pPr>
      <w:r>
        <w:separator/>
      </w:r>
    </w:p>
  </w:endnote>
  <w:endnote w:type="continuationSeparator" w:id="0">
    <w:p w14:paraId="38F64B34" w14:textId="77777777" w:rsidR="00C97200" w:rsidRDefault="00C97200" w:rsidP="00E45D1C">
      <w:pPr>
        <w:spacing w:after="0" w:line="240" w:lineRule="auto"/>
      </w:pPr>
      <w:r>
        <w:continuationSeparator/>
      </w:r>
    </w:p>
  </w:endnote>
  <w:endnote w:type="continuationNotice" w:id="1">
    <w:p w14:paraId="01F79A31" w14:textId="77777777" w:rsidR="00C97200" w:rsidRDefault="00C97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53E0" w14:textId="77777777" w:rsidR="00C97200" w:rsidRDefault="00C97200" w:rsidP="00E45D1C">
      <w:pPr>
        <w:spacing w:after="0" w:line="240" w:lineRule="auto"/>
      </w:pPr>
      <w:r>
        <w:separator/>
      </w:r>
    </w:p>
  </w:footnote>
  <w:footnote w:type="continuationSeparator" w:id="0">
    <w:p w14:paraId="7EAA327B" w14:textId="77777777" w:rsidR="00C97200" w:rsidRDefault="00C97200" w:rsidP="00E45D1C">
      <w:pPr>
        <w:spacing w:after="0" w:line="240" w:lineRule="auto"/>
      </w:pPr>
      <w:r>
        <w:continuationSeparator/>
      </w:r>
    </w:p>
  </w:footnote>
  <w:footnote w:type="continuationNotice" w:id="1">
    <w:p w14:paraId="063FE7D2" w14:textId="77777777" w:rsidR="00C97200" w:rsidRDefault="00C97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B08B" w14:textId="2AA0DDA8" w:rsidR="00653CEC" w:rsidRDefault="00653CEC" w:rsidP="00B371F2">
    <w:pPr>
      <w:pStyle w:val="Header"/>
      <w:jc w:val="center"/>
      <w:rPr>
        <w:b/>
        <w:bCs/>
        <w:sz w:val="28"/>
        <w:szCs w:val="28"/>
      </w:rPr>
    </w:pPr>
    <w:r w:rsidRPr="00653CEC">
      <w:rPr>
        <w:b/>
        <w:bCs/>
        <w:sz w:val="28"/>
        <w:szCs w:val="28"/>
      </w:rPr>
      <w:t>Sturdy Health – University Orthopedics Center for Orthopedic Surgery, LLC</w:t>
    </w:r>
  </w:p>
  <w:p w14:paraId="4FD1865F" w14:textId="27638894" w:rsidR="005C0C50"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w:t>
    </w:r>
    <w:r w:rsidR="00653CEC" w:rsidRPr="00653CEC">
      <w:t xml:space="preserve"> </w:t>
    </w:r>
    <w:r w:rsidR="00653CEC" w:rsidRPr="00653CEC">
      <w:rPr>
        <w:b/>
        <w:bCs/>
        <w:sz w:val="28"/>
        <w:szCs w:val="28"/>
      </w:rPr>
      <w:t>SH/UO-26031815-AS</w:t>
    </w:r>
  </w:p>
  <w:p w14:paraId="6DCD44E5" w14:textId="77777777" w:rsidR="005F3263" w:rsidRPr="00092585" w:rsidRDefault="005F3263" w:rsidP="00B371F2">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11D01"/>
    <w:multiLevelType w:val="multilevel"/>
    <w:tmpl w:val="ECB22FA4"/>
    <w:lvl w:ilvl="0">
      <w:start w:val="1"/>
      <w:numFmt w:val="bullet"/>
      <w:lvlText w:val=""/>
      <w:lvlJc w:val="left"/>
      <w:pPr>
        <w:tabs>
          <w:tab w:val="num" w:pos="1980"/>
        </w:tabs>
        <w:ind w:left="1980" w:hanging="360"/>
      </w:pPr>
      <w:rPr>
        <w:rFonts w:ascii="Symbol" w:hAnsi="Symbol" w:hint="default"/>
        <w:sz w:val="20"/>
      </w:rPr>
    </w:lvl>
    <w:lvl w:ilvl="1">
      <w:start w:val="1"/>
      <w:numFmt w:val="bullet"/>
      <w:lvlText w:val=""/>
      <w:lvlJc w:val="left"/>
      <w:pPr>
        <w:tabs>
          <w:tab w:val="num" w:pos="2700"/>
        </w:tabs>
        <w:ind w:left="2700" w:hanging="360"/>
      </w:pPr>
      <w:rPr>
        <w:rFonts w:ascii="Symbol" w:hAnsi="Symbol" w:hint="default"/>
        <w:sz w:val="20"/>
      </w:rPr>
    </w:lvl>
    <w:lvl w:ilvl="2">
      <w:start w:val="1"/>
      <w:numFmt w:val="bullet"/>
      <w:lvlText w:val=""/>
      <w:lvlJc w:val="left"/>
      <w:pPr>
        <w:tabs>
          <w:tab w:val="num" w:pos="3420"/>
        </w:tabs>
        <w:ind w:left="3420" w:hanging="360"/>
      </w:pPr>
      <w:rPr>
        <w:rFonts w:ascii="Symbol" w:hAnsi="Symbol" w:hint="default"/>
        <w:sz w:val="20"/>
      </w:rPr>
    </w:lvl>
    <w:lvl w:ilvl="3">
      <w:start w:val="1"/>
      <w:numFmt w:val="bullet"/>
      <w:lvlText w:val=""/>
      <w:lvlJc w:val="left"/>
      <w:pPr>
        <w:tabs>
          <w:tab w:val="num" w:pos="4140"/>
        </w:tabs>
        <w:ind w:left="4140" w:hanging="360"/>
      </w:pPr>
      <w:rPr>
        <w:rFonts w:ascii="Symbol" w:hAnsi="Symbol" w:hint="default"/>
        <w:sz w:val="20"/>
      </w:rPr>
    </w:lvl>
    <w:lvl w:ilvl="4">
      <w:start w:val="1"/>
      <w:numFmt w:val="bullet"/>
      <w:lvlText w:val=""/>
      <w:lvlJc w:val="left"/>
      <w:pPr>
        <w:tabs>
          <w:tab w:val="num" w:pos="4860"/>
        </w:tabs>
        <w:ind w:left="4860" w:hanging="360"/>
      </w:pPr>
      <w:rPr>
        <w:rFonts w:ascii="Symbol" w:hAnsi="Symbol" w:hint="default"/>
        <w:sz w:val="20"/>
      </w:rPr>
    </w:lvl>
    <w:lvl w:ilvl="5">
      <w:start w:val="1"/>
      <w:numFmt w:val="bullet"/>
      <w:lvlText w:val=""/>
      <w:lvlJc w:val="left"/>
      <w:pPr>
        <w:tabs>
          <w:tab w:val="num" w:pos="5580"/>
        </w:tabs>
        <w:ind w:left="5580" w:hanging="360"/>
      </w:pPr>
      <w:rPr>
        <w:rFonts w:ascii="Symbol" w:hAnsi="Symbol" w:hint="default"/>
        <w:sz w:val="20"/>
      </w:rPr>
    </w:lvl>
    <w:lvl w:ilvl="6">
      <w:start w:val="1"/>
      <w:numFmt w:val="bullet"/>
      <w:lvlText w:val=""/>
      <w:lvlJc w:val="left"/>
      <w:pPr>
        <w:tabs>
          <w:tab w:val="num" w:pos="6300"/>
        </w:tabs>
        <w:ind w:left="6300" w:hanging="360"/>
      </w:pPr>
      <w:rPr>
        <w:rFonts w:ascii="Symbol" w:hAnsi="Symbol" w:hint="default"/>
        <w:sz w:val="20"/>
      </w:rPr>
    </w:lvl>
    <w:lvl w:ilvl="7">
      <w:start w:val="1"/>
      <w:numFmt w:val="bullet"/>
      <w:lvlText w:val=""/>
      <w:lvlJc w:val="left"/>
      <w:pPr>
        <w:tabs>
          <w:tab w:val="num" w:pos="7020"/>
        </w:tabs>
        <w:ind w:left="7020" w:hanging="360"/>
      </w:pPr>
      <w:rPr>
        <w:rFonts w:ascii="Symbol" w:hAnsi="Symbol" w:hint="default"/>
        <w:sz w:val="20"/>
      </w:rPr>
    </w:lvl>
    <w:lvl w:ilvl="8">
      <w:start w:val="1"/>
      <w:numFmt w:val="bullet"/>
      <w:lvlText w:val=""/>
      <w:lvlJc w:val="left"/>
      <w:pPr>
        <w:tabs>
          <w:tab w:val="num" w:pos="7740"/>
        </w:tabs>
        <w:ind w:left="7740" w:hanging="360"/>
      </w:pPr>
      <w:rPr>
        <w:rFonts w:ascii="Symbol" w:hAnsi="Symbol" w:hint="default"/>
        <w:sz w:val="20"/>
      </w:rPr>
    </w:lvl>
  </w:abstractNum>
  <w:abstractNum w:abstractNumId="3" w15:restartNumberingAfterBreak="0">
    <w:nsid w:val="1386210B"/>
    <w:multiLevelType w:val="hybridMultilevel"/>
    <w:tmpl w:val="9E8CEECA"/>
    <w:lvl w:ilvl="0" w:tplc="660445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427BD"/>
    <w:multiLevelType w:val="hybridMultilevel"/>
    <w:tmpl w:val="7780CA86"/>
    <w:lvl w:ilvl="0" w:tplc="F064B61A">
      <w:start w:val="2"/>
      <w:numFmt w:val="bullet"/>
      <w:lvlText w:val="-"/>
      <w:lvlJc w:val="left"/>
      <w:pPr>
        <w:ind w:left="1800" w:hanging="360"/>
      </w:pPr>
      <w:rPr>
        <w:rFonts w:ascii="Aptos" w:eastAsia="Times New Roman" w:hAnsi="Aptos" w:cs="Apto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67F0B"/>
    <w:multiLevelType w:val="hybridMultilevel"/>
    <w:tmpl w:val="DA381996"/>
    <w:lvl w:ilvl="0" w:tplc="FE6AED12">
      <w:start w:val="1"/>
      <w:numFmt w:val="decimal"/>
      <w:pStyle w:val="Heading2"/>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30"/>
  </w:num>
  <w:num w:numId="2" w16cid:durableId="449669609">
    <w:abstractNumId w:val="8"/>
  </w:num>
  <w:num w:numId="3" w16cid:durableId="1632975170">
    <w:abstractNumId w:val="28"/>
  </w:num>
  <w:num w:numId="4" w16cid:durableId="1183977095">
    <w:abstractNumId w:val="37"/>
  </w:num>
  <w:num w:numId="5" w16cid:durableId="1230916997">
    <w:abstractNumId w:val="31"/>
  </w:num>
  <w:num w:numId="6" w16cid:durableId="464589505">
    <w:abstractNumId w:val="34"/>
  </w:num>
  <w:num w:numId="7" w16cid:durableId="982151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6"/>
  </w:num>
  <w:num w:numId="9" w16cid:durableId="1477533355">
    <w:abstractNumId w:val="4"/>
  </w:num>
  <w:num w:numId="10" w16cid:durableId="1828202636">
    <w:abstractNumId w:val="16"/>
  </w:num>
  <w:num w:numId="11" w16cid:durableId="1769345806">
    <w:abstractNumId w:val="1"/>
  </w:num>
  <w:num w:numId="12" w16cid:durableId="1426415847">
    <w:abstractNumId w:val="27"/>
  </w:num>
  <w:num w:numId="13" w16cid:durableId="1549880134">
    <w:abstractNumId w:val="18"/>
  </w:num>
  <w:num w:numId="14" w16cid:durableId="2131704504">
    <w:abstractNumId w:val="22"/>
  </w:num>
  <w:num w:numId="15" w16cid:durableId="1853495620">
    <w:abstractNumId w:val="5"/>
  </w:num>
  <w:num w:numId="16" w16cid:durableId="941954089">
    <w:abstractNumId w:val="20"/>
  </w:num>
  <w:num w:numId="17" w16cid:durableId="1650279753">
    <w:abstractNumId w:val="13"/>
  </w:num>
  <w:num w:numId="18" w16cid:durableId="1988584985">
    <w:abstractNumId w:val="24"/>
  </w:num>
  <w:num w:numId="19" w16cid:durableId="535700289">
    <w:abstractNumId w:val="33"/>
  </w:num>
  <w:num w:numId="20" w16cid:durableId="461190725">
    <w:abstractNumId w:val="17"/>
  </w:num>
  <w:num w:numId="21" w16cid:durableId="1317417397">
    <w:abstractNumId w:val="7"/>
  </w:num>
  <w:num w:numId="22" w16cid:durableId="2038381733">
    <w:abstractNumId w:val="10"/>
  </w:num>
  <w:num w:numId="23" w16cid:durableId="1769961476">
    <w:abstractNumId w:val="7"/>
  </w:num>
  <w:num w:numId="24" w16cid:durableId="975526697">
    <w:abstractNumId w:val="14"/>
  </w:num>
  <w:num w:numId="25" w16cid:durableId="1724527157">
    <w:abstractNumId w:val="6"/>
  </w:num>
  <w:num w:numId="26" w16cid:durableId="1825075340">
    <w:abstractNumId w:val="9"/>
  </w:num>
  <w:num w:numId="27" w16cid:durableId="1062371025">
    <w:abstractNumId w:val="0"/>
  </w:num>
  <w:num w:numId="28" w16cid:durableId="319892756">
    <w:abstractNumId w:val="12"/>
  </w:num>
  <w:num w:numId="29" w16cid:durableId="1980500724">
    <w:abstractNumId w:val="32"/>
  </w:num>
  <w:num w:numId="30" w16cid:durableId="1571192574">
    <w:abstractNumId w:val="25"/>
  </w:num>
  <w:num w:numId="31" w16cid:durableId="186604058">
    <w:abstractNumId w:val="3"/>
  </w:num>
  <w:num w:numId="32" w16cid:durableId="1622417416">
    <w:abstractNumId w:val="11"/>
  </w:num>
  <w:num w:numId="33" w16cid:durableId="216406134">
    <w:abstractNumId w:val="29"/>
  </w:num>
  <w:num w:numId="34" w16cid:durableId="56174161">
    <w:abstractNumId w:val="15"/>
  </w:num>
  <w:num w:numId="35" w16cid:durableId="1548906486">
    <w:abstractNumId w:val="35"/>
  </w:num>
  <w:num w:numId="36" w16cid:durableId="1498185125">
    <w:abstractNumId w:val="21"/>
  </w:num>
  <w:num w:numId="37" w16cid:durableId="1102799956">
    <w:abstractNumId w:val="23"/>
  </w:num>
  <w:num w:numId="38" w16cid:durableId="156699788">
    <w:abstractNumId w:val="2"/>
  </w:num>
  <w:num w:numId="39" w16cid:durableId="1813210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5A4C"/>
    <w:rsid w:val="00006750"/>
    <w:rsid w:val="000115B7"/>
    <w:rsid w:val="00011E91"/>
    <w:rsid w:val="00012E84"/>
    <w:rsid w:val="00014363"/>
    <w:rsid w:val="00015AB6"/>
    <w:rsid w:val="0001602B"/>
    <w:rsid w:val="0001718E"/>
    <w:rsid w:val="000201A4"/>
    <w:rsid w:val="0002024E"/>
    <w:rsid w:val="000204BD"/>
    <w:rsid w:val="00020571"/>
    <w:rsid w:val="00020D8E"/>
    <w:rsid w:val="00021E16"/>
    <w:rsid w:val="0002247D"/>
    <w:rsid w:val="00023287"/>
    <w:rsid w:val="0002367C"/>
    <w:rsid w:val="000246A5"/>
    <w:rsid w:val="00025270"/>
    <w:rsid w:val="00025D1B"/>
    <w:rsid w:val="00026890"/>
    <w:rsid w:val="00026B02"/>
    <w:rsid w:val="000305E0"/>
    <w:rsid w:val="00030EF5"/>
    <w:rsid w:val="00033CB3"/>
    <w:rsid w:val="00034D04"/>
    <w:rsid w:val="00035AF5"/>
    <w:rsid w:val="000367CC"/>
    <w:rsid w:val="00037DBC"/>
    <w:rsid w:val="000401C6"/>
    <w:rsid w:val="00041BBB"/>
    <w:rsid w:val="00042007"/>
    <w:rsid w:val="0004417D"/>
    <w:rsid w:val="000441F8"/>
    <w:rsid w:val="00044E5B"/>
    <w:rsid w:val="000458B3"/>
    <w:rsid w:val="000466E9"/>
    <w:rsid w:val="00046CFA"/>
    <w:rsid w:val="000471D4"/>
    <w:rsid w:val="0004760C"/>
    <w:rsid w:val="00047E26"/>
    <w:rsid w:val="00047E6B"/>
    <w:rsid w:val="00050CF0"/>
    <w:rsid w:val="0005118D"/>
    <w:rsid w:val="0005322C"/>
    <w:rsid w:val="00055D9B"/>
    <w:rsid w:val="00057914"/>
    <w:rsid w:val="00057BAA"/>
    <w:rsid w:val="00062604"/>
    <w:rsid w:val="00062F8C"/>
    <w:rsid w:val="00062FC0"/>
    <w:rsid w:val="000631D6"/>
    <w:rsid w:val="00064CD2"/>
    <w:rsid w:val="00065A3D"/>
    <w:rsid w:val="00070036"/>
    <w:rsid w:val="000703C3"/>
    <w:rsid w:val="000713AA"/>
    <w:rsid w:val="00071A62"/>
    <w:rsid w:val="00071FC9"/>
    <w:rsid w:val="00074284"/>
    <w:rsid w:val="000747D7"/>
    <w:rsid w:val="000750FC"/>
    <w:rsid w:val="00075B8D"/>
    <w:rsid w:val="00077704"/>
    <w:rsid w:val="00077948"/>
    <w:rsid w:val="00080B4C"/>
    <w:rsid w:val="00080C65"/>
    <w:rsid w:val="000814DA"/>
    <w:rsid w:val="000819BE"/>
    <w:rsid w:val="00083BD7"/>
    <w:rsid w:val="00084492"/>
    <w:rsid w:val="00084D76"/>
    <w:rsid w:val="0008545A"/>
    <w:rsid w:val="00086FF9"/>
    <w:rsid w:val="00090684"/>
    <w:rsid w:val="00092585"/>
    <w:rsid w:val="00092604"/>
    <w:rsid w:val="00092E82"/>
    <w:rsid w:val="00093B92"/>
    <w:rsid w:val="00094963"/>
    <w:rsid w:val="00095A0E"/>
    <w:rsid w:val="00096556"/>
    <w:rsid w:val="000968DB"/>
    <w:rsid w:val="000A1FAF"/>
    <w:rsid w:val="000A33BD"/>
    <w:rsid w:val="000A3493"/>
    <w:rsid w:val="000A4B26"/>
    <w:rsid w:val="000A4C12"/>
    <w:rsid w:val="000A661B"/>
    <w:rsid w:val="000A6E13"/>
    <w:rsid w:val="000A7C7B"/>
    <w:rsid w:val="000B0A20"/>
    <w:rsid w:val="000B205E"/>
    <w:rsid w:val="000B322D"/>
    <w:rsid w:val="000B33AC"/>
    <w:rsid w:val="000B389F"/>
    <w:rsid w:val="000B4340"/>
    <w:rsid w:val="000B4433"/>
    <w:rsid w:val="000B49FE"/>
    <w:rsid w:val="000B4C1D"/>
    <w:rsid w:val="000B753F"/>
    <w:rsid w:val="000C0238"/>
    <w:rsid w:val="000C0FF4"/>
    <w:rsid w:val="000C3B64"/>
    <w:rsid w:val="000C4F63"/>
    <w:rsid w:val="000C5E2D"/>
    <w:rsid w:val="000C7403"/>
    <w:rsid w:val="000D3EC4"/>
    <w:rsid w:val="000D568B"/>
    <w:rsid w:val="000E1A2B"/>
    <w:rsid w:val="000E3F88"/>
    <w:rsid w:val="000E7B9E"/>
    <w:rsid w:val="000E7BB1"/>
    <w:rsid w:val="000F0F66"/>
    <w:rsid w:val="000F1308"/>
    <w:rsid w:val="000F3521"/>
    <w:rsid w:val="000F4352"/>
    <w:rsid w:val="000F76B5"/>
    <w:rsid w:val="00101D8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3798"/>
    <w:rsid w:val="00123AB6"/>
    <w:rsid w:val="00124E01"/>
    <w:rsid w:val="001275EE"/>
    <w:rsid w:val="00130034"/>
    <w:rsid w:val="00131E01"/>
    <w:rsid w:val="001321E8"/>
    <w:rsid w:val="0013338E"/>
    <w:rsid w:val="00133B63"/>
    <w:rsid w:val="001348C0"/>
    <w:rsid w:val="00137228"/>
    <w:rsid w:val="001418CE"/>
    <w:rsid w:val="00141F17"/>
    <w:rsid w:val="001439D9"/>
    <w:rsid w:val="00144AAB"/>
    <w:rsid w:val="0014570F"/>
    <w:rsid w:val="001470B4"/>
    <w:rsid w:val="00150334"/>
    <w:rsid w:val="001514FF"/>
    <w:rsid w:val="0015243C"/>
    <w:rsid w:val="001526EC"/>
    <w:rsid w:val="00152B76"/>
    <w:rsid w:val="001542DA"/>
    <w:rsid w:val="00154BA0"/>
    <w:rsid w:val="00154DFC"/>
    <w:rsid w:val="001561A4"/>
    <w:rsid w:val="00157D38"/>
    <w:rsid w:val="001603F3"/>
    <w:rsid w:val="00161633"/>
    <w:rsid w:val="001635BC"/>
    <w:rsid w:val="00163C19"/>
    <w:rsid w:val="00163F97"/>
    <w:rsid w:val="001649EA"/>
    <w:rsid w:val="00164C8A"/>
    <w:rsid w:val="0016653F"/>
    <w:rsid w:val="001665EA"/>
    <w:rsid w:val="00170092"/>
    <w:rsid w:val="00170BF0"/>
    <w:rsid w:val="00171E8F"/>
    <w:rsid w:val="00172258"/>
    <w:rsid w:val="00172BE4"/>
    <w:rsid w:val="00173202"/>
    <w:rsid w:val="001742F8"/>
    <w:rsid w:val="001745F4"/>
    <w:rsid w:val="00175714"/>
    <w:rsid w:val="00180F87"/>
    <w:rsid w:val="00183328"/>
    <w:rsid w:val="001840D3"/>
    <w:rsid w:val="0018422C"/>
    <w:rsid w:val="00185E42"/>
    <w:rsid w:val="00187159"/>
    <w:rsid w:val="001873ED"/>
    <w:rsid w:val="001912C7"/>
    <w:rsid w:val="00191BCD"/>
    <w:rsid w:val="00193038"/>
    <w:rsid w:val="00193B1B"/>
    <w:rsid w:val="0019409A"/>
    <w:rsid w:val="0019518B"/>
    <w:rsid w:val="0019751B"/>
    <w:rsid w:val="0019763E"/>
    <w:rsid w:val="001A0238"/>
    <w:rsid w:val="001A276B"/>
    <w:rsid w:val="001A32EA"/>
    <w:rsid w:val="001A338F"/>
    <w:rsid w:val="001A63CB"/>
    <w:rsid w:val="001A7FF2"/>
    <w:rsid w:val="001B1A6C"/>
    <w:rsid w:val="001B28D2"/>
    <w:rsid w:val="001B4571"/>
    <w:rsid w:val="001B4F20"/>
    <w:rsid w:val="001B524B"/>
    <w:rsid w:val="001C05B6"/>
    <w:rsid w:val="001C11A5"/>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798F"/>
    <w:rsid w:val="00200E76"/>
    <w:rsid w:val="0020210C"/>
    <w:rsid w:val="00202897"/>
    <w:rsid w:val="00203870"/>
    <w:rsid w:val="002043B1"/>
    <w:rsid w:val="002047A2"/>
    <w:rsid w:val="002059BD"/>
    <w:rsid w:val="002059E0"/>
    <w:rsid w:val="00207205"/>
    <w:rsid w:val="002076B6"/>
    <w:rsid w:val="00210EBE"/>
    <w:rsid w:val="0021156F"/>
    <w:rsid w:val="00215F63"/>
    <w:rsid w:val="00216515"/>
    <w:rsid w:val="002179EC"/>
    <w:rsid w:val="00220612"/>
    <w:rsid w:val="00220874"/>
    <w:rsid w:val="002215BB"/>
    <w:rsid w:val="00221DD3"/>
    <w:rsid w:val="0022235A"/>
    <w:rsid w:val="00223EB1"/>
    <w:rsid w:val="0022759C"/>
    <w:rsid w:val="0023173B"/>
    <w:rsid w:val="002318C5"/>
    <w:rsid w:val="00234610"/>
    <w:rsid w:val="0023702D"/>
    <w:rsid w:val="00237494"/>
    <w:rsid w:val="00237D71"/>
    <w:rsid w:val="00241771"/>
    <w:rsid w:val="00245246"/>
    <w:rsid w:val="00245ECA"/>
    <w:rsid w:val="002468A2"/>
    <w:rsid w:val="00247513"/>
    <w:rsid w:val="00250A27"/>
    <w:rsid w:val="002519D3"/>
    <w:rsid w:val="00251C67"/>
    <w:rsid w:val="002538FB"/>
    <w:rsid w:val="00253A90"/>
    <w:rsid w:val="002549E8"/>
    <w:rsid w:val="0025668D"/>
    <w:rsid w:val="00257E6B"/>
    <w:rsid w:val="002600A8"/>
    <w:rsid w:val="0026167E"/>
    <w:rsid w:val="0026193A"/>
    <w:rsid w:val="00264644"/>
    <w:rsid w:val="00264904"/>
    <w:rsid w:val="002652EE"/>
    <w:rsid w:val="00267062"/>
    <w:rsid w:val="002711C8"/>
    <w:rsid w:val="00271623"/>
    <w:rsid w:val="00272D23"/>
    <w:rsid w:val="00277109"/>
    <w:rsid w:val="0028035A"/>
    <w:rsid w:val="0028203A"/>
    <w:rsid w:val="00282E35"/>
    <w:rsid w:val="002842EA"/>
    <w:rsid w:val="002862E3"/>
    <w:rsid w:val="00290185"/>
    <w:rsid w:val="00291644"/>
    <w:rsid w:val="00291B41"/>
    <w:rsid w:val="0029201E"/>
    <w:rsid w:val="0029547F"/>
    <w:rsid w:val="002957A3"/>
    <w:rsid w:val="0029685E"/>
    <w:rsid w:val="00296A97"/>
    <w:rsid w:val="00296F51"/>
    <w:rsid w:val="002A1CEE"/>
    <w:rsid w:val="002A3B81"/>
    <w:rsid w:val="002A48E5"/>
    <w:rsid w:val="002A49B1"/>
    <w:rsid w:val="002A5377"/>
    <w:rsid w:val="002A554F"/>
    <w:rsid w:val="002A7141"/>
    <w:rsid w:val="002B0B0C"/>
    <w:rsid w:val="002B20FF"/>
    <w:rsid w:val="002B4626"/>
    <w:rsid w:val="002B79D0"/>
    <w:rsid w:val="002C0853"/>
    <w:rsid w:val="002C0F9E"/>
    <w:rsid w:val="002C2587"/>
    <w:rsid w:val="002C4CDD"/>
    <w:rsid w:val="002C5414"/>
    <w:rsid w:val="002C6757"/>
    <w:rsid w:val="002D05D8"/>
    <w:rsid w:val="002D1749"/>
    <w:rsid w:val="002D3A78"/>
    <w:rsid w:val="002D3C8E"/>
    <w:rsid w:val="002D40AC"/>
    <w:rsid w:val="002D7BFC"/>
    <w:rsid w:val="002E1DF0"/>
    <w:rsid w:val="002E2029"/>
    <w:rsid w:val="002E258F"/>
    <w:rsid w:val="002E5E09"/>
    <w:rsid w:val="002F04D1"/>
    <w:rsid w:val="002F1A9F"/>
    <w:rsid w:val="002F40F6"/>
    <w:rsid w:val="002F4542"/>
    <w:rsid w:val="002F4573"/>
    <w:rsid w:val="002F4F3C"/>
    <w:rsid w:val="002F5C05"/>
    <w:rsid w:val="002F5E31"/>
    <w:rsid w:val="002F7CAF"/>
    <w:rsid w:val="00302689"/>
    <w:rsid w:val="003029C0"/>
    <w:rsid w:val="00304A69"/>
    <w:rsid w:val="003054CD"/>
    <w:rsid w:val="00305770"/>
    <w:rsid w:val="003065B2"/>
    <w:rsid w:val="00306967"/>
    <w:rsid w:val="00310C77"/>
    <w:rsid w:val="00311F78"/>
    <w:rsid w:val="00312975"/>
    <w:rsid w:val="0031310D"/>
    <w:rsid w:val="00313D95"/>
    <w:rsid w:val="00313E62"/>
    <w:rsid w:val="00314A9A"/>
    <w:rsid w:val="0031511B"/>
    <w:rsid w:val="00316561"/>
    <w:rsid w:val="00316EC3"/>
    <w:rsid w:val="00317099"/>
    <w:rsid w:val="00321BD4"/>
    <w:rsid w:val="003237E9"/>
    <w:rsid w:val="003250DC"/>
    <w:rsid w:val="00327BAC"/>
    <w:rsid w:val="00330446"/>
    <w:rsid w:val="00332060"/>
    <w:rsid w:val="0033289B"/>
    <w:rsid w:val="0033773E"/>
    <w:rsid w:val="00337D44"/>
    <w:rsid w:val="0034188E"/>
    <w:rsid w:val="00342413"/>
    <w:rsid w:val="00342927"/>
    <w:rsid w:val="003435C8"/>
    <w:rsid w:val="00344E2B"/>
    <w:rsid w:val="003538AF"/>
    <w:rsid w:val="00356B68"/>
    <w:rsid w:val="003606D6"/>
    <w:rsid w:val="00360E9D"/>
    <w:rsid w:val="0036169E"/>
    <w:rsid w:val="00363CE2"/>
    <w:rsid w:val="003640BC"/>
    <w:rsid w:val="003662A0"/>
    <w:rsid w:val="003666E4"/>
    <w:rsid w:val="003671CE"/>
    <w:rsid w:val="00371B78"/>
    <w:rsid w:val="00372069"/>
    <w:rsid w:val="003724CF"/>
    <w:rsid w:val="00372914"/>
    <w:rsid w:val="0037508A"/>
    <w:rsid w:val="0037562D"/>
    <w:rsid w:val="003802D2"/>
    <w:rsid w:val="00381C32"/>
    <w:rsid w:val="00382E07"/>
    <w:rsid w:val="003842C5"/>
    <w:rsid w:val="00386473"/>
    <w:rsid w:val="003872A8"/>
    <w:rsid w:val="003878E1"/>
    <w:rsid w:val="00387BB6"/>
    <w:rsid w:val="003949CE"/>
    <w:rsid w:val="003975D4"/>
    <w:rsid w:val="003A0FFD"/>
    <w:rsid w:val="003A1DF2"/>
    <w:rsid w:val="003A1F93"/>
    <w:rsid w:val="003A2DC1"/>
    <w:rsid w:val="003A39A4"/>
    <w:rsid w:val="003A42C0"/>
    <w:rsid w:val="003A5DE9"/>
    <w:rsid w:val="003A5F00"/>
    <w:rsid w:val="003A62B4"/>
    <w:rsid w:val="003A6733"/>
    <w:rsid w:val="003B0E66"/>
    <w:rsid w:val="003B170B"/>
    <w:rsid w:val="003B22DA"/>
    <w:rsid w:val="003B2E25"/>
    <w:rsid w:val="003B472F"/>
    <w:rsid w:val="003B4A51"/>
    <w:rsid w:val="003B7323"/>
    <w:rsid w:val="003B7F86"/>
    <w:rsid w:val="003C64F4"/>
    <w:rsid w:val="003D057A"/>
    <w:rsid w:val="003D0850"/>
    <w:rsid w:val="003D2987"/>
    <w:rsid w:val="003D49A8"/>
    <w:rsid w:val="003D56C4"/>
    <w:rsid w:val="003D6D46"/>
    <w:rsid w:val="003D78E0"/>
    <w:rsid w:val="003E0130"/>
    <w:rsid w:val="003E0A15"/>
    <w:rsid w:val="003E1259"/>
    <w:rsid w:val="003E1923"/>
    <w:rsid w:val="003E1DE1"/>
    <w:rsid w:val="003E29F6"/>
    <w:rsid w:val="003E561D"/>
    <w:rsid w:val="003E5DAD"/>
    <w:rsid w:val="003E77B9"/>
    <w:rsid w:val="003F052A"/>
    <w:rsid w:val="003F2940"/>
    <w:rsid w:val="003F3380"/>
    <w:rsid w:val="003F3FD9"/>
    <w:rsid w:val="003F5831"/>
    <w:rsid w:val="003F722F"/>
    <w:rsid w:val="00400B33"/>
    <w:rsid w:val="00404016"/>
    <w:rsid w:val="00405764"/>
    <w:rsid w:val="0040735A"/>
    <w:rsid w:val="00407A93"/>
    <w:rsid w:val="004111B0"/>
    <w:rsid w:val="00411981"/>
    <w:rsid w:val="004123DB"/>
    <w:rsid w:val="00412848"/>
    <w:rsid w:val="00412E37"/>
    <w:rsid w:val="00414582"/>
    <w:rsid w:val="00414903"/>
    <w:rsid w:val="00416671"/>
    <w:rsid w:val="00416A5C"/>
    <w:rsid w:val="004171A9"/>
    <w:rsid w:val="004205B2"/>
    <w:rsid w:val="00420EE4"/>
    <w:rsid w:val="004216D3"/>
    <w:rsid w:val="0042244A"/>
    <w:rsid w:val="00422B3E"/>
    <w:rsid w:val="0042381E"/>
    <w:rsid w:val="004309CD"/>
    <w:rsid w:val="00430D4A"/>
    <w:rsid w:val="00431FF9"/>
    <w:rsid w:val="00432AEC"/>
    <w:rsid w:val="004340C2"/>
    <w:rsid w:val="00434DC2"/>
    <w:rsid w:val="00435C52"/>
    <w:rsid w:val="004367E9"/>
    <w:rsid w:val="004372D5"/>
    <w:rsid w:val="00437907"/>
    <w:rsid w:val="00441B9C"/>
    <w:rsid w:val="00442E58"/>
    <w:rsid w:val="00444549"/>
    <w:rsid w:val="00444F23"/>
    <w:rsid w:val="00446451"/>
    <w:rsid w:val="004464D7"/>
    <w:rsid w:val="00451A61"/>
    <w:rsid w:val="00451BD0"/>
    <w:rsid w:val="00452A64"/>
    <w:rsid w:val="00453A6F"/>
    <w:rsid w:val="00454856"/>
    <w:rsid w:val="0045541D"/>
    <w:rsid w:val="00456827"/>
    <w:rsid w:val="00456930"/>
    <w:rsid w:val="00457ABD"/>
    <w:rsid w:val="00460508"/>
    <w:rsid w:val="004605D8"/>
    <w:rsid w:val="00460A29"/>
    <w:rsid w:val="00464B8E"/>
    <w:rsid w:val="00467022"/>
    <w:rsid w:val="0047061C"/>
    <w:rsid w:val="00471E4D"/>
    <w:rsid w:val="004722DA"/>
    <w:rsid w:val="0047239E"/>
    <w:rsid w:val="00472621"/>
    <w:rsid w:val="0047404C"/>
    <w:rsid w:val="0047519D"/>
    <w:rsid w:val="00480F49"/>
    <w:rsid w:val="00482A3A"/>
    <w:rsid w:val="0048507A"/>
    <w:rsid w:val="004859DC"/>
    <w:rsid w:val="00486FC2"/>
    <w:rsid w:val="00487F71"/>
    <w:rsid w:val="00491C09"/>
    <w:rsid w:val="004927DD"/>
    <w:rsid w:val="00492CE8"/>
    <w:rsid w:val="004938AD"/>
    <w:rsid w:val="00493CF8"/>
    <w:rsid w:val="00493E5D"/>
    <w:rsid w:val="0049644D"/>
    <w:rsid w:val="004A1BFF"/>
    <w:rsid w:val="004A206E"/>
    <w:rsid w:val="004A3DDB"/>
    <w:rsid w:val="004A6DA9"/>
    <w:rsid w:val="004A6DDB"/>
    <w:rsid w:val="004A743E"/>
    <w:rsid w:val="004A76F7"/>
    <w:rsid w:val="004A7AC3"/>
    <w:rsid w:val="004A7CF2"/>
    <w:rsid w:val="004B2BBA"/>
    <w:rsid w:val="004B35D9"/>
    <w:rsid w:val="004B4C63"/>
    <w:rsid w:val="004B53ED"/>
    <w:rsid w:val="004B5A02"/>
    <w:rsid w:val="004B5D2E"/>
    <w:rsid w:val="004B616C"/>
    <w:rsid w:val="004C19E2"/>
    <w:rsid w:val="004C2653"/>
    <w:rsid w:val="004C3E58"/>
    <w:rsid w:val="004C40EF"/>
    <w:rsid w:val="004C5FF3"/>
    <w:rsid w:val="004C6954"/>
    <w:rsid w:val="004D4F2A"/>
    <w:rsid w:val="004D5803"/>
    <w:rsid w:val="004D597E"/>
    <w:rsid w:val="004D5DFF"/>
    <w:rsid w:val="004E05E4"/>
    <w:rsid w:val="004E0B9F"/>
    <w:rsid w:val="004E0F87"/>
    <w:rsid w:val="004E2285"/>
    <w:rsid w:val="004E2DC4"/>
    <w:rsid w:val="004E3CEE"/>
    <w:rsid w:val="004E4515"/>
    <w:rsid w:val="004E4580"/>
    <w:rsid w:val="004E56EB"/>
    <w:rsid w:val="004E5C9E"/>
    <w:rsid w:val="004E6F4B"/>
    <w:rsid w:val="004E76F9"/>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31AA"/>
    <w:rsid w:val="00504EE4"/>
    <w:rsid w:val="0050594A"/>
    <w:rsid w:val="0050625C"/>
    <w:rsid w:val="00511D81"/>
    <w:rsid w:val="005125ED"/>
    <w:rsid w:val="00513919"/>
    <w:rsid w:val="00513B6E"/>
    <w:rsid w:val="005162D4"/>
    <w:rsid w:val="00516E5B"/>
    <w:rsid w:val="00521A21"/>
    <w:rsid w:val="00522EFA"/>
    <w:rsid w:val="00530092"/>
    <w:rsid w:val="005320CC"/>
    <w:rsid w:val="005335A2"/>
    <w:rsid w:val="00533A68"/>
    <w:rsid w:val="00533F7E"/>
    <w:rsid w:val="005365BC"/>
    <w:rsid w:val="00540B34"/>
    <w:rsid w:val="0054284F"/>
    <w:rsid w:val="0054495B"/>
    <w:rsid w:val="00545E14"/>
    <w:rsid w:val="005462CF"/>
    <w:rsid w:val="00547298"/>
    <w:rsid w:val="00547C33"/>
    <w:rsid w:val="00550CD0"/>
    <w:rsid w:val="00551EFD"/>
    <w:rsid w:val="0055317A"/>
    <w:rsid w:val="00556043"/>
    <w:rsid w:val="005565A0"/>
    <w:rsid w:val="005605A7"/>
    <w:rsid w:val="005609F1"/>
    <w:rsid w:val="00562B15"/>
    <w:rsid w:val="00563A52"/>
    <w:rsid w:val="005640F2"/>
    <w:rsid w:val="00565661"/>
    <w:rsid w:val="005660A2"/>
    <w:rsid w:val="00566392"/>
    <w:rsid w:val="005672AD"/>
    <w:rsid w:val="0056762E"/>
    <w:rsid w:val="00567E03"/>
    <w:rsid w:val="00567EAE"/>
    <w:rsid w:val="00571DB5"/>
    <w:rsid w:val="005723FC"/>
    <w:rsid w:val="00573623"/>
    <w:rsid w:val="00573FE7"/>
    <w:rsid w:val="005756F8"/>
    <w:rsid w:val="0057795A"/>
    <w:rsid w:val="00580403"/>
    <w:rsid w:val="00580AC3"/>
    <w:rsid w:val="0058133A"/>
    <w:rsid w:val="00583CDD"/>
    <w:rsid w:val="00584D35"/>
    <w:rsid w:val="00586678"/>
    <w:rsid w:val="00592633"/>
    <w:rsid w:val="00593BD5"/>
    <w:rsid w:val="00593D09"/>
    <w:rsid w:val="00595DC3"/>
    <w:rsid w:val="00595FA7"/>
    <w:rsid w:val="00596B62"/>
    <w:rsid w:val="00597C1C"/>
    <w:rsid w:val="005A09EA"/>
    <w:rsid w:val="005A2195"/>
    <w:rsid w:val="005A59B0"/>
    <w:rsid w:val="005A5B88"/>
    <w:rsid w:val="005A67B9"/>
    <w:rsid w:val="005B2002"/>
    <w:rsid w:val="005B36E3"/>
    <w:rsid w:val="005B3EED"/>
    <w:rsid w:val="005B41AC"/>
    <w:rsid w:val="005B5F2F"/>
    <w:rsid w:val="005C0AF5"/>
    <w:rsid w:val="005C0C50"/>
    <w:rsid w:val="005C13BE"/>
    <w:rsid w:val="005C2AE2"/>
    <w:rsid w:val="005C3588"/>
    <w:rsid w:val="005C361E"/>
    <w:rsid w:val="005C3C51"/>
    <w:rsid w:val="005C415C"/>
    <w:rsid w:val="005C4EA9"/>
    <w:rsid w:val="005C50BA"/>
    <w:rsid w:val="005C577D"/>
    <w:rsid w:val="005C6635"/>
    <w:rsid w:val="005C712B"/>
    <w:rsid w:val="005C772F"/>
    <w:rsid w:val="005D0555"/>
    <w:rsid w:val="005D0ED5"/>
    <w:rsid w:val="005D1437"/>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3263"/>
    <w:rsid w:val="005F3A24"/>
    <w:rsid w:val="005F3ECC"/>
    <w:rsid w:val="005F48D7"/>
    <w:rsid w:val="005F5586"/>
    <w:rsid w:val="005F6CD2"/>
    <w:rsid w:val="0060093A"/>
    <w:rsid w:val="00601540"/>
    <w:rsid w:val="00604B74"/>
    <w:rsid w:val="00606EE8"/>
    <w:rsid w:val="0060745D"/>
    <w:rsid w:val="00610861"/>
    <w:rsid w:val="00611A51"/>
    <w:rsid w:val="006124F9"/>
    <w:rsid w:val="00613CDD"/>
    <w:rsid w:val="0061472D"/>
    <w:rsid w:val="006155C9"/>
    <w:rsid w:val="00615783"/>
    <w:rsid w:val="006174A7"/>
    <w:rsid w:val="00620026"/>
    <w:rsid w:val="006203C9"/>
    <w:rsid w:val="00620EB6"/>
    <w:rsid w:val="006231EE"/>
    <w:rsid w:val="00626439"/>
    <w:rsid w:val="00627715"/>
    <w:rsid w:val="00631B65"/>
    <w:rsid w:val="006345D0"/>
    <w:rsid w:val="00637B05"/>
    <w:rsid w:val="006414D7"/>
    <w:rsid w:val="006414FA"/>
    <w:rsid w:val="006424E1"/>
    <w:rsid w:val="00642585"/>
    <w:rsid w:val="0064412C"/>
    <w:rsid w:val="00645A9F"/>
    <w:rsid w:val="0064691A"/>
    <w:rsid w:val="0064794B"/>
    <w:rsid w:val="00651565"/>
    <w:rsid w:val="006515CF"/>
    <w:rsid w:val="00651B37"/>
    <w:rsid w:val="00651E60"/>
    <w:rsid w:val="00653CEC"/>
    <w:rsid w:val="00656842"/>
    <w:rsid w:val="006570E4"/>
    <w:rsid w:val="00665920"/>
    <w:rsid w:val="0066604A"/>
    <w:rsid w:val="00666B73"/>
    <w:rsid w:val="0066746F"/>
    <w:rsid w:val="006701F2"/>
    <w:rsid w:val="006715CD"/>
    <w:rsid w:val="00671633"/>
    <w:rsid w:val="00671A4C"/>
    <w:rsid w:val="00676C6C"/>
    <w:rsid w:val="006813D8"/>
    <w:rsid w:val="0068234A"/>
    <w:rsid w:val="00682421"/>
    <w:rsid w:val="006832D4"/>
    <w:rsid w:val="00685792"/>
    <w:rsid w:val="00687338"/>
    <w:rsid w:val="006878B8"/>
    <w:rsid w:val="0068795C"/>
    <w:rsid w:val="00687DF5"/>
    <w:rsid w:val="006900CC"/>
    <w:rsid w:val="006911C3"/>
    <w:rsid w:val="00695344"/>
    <w:rsid w:val="006979BE"/>
    <w:rsid w:val="006A0B44"/>
    <w:rsid w:val="006A0E12"/>
    <w:rsid w:val="006A15F2"/>
    <w:rsid w:val="006A2082"/>
    <w:rsid w:val="006A2C18"/>
    <w:rsid w:val="006A4298"/>
    <w:rsid w:val="006A4459"/>
    <w:rsid w:val="006A6499"/>
    <w:rsid w:val="006A680C"/>
    <w:rsid w:val="006B063E"/>
    <w:rsid w:val="006B11D2"/>
    <w:rsid w:val="006B28E2"/>
    <w:rsid w:val="006B416A"/>
    <w:rsid w:val="006B7D5A"/>
    <w:rsid w:val="006C18E2"/>
    <w:rsid w:val="006C1C43"/>
    <w:rsid w:val="006C427A"/>
    <w:rsid w:val="006C44F3"/>
    <w:rsid w:val="006C5DC0"/>
    <w:rsid w:val="006C6604"/>
    <w:rsid w:val="006C6F27"/>
    <w:rsid w:val="006C7E6B"/>
    <w:rsid w:val="006D06AC"/>
    <w:rsid w:val="006D2806"/>
    <w:rsid w:val="006D5FA5"/>
    <w:rsid w:val="006D61EB"/>
    <w:rsid w:val="006D67BA"/>
    <w:rsid w:val="006D67C1"/>
    <w:rsid w:val="006D6EFC"/>
    <w:rsid w:val="006D7844"/>
    <w:rsid w:val="006D7B04"/>
    <w:rsid w:val="006E49A5"/>
    <w:rsid w:val="006F0FDE"/>
    <w:rsid w:val="006F272F"/>
    <w:rsid w:val="006F508A"/>
    <w:rsid w:val="006F7453"/>
    <w:rsid w:val="006F7753"/>
    <w:rsid w:val="00700759"/>
    <w:rsid w:val="00702AC9"/>
    <w:rsid w:val="00702D67"/>
    <w:rsid w:val="00703473"/>
    <w:rsid w:val="0070429A"/>
    <w:rsid w:val="00704AF2"/>
    <w:rsid w:val="00705F72"/>
    <w:rsid w:val="007073E9"/>
    <w:rsid w:val="007077C0"/>
    <w:rsid w:val="00710539"/>
    <w:rsid w:val="007111FF"/>
    <w:rsid w:val="007117A4"/>
    <w:rsid w:val="0071227F"/>
    <w:rsid w:val="00712F7E"/>
    <w:rsid w:val="00714363"/>
    <w:rsid w:val="0071442D"/>
    <w:rsid w:val="007163BC"/>
    <w:rsid w:val="007204F8"/>
    <w:rsid w:val="007214CD"/>
    <w:rsid w:val="0072181F"/>
    <w:rsid w:val="00722009"/>
    <w:rsid w:val="0072258B"/>
    <w:rsid w:val="0072266F"/>
    <w:rsid w:val="007227E7"/>
    <w:rsid w:val="007231BB"/>
    <w:rsid w:val="00723C74"/>
    <w:rsid w:val="007245D3"/>
    <w:rsid w:val="00725E86"/>
    <w:rsid w:val="007312C2"/>
    <w:rsid w:val="0073551C"/>
    <w:rsid w:val="007370BC"/>
    <w:rsid w:val="0073766B"/>
    <w:rsid w:val="00742C46"/>
    <w:rsid w:val="00743517"/>
    <w:rsid w:val="007450AB"/>
    <w:rsid w:val="007469D8"/>
    <w:rsid w:val="007503CE"/>
    <w:rsid w:val="007514D6"/>
    <w:rsid w:val="00752C1B"/>
    <w:rsid w:val="007531A0"/>
    <w:rsid w:val="00754A13"/>
    <w:rsid w:val="00757CD0"/>
    <w:rsid w:val="00760E6A"/>
    <w:rsid w:val="007629DA"/>
    <w:rsid w:val="00762C24"/>
    <w:rsid w:val="00763BCC"/>
    <w:rsid w:val="007641EC"/>
    <w:rsid w:val="00764B1F"/>
    <w:rsid w:val="0076651E"/>
    <w:rsid w:val="00766B15"/>
    <w:rsid w:val="00767DB8"/>
    <w:rsid w:val="00770D89"/>
    <w:rsid w:val="00770ECE"/>
    <w:rsid w:val="007741F5"/>
    <w:rsid w:val="00774549"/>
    <w:rsid w:val="00777966"/>
    <w:rsid w:val="007808E9"/>
    <w:rsid w:val="00781702"/>
    <w:rsid w:val="00782D74"/>
    <w:rsid w:val="00786222"/>
    <w:rsid w:val="0078781C"/>
    <w:rsid w:val="00787877"/>
    <w:rsid w:val="00790371"/>
    <w:rsid w:val="00791931"/>
    <w:rsid w:val="00791D0F"/>
    <w:rsid w:val="00792485"/>
    <w:rsid w:val="00792DFA"/>
    <w:rsid w:val="007933C8"/>
    <w:rsid w:val="00793566"/>
    <w:rsid w:val="00795238"/>
    <w:rsid w:val="00796150"/>
    <w:rsid w:val="007A1963"/>
    <w:rsid w:val="007A19B2"/>
    <w:rsid w:val="007A4B1D"/>
    <w:rsid w:val="007A6756"/>
    <w:rsid w:val="007B1AF4"/>
    <w:rsid w:val="007B441D"/>
    <w:rsid w:val="007B48AC"/>
    <w:rsid w:val="007B7107"/>
    <w:rsid w:val="007C1208"/>
    <w:rsid w:val="007C1CAE"/>
    <w:rsid w:val="007C22AE"/>
    <w:rsid w:val="007C2A52"/>
    <w:rsid w:val="007C31A5"/>
    <w:rsid w:val="007C342F"/>
    <w:rsid w:val="007C392B"/>
    <w:rsid w:val="007C4499"/>
    <w:rsid w:val="007C627A"/>
    <w:rsid w:val="007C6BBF"/>
    <w:rsid w:val="007C719E"/>
    <w:rsid w:val="007C7AEE"/>
    <w:rsid w:val="007D0C4C"/>
    <w:rsid w:val="007D0F53"/>
    <w:rsid w:val="007D14E2"/>
    <w:rsid w:val="007D1DE6"/>
    <w:rsid w:val="007D309E"/>
    <w:rsid w:val="007D3767"/>
    <w:rsid w:val="007D399B"/>
    <w:rsid w:val="007D4FB8"/>
    <w:rsid w:val="007D5ED8"/>
    <w:rsid w:val="007D6F84"/>
    <w:rsid w:val="007D716F"/>
    <w:rsid w:val="007E03DC"/>
    <w:rsid w:val="007E2341"/>
    <w:rsid w:val="007E515A"/>
    <w:rsid w:val="007F18F5"/>
    <w:rsid w:val="007F25A0"/>
    <w:rsid w:val="007F539B"/>
    <w:rsid w:val="007F5758"/>
    <w:rsid w:val="007F7113"/>
    <w:rsid w:val="00800525"/>
    <w:rsid w:val="00805000"/>
    <w:rsid w:val="00806316"/>
    <w:rsid w:val="00807DB0"/>
    <w:rsid w:val="0081361A"/>
    <w:rsid w:val="00814BA2"/>
    <w:rsid w:val="008155E9"/>
    <w:rsid w:val="00816BF8"/>
    <w:rsid w:val="0081758A"/>
    <w:rsid w:val="00817A7B"/>
    <w:rsid w:val="00820E1A"/>
    <w:rsid w:val="00822946"/>
    <w:rsid w:val="008233CC"/>
    <w:rsid w:val="008249B3"/>
    <w:rsid w:val="008251A2"/>
    <w:rsid w:val="00826C1D"/>
    <w:rsid w:val="00832477"/>
    <w:rsid w:val="008325CF"/>
    <w:rsid w:val="00832690"/>
    <w:rsid w:val="008343FE"/>
    <w:rsid w:val="0084044F"/>
    <w:rsid w:val="00840898"/>
    <w:rsid w:val="008411DB"/>
    <w:rsid w:val="0084166A"/>
    <w:rsid w:val="00842A12"/>
    <w:rsid w:val="008441D2"/>
    <w:rsid w:val="00844887"/>
    <w:rsid w:val="00853808"/>
    <w:rsid w:val="008547AC"/>
    <w:rsid w:val="008558AA"/>
    <w:rsid w:val="00856033"/>
    <w:rsid w:val="00856C65"/>
    <w:rsid w:val="00860570"/>
    <w:rsid w:val="008628D0"/>
    <w:rsid w:val="008636E7"/>
    <w:rsid w:val="008636EC"/>
    <w:rsid w:val="00863DED"/>
    <w:rsid w:val="00864ED8"/>
    <w:rsid w:val="00865A56"/>
    <w:rsid w:val="00870B9C"/>
    <w:rsid w:val="00872985"/>
    <w:rsid w:val="00872DB1"/>
    <w:rsid w:val="00872E44"/>
    <w:rsid w:val="0087532E"/>
    <w:rsid w:val="008764FF"/>
    <w:rsid w:val="00876B13"/>
    <w:rsid w:val="0088088D"/>
    <w:rsid w:val="00880B05"/>
    <w:rsid w:val="008816DE"/>
    <w:rsid w:val="00884889"/>
    <w:rsid w:val="00884DD0"/>
    <w:rsid w:val="0088529C"/>
    <w:rsid w:val="008858B5"/>
    <w:rsid w:val="0088594F"/>
    <w:rsid w:val="008860A5"/>
    <w:rsid w:val="00890411"/>
    <w:rsid w:val="008A4663"/>
    <w:rsid w:val="008A4AAE"/>
    <w:rsid w:val="008A4D39"/>
    <w:rsid w:val="008A5D59"/>
    <w:rsid w:val="008A6940"/>
    <w:rsid w:val="008B0020"/>
    <w:rsid w:val="008B02DF"/>
    <w:rsid w:val="008B19DE"/>
    <w:rsid w:val="008B4A42"/>
    <w:rsid w:val="008B64BA"/>
    <w:rsid w:val="008B762F"/>
    <w:rsid w:val="008C13D3"/>
    <w:rsid w:val="008C1BC1"/>
    <w:rsid w:val="008C1D6D"/>
    <w:rsid w:val="008C2503"/>
    <w:rsid w:val="008C48B4"/>
    <w:rsid w:val="008C4A85"/>
    <w:rsid w:val="008C5AE2"/>
    <w:rsid w:val="008C6549"/>
    <w:rsid w:val="008C7624"/>
    <w:rsid w:val="008D4DCA"/>
    <w:rsid w:val="008D648C"/>
    <w:rsid w:val="008D768F"/>
    <w:rsid w:val="008E1A0C"/>
    <w:rsid w:val="008E1D4A"/>
    <w:rsid w:val="008E63C4"/>
    <w:rsid w:val="008E6545"/>
    <w:rsid w:val="008F1E32"/>
    <w:rsid w:val="008F1EB6"/>
    <w:rsid w:val="008F29D8"/>
    <w:rsid w:val="008F4EC3"/>
    <w:rsid w:val="008F5195"/>
    <w:rsid w:val="008F5A1B"/>
    <w:rsid w:val="008F6DF2"/>
    <w:rsid w:val="0090315D"/>
    <w:rsid w:val="00903338"/>
    <w:rsid w:val="0090431E"/>
    <w:rsid w:val="0090500B"/>
    <w:rsid w:val="009050B0"/>
    <w:rsid w:val="00906951"/>
    <w:rsid w:val="009070E4"/>
    <w:rsid w:val="0091073B"/>
    <w:rsid w:val="00910CA6"/>
    <w:rsid w:val="00911309"/>
    <w:rsid w:val="00912B45"/>
    <w:rsid w:val="009131E9"/>
    <w:rsid w:val="00917ED9"/>
    <w:rsid w:val="009235C2"/>
    <w:rsid w:val="00924725"/>
    <w:rsid w:val="00925EA0"/>
    <w:rsid w:val="00926826"/>
    <w:rsid w:val="00926EBB"/>
    <w:rsid w:val="00926EC5"/>
    <w:rsid w:val="0093049B"/>
    <w:rsid w:val="009317C0"/>
    <w:rsid w:val="00931F5D"/>
    <w:rsid w:val="00932435"/>
    <w:rsid w:val="0093360D"/>
    <w:rsid w:val="00935A39"/>
    <w:rsid w:val="00935F5B"/>
    <w:rsid w:val="009422F7"/>
    <w:rsid w:val="00942A8A"/>
    <w:rsid w:val="00943FBE"/>
    <w:rsid w:val="00945170"/>
    <w:rsid w:val="00945F57"/>
    <w:rsid w:val="009501BC"/>
    <w:rsid w:val="00950571"/>
    <w:rsid w:val="00950B02"/>
    <w:rsid w:val="0095274A"/>
    <w:rsid w:val="00953121"/>
    <w:rsid w:val="009565C2"/>
    <w:rsid w:val="00956827"/>
    <w:rsid w:val="00956A3F"/>
    <w:rsid w:val="00957375"/>
    <w:rsid w:val="0096109A"/>
    <w:rsid w:val="009648F0"/>
    <w:rsid w:val="00964F5E"/>
    <w:rsid w:val="00964F91"/>
    <w:rsid w:val="00965110"/>
    <w:rsid w:val="0096675D"/>
    <w:rsid w:val="00967B5B"/>
    <w:rsid w:val="00971489"/>
    <w:rsid w:val="009717FD"/>
    <w:rsid w:val="00971D80"/>
    <w:rsid w:val="00972FFF"/>
    <w:rsid w:val="009748E0"/>
    <w:rsid w:val="00975185"/>
    <w:rsid w:val="0097558A"/>
    <w:rsid w:val="009764DF"/>
    <w:rsid w:val="00980553"/>
    <w:rsid w:val="009832A6"/>
    <w:rsid w:val="00983B11"/>
    <w:rsid w:val="00983D07"/>
    <w:rsid w:val="00985C39"/>
    <w:rsid w:val="00987943"/>
    <w:rsid w:val="00991C78"/>
    <w:rsid w:val="009925F8"/>
    <w:rsid w:val="00992C15"/>
    <w:rsid w:val="00995A03"/>
    <w:rsid w:val="009961E1"/>
    <w:rsid w:val="009964C9"/>
    <w:rsid w:val="00996619"/>
    <w:rsid w:val="009972E1"/>
    <w:rsid w:val="00997CD2"/>
    <w:rsid w:val="009A107B"/>
    <w:rsid w:val="009A305D"/>
    <w:rsid w:val="009A306A"/>
    <w:rsid w:val="009A36D7"/>
    <w:rsid w:val="009A3EB1"/>
    <w:rsid w:val="009A49D5"/>
    <w:rsid w:val="009A4DCE"/>
    <w:rsid w:val="009B0CBF"/>
    <w:rsid w:val="009B2BE4"/>
    <w:rsid w:val="009B3AD9"/>
    <w:rsid w:val="009B3D14"/>
    <w:rsid w:val="009B3FB7"/>
    <w:rsid w:val="009B766D"/>
    <w:rsid w:val="009B79E7"/>
    <w:rsid w:val="009B7DDC"/>
    <w:rsid w:val="009B7F1F"/>
    <w:rsid w:val="009C1049"/>
    <w:rsid w:val="009C157F"/>
    <w:rsid w:val="009C48AF"/>
    <w:rsid w:val="009C49C8"/>
    <w:rsid w:val="009C5BE2"/>
    <w:rsid w:val="009C6AC2"/>
    <w:rsid w:val="009C774C"/>
    <w:rsid w:val="009D23CF"/>
    <w:rsid w:val="009D24BB"/>
    <w:rsid w:val="009D2693"/>
    <w:rsid w:val="009D4973"/>
    <w:rsid w:val="009D4D27"/>
    <w:rsid w:val="009D4F43"/>
    <w:rsid w:val="009D5819"/>
    <w:rsid w:val="009D63D4"/>
    <w:rsid w:val="009D7430"/>
    <w:rsid w:val="009D7FE4"/>
    <w:rsid w:val="009E0085"/>
    <w:rsid w:val="009E092D"/>
    <w:rsid w:val="009E1518"/>
    <w:rsid w:val="009E351A"/>
    <w:rsid w:val="009E36FF"/>
    <w:rsid w:val="009E4464"/>
    <w:rsid w:val="009E49AC"/>
    <w:rsid w:val="009E5232"/>
    <w:rsid w:val="009E70CA"/>
    <w:rsid w:val="009E7214"/>
    <w:rsid w:val="009E7B07"/>
    <w:rsid w:val="009F03FA"/>
    <w:rsid w:val="009F057B"/>
    <w:rsid w:val="009F14A8"/>
    <w:rsid w:val="009F1D51"/>
    <w:rsid w:val="009F4FDA"/>
    <w:rsid w:val="009F6AC5"/>
    <w:rsid w:val="009F7F1E"/>
    <w:rsid w:val="00A003CF"/>
    <w:rsid w:val="00A005EA"/>
    <w:rsid w:val="00A032FE"/>
    <w:rsid w:val="00A03630"/>
    <w:rsid w:val="00A0414A"/>
    <w:rsid w:val="00A059C1"/>
    <w:rsid w:val="00A10811"/>
    <w:rsid w:val="00A12D89"/>
    <w:rsid w:val="00A13A35"/>
    <w:rsid w:val="00A159F2"/>
    <w:rsid w:val="00A15D95"/>
    <w:rsid w:val="00A169F5"/>
    <w:rsid w:val="00A171D2"/>
    <w:rsid w:val="00A20622"/>
    <w:rsid w:val="00A2150D"/>
    <w:rsid w:val="00A2358F"/>
    <w:rsid w:val="00A27739"/>
    <w:rsid w:val="00A27C53"/>
    <w:rsid w:val="00A30B85"/>
    <w:rsid w:val="00A30C2A"/>
    <w:rsid w:val="00A30E69"/>
    <w:rsid w:val="00A321CE"/>
    <w:rsid w:val="00A3256A"/>
    <w:rsid w:val="00A3290D"/>
    <w:rsid w:val="00A34468"/>
    <w:rsid w:val="00A40530"/>
    <w:rsid w:val="00A41C5A"/>
    <w:rsid w:val="00A44EA2"/>
    <w:rsid w:val="00A4648C"/>
    <w:rsid w:val="00A47E94"/>
    <w:rsid w:val="00A5271A"/>
    <w:rsid w:val="00A52D05"/>
    <w:rsid w:val="00A55CA5"/>
    <w:rsid w:val="00A55F6E"/>
    <w:rsid w:val="00A56887"/>
    <w:rsid w:val="00A60EC2"/>
    <w:rsid w:val="00A6204F"/>
    <w:rsid w:val="00A648BD"/>
    <w:rsid w:val="00A64B08"/>
    <w:rsid w:val="00A67BBD"/>
    <w:rsid w:val="00A67CCF"/>
    <w:rsid w:val="00A700BA"/>
    <w:rsid w:val="00A70E69"/>
    <w:rsid w:val="00A71431"/>
    <w:rsid w:val="00A725EF"/>
    <w:rsid w:val="00A75E59"/>
    <w:rsid w:val="00A760C1"/>
    <w:rsid w:val="00A76317"/>
    <w:rsid w:val="00A766C3"/>
    <w:rsid w:val="00A81D30"/>
    <w:rsid w:val="00A82237"/>
    <w:rsid w:val="00A82FCB"/>
    <w:rsid w:val="00A83D76"/>
    <w:rsid w:val="00A91A74"/>
    <w:rsid w:val="00A92066"/>
    <w:rsid w:val="00A927A0"/>
    <w:rsid w:val="00A97891"/>
    <w:rsid w:val="00AA0B69"/>
    <w:rsid w:val="00AA4282"/>
    <w:rsid w:val="00AB117F"/>
    <w:rsid w:val="00AB235E"/>
    <w:rsid w:val="00AB4394"/>
    <w:rsid w:val="00AB5038"/>
    <w:rsid w:val="00AB5C56"/>
    <w:rsid w:val="00AB6659"/>
    <w:rsid w:val="00AB7C08"/>
    <w:rsid w:val="00AC08DF"/>
    <w:rsid w:val="00AC1764"/>
    <w:rsid w:val="00AC231A"/>
    <w:rsid w:val="00AC49A1"/>
    <w:rsid w:val="00AC66B9"/>
    <w:rsid w:val="00AC6DC0"/>
    <w:rsid w:val="00AD0749"/>
    <w:rsid w:val="00AD0C34"/>
    <w:rsid w:val="00AD13BC"/>
    <w:rsid w:val="00AD18E4"/>
    <w:rsid w:val="00AD47D4"/>
    <w:rsid w:val="00AD4C61"/>
    <w:rsid w:val="00AD5055"/>
    <w:rsid w:val="00AD5B39"/>
    <w:rsid w:val="00AE07E6"/>
    <w:rsid w:val="00AE5894"/>
    <w:rsid w:val="00AF2121"/>
    <w:rsid w:val="00AF2C96"/>
    <w:rsid w:val="00AF2D10"/>
    <w:rsid w:val="00AF393F"/>
    <w:rsid w:val="00AF4A4A"/>
    <w:rsid w:val="00AF5D07"/>
    <w:rsid w:val="00AF5D2D"/>
    <w:rsid w:val="00B00290"/>
    <w:rsid w:val="00B03A15"/>
    <w:rsid w:val="00B03B4E"/>
    <w:rsid w:val="00B0518A"/>
    <w:rsid w:val="00B05564"/>
    <w:rsid w:val="00B06C7D"/>
    <w:rsid w:val="00B10484"/>
    <w:rsid w:val="00B11062"/>
    <w:rsid w:val="00B1393F"/>
    <w:rsid w:val="00B13F28"/>
    <w:rsid w:val="00B14989"/>
    <w:rsid w:val="00B15210"/>
    <w:rsid w:val="00B15223"/>
    <w:rsid w:val="00B152BF"/>
    <w:rsid w:val="00B17E81"/>
    <w:rsid w:val="00B21F26"/>
    <w:rsid w:val="00B21FC0"/>
    <w:rsid w:val="00B25870"/>
    <w:rsid w:val="00B334F2"/>
    <w:rsid w:val="00B35BDB"/>
    <w:rsid w:val="00B36903"/>
    <w:rsid w:val="00B371F2"/>
    <w:rsid w:val="00B41866"/>
    <w:rsid w:val="00B4368C"/>
    <w:rsid w:val="00B44DFC"/>
    <w:rsid w:val="00B46497"/>
    <w:rsid w:val="00B513A7"/>
    <w:rsid w:val="00B54D93"/>
    <w:rsid w:val="00B55440"/>
    <w:rsid w:val="00B60C82"/>
    <w:rsid w:val="00B60F75"/>
    <w:rsid w:val="00B61620"/>
    <w:rsid w:val="00B62348"/>
    <w:rsid w:val="00B62B8B"/>
    <w:rsid w:val="00B63430"/>
    <w:rsid w:val="00B6535D"/>
    <w:rsid w:val="00B65D67"/>
    <w:rsid w:val="00B6792D"/>
    <w:rsid w:val="00B70864"/>
    <w:rsid w:val="00B71821"/>
    <w:rsid w:val="00B74C9C"/>
    <w:rsid w:val="00B74C9D"/>
    <w:rsid w:val="00B74F20"/>
    <w:rsid w:val="00B76741"/>
    <w:rsid w:val="00B767F4"/>
    <w:rsid w:val="00B80D9A"/>
    <w:rsid w:val="00B82AD4"/>
    <w:rsid w:val="00B845CB"/>
    <w:rsid w:val="00B845E2"/>
    <w:rsid w:val="00B861CC"/>
    <w:rsid w:val="00B8635B"/>
    <w:rsid w:val="00B87A8C"/>
    <w:rsid w:val="00B90FBA"/>
    <w:rsid w:val="00B917E5"/>
    <w:rsid w:val="00B94B0C"/>
    <w:rsid w:val="00B94E1E"/>
    <w:rsid w:val="00B96C27"/>
    <w:rsid w:val="00B9779C"/>
    <w:rsid w:val="00B97E48"/>
    <w:rsid w:val="00BA08DC"/>
    <w:rsid w:val="00BA150E"/>
    <w:rsid w:val="00BA1744"/>
    <w:rsid w:val="00BA556E"/>
    <w:rsid w:val="00BA5E8C"/>
    <w:rsid w:val="00BA69C8"/>
    <w:rsid w:val="00BA6BEA"/>
    <w:rsid w:val="00BB1EDC"/>
    <w:rsid w:val="00BB251B"/>
    <w:rsid w:val="00BB2A76"/>
    <w:rsid w:val="00BB332F"/>
    <w:rsid w:val="00BB52C7"/>
    <w:rsid w:val="00BB63B8"/>
    <w:rsid w:val="00BB76E3"/>
    <w:rsid w:val="00BC0A97"/>
    <w:rsid w:val="00BC1907"/>
    <w:rsid w:val="00BC40AF"/>
    <w:rsid w:val="00BC491E"/>
    <w:rsid w:val="00BC59FD"/>
    <w:rsid w:val="00BC6042"/>
    <w:rsid w:val="00BC605A"/>
    <w:rsid w:val="00BC6BB6"/>
    <w:rsid w:val="00BD0495"/>
    <w:rsid w:val="00BD0DF8"/>
    <w:rsid w:val="00BD29F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1098"/>
    <w:rsid w:val="00BF1270"/>
    <w:rsid w:val="00BF4723"/>
    <w:rsid w:val="00BF6977"/>
    <w:rsid w:val="00BF6C9E"/>
    <w:rsid w:val="00BF7597"/>
    <w:rsid w:val="00C00195"/>
    <w:rsid w:val="00C01ED7"/>
    <w:rsid w:val="00C01F2B"/>
    <w:rsid w:val="00C02728"/>
    <w:rsid w:val="00C02CD1"/>
    <w:rsid w:val="00C03143"/>
    <w:rsid w:val="00C04577"/>
    <w:rsid w:val="00C04986"/>
    <w:rsid w:val="00C06663"/>
    <w:rsid w:val="00C067EA"/>
    <w:rsid w:val="00C077DA"/>
    <w:rsid w:val="00C10FE9"/>
    <w:rsid w:val="00C119AE"/>
    <w:rsid w:val="00C12AFE"/>
    <w:rsid w:val="00C13C66"/>
    <w:rsid w:val="00C13DB7"/>
    <w:rsid w:val="00C1401B"/>
    <w:rsid w:val="00C1425D"/>
    <w:rsid w:val="00C16875"/>
    <w:rsid w:val="00C17ADD"/>
    <w:rsid w:val="00C20650"/>
    <w:rsid w:val="00C22980"/>
    <w:rsid w:val="00C26F8E"/>
    <w:rsid w:val="00C27089"/>
    <w:rsid w:val="00C34108"/>
    <w:rsid w:val="00C36BC2"/>
    <w:rsid w:val="00C37224"/>
    <w:rsid w:val="00C37B96"/>
    <w:rsid w:val="00C4294C"/>
    <w:rsid w:val="00C4348D"/>
    <w:rsid w:val="00C44CC2"/>
    <w:rsid w:val="00C452E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D28"/>
    <w:rsid w:val="00C77F12"/>
    <w:rsid w:val="00C80667"/>
    <w:rsid w:val="00C81D4B"/>
    <w:rsid w:val="00C82175"/>
    <w:rsid w:val="00C828C4"/>
    <w:rsid w:val="00C829BD"/>
    <w:rsid w:val="00C843C0"/>
    <w:rsid w:val="00C8546B"/>
    <w:rsid w:val="00C86D34"/>
    <w:rsid w:val="00C925C4"/>
    <w:rsid w:val="00C9299B"/>
    <w:rsid w:val="00C933BA"/>
    <w:rsid w:val="00C935BD"/>
    <w:rsid w:val="00C97200"/>
    <w:rsid w:val="00C97C94"/>
    <w:rsid w:val="00CA14E0"/>
    <w:rsid w:val="00CA1C1B"/>
    <w:rsid w:val="00CA36EF"/>
    <w:rsid w:val="00CA3E60"/>
    <w:rsid w:val="00CA4ABB"/>
    <w:rsid w:val="00CA68C1"/>
    <w:rsid w:val="00CB3CD6"/>
    <w:rsid w:val="00CB5FD7"/>
    <w:rsid w:val="00CB64A6"/>
    <w:rsid w:val="00CB77EB"/>
    <w:rsid w:val="00CC169C"/>
    <w:rsid w:val="00CC1784"/>
    <w:rsid w:val="00CC1E0F"/>
    <w:rsid w:val="00CC47F4"/>
    <w:rsid w:val="00CC4822"/>
    <w:rsid w:val="00CC4F1C"/>
    <w:rsid w:val="00CC50AB"/>
    <w:rsid w:val="00CC6C79"/>
    <w:rsid w:val="00CD4F49"/>
    <w:rsid w:val="00CD6C3F"/>
    <w:rsid w:val="00CD7788"/>
    <w:rsid w:val="00CD7BAE"/>
    <w:rsid w:val="00CE0E16"/>
    <w:rsid w:val="00CE0F2A"/>
    <w:rsid w:val="00CE32B2"/>
    <w:rsid w:val="00CE38D9"/>
    <w:rsid w:val="00CE53FD"/>
    <w:rsid w:val="00CE58FA"/>
    <w:rsid w:val="00CE5DCB"/>
    <w:rsid w:val="00CE603A"/>
    <w:rsid w:val="00CF0D93"/>
    <w:rsid w:val="00CF1812"/>
    <w:rsid w:val="00CF1E16"/>
    <w:rsid w:val="00CF310E"/>
    <w:rsid w:val="00CF38F9"/>
    <w:rsid w:val="00CF4088"/>
    <w:rsid w:val="00CF63B3"/>
    <w:rsid w:val="00CF6CE6"/>
    <w:rsid w:val="00CF7C97"/>
    <w:rsid w:val="00D02182"/>
    <w:rsid w:val="00D05073"/>
    <w:rsid w:val="00D05D9F"/>
    <w:rsid w:val="00D06A2B"/>
    <w:rsid w:val="00D07FD7"/>
    <w:rsid w:val="00D105C6"/>
    <w:rsid w:val="00D12E94"/>
    <w:rsid w:val="00D1364E"/>
    <w:rsid w:val="00D1436A"/>
    <w:rsid w:val="00D1689C"/>
    <w:rsid w:val="00D171B2"/>
    <w:rsid w:val="00D20720"/>
    <w:rsid w:val="00D2129E"/>
    <w:rsid w:val="00D22872"/>
    <w:rsid w:val="00D23957"/>
    <w:rsid w:val="00D25A93"/>
    <w:rsid w:val="00D26B57"/>
    <w:rsid w:val="00D27A7C"/>
    <w:rsid w:val="00D27D71"/>
    <w:rsid w:val="00D3063B"/>
    <w:rsid w:val="00D308A3"/>
    <w:rsid w:val="00D31558"/>
    <w:rsid w:val="00D33CA5"/>
    <w:rsid w:val="00D34822"/>
    <w:rsid w:val="00D35A68"/>
    <w:rsid w:val="00D35BFE"/>
    <w:rsid w:val="00D365D5"/>
    <w:rsid w:val="00D40B7C"/>
    <w:rsid w:val="00D41C77"/>
    <w:rsid w:val="00D42185"/>
    <w:rsid w:val="00D42BB5"/>
    <w:rsid w:val="00D42CC4"/>
    <w:rsid w:val="00D43E9B"/>
    <w:rsid w:val="00D45CF3"/>
    <w:rsid w:val="00D461CC"/>
    <w:rsid w:val="00D47F6A"/>
    <w:rsid w:val="00D50B19"/>
    <w:rsid w:val="00D50B4A"/>
    <w:rsid w:val="00D5322E"/>
    <w:rsid w:val="00D5329D"/>
    <w:rsid w:val="00D5504B"/>
    <w:rsid w:val="00D551E8"/>
    <w:rsid w:val="00D55E02"/>
    <w:rsid w:val="00D57DA9"/>
    <w:rsid w:val="00D609DF"/>
    <w:rsid w:val="00D621FF"/>
    <w:rsid w:val="00D63837"/>
    <w:rsid w:val="00D63CB7"/>
    <w:rsid w:val="00D64489"/>
    <w:rsid w:val="00D66B98"/>
    <w:rsid w:val="00D67E1C"/>
    <w:rsid w:val="00D7003E"/>
    <w:rsid w:val="00D722DC"/>
    <w:rsid w:val="00D72E72"/>
    <w:rsid w:val="00D740C8"/>
    <w:rsid w:val="00D81F53"/>
    <w:rsid w:val="00D82539"/>
    <w:rsid w:val="00D825B2"/>
    <w:rsid w:val="00D82D38"/>
    <w:rsid w:val="00D848CD"/>
    <w:rsid w:val="00D92955"/>
    <w:rsid w:val="00D93B6A"/>
    <w:rsid w:val="00D949B3"/>
    <w:rsid w:val="00D94CFE"/>
    <w:rsid w:val="00D94F5E"/>
    <w:rsid w:val="00D95865"/>
    <w:rsid w:val="00DA00ED"/>
    <w:rsid w:val="00DA0180"/>
    <w:rsid w:val="00DA0274"/>
    <w:rsid w:val="00DA13D0"/>
    <w:rsid w:val="00DA1F3A"/>
    <w:rsid w:val="00DA2F76"/>
    <w:rsid w:val="00DA3405"/>
    <w:rsid w:val="00DA3673"/>
    <w:rsid w:val="00DA4DF0"/>
    <w:rsid w:val="00DA763B"/>
    <w:rsid w:val="00DB023D"/>
    <w:rsid w:val="00DB1027"/>
    <w:rsid w:val="00DB1D96"/>
    <w:rsid w:val="00DB2779"/>
    <w:rsid w:val="00DB33F9"/>
    <w:rsid w:val="00DB4ECC"/>
    <w:rsid w:val="00DB5C66"/>
    <w:rsid w:val="00DB5EAB"/>
    <w:rsid w:val="00DC02B9"/>
    <w:rsid w:val="00DC099C"/>
    <w:rsid w:val="00DC33EB"/>
    <w:rsid w:val="00DC356D"/>
    <w:rsid w:val="00DC3594"/>
    <w:rsid w:val="00DC3FF1"/>
    <w:rsid w:val="00DC591D"/>
    <w:rsid w:val="00DD0E66"/>
    <w:rsid w:val="00DD129B"/>
    <w:rsid w:val="00DD1E79"/>
    <w:rsid w:val="00DD69D7"/>
    <w:rsid w:val="00DD7C1A"/>
    <w:rsid w:val="00DD7EC0"/>
    <w:rsid w:val="00DE1FC1"/>
    <w:rsid w:val="00DE273B"/>
    <w:rsid w:val="00DE3345"/>
    <w:rsid w:val="00DE4555"/>
    <w:rsid w:val="00DE5271"/>
    <w:rsid w:val="00DE5B3F"/>
    <w:rsid w:val="00DE5D46"/>
    <w:rsid w:val="00DE6EF5"/>
    <w:rsid w:val="00DE7B37"/>
    <w:rsid w:val="00DE7F77"/>
    <w:rsid w:val="00DF1384"/>
    <w:rsid w:val="00DF23A5"/>
    <w:rsid w:val="00DF382D"/>
    <w:rsid w:val="00DF46ED"/>
    <w:rsid w:val="00DF69BB"/>
    <w:rsid w:val="00DF7832"/>
    <w:rsid w:val="00E0090C"/>
    <w:rsid w:val="00E00C8A"/>
    <w:rsid w:val="00E03797"/>
    <w:rsid w:val="00E0462A"/>
    <w:rsid w:val="00E05118"/>
    <w:rsid w:val="00E06F11"/>
    <w:rsid w:val="00E07092"/>
    <w:rsid w:val="00E076EE"/>
    <w:rsid w:val="00E13803"/>
    <w:rsid w:val="00E14513"/>
    <w:rsid w:val="00E14EB6"/>
    <w:rsid w:val="00E1508B"/>
    <w:rsid w:val="00E161B2"/>
    <w:rsid w:val="00E16714"/>
    <w:rsid w:val="00E20641"/>
    <w:rsid w:val="00E21686"/>
    <w:rsid w:val="00E226C4"/>
    <w:rsid w:val="00E23559"/>
    <w:rsid w:val="00E25779"/>
    <w:rsid w:val="00E2644D"/>
    <w:rsid w:val="00E3002F"/>
    <w:rsid w:val="00E30B0F"/>
    <w:rsid w:val="00E30B76"/>
    <w:rsid w:val="00E30E4C"/>
    <w:rsid w:val="00E30F62"/>
    <w:rsid w:val="00E316DB"/>
    <w:rsid w:val="00E320DD"/>
    <w:rsid w:val="00E322E2"/>
    <w:rsid w:val="00E3248B"/>
    <w:rsid w:val="00E35518"/>
    <w:rsid w:val="00E35693"/>
    <w:rsid w:val="00E37A64"/>
    <w:rsid w:val="00E405DF"/>
    <w:rsid w:val="00E42F6C"/>
    <w:rsid w:val="00E449F2"/>
    <w:rsid w:val="00E45906"/>
    <w:rsid w:val="00E45D1C"/>
    <w:rsid w:val="00E46C32"/>
    <w:rsid w:val="00E47912"/>
    <w:rsid w:val="00E507AA"/>
    <w:rsid w:val="00E52965"/>
    <w:rsid w:val="00E63063"/>
    <w:rsid w:val="00E64CA8"/>
    <w:rsid w:val="00E65065"/>
    <w:rsid w:val="00E66473"/>
    <w:rsid w:val="00E67788"/>
    <w:rsid w:val="00E679FC"/>
    <w:rsid w:val="00E70E72"/>
    <w:rsid w:val="00E71C35"/>
    <w:rsid w:val="00E74AA6"/>
    <w:rsid w:val="00E75E62"/>
    <w:rsid w:val="00E767D9"/>
    <w:rsid w:val="00E76C0A"/>
    <w:rsid w:val="00E77E12"/>
    <w:rsid w:val="00E80B56"/>
    <w:rsid w:val="00E80DAE"/>
    <w:rsid w:val="00E83374"/>
    <w:rsid w:val="00E83F58"/>
    <w:rsid w:val="00E872DF"/>
    <w:rsid w:val="00E87852"/>
    <w:rsid w:val="00E87B6A"/>
    <w:rsid w:val="00E901E8"/>
    <w:rsid w:val="00E92687"/>
    <w:rsid w:val="00E92FF3"/>
    <w:rsid w:val="00E94536"/>
    <w:rsid w:val="00E951A6"/>
    <w:rsid w:val="00E957E5"/>
    <w:rsid w:val="00E960D2"/>
    <w:rsid w:val="00E96526"/>
    <w:rsid w:val="00E970FF"/>
    <w:rsid w:val="00EA1DC1"/>
    <w:rsid w:val="00EA46D1"/>
    <w:rsid w:val="00EA5A5B"/>
    <w:rsid w:val="00EA739F"/>
    <w:rsid w:val="00EB1208"/>
    <w:rsid w:val="00EB13CC"/>
    <w:rsid w:val="00EB426A"/>
    <w:rsid w:val="00EB48B9"/>
    <w:rsid w:val="00EC36BE"/>
    <w:rsid w:val="00EC3700"/>
    <w:rsid w:val="00EC4569"/>
    <w:rsid w:val="00EC45AB"/>
    <w:rsid w:val="00EC5B1A"/>
    <w:rsid w:val="00EC64CD"/>
    <w:rsid w:val="00EC7968"/>
    <w:rsid w:val="00ED012E"/>
    <w:rsid w:val="00ED063D"/>
    <w:rsid w:val="00ED0C5D"/>
    <w:rsid w:val="00ED1D5D"/>
    <w:rsid w:val="00ED3214"/>
    <w:rsid w:val="00ED5169"/>
    <w:rsid w:val="00ED5446"/>
    <w:rsid w:val="00ED612B"/>
    <w:rsid w:val="00ED671D"/>
    <w:rsid w:val="00ED68C8"/>
    <w:rsid w:val="00ED7726"/>
    <w:rsid w:val="00EE2200"/>
    <w:rsid w:val="00EE2326"/>
    <w:rsid w:val="00EE3C2D"/>
    <w:rsid w:val="00EE550C"/>
    <w:rsid w:val="00EE6DD8"/>
    <w:rsid w:val="00EE744F"/>
    <w:rsid w:val="00EF24AB"/>
    <w:rsid w:val="00EF4821"/>
    <w:rsid w:val="00EF4A86"/>
    <w:rsid w:val="00EF4B35"/>
    <w:rsid w:val="00EF5B9C"/>
    <w:rsid w:val="00EF6C77"/>
    <w:rsid w:val="00F009BC"/>
    <w:rsid w:val="00F01AD2"/>
    <w:rsid w:val="00F10AA4"/>
    <w:rsid w:val="00F11338"/>
    <w:rsid w:val="00F1179E"/>
    <w:rsid w:val="00F12400"/>
    <w:rsid w:val="00F12F44"/>
    <w:rsid w:val="00F132D2"/>
    <w:rsid w:val="00F1358D"/>
    <w:rsid w:val="00F13816"/>
    <w:rsid w:val="00F14B36"/>
    <w:rsid w:val="00F1598A"/>
    <w:rsid w:val="00F16B41"/>
    <w:rsid w:val="00F2571A"/>
    <w:rsid w:val="00F30C35"/>
    <w:rsid w:val="00F31732"/>
    <w:rsid w:val="00F31C3A"/>
    <w:rsid w:val="00F32D47"/>
    <w:rsid w:val="00F32F98"/>
    <w:rsid w:val="00F33BC0"/>
    <w:rsid w:val="00F359E2"/>
    <w:rsid w:val="00F35A41"/>
    <w:rsid w:val="00F370B8"/>
    <w:rsid w:val="00F37128"/>
    <w:rsid w:val="00F37496"/>
    <w:rsid w:val="00F40703"/>
    <w:rsid w:val="00F40A5C"/>
    <w:rsid w:val="00F45C80"/>
    <w:rsid w:val="00F4688B"/>
    <w:rsid w:val="00F46FA8"/>
    <w:rsid w:val="00F4700E"/>
    <w:rsid w:val="00F47553"/>
    <w:rsid w:val="00F47956"/>
    <w:rsid w:val="00F57E75"/>
    <w:rsid w:val="00F6091C"/>
    <w:rsid w:val="00F62963"/>
    <w:rsid w:val="00F62A12"/>
    <w:rsid w:val="00F655FF"/>
    <w:rsid w:val="00F70CC0"/>
    <w:rsid w:val="00F7158B"/>
    <w:rsid w:val="00F71A35"/>
    <w:rsid w:val="00F728C7"/>
    <w:rsid w:val="00F735CF"/>
    <w:rsid w:val="00F77D62"/>
    <w:rsid w:val="00F801D9"/>
    <w:rsid w:val="00F81BF6"/>
    <w:rsid w:val="00F8350F"/>
    <w:rsid w:val="00F84F51"/>
    <w:rsid w:val="00F9419E"/>
    <w:rsid w:val="00F94FAE"/>
    <w:rsid w:val="00F9581E"/>
    <w:rsid w:val="00F95D48"/>
    <w:rsid w:val="00FA0E87"/>
    <w:rsid w:val="00FA0F43"/>
    <w:rsid w:val="00FA1EDA"/>
    <w:rsid w:val="00FA2882"/>
    <w:rsid w:val="00FA40A9"/>
    <w:rsid w:val="00FA53AF"/>
    <w:rsid w:val="00FA5838"/>
    <w:rsid w:val="00FA7461"/>
    <w:rsid w:val="00FA7A7A"/>
    <w:rsid w:val="00FB0A84"/>
    <w:rsid w:val="00FB3ED8"/>
    <w:rsid w:val="00FC0A23"/>
    <w:rsid w:val="00FC11B2"/>
    <w:rsid w:val="00FC3EBF"/>
    <w:rsid w:val="00FC45B9"/>
    <w:rsid w:val="00FC610F"/>
    <w:rsid w:val="00FC67D7"/>
    <w:rsid w:val="00FC7B85"/>
    <w:rsid w:val="00FC7F89"/>
    <w:rsid w:val="00FD110B"/>
    <w:rsid w:val="00FD25A9"/>
    <w:rsid w:val="00FD2660"/>
    <w:rsid w:val="00FE02CA"/>
    <w:rsid w:val="00FE0CCE"/>
    <w:rsid w:val="00FE0CFB"/>
    <w:rsid w:val="00FE1525"/>
    <w:rsid w:val="00FE1D24"/>
    <w:rsid w:val="00FE2421"/>
    <w:rsid w:val="00FE245E"/>
    <w:rsid w:val="00FE3247"/>
    <w:rsid w:val="00FE431E"/>
    <w:rsid w:val="00FE5678"/>
    <w:rsid w:val="00FE6398"/>
    <w:rsid w:val="00FF7E15"/>
    <w:rsid w:val="00FF7F68"/>
    <w:rsid w:val="3D7A1B6B"/>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2CE4EDF-D960-494E-9461-34A0D23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3CB"/>
    <w:pPr>
      <w:jc w:val="center"/>
      <w:outlineLvl w:val="0"/>
    </w:pPr>
    <w:rPr>
      <w:rFonts w:cstheme="minorHAnsi"/>
      <w:b/>
      <w:bCs/>
    </w:rPr>
  </w:style>
  <w:style w:type="paragraph" w:styleId="Heading2">
    <w:name w:val="heading 2"/>
    <w:basedOn w:val="ListParagraph"/>
    <w:next w:val="Normal"/>
    <w:link w:val="Heading2Char"/>
    <w:uiPriority w:val="9"/>
    <w:unhideWhenUsed/>
    <w:qFormat/>
    <w:rsid w:val="00792485"/>
    <w:pPr>
      <w:numPr>
        <w:numId w:val="37"/>
      </w:numPr>
      <w:spacing w:after="120" w:line="240" w:lineRule="auto"/>
      <w:contextualSpacing w:val="0"/>
      <w:outlineLvl w:val="1"/>
    </w:pPr>
    <w:rPr>
      <w:rFonts w:ascii="Aptos" w:hAnsi="Apto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DocID">
    <w:name w:val="DocID"/>
    <w:basedOn w:val="Normal"/>
    <w:qFormat/>
    <w:rsid w:val="00DE7B37"/>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1A63CB"/>
    <w:rPr>
      <w:rFonts w:cstheme="minorHAnsi"/>
      <w:b/>
      <w:bCs/>
    </w:rPr>
  </w:style>
  <w:style w:type="character" w:customStyle="1" w:styleId="Heading2Char">
    <w:name w:val="Heading 2 Char"/>
    <w:basedOn w:val="DefaultParagraphFont"/>
    <w:link w:val="Heading2"/>
    <w:uiPriority w:val="9"/>
    <w:rsid w:val="00792485"/>
    <w:rPr>
      <w:rFonts w:ascii="Aptos" w:hAnsi="Apto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508804-2137-4B26-A0BA-AC289CD9532C}">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76</TotalTime>
  <Pages>7</Pages>
  <Words>2018</Words>
  <Characters>11506</Characters>
  <Application>Microsoft Office Word</Application>
  <DocSecurity>0</DocSecurity>
  <Lines>95</Lines>
  <Paragraphs>26</Paragraphs>
  <ScaleCrop>false</ScaleCrop>
  <Company>Commonwealth of Massachusetts</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39</cp:revision>
  <cp:lastPrinted>1900-01-01T06:00:00Z</cp:lastPrinted>
  <dcterms:created xsi:type="dcterms:W3CDTF">1900-01-01T06:00:00Z</dcterms:created>
  <dcterms:modified xsi:type="dcterms:W3CDTF">2026-05-26T19:33:00Z</dcterms:modified>
</cp:coreProperties>
</file>