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BB7F" w14:textId="269F0211" w:rsidR="009A6E7B" w:rsidRPr="008F30F5" w:rsidRDefault="00E2267A" w:rsidP="00E2267A">
      <w:pPr>
        <w:spacing w:after="0" w:line="240" w:lineRule="auto"/>
        <w:jc w:val="center"/>
        <w:rPr>
          <w:rFonts w:cs="Calibri"/>
          <w:b/>
          <w:bCs/>
          <w:sz w:val="22"/>
          <w:szCs w:val="22"/>
        </w:rPr>
      </w:pPr>
      <w:r w:rsidRPr="008F30F5">
        <w:rPr>
          <w:rFonts w:cs="Calibri"/>
          <w:b/>
          <w:bCs/>
          <w:sz w:val="22"/>
          <w:szCs w:val="22"/>
        </w:rPr>
        <w:t xml:space="preserve">APPLICANT </w:t>
      </w:r>
      <w:r w:rsidR="009A6E7B" w:rsidRPr="008F30F5">
        <w:rPr>
          <w:rFonts w:cs="Calibri"/>
          <w:b/>
          <w:bCs/>
          <w:sz w:val="22"/>
          <w:szCs w:val="22"/>
        </w:rPr>
        <w:t>RESPONSES</w:t>
      </w:r>
      <w:r w:rsidRPr="008F30F5">
        <w:rPr>
          <w:rFonts w:cs="Calibri"/>
          <w:b/>
          <w:bCs/>
          <w:sz w:val="22"/>
          <w:szCs w:val="22"/>
        </w:rPr>
        <w:t xml:space="preserve"> #1 </w:t>
      </w:r>
    </w:p>
    <w:p w14:paraId="25C53062" w14:textId="2A96448E" w:rsidR="00E2267A" w:rsidRPr="008F30F5" w:rsidRDefault="00E2267A" w:rsidP="00E2267A">
      <w:pPr>
        <w:spacing w:after="0" w:line="240" w:lineRule="auto"/>
        <w:jc w:val="center"/>
        <w:rPr>
          <w:rFonts w:cs="Calibri"/>
          <w:b/>
          <w:bCs/>
          <w:sz w:val="22"/>
          <w:szCs w:val="22"/>
        </w:rPr>
      </w:pPr>
      <w:r w:rsidRPr="008F30F5">
        <w:rPr>
          <w:rFonts w:cs="Calibri"/>
          <w:b/>
          <w:bCs/>
          <w:sz w:val="22"/>
          <w:szCs w:val="22"/>
        </w:rPr>
        <w:t xml:space="preserve">Respond by </w:t>
      </w:r>
      <w:proofErr w:type="gramStart"/>
      <w:r w:rsidRPr="008F30F5">
        <w:rPr>
          <w:rFonts w:cs="Calibri"/>
          <w:b/>
          <w:bCs/>
          <w:sz w:val="22"/>
          <w:szCs w:val="22"/>
        </w:rPr>
        <w:t>January,</w:t>
      </w:r>
      <w:proofErr w:type="gramEnd"/>
      <w:r w:rsidRPr="008F30F5">
        <w:rPr>
          <w:rFonts w:cs="Calibri"/>
          <w:b/>
          <w:bCs/>
          <w:sz w:val="22"/>
          <w:szCs w:val="22"/>
        </w:rPr>
        <w:t xml:space="preserve"> 31 2025</w:t>
      </w:r>
    </w:p>
    <w:p w14:paraId="18DDD3AE" w14:textId="77777777" w:rsidR="00E2267A" w:rsidRPr="008F30F5" w:rsidRDefault="00E2267A" w:rsidP="00E2267A">
      <w:pPr>
        <w:spacing w:after="0" w:line="240" w:lineRule="auto"/>
        <w:jc w:val="center"/>
        <w:rPr>
          <w:rFonts w:cs="Calibri"/>
          <w:sz w:val="22"/>
          <w:szCs w:val="22"/>
        </w:rPr>
      </w:pPr>
      <w:r w:rsidRPr="008F30F5">
        <w:rPr>
          <w:rFonts w:cs="Calibri"/>
          <w:i/>
          <w:iCs/>
          <w:sz w:val="22"/>
          <w:szCs w:val="22"/>
        </w:rPr>
        <w:t xml:space="preserve">Responses should be sent to DoN staff at </w:t>
      </w:r>
      <w:hyperlink r:id="rId7" w:history="1">
        <w:r w:rsidRPr="008F30F5">
          <w:rPr>
            <w:rStyle w:val="Hyperlink"/>
            <w:rFonts w:cs="Calibri"/>
            <w:sz w:val="22"/>
            <w:szCs w:val="22"/>
          </w:rPr>
          <w:t>DPH.DON@State.MA.US</w:t>
        </w:r>
      </w:hyperlink>
    </w:p>
    <w:p w14:paraId="3D9C1C6D" w14:textId="77777777" w:rsidR="00E2267A" w:rsidRPr="008F30F5" w:rsidRDefault="00E2267A" w:rsidP="00E2267A">
      <w:pPr>
        <w:spacing w:after="0" w:line="240" w:lineRule="auto"/>
        <w:jc w:val="center"/>
        <w:rPr>
          <w:rFonts w:cs="Calibri"/>
          <w:sz w:val="22"/>
          <w:szCs w:val="22"/>
        </w:rPr>
      </w:pPr>
    </w:p>
    <w:tbl>
      <w:tblPr>
        <w:tblStyle w:val="TableGrid"/>
        <w:tblW w:w="0" w:type="auto"/>
        <w:jc w:val="center"/>
        <w:tblLook w:val="04A0" w:firstRow="1" w:lastRow="0" w:firstColumn="1" w:lastColumn="0" w:noHBand="0" w:noVBand="1"/>
      </w:tblPr>
      <w:tblGrid>
        <w:gridCol w:w="9350"/>
      </w:tblGrid>
      <w:tr w:rsidR="00E2267A" w:rsidRPr="008F30F5" w14:paraId="4C809262" w14:textId="77777777" w:rsidTr="00FF1B35">
        <w:trPr>
          <w:jc w:val="center"/>
        </w:trPr>
        <w:tc>
          <w:tcPr>
            <w:tcW w:w="9350" w:type="dxa"/>
          </w:tcPr>
          <w:p w14:paraId="110E76E8" w14:textId="77777777" w:rsidR="00E2267A" w:rsidRPr="008F30F5" w:rsidRDefault="00E2267A" w:rsidP="00E2267A">
            <w:pPr>
              <w:rPr>
                <w:rFonts w:cs="Calibri"/>
                <w:bCs/>
              </w:rPr>
            </w:pPr>
            <w:r w:rsidRPr="008F30F5">
              <w:rPr>
                <w:rFonts w:cs="Calibri"/>
                <w:bCs/>
              </w:rPr>
              <w:t xml:space="preserve">While you may submit each answer as available, please </w:t>
            </w:r>
          </w:p>
          <w:p w14:paraId="72F45AB3" w14:textId="77777777" w:rsidR="00E2267A" w:rsidRPr="008F30F5" w:rsidRDefault="00E2267A" w:rsidP="00E2267A">
            <w:pPr>
              <w:numPr>
                <w:ilvl w:val="0"/>
                <w:numId w:val="7"/>
              </w:numPr>
              <w:rPr>
                <w:rFonts w:cs="Calibri"/>
                <w:bCs/>
              </w:rPr>
            </w:pPr>
            <w:r w:rsidRPr="008F30F5">
              <w:rPr>
                <w:rFonts w:cs="Calibri"/>
                <w:bCs/>
              </w:rPr>
              <w:t>List question number and question for each answer you provide.</w:t>
            </w:r>
          </w:p>
          <w:p w14:paraId="23487C9D" w14:textId="77777777" w:rsidR="00E2267A" w:rsidRPr="008F30F5" w:rsidRDefault="00E2267A" w:rsidP="00E2267A">
            <w:pPr>
              <w:numPr>
                <w:ilvl w:val="0"/>
                <w:numId w:val="7"/>
              </w:numPr>
              <w:rPr>
                <w:rFonts w:cs="Calibri"/>
                <w:bCs/>
              </w:rPr>
            </w:pPr>
            <w:r w:rsidRPr="008F30F5">
              <w:rPr>
                <w:rFonts w:cs="Calibri"/>
                <w:bCs/>
              </w:rPr>
              <w:t>Submit responses as a separate word document, using the above application title and number as a running header and page numbers in the footer.</w:t>
            </w:r>
          </w:p>
          <w:p w14:paraId="2EE168FB" w14:textId="77777777" w:rsidR="00E2267A" w:rsidRPr="008F30F5" w:rsidRDefault="00E2267A" w:rsidP="00E2267A">
            <w:pPr>
              <w:numPr>
                <w:ilvl w:val="0"/>
                <w:numId w:val="7"/>
              </w:numPr>
              <w:rPr>
                <w:rFonts w:cs="Calibri"/>
                <w:bCs/>
              </w:rPr>
            </w:pPr>
            <w:r w:rsidRPr="008F30F5">
              <w:rPr>
                <w:rFonts w:cs="Calibri"/>
                <w:bCs/>
              </w:rPr>
              <w:t xml:space="preserve">When providing the answer to the final question, submit all questions and answers in order in one final document. </w:t>
            </w:r>
          </w:p>
          <w:p w14:paraId="188525C6" w14:textId="77777777" w:rsidR="00E2267A" w:rsidRPr="008F30F5" w:rsidRDefault="00E2267A" w:rsidP="00E2267A">
            <w:pPr>
              <w:numPr>
                <w:ilvl w:val="0"/>
                <w:numId w:val="7"/>
              </w:numPr>
              <w:rPr>
                <w:rFonts w:cs="Calibri"/>
                <w:b/>
              </w:rPr>
            </w:pPr>
            <w:r w:rsidRPr="008F30F5">
              <w:rPr>
                <w:rFonts w:cs="Calibri"/>
                <w:bCs/>
              </w:rPr>
              <w:t>Submit responses in editable WORD or EXCEL format.</w:t>
            </w:r>
          </w:p>
          <w:p w14:paraId="4706E66F" w14:textId="77777777" w:rsidR="00E2267A" w:rsidRPr="008F30F5" w:rsidRDefault="00E2267A" w:rsidP="00E2267A">
            <w:pPr>
              <w:numPr>
                <w:ilvl w:val="0"/>
                <w:numId w:val="7"/>
              </w:numPr>
              <w:rPr>
                <w:rFonts w:cs="Calibri"/>
                <w:bCs/>
              </w:rPr>
            </w:pPr>
            <w:r w:rsidRPr="008F30F5">
              <w:rPr>
                <w:rFonts w:cs="Calibri"/>
                <w:bCs/>
              </w:rPr>
              <w:t>Whenever possible, include a table with the response.</w:t>
            </w:r>
          </w:p>
          <w:p w14:paraId="6EC3116E" w14:textId="77777777" w:rsidR="00E2267A" w:rsidRPr="008F30F5" w:rsidRDefault="00E2267A" w:rsidP="00E2267A">
            <w:pPr>
              <w:numPr>
                <w:ilvl w:val="0"/>
                <w:numId w:val="7"/>
              </w:numPr>
              <w:rPr>
                <w:rFonts w:cs="Calibri"/>
                <w:b/>
              </w:rPr>
            </w:pPr>
            <w:r w:rsidRPr="008F30F5">
              <w:rPr>
                <w:rFonts w:cs="Calibri"/>
                <w:b/>
              </w:rPr>
              <w:t>For HIPAA compliance Do not include numbers &lt;11.</w:t>
            </w:r>
          </w:p>
        </w:tc>
      </w:tr>
    </w:tbl>
    <w:p w14:paraId="28EF8CB2" w14:textId="77777777" w:rsidR="00E2267A" w:rsidRPr="008F30F5" w:rsidRDefault="00E2267A" w:rsidP="00B95988">
      <w:pPr>
        <w:spacing w:after="0" w:line="240" w:lineRule="auto"/>
        <w:rPr>
          <w:rFonts w:cs="Calibri"/>
          <w:sz w:val="22"/>
          <w:szCs w:val="22"/>
        </w:rPr>
      </w:pPr>
    </w:p>
    <w:p w14:paraId="4495114B" w14:textId="77777777" w:rsidR="00E2267A" w:rsidRPr="008F30F5" w:rsidRDefault="00E2267A" w:rsidP="00B95988">
      <w:pPr>
        <w:spacing w:after="0" w:line="240" w:lineRule="auto"/>
        <w:rPr>
          <w:rFonts w:cs="Calibri"/>
          <w:sz w:val="22"/>
          <w:szCs w:val="22"/>
        </w:rPr>
      </w:pPr>
    </w:p>
    <w:p w14:paraId="19146A7C" w14:textId="08F54642" w:rsidR="00A166A7" w:rsidRPr="008F30F5" w:rsidRDefault="00A166A7" w:rsidP="00B95988">
      <w:pPr>
        <w:spacing w:after="0" w:line="240" w:lineRule="auto"/>
        <w:rPr>
          <w:rFonts w:cs="Calibri"/>
          <w:sz w:val="22"/>
          <w:szCs w:val="22"/>
        </w:rPr>
      </w:pPr>
      <w:r w:rsidRPr="008F30F5">
        <w:rPr>
          <w:rFonts w:cs="Calibri"/>
          <w:sz w:val="22"/>
          <w:szCs w:val="22"/>
        </w:rPr>
        <w:t>1)</w:t>
      </w:r>
      <w:r w:rsidR="003309C7" w:rsidRPr="008F30F5">
        <w:rPr>
          <w:rFonts w:cs="Calibri"/>
          <w:sz w:val="22"/>
          <w:szCs w:val="22"/>
        </w:rPr>
        <w:t xml:space="preserve"> </w:t>
      </w:r>
      <w:r w:rsidRPr="008F30F5">
        <w:rPr>
          <w:rFonts w:cs="Calibri"/>
          <w:sz w:val="22"/>
          <w:szCs w:val="22"/>
        </w:rPr>
        <w:t xml:space="preserve"> Patient Origin</w:t>
      </w:r>
    </w:p>
    <w:p w14:paraId="3589D2E5" w14:textId="42B447AA" w:rsidR="00594D61" w:rsidRPr="008F30F5" w:rsidRDefault="00F15C6D" w:rsidP="0072350A">
      <w:pPr>
        <w:pStyle w:val="ListParagraph"/>
        <w:numPr>
          <w:ilvl w:val="0"/>
          <w:numId w:val="5"/>
        </w:numPr>
        <w:spacing w:after="0" w:line="240" w:lineRule="auto"/>
        <w:rPr>
          <w:rFonts w:cs="Calibri"/>
          <w:sz w:val="22"/>
          <w:szCs w:val="22"/>
        </w:rPr>
      </w:pPr>
      <w:r w:rsidRPr="008F30F5">
        <w:rPr>
          <w:rFonts w:cs="Calibri"/>
          <w:sz w:val="22"/>
          <w:szCs w:val="22"/>
        </w:rPr>
        <w:t xml:space="preserve">You provided Zip Codes without ranking by percentage. </w:t>
      </w:r>
      <w:r w:rsidR="00016735" w:rsidRPr="008F30F5">
        <w:rPr>
          <w:rFonts w:cs="Calibri"/>
          <w:sz w:val="22"/>
          <w:szCs w:val="22"/>
        </w:rPr>
        <w:t>W</w:t>
      </w:r>
      <w:r w:rsidR="003A4A7F" w:rsidRPr="008F30F5">
        <w:rPr>
          <w:rFonts w:cs="Calibri"/>
          <w:sz w:val="22"/>
          <w:szCs w:val="22"/>
        </w:rPr>
        <w:t xml:space="preserve">hat percentage of total </w:t>
      </w:r>
      <w:r w:rsidR="003A4A7F" w:rsidRPr="008F30F5">
        <w:rPr>
          <w:rFonts w:cs="Calibri"/>
          <w:b/>
          <w:bCs/>
          <w:sz w:val="22"/>
          <w:szCs w:val="22"/>
        </w:rPr>
        <w:t>CT Volume</w:t>
      </w:r>
      <w:r w:rsidR="003A4A7F" w:rsidRPr="008F30F5">
        <w:rPr>
          <w:rFonts w:cs="Calibri"/>
          <w:sz w:val="22"/>
          <w:szCs w:val="22"/>
        </w:rPr>
        <w:t xml:space="preserve"> do</w:t>
      </w:r>
      <w:r w:rsidR="00A638C3" w:rsidRPr="008F30F5">
        <w:rPr>
          <w:rFonts w:cs="Calibri"/>
          <w:sz w:val="22"/>
          <w:szCs w:val="22"/>
        </w:rPr>
        <w:t xml:space="preserve"> the Top 20</w:t>
      </w:r>
      <w:r w:rsidR="003A4A7F" w:rsidRPr="008F30F5">
        <w:rPr>
          <w:rFonts w:cs="Calibri"/>
          <w:sz w:val="22"/>
          <w:szCs w:val="22"/>
        </w:rPr>
        <w:t xml:space="preserve"> </w:t>
      </w:r>
      <w:r w:rsidR="003309C7" w:rsidRPr="008F30F5">
        <w:rPr>
          <w:rFonts w:cs="Calibri"/>
          <w:sz w:val="22"/>
          <w:szCs w:val="22"/>
        </w:rPr>
        <w:t xml:space="preserve">Zip codes </w:t>
      </w:r>
      <w:r w:rsidR="003A4A7F" w:rsidRPr="008F30F5">
        <w:rPr>
          <w:rFonts w:cs="Calibri"/>
          <w:sz w:val="22"/>
          <w:szCs w:val="22"/>
        </w:rPr>
        <w:t>comprise</w:t>
      </w:r>
      <w:r w:rsidR="001A5A44" w:rsidRPr="008F30F5">
        <w:rPr>
          <w:rFonts w:cs="Calibri"/>
          <w:sz w:val="22"/>
          <w:szCs w:val="22"/>
        </w:rPr>
        <w:t>?</w:t>
      </w:r>
    </w:p>
    <w:p w14:paraId="6DCE5BDE" w14:textId="77777777" w:rsidR="00934936" w:rsidRPr="008F30F5" w:rsidRDefault="00934936" w:rsidP="00934936">
      <w:pPr>
        <w:spacing w:after="0" w:line="240" w:lineRule="auto"/>
        <w:ind w:left="360"/>
        <w:rPr>
          <w:rFonts w:cs="Calibri"/>
          <w:sz w:val="22"/>
          <w:szCs w:val="22"/>
        </w:rPr>
      </w:pPr>
    </w:p>
    <w:p w14:paraId="0E16FCAD" w14:textId="413A3565" w:rsidR="00934936" w:rsidRPr="008F30F5" w:rsidRDefault="00934936" w:rsidP="00934936">
      <w:pPr>
        <w:spacing w:after="0" w:line="240" w:lineRule="auto"/>
        <w:ind w:left="720"/>
        <w:rPr>
          <w:rFonts w:cs="Calibri"/>
          <w:sz w:val="22"/>
          <w:szCs w:val="22"/>
        </w:rPr>
      </w:pPr>
      <w:r w:rsidRPr="008F30F5">
        <w:rPr>
          <w:rFonts w:cs="Calibri"/>
          <w:b/>
          <w:bCs/>
          <w:sz w:val="22"/>
          <w:szCs w:val="22"/>
        </w:rPr>
        <w:t xml:space="preserve">The top 20 zip codes provided for the Satellite represent 83% of total volume. </w:t>
      </w:r>
    </w:p>
    <w:p w14:paraId="409A3695" w14:textId="77777777" w:rsidR="00934936" w:rsidRPr="008F30F5" w:rsidRDefault="00934936" w:rsidP="00934936">
      <w:pPr>
        <w:spacing w:after="0" w:line="240" w:lineRule="auto"/>
        <w:rPr>
          <w:rFonts w:cs="Calibri"/>
          <w:sz w:val="22"/>
          <w:szCs w:val="22"/>
        </w:rPr>
      </w:pPr>
    </w:p>
    <w:p w14:paraId="26781208" w14:textId="751DB822" w:rsidR="00B82833" w:rsidRDefault="0072350A" w:rsidP="0072350A">
      <w:pPr>
        <w:pStyle w:val="ListParagraph"/>
        <w:numPr>
          <w:ilvl w:val="0"/>
          <w:numId w:val="5"/>
        </w:numPr>
        <w:spacing w:after="0" w:line="240" w:lineRule="auto"/>
        <w:rPr>
          <w:rFonts w:cs="Calibri"/>
          <w:sz w:val="22"/>
          <w:szCs w:val="22"/>
        </w:rPr>
      </w:pPr>
      <w:r w:rsidRPr="00347589">
        <w:rPr>
          <w:rFonts w:cs="Calibri"/>
          <w:sz w:val="22"/>
          <w:szCs w:val="22"/>
        </w:rPr>
        <w:t>What zip codes comprise the primary service area (75%- ranked from highest to lowest overall) of the Longmeadow site?</w:t>
      </w:r>
    </w:p>
    <w:p w14:paraId="26E105DD" w14:textId="77777777" w:rsidR="009944C6" w:rsidRDefault="009944C6" w:rsidP="009944C6">
      <w:pPr>
        <w:pStyle w:val="ListParagraph"/>
        <w:spacing w:after="0" w:line="240" w:lineRule="auto"/>
        <w:rPr>
          <w:rFonts w:cs="Calibri"/>
          <w:sz w:val="22"/>
          <w:szCs w:val="22"/>
        </w:rPr>
      </w:pPr>
    </w:p>
    <w:p w14:paraId="2C4F4C33" w14:textId="0E4B860B" w:rsidR="009944C6" w:rsidRPr="009944C6" w:rsidRDefault="009944C6" w:rsidP="009944C6">
      <w:pPr>
        <w:pStyle w:val="ListParagraph"/>
        <w:spacing w:after="0" w:line="240" w:lineRule="auto"/>
        <w:rPr>
          <w:rFonts w:cs="Calibri"/>
          <w:b/>
          <w:bCs/>
          <w:sz w:val="22"/>
          <w:szCs w:val="22"/>
        </w:rPr>
      </w:pPr>
      <w:r w:rsidRPr="009944C6">
        <w:rPr>
          <w:rFonts w:cs="Calibri"/>
          <w:b/>
          <w:bCs/>
          <w:sz w:val="22"/>
          <w:szCs w:val="22"/>
        </w:rPr>
        <w:t xml:space="preserve">The following chart </w:t>
      </w:r>
      <w:r>
        <w:rPr>
          <w:rFonts w:cs="Calibri"/>
          <w:b/>
          <w:bCs/>
          <w:sz w:val="22"/>
          <w:szCs w:val="22"/>
        </w:rPr>
        <w:t>is based on</w:t>
      </w:r>
      <w:r w:rsidRPr="009944C6">
        <w:rPr>
          <w:rFonts w:cs="Calibri"/>
          <w:b/>
          <w:bCs/>
          <w:sz w:val="22"/>
          <w:szCs w:val="22"/>
        </w:rPr>
        <w:t xml:space="preserve"> data for primary care patients at Longmeadow. </w:t>
      </w:r>
    </w:p>
    <w:p w14:paraId="7DC264AA" w14:textId="77777777" w:rsidR="00347589" w:rsidRDefault="00347589" w:rsidP="00347589">
      <w:pPr>
        <w:pStyle w:val="ListParagraph"/>
        <w:spacing w:after="0" w:line="240" w:lineRule="auto"/>
        <w:rPr>
          <w:rFonts w:cs="Calibri"/>
          <w:sz w:val="22"/>
          <w:szCs w:val="22"/>
          <w:highlight w:val="yellow"/>
        </w:rPr>
      </w:pPr>
    </w:p>
    <w:tbl>
      <w:tblPr>
        <w:tblW w:w="42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290"/>
        <w:gridCol w:w="1620"/>
      </w:tblGrid>
      <w:tr w:rsidR="009944C6" w:rsidRPr="00347589" w14:paraId="639FC7D9" w14:textId="77777777" w:rsidTr="00DF19DC">
        <w:trPr>
          <w:cantSplit/>
          <w:tblHeader/>
        </w:trPr>
        <w:tc>
          <w:tcPr>
            <w:tcW w:w="1320" w:type="dxa"/>
            <w:shd w:val="clear" w:color="auto" w:fill="DAE9F7" w:themeFill="text2" w:themeFillTint="1A"/>
            <w:noWrap/>
            <w:vAlign w:val="center"/>
            <w:hideMark/>
          </w:tcPr>
          <w:p w14:paraId="47C60FF9"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Zip Code</w:t>
            </w:r>
          </w:p>
        </w:tc>
        <w:tc>
          <w:tcPr>
            <w:tcW w:w="1290" w:type="dxa"/>
            <w:shd w:val="clear" w:color="auto" w:fill="DAE9F7" w:themeFill="text2" w:themeFillTint="1A"/>
            <w:noWrap/>
            <w:vAlign w:val="center"/>
            <w:hideMark/>
          </w:tcPr>
          <w:p w14:paraId="145F8E04"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Zip Code %</w:t>
            </w:r>
          </w:p>
        </w:tc>
        <w:tc>
          <w:tcPr>
            <w:tcW w:w="1620" w:type="dxa"/>
            <w:shd w:val="clear" w:color="auto" w:fill="DAE9F7" w:themeFill="text2" w:themeFillTint="1A"/>
            <w:noWrap/>
            <w:vAlign w:val="center"/>
            <w:hideMark/>
          </w:tcPr>
          <w:p w14:paraId="30D7D8AA"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Cumulative %</w:t>
            </w:r>
          </w:p>
        </w:tc>
      </w:tr>
      <w:tr w:rsidR="00347589" w:rsidRPr="00347589" w14:paraId="0CEA0529" w14:textId="77777777" w:rsidTr="00DF19DC">
        <w:trPr>
          <w:cantSplit/>
        </w:trPr>
        <w:tc>
          <w:tcPr>
            <w:tcW w:w="1320" w:type="dxa"/>
            <w:shd w:val="clear" w:color="FFFFFF" w:fill="FFFFFF"/>
            <w:noWrap/>
            <w:vAlign w:val="center"/>
            <w:hideMark/>
          </w:tcPr>
          <w:p w14:paraId="03C2C4B9"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01028</w:t>
            </w:r>
          </w:p>
        </w:tc>
        <w:tc>
          <w:tcPr>
            <w:tcW w:w="1290" w:type="dxa"/>
            <w:shd w:val="clear" w:color="FFFFFF" w:fill="FFFFFF"/>
            <w:noWrap/>
            <w:vAlign w:val="center"/>
            <w:hideMark/>
          </w:tcPr>
          <w:p w14:paraId="6201AE78"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15.7%</w:t>
            </w:r>
          </w:p>
        </w:tc>
        <w:tc>
          <w:tcPr>
            <w:tcW w:w="1620" w:type="dxa"/>
            <w:shd w:val="clear" w:color="auto" w:fill="auto"/>
            <w:noWrap/>
            <w:vAlign w:val="center"/>
            <w:hideMark/>
          </w:tcPr>
          <w:p w14:paraId="758F1372"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15.7%</w:t>
            </w:r>
          </w:p>
        </w:tc>
      </w:tr>
      <w:tr w:rsidR="00347589" w:rsidRPr="00347589" w14:paraId="79AB55F5" w14:textId="77777777" w:rsidTr="00DF19DC">
        <w:trPr>
          <w:cantSplit/>
        </w:trPr>
        <w:tc>
          <w:tcPr>
            <w:tcW w:w="1320" w:type="dxa"/>
            <w:shd w:val="clear" w:color="FFFFFF" w:fill="FFFFFF"/>
            <w:noWrap/>
            <w:vAlign w:val="center"/>
            <w:hideMark/>
          </w:tcPr>
          <w:p w14:paraId="08D4BC68"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01106</w:t>
            </w:r>
          </w:p>
        </w:tc>
        <w:tc>
          <w:tcPr>
            <w:tcW w:w="1290" w:type="dxa"/>
            <w:shd w:val="clear" w:color="FFFFFF" w:fill="FFFFFF"/>
            <w:noWrap/>
            <w:vAlign w:val="center"/>
            <w:hideMark/>
          </w:tcPr>
          <w:p w14:paraId="644C9255"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12.7%</w:t>
            </w:r>
          </w:p>
        </w:tc>
        <w:tc>
          <w:tcPr>
            <w:tcW w:w="1620" w:type="dxa"/>
            <w:shd w:val="clear" w:color="auto" w:fill="auto"/>
            <w:noWrap/>
            <w:vAlign w:val="center"/>
            <w:hideMark/>
          </w:tcPr>
          <w:p w14:paraId="6896BBB1"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28.4%</w:t>
            </w:r>
          </w:p>
        </w:tc>
      </w:tr>
      <w:tr w:rsidR="00347589" w:rsidRPr="00347589" w14:paraId="01FA5F90" w14:textId="77777777" w:rsidTr="00DF19DC">
        <w:trPr>
          <w:cantSplit/>
        </w:trPr>
        <w:tc>
          <w:tcPr>
            <w:tcW w:w="1320" w:type="dxa"/>
            <w:shd w:val="clear" w:color="FFFFFF" w:fill="FFFFFF"/>
            <w:noWrap/>
            <w:vAlign w:val="center"/>
            <w:hideMark/>
          </w:tcPr>
          <w:p w14:paraId="3D0D7DFB"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01118</w:t>
            </w:r>
          </w:p>
        </w:tc>
        <w:tc>
          <w:tcPr>
            <w:tcW w:w="1290" w:type="dxa"/>
            <w:shd w:val="clear" w:color="FFFFFF" w:fill="FFFFFF"/>
            <w:noWrap/>
            <w:vAlign w:val="center"/>
            <w:hideMark/>
          </w:tcPr>
          <w:p w14:paraId="49A6E844"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6.2%</w:t>
            </w:r>
          </w:p>
        </w:tc>
        <w:tc>
          <w:tcPr>
            <w:tcW w:w="1620" w:type="dxa"/>
            <w:shd w:val="clear" w:color="auto" w:fill="auto"/>
            <w:noWrap/>
            <w:vAlign w:val="center"/>
            <w:hideMark/>
          </w:tcPr>
          <w:p w14:paraId="232949A1"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34.6%</w:t>
            </w:r>
          </w:p>
        </w:tc>
      </w:tr>
      <w:tr w:rsidR="00347589" w:rsidRPr="00347589" w14:paraId="049ED21F" w14:textId="77777777" w:rsidTr="00DF19DC">
        <w:trPr>
          <w:cantSplit/>
        </w:trPr>
        <w:tc>
          <w:tcPr>
            <w:tcW w:w="1320" w:type="dxa"/>
            <w:shd w:val="clear" w:color="FFFFFF" w:fill="FFFFFF"/>
            <w:noWrap/>
            <w:vAlign w:val="center"/>
            <w:hideMark/>
          </w:tcPr>
          <w:p w14:paraId="7D30C205"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01108</w:t>
            </w:r>
          </w:p>
        </w:tc>
        <w:tc>
          <w:tcPr>
            <w:tcW w:w="1290" w:type="dxa"/>
            <w:shd w:val="clear" w:color="FFFFFF" w:fill="FFFFFF"/>
            <w:noWrap/>
            <w:vAlign w:val="center"/>
            <w:hideMark/>
          </w:tcPr>
          <w:p w14:paraId="52902830"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5.8%</w:t>
            </w:r>
          </w:p>
        </w:tc>
        <w:tc>
          <w:tcPr>
            <w:tcW w:w="1620" w:type="dxa"/>
            <w:shd w:val="clear" w:color="auto" w:fill="auto"/>
            <w:noWrap/>
            <w:vAlign w:val="center"/>
            <w:hideMark/>
          </w:tcPr>
          <w:p w14:paraId="7F629944"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40.4%</w:t>
            </w:r>
          </w:p>
        </w:tc>
      </w:tr>
      <w:tr w:rsidR="00347589" w:rsidRPr="00347589" w14:paraId="7795FAA7" w14:textId="77777777" w:rsidTr="00DF19DC">
        <w:trPr>
          <w:cantSplit/>
        </w:trPr>
        <w:tc>
          <w:tcPr>
            <w:tcW w:w="1320" w:type="dxa"/>
            <w:shd w:val="clear" w:color="FFFFFF" w:fill="FFFFFF"/>
            <w:noWrap/>
            <w:vAlign w:val="center"/>
            <w:hideMark/>
          </w:tcPr>
          <w:p w14:paraId="5BEFB205"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01095</w:t>
            </w:r>
          </w:p>
        </w:tc>
        <w:tc>
          <w:tcPr>
            <w:tcW w:w="1290" w:type="dxa"/>
            <w:shd w:val="clear" w:color="FFFFFF" w:fill="FFFFFF"/>
            <w:noWrap/>
            <w:vAlign w:val="center"/>
            <w:hideMark/>
          </w:tcPr>
          <w:p w14:paraId="158D63F4"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5.7%</w:t>
            </w:r>
          </w:p>
        </w:tc>
        <w:tc>
          <w:tcPr>
            <w:tcW w:w="1620" w:type="dxa"/>
            <w:shd w:val="clear" w:color="auto" w:fill="auto"/>
            <w:noWrap/>
            <w:vAlign w:val="center"/>
            <w:hideMark/>
          </w:tcPr>
          <w:p w14:paraId="6C403DF6"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46.1%</w:t>
            </w:r>
          </w:p>
        </w:tc>
      </w:tr>
      <w:tr w:rsidR="00347589" w:rsidRPr="00347589" w14:paraId="3A15101D" w14:textId="77777777" w:rsidTr="00DF19DC">
        <w:trPr>
          <w:cantSplit/>
        </w:trPr>
        <w:tc>
          <w:tcPr>
            <w:tcW w:w="1320" w:type="dxa"/>
            <w:shd w:val="clear" w:color="FFFFFF" w:fill="FFFFFF"/>
            <w:noWrap/>
            <w:vAlign w:val="center"/>
            <w:hideMark/>
          </w:tcPr>
          <w:p w14:paraId="4FBDD546"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01089</w:t>
            </w:r>
          </w:p>
        </w:tc>
        <w:tc>
          <w:tcPr>
            <w:tcW w:w="1290" w:type="dxa"/>
            <w:shd w:val="clear" w:color="FFFFFF" w:fill="FFFFFF"/>
            <w:noWrap/>
            <w:vAlign w:val="center"/>
            <w:hideMark/>
          </w:tcPr>
          <w:p w14:paraId="40ABBAF7"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4.4%</w:t>
            </w:r>
          </w:p>
        </w:tc>
        <w:tc>
          <w:tcPr>
            <w:tcW w:w="1620" w:type="dxa"/>
            <w:shd w:val="clear" w:color="auto" w:fill="auto"/>
            <w:noWrap/>
            <w:vAlign w:val="center"/>
            <w:hideMark/>
          </w:tcPr>
          <w:p w14:paraId="17307C16"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50.5%</w:t>
            </w:r>
          </w:p>
        </w:tc>
      </w:tr>
      <w:tr w:rsidR="00347589" w:rsidRPr="00347589" w14:paraId="09141C8C" w14:textId="77777777" w:rsidTr="00DF19DC">
        <w:trPr>
          <w:cantSplit/>
        </w:trPr>
        <w:tc>
          <w:tcPr>
            <w:tcW w:w="1320" w:type="dxa"/>
            <w:shd w:val="clear" w:color="FFFFFF" w:fill="FFFFFF"/>
            <w:noWrap/>
            <w:vAlign w:val="center"/>
            <w:hideMark/>
          </w:tcPr>
          <w:p w14:paraId="5518043F"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01036</w:t>
            </w:r>
          </w:p>
        </w:tc>
        <w:tc>
          <w:tcPr>
            <w:tcW w:w="1290" w:type="dxa"/>
            <w:shd w:val="clear" w:color="FFFFFF" w:fill="FFFFFF"/>
            <w:noWrap/>
            <w:vAlign w:val="center"/>
            <w:hideMark/>
          </w:tcPr>
          <w:p w14:paraId="1567CB51"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3.5%</w:t>
            </w:r>
          </w:p>
        </w:tc>
        <w:tc>
          <w:tcPr>
            <w:tcW w:w="1620" w:type="dxa"/>
            <w:shd w:val="clear" w:color="auto" w:fill="auto"/>
            <w:noWrap/>
            <w:vAlign w:val="center"/>
            <w:hideMark/>
          </w:tcPr>
          <w:p w14:paraId="49EFA184"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54.0%</w:t>
            </w:r>
          </w:p>
        </w:tc>
      </w:tr>
      <w:tr w:rsidR="00347589" w:rsidRPr="00347589" w14:paraId="222BE25C" w14:textId="77777777" w:rsidTr="00DF19DC">
        <w:trPr>
          <w:cantSplit/>
        </w:trPr>
        <w:tc>
          <w:tcPr>
            <w:tcW w:w="1320" w:type="dxa"/>
            <w:shd w:val="clear" w:color="FFFFFF" w:fill="FFFFFF"/>
            <w:noWrap/>
            <w:vAlign w:val="center"/>
            <w:hideMark/>
          </w:tcPr>
          <w:p w14:paraId="6397E74C"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01001</w:t>
            </w:r>
          </w:p>
        </w:tc>
        <w:tc>
          <w:tcPr>
            <w:tcW w:w="1290" w:type="dxa"/>
            <w:shd w:val="clear" w:color="FFFFFF" w:fill="FFFFFF"/>
            <w:noWrap/>
            <w:vAlign w:val="center"/>
            <w:hideMark/>
          </w:tcPr>
          <w:p w14:paraId="5591308A"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3.2%</w:t>
            </w:r>
          </w:p>
        </w:tc>
        <w:tc>
          <w:tcPr>
            <w:tcW w:w="1620" w:type="dxa"/>
            <w:shd w:val="clear" w:color="auto" w:fill="auto"/>
            <w:noWrap/>
            <w:vAlign w:val="center"/>
            <w:hideMark/>
          </w:tcPr>
          <w:p w14:paraId="3E00077C"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57.1%</w:t>
            </w:r>
          </w:p>
        </w:tc>
      </w:tr>
      <w:tr w:rsidR="00347589" w:rsidRPr="00347589" w14:paraId="0C5D7C29" w14:textId="77777777" w:rsidTr="00DF19DC">
        <w:trPr>
          <w:cantSplit/>
        </w:trPr>
        <w:tc>
          <w:tcPr>
            <w:tcW w:w="1320" w:type="dxa"/>
            <w:shd w:val="clear" w:color="FFFFFF" w:fill="FFFFFF"/>
            <w:noWrap/>
            <w:vAlign w:val="center"/>
            <w:hideMark/>
          </w:tcPr>
          <w:p w14:paraId="0897B3C0"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01109</w:t>
            </w:r>
          </w:p>
        </w:tc>
        <w:tc>
          <w:tcPr>
            <w:tcW w:w="1290" w:type="dxa"/>
            <w:shd w:val="clear" w:color="FFFFFF" w:fill="FFFFFF"/>
            <w:noWrap/>
            <w:vAlign w:val="center"/>
            <w:hideMark/>
          </w:tcPr>
          <w:p w14:paraId="3ED77570"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3.0%</w:t>
            </w:r>
          </w:p>
        </w:tc>
        <w:tc>
          <w:tcPr>
            <w:tcW w:w="1620" w:type="dxa"/>
            <w:shd w:val="clear" w:color="auto" w:fill="auto"/>
            <w:noWrap/>
            <w:vAlign w:val="center"/>
            <w:hideMark/>
          </w:tcPr>
          <w:p w14:paraId="6AC1155D"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60.2%</w:t>
            </w:r>
          </w:p>
        </w:tc>
      </w:tr>
      <w:tr w:rsidR="00347589" w:rsidRPr="00347589" w14:paraId="0186779E" w14:textId="77777777" w:rsidTr="00DF19DC">
        <w:trPr>
          <w:cantSplit/>
        </w:trPr>
        <w:tc>
          <w:tcPr>
            <w:tcW w:w="1320" w:type="dxa"/>
            <w:shd w:val="clear" w:color="FFFFFF" w:fill="FFFFFF"/>
            <w:noWrap/>
            <w:vAlign w:val="center"/>
            <w:hideMark/>
          </w:tcPr>
          <w:p w14:paraId="7970EF88"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01020</w:t>
            </w:r>
          </w:p>
        </w:tc>
        <w:tc>
          <w:tcPr>
            <w:tcW w:w="1290" w:type="dxa"/>
            <w:shd w:val="clear" w:color="FFFFFF" w:fill="FFFFFF"/>
            <w:noWrap/>
            <w:vAlign w:val="center"/>
            <w:hideMark/>
          </w:tcPr>
          <w:p w14:paraId="7CA22EE9"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3.0%</w:t>
            </w:r>
          </w:p>
        </w:tc>
        <w:tc>
          <w:tcPr>
            <w:tcW w:w="1620" w:type="dxa"/>
            <w:shd w:val="clear" w:color="auto" w:fill="auto"/>
            <w:noWrap/>
            <w:vAlign w:val="center"/>
            <w:hideMark/>
          </w:tcPr>
          <w:p w14:paraId="74EEA03F"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63.1%</w:t>
            </w:r>
          </w:p>
        </w:tc>
      </w:tr>
      <w:tr w:rsidR="00347589" w:rsidRPr="00347589" w14:paraId="1158865F" w14:textId="77777777" w:rsidTr="00DF19DC">
        <w:trPr>
          <w:cantSplit/>
        </w:trPr>
        <w:tc>
          <w:tcPr>
            <w:tcW w:w="1320" w:type="dxa"/>
            <w:shd w:val="clear" w:color="FFFFFF" w:fill="FFFFFF"/>
            <w:noWrap/>
            <w:vAlign w:val="center"/>
            <w:hideMark/>
          </w:tcPr>
          <w:p w14:paraId="1EA79D13"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01119</w:t>
            </w:r>
          </w:p>
        </w:tc>
        <w:tc>
          <w:tcPr>
            <w:tcW w:w="1290" w:type="dxa"/>
            <w:shd w:val="clear" w:color="FFFFFF" w:fill="FFFFFF"/>
            <w:noWrap/>
            <w:vAlign w:val="center"/>
            <w:hideMark/>
          </w:tcPr>
          <w:p w14:paraId="1F41AFFB"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2.9%</w:t>
            </w:r>
          </w:p>
        </w:tc>
        <w:tc>
          <w:tcPr>
            <w:tcW w:w="1620" w:type="dxa"/>
            <w:shd w:val="clear" w:color="auto" w:fill="auto"/>
            <w:noWrap/>
            <w:vAlign w:val="center"/>
            <w:hideMark/>
          </w:tcPr>
          <w:p w14:paraId="3608F980"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66.0%</w:t>
            </w:r>
          </w:p>
        </w:tc>
      </w:tr>
      <w:tr w:rsidR="00347589" w:rsidRPr="00347589" w14:paraId="3F6FDB97" w14:textId="77777777" w:rsidTr="00DF19DC">
        <w:trPr>
          <w:cantSplit/>
        </w:trPr>
        <w:tc>
          <w:tcPr>
            <w:tcW w:w="1320" w:type="dxa"/>
            <w:shd w:val="clear" w:color="FFFFFF" w:fill="FFFFFF"/>
            <w:noWrap/>
            <w:vAlign w:val="center"/>
            <w:hideMark/>
          </w:tcPr>
          <w:p w14:paraId="0C27A4A9"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06082</w:t>
            </w:r>
          </w:p>
        </w:tc>
        <w:tc>
          <w:tcPr>
            <w:tcW w:w="1290" w:type="dxa"/>
            <w:shd w:val="clear" w:color="FFFFFF" w:fill="FFFFFF"/>
            <w:noWrap/>
            <w:vAlign w:val="center"/>
            <w:hideMark/>
          </w:tcPr>
          <w:p w14:paraId="67E49912"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2.7%</w:t>
            </w:r>
          </w:p>
        </w:tc>
        <w:tc>
          <w:tcPr>
            <w:tcW w:w="1620" w:type="dxa"/>
            <w:shd w:val="clear" w:color="auto" w:fill="auto"/>
            <w:noWrap/>
            <w:vAlign w:val="center"/>
            <w:hideMark/>
          </w:tcPr>
          <w:p w14:paraId="47D131CA"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68.8%</w:t>
            </w:r>
          </w:p>
        </w:tc>
      </w:tr>
      <w:tr w:rsidR="00347589" w:rsidRPr="00347589" w14:paraId="2EE45452" w14:textId="77777777" w:rsidTr="00DF19DC">
        <w:trPr>
          <w:cantSplit/>
        </w:trPr>
        <w:tc>
          <w:tcPr>
            <w:tcW w:w="1320" w:type="dxa"/>
            <w:shd w:val="clear" w:color="FFFFFF" w:fill="FFFFFF"/>
            <w:noWrap/>
            <w:vAlign w:val="center"/>
            <w:hideMark/>
          </w:tcPr>
          <w:p w14:paraId="4147F517"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01056</w:t>
            </w:r>
          </w:p>
        </w:tc>
        <w:tc>
          <w:tcPr>
            <w:tcW w:w="1290" w:type="dxa"/>
            <w:shd w:val="clear" w:color="FFFFFF" w:fill="FFFFFF"/>
            <w:noWrap/>
            <w:vAlign w:val="center"/>
            <w:hideMark/>
          </w:tcPr>
          <w:p w14:paraId="009246E8"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2.6%</w:t>
            </w:r>
          </w:p>
        </w:tc>
        <w:tc>
          <w:tcPr>
            <w:tcW w:w="1620" w:type="dxa"/>
            <w:shd w:val="clear" w:color="auto" w:fill="auto"/>
            <w:noWrap/>
            <w:vAlign w:val="center"/>
            <w:hideMark/>
          </w:tcPr>
          <w:p w14:paraId="06B6D3B4"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71.4%</w:t>
            </w:r>
          </w:p>
        </w:tc>
      </w:tr>
      <w:tr w:rsidR="00347589" w:rsidRPr="00347589" w14:paraId="63423C3D" w14:textId="77777777" w:rsidTr="00DF19DC">
        <w:trPr>
          <w:cantSplit/>
        </w:trPr>
        <w:tc>
          <w:tcPr>
            <w:tcW w:w="1320" w:type="dxa"/>
            <w:shd w:val="clear" w:color="FFFFFF" w:fill="FFFFFF"/>
            <w:noWrap/>
            <w:vAlign w:val="center"/>
            <w:hideMark/>
          </w:tcPr>
          <w:p w14:paraId="0883880D"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01104</w:t>
            </w:r>
          </w:p>
        </w:tc>
        <w:tc>
          <w:tcPr>
            <w:tcW w:w="1290" w:type="dxa"/>
            <w:shd w:val="clear" w:color="FFFFFF" w:fill="FFFFFF"/>
            <w:noWrap/>
            <w:vAlign w:val="center"/>
            <w:hideMark/>
          </w:tcPr>
          <w:p w14:paraId="390703AC"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2.4%</w:t>
            </w:r>
          </w:p>
        </w:tc>
        <w:tc>
          <w:tcPr>
            <w:tcW w:w="1620" w:type="dxa"/>
            <w:shd w:val="clear" w:color="auto" w:fill="auto"/>
            <w:noWrap/>
            <w:vAlign w:val="center"/>
            <w:hideMark/>
          </w:tcPr>
          <w:p w14:paraId="5D24AE5E"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73.7%</w:t>
            </w:r>
          </w:p>
        </w:tc>
      </w:tr>
      <w:tr w:rsidR="00347589" w:rsidRPr="00347589" w14:paraId="6D5DB994" w14:textId="77777777" w:rsidTr="00DF19DC">
        <w:trPr>
          <w:cantSplit/>
        </w:trPr>
        <w:tc>
          <w:tcPr>
            <w:tcW w:w="1320" w:type="dxa"/>
            <w:shd w:val="clear" w:color="FFFFFF" w:fill="FFFFFF"/>
            <w:noWrap/>
            <w:vAlign w:val="center"/>
            <w:hideMark/>
          </w:tcPr>
          <w:p w14:paraId="7F0DE62B"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01085</w:t>
            </w:r>
          </w:p>
        </w:tc>
        <w:tc>
          <w:tcPr>
            <w:tcW w:w="1290" w:type="dxa"/>
            <w:shd w:val="clear" w:color="FFFFFF" w:fill="FFFFFF"/>
            <w:noWrap/>
            <w:vAlign w:val="center"/>
            <w:hideMark/>
          </w:tcPr>
          <w:p w14:paraId="5344030B"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2.2%</w:t>
            </w:r>
          </w:p>
        </w:tc>
        <w:tc>
          <w:tcPr>
            <w:tcW w:w="1620" w:type="dxa"/>
            <w:shd w:val="clear" w:color="auto" w:fill="auto"/>
            <w:noWrap/>
            <w:vAlign w:val="center"/>
            <w:hideMark/>
          </w:tcPr>
          <w:p w14:paraId="7335ADE9" w14:textId="77777777" w:rsidR="00347589" w:rsidRPr="00347589" w:rsidRDefault="00347589" w:rsidP="00347589">
            <w:pPr>
              <w:spacing w:after="0" w:line="240" w:lineRule="auto"/>
              <w:jc w:val="center"/>
              <w:rPr>
                <w:rFonts w:ascii="Aptos" w:eastAsia="Times New Roman" w:hAnsi="Aptos" w:cs="Arial"/>
                <w:b/>
                <w:bCs/>
                <w:sz w:val="20"/>
                <w:szCs w:val="20"/>
              </w:rPr>
            </w:pPr>
            <w:r w:rsidRPr="00347589">
              <w:rPr>
                <w:rFonts w:ascii="Aptos" w:eastAsia="Times New Roman" w:hAnsi="Aptos" w:cs="Arial"/>
                <w:b/>
                <w:bCs/>
                <w:sz w:val="20"/>
                <w:szCs w:val="20"/>
              </w:rPr>
              <w:t>76.0%</w:t>
            </w:r>
          </w:p>
        </w:tc>
      </w:tr>
    </w:tbl>
    <w:p w14:paraId="0C8D5CFF" w14:textId="77777777" w:rsidR="00347589" w:rsidRPr="00CA4513" w:rsidRDefault="00347589" w:rsidP="00347589">
      <w:pPr>
        <w:pStyle w:val="ListParagraph"/>
        <w:spacing w:after="0" w:line="240" w:lineRule="auto"/>
        <w:rPr>
          <w:rFonts w:cs="Calibri"/>
          <w:sz w:val="22"/>
          <w:szCs w:val="22"/>
          <w:highlight w:val="yellow"/>
        </w:rPr>
      </w:pPr>
    </w:p>
    <w:p w14:paraId="21CD14CF" w14:textId="77777777" w:rsidR="00934936" w:rsidRDefault="00934936" w:rsidP="00934936">
      <w:pPr>
        <w:spacing w:after="0" w:line="240" w:lineRule="auto"/>
        <w:rPr>
          <w:rFonts w:cs="Calibri"/>
          <w:sz w:val="22"/>
          <w:szCs w:val="22"/>
        </w:rPr>
      </w:pPr>
    </w:p>
    <w:p w14:paraId="043E9039" w14:textId="77777777" w:rsidR="009944C6" w:rsidRDefault="009944C6" w:rsidP="00934936">
      <w:pPr>
        <w:spacing w:after="0" w:line="240" w:lineRule="auto"/>
        <w:rPr>
          <w:rFonts w:cs="Calibri"/>
          <w:sz w:val="22"/>
          <w:szCs w:val="22"/>
        </w:rPr>
      </w:pPr>
    </w:p>
    <w:p w14:paraId="0C1E6462" w14:textId="77777777" w:rsidR="009944C6" w:rsidRDefault="009944C6" w:rsidP="00934936">
      <w:pPr>
        <w:spacing w:after="0" w:line="240" w:lineRule="auto"/>
        <w:rPr>
          <w:rFonts w:cs="Calibri"/>
          <w:sz w:val="22"/>
          <w:szCs w:val="22"/>
        </w:rPr>
      </w:pPr>
    </w:p>
    <w:p w14:paraId="172E2BDE" w14:textId="77777777" w:rsidR="009944C6" w:rsidRPr="008F30F5" w:rsidRDefault="009944C6" w:rsidP="00934936">
      <w:pPr>
        <w:spacing w:after="0" w:line="240" w:lineRule="auto"/>
        <w:rPr>
          <w:rFonts w:cs="Calibri"/>
          <w:sz w:val="22"/>
          <w:szCs w:val="22"/>
        </w:rPr>
      </w:pPr>
    </w:p>
    <w:p w14:paraId="72CE7B60" w14:textId="2605DFC4" w:rsidR="00F15C6D" w:rsidRPr="003972FE" w:rsidRDefault="00F15C6D" w:rsidP="00934936">
      <w:pPr>
        <w:pStyle w:val="ListParagraph"/>
        <w:numPr>
          <w:ilvl w:val="0"/>
          <w:numId w:val="5"/>
        </w:numPr>
        <w:spacing w:after="0" w:line="240" w:lineRule="auto"/>
        <w:rPr>
          <w:rFonts w:cs="Calibri"/>
          <w:sz w:val="22"/>
          <w:szCs w:val="22"/>
        </w:rPr>
      </w:pPr>
      <w:r w:rsidRPr="003972FE">
        <w:rPr>
          <w:rFonts w:cs="Calibri"/>
          <w:sz w:val="22"/>
          <w:szCs w:val="22"/>
        </w:rPr>
        <w:lastRenderedPageBreak/>
        <w:t>Please provide the patient origin ranked from most to least (%) for the Patient Panel of the Applicant (Baystate Health), Satellite, and the Longmeadow site.</w:t>
      </w:r>
    </w:p>
    <w:p w14:paraId="58CCE441" w14:textId="77777777" w:rsidR="00934936" w:rsidRPr="008F30F5" w:rsidRDefault="00934936" w:rsidP="00934936">
      <w:pPr>
        <w:spacing w:after="0" w:line="240" w:lineRule="auto"/>
        <w:rPr>
          <w:rFonts w:cs="Calibri"/>
          <w:sz w:val="22"/>
          <w:szCs w:val="22"/>
        </w:rPr>
      </w:pPr>
    </w:p>
    <w:tbl>
      <w:tblPr>
        <w:tblW w:w="863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700"/>
        <w:gridCol w:w="2695"/>
      </w:tblGrid>
      <w:tr w:rsidR="00934936" w:rsidRPr="008F30F5" w14:paraId="52A395B0" w14:textId="2AE29A9E" w:rsidTr="00DF19DC">
        <w:trPr>
          <w:cantSplit/>
          <w:trHeight w:val="290"/>
          <w:tblHeader/>
        </w:trPr>
        <w:tc>
          <w:tcPr>
            <w:tcW w:w="3240" w:type="dxa"/>
            <w:shd w:val="clear" w:color="auto" w:fill="DAE9F7" w:themeFill="text2" w:themeFillTint="1A"/>
            <w:noWrap/>
            <w:vAlign w:val="bottom"/>
            <w:hideMark/>
          </w:tcPr>
          <w:p w14:paraId="7ED5296F" w14:textId="5AD5BFFC" w:rsidR="00934936" w:rsidRPr="00A23FF6" w:rsidRDefault="00934936" w:rsidP="00934936">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 xml:space="preserve">Baystate Health </w:t>
            </w:r>
          </w:p>
        </w:tc>
        <w:tc>
          <w:tcPr>
            <w:tcW w:w="2700" w:type="dxa"/>
            <w:shd w:val="clear" w:color="auto" w:fill="DAE9F7" w:themeFill="text2" w:themeFillTint="1A"/>
          </w:tcPr>
          <w:p w14:paraId="79A4B0D1" w14:textId="7C8DAC86" w:rsidR="00934936" w:rsidRPr="00A23FF6" w:rsidRDefault="00934936" w:rsidP="00934936">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 xml:space="preserve">Satellite </w:t>
            </w:r>
          </w:p>
        </w:tc>
        <w:tc>
          <w:tcPr>
            <w:tcW w:w="2695" w:type="dxa"/>
            <w:shd w:val="clear" w:color="auto" w:fill="DAE9F7" w:themeFill="text2" w:themeFillTint="1A"/>
          </w:tcPr>
          <w:p w14:paraId="5252709F" w14:textId="7B13D550" w:rsidR="00934936" w:rsidRPr="00A23FF6" w:rsidRDefault="00934936" w:rsidP="00934936">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Longmeadow (7</w:t>
            </w:r>
            <w:r w:rsidR="003972FE" w:rsidRPr="00A23FF6">
              <w:rPr>
                <w:rFonts w:eastAsia="Times New Roman" w:cs="Calibri"/>
                <w:b/>
                <w:bCs/>
                <w:color w:val="000000"/>
                <w:sz w:val="20"/>
                <w:szCs w:val="20"/>
              </w:rPr>
              <w:t>6</w:t>
            </w:r>
            <w:r w:rsidRPr="00A23FF6">
              <w:rPr>
                <w:rFonts w:eastAsia="Times New Roman" w:cs="Calibri"/>
                <w:b/>
                <w:bCs/>
                <w:color w:val="000000"/>
                <w:sz w:val="20"/>
                <w:szCs w:val="20"/>
              </w:rPr>
              <w:t>%)</w:t>
            </w:r>
          </w:p>
        </w:tc>
      </w:tr>
      <w:tr w:rsidR="002211A7" w:rsidRPr="008F30F5" w14:paraId="1DFDCE35" w14:textId="3FB759B4" w:rsidTr="00DF19DC">
        <w:trPr>
          <w:cantSplit/>
          <w:trHeight w:val="290"/>
        </w:trPr>
        <w:tc>
          <w:tcPr>
            <w:tcW w:w="3240" w:type="dxa"/>
            <w:shd w:val="clear" w:color="auto" w:fill="auto"/>
            <w:noWrap/>
            <w:vAlign w:val="bottom"/>
          </w:tcPr>
          <w:p w14:paraId="68B25F45" w14:textId="318EF4AB"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Springfield (21%)</w:t>
            </w:r>
          </w:p>
        </w:tc>
        <w:tc>
          <w:tcPr>
            <w:tcW w:w="2700" w:type="dxa"/>
            <w:shd w:val="clear" w:color="auto" w:fill="auto"/>
            <w:vAlign w:val="bottom"/>
          </w:tcPr>
          <w:p w14:paraId="74AD13B8" w14:textId="1B7CA701"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Springfield (34%)</w:t>
            </w:r>
          </w:p>
        </w:tc>
        <w:tc>
          <w:tcPr>
            <w:tcW w:w="2695" w:type="dxa"/>
            <w:vAlign w:val="bottom"/>
          </w:tcPr>
          <w:p w14:paraId="77F93557" w14:textId="5FDCF968" w:rsidR="002211A7" w:rsidRPr="00A23FF6" w:rsidRDefault="00A23FF6" w:rsidP="002211A7">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Springfield (20%)</w:t>
            </w:r>
          </w:p>
        </w:tc>
      </w:tr>
      <w:tr w:rsidR="002211A7" w:rsidRPr="008F30F5" w14:paraId="247C45A8" w14:textId="2E803A7A" w:rsidTr="00DF19DC">
        <w:trPr>
          <w:cantSplit/>
          <w:trHeight w:val="290"/>
        </w:trPr>
        <w:tc>
          <w:tcPr>
            <w:tcW w:w="3240" w:type="dxa"/>
            <w:shd w:val="clear" w:color="auto" w:fill="auto"/>
            <w:noWrap/>
            <w:vAlign w:val="bottom"/>
          </w:tcPr>
          <w:p w14:paraId="2CDC8F90" w14:textId="4382FE1D"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Westfield (7%)</w:t>
            </w:r>
          </w:p>
        </w:tc>
        <w:tc>
          <w:tcPr>
            <w:tcW w:w="2700" w:type="dxa"/>
            <w:shd w:val="clear" w:color="auto" w:fill="auto"/>
            <w:vAlign w:val="bottom"/>
          </w:tcPr>
          <w:p w14:paraId="0B4475AB" w14:textId="451FB058"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Chicopee (13%)</w:t>
            </w:r>
          </w:p>
        </w:tc>
        <w:tc>
          <w:tcPr>
            <w:tcW w:w="2695" w:type="dxa"/>
            <w:vAlign w:val="bottom"/>
          </w:tcPr>
          <w:p w14:paraId="08501525" w14:textId="60B89198" w:rsidR="002211A7" w:rsidRPr="00A23FF6" w:rsidRDefault="00A23FF6" w:rsidP="002211A7">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East Longmeadow (16%)</w:t>
            </w:r>
          </w:p>
        </w:tc>
      </w:tr>
      <w:tr w:rsidR="002211A7" w:rsidRPr="008F30F5" w14:paraId="775DD19E" w14:textId="0347D01C" w:rsidTr="00DF19DC">
        <w:trPr>
          <w:cantSplit/>
          <w:trHeight w:val="290"/>
        </w:trPr>
        <w:tc>
          <w:tcPr>
            <w:tcW w:w="3240" w:type="dxa"/>
            <w:shd w:val="clear" w:color="auto" w:fill="auto"/>
            <w:noWrap/>
            <w:vAlign w:val="bottom"/>
          </w:tcPr>
          <w:p w14:paraId="4E88F64D" w14:textId="2D90B360"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 xml:space="preserve">Chicopee (7%) </w:t>
            </w:r>
          </w:p>
        </w:tc>
        <w:tc>
          <w:tcPr>
            <w:tcW w:w="2700" w:type="dxa"/>
            <w:shd w:val="clear" w:color="auto" w:fill="auto"/>
            <w:vAlign w:val="bottom"/>
          </w:tcPr>
          <w:p w14:paraId="57EFD2D4" w14:textId="4039D2F3"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West Springfield (8%)</w:t>
            </w:r>
          </w:p>
        </w:tc>
        <w:tc>
          <w:tcPr>
            <w:tcW w:w="2695" w:type="dxa"/>
            <w:vAlign w:val="bottom"/>
          </w:tcPr>
          <w:p w14:paraId="75078754" w14:textId="028A7C35" w:rsidR="002211A7" w:rsidRPr="00A23FF6" w:rsidRDefault="00A23FF6" w:rsidP="002211A7">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Longmeadow (13%)</w:t>
            </w:r>
          </w:p>
        </w:tc>
      </w:tr>
      <w:tr w:rsidR="002211A7" w:rsidRPr="008F30F5" w14:paraId="54C19031" w14:textId="3CDF9475" w:rsidTr="00DF19DC">
        <w:trPr>
          <w:cantSplit/>
          <w:trHeight w:val="290"/>
        </w:trPr>
        <w:tc>
          <w:tcPr>
            <w:tcW w:w="3240" w:type="dxa"/>
            <w:shd w:val="clear" w:color="auto" w:fill="auto"/>
            <w:noWrap/>
            <w:vAlign w:val="bottom"/>
          </w:tcPr>
          <w:p w14:paraId="653F9EF2" w14:textId="233E3B06"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West Springfield (4%)</w:t>
            </w:r>
          </w:p>
        </w:tc>
        <w:tc>
          <w:tcPr>
            <w:tcW w:w="2700" w:type="dxa"/>
            <w:shd w:val="clear" w:color="auto" w:fill="auto"/>
            <w:vAlign w:val="bottom"/>
          </w:tcPr>
          <w:p w14:paraId="6329B457" w14:textId="5547D89C"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Ludlow (4%)</w:t>
            </w:r>
          </w:p>
        </w:tc>
        <w:tc>
          <w:tcPr>
            <w:tcW w:w="2695" w:type="dxa"/>
            <w:vAlign w:val="bottom"/>
          </w:tcPr>
          <w:p w14:paraId="684F2F7B" w14:textId="2F1C154D" w:rsidR="002211A7" w:rsidRPr="00A23FF6" w:rsidRDefault="00A23FF6" w:rsidP="002211A7">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Wilbraham (6%)</w:t>
            </w:r>
          </w:p>
        </w:tc>
      </w:tr>
      <w:tr w:rsidR="002211A7" w:rsidRPr="008F30F5" w14:paraId="53B22642" w14:textId="40DD7FDD" w:rsidTr="00DF19DC">
        <w:trPr>
          <w:cantSplit/>
          <w:trHeight w:val="290"/>
        </w:trPr>
        <w:tc>
          <w:tcPr>
            <w:tcW w:w="3240" w:type="dxa"/>
            <w:shd w:val="clear" w:color="auto" w:fill="auto"/>
            <w:noWrap/>
            <w:vAlign w:val="bottom"/>
          </w:tcPr>
          <w:p w14:paraId="20C57F52" w14:textId="6CE6A14B"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Ludlow (4%)</w:t>
            </w:r>
          </w:p>
        </w:tc>
        <w:tc>
          <w:tcPr>
            <w:tcW w:w="2700" w:type="dxa"/>
            <w:shd w:val="clear" w:color="auto" w:fill="auto"/>
            <w:vAlign w:val="bottom"/>
          </w:tcPr>
          <w:p w14:paraId="3CB453C5" w14:textId="1253F111"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Agawam (4%)</w:t>
            </w:r>
          </w:p>
        </w:tc>
        <w:tc>
          <w:tcPr>
            <w:tcW w:w="2695" w:type="dxa"/>
            <w:vAlign w:val="bottom"/>
          </w:tcPr>
          <w:p w14:paraId="0C7F16A2" w14:textId="6B1B5FAF" w:rsidR="002211A7" w:rsidRPr="00A23FF6" w:rsidRDefault="00A23FF6" w:rsidP="002211A7">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West Springfield (5%)</w:t>
            </w:r>
          </w:p>
        </w:tc>
      </w:tr>
      <w:tr w:rsidR="002211A7" w:rsidRPr="008F30F5" w14:paraId="6B3F2D84" w14:textId="0293F40F" w:rsidTr="00DF19DC">
        <w:trPr>
          <w:cantSplit/>
          <w:trHeight w:val="290"/>
        </w:trPr>
        <w:tc>
          <w:tcPr>
            <w:tcW w:w="3240" w:type="dxa"/>
            <w:shd w:val="clear" w:color="auto" w:fill="auto"/>
            <w:noWrap/>
            <w:vAlign w:val="bottom"/>
          </w:tcPr>
          <w:p w14:paraId="74729807" w14:textId="70984359"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Greenfield (4%)</w:t>
            </w:r>
          </w:p>
        </w:tc>
        <w:tc>
          <w:tcPr>
            <w:tcW w:w="2700" w:type="dxa"/>
            <w:shd w:val="clear" w:color="auto" w:fill="auto"/>
            <w:vAlign w:val="bottom"/>
          </w:tcPr>
          <w:p w14:paraId="77ED9E30" w14:textId="497C0F2A"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Holyoke (4%)</w:t>
            </w:r>
          </w:p>
        </w:tc>
        <w:tc>
          <w:tcPr>
            <w:tcW w:w="2695" w:type="dxa"/>
            <w:vAlign w:val="bottom"/>
          </w:tcPr>
          <w:p w14:paraId="0106A790" w14:textId="3029CE36" w:rsidR="002211A7" w:rsidRPr="00A23FF6" w:rsidRDefault="00A23FF6" w:rsidP="002211A7">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Hampden (4%)</w:t>
            </w:r>
          </w:p>
        </w:tc>
      </w:tr>
      <w:tr w:rsidR="002211A7" w:rsidRPr="008F30F5" w14:paraId="3C822FAE" w14:textId="7756F70F" w:rsidTr="00DF19DC">
        <w:trPr>
          <w:cantSplit/>
          <w:trHeight w:val="290"/>
        </w:trPr>
        <w:tc>
          <w:tcPr>
            <w:tcW w:w="3240" w:type="dxa"/>
            <w:shd w:val="clear" w:color="auto" w:fill="auto"/>
            <w:noWrap/>
            <w:vAlign w:val="bottom"/>
          </w:tcPr>
          <w:p w14:paraId="71C20D39" w14:textId="54830F37"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Holyoke (3%)</w:t>
            </w:r>
          </w:p>
        </w:tc>
        <w:tc>
          <w:tcPr>
            <w:tcW w:w="2700" w:type="dxa"/>
            <w:shd w:val="clear" w:color="auto" w:fill="auto"/>
            <w:vAlign w:val="bottom"/>
          </w:tcPr>
          <w:p w14:paraId="68FB4BB4" w14:textId="5E677D27"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 xml:space="preserve">East Longmeadow (4%) </w:t>
            </w:r>
          </w:p>
        </w:tc>
        <w:tc>
          <w:tcPr>
            <w:tcW w:w="2695" w:type="dxa"/>
            <w:vAlign w:val="bottom"/>
          </w:tcPr>
          <w:p w14:paraId="5E50F0AE" w14:textId="798F4F51" w:rsidR="002211A7" w:rsidRPr="00A23FF6" w:rsidRDefault="00A23FF6" w:rsidP="002211A7">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Agawam (3%)</w:t>
            </w:r>
          </w:p>
        </w:tc>
      </w:tr>
      <w:tr w:rsidR="002211A7" w:rsidRPr="008F30F5" w14:paraId="6DD51534" w14:textId="622E2225" w:rsidTr="00DF19DC">
        <w:trPr>
          <w:cantSplit/>
          <w:trHeight w:val="290"/>
        </w:trPr>
        <w:tc>
          <w:tcPr>
            <w:tcW w:w="3240" w:type="dxa"/>
            <w:shd w:val="clear" w:color="auto" w:fill="auto"/>
            <w:noWrap/>
            <w:vAlign w:val="bottom"/>
          </w:tcPr>
          <w:p w14:paraId="696BF64F" w14:textId="7D6ECA9F"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Wilbraham (3%)</w:t>
            </w:r>
          </w:p>
        </w:tc>
        <w:tc>
          <w:tcPr>
            <w:tcW w:w="2700" w:type="dxa"/>
            <w:shd w:val="clear" w:color="auto" w:fill="auto"/>
            <w:vAlign w:val="bottom"/>
          </w:tcPr>
          <w:p w14:paraId="4E2409B8" w14:textId="71128849"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South Hadley (3%)</w:t>
            </w:r>
          </w:p>
        </w:tc>
        <w:tc>
          <w:tcPr>
            <w:tcW w:w="2695" w:type="dxa"/>
            <w:vAlign w:val="bottom"/>
          </w:tcPr>
          <w:p w14:paraId="1EE0C49A" w14:textId="657727A5" w:rsidR="002211A7" w:rsidRPr="00A23FF6" w:rsidRDefault="00A23FF6" w:rsidP="002211A7">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Chicopee (3%)</w:t>
            </w:r>
          </w:p>
        </w:tc>
      </w:tr>
      <w:tr w:rsidR="002211A7" w:rsidRPr="008F30F5" w14:paraId="3F49A992" w14:textId="2FE315A6" w:rsidTr="00DF19DC">
        <w:trPr>
          <w:cantSplit/>
          <w:trHeight w:val="290"/>
        </w:trPr>
        <w:tc>
          <w:tcPr>
            <w:tcW w:w="3240" w:type="dxa"/>
            <w:shd w:val="clear" w:color="auto" w:fill="auto"/>
            <w:noWrap/>
            <w:vAlign w:val="bottom"/>
          </w:tcPr>
          <w:p w14:paraId="229B6A4C" w14:textId="69AD3160"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Agawam (3%)</w:t>
            </w:r>
          </w:p>
        </w:tc>
        <w:tc>
          <w:tcPr>
            <w:tcW w:w="2700" w:type="dxa"/>
            <w:shd w:val="clear" w:color="auto" w:fill="auto"/>
            <w:vAlign w:val="bottom"/>
          </w:tcPr>
          <w:p w14:paraId="2854EFA4" w14:textId="45D107D9" w:rsidR="002211A7" w:rsidRPr="00A23FF6" w:rsidRDefault="002211A7" w:rsidP="002211A7">
            <w:pPr>
              <w:spacing w:after="0" w:line="240" w:lineRule="auto"/>
              <w:rPr>
                <w:rFonts w:eastAsia="Times New Roman" w:cs="Calibri"/>
                <w:b/>
                <w:bCs/>
                <w:color w:val="000000"/>
                <w:sz w:val="20"/>
                <w:szCs w:val="20"/>
              </w:rPr>
            </w:pPr>
          </w:p>
        </w:tc>
        <w:tc>
          <w:tcPr>
            <w:tcW w:w="2695" w:type="dxa"/>
            <w:vAlign w:val="bottom"/>
          </w:tcPr>
          <w:p w14:paraId="35C242A5" w14:textId="4D2579F1" w:rsidR="002211A7" w:rsidRPr="00A23FF6" w:rsidRDefault="00A23FF6" w:rsidP="002211A7">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Enfield (3%)</w:t>
            </w:r>
          </w:p>
        </w:tc>
      </w:tr>
      <w:tr w:rsidR="002211A7" w:rsidRPr="008F30F5" w14:paraId="468FFD18" w14:textId="78837666" w:rsidTr="00DF19DC">
        <w:trPr>
          <w:cantSplit/>
          <w:trHeight w:val="290"/>
        </w:trPr>
        <w:tc>
          <w:tcPr>
            <w:tcW w:w="3240" w:type="dxa"/>
            <w:shd w:val="clear" w:color="auto" w:fill="auto"/>
            <w:noWrap/>
            <w:vAlign w:val="bottom"/>
          </w:tcPr>
          <w:p w14:paraId="07FB1637" w14:textId="7964C73B"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East Longmeadow (2%)</w:t>
            </w:r>
          </w:p>
        </w:tc>
        <w:tc>
          <w:tcPr>
            <w:tcW w:w="2700" w:type="dxa"/>
            <w:shd w:val="clear" w:color="auto" w:fill="auto"/>
            <w:vAlign w:val="bottom"/>
          </w:tcPr>
          <w:p w14:paraId="31C1CBB0" w14:textId="232B2EB4" w:rsidR="002211A7" w:rsidRPr="00A23FF6" w:rsidRDefault="002211A7" w:rsidP="002211A7">
            <w:pPr>
              <w:spacing w:after="0" w:line="240" w:lineRule="auto"/>
              <w:rPr>
                <w:rFonts w:eastAsia="Times New Roman" w:cs="Calibri"/>
                <w:b/>
                <w:bCs/>
                <w:color w:val="000000"/>
                <w:sz w:val="20"/>
                <w:szCs w:val="20"/>
              </w:rPr>
            </w:pPr>
          </w:p>
        </w:tc>
        <w:tc>
          <w:tcPr>
            <w:tcW w:w="2695" w:type="dxa"/>
            <w:vAlign w:val="bottom"/>
          </w:tcPr>
          <w:p w14:paraId="66622BAD" w14:textId="6C8CFCF9" w:rsidR="002211A7" w:rsidRPr="00A23FF6" w:rsidRDefault="00A23FF6" w:rsidP="002211A7">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Ludlow (3%)</w:t>
            </w:r>
          </w:p>
        </w:tc>
      </w:tr>
      <w:tr w:rsidR="002211A7" w:rsidRPr="008F30F5" w14:paraId="57FB38D6" w14:textId="5F32792B" w:rsidTr="00DF19DC">
        <w:trPr>
          <w:cantSplit/>
          <w:trHeight w:val="290"/>
        </w:trPr>
        <w:tc>
          <w:tcPr>
            <w:tcW w:w="3240" w:type="dxa"/>
            <w:shd w:val="clear" w:color="auto" w:fill="auto"/>
            <w:noWrap/>
            <w:vAlign w:val="bottom"/>
          </w:tcPr>
          <w:p w14:paraId="1CED55A4" w14:textId="18F87355" w:rsidR="002211A7" w:rsidRPr="00A23FF6" w:rsidRDefault="002211A7" w:rsidP="002211A7">
            <w:pPr>
              <w:spacing w:after="0" w:line="240" w:lineRule="auto"/>
              <w:rPr>
                <w:rFonts w:eastAsia="Times New Roman" w:cs="Calibri"/>
                <w:b/>
                <w:bCs/>
                <w:color w:val="000000"/>
                <w:sz w:val="20"/>
                <w:szCs w:val="20"/>
              </w:rPr>
            </w:pPr>
            <w:r w:rsidRPr="00A23FF6">
              <w:rPr>
                <w:rFonts w:cs="Calibri"/>
                <w:b/>
                <w:bCs/>
                <w:color w:val="000000"/>
                <w:sz w:val="20"/>
                <w:szCs w:val="20"/>
              </w:rPr>
              <w:t>Belchertown (2%)</w:t>
            </w:r>
          </w:p>
        </w:tc>
        <w:tc>
          <w:tcPr>
            <w:tcW w:w="2700" w:type="dxa"/>
            <w:shd w:val="clear" w:color="auto" w:fill="auto"/>
            <w:vAlign w:val="bottom"/>
          </w:tcPr>
          <w:p w14:paraId="62CE08A3" w14:textId="4AAB6723" w:rsidR="002211A7" w:rsidRPr="00A23FF6" w:rsidRDefault="002211A7" w:rsidP="002211A7">
            <w:pPr>
              <w:spacing w:after="0" w:line="240" w:lineRule="auto"/>
              <w:rPr>
                <w:rFonts w:eastAsia="Times New Roman" w:cs="Calibri"/>
                <w:b/>
                <w:bCs/>
                <w:color w:val="000000"/>
                <w:sz w:val="20"/>
                <w:szCs w:val="20"/>
              </w:rPr>
            </w:pPr>
          </w:p>
        </w:tc>
        <w:tc>
          <w:tcPr>
            <w:tcW w:w="2695" w:type="dxa"/>
            <w:vAlign w:val="bottom"/>
          </w:tcPr>
          <w:p w14:paraId="2E5F40FC" w14:textId="2BF41B9C" w:rsidR="002211A7" w:rsidRPr="00A23FF6" w:rsidRDefault="00A23FF6" w:rsidP="002211A7">
            <w:pPr>
              <w:spacing w:after="0" w:line="240" w:lineRule="auto"/>
              <w:rPr>
                <w:rFonts w:eastAsia="Times New Roman" w:cs="Calibri"/>
                <w:b/>
                <w:bCs/>
                <w:color w:val="000000"/>
                <w:sz w:val="20"/>
                <w:szCs w:val="20"/>
              </w:rPr>
            </w:pPr>
            <w:r w:rsidRPr="00A23FF6">
              <w:rPr>
                <w:rFonts w:eastAsia="Times New Roman" w:cs="Calibri"/>
                <w:b/>
                <w:bCs/>
                <w:color w:val="000000"/>
                <w:sz w:val="20"/>
                <w:szCs w:val="20"/>
              </w:rPr>
              <w:t>Westfield (2%)</w:t>
            </w:r>
          </w:p>
        </w:tc>
      </w:tr>
      <w:tr w:rsidR="00934936" w:rsidRPr="008F30F5" w14:paraId="7CA7FD5F" w14:textId="174CDFA3" w:rsidTr="00DF19DC">
        <w:trPr>
          <w:cantSplit/>
          <w:trHeight w:val="290"/>
        </w:trPr>
        <w:tc>
          <w:tcPr>
            <w:tcW w:w="3240" w:type="dxa"/>
            <w:shd w:val="clear" w:color="auto" w:fill="auto"/>
            <w:noWrap/>
            <w:vAlign w:val="bottom"/>
          </w:tcPr>
          <w:p w14:paraId="5BC055CA" w14:textId="118F319A" w:rsidR="00934936" w:rsidRPr="00A23FF6" w:rsidRDefault="00934936" w:rsidP="00934936">
            <w:pPr>
              <w:spacing w:after="0" w:line="240" w:lineRule="auto"/>
              <w:rPr>
                <w:rFonts w:eastAsia="Times New Roman" w:cs="Calibri"/>
                <w:b/>
                <w:bCs/>
                <w:color w:val="000000"/>
                <w:sz w:val="20"/>
                <w:szCs w:val="20"/>
              </w:rPr>
            </w:pPr>
            <w:r w:rsidRPr="00A23FF6">
              <w:rPr>
                <w:rFonts w:cs="Calibri"/>
                <w:b/>
                <w:bCs/>
                <w:color w:val="000000"/>
                <w:sz w:val="20"/>
                <w:szCs w:val="20"/>
              </w:rPr>
              <w:t>Ware (2%)</w:t>
            </w:r>
          </w:p>
        </w:tc>
        <w:tc>
          <w:tcPr>
            <w:tcW w:w="2700" w:type="dxa"/>
            <w:shd w:val="clear" w:color="auto" w:fill="auto"/>
            <w:vAlign w:val="bottom"/>
          </w:tcPr>
          <w:p w14:paraId="2AC6DB9E" w14:textId="1C25B921" w:rsidR="00934936" w:rsidRPr="00A23FF6" w:rsidRDefault="00934936" w:rsidP="00934936">
            <w:pPr>
              <w:spacing w:after="0" w:line="240" w:lineRule="auto"/>
              <w:rPr>
                <w:rFonts w:eastAsia="Times New Roman" w:cs="Calibri"/>
                <w:color w:val="000000"/>
                <w:sz w:val="20"/>
                <w:szCs w:val="20"/>
              </w:rPr>
            </w:pPr>
          </w:p>
        </w:tc>
        <w:tc>
          <w:tcPr>
            <w:tcW w:w="2695" w:type="dxa"/>
          </w:tcPr>
          <w:p w14:paraId="7B2C2CC1" w14:textId="77777777" w:rsidR="00934936" w:rsidRPr="00A23FF6" w:rsidRDefault="00934936" w:rsidP="00934936">
            <w:pPr>
              <w:spacing w:after="0" w:line="240" w:lineRule="auto"/>
              <w:rPr>
                <w:rFonts w:eastAsia="Times New Roman" w:cs="Calibri"/>
                <w:color w:val="000000"/>
                <w:sz w:val="20"/>
                <w:szCs w:val="20"/>
              </w:rPr>
            </w:pPr>
          </w:p>
        </w:tc>
      </w:tr>
      <w:tr w:rsidR="00934936" w:rsidRPr="008F30F5" w14:paraId="26FA16C9" w14:textId="68BDDF52" w:rsidTr="00DF19DC">
        <w:trPr>
          <w:cantSplit/>
          <w:trHeight w:val="290"/>
        </w:trPr>
        <w:tc>
          <w:tcPr>
            <w:tcW w:w="3240" w:type="dxa"/>
            <w:shd w:val="clear" w:color="auto" w:fill="auto"/>
            <w:noWrap/>
            <w:vAlign w:val="bottom"/>
          </w:tcPr>
          <w:p w14:paraId="53B0214B" w14:textId="5604679F" w:rsidR="00934936" w:rsidRPr="00A23FF6" w:rsidRDefault="00934936" w:rsidP="00934936">
            <w:pPr>
              <w:spacing w:after="0" w:line="240" w:lineRule="auto"/>
              <w:rPr>
                <w:rFonts w:eastAsia="Times New Roman" w:cs="Calibri"/>
                <w:b/>
                <w:bCs/>
                <w:color w:val="000000"/>
                <w:sz w:val="20"/>
                <w:szCs w:val="20"/>
              </w:rPr>
            </w:pPr>
            <w:r w:rsidRPr="00A23FF6">
              <w:rPr>
                <w:rFonts w:cs="Calibri"/>
                <w:b/>
                <w:bCs/>
                <w:color w:val="000000"/>
                <w:sz w:val="20"/>
                <w:szCs w:val="20"/>
              </w:rPr>
              <w:t>Longmeadow (2%)</w:t>
            </w:r>
          </w:p>
        </w:tc>
        <w:tc>
          <w:tcPr>
            <w:tcW w:w="2700" w:type="dxa"/>
            <w:shd w:val="clear" w:color="auto" w:fill="auto"/>
          </w:tcPr>
          <w:p w14:paraId="2C13CC68" w14:textId="77777777" w:rsidR="00934936" w:rsidRPr="00A23FF6" w:rsidRDefault="00934936" w:rsidP="00934936">
            <w:pPr>
              <w:spacing w:after="0" w:line="240" w:lineRule="auto"/>
              <w:rPr>
                <w:rFonts w:eastAsia="Times New Roman" w:cs="Calibri"/>
                <w:color w:val="000000"/>
                <w:sz w:val="20"/>
                <w:szCs w:val="20"/>
              </w:rPr>
            </w:pPr>
          </w:p>
        </w:tc>
        <w:tc>
          <w:tcPr>
            <w:tcW w:w="2695" w:type="dxa"/>
          </w:tcPr>
          <w:p w14:paraId="572D4CB1" w14:textId="77777777" w:rsidR="00934936" w:rsidRPr="00A23FF6" w:rsidRDefault="00934936" w:rsidP="00934936">
            <w:pPr>
              <w:spacing w:after="0" w:line="240" w:lineRule="auto"/>
              <w:rPr>
                <w:rFonts w:eastAsia="Times New Roman" w:cs="Calibri"/>
                <w:color w:val="000000"/>
                <w:sz w:val="20"/>
                <w:szCs w:val="20"/>
              </w:rPr>
            </w:pPr>
          </w:p>
        </w:tc>
      </w:tr>
      <w:tr w:rsidR="00934936" w:rsidRPr="008F30F5" w14:paraId="6EA61E87" w14:textId="77777777" w:rsidTr="00DF19DC">
        <w:trPr>
          <w:cantSplit/>
          <w:trHeight w:val="290"/>
        </w:trPr>
        <w:tc>
          <w:tcPr>
            <w:tcW w:w="3240" w:type="dxa"/>
            <w:shd w:val="clear" w:color="auto" w:fill="auto"/>
            <w:noWrap/>
            <w:vAlign w:val="bottom"/>
          </w:tcPr>
          <w:p w14:paraId="346DB8CC" w14:textId="0D0BED74" w:rsidR="00934936" w:rsidRPr="00A23FF6" w:rsidRDefault="00934936" w:rsidP="00934936">
            <w:pPr>
              <w:spacing w:after="0" w:line="240" w:lineRule="auto"/>
              <w:rPr>
                <w:rFonts w:eastAsia="Times New Roman" w:cs="Calibri"/>
                <w:b/>
                <w:bCs/>
                <w:color w:val="000000"/>
                <w:sz w:val="20"/>
                <w:szCs w:val="20"/>
              </w:rPr>
            </w:pPr>
            <w:r w:rsidRPr="00A23FF6">
              <w:rPr>
                <w:rFonts w:cs="Calibri"/>
                <w:b/>
                <w:bCs/>
                <w:color w:val="000000"/>
                <w:sz w:val="20"/>
                <w:szCs w:val="20"/>
              </w:rPr>
              <w:t>Feeding Hills (2%)</w:t>
            </w:r>
          </w:p>
        </w:tc>
        <w:tc>
          <w:tcPr>
            <w:tcW w:w="2700" w:type="dxa"/>
            <w:shd w:val="clear" w:color="auto" w:fill="auto"/>
          </w:tcPr>
          <w:p w14:paraId="7057332A" w14:textId="77777777" w:rsidR="00934936" w:rsidRPr="00A23FF6" w:rsidRDefault="00934936" w:rsidP="00934936">
            <w:pPr>
              <w:spacing w:after="0" w:line="240" w:lineRule="auto"/>
              <w:rPr>
                <w:rFonts w:eastAsia="Times New Roman" w:cs="Calibri"/>
                <w:color w:val="000000"/>
                <w:sz w:val="20"/>
                <w:szCs w:val="20"/>
              </w:rPr>
            </w:pPr>
          </w:p>
        </w:tc>
        <w:tc>
          <w:tcPr>
            <w:tcW w:w="2695" w:type="dxa"/>
          </w:tcPr>
          <w:p w14:paraId="5C52C6EB" w14:textId="77777777" w:rsidR="00934936" w:rsidRPr="00A23FF6" w:rsidRDefault="00934936" w:rsidP="00934936">
            <w:pPr>
              <w:spacing w:after="0" w:line="240" w:lineRule="auto"/>
              <w:rPr>
                <w:rFonts w:eastAsia="Times New Roman" w:cs="Calibri"/>
                <w:color w:val="000000"/>
                <w:sz w:val="20"/>
                <w:szCs w:val="20"/>
              </w:rPr>
            </w:pPr>
          </w:p>
        </w:tc>
      </w:tr>
      <w:tr w:rsidR="00934936" w:rsidRPr="008F30F5" w14:paraId="23EAEBE6" w14:textId="77777777" w:rsidTr="00DF19DC">
        <w:trPr>
          <w:cantSplit/>
          <w:trHeight w:val="290"/>
        </w:trPr>
        <w:tc>
          <w:tcPr>
            <w:tcW w:w="3240" w:type="dxa"/>
            <w:shd w:val="clear" w:color="auto" w:fill="auto"/>
            <w:noWrap/>
            <w:vAlign w:val="bottom"/>
          </w:tcPr>
          <w:p w14:paraId="75EE163A" w14:textId="4EBF46F2" w:rsidR="00934936" w:rsidRPr="00A23FF6" w:rsidRDefault="00934936" w:rsidP="00934936">
            <w:pPr>
              <w:spacing w:after="0" w:line="240" w:lineRule="auto"/>
              <w:rPr>
                <w:rFonts w:eastAsia="Times New Roman" w:cs="Calibri"/>
                <w:b/>
                <w:bCs/>
                <w:color w:val="000000"/>
                <w:sz w:val="20"/>
                <w:szCs w:val="20"/>
              </w:rPr>
            </w:pPr>
            <w:r w:rsidRPr="00A23FF6">
              <w:rPr>
                <w:rFonts w:cs="Calibri"/>
                <w:b/>
                <w:bCs/>
                <w:color w:val="000000"/>
                <w:sz w:val="20"/>
                <w:szCs w:val="20"/>
              </w:rPr>
              <w:t>Palmer (2%)</w:t>
            </w:r>
          </w:p>
        </w:tc>
        <w:tc>
          <w:tcPr>
            <w:tcW w:w="2700" w:type="dxa"/>
            <w:shd w:val="clear" w:color="auto" w:fill="auto"/>
          </w:tcPr>
          <w:p w14:paraId="49D7B292" w14:textId="77777777" w:rsidR="00934936" w:rsidRPr="00A23FF6" w:rsidRDefault="00934936" w:rsidP="00934936">
            <w:pPr>
              <w:spacing w:after="0" w:line="240" w:lineRule="auto"/>
              <w:rPr>
                <w:rFonts w:eastAsia="Times New Roman" w:cs="Calibri"/>
                <w:color w:val="000000"/>
                <w:sz w:val="20"/>
                <w:szCs w:val="20"/>
              </w:rPr>
            </w:pPr>
          </w:p>
        </w:tc>
        <w:tc>
          <w:tcPr>
            <w:tcW w:w="2695" w:type="dxa"/>
          </w:tcPr>
          <w:p w14:paraId="72EA5C7C" w14:textId="77777777" w:rsidR="00934936" w:rsidRPr="00A23FF6" w:rsidRDefault="00934936" w:rsidP="00934936">
            <w:pPr>
              <w:spacing w:after="0" w:line="240" w:lineRule="auto"/>
              <w:rPr>
                <w:rFonts w:eastAsia="Times New Roman" w:cs="Calibri"/>
                <w:color w:val="000000"/>
                <w:sz w:val="20"/>
                <w:szCs w:val="20"/>
              </w:rPr>
            </w:pPr>
          </w:p>
        </w:tc>
      </w:tr>
      <w:tr w:rsidR="00934936" w:rsidRPr="008F30F5" w14:paraId="64082675" w14:textId="77777777" w:rsidTr="00DF19DC">
        <w:trPr>
          <w:cantSplit/>
          <w:trHeight w:val="290"/>
        </w:trPr>
        <w:tc>
          <w:tcPr>
            <w:tcW w:w="3240" w:type="dxa"/>
            <w:shd w:val="clear" w:color="auto" w:fill="auto"/>
            <w:noWrap/>
            <w:vAlign w:val="bottom"/>
          </w:tcPr>
          <w:p w14:paraId="2F14158E" w14:textId="0E2F0A07" w:rsidR="00934936" w:rsidRPr="00A23FF6" w:rsidRDefault="00934936" w:rsidP="00934936">
            <w:pPr>
              <w:spacing w:after="0" w:line="240" w:lineRule="auto"/>
              <w:rPr>
                <w:rFonts w:cs="Calibri"/>
                <w:b/>
                <w:bCs/>
                <w:color w:val="000000"/>
                <w:sz w:val="20"/>
                <w:szCs w:val="20"/>
              </w:rPr>
            </w:pPr>
            <w:r w:rsidRPr="00A23FF6">
              <w:rPr>
                <w:rFonts w:cs="Calibri"/>
                <w:b/>
                <w:bCs/>
                <w:color w:val="000000"/>
                <w:sz w:val="20"/>
                <w:szCs w:val="20"/>
              </w:rPr>
              <w:t>Monson (2%)</w:t>
            </w:r>
          </w:p>
        </w:tc>
        <w:tc>
          <w:tcPr>
            <w:tcW w:w="2700" w:type="dxa"/>
            <w:shd w:val="clear" w:color="auto" w:fill="auto"/>
          </w:tcPr>
          <w:p w14:paraId="308BC739" w14:textId="77777777" w:rsidR="00934936" w:rsidRPr="00A23FF6" w:rsidRDefault="00934936" w:rsidP="00934936">
            <w:pPr>
              <w:spacing w:after="0" w:line="240" w:lineRule="auto"/>
              <w:rPr>
                <w:rFonts w:eastAsia="Times New Roman" w:cs="Calibri"/>
                <w:color w:val="000000"/>
                <w:sz w:val="20"/>
                <w:szCs w:val="20"/>
              </w:rPr>
            </w:pPr>
          </w:p>
        </w:tc>
        <w:tc>
          <w:tcPr>
            <w:tcW w:w="2695" w:type="dxa"/>
          </w:tcPr>
          <w:p w14:paraId="7D6698FD" w14:textId="77777777" w:rsidR="00934936" w:rsidRPr="00A23FF6" w:rsidRDefault="00934936" w:rsidP="00934936">
            <w:pPr>
              <w:spacing w:after="0" w:line="240" w:lineRule="auto"/>
              <w:rPr>
                <w:rFonts w:eastAsia="Times New Roman" w:cs="Calibri"/>
                <w:color w:val="000000"/>
                <w:sz w:val="20"/>
                <w:szCs w:val="20"/>
              </w:rPr>
            </w:pPr>
          </w:p>
        </w:tc>
      </w:tr>
      <w:tr w:rsidR="00934936" w:rsidRPr="008F30F5" w14:paraId="1E8EEEFB" w14:textId="77777777" w:rsidTr="00DF19DC">
        <w:trPr>
          <w:cantSplit/>
          <w:trHeight w:val="290"/>
        </w:trPr>
        <w:tc>
          <w:tcPr>
            <w:tcW w:w="3240" w:type="dxa"/>
            <w:shd w:val="clear" w:color="auto" w:fill="auto"/>
            <w:noWrap/>
            <w:vAlign w:val="bottom"/>
          </w:tcPr>
          <w:p w14:paraId="27B83CC8" w14:textId="4D2DA7DE" w:rsidR="00934936" w:rsidRPr="00A23FF6" w:rsidRDefault="00934936" w:rsidP="00934936">
            <w:pPr>
              <w:spacing w:after="0" w:line="240" w:lineRule="auto"/>
              <w:rPr>
                <w:rFonts w:cs="Calibri"/>
                <w:b/>
                <w:bCs/>
                <w:color w:val="000000"/>
                <w:sz w:val="20"/>
                <w:szCs w:val="20"/>
              </w:rPr>
            </w:pPr>
            <w:r w:rsidRPr="00A23FF6">
              <w:rPr>
                <w:rFonts w:cs="Calibri"/>
                <w:b/>
                <w:bCs/>
                <w:color w:val="000000"/>
                <w:sz w:val="20"/>
                <w:szCs w:val="20"/>
              </w:rPr>
              <w:t>Southwick (2%)</w:t>
            </w:r>
          </w:p>
        </w:tc>
        <w:tc>
          <w:tcPr>
            <w:tcW w:w="2700" w:type="dxa"/>
            <w:shd w:val="clear" w:color="auto" w:fill="auto"/>
          </w:tcPr>
          <w:p w14:paraId="62009C2C" w14:textId="77777777" w:rsidR="00934936" w:rsidRPr="00A23FF6" w:rsidRDefault="00934936" w:rsidP="00934936">
            <w:pPr>
              <w:spacing w:after="0" w:line="240" w:lineRule="auto"/>
              <w:rPr>
                <w:rFonts w:eastAsia="Times New Roman" w:cs="Calibri"/>
                <w:color w:val="000000"/>
                <w:sz w:val="20"/>
                <w:szCs w:val="20"/>
              </w:rPr>
            </w:pPr>
          </w:p>
        </w:tc>
        <w:tc>
          <w:tcPr>
            <w:tcW w:w="2695" w:type="dxa"/>
          </w:tcPr>
          <w:p w14:paraId="4C7423D1" w14:textId="77777777" w:rsidR="00934936" w:rsidRPr="00A23FF6" w:rsidRDefault="00934936" w:rsidP="00934936">
            <w:pPr>
              <w:spacing w:after="0" w:line="240" w:lineRule="auto"/>
              <w:rPr>
                <w:rFonts w:eastAsia="Times New Roman" w:cs="Calibri"/>
                <w:color w:val="000000"/>
                <w:sz w:val="20"/>
                <w:szCs w:val="20"/>
              </w:rPr>
            </w:pPr>
          </w:p>
        </w:tc>
      </w:tr>
      <w:tr w:rsidR="00934936" w:rsidRPr="008F30F5" w14:paraId="63216DDC" w14:textId="77777777" w:rsidTr="00DF19DC">
        <w:trPr>
          <w:cantSplit/>
          <w:trHeight w:val="290"/>
        </w:trPr>
        <w:tc>
          <w:tcPr>
            <w:tcW w:w="3240" w:type="dxa"/>
            <w:shd w:val="clear" w:color="auto" w:fill="auto"/>
            <w:noWrap/>
            <w:vAlign w:val="bottom"/>
          </w:tcPr>
          <w:p w14:paraId="6C72D5CB" w14:textId="395AD360" w:rsidR="00934936" w:rsidRPr="00A23FF6" w:rsidRDefault="00934936" w:rsidP="00934936">
            <w:pPr>
              <w:spacing w:after="0" w:line="240" w:lineRule="auto"/>
              <w:rPr>
                <w:rFonts w:cs="Calibri"/>
                <w:b/>
                <w:bCs/>
                <w:color w:val="000000"/>
                <w:sz w:val="20"/>
                <w:szCs w:val="20"/>
              </w:rPr>
            </w:pPr>
            <w:r w:rsidRPr="00A23FF6">
              <w:rPr>
                <w:rFonts w:cs="Calibri"/>
                <w:b/>
                <w:bCs/>
                <w:color w:val="000000"/>
                <w:sz w:val="20"/>
                <w:szCs w:val="20"/>
              </w:rPr>
              <w:t>South Hadley (2%)</w:t>
            </w:r>
          </w:p>
        </w:tc>
        <w:tc>
          <w:tcPr>
            <w:tcW w:w="2700" w:type="dxa"/>
            <w:shd w:val="clear" w:color="auto" w:fill="auto"/>
          </w:tcPr>
          <w:p w14:paraId="0C80B8F2" w14:textId="77777777" w:rsidR="00934936" w:rsidRPr="00A23FF6" w:rsidRDefault="00934936" w:rsidP="00934936">
            <w:pPr>
              <w:spacing w:after="0" w:line="240" w:lineRule="auto"/>
              <w:rPr>
                <w:rFonts w:eastAsia="Times New Roman" w:cs="Calibri"/>
                <w:color w:val="000000"/>
                <w:sz w:val="20"/>
                <w:szCs w:val="20"/>
              </w:rPr>
            </w:pPr>
          </w:p>
        </w:tc>
        <w:tc>
          <w:tcPr>
            <w:tcW w:w="2695" w:type="dxa"/>
          </w:tcPr>
          <w:p w14:paraId="4143DA7B" w14:textId="77777777" w:rsidR="00934936" w:rsidRPr="00A23FF6" w:rsidRDefault="00934936" w:rsidP="00934936">
            <w:pPr>
              <w:spacing w:after="0" w:line="240" w:lineRule="auto"/>
              <w:rPr>
                <w:rFonts w:eastAsia="Times New Roman" w:cs="Calibri"/>
                <w:color w:val="000000"/>
                <w:sz w:val="20"/>
                <w:szCs w:val="20"/>
              </w:rPr>
            </w:pPr>
          </w:p>
        </w:tc>
      </w:tr>
      <w:tr w:rsidR="00934936" w:rsidRPr="008F30F5" w14:paraId="4A8712BC" w14:textId="77777777" w:rsidTr="00DF19DC">
        <w:trPr>
          <w:cantSplit/>
          <w:trHeight w:val="290"/>
        </w:trPr>
        <w:tc>
          <w:tcPr>
            <w:tcW w:w="3240" w:type="dxa"/>
            <w:shd w:val="clear" w:color="auto" w:fill="auto"/>
            <w:noWrap/>
            <w:vAlign w:val="bottom"/>
          </w:tcPr>
          <w:p w14:paraId="14806E36" w14:textId="0267B105" w:rsidR="00934936" w:rsidRPr="00A23FF6" w:rsidRDefault="00934936" w:rsidP="00934936">
            <w:pPr>
              <w:spacing w:after="0" w:line="240" w:lineRule="auto"/>
              <w:rPr>
                <w:rFonts w:cs="Calibri"/>
                <w:b/>
                <w:bCs/>
                <w:color w:val="000000"/>
                <w:sz w:val="20"/>
                <w:szCs w:val="20"/>
              </w:rPr>
            </w:pPr>
            <w:r w:rsidRPr="00A23FF6">
              <w:rPr>
                <w:rFonts w:cs="Calibri"/>
                <w:b/>
                <w:bCs/>
                <w:color w:val="000000"/>
                <w:sz w:val="20"/>
                <w:szCs w:val="20"/>
              </w:rPr>
              <w:t>Indian Orchard (2%)</w:t>
            </w:r>
          </w:p>
        </w:tc>
        <w:tc>
          <w:tcPr>
            <w:tcW w:w="2700" w:type="dxa"/>
            <w:shd w:val="clear" w:color="auto" w:fill="auto"/>
          </w:tcPr>
          <w:p w14:paraId="1E10C691" w14:textId="77777777" w:rsidR="00934936" w:rsidRPr="00A23FF6" w:rsidRDefault="00934936" w:rsidP="00934936">
            <w:pPr>
              <w:spacing w:after="0" w:line="240" w:lineRule="auto"/>
              <w:rPr>
                <w:rFonts w:eastAsia="Times New Roman" w:cs="Calibri"/>
                <w:color w:val="000000"/>
                <w:sz w:val="20"/>
                <w:szCs w:val="20"/>
              </w:rPr>
            </w:pPr>
          </w:p>
        </w:tc>
        <w:tc>
          <w:tcPr>
            <w:tcW w:w="2695" w:type="dxa"/>
          </w:tcPr>
          <w:p w14:paraId="049E5DF4" w14:textId="77777777" w:rsidR="00934936" w:rsidRPr="00A23FF6" w:rsidRDefault="00934936" w:rsidP="00934936">
            <w:pPr>
              <w:spacing w:after="0" w:line="240" w:lineRule="auto"/>
              <w:rPr>
                <w:rFonts w:eastAsia="Times New Roman" w:cs="Calibri"/>
                <w:color w:val="000000"/>
                <w:sz w:val="20"/>
                <w:szCs w:val="20"/>
              </w:rPr>
            </w:pPr>
          </w:p>
        </w:tc>
      </w:tr>
      <w:tr w:rsidR="00934936" w:rsidRPr="008F30F5" w14:paraId="42BC2EDD" w14:textId="77777777" w:rsidTr="00DF19DC">
        <w:trPr>
          <w:cantSplit/>
          <w:trHeight w:val="290"/>
        </w:trPr>
        <w:tc>
          <w:tcPr>
            <w:tcW w:w="3240" w:type="dxa"/>
            <w:shd w:val="clear" w:color="auto" w:fill="auto"/>
            <w:noWrap/>
            <w:vAlign w:val="bottom"/>
          </w:tcPr>
          <w:p w14:paraId="3AE69FDF" w14:textId="6B946C67" w:rsidR="00934936" w:rsidRPr="00A23FF6" w:rsidRDefault="00934936" w:rsidP="00934936">
            <w:pPr>
              <w:spacing w:after="0" w:line="240" w:lineRule="auto"/>
              <w:rPr>
                <w:rFonts w:cs="Calibri"/>
                <w:b/>
                <w:bCs/>
                <w:color w:val="000000"/>
                <w:sz w:val="20"/>
                <w:szCs w:val="20"/>
              </w:rPr>
            </w:pPr>
            <w:r w:rsidRPr="00A23FF6">
              <w:rPr>
                <w:rFonts w:cs="Calibri"/>
                <w:b/>
                <w:bCs/>
                <w:color w:val="000000"/>
                <w:sz w:val="20"/>
                <w:szCs w:val="20"/>
              </w:rPr>
              <w:t>Turner Falls (2%)</w:t>
            </w:r>
          </w:p>
        </w:tc>
        <w:tc>
          <w:tcPr>
            <w:tcW w:w="2700" w:type="dxa"/>
            <w:shd w:val="clear" w:color="auto" w:fill="auto"/>
          </w:tcPr>
          <w:p w14:paraId="3C90053B" w14:textId="77777777" w:rsidR="00934936" w:rsidRPr="00A23FF6" w:rsidRDefault="00934936" w:rsidP="00934936">
            <w:pPr>
              <w:spacing w:after="0" w:line="240" w:lineRule="auto"/>
              <w:rPr>
                <w:rFonts w:eastAsia="Times New Roman" w:cs="Calibri"/>
                <w:color w:val="000000"/>
                <w:sz w:val="20"/>
                <w:szCs w:val="20"/>
              </w:rPr>
            </w:pPr>
          </w:p>
        </w:tc>
        <w:tc>
          <w:tcPr>
            <w:tcW w:w="2695" w:type="dxa"/>
          </w:tcPr>
          <w:p w14:paraId="7C256C64" w14:textId="77777777" w:rsidR="00934936" w:rsidRPr="00A23FF6" w:rsidRDefault="00934936" w:rsidP="00934936">
            <w:pPr>
              <w:spacing w:after="0" w:line="240" w:lineRule="auto"/>
              <w:rPr>
                <w:rFonts w:eastAsia="Times New Roman" w:cs="Calibri"/>
                <w:color w:val="000000"/>
                <w:sz w:val="20"/>
                <w:szCs w:val="20"/>
              </w:rPr>
            </w:pPr>
          </w:p>
        </w:tc>
      </w:tr>
      <w:tr w:rsidR="00934936" w:rsidRPr="008F30F5" w14:paraId="1B49479D" w14:textId="77777777" w:rsidTr="00DF19DC">
        <w:trPr>
          <w:cantSplit/>
          <w:trHeight w:val="290"/>
        </w:trPr>
        <w:tc>
          <w:tcPr>
            <w:tcW w:w="3240" w:type="dxa"/>
            <w:shd w:val="clear" w:color="auto" w:fill="auto"/>
            <w:noWrap/>
            <w:vAlign w:val="bottom"/>
          </w:tcPr>
          <w:p w14:paraId="485EBBE9" w14:textId="3C7BC981" w:rsidR="00934936" w:rsidRPr="00A23FF6" w:rsidRDefault="00934936" w:rsidP="00934936">
            <w:pPr>
              <w:spacing w:after="0" w:line="240" w:lineRule="auto"/>
              <w:rPr>
                <w:rFonts w:cs="Calibri"/>
                <w:b/>
                <w:bCs/>
                <w:color w:val="000000"/>
                <w:sz w:val="20"/>
                <w:szCs w:val="20"/>
              </w:rPr>
            </w:pPr>
            <w:r w:rsidRPr="00A23FF6">
              <w:rPr>
                <w:rFonts w:cs="Calibri"/>
                <w:b/>
                <w:bCs/>
                <w:color w:val="000000"/>
                <w:sz w:val="20"/>
                <w:szCs w:val="20"/>
              </w:rPr>
              <w:t>Easthampton (1%)</w:t>
            </w:r>
          </w:p>
        </w:tc>
        <w:tc>
          <w:tcPr>
            <w:tcW w:w="2700" w:type="dxa"/>
            <w:shd w:val="clear" w:color="auto" w:fill="auto"/>
          </w:tcPr>
          <w:p w14:paraId="755BBB7F" w14:textId="77777777" w:rsidR="00934936" w:rsidRPr="00A23FF6" w:rsidRDefault="00934936" w:rsidP="00934936">
            <w:pPr>
              <w:spacing w:after="0" w:line="240" w:lineRule="auto"/>
              <w:rPr>
                <w:rFonts w:eastAsia="Times New Roman" w:cs="Calibri"/>
                <w:color w:val="000000"/>
                <w:sz w:val="20"/>
                <w:szCs w:val="20"/>
              </w:rPr>
            </w:pPr>
          </w:p>
        </w:tc>
        <w:tc>
          <w:tcPr>
            <w:tcW w:w="2695" w:type="dxa"/>
          </w:tcPr>
          <w:p w14:paraId="5B34FFE1" w14:textId="77777777" w:rsidR="00934936" w:rsidRPr="00A23FF6" w:rsidRDefault="00934936" w:rsidP="00934936">
            <w:pPr>
              <w:spacing w:after="0" w:line="240" w:lineRule="auto"/>
              <w:rPr>
                <w:rFonts w:eastAsia="Times New Roman" w:cs="Calibri"/>
                <w:color w:val="000000"/>
                <w:sz w:val="20"/>
                <w:szCs w:val="20"/>
              </w:rPr>
            </w:pPr>
          </w:p>
        </w:tc>
      </w:tr>
    </w:tbl>
    <w:p w14:paraId="5C30E94F" w14:textId="77777777" w:rsidR="00934936" w:rsidRPr="008F30F5" w:rsidRDefault="00934936" w:rsidP="00934936">
      <w:pPr>
        <w:spacing w:after="0" w:line="240" w:lineRule="auto"/>
        <w:ind w:left="720"/>
        <w:rPr>
          <w:rFonts w:cs="Calibri"/>
          <w:sz w:val="22"/>
          <w:szCs w:val="22"/>
        </w:rPr>
      </w:pPr>
    </w:p>
    <w:p w14:paraId="0A5826A0" w14:textId="77777777" w:rsidR="00F15C6D" w:rsidRPr="008F30F5" w:rsidRDefault="00F15C6D" w:rsidP="00F15C6D">
      <w:pPr>
        <w:pStyle w:val="ListParagraph"/>
        <w:spacing w:after="0" w:line="240" w:lineRule="auto"/>
        <w:rPr>
          <w:rFonts w:cs="Calibri"/>
          <w:sz w:val="22"/>
          <w:szCs w:val="22"/>
        </w:rPr>
      </w:pPr>
    </w:p>
    <w:p w14:paraId="400CE3A0" w14:textId="74AAB601" w:rsidR="00A673A8" w:rsidRPr="008F30F5" w:rsidRDefault="00806B6B" w:rsidP="00B95988">
      <w:pPr>
        <w:spacing w:after="0" w:line="240" w:lineRule="auto"/>
        <w:rPr>
          <w:rFonts w:cs="Calibri"/>
          <w:sz w:val="22"/>
          <w:szCs w:val="22"/>
        </w:rPr>
      </w:pPr>
      <w:r w:rsidRPr="008F30F5">
        <w:rPr>
          <w:rFonts w:cs="Calibri"/>
          <w:sz w:val="22"/>
          <w:szCs w:val="22"/>
        </w:rPr>
        <w:t>2)</w:t>
      </w:r>
      <w:r w:rsidR="003309C7" w:rsidRPr="008F30F5">
        <w:rPr>
          <w:rFonts w:cs="Calibri"/>
          <w:sz w:val="22"/>
          <w:szCs w:val="22"/>
        </w:rPr>
        <w:t xml:space="preserve"> </w:t>
      </w:r>
      <w:r w:rsidR="00A673A8" w:rsidRPr="008F30F5">
        <w:rPr>
          <w:rFonts w:cs="Calibri"/>
          <w:sz w:val="22"/>
          <w:szCs w:val="22"/>
        </w:rPr>
        <w:t xml:space="preserve">New Volume- </w:t>
      </w:r>
      <w:proofErr w:type="gramStart"/>
      <w:r w:rsidR="00A673A8" w:rsidRPr="008F30F5">
        <w:rPr>
          <w:rFonts w:cs="Calibri"/>
          <w:sz w:val="22"/>
          <w:szCs w:val="22"/>
        </w:rPr>
        <w:t>I</w:t>
      </w:r>
      <w:r w:rsidR="00A638C3" w:rsidRPr="008F30F5">
        <w:rPr>
          <w:rFonts w:cs="Calibri"/>
          <w:sz w:val="22"/>
          <w:szCs w:val="22"/>
        </w:rPr>
        <w:t>n</w:t>
      </w:r>
      <w:r w:rsidR="00A673A8" w:rsidRPr="008F30F5">
        <w:rPr>
          <w:rFonts w:cs="Calibri"/>
          <w:sz w:val="22"/>
          <w:szCs w:val="22"/>
        </w:rPr>
        <w:t xml:space="preserve"> order to</w:t>
      </w:r>
      <w:proofErr w:type="gramEnd"/>
      <w:r w:rsidR="00A673A8" w:rsidRPr="008F30F5">
        <w:rPr>
          <w:rFonts w:cs="Calibri"/>
          <w:sz w:val="22"/>
          <w:szCs w:val="22"/>
        </w:rPr>
        <w:t xml:space="preserve"> better understand where the new volume will originate </w:t>
      </w:r>
      <w:r w:rsidR="002E2657" w:rsidRPr="008F30F5">
        <w:rPr>
          <w:rFonts w:cs="Calibri"/>
          <w:sz w:val="22"/>
          <w:szCs w:val="22"/>
        </w:rPr>
        <w:t>from,</w:t>
      </w:r>
      <w:r w:rsidR="00A673A8" w:rsidRPr="008F30F5">
        <w:rPr>
          <w:rFonts w:cs="Calibri"/>
          <w:sz w:val="22"/>
          <w:szCs w:val="22"/>
        </w:rPr>
        <w:t xml:space="preserve"> please respond to the following:</w:t>
      </w:r>
    </w:p>
    <w:p w14:paraId="6C4D9F32" w14:textId="77777777" w:rsidR="00F15C6D" w:rsidRPr="008F30F5" w:rsidRDefault="00F15C6D" w:rsidP="00B95988">
      <w:pPr>
        <w:spacing w:after="0" w:line="240" w:lineRule="auto"/>
        <w:rPr>
          <w:rFonts w:cs="Calibri"/>
          <w:sz w:val="22"/>
          <w:szCs w:val="22"/>
        </w:rPr>
      </w:pPr>
    </w:p>
    <w:p w14:paraId="6FAD5D7C" w14:textId="541BEB6B" w:rsidR="00F15C6D" w:rsidRPr="008F30F5" w:rsidRDefault="00F15C6D" w:rsidP="00F15C6D">
      <w:pPr>
        <w:pStyle w:val="ListParagraph"/>
        <w:numPr>
          <w:ilvl w:val="0"/>
          <w:numId w:val="9"/>
        </w:numPr>
        <w:spacing w:after="0" w:line="240" w:lineRule="auto"/>
        <w:rPr>
          <w:rFonts w:cs="Calibri"/>
          <w:sz w:val="22"/>
          <w:szCs w:val="22"/>
        </w:rPr>
      </w:pPr>
      <w:r w:rsidRPr="008F30F5">
        <w:rPr>
          <w:rFonts w:cs="Calibri"/>
          <w:sz w:val="22"/>
          <w:szCs w:val="22"/>
        </w:rPr>
        <w:t xml:space="preserve">You noted that 14% of the Satellite CT volume will shift to Longmeadow. What is the rationale behind that percentage? For </w:t>
      </w:r>
      <w:proofErr w:type="gramStart"/>
      <w:r w:rsidRPr="008F30F5">
        <w:rPr>
          <w:rFonts w:cs="Calibri"/>
          <w:sz w:val="22"/>
          <w:szCs w:val="22"/>
        </w:rPr>
        <w:t>example</w:t>
      </w:r>
      <w:proofErr w:type="gramEnd"/>
      <w:r w:rsidRPr="008F30F5">
        <w:rPr>
          <w:rFonts w:cs="Calibri"/>
          <w:sz w:val="22"/>
          <w:szCs w:val="22"/>
        </w:rPr>
        <w:t xml:space="preserve"> from the Zip Codes provided above, do 14% reside in the Longmeadow service area?</w:t>
      </w:r>
    </w:p>
    <w:p w14:paraId="44C499E4" w14:textId="77777777" w:rsidR="00934936" w:rsidRPr="008F30F5" w:rsidRDefault="00934936" w:rsidP="00934936">
      <w:pPr>
        <w:spacing w:after="0" w:line="240" w:lineRule="auto"/>
        <w:rPr>
          <w:rFonts w:cs="Calibri"/>
          <w:sz w:val="22"/>
          <w:szCs w:val="22"/>
        </w:rPr>
      </w:pPr>
    </w:p>
    <w:p w14:paraId="7829E243" w14:textId="4E6ADF80" w:rsidR="00934936" w:rsidRPr="008F30F5" w:rsidRDefault="00934936" w:rsidP="00883B88">
      <w:pPr>
        <w:spacing w:after="0" w:line="240" w:lineRule="auto"/>
        <w:ind w:left="720"/>
        <w:jc w:val="both"/>
        <w:rPr>
          <w:rFonts w:cs="Calibri"/>
          <w:b/>
          <w:bCs/>
          <w:sz w:val="22"/>
          <w:szCs w:val="22"/>
        </w:rPr>
      </w:pPr>
      <w:r w:rsidRPr="008F30F5">
        <w:rPr>
          <w:rFonts w:cs="Calibri"/>
          <w:b/>
          <w:bCs/>
          <w:sz w:val="22"/>
          <w:szCs w:val="22"/>
        </w:rPr>
        <w:t xml:space="preserve">The Satellite’s CT service is running at 94% and needs to reduce utilization </w:t>
      </w:r>
      <w:proofErr w:type="gramStart"/>
      <w:r w:rsidRPr="008F30F5">
        <w:rPr>
          <w:rFonts w:cs="Calibri"/>
          <w:b/>
          <w:bCs/>
          <w:sz w:val="22"/>
          <w:szCs w:val="22"/>
        </w:rPr>
        <w:t>in order to</w:t>
      </w:r>
      <w:proofErr w:type="gramEnd"/>
      <w:r w:rsidRPr="008F30F5">
        <w:rPr>
          <w:rFonts w:cs="Calibri"/>
          <w:b/>
          <w:bCs/>
          <w:sz w:val="22"/>
          <w:szCs w:val="22"/>
        </w:rPr>
        <w:t xml:space="preserve"> maintain a more reasonable schedule for patients, staff and the machine</w:t>
      </w:r>
      <w:r w:rsidR="002312A3">
        <w:rPr>
          <w:rFonts w:cs="Calibri"/>
          <w:b/>
          <w:bCs/>
          <w:sz w:val="22"/>
          <w:szCs w:val="22"/>
        </w:rPr>
        <w:t xml:space="preserve">. </w:t>
      </w:r>
      <w:r w:rsidRPr="008F30F5">
        <w:rPr>
          <w:rFonts w:cs="Calibri"/>
          <w:b/>
          <w:bCs/>
          <w:sz w:val="22"/>
          <w:szCs w:val="22"/>
        </w:rPr>
        <w:t xml:space="preserve">By creating capacity at Longmeadow and offering existing patients of the Satellite an additional option for CT, some patients will </w:t>
      </w:r>
      <w:r w:rsidR="002312A3" w:rsidRPr="008F30F5">
        <w:rPr>
          <w:rFonts w:cs="Calibri"/>
          <w:b/>
          <w:bCs/>
          <w:sz w:val="22"/>
          <w:szCs w:val="22"/>
        </w:rPr>
        <w:t>choose</w:t>
      </w:r>
      <w:r w:rsidRPr="008F30F5">
        <w:rPr>
          <w:rFonts w:cs="Calibri"/>
          <w:b/>
          <w:bCs/>
          <w:sz w:val="22"/>
          <w:szCs w:val="22"/>
        </w:rPr>
        <w:t xml:space="preserve"> Longmeadow for their CT services, thereby reducing utilization at the Satellite.  The Applicant anticipates that </w:t>
      </w:r>
      <w:r w:rsidR="00B924EC">
        <w:rPr>
          <w:rFonts w:cs="Calibri"/>
          <w:b/>
          <w:bCs/>
          <w:sz w:val="22"/>
          <w:szCs w:val="22"/>
        </w:rPr>
        <w:t>approximately 14</w:t>
      </w:r>
      <w:r w:rsidRPr="008F30F5">
        <w:rPr>
          <w:rFonts w:cs="Calibri"/>
          <w:b/>
          <w:bCs/>
          <w:sz w:val="22"/>
          <w:szCs w:val="22"/>
        </w:rPr>
        <w:t>% of existing Satellite patients will shift to Longmeadow due to patient preference, thereby reducing utilization at the Satellite to a more optimal level</w:t>
      </w:r>
      <w:r w:rsidR="002312A3">
        <w:rPr>
          <w:rFonts w:cs="Calibri"/>
          <w:b/>
          <w:bCs/>
          <w:sz w:val="22"/>
          <w:szCs w:val="22"/>
        </w:rPr>
        <w:t xml:space="preserve">, roughly 80% capacity, </w:t>
      </w:r>
      <w:r w:rsidRPr="008F30F5">
        <w:rPr>
          <w:rFonts w:cs="Calibri"/>
          <w:b/>
          <w:bCs/>
          <w:sz w:val="22"/>
          <w:szCs w:val="22"/>
        </w:rPr>
        <w:t xml:space="preserve">which will improve scheduling and patient satisfaction, as well as the lifespan of the current CT units. </w:t>
      </w:r>
    </w:p>
    <w:p w14:paraId="40A1BB47" w14:textId="77777777" w:rsidR="00934936" w:rsidRPr="008F30F5" w:rsidRDefault="00934936" w:rsidP="00934936">
      <w:pPr>
        <w:spacing w:after="0" w:line="240" w:lineRule="auto"/>
        <w:ind w:left="720"/>
        <w:rPr>
          <w:rFonts w:cs="Calibri"/>
          <w:sz w:val="22"/>
          <w:szCs w:val="22"/>
        </w:rPr>
      </w:pPr>
    </w:p>
    <w:p w14:paraId="099250AB" w14:textId="78E1209F" w:rsidR="00B95988" w:rsidRPr="008F30F5" w:rsidRDefault="002E2657" w:rsidP="00F15C6D">
      <w:pPr>
        <w:pStyle w:val="ListParagraph"/>
        <w:numPr>
          <w:ilvl w:val="0"/>
          <w:numId w:val="9"/>
        </w:numPr>
        <w:spacing w:after="0" w:line="240" w:lineRule="auto"/>
        <w:rPr>
          <w:rFonts w:cs="Calibri"/>
          <w:sz w:val="22"/>
          <w:szCs w:val="22"/>
        </w:rPr>
      </w:pPr>
      <w:r w:rsidRPr="008F30F5">
        <w:rPr>
          <w:rFonts w:cs="Calibri"/>
          <w:sz w:val="22"/>
          <w:szCs w:val="22"/>
        </w:rPr>
        <w:lastRenderedPageBreak/>
        <w:t>Ex</w:t>
      </w:r>
      <w:r w:rsidR="00B95988" w:rsidRPr="008F30F5">
        <w:rPr>
          <w:rFonts w:cs="Calibri"/>
          <w:sz w:val="22"/>
          <w:szCs w:val="22"/>
        </w:rPr>
        <w:t xml:space="preserve">plain and distinguish between patients who are shifting from the Satellite and </w:t>
      </w:r>
      <w:r w:rsidRPr="008F30F5">
        <w:rPr>
          <w:rFonts w:cs="Calibri"/>
          <w:sz w:val="22"/>
          <w:szCs w:val="22"/>
        </w:rPr>
        <w:t xml:space="preserve">those you identify as </w:t>
      </w:r>
      <w:r w:rsidR="00B95988" w:rsidRPr="008F30F5">
        <w:rPr>
          <w:rFonts w:cs="Calibri"/>
          <w:sz w:val="22"/>
          <w:szCs w:val="22"/>
        </w:rPr>
        <w:t>the new patients describing where they will originate from.</w:t>
      </w:r>
    </w:p>
    <w:p w14:paraId="30B1980F" w14:textId="77777777" w:rsidR="00934936" w:rsidRPr="008F30F5" w:rsidRDefault="00934936" w:rsidP="00934936">
      <w:pPr>
        <w:pStyle w:val="ListParagraph"/>
        <w:spacing w:after="0" w:line="240" w:lineRule="auto"/>
        <w:rPr>
          <w:rFonts w:cs="Calibri"/>
          <w:sz w:val="22"/>
          <w:szCs w:val="22"/>
        </w:rPr>
      </w:pPr>
    </w:p>
    <w:p w14:paraId="69E67E6E" w14:textId="68727798" w:rsidR="00934936" w:rsidRPr="008F30F5" w:rsidRDefault="00934936" w:rsidP="00934936">
      <w:pPr>
        <w:pStyle w:val="ListParagraph"/>
        <w:spacing w:line="240" w:lineRule="auto"/>
        <w:rPr>
          <w:rFonts w:cs="Calibri"/>
          <w:b/>
          <w:bCs/>
          <w:sz w:val="22"/>
          <w:szCs w:val="22"/>
        </w:rPr>
      </w:pPr>
      <w:r w:rsidRPr="008F30F5">
        <w:rPr>
          <w:rFonts w:cs="Calibri"/>
          <w:b/>
          <w:bCs/>
          <w:sz w:val="22"/>
          <w:szCs w:val="22"/>
        </w:rPr>
        <w:t xml:space="preserve">The shift will largely be driven by patient preference, ensuring patients receive care at their preferred location and </w:t>
      </w:r>
      <w:proofErr w:type="gramStart"/>
      <w:r w:rsidRPr="008F30F5">
        <w:rPr>
          <w:rFonts w:cs="Calibri"/>
          <w:b/>
          <w:bCs/>
          <w:sz w:val="22"/>
          <w:szCs w:val="22"/>
        </w:rPr>
        <w:t>in close proximity to</w:t>
      </w:r>
      <w:proofErr w:type="gramEnd"/>
      <w:r w:rsidRPr="008F30F5">
        <w:rPr>
          <w:rFonts w:cs="Calibri"/>
          <w:b/>
          <w:bCs/>
          <w:sz w:val="22"/>
          <w:szCs w:val="22"/>
        </w:rPr>
        <w:t xml:space="preserve"> their providers. For example, the Applicant anticipates cancer patients will continue to use the Satellite which is across the street from Baystate’s </w:t>
      </w:r>
      <w:proofErr w:type="spellStart"/>
      <w:r w:rsidRPr="008F30F5">
        <w:rPr>
          <w:rFonts w:cs="Calibri"/>
          <w:b/>
          <w:bCs/>
          <w:sz w:val="22"/>
          <w:szCs w:val="22"/>
        </w:rPr>
        <w:t>D'Amour</w:t>
      </w:r>
      <w:proofErr w:type="spellEnd"/>
      <w:r w:rsidRPr="008F30F5">
        <w:rPr>
          <w:rFonts w:cs="Calibri"/>
          <w:b/>
          <w:bCs/>
          <w:sz w:val="22"/>
          <w:szCs w:val="22"/>
        </w:rPr>
        <w:t xml:space="preserve"> Center for Cancer Care.  Conversely, a large number of patients will </w:t>
      </w:r>
      <w:proofErr w:type="gramStart"/>
      <w:r w:rsidRPr="008F30F5">
        <w:rPr>
          <w:rFonts w:cs="Calibri"/>
          <w:b/>
          <w:bCs/>
          <w:sz w:val="22"/>
          <w:szCs w:val="22"/>
        </w:rPr>
        <w:t>chose</w:t>
      </w:r>
      <w:proofErr w:type="gramEnd"/>
      <w:r w:rsidRPr="008F30F5">
        <w:rPr>
          <w:rFonts w:cs="Calibri"/>
          <w:b/>
          <w:bCs/>
          <w:sz w:val="22"/>
          <w:szCs w:val="22"/>
        </w:rPr>
        <w:t xml:space="preserve"> to use Longmeadow which is only 7 miles from the Satellite, but for many patients is a much easier commute due to Springfield traffic. </w:t>
      </w:r>
    </w:p>
    <w:p w14:paraId="6BF86C50" w14:textId="77777777" w:rsidR="00934936" w:rsidRPr="008F30F5" w:rsidRDefault="00934936" w:rsidP="00934936">
      <w:pPr>
        <w:pStyle w:val="ListParagraph"/>
        <w:spacing w:after="0" w:line="240" w:lineRule="auto"/>
        <w:rPr>
          <w:rFonts w:cs="Calibri"/>
          <w:sz w:val="22"/>
          <w:szCs w:val="22"/>
        </w:rPr>
      </w:pPr>
    </w:p>
    <w:p w14:paraId="70DD1ACD" w14:textId="3FE258FC" w:rsidR="00A673A8" w:rsidRPr="008F30F5" w:rsidRDefault="0031306C" w:rsidP="00F15C6D">
      <w:pPr>
        <w:pStyle w:val="ListParagraph"/>
        <w:numPr>
          <w:ilvl w:val="0"/>
          <w:numId w:val="9"/>
        </w:numPr>
        <w:spacing w:after="0" w:line="240" w:lineRule="auto"/>
        <w:rPr>
          <w:rFonts w:cs="Calibri"/>
          <w:sz w:val="22"/>
          <w:szCs w:val="22"/>
        </w:rPr>
      </w:pPr>
      <w:r w:rsidRPr="008F30F5">
        <w:rPr>
          <w:rFonts w:cs="Calibri"/>
          <w:sz w:val="22"/>
          <w:szCs w:val="22"/>
        </w:rPr>
        <w:t xml:space="preserve">When a </w:t>
      </w:r>
      <w:r w:rsidR="0072350A" w:rsidRPr="008F30F5">
        <w:rPr>
          <w:rFonts w:cs="Calibri"/>
          <w:sz w:val="22"/>
          <w:szCs w:val="22"/>
        </w:rPr>
        <w:t xml:space="preserve">Longmeadow </w:t>
      </w:r>
      <w:r w:rsidRPr="008F30F5">
        <w:rPr>
          <w:rFonts w:cs="Calibri"/>
          <w:sz w:val="22"/>
          <w:szCs w:val="22"/>
        </w:rPr>
        <w:t xml:space="preserve">physician orders a CT </w:t>
      </w:r>
      <w:r w:rsidR="0072350A" w:rsidRPr="008F30F5">
        <w:rPr>
          <w:rFonts w:cs="Calibri"/>
          <w:sz w:val="22"/>
          <w:szCs w:val="22"/>
        </w:rPr>
        <w:t xml:space="preserve">for </w:t>
      </w:r>
      <w:r w:rsidRPr="008F30F5">
        <w:rPr>
          <w:rFonts w:cs="Calibri"/>
          <w:sz w:val="22"/>
          <w:szCs w:val="22"/>
        </w:rPr>
        <w:t xml:space="preserve">Longmeadow </w:t>
      </w:r>
      <w:r w:rsidR="0072350A" w:rsidRPr="008F30F5">
        <w:rPr>
          <w:rFonts w:cs="Calibri"/>
          <w:sz w:val="22"/>
          <w:szCs w:val="22"/>
        </w:rPr>
        <w:t>patient</w:t>
      </w:r>
      <w:r w:rsidRPr="008F30F5">
        <w:rPr>
          <w:rFonts w:cs="Calibri"/>
          <w:sz w:val="22"/>
          <w:szCs w:val="22"/>
        </w:rPr>
        <w:t xml:space="preserve">, do the majority go to the Baystate Health Satellite? </w:t>
      </w:r>
      <w:r w:rsidR="002528BB" w:rsidRPr="008F30F5">
        <w:rPr>
          <w:rFonts w:cs="Calibri"/>
          <w:sz w:val="22"/>
          <w:szCs w:val="22"/>
        </w:rPr>
        <w:t>What percentage of the Satellite CT patients originate from the Longmeadow sit</w:t>
      </w:r>
      <w:r w:rsidRPr="008F30F5">
        <w:rPr>
          <w:rFonts w:cs="Calibri"/>
          <w:sz w:val="22"/>
          <w:szCs w:val="22"/>
        </w:rPr>
        <w:t>e referrals</w:t>
      </w:r>
      <w:r w:rsidR="002528BB" w:rsidRPr="008F30F5">
        <w:rPr>
          <w:rFonts w:cs="Calibri"/>
          <w:sz w:val="22"/>
          <w:szCs w:val="22"/>
        </w:rPr>
        <w:t xml:space="preserve">? </w:t>
      </w:r>
      <w:r w:rsidR="00270A07" w:rsidRPr="008F30F5">
        <w:rPr>
          <w:rFonts w:cs="Calibri"/>
          <w:sz w:val="22"/>
          <w:szCs w:val="22"/>
        </w:rPr>
        <w:t>You state that t</w:t>
      </w:r>
      <w:r w:rsidR="0016485D" w:rsidRPr="008F30F5">
        <w:rPr>
          <w:rFonts w:cs="Calibri"/>
          <w:sz w:val="22"/>
          <w:szCs w:val="22"/>
        </w:rPr>
        <w:t xml:space="preserve">hese patients will shift to the BRI Longmeadow </w:t>
      </w:r>
      <w:r w:rsidR="00A60296" w:rsidRPr="008F30F5">
        <w:rPr>
          <w:rFonts w:cs="Calibri"/>
          <w:sz w:val="22"/>
          <w:szCs w:val="22"/>
        </w:rPr>
        <w:t>site, so these</w:t>
      </w:r>
      <w:r w:rsidR="007F3574" w:rsidRPr="008F30F5">
        <w:rPr>
          <w:rFonts w:cs="Calibri"/>
          <w:sz w:val="22"/>
          <w:szCs w:val="22"/>
        </w:rPr>
        <w:t xml:space="preserve"> do not appear to be new patients. </w:t>
      </w:r>
    </w:p>
    <w:p w14:paraId="0FCFA7B9" w14:textId="77777777" w:rsidR="00934936" w:rsidRPr="008F30F5" w:rsidRDefault="00934936" w:rsidP="00934936">
      <w:pPr>
        <w:pStyle w:val="ListParagraph"/>
        <w:spacing w:after="0" w:line="240" w:lineRule="auto"/>
        <w:rPr>
          <w:rFonts w:cs="Calibri"/>
          <w:sz w:val="22"/>
          <w:szCs w:val="22"/>
          <w:highlight w:val="yellow"/>
        </w:rPr>
      </w:pPr>
    </w:p>
    <w:p w14:paraId="0FBB2E48" w14:textId="669D6A4E" w:rsidR="002312A3" w:rsidRPr="003972FE" w:rsidRDefault="00934936" w:rsidP="003972FE">
      <w:pPr>
        <w:pStyle w:val="ListParagraph"/>
        <w:spacing w:after="0" w:line="240" w:lineRule="auto"/>
        <w:rPr>
          <w:rFonts w:cs="Calibri"/>
          <w:b/>
          <w:bCs/>
          <w:sz w:val="22"/>
          <w:szCs w:val="22"/>
        </w:rPr>
      </w:pPr>
      <w:r w:rsidRPr="008F30F5">
        <w:rPr>
          <w:rFonts w:cs="Calibri"/>
          <w:b/>
          <w:bCs/>
          <w:sz w:val="22"/>
          <w:szCs w:val="22"/>
        </w:rPr>
        <w:t xml:space="preserve">The Longmeadow location houses more than 10 Baystate practices and CT referrals are not tracked in one system. </w:t>
      </w:r>
      <w:r w:rsidR="00883B88">
        <w:rPr>
          <w:rFonts w:cs="Calibri"/>
          <w:b/>
          <w:bCs/>
          <w:sz w:val="22"/>
          <w:szCs w:val="22"/>
        </w:rPr>
        <w:t xml:space="preserve">The Applicant believes </w:t>
      </w:r>
      <w:proofErr w:type="gramStart"/>
      <w:r w:rsidR="00883B88">
        <w:rPr>
          <w:rFonts w:cs="Calibri"/>
          <w:b/>
          <w:bCs/>
          <w:sz w:val="22"/>
          <w:szCs w:val="22"/>
        </w:rPr>
        <w:t>the vast majority of</w:t>
      </w:r>
      <w:proofErr w:type="gramEnd"/>
      <w:r w:rsidR="00883B88">
        <w:rPr>
          <w:rFonts w:cs="Calibri"/>
          <w:b/>
          <w:bCs/>
          <w:sz w:val="22"/>
          <w:szCs w:val="22"/>
        </w:rPr>
        <w:t xml:space="preserve"> CT referrals originating with a Longmeadow provider chose the Satellite due to its proximity to Longmeadow and because </w:t>
      </w:r>
      <w:proofErr w:type="gramStart"/>
      <w:r w:rsidR="00883B88">
        <w:rPr>
          <w:rFonts w:cs="Calibri"/>
          <w:b/>
          <w:bCs/>
          <w:sz w:val="22"/>
          <w:szCs w:val="22"/>
        </w:rPr>
        <w:t>its</w:t>
      </w:r>
      <w:proofErr w:type="gramEnd"/>
      <w:r w:rsidR="00883B88">
        <w:rPr>
          <w:rFonts w:cs="Calibri"/>
          <w:b/>
          <w:bCs/>
          <w:sz w:val="22"/>
          <w:szCs w:val="22"/>
        </w:rPr>
        <w:t xml:space="preserve"> within the Baystate system.  </w:t>
      </w:r>
    </w:p>
    <w:p w14:paraId="5D660DBE" w14:textId="77777777" w:rsidR="00934936" w:rsidRPr="008F30F5" w:rsidRDefault="00934936" w:rsidP="00934936">
      <w:pPr>
        <w:spacing w:after="0" w:line="240" w:lineRule="auto"/>
        <w:rPr>
          <w:rFonts w:cs="Calibri"/>
          <w:sz w:val="22"/>
          <w:szCs w:val="22"/>
          <w:highlight w:val="yellow"/>
        </w:rPr>
      </w:pPr>
    </w:p>
    <w:p w14:paraId="1765AE2A" w14:textId="2A09B3F0" w:rsidR="00A166A7" w:rsidRPr="008F30F5" w:rsidRDefault="0072350A" w:rsidP="00F15C6D">
      <w:pPr>
        <w:pStyle w:val="ListParagraph"/>
        <w:numPr>
          <w:ilvl w:val="0"/>
          <w:numId w:val="9"/>
        </w:numPr>
        <w:spacing w:after="0" w:line="240" w:lineRule="auto"/>
        <w:rPr>
          <w:rFonts w:cs="Calibri"/>
          <w:sz w:val="22"/>
          <w:szCs w:val="22"/>
        </w:rPr>
      </w:pPr>
      <w:r w:rsidRPr="008F30F5">
        <w:rPr>
          <w:rFonts w:cs="Calibri"/>
          <w:sz w:val="22"/>
          <w:szCs w:val="22"/>
        </w:rPr>
        <w:t>D</w:t>
      </w:r>
      <w:r w:rsidR="00806B6B" w:rsidRPr="008F30F5">
        <w:rPr>
          <w:rFonts w:cs="Calibri"/>
          <w:sz w:val="22"/>
          <w:szCs w:val="22"/>
        </w:rPr>
        <w:t>o you know w</w:t>
      </w:r>
      <w:r w:rsidR="008D35FE" w:rsidRPr="008F30F5">
        <w:rPr>
          <w:rFonts w:cs="Calibri"/>
          <w:sz w:val="22"/>
          <w:szCs w:val="22"/>
        </w:rPr>
        <w:t xml:space="preserve">here </w:t>
      </w:r>
      <w:r w:rsidR="00806B6B" w:rsidRPr="008F30F5">
        <w:rPr>
          <w:rFonts w:cs="Calibri"/>
          <w:sz w:val="22"/>
          <w:szCs w:val="22"/>
        </w:rPr>
        <w:t>and how many</w:t>
      </w:r>
      <w:r w:rsidR="008D35FE" w:rsidRPr="008F30F5">
        <w:rPr>
          <w:rFonts w:cs="Calibri"/>
          <w:sz w:val="22"/>
          <w:szCs w:val="22"/>
        </w:rPr>
        <w:t xml:space="preserve"> </w:t>
      </w:r>
      <w:r w:rsidR="009778EF" w:rsidRPr="008F30F5">
        <w:rPr>
          <w:rFonts w:cs="Calibri"/>
          <w:sz w:val="22"/>
          <w:szCs w:val="22"/>
        </w:rPr>
        <w:t xml:space="preserve">Longmeadow </w:t>
      </w:r>
      <w:r w:rsidR="008D35FE" w:rsidRPr="008F30F5">
        <w:rPr>
          <w:rFonts w:cs="Calibri"/>
          <w:sz w:val="22"/>
          <w:szCs w:val="22"/>
        </w:rPr>
        <w:t xml:space="preserve">patients currently receive their CT scans </w:t>
      </w:r>
      <w:r w:rsidR="00806B6B" w:rsidRPr="008F30F5">
        <w:rPr>
          <w:rFonts w:cs="Calibri"/>
          <w:sz w:val="22"/>
          <w:szCs w:val="22"/>
        </w:rPr>
        <w:t xml:space="preserve">at sites </w:t>
      </w:r>
      <w:r w:rsidR="008D35FE" w:rsidRPr="008F30F5">
        <w:rPr>
          <w:rFonts w:cs="Calibri"/>
          <w:sz w:val="22"/>
          <w:szCs w:val="22"/>
        </w:rPr>
        <w:t xml:space="preserve">other than </w:t>
      </w:r>
      <w:r w:rsidR="00D44EE2" w:rsidRPr="008F30F5">
        <w:rPr>
          <w:rFonts w:cs="Calibri"/>
          <w:sz w:val="22"/>
          <w:szCs w:val="22"/>
        </w:rPr>
        <w:t>at the Satellit</w:t>
      </w:r>
      <w:r w:rsidR="00934936" w:rsidRPr="008F30F5">
        <w:rPr>
          <w:rFonts w:cs="Calibri"/>
          <w:sz w:val="22"/>
          <w:szCs w:val="22"/>
        </w:rPr>
        <w:t>e?</w:t>
      </w:r>
    </w:p>
    <w:p w14:paraId="53A535C3" w14:textId="530E42D8" w:rsidR="00934936" w:rsidRPr="008F30F5" w:rsidRDefault="00934936" w:rsidP="00934936">
      <w:pPr>
        <w:pStyle w:val="ListParagraph"/>
        <w:spacing w:after="0" w:line="240" w:lineRule="auto"/>
        <w:rPr>
          <w:rFonts w:cs="Calibri"/>
          <w:b/>
          <w:bCs/>
          <w:sz w:val="22"/>
          <w:szCs w:val="22"/>
        </w:rPr>
      </w:pPr>
      <w:r w:rsidRPr="008F30F5">
        <w:rPr>
          <w:rFonts w:cs="Calibri"/>
          <w:b/>
          <w:bCs/>
          <w:sz w:val="22"/>
          <w:szCs w:val="22"/>
        </w:rPr>
        <w:t xml:space="preserve">The Satellite is the closest Baystate location for CT. Patients could also chose the BRI location in Enfield, Connecticut. </w:t>
      </w:r>
    </w:p>
    <w:p w14:paraId="46EEF267" w14:textId="77777777" w:rsidR="00B95988" w:rsidRPr="008F30F5" w:rsidRDefault="00B95988" w:rsidP="00B95988">
      <w:pPr>
        <w:spacing w:after="0" w:line="240" w:lineRule="auto"/>
        <w:rPr>
          <w:rFonts w:cs="Calibri"/>
          <w:sz w:val="22"/>
          <w:szCs w:val="22"/>
        </w:rPr>
      </w:pPr>
    </w:p>
    <w:p w14:paraId="1E1C7F35" w14:textId="77777777" w:rsidR="006C54F5" w:rsidRPr="008F30F5" w:rsidRDefault="0006471C" w:rsidP="00B95988">
      <w:pPr>
        <w:spacing w:after="0" w:line="240" w:lineRule="auto"/>
        <w:rPr>
          <w:rFonts w:cs="Calibri"/>
          <w:sz w:val="22"/>
          <w:szCs w:val="22"/>
        </w:rPr>
      </w:pPr>
      <w:r w:rsidRPr="008F30F5">
        <w:rPr>
          <w:rFonts w:cs="Calibri"/>
          <w:sz w:val="22"/>
          <w:szCs w:val="22"/>
        </w:rPr>
        <w:t>3) The Projections in Table 8, show a relatively low number of LDCT</w:t>
      </w:r>
      <w:r w:rsidR="00137BA4" w:rsidRPr="008F30F5">
        <w:rPr>
          <w:rFonts w:cs="Calibri"/>
          <w:sz w:val="22"/>
          <w:szCs w:val="22"/>
        </w:rPr>
        <w:t xml:space="preserve"> (104)</w:t>
      </w:r>
      <w:r w:rsidRPr="008F30F5">
        <w:rPr>
          <w:rFonts w:cs="Calibri"/>
          <w:sz w:val="22"/>
          <w:szCs w:val="22"/>
        </w:rPr>
        <w:t xml:space="preserve">; </w:t>
      </w:r>
      <w:r w:rsidR="00B72EF8" w:rsidRPr="008F30F5">
        <w:rPr>
          <w:rFonts w:cs="Calibri"/>
          <w:sz w:val="22"/>
          <w:szCs w:val="22"/>
        </w:rPr>
        <w:t xml:space="preserve">You state that </w:t>
      </w:r>
      <w:r w:rsidRPr="008F30F5">
        <w:rPr>
          <w:rFonts w:cs="Calibri"/>
          <w:sz w:val="22"/>
          <w:szCs w:val="22"/>
        </w:rPr>
        <w:t xml:space="preserve">14% of the current satellite </w:t>
      </w:r>
      <w:r w:rsidR="00B72EF8" w:rsidRPr="008F30F5">
        <w:rPr>
          <w:rFonts w:cs="Calibri"/>
          <w:sz w:val="22"/>
          <w:szCs w:val="22"/>
        </w:rPr>
        <w:t xml:space="preserve">volume will shift to Longmeadow. </w:t>
      </w:r>
      <w:r w:rsidR="00A60296" w:rsidRPr="008F30F5">
        <w:rPr>
          <w:rFonts w:cs="Calibri"/>
          <w:sz w:val="22"/>
          <w:szCs w:val="22"/>
        </w:rPr>
        <w:t>Based on table 6, f</w:t>
      </w:r>
      <w:r w:rsidR="00B72EF8" w:rsidRPr="008F30F5">
        <w:rPr>
          <w:rFonts w:cs="Calibri"/>
          <w:sz w:val="22"/>
          <w:szCs w:val="22"/>
        </w:rPr>
        <w:t xml:space="preserve">or </w:t>
      </w:r>
      <w:r w:rsidRPr="008F30F5">
        <w:rPr>
          <w:rFonts w:cs="Calibri"/>
          <w:sz w:val="22"/>
          <w:szCs w:val="22"/>
        </w:rPr>
        <w:t xml:space="preserve">LDCT that would </w:t>
      </w:r>
      <w:r w:rsidR="00137BA4" w:rsidRPr="008F30F5">
        <w:rPr>
          <w:rFonts w:cs="Calibri"/>
          <w:sz w:val="22"/>
          <w:szCs w:val="22"/>
        </w:rPr>
        <w:t>equate to ~260 scans</w:t>
      </w:r>
      <w:r w:rsidR="00A60296" w:rsidRPr="008F30F5">
        <w:rPr>
          <w:rFonts w:cs="Calibri"/>
          <w:sz w:val="22"/>
          <w:szCs w:val="22"/>
        </w:rPr>
        <w:t xml:space="preserve"> which is lower than your projections.</w:t>
      </w:r>
      <w:r w:rsidR="00F15C6D" w:rsidRPr="008F30F5">
        <w:rPr>
          <w:rFonts w:cs="Calibri"/>
          <w:sz w:val="22"/>
          <w:szCs w:val="22"/>
        </w:rPr>
        <w:t xml:space="preserve"> </w:t>
      </w:r>
    </w:p>
    <w:p w14:paraId="09B8DD55" w14:textId="64240405" w:rsidR="00B72EF8" w:rsidRDefault="006C54F5" w:rsidP="00B95988">
      <w:pPr>
        <w:spacing w:after="0" w:line="240" w:lineRule="auto"/>
        <w:rPr>
          <w:rFonts w:cs="Calibri"/>
          <w:sz w:val="22"/>
          <w:szCs w:val="22"/>
        </w:rPr>
      </w:pPr>
      <w:r w:rsidRPr="008F30F5">
        <w:rPr>
          <w:rFonts w:cs="Calibri"/>
          <w:sz w:val="22"/>
          <w:szCs w:val="22"/>
        </w:rPr>
        <w:t xml:space="preserve">        </w:t>
      </w:r>
      <w:r w:rsidRPr="003972FE">
        <w:rPr>
          <w:rFonts w:cs="Calibri"/>
          <w:sz w:val="22"/>
          <w:szCs w:val="22"/>
        </w:rPr>
        <w:t xml:space="preserve">a.  </w:t>
      </w:r>
      <w:r w:rsidR="0006471C" w:rsidRPr="003972FE">
        <w:rPr>
          <w:rFonts w:cs="Calibri"/>
          <w:sz w:val="22"/>
          <w:szCs w:val="22"/>
        </w:rPr>
        <w:t xml:space="preserve">What </w:t>
      </w:r>
      <w:r w:rsidR="00137BA4" w:rsidRPr="003972FE">
        <w:rPr>
          <w:rFonts w:cs="Calibri"/>
          <w:sz w:val="22"/>
          <w:szCs w:val="22"/>
        </w:rPr>
        <w:t xml:space="preserve">percentage </w:t>
      </w:r>
      <w:r w:rsidR="0006471C" w:rsidRPr="003972FE">
        <w:rPr>
          <w:rFonts w:cs="Calibri"/>
          <w:sz w:val="22"/>
          <w:szCs w:val="22"/>
        </w:rPr>
        <w:t>of current LDCTs originate in the Longmeadow service area?</w:t>
      </w:r>
      <w:r w:rsidR="0006471C" w:rsidRPr="008F30F5">
        <w:rPr>
          <w:rFonts w:cs="Calibri"/>
          <w:sz w:val="22"/>
          <w:szCs w:val="22"/>
        </w:rPr>
        <w:t xml:space="preserve"> </w:t>
      </w:r>
    </w:p>
    <w:p w14:paraId="5679CE9D" w14:textId="77777777" w:rsidR="00347589" w:rsidRDefault="00347589" w:rsidP="00B95988">
      <w:pPr>
        <w:spacing w:after="0" w:line="240" w:lineRule="auto"/>
        <w:rPr>
          <w:rFonts w:cs="Calibri"/>
          <w:sz w:val="22"/>
          <w:szCs w:val="22"/>
        </w:rPr>
      </w:pPr>
    </w:p>
    <w:p w14:paraId="63A2D26E" w14:textId="620EE3CC" w:rsidR="00347589" w:rsidRPr="003972FE" w:rsidRDefault="003972FE" w:rsidP="00B95988">
      <w:pPr>
        <w:spacing w:after="0" w:line="240" w:lineRule="auto"/>
        <w:rPr>
          <w:rFonts w:cs="Calibri"/>
          <w:b/>
          <w:bCs/>
          <w:sz w:val="22"/>
          <w:szCs w:val="22"/>
        </w:rPr>
      </w:pPr>
      <w:r>
        <w:rPr>
          <w:rFonts w:cs="Calibri"/>
          <w:b/>
          <w:bCs/>
          <w:sz w:val="22"/>
          <w:szCs w:val="22"/>
        </w:rPr>
        <w:t xml:space="preserve">As noted above, 76% of Longmeadow primary care patients originate from East Longmeadow, Longmeadow, Springfield, Wilbraham, West Springfield, Hampden, Agawam, Chicopee, Enfield, Ludlow, and Westfield. More than 80% of LDCT patients at the Satellite originate from these cities and towns. </w:t>
      </w:r>
    </w:p>
    <w:p w14:paraId="3BCE4AF5" w14:textId="6B963FF2" w:rsidR="00B72EF8" w:rsidRPr="008F30F5" w:rsidRDefault="00B72EF8" w:rsidP="00B95988">
      <w:pPr>
        <w:spacing w:after="0" w:line="240" w:lineRule="auto"/>
        <w:rPr>
          <w:rFonts w:cs="Calibri"/>
          <w:sz w:val="22"/>
          <w:szCs w:val="22"/>
        </w:rPr>
      </w:pPr>
    </w:p>
    <w:p w14:paraId="00C3A2C0" w14:textId="3FA1B9B3" w:rsidR="00F15C6D" w:rsidRPr="00883B88" w:rsidRDefault="00137BA4" w:rsidP="006C54F5">
      <w:pPr>
        <w:pStyle w:val="ListParagraph"/>
        <w:numPr>
          <w:ilvl w:val="0"/>
          <w:numId w:val="11"/>
        </w:numPr>
        <w:spacing w:after="0" w:line="240" w:lineRule="auto"/>
        <w:rPr>
          <w:rFonts w:cs="Calibri"/>
          <w:sz w:val="22"/>
          <w:szCs w:val="22"/>
        </w:rPr>
      </w:pPr>
      <w:r w:rsidRPr="00883B88">
        <w:rPr>
          <w:rFonts w:cs="Calibri"/>
          <w:sz w:val="22"/>
          <w:szCs w:val="22"/>
        </w:rPr>
        <w:t>Given the expansion of the screening guidelines,</w:t>
      </w:r>
      <w:r w:rsidR="006C54F5" w:rsidRPr="00883B88">
        <w:rPr>
          <w:rFonts w:cs="Calibri"/>
          <w:sz w:val="22"/>
          <w:szCs w:val="22"/>
        </w:rPr>
        <w:t xml:space="preserve"> w</w:t>
      </w:r>
      <w:r w:rsidRPr="00883B88">
        <w:rPr>
          <w:rFonts w:cs="Calibri"/>
          <w:sz w:val="22"/>
          <w:szCs w:val="22"/>
        </w:rPr>
        <w:t>hat it the current regional need for LDCT?</w:t>
      </w:r>
      <w:r w:rsidR="002E2657" w:rsidRPr="00883B88">
        <w:rPr>
          <w:rFonts w:cs="Calibri"/>
          <w:sz w:val="22"/>
          <w:szCs w:val="22"/>
        </w:rPr>
        <w:t xml:space="preserve"> </w:t>
      </w:r>
    </w:p>
    <w:p w14:paraId="6578C9B3" w14:textId="77777777" w:rsidR="00934936" w:rsidRPr="008F30F5" w:rsidRDefault="00934936" w:rsidP="00934936">
      <w:pPr>
        <w:spacing w:after="0" w:line="240" w:lineRule="auto"/>
        <w:rPr>
          <w:rFonts w:cs="Calibri"/>
          <w:sz w:val="22"/>
          <w:szCs w:val="22"/>
        </w:rPr>
      </w:pPr>
    </w:p>
    <w:p w14:paraId="0944BC73" w14:textId="63E5FB09" w:rsidR="00934936" w:rsidRPr="00934936" w:rsidRDefault="00934936" w:rsidP="00934936">
      <w:pPr>
        <w:spacing w:after="0" w:line="240" w:lineRule="auto"/>
        <w:jc w:val="both"/>
        <w:rPr>
          <w:rFonts w:cs="Calibri"/>
          <w:b/>
          <w:bCs/>
          <w:sz w:val="22"/>
          <w:szCs w:val="22"/>
        </w:rPr>
      </w:pPr>
      <w:r w:rsidRPr="00934936">
        <w:rPr>
          <w:rFonts w:cs="Calibri"/>
          <w:b/>
          <w:bCs/>
          <w:sz w:val="22"/>
          <w:szCs w:val="22"/>
        </w:rPr>
        <w:t xml:space="preserve">Expanding access to LDCT screenings at Baystate is a critical step in addressing the growing healthcare demands of </w:t>
      </w:r>
      <w:r w:rsidRPr="008F30F5">
        <w:rPr>
          <w:rFonts w:cs="Calibri"/>
          <w:b/>
          <w:bCs/>
          <w:sz w:val="22"/>
          <w:szCs w:val="22"/>
        </w:rPr>
        <w:t>southwestern</w:t>
      </w:r>
      <w:r w:rsidRPr="00934936">
        <w:rPr>
          <w:rFonts w:cs="Calibri"/>
          <w:b/>
          <w:bCs/>
          <w:sz w:val="22"/>
          <w:szCs w:val="22"/>
        </w:rPr>
        <w:t xml:space="preserve"> Massachusetts’s population, particularly the aging population that is at </w:t>
      </w:r>
      <w:r w:rsidRPr="008F30F5">
        <w:rPr>
          <w:rFonts w:cs="Calibri"/>
          <w:b/>
          <w:bCs/>
          <w:sz w:val="22"/>
          <w:szCs w:val="22"/>
        </w:rPr>
        <w:t xml:space="preserve">a </w:t>
      </w:r>
      <w:r w:rsidRPr="00934936">
        <w:rPr>
          <w:rFonts w:cs="Calibri"/>
          <w:b/>
          <w:bCs/>
          <w:sz w:val="22"/>
          <w:szCs w:val="22"/>
        </w:rPr>
        <w:t>high</w:t>
      </w:r>
      <w:r w:rsidRPr="008F30F5">
        <w:rPr>
          <w:rFonts w:cs="Calibri"/>
          <w:b/>
          <w:bCs/>
          <w:sz w:val="22"/>
          <w:szCs w:val="22"/>
        </w:rPr>
        <w:t xml:space="preserve">er </w:t>
      </w:r>
      <w:r w:rsidRPr="00934936">
        <w:rPr>
          <w:rFonts w:cs="Calibri"/>
          <w:b/>
          <w:bCs/>
          <w:sz w:val="22"/>
          <w:szCs w:val="22"/>
        </w:rPr>
        <w:t>risk for lung cancer. The population aged 40 and older is expected to significantly increase over the next decade, leading to a corresponding rise in the need for lung cancer screenings among the older adults who face a heightened risk of the disease.</w:t>
      </w:r>
      <w:r w:rsidRPr="008F30F5">
        <w:rPr>
          <w:rStyle w:val="FootnoteReference"/>
          <w:rFonts w:cs="Calibri"/>
          <w:b/>
          <w:bCs/>
          <w:sz w:val="22"/>
          <w:szCs w:val="22"/>
        </w:rPr>
        <w:footnoteReference w:id="1"/>
      </w:r>
      <w:r w:rsidRPr="00934936">
        <w:rPr>
          <w:rFonts w:cs="Calibri"/>
          <w:b/>
          <w:bCs/>
          <w:sz w:val="22"/>
          <w:szCs w:val="22"/>
        </w:rPr>
        <w:t xml:space="preserve"> Massachusetts is currently a national leader in lung cancer screening, with some of the highest </w:t>
      </w:r>
      <w:r w:rsidRPr="00934936">
        <w:rPr>
          <w:rFonts w:cs="Calibri"/>
          <w:b/>
          <w:bCs/>
          <w:sz w:val="22"/>
          <w:szCs w:val="22"/>
        </w:rPr>
        <w:lastRenderedPageBreak/>
        <w:t>rates of LDCT utilization in the country.</w:t>
      </w:r>
      <w:r w:rsidRPr="008F30F5">
        <w:rPr>
          <w:rStyle w:val="FootnoteReference"/>
          <w:rFonts w:cs="Calibri"/>
          <w:b/>
          <w:bCs/>
          <w:sz w:val="22"/>
          <w:szCs w:val="22"/>
        </w:rPr>
        <w:footnoteReference w:id="2"/>
      </w:r>
      <w:r w:rsidRPr="00934936">
        <w:rPr>
          <w:rFonts w:cs="Calibri"/>
          <w:b/>
          <w:bCs/>
          <w:sz w:val="22"/>
          <w:szCs w:val="22"/>
        </w:rPr>
        <w:t xml:space="preserve"> However, this screening success brings a growing burden on existing CT facilities as more residents become eligible for screening in the coming years. Without expanded capacity, </w:t>
      </w:r>
      <w:r w:rsidRPr="008F30F5">
        <w:rPr>
          <w:rFonts w:cs="Calibri"/>
          <w:b/>
          <w:bCs/>
          <w:sz w:val="22"/>
          <w:szCs w:val="22"/>
        </w:rPr>
        <w:t>providers such as Baystate may</w:t>
      </w:r>
      <w:r w:rsidRPr="00934936">
        <w:rPr>
          <w:rFonts w:cs="Calibri"/>
          <w:b/>
          <w:bCs/>
          <w:sz w:val="22"/>
          <w:szCs w:val="22"/>
        </w:rPr>
        <w:t xml:space="preserve"> struggle to meet the increasing </w:t>
      </w:r>
      <w:r w:rsidRPr="008F30F5">
        <w:rPr>
          <w:rFonts w:cs="Calibri"/>
          <w:b/>
          <w:bCs/>
          <w:sz w:val="22"/>
          <w:szCs w:val="22"/>
        </w:rPr>
        <w:t>need</w:t>
      </w:r>
      <w:r w:rsidRPr="00934936">
        <w:rPr>
          <w:rFonts w:cs="Calibri"/>
          <w:b/>
          <w:bCs/>
          <w:sz w:val="22"/>
          <w:szCs w:val="22"/>
        </w:rPr>
        <w:t>, potentially delaying life-saving screenings for at-risk patients. By investing in an additional CT unit, Baystate can ensure timely access to LDCT for the region’s vulnerable population, helping to maintain Massachusetts’s strong track record in early detection and treatment of lung cancer.</w:t>
      </w:r>
    </w:p>
    <w:p w14:paraId="2CFE2D05" w14:textId="77777777" w:rsidR="00934936" w:rsidRPr="00934936" w:rsidRDefault="00934936" w:rsidP="00934936">
      <w:pPr>
        <w:spacing w:after="0" w:line="240" w:lineRule="auto"/>
        <w:jc w:val="both"/>
        <w:rPr>
          <w:rFonts w:cs="Calibri"/>
          <w:b/>
          <w:bCs/>
          <w:sz w:val="22"/>
          <w:szCs w:val="22"/>
        </w:rPr>
      </w:pPr>
    </w:p>
    <w:p w14:paraId="2E11D6DC" w14:textId="77777777" w:rsidR="00934936" w:rsidRPr="00934936" w:rsidRDefault="00934936" w:rsidP="00934936">
      <w:pPr>
        <w:spacing w:after="0" w:line="240" w:lineRule="auto"/>
        <w:jc w:val="both"/>
        <w:rPr>
          <w:rFonts w:cs="Calibri"/>
          <w:b/>
          <w:bCs/>
          <w:sz w:val="22"/>
          <w:szCs w:val="22"/>
        </w:rPr>
      </w:pPr>
      <w:r w:rsidRPr="00934936">
        <w:rPr>
          <w:rFonts w:cs="Calibri"/>
          <w:b/>
          <w:bCs/>
          <w:sz w:val="22"/>
          <w:szCs w:val="22"/>
        </w:rPr>
        <w:t>Current access to LDCT screenings is not evenly distributed across the state, with more facilities concentrated in and around Boston. This geographic imbalance amplifies challenges for patients in southwest Massachusetts, where Baystate Hospital serves as a critical healthcare access point. By adding a new CT unit, Baystate can better serve the region’s residents, addressing both current and future needs while reducing the burden on patients who might otherwise face delays or travel long distances for LDCT services. Expanding LDCT access at Baystate will help meet growing demand for lung-cancer screenings and ensure residents of southwest Massachusetts have access to high-quality, life-saving care.</w:t>
      </w:r>
    </w:p>
    <w:p w14:paraId="7213938B" w14:textId="77777777" w:rsidR="00934936" w:rsidRPr="008F30F5" w:rsidRDefault="00934936" w:rsidP="00934936">
      <w:pPr>
        <w:spacing w:after="0" w:line="240" w:lineRule="auto"/>
        <w:rPr>
          <w:rFonts w:cs="Calibri"/>
          <w:b/>
          <w:bCs/>
          <w:sz w:val="22"/>
          <w:szCs w:val="22"/>
          <w:highlight w:val="yellow"/>
        </w:rPr>
      </w:pPr>
    </w:p>
    <w:p w14:paraId="7C84796E" w14:textId="77777777" w:rsidR="005137E3" w:rsidRPr="009944C6" w:rsidRDefault="005137E3" w:rsidP="009944C6">
      <w:pPr>
        <w:spacing w:after="0" w:line="240" w:lineRule="auto"/>
        <w:rPr>
          <w:rFonts w:cs="Calibri"/>
          <w:sz w:val="22"/>
          <w:szCs w:val="22"/>
        </w:rPr>
      </w:pPr>
    </w:p>
    <w:p w14:paraId="4E260BE9" w14:textId="4B13528D" w:rsidR="00B95988" w:rsidRPr="008F30F5" w:rsidRDefault="00F15C6D" w:rsidP="006C54F5">
      <w:pPr>
        <w:pStyle w:val="ListParagraph"/>
        <w:numPr>
          <w:ilvl w:val="0"/>
          <w:numId w:val="11"/>
        </w:numPr>
        <w:spacing w:after="0" w:line="240" w:lineRule="auto"/>
        <w:rPr>
          <w:rFonts w:cs="Calibri"/>
          <w:sz w:val="22"/>
          <w:szCs w:val="22"/>
        </w:rPr>
      </w:pPr>
      <w:r w:rsidRPr="008F30F5">
        <w:rPr>
          <w:rFonts w:cs="Calibri"/>
          <w:sz w:val="22"/>
          <w:szCs w:val="22"/>
        </w:rPr>
        <w:t>What other sites are providing this service</w:t>
      </w:r>
      <w:r w:rsidR="006C54F5" w:rsidRPr="008F30F5">
        <w:rPr>
          <w:rFonts w:cs="Calibri"/>
          <w:sz w:val="22"/>
          <w:szCs w:val="22"/>
        </w:rPr>
        <w:t xml:space="preserve"> within the service area and how far away is it</w:t>
      </w:r>
      <w:r w:rsidRPr="008F30F5">
        <w:rPr>
          <w:rFonts w:cs="Calibri"/>
          <w:sz w:val="22"/>
          <w:szCs w:val="22"/>
        </w:rPr>
        <w:t xml:space="preserve">? </w:t>
      </w:r>
    </w:p>
    <w:p w14:paraId="19AB1A35" w14:textId="77777777" w:rsidR="00934936" w:rsidRPr="008F30F5" w:rsidRDefault="00934936" w:rsidP="00934936">
      <w:pPr>
        <w:spacing w:after="0" w:line="240" w:lineRule="auto"/>
        <w:rPr>
          <w:rFonts w:cs="Calibri"/>
          <w:sz w:val="22"/>
          <w:szCs w:val="22"/>
        </w:rPr>
      </w:pPr>
    </w:p>
    <w:p w14:paraId="00F3B3C7" w14:textId="4D104E22" w:rsidR="00934936" w:rsidRDefault="00934936" w:rsidP="00934936">
      <w:pPr>
        <w:spacing w:after="0" w:line="240" w:lineRule="auto"/>
        <w:rPr>
          <w:rFonts w:cs="Calibri"/>
          <w:b/>
          <w:bCs/>
          <w:sz w:val="22"/>
          <w:szCs w:val="22"/>
        </w:rPr>
      </w:pPr>
      <w:r w:rsidRPr="008F30F5">
        <w:rPr>
          <w:rFonts w:cs="Calibri"/>
          <w:b/>
          <w:bCs/>
          <w:sz w:val="22"/>
          <w:szCs w:val="22"/>
        </w:rPr>
        <w:t>The following locations are designated by the American College of Radiology to provide lung cancer screening.</w:t>
      </w:r>
    </w:p>
    <w:p w14:paraId="0B3C5D78" w14:textId="77777777" w:rsidR="005137E3" w:rsidRDefault="005137E3" w:rsidP="00934936">
      <w:pPr>
        <w:spacing w:after="0" w:line="240" w:lineRule="auto"/>
        <w:rPr>
          <w:rFonts w:cs="Calibri"/>
          <w:b/>
          <w:bCs/>
          <w:sz w:val="22"/>
          <w:szCs w:val="22"/>
        </w:rPr>
      </w:pPr>
    </w:p>
    <w:tbl>
      <w:tblPr>
        <w:tblW w:w="10420" w:type="dxa"/>
        <w:tblLook w:val="04A0" w:firstRow="1" w:lastRow="0" w:firstColumn="1" w:lastColumn="0" w:noHBand="0" w:noVBand="1"/>
      </w:tblPr>
      <w:tblGrid>
        <w:gridCol w:w="4980"/>
        <w:gridCol w:w="3200"/>
        <w:gridCol w:w="2240"/>
      </w:tblGrid>
      <w:tr w:rsidR="005137E3" w:rsidRPr="005137E3" w14:paraId="6C7B22F2" w14:textId="77777777" w:rsidTr="00F96324">
        <w:trPr>
          <w:cantSplit/>
          <w:trHeight w:val="300"/>
          <w:tblHeader/>
        </w:trPr>
        <w:tc>
          <w:tcPr>
            <w:tcW w:w="4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932DAB"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Facility</w:t>
            </w:r>
          </w:p>
        </w:tc>
        <w:tc>
          <w:tcPr>
            <w:tcW w:w="3200" w:type="dxa"/>
            <w:tcBorders>
              <w:top w:val="single" w:sz="8" w:space="0" w:color="auto"/>
              <w:left w:val="nil"/>
              <w:bottom w:val="single" w:sz="8" w:space="0" w:color="auto"/>
              <w:right w:val="single" w:sz="8" w:space="0" w:color="auto"/>
            </w:tcBorders>
            <w:shd w:val="clear" w:color="auto" w:fill="auto"/>
            <w:vAlign w:val="center"/>
            <w:hideMark/>
          </w:tcPr>
          <w:p w14:paraId="0C4BD92F"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Distance from Longmeadow</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54D78E4E"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Driving Time</w:t>
            </w:r>
          </w:p>
        </w:tc>
      </w:tr>
      <w:tr w:rsidR="005137E3" w:rsidRPr="005137E3" w14:paraId="727138FA" w14:textId="77777777" w:rsidTr="00F96324">
        <w:trPr>
          <w:cantSplit/>
          <w:trHeight w:val="300"/>
        </w:trPr>
        <w:tc>
          <w:tcPr>
            <w:tcW w:w="4980" w:type="dxa"/>
            <w:tcBorders>
              <w:top w:val="nil"/>
              <w:left w:val="single" w:sz="8" w:space="0" w:color="auto"/>
              <w:bottom w:val="single" w:sz="8" w:space="0" w:color="auto"/>
              <w:right w:val="single" w:sz="8" w:space="0" w:color="auto"/>
            </w:tcBorders>
            <w:shd w:val="clear" w:color="auto" w:fill="auto"/>
            <w:vAlign w:val="center"/>
            <w:hideMark/>
          </w:tcPr>
          <w:p w14:paraId="4AF88B3C" w14:textId="48AD6FE9"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Baystate Radiology &amp; Imaging, Enfield</w:t>
            </w:r>
          </w:p>
        </w:tc>
        <w:tc>
          <w:tcPr>
            <w:tcW w:w="3200" w:type="dxa"/>
            <w:tcBorders>
              <w:top w:val="nil"/>
              <w:left w:val="nil"/>
              <w:bottom w:val="single" w:sz="8" w:space="0" w:color="auto"/>
              <w:right w:val="single" w:sz="8" w:space="0" w:color="auto"/>
            </w:tcBorders>
            <w:shd w:val="clear" w:color="auto" w:fill="auto"/>
            <w:vAlign w:val="center"/>
            <w:hideMark/>
          </w:tcPr>
          <w:p w14:paraId="3C02573C"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8.1 miles</w:t>
            </w:r>
          </w:p>
        </w:tc>
        <w:tc>
          <w:tcPr>
            <w:tcW w:w="2240" w:type="dxa"/>
            <w:tcBorders>
              <w:top w:val="nil"/>
              <w:left w:val="nil"/>
              <w:bottom w:val="single" w:sz="8" w:space="0" w:color="auto"/>
              <w:right w:val="single" w:sz="8" w:space="0" w:color="auto"/>
            </w:tcBorders>
            <w:shd w:val="clear" w:color="auto" w:fill="auto"/>
            <w:vAlign w:val="center"/>
            <w:hideMark/>
          </w:tcPr>
          <w:p w14:paraId="40D97BDA"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18 minutes</w:t>
            </w:r>
          </w:p>
        </w:tc>
      </w:tr>
      <w:tr w:rsidR="005137E3" w:rsidRPr="005137E3" w14:paraId="2DC9CF45" w14:textId="77777777" w:rsidTr="00F96324">
        <w:trPr>
          <w:cantSplit/>
          <w:trHeight w:val="300"/>
        </w:trPr>
        <w:tc>
          <w:tcPr>
            <w:tcW w:w="4980" w:type="dxa"/>
            <w:tcBorders>
              <w:top w:val="nil"/>
              <w:left w:val="single" w:sz="8" w:space="0" w:color="auto"/>
              <w:bottom w:val="single" w:sz="8" w:space="0" w:color="auto"/>
              <w:right w:val="single" w:sz="8" w:space="0" w:color="auto"/>
            </w:tcBorders>
            <w:shd w:val="clear" w:color="auto" w:fill="auto"/>
            <w:vAlign w:val="center"/>
            <w:hideMark/>
          </w:tcPr>
          <w:p w14:paraId="7CA3C667"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Mercy Medical Center, Springfield</w:t>
            </w:r>
          </w:p>
        </w:tc>
        <w:tc>
          <w:tcPr>
            <w:tcW w:w="3200" w:type="dxa"/>
            <w:tcBorders>
              <w:top w:val="nil"/>
              <w:left w:val="nil"/>
              <w:bottom w:val="single" w:sz="8" w:space="0" w:color="auto"/>
              <w:right w:val="single" w:sz="8" w:space="0" w:color="auto"/>
            </w:tcBorders>
            <w:shd w:val="clear" w:color="auto" w:fill="auto"/>
            <w:vAlign w:val="center"/>
            <w:hideMark/>
          </w:tcPr>
          <w:p w14:paraId="31FF59BA"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11.7 miles</w:t>
            </w:r>
          </w:p>
        </w:tc>
        <w:tc>
          <w:tcPr>
            <w:tcW w:w="2240" w:type="dxa"/>
            <w:tcBorders>
              <w:top w:val="nil"/>
              <w:left w:val="nil"/>
              <w:bottom w:val="single" w:sz="8" w:space="0" w:color="auto"/>
              <w:right w:val="single" w:sz="8" w:space="0" w:color="auto"/>
            </w:tcBorders>
            <w:shd w:val="clear" w:color="auto" w:fill="auto"/>
            <w:vAlign w:val="center"/>
            <w:hideMark/>
          </w:tcPr>
          <w:p w14:paraId="2C21F53C"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19 minutes</w:t>
            </w:r>
          </w:p>
        </w:tc>
      </w:tr>
      <w:tr w:rsidR="005137E3" w:rsidRPr="005137E3" w14:paraId="299E97A6" w14:textId="77777777" w:rsidTr="00F96324">
        <w:trPr>
          <w:cantSplit/>
          <w:trHeight w:val="300"/>
        </w:trPr>
        <w:tc>
          <w:tcPr>
            <w:tcW w:w="4980" w:type="dxa"/>
            <w:tcBorders>
              <w:top w:val="nil"/>
              <w:left w:val="single" w:sz="8" w:space="0" w:color="auto"/>
              <w:bottom w:val="single" w:sz="8" w:space="0" w:color="auto"/>
              <w:right w:val="single" w:sz="8" w:space="0" w:color="auto"/>
            </w:tcBorders>
            <w:shd w:val="clear" w:color="auto" w:fill="auto"/>
            <w:vAlign w:val="center"/>
            <w:hideMark/>
          </w:tcPr>
          <w:p w14:paraId="3221670E"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Holyoke Medical Center, Holyoke</w:t>
            </w:r>
          </w:p>
        </w:tc>
        <w:tc>
          <w:tcPr>
            <w:tcW w:w="3200" w:type="dxa"/>
            <w:tcBorders>
              <w:top w:val="nil"/>
              <w:left w:val="nil"/>
              <w:bottom w:val="single" w:sz="8" w:space="0" w:color="auto"/>
              <w:right w:val="single" w:sz="8" w:space="0" w:color="auto"/>
            </w:tcBorders>
            <w:shd w:val="clear" w:color="auto" w:fill="auto"/>
            <w:vAlign w:val="center"/>
            <w:hideMark/>
          </w:tcPr>
          <w:p w14:paraId="467B4785"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14.2 miles</w:t>
            </w:r>
          </w:p>
        </w:tc>
        <w:tc>
          <w:tcPr>
            <w:tcW w:w="2240" w:type="dxa"/>
            <w:tcBorders>
              <w:top w:val="nil"/>
              <w:left w:val="nil"/>
              <w:bottom w:val="single" w:sz="8" w:space="0" w:color="auto"/>
              <w:right w:val="single" w:sz="8" w:space="0" w:color="auto"/>
            </w:tcBorders>
            <w:shd w:val="clear" w:color="auto" w:fill="auto"/>
            <w:vAlign w:val="center"/>
            <w:hideMark/>
          </w:tcPr>
          <w:p w14:paraId="0273A571"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19 minutes</w:t>
            </w:r>
          </w:p>
        </w:tc>
      </w:tr>
      <w:tr w:rsidR="005137E3" w:rsidRPr="005137E3" w14:paraId="6F8552CA" w14:textId="77777777" w:rsidTr="00F96324">
        <w:trPr>
          <w:cantSplit/>
          <w:trHeight w:val="300"/>
        </w:trPr>
        <w:tc>
          <w:tcPr>
            <w:tcW w:w="4980" w:type="dxa"/>
            <w:tcBorders>
              <w:top w:val="nil"/>
              <w:left w:val="single" w:sz="8" w:space="0" w:color="auto"/>
              <w:bottom w:val="single" w:sz="8" w:space="0" w:color="auto"/>
              <w:right w:val="single" w:sz="8" w:space="0" w:color="auto"/>
            </w:tcBorders>
            <w:shd w:val="clear" w:color="auto" w:fill="auto"/>
            <w:vAlign w:val="center"/>
            <w:hideMark/>
          </w:tcPr>
          <w:p w14:paraId="442C8C9B" w14:textId="40AB1D1A"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Baystate Wing Hospital, Palmer</w:t>
            </w:r>
          </w:p>
        </w:tc>
        <w:tc>
          <w:tcPr>
            <w:tcW w:w="3200" w:type="dxa"/>
            <w:tcBorders>
              <w:top w:val="nil"/>
              <w:left w:val="nil"/>
              <w:bottom w:val="single" w:sz="8" w:space="0" w:color="auto"/>
              <w:right w:val="single" w:sz="8" w:space="0" w:color="auto"/>
            </w:tcBorders>
            <w:shd w:val="clear" w:color="auto" w:fill="auto"/>
            <w:vAlign w:val="center"/>
            <w:hideMark/>
          </w:tcPr>
          <w:p w14:paraId="7C1AE3DB"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14.9 miles</w:t>
            </w:r>
          </w:p>
        </w:tc>
        <w:tc>
          <w:tcPr>
            <w:tcW w:w="2240" w:type="dxa"/>
            <w:tcBorders>
              <w:top w:val="nil"/>
              <w:left w:val="nil"/>
              <w:bottom w:val="single" w:sz="8" w:space="0" w:color="auto"/>
              <w:right w:val="single" w:sz="8" w:space="0" w:color="auto"/>
            </w:tcBorders>
            <w:shd w:val="clear" w:color="auto" w:fill="auto"/>
            <w:vAlign w:val="center"/>
            <w:hideMark/>
          </w:tcPr>
          <w:p w14:paraId="2EA448B0"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30 minutes</w:t>
            </w:r>
          </w:p>
        </w:tc>
      </w:tr>
      <w:tr w:rsidR="005137E3" w:rsidRPr="005137E3" w14:paraId="49D4C525" w14:textId="77777777" w:rsidTr="00F96324">
        <w:trPr>
          <w:cantSplit/>
          <w:trHeight w:val="300"/>
        </w:trPr>
        <w:tc>
          <w:tcPr>
            <w:tcW w:w="4980" w:type="dxa"/>
            <w:tcBorders>
              <w:top w:val="nil"/>
              <w:left w:val="single" w:sz="8" w:space="0" w:color="auto"/>
              <w:bottom w:val="single" w:sz="8" w:space="0" w:color="auto"/>
              <w:right w:val="single" w:sz="8" w:space="0" w:color="auto"/>
            </w:tcBorders>
            <w:shd w:val="clear" w:color="auto" w:fill="auto"/>
            <w:vAlign w:val="center"/>
            <w:hideMark/>
          </w:tcPr>
          <w:p w14:paraId="68C5FAD4"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Prospect Rockville Hospital, Rockville, CT</w:t>
            </w:r>
          </w:p>
        </w:tc>
        <w:tc>
          <w:tcPr>
            <w:tcW w:w="3200" w:type="dxa"/>
            <w:tcBorders>
              <w:top w:val="nil"/>
              <w:left w:val="nil"/>
              <w:bottom w:val="single" w:sz="8" w:space="0" w:color="auto"/>
              <w:right w:val="single" w:sz="8" w:space="0" w:color="auto"/>
            </w:tcBorders>
            <w:shd w:val="clear" w:color="auto" w:fill="auto"/>
            <w:vAlign w:val="center"/>
            <w:hideMark/>
          </w:tcPr>
          <w:p w14:paraId="0E348324"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16.1 miles</w:t>
            </w:r>
          </w:p>
        </w:tc>
        <w:tc>
          <w:tcPr>
            <w:tcW w:w="2240" w:type="dxa"/>
            <w:tcBorders>
              <w:top w:val="nil"/>
              <w:left w:val="nil"/>
              <w:bottom w:val="single" w:sz="8" w:space="0" w:color="auto"/>
              <w:right w:val="single" w:sz="8" w:space="0" w:color="auto"/>
            </w:tcBorders>
            <w:shd w:val="clear" w:color="auto" w:fill="auto"/>
            <w:vAlign w:val="center"/>
            <w:hideMark/>
          </w:tcPr>
          <w:p w14:paraId="0F97B3AE"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31 minutes</w:t>
            </w:r>
          </w:p>
        </w:tc>
      </w:tr>
      <w:tr w:rsidR="005137E3" w:rsidRPr="005137E3" w14:paraId="20323A53" w14:textId="77777777" w:rsidTr="00F96324">
        <w:trPr>
          <w:cantSplit/>
          <w:trHeight w:val="300"/>
        </w:trPr>
        <w:tc>
          <w:tcPr>
            <w:tcW w:w="4980" w:type="dxa"/>
            <w:tcBorders>
              <w:top w:val="nil"/>
              <w:left w:val="single" w:sz="8" w:space="0" w:color="auto"/>
              <w:bottom w:val="single" w:sz="8" w:space="0" w:color="auto"/>
              <w:right w:val="single" w:sz="8" w:space="0" w:color="auto"/>
            </w:tcBorders>
            <w:shd w:val="clear" w:color="auto" w:fill="auto"/>
            <w:vAlign w:val="center"/>
            <w:hideMark/>
          </w:tcPr>
          <w:p w14:paraId="029BF95B" w14:textId="7F885804"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Baystate Noble, Westfield</w:t>
            </w:r>
          </w:p>
        </w:tc>
        <w:tc>
          <w:tcPr>
            <w:tcW w:w="3200" w:type="dxa"/>
            <w:tcBorders>
              <w:top w:val="nil"/>
              <w:left w:val="nil"/>
              <w:bottom w:val="single" w:sz="8" w:space="0" w:color="auto"/>
              <w:right w:val="single" w:sz="8" w:space="0" w:color="auto"/>
            </w:tcBorders>
            <w:shd w:val="clear" w:color="auto" w:fill="auto"/>
            <w:vAlign w:val="center"/>
            <w:hideMark/>
          </w:tcPr>
          <w:p w14:paraId="34B9D487"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20.1 miles</w:t>
            </w:r>
          </w:p>
        </w:tc>
        <w:tc>
          <w:tcPr>
            <w:tcW w:w="2240" w:type="dxa"/>
            <w:tcBorders>
              <w:top w:val="nil"/>
              <w:left w:val="nil"/>
              <w:bottom w:val="single" w:sz="8" w:space="0" w:color="auto"/>
              <w:right w:val="single" w:sz="8" w:space="0" w:color="auto"/>
            </w:tcBorders>
            <w:shd w:val="clear" w:color="auto" w:fill="auto"/>
            <w:vAlign w:val="center"/>
            <w:hideMark/>
          </w:tcPr>
          <w:p w14:paraId="581B08EC"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32 minutes</w:t>
            </w:r>
          </w:p>
        </w:tc>
      </w:tr>
      <w:tr w:rsidR="005137E3" w:rsidRPr="005137E3" w14:paraId="56209171" w14:textId="77777777" w:rsidTr="00F96324">
        <w:trPr>
          <w:cantSplit/>
          <w:trHeight w:val="300"/>
        </w:trPr>
        <w:tc>
          <w:tcPr>
            <w:tcW w:w="4980" w:type="dxa"/>
            <w:tcBorders>
              <w:top w:val="nil"/>
              <w:left w:val="single" w:sz="8" w:space="0" w:color="auto"/>
              <w:bottom w:val="single" w:sz="8" w:space="0" w:color="auto"/>
              <w:right w:val="single" w:sz="8" w:space="0" w:color="auto"/>
            </w:tcBorders>
            <w:shd w:val="clear" w:color="auto" w:fill="auto"/>
            <w:vAlign w:val="center"/>
            <w:hideMark/>
          </w:tcPr>
          <w:p w14:paraId="41F44DE8" w14:textId="2CA58F09"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Evergreen Imaging Center, South Windsor, CT</w:t>
            </w:r>
          </w:p>
        </w:tc>
        <w:tc>
          <w:tcPr>
            <w:tcW w:w="3200" w:type="dxa"/>
            <w:tcBorders>
              <w:top w:val="nil"/>
              <w:left w:val="nil"/>
              <w:bottom w:val="single" w:sz="8" w:space="0" w:color="auto"/>
              <w:right w:val="single" w:sz="8" w:space="0" w:color="auto"/>
            </w:tcBorders>
            <w:shd w:val="clear" w:color="auto" w:fill="auto"/>
            <w:vAlign w:val="center"/>
            <w:hideMark/>
          </w:tcPr>
          <w:p w14:paraId="545D8942"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19.1 miles</w:t>
            </w:r>
          </w:p>
        </w:tc>
        <w:tc>
          <w:tcPr>
            <w:tcW w:w="2240" w:type="dxa"/>
            <w:tcBorders>
              <w:top w:val="nil"/>
              <w:left w:val="nil"/>
              <w:bottom w:val="single" w:sz="8" w:space="0" w:color="auto"/>
              <w:right w:val="single" w:sz="8" w:space="0" w:color="auto"/>
            </w:tcBorders>
            <w:shd w:val="clear" w:color="auto" w:fill="auto"/>
            <w:vAlign w:val="center"/>
            <w:hideMark/>
          </w:tcPr>
          <w:p w14:paraId="236789DC" w14:textId="77777777" w:rsidR="005137E3" w:rsidRPr="005137E3" w:rsidRDefault="005137E3" w:rsidP="005137E3">
            <w:pPr>
              <w:spacing w:after="0" w:line="240" w:lineRule="auto"/>
              <w:rPr>
                <w:rFonts w:eastAsia="Times New Roman" w:cs="Times New Roman"/>
                <w:b/>
                <w:bCs/>
                <w:color w:val="000000"/>
                <w:sz w:val="22"/>
                <w:szCs w:val="22"/>
              </w:rPr>
            </w:pPr>
            <w:r w:rsidRPr="005137E3">
              <w:rPr>
                <w:rFonts w:eastAsia="Times New Roman" w:cs="Times New Roman"/>
                <w:b/>
                <w:bCs/>
                <w:color w:val="000000"/>
                <w:sz w:val="22"/>
                <w:szCs w:val="22"/>
              </w:rPr>
              <w:t>36 minutes</w:t>
            </w:r>
          </w:p>
        </w:tc>
      </w:tr>
    </w:tbl>
    <w:p w14:paraId="4C78F6F7" w14:textId="77777777" w:rsidR="005137E3" w:rsidRPr="008F30F5" w:rsidRDefault="005137E3" w:rsidP="00934936">
      <w:pPr>
        <w:spacing w:after="0" w:line="240" w:lineRule="auto"/>
        <w:rPr>
          <w:rFonts w:cs="Calibri"/>
          <w:sz w:val="22"/>
          <w:szCs w:val="22"/>
        </w:rPr>
      </w:pPr>
    </w:p>
    <w:p w14:paraId="7E0FEAFE" w14:textId="77777777" w:rsidR="00A15122" w:rsidRPr="008F30F5" w:rsidRDefault="00A15122" w:rsidP="00B95988">
      <w:pPr>
        <w:spacing w:after="0" w:line="240" w:lineRule="auto"/>
        <w:rPr>
          <w:rFonts w:cs="Calibri"/>
          <w:sz w:val="22"/>
          <w:szCs w:val="22"/>
        </w:rPr>
      </w:pPr>
    </w:p>
    <w:p w14:paraId="5EC02159" w14:textId="7E200DCA" w:rsidR="00A15122" w:rsidRPr="008F30F5" w:rsidRDefault="00F15C6D" w:rsidP="00B95988">
      <w:pPr>
        <w:spacing w:after="0" w:line="240" w:lineRule="auto"/>
        <w:rPr>
          <w:rFonts w:cs="Calibri"/>
          <w:sz w:val="22"/>
          <w:szCs w:val="22"/>
        </w:rPr>
      </w:pPr>
      <w:r w:rsidRPr="008F30F5">
        <w:rPr>
          <w:rFonts w:cs="Calibri"/>
          <w:sz w:val="22"/>
          <w:szCs w:val="22"/>
        </w:rPr>
        <w:t>4) Please explain how you calculate capacity.</w:t>
      </w:r>
    </w:p>
    <w:p w14:paraId="5D31F40F" w14:textId="77777777" w:rsidR="00934936" w:rsidRPr="008F30F5" w:rsidRDefault="00934936" w:rsidP="00B95988">
      <w:pPr>
        <w:spacing w:after="0" w:line="240" w:lineRule="auto"/>
        <w:rPr>
          <w:rFonts w:cs="Calibri"/>
          <w:sz w:val="22"/>
          <w:szCs w:val="22"/>
        </w:rPr>
      </w:pPr>
    </w:p>
    <w:p w14:paraId="5955610C" w14:textId="230981D3" w:rsidR="00934936" w:rsidRPr="008F30F5" w:rsidRDefault="00934936" w:rsidP="00B95988">
      <w:pPr>
        <w:spacing w:after="0" w:line="240" w:lineRule="auto"/>
        <w:rPr>
          <w:rFonts w:cs="Calibri"/>
          <w:b/>
          <w:bCs/>
          <w:sz w:val="22"/>
          <w:szCs w:val="22"/>
        </w:rPr>
      </w:pPr>
      <w:r w:rsidRPr="008F30F5">
        <w:rPr>
          <w:rFonts w:cs="Calibri"/>
          <w:b/>
          <w:bCs/>
          <w:sz w:val="22"/>
          <w:szCs w:val="22"/>
        </w:rPr>
        <w:t xml:space="preserve">For the Longmeadow CT unit, the Applicant expects to average 20 scans per day. It will operate 5 days per week and will be closed for seven (7) holidays per year. Therefore, maximum capacity is 20 </w:t>
      </w:r>
      <w:r w:rsidR="00B924EC">
        <w:rPr>
          <w:rFonts w:cs="Calibri"/>
          <w:b/>
          <w:bCs/>
          <w:sz w:val="22"/>
          <w:szCs w:val="22"/>
        </w:rPr>
        <w:t xml:space="preserve">scans per day </w:t>
      </w:r>
      <w:r w:rsidRPr="008F30F5">
        <w:rPr>
          <w:rFonts w:cs="Calibri"/>
          <w:b/>
          <w:bCs/>
          <w:sz w:val="22"/>
          <w:szCs w:val="22"/>
        </w:rPr>
        <w:t xml:space="preserve">x 254 </w:t>
      </w:r>
      <w:r w:rsidR="00B924EC">
        <w:rPr>
          <w:rFonts w:cs="Calibri"/>
          <w:b/>
          <w:bCs/>
          <w:sz w:val="22"/>
          <w:szCs w:val="22"/>
        </w:rPr>
        <w:t xml:space="preserve">open days per year </w:t>
      </w:r>
      <w:r w:rsidRPr="008F30F5">
        <w:rPr>
          <w:rFonts w:cs="Calibri"/>
          <w:b/>
          <w:bCs/>
          <w:sz w:val="22"/>
          <w:szCs w:val="22"/>
        </w:rPr>
        <w:t xml:space="preserve">= 5,080 scans per year. </w:t>
      </w:r>
    </w:p>
    <w:p w14:paraId="59F7EB04" w14:textId="77777777" w:rsidR="006C54F5" w:rsidRPr="008F30F5" w:rsidRDefault="006C54F5" w:rsidP="00B95988">
      <w:pPr>
        <w:spacing w:after="0" w:line="240" w:lineRule="auto"/>
        <w:rPr>
          <w:rFonts w:cs="Calibri"/>
          <w:sz w:val="22"/>
          <w:szCs w:val="22"/>
        </w:rPr>
      </w:pPr>
    </w:p>
    <w:p w14:paraId="5A14D256" w14:textId="088B6CE2" w:rsidR="006C54F5" w:rsidRPr="008F30F5" w:rsidRDefault="006C54F5" w:rsidP="00B95988">
      <w:pPr>
        <w:spacing w:after="0" w:line="240" w:lineRule="auto"/>
        <w:rPr>
          <w:rFonts w:cs="Calibri"/>
          <w:sz w:val="22"/>
          <w:szCs w:val="22"/>
        </w:rPr>
      </w:pPr>
      <w:r w:rsidRPr="008F30F5">
        <w:rPr>
          <w:rFonts w:cs="Calibri"/>
          <w:sz w:val="22"/>
          <w:szCs w:val="22"/>
        </w:rPr>
        <w:t xml:space="preserve">5) </w:t>
      </w:r>
      <w:r w:rsidR="004848C2" w:rsidRPr="008F30F5">
        <w:rPr>
          <w:rFonts w:cs="Calibri"/>
          <w:sz w:val="22"/>
          <w:szCs w:val="22"/>
        </w:rPr>
        <w:t xml:space="preserve">Please provide your plan for staffing the new unit. </w:t>
      </w:r>
    </w:p>
    <w:p w14:paraId="23ED9AFE" w14:textId="77777777" w:rsidR="00934936" w:rsidRPr="008F30F5" w:rsidRDefault="00934936" w:rsidP="00B95988">
      <w:pPr>
        <w:spacing w:after="0" w:line="240" w:lineRule="auto"/>
        <w:rPr>
          <w:rFonts w:cs="Calibri"/>
          <w:sz w:val="22"/>
          <w:szCs w:val="22"/>
        </w:rPr>
      </w:pPr>
    </w:p>
    <w:p w14:paraId="0C8A0FE4" w14:textId="282E5A58" w:rsidR="00934936" w:rsidRPr="008F30F5" w:rsidRDefault="00934936" w:rsidP="00B95988">
      <w:pPr>
        <w:spacing w:after="0" w:line="240" w:lineRule="auto"/>
        <w:rPr>
          <w:rFonts w:cs="Calibri"/>
          <w:b/>
          <w:bCs/>
          <w:sz w:val="22"/>
          <w:szCs w:val="22"/>
        </w:rPr>
      </w:pPr>
      <w:r w:rsidRPr="008F30F5">
        <w:rPr>
          <w:rFonts w:cs="Calibri"/>
          <w:b/>
          <w:bCs/>
          <w:sz w:val="22"/>
          <w:szCs w:val="22"/>
        </w:rPr>
        <w:lastRenderedPageBreak/>
        <w:t xml:space="preserve">The Proposed Project will require 1.0 full-time employees. This position will be staffed by Baystate Health through its ongoing recruitment and hiring efforts. </w:t>
      </w:r>
    </w:p>
    <w:p w14:paraId="7138C1A3" w14:textId="77777777" w:rsidR="006C54F5" w:rsidRPr="008F30F5" w:rsidRDefault="006C54F5" w:rsidP="00B95988">
      <w:pPr>
        <w:spacing w:after="0" w:line="240" w:lineRule="auto"/>
        <w:rPr>
          <w:rFonts w:cs="Calibri"/>
          <w:sz w:val="22"/>
          <w:szCs w:val="22"/>
        </w:rPr>
      </w:pPr>
    </w:p>
    <w:p w14:paraId="5A21E793" w14:textId="34906D62" w:rsidR="00AA2086" w:rsidRPr="008F30F5" w:rsidRDefault="006C54F5" w:rsidP="00B95988">
      <w:pPr>
        <w:spacing w:after="0" w:line="240" w:lineRule="auto"/>
        <w:rPr>
          <w:rFonts w:cs="Calibri"/>
          <w:sz w:val="22"/>
          <w:szCs w:val="22"/>
        </w:rPr>
      </w:pPr>
      <w:r w:rsidRPr="008F30F5">
        <w:rPr>
          <w:rFonts w:cs="Calibri"/>
          <w:sz w:val="22"/>
          <w:szCs w:val="22"/>
        </w:rPr>
        <w:t xml:space="preserve">6) </w:t>
      </w:r>
      <w:r w:rsidR="00AA2086" w:rsidRPr="008F30F5">
        <w:rPr>
          <w:rFonts w:cs="Calibri"/>
          <w:sz w:val="22"/>
          <w:szCs w:val="22"/>
        </w:rPr>
        <w:t>Access-</w:t>
      </w:r>
    </w:p>
    <w:p w14:paraId="67B0C943" w14:textId="7057248B" w:rsidR="006C54F5" w:rsidRPr="008F30F5" w:rsidRDefault="00AA2086" w:rsidP="00AA2086">
      <w:pPr>
        <w:spacing w:after="0" w:line="240" w:lineRule="auto"/>
        <w:ind w:left="360"/>
        <w:rPr>
          <w:rFonts w:cs="Calibri"/>
          <w:sz w:val="22"/>
          <w:szCs w:val="22"/>
        </w:rPr>
      </w:pPr>
      <w:r w:rsidRPr="008F30F5">
        <w:rPr>
          <w:rFonts w:cs="Calibri"/>
          <w:sz w:val="22"/>
          <w:szCs w:val="22"/>
        </w:rPr>
        <w:t xml:space="preserve">a. </w:t>
      </w:r>
      <w:r w:rsidR="006C54F5" w:rsidRPr="008F30F5">
        <w:rPr>
          <w:rFonts w:cs="Calibri"/>
          <w:sz w:val="22"/>
          <w:szCs w:val="22"/>
        </w:rPr>
        <w:t>What initiatives will you take to ensure that under-resourced patients have access to the CT</w:t>
      </w:r>
      <w:r w:rsidRPr="008F30F5">
        <w:rPr>
          <w:rFonts w:cs="Calibri"/>
          <w:sz w:val="22"/>
          <w:szCs w:val="22"/>
        </w:rPr>
        <w:t xml:space="preserve"> overall</w:t>
      </w:r>
      <w:r w:rsidR="006C54F5" w:rsidRPr="008F30F5">
        <w:rPr>
          <w:rFonts w:cs="Calibri"/>
          <w:sz w:val="22"/>
          <w:szCs w:val="22"/>
        </w:rPr>
        <w:t>?</w:t>
      </w:r>
    </w:p>
    <w:p w14:paraId="3C58972C" w14:textId="77777777" w:rsidR="00934936" w:rsidRPr="008F30F5" w:rsidRDefault="00934936" w:rsidP="00AA2086">
      <w:pPr>
        <w:spacing w:after="0" w:line="240" w:lineRule="auto"/>
        <w:ind w:left="360"/>
        <w:rPr>
          <w:rFonts w:cs="Calibri"/>
          <w:sz w:val="22"/>
          <w:szCs w:val="22"/>
        </w:rPr>
      </w:pPr>
    </w:p>
    <w:p w14:paraId="441DA291" w14:textId="43123F1A" w:rsidR="00934936" w:rsidRPr="008F30F5" w:rsidRDefault="00934936" w:rsidP="00AA2086">
      <w:pPr>
        <w:spacing w:after="0" w:line="240" w:lineRule="auto"/>
        <w:ind w:left="360"/>
        <w:rPr>
          <w:rFonts w:cs="Calibri"/>
          <w:b/>
          <w:bCs/>
          <w:sz w:val="22"/>
          <w:szCs w:val="22"/>
        </w:rPr>
      </w:pPr>
      <w:r w:rsidRPr="008F30F5">
        <w:rPr>
          <w:rFonts w:cs="Calibri"/>
          <w:b/>
          <w:bCs/>
          <w:sz w:val="22"/>
          <w:szCs w:val="22"/>
        </w:rPr>
        <w:t xml:space="preserve">Baystate Health is committed to making all services more easily accessible to all patients. </w:t>
      </w:r>
      <w:r w:rsidR="005137E3">
        <w:rPr>
          <w:rFonts w:cs="Calibri"/>
          <w:b/>
          <w:bCs/>
          <w:sz w:val="22"/>
          <w:szCs w:val="22"/>
        </w:rPr>
        <w:t xml:space="preserve">Importantly, by placing additional CT capacity at Longmeadow, patients will have access to lower cost CT in the Springfield area. Currently, physician-based CT is only available at Baystate’s Enfield and Northampton locations. </w:t>
      </w:r>
      <w:r w:rsidR="00B924EC">
        <w:rPr>
          <w:rFonts w:cs="Calibri"/>
          <w:b/>
          <w:bCs/>
          <w:sz w:val="22"/>
          <w:szCs w:val="22"/>
        </w:rPr>
        <w:t xml:space="preserve">The CT services available at the Satellite are hospital based, which is a higher cost. </w:t>
      </w:r>
    </w:p>
    <w:p w14:paraId="5532B0D8" w14:textId="77777777" w:rsidR="00934936" w:rsidRPr="008F30F5" w:rsidRDefault="00934936" w:rsidP="00AA2086">
      <w:pPr>
        <w:spacing w:after="0" w:line="240" w:lineRule="auto"/>
        <w:ind w:left="360"/>
        <w:rPr>
          <w:rFonts w:cs="Calibri"/>
          <w:sz w:val="22"/>
          <w:szCs w:val="22"/>
        </w:rPr>
      </w:pPr>
    </w:p>
    <w:p w14:paraId="0D29B10D" w14:textId="20513D7E" w:rsidR="006C54F5" w:rsidRPr="008F30F5" w:rsidRDefault="006C54F5" w:rsidP="00AA2086">
      <w:pPr>
        <w:pStyle w:val="ListParagraph"/>
        <w:numPr>
          <w:ilvl w:val="0"/>
          <w:numId w:val="13"/>
        </w:numPr>
        <w:spacing w:after="0" w:line="240" w:lineRule="auto"/>
        <w:rPr>
          <w:rFonts w:cs="Calibri"/>
          <w:sz w:val="22"/>
          <w:szCs w:val="22"/>
        </w:rPr>
      </w:pPr>
      <w:r w:rsidRPr="008F30F5">
        <w:rPr>
          <w:rFonts w:cs="Calibri"/>
          <w:sz w:val="22"/>
          <w:szCs w:val="22"/>
        </w:rPr>
        <w:t>Do you have a plan in place to increase screening for LDCT?</w:t>
      </w:r>
    </w:p>
    <w:p w14:paraId="2E8438A6" w14:textId="77777777" w:rsidR="00934936" w:rsidRPr="008F30F5" w:rsidRDefault="00934936" w:rsidP="00934936">
      <w:pPr>
        <w:spacing w:after="0" w:line="240" w:lineRule="auto"/>
        <w:rPr>
          <w:rFonts w:cs="Calibri"/>
          <w:sz w:val="22"/>
          <w:szCs w:val="22"/>
          <w:highlight w:val="yellow"/>
        </w:rPr>
      </w:pPr>
    </w:p>
    <w:p w14:paraId="708A67DF" w14:textId="4C699C79" w:rsidR="00934936" w:rsidRPr="008F30F5" w:rsidRDefault="00934936" w:rsidP="00934936">
      <w:pPr>
        <w:spacing w:after="0" w:line="240" w:lineRule="auto"/>
        <w:rPr>
          <w:rFonts w:cs="Calibri"/>
          <w:b/>
          <w:bCs/>
          <w:sz w:val="22"/>
          <w:szCs w:val="22"/>
        </w:rPr>
      </w:pPr>
      <w:r w:rsidRPr="008F30F5">
        <w:rPr>
          <w:rFonts w:cs="Calibri"/>
          <w:b/>
          <w:bCs/>
          <w:sz w:val="22"/>
          <w:szCs w:val="22"/>
        </w:rPr>
        <w:t>Yes, Baystate Health has</w:t>
      </w:r>
      <w:r w:rsidRPr="00934936">
        <w:rPr>
          <w:rFonts w:cs="Calibri"/>
          <w:b/>
          <w:bCs/>
          <w:sz w:val="22"/>
          <w:szCs w:val="22"/>
        </w:rPr>
        <w:t xml:space="preserve"> been working on improving lung cancer screening through multiple strategies:</w:t>
      </w:r>
    </w:p>
    <w:p w14:paraId="3F5692A9" w14:textId="77777777" w:rsidR="00934936" w:rsidRPr="008F30F5" w:rsidRDefault="00934936" w:rsidP="00934936">
      <w:pPr>
        <w:pStyle w:val="ListParagraph"/>
        <w:numPr>
          <w:ilvl w:val="0"/>
          <w:numId w:val="14"/>
        </w:numPr>
        <w:spacing w:after="0" w:line="240" w:lineRule="auto"/>
        <w:rPr>
          <w:rFonts w:cs="Calibri"/>
          <w:b/>
          <w:bCs/>
          <w:sz w:val="22"/>
          <w:szCs w:val="22"/>
        </w:rPr>
      </w:pPr>
      <w:r w:rsidRPr="008F30F5">
        <w:rPr>
          <w:rFonts w:cs="Calibri"/>
          <w:b/>
          <w:bCs/>
          <w:sz w:val="22"/>
          <w:szCs w:val="22"/>
        </w:rPr>
        <w:t>Marketing: </w:t>
      </w:r>
    </w:p>
    <w:p w14:paraId="3533ECAB" w14:textId="1255819C" w:rsidR="00934936" w:rsidRPr="008F30F5" w:rsidRDefault="00F96324" w:rsidP="00934936">
      <w:pPr>
        <w:pStyle w:val="ListParagraph"/>
        <w:numPr>
          <w:ilvl w:val="1"/>
          <w:numId w:val="15"/>
        </w:numPr>
        <w:spacing w:after="0" w:line="240" w:lineRule="auto"/>
        <w:rPr>
          <w:rFonts w:cs="Calibri"/>
          <w:b/>
          <w:bCs/>
          <w:sz w:val="22"/>
          <w:szCs w:val="22"/>
        </w:rPr>
      </w:pPr>
      <w:hyperlink r:id="rId8" w:history="1">
        <w:r w:rsidR="00934936" w:rsidRPr="00F96324">
          <w:rPr>
            <w:rStyle w:val="Hyperlink"/>
            <w:rFonts w:cs="Calibri"/>
            <w:b/>
            <w:bCs/>
            <w:color w:val="000000" w:themeColor="text1"/>
            <w:sz w:val="22"/>
            <w:szCs w:val="22"/>
            <w:u w:val="none"/>
          </w:rPr>
          <w:t>Western Mass News segment</w:t>
        </w:r>
      </w:hyperlink>
      <w:r w:rsidR="00934936" w:rsidRPr="00F96324">
        <w:rPr>
          <w:rFonts w:cs="Calibri"/>
          <w:b/>
          <w:bCs/>
          <w:color w:val="000000" w:themeColor="text1"/>
          <w:sz w:val="22"/>
          <w:szCs w:val="22"/>
        </w:rPr>
        <w:t xml:space="preserve">: </w:t>
      </w:r>
      <w:hyperlink r:id="rId9" w:history="1">
        <w:r w:rsidR="00934936" w:rsidRPr="008F30F5">
          <w:rPr>
            <w:rStyle w:val="Hyperlink"/>
            <w:rFonts w:cs="Calibri"/>
            <w:b/>
            <w:bCs/>
            <w:sz w:val="22"/>
            <w:szCs w:val="22"/>
          </w:rPr>
          <w:t>https://www.westernmassnews.com/2024/11/26/lung-cancer-survivor-urges-early-screening/</w:t>
        </w:r>
      </w:hyperlink>
    </w:p>
    <w:p w14:paraId="32916D89" w14:textId="77777777" w:rsidR="00934936" w:rsidRPr="008F30F5" w:rsidRDefault="00934936" w:rsidP="00934936">
      <w:pPr>
        <w:pStyle w:val="ListParagraph"/>
        <w:numPr>
          <w:ilvl w:val="1"/>
          <w:numId w:val="15"/>
        </w:numPr>
        <w:spacing w:after="0" w:line="240" w:lineRule="auto"/>
        <w:rPr>
          <w:rFonts w:cs="Calibri"/>
          <w:b/>
          <w:bCs/>
          <w:sz w:val="22"/>
          <w:szCs w:val="22"/>
          <w:lang w:val="es-MX"/>
        </w:rPr>
      </w:pPr>
      <w:r w:rsidRPr="008F30F5">
        <w:rPr>
          <w:rFonts w:cs="Calibri"/>
          <w:b/>
          <w:bCs/>
          <w:sz w:val="22"/>
          <w:szCs w:val="22"/>
          <w:lang w:val="es-MX"/>
        </w:rPr>
        <w:t xml:space="preserve">Social Media      </w:t>
      </w:r>
    </w:p>
    <w:p w14:paraId="20C24B21" w14:textId="77777777" w:rsidR="00934936" w:rsidRPr="008F30F5" w:rsidRDefault="00934936" w:rsidP="00934936">
      <w:pPr>
        <w:pStyle w:val="ListParagraph"/>
        <w:numPr>
          <w:ilvl w:val="1"/>
          <w:numId w:val="15"/>
        </w:numPr>
        <w:spacing w:after="0" w:line="240" w:lineRule="auto"/>
        <w:rPr>
          <w:rFonts w:cs="Calibri"/>
          <w:b/>
          <w:bCs/>
          <w:sz w:val="22"/>
          <w:szCs w:val="22"/>
          <w:lang w:val="es-MX"/>
        </w:rPr>
      </w:pPr>
      <w:hyperlink r:id="rId10" w:history="1">
        <w:r w:rsidRPr="008F30F5">
          <w:rPr>
            <w:rStyle w:val="Hyperlink"/>
            <w:rFonts w:cs="Calibri"/>
            <w:b/>
            <w:bCs/>
            <w:sz w:val="22"/>
            <w:szCs w:val="22"/>
            <w:lang w:val="es-MX"/>
          </w:rPr>
          <w:t>https://www.instagram.com/reel/DCr_Uj6yiFc/?utm_source=ig_web_copy_link&amp;igsh=MzRlODBiNWFlZA==</w:t>
        </w:r>
      </w:hyperlink>
    </w:p>
    <w:p w14:paraId="7C27A74C" w14:textId="76482D68" w:rsidR="00934936" w:rsidRPr="008F30F5" w:rsidRDefault="00934936" w:rsidP="00934936">
      <w:pPr>
        <w:pStyle w:val="ListParagraph"/>
        <w:numPr>
          <w:ilvl w:val="1"/>
          <w:numId w:val="15"/>
        </w:numPr>
        <w:spacing w:after="0" w:line="240" w:lineRule="auto"/>
        <w:rPr>
          <w:rFonts w:cs="Calibri"/>
          <w:b/>
          <w:bCs/>
          <w:sz w:val="22"/>
          <w:szCs w:val="22"/>
          <w:lang w:val="es-MX"/>
        </w:rPr>
      </w:pPr>
      <w:hyperlink r:id="rId11" w:history="1">
        <w:r w:rsidRPr="008F30F5">
          <w:rPr>
            <w:rStyle w:val="Hyperlink"/>
            <w:rFonts w:cs="Calibri"/>
            <w:b/>
            <w:bCs/>
            <w:sz w:val="22"/>
            <w:szCs w:val="22"/>
            <w:lang w:val="es-MX"/>
          </w:rPr>
          <w:t>https://www.instagram.com/reel/DCICoZLyR-A/?utm_source=ig_web_copy_link&amp;igsh=MzRlODBiNWFlZA==</w:t>
        </w:r>
      </w:hyperlink>
    </w:p>
    <w:p w14:paraId="184A0659" w14:textId="77777777" w:rsidR="00934936" w:rsidRPr="00934936" w:rsidRDefault="00934936" w:rsidP="00934936">
      <w:pPr>
        <w:spacing w:after="0" w:line="240" w:lineRule="auto"/>
        <w:rPr>
          <w:rFonts w:cs="Calibri"/>
          <w:b/>
          <w:bCs/>
          <w:sz w:val="22"/>
          <w:szCs w:val="22"/>
          <w:lang w:val="es-MX"/>
        </w:rPr>
      </w:pPr>
    </w:p>
    <w:p w14:paraId="0E5AC6F6" w14:textId="77777777" w:rsidR="00934936" w:rsidRPr="008F30F5" w:rsidRDefault="00934936" w:rsidP="00934936">
      <w:pPr>
        <w:pStyle w:val="ListParagraph"/>
        <w:numPr>
          <w:ilvl w:val="0"/>
          <w:numId w:val="14"/>
        </w:numPr>
        <w:spacing w:after="0" w:line="240" w:lineRule="auto"/>
        <w:rPr>
          <w:rFonts w:cs="Calibri"/>
          <w:b/>
          <w:bCs/>
          <w:sz w:val="22"/>
          <w:szCs w:val="22"/>
        </w:rPr>
      </w:pPr>
      <w:r w:rsidRPr="008F30F5">
        <w:rPr>
          <w:rFonts w:cs="Calibri"/>
          <w:b/>
          <w:bCs/>
          <w:sz w:val="22"/>
          <w:szCs w:val="22"/>
        </w:rPr>
        <w:t>Outreach</w:t>
      </w:r>
    </w:p>
    <w:p w14:paraId="6AE241FF" w14:textId="170C92A7" w:rsidR="00934936" w:rsidRPr="008F30F5" w:rsidRDefault="00934936" w:rsidP="00934936">
      <w:pPr>
        <w:pStyle w:val="ListParagraph"/>
        <w:numPr>
          <w:ilvl w:val="0"/>
          <w:numId w:val="16"/>
        </w:numPr>
        <w:spacing w:after="0" w:line="240" w:lineRule="auto"/>
        <w:rPr>
          <w:rFonts w:cs="Calibri"/>
          <w:b/>
          <w:bCs/>
          <w:sz w:val="22"/>
          <w:szCs w:val="22"/>
        </w:rPr>
      </w:pPr>
      <w:r w:rsidRPr="008F30F5">
        <w:rPr>
          <w:rFonts w:cs="Calibri"/>
          <w:b/>
          <w:bCs/>
          <w:sz w:val="22"/>
          <w:szCs w:val="22"/>
        </w:rPr>
        <w:t xml:space="preserve">Baystate participated in </w:t>
      </w:r>
      <w:hyperlink r:id="rId12" w:tooltip="https://nlcrt.org/whats-happening/lung-cancer-screening-day/" w:history="1">
        <w:r w:rsidRPr="008F30F5">
          <w:rPr>
            <w:rStyle w:val="Hyperlink"/>
            <w:rFonts w:cs="Calibri"/>
            <w:b/>
            <w:bCs/>
            <w:sz w:val="22"/>
            <w:szCs w:val="22"/>
          </w:rPr>
          <w:t>National Lung Cancer Screening Day:</w:t>
        </w:r>
      </w:hyperlink>
    </w:p>
    <w:p w14:paraId="050AC049" w14:textId="77777777" w:rsidR="00934936" w:rsidRPr="00934936" w:rsidRDefault="00934936" w:rsidP="00934936">
      <w:pPr>
        <w:spacing w:after="0" w:line="240" w:lineRule="auto"/>
        <w:rPr>
          <w:rFonts w:cs="Calibri"/>
          <w:b/>
          <w:bCs/>
          <w:sz w:val="22"/>
          <w:szCs w:val="22"/>
        </w:rPr>
      </w:pPr>
    </w:p>
    <w:p w14:paraId="182F6457" w14:textId="77777777" w:rsidR="00883B88" w:rsidRDefault="00934936" w:rsidP="00883B88">
      <w:pPr>
        <w:pStyle w:val="ListParagraph"/>
        <w:numPr>
          <w:ilvl w:val="0"/>
          <w:numId w:val="14"/>
        </w:numPr>
        <w:spacing w:after="0" w:line="240" w:lineRule="auto"/>
        <w:rPr>
          <w:rFonts w:cs="Calibri"/>
          <w:b/>
          <w:bCs/>
          <w:sz w:val="22"/>
          <w:szCs w:val="22"/>
        </w:rPr>
      </w:pPr>
      <w:r w:rsidRPr="008F30F5">
        <w:rPr>
          <w:rFonts w:cs="Calibri"/>
          <w:b/>
          <w:bCs/>
          <w:sz w:val="22"/>
          <w:szCs w:val="22"/>
        </w:rPr>
        <w:t xml:space="preserve">Research </w:t>
      </w:r>
    </w:p>
    <w:p w14:paraId="087F72AF" w14:textId="58F7CDE4" w:rsidR="00934936" w:rsidRPr="00883B88" w:rsidRDefault="00883B88" w:rsidP="00883B88">
      <w:pPr>
        <w:pStyle w:val="ListParagraph"/>
        <w:numPr>
          <w:ilvl w:val="1"/>
          <w:numId w:val="14"/>
        </w:numPr>
        <w:spacing w:after="0" w:line="240" w:lineRule="auto"/>
        <w:rPr>
          <w:rFonts w:cs="Calibri"/>
          <w:b/>
          <w:bCs/>
          <w:sz w:val="22"/>
          <w:szCs w:val="22"/>
        </w:rPr>
      </w:pPr>
      <w:r>
        <w:rPr>
          <w:rFonts w:cs="Calibri"/>
          <w:b/>
          <w:bCs/>
          <w:sz w:val="22"/>
          <w:szCs w:val="22"/>
        </w:rPr>
        <w:t>Baystate is</w:t>
      </w:r>
      <w:r w:rsidR="00934936" w:rsidRPr="00883B88">
        <w:rPr>
          <w:rFonts w:cs="Calibri"/>
          <w:b/>
          <w:bCs/>
          <w:sz w:val="22"/>
          <w:szCs w:val="22"/>
        </w:rPr>
        <w:t xml:space="preserve"> part of </w:t>
      </w:r>
      <w:r w:rsidR="00934936" w:rsidRPr="00E52FA1">
        <w:rPr>
          <w:rFonts w:cs="Calibri"/>
          <w:b/>
          <w:bCs/>
          <w:color w:val="000000" w:themeColor="text1"/>
          <w:sz w:val="22"/>
          <w:szCs w:val="22"/>
        </w:rPr>
        <w:t xml:space="preserve">an </w:t>
      </w:r>
      <w:hyperlink r:id="rId13" w:history="1">
        <w:r w:rsidR="00934936" w:rsidRPr="00E52FA1">
          <w:rPr>
            <w:rStyle w:val="Hyperlink"/>
            <w:rFonts w:cs="Calibri"/>
            <w:b/>
            <w:bCs/>
            <w:color w:val="000000" w:themeColor="text1"/>
            <w:sz w:val="22"/>
            <w:szCs w:val="22"/>
            <w:u w:val="none"/>
          </w:rPr>
          <w:t>NCI funded study to improve screening and tobacco treatment</w:t>
        </w:r>
      </w:hyperlink>
      <w:r w:rsidR="00934936" w:rsidRPr="00E52FA1">
        <w:rPr>
          <w:rFonts w:cs="Calibri"/>
          <w:b/>
          <w:bCs/>
          <w:color w:val="000000" w:themeColor="text1"/>
          <w:sz w:val="22"/>
          <w:szCs w:val="22"/>
        </w:rPr>
        <w:t xml:space="preserve"> in </w:t>
      </w:r>
      <w:r w:rsidRPr="00E52FA1">
        <w:rPr>
          <w:rFonts w:cs="Calibri"/>
          <w:b/>
          <w:bCs/>
          <w:color w:val="000000" w:themeColor="text1"/>
          <w:sz w:val="22"/>
          <w:szCs w:val="22"/>
        </w:rPr>
        <w:t xml:space="preserve">its </w:t>
      </w:r>
      <w:r w:rsidR="00934936" w:rsidRPr="00883B88">
        <w:rPr>
          <w:rFonts w:cs="Calibri"/>
          <w:b/>
          <w:bCs/>
          <w:sz w:val="22"/>
          <w:szCs w:val="22"/>
        </w:rPr>
        <w:t>community health centers:</w:t>
      </w:r>
    </w:p>
    <w:p w14:paraId="2D78CC03" w14:textId="77777777" w:rsidR="00883B88" w:rsidRDefault="00883B88" w:rsidP="00883B88">
      <w:pPr>
        <w:spacing w:after="0" w:line="240" w:lineRule="auto"/>
        <w:ind w:left="1440"/>
        <w:rPr>
          <w:rFonts w:cs="Calibri"/>
          <w:b/>
          <w:bCs/>
          <w:sz w:val="22"/>
          <w:szCs w:val="22"/>
        </w:rPr>
      </w:pPr>
      <w:hyperlink r:id="rId14" w:history="1">
        <w:r w:rsidRPr="00934936">
          <w:rPr>
            <w:rStyle w:val="Hyperlink"/>
            <w:rFonts w:cs="Calibri"/>
            <w:b/>
            <w:bCs/>
            <w:sz w:val="22"/>
            <w:szCs w:val="22"/>
          </w:rPr>
          <w:t>https://reporter.nih.gov/search/MlTLWoalX0a_dqrSRMaQEA/project-details/10866117</w:t>
        </w:r>
      </w:hyperlink>
    </w:p>
    <w:p w14:paraId="6C63CF52" w14:textId="35A5D0C5" w:rsidR="00934936" w:rsidRPr="00883B88" w:rsidRDefault="00883B88" w:rsidP="00883B88">
      <w:pPr>
        <w:pStyle w:val="ListParagraph"/>
        <w:numPr>
          <w:ilvl w:val="1"/>
          <w:numId w:val="14"/>
        </w:numPr>
        <w:spacing w:after="0" w:line="240" w:lineRule="auto"/>
        <w:rPr>
          <w:rFonts w:cs="Calibri"/>
          <w:b/>
          <w:bCs/>
          <w:sz w:val="22"/>
          <w:szCs w:val="22"/>
        </w:rPr>
      </w:pPr>
      <w:r>
        <w:rPr>
          <w:rFonts w:cs="Calibri"/>
          <w:b/>
          <w:bCs/>
          <w:sz w:val="22"/>
          <w:szCs w:val="22"/>
        </w:rPr>
        <w:t xml:space="preserve">Baystate participates in </w:t>
      </w:r>
      <w:r w:rsidR="00934936" w:rsidRPr="00883B88">
        <w:rPr>
          <w:rFonts w:cs="Calibri"/>
          <w:b/>
          <w:bCs/>
          <w:sz w:val="22"/>
          <w:szCs w:val="22"/>
        </w:rPr>
        <w:t xml:space="preserve">the </w:t>
      </w:r>
      <w:hyperlink r:id="rId15" w:tooltip="https://www.mass.gov/info-details/massachusetts-comprehensive-cancer-coalition" w:history="1">
        <w:r w:rsidR="00934936" w:rsidRPr="00883B88">
          <w:rPr>
            <w:rStyle w:val="Hyperlink"/>
            <w:rFonts w:cs="Calibri"/>
            <w:b/>
            <w:bCs/>
            <w:sz w:val="22"/>
            <w:szCs w:val="22"/>
          </w:rPr>
          <w:t>Mass DPH Comprehensive Cancer Coalition</w:t>
        </w:r>
      </w:hyperlink>
      <w:r>
        <w:rPr>
          <w:rFonts w:cs="Calibri"/>
          <w:b/>
          <w:bCs/>
          <w:sz w:val="22"/>
          <w:szCs w:val="22"/>
        </w:rPr>
        <w:t xml:space="preserve">. Dr. Nunez, Baystate </w:t>
      </w:r>
      <w:r w:rsidRPr="00883B88">
        <w:rPr>
          <w:rFonts w:cs="Calibri"/>
          <w:b/>
          <w:bCs/>
          <w:sz w:val="22"/>
          <w:szCs w:val="22"/>
        </w:rPr>
        <w:t>Pulmonary and Critical Care Medicine</w:t>
      </w:r>
      <w:r>
        <w:rPr>
          <w:rFonts w:cs="Calibri"/>
          <w:b/>
          <w:bCs/>
          <w:sz w:val="22"/>
          <w:szCs w:val="22"/>
        </w:rPr>
        <w:t xml:space="preserve"> </w:t>
      </w:r>
      <w:r w:rsidRPr="00883B88">
        <w:rPr>
          <w:rFonts w:cs="Calibri"/>
          <w:b/>
          <w:bCs/>
          <w:sz w:val="22"/>
          <w:szCs w:val="22"/>
        </w:rPr>
        <w:t xml:space="preserve">is a member of </w:t>
      </w:r>
      <w:r w:rsidR="00934936" w:rsidRPr="00883B88">
        <w:rPr>
          <w:rFonts w:cs="Calibri"/>
          <w:b/>
          <w:bCs/>
          <w:sz w:val="22"/>
          <w:szCs w:val="22"/>
        </w:rPr>
        <w:t>Diagnosis and Treatment Group</w:t>
      </w:r>
      <w:r w:rsidRPr="00883B88">
        <w:rPr>
          <w:rFonts w:cs="Calibri"/>
          <w:b/>
          <w:bCs/>
          <w:sz w:val="22"/>
          <w:szCs w:val="22"/>
        </w:rPr>
        <w:t xml:space="preserve">. </w:t>
      </w:r>
    </w:p>
    <w:p w14:paraId="2DFB304F" w14:textId="77777777" w:rsidR="00934936" w:rsidRPr="008F30F5" w:rsidRDefault="00934936" w:rsidP="00934936">
      <w:pPr>
        <w:spacing w:after="0" w:line="240" w:lineRule="auto"/>
        <w:rPr>
          <w:rFonts w:cs="Calibri"/>
          <w:sz w:val="22"/>
          <w:szCs w:val="22"/>
          <w:highlight w:val="yellow"/>
        </w:rPr>
      </w:pPr>
    </w:p>
    <w:p w14:paraId="763BDF18" w14:textId="19731CE2" w:rsidR="006C54F5" w:rsidRDefault="006C54F5" w:rsidP="00AA2086">
      <w:pPr>
        <w:pStyle w:val="ListParagraph"/>
        <w:numPr>
          <w:ilvl w:val="0"/>
          <w:numId w:val="13"/>
        </w:numPr>
        <w:spacing w:after="0" w:line="240" w:lineRule="auto"/>
        <w:rPr>
          <w:rFonts w:cs="Calibri"/>
          <w:sz w:val="22"/>
          <w:szCs w:val="22"/>
        </w:rPr>
      </w:pPr>
      <w:r w:rsidRPr="008F30F5">
        <w:rPr>
          <w:rFonts w:cs="Calibri"/>
          <w:sz w:val="22"/>
          <w:szCs w:val="22"/>
        </w:rPr>
        <w:t>Do you have a transportation plan?</w:t>
      </w:r>
    </w:p>
    <w:p w14:paraId="36351ECF" w14:textId="77777777" w:rsidR="00996B6F" w:rsidRDefault="00996B6F" w:rsidP="00996B6F">
      <w:pPr>
        <w:pStyle w:val="ListParagraph"/>
        <w:spacing w:after="0" w:line="240" w:lineRule="auto"/>
        <w:rPr>
          <w:rFonts w:cs="Calibri"/>
          <w:sz w:val="22"/>
          <w:szCs w:val="22"/>
        </w:rPr>
      </w:pPr>
    </w:p>
    <w:p w14:paraId="269C7AAD" w14:textId="71D54C4B" w:rsidR="00996B6F" w:rsidRPr="00996B6F" w:rsidRDefault="00996B6F" w:rsidP="00996B6F">
      <w:pPr>
        <w:pStyle w:val="ListParagraph"/>
        <w:spacing w:after="0" w:line="240" w:lineRule="auto"/>
        <w:rPr>
          <w:rFonts w:cs="Calibri"/>
          <w:b/>
          <w:bCs/>
          <w:sz w:val="22"/>
          <w:szCs w:val="22"/>
        </w:rPr>
      </w:pPr>
      <w:proofErr w:type="gramStart"/>
      <w:r w:rsidRPr="00996B6F">
        <w:rPr>
          <w:rFonts w:cs="Calibri"/>
          <w:b/>
          <w:bCs/>
          <w:sz w:val="22"/>
          <w:szCs w:val="22"/>
        </w:rPr>
        <w:t>At this time</w:t>
      </w:r>
      <w:proofErr w:type="gramEnd"/>
      <w:r w:rsidRPr="00996B6F">
        <w:rPr>
          <w:rFonts w:cs="Calibri"/>
          <w:b/>
          <w:bCs/>
          <w:sz w:val="22"/>
          <w:szCs w:val="22"/>
        </w:rPr>
        <w:t>, Baystate does not offer transportation</w:t>
      </w:r>
      <w:r>
        <w:rPr>
          <w:rFonts w:cs="Calibri"/>
          <w:b/>
          <w:bCs/>
          <w:sz w:val="22"/>
          <w:szCs w:val="22"/>
        </w:rPr>
        <w:t xml:space="preserve"> assistance</w:t>
      </w:r>
      <w:r w:rsidRPr="00996B6F">
        <w:rPr>
          <w:rFonts w:cs="Calibri"/>
          <w:b/>
          <w:bCs/>
          <w:sz w:val="22"/>
          <w:szCs w:val="22"/>
        </w:rPr>
        <w:t xml:space="preserve">. However, </w:t>
      </w:r>
      <w:r w:rsidR="00CA4513">
        <w:rPr>
          <w:rFonts w:cs="Calibri"/>
          <w:b/>
          <w:bCs/>
          <w:sz w:val="22"/>
          <w:szCs w:val="22"/>
        </w:rPr>
        <w:t xml:space="preserve">Longmeadow </w:t>
      </w:r>
      <w:proofErr w:type="gramStart"/>
      <w:r w:rsidR="00CA4513">
        <w:rPr>
          <w:rFonts w:cs="Calibri"/>
          <w:b/>
          <w:bCs/>
          <w:sz w:val="22"/>
          <w:szCs w:val="22"/>
        </w:rPr>
        <w:t>is located in</w:t>
      </w:r>
      <w:proofErr w:type="gramEnd"/>
      <w:r w:rsidR="00CA4513">
        <w:rPr>
          <w:rFonts w:cs="Calibri"/>
          <w:b/>
          <w:bCs/>
          <w:sz w:val="22"/>
          <w:szCs w:val="22"/>
        </w:rPr>
        <w:t xml:space="preserve"> close proximity to a stop on the Pioneer Valley Transit Authority line. </w:t>
      </w:r>
    </w:p>
    <w:p w14:paraId="40FC844A" w14:textId="5564EAD9" w:rsidR="006C54F5" w:rsidRPr="008F30F5" w:rsidRDefault="006C54F5" w:rsidP="006C54F5">
      <w:pPr>
        <w:pStyle w:val="ListParagraph"/>
        <w:spacing w:after="0" w:line="240" w:lineRule="auto"/>
        <w:rPr>
          <w:rFonts w:cs="Calibri"/>
          <w:sz w:val="22"/>
          <w:szCs w:val="22"/>
        </w:rPr>
      </w:pPr>
    </w:p>
    <w:p w14:paraId="471ACCB8" w14:textId="77777777" w:rsidR="006C54F5" w:rsidRPr="008F30F5" w:rsidRDefault="006C54F5" w:rsidP="00B95988">
      <w:pPr>
        <w:spacing w:after="0" w:line="240" w:lineRule="auto"/>
        <w:rPr>
          <w:rFonts w:cs="Calibri"/>
          <w:sz w:val="22"/>
          <w:szCs w:val="22"/>
        </w:rPr>
      </w:pPr>
    </w:p>
    <w:p w14:paraId="68AE33AF" w14:textId="77777777" w:rsidR="00A15122" w:rsidRPr="008F30F5" w:rsidRDefault="00A15122" w:rsidP="00B95988">
      <w:pPr>
        <w:spacing w:after="0" w:line="240" w:lineRule="auto"/>
        <w:rPr>
          <w:rFonts w:cs="Calibri"/>
          <w:sz w:val="22"/>
          <w:szCs w:val="22"/>
        </w:rPr>
      </w:pPr>
    </w:p>
    <w:p w14:paraId="242DC564" w14:textId="77777777" w:rsidR="00A15122" w:rsidRPr="008F30F5" w:rsidRDefault="00A15122" w:rsidP="00B95988">
      <w:pPr>
        <w:spacing w:after="0" w:line="240" w:lineRule="auto"/>
        <w:rPr>
          <w:rFonts w:cs="Calibri"/>
          <w:sz w:val="22"/>
          <w:szCs w:val="22"/>
        </w:rPr>
      </w:pPr>
    </w:p>
    <w:p w14:paraId="25C68D7E" w14:textId="77777777" w:rsidR="00326B2A" w:rsidRPr="008F30F5" w:rsidRDefault="00326B2A" w:rsidP="00B95988">
      <w:pPr>
        <w:spacing w:after="0" w:line="240" w:lineRule="auto"/>
        <w:rPr>
          <w:rFonts w:cs="Calibri"/>
          <w:sz w:val="22"/>
          <w:szCs w:val="22"/>
        </w:rPr>
      </w:pPr>
    </w:p>
    <w:p w14:paraId="1D5C9D5B" w14:textId="77777777" w:rsidR="00326B2A" w:rsidRPr="008F30F5" w:rsidRDefault="00326B2A" w:rsidP="00B95988">
      <w:pPr>
        <w:spacing w:after="0" w:line="240" w:lineRule="auto"/>
        <w:rPr>
          <w:rFonts w:cs="Calibri"/>
          <w:sz w:val="22"/>
          <w:szCs w:val="22"/>
        </w:rPr>
      </w:pPr>
    </w:p>
    <w:p w14:paraId="5C69FDC9" w14:textId="77777777" w:rsidR="00137BA4" w:rsidRPr="008F30F5" w:rsidRDefault="00137BA4" w:rsidP="00B95988">
      <w:pPr>
        <w:spacing w:after="0" w:line="240" w:lineRule="auto"/>
        <w:rPr>
          <w:rFonts w:cs="Calibri"/>
          <w:sz w:val="22"/>
          <w:szCs w:val="22"/>
        </w:rPr>
      </w:pPr>
    </w:p>
    <w:p w14:paraId="711E129A" w14:textId="77777777" w:rsidR="00137BA4" w:rsidRPr="008F30F5" w:rsidRDefault="00137BA4" w:rsidP="00B95988">
      <w:pPr>
        <w:spacing w:after="0" w:line="240" w:lineRule="auto"/>
        <w:rPr>
          <w:rFonts w:cs="Calibri"/>
          <w:sz w:val="22"/>
          <w:szCs w:val="22"/>
        </w:rPr>
      </w:pPr>
    </w:p>
    <w:p w14:paraId="64AA371F" w14:textId="77777777" w:rsidR="00137BA4" w:rsidRPr="008F30F5" w:rsidRDefault="00137BA4" w:rsidP="00B95988">
      <w:pPr>
        <w:spacing w:after="0" w:line="240" w:lineRule="auto"/>
        <w:rPr>
          <w:rFonts w:cs="Calibri"/>
          <w:sz w:val="22"/>
          <w:szCs w:val="22"/>
        </w:rPr>
      </w:pPr>
    </w:p>
    <w:p w14:paraId="4782FDBD" w14:textId="77777777" w:rsidR="00137BA4" w:rsidRPr="008F30F5" w:rsidRDefault="00137BA4" w:rsidP="00B95988">
      <w:pPr>
        <w:spacing w:after="0" w:line="240" w:lineRule="auto"/>
        <w:rPr>
          <w:rFonts w:cs="Calibri"/>
          <w:sz w:val="22"/>
          <w:szCs w:val="22"/>
        </w:rPr>
      </w:pPr>
    </w:p>
    <w:p w14:paraId="5E989A9A" w14:textId="60B37E0B" w:rsidR="00CB7E6F" w:rsidRPr="008F30F5" w:rsidRDefault="00CB7E6F" w:rsidP="00B95988">
      <w:pPr>
        <w:spacing w:after="0" w:line="240" w:lineRule="auto"/>
        <w:rPr>
          <w:rFonts w:cs="Calibri"/>
          <w:sz w:val="22"/>
          <w:szCs w:val="22"/>
        </w:rPr>
      </w:pPr>
    </w:p>
    <w:p w14:paraId="699D4532" w14:textId="77777777" w:rsidR="00CB7E6F" w:rsidRPr="008F30F5" w:rsidRDefault="00CB7E6F" w:rsidP="00CB7E6F">
      <w:pPr>
        <w:rPr>
          <w:sz w:val="22"/>
          <w:szCs w:val="22"/>
        </w:rPr>
      </w:pPr>
    </w:p>
    <w:p w14:paraId="0810F823" w14:textId="1F6FE82E" w:rsidR="009E0355" w:rsidRPr="008F30F5" w:rsidRDefault="009E0355">
      <w:pPr>
        <w:rPr>
          <w:sz w:val="22"/>
          <w:szCs w:val="22"/>
        </w:rPr>
      </w:pPr>
    </w:p>
    <w:p w14:paraId="73FA2C7E" w14:textId="77777777" w:rsidR="00E36468" w:rsidRPr="008F30F5" w:rsidRDefault="00E36468">
      <w:pPr>
        <w:rPr>
          <w:sz w:val="22"/>
          <w:szCs w:val="22"/>
        </w:rPr>
      </w:pPr>
    </w:p>
    <w:p w14:paraId="1D799641" w14:textId="77777777" w:rsidR="00806B6B" w:rsidRPr="008F30F5" w:rsidRDefault="00806B6B">
      <w:pPr>
        <w:rPr>
          <w:sz w:val="22"/>
          <w:szCs w:val="22"/>
        </w:rPr>
      </w:pPr>
    </w:p>
    <w:p w14:paraId="416408F4" w14:textId="77777777" w:rsidR="003A4A7F" w:rsidRPr="008F30F5" w:rsidRDefault="003A4A7F">
      <w:pPr>
        <w:rPr>
          <w:sz w:val="22"/>
          <w:szCs w:val="22"/>
        </w:rPr>
      </w:pPr>
    </w:p>
    <w:sectPr w:rsidR="003A4A7F" w:rsidRPr="008F30F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53AD1" w14:textId="77777777" w:rsidR="00821AAB" w:rsidRDefault="00821AAB" w:rsidP="00E2267A">
      <w:pPr>
        <w:spacing w:after="0" w:line="240" w:lineRule="auto"/>
      </w:pPr>
      <w:r>
        <w:separator/>
      </w:r>
    </w:p>
  </w:endnote>
  <w:endnote w:type="continuationSeparator" w:id="0">
    <w:p w14:paraId="687AA68C" w14:textId="77777777" w:rsidR="00821AAB" w:rsidRDefault="00821AAB" w:rsidP="00E2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90FB" w14:textId="77777777" w:rsidR="00E2267A" w:rsidRDefault="00E22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4B45" w14:textId="77777777" w:rsidR="00E2267A" w:rsidRDefault="00E22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ABD7" w14:textId="77777777" w:rsidR="00E2267A" w:rsidRDefault="00E2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C00A" w14:textId="77777777" w:rsidR="00821AAB" w:rsidRDefault="00821AAB" w:rsidP="00E2267A">
      <w:pPr>
        <w:spacing w:after="0" w:line="240" w:lineRule="auto"/>
      </w:pPr>
      <w:r>
        <w:separator/>
      </w:r>
    </w:p>
  </w:footnote>
  <w:footnote w:type="continuationSeparator" w:id="0">
    <w:p w14:paraId="1F10E23D" w14:textId="77777777" w:rsidR="00821AAB" w:rsidRDefault="00821AAB" w:rsidP="00E2267A">
      <w:pPr>
        <w:spacing w:after="0" w:line="240" w:lineRule="auto"/>
      </w:pPr>
      <w:r>
        <w:continuationSeparator/>
      </w:r>
    </w:p>
  </w:footnote>
  <w:footnote w:id="1">
    <w:p w14:paraId="69560A1F" w14:textId="56A23A16" w:rsidR="00934936" w:rsidRDefault="00934936">
      <w:pPr>
        <w:pStyle w:val="FootnoteText"/>
      </w:pPr>
      <w:r>
        <w:rPr>
          <w:rStyle w:val="FootnoteReference"/>
        </w:rPr>
        <w:footnoteRef/>
      </w:r>
      <w:r>
        <w:t xml:space="preserve"> </w:t>
      </w:r>
      <w:hyperlink r:id="rId1" w:history="1">
        <w:r w:rsidR="005137E3" w:rsidRPr="00DF19DC">
          <w:rPr>
            <w:rStyle w:val="Hyperlink"/>
            <w:color w:val="000000" w:themeColor="text1"/>
            <w:sz w:val="16"/>
            <w:szCs w:val="16"/>
            <w:u w:val="none"/>
          </w:rPr>
          <w:t>UMass Donahue Institute MassDOT Vintage 2024 Population Projections</w:t>
        </w:r>
      </w:hyperlink>
      <w:r w:rsidR="005137E3" w:rsidRPr="00DF19DC">
        <w:rPr>
          <w:color w:val="000000" w:themeColor="text1"/>
          <w:sz w:val="16"/>
          <w:szCs w:val="16"/>
        </w:rPr>
        <w:t xml:space="preserve">, Massachusetts Population Projections, (last accessed Jan. 30, 2025) </w:t>
      </w:r>
      <w:hyperlink r:id="rId2" w:history="1">
        <w:r w:rsidR="00DF19DC" w:rsidRPr="00DF19DC">
          <w:rPr>
            <w:rStyle w:val="Hyperlink"/>
            <w:color w:val="000000" w:themeColor="text1"/>
            <w:sz w:val="16"/>
            <w:szCs w:val="16"/>
            <w:u w:val="none"/>
          </w:rPr>
          <w:t>https://donahue.umass.edu/business-groups/economic-public-policy-research/massachusetts-population-estimates-program/population-projections</w:t>
        </w:r>
      </w:hyperlink>
      <w:r w:rsidR="00DF19DC" w:rsidRPr="00DF19DC">
        <w:rPr>
          <w:color w:val="000000" w:themeColor="text1"/>
          <w:sz w:val="16"/>
          <w:szCs w:val="16"/>
        </w:rPr>
        <w:t xml:space="preserve"> </w:t>
      </w:r>
      <w:r w:rsidR="005137E3" w:rsidRPr="00DF19DC">
        <w:rPr>
          <w:color w:val="000000" w:themeColor="text1"/>
          <w:sz w:val="16"/>
          <w:szCs w:val="16"/>
        </w:rPr>
        <w:t>.</w:t>
      </w:r>
    </w:p>
  </w:footnote>
  <w:footnote w:id="2">
    <w:p w14:paraId="2DF37608" w14:textId="3BF5C8D4" w:rsidR="005137E3" w:rsidRPr="00F96324" w:rsidRDefault="00934936" w:rsidP="005137E3">
      <w:pPr>
        <w:pStyle w:val="FootnoteText"/>
        <w:rPr>
          <w:color w:val="000000" w:themeColor="text1"/>
          <w:sz w:val="16"/>
          <w:szCs w:val="16"/>
        </w:rPr>
      </w:pPr>
      <w:r>
        <w:rPr>
          <w:rStyle w:val="FootnoteReference"/>
        </w:rPr>
        <w:footnoteRef/>
      </w:r>
      <w:r>
        <w:t xml:space="preserve"> </w:t>
      </w:r>
      <w:r w:rsidR="005137E3" w:rsidRPr="005137E3">
        <w:rPr>
          <w:sz w:val="16"/>
          <w:szCs w:val="16"/>
        </w:rPr>
        <w:t xml:space="preserve">Stacey A Fedewa et al, </w:t>
      </w:r>
      <w:hyperlink r:id="rId3" w:history="1">
        <w:r w:rsidR="005137E3" w:rsidRPr="00F96324">
          <w:rPr>
            <w:rStyle w:val="Hyperlink"/>
            <w:color w:val="000000" w:themeColor="text1"/>
            <w:sz w:val="16"/>
            <w:szCs w:val="16"/>
            <w:u w:val="none"/>
          </w:rPr>
          <w:t>State Variation in Low-Dose Computed Tomography Scanning for Lung Cancer Screening in the United States</w:t>
        </w:r>
      </w:hyperlink>
      <w:r w:rsidR="005137E3" w:rsidRPr="00F96324">
        <w:rPr>
          <w:color w:val="000000" w:themeColor="text1"/>
          <w:sz w:val="16"/>
          <w:szCs w:val="16"/>
        </w:rPr>
        <w:t xml:space="preserve">, Journal of the National Cancer Institute (Nov. 2020), </w:t>
      </w:r>
      <w:hyperlink r:id="rId4" w:history="1">
        <w:r w:rsidR="00F96324" w:rsidRPr="00F96324">
          <w:rPr>
            <w:rStyle w:val="Hyperlink"/>
            <w:color w:val="000000" w:themeColor="text1"/>
            <w:sz w:val="16"/>
            <w:szCs w:val="16"/>
            <w:u w:val="none"/>
          </w:rPr>
          <w:t>https://pmc.ncbi.nlm.nih.gov/articles/PMC8328984/</w:t>
        </w:r>
      </w:hyperlink>
      <w:r w:rsidR="00F96324" w:rsidRPr="00F96324">
        <w:rPr>
          <w:color w:val="000000" w:themeColor="text1"/>
          <w:sz w:val="16"/>
          <w:szCs w:val="16"/>
        </w:rPr>
        <w:t xml:space="preserve"> </w:t>
      </w:r>
      <w:r w:rsidR="005137E3" w:rsidRPr="00F96324">
        <w:rPr>
          <w:color w:val="000000" w:themeColor="text1"/>
          <w:sz w:val="16"/>
          <w:szCs w:val="16"/>
        </w:rPr>
        <w:t>.</w:t>
      </w:r>
    </w:p>
    <w:p w14:paraId="1922761E" w14:textId="771816F8" w:rsidR="00934936" w:rsidRDefault="005137E3" w:rsidP="005137E3">
      <w:pPr>
        <w:pStyle w:val="FootnoteText"/>
      </w:pPr>
      <w:r w:rsidRPr="00F96324">
        <w:rPr>
          <w:color w:val="000000" w:themeColor="text1"/>
          <w:sz w:val="16"/>
          <w:szCs w:val="16"/>
        </w:rPr>
        <w:t xml:space="preserve">Jennifer Solomon, </w:t>
      </w:r>
      <w:hyperlink r:id="rId5" w:history="1">
        <w:r w:rsidRPr="00F96324">
          <w:rPr>
            <w:rStyle w:val="Hyperlink"/>
            <w:color w:val="000000" w:themeColor="text1"/>
            <w:sz w:val="16"/>
            <w:szCs w:val="16"/>
            <w:u w:val="none"/>
          </w:rPr>
          <w:t>Massachusetts Ranks Among Best States for Screening, Early-Stage Diagnosis, and Surgery for Lung Cancer According to New Report</w:t>
        </w:r>
      </w:hyperlink>
      <w:r w:rsidRPr="00F96324">
        <w:rPr>
          <w:color w:val="000000" w:themeColor="text1"/>
          <w:sz w:val="16"/>
          <w:szCs w:val="16"/>
        </w:rPr>
        <w:t xml:space="preserve">, American Lung Association (Nov. 15, 2022), </w:t>
      </w:r>
      <w:hyperlink r:id="rId6" w:history="1">
        <w:r w:rsidR="00F96324" w:rsidRPr="00F96324">
          <w:rPr>
            <w:rStyle w:val="Hyperlink"/>
            <w:color w:val="000000" w:themeColor="text1"/>
            <w:sz w:val="16"/>
            <w:szCs w:val="16"/>
            <w:u w:val="none"/>
          </w:rPr>
          <w:t>https://www.lung.org/media/press-releases/solc-ma-2022</w:t>
        </w:r>
      </w:hyperlink>
      <w:r w:rsidR="00F96324" w:rsidRPr="00F96324">
        <w:rPr>
          <w:color w:val="000000" w:themeColor="text1"/>
          <w:sz w:val="16"/>
          <w:szCs w:val="16"/>
        </w:rPr>
        <w:t xml:space="preserve"> </w:t>
      </w:r>
      <w:r w:rsidRPr="00F96324">
        <w:rPr>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F90A" w14:textId="77777777" w:rsidR="00E2267A" w:rsidRDefault="00E22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518A" w14:textId="05088A52" w:rsidR="00E2267A" w:rsidRPr="00E2267A" w:rsidRDefault="00E2267A" w:rsidP="00E2267A">
    <w:pPr>
      <w:pStyle w:val="Header"/>
      <w:jc w:val="center"/>
      <w:rPr>
        <w:rFonts w:ascii="Calibri" w:hAnsi="Calibri" w:cs="Calibri"/>
        <w:b/>
        <w:bCs/>
        <w:color w:val="156082" w:themeColor="accent1"/>
        <w:sz w:val="28"/>
        <w:szCs w:val="28"/>
      </w:rPr>
    </w:pPr>
    <w:r w:rsidRPr="00E2267A">
      <w:rPr>
        <w:rFonts w:ascii="Calibri" w:hAnsi="Calibri" w:cs="Calibri"/>
        <w:b/>
        <w:bCs/>
        <w:color w:val="156082" w:themeColor="accent1"/>
        <w:sz w:val="28"/>
        <w:szCs w:val="28"/>
      </w:rPr>
      <w:t>Baystate Health and Wellness Center-Longmeadow CT</w:t>
    </w:r>
  </w:p>
  <w:p w14:paraId="09A0EDCA" w14:textId="77777777" w:rsidR="00E2267A" w:rsidRDefault="00E2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5D3E" w14:textId="77777777" w:rsidR="00E2267A" w:rsidRDefault="00E22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7C7"/>
    <w:multiLevelType w:val="hybridMultilevel"/>
    <w:tmpl w:val="D5747C38"/>
    <w:lvl w:ilvl="0" w:tplc="A33E05C6">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7251A"/>
    <w:multiLevelType w:val="hybridMultilevel"/>
    <w:tmpl w:val="A966526E"/>
    <w:lvl w:ilvl="0" w:tplc="B26A048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F4A77"/>
    <w:multiLevelType w:val="hybridMultilevel"/>
    <w:tmpl w:val="662629F2"/>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96578C"/>
    <w:multiLevelType w:val="hybridMultilevel"/>
    <w:tmpl w:val="DEFE54E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2363E"/>
    <w:multiLevelType w:val="hybridMultilevel"/>
    <w:tmpl w:val="7146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202F"/>
    <w:multiLevelType w:val="hybridMultilevel"/>
    <w:tmpl w:val="BE6E1D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F287C"/>
    <w:multiLevelType w:val="hybridMultilevel"/>
    <w:tmpl w:val="95C40DB8"/>
    <w:lvl w:ilvl="0" w:tplc="1054C05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906F7"/>
    <w:multiLevelType w:val="hybridMultilevel"/>
    <w:tmpl w:val="E0B056B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82CFC"/>
    <w:multiLevelType w:val="hybridMultilevel"/>
    <w:tmpl w:val="23C833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F003B"/>
    <w:multiLevelType w:val="hybridMultilevel"/>
    <w:tmpl w:val="0C9891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A37A7D"/>
    <w:multiLevelType w:val="hybridMultilevel"/>
    <w:tmpl w:val="BB5E76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44207A"/>
    <w:multiLevelType w:val="hybridMultilevel"/>
    <w:tmpl w:val="45BEF5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A42E99"/>
    <w:multiLevelType w:val="hybridMultilevel"/>
    <w:tmpl w:val="BB5E7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326F90"/>
    <w:multiLevelType w:val="hybridMultilevel"/>
    <w:tmpl w:val="7F8C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B15F4"/>
    <w:multiLevelType w:val="hybridMultilevel"/>
    <w:tmpl w:val="D37CF9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7500214">
    <w:abstractNumId w:val="10"/>
  </w:num>
  <w:num w:numId="2" w16cid:durableId="1432041964">
    <w:abstractNumId w:val="0"/>
  </w:num>
  <w:num w:numId="3" w16cid:durableId="1211307533">
    <w:abstractNumId w:val="2"/>
  </w:num>
  <w:num w:numId="4" w16cid:durableId="1649818914">
    <w:abstractNumId w:val="14"/>
  </w:num>
  <w:num w:numId="5" w16cid:durableId="1812672067">
    <w:abstractNumId w:val="13"/>
  </w:num>
  <w:num w:numId="6" w16cid:durableId="1208758319">
    <w:abstractNumId w:val="6"/>
  </w:num>
  <w:num w:numId="7" w16cid:durableId="449669609">
    <w:abstractNumId w:val="4"/>
  </w:num>
  <w:num w:numId="8" w16cid:durableId="1351755694">
    <w:abstractNumId w:val="11"/>
  </w:num>
  <w:num w:numId="9" w16cid:durableId="227689845">
    <w:abstractNumId w:val="12"/>
  </w:num>
  <w:num w:numId="10" w16cid:durableId="1413771995">
    <w:abstractNumId w:val="3"/>
  </w:num>
  <w:num w:numId="11" w16cid:durableId="208878495">
    <w:abstractNumId w:val="1"/>
  </w:num>
  <w:num w:numId="12" w16cid:durableId="989559707">
    <w:abstractNumId w:val="8"/>
  </w:num>
  <w:num w:numId="13" w16cid:durableId="1453210128">
    <w:abstractNumId w:val="7"/>
  </w:num>
  <w:num w:numId="14" w16cid:durableId="1666083647">
    <w:abstractNumId w:val="9"/>
  </w:num>
  <w:num w:numId="15" w16cid:durableId="696202947">
    <w:abstractNumId w:val="5"/>
  </w:num>
  <w:num w:numId="16" w16cid:durableId="3491145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7F"/>
    <w:rsid w:val="00016735"/>
    <w:rsid w:val="000557E8"/>
    <w:rsid w:val="000634BE"/>
    <w:rsid w:val="0006471C"/>
    <w:rsid w:val="00080C5E"/>
    <w:rsid w:val="00091069"/>
    <w:rsid w:val="00120A62"/>
    <w:rsid w:val="0013618A"/>
    <w:rsid w:val="00137BA4"/>
    <w:rsid w:val="0014305A"/>
    <w:rsid w:val="0016485D"/>
    <w:rsid w:val="0017400D"/>
    <w:rsid w:val="00186095"/>
    <w:rsid w:val="001A5A44"/>
    <w:rsid w:val="002211A7"/>
    <w:rsid w:val="00223845"/>
    <w:rsid w:val="002312A3"/>
    <w:rsid w:val="002528BB"/>
    <w:rsid w:val="00270A07"/>
    <w:rsid w:val="002E2657"/>
    <w:rsid w:val="003127D3"/>
    <w:rsid w:val="0031306C"/>
    <w:rsid w:val="00326B2A"/>
    <w:rsid w:val="003309C7"/>
    <w:rsid w:val="00332554"/>
    <w:rsid w:val="00347589"/>
    <w:rsid w:val="003972FE"/>
    <w:rsid w:val="003A4A7F"/>
    <w:rsid w:val="00406A08"/>
    <w:rsid w:val="00424474"/>
    <w:rsid w:val="0045302A"/>
    <w:rsid w:val="004848C2"/>
    <w:rsid w:val="004B2531"/>
    <w:rsid w:val="005137E3"/>
    <w:rsid w:val="00540FD5"/>
    <w:rsid w:val="0054789C"/>
    <w:rsid w:val="00575E19"/>
    <w:rsid w:val="00594D61"/>
    <w:rsid w:val="005A3FEB"/>
    <w:rsid w:val="00637FDB"/>
    <w:rsid w:val="006C54F5"/>
    <w:rsid w:val="0070521A"/>
    <w:rsid w:val="0072350A"/>
    <w:rsid w:val="00743CF6"/>
    <w:rsid w:val="00771026"/>
    <w:rsid w:val="007F3574"/>
    <w:rsid w:val="00806B6B"/>
    <w:rsid w:val="00821AAB"/>
    <w:rsid w:val="008470F4"/>
    <w:rsid w:val="00857502"/>
    <w:rsid w:val="00883B88"/>
    <w:rsid w:val="008D35FE"/>
    <w:rsid w:val="008F30F5"/>
    <w:rsid w:val="00934936"/>
    <w:rsid w:val="009778EF"/>
    <w:rsid w:val="009944C6"/>
    <w:rsid w:val="00996B6F"/>
    <w:rsid w:val="009A2420"/>
    <w:rsid w:val="009A5F93"/>
    <w:rsid w:val="009A6E7B"/>
    <w:rsid w:val="009A7393"/>
    <w:rsid w:val="009B7AEC"/>
    <w:rsid w:val="009E0355"/>
    <w:rsid w:val="00A15122"/>
    <w:rsid w:val="00A166A7"/>
    <w:rsid w:val="00A23FF6"/>
    <w:rsid w:val="00A40BAC"/>
    <w:rsid w:val="00A60296"/>
    <w:rsid w:val="00A638C3"/>
    <w:rsid w:val="00A65118"/>
    <w:rsid w:val="00A673A8"/>
    <w:rsid w:val="00AA2086"/>
    <w:rsid w:val="00B43198"/>
    <w:rsid w:val="00B506E2"/>
    <w:rsid w:val="00B72EF8"/>
    <w:rsid w:val="00B772FA"/>
    <w:rsid w:val="00B82833"/>
    <w:rsid w:val="00B924EC"/>
    <w:rsid w:val="00B95988"/>
    <w:rsid w:val="00BA3375"/>
    <w:rsid w:val="00C32982"/>
    <w:rsid w:val="00C905B0"/>
    <w:rsid w:val="00CA4513"/>
    <w:rsid w:val="00CB7E6F"/>
    <w:rsid w:val="00D05551"/>
    <w:rsid w:val="00D44EE2"/>
    <w:rsid w:val="00D50EAE"/>
    <w:rsid w:val="00D804A7"/>
    <w:rsid w:val="00DF19DC"/>
    <w:rsid w:val="00E2267A"/>
    <w:rsid w:val="00E36468"/>
    <w:rsid w:val="00E52FA1"/>
    <w:rsid w:val="00EA1084"/>
    <w:rsid w:val="00F15C6D"/>
    <w:rsid w:val="00F96324"/>
    <w:rsid w:val="00FA4A9D"/>
    <w:rsid w:val="00FB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29B4"/>
  <w15:chartTrackingRefBased/>
  <w15:docId w15:val="{BF75E521-20B2-44B8-92CC-ED3FF4B3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94D61"/>
    <w:pPr>
      <w:tabs>
        <w:tab w:val="right" w:leader="dot" w:pos="9450"/>
      </w:tabs>
      <w:spacing w:after="100" w:line="276" w:lineRule="auto"/>
      <w:ind w:left="450"/>
    </w:pPr>
    <w:rPr>
      <w:rFonts w:ascii="Calibri" w:eastAsiaTheme="majorEastAsia" w:hAnsi="Calibri" w:cstheme="majorBidi"/>
      <w:noProof/>
      <w:color w:val="000000" w:themeColor="text1"/>
    </w:rPr>
  </w:style>
  <w:style w:type="paragraph" w:styleId="TOC2">
    <w:name w:val="toc 2"/>
    <w:basedOn w:val="Normal"/>
    <w:next w:val="Normal"/>
    <w:autoRedefine/>
    <w:uiPriority w:val="39"/>
    <w:unhideWhenUsed/>
    <w:rsid w:val="00594D61"/>
    <w:pPr>
      <w:tabs>
        <w:tab w:val="right" w:leader="dot" w:pos="9450"/>
      </w:tabs>
      <w:spacing w:after="100" w:line="276" w:lineRule="auto"/>
      <w:ind w:left="450"/>
    </w:pPr>
    <w:rPr>
      <w:rFonts w:ascii="Calibri" w:hAnsi="Calibri"/>
      <w:noProof/>
      <w:color w:val="000000" w:themeColor="text1"/>
    </w:rPr>
  </w:style>
  <w:style w:type="paragraph" w:styleId="TOC3">
    <w:name w:val="toc 3"/>
    <w:basedOn w:val="Normal"/>
    <w:next w:val="Normal"/>
    <w:autoRedefine/>
    <w:uiPriority w:val="39"/>
    <w:unhideWhenUsed/>
    <w:rsid w:val="00594D61"/>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3A4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A7F"/>
    <w:rPr>
      <w:rFonts w:eastAsiaTheme="majorEastAsia" w:cstheme="majorBidi"/>
      <w:color w:val="272727" w:themeColor="text1" w:themeTint="D8"/>
    </w:rPr>
  </w:style>
  <w:style w:type="paragraph" w:styleId="Title">
    <w:name w:val="Title"/>
    <w:basedOn w:val="Normal"/>
    <w:next w:val="Normal"/>
    <w:link w:val="TitleChar"/>
    <w:uiPriority w:val="10"/>
    <w:qFormat/>
    <w:rsid w:val="003A4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A7F"/>
    <w:pPr>
      <w:spacing w:before="160"/>
      <w:jc w:val="center"/>
    </w:pPr>
    <w:rPr>
      <w:i/>
      <w:iCs/>
      <w:color w:val="404040" w:themeColor="text1" w:themeTint="BF"/>
    </w:rPr>
  </w:style>
  <w:style w:type="character" w:customStyle="1" w:styleId="QuoteChar">
    <w:name w:val="Quote Char"/>
    <w:basedOn w:val="DefaultParagraphFont"/>
    <w:link w:val="Quote"/>
    <w:uiPriority w:val="29"/>
    <w:rsid w:val="003A4A7F"/>
    <w:rPr>
      <w:i/>
      <w:iCs/>
      <w:color w:val="404040" w:themeColor="text1" w:themeTint="BF"/>
    </w:rPr>
  </w:style>
  <w:style w:type="paragraph" w:styleId="ListParagraph">
    <w:name w:val="List Paragraph"/>
    <w:basedOn w:val="Normal"/>
    <w:uiPriority w:val="34"/>
    <w:qFormat/>
    <w:rsid w:val="003A4A7F"/>
    <w:pPr>
      <w:ind w:left="720"/>
      <w:contextualSpacing/>
    </w:pPr>
  </w:style>
  <w:style w:type="character" w:styleId="IntenseEmphasis">
    <w:name w:val="Intense Emphasis"/>
    <w:basedOn w:val="DefaultParagraphFont"/>
    <w:uiPriority w:val="21"/>
    <w:qFormat/>
    <w:rsid w:val="003A4A7F"/>
    <w:rPr>
      <w:i/>
      <w:iCs/>
      <w:color w:val="0F4761" w:themeColor="accent1" w:themeShade="BF"/>
    </w:rPr>
  </w:style>
  <w:style w:type="paragraph" w:styleId="IntenseQuote">
    <w:name w:val="Intense Quote"/>
    <w:basedOn w:val="Normal"/>
    <w:next w:val="Normal"/>
    <w:link w:val="IntenseQuoteChar"/>
    <w:uiPriority w:val="30"/>
    <w:qFormat/>
    <w:rsid w:val="003A4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A7F"/>
    <w:rPr>
      <w:i/>
      <w:iCs/>
      <w:color w:val="0F4761" w:themeColor="accent1" w:themeShade="BF"/>
    </w:rPr>
  </w:style>
  <w:style w:type="character" w:styleId="IntenseReference">
    <w:name w:val="Intense Reference"/>
    <w:basedOn w:val="DefaultParagraphFont"/>
    <w:uiPriority w:val="32"/>
    <w:qFormat/>
    <w:rsid w:val="003A4A7F"/>
    <w:rPr>
      <w:b/>
      <w:bCs/>
      <w:smallCaps/>
      <w:color w:val="0F4761" w:themeColor="accent1" w:themeShade="BF"/>
      <w:spacing w:val="5"/>
    </w:rPr>
  </w:style>
  <w:style w:type="table" w:styleId="TableGrid">
    <w:name w:val="Table Grid"/>
    <w:basedOn w:val="TableNormal"/>
    <w:uiPriority w:val="39"/>
    <w:rsid w:val="00E2267A"/>
    <w:pPr>
      <w:spacing w:after="0"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67A"/>
    <w:rPr>
      <w:color w:val="467886" w:themeColor="hyperlink"/>
      <w:u w:val="single"/>
    </w:rPr>
  </w:style>
  <w:style w:type="character" w:styleId="UnresolvedMention">
    <w:name w:val="Unresolved Mention"/>
    <w:basedOn w:val="DefaultParagraphFont"/>
    <w:uiPriority w:val="99"/>
    <w:semiHidden/>
    <w:unhideWhenUsed/>
    <w:rsid w:val="00E2267A"/>
    <w:rPr>
      <w:color w:val="605E5C"/>
      <w:shd w:val="clear" w:color="auto" w:fill="E1DFDD"/>
    </w:rPr>
  </w:style>
  <w:style w:type="paragraph" w:styleId="Header">
    <w:name w:val="header"/>
    <w:basedOn w:val="Normal"/>
    <w:link w:val="HeaderChar"/>
    <w:uiPriority w:val="99"/>
    <w:unhideWhenUsed/>
    <w:rsid w:val="00E22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67A"/>
  </w:style>
  <w:style w:type="paragraph" w:styleId="Footer">
    <w:name w:val="footer"/>
    <w:basedOn w:val="Normal"/>
    <w:link w:val="FooterChar"/>
    <w:uiPriority w:val="99"/>
    <w:unhideWhenUsed/>
    <w:rsid w:val="00E22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67A"/>
  </w:style>
  <w:style w:type="paragraph" w:customStyle="1" w:styleId="DocID">
    <w:name w:val="DocID"/>
    <w:basedOn w:val="Normal"/>
    <w:qFormat/>
    <w:rsid w:val="00857502"/>
    <w:pPr>
      <w:suppressAutoHyphens/>
      <w:spacing w:after="0" w:line="240" w:lineRule="auto"/>
    </w:pPr>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934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4936"/>
    <w:rPr>
      <w:sz w:val="20"/>
      <w:szCs w:val="20"/>
    </w:rPr>
  </w:style>
  <w:style w:type="character" w:styleId="FootnoteReference">
    <w:name w:val="footnote reference"/>
    <w:basedOn w:val="DefaultParagraphFont"/>
    <w:uiPriority w:val="99"/>
    <w:semiHidden/>
    <w:unhideWhenUsed/>
    <w:rsid w:val="009349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1613">
      <w:bodyDiv w:val="1"/>
      <w:marLeft w:val="0"/>
      <w:marRight w:val="0"/>
      <w:marTop w:val="0"/>
      <w:marBottom w:val="0"/>
      <w:divBdr>
        <w:top w:val="none" w:sz="0" w:space="0" w:color="auto"/>
        <w:left w:val="none" w:sz="0" w:space="0" w:color="auto"/>
        <w:bottom w:val="none" w:sz="0" w:space="0" w:color="auto"/>
        <w:right w:val="none" w:sz="0" w:space="0" w:color="auto"/>
      </w:divBdr>
    </w:div>
    <w:div w:id="215553436">
      <w:bodyDiv w:val="1"/>
      <w:marLeft w:val="0"/>
      <w:marRight w:val="0"/>
      <w:marTop w:val="0"/>
      <w:marBottom w:val="0"/>
      <w:divBdr>
        <w:top w:val="none" w:sz="0" w:space="0" w:color="auto"/>
        <w:left w:val="none" w:sz="0" w:space="0" w:color="auto"/>
        <w:bottom w:val="none" w:sz="0" w:space="0" w:color="auto"/>
        <w:right w:val="none" w:sz="0" w:space="0" w:color="auto"/>
      </w:divBdr>
    </w:div>
    <w:div w:id="236134771">
      <w:bodyDiv w:val="1"/>
      <w:marLeft w:val="0"/>
      <w:marRight w:val="0"/>
      <w:marTop w:val="0"/>
      <w:marBottom w:val="0"/>
      <w:divBdr>
        <w:top w:val="none" w:sz="0" w:space="0" w:color="auto"/>
        <w:left w:val="none" w:sz="0" w:space="0" w:color="auto"/>
        <w:bottom w:val="none" w:sz="0" w:space="0" w:color="auto"/>
        <w:right w:val="none" w:sz="0" w:space="0" w:color="auto"/>
      </w:divBdr>
    </w:div>
    <w:div w:id="444085913">
      <w:bodyDiv w:val="1"/>
      <w:marLeft w:val="0"/>
      <w:marRight w:val="0"/>
      <w:marTop w:val="0"/>
      <w:marBottom w:val="0"/>
      <w:divBdr>
        <w:top w:val="none" w:sz="0" w:space="0" w:color="auto"/>
        <w:left w:val="none" w:sz="0" w:space="0" w:color="auto"/>
        <w:bottom w:val="none" w:sz="0" w:space="0" w:color="auto"/>
        <w:right w:val="none" w:sz="0" w:space="0" w:color="auto"/>
      </w:divBdr>
    </w:div>
    <w:div w:id="513499570">
      <w:bodyDiv w:val="1"/>
      <w:marLeft w:val="0"/>
      <w:marRight w:val="0"/>
      <w:marTop w:val="0"/>
      <w:marBottom w:val="0"/>
      <w:divBdr>
        <w:top w:val="none" w:sz="0" w:space="0" w:color="auto"/>
        <w:left w:val="none" w:sz="0" w:space="0" w:color="auto"/>
        <w:bottom w:val="none" w:sz="0" w:space="0" w:color="auto"/>
        <w:right w:val="none" w:sz="0" w:space="0" w:color="auto"/>
      </w:divBdr>
    </w:div>
    <w:div w:id="612906655">
      <w:bodyDiv w:val="1"/>
      <w:marLeft w:val="0"/>
      <w:marRight w:val="0"/>
      <w:marTop w:val="0"/>
      <w:marBottom w:val="0"/>
      <w:divBdr>
        <w:top w:val="none" w:sz="0" w:space="0" w:color="auto"/>
        <w:left w:val="none" w:sz="0" w:space="0" w:color="auto"/>
        <w:bottom w:val="none" w:sz="0" w:space="0" w:color="auto"/>
        <w:right w:val="none" w:sz="0" w:space="0" w:color="auto"/>
      </w:divBdr>
    </w:div>
    <w:div w:id="653526969">
      <w:bodyDiv w:val="1"/>
      <w:marLeft w:val="0"/>
      <w:marRight w:val="0"/>
      <w:marTop w:val="0"/>
      <w:marBottom w:val="0"/>
      <w:divBdr>
        <w:top w:val="none" w:sz="0" w:space="0" w:color="auto"/>
        <w:left w:val="none" w:sz="0" w:space="0" w:color="auto"/>
        <w:bottom w:val="none" w:sz="0" w:space="0" w:color="auto"/>
        <w:right w:val="none" w:sz="0" w:space="0" w:color="auto"/>
      </w:divBdr>
    </w:div>
    <w:div w:id="684986740">
      <w:bodyDiv w:val="1"/>
      <w:marLeft w:val="0"/>
      <w:marRight w:val="0"/>
      <w:marTop w:val="0"/>
      <w:marBottom w:val="0"/>
      <w:divBdr>
        <w:top w:val="none" w:sz="0" w:space="0" w:color="auto"/>
        <w:left w:val="none" w:sz="0" w:space="0" w:color="auto"/>
        <w:bottom w:val="none" w:sz="0" w:space="0" w:color="auto"/>
        <w:right w:val="none" w:sz="0" w:space="0" w:color="auto"/>
      </w:divBdr>
    </w:div>
    <w:div w:id="715273807">
      <w:bodyDiv w:val="1"/>
      <w:marLeft w:val="0"/>
      <w:marRight w:val="0"/>
      <w:marTop w:val="0"/>
      <w:marBottom w:val="0"/>
      <w:divBdr>
        <w:top w:val="none" w:sz="0" w:space="0" w:color="auto"/>
        <w:left w:val="none" w:sz="0" w:space="0" w:color="auto"/>
        <w:bottom w:val="none" w:sz="0" w:space="0" w:color="auto"/>
        <w:right w:val="none" w:sz="0" w:space="0" w:color="auto"/>
      </w:divBdr>
    </w:div>
    <w:div w:id="836967773">
      <w:bodyDiv w:val="1"/>
      <w:marLeft w:val="0"/>
      <w:marRight w:val="0"/>
      <w:marTop w:val="0"/>
      <w:marBottom w:val="0"/>
      <w:divBdr>
        <w:top w:val="none" w:sz="0" w:space="0" w:color="auto"/>
        <w:left w:val="none" w:sz="0" w:space="0" w:color="auto"/>
        <w:bottom w:val="none" w:sz="0" w:space="0" w:color="auto"/>
        <w:right w:val="none" w:sz="0" w:space="0" w:color="auto"/>
      </w:divBdr>
    </w:div>
    <w:div w:id="842671112">
      <w:bodyDiv w:val="1"/>
      <w:marLeft w:val="0"/>
      <w:marRight w:val="0"/>
      <w:marTop w:val="0"/>
      <w:marBottom w:val="0"/>
      <w:divBdr>
        <w:top w:val="none" w:sz="0" w:space="0" w:color="auto"/>
        <w:left w:val="none" w:sz="0" w:space="0" w:color="auto"/>
        <w:bottom w:val="none" w:sz="0" w:space="0" w:color="auto"/>
        <w:right w:val="none" w:sz="0" w:space="0" w:color="auto"/>
      </w:divBdr>
    </w:div>
    <w:div w:id="947665676">
      <w:bodyDiv w:val="1"/>
      <w:marLeft w:val="0"/>
      <w:marRight w:val="0"/>
      <w:marTop w:val="0"/>
      <w:marBottom w:val="0"/>
      <w:divBdr>
        <w:top w:val="none" w:sz="0" w:space="0" w:color="auto"/>
        <w:left w:val="none" w:sz="0" w:space="0" w:color="auto"/>
        <w:bottom w:val="none" w:sz="0" w:space="0" w:color="auto"/>
        <w:right w:val="none" w:sz="0" w:space="0" w:color="auto"/>
      </w:divBdr>
    </w:div>
    <w:div w:id="969870556">
      <w:bodyDiv w:val="1"/>
      <w:marLeft w:val="0"/>
      <w:marRight w:val="0"/>
      <w:marTop w:val="0"/>
      <w:marBottom w:val="0"/>
      <w:divBdr>
        <w:top w:val="none" w:sz="0" w:space="0" w:color="auto"/>
        <w:left w:val="none" w:sz="0" w:space="0" w:color="auto"/>
        <w:bottom w:val="none" w:sz="0" w:space="0" w:color="auto"/>
        <w:right w:val="none" w:sz="0" w:space="0" w:color="auto"/>
      </w:divBdr>
    </w:div>
    <w:div w:id="1005128940">
      <w:bodyDiv w:val="1"/>
      <w:marLeft w:val="0"/>
      <w:marRight w:val="0"/>
      <w:marTop w:val="0"/>
      <w:marBottom w:val="0"/>
      <w:divBdr>
        <w:top w:val="none" w:sz="0" w:space="0" w:color="auto"/>
        <w:left w:val="none" w:sz="0" w:space="0" w:color="auto"/>
        <w:bottom w:val="none" w:sz="0" w:space="0" w:color="auto"/>
        <w:right w:val="none" w:sz="0" w:space="0" w:color="auto"/>
      </w:divBdr>
    </w:div>
    <w:div w:id="1291395844">
      <w:bodyDiv w:val="1"/>
      <w:marLeft w:val="0"/>
      <w:marRight w:val="0"/>
      <w:marTop w:val="0"/>
      <w:marBottom w:val="0"/>
      <w:divBdr>
        <w:top w:val="none" w:sz="0" w:space="0" w:color="auto"/>
        <w:left w:val="none" w:sz="0" w:space="0" w:color="auto"/>
        <w:bottom w:val="none" w:sz="0" w:space="0" w:color="auto"/>
        <w:right w:val="none" w:sz="0" w:space="0" w:color="auto"/>
      </w:divBdr>
    </w:div>
    <w:div w:id="1548906265">
      <w:bodyDiv w:val="1"/>
      <w:marLeft w:val="0"/>
      <w:marRight w:val="0"/>
      <w:marTop w:val="0"/>
      <w:marBottom w:val="0"/>
      <w:divBdr>
        <w:top w:val="none" w:sz="0" w:space="0" w:color="auto"/>
        <w:left w:val="none" w:sz="0" w:space="0" w:color="auto"/>
        <w:bottom w:val="none" w:sz="0" w:space="0" w:color="auto"/>
        <w:right w:val="none" w:sz="0" w:space="0" w:color="auto"/>
      </w:divBdr>
    </w:div>
    <w:div w:id="1591960866">
      <w:bodyDiv w:val="1"/>
      <w:marLeft w:val="0"/>
      <w:marRight w:val="0"/>
      <w:marTop w:val="0"/>
      <w:marBottom w:val="0"/>
      <w:divBdr>
        <w:top w:val="none" w:sz="0" w:space="0" w:color="auto"/>
        <w:left w:val="none" w:sz="0" w:space="0" w:color="auto"/>
        <w:bottom w:val="none" w:sz="0" w:space="0" w:color="auto"/>
        <w:right w:val="none" w:sz="0" w:space="0" w:color="auto"/>
      </w:divBdr>
    </w:div>
    <w:div w:id="1650936702">
      <w:bodyDiv w:val="1"/>
      <w:marLeft w:val="0"/>
      <w:marRight w:val="0"/>
      <w:marTop w:val="0"/>
      <w:marBottom w:val="0"/>
      <w:divBdr>
        <w:top w:val="none" w:sz="0" w:space="0" w:color="auto"/>
        <w:left w:val="none" w:sz="0" w:space="0" w:color="auto"/>
        <w:bottom w:val="none" w:sz="0" w:space="0" w:color="auto"/>
        <w:right w:val="none" w:sz="0" w:space="0" w:color="auto"/>
      </w:divBdr>
    </w:div>
    <w:div w:id="1909804711">
      <w:bodyDiv w:val="1"/>
      <w:marLeft w:val="0"/>
      <w:marRight w:val="0"/>
      <w:marTop w:val="0"/>
      <w:marBottom w:val="0"/>
      <w:divBdr>
        <w:top w:val="none" w:sz="0" w:space="0" w:color="auto"/>
        <w:left w:val="none" w:sz="0" w:space="0" w:color="auto"/>
        <w:bottom w:val="none" w:sz="0" w:space="0" w:color="auto"/>
        <w:right w:val="none" w:sz="0" w:space="0" w:color="auto"/>
      </w:divBdr>
    </w:div>
    <w:div w:id="20161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ernmassnews.com/2024/11/26/lung-cancer-survivor-urges-early-screening/" TargetMode="External"/><Relationship Id="rId13" Type="http://schemas.openxmlformats.org/officeDocument/2006/relationships/hyperlink" Target="https://reporter.nih.gov/search/MlTLWoalX0a_dqrSRMaQEA/project-details/1086611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DPH.DON@State.MA.US" TargetMode="External"/><Relationship Id="rId12" Type="http://schemas.openxmlformats.org/officeDocument/2006/relationships/hyperlink" Target="https://nlcrt.org/whats-happening/lung-cancer-screening-da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eel/DCICoZLyR-A/?utm_source=ig_web_copy_link&amp;igsh=MzRlODBiNWFlZA==" TargetMode="External"/><Relationship Id="rId5" Type="http://schemas.openxmlformats.org/officeDocument/2006/relationships/footnotes" Target="footnotes.xml"/><Relationship Id="rId15" Type="http://schemas.openxmlformats.org/officeDocument/2006/relationships/hyperlink" Target="https://www.mass.gov/info-details/massachusetts-comprehensive-cancer-coalition" TargetMode="External"/><Relationship Id="rId23" Type="http://schemas.openxmlformats.org/officeDocument/2006/relationships/theme" Target="theme/theme1.xml"/><Relationship Id="rId10" Type="http://schemas.openxmlformats.org/officeDocument/2006/relationships/hyperlink" Target="https://www.instagram.com/reel/DCr_Uj6yiFc/?utm_source=ig_web_copy_link&amp;igsh=MzRlODBiNWFlZ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esternmassnews.com/2024/11/26/lung-cancer-survivor-urges-early-screening/" TargetMode="External"/><Relationship Id="rId14" Type="http://schemas.openxmlformats.org/officeDocument/2006/relationships/hyperlink" Target="https://reporter.nih.gov/search/MlTLWoalX0a_dqrSRMaQEA/project-details/1086611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mc.ncbi.nlm.nih.gov/articles/PMC8328984/" TargetMode="External"/><Relationship Id="rId2" Type="http://schemas.openxmlformats.org/officeDocument/2006/relationships/hyperlink" Target="https://donahue.umass.edu/business-groups/economic-public-policy-research/massachusetts-population-estimates-program/population-projections" TargetMode="External"/><Relationship Id="rId1" Type="http://schemas.openxmlformats.org/officeDocument/2006/relationships/hyperlink" Target="https://donahue.umass.edu/business-groups/economic-public-policy-research/massachusetts-population-estimates-program/population-projections" TargetMode="External"/><Relationship Id="rId6" Type="http://schemas.openxmlformats.org/officeDocument/2006/relationships/hyperlink" Target="https://www.lung.org/media/press-releases/solc-ma-2022" TargetMode="External"/><Relationship Id="rId5" Type="http://schemas.openxmlformats.org/officeDocument/2006/relationships/hyperlink" Target="https://www.lung.org/media/press-releases/solc-ma-2022" TargetMode="External"/><Relationship Id="rId4" Type="http://schemas.openxmlformats.org/officeDocument/2006/relationships/hyperlink" Target="https://pmc.ncbi.nlm.nih.gov/articles/PMC8328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1687</Words>
  <Characters>9622</Characters>
  <Application>Microsoft Office Word</Application>
  <DocSecurity>0</DocSecurity>
  <Lines>80</Lines>
  <Paragraphs>22</Paragraphs>
  <ScaleCrop>false</ScaleCrop>
  <Company>Commonwealth of Massachusetts</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4</cp:revision>
  <dcterms:created xsi:type="dcterms:W3CDTF">1900-01-01T06:00:00Z</dcterms:created>
  <dcterms:modified xsi:type="dcterms:W3CDTF">2025-02-11T15:16:00Z</dcterms:modified>
</cp:coreProperties>
</file>