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EB1A" w14:textId="5F6FFC2C" w:rsidR="0060745D" w:rsidRPr="00665920" w:rsidRDefault="0060745D" w:rsidP="00D45CF3">
      <w:pPr>
        <w:jc w:val="center"/>
        <w:rPr>
          <w:rFonts w:cstheme="minorHAnsi"/>
          <w:b/>
          <w:bCs/>
        </w:rPr>
      </w:pPr>
    </w:p>
    <w:p w14:paraId="26D9C4F2" w14:textId="0F5B6DB6" w:rsidR="00D45CF3" w:rsidRPr="00044A93" w:rsidRDefault="005752CA" w:rsidP="00D8144D">
      <w:pPr>
        <w:pStyle w:val="Heading1"/>
        <w:rPr>
          <w:sz w:val="24"/>
          <w:szCs w:val="24"/>
        </w:rPr>
      </w:pPr>
      <w:r w:rsidRPr="00044A93">
        <w:rPr>
          <w:sz w:val="24"/>
          <w:szCs w:val="24"/>
        </w:rPr>
        <w:t xml:space="preserve">Amendment Questions 1 </w:t>
      </w:r>
    </w:p>
    <w:p w14:paraId="0B653DC0" w14:textId="19DA0D9F" w:rsidR="00D45CF3" w:rsidRPr="00044A93" w:rsidRDefault="00D45CF3" w:rsidP="00D45CF3">
      <w:pPr>
        <w:jc w:val="center"/>
        <w:rPr>
          <w:rFonts w:cstheme="minorHAnsi"/>
          <w:sz w:val="24"/>
          <w:szCs w:val="24"/>
        </w:rPr>
      </w:pPr>
      <w:r w:rsidRPr="00044A93">
        <w:rPr>
          <w:rFonts w:cstheme="minorHAnsi"/>
          <w:i/>
          <w:iCs/>
          <w:sz w:val="24"/>
          <w:szCs w:val="24"/>
        </w:rPr>
        <w:t xml:space="preserve">Responses should be sent to </w:t>
      </w:r>
      <w:r w:rsidR="00047091" w:rsidRPr="00044A93">
        <w:rPr>
          <w:rFonts w:cstheme="minorHAnsi"/>
          <w:i/>
          <w:iCs/>
          <w:sz w:val="24"/>
          <w:szCs w:val="24"/>
        </w:rPr>
        <w:t>Determination of Need (</w:t>
      </w:r>
      <w:proofErr w:type="spellStart"/>
      <w:r w:rsidRPr="00044A93">
        <w:rPr>
          <w:rFonts w:cstheme="minorHAnsi"/>
          <w:i/>
          <w:iCs/>
          <w:sz w:val="24"/>
          <w:szCs w:val="24"/>
        </w:rPr>
        <w:t>DoN</w:t>
      </w:r>
      <w:proofErr w:type="spellEnd"/>
      <w:r w:rsidR="00047091" w:rsidRPr="00044A93">
        <w:rPr>
          <w:rFonts w:cstheme="minorHAnsi"/>
          <w:i/>
          <w:iCs/>
          <w:sz w:val="24"/>
          <w:szCs w:val="24"/>
        </w:rPr>
        <w:t>)</w:t>
      </w:r>
      <w:r w:rsidRPr="00044A93">
        <w:rPr>
          <w:rFonts w:cstheme="minorHAnsi"/>
          <w:i/>
          <w:iCs/>
          <w:sz w:val="24"/>
          <w:szCs w:val="24"/>
        </w:rPr>
        <w:t xml:space="preserve"> staff at </w:t>
      </w:r>
      <w:hyperlink r:id="rId8" w:history="1">
        <w:r w:rsidRPr="00044A93">
          <w:rPr>
            <w:rStyle w:val="Hyperlink"/>
            <w:rFonts w:cstheme="minorHAnsi"/>
            <w:sz w:val="24"/>
            <w:szCs w:val="24"/>
          </w:rPr>
          <w:t>DPH.DON@State.MA.US</w:t>
        </w:r>
      </w:hyperlink>
    </w:p>
    <w:p w14:paraId="2002DB88" w14:textId="77777777" w:rsidR="00D8144D" w:rsidRPr="00044A93" w:rsidRDefault="00D8144D" w:rsidP="00D8144D">
      <w:pPr>
        <w:rPr>
          <w:rFonts w:cstheme="minorHAnsi"/>
          <w:bCs/>
          <w:sz w:val="24"/>
          <w:szCs w:val="24"/>
        </w:rPr>
      </w:pPr>
      <w:proofErr w:type="gramStart"/>
      <w:r w:rsidRPr="00044A93">
        <w:rPr>
          <w:rFonts w:cstheme="minorHAnsi"/>
          <w:bCs/>
          <w:sz w:val="24"/>
          <w:szCs w:val="24"/>
        </w:rPr>
        <w:t>While</w:t>
      </w:r>
      <w:proofErr w:type="gramEnd"/>
      <w:r w:rsidRPr="00044A93">
        <w:rPr>
          <w:rFonts w:cstheme="minorHAnsi"/>
          <w:bCs/>
          <w:sz w:val="24"/>
          <w:szCs w:val="24"/>
        </w:rPr>
        <w:t xml:space="preserve"> you may submit each answer as available, please </w:t>
      </w:r>
    </w:p>
    <w:p w14:paraId="28ACC527" w14:textId="77777777" w:rsidR="00D8144D" w:rsidRPr="00044A93" w:rsidRDefault="00D8144D" w:rsidP="00D8144D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044A93">
        <w:rPr>
          <w:rFonts w:cstheme="minorHAnsi"/>
          <w:bCs/>
          <w:sz w:val="24"/>
          <w:szCs w:val="24"/>
        </w:rPr>
        <w:t xml:space="preserve">List question number and question for each answer you provide </w:t>
      </w:r>
    </w:p>
    <w:p w14:paraId="07142D5B" w14:textId="77777777" w:rsidR="00D8144D" w:rsidRPr="00044A93" w:rsidRDefault="00D8144D" w:rsidP="00D8144D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044A93">
        <w:rPr>
          <w:rFonts w:cstheme="minorHAnsi"/>
          <w:bCs/>
          <w:sz w:val="24"/>
          <w:szCs w:val="24"/>
        </w:rPr>
        <w:t xml:space="preserve">Submit responses as a separate word document, using the above application title and number as a running header and page numbers in the footer </w:t>
      </w:r>
    </w:p>
    <w:p w14:paraId="2C1CBAC6" w14:textId="77777777" w:rsidR="00D8144D" w:rsidRPr="00044A93" w:rsidRDefault="00D8144D" w:rsidP="00D8144D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044A93">
        <w:rPr>
          <w:rFonts w:cstheme="minorHAnsi"/>
          <w:bCs/>
          <w:sz w:val="24"/>
          <w:szCs w:val="24"/>
        </w:rPr>
        <w:t xml:space="preserve">When providing the answer to the final question, submit all questions and answers in one final document </w:t>
      </w:r>
    </w:p>
    <w:p w14:paraId="6536190A" w14:textId="6D30D5C0" w:rsidR="00D8144D" w:rsidRPr="00044A93" w:rsidRDefault="00D8144D" w:rsidP="00D8144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044A93">
        <w:rPr>
          <w:rFonts w:cstheme="minorHAnsi"/>
          <w:bCs/>
          <w:sz w:val="24"/>
          <w:szCs w:val="24"/>
        </w:rPr>
        <w:t xml:space="preserve">Submit responses in </w:t>
      </w:r>
      <w:r w:rsidR="00AA7343" w:rsidRPr="00044A93">
        <w:rPr>
          <w:rFonts w:cstheme="minorHAnsi"/>
          <w:bCs/>
          <w:sz w:val="24"/>
          <w:szCs w:val="24"/>
        </w:rPr>
        <w:t xml:space="preserve">Word </w:t>
      </w:r>
      <w:r w:rsidRPr="00044A93">
        <w:rPr>
          <w:rFonts w:cstheme="minorHAnsi"/>
          <w:bCs/>
          <w:sz w:val="24"/>
          <w:szCs w:val="24"/>
        </w:rPr>
        <w:t xml:space="preserve">or </w:t>
      </w:r>
      <w:r w:rsidR="00AA7343" w:rsidRPr="00044A93">
        <w:rPr>
          <w:rFonts w:cstheme="minorHAnsi"/>
          <w:bCs/>
          <w:sz w:val="24"/>
          <w:szCs w:val="24"/>
        </w:rPr>
        <w:t>Excel</w:t>
      </w:r>
      <w:r w:rsidRPr="00044A93">
        <w:rPr>
          <w:rFonts w:cstheme="minorHAnsi"/>
          <w:bCs/>
          <w:sz w:val="24"/>
          <w:szCs w:val="24"/>
        </w:rPr>
        <w:t xml:space="preserve">; only </w:t>
      </w:r>
      <w:proofErr w:type="gramStart"/>
      <w:r w:rsidRPr="00044A93">
        <w:rPr>
          <w:rFonts w:cstheme="minorHAnsi"/>
          <w:bCs/>
          <w:sz w:val="24"/>
          <w:szCs w:val="24"/>
        </w:rPr>
        <w:t xml:space="preserve">use </w:t>
      </w:r>
      <w:r w:rsidR="00AA7343" w:rsidRPr="00044A93">
        <w:rPr>
          <w:rFonts w:cstheme="minorHAnsi"/>
          <w:bCs/>
          <w:sz w:val="24"/>
          <w:szCs w:val="24"/>
        </w:rPr>
        <w:t>.pdf’s</w:t>
      </w:r>
      <w:proofErr w:type="gramEnd"/>
      <w:r w:rsidR="00AA7343" w:rsidRPr="00044A93">
        <w:rPr>
          <w:rFonts w:cstheme="minorHAnsi"/>
          <w:bCs/>
          <w:sz w:val="24"/>
          <w:szCs w:val="24"/>
        </w:rPr>
        <w:t xml:space="preserve"> </w:t>
      </w:r>
      <w:r w:rsidRPr="00044A93">
        <w:rPr>
          <w:rFonts w:cstheme="minorHAnsi"/>
          <w:bCs/>
          <w:sz w:val="24"/>
          <w:szCs w:val="24"/>
        </w:rPr>
        <w:t xml:space="preserve">if </w:t>
      </w:r>
      <w:proofErr w:type="gramStart"/>
      <w:r w:rsidRPr="00044A93">
        <w:rPr>
          <w:rFonts w:cstheme="minorHAnsi"/>
          <w:bCs/>
          <w:sz w:val="24"/>
          <w:szCs w:val="24"/>
        </w:rPr>
        <w:t>absolutely necessary</w:t>
      </w:r>
      <w:proofErr w:type="gramEnd"/>
      <w:r w:rsidRPr="00044A93">
        <w:rPr>
          <w:rFonts w:cstheme="minorHAnsi"/>
          <w:bCs/>
          <w:sz w:val="24"/>
          <w:szCs w:val="24"/>
        </w:rPr>
        <w:t xml:space="preserve">. If “cutting and pasting” charts, provide them in a </w:t>
      </w:r>
      <w:r w:rsidR="00AA7343" w:rsidRPr="00044A93">
        <w:rPr>
          <w:rFonts w:cstheme="minorHAnsi"/>
          <w:bCs/>
          <w:sz w:val="24"/>
          <w:szCs w:val="24"/>
        </w:rPr>
        <w:t xml:space="preserve">.pdf </w:t>
      </w:r>
      <w:r w:rsidRPr="00044A93">
        <w:rPr>
          <w:rFonts w:cstheme="minorHAnsi"/>
          <w:bCs/>
          <w:sz w:val="24"/>
          <w:szCs w:val="24"/>
        </w:rPr>
        <w:t>so they can be clearly seen</w:t>
      </w:r>
    </w:p>
    <w:p w14:paraId="67E6D5E6" w14:textId="77777777" w:rsidR="00D8144D" w:rsidRPr="00044A93" w:rsidRDefault="00D8144D" w:rsidP="00D8144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044A93">
        <w:rPr>
          <w:rFonts w:cstheme="minorHAnsi"/>
          <w:b/>
          <w:sz w:val="24"/>
          <w:szCs w:val="24"/>
        </w:rPr>
        <w:t>Whenever possible, include a table with the response</w:t>
      </w:r>
    </w:p>
    <w:p w14:paraId="0A81B0B9" w14:textId="753BD67E" w:rsidR="0066604A" w:rsidRPr="00044A93" w:rsidRDefault="00D8144D" w:rsidP="00D8144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044A93">
        <w:rPr>
          <w:rFonts w:cstheme="minorHAnsi"/>
          <w:b/>
          <w:sz w:val="24"/>
          <w:szCs w:val="24"/>
        </w:rPr>
        <w:t xml:space="preserve">For </w:t>
      </w:r>
      <w:r w:rsidR="008833E4" w:rsidRPr="008833E4">
        <w:rPr>
          <w:rFonts w:cstheme="minorHAnsi"/>
          <w:b/>
          <w:sz w:val="24"/>
          <w:szCs w:val="24"/>
        </w:rPr>
        <w:t>Health Insurance Portability and Accountability Act</w:t>
      </w:r>
      <w:r w:rsidR="008833E4">
        <w:rPr>
          <w:rFonts w:cstheme="minorHAnsi"/>
          <w:b/>
          <w:sz w:val="24"/>
          <w:szCs w:val="24"/>
        </w:rPr>
        <w:t xml:space="preserve"> (</w:t>
      </w:r>
      <w:r w:rsidRPr="00044A93">
        <w:rPr>
          <w:rFonts w:cstheme="minorHAnsi"/>
          <w:b/>
          <w:sz w:val="24"/>
          <w:szCs w:val="24"/>
        </w:rPr>
        <w:t>HIPAA</w:t>
      </w:r>
      <w:r w:rsidR="008833E4">
        <w:rPr>
          <w:rFonts w:cstheme="minorHAnsi"/>
          <w:b/>
          <w:sz w:val="24"/>
          <w:szCs w:val="24"/>
        </w:rPr>
        <w:t>)</w:t>
      </w:r>
      <w:r w:rsidRPr="00044A93">
        <w:rPr>
          <w:rFonts w:cstheme="minorHAnsi"/>
          <w:b/>
          <w:sz w:val="24"/>
          <w:szCs w:val="24"/>
        </w:rPr>
        <w:t xml:space="preserve"> compliance Do not include numbers &lt;11.</w:t>
      </w:r>
    </w:p>
    <w:p w14:paraId="6D6BABDE" w14:textId="77777777" w:rsidR="00D8144D" w:rsidRPr="00044A93" w:rsidRDefault="00D8144D" w:rsidP="00D8144D">
      <w:pPr>
        <w:pStyle w:val="ListParagraph"/>
        <w:rPr>
          <w:rFonts w:cstheme="minorHAnsi"/>
          <w:b/>
          <w:sz w:val="24"/>
          <w:szCs w:val="24"/>
        </w:rPr>
      </w:pPr>
    </w:p>
    <w:p w14:paraId="0D426B38" w14:textId="371D7976" w:rsidR="0019757B" w:rsidRPr="00044A93" w:rsidRDefault="00603A6D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>Please provide payer mix (percents)</w:t>
      </w:r>
      <w:r w:rsidR="00DD0575" w:rsidRPr="00044A93">
        <w:rPr>
          <w:sz w:val="24"/>
          <w:szCs w:val="24"/>
        </w:rPr>
        <w:t xml:space="preserve"> for 2022 to 2025</w:t>
      </w:r>
      <w:r w:rsidRPr="00044A93">
        <w:rPr>
          <w:sz w:val="24"/>
          <w:szCs w:val="24"/>
        </w:rPr>
        <w:t xml:space="preserve">, according to the following categories. Include a definition for the category “Other” if included. </w:t>
      </w:r>
      <w:r w:rsidR="0019757B" w:rsidRPr="00044A93">
        <w:rPr>
          <w:sz w:val="24"/>
          <w:szCs w:val="24"/>
        </w:rPr>
        <w:br/>
      </w:r>
    </w:p>
    <w:p w14:paraId="045B92B3" w14:textId="19923C61" w:rsidR="00603A6D" w:rsidRPr="00044A93" w:rsidRDefault="00977F09" w:rsidP="00977F09">
      <w:pPr>
        <w:ind w:left="720"/>
        <w:rPr>
          <w:rFonts w:cstheme="minorHAnsi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proofErr w:type="gramStart"/>
      <w:r w:rsidRPr="00044A93">
        <w:rPr>
          <w:rFonts w:cstheme="minorHAnsi"/>
          <w:sz w:val="24"/>
          <w:szCs w:val="24"/>
        </w:rPr>
        <w:t xml:space="preserve">:  </w:t>
      </w:r>
      <w:r w:rsidR="00CF122C" w:rsidRPr="00044A93">
        <w:rPr>
          <w:rFonts w:cstheme="minorHAnsi"/>
          <w:sz w:val="24"/>
          <w:szCs w:val="24"/>
        </w:rPr>
        <w:t>Please</w:t>
      </w:r>
      <w:proofErr w:type="gramEnd"/>
      <w:r w:rsidR="00CF122C" w:rsidRPr="00044A93">
        <w:rPr>
          <w:rFonts w:cstheme="minorHAnsi"/>
          <w:sz w:val="24"/>
          <w:szCs w:val="24"/>
        </w:rPr>
        <w:t xml:space="preserve"> see </w:t>
      </w:r>
      <w:r w:rsidR="00A26FA2" w:rsidRPr="00044A93">
        <w:rPr>
          <w:rFonts w:cstheme="minorHAnsi"/>
          <w:sz w:val="24"/>
          <w:szCs w:val="24"/>
        </w:rPr>
        <w:t xml:space="preserve">the </w:t>
      </w:r>
      <w:r w:rsidR="00CF122C" w:rsidRPr="00044A93">
        <w:rPr>
          <w:rFonts w:cstheme="minorHAnsi"/>
          <w:sz w:val="24"/>
          <w:szCs w:val="24"/>
        </w:rPr>
        <w:t xml:space="preserve">updated table as requested below with payer mix percents for 2022 to 2025. </w:t>
      </w:r>
      <w:r w:rsidR="007221A1" w:rsidRPr="00044A93">
        <w:rPr>
          <w:rFonts w:cstheme="minorHAnsi"/>
          <w:sz w:val="24"/>
          <w:szCs w:val="24"/>
        </w:rPr>
        <w:t>The Applicant has included the following insurance categories in "Other"</w:t>
      </w:r>
      <w:r w:rsidR="00CF122C" w:rsidRPr="00044A93">
        <w:rPr>
          <w:rFonts w:cstheme="minorHAnsi"/>
          <w:sz w:val="24"/>
          <w:szCs w:val="24"/>
        </w:rPr>
        <w:t xml:space="preserve"> category</w:t>
      </w:r>
      <w:r w:rsidR="007221A1" w:rsidRPr="00044A93">
        <w:rPr>
          <w:rFonts w:cstheme="minorHAnsi"/>
          <w:sz w:val="24"/>
          <w:szCs w:val="24"/>
        </w:rPr>
        <w:t>: Veterans Administration. Tricare, Federal Employee health benefits, and workers compensation plans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Payer mix percents for 2022 to 2025"/>
      </w:tblPr>
      <w:tblGrid>
        <w:gridCol w:w="3296"/>
        <w:gridCol w:w="1080"/>
        <w:gridCol w:w="990"/>
        <w:gridCol w:w="1070"/>
        <w:gridCol w:w="1530"/>
      </w:tblGrid>
      <w:tr w:rsidR="006977C7" w:rsidRPr="00044A93" w14:paraId="3383F136" w14:textId="77777777" w:rsidTr="00F4743A">
        <w:trPr>
          <w:cantSplit/>
          <w:trHeight w:val="389"/>
          <w:tblHeader/>
        </w:trPr>
        <w:tc>
          <w:tcPr>
            <w:tcW w:w="3296" w:type="dxa"/>
          </w:tcPr>
          <w:p w14:paraId="3542AF76" w14:textId="77777777" w:rsidR="006977C7" w:rsidRPr="00044A93" w:rsidRDefault="006977C7" w:rsidP="000B5297">
            <w:pPr>
              <w:pStyle w:val="BodyText"/>
              <w:jc w:val="both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Payer Mix</w:t>
            </w:r>
          </w:p>
        </w:tc>
        <w:tc>
          <w:tcPr>
            <w:tcW w:w="1080" w:type="dxa"/>
          </w:tcPr>
          <w:p w14:paraId="5A520407" w14:textId="77777777" w:rsidR="006977C7" w:rsidRPr="00044A93" w:rsidRDefault="006977C7" w:rsidP="000B529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2022</w:t>
            </w:r>
          </w:p>
        </w:tc>
        <w:tc>
          <w:tcPr>
            <w:tcW w:w="990" w:type="dxa"/>
          </w:tcPr>
          <w:p w14:paraId="1771694C" w14:textId="77777777" w:rsidR="006977C7" w:rsidRPr="00044A93" w:rsidRDefault="006977C7" w:rsidP="000B529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2023</w:t>
            </w:r>
          </w:p>
        </w:tc>
        <w:tc>
          <w:tcPr>
            <w:tcW w:w="1070" w:type="dxa"/>
          </w:tcPr>
          <w:p w14:paraId="74E13989" w14:textId="77777777" w:rsidR="006977C7" w:rsidRPr="00044A93" w:rsidRDefault="006977C7" w:rsidP="000B529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2024</w:t>
            </w:r>
          </w:p>
        </w:tc>
        <w:tc>
          <w:tcPr>
            <w:tcW w:w="1530" w:type="dxa"/>
          </w:tcPr>
          <w:p w14:paraId="7F692E0F" w14:textId="77777777" w:rsidR="006977C7" w:rsidRPr="00044A93" w:rsidRDefault="006977C7" w:rsidP="000B529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2025</w:t>
            </w:r>
          </w:p>
          <w:p w14:paraId="0118E7DE" w14:textId="77777777" w:rsidR="006977C7" w:rsidRPr="00044A93" w:rsidRDefault="006977C7" w:rsidP="000B5297">
            <w:pPr>
              <w:pStyle w:val="BodyText"/>
              <w:ind w:right="12"/>
              <w:jc w:val="center"/>
              <w:rPr>
                <w:rFonts w:asciiTheme="minorHAnsi" w:hAnsiTheme="minorHAnsi"/>
                <w:i/>
                <w:i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i/>
                <w:iCs/>
                <w:spacing w:val="-1"/>
                <w:sz w:val="24"/>
                <w:szCs w:val="24"/>
              </w:rPr>
              <w:t>(9 months annualized)</w:t>
            </w:r>
          </w:p>
        </w:tc>
      </w:tr>
      <w:tr w:rsidR="00B030E3" w:rsidRPr="00044A93" w14:paraId="1790961E" w14:textId="77777777" w:rsidTr="00F7222D">
        <w:trPr>
          <w:cantSplit/>
        </w:trPr>
        <w:tc>
          <w:tcPr>
            <w:tcW w:w="3296" w:type="dxa"/>
          </w:tcPr>
          <w:p w14:paraId="591E0B4B" w14:textId="77777777" w:rsidR="00B030E3" w:rsidRPr="00044A93" w:rsidRDefault="00B030E3" w:rsidP="000B5297">
            <w:pPr>
              <w:pStyle w:val="BodyTex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Commercial Medicare (Private Medicare/Medicare Advantage)</w:t>
            </w:r>
          </w:p>
        </w:tc>
        <w:tc>
          <w:tcPr>
            <w:tcW w:w="1080" w:type="dxa"/>
          </w:tcPr>
          <w:p w14:paraId="70A41389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20.8%</w:t>
            </w:r>
          </w:p>
        </w:tc>
        <w:tc>
          <w:tcPr>
            <w:tcW w:w="990" w:type="dxa"/>
          </w:tcPr>
          <w:p w14:paraId="618E600F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22.4%</w:t>
            </w:r>
          </w:p>
        </w:tc>
        <w:tc>
          <w:tcPr>
            <w:tcW w:w="1070" w:type="dxa"/>
          </w:tcPr>
          <w:p w14:paraId="2E0811DE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27.0%</w:t>
            </w:r>
          </w:p>
        </w:tc>
        <w:tc>
          <w:tcPr>
            <w:tcW w:w="1530" w:type="dxa"/>
          </w:tcPr>
          <w:p w14:paraId="06A23324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26.0%</w:t>
            </w:r>
          </w:p>
        </w:tc>
      </w:tr>
      <w:tr w:rsidR="00B030E3" w:rsidRPr="00044A93" w14:paraId="669EB1AD" w14:textId="77777777" w:rsidTr="00F7222D">
        <w:trPr>
          <w:cantSplit/>
        </w:trPr>
        <w:tc>
          <w:tcPr>
            <w:tcW w:w="3296" w:type="dxa"/>
          </w:tcPr>
          <w:p w14:paraId="0AF3BCF5" w14:textId="191EF390" w:rsidR="00B030E3" w:rsidRPr="00044A93" w:rsidRDefault="00B030E3" w:rsidP="000B5297">
            <w:pPr>
              <w:pStyle w:val="BodyTex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Medicare </w:t>
            </w:r>
            <w:r w:rsidR="003C156F">
              <w:rPr>
                <w:rFonts w:asciiTheme="minorHAnsi" w:hAnsiTheme="minorHAnsi"/>
                <w:spacing w:val="-1"/>
                <w:sz w:val="24"/>
                <w:szCs w:val="24"/>
              </w:rPr>
              <w:t>Fee-For-Service (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FFS</w:t>
            </w:r>
            <w:r w:rsidR="003C156F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43A4B428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39.2%</w:t>
            </w:r>
          </w:p>
        </w:tc>
        <w:tc>
          <w:tcPr>
            <w:tcW w:w="990" w:type="dxa"/>
          </w:tcPr>
          <w:p w14:paraId="20A0425E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38.0%</w:t>
            </w:r>
          </w:p>
        </w:tc>
        <w:tc>
          <w:tcPr>
            <w:tcW w:w="1070" w:type="dxa"/>
          </w:tcPr>
          <w:p w14:paraId="3F1ECFD6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36.9%</w:t>
            </w:r>
          </w:p>
        </w:tc>
        <w:tc>
          <w:tcPr>
            <w:tcW w:w="1530" w:type="dxa"/>
          </w:tcPr>
          <w:p w14:paraId="1C182DB8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37.9%</w:t>
            </w:r>
          </w:p>
        </w:tc>
      </w:tr>
      <w:tr w:rsidR="00B030E3" w:rsidRPr="00044A93" w14:paraId="7E45B899" w14:textId="77777777" w:rsidTr="00F7222D">
        <w:trPr>
          <w:cantSplit/>
        </w:trPr>
        <w:tc>
          <w:tcPr>
            <w:tcW w:w="3296" w:type="dxa"/>
          </w:tcPr>
          <w:p w14:paraId="60258143" w14:textId="7FEACC76" w:rsidR="00B030E3" w:rsidRPr="00044A93" w:rsidRDefault="00B030E3" w:rsidP="000B5297">
            <w:pPr>
              <w:pStyle w:val="BodyTex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Managed Medicaid (Private Medicaid/Medicaid </w:t>
            </w:r>
            <w:r w:rsidR="00E66372">
              <w:rPr>
                <w:rFonts w:asciiTheme="minorHAnsi" w:hAnsiTheme="minorHAnsi"/>
                <w:spacing w:val="-1"/>
                <w:sz w:val="24"/>
                <w:szCs w:val="24"/>
              </w:rPr>
              <w:t>Managed Care Organizations (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MCOs</w:t>
            </w:r>
            <w:r w:rsidR="00E66372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19DCCC6C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8.7%</w:t>
            </w:r>
          </w:p>
        </w:tc>
        <w:tc>
          <w:tcPr>
            <w:tcW w:w="990" w:type="dxa"/>
          </w:tcPr>
          <w:p w14:paraId="469AFFFC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8.2%</w:t>
            </w:r>
          </w:p>
        </w:tc>
        <w:tc>
          <w:tcPr>
            <w:tcW w:w="1070" w:type="dxa"/>
          </w:tcPr>
          <w:p w14:paraId="435B3B97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7.2%</w:t>
            </w:r>
          </w:p>
        </w:tc>
        <w:tc>
          <w:tcPr>
            <w:tcW w:w="1530" w:type="dxa"/>
          </w:tcPr>
          <w:p w14:paraId="1E09EFEA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7.6%</w:t>
            </w:r>
          </w:p>
        </w:tc>
      </w:tr>
      <w:tr w:rsidR="00B030E3" w:rsidRPr="00044A93" w14:paraId="7A73C523" w14:textId="77777777" w:rsidTr="00F7222D">
        <w:trPr>
          <w:cantSplit/>
        </w:trPr>
        <w:tc>
          <w:tcPr>
            <w:tcW w:w="3296" w:type="dxa"/>
          </w:tcPr>
          <w:p w14:paraId="62756E96" w14:textId="77777777" w:rsidR="00B030E3" w:rsidRPr="00044A93" w:rsidRDefault="00B030E3" w:rsidP="000B5297">
            <w:pPr>
              <w:pStyle w:val="BodyTex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MassHealth</w:t>
            </w:r>
          </w:p>
        </w:tc>
        <w:tc>
          <w:tcPr>
            <w:tcW w:w="1080" w:type="dxa"/>
          </w:tcPr>
          <w:p w14:paraId="4E206C0C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5.2%</w:t>
            </w:r>
          </w:p>
        </w:tc>
        <w:tc>
          <w:tcPr>
            <w:tcW w:w="990" w:type="dxa"/>
          </w:tcPr>
          <w:p w14:paraId="4CDDF65B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3.8%</w:t>
            </w:r>
          </w:p>
        </w:tc>
        <w:tc>
          <w:tcPr>
            <w:tcW w:w="1070" w:type="dxa"/>
          </w:tcPr>
          <w:p w14:paraId="7A40CD68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3.0%</w:t>
            </w:r>
          </w:p>
        </w:tc>
        <w:tc>
          <w:tcPr>
            <w:tcW w:w="1530" w:type="dxa"/>
          </w:tcPr>
          <w:p w14:paraId="23151282" w14:textId="77777777" w:rsidR="00B030E3" w:rsidRPr="00044A93" w:rsidRDefault="00B030E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3.2%</w:t>
            </w:r>
          </w:p>
        </w:tc>
      </w:tr>
      <w:tr w:rsidR="006C4DEE" w:rsidRPr="00044A93" w14:paraId="629AC942" w14:textId="77777777" w:rsidTr="00F7222D">
        <w:trPr>
          <w:cantSplit/>
        </w:trPr>
        <w:tc>
          <w:tcPr>
            <w:tcW w:w="3296" w:type="dxa"/>
          </w:tcPr>
          <w:p w14:paraId="066FAEB3" w14:textId="4AA2E659" w:rsidR="006C4DEE" w:rsidRPr="00044A93" w:rsidRDefault="006C4DEE" w:rsidP="006C4DEE">
            <w:pPr>
              <w:pStyle w:val="BodyTex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Commercial (</w:t>
            </w:r>
            <w:r w:rsidR="00EA1C10">
              <w:rPr>
                <w:rFonts w:asciiTheme="minorHAnsi" w:hAnsiTheme="minorHAnsi"/>
                <w:spacing w:val="-1"/>
                <w:sz w:val="24"/>
                <w:szCs w:val="24"/>
              </w:rPr>
              <w:t>Preferred Provider Organization (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PPO</w:t>
            </w:r>
            <w:r w:rsidR="00EA1C10">
              <w:rPr>
                <w:rFonts w:asciiTheme="minorHAnsi" w:hAnsiTheme="minorHAnsi"/>
                <w:spacing w:val="-1"/>
                <w:sz w:val="24"/>
                <w:szCs w:val="24"/>
              </w:rPr>
              <w:t>)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/</w:t>
            </w:r>
            <w:r w:rsidR="00A2011E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Indemnity and </w:t>
            </w:r>
            <w:r w:rsidR="00A2011E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Health Maintenance Organization </w:t>
            </w:r>
            <w:r w:rsidR="002E176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Point of Service </w:t>
            </w:r>
            <w:r w:rsidR="00A2011E">
              <w:rPr>
                <w:rFonts w:asciiTheme="minorHAnsi" w:hAnsiTheme="minorHAnsi"/>
                <w:spacing w:val="-1"/>
                <w:sz w:val="24"/>
                <w:szCs w:val="24"/>
              </w:rPr>
              <w:t>(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HMO</w:t>
            </w:r>
            <w:r w:rsidR="002E176B">
              <w:rPr>
                <w:rFonts w:asciiTheme="minorHAnsi" w:hAnsiTheme="minorHAnsi"/>
                <w:spacing w:val="-1"/>
                <w:sz w:val="24"/>
                <w:szCs w:val="24"/>
              </w:rPr>
              <w:t>/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POS)</w:t>
            </w:r>
          </w:p>
        </w:tc>
        <w:tc>
          <w:tcPr>
            <w:tcW w:w="1080" w:type="dxa"/>
          </w:tcPr>
          <w:p w14:paraId="058DB337" w14:textId="693E7B00" w:rsidR="006C4DEE" w:rsidRPr="00044A93" w:rsidRDefault="006C4DE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21</w:t>
            </w:r>
            <w:r w:rsidR="001F31BE" w:rsidRPr="00044A93">
              <w:rPr>
                <w:rFonts w:asciiTheme="minorHAnsi" w:hAnsiTheme="minorHAnsi"/>
                <w:spacing w:val="-1"/>
                <w:sz w:val="24"/>
                <w:szCs w:val="24"/>
              </w:rPr>
              <w:t>.2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28210293" w14:textId="0E0B8F1B" w:rsidR="006C4DEE" w:rsidRPr="00044A93" w:rsidRDefault="006C4DE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22</w:t>
            </w:r>
            <w:r w:rsidR="001F31BE" w:rsidRPr="00044A93">
              <w:rPr>
                <w:rFonts w:asciiTheme="minorHAnsi" w:hAnsiTheme="minorHAnsi"/>
                <w:spacing w:val="-1"/>
                <w:sz w:val="24"/>
                <w:szCs w:val="24"/>
              </w:rPr>
              <w:t>.2</w:t>
            </w: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%</w:t>
            </w:r>
          </w:p>
        </w:tc>
        <w:tc>
          <w:tcPr>
            <w:tcW w:w="1070" w:type="dxa"/>
          </w:tcPr>
          <w:p w14:paraId="156C80B8" w14:textId="37E6D7DB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21.2%</w:t>
            </w:r>
          </w:p>
        </w:tc>
        <w:tc>
          <w:tcPr>
            <w:tcW w:w="1530" w:type="dxa"/>
          </w:tcPr>
          <w:p w14:paraId="7E92D8F9" w14:textId="0BCEC375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20.5%</w:t>
            </w:r>
          </w:p>
        </w:tc>
      </w:tr>
      <w:tr w:rsidR="006C4DEE" w:rsidRPr="00044A93" w14:paraId="0B199EC9" w14:textId="77777777" w:rsidTr="00F7222D">
        <w:trPr>
          <w:cantSplit/>
        </w:trPr>
        <w:tc>
          <w:tcPr>
            <w:tcW w:w="3296" w:type="dxa"/>
          </w:tcPr>
          <w:p w14:paraId="6727CC1B" w14:textId="19C1E5C0" w:rsidR="006C4DEE" w:rsidRPr="00044A93" w:rsidRDefault="006C4DEE" w:rsidP="006C4DEE">
            <w:pPr>
              <w:pStyle w:val="BodyText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1080" w:type="dxa"/>
          </w:tcPr>
          <w:p w14:paraId="7CCE0D8F" w14:textId="7C042158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4.9</w:t>
            </w:r>
            <w:r w:rsidR="006C4DEE" w:rsidRPr="00044A93">
              <w:rPr>
                <w:rFonts w:asciiTheme="minorHAnsi" w:hAnsiTheme="minorHAnsi"/>
                <w:spacing w:val="-1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07EB1A6B" w14:textId="194FE5C8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5.4</w:t>
            </w:r>
            <w:r w:rsidR="006C4DEE" w:rsidRPr="00044A93">
              <w:rPr>
                <w:rFonts w:asciiTheme="minorHAnsi" w:hAnsiTheme="minorHAnsi"/>
                <w:spacing w:val="-1"/>
                <w:sz w:val="24"/>
                <w:szCs w:val="24"/>
              </w:rPr>
              <w:t>%</w:t>
            </w:r>
          </w:p>
        </w:tc>
        <w:tc>
          <w:tcPr>
            <w:tcW w:w="1070" w:type="dxa"/>
          </w:tcPr>
          <w:p w14:paraId="61612AE6" w14:textId="022F7EDC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4.7%</w:t>
            </w:r>
          </w:p>
        </w:tc>
        <w:tc>
          <w:tcPr>
            <w:tcW w:w="1530" w:type="dxa"/>
          </w:tcPr>
          <w:p w14:paraId="67B7A3F3" w14:textId="1F1D5874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4.8%</w:t>
            </w:r>
          </w:p>
        </w:tc>
      </w:tr>
      <w:tr w:rsidR="006C4DEE" w:rsidRPr="00044A93" w14:paraId="1FC8C85E" w14:textId="77777777" w:rsidTr="00F7222D">
        <w:trPr>
          <w:cantSplit/>
        </w:trPr>
        <w:tc>
          <w:tcPr>
            <w:tcW w:w="3296" w:type="dxa"/>
          </w:tcPr>
          <w:p w14:paraId="14CBE7A3" w14:textId="77777777" w:rsidR="006C4DEE" w:rsidRPr="00044A93" w:rsidRDefault="006C4DEE" w:rsidP="006C4DEE">
            <w:pPr>
              <w:pStyle w:val="BodyText"/>
              <w:jc w:val="both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14:paraId="6D820CF6" w14:textId="27F5FC54" w:rsidR="006C4DEE" w:rsidRPr="00044A93" w:rsidRDefault="006C4DE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100</w:t>
            </w:r>
            <w:r w:rsidR="001F31BE"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.0</w:t>
            </w: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313834C6" w14:textId="11B224AA" w:rsidR="006C4DEE" w:rsidRPr="00044A93" w:rsidRDefault="006C4DE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100</w:t>
            </w:r>
            <w:r w:rsidR="001F31BE"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.0</w:t>
            </w: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%</w:t>
            </w:r>
          </w:p>
        </w:tc>
        <w:tc>
          <w:tcPr>
            <w:tcW w:w="1070" w:type="dxa"/>
          </w:tcPr>
          <w:p w14:paraId="544D7010" w14:textId="39056C46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100.0%</w:t>
            </w:r>
          </w:p>
        </w:tc>
        <w:tc>
          <w:tcPr>
            <w:tcW w:w="1530" w:type="dxa"/>
          </w:tcPr>
          <w:p w14:paraId="39D0F160" w14:textId="6C709E2F" w:rsidR="006C4DEE" w:rsidRPr="00044A93" w:rsidRDefault="001F31BE" w:rsidP="006C4DEE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100.0%</w:t>
            </w:r>
          </w:p>
        </w:tc>
      </w:tr>
    </w:tbl>
    <w:p w14:paraId="22132076" w14:textId="77777777" w:rsidR="006977C7" w:rsidRPr="00044A93" w:rsidRDefault="006977C7" w:rsidP="00603A6D">
      <w:pPr>
        <w:ind w:left="720"/>
        <w:contextualSpacing/>
        <w:rPr>
          <w:rFonts w:cstheme="minorHAnsi"/>
          <w:sz w:val="24"/>
          <w:szCs w:val="24"/>
        </w:rPr>
      </w:pPr>
    </w:p>
    <w:p w14:paraId="2B38F2B3" w14:textId="3F746CEF" w:rsidR="00603A6D" w:rsidRPr="00044A93" w:rsidRDefault="00DB1090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 xml:space="preserve">Please confirm cities and towns used to calculate </w:t>
      </w:r>
      <w:r w:rsidR="00EA65B4" w:rsidRPr="00044A93">
        <w:rPr>
          <w:sz w:val="24"/>
          <w:szCs w:val="24"/>
        </w:rPr>
        <w:t xml:space="preserve">Applicant’s </w:t>
      </w:r>
      <w:r w:rsidR="00E055B3" w:rsidRPr="00044A93">
        <w:rPr>
          <w:sz w:val="24"/>
          <w:szCs w:val="24"/>
        </w:rPr>
        <w:t>forecasted</w:t>
      </w:r>
      <w:r w:rsidR="00EA65B4" w:rsidRPr="00044A93">
        <w:rPr>
          <w:sz w:val="24"/>
          <w:szCs w:val="24"/>
        </w:rPr>
        <w:t xml:space="preserve"> </w:t>
      </w:r>
      <w:r w:rsidR="002E176B">
        <w:rPr>
          <w:sz w:val="24"/>
          <w:szCs w:val="24"/>
        </w:rPr>
        <w:t>Primary Service Area (</w:t>
      </w:r>
      <w:r w:rsidR="00EA65B4" w:rsidRPr="00044A93">
        <w:rPr>
          <w:sz w:val="24"/>
          <w:szCs w:val="24"/>
        </w:rPr>
        <w:t>PSA</w:t>
      </w:r>
      <w:r w:rsidR="002E176B">
        <w:rPr>
          <w:sz w:val="24"/>
          <w:szCs w:val="24"/>
        </w:rPr>
        <w:t>)</w:t>
      </w:r>
      <w:r w:rsidR="00EA65B4" w:rsidRPr="00044A93">
        <w:rPr>
          <w:sz w:val="24"/>
          <w:szCs w:val="24"/>
        </w:rPr>
        <w:t xml:space="preserve"> from the UMass Donahue </w:t>
      </w:r>
      <w:r w:rsidR="00E055B3" w:rsidRPr="00044A93">
        <w:rPr>
          <w:sz w:val="24"/>
          <w:szCs w:val="24"/>
        </w:rPr>
        <w:t>V2024 Population Projections so that staff can</w:t>
      </w:r>
      <w:r w:rsidR="00DE0BD0" w:rsidRPr="00044A93">
        <w:rPr>
          <w:sz w:val="24"/>
          <w:szCs w:val="24"/>
        </w:rPr>
        <w:t xml:space="preserve"> also calculate</w:t>
      </w:r>
      <w:r w:rsidR="00E055B3" w:rsidRPr="00044A93">
        <w:rPr>
          <w:sz w:val="24"/>
          <w:szCs w:val="24"/>
        </w:rPr>
        <w:t xml:space="preserve"> the projections. </w:t>
      </w:r>
    </w:p>
    <w:p w14:paraId="53F09D82" w14:textId="1EA03C1E" w:rsidR="0019757B" w:rsidRPr="00044A93" w:rsidRDefault="006E7FD4" w:rsidP="006E7FD4">
      <w:pPr>
        <w:ind w:left="720"/>
        <w:contextualSpacing/>
        <w:rPr>
          <w:rFonts w:cstheme="minorHAnsi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proofErr w:type="gramStart"/>
      <w:r w:rsidRPr="00044A93">
        <w:rPr>
          <w:rFonts w:cstheme="minorHAnsi"/>
          <w:sz w:val="24"/>
          <w:szCs w:val="24"/>
        </w:rPr>
        <w:t xml:space="preserve">:  </w:t>
      </w:r>
      <w:r w:rsidR="0019757B" w:rsidRPr="00044A93">
        <w:rPr>
          <w:rFonts w:cstheme="minorHAnsi"/>
          <w:sz w:val="24"/>
          <w:szCs w:val="24"/>
        </w:rPr>
        <w:t>The</w:t>
      </w:r>
      <w:proofErr w:type="gramEnd"/>
      <w:r w:rsidR="0019757B" w:rsidRPr="00044A93">
        <w:rPr>
          <w:rFonts w:cstheme="minorHAnsi"/>
          <w:sz w:val="24"/>
          <w:szCs w:val="24"/>
        </w:rPr>
        <w:t xml:space="preserve"> Applicant used the cities and towns </w:t>
      </w:r>
      <w:r w:rsidR="00535EC3" w:rsidRPr="00044A93">
        <w:rPr>
          <w:rFonts w:cstheme="minorHAnsi"/>
          <w:sz w:val="24"/>
          <w:szCs w:val="24"/>
        </w:rPr>
        <w:t xml:space="preserve">reported on page 4 of the DON Narrative as the Applicant's PSA </w:t>
      </w:r>
      <w:r w:rsidR="00A26FA2" w:rsidRPr="00044A93">
        <w:rPr>
          <w:rFonts w:cstheme="minorHAnsi"/>
          <w:sz w:val="24"/>
          <w:szCs w:val="24"/>
        </w:rPr>
        <w:t>for</w:t>
      </w:r>
      <w:r w:rsidR="00535EC3" w:rsidRPr="00044A93">
        <w:rPr>
          <w:rFonts w:cstheme="minorHAnsi"/>
          <w:sz w:val="24"/>
          <w:szCs w:val="24"/>
        </w:rPr>
        <w:t xml:space="preserve"> </w:t>
      </w:r>
      <w:r w:rsidR="00A26FA2" w:rsidRPr="00044A93">
        <w:rPr>
          <w:rFonts w:cstheme="minorHAnsi"/>
          <w:sz w:val="24"/>
          <w:szCs w:val="24"/>
        </w:rPr>
        <w:t>calculating the</w:t>
      </w:r>
      <w:r w:rsidR="00535EC3" w:rsidRPr="00044A93">
        <w:rPr>
          <w:rFonts w:cstheme="minorHAnsi"/>
          <w:sz w:val="24"/>
          <w:szCs w:val="24"/>
        </w:rPr>
        <w:t xml:space="preserve"> forecasted PSA from the UMass Donahue V2024 Population Projections on page 7 of the DON Narrative.  Feeding </w:t>
      </w:r>
      <w:proofErr w:type="gramStart"/>
      <w:r w:rsidR="00535EC3" w:rsidRPr="00044A93">
        <w:rPr>
          <w:rFonts w:cstheme="minorHAnsi"/>
          <w:sz w:val="24"/>
          <w:szCs w:val="24"/>
        </w:rPr>
        <w:t>Hills,</w:t>
      </w:r>
      <w:proofErr w:type="gramEnd"/>
      <w:r w:rsidR="00535EC3" w:rsidRPr="00044A93">
        <w:rPr>
          <w:rFonts w:cstheme="minorHAnsi"/>
          <w:sz w:val="24"/>
          <w:szCs w:val="24"/>
        </w:rPr>
        <w:t xml:space="preserve"> was listed in the </w:t>
      </w:r>
      <w:r w:rsidR="004D0318" w:rsidRPr="00044A93">
        <w:rPr>
          <w:rFonts w:cstheme="minorHAnsi"/>
          <w:sz w:val="24"/>
          <w:szCs w:val="24"/>
        </w:rPr>
        <w:t xml:space="preserve">PSA </w:t>
      </w:r>
      <w:r w:rsidR="00535EC3" w:rsidRPr="00044A93">
        <w:rPr>
          <w:rFonts w:cstheme="minorHAnsi"/>
          <w:sz w:val="24"/>
          <w:szCs w:val="24"/>
        </w:rPr>
        <w:t>list on page 4</w:t>
      </w:r>
      <w:r w:rsidR="004D0318" w:rsidRPr="00044A93">
        <w:rPr>
          <w:rFonts w:cstheme="minorHAnsi"/>
          <w:sz w:val="24"/>
          <w:szCs w:val="24"/>
        </w:rPr>
        <w:t>,</w:t>
      </w:r>
      <w:r w:rsidR="00535EC3" w:rsidRPr="00044A93">
        <w:rPr>
          <w:rFonts w:cstheme="minorHAnsi"/>
          <w:sz w:val="24"/>
          <w:szCs w:val="24"/>
        </w:rPr>
        <w:t xml:space="preserve"> but is not included as a separate town in the UMass Donahue data</w:t>
      </w:r>
      <w:r w:rsidR="00602585" w:rsidRPr="00044A93">
        <w:rPr>
          <w:rFonts w:cstheme="minorHAnsi"/>
          <w:sz w:val="24"/>
          <w:szCs w:val="24"/>
        </w:rPr>
        <w:t>,</w:t>
      </w:r>
      <w:r w:rsidR="00535EC3" w:rsidRPr="00044A93">
        <w:rPr>
          <w:rFonts w:cstheme="minorHAnsi"/>
          <w:sz w:val="24"/>
          <w:szCs w:val="24"/>
        </w:rPr>
        <w:t xml:space="preserve"> as it is a Village within Agawam</w:t>
      </w:r>
      <w:r w:rsidR="00602585" w:rsidRPr="00044A93">
        <w:rPr>
          <w:rFonts w:cstheme="minorHAnsi"/>
          <w:sz w:val="24"/>
          <w:szCs w:val="24"/>
        </w:rPr>
        <w:t>, but has its own zip code</w:t>
      </w:r>
      <w:r w:rsidR="00535EC3" w:rsidRPr="00044A93">
        <w:rPr>
          <w:rFonts w:cstheme="minorHAnsi"/>
          <w:sz w:val="24"/>
          <w:szCs w:val="24"/>
        </w:rPr>
        <w:t>.  Please see table below confirming the towns used in the Applicant's PSA</w:t>
      </w:r>
      <w:r w:rsidR="004D0318" w:rsidRPr="00044A93">
        <w:rPr>
          <w:rFonts w:cstheme="minorHAnsi"/>
          <w:sz w:val="24"/>
          <w:szCs w:val="24"/>
        </w:rPr>
        <w:t xml:space="preserve"> </w:t>
      </w:r>
      <w:proofErr w:type="gramStart"/>
      <w:r w:rsidR="004D0318" w:rsidRPr="00044A93">
        <w:rPr>
          <w:rFonts w:cstheme="minorHAnsi"/>
          <w:sz w:val="24"/>
          <w:szCs w:val="24"/>
        </w:rPr>
        <w:t>analys</w:t>
      </w:r>
      <w:r w:rsidR="002A471D" w:rsidRPr="00044A93">
        <w:rPr>
          <w:rFonts w:cstheme="minorHAnsi"/>
          <w:sz w:val="24"/>
          <w:szCs w:val="24"/>
        </w:rPr>
        <w:t>es</w:t>
      </w:r>
      <w:proofErr w:type="gramEnd"/>
      <w:r w:rsidR="00535EC3" w:rsidRPr="00044A93">
        <w:rPr>
          <w:rFonts w:cstheme="minorHAnsi"/>
          <w:sz w:val="24"/>
          <w:szCs w:val="24"/>
        </w:rPr>
        <w:t>.</w:t>
      </w:r>
    </w:p>
    <w:p w14:paraId="48566935" w14:textId="77777777" w:rsidR="0019757B" w:rsidRPr="00044A93" w:rsidRDefault="0019757B" w:rsidP="0019757B">
      <w:pPr>
        <w:ind w:left="1080"/>
        <w:contextualSpacing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  <w:tblCaption w:val="Towns used in the Applicant's PSA analyses"/>
      </w:tblPr>
      <w:tblGrid>
        <w:gridCol w:w="2284"/>
        <w:gridCol w:w="1980"/>
      </w:tblGrid>
      <w:tr w:rsidR="00535EC3" w:rsidRPr="00044A93" w14:paraId="23DDF74C" w14:textId="77777777" w:rsidTr="00094477">
        <w:trPr>
          <w:cantSplit/>
          <w:trHeight w:val="389"/>
          <w:tblHeader/>
        </w:trPr>
        <w:tc>
          <w:tcPr>
            <w:tcW w:w="2284" w:type="dxa"/>
          </w:tcPr>
          <w:p w14:paraId="73752944" w14:textId="77777777" w:rsidR="00535EC3" w:rsidRPr="00044A93" w:rsidRDefault="00535EC3" w:rsidP="00535EC3">
            <w:pPr>
              <w:pStyle w:val="BodyTex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Applicant PSA Towns </w:t>
            </w:r>
          </w:p>
          <w:p w14:paraId="54867D3D" w14:textId="43FA46A6" w:rsidR="0019757B" w:rsidRPr="00044A93" w:rsidRDefault="00535EC3" w:rsidP="007E50F7">
            <w:pPr>
              <w:pStyle w:val="BodyTex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i/>
                <w:iCs/>
                <w:spacing w:val="-1"/>
                <w:sz w:val="24"/>
                <w:szCs w:val="24"/>
              </w:rPr>
              <w:t>(p.4 of DON Narrative)</w:t>
            </w:r>
          </w:p>
        </w:tc>
        <w:tc>
          <w:tcPr>
            <w:tcW w:w="1980" w:type="dxa"/>
          </w:tcPr>
          <w:p w14:paraId="467F7CA7" w14:textId="7B5E8CA5" w:rsidR="0019757B" w:rsidRPr="00044A93" w:rsidRDefault="00535EC3" w:rsidP="000B529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Applicant PSA Towns used in UMass Donahue Population </w:t>
            </w:r>
            <w:proofErr w:type="gramStart"/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Forecast  </w:t>
            </w:r>
            <w:r w:rsidRPr="00044A93">
              <w:rPr>
                <w:rFonts w:asciiTheme="minorHAnsi" w:hAnsiTheme="minorHAnsi"/>
                <w:i/>
                <w:iCs/>
                <w:spacing w:val="-1"/>
                <w:sz w:val="24"/>
                <w:szCs w:val="24"/>
              </w:rPr>
              <w:t>(</w:t>
            </w:r>
            <w:proofErr w:type="gramEnd"/>
            <w:r w:rsidRPr="00044A93">
              <w:rPr>
                <w:rFonts w:asciiTheme="minorHAnsi" w:hAnsiTheme="minorHAnsi"/>
                <w:i/>
                <w:iCs/>
                <w:spacing w:val="-1"/>
                <w:sz w:val="24"/>
                <w:szCs w:val="24"/>
              </w:rPr>
              <w:t>p.7 of DON Narrative)</w:t>
            </w:r>
          </w:p>
        </w:tc>
      </w:tr>
      <w:tr w:rsidR="00535EC3" w:rsidRPr="00044A93" w14:paraId="4C5B8756" w14:textId="77777777" w:rsidTr="00094477">
        <w:trPr>
          <w:cantSplit/>
        </w:trPr>
        <w:tc>
          <w:tcPr>
            <w:tcW w:w="2284" w:type="dxa"/>
          </w:tcPr>
          <w:p w14:paraId="1564F647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Springfield</w:t>
            </w:r>
          </w:p>
        </w:tc>
        <w:tc>
          <w:tcPr>
            <w:tcW w:w="1980" w:type="dxa"/>
          </w:tcPr>
          <w:p w14:paraId="5D48C933" w14:textId="4DC9621E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Springfield</w:t>
            </w:r>
          </w:p>
        </w:tc>
      </w:tr>
      <w:tr w:rsidR="00535EC3" w:rsidRPr="00044A93" w14:paraId="2FDED72F" w14:textId="77777777" w:rsidTr="00094477">
        <w:trPr>
          <w:cantSplit/>
        </w:trPr>
        <w:tc>
          <w:tcPr>
            <w:tcW w:w="2284" w:type="dxa"/>
          </w:tcPr>
          <w:p w14:paraId="6E63D7F7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Chicopee</w:t>
            </w:r>
          </w:p>
        </w:tc>
        <w:tc>
          <w:tcPr>
            <w:tcW w:w="1980" w:type="dxa"/>
          </w:tcPr>
          <w:p w14:paraId="076103E3" w14:textId="65902534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Chicopee</w:t>
            </w:r>
          </w:p>
        </w:tc>
      </w:tr>
      <w:tr w:rsidR="00535EC3" w:rsidRPr="00044A93" w14:paraId="1EA1049D" w14:textId="77777777" w:rsidTr="00094477">
        <w:trPr>
          <w:cantSplit/>
        </w:trPr>
        <w:tc>
          <w:tcPr>
            <w:tcW w:w="2284" w:type="dxa"/>
          </w:tcPr>
          <w:p w14:paraId="12F1F700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Westfield</w:t>
            </w:r>
          </w:p>
        </w:tc>
        <w:tc>
          <w:tcPr>
            <w:tcW w:w="1980" w:type="dxa"/>
          </w:tcPr>
          <w:p w14:paraId="679D7511" w14:textId="4B4141C5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Westfield</w:t>
            </w:r>
          </w:p>
        </w:tc>
      </w:tr>
      <w:tr w:rsidR="00535EC3" w:rsidRPr="00044A93" w14:paraId="52D89EC5" w14:textId="77777777" w:rsidTr="00094477">
        <w:trPr>
          <w:cantSplit/>
        </w:trPr>
        <w:tc>
          <w:tcPr>
            <w:tcW w:w="2284" w:type="dxa"/>
          </w:tcPr>
          <w:p w14:paraId="223AC30B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Holyoke</w:t>
            </w:r>
          </w:p>
        </w:tc>
        <w:tc>
          <w:tcPr>
            <w:tcW w:w="1980" w:type="dxa"/>
          </w:tcPr>
          <w:p w14:paraId="435945D4" w14:textId="085D963B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Holyoke</w:t>
            </w:r>
          </w:p>
        </w:tc>
      </w:tr>
      <w:tr w:rsidR="00535EC3" w:rsidRPr="00044A93" w14:paraId="035554A7" w14:textId="77777777" w:rsidTr="00094477">
        <w:trPr>
          <w:cantSplit/>
        </w:trPr>
        <w:tc>
          <w:tcPr>
            <w:tcW w:w="2284" w:type="dxa"/>
          </w:tcPr>
          <w:p w14:paraId="5B4FD3B7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Ludlow</w:t>
            </w:r>
          </w:p>
        </w:tc>
        <w:tc>
          <w:tcPr>
            <w:tcW w:w="1980" w:type="dxa"/>
          </w:tcPr>
          <w:p w14:paraId="2079FFC1" w14:textId="360E3775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Ludlow</w:t>
            </w:r>
          </w:p>
        </w:tc>
      </w:tr>
      <w:tr w:rsidR="00535EC3" w:rsidRPr="00044A93" w14:paraId="142A1859" w14:textId="77777777" w:rsidTr="00094477">
        <w:trPr>
          <w:cantSplit/>
        </w:trPr>
        <w:tc>
          <w:tcPr>
            <w:tcW w:w="2284" w:type="dxa"/>
          </w:tcPr>
          <w:p w14:paraId="7B9D2D5B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West Springfield</w:t>
            </w:r>
          </w:p>
        </w:tc>
        <w:tc>
          <w:tcPr>
            <w:tcW w:w="1980" w:type="dxa"/>
          </w:tcPr>
          <w:p w14:paraId="57E20015" w14:textId="6FCD1224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West Springfield</w:t>
            </w:r>
          </w:p>
        </w:tc>
      </w:tr>
      <w:tr w:rsidR="00535EC3" w:rsidRPr="00044A93" w14:paraId="0174FC44" w14:textId="77777777" w:rsidTr="00094477">
        <w:trPr>
          <w:cantSplit/>
        </w:trPr>
        <w:tc>
          <w:tcPr>
            <w:tcW w:w="2284" w:type="dxa"/>
          </w:tcPr>
          <w:p w14:paraId="2DF4C555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Longmeadow</w:t>
            </w:r>
          </w:p>
        </w:tc>
        <w:tc>
          <w:tcPr>
            <w:tcW w:w="1980" w:type="dxa"/>
          </w:tcPr>
          <w:p w14:paraId="22430DCB" w14:textId="4393A2A2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Longmeadow</w:t>
            </w:r>
          </w:p>
        </w:tc>
      </w:tr>
      <w:tr w:rsidR="00535EC3" w:rsidRPr="00044A93" w14:paraId="3BBFB9C9" w14:textId="77777777" w:rsidTr="00094477">
        <w:trPr>
          <w:cantSplit/>
        </w:trPr>
        <w:tc>
          <w:tcPr>
            <w:tcW w:w="2284" w:type="dxa"/>
          </w:tcPr>
          <w:p w14:paraId="7FFE762B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East Longmeadow</w:t>
            </w:r>
          </w:p>
        </w:tc>
        <w:tc>
          <w:tcPr>
            <w:tcW w:w="1980" w:type="dxa"/>
          </w:tcPr>
          <w:p w14:paraId="60085C09" w14:textId="66B440CA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East Longmeadow</w:t>
            </w:r>
          </w:p>
        </w:tc>
      </w:tr>
      <w:tr w:rsidR="00535EC3" w:rsidRPr="00044A93" w14:paraId="3F6CBF55" w14:textId="77777777" w:rsidTr="00094477">
        <w:trPr>
          <w:cantSplit/>
        </w:trPr>
        <w:tc>
          <w:tcPr>
            <w:tcW w:w="2284" w:type="dxa"/>
          </w:tcPr>
          <w:p w14:paraId="454718CE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Wilbraham</w:t>
            </w:r>
          </w:p>
        </w:tc>
        <w:tc>
          <w:tcPr>
            <w:tcW w:w="1980" w:type="dxa"/>
          </w:tcPr>
          <w:p w14:paraId="538F66EF" w14:textId="5933A774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Wilbraham</w:t>
            </w:r>
          </w:p>
        </w:tc>
      </w:tr>
      <w:tr w:rsidR="00535EC3" w:rsidRPr="00044A93" w14:paraId="553788F7" w14:textId="77777777" w:rsidTr="00094477">
        <w:trPr>
          <w:cantSplit/>
        </w:trPr>
        <w:tc>
          <w:tcPr>
            <w:tcW w:w="2284" w:type="dxa"/>
          </w:tcPr>
          <w:p w14:paraId="49F4F7EB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South Hadley</w:t>
            </w:r>
          </w:p>
        </w:tc>
        <w:tc>
          <w:tcPr>
            <w:tcW w:w="1980" w:type="dxa"/>
          </w:tcPr>
          <w:p w14:paraId="55D7DC9E" w14:textId="3772953A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South Hadley</w:t>
            </w:r>
          </w:p>
        </w:tc>
      </w:tr>
      <w:tr w:rsidR="00535EC3" w:rsidRPr="00044A93" w14:paraId="6603FE98" w14:textId="77777777" w:rsidTr="00094477">
        <w:trPr>
          <w:cantSplit/>
        </w:trPr>
        <w:tc>
          <w:tcPr>
            <w:tcW w:w="2284" w:type="dxa"/>
          </w:tcPr>
          <w:p w14:paraId="4E8E5754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Feeding Hills</w:t>
            </w:r>
          </w:p>
        </w:tc>
        <w:tc>
          <w:tcPr>
            <w:tcW w:w="1980" w:type="dxa"/>
          </w:tcPr>
          <w:p w14:paraId="45B90510" w14:textId="0C1F660A" w:rsidR="00535EC3" w:rsidRPr="00044A93" w:rsidRDefault="0024286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  <w:szCs w:val="24"/>
              </w:rPr>
              <w:t>n/a</w:t>
            </w:r>
          </w:p>
        </w:tc>
      </w:tr>
      <w:tr w:rsidR="00535EC3" w:rsidRPr="00044A93" w14:paraId="741185FE" w14:textId="77777777" w:rsidTr="00094477">
        <w:trPr>
          <w:cantSplit/>
        </w:trPr>
        <w:tc>
          <w:tcPr>
            <w:tcW w:w="2284" w:type="dxa"/>
          </w:tcPr>
          <w:p w14:paraId="424AE782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Agawam</w:t>
            </w:r>
          </w:p>
        </w:tc>
        <w:tc>
          <w:tcPr>
            <w:tcW w:w="1980" w:type="dxa"/>
          </w:tcPr>
          <w:p w14:paraId="4EA03B58" w14:textId="4C4C8ADB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Agawam</w:t>
            </w:r>
          </w:p>
        </w:tc>
      </w:tr>
      <w:tr w:rsidR="00535EC3" w:rsidRPr="00044A93" w14:paraId="4BFA7354" w14:textId="77777777" w:rsidTr="00094477">
        <w:trPr>
          <w:cantSplit/>
        </w:trPr>
        <w:tc>
          <w:tcPr>
            <w:tcW w:w="2284" w:type="dxa"/>
          </w:tcPr>
          <w:p w14:paraId="5F4E581C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Belchertown</w:t>
            </w:r>
          </w:p>
        </w:tc>
        <w:tc>
          <w:tcPr>
            <w:tcW w:w="1980" w:type="dxa"/>
          </w:tcPr>
          <w:p w14:paraId="5B970728" w14:textId="22714F55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Belchertown</w:t>
            </w:r>
          </w:p>
        </w:tc>
      </w:tr>
      <w:tr w:rsidR="00535EC3" w:rsidRPr="00044A93" w14:paraId="097F1FA6" w14:textId="77777777" w:rsidTr="00094477">
        <w:trPr>
          <w:cantSplit/>
        </w:trPr>
        <w:tc>
          <w:tcPr>
            <w:tcW w:w="2284" w:type="dxa"/>
          </w:tcPr>
          <w:p w14:paraId="622749A3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Greenfield</w:t>
            </w:r>
          </w:p>
        </w:tc>
        <w:tc>
          <w:tcPr>
            <w:tcW w:w="1980" w:type="dxa"/>
          </w:tcPr>
          <w:p w14:paraId="1840D02D" w14:textId="5F30957C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Greenfield</w:t>
            </w:r>
          </w:p>
        </w:tc>
      </w:tr>
      <w:tr w:rsidR="00535EC3" w:rsidRPr="00044A93" w14:paraId="44A2CD7F" w14:textId="77777777" w:rsidTr="00094477">
        <w:trPr>
          <w:cantSplit/>
        </w:trPr>
        <w:tc>
          <w:tcPr>
            <w:tcW w:w="2284" w:type="dxa"/>
          </w:tcPr>
          <w:p w14:paraId="6CEDD9DA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Ware</w:t>
            </w:r>
          </w:p>
        </w:tc>
        <w:tc>
          <w:tcPr>
            <w:tcW w:w="1980" w:type="dxa"/>
          </w:tcPr>
          <w:p w14:paraId="7BCB6306" w14:textId="6904E740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Ware</w:t>
            </w:r>
          </w:p>
        </w:tc>
      </w:tr>
      <w:tr w:rsidR="00535EC3" w:rsidRPr="00044A93" w14:paraId="2D2A1D6B" w14:textId="77777777" w:rsidTr="00094477">
        <w:trPr>
          <w:cantSplit/>
        </w:trPr>
        <w:tc>
          <w:tcPr>
            <w:tcW w:w="2284" w:type="dxa"/>
          </w:tcPr>
          <w:p w14:paraId="34B265C4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Palmer</w:t>
            </w:r>
          </w:p>
        </w:tc>
        <w:tc>
          <w:tcPr>
            <w:tcW w:w="1980" w:type="dxa"/>
          </w:tcPr>
          <w:p w14:paraId="3AF6E7DF" w14:textId="383B7829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Palmer</w:t>
            </w:r>
          </w:p>
        </w:tc>
      </w:tr>
      <w:tr w:rsidR="00535EC3" w:rsidRPr="00044A93" w14:paraId="2ABB68FB" w14:textId="77777777" w:rsidTr="00094477">
        <w:trPr>
          <w:cantSplit/>
        </w:trPr>
        <w:tc>
          <w:tcPr>
            <w:tcW w:w="2284" w:type="dxa"/>
          </w:tcPr>
          <w:p w14:paraId="43B76FAE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Southwick</w:t>
            </w:r>
          </w:p>
        </w:tc>
        <w:tc>
          <w:tcPr>
            <w:tcW w:w="1980" w:type="dxa"/>
          </w:tcPr>
          <w:p w14:paraId="6F444FEF" w14:textId="56A557A5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Southwick</w:t>
            </w:r>
          </w:p>
        </w:tc>
      </w:tr>
      <w:tr w:rsidR="00535EC3" w:rsidRPr="00044A93" w14:paraId="2A242E8A" w14:textId="77777777" w:rsidTr="00094477">
        <w:trPr>
          <w:cantSplit/>
        </w:trPr>
        <w:tc>
          <w:tcPr>
            <w:tcW w:w="2284" w:type="dxa"/>
          </w:tcPr>
          <w:p w14:paraId="72B720E6" w14:textId="77777777" w:rsidR="00535EC3" w:rsidRPr="00044A93" w:rsidRDefault="00535EC3" w:rsidP="00535EC3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Monson</w:t>
            </w:r>
          </w:p>
        </w:tc>
        <w:tc>
          <w:tcPr>
            <w:tcW w:w="1980" w:type="dxa"/>
          </w:tcPr>
          <w:p w14:paraId="76760ED6" w14:textId="0D8D01E2" w:rsidR="00535EC3" w:rsidRPr="00044A93" w:rsidRDefault="00535EC3" w:rsidP="00535EC3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Monson</w:t>
            </w:r>
          </w:p>
        </w:tc>
      </w:tr>
    </w:tbl>
    <w:p w14:paraId="76E3F177" w14:textId="77777777" w:rsidR="0019757B" w:rsidRPr="00044A93" w:rsidRDefault="0019757B" w:rsidP="0019757B">
      <w:pPr>
        <w:ind w:left="1080"/>
        <w:contextualSpacing/>
        <w:rPr>
          <w:rFonts w:cstheme="minorHAnsi"/>
          <w:sz w:val="24"/>
          <w:szCs w:val="24"/>
        </w:rPr>
      </w:pPr>
    </w:p>
    <w:p w14:paraId="014F3935" w14:textId="77777777" w:rsidR="00DE0BD0" w:rsidRPr="00044A93" w:rsidRDefault="00DE0BD0" w:rsidP="00DE0BD0">
      <w:pPr>
        <w:pStyle w:val="ListParagraph"/>
        <w:rPr>
          <w:rFonts w:cstheme="minorHAnsi"/>
          <w:sz w:val="24"/>
          <w:szCs w:val="24"/>
        </w:rPr>
      </w:pPr>
    </w:p>
    <w:p w14:paraId="41F5835F" w14:textId="0E2251C3" w:rsidR="00331A32" w:rsidRPr="00044A93" w:rsidRDefault="00331A32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>What is the reason</w:t>
      </w:r>
      <w:r w:rsidR="00DA6D0C" w:rsidRPr="00044A93">
        <w:rPr>
          <w:sz w:val="24"/>
          <w:szCs w:val="24"/>
        </w:rPr>
        <w:t xml:space="preserve"> (s)</w:t>
      </w:r>
      <w:r w:rsidRPr="00044A93">
        <w:rPr>
          <w:sz w:val="24"/>
          <w:szCs w:val="24"/>
        </w:rPr>
        <w:t xml:space="preserve"> for the increase in </w:t>
      </w:r>
      <w:r w:rsidR="006D1001" w:rsidRPr="006D1001">
        <w:rPr>
          <w:sz w:val="24"/>
          <w:szCs w:val="24"/>
        </w:rPr>
        <w:t>Positron Emission Tomography</w:t>
      </w:r>
      <w:r w:rsidR="00BC2792">
        <w:rPr>
          <w:sz w:val="24"/>
          <w:szCs w:val="24"/>
        </w:rPr>
        <w:t>-Computed Tomography (</w:t>
      </w:r>
      <w:r w:rsidRPr="00044A93">
        <w:rPr>
          <w:sz w:val="24"/>
          <w:szCs w:val="24"/>
        </w:rPr>
        <w:t>PET-CT</w:t>
      </w:r>
      <w:r w:rsidR="00BC2792">
        <w:rPr>
          <w:sz w:val="24"/>
          <w:szCs w:val="24"/>
        </w:rPr>
        <w:t>)</w:t>
      </w:r>
      <w:r w:rsidRPr="00044A93">
        <w:rPr>
          <w:sz w:val="24"/>
          <w:szCs w:val="24"/>
        </w:rPr>
        <w:t xml:space="preserve"> scans from 2022 to 2025?</w:t>
      </w:r>
    </w:p>
    <w:p w14:paraId="6F55ADED" w14:textId="77777777" w:rsidR="008B2147" w:rsidRPr="00044A93" w:rsidRDefault="008B2147" w:rsidP="008B2147">
      <w:pPr>
        <w:spacing w:after="0"/>
        <w:ind w:left="360"/>
        <w:rPr>
          <w:rFonts w:cstheme="minorHAnsi"/>
          <w:sz w:val="24"/>
          <w:szCs w:val="24"/>
        </w:rPr>
      </w:pPr>
    </w:p>
    <w:p w14:paraId="70CA1342" w14:textId="3CF30F74" w:rsidR="005C1EAB" w:rsidRPr="00044A93" w:rsidRDefault="008B2147" w:rsidP="005C1EAB">
      <w:pPr>
        <w:ind w:left="720"/>
        <w:rPr>
          <w:color w:val="000000" w:themeColor="text1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proofErr w:type="gramStart"/>
      <w:r w:rsidRPr="00044A93">
        <w:rPr>
          <w:rFonts w:cstheme="minorHAnsi"/>
          <w:sz w:val="24"/>
          <w:szCs w:val="24"/>
        </w:rPr>
        <w:t>:  As</w:t>
      </w:r>
      <w:proofErr w:type="gramEnd"/>
      <w:r w:rsidRPr="00044A93">
        <w:rPr>
          <w:rFonts w:cstheme="minorHAnsi"/>
          <w:sz w:val="24"/>
          <w:szCs w:val="24"/>
        </w:rPr>
        <w:t xml:space="preserve"> noted in the table below, the </w:t>
      </w:r>
      <w:r w:rsidR="000B015C" w:rsidRPr="00044A93">
        <w:rPr>
          <w:rFonts w:cstheme="minorHAnsi"/>
          <w:sz w:val="24"/>
          <w:szCs w:val="24"/>
        </w:rPr>
        <w:t>Applicant</w:t>
      </w:r>
      <w:r w:rsidRPr="00044A93">
        <w:rPr>
          <w:rFonts w:cstheme="minorHAnsi"/>
          <w:sz w:val="24"/>
          <w:szCs w:val="24"/>
        </w:rPr>
        <w:t xml:space="preserve">'s growth from 2022 to 2025 was largely due to 3-fold growth in demand for </w:t>
      </w:r>
      <w:r w:rsidR="008476EE" w:rsidRPr="008476EE">
        <w:rPr>
          <w:rFonts w:cstheme="minorHAnsi"/>
          <w:sz w:val="24"/>
          <w:szCs w:val="24"/>
        </w:rPr>
        <w:t>Prostate-Specific Membrane Antigen</w:t>
      </w:r>
      <w:r w:rsidR="008476EE">
        <w:rPr>
          <w:rFonts w:cstheme="minorHAnsi"/>
          <w:sz w:val="24"/>
          <w:szCs w:val="24"/>
        </w:rPr>
        <w:t xml:space="preserve"> (</w:t>
      </w:r>
      <w:r w:rsidRPr="00044A93">
        <w:rPr>
          <w:rFonts w:cstheme="minorHAnsi"/>
          <w:sz w:val="24"/>
          <w:szCs w:val="24"/>
        </w:rPr>
        <w:t>PSMA</w:t>
      </w:r>
      <w:r w:rsidR="008476EE">
        <w:rPr>
          <w:rFonts w:cstheme="minorHAnsi"/>
          <w:sz w:val="24"/>
          <w:szCs w:val="24"/>
        </w:rPr>
        <w:t>)</w:t>
      </w:r>
      <w:r w:rsidRPr="00044A93">
        <w:rPr>
          <w:rFonts w:cstheme="minorHAnsi"/>
          <w:sz w:val="24"/>
          <w:szCs w:val="24"/>
        </w:rPr>
        <w:t xml:space="preserve"> PET/CT scans, the Applicant's addition of Amyloid PET/CT </w:t>
      </w:r>
      <w:r w:rsidR="009F0E97" w:rsidRPr="00044A93">
        <w:rPr>
          <w:rFonts w:cstheme="minorHAnsi"/>
          <w:sz w:val="24"/>
          <w:szCs w:val="24"/>
        </w:rPr>
        <w:t>service</w:t>
      </w:r>
      <w:r w:rsidR="006C1E94" w:rsidRPr="00044A93">
        <w:rPr>
          <w:rFonts w:cstheme="minorHAnsi"/>
          <w:sz w:val="24"/>
          <w:szCs w:val="24"/>
        </w:rPr>
        <w:t xml:space="preserve"> in </w:t>
      </w:r>
      <w:r w:rsidR="006F7976" w:rsidRPr="00044A93">
        <w:rPr>
          <w:rFonts w:cstheme="minorHAnsi"/>
          <w:sz w:val="24"/>
          <w:szCs w:val="24"/>
        </w:rPr>
        <w:t>2024 and</w:t>
      </w:r>
      <w:r w:rsidRPr="00044A93">
        <w:rPr>
          <w:rFonts w:cstheme="minorHAnsi"/>
          <w:sz w:val="24"/>
          <w:szCs w:val="24"/>
        </w:rPr>
        <w:t xml:space="preserve"> </w:t>
      </w:r>
      <w:r w:rsidR="006C1E94" w:rsidRPr="00044A93">
        <w:rPr>
          <w:rFonts w:cstheme="minorHAnsi"/>
          <w:sz w:val="24"/>
          <w:szCs w:val="24"/>
        </w:rPr>
        <w:t xml:space="preserve">increasing demand for </w:t>
      </w:r>
      <w:r w:rsidR="003D1BB9" w:rsidRPr="003D1BB9">
        <w:rPr>
          <w:rFonts w:cstheme="minorHAnsi"/>
          <w:sz w:val="24"/>
          <w:szCs w:val="24"/>
        </w:rPr>
        <w:t>fluorodeoxyglucose</w:t>
      </w:r>
      <w:r w:rsidR="003D1BB9">
        <w:rPr>
          <w:rFonts w:cstheme="minorHAnsi"/>
          <w:sz w:val="24"/>
          <w:szCs w:val="24"/>
        </w:rPr>
        <w:t xml:space="preserve"> (</w:t>
      </w:r>
      <w:r w:rsidR="006C1E94" w:rsidRPr="00044A93">
        <w:rPr>
          <w:rFonts w:cstheme="minorHAnsi"/>
          <w:sz w:val="24"/>
          <w:szCs w:val="24"/>
        </w:rPr>
        <w:t>FDG</w:t>
      </w:r>
      <w:r w:rsidR="003D1BB9">
        <w:rPr>
          <w:rFonts w:cstheme="minorHAnsi"/>
          <w:sz w:val="24"/>
          <w:szCs w:val="24"/>
        </w:rPr>
        <w:t>)</w:t>
      </w:r>
      <w:r w:rsidR="006C1E94" w:rsidRPr="00044A93">
        <w:rPr>
          <w:rFonts w:cstheme="minorHAnsi"/>
          <w:sz w:val="24"/>
          <w:szCs w:val="24"/>
        </w:rPr>
        <w:t xml:space="preserve"> PET/CT scans</w:t>
      </w:r>
      <w:r w:rsidRPr="00044A93">
        <w:rPr>
          <w:rFonts w:cstheme="minorHAnsi"/>
          <w:sz w:val="24"/>
          <w:szCs w:val="24"/>
        </w:rPr>
        <w:t xml:space="preserve">.  </w:t>
      </w:r>
      <w:r w:rsidR="006F7976" w:rsidRPr="00044A93">
        <w:rPr>
          <w:rFonts w:cstheme="minorHAnsi"/>
          <w:sz w:val="24"/>
          <w:szCs w:val="24"/>
        </w:rPr>
        <w:t>As noted on page 6 of the Applicant's DON Narrative, "</w:t>
      </w:r>
      <w:r w:rsidR="006F7976" w:rsidRPr="00044A93">
        <w:rPr>
          <w:sz w:val="24"/>
          <w:szCs w:val="24"/>
        </w:rPr>
        <w:t xml:space="preserve">The recent and anticipated growth in the aging population in the Applicant's service area, as well as new and emerging uses for PET/CT scan technology are significant factors in the anticipated growth </w:t>
      </w:r>
      <w:r w:rsidR="003D1BB9" w:rsidRPr="00044A93">
        <w:rPr>
          <w:sz w:val="24"/>
          <w:szCs w:val="24"/>
        </w:rPr>
        <w:t>in PET</w:t>
      </w:r>
      <w:r w:rsidR="006F7976" w:rsidRPr="00044A93">
        <w:rPr>
          <w:sz w:val="24"/>
          <w:szCs w:val="24"/>
        </w:rPr>
        <w:t xml:space="preserve">/CT scan volume in the Applicant's service area."   </w:t>
      </w:r>
      <w:r w:rsidR="006F7976" w:rsidRPr="00044A93">
        <w:rPr>
          <w:color w:val="000000" w:themeColor="text1"/>
          <w:sz w:val="24"/>
          <w:szCs w:val="24"/>
        </w:rPr>
        <w:t xml:space="preserve">According to the UMass Donahue Institute V2024 Population Projections, the </w:t>
      </w:r>
      <w:proofErr w:type="gramStart"/>
      <w:r w:rsidR="006F7976" w:rsidRPr="00044A93">
        <w:rPr>
          <w:color w:val="000000" w:themeColor="text1"/>
          <w:sz w:val="24"/>
          <w:szCs w:val="24"/>
        </w:rPr>
        <w:t>over 65 population</w:t>
      </w:r>
      <w:proofErr w:type="gramEnd"/>
      <w:r w:rsidR="006F7976" w:rsidRPr="00044A93">
        <w:rPr>
          <w:color w:val="000000" w:themeColor="text1"/>
          <w:sz w:val="24"/>
          <w:szCs w:val="24"/>
        </w:rPr>
        <w:t xml:space="preserve"> in the Applicant's PSA towns grew 14.3</w:t>
      </w:r>
      <w:r w:rsidR="00D85DF0">
        <w:rPr>
          <w:color w:val="000000" w:themeColor="text1"/>
          <w:sz w:val="24"/>
          <w:szCs w:val="24"/>
        </w:rPr>
        <w:t xml:space="preserve"> percent</w:t>
      </w:r>
      <w:r w:rsidR="006F7976" w:rsidRPr="00044A93">
        <w:rPr>
          <w:color w:val="000000" w:themeColor="text1"/>
          <w:sz w:val="24"/>
          <w:szCs w:val="24"/>
        </w:rPr>
        <w:t xml:space="preserve"> between 2020 and 2025.</w:t>
      </w:r>
      <w:r w:rsidR="00477571" w:rsidRPr="00044A93">
        <w:rPr>
          <w:color w:val="000000" w:themeColor="text1"/>
          <w:sz w:val="24"/>
          <w:szCs w:val="24"/>
        </w:rPr>
        <w:t xml:space="preserve">  </w:t>
      </w:r>
    </w:p>
    <w:p w14:paraId="49FB3672" w14:textId="37EED101" w:rsidR="00B508BE" w:rsidRPr="00044A93" w:rsidRDefault="00477571" w:rsidP="005C1EAB">
      <w:pPr>
        <w:ind w:left="720"/>
        <w:rPr>
          <w:sz w:val="24"/>
          <w:szCs w:val="24"/>
        </w:rPr>
      </w:pPr>
      <w:r w:rsidRPr="00044A93">
        <w:rPr>
          <w:color w:val="000000" w:themeColor="text1"/>
          <w:sz w:val="24"/>
          <w:szCs w:val="24"/>
        </w:rPr>
        <w:t xml:space="preserve">In addition to </w:t>
      </w:r>
      <w:r w:rsidR="00602585" w:rsidRPr="00044A93">
        <w:rPr>
          <w:color w:val="000000" w:themeColor="text1"/>
          <w:sz w:val="24"/>
          <w:szCs w:val="24"/>
        </w:rPr>
        <w:t xml:space="preserve">its </w:t>
      </w:r>
      <w:r w:rsidRPr="00044A93">
        <w:rPr>
          <w:color w:val="000000" w:themeColor="text1"/>
          <w:sz w:val="24"/>
          <w:szCs w:val="24"/>
        </w:rPr>
        <w:t>aging population</w:t>
      </w:r>
      <w:r w:rsidR="005C1EAB" w:rsidRPr="00044A93">
        <w:rPr>
          <w:color w:val="000000" w:themeColor="text1"/>
          <w:sz w:val="24"/>
          <w:szCs w:val="24"/>
        </w:rPr>
        <w:t xml:space="preserve">, new </w:t>
      </w:r>
      <w:r w:rsidR="00602585" w:rsidRPr="00044A93">
        <w:rPr>
          <w:color w:val="000000" w:themeColor="text1"/>
          <w:sz w:val="24"/>
          <w:szCs w:val="24"/>
        </w:rPr>
        <w:t>and emerging uses</w:t>
      </w:r>
      <w:r w:rsidR="00FD16F5" w:rsidRPr="00044A93">
        <w:rPr>
          <w:color w:val="000000" w:themeColor="text1"/>
          <w:sz w:val="24"/>
          <w:szCs w:val="24"/>
        </w:rPr>
        <w:t xml:space="preserve"> </w:t>
      </w:r>
      <w:r w:rsidR="005C1EAB" w:rsidRPr="00044A93">
        <w:rPr>
          <w:color w:val="000000" w:themeColor="text1"/>
          <w:sz w:val="24"/>
          <w:szCs w:val="24"/>
        </w:rPr>
        <w:t xml:space="preserve">related to PSMA </w:t>
      </w:r>
      <w:r w:rsidR="006E25B0" w:rsidRPr="00044A93">
        <w:rPr>
          <w:color w:val="000000" w:themeColor="text1"/>
          <w:sz w:val="24"/>
          <w:szCs w:val="24"/>
        </w:rPr>
        <w:t xml:space="preserve">(Prostate-Specific Membrane Antigen) </w:t>
      </w:r>
      <w:r w:rsidR="005C1EAB" w:rsidRPr="00044A93">
        <w:rPr>
          <w:color w:val="000000" w:themeColor="text1"/>
          <w:sz w:val="24"/>
          <w:szCs w:val="24"/>
        </w:rPr>
        <w:t xml:space="preserve">and </w:t>
      </w:r>
      <w:r w:rsidR="00FD16F5" w:rsidRPr="00044A93">
        <w:rPr>
          <w:color w:val="000000" w:themeColor="text1"/>
          <w:sz w:val="24"/>
          <w:szCs w:val="24"/>
        </w:rPr>
        <w:t>Amyloid Brain PET/CTs were</w:t>
      </w:r>
      <w:r w:rsidR="005C1EAB" w:rsidRPr="00044A93">
        <w:rPr>
          <w:color w:val="000000" w:themeColor="text1"/>
          <w:sz w:val="24"/>
          <w:szCs w:val="24"/>
        </w:rPr>
        <w:t xml:space="preserve"> a significant</w:t>
      </w:r>
      <w:r w:rsidRPr="00044A93">
        <w:rPr>
          <w:color w:val="000000" w:themeColor="text1"/>
          <w:sz w:val="24"/>
          <w:szCs w:val="24"/>
        </w:rPr>
        <w:t xml:space="preserve"> factor contributing to the increase in in scans between 2022 and 2025</w:t>
      </w:r>
      <w:r w:rsidR="005C1EAB" w:rsidRPr="00044A93">
        <w:rPr>
          <w:color w:val="000000" w:themeColor="text1"/>
          <w:sz w:val="24"/>
          <w:szCs w:val="24"/>
        </w:rPr>
        <w:t xml:space="preserve">.  The Applicant began offering </w:t>
      </w:r>
      <w:r w:rsidR="00B508BE" w:rsidRPr="00044A93">
        <w:rPr>
          <w:rFonts w:cstheme="minorHAnsi"/>
          <w:color w:val="000000" w:themeColor="text1"/>
          <w:sz w:val="24"/>
          <w:szCs w:val="24"/>
        </w:rPr>
        <w:t>PSMA</w:t>
      </w:r>
      <w:r w:rsidR="005C1EAB" w:rsidRPr="00044A93">
        <w:rPr>
          <w:rFonts w:cstheme="minorHAnsi"/>
          <w:color w:val="000000" w:themeColor="text1"/>
          <w:sz w:val="24"/>
          <w:szCs w:val="24"/>
        </w:rPr>
        <w:t xml:space="preserve"> </w:t>
      </w:r>
      <w:r w:rsidR="005C1EAB" w:rsidRPr="00044A93">
        <w:rPr>
          <w:rFonts w:cstheme="minorHAnsi"/>
          <w:sz w:val="24"/>
          <w:szCs w:val="24"/>
        </w:rPr>
        <w:t xml:space="preserve">PET/CT scans in </w:t>
      </w:r>
      <w:r w:rsidR="00B508BE" w:rsidRPr="00044A93">
        <w:rPr>
          <w:rFonts w:cstheme="minorHAnsi"/>
          <w:sz w:val="24"/>
          <w:szCs w:val="24"/>
        </w:rPr>
        <w:t>202</w:t>
      </w:r>
      <w:r w:rsidR="00B83538" w:rsidRPr="00044A93">
        <w:rPr>
          <w:rFonts w:cstheme="minorHAnsi"/>
          <w:sz w:val="24"/>
          <w:szCs w:val="24"/>
        </w:rPr>
        <w:t>2</w:t>
      </w:r>
      <w:r w:rsidR="00B508BE" w:rsidRPr="00044A93">
        <w:rPr>
          <w:rFonts w:cstheme="minorHAnsi"/>
          <w:sz w:val="24"/>
          <w:szCs w:val="24"/>
        </w:rPr>
        <w:t xml:space="preserve">. The </w:t>
      </w:r>
      <w:r w:rsidR="001E6EAE">
        <w:rPr>
          <w:rFonts w:cstheme="minorHAnsi"/>
          <w:sz w:val="24"/>
          <w:szCs w:val="24"/>
        </w:rPr>
        <w:t>United States (</w:t>
      </w:r>
      <w:r w:rsidR="00B508BE" w:rsidRPr="00044A93">
        <w:rPr>
          <w:rFonts w:cstheme="minorHAnsi"/>
          <w:sz w:val="24"/>
          <w:szCs w:val="24"/>
        </w:rPr>
        <w:t>US</w:t>
      </w:r>
      <w:r w:rsidR="001E6EAE">
        <w:rPr>
          <w:rFonts w:cstheme="minorHAnsi"/>
          <w:sz w:val="24"/>
          <w:szCs w:val="24"/>
        </w:rPr>
        <w:t>)</w:t>
      </w:r>
      <w:r w:rsidR="00B508BE" w:rsidRPr="00044A93">
        <w:rPr>
          <w:rFonts w:cstheme="minorHAnsi"/>
          <w:sz w:val="24"/>
          <w:szCs w:val="24"/>
        </w:rPr>
        <w:t xml:space="preserve"> adoption for PET/CT turned prostate PET imaging into a top 5 indication with the new PSMA tracer. Prior to </w:t>
      </w:r>
      <w:r w:rsidR="005C1EAB" w:rsidRPr="00044A93">
        <w:rPr>
          <w:rFonts w:cstheme="minorHAnsi"/>
          <w:sz w:val="24"/>
          <w:szCs w:val="24"/>
        </w:rPr>
        <w:t xml:space="preserve">the </w:t>
      </w:r>
      <w:r w:rsidR="00B508BE" w:rsidRPr="00044A93">
        <w:rPr>
          <w:rFonts w:cstheme="minorHAnsi"/>
          <w:sz w:val="24"/>
          <w:szCs w:val="24"/>
        </w:rPr>
        <w:t xml:space="preserve">advent of PSMA, PET was not </w:t>
      </w:r>
      <w:r w:rsidR="00593E03" w:rsidRPr="00044A93">
        <w:rPr>
          <w:rFonts w:cstheme="minorHAnsi"/>
          <w:sz w:val="24"/>
          <w:szCs w:val="24"/>
        </w:rPr>
        <w:t>a</w:t>
      </w:r>
      <w:r w:rsidR="00B508BE" w:rsidRPr="00044A93">
        <w:rPr>
          <w:rFonts w:cstheme="minorHAnsi"/>
          <w:sz w:val="24"/>
          <w:szCs w:val="24"/>
        </w:rPr>
        <w:t xml:space="preserve"> prostate indication at all with FDG. </w:t>
      </w:r>
      <w:r w:rsidR="005C1EAB" w:rsidRPr="00044A93">
        <w:rPr>
          <w:rFonts w:cstheme="minorHAnsi"/>
          <w:sz w:val="24"/>
          <w:szCs w:val="24"/>
        </w:rPr>
        <w:t xml:space="preserve">PSMA </w:t>
      </w:r>
      <w:r w:rsidR="00B508BE" w:rsidRPr="00044A93">
        <w:rPr>
          <w:rFonts w:cstheme="minorHAnsi"/>
          <w:sz w:val="24"/>
          <w:szCs w:val="24"/>
        </w:rPr>
        <w:t>addresses both recurring prostate cancer as well as new diagnos</w:t>
      </w:r>
      <w:r w:rsidR="005C1EAB" w:rsidRPr="00044A93">
        <w:rPr>
          <w:rFonts w:cstheme="minorHAnsi"/>
          <w:sz w:val="24"/>
          <w:szCs w:val="24"/>
        </w:rPr>
        <w:t>e</w:t>
      </w:r>
      <w:r w:rsidR="00B508BE" w:rsidRPr="00044A93">
        <w:rPr>
          <w:rFonts w:cstheme="minorHAnsi"/>
          <w:sz w:val="24"/>
          <w:szCs w:val="24"/>
        </w:rPr>
        <w:t xml:space="preserve">s with high suspicion of metastatic involvement. </w:t>
      </w:r>
      <w:r w:rsidR="005C1EAB" w:rsidRPr="00044A93">
        <w:rPr>
          <w:rFonts w:cstheme="minorHAnsi"/>
          <w:sz w:val="24"/>
          <w:szCs w:val="24"/>
        </w:rPr>
        <w:t xml:space="preserve"> </w:t>
      </w:r>
      <w:r w:rsidR="00B508BE" w:rsidRPr="00044A93">
        <w:rPr>
          <w:rFonts w:cstheme="minorHAnsi"/>
          <w:sz w:val="24"/>
          <w:szCs w:val="24"/>
        </w:rPr>
        <w:t xml:space="preserve">A prior </w:t>
      </w:r>
      <w:r w:rsidR="005C1EAB" w:rsidRPr="00044A93">
        <w:rPr>
          <w:rFonts w:cstheme="minorHAnsi"/>
          <w:sz w:val="24"/>
          <w:szCs w:val="24"/>
        </w:rPr>
        <w:t>PET</w:t>
      </w:r>
      <w:r w:rsidR="00B508BE" w:rsidRPr="00044A93">
        <w:rPr>
          <w:rFonts w:cstheme="minorHAnsi"/>
          <w:sz w:val="24"/>
          <w:szCs w:val="24"/>
        </w:rPr>
        <w:t xml:space="preserve"> tracer (</w:t>
      </w:r>
      <w:proofErr w:type="spellStart"/>
      <w:r w:rsidR="00B508BE" w:rsidRPr="00044A93">
        <w:rPr>
          <w:rFonts w:cstheme="minorHAnsi"/>
          <w:sz w:val="24"/>
          <w:szCs w:val="24"/>
        </w:rPr>
        <w:t>Flucciclovine</w:t>
      </w:r>
      <w:proofErr w:type="spellEnd"/>
      <w:r w:rsidR="00B508BE" w:rsidRPr="00044A93">
        <w:rPr>
          <w:rFonts w:cstheme="minorHAnsi"/>
          <w:sz w:val="24"/>
          <w:szCs w:val="24"/>
        </w:rPr>
        <w:t xml:space="preserve">) was only approved for recurrence. </w:t>
      </w:r>
      <w:r w:rsidR="005C1EAB" w:rsidRPr="00044A93">
        <w:rPr>
          <w:rFonts w:cstheme="minorHAnsi"/>
          <w:sz w:val="24"/>
          <w:szCs w:val="24"/>
        </w:rPr>
        <w:t xml:space="preserve">Two urology practices in Springfield as well as the hospital Radiation Oncology practice </w:t>
      </w:r>
      <w:r w:rsidR="00B508BE" w:rsidRPr="00044A93">
        <w:rPr>
          <w:rFonts w:cstheme="minorHAnsi"/>
          <w:sz w:val="24"/>
          <w:szCs w:val="24"/>
        </w:rPr>
        <w:t xml:space="preserve">use </w:t>
      </w:r>
      <w:r w:rsidR="005C1EAB" w:rsidRPr="00044A93">
        <w:rPr>
          <w:rFonts w:cstheme="minorHAnsi"/>
          <w:sz w:val="24"/>
          <w:szCs w:val="24"/>
        </w:rPr>
        <w:t>the PSMA</w:t>
      </w:r>
      <w:r w:rsidR="00B508BE" w:rsidRPr="00044A93">
        <w:rPr>
          <w:rFonts w:cstheme="minorHAnsi"/>
          <w:sz w:val="24"/>
          <w:szCs w:val="24"/>
        </w:rPr>
        <w:t xml:space="preserve"> test to triage patient</w:t>
      </w:r>
      <w:r w:rsidR="005C1EAB" w:rsidRPr="00044A93">
        <w:rPr>
          <w:rFonts w:cstheme="minorHAnsi"/>
          <w:sz w:val="24"/>
          <w:szCs w:val="24"/>
        </w:rPr>
        <w:t>s</w:t>
      </w:r>
      <w:r w:rsidR="00B508BE" w:rsidRPr="00044A93">
        <w:rPr>
          <w:rFonts w:cstheme="minorHAnsi"/>
          <w:sz w:val="24"/>
          <w:szCs w:val="24"/>
        </w:rPr>
        <w:t xml:space="preserve"> for treatment. </w:t>
      </w:r>
      <w:r w:rsidR="005C1EAB" w:rsidRPr="00044A93">
        <w:rPr>
          <w:rFonts w:cstheme="minorHAnsi"/>
          <w:sz w:val="24"/>
          <w:szCs w:val="24"/>
        </w:rPr>
        <w:t xml:space="preserve"> The Applicant expects continued growth in referrals for PSMA</w:t>
      </w:r>
      <w:r w:rsidR="00B508BE" w:rsidRPr="00044A93">
        <w:rPr>
          <w:rFonts w:cstheme="minorHAnsi"/>
          <w:sz w:val="24"/>
          <w:szCs w:val="24"/>
        </w:rPr>
        <w:t xml:space="preserve"> </w:t>
      </w:r>
      <w:r w:rsidR="005C1EAB" w:rsidRPr="00044A93">
        <w:rPr>
          <w:rFonts w:cstheme="minorHAnsi"/>
          <w:sz w:val="24"/>
          <w:szCs w:val="24"/>
        </w:rPr>
        <w:t xml:space="preserve">PET/CT as the PSMA tracer is </w:t>
      </w:r>
      <w:r w:rsidR="00B508BE" w:rsidRPr="00044A93">
        <w:rPr>
          <w:rFonts w:cstheme="minorHAnsi"/>
          <w:sz w:val="24"/>
          <w:szCs w:val="24"/>
        </w:rPr>
        <w:t xml:space="preserve">now being used for response to therapy, similarly to FDG indications for cancer. </w:t>
      </w:r>
    </w:p>
    <w:p w14:paraId="676AE490" w14:textId="1B805755" w:rsidR="0003500D" w:rsidRPr="00044A93" w:rsidRDefault="00B508BE" w:rsidP="008B2147">
      <w:pPr>
        <w:ind w:left="720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 xml:space="preserve">Amyloid brain PET was introduced and </w:t>
      </w:r>
      <w:r w:rsidR="00B83538" w:rsidRPr="00044A93">
        <w:rPr>
          <w:rFonts w:cstheme="minorHAnsi"/>
          <w:sz w:val="24"/>
          <w:szCs w:val="24"/>
        </w:rPr>
        <w:t>reimbursed</w:t>
      </w:r>
      <w:r w:rsidRPr="00044A93">
        <w:rPr>
          <w:rFonts w:cstheme="minorHAnsi"/>
          <w:sz w:val="24"/>
          <w:szCs w:val="24"/>
        </w:rPr>
        <w:t xml:space="preserve"> in 2024</w:t>
      </w:r>
      <w:r w:rsidR="00B83538" w:rsidRPr="00044A93">
        <w:rPr>
          <w:rFonts w:cstheme="minorHAnsi"/>
          <w:sz w:val="24"/>
          <w:szCs w:val="24"/>
        </w:rPr>
        <w:t>. This exam is used to identify patients for anti-amyloid therapy. The industry suggest</w:t>
      </w:r>
      <w:r w:rsidR="006E25B0" w:rsidRPr="00044A93">
        <w:rPr>
          <w:rFonts w:cstheme="minorHAnsi"/>
          <w:sz w:val="24"/>
          <w:szCs w:val="24"/>
        </w:rPr>
        <w:t>s</w:t>
      </w:r>
      <w:r w:rsidR="00B83538" w:rsidRPr="00044A93">
        <w:rPr>
          <w:rFonts w:cstheme="minorHAnsi"/>
          <w:sz w:val="24"/>
          <w:szCs w:val="24"/>
        </w:rPr>
        <w:t xml:space="preserve"> there are 6.5 million Americans that fit the cognitive decline criteria for anti-amyloid therapy. Identification of amyloid presence is needed prior to therapy. This </w:t>
      </w:r>
      <w:r w:rsidR="004A1221" w:rsidRPr="00044A93">
        <w:rPr>
          <w:rFonts w:cstheme="minorHAnsi"/>
          <w:sz w:val="24"/>
          <w:szCs w:val="24"/>
        </w:rPr>
        <w:t>is accomplished</w:t>
      </w:r>
      <w:r w:rsidR="00B83538" w:rsidRPr="00044A93">
        <w:rPr>
          <w:rFonts w:cstheme="minorHAnsi"/>
          <w:sz w:val="24"/>
          <w:szCs w:val="24"/>
        </w:rPr>
        <w:t xml:space="preserve"> through a non-invasive PET scan or a lumbar puncture. </w:t>
      </w:r>
      <w:r w:rsidR="0003500D" w:rsidRPr="00044A93">
        <w:rPr>
          <w:rFonts w:cstheme="minorHAnsi"/>
          <w:sz w:val="24"/>
          <w:szCs w:val="24"/>
        </w:rPr>
        <w:t>Comparison of serial lumbar puncture results (pre and post therapy) has not been established to be as reliable as image comparison for changes in patient condition.</w:t>
      </w:r>
      <w:r w:rsidR="002C5107" w:rsidRPr="00044A93">
        <w:rPr>
          <w:rFonts w:cstheme="minorHAnsi"/>
          <w:sz w:val="24"/>
          <w:szCs w:val="24"/>
        </w:rPr>
        <w:t xml:space="preserve"> The Center for Aging at Baystate is the primary referral source for these cases.</w:t>
      </w:r>
    </w:p>
    <w:tbl>
      <w:tblPr>
        <w:tblStyle w:val="TableGrid"/>
        <w:tblW w:w="7076" w:type="dxa"/>
        <w:tblInd w:w="1199" w:type="dxa"/>
        <w:tblLook w:val="04A0" w:firstRow="1" w:lastRow="0" w:firstColumn="1" w:lastColumn="0" w:noHBand="0" w:noVBand="1"/>
        <w:tblCaption w:val="Scan Volume growth 2022-2025"/>
      </w:tblPr>
      <w:tblGrid>
        <w:gridCol w:w="2129"/>
        <w:gridCol w:w="1309"/>
        <w:gridCol w:w="1142"/>
        <w:gridCol w:w="1156"/>
        <w:gridCol w:w="1340"/>
      </w:tblGrid>
      <w:tr w:rsidR="008B2147" w:rsidRPr="00044A93" w14:paraId="4695F94E" w14:textId="026D086C" w:rsidTr="00C54FAD">
        <w:trPr>
          <w:cantSplit/>
          <w:trHeight w:val="389"/>
          <w:tblHeader/>
        </w:trPr>
        <w:tc>
          <w:tcPr>
            <w:tcW w:w="2216" w:type="dxa"/>
          </w:tcPr>
          <w:p w14:paraId="1A341287" w14:textId="2E2F992F" w:rsidR="008B2147" w:rsidRPr="00044A93" w:rsidRDefault="006C1E94" w:rsidP="008B2147">
            <w:pPr>
              <w:pStyle w:val="BodyTex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lastRenderedPageBreak/>
              <w:t xml:space="preserve">PET/CT </w:t>
            </w:r>
            <w:r w:rsidR="008B2147"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Scan Volume </w:t>
            </w:r>
          </w:p>
        </w:tc>
        <w:tc>
          <w:tcPr>
            <w:tcW w:w="1350" w:type="dxa"/>
          </w:tcPr>
          <w:p w14:paraId="025AD4D5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2022</w:t>
            </w:r>
          </w:p>
          <w:p w14:paraId="5AB78ACD" w14:textId="23223719" w:rsidR="006C1E94" w:rsidRPr="00044A93" w:rsidRDefault="006C1E94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Scans</w:t>
            </w:r>
          </w:p>
        </w:tc>
        <w:tc>
          <w:tcPr>
            <w:tcW w:w="1170" w:type="dxa"/>
          </w:tcPr>
          <w:p w14:paraId="167058E3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2025</w:t>
            </w:r>
          </w:p>
          <w:p w14:paraId="7AF723DA" w14:textId="7627525C" w:rsidR="006C1E94" w:rsidRPr="00044A93" w:rsidRDefault="006C1E94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Scans</w:t>
            </w:r>
          </w:p>
          <w:p w14:paraId="489E7C6E" w14:textId="4FBFECD5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54B86F" w14:textId="726E841C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2022 to 2025 Growth count</w:t>
            </w:r>
          </w:p>
        </w:tc>
        <w:tc>
          <w:tcPr>
            <w:tcW w:w="1170" w:type="dxa"/>
          </w:tcPr>
          <w:p w14:paraId="07697DE3" w14:textId="77777777" w:rsidR="009F0E9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2022 to 2025 Growth </w:t>
            </w:r>
          </w:p>
          <w:p w14:paraId="2BE8D906" w14:textId="43717938" w:rsidR="008B2147" w:rsidRPr="00044A93" w:rsidRDefault="004A1221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percentage</w:t>
            </w:r>
          </w:p>
        </w:tc>
      </w:tr>
      <w:tr w:rsidR="008B2147" w:rsidRPr="00044A93" w14:paraId="479DFBC6" w14:textId="1EDA8118" w:rsidTr="00C54FAD">
        <w:trPr>
          <w:cantSplit/>
        </w:trPr>
        <w:tc>
          <w:tcPr>
            <w:tcW w:w="2216" w:type="dxa"/>
          </w:tcPr>
          <w:p w14:paraId="028A02ED" w14:textId="77777777" w:rsidR="008B2147" w:rsidRPr="00044A93" w:rsidRDefault="008B2147" w:rsidP="008B2147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FDG PET/CT</w:t>
            </w:r>
          </w:p>
        </w:tc>
        <w:tc>
          <w:tcPr>
            <w:tcW w:w="1350" w:type="dxa"/>
          </w:tcPr>
          <w:p w14:paraId="039EEC8F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1,576</w:t>
            </w:r>
          </w:p>
        </w:tc>
        <w:tc>
          <w:tcPr>
            <w:tcW w:w="1170" w:type="dxa"/>
          </w:tcPr>
          <w:p w14:paraId="5889B15C" w14:textId="226F177E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1,864</w:t>
            </w:r>
          </w:p>
        </w:tc>
        <w:tc>
          <w:tcPr>
            <w:tcW w:w="1170" w:type="dxa"/>
          </w:tcPr>
          <w:p w14:paraId="02E5CEBF" w14:textId="45325DCF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288</w:t>
            </w:r>
          </w:p>
        </w:tc>
        <w:tc>
          <w:tcPr>
            <w:tcW w:w="1170" w:type="dxa"/>
          </w:tcPr>
          <w:p w14:paraId="3F972BE4" w14:textId="070C2030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18%</w:t>
            </w:r>
          </w:p>
        </w:tc>
      </w:tr>
      <w:tr w:rsidR="008B2147" w:rsidRPr="00044A93" w14:paraId="63E89E82" w14:textId="257BB02F" w:rsidTr="00C54FAD">
        <w:trPr>
          <w:cantSplit/>
        </w:trPr>
        <w:tc>
          <w:tcPr>
            <w:tcW w:w="2216" w:type="dxa"/>
          </w:tcPr>
          <w:p w14:paraId="12D0AAF5" w14:textId="77777777" w:rsidR="008B2147" w:rsidRPr="00044A93" w:rsidRDefault="008B2147" w:rsidP="008B2147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PSMA PET/CT</w:t>
            </w:r>
          </w:p>
        </w:tc>
        <w:tc>
          <w:tcPr>
            <w:tcW w:w="1350" w:type="dxa"/>
          </w:tcPr>
          <w:p w14:paraId="6A3B2C2D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108</w:t>
            </w:r>
          </w:p>
        </w:tc>
        <w:tc>
          <w:tcPr>
            <w:tcW w:w="1170" w:type="dxa"/>
          </w:tcPr>
          <w:p w14:paraId="2579A397" w14:textId="1AE4F319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481</w:t>
            </w:r>
          </w:p>
        </w:tc>
        <w:tc>
          <w:tcPr>
            <w:tcW w:w="1170" w:type="dxa"/>
          </w:tcPr>
          <w:p w14:paraId="7B1ABCDF" w14:textId="3DCD3023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373</w:t>
            </w:r>
          </w:p>
        </w:tc>
        <w:tc>
          <w:tcPr>
            <w:tcW w:w="1170" w:type="dxa"/>
          </w:tcPr>
          <w:p w14:paraId="1522B333" w14:textId="7382C7DB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345%</w:t>
            </w:r>
          </w:p>
        </w:tc>
      </w:tr>
      <w:tr w:rsidR="008B2147" w:rsidRPr="00044A93" w14:paraId="1E6B9343" w14:textId="6F4160E0" w:rsidTr="00C54FAD">
        <w:trPr>
          <w:cantSplit/>
        </w:trPr>
        <w:tc>
          <w:tcPr>
            <w:tcW w:w="2216" w:type="dxa"/>
          </w:tcPr>
          <w:p w14:paraId="6E15D523" w14:textId="77777777" w:rsidR="008B2147" w:rsidRPr="00044A93" w:rsidRDefault="008B2147" w:rsidP="008B2147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Amyloid PET/CT</w:t>
            </w:r>
          </w:p>
        </w:tc>
        <w:tc>
          <w:tcPr>
            <w:tcW w:w="1350" w:type="dxa"/>
          </w:tcPr>
          <w:p w14:paraId="569E9FD7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FF9629E" w14:textId="5C4ED402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132</w:t>
            </w:r>
          </w:p>
        </w:tc>
        <w:tc>
          <w:tcPr>
            <w:tcW w:w="1170" w:type="dxa"/>
          </w:tcPr>
          <w:p w14:paraId="1E66EC2D" w14:textId="71F44C5B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132</w:t>
            </w:r>
          </w:p>
        </w:tc>
        <w:tc>
          <w:tcPr>
            <w:tcW w:w="1170" w:type="dxa"/>
          </w:tcPr>
          <w:p w14:paraId="3A2E57CD" w14:textId="1BB74F2A" w:rsidR="008B2147" w:rsidRPr="00044A93" w:rsidRDefault="000A2CF6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new service</w:t>
            </w:r>
          </w:p>
        </w:tc>
      </w:tr>
      <w:tr w:rsidR="008B2147" w:rsidRPr="00044A93" w14:paraId="39E85A5F" w14:textId="1EEB3901" w:rsidTr="00C54FAD">
        <w:trPr>
          <w:cantSplit/>
        </w:trPr>
        <w:tc>
          <w:tcPr>
            <w:tcW w:w="2216" w:type="dxa"/>
          </w:tcPr>
          <w:p w14:paraId="1FFD3288" w14:textId="77777777" w:rsidR="008B2147" w:rsidRPr="00044A93" w:rsidRDefault="008B2147" w:rsidP="008B2147">
            <w:pPr>
              <w:pStyle w:val="BodyText"/>
              <w:jc w:val="both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Cardiac PET/CT</w:t>
            </w:r>
          </w:p>
        </w:tc>
        <w:tc>
          <w:tcPr>
            <w:tcW w:w="1350" w:type="dxa"/>
          </w:tcPr>
          <w:p w14:paraId="4F883FEE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35</w:t>
            </w:r>
          </w:p>
        </w:tc>
        <w:tc>
          <w:tcPr>
            <w:tcW w:w="1170" w:type="dxa"/>
          </w:tcPr>
          <w:p w14:paraId="25AA5F95" w14:textId="572826F8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14:paraId="390973F7" w14:textId="6DEAE13A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-3</w:t>
            </w:r>
          </w:p>
        </w:tc>
        <w:tc>
          <w:tcPr>
            <w:tcW w:w="1170" w:type="dxa"/>
          </w:tcPr>
          <w:p w14:paraId="40F6938F" w14:textId="39C7885F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spacing w:val="-1"/>
                <w:sz w:val="24"/>
                <w:szCs w:val="24"/>
              </w:rPr>
              <w:t>-9%</w:t>
            </w:r>
          </w:p>
        </w:tc>
      </w:tr>
      <w:tr w:rsidR="008B2147" w:rsidRPr="00044A93" w14:paraId="209ABC9A" w14:textId="4E87B7A1" w:rsidTr="00C54FAD">
        <w:trPr>
          <w:cantSplit/>
        </w:trPr>
        <w:tc>
          <w:tcPr>
            <w:tcW w:w="2216" w:type="dxa"/>
          </w:tcPr>
          <w:p w14:paraId="21DFCD00" w14:textId="77777777" w:rsidR="008B2147" w:rsidRPr="00044A93" w:rsidRDefault="008B2147" w:rsidP="008B2147">
            <w:pPr>
              <w:pStyle w:val="BodyText"/>
              <w:jc w:val="both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PET/</w:t>
            </w:r>
            <w:proofErr w:type="gramStart"/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CT Scans</w:t>
            </w:r>
            <w:proofErr w:type="gramEnd"/>
          </w:p>
        </w:tc>
        <w:tc>
          <w:tcPr>
            <w:tcW w:w="1350" w:type="dxa"/>
          </w:tcPr>
          <w:p w14:paraId="21C82E5A" w14:textId="77777777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1,719</w:t>
            </w:r>
          </w:p>
        </w:tc>
        <w:tc>
          <w:tcPr>
            <w:tcW w:w="1170" w:type="dxa"/>
          </w:tcPr>
          <w:p w14:paraId="66B523A2" w14:textId="3A6BD48E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2,509</w:t>
            </w:r>
          </w:p>
        </w:tc>
        <w:tc>
          <w:tcPr>
            <w:tcW w:w="1170" w:type="dxa"/>
          </w:tcPr>
          <w:p w14:paraId="17A6F2C3" w14:textId="1D2CB93E" w:rsidR="008B2147" w:rsidRPr="00044A93" w:rsidRDefault="000A2CF6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790</w:t>
            </w:r>
          </w:p>
        </w:tc>
        <w:tc>
          <w:tcPr>
            <w:tcW w:w="1170" w:type="dxa"/>
          </w:tcPr>
          <w:p w14:paraId="479C7DCB" w14:textId="689A6B5B" w:rsidR="008B2147" w:rsidRPr="00044A93" w:rsidRDefault="008B2147" w:rsidP="008B2147">
            <w:pPr>
              <w:pStyle w:val="BodyText"/>
              <w:ind w:right="12"/>
              <w:jc w:val="center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</w:pPr>
            <w:r w:rsidRPr="00044A93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>46%</w:t>
            </w:r>
          </w:p>
        </w:tc>
      </w:tr>
    </w:tbl>
    <w:p w14:paraId="0D648FF5" w14:textId="77777777" w:rsidR="00FA7AE9" w:rsidRPr="00044A93" w:rsidRDefault="00FA7AE9" w:rsidP="00FA7AE9">
      <w:pPr>
        <w:pStyle w:val="ListParagraph"/>
        <w:rPr>
          <w:rFonts w:cstheme="minorHAnsi"/>
          <w:sz w:val="24"/>
          <w:szCs w:val="24"/>
        </w:rPr>
      </w:pPr>
    </w:p>
    <w:p w14:paraId="5CACCBB8" w14:textId="6BE4D6E5" w:rsidR="00DB423D" w:rsidRPr="00044A93" w:rsidRDefault="00FA7AE9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 xml:space="preserve">Provide the </w:t>
      </w:r>
      <w:r w:rsidR="00CB7F91" w:rsidRPr="00044A93">
        <w:rPr>
          <w:sz w:val="24"/>
          <w:szCs w:val="24"/>
        </w:rPr>
        <w:t xml:space="preserve">Average Daily Volume and Utilization </w:t>
      </w:r>
      <w:r w:rsidRPr="00044A93">
        <w:rPr>
          <w:sz w:val="24"/>
          <w:szCs w:val="24"/>
        </w:rPr>
        <w:t>of the mobile PET-CT machine</w:t>
      </w:r>
    </w:p>
    <w:p w14:paraId="0D95E182" w14:textId="063BFA3D" w:rsidR="00DB423D" w:rsidRPr="00044A93" w:rsidRDefault="00DB423D" w:rsidP="00DB423D">
      <w:pPr>
        <w:ind w:left="720"/>
        <w:contextualSpacing/>
        <w:rPr>
          <w:rFonts w:cstheme="minorHAnsi"/>
          <w:color w:val="000000" w:themeColor="text1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proofErr w:type="gramStart"/>
      <w:r w:rsidRPr="00044A93">
        <w:rPr>
          <w:rFonts w:cstheme="minorHAnsi"/>
          <w:sz w:val="24"/>
          <w:szCs w:val="24"/>
        </w:rPr>
        <w:t xml:space="preserve">:  </w:t>
      </w:r>
      <w:r w:rsidR="006E25B0" w:rsidRPr="00044A93">
        <w:rPr>
          <w:rFonts w:cstheme="minorHAnsi"/>
          <w:color w:val="000000" w:themeColor="text1"/>
          <w:sz w:val="24"/>
          <w:szCs w:val="24"/>
        </w:rPr>
        <w:t>The</w:t>
      </w:r>
      <w:proofErr w:type="gramEnd"/>
      <w:r w:rsidR="006E25B0" w:rsidRPr="00044A93">
        <w:rPr>
          <w:rFonts w:cstheme="minorHAnsi"/>
          <w:color w:val="000000" w:themeColor="text1"/>
          <w:sz w:val="24"/>
          <w:szCs w:val="24"/>
        </w:rPr>
        <w:t xml:space="preserve"> Applicant </w:t>
      </w:r>
      <w:r w:rsidR="00612CB7" w:rsidRPr="00044A93">
        <w:rPr>
          <w:rFonts w:cstheme="minorHAnsi"/>
          <w:color w:val="000000" w:themeColor="text1"/>
          <w:sz w:val="24"/>
          <w:szCs w:val="24"/>
        </w:rPr>
        <w:t>operated the PET/CT unit 2 days per week in 2022, 2.5 days per week in 2023 and 3 days per week in 2024 and 2025.</w:t>
      </w:r>
    </w:p>
    <w:p w14:paraId="525DB406" w14:textId="77777777" w:rsidR="00612CB7" w:rsidRPr="00044A93" w:rsidRDefault="00612CB7" w:rsidP="00DB423D">
      <w:pPr>
        <w:ind w:left="720"/>
        <w:contextualSpacing/>
        <w:rPr>
          <w:rFonts w:cstheme="minorHAnsi"/>
          <w:color w:val="EE0000"/>
          <w:sz w:val="24"/>
          <w:szCs w:val="24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  <w:tblCaption w:val="Average Daily Volume and Utilization of mobile PET-CT"/>
      </w:tblPr>
      <w:tblGrid>
        <w:gridCol w:w="2866"/>
        <w:gridCol w:w="703"/>
        <w:gridCol w:w="703"/>
        <w:gridCol w:w="703"/>
        <w:gridCol w:w="703"/>
      </w:tblGrid>
      <w:tr w:rsidR="006E25B0" w:rsidRPr="00044A93" w14:paraId="1F4A3C06" w14:textId="77777777" w:rsidTr="00D64A04">
        <w:trPr>
          <w:cantSplit/>
          <w:tblHeader/>
        </w:trPr>
        <w:tc>
          <w:tcPr>
            <w:tcW w:w="0" w:type="auto"/>
          </w:tcPr>
          <w:p w14:paraId="34D416DC" w14:textId="2AD74C6E" w:rsidR="006E25B0" w:rsidRPr="00044A93" w:rsidRDefault="00D64A04" w:rsidP="00E41A83">
            <w:pPr>
              <w:spacing w:before="52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77DB6CF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b/>
                <w:bCs/>
                <w:sz w:val="24"/>
                <w:szCs w:val="24"/>
              </w:rPr>
            </w:pPr>
            <w:r w:rsidRPr="00044A93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CDB0894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b/>
                <w:bCs/>
                <w:sz w:val="24"/>
                <w:szCs w:val="24"/>
              </w:rPr>
            </w:pPr>
            <w:r w:rsidRPr="00044A93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9E4E664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b/>
                <w:bCs/>
                <w:sz w:val="24"/>
                <w:szCs w:val="24"/>
              </w:rPr>
            </w:pPr>
            <w:r w:rsidRPr="00044A93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D674EE4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b/>
                <w:bCs/>
                <w:sz w:val="24"/>
                <w:szCs w:val="24"/>
              </w:rPr>
            </w:pPr>
            <w:r w:rsidRPr="00044A93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6E25B0" w:rsidRPr="00044A93" w14:paraId="5E70D3C5" w14:textId="77777777" w:rsidTr="00D64A04">
        <w:trPr>
          <w:cantSplit/>
        </w:trPr>
        <w:tc>
          <w:tcPr>
            <w:tcW w:w="0" w:type="auto"/>
          </w:tcPr>
          <w:p w14:paraId="7DED78AF" w14:textId="5AB77564" w:rsidR="006E25B0" w:rsidRPr="00044A93" w:rsidRDefault="006E25B0" w:rsidP="00E41A83">
            <w:pPr>
              <w:spacing w:before="52"/>
              <w:ind w:right="-10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 xml:space="preserve">Average Daily </w:t>
            </w:r>
            <w:r w:rsidR="00092B84" w:rsidRPr="00044A93">
              <w:rPr>
                <w:sz w:val="24"/>
                <w:szCs w:val="24"/>
              </w:rPr>
              <w:t xml:space="preserve">Scan </w:t>
            </w:r>
            <w:r w:rsidRPr="00044A93">
              <w:rPr>
                <w:sz w:val="24"/>
                <w:szCs w:val="24"/>
              </w:rPr>
              <w:t>Volume</w:t>
            </w:r>
          </w:p>
        </w:tc>
        <w:tc>
          <w:tcPr>
            <w:tcW w:w="0" w:type="auto"/>
          </w:tcPr>
          <w:p w14:paraId="1A3BCEDB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16.5</w:t>
            </w:r>
          </w:p>
        </w:tc>
        <w:tc>
          <w:tcPr>
            <w:tcW w:w="0" w:type="auto"/>
          </w:tcPr>
          <w:p w14:paraId="037B7603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16.5</w:t>
            </w:r>
          </w:p>
        </w:tc>
        <w:tc>
          <w:tcPr>
            <w:tcW w:w="0" w:type="auto"/>
          </w:tcPr>
          <w:p w14:paraId="326B0B63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15.5</w:t>
            </w:r>
          </w:p>
        </w:tc>
        <w:tc>
          <w:tcPr>
            <w:tcW w:w="0" w:type="auto"/>
          </w:tcPr>
          <w:p w14:paraId="4FA09494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16.4</w:t>
            </w:r>
          </w:p>
        </w:tc>
      </w:tr>
      <w:tr w:rsidR="006E25B0" w:rsidRPr="00044A93" w14:paraId="3DA1AB38" w14:textId="77777777" w:rsidTr="00D64A04">
        <w:trPr>
          <w:cantSplit/>
        </w:trPr>
        <w:tc>
          <w:tcPr>
            <w:tcW w:w="0" w:type="auto"/>
          </w:tcPr>
          <w:p w14:paraId="29791CE3" w14:textId="77777777" w:rsidR="006E25B0" w:rsidRPr="00044A93" w:rsidRDefault="006E25B0" w:rsidP="00E41A83">
            <w:pPr>
              <w:spacing w:before="52"/>
              <w:ind w:right="-10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 xml:space="preserve">Utilization </w:t>
            </w:r>
          </w:p>
        </w:tc>
        <w:tc>
          <w:tcPr>
            <w:tcW w:w="0" w:type="auto"/>
          </w:tcPr>
          <w:p w14:paraId="2655EEA8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75%</w:t>
            </w:r>
          </w:p>
        </w:tc>
        <w:tc>
          <w:tcPr>
            <w:tcW w:w="0" w:type="auto"/>
          </w:tcPr>
          <w:p w14:paraId="49B173BB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85%</w:t>
            </w:r>
          </w:p>
        </w:tc>
        <w:tc>
          <w:tcPr>
            <w:tcW w:w="0" w:type="auto"/>
          </w:tcPr>
          <w:p w14:paraId="37B19876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80%</w:t>
            </w:r>
          </w:p>
        </w:tc>
        <w:tc>
          <w:tcPr>
            <w:tcW w:w="0" w:type="auto"/>
          </w:tcPr>
          <w:p w14:paraId="3332C44E" w14:textId="77777777" w:rsidR="006E25B0" w:rsidRPr="00044A93" w:rsidRDefault="006E25B0" w:rsidP="00E41A83">
            <w:pPr>
              <w:spacing w:before="52"/>
              <w:ind w:right="-10"/>
              <w:jc w:val="center"/>
              <w:rPr>
                <w:sz w:val="24"/>
                <w:szCs w:val="24"/>
              </w:rPr>
            </w:pPr>
            <w:r w:rsidRPr="00044A93">
              <w:rPr>
                <w:sz w:val="24"/>
                <w:szCs w:val="24"/>
              </w:rPr>
              <w:t>81%</w:t>
            </w:r>
          </w:p>
        </w:tc>
      </w:tr>
    </w:tbl>
    <w:p w14:paraId="48C6CC3B" w14:textId="77777777" w:rsidR="00DB423D" w:rsidRPr="00044A93" w:rsidRDefault="00DB423D" w:rsidP="004A0AF3">
      <w:pPr>
        <w:rPr>
          <w:rFonts w:cstheme="minorHAnsi"/>
          <w:sz w:val="24"/>
          <w:szCs w:val="24"/>
        </w:rPr>
      </w:pPr>
    </w:p>
    <w:p w14:paraId="0D341864" w14:textId="128E5606" w:rsidR="004A0AF3" w:rsidRPr="00044A93" w:rsidRDefault="00FA7AE9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>Explain, with data, the m</w:t>
      </w:r>
      <w:r w:rsidR="004A0AF3" w:rsidRPr="00044A93">
        <w:rPr>
          <w:sz w:val="24"/>
          <w:szCs w:val="24"/>
        </w:rPr>
        <w:t>ethodology</w:t>
      </w:r>
      <w:r w:rsidRPr="00044A93">
        <w:rPr>
          <w:sz w:val="24"/>
          <w:szCs w:val="24"/>
        </w:rPr>
        <w:t xml:space="preserve"> </w:t>
      </w:r>
      <w:proofErr w:type="gramStart"/>
      <w:r w:rsidRPr="00044A93">
        <w:rPr>
          <w:sz w:val="24"/>
          <w:szCs w:val="24"/>
        </w:rPr>
        <w:t>used</w:t>
      </w:r>
      <w:proofErr w:type="gramEnd"/>
      <w:r w:rsidR="004A0AF3" w:rsidRPr="00044A93">
        <w:rPr>
          <w:sz w:val="24"/>
          <w:szCs w:val="24"/>
        </w:rPr>
        <w:t xml:space="preserve"> for determining </w:t>
      </w:r>
      <w:r w:rsidRPr="00044A93">
        <w:rPr>
          <w:sz w:val="24"/>
          <w:szCs w:val="24"/>
        </w:rPr>
        <w:t xml:space="preserve">that </w:t>
      </w:r>
      <w:r w:rsidR="004A0AF3" w:rsidRPr="00044A93">
        <w:rPr>
          <w:sz w:val="24"/>
          <w:szCs w:val="24"/>
        </w:rPr>
        <w:t xml:space="preserve">two days </w:t>
      </w:r>
      <w:r w:rsidRPr="00044A93">
        <w:rPr>
          <w:sz w:val="24"/>
          <w:szCs w:val="24"/>
        </w:rPr>
        <w:t>are</w:t>
      </w:r>
      <w:r w:rsidR="004A0AF3" w:rsidRPr="00044A93">
        <w:rPr>
          <w:sz w:val="24"/>
          <w:szCs w:val="24"/>
        </w:rPr>
        <w:t xml:space="preserve"> </w:t>
      </w:r>
      <w:r w:rsidRPr="00044A93">
        <w:rPr>
          <w:sz w:val="24"/>
          <w:szCs w:val="24"/>
        </w:rPr>
        <w:t>required</w:t>
      </w:r>
      <w:r w:rsidR="004A0AF3" w:rsidRPr="00044A93">
        <w:rPr>
          <w:sz w:val="24"/>
          <w:szCs w:val="24"/>
        </w:rPr>
        <w:t xml:space="preserve"> to address </w:t>
      </w:r>
      <w:r w:rsidRPr="00044A93">
        <w:rPr>
          <w:sz w:val="24"/>
          <w:szCs w:val="24"/>
        </w:rPr>
        <w:t xml:space="preserve">Patient Panel </w:t>
      </w:r>
      <w:r w:rsidR="004A0AF3" w:rsidRPr="00044A93">
        <w:rPr>
          <w:sz w:val="24"/>
          <w:szCs w:val="24"/>
        </w:rPr>
        <w:t xml:space="preserve">need for PET-CT services and decrease wait times to 7 to 10 days. </w:t>
      </w:r>
      <w:r w:rsidR="000C03C9" w:rsidRPr="00044A93">
        <w:rPr>
          <w:sz w:val="24"/>
          <w:szCs w:val="24"/>
        </w:rPr>
        <w:br/>
      </w:r>
    </w:p>
    <w:p w14:paraId="0CABE139" w14:textId="30826DD6" w:rsidR="000D2F53" w:rsidRPr="00044A93" w:rsidRDefault="00004548" w:rsidP="000D2F53">
      <w:pPr>
        <w:pStyle w:val="ListParagraph"/>
        <w:rPr>
          <w:rFonts w:cstheme="minorHAnsi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r w:rsidRPr="00044A93">
        <w:rPr>
          <w:rFonts w:cstheme="minorHAnsi"/>
          <w:sz w:val="24"/>
          <w:szCs w:val="24"/>
        </w:rPr>
        <w:t xml:space="preserve">: </w:t>
      </w:r>
      <w:r w:rsidR="000D2F53" w:rsidRPr="00044A93">
        <w:rPr>
          <w:rFonts w:cstheme="minorHAnsi"/>
          <w:sz w:val="24"/>
          <w:szCs w:val="24"/>
        </w:rPr>
        <w:t xml:space="preserve">PET/CT is used to stage cancer after initial diagnosis, </w:t>
      </w:r>
      <w:r w:rsidR="00AE0D0E" w:rsidRPr="00044A93">
        <w:rPr>
          <w:rFonts w:cstheme="minorHAnsi"/>
          <w:sz w:val="24"/>
          <w:szCs w:val="24"/>
        </w:rPr>
        <w:t>as well as to assess progress in response to therapy</w:t>
      </w:r>
      <w:r w:rsidR="000D2F53" w:rsidRPr="00044A93">
        <w:rPr>
          <w:rFonts w:cstheme="minorHAnsi"/>
          <w:sz w:val="24"/>
          <w:szCs w:val="24"/>
        </w:rPr>
        <w:t xml:space="preserve"> (</w:t>
      </w:r>
      <w:r w:rsidR="004B7713" w:rsidRPr="00044A93">
        <w:rPr>
          <w:rFonts w:cstheme="minorHAnsi"/>
          <w:sz w:val="24"/>
          <w:szCs w:val="24"/>
        </w:rPr>
        <w:t xml:space="preserve">e.g. </w:t>
      </w:r>
      <w:r w:rsidR="000D2F53" w:rsidRPr="00044A93">
        <w:rPr>
          <w:rFonts w:cstheme="minorHAnsi"/>
          <w:sz w:val="24"/>
          <w:szCs w:val="24"/>
        </w:rPr>
        <w:t xml:space="preserve">chemo, radiation) so that adjustments to treatment can be made as necessary. Each patient referral includes requests for multiple scan appointments (often 1-3).  The first scan appointment is for staging, and the follow-up scan appointments are for </w:t>
      </w:r>
      <w:r w:rsidR="001664A0" w:rsidRPr="00044A93">
        <w:rPr>
          <w:rFonts w:cstheme="minorHAnsi"/>
          <w:sz w:val="24"/>
          <w:szCs w:val="24"/>
        </w:rPr>
        <w:t xml:space="preserve">response to </w:t>
      </w:r>
      <w:r w:rsidR="000D2F53" w:rsidRPr="00044A93">
        <w:rPr>
          <w:rFonts w:cstheme="minorHAnsi"/>
          <w:sz w:val="24"/>
          <w:szCs w:val="24"/>
        </w:rPr>
        <w:t xml:space="preserve">therapy.  Given the Applicant's backlog of PET/CT scheduling, the referring providers submit these appointment requests together to ensure the scheduling </w:t>
      </w:r>
      <w:r w:rsidR="001664A0" w:rsidRPr="00044A93">
        <w:rPr>
          <w:rFonts w:cstheme="minorHAnsi"/>
          <w:sz w:val="24"/>
          <w:szCs w:val="24"/>
        </w:rPr>
        <w:t xml:space="preserve">of PET/CT for staging and response to therapy </w:t>
      </w:r>
      <w:proofErr w:type="gramStart"/>
      <w:r w:rsidR="000D2F53" w:rsidRPr="00044A93">
        <w:rPr>
          <w:rFonts w:cstheme="minorHAnsi"/>
          <w:sz w:val="24"/>
          <w:szCs w:val="24"/>
        </w:rPr>
        <w:t>are</w:t>
      </w:r>
      <w:proofErr w:type="gramEnd"/>
      <w:r w:rsidR="000D2F53" w:rsidRPr="00044A93">
        <w:rPr>
          <w:rFonts w:cstheme="minorHAnsi"/>
          <w:sz w:val="24"/>
          <w:szCs w:val="24"/>
        </w:rPr>
        <w:t xml:space="preserve"> timely and aligned with the treatment schedule.</w:t>
      </w:r>
    </w:p>
    <w:p w14:paraId="261BBC13" w14:textId="77777777" w:rsidR="000D2F53" w:rsidRPr="00044A93" w:rsidRDefault="000D2F53" w:rsidP="00C11BF6">
      <w:pPr>
        <w:pStyle w:val="ListParagraph"/>
        <w:rPr>
          <w:rFonts w:cstheme="minorHAnsi"/>
          <w:sz w:val="24"/>
          <w:szCs w:val="24"/>
        </w:rPr>
      </w:pPr>
    </w:p>
    <w:p w14:paraId="159AC96E" w14:textId="4EF8FCA2" w:rsidR="000D2F53" w:rsidRPr="00044A93" w:rsidRDefault="00C11BF6" w:rsidP="00C11BF6">
      <w:pPr>
        <w:pStyle w:val="ListParagraph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 xml:space="preserve">Currently, PET scheduling is open seven days per week, including Saturday and Sunday. Referring offices send referrals five days per week; however, </w:t>
      </w:r>
      <w:r w:rsidR="00440E2A" w:rsidRPr="00044A93">
        <w:rPr>
          <w:rFonts w:cstheme="minorHAnsi"/>
          <w:sz w:val="24"/>
          <w:szCs w:val="24"/>
        </w:rPr>
        <w:t>the Applicant is currently limited to</w:t>
      </w:r>
      <w:r w:rsidRPr="00044A93">
        <w:rPr>
          <w:rFonts w:cstheme="minorHAnsi"/>
          <w:sz w:val="24"/>
          <w:szCs w:val="24"/>
        </w:rPr>
        <w:t xml:space="preserve"> scanning three service days per week. Based on current conditions, the </w:t>
      </w:r>
      <w:r w:rsidR="000D2F53" w:rsidRPr="00044A93">
        <w:rPr>
          <w:rFonts w:cstheme="minorHAnsi"/>
          <w:sz w:val="24"/>
          <w:szCs w:val="24"/>
        </w:rPr>
        <w:t>Applicant</w:t>
      </w:r>
      <w:r w:rsidRPr="00044A93">
        <w:rPr>
          <w:rFonts w:cstheme="minorHAnsi"/>
          <w:sz w:val="24"/>
          <w:szCs w:val="24"/>
        </w:rPr>
        <w:t xml:space="preserve"> receives an average of 10 referrals per day. </w:t>
      </w:r>
      <w:r w:rsidR="00FD4C6B" w:rsidRPr="00044A93">
        <w:rPr>
          <w:rFonts w:cstheme="minorHAnsi"/>
          <w:sz w:val="24"/>
          <w:szCs w:val="24"/>
        </w:rPr>
        <w:t xml:space="preserve"> </w:t>
      </w:r>
    </w:p>
    <w:p w14:paraId="408DB8C9" w14:textId="41F83414" w:rsidR="00C11BF6" w:rsidRPr="00044A93" w:rsidRDefault="000D2F53" w:rsidP="00C11BF6">
      <w:pPr>
        <w:pStyle w:val="ListParagraph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 xml:space="preserve"> </w:t>
      </w:r>
      <w:r w:rsidR="00FD4C6B" w:rsidRPr="00044A93">
        <w:rPr>
          <w:rFonts w:cstheme="minorHAnsi"/>
          <w:sz w:val="24"/>
          <w:szCs w:val="24"/>
        </w:rPr>
        <w:t xml:space="preserve"> </w:t>
      </w:r>
    </w:p>
    <w:p w14:paraId="17F6CD57" w14:textId="7C591C76" w:rsidR="00C11BF6" w:rsidRPr="00044A93" w:rsidRDefault="00C11BF6" w:rsidP="00C11BF6">
      <w:pPr>
        <w:pStyle w:val="ListParagraph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>Current Scanning Capacity:</w:t>
      </w:r>
    </w:p>
    <w:p w14:paraId="6A3C7E4A" w14:textId="708E5A57" w:rsidR="004B7713" w:rsidRPr="00044A93" w:rsidRDefault="00C11BF6" w:rsidP="004B7713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 xml:space="preserve">10 referrals × 3 scanning days = 30 new referrals </w:t>
      </w:r>
      <w:r w:rsidR="000D2F53" w:rsidRPr="00044A93">
        <w:rPr>
          <w:rFonts w:cstheme="minorHAnsi"/>
          <w:sz w:val="24"/>
          <w:szCs w:val="24"/>
        </w:rPr>
        <w:t>scheduled</w:t>
      </w:r>
      <w:r w:rsidRPr="00044A93">
        <w:rPr>
          <w:rFonts w:cstheme="minorHAnsi"/>
          <w:sz w:val="24"/>
          <w:szCs w:val="24"/>
        </w:rPr>
        <w:t xml:space="preserve"> per week</w:t>
      </w:r>
    </w:p>
    <w:p w14:paraId="2DE65C31" w14:textId="72261058" w:rsidR="00C11BF6" w:rsidRPr="00044A93" w:rsidRDefault="00C11BF6" w:rsidP="004B7713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>Approximately 60 patients waiting to be scheduled</w:t>
      </w:r>
    </w:p>
    <w:p w14:paraId="7B7C7683" w14:textId="2C9196E2" w:rsidR="00C11BF6" w:rsidRPr="00044A93" w:rsidRDefault="00C11BF6" w:rsidP="004B7713">
      <w:pPr>
        <w:ind w:left="720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lastRenderedPageBreak/>
        <w:t xml:space="preserve">At the current pace of </w:t>
      </w:r>
      <w:r w:rsidR="000D2F53" w:rsidRPr="00044A93">
        <w:rPr>
          <w:rFonts w:cstheme="minorHAnsi"/>
          <w:sz w:val="24"/>
          <w:szCs w:val="24"/>
        </w:rPr>
        <w:t xml:space="preserve">scheduling </w:t>
      </w:r>
      <w:r w:rsidRPr="00044A93">
        <w:rPr>
          <w:rFonts w:cstheme="minorHAnsi"/>
          <w:sz w:val="24"/>
          <w:szCs w:val="24"/>
        </w:rPr>
        <w:t xml:space="preserve">30 </w:t>
      </w:r>
      <w:r w:rsidR="000D2F53" w:rsidRPr="00044A93">
        <w:rPr>
          <w:rFonts w:cstheme="minorHAnsi"/>
          <w:sz w:val="24"/>
          <w:szCs w:val="24"/>
        </w:rPr>
        <w:t xml:space="preserve">referrals </w:t>
      </w:r>
      <w:r w:rsidRPr="00044A93">
        <w:rPr>
          <w:rFonts w:cstheme="minorHAnsi"/>
          <w:sz w:val="24"/>
          <w:szCs w:val="24"/>
        </w:rPr>
        <w:t xml:space="preserve">per week, it takes approximately two weeks to </w:t>
      </w:r>
      <w:r w:rsidR="000D2F53" w:rsidRPr="00044A93">
        <w:rPr>
          <w:rFonts w:cstheme="minorHAnsi"/>
          <w:sz w:val="24"/>
          <w:szCs w:val="24"/>
        </w:rPr>
        <w:t>schedule</w:t>
      </w:r>
      <w:r w:rsidRPr="00044A93">
        <w:rPr>
          <w:rFonts w:cstheme="minorHAnsi"/>
          <w:sz w:val="24"/>
          <w:szCs w:val="24"/>
        </w:rPr>
        <w:t xml:space="preserve"> 60 referrals</w:t>
      </w:r>
      <w:r w:rsidR="00225B02" w:rsidRPr="00044A93">
        <w:rPr>
          <w:rFonts w:cstheme="minorHAnsi"/>
          <w:sz w:val="24"/>
          <w:szCs w:val="24"/>
        </w:rPr>
        <w:t xml:space="preserve">, </w:t>
      </w:r>
      <w:r w:rsidRPr="00044A93">
        <w:rPr>
          <w:rFonts w:cstheme="minorHAnsi"/>
          <w:sz w:val="24"/>
          <w:szCs w:val="24"/>
        </w:rPr>
        <w:t>assuming no additional referrals are received, which is unlikely given the consistent daily intake from referring offices five days per week.</w:t>
      </w:r>
    </w:p>
    <w:p w14:paraId="70DB8BB4" w14:textId="792388C1" w:rsidR="00C11BF6" w:rsidRPr="00044A93" w:rsidRDefault="00C11BF6" w:rsidP="00C11BF6">
      <w:pPr>
        <w:pStyle w:val="ListParagraph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>Expanded Scanning Capacity:</w:t>
      </w:r>
    </w:p>
    <w:p w14:paraId="318B6C02" w14:textId="311DEFB1" w:rsidR="00C11BF6" w:rsidRPr="00044A93" w:rsidRDefault="00C11BF6" w:rsidP="00C11BF6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 xml:space="preserve">10 </w:t>
      </w:r>
      <w:proofErr w:type="gramStart"/>
      <w:r w:rsidRPr="00044A93">
        <w:rPr>
          <w:rFonts w:cstheme="minorHAnsi"/>
          <w:sz w:val="24"/>
          <w:szCs w:val="24"/>
        </w:rPr>
        <w:t>referrals × 5 days</w:t>
      </w:r>
      <w:proofErr w:type="gramEnd"/>
      <w:r w:rsidRPr="00044A93">
        <w:rPr>
          <w:rFonts w:cstheme="minorHAnsi"/>
          <w:sz w:val="24"/>
          <w:szCs w:val="24"/>
        </w:rPr>
        <w:t xml:space="preserve"> = 50 referrals </w:t>
      </w:r>
      <w:r w:rsidR="001878DA" w:rsidRPr="00044A93">
        <w:rPr>
          <w:rFonts w:cstheme="minorHAnsi"/>
          <w:sz w:val="24"/>
          <w:szCs w:val="24"/>
        </w:rPr>
        <w:t>schedul</w:t>
      </w:r>
      <w:r w:rsidR="00225B02" w:rsidRPr="00044A93">
        <w:rPr>
          <w:rFonts w:cstheme="minorHAnsi"/>
          <w:sz w:val="24"/>
          <w:szCs w:val="24"/>
        </w:rPr>
        <w:t>e</w:t>
      </w:r>
      <w:r w:rsidR="001878DA" w:rsidRPr="00044A93">
        <w:rPr>
          <w:rFonts w:cstheme="minorHAnsi"/>
          <w:sz w:val="24"/>
          <w:szCs w:val="24"/>
        </w:rPr>
        <w:t>d</w:t>
      </w:r>
      <w:r w:rsidRPr="00044A93">
        <w:rPr>
          <w:rFonts w:cstheme="minorHAnsi"/>
          <w:sz w:val="24"/>
          <w:szCs w:val="24"/>
        </w:rPr>
        <w:t xml:space="preserve"> per week</w:t>
      </w:r>
    </w:p>
    <w:p w14:paraId="4CBB46B1" w14:textId="641712D4" w:rsidR="00C11BF6" w:rsidRPr="00044A93" w:rsidRDefault="00C11BF6" w:rsidP="00C11BF6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>This represents 20 additional referrals</w:t>
      </w:r>
      <w:r w:rsidR="001878DA" w:rsidRPr="00044A93">
        <w:rPr>
          <w:rFonts w:cstheme="minorHAnsi"/>
          <w:sz w:val="24"/>
          <w:szCs w:val="24"/>
        </w:rPr>
        <w:t xml:space="preserve"> being scheduled</w:t>
      </w:r>
      <w:r w:rsidRPr="00044A93">
        <w:rPr>
          <w:rFonts w:cstheme="minorHAnsi"/>
          <w:sz w:val="24"/>
          <w:szCs w:val="24"/>
        </w:rPr>
        <w:t xml:space="preserve"> per week, or a 67</w:t>
      </w:r>
      <w:r w:rsidR="00D85DF0">
        <w:rPr>
          <w:rFonts w:cstheme="minorHAnsi"/>
          <w:sz w:val="24"/>
          <w:szCs w:val="24"/>
        </w:rPr>
        <w:t xml:space="preserve"> percent</w:t>
      </w:r>
      <w:r w:rsidRPr="00044A93">
        <w:rPr>
          <w:rFonts w:cstheme="minorHAnsi"/>
          <w:sz w:val="24"/>
          <w:szCs w:val="24"/>
        </w:rPr>
        <w:t xml:space="preserve"> increase in capacity</w:t>
      </w:r>
    </w:p>
    <w:p w14:paraId="153410B0" w14:textId="77777777" w:rsidR="00C11BF6" w:rsidRPr="00044A93" w:rsidRDefault="00C11BF6" w:rsidP="004B7713">
      <w:pPr>
        <w:pStyle w:val="ListParagraph"/>
        <w:ind w:left="1080"/>
        <w:rPr>
          <w:rFonts w:cstheme="minorHAnsi"/>
          <w:sz w:val="24"/>
          <w:szCs w:val="24"/>
        </w:rPr>
      </w:pPr>
    </w:p>
    <w:p w14:paraId="0D971E66" w14:textId="6358E2E9" w:rsidR="00C11BF6" w:rsidRPr="00044A93" w:rsidRDefault="008E1876" w:rsidP="00C11BF6">
      <w:pPr>
        <w:pStyle w:val="ListParagraph"/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 xml:space="preserve">With </w:t>
      </w:r>
      <w:r w:rsidR="00C11BF6" w:rsidRPr="00044A93">
        <w:rPr>
          <w:rFonts w:cstheme="minorHAnsi"/>
          <w:sz w:val="24"/>
          <w:szCs w:val="24"/>
        </w:rPr>
        <w:t xml:space="preserve">50 </w:t>
      </w:r>
      <w:r w:rsidR="007228D5" w:rsidRPr="00044A93">
        <w:rPr>
          <w:rFonts w:cstheme="minorHAnsi"/>
          <w:sz w:val="24"/>
          <w:szCs w:val="24"/>
        </w:rPr>
        <w:t xml:space="preserve">patient referrals being processed </w:t>
      </w:r>
      <w:r w:rsidR="00C11BF6" w:rsidRPr="00044A93">
        <w:rPr>
          <w:rFonts w:cstheme="minorHAnsi"/>
          <w:sz w:val="24"/>
          <w:szCs w:val="24"/>
        </w:rPr>
        <w:t xml:space="preserve">per week, the 60-patient </w:t>
      </w:r>
      <w:r w:rsidR="007228D5" w:rsidRPr="00044A93">
        <w:rPr>
          <w:rFonts w:cstheme="minorHAnsi"/>
          <w:sz w:val="24"/>
          <w:szCs w:val="24"/>
        </w:rPr>
        <w:t xml:space="preserve">referral </w:t>
      </w:r>
      <w:r w:rsidR="00C11BF6" w:rsidRPr="00044A93">
        <w:rPr>
          <w:rFonts w:cstheme="minorHAnsi"/>
          <w:sz w:val="24"/>
          <w:szCs w:val="24"/>
        </w:rPr>
        <w:t xml:space="preserve">backlog can be reduced </w:t>
      </w:r>
      <w:proofErr w:type="gramStart"/>
      <w:r w:rsidR="00C11BF6" w:rsidRPr="00044A93">
        <w:rPr>
          <w:rFonts w:cstheme="minorHAnsi"/>
          <w:sz w:val="24"/>
          <w:szCs w:val="24"/>
        </w:rPr>
        <w:t>within</w:t>
      </w:r>
      <w:proofErr w:type="gramEnd"/>
      <w:r w:rsidR="00C11BF6" w:rsidRPr="00044A93">
        <w:rPr>
          <w:rFonts w:cstheme="minorHAnsi"/>
          <w:sz w:val="24"/>
          <w:szCs w:val="24"/>
        </w:rPr>
        <w:t xml:space="preserve"> 1 to 1.5 weeks, while also keeping pace with new incoming referrals. Expanding scanning from three to five days would significantly reduce </w:t>
      </w:r>
      <w:r w:rsidR="007228D5" w:rsidRPr="00044A93">
        <w:rPr>
          <w:rFonts w:cstheme="minorHAnsi"/>
          <w:sz w:val="24"/>
          <w:szCs w:val="24"/>
        </w:rPr>
        <w:t xml:space="preserve">the </w:t>
      </w:r>
      <w:r w:rsidR="00C11BF6" w:rsidRPr="00044A93">
        <w:rPr>
          <w:rFonts w:cstheme="minorHAnsi"/>
          <w:sz w:val="24"/>
          <w:szCs w:val="24"/>
        </w:rPr>
        <w:t xml:space="preserve">backlog, improve turnaround time by approximately one week or more, and enhance patient </w:t>
      </w:r>
      <w:r w:rsidR="00516138" w:rsidRPr="00044A93">
        <w:rPr>
          <w:rFonts w:cstheme="minorHAnsi"/>
          <w:sz w:val="24"/>
          <w:szCs w:val="24"/>
        </w:rPr>
        <w:t xml:space="preserve">access. </w:t>
      </w:r>
    </w:p>
    <w:p w14:paraId="5CE44963" w14:textId="548FC93A" w:rsidR="00EA3332" w:rsidRPr="00044A93" w:rsidRDefault="00C11BF6" w:rsidP="004A0AF3">
      <w:pPr>
        <w:pStyle w:val="ListParagraph"/>
        <w:rPr>
          <w:rFonts w:cstheme="minorHAnsi"/>
          <w:sz w:val="24"/>
          <w:szCs w:val="24"/>
        </w:rPr>
      </w:pPr>
      <w:r w:rsidRPr="00044A93" w:rsidDel="002A2BCB">
        <w:rPr>
          <w:rFonts w:cstheme="minorHAnsi"/>
          <w:sz w:val="24"/>
          <w:szCs w:val="24"/>
        </w:rPr>
        <w:t xml:space="preserve"> </w:t>
      </w:r>
    </w:p>
    <w:p w14:paraId="33ABD79D" w14:textId="74F7B92E" w:rsidR="004A0AF3" w:rsidRPr="00044A93" w:rsidRDefault="00FA7AE9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>Will the Proposed Change have any i</w:t>
      </w:r>
      <w:r w:rsidR="001B61AC" w:rsidRPr="00044A93">
        <w:rPr>
          <w:sz w:val="24"/>
          <w:szCs w:val="24"/>
        </w:rPr>
        <w:t>mpact on operating costs</w:t>
      </w:r>
      <w:r w:rsidRPr="00044A93">
        <w:rPr>
          <w:sz w:val="24"/>
          <w:szCs w:val="24"/>
        </w:rPr>
        <w:t>?</w:t>
      </w:r>
      <w:r w:rsidR="00DE0BD0" w:rsidRPr="00044A93">
        <w:rPr>
          <w:sz w:val="24"/>
          <w:szCs w:val="24"/>
        </w:rPr>
        <w:t xml:space="preserve"> If so, please explain. </w:t>
      </w:r>
    </w:p>
    <w:p w14:paraId="080E0139" w14:textId="5FF026E5" w:rsidR="00197B1D" w:rsidRPr="00044A93" w:rsidRDefault="000C768C" w:rsidP="00B05915">
      <w:pPr>
        <w:ind w:left="720"/>
        <w:rPr>
          <w:rFonts w:cstheme="minorHAnsi"/>
          <w:color w:val="EE0000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r w:rsidRPr="00044A93">
        <w:rPr>
          <w:rFonts w:cstheme="minorHAnsi"/>
          <w:sz w:val="24"/>
          <w:szCs w:val="24"/>
        </w:rPr>
        <w:t xml:space="preserve">:  </w:t>
      </w:r>
      <w:r w:rsidR="002A2BCB" w:rsidRPr="00044A93">
        <w:rPr>
          <w:rFonts w:cstheme="minorHAnsi"/>
          <w:color w:val="4472C4" w:themeColor="accent1"/>
          <w:sz w:val="24"/>
          <w:szCs w:val="24"/>
          <w:lang w:bidi="en-US"/>
        </w:rPr>
        <w:t xml:space="preserve"> </w:t>
      </w:r>
      <w:r w:rsidR="002A2BCB" w:rsidRPr="00044A93">
        <w:rPr>
          <w:rFonts w:cstheme="minorHAnsi"/>
          <w:color w:val="000000" w:themeColor="text1"/>
          <w:sz w:val="24"/>
          <w:szCs w:val="24"/>
          <w:lang w:bidi="en-US"/>
        </w:rPr>
        <w:t xml:space="preserve">The only operating costs impacted by the additional days of service </w:t>
      </w:r>
      <w:proofErr w:type="gramStart"/>
      <w:r w:rsidR="002A2BCB" w:rsidRPr="00044A93">
        <w:rPr>
          <w:rFonts w:cstheme="minorHAnsi"/>
          <w:color w:val="000000" w:themeColor="text1"/>
          <w:sz w:val="24"/>
          <w:szCs w:val="24"/>
          <w:lang w:bidi="en-US"/>
        </w:rPr>
        <w:t>is</w:t>
      </w:r>
      <w:proofErr w:type="gramEnd"/>
      <w:r w:rsidR="002A2BCB" w:rsidRPr="00044A93">
        <w:rPr>
          <w:rFonts w:cstheme="minorHAnsi"/>
          <w:color w:val="000000" w:themeColor="text1"/>
          <w:sz w:val="24"/>
          <w:szCs w:val="24"/>
          <w:lang w:bidi="en-US"/>
        </w:rPr>
        <w:t xml:space="preserve"> the daily equipment fee for the mobile unit and staffing of the unit.</w:t>
      </w:r>
    </w:p>
    <w:p w14:paraId="34B3A8B7" w14:textId="77777777" w:rsidR="00FA7AE9" w:rsidRPr="00044A93" w:rsidRDefault="00FA7AE9" w:rsidP="00FA7AE9">
      <w:pPr>
        <w:pStyle w:val="ListParagraph"/>
        <w:rPr>
          <w:rFonts w:cstheme="minorHAnsi"/>
          <w:sz w:val="24"/>
          <w:szCs w:val="24"/>
        </w:rPr>
      </w:pPr>
    </w:p>
    <w:p w14:paraId="49C0E495" w14:textId="544895D8" w:rsidR="00197B1D" w:rsidRPr="00044A93" w:rsidRDefault="0030426C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>Per the Holder’s demographic data, a</w:t>
      </w:r>
      <w:r w:rsidR="00197B1D" w:rsidRPr="00044A93">
        <w:rPr>
          <w:sz w:val="24"/>
          <w:szCs w:val="24"/>
        </w:rPr>
        <w:t xml:space="preserve"> </w:t>
      </w:r>
      <w:r w:rsidRPr="00044A93">
        <w:rPr>
          <w:sz w:val="24"/>
          <w:szCs w:val="24"/>
        </w:rPr>
        <w:t>l</w:t>
      </w:r>
      <w:r w:rsidR="00197B1D" w:rsidRPr="00044A93">
        <w:rPr>
          <w:sz w:val="24"/>
          <w:szCs w:val="24"/>
        </w:rPr>
        <w:t xml:space="preserve">arge portion of patients declined to report race and </w:t>
      </w:r>
      <w:r w:rsidR="00593E03" w:rsidRPr="00044A93">
        <w:rPr>
          <w:sz w:val="24"/>
          <w:szCs w:val="24"/>
        </w:rPr>
        <w:t>ethnicity,</w:t>
      </w:r>
      <w:r w:rsidRPr="00044A93">
        <w:rPr>
          <w:sz w:val="24"/>
          <w:szCs w:val="24"/>
        </w:rPr>
        <w:t xml:space="preserve"> or race/ethnicity data were not collected. </w:t>
      </w:r>
    </w:p>
    <w:p w14:paraId="6F87DB0F" w14:textId="0BEE09F1" w:rsidR="00197B1D" w:rsidRPr="00044A93" w:rsidRDefault="00197B1D" w:rsidP="00197B1D">
      <w:pPr>
        <w:pStyle w:val="ListParagraph"/>
        <w:numPr>
          <w:ilvl w:val="1"/>
          <w:numId w:val="30"/>
        </w:numPr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>Describe the process for collecting race and ethnicity data.</w:t>
      </w:r>
    </w:p>
    <w:p w14:paraId="1A4665DC" w14:textId="6A897553" w:rsidR="00FB3824" w:rsidRPr="00044A93" w:rsidRDefault="00FB3824" w:rsidP="00197B1D">
      <w:pPr>
        <w:pStyle w:val="ListParagraph"/>
        <w:numPr>
          <w:ilvl w:val="1"/>
          <w:numId w:val="30"/>
        </w:numPr>
        <w:rPr>
          <w:rFonts w:cstheme="minorHAnsi"/>
          <w:sz w:val="24"/>
          <w:szCs w:val="24"/>
        </w:rPr>
      </w:pPr>
      <w:r w:rsidRPr="00044A93">
        <w:rPr>
          <w:rFonts w:cstheme="minorHAnsi"/>
          <w:sz w:val="24"/>
          <w:szCs w:val="24"/>
        </w:rPr>
        <w:t>Explain the reason(s) for the low reporting of race</w:t>
      </w:r>
      <w:r w:rsidR="00E57352" w:rsidRPr="00044A93">
        <w:rPr>
          <w:rFonts w:cstheme="minorHAnsi"/>
          <w:sz w:val="24"/>
          <w:szCs w:val="24"/>
        </w:rPr>
        <w:t xml:space="preserve"> and </w:t>
      </w:r>
      <w:r w:rsidRPr="00044A93">
        <w:rPr>
          <w:rFonts w:cstheme="minorHAnsi"/>
          <w:sz w:val="24"/>
          <w:szCs w:val="24"/>
        </w:rPr>
        <w:t xml:space="preserve">ethnicity by the Holder’s patients. </w:t>
      </w:r>
    </w:p>
    <w:p w14:paraId="7728F16B" w14:textId="1E3B6BE5" w:rsidR="00FA7AE9" w:rsidRPr="00044A93" w:rsidRDefault="00F371C0" w:rsidP="00205D03">
      <w:pPr>
        <w:ind w:left="720"/>
        <w:rPr>
          <w:rFonts w:cstheme="minorHAnsi"/>
          <w:color w:val="EE0000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proofErr w:type="gramStart"/>
      <w:r w:rsidRPr="00044A93">
        <w:rPr>
          <w:rFonts w:cstheme="minorHAnsi"/>
          <w:sz w:val="24"/>
          <w:szCs w:val="24"/>
        </w:rPr>
        <w:t xml:space="preserve">:  </w:t>
      </w:r>
      <w:r w:rsidR="00BD78EE" w:rsidRPr="00044A93">
        <w:rPr>
          <w:rFonts w:cstheme="minorHAnsi"/>
          <w:sz w:val="24"/>
          <w:szCs w:val="24"/>
        </w:rPr>
        <w:t>The</w:t>
      </w:r>
      <w:proofErr w:type="gramEnd"/>
      <w:r w:rsidR="00BD78EE" w:rsidRPr="00044A93">
        <w:rPr>
          <w:rFonts w:cstheme="minorHAnsi"/>
          <w:sz w:val="24"/>
          <w:szCs w:val="24"/>
        </w:rPr>
        <w:t xml:space="preserve"> Applicant understands the value that patient demographics </w:t>
      </w:r>
      <w:proofErr w:type="gramStart"/>
      <w:r w:rsidR="00BD78EE" w:rsidRPr="00044A93">
        <w:rPr>
          <w:rFonts w:cstheme="minorHAnsi"/>
          <w:sz w:val="24"/>
          <w:szCs w:val="24"/>
        </w:rPr>
        <w:t>has</w:t>
      </w:r>
      <w:proofErr w:type="gramEnd"/>
      <w:r w:rsidR="00BD78EE" w:rsidRPr="00044A93">
        <w:rPr>
          <w:rFonts w:cstheme="minorHAnsi"/>
          <w:sz w:val="24"/>
          <w:szCs w:val="24"/>
        </w:rPr>
        <w:t xml:space="preserve"> in advancing health equity.  As part of the Applicant’s online registration process, patients are required to provide information indicating their race and ethnicity.  If a patient registers by phone, our Patient Care Representatives (PCR) seek this information from patients during the scheduling intake process.  If a patient does not respond to this query with the PCR, the patient is </w:t>
      </w:r>
      <w:proofErr w:type="gramStart"/>
      <w:r w:rsidR="00BD78EE" w:rsidRPr="00044A93">
        <w:rPr>
          <w:rFonts w:cstheme="minorHAnsi"/>
          <w:sz w:val="24"/>
          <w:szCs w:val="24"/>
        </w:rPr>
        <w:t>asked this question</w:t>
      </w:r>
      <w:proofErr w:type="gramEnd"/>
      <w:r w:rsidR="00BD78EE" w:rsidRPr="00044A93">
        <w:rPr>
          <w:rFonts w:cstheme="minorHAnsi"/>
          <w:sz w:val="24"/>
          <w:szCs w:val="24"/>
        </w:rPr>
        <w:t xml:space="preserve"> again, when they arrive at the center for their exam. The Applicant will continue to highlight the importance that this data plays in ensuring health equity during staff training.</w:t>
      </w:r>
    </w:p>
    <w:p w14:paraId="5CF68755" w14:textId="77777777" w:rsidR="00B160BA" w:rsidRPr="00044A93" w:rsidRDefault="00B160BA" w:rsidP="00B160BA">
      <w:pPr>
        <w:spacing w:after="0"/>
        <w:ind w:left="720"/>
        <w:rPr>
          <w:rFonts w:cstheme="minorHAnsi"/>
          <w:color w:val="EE0000"/>
          <w:sz w:val="24"/>
          <w:szCs w:val="24"/>
        </w:rPr>
      </w:pPr>
    </w:p>
    <w:p w14:paraId="1606FDF8" w14:textId="39ADC18D" w:rsidR="00C5598D" w:rsidRPr="00044A93" w:rsidRDefault="004C585C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>Which races are included in the category “Other races”?</w:t>
      </w:r>
    </w:p>
    <w:p w14:paraId="0C3996D8" w14:textId="77777777" w:rsidR="00744D26" w:rsidRPr="00044A93" w:rsidRDefault="00744D26" w:rsidP="00744D26">
      <w:pPr>
        <w:spacing w:after="0"/>
        <w:ind w:left="360"/>
        <w:rPr>
          <w:rFonts w:cstheme="minorHAnsi"/>
          <w:sz w:val="24"/>
          <w:szCs w:val="24"/>
        </w:rPr>
      </w:pPr>
    </w:p>
    <w:p w14:paraId="6C287218" w14:textId="71BAFD21" w:rsidR="00744D26" w:rsidRPr="00044A93" w:rsidRDefault="00744D26" w:rsidP="00851EC3">
      <w:pPr>
        <w:ind w:left="720"/>
        <w:rPr>
          <w:rFonts w:cstheme="minorHAnsi"/>
          <w:color w:val="EE0000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r w:rsidRPr="00044A93">
        <w:rPr>
          <w:rFonts w:cstheme="minorHAnsi"/>
          <w:sz w:val="24"/>
          <w:szCs w:val="24"/>
        </w:rPr>
        <w:t xml:space="preserve">:  </w:t>
      </w:r>
      <w:r w:rsidRPr="00044A93">
        <w:rPr>
          <w:rFonts w:cstheme="minorHAnsi"/>
          <w:color w:val="000000" w:themeColor="text1"/>
          <w:sz w:val="24"/>
          <w:szCs w:val="24"/>
        </w:rPr>
        <w:t xml:space="preserve">The Applicant included the following races in the "Other races" category to comply with HIPAA data reporting guidelines: Asian, American Indian, Two or More, </w:t>
      </w:r>
      <w:r w:rsidRPr="00044A93">
        <w:rPr>
          <w:rFonts w:cstheme="minorHAnsi"/>
          <w:color w:val="000000" w:themeColor="text1"/>
          <w:sz w:val="24"/>
          <w:szCs w:val="24"/>
        </w:rPr>
        <w:lastRenderedPageBreak/>
        <w:t xml:space="preserve">Native Hawaiian and Other race".  </w:t>
      </w:r>
      <w:r w:rsidR="0032438A" w:rsidRPr="00044A93">
        <w:rPr>
          <w:rFonts w:cstheme="minorHAnsi"/>
          <w:color w:val="000000" w:themeColor="text1"/>
          <w:sz w:val="24"/>
          <w:szCs w:val="24"/>
        </w:rPr>
        <w:t>African American was also included in 2022 "Other races"</w:t>
      </w:r>
      <w:r w:rsidR="00851EC3" w:rsidRPr="00044A93">
        <w:rPr>
          <w:rFonts w:cstheme="minorHAnsi"/>
          <w:color w:val="000000" w:themeColor="text1"/>
          <w:sz w:val="24"/>
          <w:szCs w:val="24"/>
        </w:rPr>
        <w:t>.</w:t>
      </w:r>
    </w:p>
    <w:p w14:paraId="1108F5B2" w14:textId="77777777" w:rsidR="00FA7AE9" w:rsidRPr="00044A93" w:rsidRDefault="00FA7AE9" w:rsidP="00FA7AE9">
      <w:pPr>
        <w:pStyle w:val="ListParagraph"/>
        <w:rPr>
          <w:rFonts w:cstheme="minorHAnsi"/>
          <w:sz w:val="24"/>
          <w:szCs w:val="24"/>
        </w:rPr>
      </w:pPr>
    </w:p>
    <w:p w14:paraId="1AC9E320" w14:textId="021A58DC" w:rsidR="00C5598D" w:rsidRPr="00044A93" w:rsidRDefault="00FA7AE9" w:rsidP="00566366">
      <w:pPr>
        <w:pStyle w:val="Heading2"/>
        <w:rPr>
          <w:sz w:val="24"/>
          <w:szCs w:val="24"/>
        </w:rPr>
      </w:pPr>
      <w:r w:rsidRPr="00044A93">
        <w:rPr>
          <w:sz w:val="24"/>
          <w:szCs w:val="24"/>
        </w:rPr>
        <w:t xml:space="preserve">Provide the </w:t>
      </w:r>
      <w:r w:rsidR="00C5598D" w:rsidRPr="00044A93">
        <w:rPr>
          <w:sz w:val="24"/>
          <w:szCs w:val="24"/>
        </w:rPr>
        <w:t>days of operation and hours of operation</w:t>
      </w:r>
      <w:r w:rsidR="00354150" w:rsidRPr="00044A93">
        <w:rPr>
          <w:sz w:val="24"/>
          <w:szCs w:val="24"/>
        </w:rPr>
        <w:t xml:space="preserve"> for the two additional days. </w:t>
      </w:r>
    </w:p>
    <w:p w14:paraId="7FEDFE29" w14:textId="2E914EFF" w:rsidR="00E70874" w:rsidRPr="00044A93" w:rsidRDefault="004B6C79" w:rsidP="00EC6997">
      <w:pPr>
        <w:ind w:left="720"/>
        <w:rPr>
          <w:rFonts w:cstheme="minorHAnsi"/>
          <w:color w:val="000000" w:themeColor="text1"/>
          <w:sz w:val="24"/>
          <w:szCs w:val="24"/>
        </w:rPr>
      </w:pPr>
      <w:r w:rsidRPr="00044A93">
        <w:rPr>
          <w:rFonts w:cstheme="minorHAnsi"/>
          <w:b/>
          <w:bCs/>
          <w:sz w:val="24"/>
          <w:szCs w:val="24"/>
        </w:rPr>
        <w:t>Response</w:t>
      </w:r>
      <w:r w:rsidRPr="00044A93">
        <w:rPr>
          <w:rFonts w:cstheme="minorHAnsi"/>
          <w:sz w:val="24"/>
          <w:szCs w:val="24"/>
        </w:rPr>
        <w:t xml:space="preserve">:  </w:t>
      </w:r>
      <w:r w:rsidR="00EC6997" w:rsidRPr="00044A93">
        <w:rPr>
          <w:rFonts w:cstheme="minorHAnsi"/>
          <w:color w:val="000000" w:themeColor="text1"/>
          <w:sz w:val="24"/>
          <w:szCs w:val="24"/>
        </w:rPr>
        <w:t>The Applicant plans to add the following days and hours of operation for the requested two additional days:  Tuesdays 6:30 am to 6:00 pm, and Saturdays 6:30 am to 6:00 pm.</w:t>
      </w:r>
    </w:p>
    <w:sectPr w:rsidR="00E70874" w:rsidRPr="00044A93" w:rsidSect="00C04577">
      <w:headerReference w:type="even" r:id="rId9"/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C056" w14:textId="77777777" w:rsidR="00345F18" w:rsidRDefault="00345F18" w:rsidP="00E45D1C">
      <w:pPr>
        <w:spacing w:after="0" w:line="240" w:lineRule="auto"/>
      </w:pPr>
      <w:r>
        <w:separator/>
      </w:r>
    </w:p>
  </w:endnote>
  <w:endnote w:type="continuationSeparator" w:id="0">
    <w:p w14:paraId="611FDEBF" w14:textId="77777777" w:rsidR="00345F18" w:rsidRDefault="00345F18" w:rsidP="00E45D1C">
      <w:pPr>
        <w:spacing w:after="0" w:line="240" w:lineRule="auto"/>
      </w:pPr>
      <w:r>
        <w:continuationSeparator/>
      </w:r>
    </w:p>
  </w:endnote>
  <w:endnote w:type="continuationNotice" w:id="1">
    <w:p w14:paraId="100CD772" w14:textId="77777777" w:rsidR="00345F18" w:rsidRDefault="00345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359CFDE2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B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584798" w14:textId="77777777" w:rsidR="005E5080" w:rsidRDefault="005E5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69CF" w14:textId="77777777" w:rsidR="00345F18" w:rsidRDefault="00345F18" w:rsidP="00E45D1C">
      <w:pPr>
        <w:spacing w:after="0" w:line="240" w:lineRule="auto"/>
      </w:pPr>
      <w:r>
        <w:separator/>
      </w:r>
    </w:p>
  </w:footnote>
  <w:footnote w:type="continuationSeparator" w:id="0">
    <w:p w14:paraId="4EE68C7A" w14:textId="77777777" w:rsidR="00345F18" w:rsidRDefault="00345F18" w:rsidP="00E45D1C">
      <w:pPr>
        <w:spacing w:after="0" w:line="240" w:lineRule="auto"/>
      </w:pPr>
      <w:r>
        <w:continuationSeparator/>
      </w:r>
    </w:p>
  </w:footnote>
  <w:footnote w:type="continuationNotice" w:id="1">
    <w:p w14:paraId="304162E8" w14:textId="77777777" w:rsidR="00345F18" w:rsidRDefault="00345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985" w14:textId="0C4CEAE6" w:rsidR="00101DAD" w:rsidRDefault="00345F18">
    <w:pPr>
      <w:pStyle w:val="Header"/>
    </w:pPr>
    <w:r>
      <w:rPr>
        <w:noProof/>
      </w:rPr>
      <w:pict w14:anchorId="4FE1D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A975" w14:textId="2C2A2952" w:rsidR="00ED1D5D" w:rsidRDefault="00760378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Baystate MRI and Imaging Center, LLC</w:t>
    </w:r>
  </w:p>
  <w:p w14:paraId="49E1965E" w14:textId="26A587C1" w:rsidR="00856033" w:rsidRDefault="00856033" w:rsidP="00B371F2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# </w:t>
    </w:r>
    <w:r w:rsidR="00224BE5" w:rsidRPr="00224BE5">
      <w:rPr>
        <w:b/>
        <w:bCs/>
        <w:sz w:val="28"/>
        <w:szCs w:val="28"/>
      </w:rPr>
      <w:t>BMIC-26010717-AM</w:t>
    </w:r>
  </w:p>
  <w:p w14:paraId="76B1CE11" w14:textId="77777777" w:rsidR="00F54DB2" w:rsidRPr="00092585" w:rsidRDefault="00F54DB2" w:rsidP="00B371F2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6C8"/>
    <w:multiLevelType w:val="hybridMultilevel"/>
    <w:tmpl w:val="8548C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28E2"/>
    <w:multiLevelType w:val="hybridMultilevel"/>
    <w:tmpl w:val="AC9E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7954"/>
    <w:multiLevelType w:val="hybridMultilevel"/>
    <w:tmpl w:val="42F0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C56"/>
    <w:multiLevelType w:val="hybridMultilevel"/>
    <w:tmpl w:val="AC9EB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21D8"/>
    <w:multiLevelType w:val="hybridMultilevel"/>
    <w:tmpl w:val="83FA7576"/>
    <w:lvl w:ilvl="0" w:tplc="A058E6F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AE262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ECB4713E">
      <w:start w:val="1"/>
      <w:numFmt w:val="lowerLetter"/>
      <w:lvlText w:val="%3."/>
      <w:lvlJc w:val="right"/>
      <w:pPr>
        <w:ind w:left="2340" w:hanging="360"/>
      </w:pPr>
      <w:rPr>
        <w:rFonts w:asciiTheme="minorHAnsi" w:eastAsiaTheme="minorHAnsi" w:hAnsiTheme="minorHAnsi" w:cstheme="minorHAnsi"/>
        <w:b w:val="0"/>
        <w:bCs w:val="0"/>
      </w:rPr>
    </w:lvl>
    <w:lvl w:ilvl="3" w:tplc="D55E0C9E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CC8"/>
    <w:multiLevelType w:val="hybridMultilevel"/>
    <w:tmpl w:val="42F07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1607"/>
    <w:multiLevelType w:val="hybridMultilevel"/>
    <w:tmpl w:val="E8EC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E305D"/>
    <w:multiLevelType w:val="hybridMultilevel"/>
    <w:tmpl w:val="5F0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76FC6"/>
    <w:multiLevelType w:val="hybridMultilevel"/>
    <w:tmpl w:val="A406F108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60517"/>
    <w:multiLevelType w:val="hybridMultilevel"/>
    <w:tmpl w:val="DE54E63E"/>
    <w:lvl w:ilvl="0" w:tplc="F3D86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67C57"/>
    <w:multiLevelType w:val="hybridMultilevel"/>
    <w:tmpl w:val="77766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A77CB6"/>
    <w:multiLevelType w:val="multilevel"/>
    <w:tmpl w:val="69E851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0C5"/>
    <w:multiLevelType w:val="multilevel"/>
    <w:tmpl w:val="79EA87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737861">
    <w:abstractNumId w:val="24"/>
  </w:num>
  <w:num w:numId="2" w16cid:durableId="1740977041">
    <w:abstractNumId w:val="6"/>
  </w:num>
  <w:num w:numId="3" w16cid:durableId="263349290">
    <w:abstractNumId w:val="23"/>
  </w:num>
  <w:num w:numId="4" w16cid:durableId="771898894">
    <w:abstractNumId w:val="30"/>
  </w:num>
  <w:num w:numId="5" w16cid:durableId="1061059076">
    <w:abstractNumId w:val="25"/>
  </w:num>
  <w:num w:numId="6" w16cid:durableId="1515918114">
    <w:abstractNumId w:val="27"/>
  </w:num>
  <w:num w:numId="7" w16cid:durableId="13291406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246292">
    <w:abstractNumId w:val="21"/>
  </w:num>
  <w:num w:numId="9" w16cid:durableId="129373036">
    <w:abstractNumId w:val="2"/>
  </w:num>
  <w:num w:numId="10" w16cid:durableId="1549341041">
    <w:abstractNumId w:val="12"/>
  </w:num>
  <w:num w:numId="11" w16cid:durableId="1176962675">
    <w:abstractNumId w:val="1"/>
  </w:num>
  <w:num w:numId="12" w16cid:durableId="413936266">
    <w:abstractNumId w:val="22"/>
  </w:num>
  <w:num w:numId="13" w16cid:durableId="111169647">
    <w:abstractNumId w:val="14"/>
  </w:num>
  <w:num w:numId="14" w16cid:durableId="749811608">
    <w:abstractNumId w:val="18"/>
  </w:num>
  <w:num w:numId="15" w16cid:durableId="752317546">
    <w:abstractNumId w:val="3"/>
  </w:num>
  <w:num w:numId="16" w16cid:durableId="96147316">
    <w:abstractNumId w:val="15"/>
  </w:num>
  <w:num w:numId="17" w16cid:durableId="2035614426">
    <w:abstractNumId w:val="10"/>
  </w:num>
  <w:num w:numId="18" w16cid:durableId="1290434280">
    <w:abstractNumId w:val="20"/>
  </w:num>
  <w:num w:numId="19" w16cid:durableId="1298606870">
    <w:abstractNumId w:val="26"/>
  </w:num>
  <w:num w:numId="20" w16cid:durableId="1785807605">
    <w:abstractNumId w:val="13"/>
  </w:num>
  <w:num w:numId="21" w16cid:durableId="2101296028">
    <w:abstractNumId w:val="5"/>
  </w:num>
  <w:num w:numId="22" w16cid:durableId="957879899">
    <w:abstractNumId w:val="9"/>
  </w:num>
  <w:num w:numId="23" w16cid:durableId="154806987">
    <w:abstractNumId w:val="5"/>
  </w:num>
  <w:num w:numId="24" w16cid:durableId="1137532537">
    <w:abstractNumId w:val="11"/>
  </w:num>
  <w:num w:numId="25" w16cid:durableId="950553213">
    <w:abstractNumId w:val="4"/>
  </w:num>
  <w:num w:numId="26" w16cid:durableId="1486773241">
    <w:abstractNumId w:val="7"/>
  </w:num>
  <w:num w:numId="27" w16cid:durableId="1095130216">
    <w:abstractNumId w:val="0"/>
  </w:num>
  <w:num w:numId="28" w16cid:durableId="1029532327">
    <w:abstractNumId w:val="16"/>
  </w:num>
  <w:num w:numId="29" w16cid:durableId="19258724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2784058">
    <w:abstractNumId w:val="8"/>
  </w:num>
  <w:num w:numId="31" w16cid:durableId="301155304">
    <w:abstractNumId w:val="28"/>
  </w:num>
  <w:num w:numId="32" w16cid:durableId="1718697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7D"/>
    <w:rsid w:val="00004548"/>
    <w:rsid w:val="00005616"/>
    <w:rsid w:val="00006750"/>
    <w:rsid w:val="000115B7"/>
    <w:rsid w:val="00011D6E"/>
    <w:rsid w:val="00011E91"/>
    <w:rsid w:val="00015AB6"/>
    <w:rsid w:val="0001602B"/>
    <w:rsid w:val="0001718E"/>
    <w:rsid w:val="000201A4"/>
    <w:rsid w:val="000204BD"/>
    <w:rsid w:val="00020571"/>
    <w:rsid w:val="0002247D"/>
    <w:rsid w:val="00023287"/>
    <w:rsid w:val="000246A5"/>
    <w:rsid w:val="00025270"/>
    <w:rsid w:val="00026890"/>
    <w:rsid w:val="000305E0"/>
    <w:rsid w:val="00030EF5"/>
    <w:rsid w:val="00033CB3"/>
    <w:rsid w:val="0003500D"/>
    <w:rsid w:val="00037DBC"/>
    <w:rsid w:val="00042007"/>
    <w:rsid w:val="0004417D"/>
    <w:rsid w:val="000441F8"/>
    <w:rsid w:val="00044A93"/>
    <w:rsid w:val="00047091"/>
    <w:rsid w:val="000478F3"/>
    <w:rsid w:val="00047E6B"/>
    <w:rsid w:val="0005118D"/>
    <w:rsid w:val="00055D9B"/>
    <w:rsid w:val="000577D6"/>
    <w:rsid w:val="00057914"/>
    <w:rsid w:val="00057BAA"/>
    <w:rsid w:val="00060097"/>
    <w:rsid w:val="00062F8C"/>
    <w:rsid w:val="00062FC0"/>
    <w:rsid w:val="000631D6"/>
    <w:rsid w:val="00064CD2"/>
    <w:rsid w:val="00065A3D"/>
    <w:rsid w:val="00071FC9"/>
    <w:rsid w:val="00074284"/>
    <w:rsid w:val="000747D7"/>
    <w:rsid w:val="000750FC"/>
    <w:rsid w:val="00075B8D"/>
    <w:rsid w:val="00077704"/>
    <w:rsid w:val="00080B4C"/>
    <w:rsid w:val="00080C65"/>
    <w:rsid w:val="000814DA"/>
    <w:rsid w:val="000819BE"/>
    <w:rsid w:val="00083BD7"/>
    <w:rsid w:val="00084492"/>
    <w:rsid w:val="0008545A"/>
    <w:rsid w:val="00086FF9"/>
    <w:rsid w:val="00090684"/>
    <w:rsid w:val="00092585"/>
    <w:rsid w:val="00092B84"/>
    <w:rsid w:val="00092E82"/>
    <w:rsid w:val="00093B92"/>
    <w:rsid w:val="00094477"/>
    <w:rsid w:val="00094963"/>
    <w:rsid w:val="00095A0E"/>
    <w:rsid w:val="00096556"/>
    <w:rsid w:val="000968DB"/>
    <w:rsid w:val="000A2CF6"/>
    <w:rsid w:val="000A33BD"/>
    <w:rsid w:val="000A3493"/>
    <w:rsid w:val="000A4C12"/>
    <w:rsid w:val="000A6E13"/>
    <w:rsid w:val="000A7C7B"/>
    <w:rsid w:val="000B015C"/>
    <w:rsid w:val="000B205E"/>
    <w:rsid w:val="000B33AC"/>
    <w:rsid w:val="000B4C1D"/>
    <w:rsid w:val="000B6CCE"/>
    <w:rsid w:val="000C0238"/>
    <w:rsid w:val="000C03C9"/>
    <w:rsid w:val="000C0FF4"/>
    <w:rsid w:val="000C4F63"/>
    <w:rsid w:val="000C768C"/>
    <w:rsid w:val="000D2F53"/>
    <w:rsid w:val="000D568B"/>
    <w:rsid w:val="000E0E85"/>
    <w:rsid w:val="000E1A2B"/>
    <w:rsid w:val="000E3F88"/>
    <w:rsid w:val="000E7B9E"/>
    <w:rsid w:val="000E7BB1"/>
    <w:rsid w:val="000F1308"/>
    <w:rsid w:val="000F4352"/>
    <w:rsid w:val="000F76B5"/>
    <w:rsid w:val="00101DAD"/>
    <w:rsid w:val="001036A2"/>
    <w:rsid w:val="00104021"/>
    <w:rsid w:val="00106F8B"/>
    <w:rsid w:val="0010752A"/>
    <w:rsid w:val="00107578"/>
    <w:rsid w:val="0011132B"/>
    <w:rsid w:val="001119A9"/>
    <w:rsid w:val="00114641"/>
    <w:rsid w:val="001147F0"/>
    <w:rsid w:val="00117D7A"/>
    <w:rsid w:val="00120B70"/>
    <w:rsid w:val="0012138E"/>
    <w:rsid w:val="001215CE"/>
    <w:rsid w:val="00121E3F"/>
    <w:rsid w:val="00122AC1"/>
    <w:rsid w:val="00124E01"/>
    <w:rsid w:val="0012606C"/>
    <w:rsid w:val="00130034"/>
    <w:rsid w:val="00131E01"/>
    <w:rsid w:val="001321E8"/>
    <w:rsid w:val="00137228"/>
    <w:rsid w:val="001418CE"/>
    <w:rsid w:val="001439D9"/>
    <w:rsid w:val="00144AAB"/>
    <w:rsid w:val="0014570F"/>
    <w:rsid w:val="001470B4"/>
    <w:rsid w:val="00150334"/>
    <w:rsid w:val="00151435"/>
    <w:rsid w:val="001514FF"/>
    <w:rsid w:val="001526EC"/>
    <w:rsid w:val="001542DA"/>
    <w:rsid w:val="00154DFC"/>
    <w:rsid w:val="001561A4"/>
    <w:rsid w:val="00157D38"/>
    <w:rsid w:val="00161633"/>
    <w:rsid w:val="00163C19"/>
    <w:rsid w:val="001649EA"/>
    <w:rsid w:val="00164C8A"/>
    <w:rsid w:val="001664A0"/>
    <w:rsid w:val="0016653F"/>
    <w:rsid w:val="001665EA"/>
    <w:rsid w:val="00170092"/>
    <w:rsid w:val="0017014C"/>
    <w:rsid w:val="00170BF0"/>
    <w:rsid w:val="001733AB"/>
    <w:rsid w:val="001745F4"/>
    <w:rsid w:val="00175714"/>
    <w:rsid w:val="001818AB"/>
    <w:rsid w:val="00183328"/>
    <w:rsid w:val="001840D3"/>
    <w:rsid w:val="0018422C"/>
    <w:rsid w:val="00185E42"/>
    <w:rsid w:val="00187159"/>
    <w:rsid w:val="001873ED"/>
    <w:rsid w:val="001878DA"/>
    <w:rsid w:val="001912C7"/>
    <w:rsid w:val="00193038"/>
    <w:rsid w:val="00193B1B"/>
    <w:rsid w:val="0019409A"/>
    <w:rsid w:val="0019518B"/>
    <w:rsid w:val="00196C4D"/>
    <w:rsid w:val="0019751B"/>
    <w:rsid w:val="0019757B"/>
    <w:rsid w:val="0019763E"/>
    <w:rsid w:val="00197B1D"/>
    <w:rsid w:val="001A0238"/>
    <w:rsid w:val="001A32EA"/>
    <w:rsid w:val="001A338F"/>
    <w:rsid w:val="001B4571"/>
    <w:rsid w:val="001B4F20"/>
    <w:rsid w:val="001B524B"/>
    <w:rsid w:val="001B61AC"/>
    <w:rsid w:val="001C05B6"/>
    <w:rsid w:val="001C4126"/>
    <w:rsid w:val="001C44D7"/>
    <w:rsid w:val="001C4B4A"/>
    <w:rsid w:val="001C58CB"/>
    <w:rsid w:val="001C5A2D"/>
    <w:rsid w:val="001C6825"/>
    <w:rsid w:val="001D14BE"/>
    <w:rsid w:val="001D22EE"/>
    <w:rsid w:val="001D3878"/>
    <w:rsid w:val="001D42BE"/>
    <w:rsid w:val="001D4B13"/>
    <w:rsid w:val="001D775B"/>
    <w:rsid w:val="001D7789"/>
    <w:rsid w:val="001E39D5"/>
    <w:rsid w:val="001E4287"/>
    <w:rsid w:val="001E6EAE"/>
    <w:rsid w:val="001E739B"/>
    <w:rsid w:val="001E7FB4"/>
    <w:rsid w:val="001F1181"/>
    <w:rsid w:val="001F1A68"/>
    <w:rsid w:val="001F1E8A"/>
    <w:rsid w:val="001F1F84"/>
    <w:rsid w:val="001F31BE"/>
    <w:rsid w:val="001F798F"/>
    <w:rsid w:val="0020210C"/>
    <w:rsid w:val="00203870"/>
    <w:rsid w:val="002059BD"/>
    <w:rsid w:val="002059E0"/>
    <w:rsid w:val="00205D03"/>
    <w:rsid w:val="00207205"/>
    <w:rsid w:val="0021038F"/>
    <w:rsid w:val="00210EBE"/>
    <w:rsid w:val="0021156F"/>
    <w:rsid w:val="00215F63"/>
    <w:rsid w:val="00216515"/>
    <w:rsid w:val="002179EC"/>
    <w:rsid w:val="00220612"/>
    <w:rsid w:val="00220874"/>
    <w:rsid w:val="002215BB"/>
    <w:rsid w:val="00221DD3"/>
    <w:rsid w:val="00224BE5"/>
    <w:rsid w:val="00225B02"/>
    <w:rsid w:val="0022759C"/>
    <w:rsid w:val="00231340"/>
    <w:rsid w:val="0023173B"/>
    <w:rsid w:val="002318C5"/>
    <w:rsid w:val="00234610"/>
    <w:rsid w:val="0023702D"/>
    <w:rsid w:val="00237494"/>
    <w:rsid w:val="00237D71"/>
    <w:rsid w:val="0024225C"/>
    <w:rsid w:val="00242863"/>
    <w:rsid w:val="00243C82"/>
    <w:rsid w:val="00245ECA"/>
    <w:rsid w:val="002468A2"/>
    <w:rsid w:val="00247513"/>
    <w:rsid w:val="00250A27"/>
    <w:rsid w:val="002516E4"/>
    <w:rsid w:val="00251C67"/>
    <w:rsid w:val="00253A90"/>
    <w:rsid w:val="002549E8"/>
    <w:rsid w:val="00256319"/>
    <w:rsid w:val="0025668D"/>
    <w:rsid w:val="002600A8"/>
    <w:rsid w:val="0026193A"/>
    <w:rsid w:val="00264904"/>
    <w:rsid w:val="002652EE"/>
    <w:rsid w:val="00267062"/>
    <w:rsid w:val="002711C8"/>
    <w:rsid w:val="00272D23"/>
    <w:rsid w:val="0028035A"/>
    <w:rsid w:val="0028203A"/>
    <w:rsid w:val="00282E35"/>
    <w:rsid w:val="002842EA"/>
    <w:rsid w:val="00290185"/>
    <w:rsid w:val="00291B41"/>
    <w:rsid w:val="0029201E"/>
    <w:rsid w:val="0029547F"/>
    <w:rsid w:val="002957A3"/>
    <w:rsid w:val="0029685E"/>
    <w:rsid w:val="00296A97"/>
    <w:rsid w:val="002977D3"/>
    <w:rsid w:val="002A1CEE"/>
    <w:rsid w:val="002A2BCB"/>
    <w:rsid w:val="002A3B81"/>
    <w:rsid w:val="002A471D"/>
    <w:rsid w:val="002A49B1"/>
    <w:rsid w:val="002A6157"/>
    <w:rsid w:val="002A7141"/>
    <w:rsid w:val="002B0B0C"/>
    <w:rsid w:val="002B20FF"/>
    <w:rsid w:val="002B4626"/>
    <w:rsid w:val="002B7883"/>
    <w:rsid w:val="002B79D0"/>
    <w:rsid w:val="002C0853"/>
    <w:rsid w:val="002C0F9E"/>
    <w:rsid w:val="002C2587"/>
    <w:rsid w:val="002C4CDD"/>
    <w:rsid w:val="002C5107"/>
    <w:rsid w:val="002C6757"/>
    <w:rsid w:val="002D2091"/>
    <w:rsid w:val="002D3A78"/>
    <w:rsid w:val="002E019C"/>
    <w:rsid w:val="002E176B"/>
    <w:rsid w:val="002E1DF0"/>
    <w:rsid w:val="002E2029"/>
    <w:rsid w:val="002F04D1"/>
    <w:rsid w:val="002F1A9F"/>
    <w:rsid w:val="002F40F6"/>
    <w:rsid w:val="002F4542"/>
    <w:rsid w:val="002F4573"/>
    <w:rsid w:val="002F4F3C"/>
    <w:rsid w:val="002F5E31"/>
    <w:rsid w:val="0030426C"/>
    <w:rsid w:val="003054CD"/>
    <w:rsid w:val="00305770"/>
    <w:rsid w:val="003065B2"/>
    <w:rsid w:val="00306967"/>
    <w:rsid w:val="00311F78"/>
    <w:rsid w:val="00312975"/>
    <w:rsid w:val="0031310D"/>
    <w:rsid w:val="00313D95"/>
    <w:rsid w:val="00313E62"/>
    <w:rsid w:val="0031511B"/>
    <w:rsid w:val="00316EC3"/>
    <w:rsid w:val="00317099"/>
    <w:rsid w:val="003237E9"/>
    <w:rsid w:val="0032438A"/>
    <w:rsid w:val="003250DC"/>
    <w:rsid w:val="00331A32"/>
    <w:rsid w:val="0033289B"/>
    <w:rsid w:val="00333ACA"/>
    <w:rsid w:val="0033773E"/>
    <w:rsid w:val="00342413"/>
    <w:rsid w:val="003435C8"/>
    <w:rsid w:val="00345F18"/>
    <w:rsid w:val="003509F5"/>
    <w:rsid w:val="003538AF"/>
    <w:rsid w:val="00354150"/>
    <w:rsid w:val="003554AD"/>
    <w:rsid w:val="00360D38"/>
    <w:rsid w:val="00360E9D"/>
    <w:rsid w:val="0036169E"/>
    <w:rsid w:val="003662A0"/>
    <w:rsid w:val="00372069"/>
    <w:rsid w:val="003724CF"/>
    <w:rsid w:val="00372914"/>
    <w:rsid w:val="0037508A"/>
    <w:rsid w:val="0037562D"/>
    <w:rsid w:val="003802D2"/>
    <w:rsid w:val="00381C32"/>
    <w:rsid w:val="003872A8"/>
    <w:rsid w:val="003878E1"/>
    <w:rsid w:val="00387BB6"/>
    <w:rsid w:val="003949CE"/>
    <w:rsid w:val="003A0FFD"/>
    <w:rsid w:val="003A1DF2"/>
    <w:rsid w:val="003A1F93"/>
    <w:rsid w:val="003A2DC1"/>
    <w:rsid w:val="003A42C0"/>
    <w:rsid w:val="003A5DE9"/>
    <w:rsid w:val="003A5F00"/>
    <w:rsid w:val="003A62B4"/>
    <w:rsid w:val="003A6733"/>
    <w:rsid w:val="003A69ED"/>
    <w:rsid w:val="003B0E66"/>
    <w:rsid w:val="003B22DA"/>
    <w:rsid w:val="003B22EF"/>
    <w:rsid w:val="003B472F"/>
    <w:rsid w:val="003B4A51"/>
    <w:rsid w:val="003C156F"/>
    <w:rsid w:val="003C64F4"/>
    <w:rsid w:val="003D0850"/>
    <w:rsid w:val="003D1BB9"/>
    <w:rsid w:val="003D2987"/>
    <w:rsid w:val="003D529B"/>
    <w:rsid w:val="003D56C4"/>
    <w:rsid w:val="003D6D46"/>
    <w:rsid w:val="003D78E0"/>
    <w:rsid w:val="003E1923"/>
    <w:rsid w:val="003E29F6"/>
    <w:rsid w:val="003E561D"/>
    <w:rsid w:val="003E5DAD"/>
    <w:rsid w:val="003E7430"/>
    <w:rsid w:val="003E77B9"/>
    <w:rsid w:val="003F052A"/>
    <w:rsid w:val="003F2940"/>
    <w:rsid w:val="003F3FD9"/>
    <w:rsid w:val="003F722F"/>
    <w:rsid w:val="00400B33"/>
    <w:rsid w:val="00404016"/>
    <w:rsid w:val="00405764"/>
    <w:rsid w:val="0040735A"/>
    <w:rsid w:val="00407A93"/>
    <w:rsid w:val="004111B0"/>
    <w:rsid w:val="00411981"/>
    <w:rsid w:val="004123DB"/>
    <w:rsid w:val="00414903"/>
    <w:rsid w:val="00416671"/>
    <w:rsid w:val="00416A5C"/>
    <w:rsid w:val="004171A9"/>
    <w:rsid w:val="00420EE4"/>
    <w:rsid w:val="004216D3"/>
    <w:rsid w:val="00422B3E"/>
    <w:rsid w:val="0042381E"/>
    <w:rsid w:val="004309CD"/>
    <w:rsid w:val="00430D4A"/>
    <w:rsid w:val="00431FF9"/>
    <w:rsid w:val="00432927"/>
    <w:rsid w:val="00432AEC"/>
    <w:rsid w:val="004340C2"/>
    <w:rsid w:val="004372D5"/>
    <w:rsid w:val="00437907"/>
    <w:rsid w:val="00440E2A"/>
    <w:rsid w:val="00441B9C"/>
    <w:rsid w:val="00442E58"/>
    <w:rsid w:val="00444549"/>
    <w:rsid w:val="004464D7"/>
    <w:rsid w:val="00451F40"/>
    <w:rsid w:val="00452A64"/>
    <w:rsid w:val="00453A6F"/>
    <w:rsid w:val="00454856"/>
    <w:rsid w:val="0045541D"/>
    <w:rsid w:val="00457ABD"/>
    <w:rsid w:val="004605D8"/>
    <w:rsid w:val="00460A29"/>
    <w:rsid w:val="0046121A"/>
    <w:rsid w:val="00467022"/>
    <w:rsid w:val="004672CC"/>
    <w:rsid w:val="0047061C"/>
    <w:rsid w:val="00471E4D"/>
    <w:rsid w:val="004722DA"/>
    <w:rsid w:val="00472621"/>
    <w:rsid w:val="0047404C"/>
    <w:rsid w:val="00477571"/>
    <w:rsid w:val="00482A3A"/>
    <w:rsid w:val="004859DC"/>
    <w:rsid w:val="00487F71"/>
    <w:rsid w:val="00491C09"/>
    <w:rsid w:val="00492CE8"/>
    <w:rsid w:val="004938AD"/>
    <w:rsid w:val="0049644D"/>
    <w:rsid w:val="004A0AF3"/>
    <w:rsid w:val="004A1221"/>
    <w:rsid w:val="004A206E"/>
    <w:rsid w:val="004A3DDB"/>
    <w:rsid w:val="004A5826"/>
    <w:rsid w:val="004A6DDB"/>
    <w:rsid w:val="004A743E"/>
    <w:rsid w:val="004A76F7"/>
    <w:rsid w:val="004A7AC3"/>
    <w:rsid w:val="004B35D9"/>
    <w:rsid w:val="004B4C63"/>
    <w:rsid w:val="004B53ED"/>
    <w:rsid w:val="004B5D2E"/>
    <w:rsid w:val="004B616C"/>
    <w:rsid w:val="004B6C79"/>
    <w:rsid w:val="004B7713"/>
    <w:rsid w:val="004C19E2"/>
    <w:rsid w:val="004C3E58"/>
    <w:rsid w:val="004C40EF"/>
    <w:rsid w:val="004C585C"/>
    <w:rsid w:val="004C5FF3"/>
    <w:rsid w:val="004C6954"/>
    <w:rsid w:val="004D0318"/>
    <w:rsid w:val="004D4F2A"/>
    <w:rsid w:val="004D5803"/>
    <w:rsid w:val="004D67AD"/>
    <w:rsid w:val="004E0B9F"/>
    <w:rsid w:val="004E0F87"/>
    <w:rsid w:val="004E2285"/>
    <w:rsid w:val="004E3CEE"/>
    <w:rsid w:val="004E4515"/>
    <w:rsid w:val="004E4580"/>
    <w:rsid w:val="004E6F4B"/>
    <w:rsid w:val="004E7BC5"/>
    <w:rsid w:val="004F133B"/>
    <w:rsid w:val="004F1F61"/>
    <w:rsid w:val="004F2E15"/>
    <w:rsid w:val="004F3770"/>
    <w:rsid w:val="004F3E54"/>
    <w:rsid w:val="004F5731"/>
    <w:rsid w:val="004F5AEF"/>
    <w:rsid w:val="004F64B3"/>
    <w:rsid w:val="004F7F34"/>
    <w:rsid w:val="004F7FCC"/>
    <w:rsid w:val="00500425"/>
    <w:rsid w:val="005012A9"/>
    <w:rsid w:val="00502780"/>
    <w:rsid w:val="00504EE4"/>
    <w:rsid w:val="0050594A"/>
    <w:rsid w:val="005125ED"/>
    <w:rsid w:val="00516138"/>
    <w:rsid w:val="005162D4"/>
    <w:rsid w:val="00516E5B"/>
    <w:rsid w:val="0052287E"/>
    <w:rsid w:val="00522EFA"/>
    <w:rsid w:val="00530092"/>
    <w:rsid w:val="005320CC"/>
    <w:rsid w:val="005335A2"/>
    <w:rsid w:val="00533F7E"/>
    <w:rsid w:val="00535EC3"/>
    <w:rsid w:val="005365BC"/>
    <w:rsid w:val="005376E7"/>
    <w:rsid w:val="00545E14"/>
    <w:rsid w:val="005462CF"/>
    <w:rsid w:val="00547298"/>
    <w:rsid w:val="00550CD0"/>
    <w:rsid w:val="005530C5"/>
    <w:rsid w:val="00556043"/>
    <w:rsid w:val="005565A0"/>
    <w:rsid w:val="00560592"/>
    <w:rsid w:val="0056328C"/>
    <w:rsid w:val="00565661"/>
    <w:rsid w:val="005660A2"/>
    <w:rsid w:val="00566366"/>
    <w:rsid w:val="00566392"/>
    <w:rsid w:val="005672AD"/>
    <w:rsid w:val="00567E03"/>
    <w:rsid w:val="00567EAE"/>
    <w:rsid w:val="0057126E"/>
    <w:rsid w:val="00571DB5"/>
    <w:rsid w:val="005723FC"/>
    <w:rsid w:val="0057324D"/>
    <w:rsid w:val="005752CA"/>
    <w:rsid w:val="005756F8"/>
    <w:rsid w:val="0057795A"/>
    <w:rsid w:val="00580403"/>
    <w:rsid w:val="0058133A"/>
    <w:rsid w:val="00592633"/>
    <w:rsid w:val="00593BD5"/>
    <w:rsid w:val="00593D09"/>
    <w:rsid w:val="00593E03"/>
    <w:rsid w:val="00597C1C"/>
    <w:rsid w:val="005A09EA"/>
    <w:rsid w:val="005A2195"/>
    <w:rsid w:val="005A5238"/>
    <w:rsid w:val="005A5B88"/>
    <w:rsid w:val="005A67B9"/>
    <w:rsid w:val="005B2002"/>
    <w:rsid w:val="005B3EED"/>
    <w:rsid w:val="005B41AC"/>
    <w:rsid w:val="005B5F2F"/>
    <w:rsid w:val="005C0AF5"/>
    <w:rsid w:val="005C13BE"/>
    <w:rsid w:val="005C1EAB"/>
    <w:rsid w:val="005C361E"/>
    <w:rsid w:val="005C415C"/>
    <w:rsid w:val="005C50BA"/>
    <w:rsid w:val="005C6635"/>
    <w:rsid w:val="005C772F"/>
    <w:rsid w:val="005D0ED5"/>
    <w:rsid w:val="005D1437"/>
    <w:rsid w:val="005D3014"/>
    <w:rsid w:val="005D6560"/>
    <w:rsid w:val="005D6895"/>
    <w:rsid w:val="005E1B21"/>
    <w:rsid w:val="005E1E6E"/>
    <w:rsid w:val="005E2B35"/>
    <w:rsid w:val="005E2DD7"/>
    <w:rsid w:val="005E3294"/>
    <w:rsid w:val="005E5080"/>
    <w:rsid w:val="005E5577"/>
    <w:rsid w:val="005E5CA6"/>
    <w:rsid w:val="005E784A"/>
    <w:rsid w:val="005F2CC0"/>
    <w:rsid w:val="005F3A24"/>
    <w:rsid w:val="005F48D7"/>
    <w:rsid w:val="0060093A"/>
    <w:rsid w:val="00602585"/>
    <w:rsid w:val="00603A6D"/>
    <w:rsid w:val="00604B74"/>
    <w:rsid w:val="00606EE8"/>
    <w:rsid w:val="0060745D"/>
    <w:rsid w:val="00607A61"/>
    <w:rsid w:val="00610861"/>
    <w:rsid w:val="006124F9"/>
    <w:rsid w:val="00612CB7"/>
    <w:rsid w:val="00613CDD"/>
    <w:rsid w:val="006155C9"/>
    <w:rsid w:val="006174A7"/>
    <w:rsid w:val="00620026"/>
    <w:rsid w:val="006231EE"/>
    <w:rsid w:val="00626439"/>
    <w:rsid w:val="00627715"/>
    <w:rsid w:val="00631B65"/>
    <w:rsid w:val="006345D0"/>
    <w:rsid w:val="00637B05"/>
    <w:rsid w:val="006414D7"/>
    <w:rsid w:val="006414FA"/>
    <w:rsid w:val="00642CB9"/>
    <w:rsid w:val="0064412C"/>
    <w:rsid w:val="00645A9F"/>
    <w:rsid w:val="0064691A"/>
    <w:rsid w:val="0064794B"/>
    <w:rsid w:val="006515CF"/>
    <w:rsid w:val="00651B37"/>
    <w:rsid w:val="00651E60"/>
    <w:rsid w:val="00656842"/>
    <w:rsid w:val="00665920"/>
    <w:rsid w:val="0066604A"/>
    <w:rsid w:val="0066746F"/>
    <w:rsid w:val="00671A4C"/>
    <w:rsid w:val="00676C6C"/>
    <w:rsid w:val="006813D8"/>
    <w:rsid w:val="00682421"/>
    <w:rsid w:val="006832D4"/>
    <w:rsid w:val="0068633B"/>
    <w:rsid w:val="006878B8"/>
    <w:rsid w:val="0068795C"/>
    <w:rsid w:val="006900CC"/>
    <w:rsid w:val="006911C3"/>
    <w:rsid w:val="006977C7"/>
    <w:rsid w:val="006979BE"/>
    <w:rsid w:val="006A0B44"/>
    <w:rsid w:val="006A0E12"/>
    <w:rsid w:val="006A15F2"/>
    <w:rsid w:val="006A2082"/>
    <w:rsid w:val="006A2C18"/>
    <w:rsid w:val="006A3392"/>
    <w:rsid w:val="006A4298"/>
    <w:rsid w:val="006A6499"/>
    <w:rsid w:val="006A680C"/>
    <w:rsid w:val="006B063E"/>
    <w:rsid w:val="006B0DB1"/>
    <w:rsid w:val="006B28E2"/>
    <w:rsid w:val="006B7D5A"/>
    <w:rsid w:val="006C18E2"/>
    <w:rsid w:val="006C1C43"/>
    <w:rsid w:val="006C1E94"/>
    <w:rsid w:val="006C427A"/>
    <w:rsid w:val="006C44F3"/>
    <w:rsid w:val="006C4DEE"/>
    <w:rsid w:val="006C5DC0"/>
    <w:rsid w:val="006C6604"/>
    <w:rsid w:val="006C6F27"/>
    <w:rsid w:val="006D06AC"/>
    <w:rsid w:val="006D1001"/>
    <w:rsid w:val="006D2806"/>
    <w:rsid w:val="006D5FA5"/>
    <w:rsid w:val="006D61EB"/>
    <w:rsid w:val="006D67BA"/>
    <w:rsid w:val="006D67C1"/>
    <w:rsid w:val="006D6EFC"/>
    <w:rsid w:val="006D7B04"/>
    <w:rsid w:val="006E25B0"/>
    <w:rsid w:val="006E49A5"/>
    <w:rsid w:val="006E7FD4"/>
    <w:rsid w:val="006F0B31"/>
    <w:rsid w:val="006F0FDE"/>
    <w:rsid w:val="006F272F"/>
    <w:rsid w:val="006F508A"/>
    <w:rsid w:val="006F7976"/>
    <w:rsid w:val="00700759"/>
    <w:rsid w:val="00702AC9"/>
    <w:rsid w:val="00702D67"/>
    <w:rsid w:val="0070429A"/>
    <w:rsid w:val="00705F72"/>
    <w:rsid w:val="007073E9"/>
    <w:rsid w:val="007077C0"/>
    <w:rsid w:val="00710539"/>
    <w:rsid w:val="007111FF"/>
    <w:rsid w:val="007117A4"/>
    <w:rsid w:val="00713E08"/>
    <w:rsid w:val="00714363"/>
    <w:rsid w:val="0071442D"/>
    <w:rsid w:val="007204F8"/>
    <w:rsid w:val="007214CD"/>
    <w:rsid w:val="007221A1"/>
    <w:rsid w:val="0072258B"/>
    <w:rsid w:val="007227E7"/>
    <w:rsid w:val="007228D5"/>
    <w:rsid w:val="007231BB"/>
    <w:rsid w:val="007245D3"/>
    <w:rsid w:val="007263E4"/>
    <w:rsid w:val="007312C2"/>
    <w:rsid w:val="007370BC"/>
    <w:rsid w:val="00743517"/>
    <w:rsid w:val="00744D26"/>
    <w:rsid w:val="007469D8"/>
    <w:rsid w:val="007503CE"/>
    <w:rsid w:val="00752C1B"/>
    <w:rsid w:val="00754A13"/>
    <w:rsid w:val="007573C2"/>
    <w:rsid w:val="00760378"/>
    <w:rsid w:val="007629DA"/>
    <w:rsid w:val="00762C24"/>
    <w:rsid w:val="007641EC"/>
    <w:rsid w:val="007651D2"/>
    <w:rsid w:val="00766B15"/>
    <w:rsid w:val="00767DB8"/>
    <w:rsid w:val="00770D89"/>
    <w:rsid w:val="007722EA"/>
    <w:rsid w:val="007778F1"/>
    <w:rsid w:val="00777966"/>
    <w:rsid w:val="007808E9"/>
    <w:rsid w:val="00781702"/>
    <w:rsid w:val="00785128"/>
    <w:rsid w:val="0078554D"/>
    <w:rsid w:val="0078781C"/>
    <w:rsid w:val="00790371"/>
    <w:rsid w:val="00791931"/>
    <w:rsid w:val="007933C8"/>
    <w:rsid w:val="00793566"/>
    <w:rsid w:val="00796150"/>
    <w:rsid w:val="007A0554"/>
    <w:rsid w:val="007A1963"/>
    <w:rsid w:val="007A19B2"/>
    <w:rsid w:val="007A6756"/>
    <w:rsid w:val="007B1AF4"/>
    <w:rsid w:val="007B48AC"/>
    <w:rsid w:val="007B7107"/>
    <w:rsid w:val="007C1208"/>
    <w:rsid w:val="007C1CAE"/>
    <w:rsid w:val="007C2A52"/>
    <w:rsid w:val="007C31A5"/>
    <w:rsid w:val="007C392B"/>
    <w:rsid w:val="007C4499"/>
    <w:rsid w:val="007D0C4C"/>
    <w:rsid w:val="007D0F53"/>
    <w:rsid w:val="007D14E2"/>
    <w:rsid w:val="007D309E"/>
    <w:rsid w:val="007D399B"/>
    <w:rsid w:val="007D4FB8"/>
    <w:rsid w:val="007D6F84"/>
    <w:rsid w:val="007D716F"/>
    <w:rsid w:val="007E50F7"/>
    <w:rsid w:val="007E515A"/>
    <w:rsid w:val="007E5EBD"/>
    <w:rsid w:val="007F0E36"/>
    <w:rsid w:val="007F18F5"/>
    <w:rsid w:val="007F539B"/>
    <w:rsid w:val="007F5758"/>
    <w:rsid w:val="007F7113"/>
    <w:rsid w:val="008001D5"/>
    <w:rsid w:val="00800525"/>
    <w:rsid w:val="008017AF"/>
    <w:rsid w:val="00804D32"/>
    <w:rsid w:val="00805000"/>
    <w:rsid w:val="00806316"/>
    <w:rsid w:val="00814BA2"/>
    <w:rsid w:val="00816BF8"/>
    <w:rsid w:val="0081758A"/>
    <w:rsid w:val="00820E1A"/>
    <w:rsid w:val="008233CC"/>
    <w:rsid w:val="008249B3"/>
    <w:rsid w:val="00826C1D"/>
    <w:rsid w:val="00832477"/>
    <w:rsid w:val="00832690"/>
    <w:rsid w:val="008343FE"/>
    <w:rsid w:val="0084044F"/>
    <w:rsid w:val="008411DB"/>
    <w:rsid w:val="00842A12"/>
    <w:rsid w:val="008441D2"/>
    <w:rsid w:val="00844887"/>
    <w:rsid w:val="008476EE"/>
    <w:rsid w:val="0084776A"/>
    <w:rsid w:val="00851EC3"/>
    <w:rsid w:val="00853808"/>
    <w:rsid w:val="008547AC"/>
    <w:rsid w:val="008558AA"/>
    <w:rsid w:val="00856033"/>
    <w:rsid w:val="00856C65"/>
    <w:rsid w:val="008628D0"/>
    <w:rsid w:val="00863DED"/>
    <w:rsid w:val="00865A56"/>
    <w:rsid w:val="00870B9C"/>
    <w:rsid w:val="00872E44"/>
    <w:rsid w:val="0087532E"/>
    <w:rsid w:val="00876B13"/>
    <w:rsid w:val="00880B05"/>
    <w:rsid w:val="008816DE"/>
    <w:rsid w:val="008833E4"/>
    <w:rsid w:val="00884889"/>
    <w:rsid w:val="0088529C"/>
    <w:rsid w:val="008858B5"/>
    <w:rsid w:val="0088594F"/>
    <w:rsid w:val="00890411"/>
    <w:rsid w:val="008A4D39"/>
    <w:rsid w:val="008A5D59"/>
    <w:rsid w:val="008A6940"/>
    <w:rsid w:val="008B0020"/>
    <w:rsid w:val="008B02DF"/>
    <w:rsid w:val="008B2147"/>
    <w:rsid w:val="008B4A42"/>
    <w:rsid w:val="008B762F"/>
    <w:rsid w:val="008C13D3"/>
    <w:rsid w:val="008C1BC1"/>
    <w:rsid w:val="008C1D6D"/>
    <w:rsid w:val="008C4A85"/>
    <w:rsid w:val="008D06B0"/>
    <w:rsid w:val="008D4DCA"/>
    <w:rsid w:val="008D648C"/>
    <w:rsid w:val="008E1876"/>
    <w:rsid w:val="008E63C4"/>
    <w:rsid w:val="008E6545"/>
    <w:rsid w:val="008F1E32"/>
    <w:rsid w:val="008F1EB6"/>
    <w:rsid w:val="008F4EC3"/>
    <w:rsid w:val="008F5195"/>
    <w:rsid w:val="008F5A1B"/>
    <w:rsid w:val="008F6A3C"/>
    <w:rsid w:val="008F6DF2"/>
    <w:rsid w:val="009011F3"/>
    <w:rsid w:val="0090315D"/>
    <w:rsid w:val="00903338"/>
    <w:rsid w:val="0090431E"/>
    <w:rsid w:val="009050B0"/>
    <w:rsid w:val="009070E4"/>
    <w:rsid w:val="00910CA6"/>
    <w:rsid w:val="00916899"/>
    <w:rsid w:val="00917ED9"/>
    <w:rsid w:val="009235C2"/>
    <w:rsid w:val="00923716"/>
    <w:rsid w:val="00924725"/>
    <w:rsid w:val="00925EA0"/>
    <w:rsid w:val="009317C0"/>
    <w:rsid w:val="00931F5D"/>
    <w:rsid w:val="0093360D"/>
    <w:rsid w:val="00935A39"/>
    <w:rsid w:val="00935F5B"/>
    <w:rsid w:val="009377B8"/>
    <w:rsid w:val="00942A8A"/>
    <w:rsid w:val="009439DD"/>
    <w:rsid w:val="00950571"/>
    <w:rsid w:val="00950B02"/>
    <w:rsid w:val="009565C2"/>
    <w:rsid w:val="00956827"/>
    <w:rsid w:val="00956A3F"/>
    <w:rsid w:val="00957375"/>
    <w:rsid w:val="0096109A"/>
    <w:rsid w:val="009648F0"/>
    <w:rsid w:val="00964F5E"/>
    <w:rsid w:val="00964F91"/>
    <w:rsid w:val="00965110"/>
    <w:rsid w:val="00967B5B"/>
    <w:rsid w:val="00971489"/>
    <w:rsid w:val="009717FD"/>
    <w:rsid w:val="00972FFF"/>
    <w:rsid w:val="009748E0"/>
    <w:rsid w:val="0097558A"/>
    <w:rsid w:val="009764DF"/>
    <w:rsid w:val="00977F09"/>
    <w:rsid w:val="00985C39"/>
    <w:rsid w:val="00991C78"/>
    <w:rsid w:val="009925F8"/>
    <w:rsid w:val="009961E1"/>
    <w:rsid w:val="009964C9"/>
    <w:rsid w:val="00996619"/>
    <w:rsid w:val="00997CD2"/>
    <w:rsid w:val="009A107B"/>
    <w:rsid w:val="009A305D"/>
    <w:rsid w:val="009A306A"/>
    <w:rsid w:val="009A36D7"/>
    <w:rsid w:val="009A3EB1"/>
    <w:rsid w:val="009A49D5"/>
    <w:rsid w:val="009A4DCE"/>
    <w:rsid w:val="009B0CBF"/>
    <w:rsid w:val="009B3AD9"/>
    <w:rsid w:val="009B3D14"/>
    <w:rsid w:val="009B3FB7"/>
    <w:rsid w:val="009B766D"/>
    <w:rsid w:val="009B7DDC"/>
    <w:rsid w:val="009B7F1F"/>
    <w:rsid w:val="009C1049"/>
    <w:rsid w:val="009C157F"/>
    <w:rsid w:val="009C49C8"/>
    <w:rsid w:val="009C6AC2"/>
    <w:rsid w:val="009C774C"/>
    <w:rsid w:val="009D0E1B"/>
    <w:rsid w:val="009D23CF"/>
    <w:rsid w:val="009D2693"/>
    <w:rsid w:val="009D4D27"/>
    <w:rsid w:val="009D5819"/>
    <w:rsid w:val="009D7430"/>
    <w:rsid w:val="009D7FE4"/>
    <w:rsid w:val="009E092D"/>
    <w:rsid w:val="009E351A"/>
    <w:rsid w:val="009E3C97"/>
    <w:rsid w:val="009E4464"/>
    <w:rsid w:val="009E70CA"/>
    <w:rsid w:val="009E7B07"/>
    <w:rsid w:val="009F057B"/>
    <w:rsid w:val="009F0E97"/>
    <w:rsid w:val="009F14A8"/>
    <w:rsid w:val="009F4FDA"/>
    <w:rsid w:val="009F6AC5"/>
    <w:rsid w:val="009F7F1E"/>
    <w:rsid w:val="00A003CF"/>
    <w:rsid w:val="00A005EA"/>
    <w:rsid w:val="00A032FE"/>
    <w:rsid w:val="00A03630"/>
    <w:rsid w:val="00A0414A"/>
    <w:rsid w:val="00A059C1"/>
    <w:rsid w:val="00A10811"/>
    <w:rsid w:val="00A12D89"/>
    <w:rsid w:val="00A13A35"/>
    <w:rsid w:val="00A159F2"/>
    <w:rsid w:val="00A15D95"/>
    <w:rsid w:val="00A169F5"/>
    <w:rsid w:val="00A171D2"/>
    <w:rsid w:val="00A2011E"/>
    <w:rsid w:val="00A20622"/>
    <w:rsid w:val="00A2150D"/>
    <w:rsid w:val="00A2358F"/>
    <w:rsid w:val="00A26FA2"/>
    <w:rsid w:val="00A27739"/>
    <w:rsid w:val="00A30B85"/>
    <w:rsid w:val="00A31535"/>
    <w:rsid w:val="00A321CE"/>
    <w:rsid w:val="00A3290D"/>
    <w:rsid w:val="00A34468"/>
    <w:rsid w:val="00A40530"/>
    <w:rsid w:val="00A41C5A"/>
    <w:rsid w:val="00A44EA2"/>
    <w:rsid w:val="00A4648C"/>
    <w:rsid w:val="00A47E94"/>
    <w:rsid w:val="00A5271A"/>
    <w:rsid w:val="00A56887"/>
    <w:rsid w:val="00A61736"/>
    <w:rsid w:val="00A648BD"/>
    <w:rsid w:val="00A676D9"/>
    <w:rsid w:val="00A67BBD"/>
    <w:rsid w:val="00A700BA"/>
    <w:rsid w:val="00A70E69"/>
    <w:rsid w:val="00A725EF"/>
    <w:rsid w:val="00A727E6"/>
    <w:rsid w:val="00A75E59"/>
    <w:rsid w:val="00A760C1"/>
    <w:rsid w:val="00A766C3"/>
    <w:rsid w:val="00A81D30"/>
    <w:rsid w:val="00A82237"/>
    <w:rsid w:val="00A83D76"/>
    <w:rsid w:val="00A92066"/>
    <w:rsid w:val="00A97891"/>
    <w:rsid w:val="00AA0B69"/>
    <w:rsid w:val="00AA7343"/>
    <w:rsid w:val="00AB117F"/>
    <w:rsid w:val="00AB235E"/>
    <w:rsid w:val="00AB5C56"/>
    <w:rsid w:val="00AB6659"/>
    <w:rsid w:val="00AC08DF"/>
    <w:rsid w:val="00AC66B9"/>
    <w:rsid w:val="00AC6DC0"/>
    <w:rsid w:val="00AD0749"/>
    <w:rsid w:val="00AD0C34"/>
    <w:rsid w:val="00AD13BC"/>
    <w:rsid w:val="00AD18E4"/>
    <w:rsid w:val="00AD47D4"/>
    <w:rsid w:val="00AD4C61"/>
    <w:rsid w:val="00AE07E6"/>
    <w:rsid w:val="00AE0D0E"/>
    <w:rsid w:val="00AE7C57"/>
    <w:rsid w:val="00AF2121"/>
    <w:rsid w:val="00AF2D10"/>
    <w:rsid w:val="00AF4A4A"/>
    <w:rsid w:val="00AF5D07"/>
    <w:rsid w:val="00B00290"/>
    <w:rsid w:val="00B030E3"/>
    <w:rsid w:val="00B03B4E"/>
    <w:rsid w:val="00B05915"/>
    <w:rsid w:val="00B06088"/>
    <w:rsid w:val="00B06C7D"/>
    <w:rsid w:val="00B15223"/>
    <w:rsid w:val="00B160BA"/>
    <w:rsid w:val="00B17E81"/>
    <w:rsid w:val="00B20279"/>
    <w:rsid w:val="00B25870"/>
    <w:rsid w:val="00B35BDB"/>
    <w:rsid w:val="00B371F2"/>
    <w:rsid w:val="00B41866"/>
    <w:rsid w:val="00B4368C"/>
    <w:rsid w:val="00B44DFC"/>
    <w:rsid w:val="00B46497"/>
    <w:rsid w:val="00B508BE"/>
    <w:rsid w:val="00B54D93"/>
    <w:rsid w:val="00B55440"/>
    <w:rsid w:val="00B60C82"/>
    <w:rsid w:val="00B60F75"/>
    <w:rsid w:val="00B61620"/>
    <w:rsid w:val="00B62348"/>
    <w:rsid w:val="00B6535D"/>
    <w:rsid w:val="00B6792D"/>
    <w:rsid w:val="00B70864"/>
    <w:rsid w:val="00B71821"/>
    <w:rsid w:val="00B74C9C"/>
    <w:rsid w:val="00B74C9D"/>
    <w:rsid w:val="00B74F20"/>
    <w:rsid w:val="00B76741"/>
    <w:rsid w:val="00B80A34"/>
    <w:rsid w:val="00B80FFF"/>
    <w:rsid w:val="00B82AD4"/>
    <w:rsid w:val="00B83538"/>
    <w:rsid w:val="00B837EE"/>
    <w:rsid w:val="00B845CB"/>
    <w:rsid w:val="00B845E2"/>
    <w:rsid w:val="00B861CC"/>
    <w:rsid w:val="00B90FBA"/>
    <w:rsid w:val="00B917E5"/>
    <w:rsid w:val="00B94B0C"/>
    <w:rsid w:val="00B9779C"/>
    <w:rsid w:val="00B97E48"/>
    <w:rsid w:val="00BA1744"/>
    <w:rsid w:val="00BA5E8C"/>
    <w:rsid w:val="00BA69C8"/>
    <w:rsid w:val="00BA6BEA"/>
    <w:rsid w:val="00BB1EDC"/>
    <w:rsid w:val="00BB2A76"/>
    <w:rsid w:val="00BB52C7"/>
    <w:rsid w:val="00BB76E3"/>
    <w:rsid w:val="00BC1907"/>
    <w:rsid w:val="00BC2792"/>
    <w:rsid w:val="00BC40AF"/>
    <w:rsid w:val="00BC491E"/>
    <w:rsid w:val="00BC4DFF"/>
    <w:rsid w:val="00BC6BB6"/>
    <w:rsid w:val="00BD0495"/>
    <w:rsid w:val="00BD0DF8"/>
    <w:rsid w:val="00BD5574"/>
    <w:rsid w:val="00BD57B0"/>
    <w:rsid w:val="00BD62A5"/>
    <w:rsid w:val="00BD6601"/>
    <w:rsid w:val="00BD78EE"/>
    <w:rsid w:val="00BE2412"/>
    <w:rsid w:val="00BE2759"/>
    <w:rsid w:val="00BE44A0"/>
    <w:rsid w:val="00BE533B"/>
    <w:rsid w:val="00BE6BD5"/>
    <w:rsid w:val="00BE723C"/>
    <w:rsid w:val="00BE7404"/>
    <w:rsid w:val="00BE7935"/>
    <w:rsid w:val="00BF0140"/>
    <w:rsid w:val="00BF1098"/>
    <w:rsid w:val="00BF1270"/>
    <w:rsid w:val="00BF4723"/>
    <w:rsid w:val="00BF6977"/>
    <w:rsid w:val="00BF6C9E"/>
    <w:rsid w:val="00BF7597"/>
    <w:rsid w:val="00C02728"/>
    <w:rsid w:val="00C03143"/>
    <w:rsid w:val="00C04577"/>
    <w:rsid w:val="00C04986"/>
    <w:rsid w:val="00C067EA"/>
    <w:rsid w:val="00C10FE9"/>
    <w:rsid w:val="00C11BF6"/>
    <w:rsid w:val="00C1307A"/>
    <w:rsid w:val="00C1401B"/>
    <w:rsid w:val="00C1425D"/>
    <w:rsid w:val="00C16875"/>
    <w:rsid w:val="00C17ADD"/>
    <w:rsid w:val="00C20650"/>
    <w:rsid w:val="00C22980"/>
    <w:rsid w:val="00C34108"/>
    <w:rsid w:val="00C36BC2"/>
    <w:rsid w:val="00C37224"/>
    <w:rsid w:val="00C37B96"/>
    <w:rsid w:val="00C4294C"/>
    <w:rsid w:val="00C4348D"/>
    <w:rsid w:val="00C44CC2"/>
    <w:rsid w:val="00C452E9"/>
    <w:rsid w:val="00C5137E"/>
    <w:rsid w:val="00C54906"/>
    <w:rsid w:val="00C54FAD"/>
    <w:rsid w:val="00C5598D"/>
    <w:rsid w:val="00C620A0"/>
    <w:rsid w:val="00C62870"/>
    <w:rsid w:val="00C62DA2"/>
    <w:rsid w:val="00C63FF9"/>
    <w:rsid w:val="00C6610D"/>
    <w:rsid w:val="00C66F5E"/>
    <w:rsid w:val="00C67427"/>
    <w:rsid w:val="00C675A0"/>
    <w:rsid w:val="00C7092D"/>
    <w:rsid w:val="00C7161C"/>
    <w:rsid w:val="00C74D28"/>
    <w:rsid w:val="00C77F12"/>
    <w:rsid w:val="00C80667"/>
    <w:rsid w:val="00C81D4B"/>
    <w:rsid w:val="00C828C4"/>
    <w:rsid w:val="00C829BD"/>
    <w:rsid w:val="00C8546B"/>
    <w:rsid w:val="00C8632A"/>
    <w:rsid w:val="00C86D34"/>
    <w:rsid w:val="00C91D40"/>
    <w:rsid w:val="00C925C4"/>
    <w:rsid w:val="00C933BA"/>
    <w:rsid w:val="00C97C94"/>
    <w:rsid w:val="00CA1C1B"/>
    <w:rsid w:val="00CA36EF"/>
    <w:rsid w:val="00CA4ABB"/>
    <w:rsid w:val="00CA68C1"/>
    <w:rsid w:val="00CB3B2B"/>
    <w:rsid w:val="00CB3CD6"/>
    <w:rsid w:val="00CB5FD7"/>
    <w:rsid w:val="00CB64A6"/>
    <w:rsid w:val="00CB77EB"/>
    <w:rsid w:val="00CB7F91"/>
    <w:rsid w:val="00CC1784"/>
    <w:rsid w:val="00CC1E0F"/>
    <w:rsid w:val="00CC47F4"/>
    <w:rsid w:val="00CC4F1C"/>
    <w:rsid w:val="00CC50AB"/>
    <w:rsid w:val="00CD3BBF"/>
    <w:rsid w:val="00CD7788"/>
    <w:rsid w:val="00CD7BAE"/>
    <w:rsid w:val="00CE0F2A"/>
    <w:rsid w:val="00CE32B2"/>
    <w:rsid w:val="00CE38D9"/>
    <w:rsid w:val="00CE5DCB"/>
    <w:rsid w:val="00CE6447"/>
    <w:rsid w:val="00CF0D93"/>
    <w:rsid w:val="00CF122C"/>
    <w:rsid w:val="00CF1E16"/>
    <w:rsid w:val="00CF310E"/>
    <w:rsid w:val="00CF4088"/>
    <w:rsid w:val="00CF6CE6"/>
    <w:rsid w:val="00CF7C97"/>
    <w:rsid w:val="00D05D9F"/>
    <w:rsid w:val="00D06A2B"/>
    <w:rsid w:val="00D07FD7"/>
    <w:rsid w:val="00D105C6"/>
    <w:rsid w:val="00D1364E"/>
    <w:rsid w:val="00D20720"/>
    <w:rsid w:val="00D2129E"/>
    <w:rsid w:val="00D22872"/>
    <w:rsid w:val="00D26B57"/>
    <w:rsid w:val="00D27A7C"/>
    <w:rsid w:val="00D308A3"/>
    <w:rsid w:val="00D32E66"/>
    <w:rsid w:val="00D33CA5"/>
    <w:rsid w:val="00D34822"/>
    <w:rsid w:val="00D35A68"/>
    <w:rsid w:val="00D365D5"/>
    <w:rsid w:val="00D41C77"/>
    <w:rsid w:val="00D42185"/>
    <w:rsid w:val="00D42BB5"/>
    <w:rsid w:val="00D42CC4"/>
    <w:rsid w:val="00D43E9B"/>
    <w:rsid w:val="00D45CF3"/>
    <w:rsid w:val="00D461CC"/>
    <w:rsid w:val="00D47F6A"/>
    <w:rsid w:val="00D50B19"/>
    <w:rsid w:val="00D5322E"/>
    <w:rsid w:val="00D5329D"/>
    <w:rsid w:val="00D5504B"/>
    <w:rsid w:val="00D551E8"/>
    <w:rsid w:val="00D55E02"/>
    <w:rsid w:val="00D57DA9"/>
    <w:rsid w:val="00D609DF"/>
    <w:rsid w:val="00D60F1C"/>
    <w:rsid w:val="00D63837"/>
    <w:rsid w:val="00D64A04"/>
    <w:rsid w:val="00D65F2E"/>
    <w:rsid w:val="00D66B98"/>
    <w:rsid w:val="00D67E1C"/>
    <w:rsid w:val="00D735D5"/>
    <w:rsid w:val="00D8144D"/>
    <w:rsid w:val="00D81F53"/>
    <w:rsid w:val="00D82539"/>
    <w:rsid w:val="00D85DF0"/>
    <w:rsid w:val="00D92955"/>
    <w:rsid w:val="00D93B6A"/>
    <w:rsid w:val="00D949B3"/>
    <w:rsid w:val="00D94F5E"/>
    <w:rsid w:val="00D95865"/>
    <w:rsid w:val="00DA0180"/>
    <w:rsid w:val="00DA0274"/>
    <w:rsid w:val="00DA1F3A"/>
    <w:rsid w:val="00DA2F76"/>
    <w:rsid w:val="00DA3673"/>
    <w:rsid w:val="00DA6D0C"/>
    <w:rsid w:val="00DA763B"/>
    <w:rsid w:val="00DB023D"/>
    <w:rsid w:val="00DB1027"/>
    <w:rsid w:val="00DB1090"/>
    <w:rsid w:val="00DB1D96"/>
    <w:rsid w:val="00DB2779"/>
    <w:rsid w:val="00DB33F9"/>
    <w:rsid w:val="00DB423D"/>
    <w:rsid w:val="00DB5C66"/>
    <w:rsid w:val="00DC02B9"/>
    <w:rsid w:val="00DC0465"/>
    <w:rsid w:val="00DC099C"/>
    <w:rsid w:val="00DC33EB"/>
    <w:rsid w:val="00DC356D"/>
    <w:rsid w:val="00DC3594"/>
    <w:rsid w:val="00DC3FF1"/>
    <w:rsid w:val="00DC591D"/>
    <w:rsid w:val="00DD0575"/>
    <w:rsid w:val="00DD129B"/>
    <w:rsid w:val="00DD69D7"/>
    <w:rsid w:val="00DD7C1A"/>
    <w:rsid w:val="00DD7EC0"/>
    <w:rsid w:val="00DE032F"/>
    <w:rsid w:val="00DE0BD0"/>
    <w:rsid w:val="00DE273B"/>
    <w:rsid w:val="00DE4555"/>
    <w:rsid w:val="00DE5271"/>
    <w:rsid w:val="00DE6EF5"/>
    <w:rsid w:val="00DE7F77"/>
    <w:rsid w:val="00DF1384"/>
    <w:rsid w:val="00DF23A5"/>
    <w:rsid w:val="00DF46ED"/>
    <w:rsid w:val="00DF69BB"/>
    <w:rsid w:val="00E05118"/>
    <w:rsid w:val="00E055B3"/>
    <w:rsid w:val="00E06F11"/>
    <w:rsid w:val="00E07092"/>
    <w:rsid w:val="00E076EE"/>
    <w:rsid w:val="00E10DAB"/>
    <w:rsid w:val="00E13803"/>
    <w:rsid w:val="00E14513"/>
    <w:rsid w:val="00E161B2"/>
    <w:rsid w:val="00E16714"/>
    <w:rsid w:val="00E20641"/>
    <w:rsid w:val="00E226C4"/>
    <w:rsid w:val="00E23559"/>
    <w:rsid w:val="00E30B76"/>
    <w:rsid w:val="00E30F62"/>
    <w:rsid w:val="00E316DB"/>
    <w:rsid w:val="00E320DD"/>
    <w:rsid w:val="00E322E2"/>
    <w:rsid w:val="00E3248B"/>
    <w:rsid w:val="00E35518"/>
    <w:rsid w:val="00E37A64"/>
    <w:rsid w:val="00E42F6C"/>
    <w:rsid w:val="00E43665"/>
    <w:rsid w:val="00E45906"/>
    <w:rsid w:val="00E45D1C"/>
    <w:rsid w:val="00E46C32"/>
    <w:rsid w:val="00E507AA"/>
    <w:rsid w:val="00E52965"/>
    <w:rsid w:val="00E57352"/>
    <w:rsid w:val="00E64CA8"/>
    <w:rsid w:val="00E66372"/>
    <w:rsid w:val="00E66473"/>
    <w:rsid w:val="00E70874"/>
    <w:rsid w:val="00E70E72"/>
    <w:rsid w:val="00E71C35"/>
    <w:rsid w:val="00E73AF5"/>
    <w:rsid w:val="00E74AA6"/>
    <w:rsid w:val="00E75E62"/>
    <w:rsid w:val="00E767D9"/>
    <w:rsid w:val="00E76C9C"/>
    <w:rsid w:val="00E83374"/>
    <w:rsid w:val="00E87852"/>
    <w:rsid w:val="00E901E8"/>
    <w:rsid w:val="00E92687"/>
    <w:rsid w:val="00E92FF3"/>
    <w:rsid w:val="00E94536"/>
    <w:rsid w:val="00E951A6"/>
    <w:rsid w:val="00E957E5"/>
    <w:rsid w:val="00E96526"/>
    <w:rsid w:val="00E970FF"/>
    <w:rsid w:val="00EA1C10"/>
    <w:rsid w:val="00EA3332"/>
    <w:rsid w:val="00EA46D1"/>
    <w:rsid w:val="00EA65B4"/>
    <w:rsid w:val="00EA739F"/>
    <w:rsid w:val="00EB1208"/>
    <w:rsid w:val="00EB426A"/>
    <w:rsid w:val="00EC36BE"/>
    <w:rsid w:val="00EC3700"/>
    <w:rsid w:val="00EC6997"/>
    <w:rsid w:val="00EC7968"/>
    <w:rsid w:val="00ED063D"/>
    <w:rsid w:val="00ED0C5D"/>
    <w:rsid w:val="00ED1D5D"/>
    <w:rsid w:val="00ED3214"/>
    <w:rsid w:val="00ED5169"/>
    <w:rsid w:val="00ED5446"/>
    <w:rsid w:val="00ED671D"/>
    <w:rsid w:val="00ED7726"/>
    <w:rsid w:val="00EE2200"/>
    <w:rsid w:val="00EE2326"/>
    <w:rsid w:val="00EE3C2D"/>
    <w:rsid w:val="00EE550C"/>
    <w:rsid w:val="00EE6DD8"/>
    <w:rsid w:val="00EE744F"/>
    <w:rsid w:val="00EF1595"/>
    <w:rsid w:val="00EF24AB"/>
    <w:rsid w:val="00EF4A86"/>
    <w:rsid w:val="00EF5B9C"/>
    <w:rsid w:val="00EF6C77"/>
    <w:rsid w:val="00F037FB"/>
    <w:rsid w:val="00F10AA4"/>
    <w:rsid w:val="00F1179E"/>
    <w:rsid w:val="00F12400"/>
    <w:rsid w:val="00F132D2"/>
    <w:rsid w:val="00F1358D"/>
    <w:rsid w:val="00F14B36"/>
    <w:rsid w:val="00F1598A"/>
    <w:rsid w:val="00F2571A"/>
    <w:rsid w:val="00F30C35"/>
    <w:rsid w:val="00F31732"/>
    <w:rsid w:val="00F32F98"/>
    <w:rsid w:val="00F359E2"/>
    <w:rsid w:val="00F36940"/>
    <w:rsid w:val="00F370B8"/>
    <w:rsid w:val="00F371C0"/>
    <w:rsid w:val="00F40703"/>
    <w:rsid w:val="00F42ACF"/>
    <w:rsid w:val="00F45C80"/>
    <w:rsid w:val="00F4688B"/>
    <w:rsid w:val="00F46FA8"/>
    <w:rsid w:val="00F4700E"/>
    <w:rsid w:val="00F4743A"/>
    <w:rsid w:val="00F47956"/>
    <w:rsid w:val="00F54DB2"/>
    <w:rsid w:val="00F57E75"/>
    <w:rsid w:val="00F6091C"/>
    <w:rsid w:val="00F62A12"/>
    <w:rsid w:val="00F70CC0"/>
    <w:rsid w:val="00F7158B"/>
    <w:rsid w:val="00F71A35"/>
    <w:rsid w:val="00F7222D"/>
    <w:rsid w:val="00F77D62"/>
    <w:rsid w:val="00F801D9"/>
    <w:rsid w:val="00F81BF6"/>
    <w:rsid w:val="00F84F51"/>
    <w:rsid w:val="00F86E59"/>
    <w:rsid w:val="00F93EA4"/>
    <w:rsid w:val="00F9419E"/>
    <w:rsid w:val="00F94FAE"/>
    <w:rsid w:val="00F9581E"/>
    <w:rsid w:val="00F95D48"/>
    <w:rsid w:val="00FA0E87"/>
    <w:rsid w:val="00FA1EDA"/>
    <w:rsid w:val="00FA40A9"/>
    <w:rsid w:val="00FA7461"/>
    <w:rsid w:val="00FA7AE9"/>
    <w:rsid w:val="00FB0A84"/>
    <w:rsid w:val="00FB3824"/>
    <w:rsid w:val="00FC3EBF"/>
    <w:rsid w:val="00FC5B84"/>
    <w:rsid w:val="00FC610F"/>
    <w:rsid w:val="00FC67D7"/>
    <w:rsid w:val="00FC7B85"/>
    <w:rsid w:val="00FD110B"/>
    <w:rsid w:val="00FD16F5"/>
    <w:rsid w:val="00FD2660"/>
    <w:rsid w:val="00FD4C6B"/>
    <w:rsid w:val="00FE02CA"/>
    <w:rsid w:val="00FE0CCE"/>
    <w:rsid w:val="00FE1D24"/>
    <w:rsid w:val="00FE245E"/>
    <w:rsid w:val="00FE5678"/>
    <w:rsid w:val="00FE6398"/>
    <w:rsid w:val="00FF08D1"/>
    <w:rsid w:val="00FF2427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75B1C17A-3CE5-42B0-B28B-D9BB64B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44D"/>
    <w:pPr>
      <w:jc w:val="center"/>
      <w:outlineLvl w:val="0"/>
    </w:pPr>
    <w:rPr>
      <w:rFonts w:cstheme="minorHAnsi"/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66366"/>
    <w:pPr>
      <w:numPr>
        <w:numId w:val="30"/>
      </w:numPr>
      <w:spacing w:after="0"/>
      <w:outlineLvl w:val="1"/>
    </w:pPr>
    <w:rPr>
      <w:rFonts w:cstheme="minorHAnsi"/>
    </w:rPr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3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TableGrid1">
    <w:name w:val="Table Grid1"/>
    <w:basedOn w:val="TableNormal"/>
    <w:next w:val="TableGrid"/>
    <w:uiPriority w:val="59"/>
    <w:rsid w:val="00603A6D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440E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8144D"/>
    <w:rPr>
      <w:rFonts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6636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15A5-3E87-4A23-A5CF-4DC8462921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BMIC Responses to Questions 1</dc:title>
  <dc:subject/>
  <dc:creator>Clarke, Lucy (DPH)</dc:creator>
  <cp:keywords/>
  <dc:description/>
  <cp:lastModifiedBy>Marks, Brett (DPH)</cp:lastModifiedBy>
  <cp:revision>32</cp:revision>
  <cp:lastPrinted>2023-01-27T18:51:00Z</cp:lastPrinted>
  <dcterms:created xsi:type="dcterms:W3CDTF">2026-02-27T20:18:00Z</dcterms:created>
  <dcterms:modified xsi:type="dcterms:W3CDTF">2026-05-15T14:34:00Z</dcterms:modified>
</cp:coreProperties>
</file>