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601F" w14:textId="1B2FADD3" w:rsidR="00D223EB" w:rsidRPr="00BE3465" w:rsidRDefault="00755285" w:rsidP="00A11A4E">
      <w:pPr>
        <w:pStyle w:val="Heading1"/>
        <w:rPr>
          <w:sz w:val="28"/>
          <w:szCs w:val="28"/>
        </w:rPr>
      </w:pPr>
      <w:r w:rsidRPr="00BE3465">
        <w:rPr>
          <w:sz w:val="28"/>
          <w:szCs w:val="28"/>
        </w:rPr>
        <w:t>Applicant Questions 1</w:t>
      </w:r>
    </w:p>
    <w:p w14:paraId="00077AC5" w14:textId="4669A9E8" w:rsidR="00D8026D" w:rsidRPr="00BE3465" w:rsidRDefault="00D8026D" w:rsidP="00093F39">
      <w:pPr>
        <w:spacing w:after="120" w:line="240" w:lineRule="auto"/>
        <w:rPr>
          <w:rFonts w:ascii="Aptos" w:hAnsi="Aptos"/>
          <w:sz w:val="24"/>
          <w:szCs w:val="24"/>
        </w:rPr>
      </w:pPr>
      <w:r w:rsidRPr="00BE3465">
        <w:rPr>
          <w:rFonts w:ascii="Aptos" w:hAnsi="Aptos"/>
          <w:sz w:val="24"/>
          <w:szCs w:val="24"/>
        </w:rPr>
        <w:t xml:space="preserve">Please forward responses by June </w:t>
      </w:r>
      <w:r w:rsidR="005F13EC" w:rsidRPr="00BE3465">
        <w:rPr>
          <w:rFonts w:ascii="Aptos" w:hAnsi="Aptos"/>
          <w:sz w:val="24"/>
          <w:szCs w:val="24"/>
        </w:rPr>
        <w:t>2</w:t>
      </w:r>
      <w:r w:rsidR="003B793A" w:rsidRPr="00BE3465">
        <w:rPr>
          <w:rFonts w:ascii="Aptos" w:hAnsi="Aptos"/>
          <w:sz w:val="24"/>
          <w:szCs w:val="24"/>
        </w:rPr>
        <w:t>6</w:t>
      </w:r>
      <w:r w:rsidR="005F13EC" w:rsidRPr="00BE3465">
        <w:rPr>
          <w:rFonts w:ascii="Aptos" w:hAnsi="Aptos"/>
          <w:sz w:val="24"/>
          <w:szCs w:val="24"/>
        </w:rPr>
        <w:t>, 2026.</w:t>
      </w:r>
    </w:p>
    <w:p w14:paraId="12D3A063" w14:textId="77777777" w:rsidR="009B0480" w:rsidRPr="00BE3465" w:rsidRDefault="009B0480" w:rsidP="00093F39">
      <w:pPr>
        <w:spacing w:after="120" w:line="240" w:lineRule="auto"/>
        <w:rPr>
          <w:rFonts w:ascii="Aptos" w:hAnsi="Aptos"/>
          <w:sz w:val="24"/>
          <w:szCs w:val="24"/>
        </w:rPr>
      </w:pPr>
    </w:p>
    <w:p w14:paraId="42ECB770" w14:textId="33DFE68B" w:rsidR="00770D07" w:rsidRPr="00BE3465" w:rsidRDefault="00FA7D73" w:rsidP="00B1583D">
      <w:pPr>
        <w:pStyle w:val="Heading2"/>
        <w:rPr>
          <w:sz w:val="24"/>
          <w:szCs w:val="24"/>
        </w:rPr>
      </w:pPr>
      <w:r w:rsidRPr="00BE3465">
        <w:rPr>
          <w:sz w:val="24"/>
          <w:szCs w:val="24"/>
        </w:rPr>
        <w:t xml:space="preserve">Mercy Medical Center (MMC) saw </w:t>
      </w:r>
      <w:r w:rsidR="005D0268" w:rsidRPr="00BE3465">
        <w:rPr>
          <w:sz w:val="24"/>
          <w:szCs w:val="24"/>
        </w:rPr>
        <w:t xml:space="preserve">a dip in unique patients in </w:t>
      </w:r>
      <w:r w:rsidR="00337545" w:rsidRPr="00BE3465">
        <w:rPr>
          <w:sz w:val="24"/>
          <w:szCs w:val="24"/>
        </w:rPr>
        <w:t>Fiscal Year (</w:t>
      </w:r>
      <w:r w:rsidR="005D0268" w:rsidRPr="00BE3465">
        <w:rPr>
          <w:sz w:val="24"/>
          <w:szCs w:val="24"/>
        </w:rPr>
        <w:t>FY</w:t>
      </w:r>
      <w:r w:rsidR="00337545" w:rsidRPr="00BE3465">
        <w:rPr>
          <w:sz w:val="24"/>
          <w:szCs w:val="24"/>
        </w:rPr>
        <w:t xml:space="preserve">) </w:t>
      </w:r>
      <w:r w:rsidR="005D0268" w:rsidRPr="00BE3465">
        <w:rPr>
          <w:sz w:val="24"/>
          <w:szCs w:val="24"/>
        </w:rPr>
        <w:t>2024</w:t>
      </w:r>
      <w:r w:rsidR="004B02E0" w:rsidRPr="00BE3465">
        <w:rPr>
          <w:sz w:val="24"/>
          <w:szCs w:val="24"/>
        </w:rPr>
        <w:t xml:space="preserve"> (compared to FY2023 and FY2025)</w:t>
      </w:r>
      <w:r w:rsidR="005D0268" w:rsidRPr="00BE3465">
        <w:rPr>
          <w:sz w:val="24"/>
          <w:szCs w:val="24"/>
        </w:rPr>
        <w:t>. To what does the Applicant attribute this</w:t>
      </w:r>
      <w:r w:rsidR="004B02E0" w:rsidRPr="00BE3465">
        <w:rPr>
          <w:sz w:val="24"/>
          <w:szCs w:val="24"/>
        </w:rPr>
        <w:t xml:space="preserve"> dip?</w:t>
      </w:r>
    </w:p>
    <w:p w14:paraId="2F659A49" w14:textId="77777777" w:rsidR="001F3967" w:rsidRPr="00BE3465" w:rsidRDefault="001F3967" w:rsidP="001F3967">
      <w:pPr>
        <w:pStyle w:val="xmsonormal"/>
        <w:ind w:left="720"/>
        <w:rPr>
          <w:rStyle w:val="cf01"/>
          <w:rFonts w:ascii="Aptos" w:eastAsia="Times New Roman" w:hAnsi="Aptos" w:cstheme="minorHAnsi"/>
          <w:b/>
          <w:bCs/>
          <w:sz w:val="24"/>
          <w:szCs w:val="24"/>
        </w:rPr>
      </w:pPr>
      <w:r w:rsidRPr="00BE3465">
        <w:rPr>
          <w:rStyle w:val="cf01"/>
          <w:rFonts w:ascii="Aptos" w:eastAsia="Times New Roman" w:hAnsi="Aptos" w:cstheme="minorHAnsi"/>
          <w:b/>
          <w:bCs/>
          <w:sz w:val="24"/>
          <w:szCs w:val="24"/>
        </w:rPr>
        <w:t xml:space="preserve">In November 2024, MMC transitioned electronic medical records which resulted in every medical record number changing mid-year, making calculating the true unique patients difficult. As a result, the dip can be attributed to this change in data collection. </w:t>
      </w:r>
    </w:p>
    <w:p w14:paraId="5FA20858" w14:textId="77777777" w:rsidR="001F3967" w:rsidRPr="00BE3465" w:rsidRDefault="001F3967" w:rsidP="001F3967">
      <w:pPr>
        <w:pStyle w:val="ListParagraph"/>
        <w:spacing w:after="120" w:line="240" w:lineRule="auto"/>
        <w:contextualSpacing w:val="0"/>
        <w:rPr>
          <w:rFonts w:ascii="Aptos" w:hAnsi="Aptos" w:cstheme="minorHAnsi"/>
          <w:sz w:val="24"/>
          <w:szCs w:val="24"/>
        </w:rPr>
      </w:pPr>
    </w:p>
    <w:p w14:paraId="022071A0" w14:textId="766D5B6A" w:rsidR="007177F0" w:rsidRPr="00BE3465" w:rsidRDefault="007177F0" w:rsidP="00DB4F95">
      <w:pPr>
        <w:pStyle w:val="Heading2"/>
        <w:rPr>
          <w:rStyle w:val="cf01"/>
          <w:rFonts w:ascii="Aptos" w:hAnsi="Aptos" w:cstheme="minorHAnsi"/>
          <w:sz w:val="24"/>
          <w:szCs w:val="24"/>
        </w:rPr>
      </w:pPr>
      <w:proofErr w:type="gramStart"/>
      <w:r w:rsidRPr="00BE3465">
        <w:rPr>
          <w:rStyle w:val="cf01"/>
          <w:rFonts w:ascii="Aptos" w:hAnsi="Aptos" w:cstheme="minorHAnsi"/>
          <w:sz w:val="24"/>
          <w:szCs w:val="24"/>
        </w:rPr>
        <w:t>In order to</w:t>
      </w:r>
      <w:proofErr w:type="gramEnd"/>
      <w:r w:rsidRPr="00BE3465">
        <w:rPr>
          <w:rStyle w:val="cf01"/>
          <w:rFonts w:ascii="Aptos" w:hAnsi="Aptos" w:cstheme="minorHAnsi"/>
          <w:sz w:val="24"/>
          <w:szCs w:val="24"/>
        </w:rPr>
        <w:t xml:space="preserve"> place the age demographics of unique patients </w:t>
      </w:r>
      <w:r w:rsidR="00337545" w:rsidRPr="00BE3465">
        <w:rPr>
          <w:rStyle w:val="cf01"/>
          <w:rFonts w:ascii="Aptos" w:hAnsi="Aptos" w:cstheme="minorHAnsi"/>
          <w:sz w:val="24"/>
          <w:szCs w:val="24"/>
        </w:rPr>
        <w:t>for</w:t>
      </w:r>
      <w:r w:rsidRPr="00BE3465">
        <w:rPr>
          <w:rStyle w:val="cf01"/>
          <w:rFonts w:ascii="Aptos" w:hAnsi="Aptos" w:cstheme="minorHAnsi"/>
          <w:sz w:val="24"/>
          <w:szCs w:val="24"/>
        </w:rPr>
        <w:t xml:space="preserve"> both </w:t>
      </w:r>
      <w:r w:rsidR="00337545" w:rsidRPr="00BE3465">
        <w:rPr>
          <w:rStyle w:val="cf01"/>
          <w:rFonts w:ascii="Aptos" w:hAnsi="Aptos" w:cstheme="minorHAnsi"/>
          <w:sz w:val="24"/>
          <w:szCs w:val="24"/>
        </w:rPr>
        <w:t>Baystate Health (</w:t>
      </w:r>
      <w:r w:rsidRPr="00BE3465">
        <w:rPr>
          <w:rStyle w:val="cf01"/>
          <w:rFonts w:ascii="Aptos" w:hAnsi="Aptos" w:cstheme="minorHAnsi"/>
          <w:sz w:val="24"/>
          <w:szCs w:val="24"/>
        </w:rPr>
        <w:t>BH</w:t>
      </w:r>
      <w:r w:rsidR="00337545" w:rsidRPr="00BE3465">
        <w:rPr>
          <w:rStyle w:val="cf01"/>
          <w:rFonts w:ascii="Aptos" w:hAnsi="Aptos" w:cstheme="minorHAnsi"/>
          <w:sz w:val="24"/>
          <w:szCs w:val="24"/>
        </w:rPr>
        <w:t>)</w:t>
      </w:r>
      <w:r w:rsidRPr="00BE3465">
        <w:rPr>
          <w:rStyle w:val="cf01"/>
          <w:rFonts w:ascii="Aptos" w:hAnsi="Aptos" w:cstheme="minorHAnsi"/>
          <w:sz w:val="24"/>
          <w:szCs w:val="24"/>
        </w:rPr>
        <w:t xml:space="preserve"> and MMC side by side, please provide the percentages for FY2025 in a standard way for both entities (ex</w:t>
      </w:r>
      <w:r w:rsidR="00FC2245" w:rsidRPr="00BE3465">
        <w:rPr>
          <w:rStyle w:val="cf01"/>
          <w:rFonts w:ascii="Aptos" w:hAnsi="Aptos" w:cstheme="minorHAnsi"/>
          <w:sz w:val="24"/>
          <w:szCs w:val="24"/>
        </w:rPr>
        <w:t>ample</w:t>
      </w:r>
      <w:r w:rsidRPr="00BE3465">
        <w:rPr>
          <w:rStyle w:val="cf01"/>
          <w:rFonts w:ascii="Aptos" w:hAnsi="Aptos" w:cstheme="minorHAnsi"/>
          <w:sz w:val="24"/>
          <w:szCs w:val="24"/>
        </w:rPr>
        <w:t>: both entities presenting the data as 0-17, 18-44, et</w:t>
      </w:r>
      <w:r w:rsidR="00FC2245" w:rsidRPr="00BE3465">
        <w:rPr>
          <w:rStyle w:val="cf01"/>
          <w:rFonts w:ascii="Aptos" w:hAnsi="Aptos" w:cstheme="minorHAnsi"/>
          <w:sz w:val="24"/>
          <w:szCs w:val="24"/>
        </w:rPr>
        <w:t xml:space="preserve"> cetera</w:t>
      </w:r>
      <w:r w:rsidRPr="00BE3465">
        <w:rPr>
          <w:rStyle w:val="cf01"/>
          <w:rFonts w:ascii="Aptos" w:hAnsi="Aptos" w:cstheme="minorHAnsi"/>
          <w:sz w:val="24"/>
          <w:szCs w:val="24"/>
        </w:rPr>
        <w:t>.)</w:t>
      </w:r>
    </w:p>
    <w:p w14:paraId="1B52C09C" w14:textId="77777777" w:rsidR="00207ECC" w:rsidRPr="00BE3465" w:rsidRDefault="00207ECC" w:rsidP="00207ECC">
      <w:pPr>
        <w:pStyle w:val="pf0"/>
        <w:spacing w:before="0" w:beforeAutospacing="0" w:after="120" w:afterAutospacing="0"/>
        <w:ind w:left="720"/>
        <w:rPr>
          <w:rStyle w:val="cf01"/>
          <w:rFonts w:ascii="Aptos" w:hAnsi="Aptos" w:cstheme="minorHAnsi"/>
          <w:sz w:val="24"/>
          <w:szCs w:val="24"/>
        </w:rPr>
      </w:pPr>
    </w:p>
    <w:tbl>
      <w:tblPr>
        <w:tblW w:w="7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percentages for FY2025"/>
      </w:tblPr>
      <w:tblGrid>
        <w:gridCol w:w="619"/>
        <w:gridCol w:w="862"/>
        <w:gridCol w:w="862"/>
        <w:gridCol w:w="1120"/>
        <w:gridCol w:w="1348"/>
        <w:gridCol w:w="1527"/>
        <w:gridCol w:w="1502"/>
      </w:tblGrid>
      <w:tr w:rsidR="00207ECC" w:rsidRPr="00BE3465" w14:paraId="72EDF0B2" w14:textId="77777777" w:rsidTr="007B46F8">
        <w:trPr>
          <w:cantSplit/>
          <w:trHeight w:val="285"/>
          <w:tblHeader/>
          <w:jc w:val="center"/>
        </w:trPr>
        <w:tc>
          <w:tcPr>
            <w:tcW w:w="0" w:type="auto"/>
            <w:noWrap/>
            <w:tcMar>
              <w:top w:w="15" w:type="dxa"/>
              <w:left w:w="15" w:type="dxa"/>
              <w:bottom w:w="0" w:type="dxa"/>
              <w:right w:w="15" w:type="dxa"/>
            </w:tcMar>
            <w:vAlign w:val="center"/>
            <w:hideMark/>
          </w:tcPr>
          <w:p w14:paraId="2122854A" w14:textId="77777777" w:rsidR="00207ECC" w:rsidRPr="00BE3465" w:rsidRDefault="00207ECC" w:rsidP="009F7239">
            <w:pPr>
              <w:spacing w:after="0"/>
              <w:rPr>
                <w:rFonts w:ascii="Aptos Narrow" w:hAnsi="Aptos Narrow"/>
                <w:b/>
                <w:bCs/>
                <w:color w:val="000000"/>
                <w:sz w:val="24"/>
                <w:szCs w:val="24"/>
              </w:rPr>
            </w:pPr>
            <w:r w:rsidRPr="00BE3465">
              <w:rPr>
                <w:rFonts w:ascii="Aptos Narrow" w:hAnsi="Aptos Narrow"/>
                <w:b/>
                <w:bCs/>
                <w:color w:val="000000"/>
                <w:sz w:val="24"/>
                <w:szCs w:val="24"/>
              </w:rPr>
              <w:t>Age</w:t>
            </w:r>
          </w:p>
        </w:tc>
        <w:tc>
          <w:tcPr>
            <w:tcW w:w="0" w:type="auto"/>
            <w:noWrap/>
            <w:tcMar>
              <w:top w:w="15" w:type="dxa"/>
              <w:left w:w="15" w:type="dxa"/>
              <w:bottom w:w="0" w:type="dxa"/>
              <w:right w:w="15" w:type="dxa"/>
            </w:tcMar>
            <w:vAlign w:val="center"/>
            <w:hideMark/>
          </w:tcPr>
          <w:p w14:paraId="446038A8" w14:textId="20561280"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BH</w:t>
            </w:r>
          </w:p>
        </w:tc>
        <w:tc>
          <w:tcPr>
            <w:tcW w:w="0" w:type="auto"/>
            <w:noWrap/>
            <w:tcMar>
              <w:top w:w="15" w:type="dxa"/>
              <w:left w:w="15" w:type="dxa"/>
              <w:bottom w:w="0" w:type="dxa"/>
              <w:right w:w="15" w:type="dxa"/>
            </w:tcMar>
            <w:vAlign w:val="center"/>
            <w:hideMark/>
          </w:tcPr>
          <w:p w14:paraId="3A6A5787" w14:textId="21106F5A"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 xml:space="preserve">BMC </w:t>
            </w:r>
          </w:p>
        </w:tc>
        <w:tc>
          <w:tcPr>
            <w:tcW w:w="0" w:type="auto"/>
            <w:noWrap/>
            <w:tcMar>
              <w:top w:w="15" w:type="dxa"/>
              <w:left w:w="15" w:type="dxa"/>
              <w:bottom w:w="0" w:type="dxa"/>
              <w:right w:w="15" w:type="dxa"/>
            </w:tcMar>
            <w:vAlign w:val="center"/>
            <w:hideMark/>
          </w:tcPr>
          <w:p w14:paraId="1CACAF5C" w14:textId="0E8C81AD"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 xml:space="preserve">MMC </w:t>
            </w:r>
          </w:p>
        </w:tc>
        <w:tc>
          <w:tcPr>
            <w:tcW w:w="0" w:type="auto"/>
            <w:noWrap/>
            <w:tcMar>
              <w:top w:w="15" w:type="dxa"/>
              <w:left w:w="15" w:type="dxa"/>
              <w:bottom w:w="0" w:type="dxa"/>
              <w:right w:w="15" w:type="dxa"/>
            </w:tcMar>
            <w:vAlign w:val="center"/>
            <w:hideMark/>
          </w:tcPr>
          <w:p w14:paraId="27D023AE" w14:textId="3674D7F2"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BH (</w:t>
            </w:r>
            <w:r w:rsidR="00FA2322">
              <w:rPr>
                <w:rFonts w:ascii="Aptos Narrow" w:hAnsi="Aptos Narrow"/>
                <w:b/>
                <w:bCs/>
                <w:color w:val="000000"/>
                <w:sz w:val="24"/>
                <w:szCs w:val="24"/>
              </w:rPr>
              <w:t>Per</w:t>
            </w:r>
            <w:r w:rsidR="00594A17">
              <w:rPr>
                <w:rFonts w:ascii="Aptos Narrow" w:hAnsi="Aptos Narrow"/>
                <w:b/>
                <w:bCs/>
                <w:color w:val="000000"/>
                <w:sz w:val="24"/>
                <w:szCs w:val="24"/>
              </w:rPr>
              <w:t>cent</w:t>
            </w:r>
            <w:r w:rsidRPr="00BE3465">
              <w:rPr>
                <w:rFonts w:ascii="Aptos Narrow" w:hAnsi="Aptos Narrow"/>
                <w:b/>
                <w:bCs/>
                <w:color w:val="000000"/>
                <w:sz w:val="24"/>
                <w:szCs w:val="24"/>
              </w:rPr>
              <w:t>)</w:t>
            </w:r>
          </w:p>
        </w:tc>
        <w:tc>
          <w:tcPr>
            <w:tcW w:w="0" w:type="auto"/>
            <w:noWrap/>
            <w:tcMar>
              <w:top w:w="15" w:type="dxa"/>
              <w:left w:w="15" w:type="dxa"/>
              <w:bottom w:w="0" w:type="dxa"/>
              <w:right w:w="15" w:type="dxa"/>
            </w:tcMar>
            <w:vAlign w:val="center"/>
            <w:hideMark/>
          </w:tcPr>
          <w:p w14:paraId="76F59A15" w14:textId="11AE966F"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BMC (</w:t>
            </w:r>
            <w:r w:rsidR="00D91B3D">
              <w:rPr>
                <w:rFonts w:ascii="Aptos Narrow" w:hAnsi="Aptos Narrow"/>
                <w:b/>
                <w:bCs/>
                <w:color w:val="000000"/>
                <w:sz w:val="24"/>
                <w:szCs w:val="24"/>
              </w:rPr>
              <w:t>Percent</w:t>
            </w:r>
            <w:r w:rsidRPr="00BE3465">
              <w:rPr>
                <w:rFonts w:ascii="Aptos Narrow" w:hAnsi="Aptos Narrow"/>
                <w:b/>
                <w:bCs/>
                <w:color w:val="000000"/>
                <w:sz w:val="24"/>
                <w:szCs w:val="24"/>
              </w:rPr>
              <w:t>)</w:t>
            </w:r>
          </w:p>
        </w:tc>
        <w:tc>
          <w:tcPr>
            <w:tcW w:w="0" w:type="auto"/>
            <w:noWrap/>
            <w:tcMar>
              <w:top w:w="15" w:type="dxa"/>
              <w:left w:w="15" w:type="dxa"/>
              <w:bottom w:w="0" w:type="dxa"/>
              <w:right w:w="15" w:type="dxa"/>
            </w:tcMar>
            <w:vAlign w:val="center"/>
            <w:hideMark/>
          </w:tcPr>
          <w:p w14:paraId="47250998" w14:textId="7FD5F60E"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MMC (</w:t>
            </w:r>
            <w:r w:rsidR="00D91B3D">
              <w:rPr>
                <w:rFonts w:ascii="Aptos Narrow" w:hAnsi="Aptos Narrow"/>
                <w:b/>
                <w:bCs/>
                <w:color w:val="000000"/>
                <w:sz w:val="24"/>
                <w:szCs w:val="24"/>
              </w:rPr>
              <w:t>Percent</w:t>
            </w:r>
            <w:r w:rsidRPr="00BE3465">
              <w:rPr>
                <w:rFonts w:ascii="Aptos Narrow" w:hAnsi="Aptos Narrow"/>
                <w:b/>
                <w:bCs/>
                <w:color w:val="000000"/>
                <w:sz w:val="24"/>
                <w:szCs w:val="24"/>
              </w:rPr>
              <w:t xml:space="preserve">) </w:t>
            </w:r>
          </w:p>
        </w:tc>
      </w:tr>
      <w:tr w:rsidR="00207ECC" w:rsidRPr="00BE3465" w14:paraId="3F83934D" w14:textId="77777777" w:rsidTr="00BB71C7">
        <w:trPr>
          <w:cantSplit/>
          <w:trHeight w:val="270"/>
          <w:jc w:val="center"/>
        </w:trPr>
        <w:tc>
          <w:tcPr>
            <w:tcW w:w="0" w:type="auto"/>
            <w:noWrap/>
            <w:tcMar>
              <w:top w:w="15" w:type="dxa"/>
              <w:left w:w="15" w:type="dxa"/>
              <w:bottom w:w="0" w:type="dxa"/>
              <w:right w:w="15" w:type="dxa"/>
            </w:tcMar>
            <w:vAlign w:val="center"/>
            <w:hideMark/>
          </w:tcPr>
          <w:p w14:paraId="2D37CCC2" w14:textId="77777777" w:rsidR="00207ECC" w:rsidRPr="00BE3465" w:rsidRDefault="00207ECC" w:rsidP="009F7239">
            <w:pPr>
              <w:spacing w:after="0"/>
              <w:rPr>
                <w:rFonts w:ascii="Aptos Narrow" w:hAnsi="Aptos Narrow"/>
                <w:color w:val="000000"/>
                <w:sz w:val="24"/>
                <w:szCs w:val="24"/>
              </w:rPr>
            </w:pPr>
            <w:r w:rsidRPr="00BE3465">
              <w:rPr>
                <w:rFonts w:ascii="Aptos Narrow" w:hAnsi="Aptos Narrow"/>
                <w:color w:val="000000"/>
                <w:sz w:val="24"/>
                <w:szCs w:val="24"/>
              </w:rPr>
              <w:t>0-17</w:t>
            </w:r>
          </w:p>
        </w:tc>
        <w:tc>
          <w:tcPr>
            <w:tcW w:w="0" w:type="auto"/>
            <w:noWrap/>
            <w:tcMar>
              <w:top w:w="15" w:type="dxa"/>
              <w:left w:w="15" w:type="dxa"/>
              <w:bottom w:w="0" w:type="dxa"/>
              <w:right w:w="15" w:type="dxa"/>
            </w:tcMar>
            <w:vAlign w:val="center"/>
            <w:hideMark/>
          </w:tcPr>
          <w:p w14:paraId="50B6FE20"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58,308</w:t>
            </w:r>
          </w:p>
        </w:tc>
        <w:tc>
          <w:tcPr>
            <w:tcW w:w="0" w:type="auto"/>
            <w:noWrap/>
            <w:tcMar>
              <w:top w:w="15" w:type="dxa"/>
              <w:left w:w="15" w:type="dxa"/>
              <w:bottom w:w="0" w:type="dxa"/>
              <w:right w:w="15" w:type="dxa"/>
            </w:tcMar>
            <w:vAlign w:val="center"/>
            <w:hideMark/>
          </w:tcPr>
          <w:p w14:paraId="173FEEB0"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45,857</w:t>
            </w:r>
          </w:p>
        </w:tc>
        <w:tc>
          <w:tcPr>
            <w:tcW w:w="0" w:type="auto"/>
            <w:noWrap/>
            <w:tcMar>
              <w:top w:w="15" w:type="dxa"/>
              <w:left w:w="15" w:type="dxa"/>
              <w:bottom w:w="0" w:type="dxa"/>
              <w:right w:w="15" w:type="dxa"/>
            </w:tcMar>
            <w:vAlign w:val="center"/>
            <w:hideMark/>
          </w:tcPr>
          <w:p w14:paraId="0AB4A058"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3,888</w:t>
            </w:r>
          </w:p>
        </w:tc>
        <w:tc>
          <w:tcPr>
            <w:tcW w:w="0" w:type="auto"/>
            <w:noWrap/>
            <w:tcMar>
              <w:top w:w="15" w:type="dxa"/>
              <w:left w:w="15" w:type="dxa"/>
              <w:bottom w:w="0" w:type="dxa"/>
              <w:right w:w="15" w:type="dxa"/>
            </w:tcMar>
            <w:vAlign w:val="center"/>
            <w:hideMark/>
          </w:tcPr>
          <w:p w14:paraId="4E78119B"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17%</w:t>
            </w:r>
          </w:p>
        </w:tc>
        <w:tc>
          <w:tcPr>
            <w:tcW w:w="0" w:type="auto"/>
            <w:noWrap/>
            <w:tcMar>
              <w:top w:w="15" w:type="dxa"/>
              <w:left w:w="15" w:type="dxa"/>
              <w:bottom w:w="0" w:type="dxa"/>
              <w:right w:w="15" w:type="dxa"/>
            </w:tcMar>
            <w:vAlign w:val="center"/>
            <w:hideMark/>
          </w:tcPr>
          <w:p w14:paraId="6F4845A4"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21%</w:t>
            </w:r>
          </w:p>
        </w:tc>
        <w:tc>
          <w:tcPr>
            <w:tcW w:w="1120" w:type="dxa"/>
            <w:tcMar>
              <w:top w:w="15" w:type="dxa"/>
              <w:left w:w="15" w:type="dxa"/>
              <w:bottom w:w="0" w:type="dxa"/>
              <w:right w:w="15" w:type="dxa"/>
            </w:tcMar>
            <w:vAlign w:val="center"/>
            <w:hideMark/>
          </w:tcPr>
          <w:p w14:paraId="42A498B8"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5%</w:t>
            </w:r>
          </w:p>
        </w:tc>
      </w:tr>
      <w:tr w:rsidR="00207ECC" w:rsidRPr="00BE3465" w14:paraId="506FBD63" w14:textId="77777777" w:rsidTr="00BB71C7">
        <w:trPr>
          <w:cantSplit/>
          <w:trHeight w:val="270"/>
          <w:jc w:val="center"/>
        </w:trPr>
        <w:tc>
          <w:tcPr>
            <w:tcW w:w="0" w:type="auto"/>
            <w:noWrap/>
            <w:tcMar>
              <w:top w:w="15" w:type="dxa"/>
              <w:left w:w="15" w:type="dxa"/>
              <w:bottom w:w="0" w:type="dxa"/>
              <w:right w:w="15" w:type="dxa"/>
            </w:tcMar>
            <w:vAlign w:val="center"/>
            <w:hideMark/>
          </w:tcPr>
          <w:p w14:paraId="35B6BD40" w14:textId="77777777" w:rsidR="00207ECC" w:rsidRPr="00BE3465" w:rsidRDefault="00207ECC" w:rsidP="009F7239">
            <w:pPr>
              <w:spacing w:after="0"/>
              <w:rPr>
                <w:rFonts w:ascii="Aptos Narrow" w:hAnsi="Aptos Narrow"/>
                <w:color w:val="000000"/>
                <w:sz w:val="24"/>
                <w:szCs w:val="24"/>
              </w:rPr>
            </w:pPr>
            <w:r w:rsidRPr="00BE3465">
              <w:rPr>
                <w:rFonts w:ascii="Aptos Narrow" w:hAnsi="Aptos Narrow"/>
                <w:color w:val="000000"/>
                <w:sz w:val="24"/>
                <w:szCs w:val="24"/>
              </w:rPr>
              <w:t>18-44</w:t>
            </w:r>
          </w:p>
        </w:tc>
        <w:tc>
          <w:tcPr>
            <w:tcW w:w="0" w:type="auto"/>
            <w:noWrap/>
            <w:tcMar>
              <w:top w:w="15" w:type="dxa"/>
              <w:left w:w="15" w:type="dxa"/>
              <w:bottom w:w="0" w:type="dxa"/>
              <w:right w:w="15" w:type="dxa"/>
            </w:tcMar>
            <w:vAlign w:val="center"/>
            <w:hideMark/>
          </w:tcPr>
          <w:p w14:paraId="3E8716A5"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95,871</w:t>
            </w:r>
          </w:p>
        </w:tc>
        <w:tc>
          <w:tcPr>
            <w:tcW w:w="0" w:type="auto"/>
            <w:noWrap/>
            <w:tcMar>
              <w:top w:w="15" w:type="dxa"/>
              <w:left w:w="15" w:type="dxa"/>
              <w:bottom w:w="0" w:type="dxa"/>
              <w:right w:w="15" w:type="dxa"/>
            </w:tcMar>
            <w:vAlign w:val="center"/>
            <w:hideMark/>
          </w:tcPr>
          <w:p w14:paraId="5F7C7BFA"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58,197</w:t>
            </w:r>
          </w:p>
        </w:tc>
        <w:tc>
          <w:tcPr>
            <w:tcW w:w="0" w:type="auto"/>
            <w:noWrap/>
            <w:tcMar>
              <w:top w:w="15" w:type="dxa"/>
              <w:left w:w="15" w:type="dxa"/>
              <w:bottom w:w="0" w:type="dxa"/>
              <w:right w:w="15" w:type="dxa"/>
            </w:tcMar>
            <w:vAlign w:val="center"/>
            <w:hideMark/>
          </w:tcPr>
          <w:p w14:paraId="45ACFCF6"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19,480</w:t>
            </w:r>
          </w:p>
        </w:tc>
        <w:tc>
          <w:tcPr>
            <w:tcW w:w="0" w:type="auto"/>
            <w:noWrap/>
            <w:tcMar>
              <w:top w:w="15" w:type="dxa"/>
              <w:left w:w="15" w:type="dxa"/>
              <w:bottom w:w="0" w:type="dxa"/>
              <w:right w:w="15" w:type="dxa"/>
            </w:tcMar>
            <w:vAlign w:val="center"/>
            <w:hideMark/>
          </w:tcPr>
          <w:p w14:paraId="18714CBA"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27%</w:t>
            </w:r>
          </w:p>
        </w:tc>
        <w:tc>
          <w:tcPr>
            <w:tcW w:w="0" w:type="auto"/>
            <w:noWrap/>
            <w:tcMar>
              <w:top w:w="15" w:type="dxa"/>
              <w:left w:w="15" w:type="dxa"/>
              <w:bottom w:w="0" w:type="dxa"/>
              <w:right w:w="15" w:type="dxa"/>
            </w:tcMar>
            <w:vAlign w:val="center"/>
            <w:hideMark/>
          </w:tcPr>
          <w:p w14:paraId="4D992980"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27%</w:t>
            </w:r>
          </w:p>
        </w:tc>
        <w:tc>
          <w:tcPr>
            <w:tcW w:w="1120" w:type="dxa"/>
            <w:tcMar>
              <w:top w:w="15" w:type="dxa"/>
              <w:left w:w="15" w:type="dxa"/>
              <w:bottom w:w="0" w:type="dxa"/>
              <w:right w:w="15" w:type="dxa"/>
            </w:tcMar>
            <w:vAlign w:val="center"/>
            <w:hideMark/>
          </w:tcPr>
          <w:p w14:paraId="07D9FA9B"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25%</w:t>
            </w:r>
          </w:p>
        </w:tc>
      </w:tr>
      <w:tr w:rsidR="00207ECC" w:rsidRPr="00BE3465" w14:paraId="4668404E" w14:textId="77777777" w:rsidTr="00BB71C7">
        <w:trPr>
          <w:cantSplit/>
          <w:trHeight w:val="270"/>
          <w:jc w:val="center"/>
        </w:trPr>
        <w:tc>
          <w:tcPr>
            <w:tcW w:w="0" w:type="auto"/>
            <w:noWrap/>
            <w:tcMar>
              <w:top w:w="15" w:type="dxa"/>
              <w:left w:w="15" w:type="dxa"/>
              <w:bottom w:w="0" w:type="dxa"/>
              <w:right w:w="15" w:type="dxa"/>
            </w:tcMar>
            <w:vAlign w:val="center"/>
            <w:hideMark/>
          </w:tcPr>
          <w:p w14:paraId="69C157D4" w14:textId="77777777" w:rsidR="00207ECC" w:rsidRPr="00BE3465" w:rsidRDefault="00207ECC" w:rsidP="009F7239">
            <w:pPr>
              <w:spacing w:after="0"/>
              <w:rPr>
                <w:rFonts w:ascii="Aptos Narrow" w:hAnsi="Aptos Narrow"/>
                <w:color w:val="000000"/>
                <w:sz w:val="24"/>
                <w:szCs w:val="24"/>
              </w:rPr>
            </w:pPr>
            <w:r w:rsidRPr="00BE3465">
              <w:rPr>
                <w:rFonts w:ascii="Aptos Narrow" w:hAnsi="Aptos Narrow"/>
                <w:color w:val="000000"/>
                <w:sz w:val="24"/>
                <w:szCs w:val="24"/>
              </w:rPr>
              <w:t>45-49</w:t>
            </w:r>
          </w:p>
        </w:tc>
        <w:tc>
          <w:tcPr>
            <w:tcW w:w="0" w:type="auto"/>
            <w:noWrap/>
            <w:tcMar>
              <w:top w:w="15" w:type="dxa"/>
              <w:left w:w="15" w:type="dxa"/>
              <w:bottom w:w="0" w:type="dxa"/>
              <w:right w:w="15" w:type="dxa"/>
            </w:tcMar>
            <w:vAlign w:val="center"/>
            <w:hideMark/>
          </w:tcPr>
          <w:p w14:paraId="39534A31"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19,479</w:t>
            </w:r>
          </w:p>
        </w:tc>
        <w:tc>
          <w:tcPr>
            <w:tcW w:w="0" w:type="auto"/>
            <w:noWrap/>
            <w:tcMar>
              <w:top w:w="15" w:type="dxa"/>
              <w:left w:w="15" w:type="dxa"/>
              <w:bottom w:w="0" w:type="dxa"/>
              <w:right w:w="15" w:type="dxa"/>
            </w:tcMar>
            <w:vAlign w:val="center"/>
            <w:hideMark/>
          </w:tcPr>
          <w:p w14:paraId="4B51FC09"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11,477</w:t>
            </w:r>
          </w:p>
        </w:tc>
        <w:tc>
          <w:tcPr>
            <w:tcW w:w="0" w:type="auto"/>
            <w:noWrap/>
            <w:tcMar>
              <w:top w:w="15" w:type="dxa"/>
              <w:left w:w="15" w:type="dxa"/>
              <w:bottom w:w="0" w:type="dxa"/>
              <w:right w:w="15" w:type="dxa"/>
            </w:tcMar>
            <w:vAlign w:val="center"/>
            <w:hideMark/>
          </w:tcPr>
          <w:p w14:paraId="233ED4FD"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5,803</w:t>
            </w:r>
          </w:p>
        </w:tc>
        <w:tc>
          <w:tcPr>
            <w:tcW w:w="0" w:type="auto"/>
            <w:noWrap/>
            <w:tcMar>
              <w:top w:w="15" w:type="dxa"/>
              <w:left w:w="15" w:type="dxa"/>
              <w:bottom w:w="0" w:type="dxa"/>
              <w:right w:w="15" w:type="dxa"/>
            </w:tcMar>
            <w:vAlign w:val="center"/>
            <w:hideMark/>
          </w:tcPr>
          <w:p w14:paraId="3C7DC115"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6%</w:t>
            </w:r>
          </w:p>
        </w:tc>
        <w:tc>
          <w:tcPr>
            <w:tcW w:w="0" w:type="auto"/>
            <w:noWrap/>
            <w:tcMar>
              <w:top w:w="15" w:type="dxa"/>
              <w:left w:w="15" w:type="dxa"/>
              <w:bottom w:w="0" w:type="dxa"/>
              <w:right w:w="15" w:type="dxa"/>
            </w:tcMar>
            <w:vAlign w:val="center"/>
            <w:hideMark/>
          </w:tcPr>
          <w:p w14:paraId="3F650DEF"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5%</w:t>
            </w:r>
          </w:p>
        </w:tc>
        <w:tc>
          <w:tcPr>
            <w:tcW w:w="1120" w:type="dxa"/>
            <w:tcMar>
              <w:top w:w="15" w:type="dxa"/>
              <w:left w:w="15" w:type="dxa"/>
              <w:bottom w:w="0" w:type="dxa"/>
              <w:right w:w="15" w:type="dxa"/>
            </w:tcMar>
            <w:vAlign w:val="center"/>
            <w:hideMark/>
          </w:tcPr>
          <w:p w14:paraId="22D4525B"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8%</w:t>
            </w:r>
          </w:p>
        </w:tc>
      </w:tr>
      <w:tr w:rsidR="00207ECC" w:rsidRPr="00BE3465" w14:paraId="51786CDD" w14:textId="77777777" w:rsidTr="00BB71C7">
        <w:trPr>
          <w:cantSplit/>
          <w:trHeight w:val="270"/>
          <w:jc w:val="center"/>
        </w:trPr>
        <w:tc>
          <w:tcPr>
            <w:tcW w:w="0" w:type="auto"/>
            <w:noWrap/>
            <w:tcMar>
              <w:top w:w="15" w:type="dxa"/>
              <w:left w:w="15" w:type="dxa"/>
              <w:bottom w:w="0" w:type="dxa"/>
              <w:right w:w="15" w:type="dxa"/>
            </w:tcMar>
            <w:vAlign w:val="center"/>
            <w:hideMark/>
          </w:tcPr>
          <w:p w14:paraId="2877C29C" w14:textId="77777777" w:rsidR="00207ECC" w:rsidRPr="00BE3465" w:rsidRDefault="00207ECC" w:rsidP="009F7239">
            <w:pPr>
              <w:spacing w:after="0"/>
              <w:rPr>
                <w:rFonts w:ascii="Aptos Narrow" w:hAnsi="Aptos Narrow"/>
                <w:color w:val="000000"/>
                <w:sz w:val="24"/>
                <w:szCs w:val="24"/>
              </w:rPr>
            </w:pPr>
            <w:r w:rsidRPr="00BE3465">
              <w:rPr>
                <w:rFonts w:ascii="Aptos Narrow" w:hAnsi="Aptos Narrow"/>
                <w:color w:val="000000"/>
                <w:sz w:val="24"/>
                <w:szCs w:val="24"/>
              </w:rPr>
              <w:t>50-64</w:t>
            </w:r>
          </w:p>
        </w:tc>
        <w:tc>
          <w:tcPr>
            <w:tcW w:w="0" w:type="auto"/>
            <w:noWrap/>
            <w:tcMar>
              <w:top w:w="15" w:type="dxa"/>
              <w:left w:w="15" w:type="dxa"/>
              <w:bottom w:w="0" w:type="dxa"/>
              <w:right w:w="15" w:type="dxa"/>
            </w:tcMar>
            <w:vAlign w:val="center"/>
            <w:hideMark/>
          </w:tcPr>
          <w:p w14:paraId="15719F16"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74,493</w:t>
            </w:r>
          </w:p>
        </w:tc>
        <w:tc>
          <w:tcPr>
            <w:tcW w:w="0" w:type="auto"/>
            <w:noWrap/>
            <w:tcMar>
              <w:top w:w="15" w:type="dxa"/>
              <w:left w:w="15" w:type="dxa"/>
              <w:bottom w:w="0" w:type="dxa"/>
              <w:right w:w="15" w:type="dxa"/>
            </w:tcMar>
            <w:vAlign w:val="center"/>
            <w:hideMark/>
          </w:tcPr>
          <w:p w14:paraId="42F0BC40"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43,720</w:t>
            </w:r>
          </w:p>
        </w:tc>
        <w:tc>
          <w:tcPr>
            <w:tcW w:w="0" w:type="auto"/>
            <w:noWrap/>
            <w:tcMar>
              <w:top w:w="15" w:type="dxa"/>
              <w:left w:w="15" w:type="dxa"/>
              <w:bottom w:w="0" w:type="dxa"/>
              <w:right w:w="15" w:type="dxa"/>
            </w:tcMar>
            <w:vAlign w:val="center"/>
            <w:hideMark/>
          </w:tcPr>
          <w:p w14:paraId="2872B200"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21,096</w:t>
            </w:r>
          </w:p>
        </w:tc>
        <w:tc>
          <w:tcPr>
            <w:tcW w:w="0" w:type="auto"/>
            <w:noWrap/>
            <w:tcMar>
              <w:top w:w="15" w:type="dxa"/>
              <w:left w:w="15" w:type="dxa"/>
              <w:bottom w:w="0" w:type="dxa"/>
              <w:right w:w="15" w:type="dxa"/>
            </w:tcMar>
            <w:vAlign w:val="center"/>
            <w:hideMark/>
          </w:tcPr>
          <w:p w14:paraId="5323802B"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21%</w:t>
            </w:r>
          </w:p>
        </w:tc>
        <w:tc>
          <w:tcPr>
            <w:tcW w:w="0" w:type="auto"/>
            <w:noWrap/>
            <w:tcMar>
              <w:top w:w="15" w:type="dxa"/>
              <w:left w:w="15" w:type="dxa"/>
              <w:bottom w:w="0" w:type="dxa"/>
              <w:right w:w="15" w:type="dxa"/>
            </w:tcMar>
            <w:vAlign w:val="center"/>
            <w:hideMark/>
          </w:tcPr>
          <w:p w14:paraId="13F8C71E"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20%</w:t>
            </w:r>
          </w:p>
        </w:tc>
        <w:tc>
          <w:tcPr>
            <w:tcW w:w="1120" w:type="dxa"/>
            <w:tcMar>
              <w:top w:w="15" w:type="dxa"/>
              <w:left w:w="15" w:type="dxa"/>
              <w:bottom w:w="0" w:type="dxa"/>
              <w:right w:w="15" w:type="dxa"/>
            </w:tcMar>
            <w:vAlign w:val="center"/>
            <w:hideMark/>
          </w:tcPr>
          <w:p w14:paraId="49FB870A"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27%</w:t>
            </w:r>
          </w:p>
        </w:tc>
      </w:tr>
      <w:tr w:rsidR="00207ECC" w:rsidRPr="00BE3465" w14:paraId="7D3D95E0" w14:textId="77777777" w:rsidTr="00BB71C7">
        <w:trPr>
          <w:cantSplit/>
          <w:trHeight w:val="270"/>
          <w:jc w:val="center"/>
        </w:trPr>
        <w:tc>
          <w:tcPr>
            <w:tcW w:w="0" w:type="auto"/>
            <w:noWrap/>
            <w:tcMar>
              <w:top w:w="15" w:type="dxa"/>
              <w:left w:w="15" w:type="dxa"/>
              <w:bottom w:w="0" w:type="dxa"/>
              <w:right w:w="15" w:type="dxa"/>
            </w:tcMar>
            <w:vAlign w:val="center"/>
            <w:hideMark/>
          </w:tcPr>
          <w:p w14:paraId="13F53926" w14:textId="77777777" w:rsidR="00207ECC" w:rsidRPr="00BE3465" w:rsidRDefault="00207ECC" w:rsidP="009F7239">
            <w:pPr>
              <w:spacing w:after="0"/>
              <w:rPr>
                <w:rFonts w:ascii="Aptos Narrow" w:hAnsi="Aptos Narrow"/>
                <w:color w:val="000000"/>
                <w:sz w:val="24"/>
                <w:szCs w:val="24"/>
              </w:rPr>
            </w:pPr>
            <w:r w:rsidRPr="00BE3465">
              <w:rPr>
                <w:rFonts w:ascii="Aptos Narrow" w:hAnsi="Aptos Narrow"/>
                <w:color w:val="000000"/>
                <w:sz w:val="24"/>
                <w:szCs w:val="24"/>
              </w:rPr>
              <w:t>65-75</w:t>
            </w:r>
          </w:p>
        </w:tc>
        <w:tc>
          <w:tcPr>
            <w:tcW w:w="0" w:type="auto"/>
            <w:noWrap/>
            <w:tcMar>
              <w:top w:w="15" w:type="dxa"/>
              <w:left w:w="15" w:type="dxa"/>
              <w:bottom w:w="0" w:type="dxa"/>
              <w:right w:w="15" w:type="dxa"/>
            </w:tcMar>
            <w:vAlign w:val="center"/>
            <w:hideMark/>
          </w:tcPr>
          <w:p w14:paraId="419E18A2"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60,585</w:t>
            </w:r>
          </w:p>
        </w:tc>
        <w:tc>
          <w:tcPr>
            <w:tcW w:w="0" w:type="auto"/>
            <w:noWrap/>
            <w:tcMar>
              <w:top w:w="15" w:type="dxa"/>
              <w:left w:w="15" w:type="dxa"/>
              <w:bottom w:w="0" w:type="dxa"/>
              <w:right w:w="15" w:type="dxa"/>
            </w:tcMar>
            <w:vAlign w:val="center"/>
            <w:hideMark/>
          </w:tcPr>
          <w:p w14:paraId="6923D0AC"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34,569</w:t>
            </w:r>
          </w:p>
        </w:tc>
        <w:tc>
          <w:tcPr>
            <w:tcW w:w="0" w:type="auto"/>
            <w:noWrap/>
            <w:tcMar>
              <w:top w:w="15" w:type="dxa"/>
              <w:left w:w="15" w:type="dxa"/>
              <w:bottom w:w="0" w:type="dxa"/>
              <w:right w:w="15" w:type="dxa"/>
            </w:tcMar>
            <w:vAlign w:val="center"/>
            <w:hideMark/>
          </w:tcPr>
          <w:p w14:paraId="1E093DD0"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15,262</w:t>
            </w:r>
          </w:p>
        </w:tc>
        <w:tc>
          <w:tcPr>
            <w:tcW w:w="0" w:type="auto"/>
            <w:noWrap/>
            <w:tcMar>
              <w:top w:w="15" w:type="dxa"/>
              <w:left w:w="15" w:type="dxa"/>
              <w:bottom w:w="0" w:type="dxa"/>
              <w:right w:w="15" w:type="dxa"/>
            </w:tcMar>
            <w:vAlign w:val="center"/>
            <w:hideMark/>
          </w:tcPr>
          <w:p w14:paraId="63951A8B"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17%</w:t>
            </w:r>
          </w:p>
        </w:tc>
        <w:tc>
          <w:tcPr>
            <w:tcW w:w="0" w:type="auto"/>
            <w:noWrap/>
            <w:tcMar>
              <w:top w:w="15" w:type="dxa"/>
              <w:left w:w="15" w:type="dxa"/>
              <w:bottom w:w="0" w:type="dxa"/>
              <w:right w:w="15" w:type="dxa"/>
            </w:tcMar>
            <w:vAlign w:val="center"/>
            <w:hideMark/>
          </w:tcPr>
          <w:p w14:paraId="6A28395C"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16%</w:t>
            </w:r>
          </w:p>
        </w:tc>
        <w:tc>
          <w:tcPr>
            <w:tcW w:w="1120" w:type="dxa"/>
            <w:tcMar>
              <w:top w:w="15" w:type="dxa"/>
              <w:left w:w="15" w:type="dxa"/>
              <w:bottom w:w="0" w:type="dxa"/>
              <w:right w:w="15" w:type="dxa"/>
            </w:tcMar>
            <w:vAlign w:val="center"/>
            <w:hideMark/>
          </w:tcPr>
          <w:p w14:paraId="242D69B9"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20%</w:t>
            </w:r>
          </w:p>
        </w:tc>
      </w:tr>
      <w:tr w:rsidR="00207ECC" w:rsidRPr="00BE3465" w14:paraId="4601D078" w14:textId="77777777" w:rsidTr="00BB71C7">
        <w:trPr>
          <w:cantSplit/>
          <w:trHeight w:val="285"/>
          <w:jc w:val="center"/>
        </w:trPr>
        <w:tc>
          <w:tcPr>
            <w:tcW w:w="0" w:type="auto"/>
            <w:noWrap/>
            <w:tcMar>
              <w:top w:w="15" w:type="dxa"/>
              <w:left w:w="15" w:type="dxa"/>
              <w:bottom w:w="0" w:type="dxa"/>
              <w:right w:w="15" w:type="dxa"/>
            </w:tcMar>
            <w:vAlign w:val="center"/>
            <w:hideMark/>
          </w:tcPr>
          <w:p w14:paraId="3EABB101" w14:textId="77777777" w:rsidR="00207ECC" w:rsidRPr="00BE3465" w:rsidRDefault="00207ECC" w:rsidP="009F7239">
            <w:pPr>
              <w:spacing w:after="0"/>
              <w:rPr>
                <w:rFonts w:ascii="Aptos Narrow" w:hAnsi="Aptos Narrow"/>
                <w:color w:val="000000"/>
                <w:sz w:val="24"/>
                <w:szCs w:val="24"/>
              </w:rPr>
            </w:pPr>
            <w:r w:rsidRPr="00BE3465">
              <w:rPr>
                <w:rFonts w:ascii="Aptos Narrow" w:hAnsi="Aptos Narrow"/>
                <w:color w:val="000000"/>
                <w:sz w:val="24"/>
                <w:szCs w:val="24"/>
              </w:rPr>
              <w:t>76+</w:t>
            </w:r>
          </w:p>
        </w:tc>
        <w:tc>
          <w:tcPr>
            <w:tcW w:w="0" w:type="auto"/>
            <w:noWrap/>
            <w:tcMar>
              <w:top w:w="15" w:type="dxa"/>
              <w:left w:w="15" w:type="dxa"/>
              <w:bottom w:w="0" w:type="dxa"/>
              <w:right w:w="15" w:type="dxa"/>
            </w:tcMar>
            <w:vAlign w:val="center"/>
            <w:hideMark/>
          </w:tcPr>
          <w:p w14:paraId="5BB24C4D"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41,481</w:t>
            </w:r>
          </w:p>
        </w:tc>
        <w:tc>
          <w:tcPr>
            <w:tcW w:w="0" w:type="auto"/>
            <w:noWrap/>
            <w:tcMar>
              <w:top w:w="15" w:type="dxa"/>
              <w:left w:w="15" w:type="dxa"/>
              <w:bottom w:w="0" w:type="dxa"/>
              <w:right w:w="15" w:type="dxa"/>
            </w:tcMar>
            <w:vAlign w:val="center"/>
            <w:hideMark/>
          </w:tcPr>
          <w:p w14:paraId="6226171D"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23,720</w:t>
            </w:r>
          </w:p>
        </w:tc>
        <w:tc>
          <w:tcPr>
            <w:tcW w:w="0" w:type="auto"/>
            <w:noWrap/>
            <w:tcMar>
              <w:top w:w="15" w:type="dxa"/>
              <w:left w:w="15" w:type="dxa"/>
              <w:bottom w:w="0" w:type="dxa"/>
              <w:right w:w="15" w:type="dxa"/>
            </w:tcMar>
            <w:vAlign w:val="center"/>
            <w:hideMark/>
          </w:tcPr>
          <w:p w14:paraId="6A519803"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11,652</w:t>
            </w:r>
          </w:p>
        </w:tc>
        <w:tc>
          <w:tcPr>
            <w:tcW w:w="0" w:type="auto"/>
            <w:noWrap/>
            <w:tcMar>
              <w:top w:w="15" w:type="dxa"/>
              <w:left w:w="15" w:type="dxa"/>
              <w:bottom w:w="0" w:type="dxa"/>
              <w:right w:w="15" w:type="dxa"/>
            </w:tcMar>
            <w:vAlign w:val="center"/>
            <w:hideMark/>
          </w:tcPr>
          <w:p w14:paraId="57419B2E"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12%</w:t>
            </w:r>
          </w:p>
        </w:tc>
        <w:tc>
          <w:tcPr>
            <w:tcW w:w="0" w:type="auto"/>
            <w:noWrap/>
            <w:tcMar>
              <w:top w:w="15" w:type="dxa"/>
              <w:left w:w="15" w:type="dxa"/>
              <w:bottom w:w="0" w:type="dxa"/>
              <w:right w:w="15" w:type="dxa"/>
            </w:tcMar>
            <w:vAlign w:val="center"/>
            <w:hideMark/>
          </w:tcPr>
          <w:p w14:paraId="0AEB29BA"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11%</w:t>
            </w:r>
          </w:p>
        </w:tc>
        <w:tc>
          <w:tcPr>
            <w:tcW w:w="1120" w:type="dxa"/>
            <w:tcMar>
              <w:top w:w="15" w:type="dxa"/>
              <w:left w:w="15" w:type="dxa"/>
              <w:bottom w:w="0" w:type="dxa"/>
              <w:right w:w="15" w:type="dxa"/>
            </w:tcMar>
            <w:vAlign w:val="center"/>
            <w:hideMark/>
          </w:tcPr>
          <w:p w14:paraId="7AAC7B44" w14:textId="77777777" w:rsidR="00207ECC" w:rsidRPr="00BE3465" w:rsidRDefault="00207ECC" w:rsidP="009F7239">
            <w:pPr>
              <w:spacing w:after="0"/>
              <w:jc w:val="center"/>
              <w:rPr>
                <w:rFonts w:ascii="Aptos Narrow" w:hAnsi="Aptos Narrow"/>
                <w:color w:val="000000"/>
                <w:sz w:val="24"/>
                <w:szCs w:val="24"/>
              </w:rPr>
            </w:pPr>
            <w:r w:rsidRPr="00BE3465">
              <w:rPr>
                <w:rFonts w:ascii="Aptos Narrow" w:hAnsi="Aptos Narrow"/>
                <w:color w:val="000000"/>
                <w:sz w:val="24"/>
                <w:szCs w:val="24"/>
              </w:rPr>
              <w:t>15%</w:t>
            </w:r>
          </w:p>
        </w:tc>
      </w:tr>
      <w:tr w:rsidR="00207ECC" w:rsidRPr="00BE3465" w14:paraId="2A1B17FA" w14:textId="77777777" w:rsidTr="00BB71C7">
        <w:trPr>
          <w:cantSplit/>
          <w:trHeight w:val="270"/>
          <w:jc w:val="center"/>
        </w:trPr>
        <w:tc>
          <w:tcPr>
            <w:tcW w:w="0" w:type="auto"/>
            <w:noWrap/>
            <w:tcMar>
              <w:top w:w="15" w:type="dxa"/>
              <w:left w:w="15" w:type="dxa"/>
              <w:bottom w:w="0" w:type="dxa"/>
              <w:right w:w="15" w:type="dxa"/>
            </w:tcMar>
            <w:vAlign w:val="bottom"/>
            <w:hideMark/>
          </w:tcPr>
          <w:p w14:paraId="4EA773AB" w14:textId="77777777" w:rsidR="00207ECC" w:rsidRPr="00BE3465" w:rsidRDefault="00207ECC" w:rsidP="009F7239">
            <w:pPr>
              <w:spacing w:after="0"/>
              <w:rPr>
                <w:rFonts w:ascii="Aptos Narrow" w:hAnsi="Aptos Narrow"/>
                <w:b/>
                <w:bCs/>
                <w:color w:val="000000"/>
                <w:sz w:val="24"/>
                <w:szCs w:val="24"/>
              </w:rPr>
            </w:pPr>
            <w:r w:rsidRPr="00BE3465">
              <w:rPr>
                <w:rFonts w:ascii="Aptos Narrow" w:hAnsi="Aptos Narrow"/>
                <w:b/>
                <w:bCs/>
                <w:color w:val="000000"/>
                <w:sz w:val="24"/>
                <w:szCs w:val="24"/>
              </w:rPr>
              <w:t>Total</w:t>
            </w:r>
          </w:p>
        </w:tc>
        <w:tc>
          <w:tcPr>
            <w:tcW w:w="0" w:type="auto"/>
            <w:noWrap/>
            <w:tcMar>
              <w:top w:w="15" w:type="dxa"/>
              <w:left w:w="15" w:type="dxa"/>
              <w:bottom w:w="0" w:type="dxa"/>
              <w:right w:w="15" w:type="dxa"/>
            </w:tcMar>
            <w:vAlign w:val="center"/>
            <w:hideMark/>
          </w:tcPr>
          <w:p w14:paraId="090D4C6E" w14:textId="77777777"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350,217</w:t>
            </w:r>
          </w:p>
        </w:tc>
        <w:tc>
          <w:tcPr>
            <w:tcW w:w="0" w:type="auto"/>
            <w:noWrap/>
            <w:tcMar>
              <w:top w:w="15" w:type="dxa"/>
              <w:left w:w="15" w:type="dxa"/>
              <w:bottom w:w="0" w:type="dxa"/>
              <w:right w:w="15" w:type="dxa"/>
            </w:tcMar>
            <w:vAlign w:val="center"/>
            <w:hideMark/>
          </w:tcPr>
          <w:p w14:paraId="5E39BB40" w14:textId="77777777"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217,540</w:t>
            </w:r>
          </w:p>
        </w:tc>
        <w:tc>
          <w:tcPr>
            <w:tcW w:w="1120" w:type="dxa"/>
            <w:tcMar>
              <w:top w:w="15" w:type="dxa"/>
              <w:left w:w="15" w:type="dxa"/>
              <w:bottom w:w="0" w:type="dxa"/>
              <w:right w:w="15" w:type="dxa"/>
            </w:tcMar>
            <w:vAlign w:val="center"/>
            <w:hideMark/>
          </w:tcPr>
          <w:p w14:paraId="67D1754B"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77,181</w:t>
            </w:r>
          </w:p>
        </w:tc>
        <w:tc>
          <w:tcPr>
            <w:tcW w:w="0" w:type="auto"/>
            <w:noWrap/>
            <w:tcMar>
              <w:top w:w="15" w:type="dxa"/>
              <w:left w:w="15" w:type="dxa"/>
              <w:bottom w:w="0" w:type="dxa"/>
              <w:right w:w="15" w:type="dxa"/>
            </w:tcMar>
            <w:vAlign w:val="center"/>
            <w:hideMark/>
          </w:tcPr>
          <w:p w14:paraId="698D9F6D" w14:textId="77777777"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100%</w:t>
            </w:r>
          </w:p>
        </w:tc>
        <w:tc>
          <w:tcPr>
            <w:tcW w:w="0" w:type="auto"/>
            <w:noWrap/>
            <w:tcMar>
              <w:top w:w="15" w:type="dxa"/>
              <w:left w:w="15" w:type="dxa"/>
              <w:bottom w:w="0" w:type="dxa"/>
              <w:right w:w="15" w:type="dxa"/>
            </w:tcMar>
            <w:vAlign w:val="center"/>
            <w:hideMark/>
          </w:tcPr>
          <w:p w14:paraId="792A08FD" w14:textId="77777777"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100%</w:t>
            </w:r>
          </w:p>
        </w:tc>
        <w:tc>
          <w:tcPr>
            <w:tcW w:w="0" w:type="auto"/>
            <w:noWrap/>
            <w:tcMar>
              <w:top w:w="15" w:type="dxa"/>
              <w:left w:w="15" w:type="dxa"/>
              <w:bottom w:w="0" w:type="dxa"/>
              <w:right w:w="15" w:type="dxa"/>
            </w:tcMar>
            <w:vAlign w:val="bottom"/>
            <w:hideMark/>
          </w:tcPr>
          <w:p w14:paraId="5CA7BD6E" w14:textId="77777777" w:rsidR="00207ECC" w:rsidRPr="00BE3465" w:rsidRDefault="00207ECC" w:rsidP="009F7239">
            <w:pPr>
              <w:spacing w:after="0"/>
              <w:jc w:val="center"/>
              <w:rPr>
                <w:rFonts w:ascii="Aptos Narrow" w:hAnsi="Aptos Narrow"/>
                <w:b/>
                <w:bCs/>
                <w:color w:val="000000"/>
                <w:sz w:val="24"/>
                <w:szCs w:val="24"/>
              </w:rPr>
            </w:pPr>
            <w:r w:rsidRPr="00BE3465">
              <w:rPr>
                <w:rFonts w:ascii="Aptos Narrow" w:hAnsi="Aptos Narrow"/>
                <w:b/>
                <w:bCs/>
                <w:color w:val="000000"/>
                <w:sz w:val="24"/>
                <w:szCs w:val="24"/>
              </w:rPr>
              <w:t>100%</w:t>
            </w:r>
          </w:p>
        </w:tc>
      </w:tr>
    </w:tbl>
    <w:p w14:paraId="4CE29375" w14:textId="48B76B2B" w:rsidR="00207ECC" w:rsidRPr="00BE3465" w:rsidRDefault="00207ECC" w:rsidP="00207ECC">
      <w:pPr>
        <w:pStyle w:val="pf0"/>
        <w:spacing w:before="0" w:beforeAutospacing="0" w:after="120" w:afterAutospacing="0"/>
        <w:ind w:left="720"/>
        <w:rPr>
          <w:rStyle w:val="cf01"/>
          <w:rFonts w:ascii="Aptos" w:hAnsi="Aptos" w:cstheme="minorBidi"/>
          <w:sz w:val="24"/>
          <w:szCs w:val="24"/>
        </w:rPr>
      </w:pPr>
      <w:r w:rsidRPr="00BE3465">
        <w:rPr>
          <w:rStyle w:val="cf01"/>
          <w:rFonts w:ascii="Aptos" w:hAnsi="Aptos" w:cstheme="minorBidi"/>
          <w:sz w:val="24"/>
          <w:szCs w:val="24"/>
        </w:rPr>
        <w:t xml:space="preserve"> </w:t>
      </w:r>
    </w:p>
    <w:p w14:paraId="58F93C8B" w14:textId="3AC5AF4B" w:rsidR="00870513" w:rsidRPr="00BE3465" w:rsidRDefault="00870513" w:rsidP="00C554E5">
      <w:pPr>
        <w:pStyle w:val="Heading2"/>
        <w:rPr>
          <w:rStyle w:val="cf01"/>
          <w:rFonts w:ascii="Aptos" w:hAnsi="Aptos" w:cstheme="minorBidi"/>
          <w:sz w:val="24"/>
          <w:szCs w:val="24"/>
        </w:rPr>
      </w:pPr>
      <w:r w:rsidRPr="00BE3465">
        <w:rPr>
          <w:rStyle w:val="cf01"/>
          <w:rFonts w:ascii="Aptos" w:hAnsi="Aptos" w:cstheme="minorBidi"/>
          <w:sz w:val="24"/>
          <w:szCs w:val="24"/>
        </w:rPr>
        <w:t xml:space="preserve">The Applicant notes that the Maternity Services have been suspended at MMC. What is the Applicant’s intention </w:t>
      </w:r>
      <w:proofErr w:type="gramStart"/>
      <w:r w:rsidRPr="00BE3465">
        <w:rPr>
          <w:rStyle w:val="cf01"/>
          <w:rFonts w:ascii="Aptos" w:hAnsi="Aptos" w:cstheme="minorBidi"/>
          <w:sz w:val="24"/>
          <w:szCs w:val="24"/>
        </w:rPr>
        <w:t>with regard to</w:t>
      </w:r>
      <w:proofErr w:type="gramEnd"/>
      <w:r w:rsidRPr="00BE3465">
        <w:rPr>
          <w:rStyle w:val="cf01"/>
          <w:rFonts w:ascii="Aptos" w:hAnsi="Aptos" w:cstheme="minorBidi"/>
          <w:sz w:val="24"/>
          <w:szCs w:val="24"/>
        </w:rPr>
        <w:t xml:space="preserve"> the Maternity Beds upon project approval</w:t>
      </w:r>
      <w:r w:rsidR="13765FC0" w:rsidRPr="00BE3465">
        <w:rPr>
          <w:rStyle w:val="cf01"/>
          <w:rFonts w:ascii="Aptos" w:hAnsi="Aptos" w:cstheme="minorBidi"/>
          <w:sz w:val="24"/>
          <w:szCs w:val="24"/>
        </w:rPr>
        <w:t xml:space="preserve"> (i.e., will it maintain licensure of Maternity </w:t>
      </w:r>
      <w:r w:rsidR="0057D414" w:rsidRPr="00BE3465">
        <w:rPr>
          <w:rStyle w:val="cf01"/>
          <w:rFonts w:ascii="Aptos" w:hAnsi="Aptos" w:cstheme="minorBidi"/>
          <w:sz w:val="24"/>
          <w:szCs w:val="24"/>
        </w:rPr>
        <w:t>Beds at Mercy post-acquisition)</w:t>
      </w:r>
      <w:r w:rsidRPr="00BE3465">
        <w:rPr>
          <w:rStyle w:val="cf01"/>
          <w:rFonts w:ascii="Aptos" w:hAnsi="Aptos" w:cstheme="minorBidi"/>
          <w:sz w:val="24"/>
          <w:szCs w:val="24"/>
        </w:rPr>
        <w:t>?</w:t>
      </w:r>
    </w:p>
    <w:p w14:paraId="241B7540" w14:textId="5755BD19" w:rsidR="00E5346E" w:rsidRPr="00BE3465" w:rsidRDefault="00E5346E" w:rsidP="00E5346E">
      <w:pPr>
        <w:pStyle w:val="ListParagraph"/>
        <w:jc w:val="both"/>
        <w:rPr>
          <w:rFonts w:ascii="Aptos" w:hAnsi="Aptos"/>
          <w:b/>
          <w:bCs/>
          <w:sz w:val="24"/>
          <w:szCs w:val="24"/>
        </w:rPr>
      </w:pPr>
      <w:r w:rsidRPr="00BE3465">
        <w:rPr>
          <w:rFonts w:ascii="Aptos" w:hAnsi="Aptos"/>
          <w:b/>
          <w:bCs/>
          <w:sz w:val="24"/>
          <w:szCs w:val="24"/>
        </w:rPr>
        <w:t xml:space="preserve">Baystate has been managing the abruptly discontinued obstetrical services at MMC over the past five (5) months, and obstetrical services are now stabilized at Baystate Medical Center (BMC). Baystate has been providing labor and delivery services during this time to hundreds of MMC patients after </w:t>
      </w:r>
      <w:proofErr w:type="gramStart"/>
      <w:r w:rsidRPr="00BE3465">
        <w:rPr>
          <w:rFonts w:ascii="Aptos" w:hAnsi="Aptos"/>
          <w:b/>
          <w:bCs/>
          <w:sz w:val="24"/>
          <w:szCs w:val="24"/>
        </w:rPr>
        <w:t>all of</w:t>
      </w:r>
      <w:proofErr w:type="gramEnd"/>
      <w:r w:rsidRPr="00BE3465">
        <w:rPr>
          <w:rFonts w:ascii="Aptos" w:hAnsi="Aptos"/>
          <w:b/>
          <w:bCs/>
          <w:sz w:val="24"/>
          <w:szCs w:val="24"/>
        </w:rPr>
        <w:t xml:space="preserve"> MMC’s clinicians except one left the area. MMC currently provides limited services to its remaining pregnant patients (&lt;90) who are then transitioned to Baystate for their deliveries. Baystate has put processes and procedures in place to manage capacity safely as it heads into the busy summer months. Baystate is considering continuing to provide obstetrical services to all patients in the area at BMC. Baystate’s clinicians will engage in planning for specific clinical services lines with Mercy clinicians post-closing </w:t>
      </w:r>
      <w:proofErr w:type="gramStart"/>
      <w:r w:rsidRPr="00BE3465">
        <w:rPr>
          <w:rFonts w:ascii="Aptos" w:hAnsi="Aptos"/>
          <w:b/>
          <w:bCs/>
          <w:sz w:val="24"/>
          <w:szCs w:val="24"/>
        </w:rPr>
        <w:t>in order to</w:t>
      </w:r>
      <w:proofErr w:type="gramEnd"/>
      <w:r w:rsidRPr="00BE3465">
        <w:rPr>
          <w:rFonts w:ascii="Aptos" w:hAnsi="Aptos"/>
          <w:b/>
          <w:bCs/>
          <w:sz w:val="24"/>
          <w:szCs w:val="24"/>
        </w:rPr>
        <w:t xml:space="preserve"> efficiently utilize its obstetrical clinicians. Baystate has not made a final decision about the Maternity Beds </w:t>
      </w:r>
      <w:r w:rsidRPr="00BE3465">
        <w:rPr>
          <w:rFonts w:ascii="Aptos" w:hAnsi="Aptos"/>
          <w:b/>
          <w:bCs/>
          <w:sz w:val="24"/>
          <w:szCs w:val="24"/>
        </w:rPr>
        <w:lastRenderedPageBreak/>
        <w:t xml:space="preserve">at this time and will provide an update to the Department prior to its issuance of the Staff Report for this </w:t>
      </w:r>
      <w:proofErr w:type="spellStart"/>
      <w:r w:rsidRPr="00BE3465">
        <w:rPr>
          <w:rFonts w:ascii="Aptos" w:hAnsi="Aptos"/>
          <w:b/>
          <w:bCs/>
          <w:sz w:val="24"/>
          <w:szCs w:val="24"/>
        </w:rPr>
        <w:t>DoN</w:t>
      </w:r>
      <w:proofErr w:type="spellEnd"/>
      <w:r w:rsidRPr="00BE3465">
        <w:rPr>
          <w:rFonts w:ascii="Aptos" w:hAnsi="Aptos"/>
          <w:b/>
          <w:bCs/>
          <w:sz w:val="24"/>
          <w:szCs w:val="24"/>
        </w:rPr>
        <w:t>.</w:t>
      </w:r>
    </w:p>
    <w:p w14:paraId="1702EC8F" w14:textId="77777777" w:rsidR="00E72A69" w:rsidRPr="00BE3465" w:rsidRDefault="007235BA" w:rsidP="00EA5BD8">
      <w:pPr>
        <w:pStyle w:val="Heading2"/>
        <w:rPr>
          <w:rStyle w:val="cf01"/>
          <w:rFonts w:ascii="Aptos" w:hAnsi="Aptos" w:cstheme="minorHAnsi"/>
          <w:sz w:val="24"/>
          <w:szCs w:val="24"/>
        </w:rPr>
      </w:pPr>
      <w:r w:rsidRPr="00BE3465">
        <w:rPr>
          <w:rStyle w:val="cf01"/>
          <w:rFonts w:ascii="Aptos" w:hAnsi="Aptos" w:cstheme="minorHAnsi"/>
          <w:sz w:val="24"/>
          <w:szCs w:val="24"/>
        </w:rPr>
        <w:t xml:space="preserve">Please provide the utilization data for </w:t>
      </w:r>
      <w:r w:rsidR="00E72A69" w:rsidRPr="00BE3465">
        <w:rPr>
          <w:rStyle w:val="cf01"/>
          <w:rFonts w:ascii="Aptos" w:hAnsi="Aptos" w:cstheme="minorHAnsi"/>
          <w:sz w:val="24"/>
          <w:szCs w:val="24"/>
        </w:rPr>
        <w:t xml:space="preserve">both </w:t>
      </w:r>
      <w:r w:rsidRPr="00BE3465">
        <w:rPr>
          <w:rStyle w:val="cf01"/>
          <w:rFonts w:ascii="Aptos" w:hAnsi="Aptos" w:cstheme="minorHAnsi"/>
          <w:sz w:val="24"/>
          <w:szCs w:val="24"/>
        </w:rPr>
        <w:t xml:space="preserve">Baystate Medical Center and MMC from FY2023 to FY2026. Data should include </w:t>
      </w:r>
    </w:p>
    <w:p w14:paraId="4FDB6691" w14:textId="1830672C" w:rsidR="00E72A69" w:rsidRPr="00BE3465" w:rsidRDefault="00E72A69" w:rsidP="00207ECC">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N</w:t>
      </w:r>
      <w:r w:rsidR="007235BA" w:rsidRPr="00BE3465">
        <w:rPr>
          <w:rStyle w:val="cf01"/>
          <w:rFonts w:ascii="Aptos" w:hAnsi="Aptos" w:cstheme="minorHAnsi"/>
          <w:sz w:val="24"/>
          <w:szCs w:val="24"/>
        </w:rPr>
        <w:t xml:space="preserve">umber of Licensed Medical Surgical Beds </w:t>
      </w:r>
    </w:p>
    <w:p w14:paraId="63EB3776" w14:textId="6037CB15" w:rsidR="00E72A69" w:rsidRPr="00BE3465" w:rsidRDefault="007235BA" w:rsidP="00207ECC">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Number of staffed beds</w:t>
      </w:r>
    </w:p>
    <w:p w14:paraId="24B805E6" w14:textId="03CE983E" w:rsidR="00E72A69" w:rsidRPr="00BE3465" w:rsidRDefault="007235BA" w:rsidP="00207ECC">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ED Boarding</w:t>
      </w:r>
      <w:r w:rsidR="00571595" w:rsidRPr="00BE3465">
        <w:rPr>
          <w:rStyle w:val="cf01"/>
          <w:rFonts w:ascii="Aptos" w:hAnsi="Aptos" w:cstheme="minorHAnsi"/>
          <w:sz w:val="24"/>
          <w:szCs w:val="24"/>
        </w:rPr>
        <w:t xml:space="preserve"> </w:t>
      </w:r>
      <w:r w:rsidR="00071039" w:rsidRPr="00BE3465">
        <w:rPr>
          <w:rStyle w:val="cf01"/>
          <w:rFonts w:ascii="Aptos" w:hAnsi="Aptos" w:cstheme="minorHAnsi"/>
          <w:sz w:val="24"/>
          <w:szCs w:val="24"/>
        </w:rPr>
        <w:t>Time</w:t>
      </w:r>
      <w:r w:rsidRPr="00BE3465">
        <w:rPr>
          <w:rStyle w:val="cf01"/>
          <w:rFonts w:ascii="Aptos" w:hAnsi="Aptos" w:cstheme="minorHAnsi"/>
          <w:sz w:val="24"/>
          <w:szCs w:val="24"/>
        </w:rPr>
        <w:t>s</w:t>
      </w:r>
    </w:p>
    <w:p w14:paraId="6882DC46" w14:textId="7F4947FC" w:rsidR="00E72A69" w:rsidRPr="00BE3465" w:rsidRDefault="007235BA" w:rsidP="00207ECC">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L</w:t>
      </w:r>
      <w:r w:rsidR="00071039" w:rsidRPr="00BE3465">
        <w:rPr>
          <w:rStyle w:val="cf01"/>
          <w:rFonts w:ascii="Aptos" w:hAnsi="Aptos" w:cstheme="minorHAnsi"/>
          <w:sz w:val="24"/>
          <w:szCs w:val="24"/>
        </w:rPr>
        <w:t>eft Wi</w:t>
      </w:r>
      <w:r w:rsidR="008E6ED3" w:rsidRPr="00BE3465">
        <w:rPr>
          <w:rStyle w:val="cf01"/>
          <w:rFonts w:ascii="Aptos" w:hAnsi="Aptos" w:cstheme="minorHAnsi"/>
          <w:sz w:val="24"/>
          <w:szCs w:val="24"/>
        </w:rPr>
        <w:t>th</w:t>
      </w:r>
      <w:r w:rsidR="00071039" w:rsidRPr="00BE3465">
        <w:rPr>
          <w:rStyle w:val="cf01"/>
          <w:rFonts w:ascii="Aptos" w:hAnsi="Aptos" w:cstheme="minorHAnsi"/>
          <w:sz w:val="24"/>
          <w:szCs w:val="24"/>
        </w:rPr>
        <w:t>out Being Seen (LWB</w:t>
      </w:r>
      <w:r w:rsidRPr="00BE3465">
        <w:rPr>
          <w:rStyle w:val="cf01"/>
          <w:rFonts w:ascii="Aptos" w:hAnsi="Aptos" w:cstheme="minorHAnsi"/>
          <w:sz w:val="24"/>
          <w:szCs w:val="24"/>
        </w:rPr>
        <w:t>S</w:t>
      </w:r>
      <w:r w:rsidR="00071039" w:rsidRPr="00BE3465">
        <w:rPr>
          <w:rStyle w:val="cf01"/>
          <w:rFonts w:ascii="Aptos" w:hAnsi="Aptos" w:cstheme="minorHAnsi"/>
          <w:sz w:val="24"/>
          <w:szCs w:val="24"/>
        </w:rPr>
        <w:t>)</w:t>
      </w:r>
      <w:r w:rsidRPr="00BE3465">
        <w:rPr>
          <w:rStyle w:val="cf01"/>
          <w:rFonts w:ascii="Aptos" w:hAnsi="Aptos" w:cstheme="minorHAnsi"/>
          <w:sz w:val="24"/>
          <w:szCs w:val="24"/>
        </w:rPr>
        <w:t xml:space="preserve"> rate </w:t>
      </w:r>
    </w:p>
    <w:p w14:paraId="59E5AC88" w14:textId="02C68895" w:rsidR="007235BA" w:rsidRPr="00BE3465" w:rsidRDefault="008E6ED3" w:rsidP="00207ECC">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C</w:t>
      </w:r>
      <w:r w:rsidR="007235BA" w:rsidRPr="00BE3465">
        <w:rPr>
          <w:rStyle w:val="cf01"/>
          <w:rFonts w:ascii="Aptos" w:hAnsi="Aptos" w:cstheme="minorHAnsi"/>
          <w:sz w:val="24"/>
          <w:szCs w:val="24"/>
        </w:rPr>
        <w:t>apacity</w:t>
      </w:r>
      <w:r w:rsidR="00E72A69" w:rsidRPr="00BE3465">
        <w:rPr>
          <w:rStyle w:val="cf01"/>
          <w:rFonts w:ascii="Aptos" w:hAnsi="Aptos" w:cstheme="minorHAnsi"/>
          <w:sz w:val="24"/>
          <w:szCs w:val="24"/>
        </w:rPr>
        <w:t xml:space="preserve"> percentage</w:t>
      </w:r>
    </w:p>
    <w:tbl>
      <w:tblPr>
        <w:tblW w:w="8504" w:type="dxa"/>
        <w:jc w:val="center"/>
        <w:tblCellMar>
          <w:top w:w="15" w:type="dxa"/>
        </w:tblCellMar>
        <w:tblLook w:val="04A0" w:firstRow="1" w:lastRow="0" w:firstColumn="1" w:lastColumn="0" w:noHBand="0" w:noVBand="1"/>
        <w:tblCaption w:val="utilization data for Baystate Medical Center"/>
      </w:tblPr>
      <w:tblGrid>
        <w:gridCol w:w="4037"/>
        <w:gridCol w:w="1117"/>
        <w:gridCol w:w="1116"/>
        <w:gridCol w:w="1117"/>
        <w:gridCol w:w="1117"/>
      </w:tblGrid>
      <w:tr w:rsidR="00207ECC" w:rsidRPr="00BE3465" w14:paraId="7373E413" w14:textId="77777777" w:rsidTr="00492085">
        <w:trPr>
          <w:cantSplit/>
          <w:trHeight w:val="270"/>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FBE2D5"/>
            <w:vAlign w:val="center"/>
            <w:hideMark/>
          </w:tcPr>
          <w:p w14:paraId="66ACC94A" w14:textId="77777777" w:rsidR="00207ECC" w:rsidRPr="00BE3465" w:rsidRDefault="00207ECC" w:rsidP="00207ECC">
            <w:pPr>
              <w:spacing w:after="0" w:line="240" w:lineRule="auto"/>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 xml:space="preserve">Baystate Medical Center </w:t>
            </w:r>
          </w:p>
        </w:tc>
        <w:tc>
          <w:tcPr>
            <w:tcW w:w="1117" w:type="dxa"/>
            <w:tcBorders>
              <w:top w:val="single" w:sz="4" w:space="0" w:color="auto"/>
              <w:left w:val="nil"/>
              <w:bottom w:val="single" w:sz="4" w:space="0" w:color="auto"/>
              <w:right w:val="single" w:sz="4" w:space="0" w:color="auto"/>
            </w:tcBorders>
            <w:shd w:val="clear" w:color="000000" w:fill="FBE2D5"/>
            <w:vAlign w:val="center"/>
            <w:hideMark/>
          </w:tcPr>
          <w:p w14:paraId="0DB2F93F" w14:textId="77777777" w:rsidR="00207ECC" w:rsidRPr="00BE3465" w:rsidRDefault="00207ECC"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FY23</w:t>
            </w:r>
          </w:p>
        </w:tc>
        <w:tc>
          <w:tcPr>
            <w:tcW w:w="1116" w:type="dxa"/>
            <w:tcBorders>
              <w:top w:val="single" w:sz="4" w:space="0" w:color="auto"/>
              <w:left w:val="nil"/>
              <w:bottom w:val="single" w:sz="4" w:space="0" w:color="auto"/>
              <w:right w:val="single" w:sz="4" w:space="0" w:color="auto"/>
            </w:tcBorders>
            <w:shd w:val="clear" w:color="000000" w:fill="FBE2D5"/>
            <w:vAlign w:val="center"/>
            <w:hideMark/>
          </w:tcPr>
          <w:p w14:paraId="2610A5CD" w14:textId="77777777" w:rsidR="00207ECC" w:rsidRPr="00BE3465" w:rsidRDefault="00207ECC"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FY24</w:t>
            </w:r>
          </w:p>
        </w:tc>
        <w:tc>
          <w:tcPr>
            <w:tcW w:w="1117" w:type="dxa"/>
            <w:tcBorders>
              <w:top w:val="single" w:sz="4" w:space="0" w:color="auto"/>
              <w:left w:val="nil"/>
              <w:bottom w:val="single" w:sz="4" w:space="0" w:color="auto"/>
              <w:right w:val="single" w:sz="4" w:space="0" w:color="auto"/>
            </w:tcBorders>
            <w:shd w:val="clear" w:color="000000" w:fill="FBE2D5"/>
            <w:vAlign w:val="center"/>
            <w:hideMark/>
          </w:tcPr>
          <w:p w14:paraId="67B580FD" w14:textId="77777777" w:rsidR="00207ECC" w:rsidRPr="00BE3465" w:rsidRDefault="00207ECC"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FY25</w:t>
            </w:r>
          </w:p>
        </w:tc>
        <w:tc>
          <w:tcPr>
            <w:tcW w:w="1117" w:type="dxa"/>
            <w:tcBorders>
              <w:top w:val="single" w:sz="4" w:space="0" w:color="auto"/>
              <w:left w:val="nil"/>
              <w:bottom w:val="single" w:sz="4" w:space="0" w:color="auto"/>
              <w:right w:val="single" w:sz="4" w:space="0" w:color="auto"/>
            </w:tcBorders>
            <w:shd w:val="clear" w:color="000000" w:fill="FBE2D5"/>
            <w:vAlign w:val="center"/>
            <w:hideMark/>
          </w:tcPr>
          <w:p w14:paraId="392249BF" w14:textId="77777777" w:rsidR="00207ECC" w:rsidRPr="00BE3465" w:rsidRDefault="00207ECC"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FY26*</w:t>
            </w:r>
          </w:p>
        </w:tc>
      </w:tr>
      <w:tr w:rsidR="00207ECC" w:rsidRPr="00BE3465" w14:paraId="3831BD3F" w14:textId="77777777" w:rsidTr="00C5226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400195E1" w14:textId="77777777" w:rsidR="00207ECC" w:rsidRPr="00BE3465" w:rsidRDefault="00207ECC"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Number of Licensed Medical Surgical Beds</w:t>
            </w:r>
          </w:p>
        </w:tc>
        <w:tc>
          <w:tcPr>
            <w:tcW w:w="1117" w:type="dxa"/>
            <w:tcBorders>
              <w:top w:val="nil"/>
              <w:left w:val="nil"/>
              <w:bottom w:val="single" w:sz="4" w:space="0" w:color="auto"/>
              <w:right w:val="single" w:sz="4" w:space="0" w:color="auto"/>
            </w:tcBorders>
            <w:vAlign w:val="center"/>
            <w:hideMark/>
          </w:tcPr>
          <w:p w14:paraId="17DF9EA6"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507</w:t>
            </w:r>
          </w:p>
        </w:tc>
        <w:tc>
          <w:tcPr>
            <w:tcW w:w="1116" w:type="dxa"/>
            <w:tcBorders>
              <w:top w:val="nil"/>
              <w:left w:val="nil"/>
              <w:bottom w:val="single" w:sz="4" w:space="0" w:color="auto"/>
              <w:right w:val="single" w:sz="4" w:space="0" w:color="auto"/>
            </w:tcBorders>
            <w:vAlign w:val="center"/>
            <w:hideMark/>
          </w:tcPr>
          <w:p w14:paraId="78D60BD6"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507</w:t>
            </w:r>
          </w:p>
        </w:tc>
        <w:tc>
          <w:tcPr>
            <w:tcW w:w="1117" w:type="dxa"/>
            <w:tcBorders>
              <w:top w:val="nil"/>
              <w:left w:val="nil"/>
              <w:bottom w:val="single" w:sz="4" w:space="0" w:color="auto"/>
              <w:right w:val="single" w:sz="4" w:space="0" w:color="auto"/>
            </w:tcBorders>
            <w:vAlign w:val="center"/>
            <w:hideMark/>
          </w:tcPr>
          <w:p w14:paraId="46910029"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507</w:t>
            </w:r>
          </w:p>
        </w:tc>
        <w:tc>
          <w:tcPr>
            <w:tcW w:w="1117" w:type="dxa"/>
            <w:tcBorders>
              <w:top w:val="nil"/>
              <w:left w:val="nil"/>
              <w:bottom w:val="single" w:sz="4" w:space="0" w:color="auto"/>
              <w:right w:val="single" w:sz="4" w:space="0" w:color="auto"/>
            </w:tcBorders>
            <w:vAlign w:val="center"/>
            <w:hideMark/>
          </w:tcPr>
          <w:p w14:paraId="43C002A1"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507</w:t>
            </w:r>
          </w:p>
        </w:tc>
      </w:tr>
      <w:tr w:rsidR="00207ECC" w:rsidRPr="00BE3465" w14:paraId="617B36D4" w14:textId="77777777" w:rsidTr="00C5226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6735DCCC" w14:textId="77777777" w:rsidR="00207ECC" w:rsidRPr="00BE3465" w:rsidRDefault="00207ECC"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Number of staffed beds</w:t>
            </w:r>
          </w:p>
        </w:tc>
        <w:tc>
          <w:tcPr>
            <w:tcW w:w="1117" w:type="dxa"/>
            <w:tcBorders>
              <w:top w:val="nil"/>
              <w:left w:val="nil"/>
              <w:bottom w:val="single" w:sz="4" w:space="0" w:color="auto"/>
              <w:right w:val="single" w:sz="4" w:space="0" w:color="auto"/>
            </w:tcBorders>
            <w:vAlign w:val="center"/>
            <w:hideMark/>
          </w:tcPr>
          <w:p w14:paraId="18645FD2"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528</w:t>
            </w:r>
          </w:p>
        </w:tc>
        <w:tc>
          <w:tcPr>
            <w:tcW w:w="1116" w:type="dxa"/>
            <w:tcBorders>
              <w:top w:val="nil"/>
              <w:left w:val="nil"/>
              <w:bottom w:val="single" w:sz="4" w:space="0" w:color="auto"/>
              <w:right w:val="single" w:sz="4" w:space="0" w:color="auto"/>
            </w:tcBorders>
            <w:vAlign w:val="center"/>
            <w:hideMark/>
          </w:tcPr>
          <w:p w14:paraId="5DBCA95E"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528</w:t>
            </w:r>
          </w:p>
        </w:tc>
        <w:tc>
          <w:tcPr>
            <w:tcW w:w="1117" w:type="dxa"/>
            <w:tcBorders>
              <w:top w:val="nil"/>
              <w:left w:val="nil"/>
              <w:bottom w:val="single" w:sz="4" w:space="0" w:color="auto"/>
              <w:right w:val="single" w:sz="4" w:space="0" w:color="auto"/>
            </w:tcBorders>
            <w:vAlign w:val="center"/>
            <w:hideMark/>
          </w:tcPr>
          <w:p w14:paraId="29BA7030"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528</w:t>
            </w:r>
          </w:p>
        </w:tc>
        <w:tc>
          <w:tcPr>
            <w:tcW w:w="1117" w:type="dxa"/>
            <w:tcBorders>
              <w:top w:val="nil"/>
              <w:left w:val="nil"/>
              <w:bottom w:val="single" w:sz="4" w:space="0" w:color="auto"/>
              <w:right w:val="single" w:sz="4" w:space="0" w:color="auto"/>
            </w:tcBorders>
            <w:vAlign w:val="center"/>
            <w:hideMark/>
          </w:tcPr>
          <w:p w14:paraId="706EB0A2"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528</w:t>
            </w:r>
          </w:p>
        </w:tc>
      </w:tr>
      <w:tr w:rsidR="00207ECC" w:rsidRPr="00BE3465" w14:paraId="1E9E883A" w14:textId="77777777" w:rsidTr="00C5226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4EF34625" w14:textId="77777777" w:rsidR="00207ECC" w:rsidRPr="00BE3465" w:rsidRDefault="00207ECC"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ED Boarding Times (monthly avg.)</w:t>
            </w:r>
          </w:p>
        </w:tc>
        <w:tc>
          <w:tcPr>
            <w:tcW w:w="1117" w:type="dxa"/>
            <w:tcBorders>
              <w:top w:val="nil"/>
              <w:left w:val="nil"/>
              <w:bottom w:val="single" w:sz="4" w:space="0" w:color="auto"/>
              <w:right w:val="single" w:sz="4" w:space="0" w:color="auto"/>
            </w:tcBorders>
            <w:noWrap/>
            <w:vAlign w:val="bottom"/>
            <w:hideMark/>
          </w:tcPr>
          <w:p w14:paraId="65D6DF31"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51,919</w:t>
            </w:r>
          </w:p>
        </w:tc>
        <w:tc>
          <w:tcPr>
            <w:tcW w:w="1116" w:type="dxa"/>
            <w:tcBorders>
              <w:top w:val="nil"/>
              <w:left w:val="nil"/>
              <w:bottom w:val="single" w:sz="4" w:space="0" w:color="auto"/>
              <w:right w:val="single" w:sz="4" w:space="0" w:color="auto"/>
            </w:tcBorders>
            <w:noWrap/>
            <w:vAlign w:val="bottom"/>
            <w:hideMark/>
          </w:tcPr>
          <w:p w14:paraId="7F3D4E43"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36,777</w:t>
            </w:r>
          </w:p>
        </w:tc>
        <w:tc>
          <w:tcPr>
            <w:tcW w:w="1117" w:type="dxa"/>
            <w:tcBorders>
              <w:top w:val="nil"/>
              <w:left w:val="nil"/>
              <w:bottom w:val="single" w:sz="4" w:space="0" w:color="auto"/>
              <w:right w:val="single" w:sz="4" w:space="0" w:color="auto"/>
            </w:tcBorders>
            <w:noWrap/>
            <w:vAlign w:val="bottom"/>
            <w:hideMark/>
          </w:tcPr>
          <w:p w14:paraId="6DF05D05"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34,556</w:t>
            </w:r>
          </w:p>
        </w:tc>
        <w:tc>
          <w:tcPr>
            <w:tcW w:w="1117" w:type="dxa"/>
            <w:tcBorders>
              <w:top w:val="nil"/>
              <w:left w:val="nil"/>
              <w:bottom w:val="single" w:sz="4" w:space="0" w:color="auto"/>
              <w:right w:val="single" w:sz="4" w:space="0" w:color="auto"/>
            </w:tcBorders>
            <w:noWrap/>
            <w:vAlign w:val="bottom"/>
            <w:hideMark/>
          </w:tcPr>
          <w:p w14:paraId="392D6C3F"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15,676</w:t>
            </w:r>
          </w:p>
        </w:tc>
      </w:tr>
      <w:tr w:rsidR="00207ECC" w:rsidRPr="00BE3465" w14:paraId="4B065380" w14:textId="77777777" w:rsidTr="00C5226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42DCDCA8" w14:textId="77777777" w:rsidR="00207ECC" w:rsidRPr="00BE3465" w:rsidRDefault="00207ECC"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Left Without Being Seen (LWBS) rate</w:t>
            </w:r>
          </w:p>
        </w:tc>
        <w:tc>
          <w:tcPr>
            <w:tcW w:w="1117" w:type="dxa"/>
            <w:tcBorders>
              <w:top w:val="nil"/>
              <w:left w:val="nil"/>
              <w:bottom w:val="single" w:sz="4" w:space="0" w:color="auto"/>
              <w:right w:val="single" w:sz="4" w:space="0" w:color="auto"/>
            </w:tcBorders>
            <w:vAlign w:val="center"/>
            <w:hideMark/>
          </w:tcPr>
          <w:p w14:paraId="2E09ECBA"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10.80%</w:t>
            </w:r>
          </w:p>
        </w:tc>
        <w:tc>
          <w:tcPr>
            <w:tcW w:w="1116" w:type="dxa"/>
            <w:tcBorders>
              <w:top w:val="nil"/>
              <w:left w:val="nil"/>
              <w:bottom w:val="single" w:sz="4" w:space="0" w:color="auto"/>
              <w:right w:val="single" w:sz="4" w:space="0" w:color="auto"/>
            </w:tcBorders>
            <w:vAlign w:val="center"/>
            <w:hideMark/>
          </w:tcPr>
          <w:p w14:paraId="4DCB714A"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6.10%</w:t>
            </w:r>
          </w:p>
        </w:tc>
        <w:tc>
          <w:tcPr>
            <w:tcW w:w="1117" w:type="dxa"/>
            <w:tcBorders>
              <w:top w:val="nil"/>
              <w:left w:val="nil"/>
              <w:bottom w:val="single" w:sz="4" w:space="0" w:color="auto"/>
              <w:right w:val="single" w:sz="4" w:space="0" w:color="auto"/>
            </w:tcBorders>
            <w:vAlign w:val="center"/>
            <w:hideMark/>
          </w:tcPr>
          <w:p w14:paraId="10C5F5EF"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6.30%</w:t>
            </w:r>
          </w:p>
        </w:tc>
        <w:tc>
          <w:tcPr>
            <w:tcW w:w="1117" w:type="dxa"/>
            <w:tcBorders>
              <w:top w:val="nil"/>
              <w:left w:val="nil"/>
              <w:bottom w:val="single" w:sz="4" w:space="0" w:color="auto"/>
              <w:right w:val="single" w:sz="4" w:space="0" w:color="auto"/>
            </w:tcBorders>
            <w:vAlign w:val="center"/>
            <w:hideMark/>
          </w:tcPr>
          <w:p w14:paraId="15788155" w14:textId="77777777" w:rsidR="00207ECC" w:rsidRPr="00BE3465" w:rsidRDefault="00207ECC"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9.10%</w:t>
            </w:r>
          </w:p>
        </w:tc>
      </w:tr>
      <w:tr w:rsidR="00207ECC" w:rsidRPr="00BE3465" w14:paraId="3F3712CC" w14:textId="77777777" w:rsidTr="00C5226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4CBE2320" w14:textId="77777777" w:rsidR="00207ECC" w:rsidRPr="00BE3465" w:rsidRDefault="00207ECC"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Capacity percentage</w:t>
            </w:r>
          </w:p>
        </w:tc>
        <w:tc>
          <w:tcPr>
            <w:tcW w:w="1117" w:type="dxa"/>
            <w:tcBorders>
              <w:top w:val="nil"/>
              <w:left w:val="nil"/>
              <w:bottom w:val="single" w:sz="4" w:space="0" w:color="auto"/>
              <w:right w:val="single" w:sz="4" w:space="0" w:color="auto"/>
            </w:tcBorders>
            <w:vAlign w:val="center"/>
            <w:hideMark/>
          </w:tcPr>
          <w:p w14:paraId="3556635C"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111%</w:t>
            </w:r>
          </w:p>
        </w:tc>
        <w:tc>
          <w:tcPr>
            <w:tcW w:w="1116" w:type="dxa"/>
            <w:tcBorders>
              <w:top w:val="nil"/>
              <w:left w:val="nil"/>
              <w:bottom w:val="single" w:sz="4" w:space="0" w:color="auto"/>
              <w:right w:val="single" w:sz="4" w:space="0" w:color="auto"/>
            </w:tcBorders>
            <w:vAlign w:val="center"/>
            <w:hideMark/>
          </w:tcPr>
          <w:p w14:paraId="4E2E8701"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112%</w:t>
            </w:r>
          </w:p>
        </w:tc>
        <w:tc>
          <w:tcPr>
            <w:tcW w:w="1117" w:type="dxa"/>
            <w:tcBorders>
              <w:top w:val="nil"/>
              <w:left w:val="nil"/>
              <w:bottom w:val="single" w:sz="4" w:space="0" w:color="auto"/>
              <w:right w:val="single" w:sz="4" w:space="0" w:color="auto"/>
            </w:tcBorders>
            <w:vAlign w:val="center"/>
            <w:hideMark/>
          </w:tcPr>
          <w:p w14:paraId="69FE0F3F"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114%</w:t>
            </w:r>
          </w:p>
        </w:tc>
        <w:tc>
          <w:tcPr>
            <w:tcW w:w="1117" w:type="dxa"/>
            <w:tcBorders>
              <w:top w:val="nil"/>
              <w:left w:val="nil"/>
              <w:bottom w:val="single" w:sz="4" w:space="0" w:color="auto"/>
              <w:right w:val="single" w:sz="4" w:space="0" w:color="auto"/>
            </w:tcBorders>
            <w:vAlign w:val="center"/>
            <w:hideMark/>
          </w:tcPr>
          <w:p w14:paraId="529BD494" w14:textId="77777777" w:rsidR="00207ECC" w:rsidRPr="00BE3465" w:rsidRDefault="00207ECC"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116%</w:t>
            </w:r>
          </w:p>
        </w:tc>
      </w:tr>
    </w:tbl>
    <w:p w14:paraId="6C9F24BB" w14:textId="77777777" w:rsidR="00A751B9" w:rsidRDefault="00A751B9"/>
    <w:tbl>
      <w:tblPr>
        <w:tblW w:w="8504" w:type="dxa"/>
        <w:jc w:val="center"/>
        <w:tblCellMar>
          <w:top w:w="15" w:type="dxa"/>
        </w:tblCellMar>
        <w:tblLook w:val="04A0" w:firstRow="1" w:lastRow="0" w:firstColumn="1" w:lastColumn="0" w:noHBand="0" w:noVBand="1"/>
        <w:tblCaption w:val="utilization data for  MMC"/>
      </w:tblPr>
      <w:tblGrid>
        <w:gridCol w:w="4037"/>
        <w:gridCol w:w="1117"/>
        <w:gridCol w:w="1116"/>
        <w:gridCol w:w="1117"/>
        <w:gridCol w:w="1117"/>
      </w:tblGrid>
      <w:tr w:rsidR="00CD0A53" w:rsidRPr="00BE3465" w14:paraId="2C367FF6" w14:textId="77777777" w:rsidTr="00485DD7">
        <w:trPr>
          <w:cantSplit/>
          <w:trHeight w:val="270"/>
          <w:tblHeader/>
          <w:jc w:val="center"/>
        </w:trPr>
        <w:tc>
          <w:tcPr>
            <w:tcW w:w="4037" w:type="dxa"/>
            <w:tcBorders>
              <w:top w:val="single" w:sz="4" w:space="0" w:color="auto"/>
              <w:left w:val="single" w:sz="4" w:space="0" w:color="auto"/>
              <w:bottom w:val="single" w:sz="4" w:space="0" w:color="auto"/>
              <w:right w:val="single" w:sz="4" w:space="0" w:color="auto"/>
            </w:tcBorders>
            <w:shd w:val="clear" w:color="000000" w:fill="FBE2D5"/>
            <w:vAlign w:val="center"/>
            <w:hideMark/>
          </w:tcPr>
          <w:p w14:paraId="4C69CEBD" w14:textId="77777777" w:rsidR="00CD0A53" w:rsidRPr="00BE3465" w:rsidRDefault="00CD0A53" w:rsidP="00207ECC">
            <w:pPr>
              <w:spacing w:after="0" w:line="240" w:lineRule="auto"/>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 xml:space="preserve">Mercy Medical Center </w:t>
            </w:r>
          </w:p>
        </w:tc>
        <w:tc>
          <w:tcPr>
            <w:tcW w:w="1117" w:type="dxa"/>
            <w:tcBorders>
              <w:top w:val="single" w:sz="4" w:space="0" w:color="auto"/>
              <w:left w:val="nil"/>
              <w:bottom w:val="single" w:sz="4" w:space="0" w:color="auto"/>
              <w:right w:val="single" w:sz="4" w:space="0" w:color="auto"/>
            </w:tcBorders>
            <w:shd w:val="clear" w:color="000000" w:fill="FBE2D5"/>
            <w:vAlign w:val="center"/>
            <w:hideMark/>
          </w:tcPr>
          <w:p w14:paraId="122D0580" w14:textId="77777777" w:rsidR="00CD0A53" w:rsidRPr="00BE3465" w:rsidRDefault="00CD0A53"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FY23</w:t>
            </w:r>
          </w:p>
        </w:tc>
        <w:tc>
          <w:tcPr>
            <w:tcW w:w="1116" w:type="dxa"/>
            <w:tcBorders>
              <w:top w:val="single" w:sz="4" w:space="0" w:color="auto"/>
              <w:left w:val="nil"/>
              <w:bottom w:val="single" w:sz="4" w:space="0" w:color="auto"/>
              <w:right w:val="single" w:sz="4" w:space="0" w:color="auto"/>
            </w:tcBorders>
            <w:shd w:val="clear" w:color="000000" w:fill="FBE2D5"/>
            <w:vAlign w:val="center"/>
            <w:hideMark/>
          </w:tcPr>
          <w:p w14:paraId="6438B4FF" w14:textId="77777777" w:rsidR="00CD0A53" w:rsidRPr="00BE3465" w:rsidRDefault="00CD0A53"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FY24</w:t>
            </w:r>
          </w:p>
        </w:tc>
        <w:tc>
          <w:tcPr>
            <w:tcW w:w="1117" w:type="dxa"/>
            <w:tcBorders>
              <w:top w:val="single" w:sz="4" w:space="0" w:color="auto"/>
              <w:left w:val="nil"/>
              <w:bottom w:val="single" w:sz="4" w:space="0" w:color="auto"/>
              <w:right w:val="single" w:sz="4" w:space="0" w:color="auto"/>
            </w:tcBorders>
            <w:shd w:val="clear" w:color="000000" w:fill="FBE2D5"/>
            <w:vAlign w:val="center"/>
            <w:hideMark/>
          </w:tcPr>
          <w:p w14:paraId="6E848EFF" w14:textId="77777777" w:rsidR="00CD0A53" w:rsidRPr="00BE3465" w:rsidRDefault="00CD0A53"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FY25</w:t>
            </w:r>
          </w:p>
        </w:tc>
        <w:tc>
          <w:tcPr>
            <w:tcW w:w="1117" w:type="dxa"/>
            <w:tcBorders>
              <w:top w:val="single" w:sz="4" w:space="0" w:color="auto"/>
              <w:left w:val="nil"/>
              <w:bottom w:val="single" w:sz="4" w:space="0" w:color="auto"/>
              <w:right w:val="single" w:sz="4" w:space="0" w:color="auto"/>
            </w:tcBorders>
            <w:shd w:val="clear" w:color="000000" w:fill="FBE2D5"/>
            <w:vAlign w:val="center"/>
            <w:hideMark/>
          </w:tcPr>
          <w:p w14:paraId="6E6ED035" w14:textId="77777777" w:rsidR="00CD0A53" w:rsidRPr="00BE3465" w:rsidRDefault="00CD0A53" w:rsidP="00207ECC">
            <w:pPr>
              <w:spacing w:after="0" w:line="240" w:lineRule="auto"/>
              <w:jc w:val="center"/>
              <w:rPr>
                <w:rFonts w:ascii="Aptos Narrow" w:eastAsia="Times New Roman" w:hAnsi="Aptos Narrow" w:cs="Times New Roman"/>
                <w:b/>
                <w:bCs/>
                <w:color w:val="000000"/>
                <w:sz w:val="24"/>
                <w:szCs w:val="24"/>
              </w:rPr>
            </w:pPr>
            <w:r w:rsidRPr="00BE3465">
              <w:rPr>
                <w:rFonts w:ascii="Aptos Narrow" w:eastAsia="Times New Roman" w:hAnsi="Aptos Narrow" w:cs="Times New Roman"/>
                <w:b/>
                <w:bCs/>
                <w:color w:val="000000"/>
                <w:sz w:val="24"/>
                <w:szCs w:val="24"/>
              </w:rPr>
              <w:t>FY26*</w:t>
            </w:r>
          </w:p>
        </w:tc>
      </w:tr>
      <w:tr w:rsidR="00CD0A53" w:rsidRPr="00BE3465" w14:paraId="6EE4FC7C" w14:textId="77777777" w:rsidTr="0049208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41D7B9D6" w14:textId="77777777" w:rsidR="00CD0A53" w:rsidRPr="00BE3465" w:rsidRDefault="00CD0A53"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Number of Licensed Medical Surgical Beds</w:t>
            </w:r>
          </w:p>
        </w:tc>
        <w:tc>
          <w:tcPr>
            <w:tcW w:w="1117" w:type="dxa"/>
            <w:tcBorders>
              <w:top w:val="nil"/>
              <w:left w:val="nil"/>
              <w:bottom w:val="single" w:sz="4" w:space="0" w:color="auto"/>
              <w:right w:val="single" w:sz="4" w:space="0" w:color="auto"/>
            </w:tcBorders>
            <w:vAlign w:val="center"/>
            <w:hideMark/>
          </w:tcPr>
          <w:p w14:paraId="0C012CCC"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156</w:t>
            </w:r>
          </w:p>
        </w:tc>
        <w:tc>
          <w:tcPr>
            <w:tcW w:w="1116" w:type="dxa"/>
            <w:tcBorders>
              <w:top w:val="nil"/>
              <w:left w:val="nil"/>
              <w:bottom w:val="single" w:sz="4" w:space="0" w:color="auto"/>
              <w:right w:val="single" w:sz="4" w:space="0" w:color="auto"/>
            </w:tcBorders>
            <w:vAlign w:val="center"/>
            <w:hideMark/>
          </w:tcPr>
          <w:p w14:paraId="242050B9"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156</w:t>
            </w:r>
          </w:p>
        </w:tc>
        <w:tc>
          <w:tcPr>
            <w:tcW w:w="1117" w:type="dxa"/>
            <w:tcBorders>
              <w:top w:val="nil"/>
              <w:left w:val="nil"/>
              <w:bottom w:val="single" w:sz="4" w:space="0" w:color="auto"/>
              <w:right w:val="single" w:sz="4" w:space="0" w:color="auto"/>
            </w:tcBorders>
            <w:vAlign w:val="center"/>
            <w:hideMark/>
          </w:tcPr>
          <w:p w14:paraId="06C58F0B"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156</w:t>
            </w:r>
          </w:p>
        </w:tc>
        <w:tc>
          <w:tcPr>
            <w:tcW w:w="1117" w:type="dxa"/>
            <w:tcBorders>
              <w:top w:val="nil"/>
              <w:left w:val="nil"/>
              <w:bottom w:val="single" w:sz="4" w:space="0" w:color="auto"/>
              <w:right w:val="single" w:sz="4" w:space="0" w:color="auto"/>
            </w:tcBorders>
            <w:vAlign w:val="center"/>
            <w:hideMark/>
          </w:tcPr>
          <w:p w14:paraId="640D578F"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156</w:t>
            </w:r>
          </w:p>
        </w:tc>
      </w:tr>
      <w:tr w:rsidR="00CD0A53" w:rsidRPr="00BE3465" w14:paraId="32D19A52" w14:textId="77777777" w:rsidTr="0049208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61B724B2" w14:textId="77777777" w:rsidR="00CD0A53" w:rsidRPr="00BE3465" w:rsidRDefault="00CD0A53"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Number of staffed beds</w:t>
            </w:r>
          </w:p>
        </w:tc>
        <w:tc>
          <w:tcPr>
            <w:tcW w:w="1117" w:type="dxa"/>
            <w:tcBorders>
              <w:top w:val="nil"/>
              <w:left w:val="nil"/>
              <w:bottom w:val="single" w:sz="4" w:space="0" w:color="auto"/>
              <w:right w:val="single" w:sz="4" w:space="0" w:color="auto"/>
            </w:tcBorders>
            <w:vAlign w:val="center"/>
            <w:hideMark/>
          </w:tcPr>
          <w:p w14:paraId="4A07A00C"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96</w:t>
            </w:r>
          </w:p>
        </w:tc>
        <w:tc>
          <w:tcPr>
            <w:tcW w:w="1116" w:type="dxa"/>
            <w:tcBorders>
              <w:top w:val="nil"/>
              <w:left w:val="nil"/>
              <w:bottom w:val="single" w:sz="4" w:space="0" w:color="auto"/>
              <w:right w:val="single" w:sz="4" w:space="0" w:color="auto"/>
            </w:tcBorders>
            <w:vAlign w:val="center"/>
            <w:hideMark/>
          </w:tcPr>
          <w:p w14:paraId="2193CEF8"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96</w:t>
            </w:r>
          </w:p>
        </w:tc>
        <w:tc>
          <w:tcPr>
            <w:tcW w:w="1117" w:type="dxa"/>
            <w:tcBorders>
              <w:top w:val="nil"/>
              <w:left w:val="nil"/>
              <w:bottom w:val="single" w:sz="4" w:space="0" w:color="auto"/>
              <w:right w:val="single" w:sz="4" w:space="0" w:color="auto"/>
            </w:tcBorders>
            <w:vAlign w:val="center"/>
            <w:hideMark/>
          </w:tcPr>
          <w:p w14:paraId="3E77B512"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96</w:t>
            </w:r>
          </w:p>
        </w:tc>
        <w:tc>
          <w:tcPr>
            <w:tcW w:w="1117" w:type="dxa"/>
            <w:tcBorders>
              <w:top w:val="nil"/>
              <w:left w:val="nil"/>
              <w:bottom w:val="single" w:sz="4" w:space="0" w:color="auto"/>
              <w:right w:val="single" w:sz="4" w:space="0" w:color="auto"/>
            </w:tcBorders>
            <w:vAlign w:val="center"/>
            <w:hideMark/>
          </w:tcPr>
          <w:p w14:paraId="116A3721"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96</w:t>
            </w:r>
          </w:p>
        </w:tc>
      </w:tr>
      <w:tr w:rsidR="00CD0A53" w:rsidRPr="00BE3465" w14:paraId="39D9D734" w14:textId="77777777" w:rsidTr="0049208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2E1A1182" w14:textId="77777777" w:rsidR="00CD0A53" w:rsidRPr="00BE3465" w:rsidRDefault="00CD0A53"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ED Boarding Times (monthly avg.)</w:t>
            </w:r>
          </w:p>
        </w:tc>
        <w:tc>
          <w:tcPr>
            <w:tcW w:w="1117" w:type="dxa"/>
            <w:tcBorders>
              <w:top w:val="nil"/>
              <w:left w:val="nil"/>
              <w:bottom w:val="single" w:sz="4" w:space="0" w:color="auto"/>
              <w:right w:val="single" w:sz="4" w:space="0" w:color="auto"/>
            </w:tcBorders>
            <w:noWrap/>
            <w:vAlign w:val="bottom"/>
            <w:hideMark/>
          </w:tcPr>
          <w:p w14:paraId="391E7A46" w14:textId="77777777" w:rsidR="00CD0A53" w:rsidRPr="00BE3465" w:rsidRDefault="00CD0A53"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3,437</w:t>
            </w:r>
          </w:p>
        </w:tc>
        <w:tc>
          <w:tcPr>
            <w:tcW w:w="1116" w:type="dxa"/>
            <w:tcBorders>
              <w:top w:val="nil"/>
              <w:left w:val="nil"/>
              <w:bottom w:val="single" w:sz="4" w:space="0" w:color="auto"/>
              <w:right w:val="single" w:sz="4" w:space="0" w:color="auto"/>
            </w:tcBorders>
            <w:noWrap/>
            <w:vAlign w:val="bottom"/>
            <w:hideMark/>
          </w:tcPr>
          <w:p w14:paraId="6145A54C" w14:textId="77777777" w:rsidR="00CD0A53" w:rsidRPr="00BE3465" w:rsidRDefault="00CD0A53"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3,820</w:t>
            </w:r>
          </w:p>
        </w:tc>
        <w:tc>
          <w:tcPr>
            <w:tcW w:w="1117" w:type="dxa"/>
            <w:tcBorders>
              <w:top w:val="nil"/>
              <w:left w:val="nil"/>
              <w:bottom w:val="single" w:sz="4" w:space="0" w:color="auto"/>
              <w:right w:val="single" w:sz="4" w:space="0" w:color="auto"/>
            </w:tcBorders>
            <w:noWrap/>
            <w:vAlign w:val="bottom"/>
            <w:hideMark/>
          </w:tcPr>
          <w:p w14:paraId="47E33498" w14:textId="77777777" w:rsidR="00CD0A53" w:rsidRPr="00BE3465" w:rsidRDefault="00CD0A53" w:rsidP="00207ECC">
            <w:pPr>
              <w:spacing w:after="0" w:line="240" w:lineRule="auto"/>
              <w:jc w:val="center"/>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5,953**</w:t>
            </w:r>
          </w:p>
        </w:tc>
        <w:tc>
          <w:tcPr>
            <w:tcW w:w="1117" w:type="dxa"/>
            <w:tcBorders>
              <w:top w:val="nil"/>
              <w:left w:val="nil"/>
              <w:bottom w:val="single" w:sz="4" w:space="0" w:color="auto"/>
              <w:right w:val="single" w:sz="4" w:space="0" w:color="auto"/>
            </w:tcBorders>
            <w:vAlign w:val="center"/>
            <w:hideMark/>
          </w:tcPr>
          <w:p w14:paraId="726578D7"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3,044</w:t>
            </w:r>
          </w:p>
        </w:tc>
      </w:tr>
      <w:tr w:rsidR="00CD0A53" w:rsidRPr="00BE3465" w14:paraId="02D78190" w14:textId="77777777" w:rsidTr="0049208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7521AC8C" w14:textId="77777777" w:rsidR="00CD0A53" w:rsidRPr="00BE3465" w:rsidRDefault="00CD0A53"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Left Without Being Seen (LWBS) rate</w:t>
            </w:r>
          </w:p>
        </w:tc>
        <w:tc>
          <w:tcPr>
            <w:tcW w:w="1117" w:type="dxa"/>
            <w:tcBorders>
              <w:top w:val="nil"/>
              <w:left w:val="nil"/>
              <w:bottom w:val="single" w:sz="4" w:space="0" w:color="auto"/>
              <w:right w:val="single" w:sz="4" w:space="0" w:color="auto"/>
            </w:tcBorders>
            <w:vAlign w:val="center"/>
            <w:hideMark/>
          </w:tcPr>
          <w:p w14:paraId="27E55BB7"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7.70%</w:t>
            </w:r>
          </w:p>
        </w:tc>
        <w:tc>
          <w:tcPr>
            <w:tcW w:w="1116" w:type="dxa"/>
            <w:tcBorders>
              <w:top w:val="nil"/>
              <w:left w:val="nil"/>
              <w:bottom w:val="single" w:sz="4" w:space="0" w:color="auto"/>
              <w:right w:val="single" w:sz="4" w:space="0" w:color="auto"/>
            </w:tcBorders>
            <w:vAlign w:val="center"/>
            <w:hideMark/>
          </w:tcPr>
          <w:p w14:paraId="24FC41D7"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8.30%</w:t>
            </w:r>
          </w:p>
        </w:tc>
        <w:tc>
          <w:tcPr>
            <w:tcW w:w="1117" w:type="dxa"/>
            <w:tcBorders>
              <w:top w:val="nil"/>
              <w:left w:val="nil"/>
              <w:bottom w:val="single" w:sz="4" w:space="0" w:color="auto"/>
              <w:right w:val="single" w:sz="4" w:space="0" w:color="auto"/>
            </w:tcBorders>
            <w:vAlign w:val="center"/>
            <w:hideMark/>
          </w:tcPr>
          <w:p w14:paraId="7C769E15"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9.90%</w:t>
            </w:r>
          </w:p>
        </w:tc>
        <w:tc>
          <w:tcPr>
            <w:tcW w:w="1117" w:type="dxa"/>
            <w:tcBorders>
              <w:top w:val="nil"/>
              <w:left w:val="nil"/>
              <w:bottom w:val="single" w:sz="4" w:space="0" w:color="auto"/>
              <w:right w:val="single" w:sz="4" w:space="0" w:color="auto"/>
            </w:tcBorders>
            <w:vAlign w:val="center"/>
            <w:hideMark/>
          </w:tcPr>
          <w:p w14:paraId="6D9B88AF"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3.3%***</w:t>
            </w:r>
          </w:p>
        </w:tc>
      </w:tr>
      <w:tr w:rsidR="00CD0A53" w:rsidRPr="00BE3465" w14:paraId="46C6336B" w14:textId="77777777" w:rsidTr="00492085">
        <w:trPr>
          <w:cantSplit/>
          <w:trHeight w:val="270"/>
          <w:jc w:val="center"/>
        </w:trPr>
        <w:tc>
          <w:tcPr>
            <w:tcW w:w="4037" w:type="dxa"/>
            <w:tcBorders>
              <w:top w:val="nil"/>
              <w:left w:val="single" w:sz="4" w:space="0" w:color="auto"/>
              <w:bottom w:val="single" w:sz="4" w:space="0" w:color="auto"/>
              <w:right w:val="single" w:sz="4" w:space="0" w:color="auto"/>
            </w:tcBorders>
            <w:vAlign w:val="center"/>
            <w:hideMark/>
          </w:tcPr>
          <w:p w14:paraId="209218A7" w14:textId="77777777" w:rsidR="00CD0A53" w:rsidRPr="00BE3465" w:rsidRDefault="00CD0A53" w:rsidP="00207ECC">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Capacity percentage</w:t>
            </w:r>
          </w:p>
        </w:tc>
        <w:tc>
          <w:tcPr>
            <w:tcW w:w="1117" w:type="dxa"/>
            <w:tcBorders>
              <w:top w:val="nil"/>
              <w:left w:val="nil"/>
              <w:bottom w:val="single" w:sz="4" w:space="0" w:color="auto"/>
              <w:right w:val="single" w:sz="4" w:space="0" w:color="auto"/>
            </w:tcBorders>
            <w:vAlign w:val="center"/>
            <w:hideMark/>
          </w:tcPr>
          <w:p w14:paraId="1FC88003"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55%</w:t>
            </w:r>
          </w:p>
        </w:tc>
        <w:tc>
          <w:tcPr>
            <w:tcW w:w="1116" w:type="dxa"/>
            <w:tcBorders>
              <w:top w:val="nil"/>
              <w:left w:val="nil"/>
              <w:bottom w:val="single" w:sz="4" w:space="0" w:color="auto"/>
              <w:right w:val="single" w:sz="4" w:space="0" w:color="auto"/>
            </w:tcBorders>
            <w:vAlign w:val="center"/>
            <w:hideMark/>
          </w:tcPr>
          <w:p w14:paraId="69E3A630"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49%</w:t>
            </w:r>
          </w:p>
        </w:tc>
        <w:tc>
          <w:tcPr>
            <w:tcW w:w="1117" w:type="dxa"/>
            <w:tcBorders>
              <w:top w:val="nil"/>
              <w:left w:val="nil"/>
              <w:bottom w:val="single" w:sz="4" w:space="0" w:color="auto"/>
              <w:right w:val="single" w:sz="4" w:space="0" w:color="auto"/>
            </w:tcBorders>
            <w:vAlign w:val="center"/>
            <w:hideMark/>
          </w:tcPr>
          <w:p w14:paraId="5D6B7AFE"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53%</w:t>
            </w:r>
          </w:p>
        </w:tc>
        <w:tc>
          <w:tcPr>
            <w:tcW w:w="1117" w:type="dxa"/>
            <w:tcBorders>
              <w:top w:val="nil"/>
              <w:left w:val="nil"/>
              <w:bottom w:val="single" w:sz="4" w:space="0" w:color="auto"/>
              <w:right w:val="single" w:sz="4" w:space="0" w:color="auto"/>
            </w:tcBorders>
            <w:vAlign w:val="center"/>
            <w:hideMark/>
          </w:tcPr>
          <w:p w14:paraId="7F5A5044" w14:textId="77777777" w:rsidR="00CD0A53" w:rsidRPr="00BE3465" w:rsidRDefault="00CD0A53" w:rsidP="00207ECC">
            <w:pPr>
              <w:spacing w:after="0" w:line="240" w:lineRule="auto"/>
              <w:jc w:val="center"/>
              <w:rPr>
                <w:rFonts w:ascii="Aptos Narrow" w:eastAsia="Times New Roman" w:hAnsi="Aptos Narrow" w:cs="Times New Roman"/>
                <w:color w:val="173551"/>
                <w:sz w:val="24"/>
                <w:szCs w:val="24"/>
              </w:rPr>
            </w:pPr>
            <w:r w:rsidRPr="00BE3465">
              <w:rPr>
                <w:rFonts w:ascii="Aptos Narrow" w:eastAsia="Times New Roman" w:hAnsi="Aptos Narrow" w:cs="Times New Roman"/>
                <w:color w:val="173551"/>
                <w:sz w:val="24"/>
                <w:szCs w:val="24"/>
              </w:rPr>
              <w:t>56%</w:t>
            </w:r>
          </w:p>
        </w:tc>
      </w:tr>
    </w:tbl>
    <w:p w14:paraId="3F0E4C5B" w14:textId="77777777" w:rsidR="00CD0A53" w:rsidRPr="00BE3465" w:rsidRDefault="00CD0A53" w:rsidP="00CD0A53">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 xml:space="preserve">* FY start </w:t>
      </w:r>
      <w:proofErr w:type="gramStart"/>
      <w:r w:rsidRPr="00BE3465">
        <w:rPr>
          <w:rFonts w:ascii="Aptos Narrow" w:eastAsia="Times New Roman" w:hAnsi="Aptos Narrow" w:cs="Times New Roman"/>
          <w:color w:val="000000"/>
          <w:sz w:val="24"/>
          <w:szCs w:val="24"/>
        </w:rPr>
        <w:t>through</w:t>
      </w:r>
      <w:proofErr w:type="gramEnd"/>
      <w:r w:rsidRPr="00BE3465">
        <w:rPr>
          <w:rFonts w:ascii="Aptos Narrow" w:eastAsia="Times New Roman" w:hAnsi="Aptos Narrow" w:cs="Times New Roman"/>
          <w:color w:val="000000"/>
          <w:sz w:val="24"/>
          <w:szCs w:val="24"/>
        </w:rPr>
        <w:t xml:space="preserve"> 3/31. </w:t>
      </w:r>
    </w:p>
    <w:p w14:paraId="229414C7" w14:textId="77777777" w:rsidR="00CD0A53" w:rsidRPr="00BE3465" w:rsidRDefault="00CD0A53" w:rsidP="00CD0A53">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 xml:space="preserve">MMC FY is July 1-June 30. </w:t>
      </w:r>
    </w:p>
    <w:p w14:paraId="49F4431E" w14:textId="25EDE857" w:rsidR="00CD0A53" w:rsidRDefault="00CD0A53" w:rsidP="00CD0A53">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BMC FY is October 1-September 30</w:t>
      </w:r>
    </w:p>
    <w:p w14:paraId="427F5300" w14:textId="7D58925F" w:rsidR="00CD0A53" w:rsidRPr="00BE3465" w:rsidRDefault="00CD0A53" w:rsidP="00CD0A53">
      <w:pPr>
        <w:spacing w:after="0" w:line="240" w:lineRule="auto"/>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 xml:space="preserve">** Due to MMC's EMR transition in November 2024, certain ED data is unavailable. Consequently, monthly boarding averages for FY2025 only reflect data beginning in November 2024 and </w:t>
      </w:r>
      <w:proofErr w:type="gramStart"/>
      <w:r w:rsidRPr="00BE3465">
        <w:rPr>
          <w:rFonts w:ascii="Aptos Narrow" w:eastAsia="Times New Roman" w:hAnsi="Aptos Narrow" w:cs="Times New Roman"/>
          <w:color w:val="000000"/>
          <w:sz w:val="24"/>
          <w:szCs w:val="24"/>
        </w:rPr>
        <w:t>excludes</w:t>
      </w:r>
      <w:proofErr w:type="gramEnd"/>
      <w:r w:rsidRPr="00BE3465">
        <w:rPr>
          <w:rFonts w:ascii="Aptos Narrow" w:eastAsia="Times New Roman" w:hAnsi="Aptos Narrow" w:cs="Times New Roman"/>
          <w:color w:val="000000"/>
          <w:sz w:val="24"/>
          <w:szCs w:val="24"/>
        </w:rPr>
        <w:t xml:space="preserve"> four months, skewing average boarding time higher than other years.  </w:t>
      </w:r>
    </w:p>
    <w:p w14:paraId="243B20A0" w14:textId="299FF201" w:rsidR="00CD0A53" w:rsidRDefault="00CD0A53" w:rsidP="00CD0A53">
      <w:pPr>
        <w:rPr>
          <w:rStyle w:val="cf01"/>
          <w:rFonts w:ascii="Aptos" w:hAnsi="Aptos" w:cstheme="minorHAnsi"/>
          <w:sz w:val="24"/>
          <w:szCs w:val="24"/>
        </w:rPr>
      </w:pPr>
      <w:r w:rsidRPr="00BE3465">
        <w:rPr>
          <w:rFonts w:ascii="Aptos Narrow" w:eastAsia="Times New Roman" w:hAnsi="Aptos Narrow" w:cs="Times New Roman"/>
          <w:color w:val="000000"/>
          <w:sz w:val="24"/>
          <w:szCs w:val="24"/>
        </w:rPr>
        <w:t xml:space="preserve">*** MMC began contracting with </w:t>
      </w:r>
      <w:proofErr w:type="spellStart"/>
      <w:r w:rsidRPr="00BE3465">
        <w:rPr>
          <w:rFonts w:ascii="Aptos Narrow" w:eastAsia="Times New Roman" w:hAnsi="Aptos Narrow" w:cs="Times New Roman"/>
          <w:color w:val="000000"/>
          <w:sz w:val="24"/>
          <w:szCs w:val="24"/>
        </w:rPr>
        <w:t>Vituity</w:t>
      </w:r>
      <w:proofErr w:type="spellEnd"/>
      <w:r w:rsidRPr="00BE3465">
        <w:rPr>
          <w:rFonts w:ascii="Aptos Narrow" w:eastAsia="Times New Roman" w:hAnsi="Aptos Narrow" w:cs="Times New Roman"/>
          <w:color w:val="000000"/>
          <w:sz w:val="24"/>
          <w:szCs w:val="24"/>
        </w:rPr>
        <w:t xml:space="preserve"> for emergency physician staffing in June 2025. Changes in triaging procedures are attributed with decreasing MMC's LWBS rate.</w:t>
      </w:r>
    </w:p>
    <w:p w14:paraId="2E505F9F" w14:textId="53C0BDB8" w:rsidR="00080FB0" w:rsidRPr="00BE3465" w:rsidRDefault="00080FB0" w:rsidP="00C022E9">
      <w:pPr>
        <w:pStyle w:val="Heading2"/>
        <w:rPr>
          <w:rStyle w:val="cf01"/>
          <w:rFonts w:ascii="Aptos" w:hAnsi="Aptos" w:cstheme="minorHAnsi"/>
          <w:sz w:val="24"/>
          <w:szCs w:val="24"/>
        </w:rPr>
      </w:pPr>
      <w:r w:rsidRPr="00BE3465">
        <w:rPr>
          <w:rStyle w:val="cf01"/>
          <w:rFonts w:ascii="Aptos" w:hAnsi="Aptos" w:cstheme="minorHAnsi"/>
          <w:sz w:val="24"/>
          <w:szCs w:val="24"/>
        </w:rPr>
        <w:t>Please provide data on Transfers from MMC to Baystate Medical Center by specialty and by acuity</w:t>
      </w:r>
      <w:r w:rsidR="009F6962" w:rsidRPr="00BE3465">
        <w:rPr>
          <w:rStyle w:val="cf01"/>
          <w:rFonts w:ascii="Aptos" w:hAnsi="Aptos" w:cstheme="minorHAnsi"/>
          <w:sz w:val="24"/>
          <w:szCs w:val="24"/>
        </w:rPr>
        <w:t xml:space="preserve"> from FY2023 to FY2026 (through March 31, 2026)</w:t>
      </w:r>
    </w:p>
    <w:p w14:paraId="549AA211" w14:textId="4208A0CF" w:rsidR="00445214" w:rsidRPr="00BE3465" w:rsidRDefault="00445214" w:rsidP="00445214">
      <w:pPr>
        <w:pStyle w:val="pf0"/>
        <w:ind w:left="720"/>
        <w:rPr>
          <w:rStyle w:val="cf01"/>
          <w:rFonts w:ascii="Aptos" w:hAnsi="Aptos" w:cstheme="minorHAnsi"/>
          <w:sz w:val="24"/>
          <w:szCs w:val="24"/>
        </w:rPr>
      </w:pPr>
      <w:r w:rsidRPr="00BE3465">
        <w:rPr>
          <w:rFonts w:ascii="Aptos" w:hAnsi="Aptos" w:cstheme="minorHAnsi"/>
          <w:b/>
          <w:bCs/>
        </w:rPr>
        <w:t xml:space="preserve">The table below provides data on the transfers from MMC to BMC by specialty. </w:t>
      </w:r>
    </w:p>
    <w:tbl>
      <w:tblPr>
        <w:tblW w:w="7020" w:type="dxa"/>
        <w:jc w:val="center"/>
        <w:tblCellMar>
          <w:left w:w="0" w:type="dxa"/>
          <w:right w:w="0" w:type="dxa"/>
        </w:tblCellMar>
        <w:tblLook w:val="04A0" w:firstRow="1" w:lastRow="0" w:firstColumn="1" w:lastColumn="0" w:noHBand="0" w:noVBand="1"/>
        <w:tblCaption w:val="data on the transfers from MMC to BMC by specialty"/>
      </w:tblPr>
      <w:tblGrid>
        <w:gridCol w:w="2780"/>
        <w:gridCol w:w="1060"/>
        <w:gridCol w:w="1060"/>
        <w:gridCol w:w="1060"/>
        <w:gridCol w:w="1060"/>
      </w:tblGrid>
      <w:tr w:rsidR="00207ECC" w:rsidRPr="00BE3465" w14:paraId="461E4FE0" w14:textId="77777777" w:rsidTr="00E4344A">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5CDFD4E8" w14:textId="77777777" w:rsidR="00207ECC" w:rsidRPr="00BE3465" w:rsidRDefault="00207ECC" w:rsidP="009F7239">
            <w:pPr>
              <w:spacing w:after="0"/>
              <w:rPr>
                <w:rFonts w:ascii="Aptos Narrow" w:hAnsi="Aptos Narrow"/>
                <w:b/>
                <w:bCs/>
                <w:sz w:val="24"/>
                <w:szCs w:val="24"/>
              </w:rPr>
            </w:pPr>
            <w:r w:rsidRPr="00BE3465">
              <w:rPr>
                <w:rFonts w:ascii="Aptos Narrow" w:hAnsi="Aptos Narrow"/>
                <w:b/>
                <w:bCs/>
                <w:sz w:val="24"/>
                <w:szCs w:val="24"/>
              </w:rPr>
              <w:lastRenderedPageBreak/>
              <w:t>Specialty Transfer</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11F7A558"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FY23</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648EEB5F"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FY24</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59E88383"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FY25</w:t>
            </w:r>
          </w:p>
        </w:tc>
        <w:tc>
          <w:tcPr>
            <w:tcW w:w="1060" w:type="dxa"/>
            <w:tcBorders>
              <w:top w:val="single" w:sz="4" w:space="0" w:color="auto"/>
              <w:left w:val="nil"/>
              <w:bottom w:val="single" w:sz="4" w:space="0" w:color="auto"/>
              <w:right w:val="single" w:sz="4" w:space="0" w:color="auto"/>
            </w:tcBorders>
            <w:shd w:val="clear" w:color="000000" w:fill="FBE2D5"/>
            <w:noWrap/>
            <w:tcMar>
              <w:top w:w="15" w:type="dxa"/>
              <w:left w:w="15" w:type="dxa"/>
              <w:bottom w:w="0" w:type="dxa"/>
              <w:right w:w="15" w:type="dxa"/>
            </w:tcMar>
            <w:vAlign w:val="bottom"/>
            <w:hideMark/>
          </w:tcPr>
          <w:p w14:paraId="480A16ED"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FY26*</w:t>
            </w:r>
          </w:p>
        </w:tc>
      </w:tr>
      <w:tr w:rsidR="00207ECC" w:rsidRPr="00BE3465" w14:paraId="4B2029D1"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EB0CAF"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Cardiology+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5253EA"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6A16A4"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F37B3A"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CB3E41"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52</w:t>
            </w:r>
          </w:p>
        </w:tc>
      </w:tr>
      <w:tr w:rsidR="00207ECC" w:rsidRPr="00BE3465" w14:paraId="2B880223"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BF1077A"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Cardiology ICU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B890E9" w14:textId="7AC18746"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9C2053"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90D648"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7988F6" w14:textId="694712B4"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r>
      <w:tr w:rsidR="00207ECC" w:rsidRPr="00BE3465" w14:paraId="6C8EE87D"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BC6B81B"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Cardiology Intermediate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91B0E9"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3CB0F6"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5DB0CC"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545D60" w14:textId="722CE423"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r>
      <w:tr w:rsidR="00207ECC" w:rsidRPr="00BE3465" w14:paraId="46A316E8"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17A0197"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General/Other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9BD334"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022118"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BC8031"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8EC186"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33</w:t>
            </w:r>
          </w:p>
        </w:tc>
      </w:tr>
      <w:tr w:rsidR="00207ECC" w:rsidRPr="00BE3465" w14:paraId="66853306"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9B2AB67"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Trauma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66888D"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91660F"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052951"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0EB00F"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22</w:t>
            </w:r>
          </w:p>
        </w:tc>
      </w:tr>
      <w:tr w:rsidR="00207ECC" w:rsidRPr="00BE3465" w14:paraId="78FDA5C3"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F035C9A"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Neurology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04373E" w14:textId="0810FBBB"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C82150"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B2C117"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A6970E" w14:textId="276F3C6A"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r>
      <w:tr w:rsidR="00207ECC" w:rsidRPr="00BE3465" w14:paraId="65DD1056"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5CD1417"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Ortho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887FB7"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983C49"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4DAE2F" w14:textId="28D2C5DB"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202FF8" w14:textId="0F03D350"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r>
      <w:tr w:rsidR="00207ECC" w:rsidRPr="00BE3465" w14:paraId="5361B832" w14:textId="77777777" w:rsidTr="00E4344A">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CC8ABE0"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769B25" w14:textId="63A18224"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2AD481"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270838"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731E64" w14:textId="16CC5F46"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r>
      <w:tr w:rsidR="00207ECC" w:rsidRPr="00BE3465" w14:paraId="444C9042" w14:textId="77777777" w:rsidTr="00E4344A">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6E43625" w14:textId="77777777" w:rsidR="00207ECC" w:rsidRPr="00BE3465" w:rsidRDefault="00207ECC" w:rsidP="00207ECC">
            <w:pPr>
              <w:spacing w:after="0"/>
              <w:rPr>
                <w:rFonts w:ascii="Aptos Narrow" w:hAnsi="Aptos Narrow"/>
                <w:sz w:val="24"/>
                <w:szCs w:val="24"/>
              </w:rPr>
            </w:pPr>
            <w:r w:rsidRPr="00BE3465">
              <w:rPr>
                <w:rFonts w:ascii="Aptos Narrow" w:hAnsi="Aptos Narrow"/>
                <w:sz w:val="24"/>
                <w:szCs w:val="24"/>
              </w:rPr>
              <w:t xml:space="preserve">Pediatrics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BFE1D6E" w14:textId="1F2EAE9C" w:rsidR="00207ECC" w:rsidRPr="00BE3465" w:rsidRDefault="009F7239" w:rsidP="009F7239">
            <w:pPr>
              <w:spacing w:after="0"/>
              <w:jc w:val="center"/>
              <w:rPr>
                <w:rFonts w:ascii="Aptos Narrow" w:hAnsi="Aptos Narrow"/>
                <w:sz w:val="24"/>
                <w:szCs w:val="24"/>
              </w:rPr>
            </w:pPr>
            <w:r w:rsidRPr="00BE3465">
              <w:rPr>
                <w:rFonts w:ascii="Aptos Narrow" w:hAnsi="Aptos Narrow"/>
                <w:sz w:val="24"/>
                <w:szCs w:val="24"/>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EBBE5B2"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967A43F"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71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814E2C6" w14:textId="77777777" w:rsidR="00207ECC" w:rsidRPr="00BE3465" w:rsidRDefault="00207ECC" w:rsidP="009F7239">
            <w:pPr>
              <w:spacing w:after="0"/>
              <w:jc w:val="center"/>
              <w:rPr>
                <w:rFonts w:ascii="Aptos Narrow" w:hAnsi="Aptos Narrow"/>
                <w:sz w:val="24"/>
                <w:szCs w:val="24"/>
              </w:rPr>
            </w:pPr>
            <w:r w:rsidRPr="00BE3465">
              <w:rPr>
                <w:rFonts w:ascii="Aptos Narrow" w:hAnsi="Aptos Narrow"/>
                <w:sz w:val="24"/>
                <w:szCs w:val="24"/>
              </w:rPr>
              <w:t>13</w:t>
            </w:r>
          </w:p>
        </w:tc>
      </w:tr>
      <w:tr w:rsidR="00207ECC" w:rsidRPr="00BE3465" w14:paraId="10B05284" w14:textId="77777777" w:rsidTr="00E4344A">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8471502" w14:textId="77777777" w:rsidR="00207ECC" w:rsidRPr="00BE3465" w:rsidRDefault="00207ECC" w:rsidP="00207ECC">
            <w:pPr>
              <w:spacing w:after="0"/>
              <w:rPr>
                <w:rFonts w:ascii="Aptos Narrow" w:hAnsi="Aptos Narrow"/>
                <w:b/>
                <w:bCs/>
                <w:sz w:val="24"/>
                <w:szCs w:val="24"/>
              </w:rPr>
            </w:pPr>
            <w:r w:rsidRPr="00BE3465">
              <w:rPr>
                <w:rFonts w:ascii="Aptos Narrow" w:hAnsi="Aptos Narrow"/>
                <w:b/>
                <w:bCs/>
                <w:sz w:val="24"/>
                <w:szCs w:val="24"/>
              </w:rPr>
              <w:t xml:space="preserve">Total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9FDD02E"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48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928687A"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491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E3CDC26"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410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FD670BF" w14:textId="77777777" w:rsidR="00207ECC" w:rsidRPr="00BE3465" w:rsidRDefault="00207ECC" w:rsidP="009F7239">
            <w:pPr>
              <w:spacing w:after="0"/>
              <w:jc w:val="center"/>
              <w:rPr>
                <w:rFonts w:ascii="Aptos Narrow" w:hAnsi="Aptos Narrow"/>
                <w:b/>
                <w:bCs/>
                <w:sz w:val="24"/>
                <w:szCs w:val="24"/>
              </w:rPr>
            </w:pPr>
            <w:r w:rsidRPr="00BE3465">
              <w:rPr>
                <w:rFonts w:ascii="Aptos Narrow" w:hAnsi="Aptos Narrow"/>
                <w:b/>
                <w:bCs/>
                <w:sz w:val="24"/>
                <w:szCs w:val="24"/>
              </w:rPr>
              <w:t>120</w:t>
            </w:r>
          </w:p>
        </w:tc>
      </w:tr>
    </w:tbl>
    <w:p w14:paraId="34DED3B7" w14:textId="5BA12274" w:rsidR="002310B8" w:rsidRPr="00BE3465" w:rsidRDefault="002310B8" w:rsidP="002310B8">
      <w:pPr>
        <w:pStyle w:val="pf0"/>
        <w:spacing w:before="0" w:beforeAutospacing="0" w:after="0" w:afterAutospacing="0"/>
        <w:ind w:left="1800" w:firstLine="360"/>
        <w:rPr>
          <w:rStyle w:val="cf01"/>
          <w:rFonts w:ascii="Aptos" w:hAnsi="Aptos" w:cstheme="minorHAnsi"/>
          <w:sz w:val="24"/>
          <w:szCs w:val="24"/>
        </w:rPr>
      </w:pPr>
      <w:r w:rsidRPr="00BE3465">
        <w:rPr>
          <w:rStyle w:val="cf01"/>
          <w:rFonts w:ascii="Aptos" w:hAnsi="Aptos" w:cstheme="minorHAnsi"/>
          <w:sz w:val="24"/>
          <w:szCs w:val="24"/>
        </w:rPr>
        <w:t>(</w:t>
      </w:r>
      <w:proofErr w:type="gramStart"/>
      <w:r w:rsidR="00207ECC" w:rsidRPr="00BE3465">
        <w:rPr>
          <w:rStyle w:val="cf01"/>
          <w:rFonts w:ascii="Aptos" w:hAnsi="Aptos" w:cstheme="minorHAnsi"/>
          <w:sz w:val="24"/>
          <w:szCs w:val="24"/>
        </w:rPr>
        <w:t>*</w:t>
      </w:r>
      <w:r w:rsidRPr="00BE3465">
        <w:rPr>
          <w:rStyle w:val="cf01"/>
          <w:rFonts w:ascii="Aptos" w:hAnsi="Aptos" w:cstheme="minorHAnsi"/>
          <w:sz w:val="24"/>
          <w:szCs w:val="24"/>
        </w:rPr>
        <w:t>)</w:t>
      </w:r>
      <w:r w:rsidR="00207ECC" w:rsidRPr="00BE3465">
        <w:rPr>
          <w:rStyle w:val="cf01"/>
          <w:rFonts w:ascii="Aptos" w:hAnsi="Aptos" w:cstheme="minorHAnsi"/>
          <w:sz w:val="24"/>
          <w:szCs w:val="24"/>
        </w:rPr>
        <w:t>October</w:t>
      </w:r>
      <w:proofErr w:type="gramEnd"/>
      <w:r w:rsidR="00207ECC" w:rsidRPr="00BE3465">
        <w:rPr>
          <w:rStyle w:val="cf01"/>
          <w:rFonts w:ascii="Aptos" w:hAnsi="Aptos" w:cstheme="minorHAnsi"/>
          <w:sz w:val="24"/>
          <w:szCs w:val="24"/>
        </w:rPr>
        <w:t xml:space="preserve"> 1, 2025- March 31, 2026</w:t>
      </w:r>
    </w:p>
    <w:p w14:paraId="18F5C240" w14:textId="3C5BD881" w:rsidR="002310B8" w:rsidRPr="00BE3465" w:rsidRDefault="002310B8" w:rsidP="002310B8">
      <w:pPr>
        <w:pStyle w:val="pf0"/>
        <w:spacing w:before="0" w:beforeAutospacing="0" w:after="0" w:afterAutospacing="0"/>
        <w:ind w:left="1800" w:firstLine="360"/>
        <w:rPr>
          <w:rFonts w:ascii="Aptos" w:hAnsi="Aptos" w:cstheme="minorHAnsi"/>
        </w:rPr>
      </w:pPr>
      <w:r w:rsidRPr="00BE3465">
        <w:rPr>
          <w:rFonts w:ascii="Aptos Narrow" w:hAnsi="Aptos Narrow"/>
        </w:rPr>
        <w:t xml:space="preserve">(-) Volume </w:t>
      </w:r>
      <w:proofErr w:type="gramStart"/>
      <w:r w:rsidRPr="00BE3465">
        <w:rPr>
          <w:rFonts w:ascii="Aptos Narrow" w:hAnsi="Aptos Narrow"/>
        </w:rPr>
        <w:t>count</w:t>
      </w:r>
      <w:proofErr w:type="gramEnd"/>
      <w:r w:rsidRPr="00BE3465">
        <w:rPr>
          <w:rFonts w:ascii="Aptos Narrow" w:hAnsi="Aptos Narrow"/>
        </w:rPr>
        <w:t xml:space="preserve"> less than 11 are combined with other </w:t>
      </w:r>
      <w:proofErr w:type="gramStart"/>
      <w:r w:rsidRPr="00BE3465">
        <w:rPr>
          <w:rFonts w:ascii="Aptos Narrow" w:hAnsi="Aptos Narrow"/>
        </w:rPr>
        <w:t>category</w:t>
      </w:r>
      <w:proofErr w:type="gramEnd"/>
      <w:r w:rsidRPr="00BE3465">
        <w:rPr>
          <w:rFonts w:ascii="Aptos Narrow" w:hAnsi="Aptos Narrow"/>
        </w:rPr>
        <w:t xml:space="preserve"> for confidentiality</w:t>
      </w:r>
    </w:p>
    <w:p w14:paraId="7CB340CB" w14:textId="6664BF37" w:rsidR="00407742" w:rsidRPr="00BE3465" w:rsidRDefault="00407742" w:rsidP="00407742">
      <w:pPr>
        <w:pStyle w:val="pf0"/>
        <w:ind w:left="720"/>
        <w:rPr>
          <w:rStyle w:val="cf01"/>
          <w:rFonts w:ascii="Aptos" w:hAnsi="Aptos" w:cstheme="minorHAnsi"/>
          <w:sz w:val="24"/>
          <w:szCs w:val="24"/>
        </w:rPr>
      </w:pPr>
      <w:r w:rsidRPr="00BE3465">
        <w:rPr>
          <w:rFonts w:ascii="Aptos" w:hAnsi="Aptos" w:cstheme="minorHAnsi"/>
          <w:b/>
          <w:bCs/>
        </w:rPr>
        <w:t xml:space="preserve">The table below provides data on the transfers from MMC to BMC by acuity.  </w:t>
      </w:r>
    </w:p>
    <w:tbl>
      <w:tblPr>
        <w:tblW w:w="7020" w:type="dxa"/>
        <w:jc w:val="center"/>
        <w:tblLook w:val="04A0" w:firstRow="1" w:lastRow="0" w:firstColumn="1" w:lastColumn="0" w:noHBand="0" w:noVBand="1"/>
        <w:tblCaption w:val="transfers from MMC to BMC by acuity"/>
      </w:tblPr>
      <w:tblGrid>
        <w:gridCol w:w="2780"/>
        <w:gridCol w:w="1060"/>
        <w:gridCol w:w="1060"/>
        <w:gridCol w:w="1060"/>
        <w:gridCol w:w="1060"/>
      </w:tblGrid>
      <w:tr w:rsidR="002310B8" w:rsidRPr="00BE3465" w14:paraId="62A6026D" w14:textId="77777777" w:rsidTr="00C06E71">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0ED4B18E"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Acuity</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10AC5A46"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2023</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3F0FE00F"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2024</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5F1374DE"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2025</w:t>
            </w:r>
          </w:p>
        </w:tc>
        <w:tc>
          <w:tcPr>
            <w:tcW w:w="1060" w:type="dxa"/>
            <w:tcBorders>
              <w:top w:val="single" w:sz="4" w:space="0" w:color="auto"/>
              <w:left w:val="nil"/>
              <w:bottom w:val="single" w:sz="4" w:space="0" w:color="auto"/>
              <w:right w:val="single" w:sz="4" w:space="0" w:color="auto"/>
            </w:tcBorders>
            <w:shd w:val="clear" w:color="000000" w:fill="FBE2D5"/>
            <w:noWrap/>
            <w:vAlign w:val="bottom"/>
            <w:hideMark/>
          </w:tcPr>
          <w:p w14:paraId="08774530" w14:textId="45B0DC9E"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2026*</w:t>
            </w:r>
          </w:p>
        </w:tc>
      </w:tr>
      <w:tr w:rsidR="002310B8" w:rsidRPr="00BE3465" w14:paraId="2AF185E5" w14:textId="77777777" w:rsidTr="00C06E71">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15B7EE16" w14:textId="77777777" w:rsidR="002310B8" w:rsidRPr="00BE3465" w:rsidRDefault="002310B8" w:rsidP="002310B8">
            <w:pPr>
              <w:spacing w:after="0" w:line="240" w:lineRule="auto"/>
              <w:jc w:val="right"/>
              <w:rPr>
                <w:rFonts w:ascii="Aptos Narrow" w:eastAsia="Times New Roman" w:hAnsi="Aptos Narrow" w:cs="Times New Roman"/>
                <w:sz w:val="24"/>
                <w:szCs w:val="24"/>
              </w:rPr>
            </w:pPr>
            <w:r w:rsidRPr="00BE3465">
              <w:rPr>
                <w:rFonts w:ascii="Aptos Narrow" w:eastAsia="Times New Roman" w:hAnsi="Aptos Narrow" w:cs="Times New Roman"/>
                <w:sz w:val="24"/>
                <w:szCs w:val="24"/>
              </w:rPr>
              <w:t>Unknown</w:t>
            </w:r>
          </w:p>
        </w:tc>
        <w:tc>
          <w:tcPr>
            <w:tcW w:w="1060" w:type="dxa"/>
            <w:tcBorders>
              <w:top w:val="nil"/>
              <w:left w:val="nil"/>
              <w:bottom w:val="single" w:sz="4" w:space="0" w:color="auto"/>
              <w:right w:val="single" w:sz="4" w:space="0" w:color="auto"/>
            </w:tcBorders>
            <w:noWrap/>
            <w:vAlign w:val="bottom"/>
            <w:hideMark/>
          </w:tcPr>
          <w:p w14:paraId="4C357757"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17</w:t>
            </w:r>
          </w:p>
        </w:tc>
        <w:tc>
          <w:tcPr>
            <w:tcW w:w="1060" w:type="dxa"/>
            <w:tcBorders>
              <w:top w:val="nil"/>
              <w:left w:val="nil"/>
              <w:bottom w:val="single" w:sz="4" w:space="0" w:color="auto"/>
              <w:right w:val="single" w:sz="4" w:space="0" w:color="auto"/>
            </w:tcBorders>
            <w:noWrap/>
            <w:vAlign w:val="bottom"/>
            <w:hideMark/>
          </w:tcPr>
          <w:p w14:paraId="3A302B08"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197</w:t>
            </w:r>
          </w:p>
        </w:tc>
        <w:tc>
          <w:tcPr>
            <w:tcW w:w="1060" w:type="dxa"/>
            <w:tcBorders>
              <w:top w:val="nil"/>
              <w:left w:val="nil"/>
              <w:bottom w:val="single" w:sz="4" w:space="0" w:color="auto"/>
              <w:right w:val="single" w:sz="4" w:space="0" w:color="auto"/>
            </w:tcBorders>
            <w:noWrap/>
            <w:vAlign w:val="bottom"/>
            <w:hideMark/>
          </w:tcPr>
          <w:p w14:paraId="64EFB75B"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155</w:t>
            </w:r>
          </w:p>
        </w:tc>
        <w:tc>
          <w:tcPr>
            <w:tcW w:w="1060" w:type="dxa"/>
            <w:tcBorders>
              <w:top w:val="nil"/>
              <w:left w:val="nil"/>
              <w:bottom w:val="single" w:sz="4" w:space="0" w:color="auto"/>
              <w:right w:val="single" w:sz="4" w:space="0" w:color="auto"/>
            </w:tcBorders>
            <w:noWrap/>
            <w:vAlign w:val="bottom"/>
            <w:hideMark/>
          </w:tcPr>
          <w:p w14:paraId="5B5A1C03"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45</w:t>
            </w:r>
          </w:p>
        </w:tc>
      </w:tr>
      <w:tr w:rsidR="002310B8" w:rsidRPr="00BE3465" w14:paraId="38551236" w14:textId="77777777" w:rsidTr="00C06E71">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0EAA5DC3" w14:textId="77777777" w:rsidR="002310B8" w:rsidRPr="00BE3465" w:rsidRDefault="002310B8" w:rsidP="002310B8">
            <w:pPr>
              <w:spacing w:after="0" w:line="240" w:lineRule="auto"/>
              <w:jc w:val="right"/>
              <w:rPr>
                <w:rFonts w:ascii="Aptos Narrow" w:eastAsia="Times New Roman" w:hAnsi="Aptos Narrow" w:cs="Times New Roman"/>
                <w:sz w:val="24"/>
                <w:szCs w:val="24"/>
              </w:rPr>
            </w:pPr>
            <w:r w:rsidRPr="00BE3465">
              <w:rPr>
                <w:rFonts w:ascii="Aptos Narrow" w:eastAsia="Times New Roman" w:hAnsi="Aptos Narrow" w:cs="Times New Roman"/>
                <w:sz w:val="24"/>
                <w:szCs w:val="24"/>
              </w:rPr>
              <w:t>Acute Care</w:t>
            </w:r>
          </w:p>
        </w:tc>
        <w:tc>
          <w:tcPr>
            <w:tcW w:w="1060" w:type="dxa"/>
            <w:tcBorders>
              <w:top w:val="nil"/>
              <w:left w:val="nil"/>
              <w:bottom w:val="single" w:sz="4" w:space="0" w:color="auto"/>
              <w:right w:val="single" w:sz="4" w:space="0" w:color="auto"/>
            </w:tcBorders>
            <w:noWrap/>
            <w:vAlign w:val="bottom"/>
            <w:hideMark/>
          </w:tcPr>
          <w:p w14:paraId="38DBC4D4"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21</w:t>
            </w:r>
          </w:p>
        </w:tc>
        <w:tc>
          <w:tcPr>
            <w:tcW w:w="1060" w:type="dxa"/>
            <w:tcBorders>
              <w:top w:val="nil"/>
              <w:left w:val="nil"/>
              <w:bottom w:val="single" w:sz="4" w:space="0" w:color="auto"/>
              <w:right w:val="single" w:sz="4" w:space="0" w:color="auto"/>
            </w:tcBorders>
            <w:noWrap/>
            <w:vAlign w:val="bottom"/>
            <w:hideMark/>
          </w:tcPr>
          <w:p w14:paraId="621ABB53"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202</w:t>
            </w:r>
          </w:p>
        </w:tc>
        <w:tc>
          <w:tcPr>
            <w:tcW w:w="1060" w:type="dxa"/>
            <w:tcBorders>
              <w:top w:val="nil"/>
              <w:left w:val="nil"/>
              <w:bottom w:val="single" w:sz="4" w:space="0" w:color="auto"/>
              <w:right w:val="single" w:sz="4" w:space="0" w:color="auto"/>
            </w:tcBorders>
            <w:noWrap/>
            <w:vAlign w:val="bottom"/>
            <w:hideMark/>
          </w:tcPr>
          <w:p w14:paraId="369155D7"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174</w:t>
            </w:r>
          </w:p>
        </w:tc>
        <w:tc>
          <w:tcPr>
            <w:tcW w:w="1060" w:type="dxa"/>
            <w:tcBorders>
              <w:top w:val="nil"/>
              <w:left w:val="nil"/>
              <w:bottom w:val="single" w:sz="4" w:space="0" w:color="auto"/>
              <w:right w:val="single" w:sz="4" w:space="0" w:color="auto"/>
            </w:tcBorders>
            <w:noWrap/>
            <w:vAlign w:val="bottom"/>
            <w:hideMark/>
          </w:tcPr>
          <w:p w14:paraId="0096E829"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41</w:t>
            </w:r>
          </w:p>
        </w:tc>
      </w:tr>
      <w:tr w:rsidR="002310B8" w:rsidRPr="00BE3465" w14:paraId="755377EF" w14:textId="77777777" w:rsidTr="00C06E71">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32A866A1" w14:textId="77777777" w:rsidR="002310B8" w:rsidRPr="00BE3465" w:rsidRDefault="002310B8" w:rsidP="002310B8">
            <w:pPr>
              <w:spacing w:after="0" w:line="240" w:lineRule="auto"/>
              <w:jc w:val="right"/>
              <w:rPr>
                <w:rFonts w:ascii="Aptos Narrow" w:eastAsia="Times New Roman" w:hAnsi="Aptos Narrow" w:cs="Times New Roman"/>
                <w:sz w:val="24"/>
                <w:szCs w:val="24"/>
              </w:rPr>
            </w:pPr>
            <w:r w:rsidRPr="00BE3465">
              <w:rPr>
                <w:rFonts w:ascii="Aptos Narrow" w:eastAsia="Times New Roman" w:hAnsi="Aptos Narrow" w:cs="Times New Roman"/>
                <w:sz w:val="24"/>
                <w:szCs w:val="24"/>
              </w:rPr>
              <w:t>Critical Care</w:t>
            </w:r>
          </w:p>
        </w:tc>
        <w:tc>
          <w:tcPr>
            <w:tcW w:w="1060" w:type="dxa"/>
            <w:tcBorders>
              <w:top w:val="nil"/>
              <w:left w:val="nil"/>
              <w:bottom w:val="single" w:sz="4" w:space="0" w:color="auto"/>
              <w:right w:val="single" w:sz="4" w:space="0" w:color="auto"/>
            </w:tcBorders>
            <w:noWrap/>
            <w:vAlign w:val="bottom"/>
            <w:hideMark/>
          </w:tcPr>
          <w:p w14:paraId="0175F899"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10</w:t>
            </w:r>
          </w:p>
        </w:tc>
        <w:tc>
          <w:tcPr>
            <w:tcW w:w="1060" w:type="dxa"/>
            <w:tcBorders>
              <w:top w:val="nil"/>
              <w:left w:val="nil"/>
              <w:bottom w:val="single" w:sz="4" w:space="0" w:color="auto"/>
              <w:right w:val="single" w:sz="4" w:space="0" w:color="auto"/>
            </w:tcBorders>
            <w:noWrap/>
            <w:vAlign w:val="bottom"/>
            <w:hideMark/>
          </w:tcPr>
          <w:p w14:paraId="25CEAB59"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67</w:t>
            </w:r>
          </w:p>
        </w:tc>
        <w:tc>
          <w:tcPr>
            <w:tcW w:w="1060" w:type="dxa"/>
            <w:tcBorders>
              <w:top w:val="nil"/>
              <w:left w:val="nil"/>
              <w:bottom w:val="single" w:sz="4" w:space="0" w:color="auto"/>
              <w:right w:val="single" w:sz="4" w:space="0" w:color="auto"/>
            </w:tcBorders>
            <w:noWrap/>
            <w:vAlign w:val="bottom"/>
            <w:hideMark/>
          </w:tcPr>
          <w:p w14:paraId="04903DCB"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51</w:t>
            </w:r>
          </w:p>
        </w:tc>
        <w:tc>
          <w:tcPr>
            <w:tcW w:w="1060" w:type="dxa"/>
            <w:tcBorders>
              <w:top w:val="nil"/>
              <w:left w:val="nil"/>
              <w:bottom w:val="single" w:sz="4" w:space="0" w:color="auto"/>
              <w:right w:val="single" w:sz="4" w:space="0" w:color="auto"/>
            </w:tcBorders>
            <w:noWrap/>
            <w:vAlign w:val="bottom"/>
            <w:hideMark/>
          </w:tcPr>
          <w:p w14:paraId="2C9F462A"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19</w:t>
            </w:r>
          </w:p>
        </w:tc>
      </w:tr>
      <w:tr w:rsidR="002310B8" w:rsidRPr="00BE3465" w14:paraId="1AEC0962" w14:textId="77777777" w:rsidTr="00C06E71">
        <w:trPr>
          <w:cantSplit/>
          <w:trHeight w:val="285"/>
          <w:jc w:val="center"/>
        </w:trPr>
        <w:tc>
          <w:tcPr>
            <w:tcW w:w="2780" w:type="dxa"/>
            <w:tcBorders>
              <w:top w:val="nil"/>
              <w:left w:val="single" w:sz="4" w:space="0" w:color="auto"/>
              <w:bottom w:val="single" w:sz="8" w:space="0" w:color="auto"/>
              <w:right w:val="single" w:sz="4" w:space="0" w:color="auto"/>
            </w:tcBorders>
            <w:noWrap/>
            <w:vAlign w:val="bottom"/>
            <w:hideMark/>
          </w:tcPr>
          <w:p w14:paraId="1E2CF6A3" w14:textId="77777777" w:rsidR="002310B8" w:rsidRPr="00BE3465" w:rsidRDefault="002310B8" w:rsidP="002310B8">
            <w:pPr>
              <w:spacing w:after="0" w:line="240" w:lineRule="auto"/>
              <w:jc w:val="right"/>
              <w:rPr>
                <w:rFonts w:ascii="Aptos Narrow" w:eastAsia="Times New Roman" w:hAnsi="Aptos Narrow" w:cs="Times New Roman"/>
                <w:sz w:val="24"/>
                <w:szCs w:val="24"/>
              </w:rPr>
            </w:pPr>
            <w:r w:rsidRPr="00BE3465">
              <w:rPr>
                <w:rFonts w:ascii="Aptos Narrow" w:eastAsia="Times New Roman" w:hAnsi="Aptos Narrow" w:cs="Times New Roman"/>
                <w:sz w:val="24"/>
                <w:szCs w:val="24"/>
              </w:rPr>
              <w:t>Intermediate</w:t>
            </w:r>
          </w:p>
        </w:tc>
        <w:tc>
          <w:tcPr>
            <w:tcW w:w="1060" w:type="dxa"/>
            <w:tcBorders>
              <w:top w:val="nil"/>
              <w:left w:val="nil"/>
              <w:bottom w:val="single" w:sz="8" w:space="0" w:color="auto"/>
              <w:right w:val="single" w:sz="4" w:space="0" w:color="auto"/>
            </w:tcBorders>
            <w:noWrap/>
            <w:vAlign w:val="bottom"/>
            <w:hideMark/>
          </w:tcPr>
          <w:p w14:paraId="3DFE8F2D" w14:textId="01006E6E"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w:t>
            </w:r>
          </w:p>
        </w:tc>
        <w:tc>
          <w:tcPr>
            <w:tcW w:w="1060" w:type="dxa"/>
            <w:tcBorders>
              <w:top w:val="nil"/>
              <w:left w:val="nil"/>
              <w:bottom w:val="single" w:sz="8" w:space="0" w:color="auto"/>
              <w:right w:val="single" w:sz="4" w:space="0" w:color="auto"/>
            </w:tcBorders>
            <w:noWrap/>
            <w:vAlign w:val="bottom"/>
            <w:hideMark/>
          </w:tcPr>
          <w:p w14:paraId="69C78185"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25</w:t>
            </w:r>
          </w:p>
        </w:tc>
        <w:tc>
          <w:tcPr>
            <w:tcW w:w="1060" w:type="dxa"/>
            <w:tcBorders>
              <w:top w:val="nil"/>
              <w:left w:val="nil"/>
              <w:bottom w:val="single" w:sz="8" w:space="0" w:color="auto"/>
              <w:right w:val="single" w:sz="4" w:space="0" w:color="auto"/>
            </w:tcBorders>
            <w:noWrap/>
            <w:vAlign w:val="bottom"/>
            <w:hideMark/>
          </w:tcPr>
          <w:p w14:paraId="25C0B2CB"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30</w:t>
            </w:r>
          </w:p>
        </w:tc>
        <w:tc>
          <w:tcPr>
            <w:tcW w:w="1060" w:type="dxa"/>
            <w:tcBorders>
              <w:top w:val="nil"/>
              <w:left w:val="nil"/>
              <w:bottom w:val="single" w:sz="8" w:space="0" w:color="auto"/>
              <w:right w:val="single" w:sz="4" w:space="0" w:color="auto"/>
            </w:tcBorders>
            <w:noWrap/>
            <w:vAlign w:val="bottom"/>
            <w:hideMark/>
          </w:tcPr>
          <w:p w14:paraId="6C97E9AA" w14:textId="77777777" w:rsidR="002310B8" w:rsidRPr="00BE3465" w:rsidRDefault="002310B8" w:rsidP="002310B8">
            <w:pPr>
              <w:spacing w:after="0" w:line="240" w:lineRule="auto"/>
              <w:jc w:val="right"/>
              <w:rPr>
                <w:rFonts w:ascii="Aptos Narrow" w:eastAsia="Times New Roman" w:hAnsi="Aptos Narrow" w:cs="Times New Roman"/>
                <w:color w:val="000000"/>
                <w:sz w:val="24"/>
                <w:szCs w:val="24"/>
              </w:rPr>
            </w:pPr>
            <w:r w:rsidRPr="00BE3465">
              <w:rPr>
                <w:rFonts w:ascii="Aptos Narrow" w:eastAsia="Times New Roman" w:hAnsi="Aptos Narrow" w:cs="Times New Roman"/>
                <w:color w:val="000000"/>
                <w:sz w:val="24"/>
                <w:szCs w:val="24"/>
              </w:rPr>
              <w:t>15</w:t>
            </w:r>
          </w:p>
        </w:tc>
      </w:tr>
      <w:tr w:rsidR="002310B8" w:rsidRPr="00BE3465" w14:paraId="1B7EA51A" w14:textId="77777777" w:rsidTr="00C06E71">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6C30BA5C"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Grand Total</w:t>
            </w:r>
          </w:p>
        </w:tc>
        <w:tc>
          <w:tcPr>
            <w:tcW w:w="1060" w:type="dxa"/>
            <w:tcBorders>
              <w:top w:val="nil"/>
              <w:left w:val="nil"/>
              <w:bottom w:val="single" w:sz="4" w:space="0" w:color="auto"/>
              <w:right w:val="single" w:sz="4" w:space="0" w:color="auto"/>
            </w:tcBorders>
            <w:noWrap/>
            <w:vAlign w:val="bottom"/>
            <w:hideMark/>
          </w:tcPr>
          <w:p w14:paraId="246A3962"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48</w:t>
            </w:r>
          </w:p>
        </w:tc>
        <w:tc>
          <w:tcPr>
            <w:tcW w:w="1060" w:type="dxa"/>
            <w:tcBorders>
              <w:top w:val="nil"/>
              <w:left w:val="nil"/>
              <w:bottom w:val="single" w:sz="4" w:space="0" w:color="auto"/>
              <w:right w:val="single" w:sz="4" w:space="0" w:color="auto"/>
            </w:tcBorders>
            <w:noWrap/>
            <w:vAlign w:val="bottom"/>
            <w:hideMark/>
          </w:tcPr>
          <w:p w14:paraId="1A28360D"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491</w:t>
            </w:r>
          </w:p>
        </w:tc>
        <w:tc>
          <w:tcPr>
            <w:tcW w:w="1060" w:type="dxa"/>
            <w:tcBorders>
              <w:top w:val="nil"/>
              <w:left w:val="nil"/>
              <w:bottom w:val="single" w:sz="4" w:space="0" w:color="auto"/>
              <w:right w:val="single" w:sz="4" w:space="0" w:color="auto"/>
            </w:tcBorders>
            <w:noWrap/>
            <w:vAlign w:val="bottom"/>
            <w:hideMark/>
          </w:tcPr>
          <w:p w14:paraId="13AE5536"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410</w:t>
            </w:r>
          </w:p>
        </w:tc>
        <w:tc>
          <w:tcPr>
            <w:tcW w:w="1060" w:type="dxa"/>
            <w:tcBorders>
              <w:top w:val="nil"/>
              <w:left w:val="nil"/>
              <w:bottom w:val="single" w:sz="4" w:space="0" w:color="auto"/>
              <w:right w:val="single" w:sz="4" w:space="0" w:color="auto"/>
            </w:tcBorders>
            <w:noWrap/>
            <w:vAlign w:val="bottom"/>
            <w:hideMark/>
          </w:tcPr>
          <w:p w14:paraId="2207ACD8" w14:textId="77777777" w:rsidR="002310B8" w:rsidRPr="00BE3465" w:rsidRDefault="002310B8" w:rsidP="002310B8">
            <w:pPr>
              <w:spacing w:after="0" w:line="240" w:lineRule="auto"/>
              <w:jc w:val="right"/>
              <w:rPr>
                <w:rFonts w:ascii="Aptos Narrow" w:eastAsia="Times New Roman" w:hAnsi="Aptos Narrow" w:cs="Times New Roman"/>
                <w:b/>
                <w:bCs/>
                <w:sz w:val="24"/>
                <w:szCs w:val="24"/>
              </w:rPr>
            </w:pPr>
            <w:r w:rsidRPr="00BE3465">
              <w:rPr>
                <w:rFonts w:ascii="Aptos Narrow" w:eastAsia="Times New Roman" w:hAnsi="Aptos Narrow" w:cs="Times New Roman"/>
                <w:b/>
                <w:bCs/>
                <w:sz w:val="24"/>
                <w:szCs w:val="24"/>
              </w:rPr>
              <w:t>120</w:t>
            </w:r>
          </w:p>
        </w:tc>
      </w:tr>
    </w:tbl>
    <w:p w14:paraId="4D11CF8C" w14:textId="77777777" w:rsidR="002310B8" w:rsidRPr="00BE3465" w:rsidRDefault="002310B8" w:rsidP="002310B8">
      <w:pPr>
        <w:pStyle w:val="pf0"/>
        <w:spacing w:before="0" w:beforeAutospacing="0" w:after="0" w:afterAutospacing="0"/>
        <w:ind w:left="1800" w:firstLine="360"/>
        <w:rPr>
          <w:rStyle w:val="cf01"/>
          <w:rFonts w:ascii="Aptos" w:hAnsi="Aptos" w:cstheme="minorHAnsi"/>
          <w:sz w:val="24"/>
          <w:szCs w:val="24"/>
        </w:rPr>
      </w:pPr>
      <w:r w:rsidRPr="00BE3465">
        <w:rPr>
          <w:rStyle w:val="cf01"/>
          <w:rFonts w:ascii="Aptos" w:hAnsi="Aptos" w:cstheme="minorHAnsi"/>
          <w:sz w:val="24"/>
          <w:szCs w:val="24"/>
        </w:rPr>
        <w:t>(</w:t>
      </w:r>
      <w:proofErr w:type="gramStart"/>
      <w:r w:rsidRPr="00BE3465">
        <w:rPr>
          <w:rStyle w:val="cf01"/>
          <w:rFonts w:ascii="Aptos" w:hAnsi="Aptos" w:cstheme="minorHAnsi"/>
          <w:sz w:val="24"/>
          <w:szCs w:val="24"/>
        </w:rPr>
        <w:t>*)October</w:t>
      </w:r>
      <w:proofErr w:type="gramEnd"/>
      <w:r w:rsidRPr="00BE3465">
        <w:rPr>
          <w:rStyle w:val="cf01"/>
          <w:rFonts w:ascii="Aptos" w:hAnsi="Aptos" w:cstheme="minorHAnsi"/>
          <w:sz w:val="24"/>
          <w:szCs w:val="24"/>
        </w:rPr>
        <w:t xml:space="preserve"> 1, 2025- March 31, 2026</w:t>
      </w:r>
    </w:p>
    <w:p w14:paraId="3F53FE55" w14:textId="77777777" w:rsidR="002310B8" w:rsidRPr="00BE3465" w:rsidRDefault="002310B8" w:rsidP="002310B8">
      <w:pPr>
        <w:pStyle w:val="pf0"/>
        <w:spacing w:before="0" w:beforeAutospacing="0" w:after="0" w:afterAutospacing="0"/>
        <w:ind w:left="1800" w:firstLine="360"/>
        <w:rPr>
          <w:rFonts w:ascii="Aptos" w:hAnsi="Aptos" w:cstheme="minorHAnsi"/>
        </w:rPr>
      </w:pPr>
      <w:r w:rsidRPr="00BE3465">
        <w:rPr>
          <w:rFonts w:ascii="Aptos Narrow" w:hAnsi="Aptos Narrow"/>
          <w:i/>
          <w:iCs/>
        </w:rPr>
        <w:t xml:space="preserve">(-) Volume </w:t>
      </w:r>
      <w:proofErr w:type="gramStart"/>
      <w:r w:rsidRPr="00BE3465">
        <w:rPr>
          <w:rFonts w:ascii="Aptos Narrow" w:hAnsi="Aptos Narrow"/>
          <w:i/>
          <w:iCs/>
        </w:rPr>
        <w:t>count</w:t>
      </w:r>
      <w:proofErr w:type="gramEnd"/>
      <w:r w:rsidRPr="00BE3465">
        <w:rPr>
          <w:rFonts w:ascii="Aptos Narrow" w:hAnsi="Aptos Narrow"/>
          <w:i/>
          <w:iCs/>
        </w:rPr>
        <w:t xml:space="preserve"> less than 11 are combined with other </w:t>
      </w:r>
      <w:proofErr w:type="gramStart"/>
      <w:r w:rsidRPr="00BE3465">
        <w:rPr>
          <w:rFonts w:ascii="Aptos Narrow" w:hAnsi="Aptos Narrow"/>
          <w:i/>
          <w:iCs/>
        </w:rPr>
        <w:t>category</w:t>
      </w:r>
      <w:proofErr w:type="gramEnd"/>
      <w:r w:rsidRPr="00BE3465">
        <w:rPr>
          <w:rFonts w:ascii="Aptos Narrow" w:hAnsi="Aptos Narrow"/>
          <w:i/>
          <w:iCs/>
        </w:rPr>
        <w:t xml:space="preserve"> for confidentiality</w:t>
      </w:r>
    </w:p>
    <w:p w14:paraId="325138A5" w14:textId="77777777" w:rsidR="002310B8" w:rsidRPr="00BE3465" w:rsidRDefault="002310B8" w:rsidP="002310B8">
      <w:pPr>
        <w:pStyle w:val="pf0"/>
        <w:spacing w:before="0" w:beforeAutospacing="0" w:after="120" w:afterAutospacing="0"/>
        <w:ind w:left="720"/>
        <w:rPr>
          <w:rStyle w:val="cf01"/>
          <w:rFonts w:ascii="Aptos" w:hAnsi="Aptos" w:cstheme="minorHAnsi"/>
          <w:sz w:val="24"/>
          <w:szCs w:val="24"/>
        </w:rPr>
      </w:pPr>
    </w:p>
    <w:p w14:paraId="2FBC2C00" w14:textId="742CEC0F" w:rsidR="00CF6915" w:rsidRPr="00BE3465" w:rsidRDefault="00207ECC" w:rsidP="009F7239">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 xml:space="preserve"> </w:t>
      </w:r>
      <w:r w:rsidR="00CF6915" w:rsidRPr="00BE3465">
        <w:rPr>
          <w:rStyle w:val="cf01"/>
          <w:rFonts w:ascii="Aptos" w:hAnsi="Aptos" w:cstheme="minorHAnsi"/>
          <w:sz w:val="24"/>
          <w:szCs w:val="24"/>
        </w:rPr>
        <w:t xml:space="preserve">What improvements to patient access and/or patient experience does the Applicant expect </w:t>
      </w:r>
      <w:proofErr w:type="gramStart"/>
      <w:r w:rsidR="00CF6915" w:rsidRPr="00BE3465">
        <w:rPr>
          <w:rStyle w:val="cf01"/>
          <w:rFonts w:ascii="Aptos" w:hAnsi="Aptos" w:cstheme="minorHAnsi"/>
          <w:sz w:val="24"/>
          <w:szCs w:val="24"/>
        </w:rPr>
        <w:t>as a result of</w:t>
      </w:r>
      <w:proofErr w:type="gramEnd"/>
      <w:r w:rsidR="00CF6915" w:rsidRPr="00BE3465">
        <w:rPr>
          <w:rStyle w:val="cf01"/>
          <w:rFonts w:ascii="Aptos" w:hAnsi="Aptos" w:cstheme="minorHAnsi"/>
          <w:sz w:val="24"/>
          <w:szCs w:val="24"/>
        </w:rPr>
        <w:t xml:space="preserve"> the project?  </w:t>
      </w:r>
    </w:p>
    <w:p w14:paraId="78D5715D" w14:textId="215344A5" w:rsidR="00C810F9" w:rsidRPr="00BE3465" w:rsidRDefault="00C810F9" w:rsidP="00C810F9">
      <w:pPr>
        <w:pStyle w:val="xxxmsonormal"/>
        <w:ind w:left="720"/>
        <w:jc w:val="both"/>
        <w:rPr>
          <w:rStyle w:val="cf01"/>
          <w:rFonts w:ascii="Aptos" w:eastAsia="Times New Roman" w:hAnsi="Aptos" w:cstheme="minorHAnsi"/>
          <w:b/>
          <w:bCs/>
          <w:sz w:val="24"/>
          <w:szCs w:val="24"/>
        </w:rPr>
      </w:pPr>
      <w:r w:rsidRPr="00BE3465">
        <w:rPr>
          <w:rStyle w:val="cf01"/>
          <w:rFonts w:ascii="Aptos" w:eastAsia="Times New Roman" w:hAnsi="Aptos" w:cstheme="minorHAnsi"/>
          <w:b/>
          <w:bCs/>
          <w:sz w:val="24"/>
          <w:szCs w:val="24"/>
        </w:rPr>
        <w:t xml:space="preserve">BH anticipates expanded bed availability in the region </w:t>
      </w:r>
      <w:r w:rsidR="00445214" w:rsidRPr="00BE3465">
        <w:rPr>
          <w:rStyle w:val="cf01"/>
          <w:rFonts w:ascii="Aptos" w:eastAsia="Times New Roman" w:hAnsi="Aptos" w:cstheme="minorHAnsi"/>
          <w:b/>
          <w:bCs/>
          <w:sz w:val="24"/>
          <w:szCs w:val="24"/>
        </w:rPr>
        <w:t>to result from</w:t>
      </w:r>
      <w:r w:rsidRPr="00BE3465">
        <w:rPr>
          <w:rStyle w:val="cf01"/>
          <w:rFonts w:ascii="Aptos" w:eastAsia="Times New Roman" w:hAnsi="Aptos" w:cstheme="minorHAnsi"/>
          <w:b/>
          <w:bCs/>
          <w:sz w:val="24"/>
          <w:szCs w:val="24"/>
        </w:rPr>
        <w:t xml:space="preserve"> the addition of MMC</w:t>
      </w:r>
      <w:r w:rsidR="00445214" w:rsidRPr="00BE3465">
        <w:rPr>
          <w:rStyle w:val="cf01"/>
          <w:rFonts w:ascii="Aptos" w:eastAsia="Times New Roman" w:hAnsi="Aptos" w:cstheme="minorHAnsi"/>
          <w:b/>
          <w:bCs/>
          <w:sz w:val="24"/>
          <w:szCs w:val="24"/>
        </w:rPr>
        <w:t xml:space="preserve"> to the BH system</w:t>
      </w:r>
      <w:r w:rsidRPr="00BE3465">
        <w:rPr>
          <w:rStyle w:val="cf01"/>
          <w:rFonts w:ascii="Aptos" w:eastAsia="Times New Roman" w:hAnsi="Aptos" w:cstheme="minorHAnsi"/>
          <w:b/>
          <w:bCs/>
          <w:sz w:val="24"/>
          <w:szCs w:val="24"/>
        </w:rPr>
        <w:t xml:space="preserve">. </w:t>
      </w:r>
      <w:r w:rsidR="00445214" w:rsidRPr="00BE3465">
        <w:rPr>
          <w:rStyle w:val="cf01"/>
          <w:rFonts w:ascii="Aptos" w:eastAsia="Times New Roman" w:hAnsi="Aptos" w:cstheme="minorHAnsi"/>
          <w:b/>
          <w:bCs/>
          <w:sz w:val="24"/>
          <w:szCs w:val="24"/>
        </w:rPr>
        <w:t>Improving access</w:t>
      </w:r>
      <w:r w:rsidRPr="00BE3465">
        <w:rPr>
          <w:rStyle w:val="cf01"/>
          <w:rFonts w:ascii="Aptos" w:eastAsia="Times New Roman" w:hAnsi="Aptos" w:cstheme="minorHAnsi"/>
          <w:b/>
          <w:bCs/>
          <w:sz w:val="24"/>
          <w:szCs w:val="24"/>
        </w:rPr>
        <w:t xml:space="preserve"> will allow decompression at BMC which BH hopes will result in decreased emergency department wait times, faster turnaround and acceptance of transfers, and the addition of physicians and </w:t>
      </w:r>
      <w:proofErr w:type="gramStart"/>
      <w:r w:rsidRPr="00BE3465">
        <w:rPr>
          <w:rStyle w:val="cf01"/>
          <w:rFonts w:ascii="Aptos" w:eastAsia="Times New Roman" w:hAnsi="Aptos" w:cstheme="minorHAnsi"/>
          <w:b/>
          <w:bCs/>
          <w:sz w:val="24"/>
          <w:szCs w:val="24"/>
        </w:rPr>
        <w:t>advanced practice</w:t>
      </w:r>
      <w:proofErr w:type="gramEnd"/>
      <w:r w:rsidRPr="00BE3465">
        <w:rPr>
          <w:rStyle w:val="cf01"/>
          <w:rFonts w:ascii="Aptos" w:eastAsia="Times New Roman" w:hAnsi="Aptos" w:cstheme="minorHAnsi"/>
          <w:b/>
          <w:bCs/>
          <w:sz w:val="24"/>
          <w:szCs w:val="24"/>
        </w:rPr>
        <w:t xml:space="preserve"> providers </w:t>
      </w:r>
      <w:r w:rsidR="0063575D" w:rsidRPr="00BE3465">
        <w:rPr>
          <w:rStyle w:val="cf01"/>
          <w:rFonts w:ascii="Aptos" w:eastAsia="Times New Roman" w:hAnsi="Aptos" w:cstheme="minorHAnsi"/>
          <w:b/>
          <w:bCs/>
          <w:sz w:val="24"/>
          <w:szCs w:val="24"/>
        </w:rPr>
        <w:t xml:space="preserve">(APP) </w:t>
      </w:r>
      <w:r w:rsidRPr="00BE3465">
        <w:rPr>
          <w:rStyle w:val="cf01"/>
          <w:rFonts w:ascii="Aptos" w:eastAsia="Times New Roman" w:hAnsi="Aptos" w:cstheme="minorHAnsi"/>
          <w:b/>
          <w:bCs/>
          <w:sz w:val="24"/>
          <w:szCs w:val="24"/>
        </w:rPr>
        <w:t>to grow into the currently unused beds at MMC. BH’s new integrated EMR with MMC will allow for more seamless care coordination among the BH facilities when necessary and between physicians and APPs for patient care and other permissible purposes in compliance with applicable law.</w:t>
      </w:r>
    </w:p>
    <w:p w14:paraId="0EFA777F" w14:textId="77777777" w:rsidR="00093F39" w:rsidRPr="00BE3465" w:rsidRDefault="00093F39" w:rsidP="00093F39">
      <w:pPr>
        <w:pStyle w:val="pf0"/>
        <w:spacing w:before="0" w:beforeAutospacing="0" w:after="120" w:afterAutospacing="0"/>
        <w:ind w:left="720"/>
        <w:rPr>
          <w:rStyle w:val="cf01"/>
          <w:rFonts w:ascii="Aptos" w:hAnsi="Aptos" w:cstheme="minorHAnsi"/>
          <w:sz w:val="24"/>
          <w:szCs w:val="24"/>
        </w:rPr>
      </w:pPr>
    </w:p>
    <w:p w14:paraId="24343113" w14:textId="4633045E" w:rsidR="00093F39" w:rsidRPr="00BE3465" w:rsidRDefault="00C96749" w:rsidP="009F7239">
      <w:pPr>
        <w:pStyle w:val="pf0"/>
        <w:numPr>
          <w:ilvl w:val="1"/>
          <w:numId w:val="9"/>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 xml:space="preserve">What specialty services will </w:t>
      </w:r>
      <w:r w:rsidR="00044D2F" w:rsidRPr="00BE3465">
        <w:rPr>
          <w:rStyle w:val="cf01"/>
          <w:rFonts w:ascii="Aptos" w:hAnsi="Aptos" w:cstheme="minorHAnsi"/>
          <w:sz w:val="24"/>
          <w:szCs w:val="24"/>
        </w:rPr>
        <w:t>the Proposed Project provide access to that MMC patients are not currently able to access?</w:t>
      </w:r>
    </w:p>
    <w:p w14:paraId="7862D92C" w14:textId="77777777" w:rsidR="0063575D" w:rsidRPr="00BE3465" w:rsidRDefault="0063575D" w:rsidP="0063575D">
      <w:pPr>
        <w:pStyle w:val="pf0"/>
        <w:ind w:left="720"/>
        <w:jc w:val="both"/>
        <w:rPr>
          <w:rStyle w:val="cf01"/>
          <w:rFonts w:ascii="Aptos" w:hAnsi="Aptos" w:cstheme="minorHAnsi"/>
          <w:b/>
          <w:bCs/>
          <w:sz w:val="24"/>
          <w:szCs w:val="24"/>
        </w:rPr>
      </w:pPr>
      <w:r w:rsidRPr="00BE3465">
        <w:rPr>
          <w:rStyle w:val="cf01"/>
          <w:rFonts w:ascii="Aptos" w:hAnsi="Aptos" w:cstheme="minorHAnsi"/>
          <w:b/>
          <w:bCs/>
          <w:sz w:val="24"/>
          <w:szCs w:val="24"/>
        </w:rPr>
        <w:t xml:space="preserve">The Proposed Project will allow MMC patients to remain in the community and receive convenient, high-quality, specialty care close to home at BMC in a clinically integrated </w:t>
      </w:r>
      <w:r w:rsidRPr="00BE3465">
        <w:rPr>
          <w:rStyle w:val="cf01"/>
          <w:rFonts w:ascii="Aptos" w:hAnsi="Aptos" w:cstheme="minorHAnsi"/>
          <w:b/>
          <w:bCs/>
          <w:sz w:val="24"/>
          <w:szCs w:val="24"/>
        </w:rPr>
        <w:lastRenderedPageBreak/>
        <w:t>system, avoiding burdensome travel to higher cost health systems in Connecticut or other geographies. For example, m</w:t>
      </w:r>
      <w:r w:rsidR="00C810F9" w:rsidRPr="00BE3465">
        <w:rPr>
          <w:rStyle w:val="cf01"/>
          <w:rFonts w:ascii="Aptos" w:hAnsi="Aptos" w:cstheme="minorHAnsi"/>
          <w:b/>
          <w:bCs/>
          <w:sz w:val="24"/>
          <w:szCs w:val="24"/>
        </w:rPr>
        <w:t>aternity services are not currently available at MMC. The Proposed Project will allow MMC patients to receive the full range of obstetrical services from B</w:t>
      </w:r>
      <w:r w:rsidRPr="00BE3465">
        <w:rPr>
          <w:rStyle w:val="cf01"/>
          <w:rFonts w:ascii="Aptos" w:hAnsi="Aptos" w:cstheme="minorHAnsi"/>
          <w:b/>
          <w:bCs/>
          <w:sz w:val="24"/>
          <w:szCs w:val="24"/>
        </w:rPr>
        <w:t>H</w:t>
      </w:r>
      <w:r w:rsidR="00C810F9" w:rsidRPr="00BE3465">
        <w:rPr>
          <w:rStyle w:val="cf01"/>
          <w:rFonts w:ascii="Aptos" w:hAnsi="Aptos" w:cstheme="minorHAnsi"/>
          <w:b/>
          <w:bCs/>
          <w:sz w:val="24"/>
          <w:szCs w:val="24"/>
        </w:rPr>
        <w:t xml:space="preserve"> and provide more stable access to these services for the Patient Panel </w:t>
      </w:r>
      <w:r w:rsidRPr="00BE3465">
        <w:rPr>
          <w:rStyle w:val="cf01"/>
          <w:rFonts w:ascii="Aptos" w:hAnsi="Aptos" w:cstheme="minorHAnsi"/>
          <w:b/>
          <w:bCs/>
          <w:sz w:val="24"/>
          <w:szCs w:val="24"/>
        </w:rPr>
        <w:t>through</w:t>
      </w:r>
      <w:r w:rsidR="00C810F9" w:rsidRPr="00BE3465">
        <w:rPr>
          <w:rStyle w:val="cf01"/>
          <w:rFonts w:ascii="Aptos" w:hAnsi="Aptos" w:cstheme="minorHAnsi"/>
          <w:b/>
          <w:bCs/>
          <w:sz w:val="24"/>
          <w:szCs w:val="24"/>
        </w:rPr>
        <w:t xml:space="preserve"> high quality, comprehensive prenatal, intrapartum, and postpartum care in a coordinated, patient centered model. In addition, the Proposed Project will allow MMC patients to receive several other specialty services that are not provided at MMC, including pediatric surgery, cardiac surgery, and interventional cardiology, among others. </w:t>
      </w:r>
    </w:p>
    <w:p w14:paraId="0E7BA35E" w14:textId="6F36FCC8" w:rsidR="00A87061" w:rsidRPr="00BE3465" w:rsidRDefault="0063575D" w:rsidP="00464CFB">
      <w:pPr>
        <w:pStyle w:val="Heading2"/>
        <w:rPr>
          <w:rStyle w:val="cf01"/>
          <w:rFonts w:ascii="Aptos" w:hAnsi="Aptos" w:cstheme="minorHAnsi"/>
          <w:b/>
          <w:bCs/>
          <w:sz w:val="24"/>
          <w:szCs w:val="24"/>
        </w:rPr>
      </w:pPr>
      <w:r w:rsidRPr="00BE3465">
        <w:rPr>
          <w:rStyle w:val="cf01"/>
          <w:rFonts w:ascii="Aptos" w:hAnsi="Aptos" w:cstheme="minorHAnsi"/>
          <w:b/>
          <w:bCs/>
          <w:sz w:val="24"/>
          <w:szCs w:val="24"/>
        </w:rPr>
        <w:t xml:space="preserve"> </w:t>
      </w:r>
      <w:r w:rsidR="00945508" w:rsidRPr="00BE3465">
        <w:rPr>
          <w:rStyle w:val="cf01"/>
          <w:rFonts w:ascii="Aptos" w:hAnsi="Aptos" w:cstheme="minorHAnsi"/>
          <w:sz w:val="24"/>
          <w:szCs w:val="24"/>
        </w:rPr>
        <w:t xml:space="preserve">In connection </w:t>
      </w:r>
      <w:proofErr w:type="gramStart"/>
      <w:r w:rsidR="00945508" w:rsidRPr="00BE3465">
        <w:rPr>
          <w:rStyle w:val="cf01"/>
          <w:rFonts w:ascii="Aptos" w:hAnsi="Aptos" w:cstheme="minorHAnsi"/>
          <w:sz w:val="24"/>
          <w:szCs w:val="24"/>
        </w:rPr>
        <w:t>to</w:t>
      </w:r>
      <w:proofErr w:type="gramEnd"/>
      <w:r w:rsidR="00945508" w:rsidRPr="00BE3465">
        <w:rPr>
          <w:rStyle w:val="cf01"/>
          <w:rFonts w:ascii="Aptos" w:hAnsi="Aptos" w:cstheme="minorHAnsi"/>
          <w:sz w:val="24"/>
          <w:szCs w:val="24"/>
        </w:rPr>
        <w:t xml:space="preserve"> the Applicant’s </w:t>
      </w:r>
      <w:r w:rsidR="00A87061" w:rsidRPr="00BE3465">
        <w:rPr>
          <w:rStyle w:val="cf01"/>
          <w:rFonts w:ascii="Aptos" w:hAnsi="Aptos" w:cstheme="minorHAnsi"/>
          <w:sz w:val="24"/>
          <w:szCs w:val="24"/>
        </w:rPr>
        <w:t>commitment to reducing health equity barriers:</w:t>
      </w:r>
    </w:p>
    <w:p w14:paraId="3427E8E1" w14:textId="26070FFA" w:rsidR="00A87061" w:rsidRPr="00BE3465" w:rsidRDefault="002974CC" w:rsidP="0063575D">
      <w:pPr>
        <w:pStyle w:val="pf0"/>
        <w:numPr>
          <w:ilvl w:val="0"/>
          <w:numId w:val="12"/>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 xml:space="preserve">What </w:t>
      </w:r>
      <w:r w:rsidR="00E36C59" w:rsidRPr="00BE3465">
        <w:rPr>
          <w:rStyle w:val="cf01"/>
          <w:rFonts w:ascii="Aptos" w:hAnsi="Aptos" w:cstheme="minorHAnsi"/>
          <w:sz w:val="24"/>
          <w:szCs w:val="24"/>
        </w:rPr>
        <w:t xml:space="preserve">specific </w:t>
      </w:r>
      <w:r w:rsidRPr="00BE3465">
        <w:rPr>
          <w:rStyle w:val="cf01"/>
          <w:rFonts w:ascii="Aptos" w:hAnsi="Aptos" w:cstheme="minorHAnsi"/>
          <w:sz w:val="24"/>
          <w:szCs w:val="24"/>
        </w:rPr>
        <w:t>health</w:t>
      </w:r>
      <w:r w:rsidR="000E50B4" w:rsidRPr="00BE3465">
        <w:rPr>
          <w:rStyle w:val="cf01"/>
          <w:rFonts w:ascii="Aptos" w:hAnsi="Aptos" w:cstheme="minorHAnsi"/>
          <w:sz w:val="24"/>
          <w:szCs w:val="24"/>
        </w:rPr>
        <w:t xml:space="preserve"> equity barriers has </w:t>
      </w:r>
      <w:r w:rsidR="00E36C59" w:rsidRPr="00BE3465">
        <w:rPr>
          <w:rStyle w:val="cf01"/>
          <w:rFonts w:ascii="Aptos" w:hAnsi="Aptos" w:cstheme="minorHAnsi"/>
          <w:sz w:val="24"/>
          <w:szCs w:val="24"/>
        </w:rPr>
        <w:t>BH identified</w:t>
      </w:r>
      <w:r w:rsidR="000E50B4" w:rsidRPr="00BE3465">
        <w:rPr>
          <w:rStyle w:val="cf01"/>
          <w:rFonts w:ascii="Aptos" w:hAnsi="Aptos" w:cstheme="minorHAnsi"/>
          <w:sz w:val="24"/>
          <w:szCs w:val="24"/>
        </w:rPr>
        <w:t xml:space="preserve"> in the region</w:t>
      </w:r>
      <w:r w:rsidR="00A87061" w:rsidRPr="00BE3465">
        <w:rPr>
          <w:rStyle w:val="cf01"/>
          <w:rFonts w:ascii="Aptos" w:hAnsi="Aptos" w:cstheme="minorHAnsi"/>
          <w:sz w:val="24"/>
          <w:szCs w:val="24"/>
        </w:rPr>
        <w:t>?</w:t>
      </w:r>
    </w:p>
    <w:p w14:paraId="01056142" w14:textId="5757B5E3" w:rsidR="00C810F9" w:rsidRPr="00BE3465" w:rsidRDefault="00C810F9" w:rsidP="00C810F9">
      <w:pPr>
        <w:pStyle w:val="pf0"/>
        <w:ind w:left="720"/>
        <w:jc w:val="both"/>
        <w:rPr>
          <w:rStyle w:val="cf01"/>
          <w:rFonts w:ascii="Aptos" w:hAnsi="Aptos" w:cstheme="minorHAnsi"/>
          <w:b/>
          <w:bCs/>
          <w:sz w:val="24"/>
          <w:szCs w:val="24"/>
        </w:rPr>
      </w:pPr>
      <w:r w:rsidRPr="00BE3465">
        <w:rPr>
          <w:rStyle w:val="cf01"/>
          <w:rFonts w:ascii="Aptos" w:hAnsi="Aptos" w:cstheme="minorHAnsi"/>
          <w:b/>
          <w:bCs/>
          <w:sz w:val="24"/>
          <w:szCs w:val="24"/>
        </w:rPr>
        <w:t xml:space="preserve">Through the 2025 CHNA and prior assessment cycles, BH identified significant disparities related to maternal and infant health, mental health and substance use disorders, access to care for immigrants and refugees, the health and well-being of young children and families, and the needs of older adults. Health-related social </w:t>
      </w:r>
      <w:r w:rsidR="0063575D" w:rsidRPr="00BE3465">
        <w:rPr>
          <w:rStyle w:val="cf01"/>
          <w:rFonts w:ascii="Aptos" w:hAnsi="Aptos" w:cstheme="minorHAnsi"/>
          <w:b/>
          <w:bCs/>
          <w:sz w:val="24"/>
          <w:szCs w:val="24"/>
        </w:rPr>
        <w:t xml:space="preserve">needs, </w:t>
      </w:r>
      <w:r w:rsidRPr="00BE3465">
        <w:rPr>
          <w:rStyle w:val="cf01"/>
          <w:rFonts w:ascii="Aptos" w:hAnsi="Aptos" w:cstheme="minorHAnsi"/>
          <w:b/>
          <w:bCs/>
          <w:sz w:val="24"/>
          <w:szCs w:val="24"/>
        </w:rPr>
        <w:t>including food insecurity, housing instability, transportation barriers, and economic hardship</w:t>
      </w:r>
      <w:r w:rsidR="0063575D" w:rsidRPr="00BE3465">
        <w:rPr>
          <w:rStyle w:val="cf01"/>
          <w:rFonts w:ascii="Aptos" w:hAnsi="Aptos" w:cstheme="minorHAnsi"/>
          <w:b/>
          <w:bCs/>
          <w:sz w:val="24"/>
          <w:szCs w:val="24"/>
        </w:rPr>
        <w:t xml:space="preserve">, </w:t>
      </w:r>
      <w:r w:rsidRPr="00BE3465">
        <w:rPr>
          <w:rStyle w:val="cf01"/>
          <w:rFonts w:ascii="Aptos" w:hAnsi="Aptos" w:cstheme="minorHAnsi"/>
          <w:b/>
          <w:bCs/>
          <w:sz w:val="24"/>
          <w:szCs w:val="24"/>
        </w:rPr>
        <w:t>were identified as cross-cutting factors that affect all priority populations and contribute to inequitable health outcomes.</w:t>
      </w:r>
    </w:p>
    <w:p w14:paraId="32C92BA9" w14:textId="620B579E" w:rsidR="00C810F9" w:rsidRPr="00BE3465" w:rsidRDefault="00C810F9" w:rsidP="00B3509A">
      <w:pPr>
        <w:pStyle w:val="pf0"/>
        <w:ind w:left="720"/>
        <w:jc w:val="both"/>
        <w:rPr>
          <w:rStyle w:val="cf01"/>
          <w:rFonts w:ascii="Aptos" w:hAnsi="Aptos" w:cstheme="minorHAnsi"/>
          <w:b/>
          <w:bCs/>
          <w:sz w:val="24"/>
          <w:szCs w:val="24"/>
        </w:rPr>
      </w:pPr>
      <w:r w:rsidRPr="00BE3465">
        <w:rPr>
          <w:rStyle w:val="cf01"/>
          <w:rFonts w:ascii="Aptos" w:hAnsi="Aptos" w:cstheme="minorHAnsi"/>
          <w:b/>
          <w:bCs/>
          <w:sz w:val="24"/>
          <w:szCs w:val="24"/>
        </w:rPr>
        <w:t>BH also identified disparities among specific patient populations, including individuals with sickle cell disease, opioid and substance use disorders, and patients experiencing severe maternal morbidity. Additional concerns include disparities in readmissions, behavioral health follow-up care, patient experience outcomes, and health-related social needs screening results. These findings align with the Commonwealth's focus on advancing health equity through the MassHealth Section 1115 Demonstration Waiver, which emphasizes reducing health disparities and addressing health-related social needs to improve outcomes for vulnerable populations.</w:t>
      </w:r>
    </w:p>
    <w:p w14:paraId="4A8A4120" w14:textId="7B782302" w:rsidR="000E50B4" w:rsidRPr="00BE3465" w:rsidRDefault="00A87061" w:rsidP="0063575D">
      <w:pPr>
        <w:pStyle w:val="pf0"/>
        <w:numPr>
          <w:ilvl w:val="0"/>
          <w:numId w:val="12"/>
        </w:numPr>
        <w:spacing w:before="0" w:beforeAutospacing="0" w:after="120" w:afterAutospacing="0"/>
        <w:rPr>
          <w:rStyle w:val="cf01"/>
          <w:rFonts w:ascii="Aptos" w:hAnsi="Aptos" w:cstheme="minorHAnsi"/>
          <w:sz w:val="24"/>
          <w:szCs w:val="24"/>
        </w:rPr>
      </w:pPr>
      <w:r w:rsidRPr="00BE3465">
        <w:rPr>
          <w:rStyle w:val="cf01"/>
          <w:rFonts w:ascii="Aptos" w:hAnsi="Aptos" w:cstheme="minorHAnsi"/>
          <w:sz w:val="24"/>
          <w:szCs w:val="24"/>
        </w:rPr>
        <w:t>W</w:t>
      </w:r>
      <w:r w:rsidR="00E36C59" w:rsidRPr="00BE3465">
        <w:rPr>
          <w:rStyle w:val="cf01"/>
          <w:rFonts w:ascii="Aptos" w:hAnsi="Aptos" w:cstheme="minorHAnsi"/>
          <w:sz w:val="24"/>
          <w:szCs w:val="24"/>
        </w:rPr>
        <w:t xml:space="preserve">hat </w:t>
      </w:r>
      <w:r w:rsidRPr="00BE3465">
        <w:rPr>
          <w:rStyle w:val="cf01"/>
          <w:rFonts w:ascii="Aptos" w:hAnsi="Aptos" w:cstheme="minorHAnsi"/>
          <w:sz w:val="24"/>
          <w:szCs w:val="24"/>
        </w:rPr>
        <w:t xml:space="preserve">steps </w:t>
      </w:r>
      <w:r w:rsidR="00E36C59" w:rsidRPr="00BE3465">
        <w:rPr>
          <w:rStyle w:val="cf01"/>
          <w:rFonts w:ascii="Aptos" w:hAnsi="Aptos" w:cstheme="minorHAnsi"/>
          <w:sz w:val="24"/>
          <w:szCs w:val="24"/>
        </w:rPr>
        <w:t>ha</w:t>
      </w:r>
      <w:r w:rsidR="002C413B" w:rsidRPr="00BE3465">
        <w:rPr>
          <w:rStyle w:val="cf01"/>
          <w:rFonts w:ascii="Aptos" w:hAnsi="Aptos" w:cstheme="minorHAnsi"/>
          <w:sz w:val="24"/>
          <w:szCs w:val="24"/>
        </w:rPr>
        <w:t>s</w:t>
      </w:r>
      <w:r w:rsidR="00E36C59" w:rsidRPr="00BE3465">
        <w:rPr>
          <w:rStyle w:val="cf01"/>
          <w:rFonts w:ascii="Aptos" w:hAnsi="Aptos" w:cstheme="minorHAnsi"/>
          <w:sz w:val="24"/>
          <w:szCs w:val="24"/>
        </w:rPr>
        <w:t xml:space="preserve"> </w:t>
      </w:r>
      <w:r w:rsidR="002C413B" w:rsidRPr="00BE3465">
        <w:rPr>
          <w:rStyle w:val="cf01"/>
          <w:rFonts w:ascii="Aptos" w:hAnsi="Aptos" w:cstheme="minorHAnsi"/>
          <w:sz w:val="24"/>
          <w:szCs w:val="24"/>
        </w:rPr>
        <w:t>BH</w:t>
      </w:r>
      <w:r w:rsidR="00E36C59" w:rsidRPr="00BE3465">
        <w:rPr>
          <w:rStyle w:val="cf01"/>
          <w:rFonts w:ascii="Aptos" w:hAnsi="Aptos" w:cstheme="minorHAnsi"/>
          <w:sz w:val="24"/>
          <w:szCs w:val="24"/>
        </w:rPr>
        <w:t xml:space="preserve"> implemented to address these barriers</w:t>
      </w:r>
      <w:r w:rsidR="00586F00" w:rsidRPr="00BE3465">
        <w:rPr>
          <w:rStyle w:val="cf01"/>
          <w:rFonts w:ascii="Aptos" w:hAnsi="Aptos" w:cstheme="minorHAnsi"/>
          <w:sz w:val="24"/>
          <w:szCs w:val="24"/>
        </w:rPr>
        <w:t xml:space="preserve"> (beyond the hiring practices and digital equity already described in the application)</w:t>
      </w:r>
      <w:r w:rsidR="00E36C59" w:rsidRPr="00BE3465">
        <w:rPr>
          <w:rStyle w:val="cf01"/>
          <w:rFonts w:ascii="Aptos" w:hAnsi="Aptos" w:cstheme="minorHAnsi"/>
          <w:sz w:val="24"/>
          <w:szCs w:val="24"/>
        </w:rPr>
        <w:t>?</w:t>
      </w:r>
    </w:p>
    <w:p w14:paraId="387C2075" w14:textId="67E73D54" w:rsidR="00C810F9" w:rsidRPr="00BE3465" w:rsidRDefault="00C810F9" w:rsidP="00C036ED">
      <w:pPr>
        <w:pStyle w:val="pf0"/>
        <w:ind w:left="720"/>
        <w:jc w:val="both"/>
        <w:rPr>
          <w:rStyle w:val="cf01"/>
          <w:rFonts w:ascii="Aptos" w:hAnsi="Aptos" w:cstheme="minorHAnsi"/>
          <w:b/>
          <w:bCs/>
          <w:sz w:val="24"/>
          <w:szCs w:val="24"/>
        </w:rPr>
      </w:pPr>
      <w:r w:rsidRPr="00BE3465">
        <w:rPr>
          <w:rStyle w:val="cf01"/>
          <w:rFonts w:ascii="Aptos" w:hAnsi="Aptos" w:cstheme="minorHAnsi"/>
          <w:b/>
          <w:bCs/>
          <w:sz w:val="24"/>
          <w:szCs w:val="24"/>
        </w:rPr>
        <w:t xml:space="preserve">Baystate implemented a comprehensive, system-wide approach to advancing health equity and reducing disparities in access, quality, and health outcomes. All four </w:t>
      </w:r>
      <w:r w:rsidR="00C036ED" w:rsidRPr="00BE3465">
        <w:rPr>
          <w:rStyle w:val="cf01"/>
          <w:rFonts w:ascii="Aptos" w:hAnsi="Aptos" w:cstheme="minorHAnsi"/>
          <w:b/>
          <w:bCs/>
          <w:sz w:val="24"/>
          <w:szCs w:val="24"/>
        </w:rPr>
        <w:t>BH</w:t>
      </w:r>
      <w:r w:rsidRPr="00BE3465">
        <w:rPr>
          <w:rStyle w:val="cf01"/>
          <w:rFonts w:ascii="Aptos" w:hAnsi="Aptos" w:cstheme="minorHAnsi"/>
          <w:b/>
          <w:bCs/>
          <w:sz w:val="24"/>
          <w:szCs w:val="24"/>
        </w:rPr>
        <w:t xml:space="preserve"> hospitals have earned Advanced Healthcare Equity Certification from The Joint Commission, reflecting a multi-year effort to embed health equity into clinical operations, improve data collection, and implement targeted improvement strategies. In addition, Baystate Medical Center has achieved Magnet® designation five consecutive times, recognizing excellence in nursing, patient-centered care, and quality outcomes. B</w:t>
      </w:r>
      <w:r w:rsidR="0063575D" w:rsidRPr="00BE3465">
        <w:rPr>
          <w:rStyle w:val="cf01"/>
          <w:rFonts w:ascii="Aptos" w:hAnsi="Aptos" w:cstheme="minorHAnsi"/>
          <w:b/>
          <w:bCs/>
          <w:sz w:val="24"/>
          <w:szCs w:val="24"/>
        </w:rPr>
        <w:t>H’s</w:t>
      </w:r>
      <w:r w:rsidRPr="00BE3465">
        <w:rPr>
          <w:rStyle w:val="cf01"/>
          <w:rFonts w:ascii="Aptos" w:hAnsi="Aptos" w:cstheme="minorHAnsi"/>
          <w:b/>
          <w:bCs/>
          <w:sz w:val="24"/>
          <w:szCs w:val="24"/>
        </w:rPr>
        <w:t xml:space="preserve"> health equity strategy includes collecting and analyzing demographic data to identify disparities, screening patients for health-related social needs, improving accessibility for patients with disabilities and limited English </w:t>
      </w:r>
      <w:r w:rsidRPr="00BE3465">
        <w:rPr>
          <w:rStyle w:val="cf01"/>
          <w:rFonts w:ascii="Aptos" w:hAnsi="Aptos" w:cstheme="minorHAnsi"/>
          <w:b/>
          <w:bCs/>
          <w:sz w:val="24"/>
          <w:szCs w:val="24"/>
        </w:rPr>
        <w:lastRenderedPageBreak/>
        <w:t>proficiency, strengthening community partnerships, and integrating health equity priorities into annual Health Quality and Equity Strategic Plans.</w:t>
      </w:r>
    </w:p>
    <w:p w14:paraId="2043990F" w14:textId="2D7D73D0" w:rsidR="00093F39" w:rsidRPr="00BE3465" w:rsidRDefault="00C810F9" w:rsidP="00C036ED">
      <w:pPr>
        <w:pStyle w:val="pf0"/>
        <w:ind w:left="720"/>
        <w:jc w:val="both"/>
        <w:rPr>
          <w:rFonts w:ascii="Aptos" w:hAnsi="Aptos" w:cstheme="minorHAnsi"/>
          <w:b/>
          <w:bCs/>
        </w:rPr>
      </w:pPr>
      <w:r w:rsidRPr="00BE3465">
        <w:rPr>
          <w:rStyle w:val="cf01"/>
          <w:rFonts w:ascii="Aptos" w:hAnsi="Aptos" w:cstheme="minorHAnsi"/>
          <w:b/>
          <w:bCs/>
          <w:sz w:val="24"/>
          <w:szCs w:val="24"/>
        </w:rPr>
        <w:t>To address identified disparities, B</w:t>
      </w:r>
      <w:r w:rsidR="0063575D" w:rsidRPr="00BE3465">
        <w:rPr>
          <w:rStyle w:val="cf01"/>
          <w:rFonts w:ascii="Aptos" w:hAnsi="Aptos" w:cstheme="minorHAnsi"/>
          <w:b/>
          <w:bCs/>
          <w:sz w:val="24"/>
          <w:szCs w:val="24"/>
        </w:rPr>
        <w:t>H</w:t>
      </w:r>
      <w:r w:rsidRPr="00BE3465">
        <w:rPr>
          <w:rStyle w:val="cf01"/>
          <w:rFonts w:ascii="Aptos" w:hAnsi="Aptos" w:cstheme="minorHAnsi"/>
          <w:b/>
          <w:bCs/>
          <w:sz w:val="24"/>
          <w:szCs w:val="24"/>
        </w:rPr>
        <w:t xml:space="preserve"> established targeted goals across its hospitals, including improving care for patients with sickle cell disease and opioid use disorder, reducing severe maternal morbidity, enhancing behavioral health follow-up, addressing readmission disparities, and reducing health-related social needs barriers. Beyond clinical care, </w:t>
      </w:r>
      <w:r w:rsidR="002C22EB" w:rsidRPr="00BE3465">
        <w:rPr>
          <w:rStyle w:val="cf01"/>
          <w:rFonts w:ascii="Aptos" w:hAnsi="Aptos" w:cstheme="minorHAnsi"/>
          <w:b/>
          <w:bCs/>
          <w:sz w:val="24"/>
          <w:szCs w:val="24"/>
        </w:rPr>
        <w:t>BH</w:t>
      </w:r>
      <w:r w:rsidRPr="00BE3465">
        <w:rPr>
          <w:rStyle w:val="cf01"/>
          <w:rFonts w:ascii="Aptos" w:hAnsi="Aptos" w:cstheme="minorHAnsi"/>
          <w:b/>
          <w:bCs/>
          <w:sz w:val="24"/>
          <w:szCs w:val="24"/>
        </w:rPr>
        <w:t xml:space="preserve"> advances health equity through its Community Benefits Program and Strategic Implementation Plans, which focus on strengthening regional food systems and improving maternal, infant, and early childhood health outcomes. Through community partnerships, grantmaking, and collaborative initiatives, B</w:t>
      </w:r>
      <w:r w:rsidR="002C22EB" w:rsidRPr="00BE3465">
        <w:rPr>
          <w:rStyle w:val="cf01"/>
          <w:rFonts w:ascii="Aptos" w:hAnsi="Aptos" w:cstheme="minorHAnsi"/>
          <w:b/>
          <w:bCs/>
          <w:sz w:val="24"/>
          <w:szCs w:val="24"/>
        </w:rPr>
        <w:t>H</w:t>
      </w:r>
      <w:r w:rsidRPr="00BE3465">
        <w:rPr>
          <w:rStyle w:val="cf01"/>
          <w:rFonts w:ascii="Aptos" w:hAnsi="Aptos" w:cstheme="minorHAnsi"/>
          <w:b/>
          <w:bCs/>
          <w:sz w:val="24"/>
          <w:szCs w:val="24"/>
        </w:rPr>
        <w:t xml:space="preserve"> continues to address the root causes of health inequities and improve the health and well-being of communities throughout western Massachusetts.</w:t>
      </w:r>
    </w:p>
    <w:p w14:paraId="66C32C0B" w14:textId="5B262AA1" w:rsidR="007177F0" w:rsidRPr="00BE3465" w:rsidRDefault="00817578" w:rsidP="0063575D">
      <w:pPr>
        <w:pStyle w:val="ListParagraph"/>
        <w:numPr>
          <w:ilvl w:val="0"/>
          <w:numId w:val="12"/>
        </w:numPr>
        <w:spacing w:after="120" w:line="240" w:lineRule="auto"/>
        <w:contextualSpacing w:val="0"/>
        <w:jc w:val="both"/>
        <w:rPr>
          <w:rFonts w:ascii="Aptos" w:hAnsi="Aptos" w:cstheme="minorHAnsi"/>
          <w:sz w:val="24"/>
          <w:szCs w:val="24"/>
        </w:rPr>
      </w:pPr>
      <w:proofErr w:type="gramStart"/>
      <w:r w:rsidRPr="00BE3465">
        <w:rPr>
          <w:rFonts w:ascii="Aptos" w:hAnsi="Aptos" w:cstheme="minorHAnsi"/>
          <w:sz w:val="24"/>
          <w:szCs w:val="24"/>
        </w:rPr>
        <w:t>With regard to</w:t>
      </w:r>
      <w:proofErr w:type="gramEnd"/>
      <w:r w:rsidRPr="00BE3465">
        <w:rPr>
          <w:rFonts w:ascii="Aptos" w:hAnsi="Aptos" w:cstheme="minorHAnsi"/>
          <w:sz w:val="24"/>
          <w:szCs w:val="24"/>
        </w:rPr>
        <w:t xml:space="preserve"> the </w:t>
      </w:r>
      <w:r w:rsidR="00A80ADF" w:rsidRPr="00BE3465">
        <w:rPr>
          <w:rFonts w:ascii="Aptos" w:hAnsi="Aptos" w:cstheme="minorHAnsi"/>
          <w:sz w:val="24"/>
          <w:szCs w:val="24"/>
        </w:rPr>
        <w:t xml:space="preserve">Alliance for Digital Equity, please be specific about the role that Baystate Health plays in the </w:t>
      </w:r>
      <w:r w:rsidR="009307EA" w:rsidRPr="00BE3465">
        <w:rPr>
          <w:rFonts w:ascii="Aptos" w:hAnsi="Aptos" w:cstheme="minorHAnsi"/>
          <w:sz w:val="24"/>
          <w:szCs w:val="24"/>
        </w:rPr>
        <w:t>A</w:t>
      </w:r>
      <w:r w:rsidR="00A80ADF" w:rsidRPr="00BE3465">
        <w:rPr>
          <w:rFonts w:ascii="Aptos" w:hAnsi="Aptos" w:cstheme="minorHAnsi"/>
          <w:sz w:val="24"/>
          <w:szCs w:val="24"/>
        </w:rPr>
        <w:t xml:space="preserve">lliance and how </w:t>
      </w:r>
      <w:r w:rsidR="00EC37BF" w:rsidRPr="00BE3465">
        <w:rPr>
          <w:rFonts w:ascii="Aptos" w:hAnsi="Aptos" w:cstheme="minorHAnsi"/>
          <w:sz w:val="24"/>
          <w:szCs w:val="24"/>
        </w:rPr>
        <w:t xml:space="preserve">it will specifically </w:t>
      </w:r>
      <w:proofErr w:type="gramStart"/>
      <w:r w:rsidR="00EC37BF" w:rsidRPr="00BE3465">
        <w:rPr>
          <w:rFonts w:ascii="Aptos" w:hAnsi="Aptos" w:cstheme="minorHAnsi"/>
          <w:sz w:val="24"/>
          <w:szCs w:val="24"/>
        </w:rPr>
        <w:t>impact</w:t>
      </w:r>
      <w:proofErr w:type="gramEnd"/>
      <w:r w:rsidR="00EC37BF" w:rsidRPr="00BE3465">
        <w:rPr>
          <w:rFonts w:ascii="Aptos" w:hAnsi="Aptos" w:cstheme="minorHAnsi"/>
          <w:sz w:val="24"/>
          <w:szCs w:val="24"/>
        </w:rPr>
        <w:t xml:space="preserve"> the </w:t>
      </w:r>
      <w:r w:rsidR="00F03FC1" w:rsidRPr="00BE3465">
        <w:rPr>
          <w:rFonts w:ascii="Aptos" w:hAnsi="Aptos" w:cstheme="minorHAnsi"/>
          <w:sz w:val="24"/>
          <w:szCs w:val="24"/>
        </w:rPr>
        <w:t>P</w:t>
      </w:r>
      <w:r w:rsidR="00EC37BF" w:rsidRPr="00BE3465">
        <w:rPr>
          <w:rFonts w:ascii="Aptos" w:hAnsi="Aptos" w:cstheme="minorHAnsi"/>
          <w:sz w:val="24"/>
          <w:szCs w:val="24"/>
        </w:rPr>
        <w:t xml:space="preserve">roposed </w:t>
      </w:r>
      <w:r w:rsidR="00F03FC1" w:rsidRPr="00BE3465">
        <w:rPr>
          <w:rFonts w:ascii="Aptos" w:hAnsi="Aptos" w:cstheme="minorHAnsi"/>
          <w:sz w:val="24"/>
          <w:szCs w:val="24"/>
        </w:rPr>
        <w:t>P</w:t>
      </w:r>
      <w:r w:rsidR="00EC37BF" w:rsidRPr="00BE3465">
        <w:rPr>
          <w:rFonts w:ascii="Aptos" w:hAnsi="Aptos" w:cstheme="minorHAnsi"/>
          <w:sz w:val="24"/>
          <w:szCs w:val="24"/>
        </w:rPr>
        <w:t>roject.</w:t>
      </w:r>
    </w:p>
    <w:p w14:paraId="5DAB717F" w14:textId="4A3AF1BD" w:rsidR="00C036ED" w:rsidRPr="00BE3465" w:rsidRDefault="00C036ED" w:rsidP="00C036ED">
      <w:pPr>
        <w:pStyle w:val="ListParagraph"/>
        <w:spacing w:after="0" w:line="240" w:lineRule="auto"/>
        <w:jc w:val="both"/>
        <w:rPr>
          <w:rStyle w:val="cf01"/>
          <w:rFonts w:ascii="Aptos" w:eastAsia="Times New Roman" w:hAnsi="Aptos" w:cstheme="minorHAnsi"/>
          <w:b/>
          <w:bCs/>
          <w:sz w:val="24"/>
          <w:szCs w:val="24"/>
        </w:rPr>
      </w:pPr>
      <w:r w:rsidRPr="00BE3465">
        <w:rPr>
          <w:rStyle w:val="cf01"/>
          <w:rFonts w:ascii="Aptos" w:eastAsia="Times New Roman" w:hAnsi="Aptos" w:cstheme="minorHAnsi"/>
          <w:b/>
          <w:bCs/>
          <w:sz w:val="24"/>
          <w:szCs w:val="24"/>
        </w:rPr>
        <w:t xml:space="preserve">BH’s Chief Information and Digital Officer </w:t>
      </w:r>
      <w:proofErr w:type="gramStart"/>
      <w:r w:rsidRPr="00BE3465">
        <w:rPr>
          <w:rStyle w:val="cf01"/>
          <w:rFonts w:ascii="Aptos" w:eastAsia="Times New Roman" w:hAnsi="Aptos" w:cstheme="minorHAnsi"/>
          <w:b/>
          <w:bCs/>
          <w:sz w:val="24"/>
          <w:szCs w:val="24"/>
        </w:rPr>
        <w:t>provides</w:t>
      </w:r>
      <w:proofErr w:type="gramEnd"/>
      <w:r w:rsidRPr="00BE3465">
        <w:rPr>
          <w:rStyle w:val="cf01"/>
          <w:rFonts w:ascii="Aptos" w:eastAsia="Times New Roman" w:hAnsi="Aptos" w:cstheme="minorHAnsi"/>
          <w:b/>
          <w:bCs/>
          <w:sz w:val="24"/>
          <w:szCs w:val="24"/>
        </w:rPr>
        <w:t xml:space="preserve"> the Alliance with dedicated leadership and guidance. The Alliance will foster the inclusion of MMC’s community in the removal of barriers that prevent digital equity.</w:t>
      </w:r>
    </w:p>
    <w:p w14:paraId="514FC6D9" w14:textId="77777777" w:rsidR="00C036ED" w:rsidRPr="00BE3465" w:rsidRDefault="00C036ED" w:rsidP="00C036ED">
      <w:pPr>
        <w:pStyle w:val="ListParagraph"/>
        <w:spacing w:after="120" w:line="240" w:lineRule="auto"/>
        <w:contextualSpacing w:val="0"/>
        <w:jc w:val="both"/>
        <w:rPr>
          <w:rFonts w:ascii="Aptos" w:hAnsi="Aptos" w:cstheme="minorHAnsi"/>
          <w:sz w:val="24"/>
          <w:szCs w:val="24"/>
        </w:rPr>
      </w:pPr>
    </w:p>
    <w:p w14:paraId="789F2E85" w14:textId="3331B019" w:rsidR="009779D6" w:rsidRPr="00BE3465" w:rsidRDefault="00A54C24" w:rsidP="0063575D">
      <w:pPr>
        <w:pStyle w:val="ListParagraph"/>
        <w:numPr>
          <w:ilvl w:val="0"/>
          <w:numId w:val="12"/>
        </w:numPr>
        <w:spacing w:after="120" w:line="240" w:lineRule="auto"/>
        <w:contextualSpacing w:val="0"/>
        <w:jc w:val="both"/>
        <w:rPr>
          <w:rFonts w:ascii="Aptos" w:hAnsi="Aptos" w:cstheme="minorHAnsi"/>
          <w:sz w:val="24"/>
          <w:szCs w:val="24"/>
        </w:rPr>
      </w:pPr>
      <w:r w:rsidRPr="00BE3465">
        <w:rPr>
          <w:rFonts w:ascii="Aptos" w:eastAsia="Calibri" w:hAnsi="Aptos"/>
          <w:sz w:val="24"/>
          <w:szCs w:val="24"/>
        </w:rPr>
        <w:t xml:space="preserve">Given that BH plans to shift MMC’s contracted labor </w:t>
      </w:r>
      <w:r w:rsidR="006E7944" w:rsidRPr="00BE3465">
        <w:rPr>
          <w:rFonts w:ascii="Aptos" w:eastAsia="Calibri" w:hAnsi="Aptos"/>
          <w:sz w:val="24"/>
          <w:szCs w:val="24"/>
        </w:rPr>
        <w:t xml:space="preserve">model </w:t>
      </w:r>
      <w:r w:rsidRPr="00BE3465">
        <w:rPr>
          <w:rFonts w:ascii="Aptos" w:eastAsia="Calibri" w:hAnsi="Aptos"/>
          <w:sz w:val="24"/>
          <w:szCs w:val="24"/>
        </w:rPr>
        <w:t>to the employed model, p</w:t>
      </w:r>
      <w:r w:rsidR="009779D6" w:rsidRPr="00BE3465">
        <w:rPr>
          <w:rFonts w:ascii="Aptos" w:hAnsi="Aptos" w:cstheme="minorHAnsi"/>
          <w:sz w:val="24"/>
          <w:szCs w:val="24"/>
        </w:rPr>
        <w:t xml:space="preserve">lease provide </w:t>
      </w:r>
      <w:r w:rsidR="00517C3B" w:rsidRPr="00BE3465">
        <w:rPr>
          <w:rFonts w:ascii="Aptos" w:hAnsi="Aptos" w:cstheme="minorHAnsi"/>
          <w:sz w:val="24"/>
          <w:szCs w:val="24"/>
        </w:rPr>
        <w:t xml:space="preserve">cost comparison </w:t>
      </w:r>
      <w:r w:rsidR="00517C3B" w:rsidRPr="00BE3465">
        <w:rPr>
          <w:rFonts w:ascii="Aptos" w:eastAsia="Calibri" w:hAnsi="Aptos"/>
          <w:sz w:val="24"/>
          <w:szCs w:val="24"/>
        </w:rPr>
        <w:t xml:space="preserve">between </w:t>
      </w:r>
      <w:r w:rsidR="000D06EA" w:rsidRPr="00BE3465">
        <w:rPr>
          <w:rFonts w:ascii="Aptos" w:eastAsia="Calibri" w:hAnsi="Aptos"/>
          <w:sz w:val="24"/>
          <w:szCs w:val="24"/>
        </w:rPr>
        <w:t>these two models based on MMC</w:t>
      </w:r>
      <w:r w:rsidR="005F0998" w:rsidRPr="00BE3465">
        <w:rPr>
          <w:rFonts w:ascii="Aptos" w:eastAsia="Calibri" w:hAnsi="Aptos"/>
          <w:sz w:val="24"/>
          <w:szCs w:val="24"/>
        </w:rPr>
        <w:t>’s staffing costs.</w:t>
      </w:r>
    </w:p>
    <w:p w14:paraId="53792A1E" w14:textId="2844FB8F" w:rsidR="00C036ED" w:rsidRPr="00BE3465" w:rsidRDefault="00C036ED" w:rsidP="00C036ED">
      <w:pPr>
        <w:pStyle w:val="ListParagraph"/>
        <w:spacing w:after="0" w:line="240" w:lineRule="auto"/>
        <w:jc w:val="both"/>
        <w:rPr>
          <w:rFonts w:ascii="Aptos" w:eastAsia="Times New Roman" w:hAnsi="Aptos" w:cstheme="minorHAnsi"/>
          <w:b/>
          <w:bCs/>
          <w:sz w:val="24"/>
          <w:szCs w:val="24"/>
        </w:rPr>
      </w:pPr>
      <w:r w:rsidRPr="00BE3465">
        <w:rPr>
          <w:rStyle w:val="cf01"/>
          <w:rFonts w:ascii="Aptos" w:eastAsia="Times New Roman" w:hAnsi="Aptos" w:cstheme="minorHAnsi"/>
          <w:b/>
          <w:bCs/>
          <w:sz w:val="24"/>
          <w:szCs w:val="24"/>
        </w:rPr>
        <w:t>B</w:t>
      </w:r>
      <w:r w:rsidR="002C22EB" w:rsidRPr="00BE3465">
        <w:rPr>
          <w:rStyle w:val="cf01"/>
          <w:rFonts w:ascii="Aptos" w:eastAsia="Times New Roman" w:hAnsi="Aptos" w:cstheme="minorHAnsi"/>
          <w:b/>
          <w:bCs/>
          <w:sz w:val="24"/>
          <w:szCs w:val="24"/>
        </w:rPr>
        <w:t>H</w:t>
      </w:r>
      <w:r w:rsidRPr="00BE3465">
        <w:rPr>
          <w:rStyle w:val="cf01"/>
          <w:rFonts w:ascii="Aptos" w:eastAsia="Times New Roman" w:hAnsi="Aptos" w:cstheme="minorHAnsi"/>
          <w:b/>
          <w:bCs/>
          <w:sz w:val="24"/>
          <w:szCs w:val="24"/>
        </w:rPr>
        <w:t xml:space="preserve"> does not have MMC contracted labor cost data that would allow it to conduct a cost comparison between MMC’s contracted labor model and B</w:t>
      </w:r>
      <w:r w:rsidR="002C22EB" w:rsidRPr="00BE3465">
        <w:rPr>
          <w:rStyle w:val="cf01"/>
          <w:rFonts w:ascii="Aptos" w:eastAsia="Times New Roman" w:hAnsi="Aptos" w:cstheme="minorHAnsi"/>
          <w:b/>
          <w:bCs/>
          <w:sz w:val="24"/>
          <w:szCs w:val="24"/>
        </w:rPr>
        <w:t>H</w:t>
      </w:r>
      <w:r w:rsidRPr="00BE3465">
        <w:rPr>
          <w:rStyle w:val="cf01"/>
          <w:rFonts w:ascii="Aptos" w:eastAsia="Times New Roman" w:hAnsi="Aptos" w:cstheme="minorHAnsi"/>
          <w:b/>
          <w:bCs/>
          <w:sz w:val="24"/>
          <w:szCs w:val="24"/>
        </w:rPr>
        <w:t>’s employed model. Based on B</w:t>
      </w:r>
      <w:r w:rsidR="002C22EB" w:rsidRPr="00BE3465">
        <w:rPr>
          <w:rStyle w:val="cf01"/>
          <w:rFonts w:ascii="Aptos" w:eastAsia="Times New Roman" w:hAnsi="Aptos" w:cstheme="minorHAnsi"/>
          <w:b/>
          <w:bCs/>
          <w:sz w:val="24"/>
          <w:szCs w:val="24"/>
        </w:rPr>
        <w:t>H</w:t>
      </w:r>
      <w:r w:rsidRPr="00BE3465">
        <w:rPr>
          <w:rStyle w:val="cf01"/>
          <w:rFonts w:ascii="Aptos" w:eastAsia="Times New Roman" w:hAnsi="Aptos" w:cstheme="minorHAnsi"/>
          <w:b/>
          <w:bCs/>
          <w:sz w:val="24"/>
          <w:szCs w:val="24"/>
        </w:rPr>
        <w:t>’s own experience using certain locum tenens physicians, the cost of those contracted physicians was approximately 40</w:t>
      </w:r>
      <w:r w:rsidR="00276D7D">
        <w:rPr>
          <w:rStyle w:val="cf01"/>
          <w:rFonts w:ascii="Aptos" w:eastAsia="Times New Roman" w:hAnsi="Aptos" w:cstheme="minorHAnsi"/>
          <w:b/>
          <w:bCs/>
          <w:sz w:val="24"/>
          <w:szCs w:val="24"/>
        </w:rPr>
        <w:t xml:space="preserve"> percent</w:t>
      </w:r>
      <w:r w:rsidRPr="00BE3465">
        <w:rPr>
          <w:rStyle w:val="cf01"/>
          <w:rFonts w:ascii="Aptos" w:eastAsia="Times New Roman" w:hAnsi="Aptos" w:cstheme="minorHAnsi"/>
          <w:b/>
          <w:bCs/>
          <w:sz w:val="24"/>
          <w:szCs w:val="24"/>
        </w:rPr>
        <w:t xml:space="preserve"> higher than the cost of B</w:t>
      </w:r>
      <w:r w:rsidR="002C22EB" w:rsidRPr="00BE3465">
        <w:rPr>
          <w:rStyle w:val="cf01"/>
          <w:rFonts w:ascii="Aptos" w:eastAsia="Times New Roman" w:hAnsi="Aptos" w:cstheme="minorHAnsi"/>
          <w:b/>
          <w:bCs/>
          <w:sz w:val="24"/>
          <w:szCs w:val="24"/>
        </w:rPr>
        <w:t>H</w:t>
      </w:r>
      <w:r w:rsidRPr="00BE3465">
        <w:rPr>
          <w:rStyle w:val="cf01"/>
          <w:rFonts w:ascii="Aptos" w:eastAsia="Times New Roman" w:hAnsi="Aptos" w:cstheme="minorHAnsi"/>
          <w:b/>
          <w:bCs/>
          <w:sz w:val="24"/>
          <w:szCs w:val="24"/>
        </w:rPr>
        <w:t xml:space="preserve"> employed physicians.</w:t>
      </w:r>
    </w:p>
    <w:p w14:paraId="2164A095" w14:textId="77777777" w:rsidR="00C036ED" w:rsidRPr="00BE3465" w:rsidRDefault="00C036ED" w:rsidP="00C036ED">
      <w:pPr>
        <w:pStyle w:val="ListParagraph"/>
        <w:jc w:val="both"/>
        <w:rPr>
          <w:rFonts w:ascii="Aptos" w:eastAsia="Times New Roman" w:hAnsi="Aptos" w:cstheme="minorHAnsi"/>
          <w:b/>
          <w:bCs/>
          <w:sz w:val="24"/>
          <w:szCs w:val="24"/>
        </w:rPr>
      </w:pPr>
    </w:p>
    <w:p w14:paraId="1D50BC2B" w14:textId="6CA64EA8" w:rsidR="00080FB0" w:rsidRPr="00BE3465" w:rsidRDefault="00C55FD0" w:rsidP="0063575D">
      <w:pPr>
        <w:pStyle w:val="ListParagraph"/>
        <w:numPr>
          <w:ilvl w:val="0"/>
          <w:numId w:val="12"/>
        </w:numPr>
        <w:spacing w:after="120" w:line="240" w:lineRule="auto"/>
        <w:contextualSpacing w:val="0"/>
        <w:jc w:val="both"/>
        <w:rPr>
          <w:rFonts w:ascii="Aptos" w:hAnsi="Aptos" w:cstheme="minorHAnsi"/>
          <w:sz w:val="24"/>
          <w:szCs w:val="24"/>
        </w:rPr>
      </w:pPr>
      <w:r w:rsidRPr="00BE3465">
        <w:rPr>
          <w:rFonts w:ascii="Aptos" w:hAnsi="Aptos" w:cstheme="minorHAnsi"/>
          <w:sz w:val="24"/>
          <w:szCs w:val="24"/>
        </w:rPr>
        <w:t xml:space="preserve">Please provide examples of </w:t>
      </w:r>
      <w:r w:rsidR="00406EF8" w:rsidRPr="00BE3465">
        <w:rPr>
          <w:rFonts w:ascii="Aptos" w:eastAsia="Calibri" w:hAnsi="Aptos"/>
          <w:sz w:val="24"/>
          <w:szCs w:val="24"/>
        </w:rPr>
        <w:t xml:space="preserve">duplication of services among the two hospitals that could </w:t>
      </w:r>
      <w:r w:rsidR="00D9045E" w:rsidRPr="00BE3465">
        <w:rPr>
          <w:rFonts w:ascii="Aptos" w:eastAsia="Calibri" w:hAnsi="Aptos"/>
          <w:sz w:val="24"/>
          <w:szCs w:val="24"/>
        </w:rPr>
        <w:t xml:space="preserve">potentially </w:t>
      </w:r>
      <w:r w:rsidR="00562122" w:rsidRPr="00BE3465">
        <w:rPr>
          <w:rFonts w:ascii="Aptos" w:eastAsia="Calibri" w:hAnsi="Aptos"/>
          <w:sz w:val="24"/>
          <w:szCs w:val="24"/>
        </w:rPr>
        <w:t xml:space="preserve">lead to </w:t>
      </w:r>
      <w:r w:rsidR="00406EF8" w:rsidRPr="00BE3465">
        <w:rPr>
          <w:rFonts w:ascii="Aptos" w:eastAsia="Calibri" w:hAnsi="Aptos"/>
          <w:sz w:val="24"/>
          <w:szCs w:val="24"/>
        </w:rPr>
        <w:t xml:space="preserve">cost savings </w:t>
      </w:r>
      <w:proofErr w:type="spellStart"/>
      <w:r w:rsidR="00562122" w:rsidRPr="00BE3465">
        <w:rPr>
          <w:rFonts w:ascii="Aptos" w:eastAsia="Calibri" w:hAnsi="Aptos"/>
          <w:sz w:val="24"/>
          <w:szCs w:val="24"/>
        </w:rPr>
        <w:t>post merger</w:t>
      </w:r>
      <w:proofErr w:type="spellEnd"/>
      <w:r w:rsidR="00406EF8" w:rsidRPr="00BE3465">
        <w:rPr>
          <w:rFonts w:ascii="Aptos" w:eastAsia="Calibri" w:hAnsi="Aptos"/>
          <w:sz w:val="24"/>
          <w:szCs w:val="24"/>
        </w:rPr>
        <w:t>.</w:t>
      </w:r>
    </w:p>
    <w:p w14:paraId="2B3CE60C" w14:textId="7F498F99" w:rsidR="00093F39" w:rsidRPr="00BE3465" w:rsidRDefault="00C036ED" w:rsidP="00C036ED">
      <w:pPr>
        <w:pStyle w:val="ListParagraph"/>
        <w:jc w:val="both"/>
        <w:rPr>
          <w:rStyle w:val="cf01"/>
          <w:rFonts w:ascii="Aptos" w:eastAsia="Times New Roman" w:hAnsi="Aptos" w:cstheme="minorHAnsi"/>
          <w:b/>
          <w:bCs/>
          <w:sz w:val="24"/>
          <w:szCs w:val="24"/>
        </w:rPr>
      </w:pPr>
      <w:r w:rsidRPr="00BE3465">
        <w:rPr>
          <w:rStyle w:val="cf01"/>
          <w:rFonts w:ascii="Aptos" w:eastAsia="Times New Roman" w:hAnsi="Aptos" w:cstheme="minorHAnsi"/>
          <w:b/>
          <w:bCs/>
          <w:sz w:val="24"/>
          <w:szCs w:val="24"/>
        </w:rPr>
        <w:t xml:space="preserve">BH clinicians are beginning to engage in clinical service planning to review opportunities, resource efficiencies, patient care outcomes, and synergies for best clinical care. That work has not been completed at this time. BH is considering maintaining all maternity services at BMC </w:t>
      </w:r>
      <w:proofErr w:type="gramStart"/>
      <w:r w:rsidRPr="00BE3465">
        <w:rPr>
          <w:rStyle w:val="cf01"/>
          <w:rFonts w:ascii="Aptos" w:eastAsia="Times New Roman" w:hAnsi="Aptos" w:cstheme="minorHAnsi"/>
          <w:b/>
          <w:bCs/>
          <w:sz w:val="24"/>
          <w:szCs w:val="24"/>
        </w:rPr>
        <w:t>in order to</w:t>
      </w:r>
      <w:proofErr w:type="gramEnd"/>
      <w:r w:rsidRPr="00BE3465">
        <w:rPr>
          <w:rStyle w:val="cf01"/>
          <w:rFonts w:ascii="Aptos" w:eastAsia="Times New Roman" w:hAnsi="Aptos" w:cstheme="minorHAnsi"/>
          <w:b/>
          <w:bCs/>
          <w:sz w:val="24"/>
          <w:szCs w:val="24"/>
        </w:rPr>
        <w:t xml:space="preserve"> preserve efficiencies given the shortage of OB clinicians. BH is also focusing on achieving cost savings through the consolidation of back-office functions and the transition to one integrated electronic medical record system across all BH facilities, including MMC, upon the closing of the Proposed Project.</w:t>
      </w:r>
    </w:p>
    <w:p w14:paraId="39CEF264" w14:textId="77777777" w:rsidR="00C036ED" w:rsidRPr="00BE3465" w:rsidRDefault="00C036ED" w:rsidP="00C036ED">
      <w:pPr>
        <w:pStyle w:val="ListParagraph"/>
        <w:jc w:val="both"/>
        <w:rPr>
          <w:rFonts w:ascii="Aptos" w:eastAsia="Times New Roman" w:hAnsi="Aptos" w:cstheme="minorHAnsi"/>
          <w:b/>
          <w:bCs/>
          <w:sz w:val="24"/>
          <w:szCs w:val="24"/>
        </w:rPr>
      </w:pPr>
    </w:p>
    <w:p w14:paraId="31BAF5EF" w14:textId="7D6C02F9" w:rsidR="000C0810" w:rsidRPr="00BE3465" w:rsidRDefault="000C0810" w:rsidP="0063575D">
      <w:pPr>
        <w:pStyle w:val="ListParagraph"/>
        <w:numPr>
          <w:ilvl w:val="0"/>
          <w:numId w:val="12"/>
        </w:numPr>
        <w:spacing w:after="120" w:line="240" w:lineRule="auto"/>
        <w:contextualSpacing w:val="0"/>
        <w:rPr>
          <w:rFonts w:ascii="Aptos" w:hAnsi="Aptos" w:cstheme="minorHAnsi"/>
          <w:sz w:val="24"/>
          <w:szCs w:val="24"/>
        </w:rPr>
      </w:pPr>
      <w:r w:rsidRPr="00BE3465">
        <w:rPr>
          <w:rFonts w:ascii="Aptos" w:eastAsia="Calibri" w:hAnsi="Aptos"/>
          <w:sz w:val="24"/>
          <w:szCs w:val="24"/>
        </w:rPr>
        <w:lastRenderedPageBreak/>
        <w:t xml:space="preserve">Is the </w:t>
      </w:r>
      <w:r w:rsidRPr="00BE3465">
        <w:rPr>
          <w:rFonts w:ascii="Aptos" w:hAnsi="Aptos"/>
          <w:sz w:val="24"/>
          <w:szCs w:val="24"/>
        </w:rPr>
        <w:t>Health-Related Social Needs Screening tool built</w:t>
      </w:r>
      <w:r w:rsidR="00136837" w:rsidRPr="00BE3465">
        <w:rPr>
          <w:rFonts w:ascii="Aptos" w:hAnsi="Aptos"/>
          <w:sz w:val="24"/>
          <w:szCs w:val="24"/>
        </w:rPr>
        <w:t xml:space="preserve"> into the medical record for both prompting screenings</w:t>
      </w:r>
      <w:r w:rsidR="00EF1FB2" w:rsidRPr="00BE3465">
        <w:rPr>
          <w:rFonts w:ascii="Aptos" w:hAnsi="Aptos"/>
          <w:sz w:val="24"/>
          <w:szCs w:val="24"/>
        </w:rPr>
        <w:t xml:space="preserve"> and referrals?</w:t>
      </w:r>
    </w:p>
    <w:p w14:paraId="492EC388" w14:textId="3F4E0863" w:rsidR="00516AE4" w:rsidRPr="00BE3465" w:rsidRDefault="00516AE4" w:rsidP="00093F39">
      <w:pPr>
        <w:pStyle w:val="ListParagraph"/>
        <w:spacing w:after="120" w:line="240" w:lineRule="auto"/>
        <w:contextualSpacing w:val="0"/>
        <w:rPr>
          <w:rFonts w:ascii="Aptos" w:hAnsi="Aptos" w:cstheme="minorHAnsi"/>
          <w:b/>
          <w:bCs/>
          <w:sz w:val="24"/>
          <w:szCs w:val="24"/>
        </w:rPr>
      </w:pPr>
      <w:r w:rsidRPr="00BE3465">
        <w:rPr>
          <w:rFonts w:ascii="Aptos" w:hAnsi="Aptos"/>
          <w:b/>
          <w:bCs/>
          <w:sz w:val="24"/>
          <w:szCs w:val="24"/>
        </w:rPr>
        <w:t>Yes</w:t>
      </w:r>
      <w:r w:rsidR="001F3967" w:rsidRPr="00BE3465">
        <w:rPr>
          <w:rFonts w:ascii="Aptos" w:hAnsi="Aptos"/>
          <w:b/>
          <w:bCs/>
          <w:sz w:val="24"/>
          <w:szCs w:val="24"/>
        </w:rPr>
        <w:t xml:space="preserve">, the screening tool is built into the medical record for both prompting and referrals. </w:t>
      </w:r>
    </w:p>
    <w:sectPr w:rsidR="00516AE4" w:rsidRPr="00BE3465" w:rsidSect="00C938D8">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BFCD" w14:textId="77777777" w:rsidR="007F467D" w:rsidRDefault="007F467D" w:rsidP="00231103">
      <w:pPr>
        <w:spacing w:after="0" w:line="240" w:lineRule="auto"/>
      </w:pPr>
      <w:r>
        <w:separator/>
      </w:r>
    </w:p>
  </w:endnote>
  <w:endnote w:type="continuationSeparator" w:id="0">
    <w:p w14:paraId="76B7FC38" w14:textId="77777777" w:rsidR="007F467D" w:rsidRDefault="007F467D" w:rsidP="00231103">
      <w:pPr>
        <w:spacing w:after="0" w:line="240" w:lineRule="auto"/>
      </w:pPr>
      <w:r>
        <w:continuationSeparator/>
      </w:r>
    </w:p>
  </w:endnote>
  <w:endnote w:type="continuationNotice" w:id="1">
    <w:p w14:paraId="2DE9C07D" w14:textId="77777777" w:rsidR="007F467D" w:rsidRDefault="007F46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B706" w14:textId="77777777" w:rsidR="007F467D" w:rsidRDefault="007F467D" w:rsidP="00231103">
      <w:pPr>
        <w:spacing w:after="0" w:line="240" w:lineRule="auto"/>
      </w:pPr>
      <w:r>
        <w:separator/>
      </w:r>
    </w:p>
  </w:footnote>
  <w:footnote w:type="continuationSeparator" w:id="0">
    <w:p w14:paraId="7872B2F7" w14:textId="77777777" w:rsidR="007F467D" w:rsidRDefault="007F467D" w:rsidP="00231103">
      <w:pPr>
        <w:spacing w:after="0" w:line="240" w:lineRule="auto"/>
      </w:pPr>
      <w:r>
        <w:continuationSeparator/>
      </w:r>
    </w:p>
  </w:footnote>
  <w:footnote w:type="continuationNotice" w:id="1">
    <w:p w14:paraId="74A4AE65" w14:textId="77777777" w:rsidR="007F467D" w:rsidRDefault="007F46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A225" w14:textId="77777777" w:rsidR="00012E6B" w:rsidRDefault="00012E6B" w:rsidP="008F67D8">
    <w:pPr>
      <w:pStyle w:val="Header"/>
      <w:pBdr>
        <w:bottom w:val="single" w:sz="4" w:space="1" w:color="auto"/>
      </w:pBdr>
      <w:jc w:val="center"/>
      <w:rPr>
        <w:rFonts w:ascii="Arial-BoldMT" w:hAnsi="Arial-BoldMT" w:cs="Arial-BoldMT"/>
        <w:b/>
        <w:bCs/>
        <w:sz w:val="28"/>
        <w:szCs w:val="28"/>
      </w:rPr>
    </w:pPr>
    <w:r w:rsidRPr="00012E6B">
      <w:rPr>
        <w:rFonts w:ascii="Arial-BoldMT" w:hAnsi="Arial-BoldMT" w:cs="Arial-BoldMT"/>
        <w:b/>
        <w:bCs/>
        <w:sz w:val="28"/>
        <w:szCs w:val="28"/>
      </w:rPr>
      <w:t>Baystate Health, Inc.</w:t>
    </w:r>
    <w:r>
      <w:rPr>
        <w:rFonts w:ascii="Arial-BoldMT" w:hAnsi="Arial-BoldMT" w:cs="Arial-BoldMT"/>
        <w:b/>
        <w:bCs/>
        <w:sz w:val="28"/>
        <w:szCs w:val="28"/>
      </w:rPr>
      <w:t xml:space="preserve"> </w:t>
    </w:r>
  </w:p>
  <w:p w14:paraId="78DC6D8E" w14:textId="22633563" w:rsidR="00D223EB" w:rsidRPr="00012E6B" w:rsidRDefault="00012E6B" w:rsidP="008F67D8">
    <w:pPr>
      <w:pStyle w:val="Header"/>
      <w:pBdr>
        <w:bottom w:val="single" w:sz="4" w:space="1" w:color="auto"/>
      </w:pBdr>
      <w:jc w:val="center"/>
      <w:rPr>
        <w:rFonts w:ascii="Arial-BoldMT" w:hAnsi="Arial-BoldMT" w:cs="Arial-BoldMT"/>
        <w:b/>
        <w:bCs/>
        <w:sz w:val="20"/>
        <w:szCs w:val="20"/>
      </w:rPr>
    </w:pPr>
    <w:r w:rsidRPr="00012E6B">
      <w:rPr>
        <w:rFonts w:ascii="Arial-BoldMT" w:hAnsi="Arial-BoldMT" w:cs="Arial-BoldMT"/>
        <w:b/>
        <w:bCs/>
        <w:sz w:val="24"/>
        <w:szCs w:val="24"/>
      </w:rPr>
      <w:t>BH-25061310-TO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B8A"/>
    <w:multiLevelType w:val="hybridMultilevel"/>
    <w:tmpl w:val="191A5D30"/>
    <w:lvl w:ilvl="0" w:tplc="93909694">
      <w:start w:val="1"/>
      <w:numFmt w:val="bullet"/>
      <w:lvlText w:val=""/>
      <w:lvlJc w:val="left"/>
      <w:pPr>
        <w:ind w:left="1080" w:hanging="360"/>
      </w:pPr>
      <w:rPr>
        <w:rFonts w:ascii="Symbol" w:eastAsia="Times New Roman"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F81E71"/>
    <w:multiLevelType w:val="hybridMultilevel"/>
    <w:tmpl w:val="194A92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160B85"/>
    <w:multiLevelType w:val="hybridMultilevel"/>
    <w:tmpl w:val="963884DE"/>
    <w:lvl w:ilvl="0" w:tplc="F01C21D0">
      <w:start w:val="7"/>
      <w:numFmt w:val="decimal"/>
      <w:lvlText w:val="%1."/>
      <w:lvlJc w:val="left"/>
      <w:pPr>
        <w:ind w:left="720" w:hanging="360"/>
      </w:pPr>
      <w:rPr>
        <w:rFonts w:ascii="inherit" w:hAnsi="inherit"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2211C"/>
    <w:multiLevelType w:val="hybridMultilevel"/>
    <w:tmpl w:val="EB2A2B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2B3C79"/>
    <w:multiLevelType w:val="hybridMultilevel"/>
    <w:tmpl w:val="3E28DD6C"/>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C712A"/>
    <w:multiLevelType w:val="multilevel"/>
    <w:tmpl w:val="58A2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D2732D"/>
    <w:multiLevelType w:val="hybridMultilevel"/>
    <w:tmpl w:val="8A32410A"/>
    <w:lvl w:ilvl="0" w:tplc="A2540C4E">
      <w:start w:val="1"/>
      <w:numFmt w:val="decimal"/>
      <w:pStyle w:val="Heading2"/>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651E2"/>
    <w:multiLevelType w:val="hybridMultilevel"/>
    <w:tmpl w:val="0AFC9F04"/>
    <w:lvl w:ilvl="0" w:tplc="873803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E74208"/>
    <w:multiLevelType w:val="hybridMultilevel"/>
    <w:tmpl w:val="CDEC92CA"/>
    <w:lvl w:ilvl="0" w:tplc="09F4341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8551702">
    <w:abstractNumId w:val="3"/>
  </w:num>
  <w:num w:numId="2" w16cid:durableId="148061709">
    <w:abstractNumId w:val="8"/>
  </w:num>
  <w:num w:numId="3" w16cid:durableId="938832451">
    <w:abstractNumId w:val="6"/>
    <w:lvlOverride w:ilvl="0">
      <w:lvl w:ilvl="0">
        <w:numFmt w:val="upperLetter"/>
        <w:lvlText w:val="%1."/>
        <w:lvlJc w:val="left"/>
      </w:lvl>
    </w:lvlOverride>
  </w:num>
  <w:num w:numId="4" w16cid:durableId="43875786">
    <w:abstractNumId w:val="6"/>
    <w:lvlOverride w:ilvl="0">
      <w:lvl w:ilvl="0">
        <w:numFmt w:val="upperLetter"/>
        <w:lvlText w:val="%1."/>
        <w:lvlJc w:val="left"/>
      </w:lvl>
    </w:lvlOverride>
  </w:num>
  <w:num w:numId="5" w16cid:durableId="1179006868">
    <w:abstractNumId w:val="6"/>
    <w:lvlOverride w:ilvl="0">
      <w:lvl w:ilvl="0">
        <w:numFmt w:val="upperLetter"/>
        <w:lvlText w:val="%1."/>
        <w:lvlJc w:val="left"/>
      </w:lvl>
    </w:lvlOverride>
  </w:num>
  <w:num w:numId="6" w16cid:durableId="1463386050">
    <w:abstractNumId w:val="9"/>
  </w:num>
  <w:num w:numId="7" w16cid:durableId="769470403">
    <w:abstractNumId w:val="2"/>
  </w:num>
  <w:num w:numId="8" w16cid:durableId="499127137">
    <w:abstractNumId w:val="7"/>
  </w:num>
  <w:num w:numId="9" w16cid:durableId="1465003998">
    <w:abstractNumId w:val="4"/>
  </w:num>
  <w:num w:numId="10" w16cid:durableId="63989182">
    <w:abstractNumId w:val="1"/>
  </w:num>
  <w:num w:numId="11" w16cid:durableId="894778366">
    <w:abstractNumId w:val="0"/>
  </w:num>
  <w:num w:numId="12" w16cid:durableId="128129903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12DD"/>
    <w:rsid w:val="00002E0B"/>
    <w:rsid w:val="000037BD"/>
    <w:rsid w:val="000038CE"/>
    <w:rsid w:val="0000498C"/>
    <w:rsid w:val="00005930"/>
    <w:rsid w:val="00006A64"/>
    <w:rsid w:val="00011385"/>
    <w:rsid w:val="00012264"/>
    <w:rsid w:val="00012279"/>
    <w:rsid w:val="00012836"/>
    <w:rsid w:val="00012E6B"/>
    <w:rsid w:val="000158E4"/>
    <w:rsid w:val="00015EFC"/>
    <w:rsid w:val="000168C2"/>
    <w:rsid w:val="00016E99"/>
    <w:rsid w:val="00021767"/>
    <w:rsid w:val="00021A01"/>
    <w:rsid w:val="00021B23"/>
    <w:rsid w:val="0002235E"/>
    <w:rsid w:val="00024C6C"/>
    <w:rsid w:val="00025521"/>
    <w:rsid w:val="00026B6F"/>
    <w:rsid w:val="00027FBC"/>
    <w:rsid w:val="0003012E"/>
    <w:rsid w:val="0003035A"/>
    <w:rsid w:val="00030F72"/>
    <w:rsid w:val="00032E0E"/>
    <w:rsid w:val="00032FF5"/>
    <w:rsid w:val="000340D0"/>
    <w:rsid w:val="0003621A"/>
    <w:rsid w:val="00040965"/>
    <w:rsid w:val="000413D6"/>
    <w:rsid w:val="0004380F"/>
    <w:rsid w:val="00044D2F"/>
    <w:rsid w:val="0004645C"/>
    <w:rsid w:val="00052396"/>
    <w:rsid w:val="00054D4A"/>
    <w:rsid w:val="00054FF4"/>
    <w:rsid w:val="0005525D"/>
    <w:rsid w:val="00055942"/>
    <w:rsid w:val="00055F9E"/>
    <w:rsid w:val="00056D5B"/>
    <w:rsid w:val="00057A92"/>
    <w:rsid w:val="000601A4"/>
    <w:rsid w:val="00060624"/>
    <w:rsid w:val="000618A4"/>
    <w:rsid w:val="00062288"/>
    <w:rsid w:val="00063022"/>
    <w:rsid w:val="00063414"/>
    <w:rsid w:val="00064206"/>
    <w:rsid w:val="0006445F"/>
    <w:rsid w:val="00071039"/>
    <w:rsid w:val="00071162"/>
    <w:rsid w:val="000716FF"/>
    <w:rsid w:val="00072EE3"/>
    <w:rsid w:val="00073DC9"/>
    <w:rsid w:val="00074092"/>
    <w:rsid w:val="00075D0A"/>
    <w:rsid w:val="00076535"/>
    <w:rsid w:val="000766DC"/>
    <w:rsid w:val="00076A84"/>
    <w:rsid w:val="00076CB2"/>
    <w:rsid w:val="000775B1"/>
    <w:rsid w:val="00080AC6"/>
    <w:rsid w:val="00080FB0"/>
    <w:rsid w:val="000826CB"/>
    <w:rsid w:val="00083193"/>
    <w:rsid w:val="0008493D"/>
    <w:rsid w:val="000862E1"/>
    <w:rsid w:val="0009039F"/>
    <w:rsid w:val="000906E1"/>
    <w:rsid w:val="000907F9"/>
    <w:rsid w:val="0009083B"/>
    <w:rsid w:val="00091C4C"/>
    <w:rsid w:val="00092910"/>
    <w:rsid w:val="00093F39"/>
    <w:rsid w:val="000952FD"/>
    <w:rsid w:val="0009558F"/>
    <w:rsid w:val="00095621"/>
    <w:rsid w:val="00095FAB"/>
    <w:rsid w:val="00096ACB"/>
    <w:rsid w:val="000974E5"/>
    <w:rsid w:val="0009766B"/>
    <w:rsid w:val="00097B2C"/>
    <w:rsid w:val="000A56D4"/>
    <w:rsid w:val="000A5A22"/>
    <w:rsid w:val="000A691D"/>
    <w:rsid w:val="000A7A45"/>
    <w:rsid w:val="000B0A7F"/>
    <w:rsid w:val="000B1438"/>
    <w:rsid w:val="000B1D01"/>
    <w:rsid w:val="000C0810"/>
    <w:rsid w:val="000C2766"/>
    <w:rsid w:val="000C3199"/>
    <w:rsid w:val="000C4405"/>
    <w:rsid w:val="000C4714"/>
    <w:rsid w:val="000C6277"/>
    <w:rsid w:val="000C7F71"/>
    <w:rsid w:val="000D06EA"/>
    <w:rsid w:val="000D0D41"/>
    <w:rsid w:val="000D35DD"/>
    <w:rsid w:val="000D3E94"/>
    <w:rsid w:val="000D42DB"/>
    <w:rsid w:val="000E0B48"/>
    <w:rsid w:val="000E2F30"/>
    <w:rsid w:val="000E3622"/>
    <w:rsid w:val="000E50B4"/>
    <w:rsid w:val="000E5EC9"/>
    <w:rsid w:val="000E746F"/>
    <w:rsid w:val="000E7E1B"/>
    <w:rsid w:val="000F0EDD"/>
    <w:rsid w:val="000F4FA3"/>
    <w:rsid w:val="000F5BAD"/>
    <w:rsid w:val="000F5CC4"/>
    <w:rsid w:val="000F6503"/>
    <w:rsid w:val="00101646"/>
    <w:rsid w:val="001017F6"/>
    <w:rsid w:val="001018CF"/>
    <w:rsid w:val="00104288"/>
    <w:rsid w:val="001050F4"/>
    <w:rsid w:val="00105768"/>
    <w:rsid w:val="00106D23"/>
    <w:rsid w:val="00106F2E"/>
    <w:rsid w:val="00111272"/>
    <w:rsid w:val="00112BDF"/>
    <w:rsid w:val="00112D2D"/>
    <w:rsid w:val="00112E92"/>
    <w:rsid w:val="00113110"/>
    <w:rsid w:val="00115F5D"/>
    <w:rsid w:val="001204FE"/>
    <w:rsid w:val="00120501"/>
    <w:rsid w:val="00120FB5"/>
    <w:rsid w:val="00122099"/>
    <w:rsid w:val="0012232D"/>
    <w:rsid w:val="00123EE2"/>
    <w:rsid w:val="00124116"/>
    <w:rsid w:val="00125F6B"/>
    <w:rsid w:val="00126C86"/>
    <w:rsid w:val="00126E85"/>
    <w:rsid w:val="0013223B"/>
    <w:rsid w:val="0013225C"/>
    <w:rsid w:val="001332C7"/>
    <w:rsid w:val="00133CF7"/>
    <w:rsid w:val="00136259"/>
    <w:rsid w:val="001363B9"/>
    <w:rsid w:val="00136837"/>
    <w:rsid w:val="00137A46"/>
    <w:rsid w:val="00137C36"/>
    <w:rsid w:val="00141A88"/>
    <w:rsid w:val="0014505C"/>
    <w:rsid w:val="001459CB"/>
    <w:rsid w:val="00146C28"/>
    <w:rsid w:val="00146FB4"/>
    <w:rsid w:val="0014727D"/>
    <w:rsid w:val="00147ED6"/>
    <w:rsid w:val="00150337"/>
    <w:rsid w:val="00152CFB"/>
    <w:rsid w:val="001538B2"/>
    <w:rsid w:val="00153D99"/>
    <w:rsid w:val="00154A10"/>
    <w:rsid w:val="00162A72"/>
    <w:rsid w:val="00164DB5"/>
    <w:rsid w:val="00164EAE"/>
    <w:rsid w:val="00165C15"/>
    <w:rsid w:val="00166158"/>
    <w:rsid w:val="0016794A"/>
    <w:rsid w:val="001679DC"/>
    <w:rsid w:val="00167F71"/>
    <w:rsid w:val="001701AE"/>
    <w:rsid w:val="00170B0B"/>
    <w:rsid w:val="00170D7F"/>
    <w:rsid w:val="00171B5A"/>
    <w:rsid w:val="00174CFB"/>
    <w:rsid w:val="00175F20"/>
    <w:rsid w:val="00176547"/>
    <w:rsid w:val="00176C56"/>
    <w:rsid w:val="00180580"/>
    <w:rsid w:val="00181496"/>
    <w:rsid w:val="00182228"/>
    <w:rsid w:val="00182533"/>
    <w:rsid w:val="00183D7F"/>
    <w:rsid w:val="001843D8"/>
    <w:rsid w:val="00185A10"/>
    <w:rsid w:val="00190646"/>
    <w:rsid w:val="0019184A"/>
    <w:rsid w:val="00191B78"/>
    <w:rsid w:val="00191DAC"/>
    <w:rsid w:val="001926A6"/>
    <w:rsid w:val="00192CFC"/>
    <w:rsid w:val="0019348F"/>
    <w:rsid w:val="00193CD7"/>
    <w:rsid w:val="0019617B"/>
    <w:rsid w:val="001A0425"/>
    <w:rsid w:val="001A0FB0"/>
    <w:rsid w:val="001A11D0"/>
    <w:rsid w:val="001A170B"/>
    <w:rsid w:val="001A35DC"/>
    <w:rsid w:val="001A511B"/>
    <w:rsid w:val="001A66A9"/>
    <w:rsid w:val="001A767E"/>
    <w:rsid w:val="001B03EC"/>
    <w:rsid w:val="001B32E1"/>
    <w:rsid w:val="001B3A91"/>
    <w:rsid w:val="001B517F"/>
    <w:rsid w:val="001B569F"/>
    <w:rsid w:val="001B5845"/>
    <w:rsid w:val="001B5C12"/>
    <w:rsid w:val="001B5F1C"/>
    <w:rsid w:val="001B7F98"/>
    <w:rsid w:val="001C1986"/>
    <w:rsid w:val="001C1A06"/>
    <w:rsid w:val="001C2783"/>
    <w:rsid w:val="001C2A01"/>
    <w:rsid w:val="001C2FE0"/>
    <w:rsid w:val="001C44D2"/>
    <w:rsid w:val="001C5BF3"/>
    <w:rsid w:val="001C6AE9"/>
    <w:rsid w:val="001C6B00"/>
    <w:rsid w:val="001C6D93"/>
    <w:rsid w:val="001D0111"/>
    <w:rsid w:val="001D01BF"/>
    <w:rsid w:val="001D079B"/>
    <w:rsid w:val="001D1521"/>
    <w:rsid w:val="001D1813"/>
    <w:rsid w:val="001D3213"/>
    <w:rsid w:val="001D7C2C"/>
    <w:rsid w:val="001E0B77"/>
    <w:rsid w:val="001E0B94"/>
    <w:rsid w:val="001E1867"/>
    <w:rsid w:val="001E19D7"/>
    <w:rsid w:val="001E21D7"/>
    <w:rsid w:val="001E2EA3"/>
    <w:rsid w:val="001E4503"/>
    <w:rsid w:val="001E5650"/>
    <w:rsid w:val="001E5807"/>
    <w:rsid w:val="001F02F3"/>
    <w:rsid w:val="001F139A"/>
    <w:rsid w:val="001F27B7"/>
    <w:rsid w:val="001F30FB"/>
    <w:rsid w:val="001F3967"/>
    <w:rsid w:val="001F5FDD"/>
    <w:rsid w:val="001F667D"/>
    <w:rsid w:val="001F687E"/>
    <w:rsid w:val="00200334"/>
    <w:rsid w:val="00201F6E"/>
    <w:rsid w:val="00202AD7"/>
    <w:rsid w:val="002037DF"/>
    <w:rsid w:val="00203D06"/>
    <w:rsid w:val="00203E5A"/>
    <w:rsid w:val="002050B9"/>
    <w:rsid w:val="00205D7B"/>
    <w:rsid w:val="00205E02"/>
    <w:rsid w:val="002069DD"/>
    <w:rsid w:val="00207ECC"/>
    <w:rsid w:val="002102EF"/>
    <w:rsid w:val="00212619"/>
    <w:rsid w:val="002131E4"/>
    <w:rsid w:val="00214040"/>
    <w:rsid w:val="00214621"/>
    <w:rsid w:val="00214FAA"/>
    <w:rsid w:val="002155ED"/>
    <w:rsid w:val="0021563E"/>
    <w:rsid w:val="00216777"/>
    <w:rsid w:val="00216B3A"/>
    <w:rsid w:val="002179D1"/>
    <w:rsid w:val="00220641"/>
    <w:rsid w:val="0022310B"/>
    <w:rsid w:val="002244CF"/>
    <w:rsid w:val="00224770"/>
    <w:rsid w:val="00225057"/>
    <w:rsid w:val="00225B1E"/>
    <w:rsid w:val="00225C8A"/>
    <w:rsid w:val="00226A63"/>
    <w:rsid w:val="00227005"/>
    <w:rsid w:val="00227BD5"/>
    <w:rsid w:val="00230C3B"/>
    <w:rsid w:val="00230EF5"/>
    <w:rsid w:val="002310B8"/>
    <w:rsid w:val="00231103"/>
    <w:rsid w:val="002314FF"/>
    <w:rsid w:val="00231E3B"/>
    <w:rsid w:val="00233AFE"/>
    <w:rsid w:val="00233C6B"/>
    <w:rsid w:val="00234272"/>
    <w:rsid w:val="002364A1"/>
    <w:rsid w:val="00236B31"/>
    <w:rsid w:val="00236D23"/>
    <w:rsid w:val="002411AC"/>
    <w:rsid w:val="00241F52"/>
    <w:rsid w:val="0024261D"/>
    <w:rsid w:val="002458BA"/>
    <w:rsid w:val="00245AF7"/>
    <w:rsid w:val="0024615C"/>
    <w:rsid w:val="00246BD6"/>
    <w:rsid w:val="00246FBB"/>
    <w:rsid w:val="00251BEF"/>
    <w:rsid w:val="002533DB"/>
    <w:rsid w:val="0025349C"/>
    <w:rsid w:val="00253AF3"/>
    <w:rsid w:val="00253B0A"/>
    <w:rsid w:val="00254265"/>
    <w:rsid w:val="002542A0"/>
    <w:rsid w:val="00257224"/>
    <w:rsid w:val="0025780A"/>
    <w:rsid w:val="0025792F"/>
    <w:rsid w:val="00262131"/>
    <w:rsid w:val="00262359"/>
    <w:rsid w:val="00262E53"/>
    <w:rsid w:val="002643AF"/>
    <w:rsid w:val="00264588"/>
    <w:rsid w:val="0026558B"/>
    <w:rsid w:val="0026774F"/>
    <w:rsid w:val="00267859"/>
    <w:rsid w:val="00267AAC"/>
    <w:rsid w:val="00270B47"/>
    <w:rsid w:val="00271BF5"/>
    <w:rsid w:val="00271D85"/>
    <w:rsid w:val="0027221A"/>
    <w:rsid w:val="0027284F"/>
    <w:rsid w:val="00272D4D"/>
    <w:rsid w:val="002730BA"/>
    <w:rsid w:val="00273AA5"/>
    <w:rsid w:val="002750A6"/>
    <w:rsid w:val="002750C0"/>
    <w:rsid w:val="00276196"/>
    <w:rsid w:val="00276366"/>
    <w:rsid w:val="00276D7D"/>
    <w:rsid w:val="0027783A"/>
    <w:rsid w:val="002818BC"/>
    <w:rsid w:val="0028466D"/>
    <w:rsid w:val="002865E8"/>
    <w:rsid w:val="00286AD2"/>
    <w:rsid w:val="00290451"/>
    <w:rsid w:val="002906CE"/>
    <w:rsid w:val="002912FB"/>
    <w:rsid w:val="00291912"/>
    <w:rsid w:val="00292B13"/>
    <w:rsid w:val="00293147"/>
    <w:rsid w:val="00294D49"/>
    <w:rsid w:val="00296F21"/>
    <w:rsid w:val="0029738B"/>
    <w:rsid w:val="002974CC"/>
    <w:rsid w:val="002A0E3C"/>
    <w:rsid w:val="002A36DF"/>
    <w:rsid w:val="002A4110"/>
    <w:rsid w:val="002A47FE"/>
    <w:rsid w:val="002A518F"/>
    <w:rsid w:val="002A540F"/>
    <w:rsid w:val="002A5E73"/>
    <w:rsid w:val="002A6759"/>
    <w:rsid w:val="002B2A47"/>
    <w:rsid w:val="002B3476"/>
    <w:rsid w:val="002B4234"/>
    <w:rsid w:val="002B5ADB"/>
    <w:rsid w:val="002B662D"/>
    <w:rsid w:val="002B6A55"/>
    <w:rsid w:val="002B6F2C"/>
    <w:rsid w:val="002B6FDC"/>
    <w:rsid w:val="002B78AC"/>
    <w:rsid w:val="002C0C55"/>
    <w:rsid w:val="002C0C71"/>
    <w:rsid w:val="002C22EB"/>
    <w:rsid w:val="002C3C86"/>
    <w:rsid w:val="002C3DA8"/>
    <w:rsid w:val="002C413B"/>
    <w:rsid w:val="002C568C"/>
    <w:rsid w:val="002C5E88"/>
    <w:rsid w:val="002D012B"/>
    <w:rsid w:val="002D06F7"/>
    <w:rsid w:val="002D18BF"/>
    <w:rsid w:val="002D1CC3"/>
    <w:rsid w:val="002D39AC"/>
    <w:rsid w:val="002D48C1"/>
    <w:rsid w:val="002D5E75"/>
    <w:rsid w:val="002D5F7A"/>
    <w:rsid w:val="002D7A93"/>
    <w:rsid w:val="002E225F"/>
    <w:rsid w:val="002E3CEF"/>
    <w:rsid w:val="002E46AB"/>
    <w:rsid w:val="002E4E37"/>
    <w:rsid w:val="002E5CA9"/>
    <w:rsid w:val="002F0337"/>
    <w:rsid w:val="002F3340"/>
    <w:rsid w:val="002F3CDD"/>
    <w:rsid w:val="002F5878"/>
    <w:rsid w:val="002F5B1B"/>
    <w:rsid w:val="002F7B99"/>
    <w:rsid w:val="00301D82"/>
    <w:rsid w:val="00302D3F"/>
    <w:rsid w:val="003030AA"/>
    <w:rsid w:val="00303DD8"/>
    <w:rsid w:val="00303EE3"/>
    <w:rsid w:val="00306307"/>
    <w:rsid w:val="0030785A"/>
    <w:rsid w:val="003078B4"/>
    <w:rsid w:val="003079EC"/>
    <w:rsid w:val="00307F98"/>
    <w:rsid w:val="003103B0"/>
    <w:rsid w:val="00310CF1"/>
    <w:rsid w:val="00312739"/>
    <w:rsid w:val="00312A19"/>
    <w:rsid w:val="00314CC4"/>
    <w:rsid w:val="00317580"/>
    <w:rsid w:val="00320371"/>
    <w:rsid w:val="003245F0"/>
    <w:rsid w:val="00324696"/>
    <w:rsid w:val="0032484D"/>
    <w:rsid w:val="00325B8C"/>
    <w:rsid w:val="00325C01"/>
    <w:rsid w:val="00327903"/>
    <w:rsid w:val="00327EAC"/>
    <w:rsid w:val="00331E8E"/>
    <w:rsid w:val="00332A40"/>
    <w:rsid w:val="00332C4B"/>
    <w:rsid w:val="003339EF"/>
    <w:rsid w:val="00333E04"/>
    <w:rsid w:val="0033473A"/>
    <w:rsid w:val="003350D7"/>
    <w:rsid w:val="003354AB"/>
    <w:rsid w:val="00335C02"/>
    <w:rsid w:val="00335F54"/>
    <w:rsid w:val="00336346"/>
    <w:rsid w:val="00337545"/>
    <w:rsid w:val="00342240"/>
    <w:rsid w:val="00343A83"/>
    <w:rsid w:val="00344402"/>
    <w:rsid w:val="00344528"/>
    <w:rsid w:val="00344DAC"/>
    <w:rsid w:val="00345F1B"/>
    <w:rsid w:val="00346884"/>
    <w:rsid w:val="00346FEF"/>
    <w:rsid w:val="003506AE"/>
    <w:rsid w:val="003522D7"/>
    <w:rsid w:val="003533CA"/>
    <w:rsid w:val="00353C6F"/>
    <w:rsid w:val="00354D26"/>
    <w:rsid w:val="003551AD"/>
    <w:rsid w:val="003559CC"/>
    <w:rsid w:val="00356283"/>
    <w:rsid w:val="0035653B"/>
    <w:rsid w:val="00357756"/>
    <w:rsid w:val="00357BA6"/>
    <w:rsid w:val="003602C2"/>
    <w:rsid w:val="003620FB"/>
    <w:rsid w:val="00364225"/>
    <w:rsid w:val="00365D58"/>
    <w:rsid w:val="00365E3F"/>
    <w:rsid w:val="00366505"/>
    <w:rsid w:val="0036671D"/>
    <w:rsid w:val="00366918"/>
    <w:rsid w:val="00366DCC"/>
    <w:rsid w:val="003675D5"/>
    <w:rsid w:val="003741E5"/>
    <w:rsid w:val="00375F14"/>
    <w:rsid w:val="003764DE"/>
    <w:rsid w:val="003765A6"/>
    <w:rsid w:val="003769AF"/>
    <w:rsid w:val="00380361"/>
    <w:rsid w:val="00380B28"/>
    <w:rsid w:val="00380BB5"/>
    <w:rsid w:val="00380E08"/>
    <w:rsid w:val="003813A0"/>
    <w:rsid w:val="00381CBF"/>
    <w:rsid w:val="00382217"/>
    <w:rsid w:val="00382F9A"/>
    <w:rsid w:val="00384767"/>
    <w:rsid w:val="0038699A"/>
    <w:rsid w:val="00387527"/>
    <w:rsid w:val="0039111F"/>
    <w:rsid w:val="00391911"/>
    <w:rsid w:val="00392D76"/>
    <w:rsid w:val="00393F8C"/>
    <w:rsid w:val="00394105"/>
    <w:rsid w:val="00395AA2"/>
    <w:rsid w:val="00395F3D"/>
    <w:rsid w:val="0039698B"/>
    <w:rsid w:val="003A1793"/>
    <w:rsid w:val="003A2B5B"/>
    <w:rsid w:val="003A323D"/>
    <w:rsid w:val="003A36B2"/>
    <w:rsid w:val="003A4882"/>
    <w:rsid w:val="003A4DC6"/>
    <w:rsid w:val="003A5F8B"/>
    <w:rsid w:val="003A7217"/>
    <w:rsid w:val="003A7AB8"/>
    <w:rsid w:val="003B0073"/>
    <w:rsid w:val="003B0A98"/>
    <w:rsid w:val="003B0D30"/>
    <w:rsid w:val="003B1445"/>
    <w:rsid w:val="003B4D42"/>
    <w:rsid w:val="003B575F"/>
    <w:rsid w:val="003B5953"/>
    <w:rsid w:val="003B793A"/>
    <w:rsid w:val="003C1787"/>
    <w:rsid w:val="003C2495"/>
    <w:rsid w:val="003C28D0"/>
    <w:rsid w:val="003C3117"/>
    <w:rsid w:val="003C37FC"/>
    <w:rsid w:val="003C38F5"/>
    <w:rsid w:val="003C3B18"/>
    <w:rsid w:val="003C3FFC"/>
    <w:rsid w:val="003C6F58"/>
    <w:rsid w:val="003C7A7B"/>
    <w:rsid w:val="003C7C67"/>
    <w:rsid w:val="003C7D2A"/>
    <w:rsid w:val="003C7E6C"/>
    <w:rsid w:val="003D0F39"/>
    <w:rsid w:val="003D14BA"/>
    <w:rsid w:val="003D2A24"/>
    <w:rsid w:val="003D31FD"/>
    <w:rsid w:val="003D3D7D"/>
    <w:rsid w:val="003D4A6F"/>
    <w:rsid w:val="003D50D2"/>
    <w:rsid w:val="003D5D6C"/>
    <w:rsid w:val="003D69AD"/>
    <w:rsid w:val="003D7315"/>
    <w:rsid w:val="003D7942"/>
    <w:rsid w:val="003E0045"/>
    <w:rsid w:val="003E4BD2"/>
    <w:rsid w:val="003E4F87"/>
    <w:rsid w:val="003E5576"/>
    <w:rsid w:val="003E5688"/>
    <w:rsid w:val="003F1211"/>
    <w:rsid w:val="003F159E"/>
    <w:rsid w:val="003F334D"/>
    <w:rsid w:val="003F5EF2"/>
    <w:rsid w:val="003F665D"/>
    <w:rsid w:val="003F7754"/>
    <w:rsid w:val="00401947"/>
    <w:rsid w:val="00401BDE"/>
    <w:rsid w:val="00402AC2"/>
    <w:rsid w:val="004035C4"/>
    <w:rsid w:val="00404913"/>
    <w:rsid w:val="004052FC"/>
    <w:rsid w:val="00405EB6"/>
    <w:rsid w:val="00406EF8"/>
    <w:rsid w:val="00407742"/>
    <w:rsid w:val="00407E19"/>
    <w:rsid w:val="004102C5"/>
    <w:rsid w:val="00411D30"/>
    <w:rsid w:val="00412E29"/>
    <w:rsid w:val="004141A0"/>
    <w:rsid w:val="00415EFC"/>
    <w:rsid w:val="00416E6F"/>
    <w:rsid w:val="0041770C"/>
    <w:rsid w:val="004178DE"/>
    <w:rsid w:val="0042031C"/>
    <w:rsid w:val="00421844"/>
    <w:rsid w:val="00421B81"/>
    <w:rsid w:val="00421C21"/>
    <w:rsid w:val="00422255"/>
    <w:rsid w:val="0042487B"/>
    <w:rsid w:val="004253AA"/>
    <w:rsid w:val="004253D6"/>
    <w:rsid w:val="00426884"/>
    <w:rsid w:val="00431EC4"/>
    <w:rsid w:val="00432D19"/>
    <w:rsid w:val="00433115"/>
    <w:rsid w:val="00433BD8"/>
    <w:rsid w:val="0043468F"/>
    <w:rsid w:val="0043588D"/>
    <w:rsid w:val="00435E97"/>
    <w:rsid w:val="004365EF"/>
    <w:rsid w:val="00436DA5"/>
    <w:rsid w:val="00441460"/>
    <w:rsid w:val="00441ECA"/>
    <w:rsid w:val="00441F3E"/>
    <w:rsid w:val="004449E1"/>
    <w:rsid w:val="00444A21"/>
    <w:rsid w:val="00445214"/>
    <w:rsid w:val="00445B4E"/>
    <w:rsid w:val="00446C70"/>
    <w:rsid w:val="00447333"/>
    <w:rsid w:val="0045317B"/>
    <w:rsid w:val="004537FA"/>
    <w:rsid w:val="004554D7"/>
    <w:rsid w:val="00455504"/>
    <w:rsid w:val="00456B10"/>
    <w:rsid w:val="00456FCF"/>
    <w:rsid w:val="004571B9"/>
    <w:rsid w:val="00463824"/>
    <w:rsid w:val="00464ACB"/>
    <w:rsid w:val="00464CFB"/>
    <w:rsid w:val="00465F4D"/>
    <w:rsid w:val="00470202"/>
    <w:rsid w:val="00470E1E"/>
    <w:rsid w:val="00471508"/>
    <w:rsid w:val="004739A3"/>
    <w:rsid w:val="0047711A"/>
    <w:rsid w:val="00480049"/>
    <w:rsid w:val="00481ADC"/>
    <w:rsid w:val="004821A3"/>
    <w:rsid w:val="00484231"/>
    <w:rsid w:val="00484A85"/>
    <w:rsid w:val="00485DD7"/>
    <w:rsid w:val="004873F3"/>
    <w:rsid w:val="00487B97"/>
    <w:rsid w:val="004901A5"/>
    <w:rsid w:val="00490846"/>
    <w:rsid w:val="00491AA3"/>
    <w:rsid w:val="00492085"/>
    <w:rsid w:val="004921DF"/>
    <w:rsid w:val="004931F9"/>
    <w:rsid w:val="00497513"/>
    <w:rsid w:val="0049782E"/>
    <w:rsid w:val="004A0DDC"/>
    <w:rsid w:val="004A1907"/>
    <w:rsid w:val="004A1B2F"/>
    <w:rsid w:val="004A1BB1"/>
    <w:rsid w:val="004A1D25"/>
    <w:rsid w:val="004A3C27"/>
    <w:rsid w:val="004A5502"/>
    <w:rsid w:val="004A6568"/>
    <w:rsid w:val="004A6D26"/>
    <w:rsid w:val="004A7A25"/>
    <w:rsid w:val="004B02E0"/>
    <w:rsid w:val="004B1CE6"/>
    <w:rsid w:val="004B3151"/>
    <w:rsid w:val="004B39F2"/>
    <w:rsid w:val="004B46F4"/>
    <w:rsid w:val="004B53D6"/>
    <w:rsid w:val="004B5430"/>
    <w:rsid w:val="004B582E"/>
    <w:rsid w:val="004B5EF9"/>
    <w:rsid w:val="004B678F"/>
    <w:rsid w:val="004B6C8F"/>
    <w:rsid w:val="004C0998"/>
    <w:rsid w:val="004C2AE3"/>
    <w:rsid w:val="004C2EFC"/>
    <w:rsid w:val="004C3AB7"/>
    <w:rsid w:val="004C7C09"/>
    <w:rsid w:val="004D036D"/>
    <w:rsid w:val="004D0BF9"/>
    <w:rsid w:val="004D1C4B"/>
    <w:rsid w:val="004D293C"/>
    <w:rsid w:val="004D2BC6"/>
    <w:rsid w:val="004D7C5C"/>
    <w:rsid w:val="004E166A"/>
    <w:rsid w:val="004E284B"/>
    <w:rsid w:val="004E501B"/>
    <w:rsid w:val="004E6482"/>
    <w:rsid w:val="004E7C9D"/>
    <w:rsid w:val="004F4088"/>
    <w:rsid w:val="004F432A"/>
    <w:rsid w:val="004F590F"/>
    <w:rsid w:val="004F6BB4"/>
    <w:rsid w:val="005002DE"/>
    <w:rsid w:val="005006E2"/>
    <w:rsid w:val="00500B09"/>
    <w:rsid w:val="00502404"/>
    <w:rsid w:val="005052E9"/>
    <w:rsid w:val="00506B4E"/>
    <w:rsid w:val="00507039"/>
    <w:rsid w:val="00510866"/>
    <w:rsid w:val="00510EC8"/>
    <w:rsid w:val="00512D8D"/>
    <w:rsid w:val="00512FDF"/>
    <w:rsid w:val="005145C3"/>
    <w:rsid w:val="00514968"/>
    <w:rsid w:val="00514ECB"/>
    <w:rsid w:val="0051617E"/>
    <w:rsid w:val="00516AE4"/>
    <w:rsid w:val="00517104"/>
    <w:rsid w:val="00517C3B"/>
    <w:rsid w:val="00517D5A"/>
    <w:rsid w:val="00520833"/>
    <w:rsid w:val="00520941"/>
    <w:rsid w:val="00520CE7"/>
    <w:rsid w:val="005218C7"/>
    <w:rsid w:val="00521B46"/>
    <w:rsid w:val="00522D14"/>
    <w:rsid w:val="00522F5F"/>
    <w:rsid w:val="00524144"/>
    <w:rsid w:val="005248A7"/>
    <w:rsid w:val="00525292"/>
    <w:rsid w:val="005256A9"/>
    <w:rsid w:val="005257D0"/>
    <w:rsid w:val="00525D26"/>
    <w:rsid w:val="00526724"/>
    <w:rsid w:val="00527788"/>
    <w:rsid w:val="005301FC"/>
    <w:rsid w:val="00530477"/>
    <w:rsid w:val="005325F4"/>
    <w:rsid w:val="00532D6E"/>
    <w:rsid w:val="005338A0"/>
    <w:rsid w:val="00534C78"/>
    <w:rsid w:val="005356C2"/>
    <w:rsid w:val="00535A15"/>
    <w:rsid w:val="00536A69"/>
    <w:rsid w:val="00536B22"/>
    <w:rsid w:val="005379D8"/>
    <w:rsid w:val="00540589"/>
    <w:rsid w:val="00541E48"/>
    <w:rsid w:val="005430C8"/>
    <w:rsid w:val="0054339D"/>
    <w:rsid w:val="00543C7C"/>
    <w:rsid w:val="00546917"/>
    <w:rsid w:val="00547324"/>
    <w:rsid w:val="005475AF"/>
    <w:rsid w:val="005506E6"/>
    <w:rsid w:val="00551569"/>
    <w:rsid w:val="00553833"/>
    <w:rsid w:val="00554017"/>
    <w:rsid w:val="00554544"/>
    <w:rsid w:val="00554CF4"/>
    <w:rsid w:val="005559F1"/>
    <w:rsid w:val="00555A05"/>
    <w:rsid w:val="00555B9A"/>
    <w:rsid w:val="005560CC"/>
    <w:rsid w:val="005576BB"/>
    <w:rsid w:val="00560536"/>
    <w:rsid w:val="00561790"/>
    <w:rsid w:val="00561BCC"/>
    <w:rsid w:val="00562122"/>
    <w:rsid w:val="0056282F"/>
    <w:rsid w:val="00564C1B"/>
    <w:rsid w:val="00564F33"/>
    <w:rsid w:val="0056515A"/>
    <w:rsid w:val="00566687"/>
    <w:rsid w:val="00567A48"/>
    <w:rsid w:val="00570873"/>
    <w:rsid w:val="00571595"/>
    <w:rsid w:val="00573656"/>
    <w:rsid w:val="005738D2"/>
    <w:rsid w:val="005759B7"/>
    <w:rsid w:val="005768C9"/>
    <w:rsid w:val="00577AA7"/>
    <w:rsid w:val="00577B19"/>
    <w:rsid w:val="0057D414"/>
    <w:rsid w:val="00580CB5"/>
    <w:rsid w:val="00580E2B"/>
    <w:rsid w:val="0058155B"/>
    <w:rsid w:val="00581E7E"/>
    <w:rsid w:val="00582A51"/>
    <w:rsid w:val="00586F00"/>
    <w:rsid w:val="00587600"/>
    <w:rsid w:val="0059124F"/>
    <w:rsid w:val="005921B2"/>
    <w:rsid w:val="0059280E"/>
    <w:rsid w:val="00592CEF"/>
    <w:rsid w:val="005941A3"/>
    <w:rsid w:val="005946AB"/>
    <w:rsid w:val="00594A17"/>
    <w:rsid w:val="00595372"/>
    <w:rsid w:val="00595A74"/>
    <w:rsid w:val="00596226"/>
    <w:rsid w:val="00596309"/>
    <w:rsid w:val="00596F2D"/>
    <w:rsid w:val="00597369"/>
    <w:rsid w:val="005977E8"/>
    <w:rsid w:val="005A081D"/>
    <w:rsid w:val="005A11D8"/>
    <w:rsid w:val="005A2505"/>
    <w:rsid w:val="005A2F6B"/>
    <w:rsid w:val="005A390D"/>
    <w:rsid w:val="005A3A68"/>
    <w:rsid w:val="005A5F29"/>
    <w:rsid w:val="005A71F5"/>
    <w:rsid w:val="005B24C1"/>
    <w:rsid w:val="005B3397"/>
    <w:rsid w:val="005C0240"/>
    <w:rsid w:val="005C14C2"/>
    <w:rsid w:val="005C1745"/>
    <w:rsid w:val="005C1922"/>
    <w:rsid w:val="005C1E0B"/>
    <w:rsid w:val="005C3394"/>
    <w:rsid w:val="005C4433"/>
    <w:rsid w:val="005C4EB9"/>
    <w:rsid w:val="005C5476"/>
    <w:rsid w:val="005C7D0C"/>
    <w:rsid w:val="005D0268"/>
    <w:rsid w:val="005D2766"/>
    <w:rsid w:val="005D4244"/>
    <w:rsid w:val="005D543B"/>
    <w:rsid w:val="005E07A8"/>
    <w:rsid w:val="005E1AEF"/>
    <w:rsid w:val="005E3669"/>
    <w:rsid w:val="005E38F0"/>
    <w:rsid w:val="005E55CE"/>
    <w:rsid w:val="005E6826"/>
    <w:rsid w:val="005E72B7"/>
    <w:rsid w:val="005F0998"/>
    <w:rsid w:val="005F130B"/>
    <w:rsid w:val="005F13EC"/>
    <w:rsid w:val="005F2E76"/>
    <w:rsid w:val="005F5F80"/>
    <w:rsid w:val="005F62ED"/>
    <w:rsid w:val="005F7339"/>
    <w:rsid w:val="00603186"/>
    <w:rsid w:val="00605067"/>
    <w:rsid w:val="006054A8"/>
    <w:rsid w:val="0060594E"/>
    <w:rsid w:val="00605AB6"/>
    <w:rsid w:val="00606AE5"/>
    <w:rsid w:val="00607E0F"/>
    <w:rsid w:val="00610F50"/>
    <w:rsid w:val="006113E0"/>
    <w:rsid w:val="00611813"/>
    <w:rsid w:val="0061268C"/>
    <w:rsid w:val="00612D41"/>
    <w:rsid w:val="006149B7"/>
    <w:rsid w:val="00615C75"/>
    <w:rsid w:val="00621087"/>
    <w:rsid w:val="0062136E"/>
    <w:rsid w:val="00623AD7"/>
    <w:rsid w:val="00624F1A"/>
    <w:rsid w:val="00625631"/>
    <w:rsid w:val="006269A1"/>
    <w:rsid w:val="00626EB3"/>
    <w:rsid w:val="00627A68"/>
    <w:rsid w:val="006303FF"/>
    <w:rsid w:val="00631829"/>
    <w:rsid w:val="006325B1"/>
    <w:rsid w:val="00632AEC"/>
    <w:rsid w:val="0063575D"/>
    <w:rsid w:val="00636A3D"/>
    <w:rsid w:val="006403D2"/>
    <w:rsid w:val="00643123"/>
    <w:rsid w:val="00643226"/>
    <w:rsid w:val="00643D57"/>
    <w:rsid w:val="0064499E"/>
    <w:rsid w:val="00645592"/>
    <w:rsid w:val="00647FA9"/>
    <w:rsid w:val="006513CC"/>
    <w:rsid w:val="0065176F"/>
    <w:rsid w:val="006520E7"/>
    <w:rsid w:val="006533A2"/>
    <w:rsid w:val="0065372D"/>
    <w:rsid w:val="00654942"/>
    <w:rsid w:val="00654E2F"/>
    <w:rsid w:val="006560F8"/>
    <w:rsid w:val="00656E81"/>
    <w:rsid w:val="00663EE6"/>
    <w:rsid w:val="006650CD"/>
    <w:rsid w:val="00665BF5"/>
    <w:rsid w:val="0066694A"/>
    <w:rsid w:val="006705F7"/>
    <w:rsid w:val="006706B2"/>
    <w:rsid w:val="006708F8"/>
    <w:rsid w:val="006713BD"/>
    <w:rsid w:val="006733D5"/>
    <w:rsid w:val="00674E0A"/>
    <w:rsid w:val="00680AD8"/>
    <w:rsid w:val="006814E7"/>
    <w:rsid w:val="00682042"/>
    <w:rsid w:val="00682275"/>
    <w:rsid w:val="006826AF"/>
    <w:rsid w:val="00684458"/>
    <w:rsid w:val="00687E3F"/>
    <w:rsid w:val="006906F3"/>
    <w:rsid w:val="00692BAB"/>
    <w:rsid w:val="00693E98"/>
    <w:rsid w:val="00695974"/>
    <w:rsid w:val="006969C6"/>
    <w:rsid w:val="006A11AA"/>
    <w:rsid w:val="006A1400"/>
    <w:rsid w:val="006A21E4"/>
    <w:rsid w:val="006A25D2"/>
    <w:rsid w:val="006A2BD7"/>
    <w:rsid w:val="006A3466"/>
    <w:rsid w:val="006A4D5B"/>
    <w:rsid w:val="006A5179"/>
    <w:rsid w:val="006A5497"/>
    <w:rsid w:val="006A759E"/>
    <w:rsid w:val="006A75F6"/>
    <w:rsid w:val="006A7E86"/>
    <w:rsid w:val="006A7EAE"/>
    <w:rsid w:val="006B0549"/>
    <w:rsid w:val="006B0698"/>
    <w:rsid w:val="006B0C48"/>
    <w:rsid w:val="006B0F22"/>
    <w:rsid w:val="006B3BF5"/>
    <w:rsid w:val="006B4E04"/>
    <w:rsid w:val="006B5BEF"/>
    <w:rsid w:val="006B68C4"/>
    <w:rsid w:val="006B7171"/>
    <w:rsid w:val="006B7423"/>
    <w:rsid w:val="006C1B8D"/>
    <w:rsid w:val="006C3ED5"/>
    <w:rsid w:val="006C4ED1"/>
    <w:rsid w:val="006C552B"/>
    <w:rsid w:val="006D01D3"/>
    <w:rsid w:val="006D0ABF"/>
    <w:rsid w:val="006D4303"/>
    <w:rsid w:val="006D501C"/>
    <w:rsid w:val="006D57FC"/>
    <w:rsid w:val="006D6315"/>
    <w:rsid w:val="006D650D"/>
    <w:rsid w:val="006D6994"/>
    <w:rsid w:val="006D7054"/>
    <w:rsid w:val="006E112C"/>
    <w:rsid w:val="006E1D4C"/>
    <w:rsid w:val="006E279C"/>
    <w:rsid w:val="006E29DE"/>
    <w:rsid w:val="006E45D4"/>
    <w:rsid w:val="006E4E00"/>
    <w:rsid w:val="006E5156"/>
    <w:rsid w:val="006E5304"/>
    <w:rsid w:val="006E5486"/>
    <w:rsid w:val="006E567F"/>
    <w:rsid w:val="006E5CDF"/>
    <w:rsid w:val="006E6DA9"/>
    <w:rsid w:val="006E7944"/>
    <w:rsid w:val="006E7D89"/>
    <w:rsid w:val="006F014B"/>
    <w:rsid w:val="006F0472"/>
    <w:rsid w:val="006F0F9B"/>
    <w:rsid w:val="006F4EF5"/>
    <w:rsid w:val="006F5D61"/>
    <w:rsid w:val="006F7519"/>
    <w:rsid w:val="007013CB"/>
    <w:rsid w:val="00703ED5"/>
    <w:rsid w:val="0070409F"/>
    <w:rsid w:val="00704DA5"/>
    <w:rsid w:val="0070755F"/>
    <w:rsid w:val="007113DC"/>
    <w:rsid w:val="00711700"/>
    <w:rsid w:val="00712B03"/>
    <w:rsid w:val="00712FA6"/>
    <w:rsid w:val="0071352B"/>
    <w:rsid w:val="0071402E"/>
    <w:rsid w:val="0071563E"/>
    <w:rsid w:val="00715918"/>
    <w:rsid w:val="007172F6"/>
    <w:rsid w:val="007177F0"/>
    <w:rsid w:val="007200B2"/>
    <w:rsid w:val="00722F8A"/>
    <w:rsid w:val="007230BC"/>
    <w:rsid w:val="00723188"/>
    <w:rsid w:val="007235BA"/>
    <w:rsid w:val="00723E74"/>
    <w:rsid w:val="007242B4"/>
    <w:rsid w:val="00724BED"/>
    <w:rsid w:val="00726F4F"/>
    <w:rsid w:val="0073005B"/>
    <w:rsid w:val="00730E81"/>
    <w:rsid w:val="00733BDE"/>
    <w:rsid w:val="00733E21"/>
    <w:rsid w:val="0073404F"/>
    <w:rsid w:val="00734A0C"/>
    <w:rsid w:val="007350D8"/>
    <w:rsid w:val="00736D9B"/>
    <w:rsid w:val="00740B16"/>
    <w:rsid w:val="00742E67"/>
    <w:rsid w:val="0074357F"/>
    <w:rsid w:val="00743B00"/>
    <w:rsid w:val="00743F50"/>
    <w:rsid w:val="00747EF6"/>
    <w:rsid w:val="007508EF"/>
    <w:rsid w:val="00750B62"/>
    <w:rsid w:val="0075159B"/>
    <w:rsid w:val="007525CA"/>
    <w:rsid w:val="007531D5"/>
    <w:rsid w:val="0075373D"/>
    <w:rsid w:val="00753F14"/>
    <w:rsid w:val="00755285"/>
    <w:rsid w:val="007558E7"/>
    <w:rsid w:val="00757106"/>
    <w:rsid w:val="00760979"/>
    <w:rsid w:val="00760F5C"/>
    <w:rsid w:val="00761997"/>
    <w:rsid w:val="0076213B"/>
    <w:rsid w:val="00762CA1"/>
    <w:rsid w:val="00763103"/>
    <w:rsid w:val="00766B76"/>
    <w:rsid w:val="00770D07"/>
    <w:rsid w:val="00771621"/>
    <w:rsid w:val="00773850"/>
    <w:rsid w:val="00774FA6"/>
    <w:rsid w:val="00775A18"/>
    <w:rsid w:val="00777580"/>
    <w:rsid w:val="00785A0A"/>
    <w:rsid w:val="007871AD"/>
    <w:rsid w:val="00787CB4"/>
    <w:rsid w:val="00790EA1"/>
    <w:rsid w:val="007912DA"/>
    <w:rsid w:val="00791B92"/>
    <w:rsid w:val="00792DB0"/>
    <w:rsid w:val="007931E8"/>
    <w:rsid w:val="007934D2"/>
    <w:rsid w:val="00795B9D"/>
    <w:rsid w:val="00795E61"/>
    <w:rsid w:val="00795E6A"/>
    <w:rsid w:val="007966DB"/>
    <w:rsid w:val="00796C28"/>
    <w:rsid w:val="007A0F2C"/>
    <w:rsid w:val="007B3A5E"/>
    <w:rsid w:val="007B46F8"/>
    <w:rsid w:val="007B504D"/>
    <w:rsid w:val="007B529A"/>
    <w:rsid w:val="007B57B1"/>
    <w:rsid w:val="007B5C83"/>
    <w:rsid w:val="007B6286"/>
    <w:rsid w:val="007B689C"/>
    <w:rsid w:val="007C02F9"/>
    <w:rsid w:val="007C108B"/>
    <w:rsid w:val="007C2DF7"/>
    <w:rsid w:val="007C302D"/>
    <w:rsid w:val="007C3FFF"/>
    <w:rsid w:val="007C5C86"/>
    <w:rsid w:val="007C6B4E"/>
    <w:rsid w:val="007D023F"/>
    <w:rsid w:val="007D127A"/>
    <w:rsid w:val="007D1376"/>
    <w:rsid w:val="007D16C5"/>
    <w:rsid w:val="007D25EE"/>
    <w:rsid w:val="007D3BF6"/>
    <w:rsid w:val="007D3C65"/>
    <w:rsid w:val="007D42A0"/>
    <w:rsid w:val="007E0AC9"/>
    <w:rsid w:val="007E0DEF"/>
    <w:rsid w:val="007E1890"/>
    <w:rsid w:val="007E5FE7"/>
    <w:rsid w:val="007E6854"/>
    <w:rsid w:val="007F1021"/>
    <w:rsid w:val="007F14BB"/>
    <w:rsid w:val="007F3C05"/>
    <w:rsid w:val="007F42DD"/>
    <w:rsid w:val="007F43D4"/>
    <w:rsid w:val="007F467D"/>
    <w:rsid w:val="007F5301"/>
    <w:rsid w:val="007F561D"/>
    <w:rsid w:val="007F5C97"/>
    <w:rsid w:val="007F5DD1"/>
    <w:rsid w:val="007F6742"/>
    <w:rsid w:val="008006D1"/>
    <w:rsid w:val="0080170E"/>
    <w:rsid w:val="008031C1"/>
    <w:rsid w:val="00803785"/>
    <w:rsid w:val="00803A8B"/>
    <w:rsid w:val="008050B8"/>
    <w:rsid w:val="00805A8E"/>
    <w:rsid w:val="008061A3"/>
    <w:rsid w:val="00807D3F"/>
    <w:rsid w:val="00810C49"/>
    <w:rsid w:val="008124F5"/>
    <w:rsid w:val="0081259D"/>
    <w:rsid w:val="0081262E"/>
    <w:rsid w:val="00813262"/>
    <w:rsid w:val="00813ECA"/>
    <w:rsid w:val="00815464"/>
    <w:rsid w:val="0081551A"/>
    <w:rsid w:val="0081609A"/>
    <w:rsid w:val="00817578"/>
    <w:rsid w:val="00820074"/>
    <w:rsid w:val="00820C2B"/>
    <w:rsid w:val="008217B2"/>
    <w:rsid w:val="008218EF"/>
    <w:rsid w:val="00821F58"/>
    <w:rsid w:val="008222C5"/>
    <w:rsid w:val="00823A79"/>
    <w:rsid w:val="008244F6"/>
    <w:rsid w:val="008263DF"/>
    <w:rsid w:val="00826574"/>
    <w:rsid w:val="00830723"/>
    <w:rsid w:val="0083116D"/>
    <w:rsid w:val="00831DB5"/>
    <w:rsid w:val="008320BF"/>
    <w:rsid w:val="00833925"/>
    <w:rsid w:val="0083393C"/>
    <w:rsid w:val="00835493"/>
    <w:rsid w:val="00840BBA"/>
    <w:rsid w:val="00842E61"/>
    <w:rsid w:val="00843356"/>
    <w:rsid w:val="008440E4"/>
    <w:rsid w:val="008443E7"/>
    <w:rsid w:val="00844841"/>
    <w:rsid w:val="008449E3"/>
    <w:rsid w:val="008454AF"/>
    <w:rsid w:val="0084640D"/>
    <w:rsid w:val="008464B2"/>
    <w:rsid w:val="00847411"/>
    <w:rsid w:val="00847665"/>
    <w:rsid w:val="00847BE1"/>
    <w:rsid w:val="00851136"/>
    <w:rsid w:val="008519A8"/>
    <w:rsid w:val="00851AD5"/>
    <w:rsid w:val="00851EBF"/>
    <w:rsid w:val="00852964"/>
    <w:rsid w:val="00854496"/>
    <w:rsid w:val="008552B3"/>
    <w:rsid w:val="00856939"/>
    <w:rsid w:val="0086021D"/>
    <w:rsid w:val="008604D5"/>
    <w:rsid w:val="00860B05"/>
    <w:rsid w:val="00862AF4"/>
    <w:rsid w:val="008634B7"/>
    <w:rsid w:val="00863F89"/>
    <w:rsid w:val="00863FC5"/>
    <w:rsid w:val="008643F3"/>
    <w:rsid w:val="00870513"/>
    <w:rsid w:val="00874C86"/>
    <w:rsid w:val="0087518D"/>
    <w:rsid w:val="008755D1"/>
    <w:rsid w:val="00875EDB"/>
    <w:rsid w:val="00876CE8"/>
    <w:rsid w:val="00877334"/>
    <w:rsid w:val="0088093B"/>
    <w:rsid w:val="00881DF6"/>
    <w:rsid w:val="00882805"/>
    <w:rsid w:val="00883C3A"/>
    <w:rsid w:val="00885BDE"/>
    <w:rsid w:val="008868E6"/>
    <w:rsid w:val="00886E11"/>
    <w:rsid w:val="00890231"/>
    <w:rsid w:val="0089063F"/>
    <w:rsid w:val="008906F3"/>
    <w:rsid w:val="008922CA"/>
    <w:rsid w:val="00894B37"/>
    <w:rsid w:val="00894D5C"/>
    <w:rsid w:val="008955B8"/>
    <w:rsid w:val="00895B40"/>
    <w:rsid w:val="00897A92"/>
    <w:rsid w:val="008A0455"/>
    <w:rsid w:val="008A0B8C"/>
    <w:rsid w:val="008A1722"/>
    <w:rsid w:val="008A1BCF"/>
    <w:rsid w:val="008A4AEA"/>
    <w:rsid w:val="008A4C64"/>
    <w:rsid w:val="008A5923"/>
    <w:rsid w:val="008A6BAF"/>
    <w:rsid w:val="008A6D0C"/>
    <w:rsid w:val="008A7920"/>
    <w:rsid w:val="008A7D64"/>
    <w:rsid w:val="008B18BD"/>
    <w:rsid w:val="008B7668"/>
    <w:rsid w:val="008C07AB"/>
    <w:rsid w:val="008C121E"/>
    <w:rsid w:val="008C1253"/>
    <w:rsid w:val="008C205C"/>
    <w:rsid w:val="008C5B77"/>
    <w:rsid w:val="008C5D7E"/>
    <w:rsid w:val="008C698B"/>
    <w:rsid w:val="008D0B54"/>
    <w:rsid w:val="008D2B88"/>
    <w:rsid w:val="008D2D7E"/>
    <w:rsid w:val="008D3899"/>
    <w:rsid w:val="008D5182"/>
    <w:rsid w:val="008D5359"/>
    <w:rsid w:val="008D6D5E"/>
    <w:rsid w:val="008D7435"/>
    <w:rsid w:val="008E0484"/>
    <w:rsid w:val="008E0608"/>
    <w:rsid w:val="008E187B"/>
    <w:rsid w:val="008E234D"/>
    <w:rsid w:val="008E39DC"/>
    <w:rsid w:val="008E39EB"/>
    <w:rsid w:val="008E3C7A"/>
    <w:rsid w:val="008E455C"/>
    <w:rsid w:val="008E4FB8"/>
    <w:rsid w:val="008E5DE5"/>
    <w:rsid w:val="008E6DF2"/>
    <w:rsid w:val="008E6ED3"/>
    <w:rsid w:val="008E7355"/>
    <w:rsid w:val="008E73FF"/>
    <w:rsid w:val="008E7E5A"/>
    <w:rsid w:val="008F1860"/>
    <w:rsid w:val="008F2137"/>
    <w:rsid w:val="008F4E1B"/>
    <w:rsid w:val="008F5981"/>
    <w:rsid w:val="008F5DB6"/>
    <w:rsid w:val="008F67D8"/>
    <w:rsid w:val="008F6C95"/>
    <w:rsid w:val="00900ED6"/>
    <w:rsid w:val="00901BE4"/>
    <w:rsid w:val="0090264F"/>
    <w:rsid w:val="009032E4"/>
    <w:rsid w:val="00906CCD"/>
    <w:rsid w:val="0090727A"/>
    <w:rsid w:val="009110DE"/>
    <w:rsid w:val="0091156F"/>
    <w:rsid w:val="00911747"/>
    <w:rsid w:val="00911AE6"/>
    <w:rsid w:val="009135B7"/>
    <w:rsid w:val="009143F1"/>
    <w:rsid w:val="00914855"/>
    <w:rsid w:val="00915C11"/>
    <w:rsid w:val="00915F05"/>
    <w:rsid w:val="00916634"/>
    <w:rsid w:val="009171CE"/>
    <w:rsid w:val="009178DF"/>
    <w:rsid w:val="00921B11"/>
    <w:rsid w:val="00924A83"/>
    <w:rsid w:val="009250A0"/>
    <w:rsid w:val="00925E85"/>
    <w:rsid w:val="009260CC"/>
    <w:rsid w:val="009307EA"/>
    <w:rsid w:val="00931374"/>
    <w:rsid w:val="009317D3"/>
    <w:rsid w:val="00931AA1"/>
    <w:rsid w:val="00931C64"/>
    <w:rsid w:val="00933B5D"/>
    <w:rsid w:val="00934706"/>
    <w:rsid w:val="0093616A"/>
    <w:rsid w:val="0093644B"/>
    <w:rsid w:val="009366A5"/>
    <w:rsid w:val="00936CC0"/>
    <w:rsid w:val="00936CCC"/>
    <w:rsid w:val="009376A5"/>
    <w:rsid w:val="00937C51"/>
    <w:rsid w:val="00937DF4"/>
    <w:rsid w:val="00940929"/>
    <w:rsid w:val="00943AD5"/>
    <w:rsid w:val="00943EBF"/>
    <w:rsid w:val="00943FC8"/>
    <w:rsid w:val="0094400A"/>
    <w:rsid w:val="00944815"/>
    <w:rsid w:val="009448F4"/>
    <w:rsid w:val="0094528E"/>
    <w:rsid w:val="00945508"/>
    <w:rsid w:val="0094767F"/>
    <w:rsid w:val="00950BA9"/>
    <w:rsid w:val="00951254"/>
    <w:rsid w:val="00951485"/>
    <w:rsid w:val="009528C0"/>
    <w:rsid w:val="00955B27"/>
    <w:rsid w:val="00955D10"/>
    <w:rsid w:val="00956F13"/>
    <w:rsid w:val="00960DBC"/>
    <w:rsid w:val="00963347"/>
    <w:rsid w:val="009637E5"/>
    <w:rsid w:val="00963826"/>
    <w:rsid w:val="00963B87"/>
    <w:rsid w:val="009656E3"/>
    <w:rsid w:val="00965AEA"/>
    <w:rsid w:val="009672C2"/>
    <w:rsid w:val="00967BD5"/>
    <w:rsid w:val="00967D55"/>
    <w:rsid w:val="00970D87"/>
    <w:rsid w:val="009723AD"/>
    <w:rsid w:val="00974468"/>
    <w:rsid w:val="009760F0"/>
    <w:rsid w:val="009760F9"/>
    <w:rsid w:val="0097656A"/>
    <w:rsid w:val="0097742B"/>
    <w:rsid w:val="009779D6"/>
    <w:rsid w:val="00982647"/>
    <w:rsid w:val="00982829"/>
    <w:rsid w:val="00982B4D"/>
    <w:rsid w:val="009859C9"/>
    <w:rsid w:val="00985A22"/>
    <w:rsid w:val="00985B37"/>
    <w:rsid w:val="009865DB"/>
    <w:rsid w:val="00986A89"/>
    <w:rsid w:val="00987B47"/>
    <w:rsid w:val="009910CE"/>
    <w:rsid w:val="00994000"/>
    <w:rsid w:val="009951DB"/>
    <w:rsid w:val="009A4BB1"/>
    <w:rsid w:val="009A5373"/>
    <w:rsid w:val="009A5D5E"/>
    <w:rsid w:val="009A5FCA"/>
    <w:rsid w:val="009B0139"/>
    <w:rsid w:val="009B046C"/>
    <w:rsid w:val="009B0480"/>
    <w:rsid w:val="009B122A"/>
    <w:rsid w:val="009B1C56"/>
    <w:rsid w:val="009B23D4"/>
    <w:rsid w:val="009B287F"/>
    <w:rsid w:val="009B320B"/>
    <w:rsid w:val="009B36CA"/>
    <w:rsid w:val="009B383F"/>
    <w:rsid w:val="009B62C3"/>
    <w:rsid w:val="009B74DA"/>
    <w:rsid w:val="009B7881"/>
    <w:rsid w:val="009B7A81"/>
    <w:rsid w:val="009C0E83"/>
    <w:rsid w:val="009C11D6"/>
    <w:rsid w:val="009C1D85"/>
    <w:rsid w:val="009C2396"/>
    <w:rsid w:val="009C26A4"/>
    <w:rsid w:val="009C271D"/>
    <w:rsid w:val="009C2EBF"/>
    <w:rsid w:val="009D00CB"/>
    <w:rsid w:val="009D0E59"/>
    <w:rsid w:val="009D2DC7"/>
    <w:rsid w:val="009D301F"/>
    <w:rsid w:val="009D4613"/>
    <w:rsid w:val="009D46AB"/>
    <w:rsid w:val="009D71EE"/>
    <w:rsid w:val="009D7BC6"/>
    <w:rsid w:val="009D7C05"/>
    <w:rsid w:val="009E1C94"/>
    <w:rsid w:val="009E1F16"/>
    <w:rsid w:val="009E2663"/>
    <w:rsid w:val="009E2706"/>
    <w:rsid w:val="009E2754"/>
    <w:rsid w:val="009E3746"/>
    <w:rsid w:val="009F10DE"/>
    <w:rsid w:val="009F2325"/>
    <w:rsid w:val="009F3886"/>
    <w:rsid w:val="009F4BCF"/>
    <w:rsid w:val="009F6962"/>
    <w:rsid w:val="009F7239"/>
    <w:rsid w:val="009F7263"/>
    <w:rsid w:val="00A04393"/>
    <w:rsid w:val="00A05AE5"/>
    <w:rsid w:val="00A07020"/>
    <w:rsid w:val="00A0707E"/>
    <w:rsid w:val="00A07187"/>
    <w:rsid w:val="00A071D8"/>
    <w:rsid w:val="00A0730F"/>
    <w:rsid w:val="00A07682"/>
    <w:rsid w:val="00A1097B"/>
    <w:rsid w:val="00A109EC"/>
    <w:rsid w:val="00A11A4E"/>
    <w:rsid w:val="00A144A7"/>
    <w:rsid w:val="00A14B99"/>
    <w:rsid w:val="00A15C5C"/>
    <w:rsid w:val="00A15FC6"/>
    <w:rsid w:val="00A1708E"/>
    <w:rsid w:val="00A17248"/>
    <w:rsid w:val="00A17E54"/>
    <w:rsid w:val="00A20179"/>
    <w:rsid w:val="00A23564"/>
    <w:rsid w:val="00A256D6"/>
    <w:rsid w:val="00A266C5"/>
    <w:rsid w:val="00A27237"/>
    <w:rsid w:val="00A27C1B"/>
    <w:rsid w:val="00A32048"/>
    <w:rsid w:val="00A32499"/>
    <w:rsid w:val="00A33B33"/>
    <w:rsid w:val="00A350ED"/>
    <w:rsid w:val="00A35384"/>
    <w:rsid w:val="00A36EB2"/>
    <w:rsid w:val="00A40A01"/>
    <w:rsid w:val="00A40ACC"/>
    <w:rsid w:val="00A41584"/>
    <w:rsid w:val="00A41BBA"/>
    <w:rsid w:val="00A42F5D"/>
    <w:rsid w:val="00A43080"/>
    <w:rsid w:val="00A43B47"/>
    <w:rsid w:val="00A44911"/>
    <w:rsid w:val="00A45EBA"/>
    <w:rsid w:val="00A4674F"/>
    <w:rsid w:val="00A470C7"/>
    <w:rsid w:val="00A50902"/>
    <w:rsid w:val="00A50B75"/>
    <w:rsid w:val="00A52BF6"/>
    <w:rsid w:val="00A52D05"/>
    <w:rsid w:val="00A530E9"/>
    <w:rsid w:val="00A54C24"/>
    <w:rsid w:val="00A550CF"/>
    <w:rsid w:val="00A57E50"/>
    <w:rsid w:val="00A628AF"/>
    <w:rsid w:val="00A63B2C"/>
    <w:rsid w:val="00A63B34"/>
    <w:rsid w:val="00A65D21"/>
    <w:rsid w:val="00A71F8B"/>
    <w:rsid w:val="00A729A4"/>
    <w:rsid w:val="00A72A1B"/>
    <w:rsid w:val="00A7342F"/>
    <w:rsid w:val="00A73660"/>
    <w:rsid w:val="00A74634"/>
    <w:rsid w:val="00A751B9"/>
    <w:rsid w:val="00A7645F"/>
    <w:rsid w:val="00A80684"/>
    <w:rsid w:val="00A80ADF"/>
    <w:rsid w:val="00A82823"/>
    <w:rsid w:val="00A83C91"/>
    <w:rsid w:val="00A8439B"/>
    <w:rsid w:val="00A84E87"/>
    <w:rsid w:val="00A8624C"/>
    <w:rsid w:val="00A864E1"/>
    <w:rsid w:val="00A87061"/>
    <w:rsid w:val="00A9164D"/>
    <w:rsid w:val="00A91AB7"/>
    <w:rsid w:val="00A92183"/>
    <w:rsid w:val="00A938ED"/>
    <w:rsid w:val="00A941F2"/>
    <w:rsid w:val="00A94BDA"/>
    <w:rsid w:val="00A94C41"/>
    <w:rsid w:val="00A94DFA"/>
    <w:rsid w:val="00A97218"/>
    <w:rsid w:val="00A979E2"/>
    <w:rsid w:val="00AA0462"/>
    <w:rsid w:val="00AA04A0"/>
    <w:rsid w:val="00AA12C8"/>
    <w:rsid w:val="00AA35A1"/>
    <w:rsid w:val="00AA5AD2"/>
    <w:rsid w:val="00AB004E"/>
    <w:rsid w:val="00AB0B0A"/>
    <w:rsid w:val="00AB0CDE"/>
    <w:rsid w:val="00AB1643"/>
    <w:rsid w:val="00AB525B"/>
    <w:rsid w:val="00AB56AA"/>
    <w:rsid w:val="00AB6AB3"/>
    <w:rsid w:val="00AB76B3"/>
    <w:rsid w:val="00AC08F8"/>
    <w:rsid w:val="00AC2CEE"/>
    <w:rsid w:val="00AC34FD"/>
    <w:rsid w:val="00AC3823"/>
    <w:rsid w:val="00AC7702"/>
    <w:rsid w:val="00AD2C45"/>
    <w:rsid w:val="00AD3BBC"/>
    <w:rsid w:val="00AD3FD8"/>
    <w:rsid w:val="00AD4AF3"/>
    <w:rsid w:val="00AD4D0A"/>
    <w:rsid w:val="00AD4F6B"/>
    <w:rsid w:val="00AD7A33"/>
    <w:rsid w:val="00AE0014"/>
    <w:rsid w:val="00AE0C95"/>
    <w:rsid w:val="00AE1619"/>
    <w:rsid w:val="00AE1B49"/>
    <w:rsid w:val="00AE1E9E"/>
    <w:rsid w:val="00AE1F14"/>
    <w:rsid w:val="00AE2E70"/>
    <w:rsid w:val="00AE3E40"/>
    <w:rsid w:val="00AE6CA3"/>
    <w:rsid w:val="00AE72CC"/>
    <w:rsid w:val="00AE7CBF"/>
    <w:rsid w:val="00AF01F5"/>
    <w:rsid w:val="00AF1414"/>
    <w:rsid w:val="00AF2AD0"/>
    <w:rsid w:val="00AF2C4C"/>
    <w:rsid w:val="00AF3336"/>
    <w:rsid w:val="00AF4579"/>
    <w:rsid w:val="00AF5682"/>
    <w:rsid w:val="00AF760E"/>
    <w:rsid w:val="00AF78D6"/>
    <w:rsid w:val="00B00949"/>
    <w:rsid w:val="00B011F9"/>
    <w:rsid w:val="00B0197E"/>
    <w:rsid w:val="00B01E81"/>
    <w:rsid w:val="00B0435F"/>
    <w:rsid w:val="00B04766"/>
    <w:rsid w:val="00B0601D"/>
    <w:rsid w:val="00B06DF0"/>
    <w:rsid w:val="00B071E5"/>
    <w:rsid w:val="00B079A7"/>
    <w:rsid w:val="00B10DB9"/>
    <w:rsid w:val="00B11C9E"/>
    <w:rsid w:val="00B11DF8"/>
    <w:rsid w:val="00B1583D"/>
    <w:rsid w:val="00B15D82"/>
    <w:rsid w:val="00B17A76"/>
    <w:rsid w:val="00B2056A"/>
    <w:rsid w:val="00B20D4C"/>
    <w:rsid w:val="00B231D9"/>
    <w:rsid w:val="00B23473"/>
    <w:rsid w:val="00B23AE4"/>
    <w:rsid w:val="00B24C4E"/>
    <w:rsid w:val="00B252A7"/>
    <w:rsid w:val="00B271C5"/>
    <w:rsid w:val="00B303DD"/>
    <w:rsid w:val="00B320F2"/>
    <w:rsid w:val="00B34854"/>
    <w:rsid w:val="00B34BE7"/>
    <w:rsid w:val="00B3509A"/>
    <w:rsid w:val="00B3678C"/>
    <w:rsid w:val="00B37E4B"/>
    <w:rsid w:val="00B40D0D"/>
    <w:rsid w:val="00B40EAB"/>
    <w:rsid w:val="00B4119B"/>
    <w:rsid w:val="00B41B3F"/>
    <w:rsid w:val="00B42417"/>
    <w:rsid w:val="00B42880"/>
    <w:rsid w:val="00B440D9"/>
    <w:rsid w:val="00B45060"/>
    <w:rsid w:val="00B45447"/>
    <w:rsid w:val="00B473EC"/>
    <w:rsid w:val="00B47940"/>
    <w:rsid w:val="00B47B6B"/>
    <w:rsid w:val="00B47C7E"/>
    <w:rsid w:val="00B50946"/>
    <w:rsid w:val="00B50C3E"/>
    <w:rsid w:val="00B511B6"/>
    <w:rsid w:val="00B512E6"/>
    <w:rsid w:val="00B5326E"/>
    <w:rsid w:val="00B53AB1"/>
    <w:rsid w:val="00B605C6"/>
    <w:rsid w:val="00B608E6"/>
    <w:rsid w:val="00B6134A"/>
    <w:rsid w:val="00B63DE0"/>
    <w:rsid w:val="00B650E2"/>
    <w:rsid w:val="00B65FB4"/>
    <w:rsid w:val="00B70B72"/>
    <w:rsid w:val="00B715B4"/>
    <w:rsid w:val="00B73CA9"/>
    <w:rsid w:val="00B7599B"/>
    <w:rsid w:val="00B75AFF"/>
    <w:rsid w:val="00B765CA"/>
    <w:rsid w:val="00B772BD"/>
    <w:rsid w:val="00B77DF7"/>
    <w:rsid w:val="00B77E4C"/>
    <w:rsid w:val="00B82CC5"/>
    <w:rsid w:val="00B851A8"/>
    <w:rsid w:val="00B856DA"/>
    <w:rsid w:val="00B8618F"/>
    <w:rsid w:val="00B8765D"/>
    <w:rsid w:val="00B93245"/>
    <w:rsid w:val="00B96371"/>
    <w:rsid w:val="00B97B4C"/>
    <w:rsid w:val="00BA1261"/>
    <w:rsid w:val="00BA1F76"/>
    <w:rsid w:val="00BA2559"/>
    <w:rsid w:val="00BA49FE"/>
    <w:rsid w:val="00BA5DC1"/>
    <w:rsid w:val="00BA6C3B"/>
    <w:rsid w:val="00BB0119"/>
    <w:rsid w:val="00BB0F4E"/>
    <w:rsid w:val="00BB2D8B"/>
    <w:rsid w:val="00BB372A"/>
    <w:rsid w:val="00BB42EF"/>
    <w:rsid w:val="00BB5D7F"/>
    <w:rsid w:val="00BB71C7"/>
    <w:rsid w:val="00BB758B"/>
    <w:rsid w:val="00BC09B3"/>
    <w:rsid w:val="00BC1DD2"/>
    <w:rsid w:val="00BC4A00"/>
    <w:rsid w:val="00BC5571"/>
    <w:rsid w:val="00BC5676"/>
    <w:rsid w:val="00BC689E"/>
    <w:rsid w:val="00BD1BBA"/>
    <w:rsid w:val="00BD1E7E"/>
    <w:rsid w:val="00BD2346"/>
    <w:rsid w:val="00BD2FF4"/>
    <w:rsid w:val="00BD3B34"/>
    <w:rsid w:val="00BD5D70"/>
    <w:rsid w:val="00BD66E6"/>
    <w:rsid w:val="00BD782E"/>
    <w:rsid w:val="00BE0BC7"/>
    <w:rsid w:val="00BE1885"/>
    <w:rsid w:val="00BE30DE"/>
    <w:rsid w:val="00BE3465"/>
    <w:rsid w:val="00BE395B"/>
    <w:rsid w:val="00BE47F4"/>
    <w:rsid w:val="00BE5B4B"/>
    <w:rsid w:val="00BE5D9B"/>
    <w:rsid w:val="00BE67C3"/>
    <w:rsid w:val="00BE68D6"/>
    <w:rsid w:val="00BE7434"/>
    <w:rsid w:val="00BF0682"/>
    <w:rsid w:val="00BF1147"/>
    <w:rsid w:val="00BF23D2"/>
    <w:rsid w:val="00BF349C"/>
    <w:rsid w:val="00BF3831"/>
    <w:rsid w:val="00BF4BB3"/>
    <w:rsid w:val="00BF57F0"/>
    <w:rsid w:val="00BF6A10"/>
    <w:rsid w:val="00C010A7"/>
    <w:rsid w:val="00C015DC"/>
    <w:rsid w:val="00C022E9"/>
    <w:rsid w:val="00C036ED"/>
    <w:rsid w:val="00C045E9"/>
    <w:rsid w:val="00C048DB"/>
    <w:rsid w:val="00C06A3F"/>
    <w:rsid w:val="00C06E71"/>
    <w:rsid w:val="00C143F4"/>
    <w:rsid w:val="00C14DDD"/>
    <w:rsid w:val="00C16717"/>
    <w:rsid w:val="00C16FD9"/>
    <w:rsid w:val="00C173CA"/>
    <w:rsid w:val="00C173F7"/>
    <w:rsid w:val="00C176D2"/>
    <w:rsid w:val="00C17CC6"/>
    <w:rsid w:val="00C20009"/>
    <w:rsid w:val="00C20168"/>
    <w:rsid w:val="00C235A9"/>
    <w:rsid w:val="00C239AF"/>
    <w:rsid w:val="00C25E62"/>
    <w:rsid w:val="00C27682"/>
    <w:rsid w:val="00C30E54"/>
    <w:rsid w:val="00C31CF6"/>
    <w:rsid w:val="00C354EB"/>
    <w:rsid w:val="00C40A1F"/>
    <w:rsid w:val="00C41902"/>
    <w:rsid w:val="00C41ABA"/>
    <w:rsid w:val="00C42388"/>
    <w:rsid w:val="00C42715"/>
    <w:rsid w:val="00C4285D"/>
    <w:rsid w:val="00C44809"/>
    <w:rsid w:val="00C44C22"/>
    <w:rsid w:val="00C45CB9"/>
    <w:rsid w:val="00C465B1"/>
    <w:rsid w:val="00C46878"/>
    <w:rsid w:val="00C46BCC"/>
    <w:rsid w:val="00C47F76"/>
    <w:rsid w:val="00C510C2"/>
    <w:rsid w:val="00C5224B"/>
    <w:rsid w:val="00C52265"/>
    <w:rsid w:val="00C52979"/>
    <w:rsid w:val="00C52F6D"/>
    <w:rsid w:val="00C539F0"/>
    <w:rsid w:val="00C5414D"/>
    <w:rsid w:val="00C554E5"/>
    <w:rsid w:val="00C55E62"/>
    <w:rsid w:val="00C55FD0"/>
    <w:rsid w:val="00C562BF"/>
    <w:rsid w:val="00C56FD7"/>
    <w:rsid w:val="00C60878"/>
    <w:rsid w:val="00C625DD"/>
    <w:rsid w:val="00C65414"/>
    <w:rsid w:val="00C70920"/>
    <w:rsid w:val="00C70D92"/>
    <w:rsid w:val="00C7109F"/>
    <w:rsid w:val="00C7150E"/>
    <w:rsid w:val="00C72E70"/>
    <w:rsid w:val="00C73799"/>
    <w:rsid w:val="00C75012"/>
    <w:rsid w:val="00C75F13"/>
    <w:rsid w:val="00C763C6"/>
    <w:rsid w:val="00C76C27"/>
    <w:rsid w:val="00C77B17"/>
    <w:rsid w:val="00C80AF1"/>
    <w:rsid w:val="00C810F9"/>
    <w:rsid w:val="00C814D9"/>
    <w:rsid w:val="00C821F5"/>
    <w:rsid w:val="00C8280E"/>
    <w:rsid w:val="00C83FA6"/>
    <w:rsid w:val="00C843B2"/>
    <w:rsid w:val="00C850B6"/>
    <w:rsid w:val="00C85712"/>
    <w:rsid w:val="00C86045"/>
    <w:rsid w:val="00C8665D"/>
    <w:rsid w:val="00C86A46"/>
    <w:rsid w:val="00C8763F"/>
    <w:rsid w:val="00C90FB6"/>
    <w:rsid w:val="00C921DF"/>
    <w:rsid w:val="00C938D8"/>
    <w:rsid w:val="00C93E8E"/>
    <w:rsid w:val="00C95555"/>
    <w:rsid w:val="00C95F6B"/>
    <w:rsid w:val="00C96658"/>
    <w:rsid w:val="00C96749"/>
    <w:rsid w:val="00CA0FB3"/>
    <w:rsid w:val="00CA3412"/>
    <w:rsid w:val="00CA49B1"/>
    <w:rsid w:val="00CA4F7B"/>
    <w:rsid w:val="00CA691E"/>
    <w:rsid w:val="00CA6EEC"/>
    <w:rsid w:val="00CA7229"/>
    <w:rsid w:val="00CA7E20"/>
    <w:rsid w:val="00CB07CD"/>
    <w:rsid w:val="00CB139E"/>
    <w:rsid w:val="00CB3899"/>
    <w:rsid w:val="00CB3DC0"/>
    <w:rsid w:val="00CB4136"/>
    <w:rsid w:val="00CB4C5C"/>
    <w:rsid w:val="00CB573E"/>
    <w:rsid w:val="00CB6847"/>
    <w:rsid w:val="00CB7C52"/>
    <w:rsid w:val="00CB7D84"/>
    <w:rsid w:val="00CC11B8"/>
    <w:rsid w:val="00CC2555"/>
    <w:rsid w:val="00CC38FF"/>
    <w:rsid w:val="00CC4C68"/>
    <w:rsid w:val="00CC576D"/>
    <w:rsid w:val="00CC61A0"/>
    <w:rsid w:val="00CC6C74"/>
    <w:rsid w:val="00CC71D1"/>
    <w:rsid w:val="00CD0A53"/>
    <w:rsid w:val="00CD1315"/>
    <w:rsid w:val="00CD2F8C"/>
    <w:rsid w:val="00CD48D5"/>
    <w:rsid w:val="00CD5EE9"/>
    <w:rsid w:val="00CD72FB"/>
    <w:rsid w:val="00CE2263"/>
    <w:rsid w:val="00CE304C"/>
    <w:rsid w:val="00CE6956"/>
    <w:rsid w:val="00CE722D"/>
    <w:rsid w:val="00CE782C"/>
    <w:rsid w:val="00CE7C72"/>
    <w:rsid w:val="00CF0F40"/>
    <w:rsid w:val="00CF1A54"/>
    <w:rsid w:val="00CF20FD"/>
    <w:rsid w:val="00CF2AD9"/>
    <w:rsid w:val="00CF3097"/>
    <w:rsid w:val="00CF3442"/>
    <w:rsid w:val="00CF3BA4"/>
    <w:rsid w:val="00CF3E33"/>
    <w:rsid w:val="00CF3F4C"/>
    <w:rsid w:val="00CF5DDA"/>
    <w:rsid w:val="00CF63EB"/>
    <w:rsid w:val="00CF6915"/>
    <w:rsid w:val="00D008ED"/>
    <w:rsid w:val="00D00CC7"/>
    <w:rsid w:val="00D01766"/>
    <w:rsid w:val="00D02802"/>
    <w:rsid w:val="00D03465"/>
    <w:rsid w:val="00D054A2"/>
    <w:rsid w:val="00D05578"/>
    <w:rsid w:val="00D11825"/>
    <w:rsid w:val="00D11BF8"/>
    <w:rsid w:val="00D124F9"/>
    <w:rsid w:val="00D12AEB"/>
    <w:rsid w:val="00D13800"/>
    <w:rsid w:val="00D142B2"/>
    <w:rsid w:val="00D1440E"/>
    <w:rsid w:val="00D148CE"/>
    <w:rsid w:val="00D15494"/>
    <w:rsid w:val="00D15AA5"/>
    <w:rsid w:val="00D177D8"/>
    <w:rsid w:val="00D1799E"/>
    <w:rsid w:val="00D17C2F"/>
    <w:rsid w:val="00D2098C"/>
    <w:rsid w:val="00D223EB"/>
    <w:rsid w:val="00D225AC"/>
    <w:rsid w:val="00D22830"/>
    <w:rsid w:val="00D234A6"/>
    <w:rsid w:val="00D2376D"/>
    <w:rsid w:val="00D23E55"/>
    <w:rsid w:val="00D24403"/>
    <w:rsid w:val="00D248EF"/>
    <w:rsid w:val="00D24AF2"/>
    <w:rsid w:val="00D25722"/>
    <w:rsid w:val="00D27182"/>
    <w:rsid w:val="00D279F2"/>
    <w:rsid w:val="00D3234B"/>
    <w:rsid w:val="00D32B11"/>
    <w:rsid w:val="00D33210"/>
    <w:rsid w:val="00D33B9C"/>
    <w:rsid w:val="00D35DF3"/>
    <w:rsid w:val="00D37D26"/>
    <w:rsid w:val="00D37E5D"/>
    <w:rsid w:val="00D37EAE"/>
    <w:rsid w:val="00D4103C"/>
    <w:rsid w:val="00D41E4A"/>
    <w:rsid w:val="00D41FAA"/>
    <w:rsid w:val="00D422E3"/>
    <w:rsid w:val="00D436C9"/>
    <w:rsid w:val="00D506CF"/>
    <w:rsid w:val="00D51950"/>
    <w:rsid w:val="00D54676"/>
    <w:rsid w:val="00D54AD2"/>
    <w:rsid w:val="00D54B26"/>
    <w:rsid w:val="00D568F8"/>
    <w:rsid w:val="00D56AEF"/>
    <w:rsid w:val="00D60585"/>
    <w:rsid w:val="00D6142C"/>
    <w:rsid w:val="00D6254B"/>
    <w:rsid w:val="00D63518"/>
    <w:rsid w:val="00D63B4A"/>
    <w:rsid w:val="00D64C10"/>
    <w:rsid w:val="00D653C6"/>
    <w:rsid w:val="00D67AD8"/>
    <w:rsid w:val="00D713EA"/>
    <w:rsid w:val="00D7310E"/>
    <w:rsid w:val="00D753ED"/>
    <w:rsid w:val="00D753F8"/>
    <w:rsid w:val="00D75C50"/>
    <w:rsid w:val="00D76F45"/>
    <w:rsid w:val="00D76F97"/>
    <w:rsid w:val="00D8026D"/>
    <w:rsid w:val="00D807C1"/>
    <w:rsid w:val="00D849A9"/>
    <w:rsid w:val="00D851C5"/>
    <w:rsid w:val="00D85B70"/>
    <w:rsid w:val="00D86248"/>
    <w:rsid w:val="00D866CA"/>
    <w:rsid w:val="00D9045E"/>
    <w:rsid w:val="00D91B3D"/>
    <w:rsid w:val="00D93BBE"/>
    <w:rsid w:val="00D94501"/>
    <w:rsid w:val="00D95A4C"/>
    <w:rsid w:val="00DA30C7"/>
    <w:rsid w:val="00DA349F"/>
    <w:rsid w:val="00DA5B7F"/>
    <w:rsid w:val="00DA6574"/>
    <w:rsid w:val="00DA6F3F"/>
    <w:rsid w:val="00DB181C"/>
    <w:rsid w:val="00DB2A50"/>
    <w:rsid w:val="00DB2E40"/>
    <w:rsid w:val="00DB3F4F"/>
    <w:rsid w:val="00DB499A"/>
    <w:rsid w:val="00DB4F95"/>
    <w:rsid w:val="00DB53EB"/>
    <w:rsid w:val="00DB6498"/>
    <w:rsid w:val="00DB685D"/>
    <w:rsid w:val="00DB6A78"/>
    <w:rsid w:val="00DB78F7"/>
    <w:rsid w:val="00DC3F91"/>
    <w:rsid w:val="00DC48F2"/>
    <w:rsid w:val="00DC58E1"/>
    <w:rsid w:val="00DD0C1E"/>
    <w:rsid w:val="00DD1419"/>
    <w:rsid w:val="00DD15B6"/>
    <w:rsid w:val="00DD1B5C"/>
    <w:rsid w:val="00DD707B"/>
    <w:rsid w:val="00DD7384"/>
    <w:rsid w:val="00DD74BE"/>
    <w:rsid w:val="00DE083F"/>
    <w:rsid w:val="00DE1DC5"/>
    <w:rsid w:val="00DE3E87"/>
    <w:rsid w:val="00DE53D8"/>
    <w:rsid w:val="00DE6121"/>
    <w:rsid w:val="00DE7675"/>
    <w:rsid w:val="00DF07AB"/>
    <w:rsid w:val="00DF2366"/>
    <w:rsid w:val="00DF2716"/>
    <w:rsid w:val="00DF302A"/>
    <w:rsid w:val="00DF3BCD"/>
    <w:rsid w:val="00DF40C8"/>
    <w:rsid w:val="00DF4DE0"/>
    <w:rsid w:val="00DF54A7"/>
    <w:rsid w:val="00DF61D9"/>
    <w:rsid w:val="00DF733C"/>
    <w:rsid w:val="00DF7544"/>
    <w:rsid w:val="00DF7DD6"/>
    <w:rsid w:val="00DF7F14"/>
    <w:rsid w:val="00E0011C"/>
    <w:rsid w:val="00E001B4"/>
    <w:rsid w:val="00E0057B"/>
    <w:rsid w:val="00E016A6"/>
    <w:rsid w:val="00E0173C"/>
    <w:rsid w:val="00E0201D"/>
    <w:rsid w:val="00E0307B"/>
    <w:rsid w:val="00E04940"/>
    <w:rsid w:val="00E053D2"/>
    <w:rsid w:val="00E0607C"/>
    <w:rsid w:val="00E06845"/>
    <w:rsid w:val="00E0696A"/>
    <w:rsid w:val="00E069DE"/>
    <w:rsid w:val="00E06C94"/>
    <w:rsid w:val="00E07CD1"/>
    <w:rsid w:val="00E07F6A"/>
    <w:rsid w:val="00E07F7B"/>
    <w:rsid w:val="00E10890"/>
    <w:rsid w:val="00E11565"/>
    <w:rsid w:val="00E14CF2"/>
    <w:rsid w:val="00E15BF1"/>
    <w:rsid w:val="00E15C5B"/>
    <w:rsid w:val="00E20E96"/>
    <w:rsid w:val="00E25B24"/>
    <w:rsid w:val="00E2616F"/>
    <w:rsid w:val="00E27352"/>
    <w:rsid w:val="00E326B6"/>
    <w:rsid w:val="00E32CC1"/>
    <w:rsid w:val="00E33041"/>
    <w:rsid w:val="00E34127"/>
    <w:rsid w:val="00E34361"/>
    <w:rsid w:val="00E34D75"/>
    <w:rsid w:val="00E36A96"/>
    <w:rsid w:val="00E36C59"/>
    <w:rsid w:val="00E36FE4"/>
    <w:rsid w:val="00E375B1"/>
    <w:rsid w:val="00E4344A"/>
    <w:rsid w:val="00E44060"/>
    <w:rsid w:val="00E45650"/>
    <w:rsid w:val="00E4579E"/>
    <w:rsid w:val="00E46C03"/>
    <w:rsid w:val="00E51913"/>
    <w:rsid w:val="00E51C74"/>
    <w:rsid w:val="00E5346E"/>
    <w:rsid w:val="00E54D9E"/>
    <w:rsid w:val="00E54E73"/>
    <w:rsid w:val="00E5594A"/>
    <w:rsid w:val="00E55FD8"/>
    <w:rsid w:val="00E56B19"/>
    <w:rsid w:val="00E6000D"/>
    <w:rsid w:val="00E6165E"/>
    <w:rsid w:val="00E61DF7"/>
    <w:rsid w:val="00E66076"/>
    <w:rsid w:val="00E701D0"/>
    <w:rsid w:val="00E716F0"/>
    <w:rsid w:val="00E71ED3"/>
    <w:rsid w:val="00E71F1D"/>
    <w:rsid w:val="00E72A69"/>
    <w:rsid w:val="00E72C72"/>
    <w:rsid w:val="00E73075"/>
    <w:rsid w:val="00E73907"/>
    <w:rsid w:val="00E765D3"/>
    <w:rsid w:val="00E765E9"/>
    <w:rsid w:val="00E76CE0"/>
    <w:rsid w:val="00E77E02"/>
    <w:rsid w:val="00E806BC"/>
    <w:rsid w:val="00E80919"/>
    <w:rsid w:val="00E84BDB"/>
    <w:rsid w:val="00E85FDE"/>
    <w:rsid w:val="00E86334"/>
    <w:rsid w:val="00E86ACC"/>
    <w:rsid w:val="00E8740C"/>
    <w:rsid w:val="00E9046F"/>
    <w:rsid w:val="00E9257E"/>
    <w:rsid w:val="00E92D51"/>
    <w:rsid w:val="00E932CC"/>
    <w:rsid w:val="00E93846"/>
    <w:rsid w:val="00E94723"/>
    <w:rsid w:val="00E951C0"/>
    <w:rsid w:val="00E973AC"/>
    <w:rsid w:val="00E97DEA"/>
    <w:rsid w:val="00E97E89"/>
    <w:rsid w:val="00EA0562"/>
    <w:rsid w:val="00EA177F"/>
    <w:rsid w:val="00EA5364"/>
    <w:rsid w:val="00EA589C"/>
    <w:rsid w:val="00EA5BD8"/>
    <w:rsid w:val="00EA63D9"/>
    <w:rsid w:val="00EA7C07"/>
    <w:rsid w:val="00EB0115"/>
    <w:rsid w:val="00EB2071"/>
    <w:rsid w:val="00EB3372"/>
    <w:rsid w:val="00EB3A91"/>
    <w:rsid w:val="00EB60B1"/>
    <w:rsid w:val="00EB63FE"/>
    <w:rsid w:val="00EB7E7C"/>
    <w:rsid w:val="00EC0FF2"/>
    <w:rsid w:val="00EC102F"/>
    <w:rsid w:val="00EC1382"/>
    <w:rsid w:val="00EC2145"/>
    <w:rsid w:val="00EC37BF"/>
    <w:rsid w:val="00EC39D3"/>
    <w:rsid w:val="00EC5F2B"/>
    <w:rsid w:val="00EC7F18"/>
    <w:rsid w:val="00ED11A7"/>
    <w:rsid w:val="00ED4A6A"/>
    <w:rsid w:val="00ED55BC"/>
    <w:rsid w:val="00ED6779"/>
    <w:rsid w:val="00EE0262"/>
    <w:rsid w:val="00EE0E26"/>
    <w:rsid w:val="00EE15A4"/>
    <w:rsid w:val="00EE309B"/>
    <w:rsid w:val="00EE5976"/>
    <w:rsid w:val="00EF104D"/>
    <w:rsid w:val="00EF1AF6"/>
    <w:rsid w:val="00EF1FB2"/>
    <w:rsid w:val="00EF2595"/>
    <w:rsid w:val="00EF43C6"/>
    <w:rsid w:val="00EF7B23"/>
    <w:rsid w:val="00F017A9"/>
    <w:rsid w:val="00F038A9"/>
    <w:rsid w:val="00F03FC1"/>
    <w:rsid w:val="00F05531"/>
    <w:rsid w:val="00F055F8"/>
    <w:rsid w:val="00F05F24"/>
    <w:rsid w:val="00F065A1"/>
    <w:rsid w:val="00F06B13"/>
    <w:rsid w:val="00F0780E"/>
    <w:rsid w:val="00F079ED"/>
    <w:rsid w:val="00F101A5"/>
    <w:rsid w:val="00F12B4F"/>
    <w:rsid w:val="00F13D4E"/>
    <w:rsid w:val="00F15C16"/>
    <w:rsid w:val="00F160CC"/>
    <w:rsid w:val="00F2008B"/>
    <w:rsid w:val="00F21CEC"/>
    <w:rsid w:val="00F21FA4"/>
    <w:rsid w:val="00F22098"/>
    <w:rsid w:val="00F23FE9"/>
    <w:rsid w:val="00F2425E"/>
    <w:rsid w:val="00F25B68"/>
    <w:rsid w:val="00F2668C"/>
    <w:rsid w:val="00F273E5"/>
    <w:rsid w:val="00F32231"/>
    <w:rsid w:val="00F327BD"/>
    <w:rsid w:val="00F33195"/>
    <w:rsid w:val="00F358C6"/>
    <w:rsid w:val="00F35DC5"/>
    <w:rsid w:val="00F36601"/>
    <w:rsid w:val="00F36E10"/>
    <w:rsid w:val="00F37114"/>
    <w:rsid w:val="00F375D5"/>
    <w:rsid w:val="00F377FC"/>
    <w:rsid w:val="00F4376B"/>
    <w:rsid w:val="00F442EE"/>
    <w:rsid w:val="00F44AC8"/>
    <w:rsid w:val="00F4550A"/>
    <w:rsid w:val="00F456FF"/>
    <w:rsid w:val="00F45A79"/>
    <w:rsid w:val="00F47833"/>
    <w:rsid w:val="00F47D02"/>
    <w:rsid w:val="00F47EFB"/>
    <w:rsid w:val="00F50CED"/>
    <w:rsid w:val="00F51EAF"/>
    <w:rsid w:val="00F5250D"/>
    <w:rsid w:val="00F52B8A"/>
    <w:rsid w:val="00F54301"/>
    <w:rsid w:val="00F54F74"/>
    <w:rsid w:val="00F5589B"/>
    <w:rsid w:val="00F5646B"/>
    <w:rsid w:val="00F564AF"/>
    <w:rsid w:val="00F60A0D"/>
    <w:rsid w:val="00F648BC"/>
    <w:rsid w:val="00F65C63"/>
    <w:rsid w:val="00F66881"/>
    <w:rsid w:val="00F67645"/>
    <w:rsid w:val="00F67686"/>
    <w:rsid w:val="00F729F3"/>
    <w:rsid w:val="00F7311B"/>
    <w:rsid w:val="00F7358E"/>
    <w:rsid w:val="00F747E9"/>
    <w:rsid w:val="00F75B25"/>
    <w:rsid w:val="00F76C99"/>
    <w:rsid w:val="00F804A0"/>
    <w:rsid w:val="00F805AF"/>
    <w:rsid w:val="00F8212F"/>
    <w:rsid w:val="00F84BC7"/>
    <w:rsid w:val="00F84D44"/>
    <w:rsid w:val="00F84FEC"/>
    <w:rsid w:val="00F85E32"/>
    <w:rsid w:val="00F90453"/>
    <w:rsid w:val="00F9073C"/>
    <w:rsid w:val="00F90C54"/>
    <w:rsid w:val="00F92D3B"/>
    <w:rsid w:val="00F94EEA"/>
    <w:rsid w:val="00F95028"/>
    <w:rsid w:val="00F956B0"/>
    <w:rsid w:val="00F965BD"/>
    <w:rsid w:val="00F970D1"/>
    <w:rsid w:val="00FA0005"/>
    <w:rsid w:val="00FA0244"/>
    <w:rsid w:val="00FA207E"/>
    <w:rsid w:val="00FA2294"/>
    <w:rsid w:val="00FA2322"/>
    <w:rsid w:val="00FA24C1"/>
    <w:rsid w:val="00FA2790"/>
    <w:rsid w:val="00FA2CD1"/>
    <w:rsid w:val="00FA59CA"/>
    <w:rsid w:val="00FA5F90"/>
    <w:rsid w:val="00FA7C14"/>
    <w:rsid w:val="00FA7D73"/>
    <w:rsid w:val="00FB1E9F"/>
    <w:rsid w:val="00FB3938"/>
    <w:rsid w:val="00FB5624"/>
    <w:rsid w:val="00FB6B1B"/>
    <w:rsid w:val="00FB7800"/>
    <w:rsid w:val="00FB7A04"/>
    <w:rsid w:val="00FC2245"/>
    <w:rsid w:val="00FC3E50"/>
    <w:rsid w:val="00FC40E5"/>
    <w:rsid w:val="00FC4760"/>
    <w:rsid w:val="00FC498E"/>
    <w:rsid w:val="00FC549D"/>
    <w:rsid w:val="00FC5A2B"/>
    <w:rsid w:val="00FC6EEA"/>
    <w:rsid w:val="00FD0471"/>
    <w:rsid w:val="00FD1088"/>
    <w:rsid w:val="00FD1CC4"/>
    <w:rsid w:val="00FD2549"/>
    <w:rsid w:val="00FD4BAD"/>
    <w:rsid w:val="00FE0B49"/>
    <w:rsid w:val="00FE2D21"/>
    <w:rsid w:val="00FE3604"/>
    <w:rsid w:val="00FE4527"/>
    <w:rsid w:val="00FE4B35"/>
    <w:rsid w:val="00FE6E1B"/>
    <w:rsid w:val="00FF03A3"/>
    <w:rsid w:val="00FF1221"/>
    <w:rsid w:val="00FF2FAD"/>
    <w:rsid w:val="00FF328B"/>
    <w:rsid w:val="00FF375A"/>
    <w:rsid w:val="00FF4BA9"/>
    <w:rsid w:val="00FF71FF"/>
    <w:rsid w:val="01CEC757"/>
    <w:rsid w:val="07DB7799"/>
    <w:rsid w:val="13765FC0"/>
    <w:rsid w:val="4CCF0F43"/>
    <w:rsid w:val="6FEBBF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9F80503A-03C0-4DCA-A94D-189DC6D2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paragraph" w:styleId="Heading1">
    <w:name w:val="heading 1"/>
    <w:basedOn w:val="Normal"/>
    <w:next w:val="Normal"/>
    <w:link w:val="Heading1Char"/>
    <w:uiPriority w:val="9"/>
    <w:qFormat/>
    <w:rsid w:val="00A11A4E"/>
    <w:pPr>
      <w:jc w:val="center"/>
      <w:outlineLvl w:val="0"/>
    </w:pPr>
    <w:rPr>
      <w:b/>
      <w:bCs/>
    </w:rPr>
  </w:style>
  <w:style w:type="paragraph" w:styleId="Heading2">
    <w:name w:val="heading 2"/>
    <w:basedOn w:val="ListParagraph"/>
    <w:next w:val="Normal"/>
    <w:link w:val="Heading2Char"/>
    <w:uiPriority w:val="9"/>
    <w:unhideWhenUsed/>
    <w:qFormat/>
    <w:rsid w:val="00B1583D"/>
    <w:pPr>
      <w:numPr>
        <w:numId w:val="8"/>
      </w:numPr>
      <w:spacing w:after="120" w:line="240" w:lineRule="auto"/>
      <w:contextualSpacing w:val="0"/>
      <w:outlineLvl w:val="1"/>
    </w:pPr>
    <w:rPr>
      <w:rFonts w:ascii="Aptos" w:hAnsi="Aptos" w:cstheme="minorHAns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5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1"/>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1"/>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11A4E"/>
    <w:rPr>
      <w:b/>
      <w:bCs/>
    </w:rPr>
  </w:style>
  <w:style w:type="paragraph" w:customStyle="1" w:styleId="xxxmsonormal">
    <w:name w:val="x_xxmsonormal"/>
    <w:basedOn w:val="Normal"/>
    <w:rsid w:val="00C810F9"/>
    <w:pPr>
      <w:spacing w:after="0" w:line="240" w:lineRule="auto"/>
    </w:pPr>
    <w:rPr>
      <w:rFonts w:ascii="Aptos" w:hAnsi="Aptos" w:cs="Aptos"/>
      <w:sz w:val="24"/>
      <w:szCs w:val="24"/>
    </w:rPr>
  </w:style>
  <w:style w:type="character" w:customStyle="1" w:styleId="Heading2Char">
    <w:name w:val="Heading 2 Char"/>
    <w:basedOn w:val="DefaultParagraphFont"/>
    <w:link w:val="Heading2"/>
    <w:uiPriority w:val="9"/>
    <w:rsid w:val="00B1583D"/>
    <w:rPr>
      <w:rFonts w:ascii="Aptos" w:hAnsi="Apto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0865281">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636254132">
      <w:bodyDiv w:val="1"/>
      <w:marLeft w:val="0"/>
      <w:marRight w:val="0"/>
      <w:marTop w:val="0"/>
      <w:marBottom w:val="0"/>
      <w:divBdr>
        <w:top w:val="none" w:sz="0" w:space="0" w:color="auto"/>
        <w:left w:val="none" w:sz="0" w:space="0" w:color="auto"/>
        <w:bottom w:val="none" w:sz="0" w:space="0" w:color="auto"/>
        <w:right w:val="none" w:sz="0" w:space="0" w:color="auto"/>
      </w:divBdr>
    </w:div>
    <w:div w:id="782457477">
      <w:bodyDiv w:val="1"/>
      <w:marLeft w:val="0"/>
      <w:marRight w:val="0"/>
      <w:marTop w:val="0"/>
      <w:marBottom w:val="0"/>
      <w:divBdr>
        <w:top w:val="none" w:sz="0" w:space="0" w:color="auto"/>
        <w:left w:val="none" w:sz="0" w:space="0" w:color="auto"/>
        <w:bottom w:val="none" w:sz="0" w:space="0" w:color="auto"/>
        <w:right w:val="none" w:sz="0" w:space="0" w:color="auto"/>
      </w:divBdr>
    </w:div>
    <w:div w:id="841745989">
      <w:bodyDiv w:val="1"/>
      <w:marLeft w:val="0"/>
      <w:marRight w:val="0"/>
      <w:marTop w:val="0"/>
      <w:marBottom w:val="0"/>
      <w:divBdr>
        <w:top w:val="none" w:sz="0" w:space="0" w:color="auto"/>
        <w:left w:val="none" w:sz="0" w:space="0" w:color="auto"/>
        <w:bottom w:val="none" w:sz="0" w:space="0" w:color="auto"/>
        <w:right w:val="none" w:sz="0" w:space="0" w:color="auto"/>
      </w:divBdr>
    </w:div>
    <w:div w:id="871189433">
      <w:bodyDiv w:val="1"/>
      <w:marLeft w:val="0"/>
      <w:marRight w:val="0"/>
      <w:marTop w:val="0"/>
      <w:marBottom w:val="0"/>
      <w:divBdr>
        <w:top w:val="none" w:sz="0" w:space="0" w:color="auto"/>
        <w:left w:val="none" w:sz="0" w:space="0" w:color="auto"/>
        <w:bottom w:val="none" w:sz="0" w:space="0" w:color="auto"/>
        <w:right w:val="none" w:sz="0" w:space="0" w:color="auto"/>
      </w:divBdr>
    </w:div>
    <w:div w:id="1052728483">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227304709">
      <w:bodyDiv w:val="1"/>
      <w:marLeft w:val="0"/>
      <w:marRight w:val="0"/>
      <w:marTop w:val="0"/>
      <w:marBottom w:val="0"/>
      <w:divBdr>
        <w:top w:val="none" w:sz="0" w:space="0" w:color="auto"/>
        <w:left w:val="none" w:sz="0" w:space="0" w:color="auto"/>
        <w:bottom w:val="none" w:sz="0" w:space="0" w:color="auto"/>
        <w:right w:val="none" w:sz="0" w:space="0" w:color="auto"/>
      </w:divBdr>
    </w:div>
    <w:div w:id="1417360638">
      <w:bodyDiv w:val="1"/>
      <w:marLeft w:val="0"/>
      <w:marRight w:val="0"/>
      <w:marTop w:val="0"/>
      <w:marBottom w:val="0"/>
      <w:divBdr>
        <w:top w:val="none" w:sz="0" w:space="0" w:color="auto"/>
        <w:left w:val="none" w:sz="0" w:space="0" w:color="auto"/>
        <w:bottom w:val="none" w:sz="0" w:space="0" w:color="auto"/>
        <w:right w:val="none" w:sz="0" w:space="0" w:color="auto"/>
      </w:divBdr>
    </w:div>
    <w:div w:id="1433889771">
      <w:bodyDiv w:val="1"/>
      <w:marLeft w:val="0"/>
      <w:marRight w:val="0"/>
      <w:marTop w:val="0"/>
      <w:marBottom w:val="0"/>
      <w:divBdr>
        <w:top w:val="none" w:sz="0" w:space="0" w:color="auto"/>
        <w:left w:val="none" w:sz="0" w:space="0" w:color="auto"/>
        <w:bottom w:val="none" w:sz="0" w:space="0" w:color="auto"/>
        <w:right w:val="none" w:sz="0" w:space="0" w:color="auto"/>
      </w:divBdr>
    </w:div>
    <w:div w:id="1445618264">
      <w:bodyDiv w:val="1"/>
      <w:marLeft w:val="0"/>
      <w:marRight w:val="0"/>
      <w:marTop w:val="0"/>
      <w:marBottom w:val="0"/>
      <w:divBdr>
        <w:top w:val="none" w:sz="0" w:space="0" w:color="auto"/>
        <w:left w:val="none" w:sz="0" w:space="0" w:color="auto"/>
        <w:bottom w:val="none" w:sz="0" w:space="0" w:color="auto"/>
        <w:right w:val="none" w:sz="0" w:space="0" w:color="auto"/>
      </w:divBdr>
    </w:div>
    <w:div w:id="1472214227">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07089232">
      <w:bodyDiv w:val="1"/>
      <w:marLeft w:val="0"/>
      <w:marRight w:val="0"/>
      <w:marTop w:val="0"/>
      <w:marBottom w:val="0"/>
      <w:divBdr>
        <w:top w:val="none" w:sz="0" w:space="0" w:color="auto"/>
        <w:left w:val="none" w:sz="0" w:space="0" w:color="auto"/>
        <w:bottom w:val="none" w:sz="0" w:space="0" w:color="auto"/>
        <w:right w:val="none" w:sz="0" w:space="0" w:color="auto"/>
      </w:divBdr>
    </w:div>
    <w:div w:id="1529836053">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616717330">
      <w:bodyDiv w:val="1"/>
      <w:marLeft w:val="0"/>
      <w:marRight w:val="0"/>
      <w:marTop w:val="0"/>
      <w:marBottom w:val="0"/>
      <w:divBdr>
        <w:top w:val="none" w:sz="0" w:space="0" w:color="auto"/>
        <w:left w:val="none" w:sz="0" w:space="0" w:color="auto"/>
        <w:bottom w:val="none" w:sz="0" w:space="0" w:color="auto"/>
        <w:right w:val="none" w:sz="0" w:space="0" w:color="auto"/>
      </w:divBdr>
    </w:div>
    <w:div w:id="1734041949">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1946690431">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customXml/itemProps2.xml><?xml version="1.0" encoding="utf-8"?>
<ds:datastoreItem xmlns:ds="http://schemas.openxmlformats.org/officeDocument/2006/customXml" ds:itemID="{7A9EFB92-AB3E-4650-B87D-2F7432D34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414E6-33A8-411E-B2D8-218C7B6E1D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01DF7D-3AB0-486D-B7B5-24625E164B1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164</TotalTime>
  <Pages>6</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Lighthouse Operator Responses to DON 1</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 Mercy Responses to DON 1</dc:title>
  <dc:subject/>
  <dc:creator>Lucy</dc:creator>
  <cp:keywords/>
  <dc:description/>
  <cp:lastModifiedBy>Marks, Brett (DPH)</cp:lastModifiedBy>
  <cp:revision>29</cp:revision>
  <cp:lastPrinted>2026-06-26T16:29:00Z</cp:lastPrinted>
  <dcterms:created xsi:type="dcterms:W3CDTF">2026-06-26T16:07:00Z</dcterms:created>
  <dcterms:modified xsi:type="dcterms:W3CDTF">2026-06-29T19:17:00Z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