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FCF9" w14:textId="77777777" w:rsidR="00230FC5" w:rsidRDefault="00230FC5" w:rsidP="00AF54F2">
      <w:pPr>
        <w:spacing w:after="0" w:line="240" w:lineRule="auto"/>
      </w:pPr>
      <w:r w:rsidRPr="00230FC5">
        <w:rPr>
          <w:rFonts w:ascii="Calibri" w:hAnsi="Calibri" w:cs="Calibri"/>
          <w:b/>
          <w:bCs/>
        </w:rPr>
        <w:t>Please Respond by Friday, August 29</w:t>
      </w:r>
      <w:r w:rsidRPr="00230FC5">
        <w:rPr>
          <w:rFonts w:ascii="Calibri" w:hAnsi="Calibri" w:cs="Calibri"/>
          <w:b/>
          <w:bCs/>
          <w:vertAlign w:val="superscript"/>
        </w:rPr>
        <w:t>th</w:t>
      </w:r>
      <w:r w:rsidRPr="00230FC5">
        <w:rPr>
          <w:rFonts w:ascii="Calibri" w:hAnsi="Calibri" w:cs="Calibri"/>
          <w:b/>
          <w:bCs/>
        </w:rPr>
        <w:t xml:space="preserve">, 2025. </w:t>
      </w:r>
      <w:hyperlink r:id="rId7" w:history="1">
        <w:r w:rsidRPr="00230FC5">
          <w:rPr>
            <w:rStyle w:val="Hyperlink"/>
            <w:rFonts w:ascii="Calibri" w:hAnsi="Calibri" w:cs="Calibri"/>
            <w:i/>
            <w:iCs/>
          </w:rPr>
          <w:t>mailto:DPH.DON@State.MA.US</w:t>
        </w:r>
      </w:hyperlink>
    </w:p>
    <w:p w14:paraId="6F314E89" w14:textId="77777777" w:rsidR="00804EA6" w:rsidRPr="00230FC5" w:rsidRDefault="00804EA6" w:rsidP="00AF54F2">
      <w:pPr>
        <w:spacing w:after="0" w:line="240" w:lineRule="auto"/>
        <w:rPr>
          <w:rFonts w:ascii="Calibri" w:hAnsi="Calibri" w:cs="Calibri"/>
        </w:rPr>
      </w:pPr>
    </w:p>
    <w:p w14:paraId="06EE0B9D" w14:textId="77777777" w:rsidR="009B480F" w:rsidRDefault="009B480F" w:rsidP="009B480F">
      <w:pPr>
        <w:spacing w:after="0" w:line="240" w:lineRule="auto"/>
        <w:rPr>
          <w:rFonts w:ascii="Calibri" w:hAnsi="Calibri" w:cs="Calibri"/>
          <w:bCs/>
        </w:rPr>
      </w:pPr>
      <w:r w:rsidRPr="00230FC5">
        <w:rPr>
          <w:rFonts w:ascii="Calibri" w:hAnsi="Calibri" w:cs="Calibri"/>
          <w:bCs/>
        </w:rPr>
        <w:t>While you may submit each answer as available, please:</w:t>
      </w:r>
    </w:p>
    <w:p w14:paraId="235B76EC" w14:textId="77777777" w:rsidR="009B480F" w:rsidRDefault="009B480F" w:rsidP="005A3216">
      <w:pPr>
        <w:spacing w:after="0" w:line="240" w:lineRule="auto"/>
        <w:ind w:left="720"/>
        <w:rPr>
          <w:rFonts w:ascii="Calibri" w:hAnsi="Calibri" w:cs="Calibri"/>
          <w:bCs/>
        </w:rPr>
      </w:pPr>
    </w:p>
    <w:p w14:paraId="34DBE44C" w14:textId="635DDFB1" w:rsidR="00230FC5" w:rsidRPr="00230FC5" w:rsidRDefault="00230FC5" w:rsidP="00230FC5">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hAnsi="Calibri" w:cs="Calibri"/>
          <w:bCs/>
        </w:rPr>
      </w:pPr>
      <w:r w:rsidRPr="00230FC5">
        <w:rPr>
          <w:rFonts w:ascii="Calibri" w:hAnsi="Calibri" w:cs="Calibri"/>
          <w:bCs/>
        </w:rPr>
        <w:t>List question number and question for each answer you provide;</w:t>
      </w:r>
    </w:p>
    <w:p w14:paraId="72D205FB" w14:textId="77777777" w:rsidR="00230FC5" w:rsidRPr="00230FC5" w:rsidRDefault="00230FC5" w:rsidP="00230FC5">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hAnsi="Calibri" w:cs="Calibri"/>
          <w:bCs/>
        </w:rPr>
      </w:pPr>
      <w:r w:rsidRPr="00230FC5">
        <w:rPr>
          <w:rFonts w:ascii="Calibri" w:hAnsi="Calibri" w:cs="Calibri"/>
          <w:bCs/>
        </w:rPr>
        <w:t xml:space="preserve">Submit responses as a separate word document, using the above application title and number as a running header and page numbers in the footer; </w:t>
      </w:r>
    </w:p>
    <w:p w14:paraId="7E3C6E3C" w14:textId="77777777" w:rsidR="00230FC5" w:rsidRPr="00230FC5" w:rsidRDefault="00230FC5" w:rsidP="00230FC5">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hAnsi="Calibri" w:cs="Calibri"/>
          <w:bCs/>
        </w:rPr>
      </w:pPr>
      <w:r w:rsidRPr="00230FC5">
        <w:rPr>
          <w:rFonts w:ascii="Calibri" w:hAnsi="Calibri" w:cs="Calibri"/>
          <w:bCs/>
        </w:rPr>
        <w:t>When providing the answer to the final question, submit all questions and answers in one final document;</w:t>
      </w:r>
    </w:p>
    <w:p w14:paraId="6F5DDDF8" w14:textId="77777777" w:rsidR="00230FC5" w:rsidRPr="00230FC5" w:rsidRDefault="00230FC5" w:rsidP="00230FC5">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hAnsi="Calibri" w:cs="Calibri"/>
          <w:bCs/>
        </w:rPr>
      </w:pPr>
      <w:r w:rsidRPr="00230FC5">
        <w:rPr>
          <w:rFonts w:ascii="Calibri" w:hAnsi="Calibri" w:cs="Calibri"/>
          <w:bCs/>
        </w:rPr>
        <w:t>Submit responses in WORD or EXCEL; include a table in data format (NOT pdf or picture) with the response.</w:t>
      </w:r>
    </w:p>
    <w:p w14:paraId="7F195BC4" w14:textId="77777777" w:rsidR="00230FC5" w:rsidRPr="00230FC5" w:rsidRDefault="00230FC5" w:rsidP="00230FC5">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hAnsi="Calibri" w:cs="Calibri"/>
          <w:b/>
        </w:rPr>
      </w:pPr>
      <w:r w:rsidRPr="00230FC5">
        <w:rPr>
          <w:rFonts w:ascii="Calibri" w:hAnsi="Calibri" w:cs="Calibri"/>
          <w:bCs/>
        </w:rPr>
        <w:t>When providing a table of data, provide a narrative explaining the trends or significance of that information (such as what reason for the year-over-year changes are attributed to and how it relates to information already provided.)</w:t>
      </w:r>
    </w:p>
    <w:p w14:paraId="6D4EAC17" w14:textId="77777777" w:rsidR="00594D61" w:rsidRDefault="00594D61"/>
    <w:p w14:paraId="676D7DFE" w14:textId="7E08926B" w:rsidR="00230FC5" w:rsidRPr="0077294C" w:rsidRDefault="00230FC5" w:rsidP="00230FC5">
      <w:pPr>
        <w:pStyle w:val="ListParagraph"/>
        <w:numPr>
          <w:ilvl w:val="0"/>
          <w:numId w:val="2"/>
        </w:numPr>
        <w:rPr>
          <w:rFonts w:ascii="Calibri" w:hAnsi="Calibri" w:cs="Calibri"/>
        </w:rPr>
      </w:pPr>
      <w:r w:rsidRPr="0077294C">
        <w:rPr>
          <w:rFonts w:ascii="Calibri" w:hAnsi="Calibri" w:cs="Calibri"/>
        </w:rPr>
        <w:t xml:space="preserve">We are trying to understand if the wait times have increased or been the same over the reporting period (2023-25).  You provided an important explanation and context </w:t>
      </w:r>
      <w:proofErr w:type="gramStart"/>
      <w:r w:rsidRPr="0077294C">
        <w:rPr>
          <w:rFonts w:ascii="Calibri" w:hAnsi="Calibri" w:cs="Calibri"/>
        </w:rPr>
        <w:t>regarding  the</w:t>
      </w:r>
      <w:proofErr w:type="gramEnd"/>
      <w:r w:rsidRPr="0077294C">
        <w:rPr>
          <w:rFonts w:ascii="Calibri" w:hAnsi="Calibri" w:cs="Calibri"/>
        </w:rPr>
        <w:t xml:space="preserve"> factors influencing it, (below). However, the question concerning the previous years has not been answered fully. </w:t>
      </w:r>
    </w:p>
    <w:p w14:paraId="1E8E1F62" w14:textId="2DE89A3F" w:rsidR="00230FC5" w:rsidRDefault="00805EB3" w:rsidP="00805EB3">
      <w:pPr>
        <w:spacing w:after="0" w:line="240" w:lineRule="auto"/>
        <w:ind w:left="1080"/>
        <w:rPr>
          <w:rFonts w:ascii="Calibri" w:hAnsi="Calibri" w:cs="Calibri"/>
        </w:rPr>
      </w:pPr>
      <w:r w:rsidRPr="0077294C">
        <w:rPr>
          <w:rFonts w:ascii="Calibri" w:hAnsi="Calibri" w:cs="Calibri"/>
          <w:i/>
          <w:iCs/>
        </w:rPr>
        <w:t>“</w:t>
      </w:r>
      <w:r w:rsidR="00230FC5" w:rsidRPr="0077294C">
        <w:rPr>
          <w:rFonts w:ascii="Calibri" w:hAnsi="Calibri" w:cs="Calibri"/>
          <w:i/>
          <w:iCs/>
        </w:rPr>
        <w:t>Order-to-scan time is shaped by a combination of patient, clinical, and operational factors. Patient considerations such as work schedules, transportation, childcare, or need for sedation can affect availability. Exam-related factors, including contrast use, complexity, required lab work, implant clearance, or coordination with prior imaging, may add delays. Operational constraints such as scanner capacity, staffing, radiologist coverage, and scheduling hours further influence how quickly a patient can be scanned. The 18.5 days is primarily being driven by Abdomen (34.6 days) &amp; Arthrogram (45.7 days) exam types. Abdomen exams often require contrast, breath-holding sequences, and requires fasting, lab tests for renal function for contrast, and coordination with referring physicians, which adds scheduling constraints compared to other exam types. Arthrograms require coordination of multiple providers/resources (usually a radiologist for joint injection with contrast) and the MRI scanner afterward so exams are limited to specific days/times. Not all sites or technologists perform arthrogram injections, so patients have fewer locations to choose from creating an increased backlog. When excluding these exams, the average wait time from ordered to scanned drops to 16.6 days</w:t>
      </w:r>
      <w:r w:rsidR="00230FC5" w:rsidRPr="0077294C">
        <w:rPr>
          <w:rFonts w:ascii="Calibri" w:hAnsi="Calibri" w:cs="Calibri"/>
        </w:rPr>
        <w:t>.</w:t>
      </w:r>
      <w:r w:rsidRPr="0077294C">
        <w:rPr>
          <w:rFonts w:ascii="Calibri" w:hAnsi="Calibri" w:cs="Calibri"/>
        </w:rPr>
        <w:t>”</w:t>
      </w:r>
    </w:p>
    <w:p w14:paraId="1D5DD55A" w14:textId="77777777" w:rsidR="00F87AE0" w:rsidRDefault="00F87AE0" w:rsidP="00805EB3">
      <w:pPr>
        <w:spacing w:after="0" w:line="240" w:lineRule="auto"/>
        <w:ind w:left="1080"/>
        <w:rPr>
          <w:rFonts w:ascii="Calibri" w:hAnsi="Calibri" w:cs="Calibri"/>
        </w:rPr>
      </w:pPr>
    </w:p>
    <w:p w14:paraId="258E2232" w14:textId="77777777" w:rsidR="001C14F2" w:rsidRPr="001C14F2" w:rsidRDefault="001C14F2" w:rsidP="00F87AE0">
      <w:pPr>
        <w:pStyle w:val="ListParagraph"/>
        <w:numPr>
          <w:ilvl w:val="0"/>
          <w:numId w:val="6"/>
        </w:numPr>
        <w:spacing w:after="0" w:line="240" w:lineRule="auto"/>
        <w:rPr>
          <w:rFonts w:ascii="Calibri" w:hAnsi="Calibri" w:cs="Calibri"/>
        </w:rPr>
      </w:pPr>
      <w:r w:rsidRPr="001C14F2">
        <w:rPr>
          <w:rFonts w:ascii="Calibri" w:hAnsi="Calibri" w:cs="Calibri"/>
        </w:rPr>
        <w:t xml:space="preserve">Response to Question #1: </w:t>
      </w:r>
    </w:p>
    <w:p w14:paraId="1ADA0629" w14:textId="40D0CE7B" w:rsidR="00F87AE0" w:rsidRPr="001C14F2" w:rsidRDefault="00F87AE0" w:rsidP="001C14F2">
      <w:pPr>
        <w:pStyle w:val="ListParagraph"/>
        <w:spacing w:after="0" w:line="240" w:lineRule="auto"/>
        <w:ind w:left="1440"/>
        <w:rPr>
          <w:rFonts w:ascii="Calibri" w:hAnsi="Calibri" w:cs="Calibri"/>
        </w:rPr>
      </w:pPr>
      <w:r w:rsidRPr="001C14F2">
        <w:rPr>
          <w:rFonts w:ascii="Calibri" w:hAnsi="Calibri" w:cs="Calibri"/>
        </w:rPr>
        <w:t xml:space="preserve">Order to </w:t>
      </w:r>
      <w:r w:rsidR="00F6225A" w:rsidRPr="001C14F2">
        <w:rPr>
          <w:rFonts w:ascii="Calibri" w:hAnsi="Calibri" w:cs="Calibri"/>
        </w:rPr>
        <w:t>Scan</w:t>
      </w:r>
      <w:r w:rsidRPr="001C14F2">
        <w:rPr>
          <w:rFonts w:ascii="Calibri" w:hAnsi="Calibri" w:cs="Calibri"/>
        </w:rPr>
        <w:t xml:space="preserve"> by calendar year </w:t>
      </w:r>
      <w:r w:rsidR="00F6225A" w:rsidRPr="001C14F2">
        <w:rPr>
          <w:rFonts w:ascii="Calibri" w:hAnsi="Calibri" w:cs="Calibri"/>
        </w:rPr>
        <w:t xml:space="preserve">represented below indicates that we have seen increasing </w:t>
      </w:r>
      <w:proofErr w:type="gramStart"/>
      <w:r w:rsidR="00F6225A" w:rsidRPr="001C14F2">
        <w:rPr>
          <w:rFonts w:ascii="Calibri" w:hAnsi="Calibri" w:cs="Calibri"/>
        </w:rPr>
        <w:t>wait</w:t>
      </w:r>
      <w:proofErr w:type="gramEnd"/>
      <w:r w:rsidR="00F6225A" w:rsidRPr="001C14F2">
        <w:rPr>
          <w:rFonts w:ascii="Calibri" w:hAnsi="Calibri" w:cs="Calibri"/>
        </w:rPr>
        <w:t xml:space="preserve"> times at the location. The additional day of service will help to increase access </w:t>
      </w:r>
      <w:r w:rsidR="000A7F02" w:rsidRPr="001C14F2">
        <w:rPr>
          <w:rFonts w:ascii="Calibri" w:hAnsi="Calibri" w:cs="Calibri"/>
        </w:rPr>
        <w:t>to</w:t>
      </w:r>
      <w:r w:rsidR="00F6225A" w:rsidRPr="001C14F2">
        <w:rPr>
          <w:rFonts w:ascii="Calibri" w:hAnsi="Calibri" w:cs="Calibri"/>
        </w:rPr>
        <w:t xml:space="preserve"> patients and will contribute to reducing wait times. </w:t>
      </w:r>
      <w:r w:rsidRPr="001C14F2">
        <w:rPr>
          <w:rFonts w:ascii="Calibri" w:hAnsi="Calibri" w:cs="Calibri"/>
        </w:rPr>
        <w:t xml:space="preserve"> </w:t>
      </w:r>
    </w:p>
    <w:p w14:paraId="59AAB394" w14:textId="77777777" w:rsidR="000A7F02" w:rsidRDefault="000A7F02" w:rsidP="000A7F02">
      <w:pPr>
        <w:spacing w:after="0" w:line="240" w:lineRule="auto"/>
        <w:rPr>
          <w:rFonts w:ascii="Calibri" w:hAnsi="Calibri" w:cs="Calibri"/>
          <w:highlight w:val="yellow"/>
        </w:rPr>
      </w:pPr>
    </w:p>
    <w:p w14:paraId="10D59EA5" w14:textId="77777777" w:rsidR="000A7F02" w:rsidRPr="000A7F02" w:rsidRDefault="000A7F02" w:rsidP="000A7F02">
      <w:pPr>
        <w:spacing w:after="0" w:line="240" w:lineRule="auto"/>
        <w:rPr>
          <w:rFonts w:ascii="Calibri" w:hAnsi="Calibri" w:cs="Calibri"/>
          <w:highlight w:val="yellow"/>
        </w:rPr>
      </w:pPr>
    </w:p>
    <w:p w14:paraId="7EF02801" w14:textId="2A7155F2" w:rsidR="00F87AE0" w:rsidRPr="001C14F2" w:rsidRDefault="00F87AE0" w:rsidP="00F87AE0">
      <w:pPr>
        <w:pStyle w:val="ListParagraph"/>
        <w:numPr>
          <w:ilvl w:val="1"/>
          <w:numId w:val="6"/>
        </w:numPr>
        <w:spacing w:after="0" w:line="240" w:lineRule="auto"/>
        <w:rPr>
          <w:rFonts w:ascii="Calibri" w:hAnsi="Calibri" w:cs="Calibri"/>
        </w:rPr>
      </w:pPr>
      <w:r w:rsidRPr="001C14F2">
        <w:rPr>
          <w:rFonts w:ascii="Calibri" w:hAnsi="Calibri" w:cs="Calibri"/>
        </w:rPr>
        <w:t>2023: 16.2 days</w:t>
      </w:r>
    </w:p>
    <w:p w14:paraId="2FFDA46F" w14:textId="51827474" w:rsidR="00F87AE0" w:rsidRPr="001C14F2" w:rsidRDefault="00F87AE0" w:rsidP="00F87AE0">
      <w:pPr>
        <w:pStyle w:val="ListParagraph"/>
        <w:numPr>
          <w:ilvl w:val="1"/>
          <w:numId w:val="6"/>
        </w:numPr>
        <w:spacing w:after="0" w:line="240" w:lineRule="auto"/>
        <w:rPr>
          <w:rFonts w:ascii="Calibri" w:hAnsi="Calibri" w:cs="Calibri"/>
        </w:rPr>
      </w:pPr>
      <w:r w:rsidRPr="001C14F2">
        <w:rPr>
          <w:rFonts w:ascii="Calibri" w:hAnsi="Calibri" w:cs="Calibri"/>
        </w:rPr>
        <w:t>2024: 18.5 days</w:t>
      </w:r>
    </w:p>
    <w:p w14:paraId="50B5872D" w14:textId="7A4CE2C7" w:rsidR="00F87AE0" w:rsidRPr="001C14F2" w:rsidRDefault="00F87AE0" w:rsidP="00F87AE0">
      <w:pPr>
        <w:pStyle w:val="ListParagraph"/>
        <w:numPr>
          <w:ilvl w:val="1"/>
          <w:numId w:val="6"/>
        </w:numPr>
        <w:spacing w:after="0" w:line="240" w:lineRule="auto"/>
        <w:rPr>
          <w:rFonts w:ascii="Calibri" w:hAnsi="Calibri" w:cs="Calibri"/>
        </w:rPr>
      </w:pPr>
      <w:r w:rsidRPr="001C14F2">
        <w:rPr>
          <w:rFonts w:ascii="Calibri" w:hAnsi="Calibri" w:cs="Calibri"/>
        </w:rPr>
        <w:t>2025: 22.5 days (YTD June)</w:t>
      </w:r>
    </w:p>
    <w:p w14:paraId="5CFBBE1F" w14:textId="77777777" w:rsidR="00230FC5" w:rsidRPr="0077294C" w:rsidRDefault="00230FC5" w:rsidP="00805EB3">
      <w:pPr>
        <w:rPr>
          <w:rFonts w:ascii="Calibri" w:hAnsi="Calibri" w:cs="Calibri"/>
        </w:rPr>
      </w:pPr>
    </w:p>
    <w:p w14:paraId="3F0D1FE8" w14:textId="658956D5" w:rsidR="00230FC5" w:rsidRPr="0077294C" w:rsidRDefault="00AF54F2" w:rsidP="00DD441E">
      <w:pPr>
        <w:rPr>
          <w:rFonts w:ascii="Calibri" w:hAnsi="Calibri" w:cs="Calibri"/>
        </w:rPr>
      </w:pPr>
      <w:r w:rsidRPr="0077294C">
        <w:rPr>
          <w:rFonts w:ascii="Calibri" w:hAnsi="Calibri" w:cs="Calibri"/>
        </w:rPr>
        <w:t>P</w:t>
      </w:r>
      <w:r w:rsidR="00805EB3" w:rsidRPr="0077294C">
        <w:rPr>
          <w:rFonts w:ascii="Calibri" w:hAnsi="Calibri" w:cs="Calibri"/>
        </w:rPr>
        <w:t xml:space="preserve">lease provide </w:t>
      </w:r>
      <w:r w:rsidR="00230FC5" w:rsidRPr="0077294C">
        <w:rPr>
          <w:rFonts w:ascii="Calibri" w:hAnsi="Calibri" w:cs="Calibri"/>
        </w:rPr>
        <w:t>data on the average annual wait</w:t>
      </w:r>
      <w:r w:rsidRPr="0077294C">
        <w:rPr>
          <w:rFonts w:ascii="Calibri" w:hAnsi="Calibri" w:cs="Calibri"/>
        </w:rPr>
        <w:t>-</w:t>
      </w:r>
      <w:r w:rsidR="00230FC5" w:rsidRPr="0077294C">
        <w:rPr>
          <w:rFonts w:ascii="Calibri" w:hAnsi="Calibri" w:cs="Calibri"/>
        </w:rPr>
        <w:t xml:space="preserve">times from time ordered until time scanned, that is the same data </w:t>
      </w:r>
      <w:proofErr w:type="gramStart"/>
      <w:r w:rsidR="00230FC5" w:rsidRPr="0077294C">
        <w:rPr>
          <w:rFonts w:ascii="Calibri" w:hAnsi="Calibri" w:cs="Calibri"/>
        </w:rPr>
        <w:t>set</w:t>
      </w:r>
      <w:r w:rsidR="00805EB3" w:rsidRPr="0077294C">
        <w:rPr>
          <w:rFonts w:ascii="Calibri" w:hAnsi="Calibri" w:cs="Calibri"/>
        </w:rPr>
        <w:t xml:space="preserve"> </w:t>
      </w:r>
      <w:r w:rsidR="00230FC5" w:rsidRPr="0077294C">
        <w:rPr>
          <w:rFonts w:ascii="Calibri" w:hAnsi="Calibri" w:cs="Calibri"/>
        </w:rPr>
        <w:t xml:space="preserve"> as</w:t>
      </w:r>
      <w:proofErr w:type="gramEnd"/>
      <w:r w:rsidR="00230FC5" w:rsidRPr="0077294C">
        <w:rPr>
          <w:rFonts w:ascii="Calibri" w:hAnsi="Calibri" w:cs="Calibri"/>
        </w:rPr>
        <w:t xml:space="preserve"> the 18.5 days, for </w:t>
      </w:r>
      <w:r w:rsidR="0056224C" w:rsidRPr="0077294C">
        <w:rPr>
          <w:rFonts w:ascii="Calibri" w:hAnsi="Calibri" w:cs="Calibri"/>
        </w:rPr>
        <w:t xml:space="preserve">both </w:t>
      </w:r>
      <w:proofErr w:type="gramStart"/>
      <w:r w:rsidR="00230FC5" w:rsidRPr="0077294C">
        <w:rPr>
          <w:rFonts w:ascii="Calibri" w:hAnsi="Calibri" w:cs="Calibri"/>
        </w:rPr>
        <w:t>2023,</w:t>
      </w:r>
      <w:proofErr w:type="gramEnd"/>
      <w:r w:rsidR="00230FC5" w:rsidRPr="0077294C">
        <w:rPr>
          <w:rFonts w:ascii="Calibri" w:hAnsi="Calibri" w:cs="Calibri"/>
        </w:rPr>
        <w:t xml:space="preserve"> and 2024</w:t>
      </w:r>
      <w:r w:rsidR="0056224C" w:rsidRPr="0077294C">
        <w:rPr>
          <w:rFonts w:ascii="Calibri" w:hAnsi="Calibri" w:cs="Calibri"/>
        </w:rPr>
        <w:t>, if available</w:t>
      </w:r>
      <w:r w:rsidR="00805EB3" w:rsidRPr="0077294C">
        <w:rPr>
          <w:rFonts w:ascii="Calibri" w:hAnsi="Calibri" w:cs="Calibri"/>
        </w:rPr>
        <w:t>.</w:t>
      </w:r>
    </w:p>
    <w:p w14:paraId="4AF68A27" w14:textId="31F2EFFC" w:rsidR="00805EB3" w:rsidRPr="0077294C" w:rsidRDefault="00805EB3" w:rsidP="0077294C">
      <w:pPr>
        <w:pStyle w:val="ListParagraph"/>
        <w:numPr>
          <w:ilvl w:val="0"/>
          <w:numId w:val="2"/>
        </w:numPr>
        <w:rPr>
          <w:rFonts w:ascii="Calibri" w:hAnsi="Calibri" w:cs="Calibri"/>
        </w:rPr>
      </w:pPr>
      <w:r w:rsidRPr="0077294C">
        <w:rPr>
          <w:rFonts w:ascii="Calibri" w:hAnsi="Calibri" w:cs="Calibri"/>
        </w:rPr>
        <w:t>You provided the following table of historical scans from 2023 and 2024 and the projected scans for 25-28. How do those volumes compare to what was projected in your original DoN submission. If there is a significant difference, please provide an explanation.</w:t>
      </w:r>
    </w:p>
    <w:p w14:paraId="0E560FC7" w14:textId="77777777" w:rsidR="00805EB3" w:rsidRPr="0077294C" w:rsidRDefault="00805EB3" w:rsidP="00805EB3">
      <w:pPr>
        <w:pStyle w:val="ListParagraph"/>
        <w:rPr>
          <w:rFonts w:ascii="Calibri" w:hAnsi="Calibri" w:cs="Calibri"/>
        </w:rPr>
      </w:pPr>
    </w:p>
    <w:p w14:paraId="25CC14AD" w14:textId="44B17FE5" w:rsidR="00805EB3" w:rsidRPr="0077294C" w:rsidRDefault="00805EB3" w:rsidP="00805EB3">
      <w:pPr>
        <w:pStyle w:val="ListParagraph"/>
        <w:rPr>
          <w:rFonts w:ascii="Calibri" w:hAnsi="Calibri" w:cs="Calibri"/>
        </w:rPr>
      </w:pPr>
      <w:r w:rsidRPr="0077294C">
        <w:rPr>
          <w:rFonts w:ascii="Calibri" w:hAnsi="Calibri" w:cs="Calibri"/>
        </w:rPr>
        <w:t xml:space="preserve"> </w:t>
      </w:r>
      <w:r w:rsidR="00D27CD2" w:rsidRPr="0077294C">
        <w:rPr>
          <w:rFonts w:ascii="Calibri" w:hAnsi="Calibri" w:cs="Calibri"/>
          <w:b/>
          <w:bCs/>
          <w:color w:val="000000"/>
        </w:rPr>
        <w:t>Heywood MRI Projected Volumes (2025-2028)</w:t>
      </w:r>
    </w:p>
    <w:tbl>
      <w:tblPr>
        <w:tblW w:w="8640" w:type="dxa"/>
        <w:jc w:val="center"/>
        <w:tblCellMar>
          <w:left w:w="0" w:type="dxa"/>
          <w:right w:w="0" w:type="dxa"/>
        </w:tblCellMar>
        <w:tblLook w:val="04A0" w:firstRow="1" w:lastRow="0" w:firstColumn="1" w:lastColumn="0" w:noHBand="0" w:noVBand="1"/>
      </w:tblPr>
      <w:tblGrid>
        <w:gridCol w:w="1920"/>
        <w:gridCol w:w="1312"/>
        <w:gridCol w:w="1312"/>
        <w:gridCol w:w="1024"/>
        <w:gridCol w:w="1024"/>
        <w:gridCol w:w="1024"/>
        <w:gridCol w:w="1024"/>
      </w:tblGrid>
      <w:tr w:rsidR="00DD441E" w:rsidRPr="0077294C" w14:paraId="26B84213" w14:textId="77777777" w:rsidTr="00D27CD2">
        <w:trPr>
          <w:cantSplit/>
          <w:trHeight w:val="278"/>
          <w:tblHeader/>
          <w:jc w:val="center"/>
        </w:trPr>
        <w:tc>
          <w:tcPr>
            <w:tcW w:w="1920" w:type="dxa"/>
            <w:tcBorders>
              <w:top w:val="single" w:sz="8" w:space="0" w:color="auto"/>
              <w:left w:val="single" w:sz="8" w:space="0" w:color="auto"/>
              <w:bottom w:val="single" w:sz="8" w:space="0" w:color="auto"/>
              <w:right w:val="single" w:sz="8" w:space="0" w:color="auto"/>
            </w:tcBorders>
            <w:shd w:val="clear" w:color="auto" w:fill="E6FCFE"/>
            <w:tcMar>
              <w:top w:w="0" w:type="dxa"/>
              <w:left w:w="108" w:type="dxa"/>
              <w:bottom w:w="0" w:type="dxa"/>
              <w:right w:w="108" w:type="dxa"/>
            </w:tcMar>
            <w:vAlign w:val="center"/>
            <w:hideMark/>
          </w:tcPr>
          <w:p w14:paraId="128FFFB5" w14:textId="77777777" w:rsidR="00DD441E" w:rsidRPr="0077294C" w:rsidRDefault="00DD441E" w:rsidP="00DD441E">
            <w:pPr>
              <w:spacing w:after="0"/>
              <w:jc w:val="center"/>
              <w:rPr>
                <w:rFonts w:ascii="Calibri" w:hAnsi="Calibri" w:cs="Calibri"/>
                <w:b/>
                <w:bCs/>
                <w:color w:val="000000"/>
              </w:rPr>
            </w:pPr>
            <w:r w:rsidRPr="0077294C">
              <w:rPr>
                <w:rFonts w:ascii="Calibri" w:hAnsi="Calibri" w:cs="Calibri"/>
                <w:b/>
                <w:bCs/>
                <w:color w:val="000000"/>
              </w:rPr>
              <w:t> </w:t>
            </w:r>
          </w:p>
          <w:p w14:paraId="7B05F19C" w14:textId="3A98AA63" w:rsidR="00DD441E" w:rsidRPr="0077294C" w:rsidRDefault="00DD441E" w:rsidP="00DD441E">
            <w:pPr>
              <w:spacing w:after="0"/>
              <w:jc w:val="center"/>
              <w:rPr>
                <w:rFonts w:ascii="Calibri" w:hAnsi="Calibri" w:cs="Calibri"/>
                <w:b/>
                <w:bCs/>
                <w:color w:val="000000"/>
              </w:rPr>
            </w:pPr>
          </w:p>
        </w:tc>
        <w:tc>
          <w:tcPr>
            <w:tcW w:w="6720" w:type="dxa"/>
            <w:gridSpan w:val="6"/>
            <w:tcBorders>
              <w:top w:val="single" w:sz="8" w:space="0" w:color="auto"/>
              <w:left w:val="nil"/>
              <w:bottom w:val="single" w:sz="8" w:space="0" w:color="auto"/>
              <w:right w:val="single" w:sz="8" w:space="0" w:color="000000"/>
            </w:tcBorders>
            <w:shd w:val="clear" w:color="auto" w:fill="E6FCFE"/>
            <w:noWrap/>
            <w:tcMar>
              <w:top w:w="0" w:type="dxa"/>
              <w:left w:w="108" w:type="dxa"/>
              <w:bottom w:w="0" w:type="dxa"/>
              <w:right w:w="108" w:type="dxa"/>
            </w:tcMar>
            <w:vAlign w:val="center"/>
            <w:hideMark/>
          </w:tcPr>
          <w:p w14:paraId="2E12EA6E" w14:textId="1EA896E5" w:rsidR="00DD441E" w:rsidRPr="0077294C" w:rsidRDefault="00DD441E" w:rsidP="00DD441E">
            <w:pPr>
              <w:spacing w:after="0"/>
              <w:jc w:val="center"/>
              <w:rPr>
                <w:rFonts w:ascii="Calibri" w:hAnsi="Calibri" w:cs="Calibri"/>
                <w:b/>
                <w:bCs/>
                <w:color w:val="000000"/>
              </w:rPr>
            </w:pPr>
          </w:p>
        </w:tc>
      </w:tr>
      <w:tr w:rsidR="00805EB3" w:rsidRPr="0077294C" w14:paraId="7BE6257F" w14:textId="77777777" w:rsidTr="00D27CD2">
        <w:trPr>
          <w:cantSplit/>
          <w:trHeight w:val="278"/>
          <w:tblHeader/>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05CB8AA7"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Specialty</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2E189" w14:textId="77777777" w:rsidR="00805EB3" w:rsidRPr="0077294C" w:rsidRDefault="00805EB3" w:rsidP="00805EB3">
            <w:pPr>
              <w:spacing w:after="0"/>
              <w:jc w:val="center"/>
              <w:rPr>
                <w:rFonts w:ascii="Calibri" w:hAnsi="Calibri" w:cs="Calibri"/>
                <w:b/>
                <w:bCs/>
                <w:color w:val="000000"/>
              </w:rPr>
            </w:pPr>
            <w:r w:rsidRPr="0077294C">
              <w:rPr>
                <w:rFonts w:ascii="Calibri" w:hAnsi="Calibri" w:cs="Calibri"/>
                <w:b/>
                <w:bCs/>
                <w:color w:val="000000"/>
              </w:rPr>
              <w:t>2023</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33FCD" w14:textId="77777777" w:rsidR="00805EB3" w:rsidRPr="0077294C" w:rsidRDefault="00805EB3" w:rsidP="00805EB3">
            <w:pPr>
              <w:spacing w:after="0"/>
              <w:jc w:val="center"/>
              <w:rPr>
                <w:rFonts w:ascii="Calibri" w:hAnsi="Calibri" w:cs="Calibri"/>
                <w:b/>
                <w:bCs/>
                <w:color w:val="000000"/>
              </w:rPr>
            </w:pPr>
            <w:r w:rsidRPr="0077294C">
              <w:rPr>
                <w:rFonts w:ascii="Calibri" w:hAnsi="Calibri" w:cs="Calibri"/>
                <w:b/>
                <w:bCs/>
                <w:color w:val="000000"/>
              </w:rPr>
              <w:t>2024</w:t>
            </w:r>
          </w:p>
        </w:tc>
        <w:tc>
          <w:tcPr>
            <w:tcW w:w="1024" w:type="dxa"/>
            <w:tcBorders>
              <w:top w:val="nil"/>
              <w:left w:val="nil"/>
              <w:bottom w:val="nil"/>
              <w:right w:val="single" w:sz="8" w:space="0" w:color="auto"/>
            </w:tcBorders>
            <w:noWrap/>
            <w:tcMar>
              <w:top w:w="0" w:type="dxa"/>
              <w:left w:w="108" w:type="dxa"/>
              <w:bottom w:w="0" w:type="dxa"/>
              <w:right w:w="108" w:type="dxa"/>
            </w:tcMar>
            <w:vAlign w:val="center"/>
            <w:hideMark/>
          </w:tcPr>
          <w:p w14:paraId="7E137F33" w14:textId="77777777" w:rsidR="00805EB3" w:rsidRPr="0077294C" w:rsidRDefault="00805EB3" w:rsidP="00805EB3">
            <w:pPr>
              <w:spacing w:after="0"/>
              <w:jc w:val="center"/>
              <w:rPr>
                <w:rFonts w:ascii="Calibri" w:hAnsi="Calibri" w:cs="Calibri"/>
                <w:b/>
                <w:bCs/>
                <w:color w:val="000000"/>
              </w:rPr>
            </w:pPr>
            <w:r w:rsidRPr="0077294C">
              <w:rPr>
                <w:rFonts w:ascii="Calibri" w:hAnsi="Calibri" w:cs="Calibri"/>
                <w:b/>
                <w:bCs/>
                <w:color w:val="000000"/>
              </w:rPr>
              <w:t>2025</w:t>
            </w:r>
          </w:p>
        </w:tc>
        <w:tc>
          <w:tcPr>
            <w:tcW w:w="1024" w:type="dxa"/>
            <w:tcBorders>
              <w:top w:val="nil"/>
              <w:left w:val="nil"/>
              <w:bottom w:val="nil"/>
              <w:right w:val="single" w:sz="8" w:space="0" w:color="auto"/>
            </w:tcBorders>
            <w:noWrap/>
            <w:tcMar>
              <w:top w:w="0" w:type="dxa"/>
              <w:left w:w="108" w:type="dxa"/>
              <w:bottom w:w="0" w:type="dxa"/>
              <w:right w:w="108" w:type="dxa"/>
            </w:tcMar>
            <w:vAlign w:val="center"/>
            <w:hideMark/>
          </w:tcPr>
          <w:p w14:paraId="4D03BEAA" w14:textId="77777777" w:rsidR="00805EB3" w:rsidRPr="0077294C" w:rsidRDefault="00805EB3" w:rsidP="00805EB3">
            <w:pPr>
              <w:spacing w:after="0"/>
              <w:jc w:val="center"/>
              <w:rPr>
                <w:rFonts w:ascii="Calibri" w:hAnsi="Calibri" w:cs="Calibri"/>
                <w:b/>
                <w:bCs/>
                <w:color w:val="000000"/>
              </w:rPr>
            </w:pPr>
            <w:r w:rsidRPr="0077294C">
              <w:rPr>
                <w:rFonts w:ascii="Calibri" w:hAnsi="Calibri" w:cs="Calibri"/>
                <w:b/>
                <w:bCs/>
                <w:color w:val="000000"/>
              </w:rPr>
              <w:t>2026</w:t>
            </w:r>
          </w:p>
        </w:tc>
        <w:tc>
          <w:tcPr>
            <w:tcW w:w="1024" w:type="dxa"/>
            <w:tcBorders>
              <w:top w:val="nil"/>
              <w:left w:val="nil"/>
              <w:bottom w:val="nil"/>
              <w:right w:val="single" w:sz="8" w:space="0" w:color="auto"/>
            </w:tcBorders>
            <w:noWrap/>
            <w:tcMar>
              <w:top w:w="0" w:type="dxa"/>
              <w:left w:w="108" w:type="dxa"/>
              <w:bottom w:w="0" w:type="dxa"/>
              <w:right w:w="108" w:type="dxa"/>
            </w:tcMar>
            <w:vAlign w:val="center"/>
            <w:hideMark/>
          </w:tcPr>
          <w:p w14:paraId="23B65268" w14:textId="77777777" w:rsidR="00805EB3" w:rsidRPr="0077294C" w:rsidRDefault="00805EB3" w:rsidP="00805EB3">
            <w:pPr>
              <w:spacing w:after="0"/>
              <w:jc w:val="center"/>
              <w:rPr>
                <w:rFonts w:ascii="Calibri" w:hAnsi="Calibri" w:cs="Calibri"/>
                <w:b/>
                <w:bCs/>
                <w:color w:val="000000"/>
              </w:rPr>
            </w:pPr>
            <w:r w:rsidRPr="0077294C">
              <w:rPr>
                <w:rFonts w:ascii="Calibri" w:hAnsi="Calibri" w:cs="Calibri"/>
                <w:b/>
                <w:bCs/>
                <w:color w:val="000000"/>
              </w:rPr>
              <w:t>2027</w:t>
            </w:r>
          </w:p>
        </w:tc>
        <w:tc>
          <w:tcPr>
            <w:tcW w:w="1024" w:type="dxa"/>
            <w:tcBorders>
              <w:top w:val="nil"/>
              <w:left w:val="nil"/>
              <w:bottom w:val="nil"/>
              <w:right w:val="single" w:sz="8" w:space="0" w:color="auto"/>
            </w:tcBorders>
            <w:noWrap/>
            <w:tcMar>
              <w:top w:w="0" w:type="dxa"/>
              <w:left w:w="108" w:type="dxa"/>
              <w:bottom w:w="0" w:type="dxa"/>
              <w:right w:w="108" w:type="dxa"/>
            </w:tcMar>
            <w:vAlign w:val="center"/>
            <w:hideMark/>
          </w:tcPr>
          <w:p w14:paraId="248420AC" w14:textId="77777777" w:rsidR="00805EB3" w:rsidRPr="0077294C" w:rsidRDefault="00805EB3" w:rsidP="00805EB3">
            <w:pPr>
              <w:spacing w:after="0"/>
              <w:jc w:val="center"/>
              <w:rPr>
                <w:rFonts w:ascii="Calibri" w:hAnsi="Calibri" w:cs="Calibri"/>
                <w:b/>
                <w:bCs/>
                <w:color w:val="000000"/>
              </w:rPr>
            </w:pPr>
            <w:r w:rsidRPr="0077294C">
              <w:rPr>
                <w:rFonts w:ascii="Calibri" w:hAnsi="Calibri" w:cs="Calibri"/>
                <w:b/>
                <w:bCs/>
                <w:color w:val="000000"/>
              </w:rPr>
              <w:t>2028</w:t>
            </w:r>
          </w:p>
        </w:tc>
      </w:tr>
      <w:tr w:rsidR="00805EB3" w:rsidRPr="0077294C" w14:paraId="7745746D"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739701F"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Abdomen</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8F4030"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457</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9E2CA1"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674</w:t>
            </w:r>
          </w:p>
        </w:tc>
        <w:tc>
          <w:tcPr>
            <w:tcW w:w="102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23095D"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730</w:t>
            </w:r>
          </w:p>
        </w:tc>
        <w:tc>
          <w:tcPr>
            <w:tcW w:w="102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52AF0F4"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788</w:t>
            </w:r>
          </w:p>
        </w:tc>
        <w:tc>
          <w:tcPr>
            <w:tcW w:w="102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B6A9502"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852</w:t>
            </w:r>
          </w:p>
        </w:tc>
        <w:tc>
          <w:tcPr>
            <w:tcW w:w="102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2E35BCC"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920</w:t>
            </w:r>
          </w:p>
        </w:tc>
      </w:tr>
      <w:tr w:rsidR="00805EB3" w:rsidRPr="0077294C" w14:paraId="6F7AA6EF"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3E907933"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Arthrogram</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868041"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24</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F31894"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43</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02ACDF"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47</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AECF4F"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50</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5403E7"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54</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26BF03"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59</w:t>
            </w:r>
          </w:p>
        </w:tc>
      </w:tr>
      <w:tr w:rsidR="00805EB3" w:rsidRPr="0077294C" w14:paraId="184C51E1"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F631EA7"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Brain</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9BC203"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1,333</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6EC2A8"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1,943</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2E9182"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2,104</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90E00C"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2,272</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F01290"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2,454</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04EEDC"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2,650</w:t>
            </w:r>
          </w:p>
        </w:tc>
      </w:tr>
      <w:tr w:rsidR="00805EB3" w:rsidRPr="0077294C" w14:paraId="01F13D2D"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2EDE40E"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Cervical</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52B338"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421</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245C8"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721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2BECB6"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781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24E10D"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843</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DA8EE2"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911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A841CD"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984</w:t>
            </w:r>
          </w:p>
        </w:tc>
      </w:tr>
      <w:tr w:rsidR="00805EB3" w:rsidRPr="0077294C" w14:paraId="3A85A2D1"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1EC4A9D0"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Chest</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B34875"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6</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EFB4AD"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F33A93"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1AD844"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E791C2"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CF65EB"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w:t>
            </w:r>
          </w:p>
        </w:tc>
      </w:tr>
      <w:tr w:rsidR="00805EB3" w:rsidRPr="0077294C" w14:paraId="400341C5"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33C3F97A"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Head/Neck</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469717"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125</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EF1B2"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128</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2B172D"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139</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24F595"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150</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EE45F9"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162</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FF2A37"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175</w:t>
            </w:r>
          </w:p>
        </w:tc>
      </w:tr>
      <w:tr w:rsidR="00805EB3" w:rsidRPr="0077294C" w14:paraId="260DECCD"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57FEE879"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Lower Extremity</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2955DA"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698</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CF7B9C"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1,044</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C613B2"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1,131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EE6F9A"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1,221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3C3BEA"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1,319</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D35918"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1,425</w:t>
            </w:r>
          </w:p>
        </w:tc>
      </w:tr>
      <w:tr w:rsidR="00805EB3" w:rsidRPr="0077294C" w14:paraId="128C351A"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7F422A58"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Lumbar</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5F62D0"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801</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5E8E51"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1,219</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86A194"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1,320</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F170D4"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1,426</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822220"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1,540</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63E671"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1,663</w:t>
            </w:r>
          </w:p>
        </w:tc>
      </w:tr>
      <w:tr w:rsidR="00805EB3" w:rsidRPr="0077294C" w14:paraId="673EB2BC"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27DDD4D4"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Pelvis</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3A8D34"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85</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47C29B"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150</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018F6C"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162</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E7F746"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175</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063EDB"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190</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A605F0"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205</w:t>
            </w:r>
          </w:p>
        </w:tc>
      </w:tr>
      <w:tr w:rsidR="00805EB3" w:rsidRPr="0077294C" w14:paraId="40445BE2"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6B5BC6D6"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Thoracic Spine</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E7F934"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153</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50044C"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222</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C1D198"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240</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9282F8"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260</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B73A42"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280</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42F1D5"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303</w:t>
            </w:r>
          </w:p>
        </w:tc>
      </w:tr>
      <w:tr w:rsidR="00805EB3" w:rsidRPr="0077294C" w14:paraId="22A98591"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1985CF56"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Upper Extremity</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6FCEBD"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418</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5B00DB"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634</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3C7D05"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687</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94E9C8"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742</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D963A3"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801</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D05715" w14:textId="77777777" w:rsidR="00805EB3" w:rsidRPr="0077294C" w:rsidRDefault="00805EB3" w:rsidP="00805EB3">
            <w:pPr>
              <w:spacing w:after="0"/>
              <w:jc w:val="right"/>
              <w:rPr>
                <w:rFonts w:ascii="Calibri" w:hAnsi="Calibri" w:cs="Calibri"/>
                <w:color w:val="000000"/>
              </w:rPr>
            </w:pPr>
            <w:r w:rsidRPr="0077294C">
              <w:rPr>
                <w:rFonts w:ascii="Calibri" w:hAnsi="Calibri" w:cs="Calibri"/>
                <w:color w:val="000000"/>
              </w:rPr>
              <w:t>865</w:t>
            </w:r>
          </w:p>
        </w:tc>
      </w:tr>
      <w:tr w:rsidR="00805EB3" w:rsidRPr="0077294C" w14:paraId="0383B84E" w14:textId="77777777" w:rsidTr="00D27CD2">
        <w:trPr>
          <w:cantSplit/>
          <w:trHeight w:val="278"/>
          <w:jc w:val="center"/>
        </w:trPr>
        <w:tc>
          <w:tcPr>
            <w:tcW w:w="19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5C75C359" w14:textId="77777777" w:rsidR="00805EB3" w:rsidRPr="0077294C" w:rsidRDefault="00805EB3" w:rsidP="00805EB3">
            <w:pPr>
              <w:spacing w:after="0"/>
              <w:rPr>
                <w:rFonts w:ascii="Calibri" w:hAnsi="Calibri" w:cs="Calibri"/>
                <w:color w:val="000000"/>
              </w:rPr>
            </w:pPr>
            <w:r w:rsidRPr="0077294C">
              <w:rPr>
                <w:rFonts w:ascii="Calibri" w:hAnsi="Calibri" w:cs="Calibri"/>
                <w:color w:val="000000"/>
              </w:rPr>
              <w:t>Total</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D40599" w14:textId="77777777" w:rsidR="00805EB3" w:rsidRPr="0077294C" w:rsidRDefault="00805EB3" w:rsidP="00805EB3">
            <w:pPr>
              <w:spacing w:after="0"/>
              <w:jc w:val="right"/>
              <w:rPr>
                <w:rFonts w:ascii="Calibri" w:hAnsi="Calibri" w:cs="Calibri"/>
                <w:b/>
                <w:bCs/>
                <w:color w:val="000000"/>
              </w:rPr>
            </w:pPr>
            <w:r w:rsidRPr="0077294C">
              <w:rPr>
                <w:rFonts w:ascii="Calibri" w:hAnsi="Calibri" w:cs="Calibri"/>
                <w:b/>
                <w:bCs/>
                <w:color w:val="000000"/>
              </w:rPr>
              <w:t>4,521</w:t>
            </w: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E7975F" w14:textId="77777777" w:rsidR="00805EB3" w:rsidRPr="0077294C" w:rsidRDefault="00805EB3" w:rsidP="00805EB3">
            <w:pPr>
              <w:spacing w:after="0"/>
              <w:jc w:val="right"/>
              <w:rPr>
                <w:rFonts w:ascii="Calibri" w:hAnsi="Calibri" w:cs="Calibri"/>
                <w:b/>
                <w:bCs/>
                <w:color w:val="000000"/>
              </w:rPr>
            </w:pPr>
            <w:r w:rsidRPr="0077294C">
              <w:rPr>
                <w:rFonts w:ascii="Calibri" w:hAnsi="Calibri" w:cs="Calibri"/>
                <w:b/>
                <w:bCs/>
                <w:color w:val="000000"/>
              </w:rPr>
              <w:t>6,779</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A6FAB8" w14:textId="77777777" w:rsidR="00805EB3" w:rsidRPr="0077294C" w:rsidRDefault="00805EB3" w:rsidP="00805EB3">
            <w:pPr>
              <w:spacing w:after="0"/>
              <w:jc w:val="right"/>
              <w:rPr>
                <w:rFonts w:ascii="Calibri" w:hAnsi="Calibri" w:cs="Calibri"/>
                <w:b/>
                <w:bCs/>
                <w:color w:val="000000"/>
              </w:rPr>
            </w:pPr>
            <w:r w:rsidRPr="0077294C">
              <w:rPr>
                <w:rFonts w:ascii="Calibri" w:hAnsi="Calibri" w:cs="Calibri"/>
                <w:b/>
                <w:bCs/>
                <w:color w:val="000000"/>
              </w:rPr>
              <w:t>7,342</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ED2B34" w14:textId="77777777" w:rsidR="00805EB3" w:rsidRPr="0077294C" w:rsidRDefault="00805EB3" w:rsidP="00805EB3">
            <w:pPr>
              <w:spacing w:after="0"/>
              <w:jc w:val="right"/>
              <w:rPr>
                <w:rFonts w:ascii="Calibri" w:hAnsi="Calibri" w:cs="Calibri"/>
                <w:b/>
                <w:bCs/>
                <w:color w:val="000000"/>
              </w:rPr>
            </w:pPr>
            <w:r w:rsidRPr="0077294C">
              <w:rPr>
                <w:rFonts w:ascii="Calibri" w:hAnsi="Calibri" w:cs="Calibri"/>
                <w:b/>
                <w:bCs/>
                <w:color w:val="000000"/>
              </w:rPr>
              <w:t>7,929</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9F32E0" w14:textId="77777777" w:rsidR="00805EB3" w:rsidRPr="0077294C" w:rsidRDefault="00805EB3" w:rsidP="00805EB3">
            <w:pPr>
              <w:spacing w:after="0"/>
              <w:jc w:val="right"/>
              <w:rPr>
                <w:rFonts w:ascii="Calibri" w:hAnsi="Calibri" w:cs="Calibri"/>
                <w:b/>
                <w:bCs/>
                <w:color w:val="000000"/>
              </w:rPr>
            </w:pPr>
            <w:r w:rsidRPr="0077294C">
              <w:rPr>
                <w:rFonts w:ascii="Calibri" w:hAnsi="Calibri" w:cs="Calibri"/>
                <w:b/>
                <w:bCs/>
                <w:color w:val="000000"/>
              </w:rPr>
              <w:t>8,564</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6F6BB5" w14:textId="77777777" w:rsidR="00805EB3" w:rsidRPr="0077294C" w:rsidRDefault="00805EB3" w:rsidP="00805EB3">
            <w:pPr>
              <w:spacing w:after="0"/>
              <w:jc w:val="right"/>
              <w:rPr>
                <w:rFonts w:ascii="Calibri" w:hAnsi="Calibri" w:cs="Calibri"/>
                <w:b/>
                <w:bCs/>
                <w:color w:val="000000"/>
              </w:rPr>
            </w:pPr>
            <w:r w:rsidRPr="0077294C">
              <w:rPr>
                <w:rFonts w:ascii="Calibri" w:hAnsi="Calibri" w:cs="Calibri"/>
                <w:b/>
                <w:bCs/>
                <w:color w:val="000000"/>
              </w:rPr>
              <w:t>9,249</w:t>
            </w:r>
          </w:p>
        </w:tc>
      </w:tr>
    </w:tbl>
    <w:p w14:paraId="2A3767CF" w14:textId="6E93590C" w:rsidR="00805EB3" w:rsidRPr="0077294C" w:rsidRDefault="00805EB3" w:rsidP="00805EB3">
      <w:pPr>
        <w:pStyle w:val="ListParagraph"/>
        <w:rPr>
          <w:rFonts w:ascii="Calibri" w:hAnsi="Calibri" w:cs="Calibri"/>
        </w:rPr>
      </w:pPr>
    </w:p>
    <w:p w14:paraId="4D180C73" w14:textId="77777777" w:rsidR="001C14F2" w:rsidRPr="001C14F2" w:rsidRDefault="001C14F2" w:rsidP="00BF249D">
      <w:pPr>
        <w:pStyle w:val="ListParagraph"/>
        <w:numPr>
          <w:ilvl w:val="0"/>
          <w:numId w:val="6"/>
        </w:numPr>
        <w:ind w:left="360"/>
      </w:pPr>
      <w:r w:rsidRPr="001C14F2">
        <w:t>Response to Question #2:</w:t>
      </w:r>
    </w:p>
    <w:p w14:paraId="5CE5AD97" w14:textId="661BA1B8" w:rsidR="00230FC5" w:rsidRPr="001C14F2" w:rsidRDefault="00F87AE0" w:rsidP="00BF249D">
      <w:pPr>
        <w:pStyle w:val="ListParagraph"/>
        <w:ind w:left="360"/>
      </w:pPr>
      <w:r w:rsidRPr="001C14F2">
        <w:t xml:space="preserve">Actual volumes have surpassed the year 5 MRI projected volumes which </w:t>
      </w:r>
      <w:r w:rsidR="00BE36CD" w:rsidRPr="001C14F2">
        <w:t>have</w:t>
      </w:r>
      <w:r w:rsidRPr="001C14F2">
        <w:t xml:space="preserve"> </w:t>
      </w:r>
      <w:r w:rsidR="00BE36CD" w:rsidRPr="001C14F2">
        <w:t xml:space="preserve">contributed </w:t>
      </w:r>
      <w:r w:rsidRPr="001C14F2">
        <w:t xml:space="preserve">to the capacity issues </w:t>
      </w:r>
      <w:r w:rsidR="00BE36CD" w:rsidRPr="001C14F2">
        <w:t xml:space="preserve">experienced leading to the application for the additional day of service </w:t>
      </w:r>
      <w:r w:rsidRPr="001C14F2">
        <w:t>to accommodate the patient needs for imaging. This aligns with the increasing wait times for exams as evidenced in the previous question as demand exceeded expectations of the original DoN submission.</w:t>
      </w:r>
    </w:p>
    <w:p w14:paraId="5736FDBC" w14:textId="77777777" w:rsidR="00F87AE0" w:rsidRPr="001C14F2" w:rsidRDefault="00F87AE0" w:rsidP="00BF249D">
      <w:pPr>
        <w:pStyle w:val="ListParagraph"/>
        <w:ind w:left="360"/>
      </w:pPr>
    </w:p>
    <w:p w14:paraId="266636FB" w14:textId="11291C03" w:rsidR="00F87AE0" w:rsidRDefault="00F87AE0" w:rsidP="00BF249D">
      <w:pPr>
        <w:pStyle w:val="ListParagraph"/>
        <w:numPr>
          <w:ilvl w:val="0"/>
          <w:numId w:val="6"/>
        </w:numPr>
        <w:ind w:left="360"/>
      </w:pPr>
      <w:r w:rsidRPr="001C14F2">
        <w:rPr>
          <w:u w:val="single"/>
        </w:rPr>
        <w:t>Year 1</w:t>
      </w:r>
      <w:r w:rsidRPr="001C14F2">
        <w:t xml:space="preserve">: 4,999 / </w:t>
      </w:r>
      <w:r w:rsidRPr="001C14F2">
        <w:rPr>
          <w:u w:val="single"/>
        </w:rPr>
        <w:t>Year 2</w:t>
      </w:r>
      <w:r w:rsidRPr="001C14F2">
        <w:t xml:space="preserve">: 5,213 / </w:t>
      </w:r>
      <w:r w:rsidRPr="001C14F2">
        <w:rPr>
          <w:u w:val="single"/>
        </w:rPr>
        <w:t>Year 3</w:t>
      </w:r>
      <w:r w:rsidRPr="001C14F2">
        <w:t xml:space="preserve">: 5,358 / </w:t>
      </w:r>
      <w:r w:rsidRPr="001C14F2">
        <w:rPr>
          <w:u w:val="single"/>
        </w:rPr>
        <w:t>Year 4</w:t>
      </w:r>
      <w:r w:rsidRPr="001C14F2">
        <w:t xml:space="preserve">: 5,575 / </w:t>
      </w:r>
      <w:r w:rsidRPr="001C14F2">
        <w:rPr>
          <w:u w:val="single"/>
        </w:rPr>
        <w:t>Year 5</w:t>
      </w:r>
      <w:r w:rsidRPr="001C14F2">
        <w:t>: 5,751</w:t>
      </w:r>
    </w:p>
    <w:p w14:paraId="4FD845F1" w14:textId="7B37A3EE" w:rsidR="00144825" w:rsidRDefault="00144825" w:rsidP="00144825"/>
    <w:p w14:paraId="2098E1F7" w14:textId="77777777" w:rsidR="00531480" w:rsidRDefault="00531480" w:rsidP="00144825"/>
    <w:p w14:paraId="05C82453" w14:textId="1C37654E" w:rsidR="00144825" w:rsidRDefault="00144825" w:rsidP="00144825">
      <w:pPr>
        <w:rPr>
          <w:b/>
          <w:bCs/>
          <w:color w:val="EE0000"/>
        </w:rPr>
      </w:pPr>
      <w:r>
        <w:rPr>
          <w:b/>
          <w:bCs/>
          <w:color w:val="EE0000"/>
        </w:rPr>
        <w:t>Additional questions.</w:t>
      </w:r>
    </w:p>
    <w:p w14:paraId="38CB140C" w14:textId="074470D8" w:rsidR="00144825" w:rsidRPr="00144825" w:rsidRDefault="00144825" w:rsidP="00144825">
      <w:pPr>
        <w:rPr>
          <w:b/>
          <w:bCs/>
          <w:color w:val="EE0000"/>
        </w:rPr>
      </w:pPr>
      <w:r w:rsidRPr="00144825">
        <w:rPr>
          <w:b/>
          <w:bCs/>
          <w:color w:val="EE0000"/>
        </w:rPr>
        <w:t>What year is Year 1? We note significant increases from 23-24. To what do you attribute these changes?</w:t>
      </w:r>
      <w:r>
        <w:rPr>
          <w:b/>
          <w:bCs/>
          <w:color w:val="EE0000"/>
        </w:rPr>
        <w:t xml:space="preserve"> For example: Are these patients coming from other facilities that they previously went to?  Have you recruited new specialists? Please explain</w:t>
      </w:r>
    </w:p>
    <w:tbl>
      <w:tblPr>
        <w:tblStyle w:val="TableGrid"/>
        <w:tblW w:w="0" w:type="auto"/>
        <w:tblInd w:w="-5" w:type="dxa"/>
        <w:tblLook w:val="04A0" w:firstRow="1" w:lastRow="0" w:firstColumn="1" w:lastColumn="0" w:noHBand="0" w:noVBand="1"/>
      </w:tblPr>
      <w:tblGrid>
        <w:gridCol w:w="2070"/>
        <w:gridCol w:w="990"/>
        <w:gridCol w:w="960"/>
      </w:tblGrid>
      <w:tr w:rsidR="009A30EC" w:rsidRPr="00144825" w14:paraId="20998C3A" w14:textId="77777777" w:rsidTr="00D27CD2">
        <w:trPr>
          <w:cantSplit/>
          <w:trHeight w:val="320"/>
          <w:tblHeader/>
        </w:trPr>
        <w:tc>
          <w:tcPr>
            <w:tcW w:w="2070" w:type="dxa"/>
            <w:shd w:val="clear" w:color="auto" w:fill="CCECFF"/>
          </w:tcPr>
          <w:p w14:paraId="5C2F57EB" w14:textId="32A745E5" w:rsidR="009A30EC" w:rsidRPr="00144825" w:rsidRDefault="009A30EC" w:rsidP="00144825">
            <w:pPr>
              <w:rPr>
                <w:rFonts w:ascii="Calibri" w:hAnsi="Calibri" w:cs="Calibri"/>
                <w:color w:val="000000"/>
              </w:rPr>
            </w:pPr>
            <w:r>
              <w:rPr>
                <w:rFonts w:ascii="Calibri" w:hAnsi="Calibri" w:cs="Calibri"/>
                <w:color w:val="000000"/>
              </w:rPr>
              <w:t>Specialty</w:t>
            </w:r>
          </w:p>
        </w:tc>
        <w:tc>
          <w:tcPr>
            <w:tcW w:w="990" w:type="dxa"/>
            <w:shd w:val="clear" w:color="auto" w:fill="CCECFF"/>
          </w:tcPr>
          <w:p w14:paraId="1F4CB8F3" w14:textId="29CE8083" w:rsidR="009A30EC" w:rsidRPr="00144825" w:rsidRDefault="009A30EC" w:rsidP="00144825">
            <w:pPr>
              <w:rPr>
                <w:rFonts w:ascii="Calibri" w:hAnsi="Calibri" w:cs="Calibri"/>
                <w:color w:val="000000"/>
              </w:rPr>
            </w:pPr>
            <w:r>
              <w:rPr>
                <w:rFonts w:ascii="Calibri" w:hAnsi="Calibri" w:cs="Calibri"/>
                <w:color w:val="000000"/>
              </w:rPr>
              <w:t>23-24</w:t>
            </w:r>
          </w:p>
        </w:tc>
        <w:tc>
          <w:tcPr>
            <w:tcW w:w="960" w:type="dxa"/>
            <w:shd w:val="clear" w:color="auto" w:fill="CCECFF"/>
            <w:noWrap/>
            <w:hideMark/>
          </w:tcPr>
          <w:p w14:paraId="24F8CC2A" w14:textId="32BF3D23" w:rsidR="009A30EC" w:rsidRPr="00144825" w:rsidRDefault="009A30EC">
            <w:r w:rsidRPr="00144825">
              <w:rPr>
                <w:rFonts w:ascii="Calibri" w:hAnsi="Calibri" w:cs="Calibri"/>
              </w:rPr>
              <w:t>v</w:t>
            </w:r>
          </w:p>
        </w:tc>
      </w:tr>
      <w:tr w:rsidR="00144825" w:rsidRPr="00144825" w14:paraId="2E04E0F8" w14:textId="77777777" w:rsidTr="00D27CD2">
        <w:trPr>
          <w:gridAfter w:val="1"/>
          <w:wAfter w:w="360" w:type="dxa"/>
          <w:cantSplit/>
          <w:trHeight w:val="320"/>
        </w:trPr>
        <w:tc>
          <w:tcPr>
            <w:tcW w:w="2070" w:type="dxa"/>
            <w:vAlign w:val="center"/>
          </w:tcPr>
          <w:p w14:paraId="1C9E4A1C" w14:textId="0410D502" w:rsidR="00144825" w:rsidRPr="00144825" w:rsidRDefault="00144825" w:rsidP="00144825">
            <w:pPr>
              <w:rPr>
                <w:rFonts w:ascii="Calibri" w:hAnsi="Calibri" w:cs="Calibri"/>
              </w:rPr>
            </w:pPr>
            <w:r w:rsidRPr="00144825">
              <w:rPr>
                <w:rFonts w:ascii="Calibri" w:hAnsi="Calibri" w:cs="Calibri"/>
                <w:color w:val="000000"/>
              </w:rPr>
              <w:t>Abdomen</w:t>
            </w:r>
          </w:p>
        </w:tc>
        <w:tc>
          <w:tcPr>
            <w:tcW w:w="990" w:type="dxa"/>
            <w:noWrap/>
            <w:hideMark/>
          </w:tcPr>
          <w:p w14:paraId="77BD236C" w14:textId="3058B89E" w:rsidR="00144825" w:rsidRPr="00144825" w:rsidRDefault="00144825" w:rsidP="009A30EC">
            <w:pPr>
              <w:jc w:val="right"/>
              <w:rPr>
                <w:rFonts w:ascii="Calibri" w:hAnsi="Calibri" w:cs="Calibri"/>
              </w:rPr>
            </w:pPr>
            <w:r w:rsidRPr="00144825">
              <w:rPr>
                <w:rFonts w:ascii="Calibri" w:hAnsi="Calibri" w:cs="Calibri"/>
              </w:rPr>
              <w:t>47.5%</w:t>
            </w:r>
          </w:p>
        </w:tc>
      </w:tr>
      <w:tr w:rsidR="00144825" w:rsidRPr="00144825" w14:paraId="414FB889" w14:textId="77777777" w:rsidTr="00D27CD2">
        <w:trPr>
          <w:gridAfter w:val="1"/>
          <w:wAfter w:w="360" w:type="dxa"/>
          <w:cantSplit/>
          <w:trHeight w:val="320"/>
        </w:trPr>
        <w:tc>
          <w:tcPr>
            <w:tcW w:w="2070" w:type="dxa"/>
            <w:vAlign w:val="center"/>
          </w:tcPr>
          <w:p w14:paraId="559212FC" w14:textId="14C86C5F" w:rsidR="00144825" w:rsidRPr="00144825" w:rsidRDefault="00144825" w:rsidP="00144825">
            <w:pPr>
              <w:rPr>
                <w:rFonts w:ascii="Calibri" w:hAnsi="Calibri" w:cs="Calibri"/>
              </w:rPr>
            </w:pPr>
            <w:r w:rsidRPr="00144825">
              <w:rPr>
                <w:rFonts w:ascii="Calibri" w:hAnsi="Calibri" w:cs="Calibri"/>
                <w:color w:val="000000"/>
              </w:rPr>
              <w:t>Arthrogram</w:t>
            </w:r>
          </w:p>
        </w:tc>
        <w:tc>
          <w:tcPr>
            <w:tcW w:w="990" w:type="dxa"/>
            <w:noWrap/>
            <w:hideMark/>
          </w:tcPr>
          <w:p w14:paraId="0C3751F4" w14:textId="7F8DC46C" w:rsidR="00144825" w:rsidRPr="00144825" w:rsidRDefault="00144825" w:rsidP="009A30EC">
            <w:pPr>
              <w:jc w:val="right"/>
              <w:rPr>
                <w:rFonts w:ascii="Calibri" w:hAnsi="Calibri" w:cs="Calibri"/>
              </w:rPr>
            </w:pPr>
            <w:r w:rsidRPr="00144825">
              <w:rPr>
                <w:rFonts w:ascii="Calibri" w:hAnsi="Calibri" w:cs="Calibri"/>
              </w:rPr>
              <w:t>79.2%</w:t>
            </w:r>
          </w:p>
        </w:tc>
      </w:tr>
      <w:tr w:rsidR="00144825" w:rsidRPr="00144825" w14:paraId="53C6B69A" w14:textId="77777777" w:rsidTr="00D27CD2">
        <w:trPr>
          <w:gridAfter w:val="1"/>
          <w:wAfter w:w="360" w:type="dxa"/>
          <w:cantSplit/>
          <w:trHeight w:val="320"/>
        </w:trPr>
        <w:tc>
          <w:tcPr>
            <w:tcW w:w="2070" w:type="dxa"/>
            <w:vAlign w:val="center"/>
          </w:tcPr>
          <w:p w14:paraId="33752ECD" w14:textId="67F2264A" w:rsidR="00144825" w:rsidRPr="00144825" w:rsidRDefault="00144825" w:rsidP="00144825">
            <w:pPr>
              <w:rPr>
                <w:rFonts w:ascii="Calibri" w:hAnsi="Calibri" w:cs="Calibri"/>
              </w:rPr>
            </w:pPr>
            <w:r w:rsidRPr="00144825">
              <w:rPr>
                <w:rFonts w:ascii="Calibri" w:hAnsi="Calibri" w:cs="Calibri"/>
                <w:color w:val="000000"/>
              </w:rPr>
              <w:t>Brain</w:t>
            </w:r>
          </w:p>
        </w:tc>
        <w:tc>
          <w:tcPr>
            <w:tcW w:w="990" w:type="dxa"/>
            <w:noWrap/>
            <w:hideMark/>
          </w:tcPr>
          <w:p w14:paraId="2A6730C5" w14:textId="5FEF3911" w:rsidR="00144825" w:rsidRPr="00144825" w:rsidRDefault="00144825" w:rsidP="009A30EC">
            <w:pPr>
              <w:jc w:val="right"/>
              <w:rPr>
                <w:rFonts w:ascii="Calibri" w:hAnsi="Calibri" w:cs="Calibri"/>
              </w:rPr>
            </w:pPr>
            <w:r w:rsidRPr="00144825">
              <w:rPr>
                <w:rFonts w:ascii="Calibri" w:hAnsi="Calibri" w:cs="Calibri"/>
              </w:rPr>
              <w:t>45.8%</w:t>
            </w:r>
          </w:p>
        </w:tc>
      </w:tr>
      <w:tr w:rsidR="00144825" w:rsidRPr="00144825" w14:paraId="159A43B9" w14:textId="77777777" w:rsidTr="00D27CD2">
        <w:trPr>
          <w:gridAfter w:val="1"/>
          <w:wAfter w:w="360" w:type="dxa"/>
          <w:cantSplit/>
          <w:trHeight w:val="320"/>
        </w:trPr>
        <w:tc>
          <w:tcPr>
            <w:tcW w:w="2070" w:type="dxa"/>
            <w:vAlign w:val="center"/>
          </w:tcPr>
          <w:p w14:paraId="63863777" w14:textId="4FB3E469" w:rsidR="00144825" w:rsidRPr="00144825" w:rsidRDefault="00144825" w:rsidP="00144825">
            <w:pPr>
              <w:rPr>
                <w:rFonts w:ascii="Calibri" w:hAnsi="Calibri" w:cs="Calibri"/>
              </w:rPr>
            </w:pPr>
            <w:r w:rsidRPr="00144825">
              <w:rPr>
                <w:rFonts w:ascii="Calibri" w:hAnsi="Calibri" w:cs="Calibri"/>
                <w:color w:val="000000"/>
              </w:rPr>
              <w:t>Cervical</w:t>
            </w:r>
          </w:p>
        </w:tc>
        <w:tc>
          <w:tcPr>
            <w:tcW w:w="990" w:type="dxa"/>
            <w:noWrap/>
            <w:hideMark/>
          </w:tcPr>
          <w:p w14:paraId="09582543" w14:textId="31914876" w:rsidR="00144825" w:rsidRPr="00144825" w:rsidRDefault="00144825" w:rsidP="009A30EC">
            <w:pPr>
              <w:jc w:val="right"/>
              <w:rPr>
                <w:rFonts w:ascii="Calibri" w:hAnsi="Calibri" w:cs="Calibri"/>
              </w:rPr>
            </w:pPr>
            <w:r w:rsidRPr="00144825">
              <w:rPr>
                <w:rFonts w:ascii="Calibri" w:hAnsi="Calibri" w:cs="Calibri"/>
              </w:rPr>
              <w:t>71.3%</w:t>
            </w:r>
          </w:p>
        </w:tc>
      </w:tr>
      <w:tr w:rsidR="00144825" w:rsidRPr="00144825" w14:paraId="52200377" w14:textId="77777777" w:rsidTr="00D27CD2">
        <w:trPr>
          <w:gridAfter w:val="1"/>
          <w:wAfter w:w="360" w:type="dxa"/>
          <w:cantSplit/>
          <w:trHeight w:val="320"/>
        </w:trPr>
        <w:tc>
          <w:tcPr>
            <w:tcW w:w="2070" w:type="dxa"/>
            <w:vAlign w:val="center"/>
          </w:tcPr>
          <w:p w14:paraId="79232CE0" w14:textId="434E6FD4" w:rsidR="00144825" w:rsidRPr="00144825" w:rsidRDefault="00144825" w:rsidP="00144825">
            <w:pPr>
              <w:rPr>
                <w:rFonts w:ascii="Calibri" w:hAnsi="Calibri" w:cs="Calibri"/>
              </w:rPr>
            </w:pPr>
            <w:r w:rsidRPr="00144825">
              <w:rPr>
                <w:rFonts w:ascii="Calibri" w:hAnsi="Calibri" w:cs="Calibri"/>
                <w:color w:val="000000"/>
              </w:rPr>
              <w:t>Chest</w:t>
            </w:r>
          </w:p>
        </w:tc>
        <w:tc>
          <w:tcPr>
            <w:tcW w:w="990" w:type="dxa"/>
            <w:noWrap/>
            <w:hideMark/>
          </w:tcPr>
          <w:p w14:paraId="5A24D584" w14:textId="2F0AC592" w:rsidR="00144825" w:rsidRPr="00144825" w:rsidRDefault="00144825" w:rsidP="009A30EC">
            <w:pPr>
              <w:jc w:val="right"/>
              <w:rPr>
                <w:rFonts w:ascii="Calibri" w:hAnsi="Calibri" w:cs="Calibri"/>
              </w:rPr>
            </w:pPr>
            <w:r w:rsidRPr="00144825">
              <w:rPr>
                <w:rFonts w:ascii="Calibri" w:hAnsi="Calibri" w:cs="Calibri"/>
              </w:rPr>
              <w:t>-83.3%</w:t>
            </w:r>
          </w:p>
        </w:tc>
      </w:tr>
      <w:tr w:rsidR="00144825" w:rsidRPr="00144825" w14:paraId="5FF55646" w14:textId="77777777" w:rsidTr="00D27CD2">
        <w:trPr>
          <w:gridAfter w:val="1"/>
          <w:wAfter w:w="360" w:type="dxa"/>
          <w:cantSplit/>
          <w:trHeight w:val="320"/>
        </w:trPr>
        <w:tc>
          <w:tcPr>
            <w:tcW w:w="2070" w:type="dxa"/>
            <w:vAlign w:val="center"/>
          </w:tcPr>
          <w:p w14:paraId="33F96A34" w14:textId="3324F022" w:rsidR="00144825" w:rsidRPr="00144825" w:rsidRDefault="00144825" w:rsidP="00144825">
            <w:pPr>
              <w:rPr>
                <w:rFonts w:ascii="Calibri" w:hAnsi="Calibri" w:cs="Calibri"/>
              </w:rPr>
            </w:pPr>
            <w:r w:rsidRPr="00144825">
              <w:rPr>
                <w:rFonts w:ascii="Calibri" w:hAnsi="Calibri" w:cs="Calibri"/>
                <w:color w:val="000000"/>
              </w:rPr>
              <w:t>Head/Neck</w:t>
            </w:r>
          </w:p>
        </w:tc>
        <w:tc>
          <w:tcPr>
            <w:tcW w:w="990" w:type="dxa"/>
            <w:noWrap/>
            <w:hideMark/>
          </w:tcPr>
          <w:p w14:paraId="3131D641" w14:textId="557D985E" w:rsidR="00144825" w:rsidRPr="00144825" w:rsidRDefault="00144825" w:rsidP="009A30EC">
            <w:pPr>
              <w:jc w:val="right"/>
              <w:rPr>
                <w:rFonts w:ascii="Calibri" w:hAnsi="Calibri" w:cs="Calibri"/>
              </w:rPr>
            </w:pPr>
            <w:r w:rsidRPr="00144825">
              <w:rPr>
                <w:rFonts w:ascii="Calibri" w:hAnsi="Calibri" w:cs="Calibri"/>
              </w:rPr>
              <w:t>2.4%</w:t>
            </w:r>
          </w:p>
        </w:tc>
      </w:tr>
      <w:tr w:rsidR="00144825" w:rsidRPr="00144825" w14:paraId="101DD5C1" w14:textId="77777777" w:rsidTr="00D27CD2">
        <w:trPr>
          <w:gridAfter w:val="1"/>
          <w:wAfter w:w="360" w:type="dxa"/>
          <w:cantSplit/>
          <w:trHeight w:val="320"/>
        </w:trPr>
        <w:tc>
          <w:tcPr>
            <w:tcW w:w="2070" w:type="dxa"/>
            <w:vAlign w:val="center"/>
          </w:tcPr>
          <w:p w14:paraId="454F30EB" w14:textId="2B1D1335" w:rsidR="00144825" w:rsidRPr="00144825" w:rsidRDefault="00144825" w:rsidP="00144825">
            <w:pPr>
              <w:rPr>
                <w:rFonts w:ascii="Calibri" w:hAnsi="Calibri" w:cs="Calibri"/>
              </w:rPr>
            </w:pPr>
            <w:r w:rsidRPr="00144825">
              <w:rPr>
                <w:rFonts w:ascii="Calibri" w:hAnsi="Calibri" w:cs="Calibri"/>
                <w:color w:val="000000"/>
              </w:rPr>
              <w:t>Lower Extremity</w:t>
            </w:r>
          </w:p>
        </w:tc>
        <w:tc>
          <w:tcPr>
            <w:tcW w:w="990" w:type="dxa"/>
            <w:noWrap/>
            <w:hideMark/>
          </w:tcPr>
          <w:p w14:paraId="61FBB363" w14:textId="026C2695" w:rsidR="00144825" w:rsidRPr="00144825" w:rsidRDefault="00144825" w:rsidP="009A30EC">
            <w:pPr>
              <w:jc w:val="right"/>
              <w:rPr>
                <w:rFonts w:ascii="Calibri" w:hAnsi="Calibri" w:cs="Calibri"/>
              </w:rPr>
            </w:pPr>
            <w:r w:rsidRPr="00144825">
              <w:rPr>
                <w:rFonts w:ascii="Calibri" w:hAnsi="Calibri" w:cs="Calibri"/>
              </w:rPr>
              <w:t>49.6%</w:t>
            </w:r>
          </w:p>
        </w:tc>
      </w:tr>
      <w:tr w:rsidR="00144825" w:rsidRPr="00144825" w14:paraId="3E69FF76" w14:textId="77777777" w:rsidTr="00D27CD2">
        <w:trPr>
          <w:gridAfter w:val="1"/>
          <w:wAfter w:w="360" w:type="dxa"/>
          <w:cantSplit/>
          <w:trHeight w:val="320"/>
        </w:trPr>
        <w:tc>
          <w:tcPr>
            <w:tcW w:w="2070" w:type="dxa"/>
            <w:vAlign w:val="center"/>
          </w:tcPr>
          <w:p w14:paraId="75E1B98E" w14:textId="15769D57" w:rsidR="00144825" w:rsidRPr="00144825" w:rsidRDefault="00144825" w:rsidP="00144825">
            <w:pPr>
              <w:rPr>
                <w:rFonts w:ascii="Calibri" w:hAnsi="Calibri" w:cs="Calibri"/>
              </w:rPr>
            </w:pPr>
            <w:r w:rsidRPr="00144825">
              <w:rPr>
                <w:rFonts w:ascii="Calibri" w:hAnsi="Calibri" w:cs="Calibri"/>
                <w:color w:val="000000"/>
              </w:rPr>
              <w:t>Lumbar</w:t>
            </w:r>
          </w:p>
        </w:tc>
        <w:tc>
          <w:tcPr>
            <w:tcW w:w="990" w:type="dxa"/>
            <w:noWrap/>
            <w:hideMark/>
          </w:tcPr>
          <w:p w14:paraId="639DF918" w14:textId="0A148BD8" w:rsidR="00144825" w:rsidRPr="00144825" w:rsidRDefault="00144825" w:rsidP="009A30EC">
            <w:pPr>
              <w:jc w:val="right"/>
              <w:rPr>
                <w:rFonts w:ascii="Calibri" w:hAnsi="Calibri" w:cs="Calibri"/>
              </w:rPr>
            </w:pPr>
            <w:r w:rsidRPr="00144825">
              <w:rPr>
                <w:rFonts w:ascii="Calibri" w:hAnsi="Calibri" w:cs="Calibri"/>
              </w:rPr>
              <w:t>52.2%</w:t>
            </w:r>
          </w:p>
        </w:tc>
      </w:tr>
      <w:tr w:rsidR="00144825" w:rsidRPr="00144825" w14:paraId="7F5EE245" w14:textId="77777777" w:rsidTr="00D27CD2">
        <w:trPr>
          <w:gridAfter w:val="1"/>
          <w:wAfter w:w="360" w:type="dxa"/>
          <w:cantSplit/>
          <w:trHeight w:val="320"/>
        </w:trPr>
        <w:tc>
          <w:tcPr>
            <w:tcW w:w="2070" w:type="dxa"/>
            <w:vAlign w:val="center"/>
          </w:tcPr>
          <w:p w14:paraId="2724FF67" w14:textId="027ED838" w:rsidR="00144825" w:rsidRPr="00144825" w:rsidRDefault="00144825" w:rsidP="00144825">
            <w:pPr>
              <w:rPr>
                <w:rFonts w:ascii="Calibri" w:hAnsi="Calibri" w:cs="Calibri"/>
              </w:rPr>
            </w:pPr>
            <w:r w:rsidRPr="00144825">
              <w:rPr>
                <w:rFonts w:ascii="Calibri" w:hAnsi="Calibri" w:cs="Calibri"/>
                <w:color w:val="000000"/>
              </w:rPr>
              <w:t>Pelvis</w:t>
            </w:r>
          </w:p>
        </w:tc>
        <w:tc>
          <w:tcPr>
            <w:tcW w:w="990" w:type="dxa"/>
            <w:noWrap/>
            <w:hideMark/>
          </w:tcPr>
          <w:p w14:paraId="037A215F" w14:textId="6F987CB6" w:rsidR="00144825" w:rsidRPr="00144825" w:rsidRDefault="00144825" w:rsidP="009A30EC">
            <w:pPr>
              <w:jc w:val="right"/>
              <w:rPr>
                <w:rFonts w:ascii="Calibri" w:hAnsi="Calibri" w:cs="Calibri"/>
              </w:rPr>
            </w:pPr>
            <w:r w:rsidRPr="00144825">
              <w:rPr>
                <w:rFonts w:ascii="Calibri" w:hAnsi="Calibri" w:cs="Calibri"/>
              </w:rPr>
              <w:t>76.5%</w:t>
            </w:r>
          </w:p>
        </w:tc>
      </w:tr>
      <w:tr w:rsidR="00144825" w:rsidRPr="00144825" w14:paraId="14C1423B" w14:textId="77777777" w:rsidTr="00D27CD2">
        <w:trPr>
          <w:gridAfter w:val="1"/>
          <w:wAfter w:w="360" w:type="dxa"/>
          <w:cantSplit/>
          <w:trHeight w:val="320"/>
        </w:trPr>
        <w:tc>
          <w:tcPr>
            <w:tcW w:w="2070" w:type="dxa"/>
            <w:vAlign w:val="center"/>
          </w:tcPr>
          <w:p w14:paraId="0C9F900D" w14:textId="57398601" w:rsidR="00144825" w:rsidRPr="00144825" w:rsidRDefault="00144825" w:rsidP="00144825">
            <w:pPr>
              <w:rPr>
                <w:rFonts w:ascii="Calibri" w:hAnsi="Calibri" w:cs="Calibri"/>
              </w:rPr>
            </w:pPr>
            <w:r w:rsidRPr="00144825">
              <w:rPr>
                <w:rFonts w:ascii="Calibri" w:hAnsi="Calibri" w:cs="Calibri"/>
                <w:color w:val="000000"/>
              </w:rPr>
              <w:t>Thoracic Spine</w:t>
            </w:r>
          </w:p>
        </w:tc>
        <w:tc>
          <w:tcPr>
            <w:tcW w:w="990" w:type="dxa"/>
            <w:noWrap/>
            <w:hideMark/>
          </w:tcPr>
          <w:p w14:paraId="761B6A13" w14:textId="5166DEFE" w:rsidR="00144825" w:rsidRPr="00144825" w:rsidRDefault="00144825" w:rsidP="009A30EC">
            <w:pPr>
              <w:jc w:val="right"/>
              <w:rPr>
                <w:rFonts w:ascii="Calibri" w:hAnsi="Calibri" w:cs="Calibri"/>
              </w:rPr>
            </w:pPr>
            <w:r w:rsidRPr="00144825">
              <w:rPr>
                <w:rFonts w:ascii="Calibri" w:hAnsi="Calibri" w:cs="Calibri"/>
              </w:rPr>
              <w:t>45.1%</w:t>
            </w:r>
          </w:p>
        </w:tc>
      </w:tr>
      <w:tr w:rsidR="00144825" w:rsidRPr="00144825" w14:paraId="5EBE903E" w14:textId="77777777" w:rsidTr="00D27CD2">
        <w:trPr>
          <w:gridAfter w:val="1"/>
          <w:wAfter w:w="360" w:type="dxa"/>
          <w:cantSplit/>
          <w:trHeight w:val="320"/>
        </w:trPr>
        <w:tc>
          <w:tcPr>
            <w:tcW w:w="2070" w:type="dxa"/>
            <w:vAlign w:val="center"/>
          </w:tcPr>
          <w:p w14:paraId="174CE3AB" w14:textId="54D6ADE7" w:rsidR="00144825" w:rsidRPr="00144825" w:rsidRDefault="00144825" w:rsidP="00144825">
            <w:pPr>
              <w:rPr>
                <w:rFonts w:ascii="Calibri" w:hAnsi="Calibri" w:cs="Calibri"/>
              </w:rPr>
            </w:pPr>
            <w:r w:rsidRPr="00144825">
              <w:rPr>
                <w:rFonts w:ascii="Calibri" w:hAnsi="Calibri" w:cs="Calibri"/>
                <w:color w:val="000000"/>
              </w:rPr>
              <w:t>Upper Extremity</w:t>
            </w:r>
          </w:p>
        </w:tc>
        <w:tc>
          <w:tcPr>
            <w:tcW w:w="990" w:type="dxa"/>
            <w:noWrap/>
            <w:hideMark/>
          </w:tcPr>
          <w:p w14:paraId="5516977E" w14:textId="6065F4FF" w:rsidR="00144825" w:rsidRPr="00144825" w:rsidRDefault="00144825" w:rsidP="009A30EC">
            <w:pPr>
              <w:jc w:val="right"/>
              <w:rPr>
                <w:rFonts w:ascii="Calibri" w:hAnsi="Calibri" w:cs="Calibri"/>
              </w:rPr>
            </w:pPr>
            <w:r w:rsidRPr="00144825">
              <w:rPr>
                <w:rFonts w:ascii="Calibri" w:hAnsi="Calibri" w:cs="Calibri"/>
              </w:rPr>
              <w:t>51.7%</w:t>
            </w:r>
          </w:p>
        </w:tc>
      </w:tr>
      <w:tr w:rsidR="00144825" w:rsidRPr="00144825" w14:paraId="416C8E70" w14:textId="77777777" w:rsidTr="00D27CD2">
        <w:trPr>
          <w:gridAfter w:val="1"/>
          <w:wAfter w:w="360" w:type="dxa"/>
          <w:cantSplit/>
          <w:trHeight w:val="320"/>
        </w:trPr>
        <w:tc>
          <w:tcPr>
            <w:tcW w:w="2070" w:type="dxa"/>
            <w:vAlign w:val="center"/>
          </w:tcPr>
          <w:p w14:paraId="3FD427CB" w14:textId="4ADA6A15" w:rsidR="00144825" w:rsidRPr="00144825" w:rsidRDefault="00144825" w:rsidP="00144825">
            <w:pPr>
              <w:rPr>
                <w:rFonts w:ascii="Calibri" w:hAnsi="Calibri" w:cs="Calibri"/>
              </w:rPr>
            </w:pPr>
            <w:r w:rsidRPr="00144825">
              <w:rPr>
                <w:rFonts w:ascii="Calibri" w:hAnsi="Calibri" w:cs="Calibri"/>
                <w:color w:val="000000"/>
              </w:rPr>
              <w:t>Total</w:t>
            </w:r>
          </w:p>
        </w:tc>
        <w:tc>
          <w:tcPr>
            <w:tcW w:w="990" w:type="dxa"/>
            <w:noWrap/>
            <w:hideMark/>
          </w:tcPr>
          <w:p w14:paraId="4FB081B3" w14:textId="7BC6DF59" w:rsidR="00144825" w:rsidRPr="00144825" w:rsidRDefault="00144825" w:rsidP="009A30EC">
            <w:pPr>
              <w:jc w:val="right"/>
              <w:rPr>
                <w:rFonts w:ascii="Calibri" w:hAnsi="Calibri" w:cs="Calibri"/>
              </w:rPr>
            </w:pPr>
            <w:r w:rsidRPr="00144825">
              <w:rPr>
                <w:rFonts w:ascii="Calibri" w:hAnsi="Calibri" w:cs="Calibri"/>
              </w:rPr>
              <w:t>49.9%</w:t>
            </w:r>
          </w:p>
        </w:tc>
      </w:tr>
    </w:tbl>
    <w:p w14:paraId="372A531F" w14:textId="77777777" w:rsidR="00144825" w:rsidRDefault="00144825" w:rsidP="00144825"/>
    <w:p w14:paraId="26268DC4" w14:textId="242187FD" w:rsidR="00D444C4" w:rsidRDefault="00D444C4" w:rsidP="00D444C4">
      <w:pPr>
        <w:pStyle w:val="ListParagraph"/>
        <w:numPr>
          <w:ilvl w:val="0"/>
          <w:numId w:val="6"/>
        </w:numPr>
      </w:pPr>
      <w:r w:rsidRPr="00F614CF">
        <w:t>The go-live for the location was April 18</w:t>
      </w:r>
      <w:r w:rsidRPr="00F614CF">
        <w:rPr>
          <w:vertAlign w:val="superscript"/>
        </w:rPr>
        <w:t>th</w:t>
      </w:r>
      <w:r w:rsidRPr="00F614CF">
        <w:t xml:space="preserve">, 2023. The increases noted were due to a partial month/year of service vs. a full year of service the </w:t>
      </w:r>
      <w:r w:rsidR="00E548A7" w:rsidRPr="00F614CF">
        <w:t>next</w:t>
      </w:r>
      <w:r w:rsidRPr="00F614CF">
        <w:t xml:space="preserve"> year. The hospital’s </w:t>
      </w:r>
      <w:r w:rsidR="00E548A7" w:rsidRPr="00F614CF">
        <w:t xml:space="preserve">MRI </w:t>
      </w:r>
      <w:r w:rsidRPr="00F614CF">
        <w:t>service</w:t>
      </w:r>
      <w:r w:rsidR="00E548A7" w:rsidRPr="00F614CF">
        <w:t>s were</w:t>
      </w:r>
      <w:r w:rsidRPr="00F614CF">
        <w:t xml:space="preserve"> previously done by a different vendor </w:t>
      </w:r>
      <w:r w:rsidR="00E548A7" w:rsidRPr="00F614CF">
        <w:t>that</w:t>
      </w:r>
      <w:r w:rsidRPr="00F614CF">
        <w:t xml:space="preserve"> operated MRI services at Heywood Hospital in Gardner as well as Athol Hospital. Athol Hospital </w:t>
      </w:r>
      <w:r w:rsidR="00E548A7" w:rsidRPr="00F614CF">
        <w:t xml:space="preserve">was under utilized and the existing patient panel was shifted to Heywood Hospital. This volume was included in the projected annual volume of the approved application based on historical </w:t>
      </w:r>
      <w:r w:rsidR="00DC2370" w:rsidRPr="00F614CF">
        <w:t xml:space="preserve">volume </w:t>
      </w:r>
      <w:r w:rsidR="00E548A7" w:rsidRPr="00F614CF">
        <w:t xml:space="preserve">data. The growth of the location is attributed to the investment in a new AI equipped magnet and the quality of Shields provided services that have increased patient preference </w:t>
      </w:r>
      <w:proofErr w:type="gramStart"/>
      <w:r w:rsidR="00E548A7" w:rsidRPr="00F614CF">
        <w:t>to visit</w:t>
      </w:r>
      <w:proofErr w:type="gramEnd"/>
      <w:r w:rsidR="00E548A7" w:rsidRPr="00F614CF">
        <w:t xml:space="preserve"> the site.</w:t>
      </w:r>
    </w:p>
    <w:p w14:paraId="447F7191" w14:textId="77777777" w:rsidR="00531480" w:rsidRDefault="00531480" w:rsidP="00531480">
      <w:pPr>
        <w:numPr>
          <w:ilvl w:val="0"/>
          <w:numId w:val="7"/>
        </w:numPr>
        <w:spacing w:after="0" w:line="240" w:lineRule="auto"/>
        <w:rPr>
          <w:rFonts w:eastAsia="Times New Roman"/>
          <w:sz w:val="22"/>
          <w:szCs w:val="22"/>
        </w:rPr>
      </w:pPr>
      <w:r>
        <w:rPr>
          <w:rFonts w:eastAsia="Times New Roman"/>
          <w:sz w:val="22"/>
          <w:szCs w:val="22"/>
        </w:rPr>
        <w:t xml:space="preserve">How can you do 20 scans per day on Saturday if the unit operates 7.8 hours and the </w:t>
      </w:r>
      <w:proofErr w:type="gramStart"/>
      <w:r>
        <w:rPr>
          <w:rFonts w:eastAsia="Times New Roman"/>
          <w:sz w:val="22"/>
          <w:szCs w:val="22"/>
        </w:rPr>
        <w:t>average  time</w:t>
      </w:r>
      <w:proofErr w:type="gramEnd"/>
      <w:r>
        <w:rPr>
          <w:rFonts w:eastAsia="Times New Roman"/>
          <w:sz w:val="22"/>
          <w:szCs w:val="22"/>
        </w:rPr>
        <w:t xml:space="preserve"> per scan is 26.5 minutes? It seems like 15-16 is the </w:t>
      </w:r>
      <w:proofErr w:type="gramStart"/>
      <w:r>
        <w:rPr>
          <w:rFonts w:eastAsia="Times New Roman"/>
          <w:sz w:val="22"/>
          <w:szCs w:val="22"/>
        </w:rPr>
        <w:t>capacity?</w:t>
      </w:r>
      <w:proofErr w:type="gramEnd"/>
    </w:p>
    <w:p w14:paraId="6834AA81" w14:textId="77777777" w:rsidR="00531480" w:rsidRDefault="00531480" w:rsidP="00531480">
      <w:pPr>
        <w:ind w:left="720"/>
        <w:rPr>
          <w:rFonts w:ascii="Calibri" w:hAnsi="Calibri" w:cs="Calibri"/>
          <w:sz w:val="22"/>
          <w:szCs w:val="22"/>
        </w:rPr>
      </w:pPr>
      <w:r>
        <w:rPr>
          <w:rFonts w:ascii="Calibri" w:hAnsi="Calibri" w:cs="Calibri"/>
          <w:sz w:val="22"/>
          <w:szCs w:val="22"/>
        </w:rPr>
        <w:t xml:space="preserve">- Avg slot time of 26.5 minutes is the annual average. Saturdays </w:t>
      </w:r>
      <w:proofErr w:type="gramStart"/>
      <w:r>
        <w:rPr>
          <w:rFonts w:ascii="Calibri" w:hAnsi="Calibri" w:cs="Calibri"/>
          <w:sz w:val="22"/>
          <w:szCs w:val="22"/>
        </w:rPr>
        <w:t>is</w:t>
      </w:r>
      <w:proofErr w:type="gramEnd"/>
      <w:r>
        <w:rPr>
          <w:rFonts w:ascii="Calibri" w:hAnsi="Calibri" w:cs="Calibri"/>
          <w:sz w:val="22"/>
          <w:szCs w:val="22"/>
        </w:rPr>
        <w:t xml:space="preserve"> an average of 22.2 minutes slot duration which leads to a capacity estimate of 20 exams. This is due to radiologist and contrast availability on the weekends. During this day, the template is filled with more routine exams/protocols, lowering the average duration compared to the typical weekday.</w:t>
      </w:r>
    </w:p>
    <w:p w14:paraId="477E071B" w14:textId="77777777" w:rsidR="00531480" w:rsidRDefault="00531480" w:rsidP="00531480">
      <w:pPr>
        <w:numPr>
          <w:ilvl w:val="0"/>
          <w:numId w:val="7"/>
        </w:numPr>
        <w:spacing w:after="0" w:line="240" w:lineRule="auto"/>
        <w:rPr>
          <w:rFonts w:ascii="Aptos" w:eastAsia="Times New Roman" w:hAnsi="Aptos" w:cs="Times New Roman"/>
          <w:sz w:val="22"/>
          <w:szCs w:val="22"/>
        </w:rPr>
      </w:pPr>
      <w:r>
        <w:rPr>
          <w:rFonts w:eastAsia="Times New Roman"/>
          <w:sz w:val="22"/>
          <w:szCs w:val="22"/>
        </w:rPr>
        <w:t xml:space="preserve">It looks like you still have capacity because your response to #2d said annual capacity is 7,902. Please provide the calculations. (My calculations of 2 per hour came to 7,344. Also, </w:t>
      </w:r>
      <w:proofErr w:type="gramStart"/>
      <w:r>
        <w:rPr>
          <w:rFonts w:eastAsia="Times New Roman"/>
          <w:sz w:val="22"/>
          <w:szCs w:val="22"/>
        </w:rPr>
        <w:lastRenderedPageBreak/>
        <w:t>by</w:t>
      </w:r>
      <w:proofErr w:type="gramEnd"/>
      <w:r>
        <w:rPr>
          <w:rFonts w:eastAsia="Times New Roman"/>
          <w:sz w:val="22"/>
          <w:szCs w:val="22"/>
        </w:rPr>
        <w:t xml:space="preserve"> my calculations, based on your 51 weeks operating per year</w:t>
      </w:r>
      <w:proofErr w:type="gramStart"/>
      <w:r>
        <w:rPr>
          <w:rFonts w:eastAsia="Times New Roman"/>
          <w:sz w:val="22"/>
          <w:szCs w:val="22"/>
        </w:rPr>
        <w:t>, times</w:t>
      </w:r>
      <w:proofErr w:type="gramEnd"/>
      <w:r>
        <w:rPr>
          <w:rFonts w:eastAsia="Times New Roman"/>
          <w:sz w:val="22"/>
          <w:szCs w:val="22"/>
        </w:rPr>
        <w:t xml:space="preserve"> 7 days you’d be operating ~357 days per year and capacity is then 8568 scans. </w:t>
      </w:r>
      <w:proofErr w:type="gramStart"/>
      <w:r>
        <w:rPr>
          <w:rFonts w:eastAsia="Times New Roman"/>
          <w:sz w:val="22"/>
          <w:szCs w:val="22"/>
        </w:rPr>
        <w:t>However</w:t>
      </w:r>
      <w:proofErr w:type="gramEnd"/>
      <w:r>
        <w:rPr>
          <w:rFonts w:eastAsia="Times New Roman"/>
          <w:sz w:val="22"/>
          <w:szCs w:val="22"/>
        </w:rPr>
        <w:t xml:space="preserve"> you project 9249 scans per year. Are you projecting that you will operate 365 days per year by 2028?</w:t>
      </w:r>
    </w:p>
    <w:p w14:paraId="48E37465" w14:textId="77777777" w:rsidR="00531480" w:rsidRDefault="00531480" w:rsidP="00531480">
      <w:pPr>
        <w:ind w:left="720"/>
        <w:rPr>
          <w:rFonts w:ascii="Calibri" w:hAnsi="Calibri" w:cs="Calibri"/>
          <w:sz w:val="22"/>
          <w:szCs w:val="22"/>
        </w:rPr>
      </w:pPr>
      <w:r>
        <w:rPr>
          <w:rFonts w:ascii="Calibri" w:hAnsi="Calibri" w:cs="Calibri"/>
          <w:sz w:val="22"/>
          <w:szCs w:val="22"/>
        </w:rPr>
        <w:t xml:space="preserve">- Capacity calculations were based on the full year 2024 open operating minutes by day of the week divided by the total scans done by day of the week over 52 weeks in a year to reach a current capacity of 7,902 scans per year. We are projecting to complete 7,342 exams in 2025 and 7,929 scans in 2026. Based on these projections we will be over capacity from our current operating model in 2026, indicating the need for the additional day of service. For future years, we anticipate shorter exam durations with increased advancement of AI scanning technologies creating faster exams and allowing increased throughput. </w:t>
      </w:r>
    </w:p>
    <w:p w14:paraId="58F51B82" w14:textId="77777777" w:rsidR="00531480" w:rsidRDefault="00531480" w:rsidP="00531480">
      <w:pPr>
        <w:rPr>
          <w:rFonts w:ascii="Aptos" w:hAnsi="Aptos" w:cs="Times New Roman"/>
          <w:sz w:val="22"/>
          <w:szCs w:val="22"/>
        </w:rPr>
      </w:pPr>
    </w:p>
    <w:tbl>
      <w:tblPr>
        <w:tblW w:w="5080" w:type="dxa"/>
        <w:tblInd w:w="-3" w:type="dxa"/>
        <w:tblCellMar>
          <w:left w:w="0" w:type="dxa"/>
          <w:right w:w="0" w:type="dxa"/>
        </w:tblCellMar>
        <w:tblLook w:val="04A0" w:firstRow="1" w:lastRow="0" w:firstColumn="1" w:lastColumn="0" w:noHBand="0" w:noVBand="1"/>
      </w:tblPr>
      <w:tblGrid>
        <w:gridCol w:w="1160"/>
        <w:gridCol w:w="1040"/>
        <w:gridCol w:w="1460"/>
        <w:gridCol w:w="1420"/>
      </w:tblGrid>
      <w:tr w:rsidR="00531480" w14:paraId="6DDB702D" w14:textId="77777777" w:rsidTr="00F7583F">
        <w:trPr>
          <w:cantSplit/>
          <w:trHeight w:val="278"/>
          <w:tblHeader/>
        </w:trPr>
        <w:tc>
          <w:tcPr>
            <w:tcW w:w="1160" w:type="dxa"/>
            <w:tcBorders>
              <w:top w:val="single" w:sz="8" w:space="0" w:color="auto"/>
              <w:left w:val="single" w:sz="8" w:space="0" w:color="auto"/>
              <w:bottom w:val="single" w:sz="8" w:space="0" w:color="auto"/>
              <w:right w:val="single" w:sz="8" w:space="0" w:color="auto"/>
            </w:tcBorders>
            <w:shd w:val="clear" w:color="auto" w:fill="16365C"/>
            <w:noWrap/>
            <w:tcMar>
              <w:top w:w="0" w:type="dxa"/>
              <w:left w:w="108" w:type="dxa"/>
              <w:bottom w:w="0" w:type="dxa"/>
              <w:right w:w="108" w:type="dxa"/>
            </w:tcMar>
            <w:vAlign w:val="bottom"/>
            <w:hideMark/>
          </w:tcPr>
          <w:p w14:paraId="4E2D3BBE" w14:textId="77777777" w:rsidR="00531480" w:rsidRDefault="00531480">
            <w:pPr>
              <w:jc w:val="center"/>
              <w:rPr>
                <w:rFonts w:ascii="Calibri" w:hAnsi="Calibri" w:cs="Calibri"/>
                <w:b/>
                <w:bCs/>
                <w:color w:val="FFFFFF"/>
                <w:sz w:val="22"/>
                <w:szCs w:val="22"/>
              </w:rPr>
            </w:pPr>
            <w:r>
              <w:rPr>
                <w:rFonts w:ascii="Calibri" w:hAnsi="Calibri" w:cs="Calibri"/>
                <w:b/>
                <w:bCs/>
                <w:color w:val="FFFFFF"/>
                <w:sz w:val="22"/>
                <w:szCs w:val="22"/>
              </w:rPr>
              <w:t>Day</w:t>
            </w:r>
          </w:p>
        </w:tc>
        <w:tc>
          <w:tcPr>
            <w:tcW w:w="1040" w:type="dxa"/>
            <w:tcBorders>
              <w:top w:val="single" w:sz="8" w:space="0" w:color="auto"/>
              <w:left w:val="nil"/>
              <w:bottom w:val="single" w:sz="8" w:space="0" w:color="auto"/>
              <w:right w:val="single" w:sz="8" w:space="0" w:color="auto"/>
            </w:tcBorders>
            <w:shd w:val="clear" w:color="auto" w:fill="16365C"/>
            <w:noWrap/>
            <w:tcMar>
              <w:top w:w="0" w:type="dxa"/>
              <w:left w:w="108" w:type="dxa"/>
              <w:bottom w:w="0" w:type="dxa"/>
              <w:right w:w="108" w:type="dxa"/>
            </w:tcMar>
            <w:vAlign w:val="bottom"/>
            <w:hideMark/>
          </w:tcPr>
          <w:p w14:paraId="3859C8FB" w14:textId="77777777" w:rsidR="00531480" w:rsidRDefault="00531480">
            <w:pPr>
              <w:jc w:val="center"/>
              <w:rPr>
                <w:rFonts w:ascii="Calibri" w:hAnsi="Calibri" w:cs="Calibri"/>
                <w:b/>
                <w:bCs/>
                <w:color w:val="FFFFFF"/>
                <w:sz w:val="22"/>
                <w:szCs w:val="22"/>
              </w:rPr>
            </w:pPr>
            <w:r>
              <w:rPr>
                <w:rFonts w:ascii="Calibri" w:hAnsi="Calibri" w:cs="Calibri"/>
                <w:b/>
                <w:bCs/>
                <w:color w:val="FFFFFF"/>
                <w:sz w:val="22"/>
                <w:szCs w:val="22"/>
              </w:rPr>
              <w:t>Open Min</w:t>
            </w:r>
          </w:p>
        </w:tc>
        <w:tc>
          <w:tcPr>
            <w:tcW w:w="1460" w:type="dxa"/>
            <w:shd w:val="clear" w:color="auto" w:fill="16365C"/>
            <w:noWrap/>
            <w:tcMar>
              <w:top w:w="0" w:type="dxa"/>
              <w:left w:w="108" w:type="dxa"/>
              <w:bottom w:w="0" w:type="dxa"/>
              <w:right w:w="108" w:type="dxa"/>
            </w:tcMar>
            <w:vAlign w:val="bottom"/>
            <w:hideMark/>
          </w:tcPr>
          <w:p w14:paraId="678020AB" w14:textId="77777777" w:rsidR="00531480" w:rsidRDefault="00531480">
            <w:pPr>
              <w:jc w:val="center"/>
              <w:rPr>
                <w:rFonts w:ascii="Calibri" w:hAnsi="Calibri" w:cs="Calibri"/>
                <w:b/>
                <w:bCs/>
                <w:color w:val="FFFFFF"/>
                <w:sz w:val="22"/>
                <w:szCs w:val="22"/>
              </w:rPr>
            </w:pPr>
            <w:r>
              <w:rPr>
                <w:rFonts w:ascii="Calibri" w:hAnsi="Calibri" w:cs="Calibri"/>
                <w:b/>
                <w:bCs/>
                <w:color w:val="FFFFFF"/>
                <w:sz w:val="22"/>
                <w:szCs w:val="22"/>
              </w:rPr>
              <w:t xml:space="preserve">Daily Slot Time </w:t>
            </w:r>
          </w:p>
        </w:tc>
        <w:tc>
          <w:tcPr>
            <w:tcW w:w="1420" w:type="dxa"/>
            <w:shd w:val="clear" w:color="auto" w:fill="16365C"/>
            <w:noWrap/>
            <w:tcMar>
              <w:top w:w="0" w:type="dxa"/>
              <w:left w:w="108" w:type="dxa"/>
              <w:bottom w:w="0" w:type="dxa"/>
              <w:right w:w="108" w:type="dxa"/>
            </w:tcMar>
            <w:vAlign w:val="bottom"/>
            <w:hideMark/>
          </w:tcPr>
          <w:p w14:paraId="39723802" w14:textId="77777777" w:rsidR="00531480" w:rsidRDefault="00531480">
            <w:pPr>
              <w:jc w:val="center"/>
              <w:rPr>
                <w:rFonts w:ascii="Calibri" w:hAnsi="Calibri" w:cs="Calibri"/>
                <w:b/>
                <w:bCs/>
                <w:color w:val="FFFFFF"/>
                <w:sz w:val="22"/>
                <w:szCs w:val="22"/>
              </w:rPr>
            </w:pPr>
            <w:r>
              <w:rPr>
                <w:rFonts w:ascii="Calibri" w:hAnsi="Calibri" w:cs="Calibri"/>
                <w:b/>
                <w:bCs/>
                <w:color w:val="FFFFFF"/>
                <w:sz w:val="22"/>
                <w:szCs w:val="22"/>
              </w:rPr>
              <w:t>Daily Capacity</w:t>
            </w:r>
          </w:p>
        </w:tc>
      </w:tr>
      <w:tr w:rsidR="00531480" w14:paraId="53F70F9C" w14:textId="77777777" w:rsidTr="00F7583F">
        <w:trPr>
          <w:cantSplit/>
          <w:trHeight w:val="278"/>
        </w:trPr>
        <w:tc>
          <w:tcPr>
            <w:tcW w:w="1160" w:type="dxa"/>
            <w:tcBorders>
              <w:top w:val="nil"/>
              <w:left w:val="single" w:sz="8" w:space="0" w:color="auto"/>
              <w:bottom w:val="single" w:sz="8" w:space="0" w:color="auto"/>
              <w:right w:val="single" w:sz="8" w:space="0" w:color="auto"/>
            </w:tcBorders>
            <w:shd w:val="clear" w:color="auto" w:fill="F5F5F5"/>
            <w:noWrap/>
            <w:tcMar>
              <w:top w:w="0" w:type="dxa"/>
              <w:left w:w="108" w:type="dxa"/>
              <w:bottom w:w="0" w:type="dxa"/>
              <w:right w:w="108" w:type="dxa"/>
            </w:tcMar>
            <w:hideMark/>
          </w:tcPr>
          <w:p w14:paraId="166B6B2E" w14:textId="77777777" w:rsidR="00531480" w:rsidRDefault="00531480">
            <w:pPr>
              <w:jc w:val="center"/>
              <w:rPr>
                <w:rFonts w:ascii="Calibri" w:hAnsi="Calibri" w:cs="Calibri"/>
                <w:color w:val="000000"/>
                <w:sz w:val="16"/>
                <w:szCs w:val="16"/>
              </w:rPr>
            </w:pPr>
            <w:r>
              <w:rPr>
                <w:rFonts w:ascii="Calibri" w:hAnsi="Calibri" w:cs="Calibri"/>
                <w:color w:val="000000"/>
                <w:sz w:val="16"/>
                <w:szCs w:val="16"/>
              </w:rPr>
              <w:t>Mon</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B8EDD" w14:textId="77777777" w:rsidR="00531480" w:rsidRDefault="00531480">
            <w:pPr>
              <w:jc w:val="center"/>
              <w:rPr>
                <w:rFonts w:ascii="Calibri" w:hAnsi="Calibri" w:cs="Calibri"/>
                <w:color w:val="000000"/>
                <w:sz w:val="22"/>
                <w:szCs w:val="22"/>
              </w:rPr>
            </w:pPr>
            <w:r>
              <w:rPr>
                <w:rFonts w:ascii="Calibri" w:hAnsi="Calibri" w:cs="Calibri"/>
                <w:color w:val="000000"/>
                <w:sz w:val="22"/>
                <w:szCs w:val="22"/>
              </w:rPr>
              <w:t>35,980</w:t>
            </w:r>
          </w:p>
        </w:tc>
        <w:tc>
          <w:tcPr>
            <w:tcW w:w="14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AA4953F"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27.2</w:t>
            </w:r>
          </w:p>
        </w:tc>
        <w:tc>
          <w:tcPr>
            <w:tcW w:w="142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6FE4703"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25</w:t>
            </w:r>
          </w:p>
        </w:tc>
      </w:tr>
      <w:tr w:rsidR="00531480" w14:paraId="5C1CE1B9" w14:textId="77777777" w:rsidTr="00F7583F">
        <w:trPr>
          <w:cantSplit/>
          <w:trHeight w:val="278"/>
        </w:trPr>
        <w:tc>
          <w:tcPr>
            <w:tcW w:w="1160" w:type="dxa"/>
            <w:tcBorders>
              <w:top w:val="nil"/>
              <w:left w:val="single" w:sz="8" w:space="0" w:color="auto"/>
              <w:bottom w:val="single" w:sz="8" w:space="0" w:color="auto"/>
              <w:right w:val="single" w:sz="8" w:space="0" w:color="auto"/>
            </w:tcBorders>
            <w:shd w:val="clear" w:color="auto" w:fill="F5F5F5"/>
            <w:noWrap/>
            <w:tcMar>
              <w:top w:w="0" w:type="dxa"/>
              <w:left w:w="108" w:type="dxa"/>
              <w:bottom w:w="0" w:type="dxa"/>
              <w:right w:w="108" w:type="dxa"/>
            </w:tcMar>
            <w:hideMark/>
          </w:tcPr>
          <w:p w14:paraId="481EC57D" w14:textId="77777777" w:rsidR="00531480" w:rsidRDefault="00531480">
            <w:pPr>
              <w:jc w:val="center"/>
              <w:rPr>
                <w:rFonts w:ascii="Calibri" w:hAnsi="Calibri" w:cs="Calibri"/>
                <w:color w:val="000000"/>
                <w:sz w:val="16"/>
                <w:szCs w:val="16"/>
              </w:rPr>
            </w:pPr>
            <w:r>
              <w:rPr>
                <w:rFonts w:ascii="Calibri" w:hAnsi="Calibri" w:cs="Calibri"/>
                <w:color w:val="000000"/>
                <w:sz w:val="16"/>
                <w:szCs w:val="16"/>
              </w:rPr>
              <w:t>Tue</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8B22E0" w14:textId="77777777" w:rsidR="00531480" w:rsidRDefault="00531480">
            <w:pPr>
              <w:jc w:val="center"/>
              <w:rPr>
                <w:rFonts w:ascii="Calibri" w:hAnsi="Calibri" w:cs="Calibri"/>
                <w:color w:val="000000"/>
                <w:sz w:val="22"/>
                <w:szCs w:val="22"/>
              </w:rPr>
            </w:pPr>
            <w:r>
              <w:rPr>
                <w:rFonts w:ascii="Calibri" w:hAnsi="Calibri" w:cs="Calibri"/>
                <w:color w:val="000000"/>
                <w:sz w:val="22"/>
                <w:szCs w:val="22"/>
              </w:rPr>
              <w:t>37,840</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7C5DCBD"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27.7</w:t>
            </w:r>
          </w:p>
        </w:tc>
        <w:tc>
          <w:tcPr>
            <w:tcW w:w="1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B2380A"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26</w:t>
            </w:r>
          </w:p>
        </w:tc>
      </w:tr>
      <w:tr w:rsidR="00531480" w14:paraId="37604524" w14:textId="77777777" w:rsidTr="00F7583F">
        <w:trPr>
          <w:cantSplit/>
          <w:trHeight w:val="278"/>
        </w:trPr>
        <w:tc>
          <w:tcPr>
            <w:tcW w:w="1160" w:type="dxa"/>
            <w:tcBorders>
              <w:top w:val="nil"/>
              <w:left w:val="single" w:sz="8" w:space="0" w:color="auto"/>
              <w:bottom w:val="single" w:sz="8" w:space="0" w:color="auto"/>
              <w:right w:val="single" w:sz="8" w:space="0" w:color="auto"/>
            </w:tcBorders>
            <w:shd w:val="clear" w:color="auto" w:fill="F5F5F5"/>
            <w:noWrap/>
            <w:tcMar>
              <w:top w:w="0" w:type="dxa"/>
              <w:left w:w="108" w:type="dxa"/>
              <w:bottom w:w="0" w:type="dxa"/>
              <w:right w:w="108" w:type="dxa"/>
            </w:tcMar>
            <w:hideMark/>
          </w:tcPr>
          <w:p w14:paraId="5B0C6D6B" w14:textId="77777777" w:rsidR="00531480" w:rsidRDefault="00531480">
            <w:pPr>
              <w:jc w:val="center"/>
              <w:rPr>
                <w:rFonts w:ascii="Calibri" w:hAnsi="Calibri" w:cs="Calibri"/>
                <w:color w:val="000000"/>
                <w:sz w:val="16"/>
                <w:szCs w:val="16"/>
              </w:rPr>
            </w:pPr>
            <w:r>
              <w:rPr>
                <w:rFonts w:ascii="Calibri" w:hAnsi="Calibri" w:cs="Calibri"/>
                <w:color w:val="000000"/>
                <w:sz w:val="16"/>
                <w:szCs w:val="16"/>
              </w:rPr>
              <w:t>Wed</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CE7B57" w14:textId="77777777" w:rsidR="00531480" w:rsidRDefault="00531480">
            <w:pPr>
              <w:jc w:val="center"/>
              <w:rPr>
                <w:rFonts w:ascii="Calibri" w:hAnsi="Calibri" w:cs="Calibri"/>
                <w:color w:val="000000"/>
                <w:sz w:val="22"/>
                <w:szCs w:val="22"/>
              </w:rPr>
            </w:pPr>
            <w:r>
              <w:rPr>
                <w:rFonts w:ascii="Calibri" w:hAnsi="Calibri" w:cs="Calibri"/>
                <w:color w:val="000000"/>
                <w:sz w:val="22"/>
                <w:szCs w:val="22"/>
              </w:rPr>
              <w:t>37,200</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A5E6770"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27.3</w:t>
            </w:r>
          </w:p>
        </w:tc>
        <w:tc>
          <w:tcPr>
            <w:tcW w:w="1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2B2FB51"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26</w:t>
            </w:r>
          </w:p>
        </w:tc>
      </w:tr>
      <w:tr w:rsidR="00531480" w14:paraId="04301D33" w14:textId="77777777" w:rsidTr="00F7583F">
        <w:trPr>
          <w:cantSplit/>
          <w:trHeight w:val="278"/>
        </w:trPr>
        <w:tc>
          <w:tcPr>
            <w:tcW w:w="1160" w:type="dxa"/>
            <w:tcBorders>
              <w:top w:val="nil"/>
              <w:left w:val="single" w:sz="8" w:space="0" w:color="auto"/>
              <w:bottom w:val="single" w:sz="8" w:space="0" w:color="auto"/>
              <w:right w:val="single" w:sz="8" w:space="0" w:color="auto"/>
            </w:tcBorders>
            <w:shd w:val="clear" w:color="auto" w:fill="F5F5F5"/>
            <w:noWrap/>
            <w:tcMar>
              <w:top w:w="0" w:type="dxa"/>
              <w:left w:w="108" w:type="dxa"/>
              <w:bottom w:w="0" w:type="dxa"/>
              <w:right w:w="108" w:type="dxa"/>
            </w:tcMar>
            <w:hideMark/>
          </w:tcPr>
          <w:p w14:paraId="03495371" w14:textId="77777777" w:rsidR="00531480" w:rsidRDefault="00531480">
            <w:pPr>
              <w:jc w:val="center"/>
              <w:rPr>
                <w:rFonts w:ascii="Calibri" w:hAnsi="Calibri" w:cs="Calibri"/>
                <w:color w:val="000000"/>
                <w:sz w:val="16"/>
                <w:szCs w:val="16"/>
              </w:rPr>
            </w:pPr>
            <w:r>
              <w:rPr>
                <w:rFonts w:ascii="Calibri" w:hAnsi="Calibri" w:cs="Calibri"/>
                <w:color w:val="000000"/>
                <w:sz w:val="16"/>
                <w:szCs w:val="16"/>
              </w:rPr>
              <w:t>Thu</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12D5F7" w14:textId="77777777" w:rsidR="00531480" w:rsidRDefault="00531480">
            <w:pPr>
              <w:jc w:val="center"/>
              <w:rPr>
                <w:rFonts w:ascii="Calibri" w:hAnsi="Calibri" w:cs="Calibri"/>
                <w:color w:val="000000"/>
                <w:sz w:val="22"/>
                <w:szCs w:val="22"/>
              </w:rPr>
            </w:pPr>
            <w:r>
              <w:rPr>
                <w:rFonts w:ascii="Calibri" w:hAnsi="Calibri" w:cs="Calibri"/>
                <w:color w:val="000000"/>
                <w:sz w:val="22"/>
                <w:szCs w:val="22"/>
              </w:rPr>
              <w:t>36,635</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0A73C41"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26.5</w:t>
            </w:r>
          </w:p>
        </w:tc>
        <w:tc>
          <w:tcPr>
            <w:tcW w:w="1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BF33BA"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27</w:t>
            </w:r>
          </w:p>
        </w:tc>
      </w:tr>
      <w:tr w:rsidR="00531480" w14:paraId="62883445" w14:textId="77777777" w:rsidTr="00F7583F">
        <w:trPr>
          <w:cantSplit/>
          <w:trHeight w:val="278"/>
        </w:trPr>
        <w:tc>
          <w:tcPr>
            <w:tcW w:w="1160" w:type="dxa"/>
            <w:tcBorders>
              <w:top w:val="nil"/>
              <w:left w:val="single" w:sz="8" w:space="0" w:color="auto"/>
              <w:bottom w:val="single" w:sz="8" w:space="0" w:color="auto"/>
              <w:right w:val="single" w:sz="8" w:space="0" w:color="auto"/>
            </w:tcBorders>
            <w:shd w:val="clear" w:color="auto" w:fill="F5F5F5"/>
            <w:noWrap/>
            <w:tcMar>
              <w:top w:w="0" w:type="dxa"/>
              <w:left w:w="108" w:type="dxa"/>
              <w:bottom w:w="0" w:type="dxa"/>
              <w:right w:w="108" w:type="dxa"/>
            </w:tcMar>
            <w:hideMark/>
          </w:tcPr>
          <w:p w14:paraId="44DCD61A" w14:textId="77777777" w:rsidR="00531480" w:rsidRDefault="00531480">
            <w:pPr>
              <w:jc w:val="center"/>
              <w:rPr>
                <w:rFonts w:ascii="Calibri" w:hAnsi="Calibri" w:cs="Calibri"/>
                <w:color w:val="000000"/>
                <w:sz w:val="16"/>
                <w:szCs w:val="16"/>
              </w:rPr>
            </w:pPr>
            <w:r>
              <w:rPr>
                <w:rFonts w:ascii="Calibri" w:hAnsi="Calibri" w:cs="Calibri"/>
                <w:color w:val="000000"/>
                <w:sz w:val="16"/>
                <w:szCs w:val="16"/>
              </w:rPr>
              <w:t>Fri</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0E77DA" w14:textId="77777777" w:rsidR="00531480" w:rsidRDefault="00531480">
            <w:pPr>
              <w:jc w:val="center"/>
              <w:rPr>
                <w:rFonts w:ascii="Calibri" w:hAnsi="Calibri" w:cs="Calibri"/>
                <w:color w:val="000000"/>
                <w:sz w:val="22"/>
                <w:szCs w:val="22"/>
              </w:rPr>
            </w:pPr>
            <w:r>
              <w:rPr>
                <w:rFonts w:ascii="Calibri" w:hAnsi="Calibri" w:cs="Calibri"/>
                <w:color w:val="000000"/>
                <w:sz w:val="22"/>
                <w:szCs w:val="22"/>
              </w:rPr>
              <w:t>39,050</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118C49B"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26.9</w:t>
            </w:r>
          </w:p>
        </w:tc>
        <w:tc>
          <w:tcPr>
            <w:tcW w:w="1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E3B430E"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28</w:t>
            </w:r>
          </w:p>
        </w:tc>
      </w:tr>
      <w:tr w:rsidR="00531480" w14:paraId="5C76E974" w14:textId="77777777" w:rsidTr="00F7583F">
        <w:trPr>
          <w:cantSplit/>
          <w:trHeight w:val="278"/>
        </w:trPr>
        <w:tc>
          <w:tcPr>
            <w:tcW w:w="1160" w:type="dxa"/>
            <w:tcBorders>
              <w:top w:val="nil"/>
              <w:left w:val="single" w:sz="8" w:space="0" w:color="auto"/>
              <w:bottom w:val="single" w:sz="8" w:space="0" w:color="auto"/>
              <w:right w:val="single" w:sz="8" w:space="0" w:color="auto"/>
            </w:tcBorders>
            <w:shd w:val="clear" w:color="auto" w:fill="F5F5F5"/>
            <w:noWrap/>
            <w:tcMar>
              <w:top w:w="0" w:type="dxa"/>
              <w:left w:w="108" w:type="dxa"/>
              <w:bottom w:w="0" w:type="dxa"/>
              <w:right w:w="108" w:type="dxa"/>
            </w:tcMar>
            <w:hideMark/>
          </w:tcPr>
          <w:p w14:paraId="1E4A2026" w14:textId="77777777" w:rsidR="00531480" w:rsidRDefault="00531480">
            <w:pPr>
              <w:jc w:val="center"/>
              <w:rPr>
                <w:rFonts w:ascii="Calibri" w:hAnsi="Calibri" w:cs="Calibri"/>
                <w:color w:val="000000"/>
                <w:sz w:val="16"/>
                <w:szCs w:val="16"/>
              </w:rPr>
            </w:pPr>
            <w:r>
              <w:rPr>
                <w:rFonts w:ascii="Calibri" w:hAnsi="Calibri" w:cs="Calibri"/>
                <w:color w:val="000000"/>
                <w:sz w:val="16"/>
                <w:szCs w:val="16"/>
              </w:rPr>
              <w:t>Sat</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C0068F" w14:textId="77777777" w:rsidR="00531480" w:rsidRDefault="00531480">
            <w:pPr>
              <w:jc w:val="center"/>
              <w:rPr>
                <w:rFonts w:ascii="Calibri" w:hAnsi="Calibri" w:cs="Calibri"/>
                <w:color w:val="000000"/>
                <w:sz w:val="22"/>
                <w:szCs w:val="22"/>
              </w:rPr>
            </w:pPr>
            <w:r>
              <w:rPr>
                <w:rFonts w:ascii="Calibri" w:hAnsi="Calibri" w:cs="Calibri"/>
                <w:color w:val="000000"/>
                <w:sz w:val="22"/>
                <w:szCs w:val="22"/>
              </w:rPr>
              <w:t>22,805</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DC84AA2"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22.2</w:t>
            </w:r>
          </w:p>
        </w:tc>
        <w:tc>
          <w:tcPr>
            <w:tcW w:w="1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7E3E28C" w14:textId="77777777" w:rsidR="00531480" w:rsidRDefault="00531480">
            <w:pPr>
              <w:jc w:val="center"/>
              <w:rPr>
                <w:rFonts w:ascii="Calibri" w:hAnsi="Calibri" w:cs="Calibri"/>
                <w:color w:val="000000"/>
                <w:sz w:val="20"/>
                <w:szCs w:val="20"/>
              </w:rPr>
            </w:pPr>
            <w:r>
              <w:rPr>
                <w:rFonts w:ascii="Calibri" w:hAnsi="Calibri" w:cs="Calibri"/>
                <w:color w:val="000000"/>
                <w:sz w:val="20"/>
                <w:szCs w:val="20"/>
              </w:rPr>
              <w:t>20</w:t>
            </w:r>
          </w:p>
        </w:tc>
      </w:tr>
      <w:tr w:rsidR="00531480" w14:paraId="33761945" w14:textId="77777777" w:rsidTr="00F7583F">
        <w:trPr>
          <w:cantSplit/>
          <w:trHeight w:val="278"/>
        </w:trPr>
        <w:tc>
          <w:tcPr>
            <w:tcW w:w="1160" w:type="dxa"/>
            <w:tcBorders>
              <w:top w:val="nil"/>
              <w:left w:val="single" w:sz="8" w:space="0" w:color="auto"/>
              <w:bottom w:val="single" w:sz="8" w:space="0" w:color="auto"/>
              <w:right w:val="single" w:sz="8" w:space="0" w:color="auto"/>
            </w:tcBorders>
            <w:shd w:val="clear" w:color="auto" w:fill="16365C"/>
            <w:noWrap/>
            <w:tcMar>
              <w:top w:w="0" w:type="dxa"/>
              <w:left w:w="108" w:type="dxa"/>
              <w:bottom w:w="0" w:type="dxa"/>
              <w:right w:w="108" w:type="dxa"/>
            </w:tcMar>
            <w:hideMark/>
          </w:tcPr>
          <w:p w14:paraId="58E6E3C0" w14:textId="77777777" w:rsidR="00531480" w:rsidRDefault="00531480">
            <w:pPr>
              <w:jc w:val="center"/>
              <w:rPr>
                <w:rFonts w:ascii="Calibri" w:hAnsi="Calibri" w:cs="Calibri"/>
                <w:b/>
                <w:bCs/>
                <w:color w:val="FFFFFF"/>
                <w:sz w:val="16"/>
                <w:szCs w:val="16"/>
              </w:rPr>
            </w:pPr>
            <w:r>
              <w:rPr>
                <w:rFonts w:ascii="Calibri" w:hAnsi="Calibri" w:cs="Calibri"/>
                <w:b/>
                <w:bCs/>
                <w:color w:val="FFFFFF"/>
                <w:sz w:val="16"/>
                <w:szCs w:val="16"/>
              </w:rPr>
              <w:t>Annual</w:t>
            </w:r>
          </w:p>
        </w:tc>
        <w:tc>
          <w:tcPr>
            <w:tcW w:w="1040" w:type="dxa"/>
            <w:tcBorders>
              <w:top w:val="nil"/>
              <w:left w:val="nil"/>
              <w:bottom w:val="single" w:sz="8" w:space="0" w:color="auto"/>
              <w:right w:val="single" w:sz="8" w:space="0" w:color="auto"/>
            </w:tcBorders>
            <w:shd w:val="clear" w:color="auto" w:fill="16365C"/>
            <w:noWrap/>
            <w:tcMar>
              <w:top w:w="0" w:type="dxa"/>
              <w:left w:w="108" w:type="dxa"/>
              <w:bottom w:w="0" w:type="dxa"/>
              <w:right w:w="108" w:type="dxa"/>
            </w:tcMar>
            <w:vAlign w:val="bottom"/>
            <w:hideMark/>
          </w:tcPr>
          <w:p w14:paraId="2CBC2A12" w14:textId="77777777" w:rsidR="00531480" w:rsidRDefault="00531480">
            <w:pPr>
              <w:jc w:val="center"/>
              <w:rPr>
                <w:rFonts w:ascii="Calibri" w:hAnsi="Calibri" w:cs="Calibri"/>
                <w:b/>
                <w:bCs/>
                <w:color w:val="FFFFFF"/>
                <w:sz w:val="22"/>
                <w:szCs w:val="22"/>
              </w:rPr>
            </w:pPr>
            <w:r>
              <w:rPr>
                <w:rFonts w:ascii="Calibri" w:hAnsi="Calibri" w:cs="Calibri"/>
                <w:b/>
                <w:bCs/>
                <w:color w:val="FFFFFF"/>
                <w:sz w:val="22"/>
                <w:szCs w:val="22"/>
              </w:rPr>
              <w:t>209,510</w:t>
            </w:r>
          </w:p>
        </w:tc>
        <w:tc>
          <w:tcPr>
            <w:tcW w:w="1460" w:type="dxa"/>
            <w:tcBorders>
              <w:top w:val="nil"/>
              <w:left w:val="nil"/>
              <w:bottom w:val="single" w:sz="8" w:space="0" w:color="auto"/>
              <w:right w:val="single" w:sz="8" w:space="0" w:color="auto"/>
            </w:tcBorders>
            <w:shd w:val="clear" w:color="auto" w:fill="16365C"/>
            <w:noWrap/>
            <w:tcMar>
              <w:top w:w="0" w:type="dxa"/>
              <w:left w:w="108" w:type="dxa"/>
              <w:bottom w:w="0" w:type="dxa"/>
              <w:right w:w="108" w:type="dxa"/>
            </w:tcMar>
            <w:hideMark/>
          </w:tcPr>
          <w:p w14:paraId="49A6CEE7" w14:textId="77777777" w:rsidR="00531480" w:rsidRDefault="00531480">
            <w:pPr>
              <w:jc w:val="center"/>
              <w:rPr>
                <w:rFonts w:ascii="Calibri" w:hAnsi="Calibri" w:cs="Calibri"/>
                <w:b/>
                <w:bCs/>
                <w:color w:val="FFFFFF"/>
                <w:sz w:val="20"/>
                <w:szCs w:val="20"/>
              </w:rPr>
            </w:pPr>
            <w:r>
              <w:rPr>
                <w:rFonts w:ascii="Calibri" w:hAnsi="Calibri" w:cs="Calibri"/>
                <w:b/>
                <w:bCs/>
                <w:color w:val="FFFFFF"/>
                <w:sz w:val="20"/>
                <w:szCs w:val="20"/>
              </w:rPr>
              <w:t>26.5</w:t>
            </w:r>
          </w:p>
        </w:tc>
        <w:tc>
          <w:tcPr>
            <w:tcW w:w="1420" w:type="dxa"/>
            <w:tcBorders>
              <w:top w:val="nil"/>
              <w:left w:val="nil"/>
              <w:bottom w:val="single" w:sz="8" w:space="0" w:color="auto"/>
              <w:right w:val="single" w:sz="8" w:space="0" w:color="auto"/>
            </w:tcBorders>
            <w:shd w:val="clear" w:color="auto" w:fill="16365C"/>
            <w:noWrap/>
            <w:tcMar>
              <w:top w:w="0" w:type="dxa"/>
              <w:left w:w="108" w:type="dxa"/>
              <w:bottom w:w="0" w:type="dxa"/>
              <w:right w:w="108" w:type="dxa"/>
            </w:tcMar>
            <w:hideMark/>
          </w:tcPr>
          <w:p w14:paraId="1F5C5002" w14:textId="77777777" w:rsidR="00531480" w:rsidRDefault="00531480">
            <w:pPr>
              <w:jc w:val="center"/>
              <w:rPr>
                <w:rFonts w:ascii="Calibri" w:hAnsi="Calibri" w:cs="Calibri"/>
                <w:b/>
                <w:bCs/>
                <w:color w:val="FFFFFF"/>
                <w:sz w:val="20"/>
                <w:szCs w:val="20"/>
              </w:rPr>
            </w:pPr>
            <w:r>
              <w:rPr>
                <w:rFonts w:ascii="Calibri" w:hAnsi="Calibri" w:cs="Calibri"/>
                <w:b/>
                <w:bCs/>
                <w:color w:val="FFFFFF"/>
                <w:sz w:val="20"/>
                <w:szCs w:val="20"/>
              </w:rPr>
              <w:t>7,902</w:t>
            </w:r>
          </w:p>
        </w:tc>
      </w:tr>
    </w:tbl>
    <w:p w14:paraId="54B43CEA" w14:textId="77777777" w:rsidR="00531480" w:rsidRDefault="00531480" w:rsidP="00531480">
      <w:pPr>
        <w:rPr>
          <w:rFonts w:ascii="Aptos" w:hAnsi="Aptos" w:cs="Times New Roman"/>
          <w:sz w:val="22"/>
          <w:szCs w:val="22"/>
          <w14:ligatures w14:val="standardContextual"/>
        </w:rPr>
      </w:pPr>
    </w:p>
    <w:p w14:paraId="2191B679" w14:textId="77777777" w:rsidR="00531480" w:rsidRDefault="00531480" w:rsidP="00531480"/>
    <w:p w14:paraId="356AC4C9" w14:textId="77777777" w:rsidR="00531480" w:rsidRPr="00F614CF" w:rsidRDefault="00531480" w:rsidP="00531480"/>
    <w:sectPr w:rsidR="00531480" w:rsidRPr="00F614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BD0A" w14:textId="77777777" w:rsidR="00A42172" w:rsidRDefault="00A42172" w:rsidP="00993F2E">
      <w:pPr>
        <w:spacing w:after="0" w:line="240" w:lineRule="auto"/>
      </w:pPr>
      <w:r>
        <w:separator/>
      </w:r>
    </w:p>
  </w:endnote>
  <w:endnote w:type="continuationSeparator" w:id="0">
    <w:p w14:paraId="144E8B52" w14:textId="77777777" w:rsidR="00A42172" w:rsidRDefault="00A42172" w:rsidP="0099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7F94" w14:textId="77777777" w:rsidR="00A42172" w:rsidRDefault="00A42172" w:rsidP="00993F2E">
      <w:pPr>
        <w:spacing w:after="0" w:line="240" w:lineRule="auto"/>
      </w:pPr>
      <w:r>
        <w:separator/>
      </w:r>
    </w:p>
  </w:footnote>
  <w:footnote w:type="continuationSeparator" w:id="0">
    <w:p w14:paraId="6D32AB43" w14:textId="77777777" w:rsidR="00A42172" w:rsidRDefault="00A42172" w:rsidP="0099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E431" w14:textId="77777777" w:rsidR="00993F2E" w:rsidRDefault="00993F2E" w:rsidP="00993F2E">
    <w:pPr>
      <w:pStyle w:val="Header"/>
      <w:jc w:val="center"/>
    </w:pPr>
    <w:r>
      <w:t>Significant Amendment - Shields Imaging at Heywood Healthcare, LLC</w:t>
    </w:r>
  </w:p>
  <w:p w14:paraId="68FF3A6D" w14:textId="2271561E" w:rsidR="00993F2E" w:rsidRDefault="00993F2E" w:rsidP="00993F2E">
    <w:pPr>
      <w:pStyle w:val="Header"/>
      <w:jc w:val="center"/>
    </w:pPr>
    <w:r>
      <w:t xml:space="preserve">Responses to </w:t>
    </w:r>
    <w:proofErr w:type="spellStart"/>
    <w:r>
      <w:t>DoN</w:t>
    </w:r>
    <w:proofErr w:type="spellEnd"/>
    <w:r>
      <w:t xml:space="preserve"> Questions #2</w:t>
    </w:r>
  </w:p>
  <w:p w14:paraId="5AE6481F" w14:textId="77777777" w:rsidR="00993F2E" w:rsidRDefault="0099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6CFA"/>
    <w:multiLevelType w:val="hybridMultilevel"/>
    <w:tmpl w:val="E3C0D69A"/>
    <w:lvl w:ilvl="0" w:tplc="5EAC3FEE">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60A80"/>
    <w:multiLevelType w:val="hybridMultilevel"/>
    <w:tmpl w:val="83523F3A"/>
    <w:lvl w:ilvl="0" w:tplc="CFFCADA8">
      <w:numFmt w:val="bullet"/>
      <w:lvlText w:val="-"/>
      <w:lvlJc w:val="left"/>
      <w:pPr>
        <w:ind w:left="360" w:hanging="360"/>
      </w:pPr>
      <w:rPr>
        <w:rFonts w:ascii="Aptos" w:eastAsiaTheme="minorHAnsi" w:hAnsi="Apto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9D5B4C"/>
    <w:multiLevelType w:val="hybridMultilevel"/>
    <w:tmpl w:val="B3BA7D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242D1C"/>
    <w:multiLevelType w:val="hybridMultilevel"/>
    <w:tmpl w:val="D1FA0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2E0032"/>
    <w:multiLevelType w:val="hybridMultilevel"/>
    <w:tmpl w:val="368AA2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9489160">
    <w:abstractNumId w:val="1"/>
  </w:num>
  <w:num w:numId="2" w16cid:durableId="1398748576">
    <w:abstractNumId w:val="3"/>
  </w:num>
  <w:num w:numId="3" w16cid:durableId="243348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2336568">
    <w:abstractNumId w:val="3"/>
  </w:num>
  <w:num w:numId="5" w16cid:durableId="1156267126">
    <w:abstractNumId w:val="2"/>
  </w:num>
  <w:num w:numId="6" w16cid:durableId="1121194225">
    <w:abstractNumId w:val="0"/>
  </w:num>
  <w:num w:numId="7" w16cid:durableId="193618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2E"/>
    <w:rsid w:val="00080838"/>
    <w:rsid w:val="000A7F02"/>
    <w:rsid w:val="000E11DF"/>
    <w:rsid w:val="00144825"/>
    <w:rsid w:val="001C14F2"/>
    <w:rsid w:val="00230FC5"/>
    <w:rsid w:val="00406A08"/>
    <w:rsid w:val="00531480"/>
    <w:rsid w:val="0054150D"/>
    <w:rsid w:val="0056224C"/>
    <w:rsid w:val="00594D61"/>
    <w:rsid w:val="005A3216"/>
    <w:rsid w:val="005B586D"/>
    <w:rsid w:val="00673426"/>
    <w:rsid w:val="006F3709"/>
    <w:rsid w:val="0077294C"/>
    <w:rsid w:val="007D6D24"/>
    <w:rsid w:val="00804EA6"/>
    <w:rsid w:val="00805EB3"/>
    <w:rsid w:val="00860654"/>
    <w:rsid w:val="00883C9D"/>
    <w:rsid w:val="0095447A"/>
    <w:rsid w:val="00993F2E"/>
    <w:rsid w:val="009A30EC"/>
    <w:rsid w:val="009B480F"/>
    <w:rsid w:val="009B7AEC"/>
    <w:rsid w:val="00A42172"/>
    <w:rsid w:val="00AF54F2"/>
    <w:rsid w:val="00BE36CD"/>
    <w:rsid w:val="00BF249D"/>
    <w:rsid w:val="00D238E9"/>
    <w:rsid w:val="00D27CD2"/>
    <w:rsid w:val="00D444C4"/>
    <w:rsid w:val="00DC1ECF"/>
    <w:rsid w:val="00DC2370"/>
    <w:rsid w:val="00DD441E"/>
    <w:rsid w:val="00E11B95"/>
    <w:rsid w:val="00E548A7"/>
    <w:rsid w:val="00F614CF"/>
    <w:rsid w:val="00F6225A"/>
    <w:rsid w:val="00F7583F"/>
    <w:rsid w:val="00F8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94A93"/>
  <w15:chartTrackingRefBased/>
  <w15:docId w15:val="{15D3F3F5-FC4F-4BA1-844D-92B95030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94D61"/>
    <w:pPr>
      <w:tabs>
        <w:tab w:val="right" w:leader="dot" w:pos="9450"/>
      </w:tabs>
      <w:spacing w:after="100" w:line="276" w:lineRule="auto"/>
      <w:ind w:left="450"/>
    </w:pPr>
    <w:rPr>
      <w:rFonts w:ascii="Calibri" w:eastAsiaTheme="majorEastAsia" w:hAnsi="Calibri" w:cstheme="majorBidi"/>
      <w:noProof/>
      <w:color w:val="000000" w:themeColor="text1"/>
    </w:rPr>
  </w:style>
  <w:style w:type="paragraph" w:styleId="TOC2">
    <w:name w:val="toc 2"/>
    <w:basedOn w:val="Normal"/>
    <w:next w:val="Normal"/>
    <w:autoRedefine/>
    <w:uiPriority w:val="39"/>
    <w:unhideWhenUsed/>
    <w:rsid w:val="00594D61"/>
    <w:pPr>
      <w:tabs>
        <w:tab w:val="right" w:leader="dot" w:pos="9450"/>
      </w:tabs>
      <w:spacing w:after="100" w:line="276" w:lineRule="auto"/>
      <w:ind w:left="450"/>
    </w:pPr>
    <w:rPr>
      <w:rFonts w:ascii="Calibri" w:hAnsi="Calibri"/>
      <w:noProof/>
      <w:color w:val="000000" w:themeColor="text1"/>
    </w:rPr>
  </w:style>
  <w:style w:type="paragraph" w:styleId="TOC3">
    <w:name w:val="toc 3"/>
    <w:basedOn w:val="Normal"/>
    <w:next w:val="Normal"/>
    <w:autoRedefine/>
    <w:uiPriority w:val="39"/>
    <w:unhideWhenUsed/>
    <w:rsid w:val="00594D61"/>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993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F2E"/>
    <w:rPr>
      <w:rFonts w:eastAsiaTheme="majorEastAsia" w:cstheme="majorBidi"/>
      <w:color w:val="272727" w:themeColor="text1" w:themeTint="D8"/>
    </w:rPr>
  </w:style>
  <w:style w:type="paragraph" w:styleId="Title">
    <w:name w:val="Title"/>
    <w:basedOn w:val="Normal"/>
    <w:next w:val="Normal"/>
    <w:link w:val="TitleChar"/>
    <w:uiPriority w:val="10"/>
    <w:qFormat/>
    <w:rsid w:val="00993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F2E"/>
    <w:pPr>
      <w:spacing w:before="160"/>
      <w:jc w:val="center"/>
    </w:pPr>
    <w:rPr>
      <w:i/>
      <w:iCs/>
      <w:color w:val="404040" w:themeColor="text1" w:themeTint="BF"/>
    </w:rPr>
  </w:style>
  <w:style w:type="character" w:customStyle="1" w:styleId="QuoteChar">
    <w:name w:val="Quote Char"/>
    <w:basedOn w:val="DefaultParagraphFont"/>
    <w:link w:val="Quote"/>
    <w:uiPriority w:val="29"/>
    <w:rsid w:val="00993F2E"/>
    <w:rPr>
      <w:i/>
      <w:iCs/>
      <w:color w:val="404040" w:themeColor="text1" w:themeTint="BF"/>
    </w:rPr>
  </w:style>
  <w:style w:type="paragraph" w:styleId="ListParagraph">
    <w:name w:val="List Paragraph"/>
    <w:basedOn w:val="Normal"/>
    <w:uiPriority w:val="34"/>
    <w:qFormat/>
    <w:rsid w:val="00993F2E"/>
    <w:pPr>
      <w:ind w:left="720"/>
      <w:contextualSpacing/>
    </w:pPr>
  </w:style>
  <w:style w:type="character" w:styleId="IntenseEmphasis">
    <w:name w:val="Intense Emphasis"/>
    <w:basedOn w:val="DefaultParagraphFont"/>
    <w:uiPriority w:val="21"/>
    <w:qFormat/>
    <w:rsid w:val="00993F2E"/>
    <w:rPr>
      <w:i/>
      <w:iCs/>
      <w:color w:val="0F4761" w:themeColor="accent1" w:themeShade="BF"/>
    </w:rPr>
  </w:style>
  <w:style w:type="paragraph" w:styleId="IntenseQuote">
    <w:name w:val="Intense Quote"/>
    <w:basedOn w:val="Normal"/>
    <w:next w:val="Normal"/>
    <w:link w:val="IntenseQuoteChar"/>
    <w:uiPriority w:val="30"/>
    <w:qFormat/>
    <w:rsid w:val="00993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F2E"/>
    <w:rPr>
      <w:i/>
      <w:iCs/>
      <w:color w:val="0F4761" w:themeColor="accent1" w:themeShade="BF"/>
    </w:rPr>
  </w:style>
  <w:style w:type="character" w:styleId="IntenseReference">
    <w:name w:val="Intense Reference"/>
    <w:basedOn w:val="DefaultParagraphFont"/>
    <w:uiPriority w:val="32"/>
    <w:qFormat/>
    <w:rsid w:val="00993F2E"/>
    <w:rPr>
      <w:b/>
      <w:bCs/>
      <w:smallCaps/>
      <w:color w:val="0F4761" w:themeColor="accent1" w:themeShade="BF"/>
      <w:spacing w:val="5"/>
    </w:rPr>
  </w:style>
  <w:style w:type="paragraph" w:styleId="Header">
    <w:name w:val="header"/>
    <w:basedOn w:val="Normal"/>
    <w:link w:val="HeaderChar"/>
    <w:uiPriority w:val="99"/>
    <w:unhideWhenUsed/>
    <w:rsid w:val="0099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F2E"/>
  </w:style>
  <w:style w:type="paragraph" w:styleId="Footer">
    <w:name w:val="footer"/>
    <w:basedOn w:val="Normal"/>
    <w:link w:val="FooterChar"/>
    <w:uiPriority w:val="99"/>
    <w:unhideWhenUsed/>
    <w:rsid w:val="0099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F2E"/>
  </w:style>
  <w:style w:type="character" w:styleId="Hyperlink">
    <w:name w:val="Hyperlink"/>
    <w:basedOn w:val="DefaultParagraphFont"/>
    <w:uiPriority w:val="99"/>
    <w:unhideWhenUsed/>
    <w:rsid w:val="00230FC5"/>
    <w:rPr>
      <w:color w:val="467886" w:themeColor="hyperlink"/>
      <w:u w:val="single"/>
    </w:rPr>
  </w:style>
  <w:style w:type="character" w:customStyle="1" w:styleId="UnresolvedMention1">
    <w:name w:val="Unresolved Mention1"/>
    <w:basedOn w:val="DefaultParagraphFont"/>
    <w:uiPriority w:val="99"/>
    <w:semiHidden/>
    <w:unhideWhenUsed/>
    <w:rsid w:val="00230FC5"/>
    <w:rPr>
      <w:color w:val="605E5C"/>
      <w:shd w:val="clear" w:color="auto" w:fill="E1DFDD"/>
    </w:rPr>
  </w:style>
  <w:style w:type="table" w:styleId="TableGrid">
    <w:name w:val="Table Grid"/>
    <w:basedOn w:val="TableNormal"/>
    <w:uiPriority w:val="39"/>
    <w:rsid w:val="00144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759290">
      <w:bodyDiv w:val="1"/>
      <w:marLeft w:val="0"/>
      <w:marRight w:val="0"/>
      <w:marTop w:val="0"/>
      <w:marBottom w:val="0"/>
      <w:divBdr>
        <w:top w:val="none" w:sz="0" w:space="0" w:color="auto"/>
        <w:left w:val="none" w:sz="0" w:space="0" w:color="auto"/>
        <w:bottom w:val="none" w:sz="0" w:space="0" w:color="auto"/>
        <w:right w:val="none" w:sz="0" w:space="0" w:color="auto"/>
      </w:divBdr>
    </w:div>
    <w:div w:id="19837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Conover, Lynn (DPH)</dc:creator>
  <cp:keywords/>
  <dc:description/>
  <cp:lastModifiedBy>Marks, Brett (DPH)</cp:lastModifiedBy>
  <cp:revision>4</cp:revision>
  <dcterms:created xsi:type="dcterms:W3CDTF">2025-09-05T16:07:00Z</dcterms:created>
  <dcterms:modified xsi:type="dcterms:W3CDTF">2025-09-24T14:40:00Z</dcterms:modified>
</cp:coreProperties>
</file>