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601F" w14:textId="6C864E94" w:rsidR="00D223EB" w:rsidRDefault="00755285" w:rsidP="00A11A4E">
      <w:pPr>
        <w:pStyle w:val="Heading1"/>
        <w:rPr>
          <w:sz w:val="24"/>
          <w:szCs w:val="24"/>
        </w:rPr>
      </w:pPr>
      <w:r>
        <w:rPr>
          <w:sz w:val="24"/>
          <w:szCs w:val="24"/>
        </w:rPr>
        <w:t xml:space="preserve">Applicant Questions </w:t>
      </w:r>
    </w:p>
    <w:p w14:paraId="42D12F94" w14:textId="1160EA22" w:rsidR="0001175F" w:rsidRDefault="0001175F" w:rsidP="00D8026D">
      <w:pPr>
        <w:rPr>
          <w:b/>
          <w:bCs/>
          <w:color w:val="2F5496" w:themeColor="accent1" w:themeShade="BF"/>
          <w:sz w:val="28"/>
          <w:szCs w:val="28"/>
        </w:rPr>
      </w:pPr>
      <w:r>
        <w:rPr>
          <w:b/>
          <w:bCs/>
          <w:color w:val="2F5496" w:themeColor="accent1" w:themeShade="BF"/>
          <w:sz w:val="28"/>
          <w:szCs w:val="28"/>
        </w:rPr>
        <w:t>HFCCA Follow-Up Questions</w:t>
      </w:r>
    </w:p>
    <w:p w14:paraId="75B726A9" w14:textId="0FE09A4D" w:rsidR="0001175F" w:rsidRPr="0001175F" w:rsidRDefault="0001175F" w:rsidP="00D8026D">
      <w:pPr>
        <w:rPr>
          <w:b/>
          <w:bCs/>
          <w:color w:val="2F5496" w:themeColor="accent1" w:themeShade="BF"/>
          <w:sz w:val="24"/>
          <w:szCs w:val="24"/>
        </w:rPr>
      </w:pPr>
      <w:r>
        <w:rPr>
          <w:b/>
          <w:bCs/>
          <w:color w:val="2F5496" w:themeColor="accent1" w:themeShade="BF"/>
          <w:sz w:val="24"/>
          <w:szCs w:val="24"/>
        </w:rPr>
        <w:t>Responses</w:t>
      </w:r>
    </w:p>
    <w:p w14:paraId="12D3A063" w14:textId="4DD82F6E" w:rsidR="009B0480" w:rsidRPr="00521C7D" w:rsidRDefault="0001175F" w:rsidP="00D8026D">
      <w:pPr>
        <w:rPr>
          <w:i/>
          <w:iCs/>
          <w:sz w:val="24"/>
          <w:szCs w:val="24"/>
        </w:rPr>
      </w:pPr>
      <w:r w:rsidRPr="00521C7D">
        <w:rPr>
          <w:i/>
          <w:iCs/>
          <w:sz w:val="24"/>
          <w:szCs w:val="24"/>
        </w:rPr>
        <w:t>Responses requested by September 29, 2026</w:t>
      </w:r>
    </w:p>
    <w:p w14:paraId="31BAF5EF" w14:textId="6ABB6B2F" w:rsidR="00E055D7" w:rsidRPr="0001175F" w:rsidRDefault="006B4CBA" w:rsidP="00A14B57">
      <w:pPr>
        <w:pStyle w:val="Heading2"/>
      </w:pPr>
      <w:r>
        <w:t>Table 13 of the Narrative (page 9) provides a cost comparison between Physician Office vs. Hospital Outpatient PET/CT. Please answer the following questions about this table:</w:t>
      </w:r>
    </w:p>
    <w:p w14:paraId="02A60D70" w14:textId="37258111" w:rsidR="00A420F5" w:rsidRDefault="001663D9" w:rsidP="00A420F5">
      <w:pPr>
        <w:pStyle w:val="ListParagraph"/>
        <w:numPr>
          <w:ilvl w:val="1"/>
          <w:numId w:val="8"/>
        </w:numPr>
        <w:spacing w:after="0" w:line="240" w:lineRule="auto"/>
        <w:rPr>
          <w:rFonts w:cstheme="minorHAnsi"/>
          <w:b/>
          <w:bCs/>
          <w:color w:val="2F5496" w:themeColor="accent1" w:themeShade="BF"/>
          <w:sz w:val="24"/>
          <w:szCs w:val="24"/>
        </w:rPr>
      </w:pPr>
      <w:r>
        <w:rPr>
          <w:rFonts w:cstheme="minorHAnsi"/>
          <w:b/>
          <w:bCs/>
          <w:color w:val="2F5496" w:themeColor="accent1" w:themeShade="BF"/>
          <w:sz w:val="24"/>
          <w:szCs w:val="24"/>
        </w:rPr>
        <w:t>Does the $2947 figure represent the cost to the patient, the amount HFCCA expects to charge to insurance companies, or something else?</w:t>
      </w:r>
    </w:p>
    <w:p w14:paraId="21C0C5DD" w14:textId="706EFA02" w:rsidR="000F6158" w:rsidRPr="00721290" w:rsidRDefault="000F6158" w:rsidP="0092095A">
      <w:pPr>
        <w:ind w:left="1440"/>
        <w:rPr>
          <w:sz w:val="24"/>
          <w:szCs w:val="24"/>
        </w:rPr>
      </w:pPr>
      <w:r w:rsidRPr="00721290">
        <w:rPr>
          <w:b/>
          <w:bCs/>
          <w:color w:val="2F5496" w:themeColor="accent1" w:themeShade="BF"/>
          <w:sz w:val="24"/>
          <w:szCs w:val="24"/>
        </w:rPr>
        <w:t>Response</w:t>
      </w:r>
      <w:proofErr w:type="gramStart"/>
      <w:r w:rsidRPr="00721290">
        <w:rPr>
          <w:b/>
          <w:bCs/>
          <w:color w:val="2F5496" w:themeColor="accent1" w:themeShade="BF"/>
          <w:sz w:val="24"/>
          <w:szCs w:val="24"/>
        </w:rPr>
        <w:t xml:space="preserve">:  </w:t>
      </w:r>
      <w:r w:rsidRPr="00721290">
        <w:rPr>
          <w:sz w:val="24"/>
          <w:szCs w:val="24"/>
        </w:rPr>
        <w:t>The</w:t>
      </w:r>
      <w:proofErr w:type="gramEnd"/>
      <w:r w:rsidRPr="00721290">
        <w:rPr>
          <w:sz w:val="24"/>
          <w:szCs w:val="24"/>
        </w:rPr>
        <w:t xml:space="preserve"> $2,947 figure is the blended average reimbursement per study - that is, the amount the Applicant expects to collect for the service across its payer mix (Medicare and commercial plans) in the physician-office / IDTF setting. It is not the gross charge and not a net-profit figure. Consistent with standard billing practice, the gross charge assigned to the procedure code is set above the Applicant's highest-reimbursing payer so that no payer's allowed amount is left uncollected; the gross charge is therefore substantially higher than $2,947 and is not the figure presented in Table 13. The $2,947 reflects expected reimbursement (the allowed amount) - the amount actually paid for the study - which is the appropriate basis for comparing patient and payer cost across sites of service.</w:t>
      </w:r>
    </w:p>
    <w:p w14:paraId="0DDEC012" w14:textId="34D541BE" w:rsidR="00826E90" w:rsidRPr="008A3228" w:rsidRDefault="00473536" w:rsidP="00A420F5">
      <w:pPr>
        <w:pStyle w:val="ListParagraph"/>
        <w:numPr>
          <w:ilvl w:val="1"/>
          <w:numId w:val="8"/>
        </w:numPr>
        <w:spacing w:after="0" w:line="240" w:lineRule="auto"/>
        <w:rPr>
          <w:rFonts w:cstheme="minorHAnsi"/>
          <w:b/>
          <w:bCs/>
          <w:color w:val="2F5496" w:themeColor="accent1" w:themeShade="BF"/>
          <w:sz w:val="24"/>
          <w:szCs w:val="24"/>
        </w:rPr>
      </w:pPr>
      <w:r>
        <w:rPr>
          <w:rFonts w:cstheme="minorHAnsi"/>
          <w:b/>
          <w:bCs/>
          <w:color w:val="2F5496" w:themeColor="accent1" w:themeShade="BF"/>
          <w:sz w:val="24"/>
          <w:szCs w:val="24"/>
        </w:rPr>
        <w:t>The table states that the $4600 estimated hospital cost was derived</w:t>
      </w:r>
      <w:r>
        <w:rPr>
          <w:b/>
          <w:bCs/>
          <w:color w:val="2F5496" w:themeColor="accent1" w:themeShade="BF"/>
          <w:sz w:val="24"/>
          <w:szCs w:val="24"/>
        </w:rPr>
        <w:t xml:space="preserve"> from reported 30%-50% non-hospital savings versus hospital-based PET/CT rates. However, this does not appear to correspond with the $2947 figure, which is not 30-50% lower than the hospital cost. Please provide a </w:t>
      </w:r>
      <w:proofErr w:type="gramStart"/>
      <w:r>
        <w:rPr>
          <w:b/>
          <w:bCs/>
          <w:color w:val="2F5496" w:themeColor="accent1" w:themeShade="BF"/>
          <w:sz w:val="24"/>
          <w:szCs w:val="24"/>
        </w:rPr>
        <w:t>more clear</w:t>
      </w:r>
      <w:proofErr w:type="gramEnd"/>
      <w:r>
        <w:rPr>
          <w:b/>
          <w:bCs/>
          <w:color w:val="2F5496" w:themeColor="accent1" w:themeShade="BF"/>
          <w:sz w:val="24"/>
          <w:szCs w:val="24"/>
        </w:rPr>
        <w:t xml:space="preserve"> explanation for how the numbers were determined or present the table in a manner that elucidates how the numbers were derived.</w:t>
      </w:r>
    </w:p>
    <w:p w14:paraId="22DF0F59" w14:textId="13536834" w:rsidR="008A3228" w:rsidRPr="00C76493" w:rsidRDefault="008A3228" w:rsidP="008A3228">
      <w:pPr>
        <w:pStyle w:val="ListParagraph"/>
        <w:spacing w:after="0" w:line="240" w:lineRule="auto"/>
        <w:ind w:left="1440"/>
        <w:rPr>
          <w:rFonts w:cstheme="minorHAnsi"/>
          <w:sz w:val="24"/>
          <w:szCs w:val="24"/>
        </w:rPr>
      </w:pPr>
      <w:r>
        <w:rPr>
          <w:rFonts w:cstheme="minorHAnsi"/>
          <w:b/>
          <w:bCs/>
          <w:color w:val="2F5496" w:themeColor="accent1" w:themeShade="BF"/>
          <w:sz w:val="24"/>
          <w:szCs w:val="24"/>
        </w:rPr>
        <w:t>Response</w:t>
      </w:r>
      <w:proofErr w:type="gramStart"/>
      <w:r>
        <w:rPr>
          <w:rFonts w:cstheme="minorHAnsi"/>
          <w:b/>
          <w:bCs/>
          <w:color w:val="2F5496" w:themeColor="accent1" w:themeShade="BF"/>
          <w:sz w:val="24"/>
          <w:szCs w:val="24"/>
        </w:rPr>
        <w:t xml:space="preserve">:  </w:t>
      </w:r>
      <w:r>
        <w:rPr>
          <w:rFonts w:cstheme="minorHAnsi"/>
          <w:sz w:val="24"/>
          <w:szCs w:val="24"/>
        </w:rPr>
        <w:t>Both</w:t>
      </w:r>
      <w:proofErr w:type="gramEnd"/>
      <w:r>
        <w:rPr>
          <w:rFonts w:cstheme="minorHAnsi"/>
          <w:sz w:val="24"/>
          <w:szCs w:val="24"/>
        </w:rPr>
        <w:t xml:space="preserve"> figures in Table 13 are stated on a consistent reimbursement (allowed-amount) basis - the amount actually paid for the study - rather than gross charges. In the physician-office / IDTF setting, the Applicant's blended average reimbursement is $2,947 per study across its payer mix. In the hospital outpatient setting, the allowed amount for the same service is estimated at approximately $4,600, because the hospital bills a facility fee in addition to the professional fee, whereas a physician office / IDTF bills no separate facility fee. The $4,600 estimate is derived by applying the reported 30%-50% site-of-service differential between non-hospital and hospital-based PET/CT in the Springfield market. The resulting difference of $1,653 ($4,600 less $2,947) is approximately a 36% reduction </w:t>
      </w:r>
      <w:proofErr w:type="gramStart"/>
      <w:r>
        <w:rPr>
          <w:rFonts w:cstheme="minorHAnsi"/>
          <w:sz w:val="24"/>
          <w:szCs w:val="24"/>
        </w:rPr>
        <w:t>relative</w:t>
      </w:r>
      <w:proofErr w:type="gramEnd"/>
      <w:r>
        <w:rPr>
          <w:rFonts w:cstheme="minorHAnsi"/>
          <w:sz w:val="24"/>
          <w:szCs w:val="24"/>
        </w:rPr>
        <w:t xml:space="preserve"> to the hospital allowed amount, which falls within that reported 30%-50% range. Table 13 has been revised to show this derivation on its face, as set out below.</w:t>
      </w:r>
    </w:p>
    <w:p w14:paraId="35478F5C" w14:textId="77777777" w:rsidR="00F67A2F" w:rsidRDefault="00536D00">
      <w:pPr>
        <w:spacing w:before="120" w:after="60" w:line="240" w:lineRule="auto"/>
        <w:rPr>
          <w:rFonts w:cstheme="minorHAnsi"/>
          <w:b/>
          <w:bCs/>
          <w:sz w:val="24"/>
          <w:szCs w:val="24"/>
        </w:rPr>
      </w:pPr>
      <w:r>
        <w:rPr>
          <w:rFonts w:cstheme="minorHAnsi"/>
          <w:b/>
          <w:bCs/>
          <w:sz w:val="24"/>
          <w:szCs w:val="24"/>
        </w:rPr>
        <w:t>Revised Table 13. Cost Comparison (Reimbursement / Allowed Amounts) — Physician Office vs. Hospital Outpatient Cardiac PET/CT Myocardial Perfusion</w:t>
      </w:r>
    </w:p>
    <w:tbl>
      <w:tblPr>
        <w:tblStyle w:val="TableGrid"/>
        <w:tblW w:w="9360" w:type="dxa"/>
        <w:tblInd w:w="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Caption w:val="Cost Comparison"/>
      </w:tblPr>
      <w:tblGrid>
        <w:gridCol w:w="3000"/>
        <w:gridCol w:w="1300"/>
        <w:gridCol w:w="5060"/>
      </w:tblGrid>
      <w:tr w:rsidR="00F67A2F" w14:paraId="10C4B380" w14:textId="77777777" w:rsidTr="00AA4FAA">
        <w:trPr>
          <w:cantSplit/>
          <w:tblHeader/>
        </w:trPr>
        <w:tc>
          <w:tcPr>
            <w:tcW w:w="3000" w:type="dxa"/>
            <w:shd w:val="clear" w:color="auto" w:fill="D9E2F3"/>
            <w:vAlign w:val="center"/>
          </w:tcPr>
          <w:p w14:paraId="15539092" w14:textId="77777777" w:rsidR="00F67A2F" w:rsidRDefault="00536D00">
            <w:pPr>
              <w:spacing w:after="40"/>
              <w:rPr>
                <w:b/>
                <w:bCs/>
              </w:rPr>
            </w:pPr>
            <w:r>
              <w:rPr>
                <w:rFonts w:cstheme="minorHAnsi"/>
                <w:b/>
                <w:bCs/>
                <w:sz w:val="24"/>
                <w:szCs w:val="24"/>
              </w:rPr>
              <w:lastRenderedPageBreak/>
              <w:t>Setting / Metric</w:t>
            </w:r>
          </w:p>
        </w:tc>
        <w:tc>
          <w:tcPr>
            <w:tcW w:w="1300" w:type="dxa"/>
            <w:shd w:val="clear" w:color="auto" w:fill="D9E2F3"/>
            <w:vAlign w:val="center"/>
          </w:tcPr>
          <w:p w14:paraId="41DDE3D7" w14:textId="77777777" w:rsidR="00F67A2F" w:rsidRDefault="00536D00">
            <w:pPr>
              <w:spacing w:after="40"/>
              <w:rPr>
                <w:b/>
                <w:bCs/>
              </w:rPr>
            </w:pPr>
            <w:r>
              <w:rPr>
                <w:rFonts w:cstheme="minorHAnsi"/>
                <w:b/>
                <w:bCs/>
                <w:sz w:val="24"/>
                <w:szCs w:val="24"/>
              </w:rPr>
              <w:t>Per study</w:t>
            </w:r>
          </w:p>
        </w:tc>
        <w:tc>
          <w:tcPr>
            <w:tcW w:w="5060" w:type="dxa"/>
            <w:shd w:val="clear" w:color="auto" w:fill="D9E2F3"/>
            <w:vAlign w:val="center"/>
          </w:tcPr>
          <w:p w14:paraId="787A8EC9" w14:textId="77777777" w:rsidR="00F67A2F" w:rsidRDefault="00536D00">
            <w:pPr>
              <w:spacing w:after="40"/>
              <w:rPr>
                <w:b/>
                <w:bCs/>
              </w:rPr>
            </w:pPr>
            <w:r>
              <w:rPr>
                <w:rFonts w:cstheme="minorHAnsi"/>
                <w:b/>
                <w:bCs/>
                <w:sz w:val="24"/>
                <w:szCs w:val="24"/>
              </w:rPr>
              <w:t>Basis / derivation</w:t>
            </w:r>
          </w:p>
        </w:tc>
      </w:tr>
      <w:tr w:rsidR="00F67A2F" w14:paraId="7902D7BE" w14:textId="77777777" w:rsidTr="00AA4FAA">
        <w:trPr>
          <w:cantSplit/>
        </w:trPr>
        <w:tc>
          <w:tcPr>
            <w:tcW w:w="3000" w:type="dxa"/>
            <w:vAlign w:val="center"/>
          </w:tcPr>
          <w:p w14:paraId="6527005A" w14:textId="77777777" w:rsidR="00F67A2F" w:rsidRDefault="00536D00">
            <w:pPr>
              <w:spacing w:after="40"/>
            </w:pPr>
            <w:r>
              <w:rPr>
                <w:rFonts w:cstheme="minorHAnsi"/>
                <w:sz w:val="24"/>
                <w:szCs w:val="24"/>
              </w:rPr>
              <w:t>Hospital outpatient department (Baystate / Cooley Dickinson)</w:t>
            </w:r>
          </w:p>
        </w:tc>
        <w:tc>
          <w:tcPr>
            <w:tcW w:w="1300" w:type="dxa"/>
            <w:vAlign w:val="center"/>
          </w:tcPr>
          <w:p w14:paraId="24456825" w14:textId="77777777" w:rsidR="00F67A2F" w:rsidRDefault="00536D00">
            <w:pPr>
              <w:spacing w:after="40"/>
            </w:pPr>
            <w:r>
              <w:rPr>
                <w:rFonts w:cstheme="minorHAnsi"/>
                <w:sz w:val="24"/>
                <w:szCs w:val="24"/>
              </w:rPr>
              <w:t>$4,600</w:t>
            </w:r>
          </w:p>
        </w:tc>
        <w:tc>
          <w:tcPr>
            <w:tcW w:w="5060" w:type="dxa"/>
            <w:vAlign w:val="center"/>
          </w:tcPr>
          <w:p w14:paraId="15B9190D" w14:textId="77777777" w:rsidR="00F67A2F" w:rsidRDefault="00536D00">
            <w:pPr>
              <w:spacing w:after="40"/>
            </w:pPr>
            <w:r>
              <w:rPr>
                <w:rFonts w:cstheme="minorHAnsi"/>
                <w:sz w:val="24"/>
                <w:szCs w:val="24"/>
              </w:rPr>
              <w:t>Estimated hospital outpatient allowed amount; includes a facility fee billed in addition to the professional fee (Springfield-market hospital-based rate)</w:t>
            </w:r>
          </w:p>
        </w:tc>
      </w:tr>
      <w:tr w:rsidR="00F67A2F" w14:paraId="186A79B0" w14:textId="77777777" w:rsidTr="00AA4FAA">
        <w:trPr>
          <w:cantSplit/>
        </w:trPr>
        <w:tc>
          <w:tcPr>
            <w:tcW w:w="3000" w:type="dxa"/>
            <w:vAlign w:val="center"/>
          </w:tcPr>
          <w:p w14:paraId="7D1B93EC" w14:textId="77777777" w:rsidR="00F67A2F" w:rsidRDefault="00536D00">
            <w:pPr>
              <w:spacing w:after="40"/>
            </w:pPr>
            <w:r>
              <w:rPr>
                <w:rFonts w:cstheme="minorHAnsi"/>
                <w:sz w:val="24"/>
                <w:szCs w:val="24"/>
              </w:rPr>
              <w:t>Physician office / IDTF (HFCCA)</w:t>
            </w:r>
          </w:p>
        </w:tc>
        <w:tc>
          <w:tcPr>
            <w:tcW w:w="1300" w:type="dxa"/>
            <w:vAlign w:val="center"/>
          </w:tcPr>
          <w:p w14:paraId="2606C756" w14:textId="77777777" w:rsidR="00F67A2F" w:rsidRDefault="00536D00">
            <w:pPr>
              <w:spacing w:after="40"/>
            </w:pPr>
            <w:r>
              <w:rPr>
                <w:rFonts w:cstheme="minorHAnsi"/>
                <w:sz w:val="24"/>
                <w:szCs w:val="24"/>
              </w:rPr>
              <w:t>$2,947</w:t>
            </w:r>
          </w:p>
        </w:tc>
        <w:tc>
          <w:tcPr>
            <w:tcW w:w="5060" w:type="dxa"/>
            <w:vAlign w:val="center"/>
          </w:tcPr>
          <w:p w14:paraId="6D19F8CB" w14:textId="77777777" w:rsidR="00F67A2F" w:rsidRDefault="00536D00">
            <w:pPr>
              <w:spacing w:after="40"/>
            </w:pPr>
            <w:r>
              <w:rPr>
                <w:rFonts w:cstheme="minorHAnsi"/>
                <w:sz w:val="24"/>
                <w:szCs w:val="24"/>
              </w:rPr>
              <w:t>Blended average reimbursement (allowed amount) across the Applicant's payer mix; no separate facility fee</w:t>
            </w:r>
          </w:p>
        </w:tc>
      </w:tr>
      <w:tr w:rsidR="00F67A2F" w14:paraId="24C62BF1" w14:textId="77777777" w:rsidTr="00AA4FAA">
        <w:trPr>
          <w:cantSplit/>
        </w:trPr>
        <w:tc>
          <w:tcPr>
            <w:tcW w:w="3000" w:type="dxa"/>
            <w:vAlign w:val="center"/>
          </w:tcPr>
          <w:p w14:paraId="47CB04D1" w14:textId="77777777" w:rsidR="00F67A2F" w:rsidRDefault="00536D00">
            <w:pPr>
              <w:spacing w:after="40"/>
            </w:pPr>
            <w:r>
              <w:rPr>
                <w:rFonts w:cstheme="minorHAnsi"/>
                <w:sz w:val="24"/>
                <w:szCs w:val="24"/>
              </w:rPr>
              <w:t>Estimated patient/payer savings per study</w:t>
            </w:r>
          </w:p>
        </w:tc>
        <w:tc>
          <w:tcPr>
            <w:tcW w:w="1300" w:type="dxa"/>
            <w:vAlign w:val="center"/>
          </w:tcPr>
          <w:p w14:paraId="5284A263" w14:textId="77777777" w:rsidR="00F67A2F" w:rsidRDefault="00536D00">
            <w:pPr>
              <w:spacing w:after="40"/>
            </w:pPr>
            <w:r>
              <w:rPr>
                <w:rFonts w:cstheme="minorHAnsi"/>
                <w:sz w:val="24"/>
                <w:szCs w:val="24"/>
              </w:rPr>
              <w:t>$1,653</w:t>
            </w:r>
          </w:p>
        </w:tc>
        <w:tc>
          <w:tcPr>
            <w:tcW w:w="5060" w:type="dxa"/>
            <w:vAlign w:val="center"/>
          </w:tcPr>
          <w:p w14:paraId="45568F59" w14:textId="77777777" w:rsidR="00F67A2F" w:rsidRDefault="00536D00">
            <w:pPr>
              <w:spacing w:after="40"/>
            </w:pPr>
            <w:r>
              <w:rPr>
                <w:rFonts w:cstheme="minorHAnsi"/>
                <w:sz w:val="24"/>
                <w:szCs w:val="24"/>
              </w:rPr>
              <w:t>$4,600 less $2,947 = $1,653 (approximately 36% below the hospital allowed amount; within the reported 30%-50% differential)</w:t>
            </w:r>
          </w:p>
        </w:tc>
      </w:tr>
      <w:tr w:rsidR="00F67A2F" w14:paraId="014027DF" w14:textId="77777777" w:rsidTr="00AA4FAA">
        <w:trPr>
          <w:cantSplit/>
        </w:trPr>
        <w:tc>
          <w:tcPr>
            <w:tcW w:w="3000" w:type="dxa"/>
            <w:vAlign w:val="center"/>
          </w:tcPr>
          <w:p w14:paraId="61907186" w14:textId="77777777" w:rsidR="00F67A2F" w:rsidRDefault="00536D00">
            <w:pPr>
              <w:spacing w:after="40"/>
            </w:pPr>
            <w:r>
              <w:rPr>
                <w:rFonts w:cstheme="minorHAnsi"/>
                <w:sz w:val="24"/>
                <w:szCs w:val="24"/>
              </w:rPr>
              <w:t>Estimated annual patient/payer savings (600 studies)</w:t>
            </w:r>
          </w:p>
        </w:tc>
        <w:tc>
          <w:tcPr>
            <w:tcW w:w="1300" w:type="dxa"/>
            <w:vAlign w:val="center"/>
          </w:tcPr>
          <w:p w14:paraId="7D600BA0" w14:textId="77777777" w:rsidR="00F67A2F" w:rsidRDefault="00536D00">
            <w:pPr>
              <w:spacing w:after="40"/>
            </w:pPr>
            <w:r>
              <w:rPr>
                <w:rFonts w:cstheme="minorHAnsi"/>
                <w:sz w:val="24"/>
                <w:szCs w:val="24"/>
              </w:rPr>
              <w:t>$991,800</w:t>
            </w:r>
          </w:p>
        </w:tc>
        <w:tc>
          <w:tcPr>
            <w:tcW w:w="5060" w:type="dxa"/>
            <w:vAlign w:val="center"/>
          </w:tcPr>
          <w:p w14:paraId="68AAF32E" w14:textId="77777777" w:rsidR="00F67A2F" w:rsidRDefault="00536D00">
            <w:pPr>
              <w:spacing w:after="40"/>
            </w:pPr>
            <w:r>
              <w:rPr>
                <w:rFonts w:cstheme="minorHAnsi"/>
                <w:sz w:val="24"/>
                <w:szCs w:val="24"/>
              </w:rPr>
              <w:t>$1,653 x 600</w:t>
            </w:r>
          </w:p>
        </w:tc>
      </w:tr>
    </w:tbl>
    <w:p w14:paraId="154648AB" w14:textId="77777777" w:rsidR="00F67A2F" w:rsidRDefault="00F67A2F">
      <w:pPr>
        <w:spacing w:after="0" w:line="240" w:lineRule="auto"/>
      </w:pPr>
    </w:p>
    <w:p w14:paraId="6EF2F507" w14:textId="3E396058" w:rsidR="00C8019E" w:rsidRPr="0001175F" w:rsidRDefault="00F219DC" w:rsidP="00A420F5">
      <w:pPr>
        <w:pStyle w:val="ListParagraph"/>
        <w:numPr>
          <w:ilvl w:val="1"/>
          <w:numId w:val="8"/>
        </w:numPr>
        <w:spacing w:after="0" w:line="240" w:lineRule="auto"/>
        <w:rPr>
          <w:rFonts w:cstheme="minorHAnsi"/>
          <w:b/>
          <w:bCs/>
          <w:color w:val="2F5496" w:themeColor="accent1" w:themeShade="BF"/>
          <w:sz w:val="24"/>
          <w:szCs w:val="24"/>
        </w:rPr>
      </w:pPr>
      <w:r>
        <w:rPr>
          <w:b/>
          <w:bCs/>
          <w:color w:val="2F5496" w:themeColor="accent1" w:themeShade="BF"/>
          <w:sz w:val="24"/>
          <w:szCs w:val="24"/>
        </w:rPr>
        <w:t xml:space="preserve">Please explain the estimated savings to </w:t>
      </w:r>
      <w:proofErr w:type="gramStart"/>
      <w:r>
        <w:rPr>
          <w:b/>
          <w:bCs/>
          <w:color w:val="2F5496" w:themeColor="accent1" w:themeShade="BF"/>
          <w:sz w:val="24"/>
          <w:szCs w:val="24"/>
        </w:rPr>
        <w:t>patients</w:t>
      </w:r>
      <w:proofErr w:type="gramEnd"/>
      <w:r>
        <w:rPr>
          <w:b/>
          <w:bCs/>
          <w:color w:val="2F5496" w:themeColor="accent1" w:themeShade="BF"/>
          <w:sz w:val="24"/>
          <w:szCs w:val="24"/>
        </w:rPr>
        <w:t xml:space="preserve"> row (with the $1553 figure), as this does not appear to equal the difference between the HOPD and HFCCA costs as presented. </w:t>
      </w:r>
    </w:p>
    <w:p w14:paraId="7E512635" w14:textId="25757E58" w:rsidR="0001175F" w:rsidRDefault="00562CD4" w:rsidP="0001175F">
      <w:pPr>
        <w:pStyle w:val="ListParagraph"/>
        <w:spacing w:after="0" w:line="240" w:lineRule="auto"/>
        <w:ind w:left="1440"/>
        <w:rPr>
          <w:rFonts w:cstheme="minorHAnsi"/>
          <w:sz w:val="24"/>
          <w:szCs w:val="24"/>
        </w:rPr>
      </w:pPr>
      <w:r>
        <w:rPr>
          <w:rFonts w:cstheme="minorHAnsi"/>
          <w:b/>
          <w:bCs/>
          <w:color w:val="2F5496" w:themeColor="accent1" w:themeShade="BF"/>
          <w:sz w:val="24"/>
          <w:szCs w:val="24"/>
        </w:rPr>
        <w:t>Response</w:t>
      </w:r>
      <w:proofErr w:type="gramStart"/>
      <w:r>
        <w:rPr>
          <w:rFonts w:cstheme="minorHAnsi"/>
          <w:b/>
          <w:bCs/>
          <w:color w:val="2F5496" w:themeColor="accent1" w:themeShade="BF"/>
          <w:sz w:val="24"/>
          <w:szCs w:val="24"/>
        </w:rPr>
        <w:t xml:space="preserve">:  </w:t>
      </w:r>
      <w:r>
        <w:rPr>
          <w:rFonts w:cstheme="minorHAnsi"/>
          <w:sz w:val="24"/>
          <w:szCs w:val="24"/>
        </w:rPr>
        <w:t>The</w:t>
      </w:r>
      <w:proofErr w:type="gramEnd"/>
      <w:r>
        <w:rPr>
          <w:rFonts w:cstheme="minorHAnsi"/>
          <w:sz w:val="24"/>
          <w:szCs w:val="24"/>
        </w:rPr>
        <w:t xml:space="preserve"> $1,553 figure is a typographical error and should </w:t>
      </w:r>
      <w:proofErr w:type="gramStart"/>
      <w:r>
        <w:rPr>
          <w:rFonts w:cstheme="minorHAnsi"/>
          <w:sz w:val="24"/>
          <w:szCs w:val="24"/>
        </w:rPr>
        <w:t>read</w:t>
      </w:r>
      <w:proofErr w:type="gramEnd"/>
      <w:r>
        <w:rPr>
          <w:rFonts w:cstheme="minorHAnsi"/>
          <w:sz w:val="24"/>
          <w:szCs w:val="24"/>
        </w:rPr>
        <w:t xml:space="preserve"> $1,653. It is the arithmetic difference between the estimated $4,600 hospital-outpatient allowed amount and the $2,947 physician-office reimbursement ($4,600 less $2,947 = $1,653). It represents the estimated per-study savings realized when the study is performed in the physician-office setting, where no separate facility fee is paid. Because the comparison is stated on an amount-paid basis, these savings accrue to payers and, correspondingly, to patients responsible for cost-sharing - deductibles, coinsurance, or self-pay - since the total amount paid for the same service is lower. The corrected figure has been carried through Table 13 and the accompanying narrative, and the estimated annual patient/payer savings at 600 studies has been updated from $931,800 to $991,800 ($1,653 x 600).</w:t>
      </w:r>
    </w:p>
    <w:p w14:paraId="2B7403A0" w14:textId="77777777" w:rsidR="00A14B57" w:rsidRPr="00A14B57" w:rsidRDefault="00A14B57" w:rsidP="00A14B57">
      <w:pPr>
        <w:spacing w:after="0" w:line="240" w:lineRule="auto"/>
        <w:rPr>
          <w:rFonts w:cstheme="minorHAnsi"/>
          <w:sz w:val="24"/>
          <w:szCs w:val="24"/>
        </w:rPr>
      </w:pPr>
    </w:p>
    <w:p w14:paraId="7F23F1AC" w14:textId="78D347EB" w:rsidR="001A2536" w:rsidRPr="0001175F" w:rsidRDefault="00755183" w:rsidP="00A14B57">
      <w:pPr>
        <w:pStyle w:val="Heading2"/>
      </w:pPr>
      <w:r>
        <w:t xml:space="preserve">Responses 18 and 19 of the </w:t>
      </w:r>
      <w:proofErr w:type="gramStart"/>
      <w:r>
        <w:t>round</w:t>
      </w:r>
      <w:proofErr w:type="gramEnd"/>
      <w:r>
        <w:t xml:space="preserve"> 1 questions gave sparse details about the Applicant’s Social Determinants of Health screenings and responses. Because the integration of social services and community-based expertise is central to the goal of delivery system transformation, please answer the following questions:</w:t>
      </w:r>
    </w:p>
    <w:p w14:paraId="7CA039FF" w14:textId="543BBBD7" w:rsidR="00F23F02" w:rsidRDefault="001A2536" w:rsidP="000C7329">
      <w:pPr>
        <w:pStyle w:val="pf0"/>
        <w:numPr>
          <w:ilvl w:val="1"/>
          <w:numId w:val="8"/>
        </w:num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Please describe the types of questions asked of the Patient Panel in the Social Determinants of Health Screening.</w:t>
      </w:r>
    </w:p>
    <w:p w14:paraId="7FFC8963" w14:textId="03FA499A" w:rsidR="0001175F" w:rsidRDefault="0001175F" w:rsidP="0001175F">
      <w:pPr>
        <w:pStyle w:val="pf0"/>
        <w:ind w:left="1440"/>
        <w:rPr>
          <w:rFonts w:asciiTheme="minorHAnsi" w:hAnsiTheme="minorHAnsi" w:cstheme="minorHAnsi"/>
        </w:rPr>
      </w:pPr>
      <w:r>
        <w:rPr>
          <w:rFonts w:asciiTheme="minorHAnsi" w:hAnsiTheme="minorHAnsi" w:cstheme="minorHAnsi"/>
          <w:b/>
          <w:bCs/>
          <w:color w:val="2F5496" w:themeColor="accent1" w:themeShade="BF"/>
        </w:rPr>
        <w:t>Response</w:t>
      </w:r>
      <w:proofErr w:type="gramStart"/>
      <w:r>
        <w:rPr>
          <w:rFonts w:asciiTheme="minorHAnsi" w:hAnsiTheme="minorHAnsi" w:cstheme="minorHAnsi"/>
          <w:b/>
          <w:bCs/>
          <w:color w:val="2F5496" w:themeColor="accent1" w:themeShade="BF"/>
        </w:rPr>
        <w:t xml:space="preserve">:  </w:t>
      </w:r>
      <w:r>
        <w:rPr>
          <w:rFonts w:asciiTheme="minorHAnsi" w:hAnsiTheme="minorHAnsi" w:cstheme="minorHAnsi"/>
        </w:rPr>
        <w:t>For</w:t>
      </w:r>
      <w:proofErr w:type="gramEnd"/>
      <w:r>
        <w:rPr>
          <w:rFonts w:asciiTheme="minorHAnsi" w:hAnsiTheme="minorHAnsi" w:cstheme="minorHAnsi"/>
        </w:rPr>
        <w:t xml:space="preserve"> medication issues, the practice asks patients if they have difficulty paying for their prescription medications.  Inquire if they have ever skipped or stopped taking </w:t>
      </w:r>
      <w:proofErr w:type="gramStart"/>
      <w:r>
        <w:rPr>
          <w:rFonts w:asciiTheme="minorHAnsi" w:hAnsiTheme="minorHAnsi" w:cstheme="minorHAnsi"/>
        </w:rPr>
        <w:t>a medication</w:t>
      </w:r>
      <w:proofErr w:type="gramEnd"/>
      <w:r>
        <w:rPr>
          <w:rFonts w:asciiTheme="minorHAnsi" w:hAnsiTheme="minorHAnsi" w:cstheme="minorHAnsi"/>
        </w:rPr>
        <w:t xml:space="preserve"> due to cost.  Ask if they have a problem with insurance coverage preventing them from obtaining </w:t>
      </w:r>
      <w:proofErr w:type="gramStart"/>
      <w:r>
        <w:rPr>
          <w:rFonts w:asciiTheme="minorHAnsi" w:hAnsiTheme="minorHAnsi" w:cstheme="minorHAnsi"/>
        </w:rPr>
        <w:t>a medication</w:t>
      </w:r>
      <w:proofErr w:type="gramEnd"/>
      <w:r>
        <w:rPr>
          <w:rFonts w:asciiTheme="minorHAnsi" w:hAnsiTheme="minorHAnsi" w:cstheme="minorHAnsi"/>
        </w:rPr>
        <w:t xml:space="preserve"> that was prescribed.  If transportation issues were also identified, inquire about difficulty getting to a pharmacy or having medication delivered.  </w:t>
      </w:r>
    </w:p>
    <w:p w14:paraId="22B8B7CF" w14:textId="28FA6E72" w:rsidR="0001175F" w:rsidRPr="0001175F" w:rsidRDefault="0001175F" w:rsidP="0001175F">
      <w:pPr>
        <w:pStyle w:val="pf0"/>
        <w:ind w:left="1440"/>
        <w:rPr>
          <w:rFonts w:asciiTheme="minorHAnsi" w:hAnsiTheme="minorHAnsi" w:cstheme="minorHAnsi"/>
        </w:rPr>
      </w:pPr>
      <w:r>
        <w:rPr>
          <w:rFonts w:asciiTheme="minorHAnsi" w:hAnsiTheme="minorHAnsi" w:cstheme="minorHAnsi"/>
        </w:rPr>
        <w:lastRenderedPageBreak/>
        <w:t>For travel related issues, the practice inquires about the patient having reliable transportation to get to their medical appointment.  Tied to medication issues, inquire if transportation issues kept them from obtaining medications.  Inquire if they would like help finding transportation to health care appointments.</w:t>
      </w:r>
    </w:p>
    <w:p w14:paraId="7B8D581C" w14:textId="1FF7B12E" w:rsidR="001A2536" w:rsidRDefault="00CE04D9" w:rsidP="001A2536">
      <w:pPr>
        <w:pStyle w:val="pf0"/>
        <w:numPr>
          <w:ilvl w:val="1"/>
          <w:numId w:val="8"/>
        </w:num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Describe the linkages to local social service organizations that have been created to assist patients in addressing Social Determinants of Health issues revealed in screenings.</w:t>
      </w:r>
    </w:p>
    <w:p w14:paraId="2C87AAD2" w14:textId="355A235B" w:rsidR="0001175F" w:rsidRPr="0001175F" w:rsidRDefault="000F6158" w:rsidP="0001175F">
      <w:pPr>
        <w:pStyle w:val="pf0"/>
        <w:ind w:left="1440"/>
        <w:rPr>
          <w:rFonts w:asciiTheme="minorHAnsi" w:hAnsiTheme="minorHAnsi" w:cstheme="minorHAnsi"/>
        </w:rPr>
      </w:pPr>
      <w:r>
        <w:rPr>
          <w:rFonts w:asciiTheme="minorHAnsi" w:hAnsiTheme="minorHAnsi" w:cstheme="minorHAnsi"/>
          <w:b/>
          <w:bCs/>
          <w:color w:val="2F5496" w:themeColor="accent1" w:themeShade="BF"/>
        </w:rPr>
        <w:t>Response</w:t>
      </w:r>
      <w:proofErr w:type="gramStart"/>
      <w:r>
        <w:rPr>
          <w:rFonts w:asciiTheme="minorHAnsi" w:hAnsiTheme="minorHAnsi" w:cstheme="minorHAnsi"/>
          <w:b/>
          <w:bCs/>
          <w:color w:val="2F5496" w:themeColor="accent1" w:themeShade="BF"/>
        </w:rPr>
        <w:t xml:space="preserve">:  </w:t>
      </w:r>
      <w:r>
        <w:rPr>
          <w:rFonts w:asciiTheme="minorHAnsi" w:hAnsiTheme="minorHAnsi" w:cstheme="minorHAnsi"/>
        </w:rPr>
        <w:t>In</w:t>
      </w:r>
      <w:proofErr w:type="gramEnd"/>
      <w:r>
        <w:rPr>
          <w:rFonts w:asciiTheme="minorHAnsi" w:hAnsiTheme="minorHAnsi" w:cstheme="minorHAnsi"/>
        </w:rPr>
        <w:t xml:space="preserve"> the above screenings identifying issues of transportation or medication issues, the practice would have PCP submit Mass Health PT-1 form.  The local community organization providing transportation for medical appointments and essential errands is Sunrise-Amanecer and office has phone number.  The Greater Springfield Senior Services also provides information to older adults or those with disabilities for referral, transportation and supportive services.  Practice suggests 413Cares for transportation and other social service programs.  Caring Health Center can assist patients with medication costs/access and is a community health center with pharmacy services and provides insurance navigation help.  Baystate Pharmacy will also help fill, transfer and provide local delivery for prescriptions.</w:t>
      </w:r>
    </w:p>
    <w:p w14:paraId="627A87FA" w14:textId="0578DB65" w:rsidR="0029202E" w:rsidRDefault="00732F31" w:rsidP="007516CC">
      <w:pPr>
        <w:pStyle w:val="pf0"/>
        <w:numPr>
          <w:ilvl w:val="1"/>
          <w:numId w:val="8"/>
        </w:numPr>
        <w:rPr>
          <w:rFonts w:asciiTheme="minorHAnsi" w:hAnsiTheme="minorHAnsi" w:cstheme="minorHAnsi"/>
          <w:b/>
          <w:bCs/>
          <w:color w:val="2F5496" w:themeColor="accent1" w:themeShade="BF"/>
        </w:rPr>
      </w:pPr>
      <w:r>
        <w:rPr>
          <w:rFonts w:asciiTheme="minorHAnsi" w:hAnsiTheme="minorHAnsi" w:cstheme="minorHAnsi"/>
          <w:b/>
          <w:bCs/>
          <w:color w:val="2F5496" w:themeColor="accent1" w:themeShade="BF"/>
        </w:rPr>
        <w:t>How have social determinants of health been incorporated into care planning.</w:t>
      </w:r>
    </w:p>
    <w:p w14:paraId="04F47F97" w14:textId="771869FB" w:rsidR="007516CC" w:rsidRDefault="000F6158" w:rsidP="007516CC">
      <w:pPr>
        <w:pStyle w:val="pf0"/>
        <w:ind w:left="1440"/>
        <w:rPr>
          <w:rFonts w:asciiTheme="minorHAnsi" w:hAnsiTheme="minorHAnsi" w:cstheme="minorHAnsi"/>
        </w:rPr>
      </w:pPr>
      <w:r>
        <w:rPr>
          <w:rFonts w:asciiTheme="minorHAnsi" w:hAnsiTheme="minorHAnsi" w:cstheme="minorHAnsi"/>
          <w:b/>
          <w:bCs/>
          <w:color w:val="2F5496" w:themeColor="accent1" w:themeShade="BF"/>
        </w:rPr>
        <w:t>Response</w:t>
      </w:r>
      <w:proofErr w:type="gramStart"/>
      <w:r>
        <w:rPr>
          <w:rFonts w:asciiTheme="minorHAnsi" w:hAnsiTheme="minorHAnsi" w:cstheme="minorHAnsi"/>
          <w:b/>
          <w:bCs/>
          <w:color w:val="2F5496" w:themeColor="accent1" w:themeShade="BF"/>
        </w:rPr>
        <w:t xml:space="preserve">:  </w:t>
      </w:r>
      <w:r>
        <w:rPr>
          <w:rFonts w:asciiTheme="minorHAnsi" w:hAnsiTheme="minorHAnsi" w:cstheme="minorHAnsi"/>
        </w:rPr>
        <w:t>If</w:t>
      </w:r>
      <w:proofErr w:type="gramEnd"/>
      <w:r>
        <w:rPr>
          <w:rFonts w:asciiTheme="minorHAnsi" w:hAnsiTheme="minorHAnsi" w:cstheme="minorHAnsi"/>
        </w:rPr>
        <w:t xml:space="preserve"> transportation was identified as a problem, staff would contact the patient prior to their appointment to verify transportation.  If the patient is eligible, PT-1 form would be submitted or the patient would </w:t>
      </w:r>
      <w:proofErr w:type="gramStart"/>
      <w:r>
        <w:rPr>
          <w:rFonts w:asciiTheme="minorHAnsi" w:hAnsiTheme="minorHAnsi" w:cstheme="minorHAnsi"/>
        </w:rPr>
        <w:t>be connected with</w:t>
      </w:r>
      <w:proofErr w:type="gramEnd"/>
      <w:r>
        <w:rPr>
          <w:rFonts w:asciiTheme="minorHAnsi" w:hAnsiTheme="minorHAnsi" w:cstheme="minorHAnsi"/>
        </w:rPr>
        <w:t xml:space="preserve"> an appropriate community transportation service.  Outcome is that the patient arrives for visit and transportation were successfully obtained.</w:t>
      </w:r>
    </w:p>
    <w:p w14:paraId="62674310" w14:textId="19B4E658" w:rsidR="008347DF" w:rsidRPr="004B47A5" w:rsidRDefault="00041A33" w:rsidP="007516CC">
      <w:pPr>
        <w:pStyle w:val="pf0"/>
        <w:ind w:left="1440"/>
        <w:rPr>
          <w:rFonts w:asciiTheme="minorHAnsi" w:hAnsiTheme="minorHAnsi" w:cstheme="minorHAnsi"/>
        </w:rPr>
      </w:pPr>
      <w:r>
        <w:rPr>
          <w:rFonts w:asciiTheme="minorHAnsi" w:hAnsiTheme="minorHAnsi" w:cstheme="minorHAnsi"/>
        </w:rPr>
        <w:t>If medication affordability is identified as an issue, lower-cost alternatives would be offered, samples provided to the patient, and the patient referred to local resources that can assist with medication. Follow-up would include contacting the patient after the visit to ensure the medication was obtained and is being taken as prescribed.</w:t>
      </w:r>
    </w:p>
    <w:sectPr w:rsidR="008347DF" w:rsidRPr="004B47A5" w:rsidSect="00C938D8">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F937" w14:textId="77777777" w:rsidR="00CD55A0" w:rsidRDefault="00CD55A0" w:rsidP="00231103">
      <w:pPr>
        <w:spacing w:after="0" w:line="240" w:lineRule="auto"/>
      </w:pPr>
      <w:r>
        <w:separator/>
      </w:r>
    </w:p>
  </w:endnote>
  <w:endnote w:type="continuationSeparator" w:id="0">
    <w:p w14:paraId="2525E07A" w14:textId="77777777" w:rsidR="00CD55A0" w:rsidRDefault="00CD55A0" w:rsidP="00231103">
      <w:pPr>
        <w:spacing w:after="0" w:line="240" w:lineRule="auto"/>
      </w:pPr>
      <w:r>
        <w:continuationSeparator/>
      </w:r>
    </w:p>
  </w:endnote>
  <w:endnote w:type="continuationNotice" w:id="1">
    <w:p w14:paraId="4FD9D222" w14:textId="77777777" w:rsidR="00CD55A0" w:rsidRDefault="00CD5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heri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78915"/>
      <w:docPartObj>
        <w:docPartGallery w:val="Page Numbers (Bottom of Page)"/>
        <w:docPartUnique/>
      </w:docPartObj>
    </w:sdtPr>
    <w:sdtEndPr>
      <w:rPr>
        <w:noProof/>
      </w:rPr>
    </w:sdtEndPr>
    <w:sdtContent>
      <w:p w14:paraId="0D149475" w14:textId="53E0776A" w:rsidR="00632AEC" w:rsidRDefault="00632A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A7089" w14:textId="77777777" w:rsidR="00632AEC" w:rsidRDefault="00632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9209" w14:textId="77777777" w:rsidR="00CD55A0" w:rsidRDefault="00CD55A0" w:rsidP="00231103">
      <w:pPr>
        <w:spacing w:after="0" w:line="240" w:lineRule="auto"/>
      </w:pPr>
      <w:r>
        <w:separator/>
      </w:r>
    </w:p>
  </w:footnote>
  <w:footnote w:type="continuationSeparator" w:id="0">
    <w:p w14:paraId="10790454" w14:textId="77777777" w:rsidR="00CD55A0" w:rsidRDefault="00CD55A0" w:rsidP="00231103">
      <w:pPr>
        <w:spacing w:after="0" w:line="240" w:lineRule="auto"/>
      </w:pPr>
      <w:r>
        <w:continuationSeparator/>
      </w:r>
    </w:p>
  </w:footnote>
  <w:footnote w:type="continuationNotice" w:id="1">
    <w:p w14:paraId="779AE628" w14:textId="77777777" w:rsidR="00CD55A0" w:rsidRDefault="00CD55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6F50" w14:textId="77777777" w:rsidR="0035144D" w:rsidRDefault="0035144D" w:rsidP="008F67D8">
    <w:pPr>
      <w:pStyle w:val="Header"/>
      <w:pBdr>
        <w:bottom w:val="single" w:sz="4" w:space="1" w:color="auto"/>
      </w:pBdr>
      <w:jc w:val="center"/>
      <w:rPr>
        <w:rFonts w:ascii="Arial-BoldMT" w:hAnsi="Arial-BoldMT" w:cs="Arial-BoldMT"/>
        <w:b/>
        <w:bCs/>
        <w:sz w:val="24"/>
        <w:szCs w:val="24"/>
      </w:rPr>
    </w:pPr>
    <w:r w:rsidRPr="00A16F72">
      <w:rPr>
        <w:rFonts w:ascii="Arial-BoldMT" w:hAnsi="Arial-BoldMT" w:cs="Arial-BoldMT"/>
        <w:b/>
        <w:bCs/>
        <w:sz w:val="24"/>
        <w:szCs w:val="24"/>
      </w:rPr>
      <w:t>Hampden &amp; Franklin County Cardiovascular Associates</w:t>
    </w:r>
    <w:r w:rsidRPr="00012E6B">
      <w:rPr>
        <w:rFonts w:ascii="Arial-BoldMT" w:hAnsi="Arial-BoldMT" w:cs="Arial-BoldMT"/>
        <w:b/>
        <w:bCs/>
        <w:sz w:val="24"/>
        <w:szCs w:val="24"/>
      </w:rPr>
      <w:t xml:space="preserve"> </w:t>
    </w:r>
  </w:p>
  <w:p w14:paraId="78DC6D8E" w14:textId="243CD3F7" w:rsidR="00D223EB" w:rsidRPr="00A16F72" w:rsidRDefault="00A16F72" w:rsidP="00A16F72">
    <w:pPr>
      <w:pStyle w:val="Header"/>
      <w:pBdr>
        <w:bottom w:val="single" w:sz="4" w:space="1" w:color="auto"/>
      </w:pBdr>
      <w:jc w:val="center"/>
      <w:rPr>
        <w:rFonts w:ascii="Arial-BoldMT" w:hAnsi="Arial-BoldMT" w:cs="Arial-BoldMT"/>
        <w:b/>
        <w:bCs/>
        <w:sz w:val="24"/>
        <w:szCs w:val="24"/>
      </w:rPr>
    </w:pPr>
    <w:r w:rsidRPr="00A16F72">
      <w:rPr>
        <w:rFonts w:cstheme="minorHAnsi"/>
        <w:b/>
        <w:bCs/>
        <w:color w:val="000000" w:themeColor="text1"/>
        <w:spacing w:val="-2"/>
        <w:sz w:val="26"/>
        <w:szCs w:val="26"/>
      </w:rPr>
      <w:t>HFCCA-26042113-RE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60B85"/>
    <w:multiLevelType w:val="hybridMultilevel"/>
    <w:tmpl w:val="963884DE"/>
    <w:lvl w:ilvl="0" w:tplc="F01C21D0">
      <w:start w:val="7"/>
      <w:numFmt w:val="decimal"/>
      <w:lvlText w:val="%1."/>
      <w:lvlJc w:val="left"/>
      <w:pPr>
        <w:ind w:left="720" w:hanging="360"/>
      </w:pPr>
      <w:rPr>
        <w:rFonts w:ascii="inherit" w:hAnsi="inherit"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EC712A"/>
    <w:multiLevelType w:val="multilevel"/>
    <w:tmpl w:val="58A2B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D2732D"/>
    <w:multiLevelType w:val="hybridMultilevel"/>
    <w:tmpl w:val="F9BC6650"/>
    <w:lvl w:ilvl="0" w:tplc="8320DB98">
      <w:start w:val="1"/>
      <w:numFmt w:val="decimal"/>
      <w:pStyle w:val="Heading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F651E2"/>
    <w:multiLevelType w:val="hybridMultilevel"/>
    <w:tmpl w:val="0AFC9F04"/>
    <w:lvl w:ilvl="0" w:tplc="873803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E74208"/>
    <w:multiLevelType w:val="hybridMultilevel"/>
    <w:tmpl w:val="CDEC92CA"/>
    <w:lvl w:ilvl="0" w:tplc="09F4341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551702">
    <w:abstractNumId w:val="1"/>
  </w:num>
  <w:num w:numId="2" w16cid:durableId="148061709">
    <w:abstractNumId w:val="4"/>
  </w:num>
  <w:num w:numId="3" w16cid:durableId="938832451">
    <w:abstractNumId w:val="2"/>
    <w:lvlOverride w:ilvl="0">
      <w:lvl w:ilvl="0">
        <w:numFmt w:val="upperLetter"/>
        <w:lvlText w:val="%1."/>
        <w:lvlJc w:val="left"/>
      </w:lvl>
    </w:lvlOverride>
  </w:num>
  <w:num w:numId="4" w16cid:durableId="43875786">
    <w:abstractNumId w:val="2"/>
    <w:lvlOverride w:ilvl="0">
      <w:lvl w:ilvl="0">
        <w:numFmt w:val="upperLetter"/>
        <w:lvlText w:val="%1."/>
        <w:lvlJc w:val="left"/>
      </w:lvl>
    </w:lvlOverride>
  </w:num>
  <w:num w:numId="5" w16cid:durableId="1179006868">
    <w:abstractNumId w:val="2"/>
    <w:lvlOverride w:ilvl="0">
      <w:lvl w:ilvl="0">
        <w:numFmt w:val="upperLetter"/>
        <w:lvlText w:val="%1."/>
        <w:lvlJc w:val="left"/>
      </w:lvl>
    </w:lvlOverride>
  </w:num>
  <w:num w:numId="6" w16cid:durableId="1463386050">
    <w:abstractNumId w:val="5"/>
  </w:num>
  <w:num w:numId="7" w16cid:durableId="769470403">
    <w:abstractNumId w:val="0"/>
  </w:num>
  <w:num w:numId="8" w16cid:durableId="49912713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5C"/>
    <w:rsid w:val="00000463"/>
    <w:rsid w:val="000012DD"/>
    <w:rsid w:val="00002E0B"/>
    <w:rsid w:val="000037BD"/>
    <w:rsid w:val="000038CE"/>
    <w:rsid w:val="0000498C"/>
    <w:rsid w:val="00005930"/>
    <w:rsid w:val="00006477"/>
    <w:rsid w:val="00006A64"/>
    <w:rsid w:val="000104B6"/>
    <w:rsid w:val="00011385"/>
    <w:rsid w:val="0001175F"/>
    <w:rsid w:val="00012264"/>
    <w:rsid w:val="00012279"/>
    <w:rsid w:val="00012E6B"/>
    <w:rsid w:val="000158E4"/>
    <w:rsid w:val="00015EFC"/>
    <w:rsid w:val="000168C2"/>
    <w:rsid w:val="00016E99"/>
    <w:rsid w:val="00021767"/>
    <w:rsid w:val="00021A01"/>
    <w:rsid w:val="00021B23"/>
    <w:rsid w:val="0002235E"/>
    <w:rsid w:val="00024C6C"/>
    <w:rsid w:val="00025521"/>
    <w:rsid w:val="00026B6F"/>
    <w:rsid w:val="00027533"/>
    <w:rsid w:val="00027FBC"/>
    <w:rsid w:val="0003012E"/>
    <w:rsid w:val="0003035A"/>
    <w:rsid w:val="00030F72"/>
    <w:rsid w:val="000317D3"/>
    <w:rsid w:val="00032E0E"/>
    <w:rsid w:val="00032FF5"/>
    <w:rsid w:val="000340D0"/>
    <w:rsid w:val="0003621A"/>
    <w:rsid w:val="00040965"/>
    <w:rsid w:val="000413D6"/>
    <w:rsid w:val="00041A33"/>
    <w:rsid w:val="000433BC"/>
    <w:rsid w:val="0004380F"/>
    <w:rsid w:val="00044D2F"/>
    <w:rsid w:val="0004645C"/>
    <w:rsid w:val="00052396"/>
    <w:rsid w:val="00054D4A"/>
    <w:rsid w:val="00054FF4"/>
    <w:rsid w:val="0005525D"/>
    <w:rsid w:val="00055942"/>
    <w:rsid w:val="00055F9E"/>
    <w:rsid w:val="00056D5B"/>
    <w:rsid w:val="00057A92"/>
    <w:rsid w:val="000601A4"/>
    <w:rsid w:val="00060624"/>
    <w:rsid w:val="000618A4"/>
    <w:rsid w:val="00062288"/>
    <w:rsid w:val="00063022"/>
    <w:rsid w:val="00063414"/>
    <w:rsid w:val="00064206"/>
    <w:rsid w:val="0006445F"/>
    <w:rsid w:val="000702CF"/>
    <w:rsid w:val="00071039"/>
    <w:rsid w:val="00071162"/>
    <w:rsid w:val="000716FF"/>
    <w:rsid w:val="00072EE3"/>
    <w:rsid w:val="00073DC9"/>
    <w:rsid w:val="00073E15"/>
    <w:rsid w:val="00074092"/>
    <w:rsid w:val="00075D0A"/>
    <w:rsid w:val="00076535"/>
    <w:rsid w:val="000766DC"/>
    <w:rsid w:val="00076A84"/>
    <w:rsid w:val="00076CB2"/>
    <w:rsid w:val="000775B1"/>
    <w:rsid w:val="00080AC6"/>
    <w:rsid w:val="00080FB0"/>
    <w:rsid w:val="000826CB"/>
    <w:rsid w:val="00083193"/>
    <w:rsid w:val="0008493D"/>
    <w:rsid w:val="000862E1"/>
    <w:rsid w:val="00087549"/>
    <w:rsid w:val="0009039F"/>
    <w:rsid w:val="000906E1"/>
    <w:rsid w:val="000907F9"/>
    <w:rsid w:val="0009083B"/>
    <w:rsid w:val="00091C4C"/>
    <w:rsid w:val="00092910"/>
    <w:rsid w:val="000952FD"/>
    <w:rsid w:val="0009558F"/>
    <w:rsid w:val="00095621"/>
    <w:rsid w:val="00095FAB"/>
    <w:rsid w:val="00096ACB"/>
    <w:rsid w:val="000974E5"/>
    <w:rsid w:val="0009766B"/>
    <w:rsid w:val="00097B2C"/>
    <w:rsid w:val="000A01C6"/>
    <w:rsid w:val="000A56D4"/>
    <w:rsid w:val="000A5A22"/>
    <w:rsid w:val="000A691D"/>
    <w:rsid w:val="000A7A45"/>
    <w:rsid w:val="000B0A7F"/>
    <w:rsid w:val="000B1438"/>
    <w:rsid w:val="000B1D01"/>
    <w:rsid w:val="000C0810"/>
    <w:rsid w:val="000C2766"/>
    <w:rsid w:val="000C3199"/>
    <w:rsid w:val="000C4405"/>
    <w:rsid w:val="000C4714"/>
    <w:rsid w:val="000C6277"/>
    <w:rsid w:val="000C7329"/>
    <w:rsid w:val="000C7F71"/>
    <w:rsid w:val="000D06EA"/>
    <w:rsid w:val="000D0D41"/>
    <w:rsid w:val="000D35DD"/>
    <w:rsid w:val="000D3E94"/>
    <w:rsid w:val="000D4078"/>
    <w:rsid w:val="000D42DB"/>
    <w:rsid w:val="000E0B48"/>
    <w:rsid w:val="000E2215"/>
    <w:rsid w:val="000E2F30"/>
    <w:rsid w:val="000E3622"/>
    <w:rsid w:val="000E50B4"/>
    <w:rsid w:val="000E5EC9"/>
    <w:rsid w:val="000E618C"/>
    <w:rsid w:val="000E7E1B"/>
    <w:rsid w:val="000F0EDD"/>
    <w:rsid w:val="000F4FA3"/>
    <w:rsid w:val="000F5BAD"/>
    <w:rsid w:val="000F5CC4"/>
    <w:rsid w:val="000F6158"/>
    <w:rsid w:val="000F6503"/>
    <w:rsid w:val="00101646"/>
    <w:rsid w:val="001017F6"/>
    <w:rsid w:val="001018CF"/>
    <w:rsid w:val="00104288"/>
    <w:rsid w:val="001050F4"/>
    <w:rsid w:val="00105768"/>
    <w:rsid w:val="00106D23"/>
    <w:rsid w:val="00106F2E"/>
    <w:rsid w:val="00107BC5"/>
    <w:rsid w:val="00111272"/>
    <w:rsid w:val="00112BDF"/>
    <w:rsid w:val="00112D2D"/>
    <w:rsid w:val="00112E92"/>
    <w:rsid w:val="00113110"/>
    <w:rsid w:val="00115F5D"/>
    <w:rsid w:val="001204FE"/>
    <w:rsid w:val="00120501"/>
    <w:rsid w:val="00120FB5"/>
    <w:rsid w:val="00122099"/>
    <w:rsid w:val="0012232D"/>
    <w:rsid w:val="00123EE2"/>
    <w:rsid w:val="00124116"/>
    <w:rsid w:val="00124AA1"/>
    <w:rsid w:val="00125F6B"/>
    <w:rsid w:val="00126C86"/>
    <w:rsid w:val="00126E85"/>
    <w:rsid w:val="0013223B"/>
    <w:rsid w:val="0013225C"/>
    <w:rsid w:val="001332C7"/>
    <w:rsid w:val="00133CF7"/>
    <w:rsid w:val="00136259"/>
    <w:rsid w:val="001363B9"/>
    <w:rsid w:val="00136837"/>
    <w:rsid w:val="00137A46"/>
    <w:rsid w:val="00137C36"/>
    <w:rsid w:val="00141A88"/>
    <w:rsid w:val="0014505C"/>
    <w:rsid w:val="001459CB"/>
    <w:rsid w:val="00145F36"/>
    <w:rsid w:val="00146C28"/>
    <w:rsid w:val="00146FB4"/>
    <w:rsid w:val="0014727D"/>
    <w:rsid w:val="00147ED6"/>
    <w:rsid w:val="00150337"/>
    <w:rsid w:val="00152CFB"/>
    <w:rsid w:val="001538B2"/>
    <w:rsid w:val="00153D99"/>
    <w:rsid w:val="00154A10"/>
    <w:rsid w:val="00162A72"/>
    <w:rsid w:val="00164DB5"/>
    <w:rsid w:val="00164EAE"/>
    <w:rsid w:val="00165C15"/>
    <w:rsid w:val="00166158"/>
    <w:rsid w:val="001663D9"/>
    <w:rsid w:val="0016794A"/>
    <w:rsid w:val="001679DC"/>
    <w:rsid w:val="00167F71"/>
    <w:rsid w:val="001701AE"/>
    <w:rsid w:val="00170A15"/>
    <w:rsid w:val="00170B0B"/>
    <w:rsid w:val="00170D7F"/>
    <w:rsid w:val="00171856"/>
    <w:rsid w:val="00174CFB"/>
    <w:rsid w:val="001754C2"/>
    <w:rsid w:val="00175F20"/>
    <w:rsid w:val="00176547"/>
    <w:rsid w:val="00176C56"/>
    <w:rsid w:val="00180580"/>
    <w:rsid w:val="00181496"/>
    <w:rsid w:val="00182228"/>
    <w:rsid w:val="00182533"/>
    <w:rsid w:val="00183D7F"/>
    <w:rsid w:val="001843D8"/>
    <w:rsid w:val="00185A10"/>
    <w:rsid w:val="00186CF7"/>
    <w:rsid w:val="00190646"/>
    <w:rsid w:val="0019184A"/>
    <w:rsid w:val="00191B78"/>
    <w:rsid w:val="00191DAC"/>
    <w:rsid w:val="001926A6"/>
    <w:rsid w:val="00192CFC"/>
    <w:rsid w:val="0019348F"/>
    <w:rsid w:val="00193CD7"/>
    <w:rsid w:val="0019617B"/>
    <w:rsid w:val="001A0425"/>
    <w:rsid w:val="001A0FB0"/>
    <w:rsid w:val="001A11D0"/>
    <w:rsid w:val="001A170B"/>
    <w:rsid w:val="001A2536"/>
    <w:rsid w:val="001A35DC"/>
    <w:rsid w:val="001A511B"/>
    <w:rsid w:val="001A5D38"/>
    <w:rsid w:val="001A66A9"/>
    <w:rsid w:val="001A767E"/>
    <w:rsid w:val="001B03EC"/>
    <w:rsid w:val="001B32E1"/>
    <w:rsid w:val="001B3A91"/>
    <w:rsid w:val="001B517F"/>
    <w:rsid w:val="001B569F"/>
    <w:rsid w:val="001B5845"/>
    <w:rsid w:val="001B5C12"/>
    <w:rsid w:val="001B5F1C"/>
    <w:rsid w:val="001B7F98"/>
    <w:rsid w:val="001C068E"/>
    <w:rsid w:val="001C1986"/>
    <w:rsid w:val="001C1A06"/>
    <w:rsid w:val="001C2713"/>
    <w:rsid w:val="001C2783"/>
    <w:rsid w:val="001C2A01"/>
    <w:rsid w:val="001C2FE0"/>
    <w:rsid w:val="001C44D2"/>
    <w:rsid w:val="001C5BF3"/>
    <w:rsid w:val="001C6AE9"/>
    <w:rsid w:val="001C6B00"/>
    <w:rsid w:val="001C6D93"/>
    <w:rsid w:val="001D0111"/>
    <w:rsid w:val="001D01BF"/>
    <w:rsid w:val="001D079B"/>
    <w:rsid w:val="001D1521"/>
    <w:rsid w:val="001D1813"/>
    <w:rsid w:val="001D3213"/>
    <w:rsid w:val="001D72DD"/>
    <w:rsid w:val="001D7C2C"/>
    <w:rsid w:val="001D7DC3"/>
    <w:rsid w:val="001E0B77"/>
    <w:rsid w:val="001E0B94"/>
    <w:rsid w:val="001E1867"/>
    <w:rsid w:val="001E19D7"/>
    <w:rsid w:val="001E21D7"/>
    <w:rsid w:val="001E2EA3"/>
    <w:rsid w:val="001E4503"/>
    <w:rsid w:val="001E5650"/>
    <w:rsid w:val="001E5807"/>
    <w:rsid w:val="001F02F3"/>
    <w:rsid w:val="001F139A"/>
    <w:rsid w:val="001F27B7"/>
    <w:rsid w:val="001F30FB"/>
    <w:rsid w:val="001F5FDD"/>
    <w:rsid w:val="001F667D"/>
    <w:rsid w:val="001F687E"/>
    <w:rsid w:val="00200334"/>
    <w:rsid w:val="00201F6E"/>
    <w:rsid w:val="00202AD7"/>
    <w:rsid w:val="002037DF"/>
    <w:rsid w:val="00203D06"/>
    <w:rsid w:val="00203E5A"/>
    <w:rsid w:val="002050B9"/>
    <w:rsid w:val="00205D7B"/>
    <w:rsid w:val="00205E02"/>
    <w:rsid w:val="002069DD"/>
    <w:rsid w:val="00207A27"/>
    <w:rsid w:val="002102EF"/>
    <w:rsid w:val="00210F7C"/>
    <w:rsid w:val="00212619"/>
    <w:rsid w:val="002131E4"/>
    <w:rsid w:val="00214040"/>
    <w:rsid w:val="00214621"/>
    <w:rsid w:val="00214FAA"/>
    <w:rsid w:val="002155ED"/>
    <w:rsid w:val="0021563E"/>
    <w:rsid w:val="00216777"/>
    <w:rsid w:val="00216B3A"/>
    <w:rsid w:val="002176A9"/>
    <w:rsid w:val="002179D1"/>
    <w:rsid w:val="00217A7D"/>
    <w:rsid w:val="00220641"/>
    <w:rsid w:val="0022310B"/>
    <w:rsid w:val="002244CF"/>
    <w:rsid w:val="00224770"/>
    <w:rsid w:val="00225057"/>
    <w:rsid w:val="00225B1E"/>
    <w:rsid w:val="00225C8A"/>
    <w:rsid w:val="00226A63"/>
    <w:rsid w:val="00227005"/>
    <w:rsid w:val="00227BD5"/>
    <w:rsid w:val="00230C3B"/>
    <w:rsid w:val="00230EF5"/>
    <w:rsid w:val="00231103"/>
    <w:rsid w:val="002314FF"/>
    <w:rsid w:val="00231E3B"/>
    <w:rsid w:val="00233AFE"/>
    <w:rsid w:val="00233C6B"/>
    <w:rsid w:val="00234272"/>
    <w:rsid w:val="002364A1"/>
    <w:rsid w:val="00236B31"/>
    <w:rsid w:val="00236D23"/>
    <w:rsid w:val="002411AC"/>
    <w:rsid w:val="00241F52"/>
    <w:rsid w:val="0024261D"/>
    <w:rsid w:val="002441D6"/>
    <w:rsid w:val="002458BA"/>
    <w:rsid w:val="00245AF7"/>
    <w:rsid w:val="0024615C"/>
    <w:rsid w:val="00246BD6"/>
    <w:rsid w:val="00246FBB"/>
    <w:rsid w:val="00251BEF"/>
    <w:rsid w:val="002533DB"/>
    <w:rsid w:val="0025349C"/>
    <w:rsid w:val="00253AF3"/>
    <w:rsid w:val="00253B0A"/>
    <w:rsid w:val="00254265"/>
    <w:rsid w:val="002542A0"/>
    <w:rsid w:val="00256A26"/>
    <w:rsid w:val="00257224"/>
    <w:rsid w:val="0025780A"/>
    <w:rsid w:val="0025792F"/>
    <w:rsid w:val="00262131"/>
    <w:rsid w:val="002622B1"/>
    <w:rsid w:val="00262359"/>
    <w:rsid w:val="00262E53"/>
    <w:rsid w:val="002643AF"/>
    <w:rsid w:val="00264588"/>
    <w:rsid w:val="0026558B"/>
    <w:rsid w:val="00266F93"/>
    <w:rsid w:val="0026774F"/>
    <w:rsid w:val="00267859"/>
    <w:rsid w:val="00267AAC"/>
    <w:rsid w:val="00270B47"/>
    <w:rsid w:val="00271BF5"/>
    <w:rsid w:val="00271D85"/>
    <w:rsid w:val="0027221A"/>
    <w:rsid w:val="0027284F"/>
    <w:rsid w:val="00272D4D"/>
    <w:rsid w:val="002730BA"/>
    <w:rsid w:val="00273AA5"/>
    <w:rsid w:val="002750A6"/>
    <w:rsid w:val="002750C0"/>
    <w:rsid w:val="00276196"/>
    <w:rsid w:val="00276366"/>
    <w:rsid w:val="0027783A"/>
    <w:rsid w:val="002818BC"/>
    <w:rsid w:val="0028466D"/>
    <w:rsid w:val="002865E8"/>
    <w:rsid w:val="00286AD2"/>
    <w:rsid w:val="00290451"/>
    <w:rsid w:val="002906CE"/>
    <w:rsid w:val="002912FB"/>
    <w:rsid w:val="00291912"/>
    <w:rsid w:val="0029202E"/>
    <w:rsid w:val="00292699"/>
    <w:rsid w:val="00292B13"/>
    <w:rsid w:val="00293147"/>
    <w:rsid w:val="00294D49"/>
    <w:rsid w:val="00296F21"/>
    <w:rsid w:val="0029738B"/>
    <w:rsid w:val="002974CC"/>
    <w:rsid w:val="002977A3"/>
    <w:rsid w:val="002A0E3C"/>
    <w:rsid w:val="002A36DF"/>
    <w:rsid w:val="002A4110"/>
    <w:rsid w:val="002A47FE"/>
    <w:rsid w:val="002A518F"/>
    <w:rsid w:val="002A540F"/>
    <w:rsid w:val="002A5E73"/>
    <w:rsid w:val="002A6759"/>
    <w:rsid w:val="002B2A47"/>
    <w:rsid w:val="002B3476"/>
    <w:rsid w:val="002B4234"/>
    <w:rsid w:val="002B5ADB"/>
    <w:rsid w:val="002B662D"/>
    <w:rsid w:val="002B6A55"/>
    <w:rsid w:val="002B6F2C"/>
    <w:rsid w:val="002B6FDC"/>
    <w:rsid w:val="002B78AC"/>
    <w:rsid w:val="002C0C55"/>
    <w:rsid w:val="002C0C71"/>
    <w:rsid w:val="002C3C86"/>
    <w:rsid w:val="002C3DA8"/>
    <w:rsid w:val="002C413B"/>
    <w:rsid w:val="002C568C"/>
    <w:rsid w:val="002C5E88"/>
    <w:rsid w:val="002D012B"/>
    <w:rsid w:val="002D06F7"/>
    <w:rsid w:val="002D18BF"/>
    <w:rsid w:val="002D1CC3"/>
    <w:rsid w:val="002D39AC"/>
    <w:rsid w:val="002D48C1"/>
    <w:rsid w:val="002D5E75"/>
    <w:rsid w:val="002D5F7A"/>
    <w:rsid w:val="002D7A93"/>
    <w:rsid w:val="002E225F"/>
    <w:rsid w:val="002E3CEF"/>
    <w:rsid w:val="002E46AB"/>
    <w:rsid w:val="002E4875"/>
    <w:rsid w:val="002E4E37"/>
    <w:rsid w:val="002E5CA9"/>
    <w:rsid w:val="002F0337"/>
    <w:rsid w:val="002F3340"/>
    <w:rsid w:val="002F3ACB"/>
    <w:rsid w:val="002F3CDD"/>
    <w:rsid w:val="002F5878"/>
    <w:rsid w:val="002F5B1B"/>
    <w:rsid w:val="002F7B99"/>
    <w:rsid w:val="00301D82"/>
    <w:rsid w:val="00302D3F"/>
    <w:rsid w:val="003030AA"/>
    <w:rsid w:val="00303DD8"/>
    <w:rsid w:val="00303EE3"/>
    <w:rsid w:val="00306307"/>
    <w:rsid w:val="0030785A"/>
    <w:rsid w:val="003078B4"/>
    <w:rsid w:val="003079EC"/>
    <w:rsid w:val="00307F98"/>
    <w:rsid w:val="003103B0"/>
    <w:rsid w:val="00310CF1"/>
    <w:rsid w:val="00312739"/>
    <w:rsid w:val="00312A19"/>
    <w:rsid w:val="00314CC4"/>
    <w:rsid w:val="00317580"/>
    <w:rsid w:val="00320371"/>
    <w:rsid w:val="003245F0"/>
    <w:rsid w:val="00324696"/>
    <w:rsid w:val="0032484D"/>
    <w:rsid w:val="00325B8C"/>
    <w:rsid w:val="00325C01"/>
    <w:rsid w:val="00326C2B"/>
    <w:rsid w:val="00327903"/>
    <w:rsid w:val="00327EAC"/>
    <w:rsid w:val="00331E8E"/>
    <w:rsid w:val="00332A40"/>
    <w:rsid w:val="00332C4B"/>
    <w:rsid w:val="003339EF"/>
    <w:rsid w:val="00333E04"/>
    <w:rsid w:val="0033473A"/>
    <w:rsid w:val="003350D7"/>
    <w:rsid w:val="003354AB"/>
    <w:rsid w:val="00335C02"/>
    <w:rsid w:val="00335F54"/>
    <w:rsid w:val="00336346"/>
    <w:rsid w:val="00337545"/>
    <w:rsid w:val="00342240"/>
    <w:rsid w:val="00343A83"/>
    <w:rsid w:val="00344402"/>
    <w:rsid w:val="00344528"/>
    <w:rsid w:val="00344DAC"/>
    <w:rsid w:val="00345F1B"/>
    <w:rsid w:val="00346884"/>
    <w:rsid w:val="00346FEF"/>
    <w:rsid w:val="003506AE"/>
    <w:rsid w:val="0035144D"/>
    <w:rsid w:val="003522D7"/>
    <w:rsid w:val="003533CA"/>
    <w:rsid w:val="00353C6F"/>
    <w:rsid w:val="00354507"/>
    <w:rsid w:val="00354D26"/>
    <w:rsid w:val="003551AD"/>
    <w:rsid w:val="003552C0"/>
    <w:rsid w:val="003559CC"/>
    <w:rsid w:val="00356283"/>
    <w:rsid w:val="0035653B"/>
    <w:rsid w:val="003569D0"/>
    <w:rsid w:val="00357756"/>
    <w:rsid w:val="00357BA6"/>
    <w:rsid w:val="003602C2"/>
    <w:rsid w:val="003620FB"/>
    <w:rsid w:val="00364225"/>
    <w:rsid w:val="00365D58"/>
    <w:rsid w:val="00365E3F"/>
    <w:rsid w:val="00366505"/>
    <w:rsid w:val="0036671D"/>
    <w:rsid w:val="00366918"/>
    <w:rsid w:val="00366DCC"/>
    <w:rsid w:val="003675D5"/>
    <w:rsid w:val="00370B77"/>
    <w:rsid w:val="003741E5"/>
    <w:rsid w:val="00375F14"/>
    <w:rsid w:val="003764DE"/>
    <w:rsid w:val="003765A6"/>
    <w:rsid w:val="003769AF"/>
    <w:rsid w:val="00380361"/>
    <w:rsid w:val="00380B28"/>
    <w:rsid w:val="00380BB5"/>
    <w:rsid w:val="00380DCC"/>
    <w:rsid w:val="00380E08"/>
    <w:rsid w:val="003813A0"/>
    <w:rsid w:val="00381CBF"/>
    <w:rsid w:val="00382037"/>
    <w:rsid w:val="00382217"/>
    <w:rsid w:val="00382F9A"/>
    <w:rsid w:val="0038306F"/>
    <w:rsid w:val="00384767"/>
    <w:rsid w:val="0038699A"/>
    <w:rsid w:val="00387527"/>
    <w:rsid w:val="00391911"/>
    <w:rsid w:val="00392D76"/>
    <w:rsid w:val="00393F8C"/>
    <w:rsid w:val="00394105"/>
    <w:rsid w:val="00395F3D"/>
    <w:rsid w:val="0039698B"/>
    <w:rsid w:val="00397EF5"/>
    <w:rsid w:val="003A1793"/>
    <w:rsid w:val="003A2B5B"/>
    <w:rsid w:val="003A323D"/>
    <w:rsid w:val="003A36B2"/>
    <w:rsid w:val="003A4882"/>
    <w:rsid w:val="003A4DC6"/>
    <w:rsid w:val="003A5F8B"/>
    <w:rsid w:val="003A7217"/>
    <w:rsid w:val="003A72C3"/>
    <w:rsid w:val="003A7AB8"/>
    <w:rsid w:val="003B0073"/>
    <w:rsid w:val="003B0A98"/>
    <w:rsid w:val="003B0D30"/>
    <w:rsid w:val="003B1445"/>
    <w:rsid w:val="003B4D42"/>
    <w:rsid w:val="003B575F"/>
    <w:rsid w:val="003B5953"/>
    <w:rsid w:val="003B674A"/>
    <w:rsid w:val="003C1787"/>
    <w:rsid w:val="003C2495"/>
    <w:rsid w:val="003C28D0"/>
    <w:rsid w:val="003C3117"/>
    <w:rsid w:val="003C37FC"/>
    <w:rsid w:val="003C38F5"/>
    <w:rsid w:val="003C3B18"/>
    <w:rsid w:val="003C3FFC"/>
    <w:rsid w:val="003C6F58"/>
    <w:rsid w:val="003C7A7B"/>
    <w:rsid w:val="003C7C67"/>
    <w:rsid w:val="003C7D2A"/>
    <w:rsid w:val="003C7E6C"/>
    <w:rsid w:val="003D0F39"/>
    <w:rsid w:val="003D14BA"/>
    <w:rsid w:val="003D2A24"/>
    <w:rsid w:val="003D31FD"/>
    <w:rsid w:val="003D3D7D"/>
    <w:rsid w:val="003D41B4"/>
    <w:rsid w:val="003D4A6F"/>
    <w:rsid w:val="003D50D2"/>
    <w:rsid w:val="003D5D6C"/>
    <w:rsid w:val="003D69AD"/>
    <w:rsid w:val="003D7315"/>
    <w:rsid w:val="003D7942"/>
    <w:rsid w:val="003E0045"/>
    <w:rsid w:val="003E4BD2"/>
    <w:rsid w:val="003E4F87"/>
    <w:rsid w:val="003E5576"/>
    <w:rsid w:val="003E5688"/>
    <w:rsid w:val="003F1211"/>
    <w:rsid w:val="003F159E"/>
    <w:rsid w:val="003F334D"/>
    <w:rsid w:val="003F5EF2"/>
    <w:rsid w:val="003F665D"/>
    <w:rsid w:val="003F7754"/>
    <w:rsid w:val="00401947"/>
    <w:rsid w:val="00401BDE"/>
    <w:rsid w:val="00402AC2"/>
    <w:rsid w:val="004035C4"/>
    <w:rsid w:val="00404913"/>
    <w:rsid w:val="004052FC"/>
    <w:rsid w:val="00406CA2"/>
    <w:rsid w:val="00406EF8"/>
    <w:rsid w:val="00407E19"/>
    <w:rsid w:val="004102C5"/>
    <w:rsid w:val="00411D30"/>
    <w:rsid w:val="00412E29"/>
    <w:rsid w:val="004141A0"/>
    <w:rsid w:val="00415EFC"/>
    <w:rsid w:val="00416E6F"/>
    <w:rsid w:val="0041770C"/>
    <w:rsid w:val="004178DE"/>
    <w:rsid w:val="0042031C"/>
    <w:rsid w:val="00421844"/>
    <w:rsid w:val="00421B81"/>
    <w:rsid w:val="00421C21"/>
    <w:rsid w:val="00422255"/>
    <w:rsid w:val="0042487B"/>
    <w:rsid w:val="004253AA"/>
    <w:rsid w:val="00426884"/>
    <w:rsid w:val="004278BD"/>
    <w:rsid w:val="00431EC4"/>
    <w:rsid w:val="00432D19"/>
    <w:rsid w:val="00433115"/>
    <w:rsid w:val="00433BD8"/>
    <w:rsid w:val="0043468F"/>
    <w:rsid w:val="0043588D"/>
    <w:rsid w:val="00435E97"/>
    <w:rsid w:val="004365EF"/>
    <w:rsid w:val="00436DA5"/>
    <w:rsid w:val="00441460"/>
    <w:rsid w:val="00441ECA"/>
    <w:rsid w:val="00441F3E"/>
    <w:rsid w:val="004436D9"/>
    <w:rsid w:val="004449E1"/>
    <w:rsid w:val="00444A21"/>
    <w:rsid w:val="00445B4E"/>
    <w:rsid w:val="00446C70"/>
    <w:rsid w:val="00447333"/>
    <w:rsid w:val="0045317B"/>
    <w:rsid w:val="004537FA"/>
    <w:rsid w:val="004554D7"/>
    <w:rsid w:val="00455504"/>
    <w:rsid w:val="00456B10"/>
    <w:rsid w:val="00456FCF"/>
    <w:rsid w:val="004571B9"/>
    <w:rsid w:val="00463824"/>
    <w:rsid w:val="00464ACB"/>
    <w:rsid w:val="00465F4D"/>
    <w:rsid w:val="00470202"/>
    <w:rsid w:val="00470E1E"/>
    <w:rsid w:val="00471508"/>
    <w:rsid w:val="00473536"/>
    <w:rsid w:val="004739A3"/>
    <w:rsid w:val="0047711A"/>
    <w:rsid w:val="00480049"/>
    <w:rsid w:val="00481ADC"/>
    <w:rsid w:val="004821A3"/>
    <w:rsid w:val="00484231"/>
    <w:rsid w:val="00484A85"/>
    <w:rsid w:val="004873F3"/>
    <w:rsid w:val="00487B97"/>
    <w:rsid w:val="004901A5"/>
    <w:rsid w:val="00490846"/>
    <w:rsid w:val="00491AA3"/>
    <w:rsid w:val="004921DF"/>
    <w:rsid w:val="004931F9"/>
    <w:rsid w:val="00497513"/>
    <w:rsid w:val="0049782E"/>
    <w:rsid w:val="004A0DDC"/>
    <w:rsid w:val="004A1907"/>
    <w:rsid w:val="004A1B2F"/>
    <w:rsid w:val="004A1BB1"/>
    <w:rsid w:val="004A1D25"/>
    <w:rsid w:val="004A3C27"/>
    <w:rsid w:val="004A5502"/>
    <w:rsid w:val="004A6568"/>
    <w:rsid w:val="004A7A25"/>
    <w:rsid w:val="004B02E0"/>
    <w:rsid w:val="004B05C9"/>
    <w:rsid w:val="004B1CE6"/>
    <w:rsid w:val="004B3151"/>
    <w:rsid w:val="004B39F2"/>
    <w:rsid w:val="004B46F4"/>
    <w:rsid w:val="004B47A5"/>
    <w:rsid w:val="004B53D6"/>
    <w:rsid w:val="004B5430"/>
    <w:rsid w:val="004B582E"/>
    <w:rsid w:val="004B5EF9"/>
    <w:rsid w:val="004B678F"/>
    <w:rsid w:val="004B6C8F"/>
    <w:rsid w:val="004C0998"/>
    <w:rsid w:val="004C1C72"/>
    <w:rsid w:val="004C2AE3"/>
    <w:rsid w:val="004C2EFC"/>
    <w:rsid w:val="004C3AB7"/>
    <w:rsid w:val="004C7C09"/>
    <w:rsid w:val="004D036D"/>
    <w:rsid w:val="004D0BF9"/>
    <w:rsid w:val="004D293C"/>
    <w:rsid w:val="004D2BC6"/>
    <w:rsid w:val="004D6978"/>
    <w:rsid w:val="004D7113"/>
    <w:rsid w:val="004D7C5C"/>
    <w:rsid w:val="004E166A"/>
    <w:rsid w:val="004E501B"/>
    <w:rsid w:val="004E6482"/>
    <w:rsid w:val="004E7C9D"/>
    <w:rsid w:val="004F4088"/>
    <w:rsid w:val="004F432A"/>
    <w:rsid w:val="004F5514"/>
    <w:rsid w:val="004F590F"/>
    <w:rsid w:val="004F6BB4"/>
    <w:rsid w:val="005002DE"/>
    <w:rsid w:val="005006E2"/>
    <w:rsid w:val="00500B09"/>
    <w:rsid w:val="00502404"/>
    <w:rsid w:val="005052E9"/>
    <w:rsid w:val="00506B4E"/>
    <w:rsid w:val="00507039"/>
    <w:rsid w:val="00510866"/>
    <w:rsid w:val="00510EC8"/>
    <w:rsid w:val="00512D8D"/>
    <w:rsid w:val="00512FDF"/>
    <w:rsid w:val="005145C3"/>
    <w:rsid w:val="00514968"/>
    <w:rsid w:val="00514ECB"/>
    <w:rsid w:val="0051617E"/>
    <w:rsid w:val="00517104"/>
    <w:rsid w:val="00517C3B"/>
    <w:rsid w:val="00517D5A"/>
    <w:rsid w:val="00520833"/>
    <w:rsid w:val="00520941"/>
    <w:rsid w:val="00520CE7"/>
    <w:rsid w:val="005218C7"/>
    <w:rsid w:val="00521B46"/>
    <w:rsid w:val="00521C7D"/>
    <w:rsid w:val="00522D14"/>
    <w:rsid w:val="00522F5F"/>
    <w:rsid w:val="005232E5"/>
    <w:rsid w:val="00524144"/>
    <w:rsid w:val="005248A7"/>
    <w:rsid w:val="00525292"/>
    <w:rsid w:val="005256A9"/>
    <w:rsid w:val="005257D0"/>
    <w:rsid w:val="00525D26"/>
    <w:rsid w:val="00526724"/>
    <w:rsid w:val="00527788"/>
    <w:rsid w:val="005301FC"/>
    <w:rsid w:val="00530477"/>
    <w:rsid w:val="005325F4"/>
    <w:rsid w:val="00532D6E"/>
    <w:rsid w:val="005338A0"/>
    <w:rsid w:val="00534C78"/>
    <w:rsid w:val="005356C2"/>
    <w:rsid w:val="00535A15"/>
    <w:rsid w:val="00536A69"/>
    <w:rsid w:val="00536B22"/>
    <w:rsid w:val="00536D00"/>
    <w:rsid w:val="005379D8"/>
    <w:rsid w:val="00540589"/>
    <w:rsid w:val="00540F61"/>
    <w:rsid w:val="00541E48"/>
    <w:rsid w:val="005430C8"/>
    <w:rsid w:val="0054339D"/>
    <w:rsid w:val="00543C7C"/>
    <w:rsid w:val="00546917"/>
    <w:rsid w:val="00547324"/>
    <w:rsid w:val="005475AF"/>
    <w:rsid w:val="005506E6"/>
    <w:rsid w:val="00551569"/>
    <w:rsid w:val="00553833"/>
    <w:rsid w:val="00554017"/>
    <w:rsid w:val="00554544"/>
    <w:rsid w:val="00554CF4"/>
    <w:rsid w:val="005559F1"/>
    <w:rsid w:val="00555A05"/>
    <w:rsid w:val="00555B9A"/>
    <w:rsid w:val="005560CC"/>
    <w:rsid w:val="005564B6"/>
    <w:rsid w:val="00560536"/>
    <w:rsid w:val="00561790"/>
    <w:rsid w:val="00561A04"/>
    <w:rsid w:val="00561BCC"/>
    <w:rsid w:val="00562122"/>
    <w:rsid w:val="0056282F"/>
    <w:rsid w:val="00562CD4"/>
    <w:rsid w:val="00564C1B"/>
    <w:rsid w:val="00564F33"/>
    <w:rsid w:val="0056515A"/>
    <w:rsid w:val="00566687"/>
    <w:rsid w:val="00567A48"/>
    <w:rsid w:val="00570873"/>
    <w:rsid w:val="00571595"/>
    <w:rsid w:val="00573656"/>
    <w:rsid w:val="005738D2"/>
    <w:rsid w:val="00573A34"/>
    <w:rsid w:val="005759B7"/>
    <w:rsid w:val="005768C9"/>
    <w:rsid w:val="00577AA7"/>
    <w:rsid w:val="00577B19"/>
    <w:rsid w:val="0057D414"/>
    <w:rsid w:val="00580294"/>
    <w:rsid w:val="00580CB5"/>
    <w:rsid w:val="00580E2B"/>
    <w:rsid w:val="0058155B"/>
    <w:rsid w:val="00581E7E"/>
    <w:rsid w:val="00582FA4"/>
    <w:rsid w:val="00586F00"/>
    <w:rsid w:val="00587600"/>
    <w:rsid w:val="0059124F"/>
    <w:rsid w:val="005921B2"/>
    <w:rsid w:val="0059280E"/>
    <w:rsid w:val="00592CEF"/>
    <w:rsid w:val="005941A3"/>
    <w:rsid w:val="005946AB"/>
    <w:rsid w:val="00595372"/>
    <w:rsid w:val="00595A74"/>
    <w:rsid w:val="00596226"/>
    <w:rsid w:val="00596309"/>
    <w:rsid w:val="00596F2D"/>
    <w:rsid w:val="00597369"/>
    <w:rsid w:val="005977E8"/>
    <w:rsid w:val="005A081D"/>
    <w:rsid w:val="005A11D8"/>
    <w:rsid w:val="005A2505"/>
    <w:rsid w:val="005A2F6B"/>
    <w:rsid w:val="005A390D"/>
    <w:rsid w:val="005A3A68"/>
    <w:rsid w:val="005A5F29"/>
    <w:rsid w:val="005A71F5"/>
    <w:rsid w:val="005B24C1"/>
    <w:rsid w:val="005B3397"/>
    <w:rsid w:val="005C0240"/>
    <w:rsid w:val="005C1745"/>
    <w:rsid w:val="005C1922"/>
    <w:rsid w:val="005C1E0B"/>
    <w:rsid w:val="005C3394"/>
    <w:rsid w:val="005C4433"/>
    <w:rsid w:val="005C4EB9"/>
    <w:rsid w:val="005C5476"/>
    <w:rsid w:val="005C7D0C"/>
    <w:rsid w:val="005C7EFC"/>
    <w:rsid w:val="005D0268"/>
    <w:rsid w:val="005D0ED7"/>
    <w:rsid w:val="005D2766"/>
    <w:rsid w:val="005D4244"/>
    <w:rsid w:val="005D543B"/>
    <w:rsid w:val="005E07A8"/>
    <w:rsid w:val="005E1AEF"/>
    <w:rsid w:val="005E3669"/>
    <w:rsid w:val="005E38F0"/>
    <w:rsid w:val="005E55CE"/>
    <w:rsid w:val="005E6826"/>
    <w:rsid w:val="005E72B7"/>
    <w:rsid w:val="005F0998"/>
    <w:rsid w:val="005F130B"/>
    <w:rsid w:val="005F13EC"/>
    <w:rsid w:val="005F2E76"/>
    <w:rsid w:val="005F5F80"/>
    <w:rsid w:val="005F62ED"/>
    <w:rsid w:val="005F7339"/>
    <w:rsid w:val="00603186"/>
    <w:rsid w:val="00605067"/>
    <w:rsid w:val="006054A8"/>
    <w:rsid w:val="0060594E"/>
    <w:rsid w:val="00605AB6"/>
    <w:rsid w:val="00606AE5"/>
    <w:rsid w:val="00607E0F"/>
    <w:rsid w:val="00610F50"/>
    <w:rsid w:val="006113E0"/>
    <w:rsid w:val="00611813"/>
    <w:rsid w:val="0061268C"/>
    <w:rsid w:val="00612D41"/>
    <w:rsid w:val="006149B7"/>
    <w:rsid w:val="00615C75"/>
    <w:rsid w:val="00621087"/>
    <w:rsid w:val="0062136E"/>
    <w:rsid w:val="00623AD7"/>
    <w:rsid w:val="00624F1A"/>
    <w:rsid w:val="00625631"/>
    <w:rsid w:val="006269A1"/>
    <w:rsid w:val="00626EB3"/>
    <w:rsid w:val="00627A68"/>
    <w:rsid w:val="006303FF"/>
    <w:rsid w:val="00631829"/>
    <w:rsid w:val="006325B1"/>
    <w:rsid w:val="00632AEC"/>
    <w:rsid w:val="00634E72"/>
    <w:rsid w:val="00636A3D"/>
    <w:rsid w:val="006403D2"/>
    <w:rsid w:val="00643123"/>
    <w:rsid w:val="00643226"/>
    <w:rsid w:val="00643D57"/>
    <w:rsid w:val="0064499E"/>
    <w:rsid w:val="00645592"/>
    <w:rsid w:val="00647FA9"/>
    <w:rsid w:val="006513CC"/>
    <w:rsid w:val="0065176F"/>
    <w:rsid w:val="006520E7"/>
    <w:rsid w:val="006533A2"/>
    <w:rsid w:val="0065372D"/>
    <w:rsid w:val="00654942"/>
    <w:rsid w:val="00654E2F"/>
    <w:rsid w:val="006560F8"/>
    <w:rsid w:val="00656E81"/>
    <w:rsid w:val="00663EE6"/>
    <w:rsid w:val="006650CD"/>
    <w:rsid w:val="00665BF5"/>
    <w:rsid w:val="0066694A"/>
    <w:rsid w:val="006705F7"/>
    <w:rsid w:val="006706B2"/>
    <w:rsid w:val="006708F8"/>
    <w:rsid w:val="006713BD"/>
    <w:rsid w:val="006733D5"/>
    <w:rsid w:val="00674E0A"/>
    <w:rsid w:val="00677E18"/>
    <w:rsid w:val="00680AD8"/>
    <w:rsid w:val="006814E7"/>
    <w:rsid w:val="00682042"/>
    <w:rsid w:val="00682275"/>
    <w:rsid w:val="006826AF"/>
    <w:rsid w:val="00684458"/>
    <w:rsid w:val="00687E3F"/>
    <w:rsid w:val="006906F3"/>
    <w:rsid w:val="00692BAB"/>
    <w:rsid w:val="00693E98"/>
    <w:rsid w:val="00695974"/>
    <w:rsid w:val="006969C6"/>
    <w:rsid w:val="006A11AA"/>
    <w:rsid w:val="006A1400"/>
    <w:rsid w:val="006A21E4"/>
    <w:rsid w:val="006A25D2"/>
    <w:rsid w:val="006A2BD7"/>
    <w:rsid w:val="006A3466"/>
    <w:rsid w:val="006A4D5B"/>
    <w:rsid w:val="006A5179"/>
    <w:rsid w:val="006A5497"/>
    <w:rsid w:val="006A759E"/>
    <w:rsid w:val="006A75F6"/>
    <w:rsid w:val="006A7E86"/>
    <w:rsid w:val="006A7EAE"/>
    <w:rsid w:val="006B0549"/>
    <w:rsid w:val="006B0698"/>
    <w:rsid w:val="006B0C48"/>
    <w:rsid w:val="006B0F22"/>
    <w:rsid w:val="006B3BF5"/>
    <w:rsid w:val="006B4CBA"/>
    <w:rsid w:val="006B4E04"/>
    <w:rsid w:val="006B5BEF"/>
    <w:rsid w:val="006B68C4"/>
    <w:rsid w:val="006B7171"/>
    <w:rsid w:val="006B7423"/>
    <w:rsid w:val="006C1B8D"/>
    <w:rsid w:val="006C22B2"/>
    <w:rsid w:val="006C3ED5"/>
    <w:rsid w:val="006C4ED1"/>
    <w:rsid w:val="006C552B"/>
    <w:rsid w:val="006C5D68"/>
    <w:rsid w:val="006C6B79"/>
    <w:rsid w:val="006D01D3"/>
    <w:rsid w:val="006D0ABF"/>
    <w:rsid w:val="006D4303"/>
    <w:rsid w:val="006D501C"/>
    <w:rsid w:val="006D57FC"/>
    <w:rsid w:val="006D6315"/>
    <w:rsid w:val="006D650D"/>
    <w:rsid w:val="006D6994"/>
    <w:rsid w:val="006D7054"/>
    <w:rsid w:val="006E112C"/>
    <w:rsid w:val="006E1D4C"/>
    <w:rsid w:val="006E279C"/>
    <w:rsid w:val="006E29DE"/>
    <w:rsid w:val="006E45D4"/>
    <w:rsid w:val="006E4E00"/>
    <w:rsid w:val="006E5156"/>
    <w:rsid w:val="006E5304"/>
    <w:rsid w:val="006E5486"/>
    <w:rsid w:val="006E567F"/>
    <w:rsid w:val="006E5CDF"/>
    <w:rsid w:val="006E6DA9"/>
    <w:rsid w:val="006E7944"/>
    <w:rsid w:val="006E7D89"/>
    <w:rsid w:val="006F014B"/>
    <w:rsid w:val="006F0472"/>
    <w:rsid w:val="006F0F9B"/>
    <w:rsid w:val="006F116E"/>
    <w:rsid w:val="006F4C49"/>
    <w:rsid w:val="006F4EF5"/>
    <w:rsid w:val="006F5D61"/>
    <w:rsid w:val="006F7519"/>
    <w:rsid w:val="007013CB"/>
    <w:rsid w:val="00703ED5"/>
    <w:rsid w:val="0070409F"/>
    <w:rsid w:val="00704DA5"/>
    <w:rsid w:val="0070755F"/>
    <w:rsid w:val="007113DC"/>
    <w:rsid w:val="00711700"/>
    <w:rsid w:val="00712B03"/>
    <w:rsid w:val="00712FA6"/>
    <w:rsid w:val="0071352B"/>
    <w:rsid w:val="0071402E"/>
    <w:rsid w:val="0071563E"/>
    <w:rsid w:val="00715918"/>
    <w:rsid w:val="007172F6"/>
    <w:rsid w:val="007177F0"/>
    <w:rsid w:val="007200B2"/>
    <w:rsid w:val="00721290"/>
    <w:rsid w:val="00722F8A"/>
    <w:rsid w:val="007230BC"/>
    <w:rsid w:val="00723188"/>
    <w:rsid w:val="007235BA"/>
    <w:rsid w:val="00723E74"/>
    <w:rsid w:val="007242B4"/>
    <w:rsid w:val="00724BED"/>
    <w:rsid w:val="00726F4F"/>
    <w:rsid w:val="0072797E"/>
    <w:rsid w:val="0073005B"/>
    <w:rsid w:val="00730E81"/>
    <w:rsid w:val="00732F31"/>
    <w:rsid w:val="00733BDE"/>
    <w:rsid w:val="00733E21"/>
    <w:rsid w:val="0073404F"/>
    <w:rsid w:val="007346C0"/>
    <w:rsid w:val="00734A0C"/>
    <w:rsid w:val="007350D8"/>
    <w:rsid w:val="00735C59"/>
    <w:rsid w:val="00736D9B"/>
    <w:rsid w:val="00740B16"/>
    <w:rsid w:val="00742902"/>
    <w:rsid w:val="00742E67"/>
    <w:rsid w:val="0074357F"/>
    <w:rsid w:val="00743B00"/>
    <w:rsid w:val="00743F50"/>
    <w:rsid w:val="00747EF6"/>
    <w:rsid w:val="007508EF"/>
    <w:rsid w:val="00750B62"/>
    <w:rsid w:val="0075159B"/>
    <w:rsid w:val="007516CC"/>
    <w:rsid w:val="007525CA"/>
    <w:rsid w:val="007531D5"/>
    <w:rsid w:val="0075373D"/>
    <w:rsid w:val="00753F14"/>
    <w:rsid w:val="00755183"/>
    <w:rsid w:val="00755285"/>
    <w:rsid w:val="007558E7"/>
    <w:rsid w:val="00757106"/>
    <w:rsid w:val="00760F5C"/>
    <w:rsid w:val="00761997"/>
    <w:rsid w:val="0076213B"/>
    <w:rsid w:val="00762CA1"/>
    <w:rsid w:val="00763103"/>
    <w:rsid w:val="00766B76"/>
    <w:rsid w:val="00770D07"/>
    <w:rsid w:val="00771621"/>
    <w:rsid w:val="00773850"/>
    <w:rsid w:val="00774FA6"/>
    <w:rsid w:val="00775A18"/>
    <w:rsid w:val="00777580"/>
    <w:rsid w:val="007871AD"/>
    <w:rsid w:val="00787CB4"/>
    <w:rsid w:val="00790EA1"/>
    <w:rsid w:val="007912DA"/>
    <w:rsid w:val="00791B92"/>
    <w:rsid w:val="00792DB0"/>
    <w:rsid w:val="007931E8"/>
    <w:rsid w:val="007934D2"/>
    <w:rsid w:val="00795B9D"/>
    <w:rsid w:val="00795E61"/>
    <w:rsid w:val="00795E6A"/>
    <w:rsid w:val="007962E3"/>
    <w:rsid w:val="0079654F"/>
    <w:rsid w:val="007966DB"/>
    <w:rsid w:val="00796C28"/>
    <w:rsid w:val="007A0F2C"/>
    <w:rsid w:val="007B3A5E"/>
    <w:rsid w:val="007B504D"/>
    <w:rsid w:val="007B529A"/>
    <w:rsid w:val="007B57B1"/>
    <w:rsid w:val="007B5C83"/>
    <w:rsid w:val="007B6286"/>
    <w:rsid w:val="007B689C"/>
    <w:rsid w:val="007C02F9"/>
    <w:rsid w:val="007C0F2D"/>
    <w:rsid w:val="007C108B"/>
    <w:rsid w:val="007C11C2"/>
    <w:rsid w:val="007C2BD3"/>
    <w:rsid w:val="007C2DF7"/>
    <w:rsid w:val="007C302D"/>
    <w:rsid w:val="007C3FFF"/>
    <w:rsid w:val="007C5C86"/>
    <w:rsid w:val="007C6B4E"/>
    <w:rsid w:val="007C6CC1"/>
    <w:rsid w:val="007D023F"/>
    <w:rsid w:val="007D127A"/>
    <w:rsid w:val="007D1376"/>
    <w:rsid w:val="007D16C5"/>
    <w:rsid w:val="007D1A3C"/>
    <w:rsid w:val="007D25EE"/>
    <w:rsid w:val="007D3BF6"/>
    <w:rsid w:val="007D3C65"/>
    <w:rsid w:val="007D42A0"/>
    <w:rsid w:val="007D5999"/>
    <w:rsid w:val="007E0AC9"/>
    <w:rsid w:val="007E0DEF"/>
    <w:rsid w:val="007E1890"/>
    <w:rsid w:val="007E5FE7"/>
    <w:rsid w:val="007E601C"/>
    <w:rsid w:val="007E6854"/>
    <w:rsid w:val="007F1021"/>
    <w:rsid w:val="007F14BB"/>
    <w:rsid w:val="007F26C3"/>
    <w:rsid w:val="007F3C05"/>
    <w:rsid w:val="007F43D4"/>
    <w:rsid w:val="007F5301"/>
    <w:rsid w:val="007F561D"/>
    <w:rsid w:val="007F5C97"/>
    <w:rsid w:val="007F5DD1"/>
    <w:rsid w:val="007F6742"/>
    <w:rsid w:val="008006D1"/>
    <w:rsid w:val="008013BB"/>
    <w:rsid w:val="0080170E"/>
    <w:rsid w:val="008031C1"/>
    <w:rsid w:val="00803785"/>
    <w:rsid w:val="008050B8"/>
    <w:rsid w:val="00805A8E"/>
    <w:rsid w:val="008061A3"/>
    <w:rsid w:val="00807D3F"/>
    <w:rsid w:val="00810C49"/>
    <w:rsid w:val="008124F5"/>
    <w:rsid w:val="0081259D"/>
    <w:rsid w:val="0081262E"/>
    <w:rsid w:val="00813262"/>
    <w:rsid w:val="0081376A"/>
    <w:rsid w:val="00813ECA"/>
    <w:rsid w:val="00815464"/>
    <w:rsid w:val="0081551A"/>
    <w:rsid w:val="0081609A"/>
    <w:rsid w:val="00817578"/>
    <w:rsid w:val="00820074"/>
    <w:rsid w:val="00820C2B"/>
    <w:rsid w:val="008217B2"/>
    <w:rsid w:val="008218EF"/>
    <w:rsid w:val="00821F58"/>
    <w:rsid w:val="008222C5"/>
    <w:rsid w:val="00823A79"/>
    <w:rsid w:val="008244F6"/>
    <w:rsid w:val="008263DF"/>
    <w:rsid w:val="00826574"/>
    <w:rsid w:val="00826E90"/>
    <w:rsid w:val="00830723"/>
    <w:rsid w:val="0083116D"/>
    <w:rsid w:val="00831408"/>
    <w:rsid w:val="00831DB5"/>
    <w:rsid w:val="008320BF"/>
    <w:rsid w:val="00833925"/>
    <w:rsid w:val="0083393C"/>
    <w:rsid w:val="008347DF"/>
    <w:rsid w:val="00835493"/>
    <w:rsid w:val="00835F56"/>
    <w:rsid w:val="00840BBA"/>
    <w:rsid w:val="00841FE0"/>
    <w:rsid w:val="00842E61"/>
    <w:rsid w:val="00843356"/>
    <w:rsid w:val="008440E4"/>
    <w:rsid w:val="008443E7"/>
    <w:rsid w:val="00844841"/>
    <w:rsid w:val="008449E3"/>
    <w:rsid w:val="008454AF"/>
    <w:rsid w:val="0084640D"/>
    <w:rsid w:val="008464B2"/>
    <w:rsid w:val="00847411"/>
    <w:rsid w:val="00847665"/>
    <w:rsid w:val="00847BE1"/>
    <w:rsid w:val="00850211"/>
    <w:rsid w:val="00850317"/>
    <w:rsid w:val="00851136"/>
    <w:rsid w:val="008519A8"/>
    <w:rsid w:val="00851AD5"/>
    <w:rsid w:val="00851EBF"/>
    <w:rsid w:val="00852964"/>
    <w:rsid w:val="00854496"/>
    <w:rsid w:val="008552B3"/>
    <w:rsid w:val="00856939"/>
    <w:rsid w:val="0086021D"/>
    <w:rsid w:val="008604D5"/>
    <w:rsid w:val="00860B05"/>
    <w:rsid w:val="00862AF4"/>
    <w:rsid w:val="008634B7"/>
    <w:rsid w:val="00863F89"/>
    <w:rsid w:val="00863FC5"/>
    <w:rsid w:val="008643F3"/>
    <w:rsid w:val="00870513"/>
    <w:rsid w:val="00874C86"/>
    <w:rsid w:val="0087518D"/>
    <w:rsid w:val="008755D1"/>
    <w:rsid w:val="00875EDB"/>
    <w:rsid w:val="00876886"/>
    <w:rsid w:val="00876CE8"/>
    <w:rsid w:val="00877334"/>
    <w:rsid w:val="0088093B"/>
    <w:rsid w:val="00881DF6"/>
    <w:rsid w:val="00882805"/>
    <w:rsid w:val="00883C3A"/>
    <w:rsid w:val="00884DF4"/>
    <w:rsid w:val="00885BDE"/>
    <w:rsid w:val="008868E6"/>
    <w:rsid w:val="00886E11"/>
    <w:rsid w:val="00890231"/>
    <w:rsid w:val="0089063F"/>
    <w:rsid w:val="008906F3"/>
    <w:rsid w:val="008922CA"/>
    <w:rsid w:val="00894B37"/>
    <w:rsid w:val="00894D5C"/>
    <w:rsid w:val="008955B8"/>
    <w:rsid w:val="00895B40"/>
    <w:rsid w:val="008961F0"/>
    <w:rsid w:val="00897A92"/>
    <w:rsid w:val="008A0455"/>
    <w:rsid w:val="008A0B8C"/>
    <w:rsid w:val="008A1722"/>
    <w:rsid w:val="008A1BCF"/>
    <w:rsid w:val="008A3228"/>
    <w:rsid w:val="008A4AEA"/>
    <w:rsid w:val="008A4C64"/>
    <w:rsid w:val="008A5923"/>
    <w:rsid w:val="008A6BAF"/>
    <w:rsid w:val="008A6D0C"/>
    <w:rsid w:val="008A7920"/>
    <w:rsid w:val="008A7D64"/>
    <w:rsid w:val="008B18BD"/>
    <w:rsid w:val="008B7668"/>
    <w:rsid w:val="008C07AB"/>
    <w:rsid w:val="008C121E"/>
    <w:rsid w:val="008C1253"/>
    <w:rsid w:val="008C205C"/>
    <w:rsid w:val="008C5B77"/>
    <w:rsid w:val="008C5D7E"/>
    <w:rsid w:val="008C698B"/>
    <w:rsid w:val="008D0B54"/>
    <w:rsid w:val="008D2B88"/>
    <w:rsid w:val="008D2D7E"/>
    <w:rsid w:val="008D3899"/>
    <w:rsid w:val="008D5182"/>
    <w:rsid w:val="008D5359"/>
    <w:rsid w:val="008D6D5E"/>
    <w:rsid w:val="008D7435"/>
    <w:rsid w:val="008E0484"/>
    <w:rsid w:val="008E0608"/>
    <w:rsid w:val="008E187B"/>
    <w:rsid w:val="008E234D"/>
    <w:rsid w:val="008E39DC"/>
    <w:rsid w:val="008E39EB"/>
    <w:rsid w:val="008E3C7A"/>
    <w:rsid w:val="008E455C"/>
    <w:rsid w:val="008E4FB8"/>
    <w:rsid w:val="008E5C2D"/>
    <w:rsid w:val="008E5DE5"/>
    <w:rsid w:val="008E6DF2"/>
    <w:rsid w:val="008E6ED3"/>
    <w:rsid w:val="008E7355"/>
    <w:rsid w:val="008E73FF"/>
    <w:rsid w:val="008E7E5A"/>
    <w:rsid w:val="008F14DE"/>
    <w:rsid w:val="008F1860"/>
    <w:rsid w:val="008F2137"/>
    <w:rsid w:val="008F4E1B"/>
    <w:rsid w:val="008F5981"/>
    <w:rsid w:val="008F5DB6"/>
    <w:rsid w:val="008F67D8"/>
    <w:rsid w:val="008F6C95"/>
    <w:rsid w:val="00900ED6"/>
    <w:rsid w:val="00901922"/>
    <w:rsid w:val="00901BE4"/>
    <w:rsid w:val="0090264F"/>
    <w:rsid w:val="009032E4"/>
    <w:rsid w:val="009037E1"/>
    <w:rsid w:val="00906CCD"/>
    <w:rsid w:val="0090727A"/>
    <w:rsid w:val="00910865"/>
    <w:rsid w:val="009110DE"/>
    <w:rsid w:val="0091156F"/>
    <w:rsid w:val="00911747"/>
    <w:rsid w:val="00911AE6"/>
    <w:rsid w:val="00912D5B"/>
    <w:rsid w:val="009135B7"/>
    <w:rsid w:val="009143F1"/>
    <w:rsid w:val="00914855"/>
    <w:rsid w:val="00915C11"/>
    <w:rsid w:val="00915F05"/>
    <w:rsid w:val="00916634"/>
    <w:rsid w:val="009171CE"/>
    <w:rsid w:val="009178DF"/>
    <w:rsid w:val="0092095A"/>
    <w:rsid w:val="00921B11"/>
    <w:rsid w:val="00924A83"/>
    <w:rsid w:val="009250A0"/>
    <w:rsid w:val="00925E85"/>
    <w:rsid w:val="009260CC"/>
    <w:rsid w:val="009307EA"/>
    <w:rsid w:val="00931374"/>
    <w:rsid w:val="009317D3"/>
    <w:rsid w:val="00931AA1"/>
    <w:rsid w:val="00931C64"/>
    <w:rsid w:val="00933B5D"/>
    <w:rsid w:val="00934706"/>
    <w:rsid w:val="0093616A"/>
    <w:rsid w:val="0093644B"/>
    <w:rsid w:val="009366A5"/>
    <w:rsid w:val="00936CC0"/>
    <w:rsid w:val="00936CCC"/>
    <w:rsid w:val="009376A5"/>
    <w:rsid w:val="00937C51"/>
    <w:rsid w:val="00937DF4"/>
    <w:rsid w:val="00940929"/>
    <w:rsid w:val="00943AD5"/>
    <w:rsid w:val="00943EBF"/>
    <w:rsid w:val="00943F98"/>
    <w:rsid w:val="00943FC8"/>
    <w:rsid w:val="0094400A"/>
    <w:rsid w:val="00944815"/>
    <w:rsid w:val="009448F4"/>
    <w:rsid w:val="0094528E"/>
    <w:rsid w:val="00945508"/>
    <w:rsid w:val="0094767F"/>
    <w:rsid w:val="009508D7"/>
    <w:rsid w:val="00950BA9"/>
    <w:rsid w:val="00951254"/>
    <w:rsid w:val="00951485"/>
    <w:rsid w:val="009528C0"/>
    <w:rsid w:val="00955B27"/>
    <w:rsid w:val="00955D10"/>
    <w:rsid w:val="00956F13"/>
    <w:rsid w:val="00956F31"/>
    <w:rsid w:val="00960DBC"/>
    <w:rsid w:val="00963347"/>
    <w:rsid w:val="009637E5"/>
    <w:rsid w:val="00963826"/>
    <w:rsid w:val="00963B87"/>
    <w:rsid w:val="009656E3"/>
    <w:rsid w:val="00965AEA"/>
    <w:rsid w:val="009666E6"/>
    <w:rsid w:val="009672C2"/>
    <w:rsid w:val="00967BD5"/>
    <w:rsid w:val="00967D55"/>
    <w:rsid w:val="00970D87"/>
    <w:rsid w:val="009723AD"/>
    <w:rsid w:val="00974468"/>
    <w:rsid w:val="009760F0"/>
    <w:rsid w:val="0097656A"/>
    <w:rsid w:val="0097742B"/>
    <w:rsid w:val="009779D6"/>
    <w:rsid w:val="00982647"/>
    <w:rsid w:val="00982829"/>
    <w:rsid w:val="00982B4D"/>
    <w:rsid w:val="009859C9"/>
    <w:rsid w:val="00985A22"/>
    <w:rsid w:val="00985B37"/>
    <w:rsid w:val="009865DB"/>
    <w:rsid w:val="00986A89"/>
    <w:rsid w:val="00987B47"/>
    <w:rsid w:val="009910CE"/>
    <w:rsid w:val="00994000"/>
    <w:rsid w:val="009951DB"/>
    <w:rsid w:val="009A1E77"/>
    <w:rsid w:val="009A4BB1"/>
    <w:rsid w:val="009A4D48"/>
    <w:rsid w:val="009A5373"/>
    <w:rsid w:val="009A5D5E"/>
    <w:rsid w:val="009A5FCA"/>
    <w:rsid w:val="009A62BC"/>
    <w:rsid w:val="009B0139"/>
    <w:rsid w:val="009B046C"/>
    <w:rsid w:val="009B0480"/>
    <w:rsid w:val="009B122A"/>
    <w:rsid w:val="009B1C56"/>
    <w:rsid w:val="009B23D4"/>
    <w:rsid w:val="009B287F"/>
    <w:rsid w:val="009B320B"/>
    <w:rsid w:val="009B36CA"/>
    <w:rsid w:val="009B383F"/>
    <w:rsid w:val="009B62C3"/>
    <w:rsid w:val="009B74DA"/>
    <w:rsid w:val="009B7881"/>
    <w:rsid w:val="009B7A81"/>
    <w:rsid w:val="009C0E83"/>
    <w:rsid w:val="009C11D6"/>
    <w:rsid w:val="009C1D85"/>
    <w:rsid w:val="009C2396"/>
    <w:rsid w:val="009C26A4"/>
    <w:rsid w:val="009C271D"/>
    <w:rsid w:val="009C2EBF"/>
    <w:rsid w:val="009C4BAC"/>
    <w:rsid w:val="009D00CB"/>
    <w:rsid w:val="009D0E59"/>
    <w:rsid w:val="009D2DC7"/>
    <w:rsid w:val="009D301F"/>
    <w:rsid w:val="009D4613"/>
    <w:rsid w:val="009D46AB"/>
    <w:rsid w:val="009D71EE"/>
    <w:rsid w:val="009D7BC6"/>
    <w:rsid w:val="009D7C05"/>
    <w:rsid w:val="009E1C94"/>
    <w:rsid w:val="009E1F16"/>
    <w:rsid w:val="009E2663"/>
    <w:rsid w:val="009E2706"/>
    <w:rsid w:val="009E2754"/>
    <w:rsid w:val="009E3746"/>
    <w:rsid w:val="009F10DE"/>
    <w:rsid w:val="009F2325"/>
    <w:rsid w:val="009F3886"/>
    <w:rsid w:val="009F4BCF"/>
    <w:rsid w:val="009F6962"/>
    <w:rsid w:val="009F703C"/>
    <w:rsid w:val="009F7263"/>
    <w:rsid w:val="00A04393"/>
    <w:rsid w:val="00A05AE5"/>
    <w:rsid w:val="00A07020"/>
    <w:rsid w:val="00A0707E"/>
    <w:rsid w:val="00A07187"/>
    <w:rsid w:val="00A071D8"/>
    <w:rsid w:val="00A0730F"/>
    <w:rsid w:val="00A07682"/>
    <w:rsid w:val="00A1097B"/>
    <w:rsid w:val="00A109EC"/>
    <w:rsid w:val="00A11A4E"/>
    <w:rsid w:val="00A144A7"/>
    <w:rsid w:val="00A14B57"/>
    <w:rsid w:val="00A14B99"/>
    <w:rsid w:val="00A15C5C"/>
    <w:rsid w:val="00A15FC6"/>
    <w:rsid w:val="00A16F72"/>
    <w:rsid w:val="00A1708E"/>
    <w:rsid w:val="00A17248"/>
    <w:rsid w:val="00A17E54"/>
    <w:rsid w:val="00A20179"/>
    <w:rsid w:val="00A23564"/>
    <w:rsid w:val="00A256D6"/>
    <w:rsid w:val="00A266C5"/>
    <w:rsid w:val="00A27237"/>
    <w:rsid w:val="00A27C1B"/>
    <w:rsid w:val="00A32048"/>
    <w:rsid w:val="00A32499"/>
    <w:rsid w:val="00A33B33"/>
    <w:rsid w:val="00A3481F"/>
    <w:rsid w:val="00A350ED"/>
    <w:rsid w:val="00A35384"/>
    <w:rsid w:val="00A36EB2"/>
    <w:rsid w:val="00A40A01"/>
    <w:rsid w:val="00A40ACC"/>
    <w:rsid w:val="00A41584"/>
    <w:rsid w:val="00A41BBA"/>
    <w:rsid w:val="00A420F5"/>
    <w:rsid w:val="00A42F5D"/>
    <w:rsid w:val="00A43080"/>
    <w:rsid w:val="00A43B47"/>
    <w:rsid w:val="00A44911"/>
    <w:rsid w:val="00A45EBA"/>
    <w:rsid w:val="00A4674F"/>
    <w:rsid w:val="00A50902"/>
    <w:rsid w:val="00A50B75"/>
    <w:rsid w:val="00A52BF6"/>
    <w:rsid w:val="00A52D05"/>
    <w:rsid w:val="00A530E9"/>
    <w:rsid w:val="00A54C24"/>
    <w:rsid w:val="00A550CF"/>
    <w:rsid w:val="00A57E50"/>
    <w:rsid w:val="00A628AF"/>
    <w:rsid w:val="00A63B2C"/>
    <w:rsid w:val="00A63B34"/>
    <w:rsid w:val="00A65D21"/>
    <w:rsid w:val="00A704D7"/>
    <w:rsid w:val="00A71F8B"/>
    <w:rsid w:val="00A729A4"/>
    <w:rsid w:val="00A72A1B"/>
    <w:rsid w:val="00A7342F"/>
    <w:rsid w:val="00A73519"/>
    <w:rsid w:val="00A73660"/>
    <w:rsid w:val="00A74634"/>
    <w:rsid w:val="00A7645F"/>
    <w:rsid w:val="00A80684"/>
    <w:rsid w:val="00A80ADF"/>
    <w:rsid w:val="00A82823"/>
    <w:rsid w:val="00A83C91"/>
    <w:rsid w:val="00A8439B"/>
    <w:rsid w:val="00A84E87"/>
    <w:rsid w:val="00A8624C"/>
    <w:rsid w:val="00A864E1"/>
    <w:rsid w:val="00A87061"/>
    <w:rsid w:val="00A9164D"/>
    <w:rsid w:val="00A91AB7"/>
    <w:rsid w:val="00A92183"/>
    <w:rsid w:val="00A938ED"/>
    <w:rsid w:val="00A941F2"/>
    <w:rsid w:val="00A94BDA"/>
    <w:rsid w:val="00A94C41"/>
    <w:rsid w:val="00A94DFA"/>
    <w:rsid w:val="00A97218"/>
    <w:rsid w:val="00A979E2"/>
    <w:rsid w:val="00AA0462"/>
    <w:rsid w:val="00AA04A0"/>
    <w:rsid w:val="00AA12C8"/>
    <w:rsid w:val="00AA35A1"/>
    <w:rsid w:val="00AA4FAA"/>
    <w:rsid w:val="00AA5AD2"/>
    <w:rsid w:val="00AA7902"/>
    <w:rsid w:val="00AB004E"/>
    <w:rsid w:val="00AB0B0A"/>
    <w:rsid w:val="00AB0CDE"/>
    <w:rsid w:val="00AB1643"/>
    <w:rsid w:val="00AB525B"/>
    <w:rsid w:val="00AB56AA"/>
    <w:rsid w:val="00AB6AB3"/>
    <w:rsid w:val="00AB76B3"/>
    <w:rsid w:val="00AC08F8"/>
    <w:rsid w:val="00AC2CEE"/>
    <w:rsid w:val="00AC34FD"/>
    <w:rsid w:val="00AC3823"/>
    <w:rsid w:val="00AC7702"/>
    <w:rsid w:val="00AD2C45"/>
    <w:rsid w:val="00AD3BBC"/>
    <w:rsid w:val="00AD3FD8"/>
    <w:rsid w:val="00AD4AF3"/>
    <w:rsid w:val="00AD4D0A"/>
    <w:rsid w:val="00AD4F6B"/>
    <w:rsid w:val="00AD7A33"/>
    <w:rsid w:val="00AE0014"/>
    <w:rsid w:val="00AE0C95"/>
    <w:rsid w:val="00AE1619"/>
    <w:rsid w:val="00AE1B49"/>
    <w:rsid w:val="00AE1E9E"/>
    <w:rsid w:val="00AE1F14"/>
    <w:rsid w:val="00AE2E70"/>
    <w:rsid w:val="00AE3E40"/>
    <w:rsid w:val="00AE6CA3"/>
    <w:rsid w:val="00AE72CC"/>
    <w:rsid w:val="00AE7CBF"/>
    <w:rsid w:val="00AF01F5"/>
    <w:rsid w:val="00AF1414"/>
    <w:rsid w:val="00AF1DCD"/>
    <w:rsid w:val="00AF2AD0"/>
    <w:rsid w:val="00AF2C4C"/>
    <w:rsid w:val="00AF3336"/>
    <w:rsid w:val="00AF4579"/>
    <w:rsid w:val="00AF5682"/>
    <w:rsid w:val="00AF760E"/>
    <w:rsid w:val="00AF78D6"/>
    <w:rsid w:val="00B00949"/>
    <w:rsid w:val="00B011F9"/>
    <w:rsid w:val="00B0197E"/>
    <w:rsid w:val="00B01E81"/>
    <w:rsid w:val="00B0435F"/>
    <w:rsid w:val="00B04766"/>
    <w:rsid w:val="00B0601D"/>
    <w:rsid w:val="00B06DF0"/>
    <w:rsid w:val="00B071E5"/>
    <w:rsid w:val="00B079A7"/>
    <w:rsid w:val="00B10DB9"/>
    <w:rsid w:val="00B11C9E"/>
    <w:rsid w:val="00B11DF8"/>
    <w:rsid w:val="00B15D82"/>
    <w:rsid w:val="00B17A76"/>
    <w:rsid w:val="00B2056A"/>
    <w:rsid w:val="00B20D4C"/>
    <w:rsid w:val="00B231D9"/>
    <w:rsid w:val="00B23473"/>
    <w:rsid w:val="00B23AE4"/>
    <w:rsid w:val="00B24C4E"/>
    <w:rsid w:val="00B252A7"/>
    <w:rsid w:val="00B26BC4"/>
    <w:rsid w:val="00B271C5"/>
    <w:rsid w:val="00B303DD"/>
    <w:rsid w:val="00B34854"/>
    <w:rsid w:val="00B34BE7"/>
    <w:rsid w:val="00B3678C"/>
    <w:rsid w:val="00B37C3E"/>
    <w:rsid w:val="00B37E4B"/>
    <w:rsid w:val="00B40D0D"/>
    <w:rsid w:val="00B40EAB"/>
    <w:rsid w:val="00B4119B"/>
    <w:rsid w:val="00B41B3F"/>
    <w:rsid w:val="00B42417"/>
    <w:rsid w:val="00B42880"/>
    <w:rsid w:val="00B440D9"/>
    <w:rsid w:val="00B45060"/>
    <w:rsid w:val="00B45447"/>
    <w:rsid w:val="00B473EC"/>
    <w:rsid w:val="00B4784C"/>
    <w:rsid w:val="00B47940"/>
    <w:rsid w:val="00B47B6B"/>
    <w:rsid w:val="00B47C7E"/>
    <w:rsid w:val="00B50946"/>
    <w:rsid w:val="00B50C3E"/>
    <w:rsid w:val="00B511B6"/>
    <w:rsid w:val="00B512E6"/>
    <w:rsid w:val="00B5326E"/>
    <w:rsid w:val="00B53AB1"/>
    <w:rsid w:val="00B605C6"/>
    <w:rsid w:val="00B608E6"/>
    <w:rsid w:val="00B63DE0"/>
    <w:rsid w:val="00B650E2"/>
    <w:rsid w:val="00B65FB4"/>
    <w:rsid w:val="00B70B72"/>
    <w:rsid w:val="00B715B4"/>
    <w:rsid w:val="00B718D2"/>
    <w:rsid w:val="00B73CA9"/>
    <w:rsid w:val="00B7599B"/>
    <w:rsid w:val="00B75AFF"/>
    <w:rsid w:val="00B765CA"/>
    <w:rsid w:val="00B772BD"/>
    <w:rsid w:val="00B77DF7"/>
    <w:rsid w:val="00B77E4C"/>
    <w:rsid w:val="00B82CC5"/>
    <w:rsid w:val="00B851A8"/>
    <w:rsid w:val="00B856DA"/>
    <w:rsid w:val="00B8618F"/>
    <w:rsid w:val="00B8765D"/>
    <w:rsid w:val="00B91BC6"/>
    <w:rsid w:val="00B93245"/>
    <w:rsid w:val="00B96371"/>
    <w:rsid w:val="00B97B4C"/>
    <w:rsid w:val="00BA1261"/>
    <w:rsid w:val="00BA1F76"/>
    <w:rsid w:val="00BA2559"/>
    <w:rsid w:val="00BA46C4"/>
    <w:rsid w:val="00BA49FE"/>
    <w:rsid w:val="00BA5442"/>
    <w:rsid w:val="00BA5DC1"/>
    <w:rsid w:val="00BA6C3B"/>
    <w:rsid w:val="00BB0119"/>
    <w:rsid w:val="00BB0F4E"/>
    <w:rsid w:val="00BB1F92"/>
    <w:rsid w:val="00BB2D8B"/>
    <w:rsid w:val="00BB372A"/>
    <w:rsid w:val="00BB42EF"/>
    <w:rsid w:val="00BB5D7F"/>
    <w:rsid w:val="00BB758B"/>
    <w:rsid w:val="00BC09B3"/>
    <w:rsid w:val="00BC1563"/>
    <w:rsid w:val="00BC1DD2"/>
    <w:rsid w:val="00BC3136"/>
    <w:rsid w:val="00BC4A00"/>
    <w:rsid w:val="00BC5571"/>
    <w:rsid w:val="00BC5676"/>
    <w:rsid w:val="00BC689E"/>
    <w:rsid w:val="00BC7666"/>
    <w:rsid w:val="00BD1BBA"/>
    <w:rsid w:val="00BD1E7E"/>
    <w:rsid w:val="00BD2346"/>
    <w:rsid w:val="00BD2FF4"/>
    <w:rsid w:val="00BD3B34"/>
    <w:rsid w:val="00BD5D70"/>
    <w:rsid w:val="00BD66E6"/>
    <w:rsid w:val="00BD782E"/>
    <w:rsid w:val="00BE0BC7"/>
    <w:rsid w:val="00BE1885"/>
    <w:rsid w:val="00BE30DE"/>
    <w:rsid w:val="00BE395B"/>
    <w:rsid w:val="00BE47F4"/>
    <w:rsid w:val="00BE5B4B"/>
    <w:rsid w:val="00BE5D9B"/>
    <w:rsid w:val="00BE67C3"/>
    <w:rsid w:val="00BE68D6"/>
    <w:rsid w:val="00BE7434"/>
    <w:rsid w:val="00BF0682"/>
    <w:rsid w:val="00BF1147"/>
    <w:rsid w:val="00BF23D2"/>
    <w:rsid w:val="00BF349C"/>
    <w:rsid w:val="00BF3831"/>
    <w:rsid w:val="00BF4BB3"/>
    <w:rsid w:val="00BF57F0"/>
    <w:rsid w:val="00BF6A10"/>
    <w:rsid w:val="00C010A7"/>
    <w:rsid w:val="00C015DC"/>
    <w:rsid w:val="00C045E9"/>
    <w:rsid w:val="00C048DB"/>
    <w:rsid w:val="00C06A3F"/>
    <w:rsid w:val="00C143F4"/>
    <w:rsid w:val="00C14DDD"/>
    <w:rsid w:val="00C16717"/>
    <w:rsid w:val="00C16FD9"/>
    <w:rsid w:val="00C173CA"/>
    <w:rsid w:val="00C173F7"/>
    <w:rsid w:val="00C176D2"/>
    <w:rsid w:val="00C17CC6"/>
    <w:rsid w:val="00C20009"/>
    <w:rsid w:val="00C20168"/>
    <w:rsid w:val="00C239AF"/>
    <w:rsid w:val="00C25E62"/>
    <w:rsid w:val="00C27682"/>
    <w:rsid w:val="00C30E54"/>
    <w:rsid w:val="00C31CF6"/>
    <w:rsid w:val="00C34016"/>
    <w:rsid w:val="00C354EB"/>
    <w:rsid w:val="00C40A1F"/>
    <w:rsid w:val="00C41902"/>
    <w:rsid w:val="00C41ABA"/>
    <w:rsid w:val="00C42388"/>
    <w:rsid w:val="00C42715"/>
    <w:rsid w:val="00C4285D"/>
    <w:rsid w:val="00C44809"/>
    <w:rsid w:val="00C44C22"/>
    <w:rsid w:val="00C45CB9"/>
    <w:rsid w:val="00C465B1"/>
    <w:rsid w:val="00C46878"/>
    <w:rsid w:val="00C46BCC"/>
    <w:rsid w:val="00C47F76"/>
    <w:rsid w:val="00C510C2"/>
    <w:rsid w:val="00C5224B"/>
    <w:rsid w:val="00C52979"/>
    <w:rsid w:val="00C52F6D"/>
    <w:rsid w:val="00C539F0"/>
    <w:rsid w:val="00C5414D"/>
    <w:rsid w:val="00C54D6B"/>
    <w:rsid w:val="00C55E62"/>
    <w:rsid w:val="00C55FD0"/>
    <w:rsid w:val="00C562BF"/>
    <w:rsid w:val="00C56FD7"/>
    <w:rsid w:val="00C60878"/>
    <w:rsid w:val="00C625DD"/>
    <w:rsid w:val="00C65414"/>
    <w:rsid w:val="00C70920"/>
    <w:rsid w:val="00C70D92"/>
    <w:rsid w:val="00C7109F"/>
    <w:rsid w:val="00C7150E"/>
    <w:rsid w:val="00C72E70"/>
    <w:rsid w:val="00C73799"/>
    <w:rsid w:val="00C73D50"/>
    <w:rsid w:val="00C75012"/>
    <w:rsid w:val="00C75F13"/>
    <w:rsid w:val="00C763C6"/>
    <w:rsid w:val="00C76493"/>
    <w:rsid w:val="00C76C27"/>
    <w:rsid w:val="00C77B17"/>
    <w:rsid w:val="00C8019E"/>
    <w:rsid w:val="00C80AF1"/>
    <w:rsid w:val="00C814D9"/>
    <w:rsid w:val="00C821F5"/>
    <w:rsid w:val="00C8280E"/>
    <w:rsid w:val="00C83FA6"/>
    <w:rsid w:val="00C843B2"/>
    <w:rsid w:val="00C850B6"/>
    <w:rsid w:val="00C85712"/>
    <w:rsid w:val="00C86045"/>
    <w:rsid w:val="00C8665D"/>
    <w:rsid w:val="00C86A46"/>
    <w:rsid w:val="00C8763F"/>
    <w:rsid w:val="00C90549"/>
    <w:rsid w:val="00C90FB6"/>
    <w:rsid w:val="00C921DF"/>
    <w:rsid w:val="00C938D8"/>
    <w:rsid w:val="00C93E8E"/>
    <w:rsid w:val="00C944E7"/>
    <w:rsid w:val="00C95534"/>
    <w:rsid w:val="00C95555"/>
    <w:rsid w:val="00C95F6B"/>
    <w:rsid w:val="00C96658"/>
    <w:rsid w:val="00C96749"/>
    <w:rsid w:val="00CA0FB3"/>
    <w:rsid w:val="00CA3412"/>
    <w:rsid w:val="00CA49B1"/>
    <w:rsid w:val="00CA4F7B"/>
    <w:rsid w:val="00CA691E"/>
    <w:rsid w:val="00CA69BC"/>
    <w:rsid w:val="00CA6EEC"/>
    <w:rsid w:val="00CA7229"/>
    <w:rsid w:val="00CA7E20"/>
    <w:rsid w:val="00CB07CD"/>
    <w:rsid w:val="00CB139E"/>
    <w:rsid w:val="00CB2334"/>
    <w:rsid w:val="00CB3899"/>
    <w:rsid w:val="00CB3DC0"/>
    <w:rsid w:val="00CB4136"/>
    <w:rsid w:val="00CB4C5C"/>
    <w:rsid w:val="00CB4F87"/>
    <w:rsid w:val="00CB573E"/>
    <w:rsid w:val="00CB7C52"/>
    <w:rsid w:val="00CB7D84"/>
    <w:rsid w:val="00CC11B8"/>
    <w:rsid w:val="00CC2555"/>
    <w:rsid w:val="00CC38FF"/>
    <w:rsid w:val="00CC4C68"/>
    <w:rsid w:val="00CC576D"/>
    <w:rsid w:val="00CC61A0"/>
    <w:rsid w:val="00CC6C74"/>
    <w:rsid w:val="00CC71D1"/>
    <w:rsid w:val="00CC7DAD"/>
    <w:rsid w:val="00CD1315"/>
    <w:rsid w:val="00CD2F8C"/>
    <w:rsid w:val="00CD3BE9"/>
    <w:rsid w:val="00CD48D5"/>
    <w:rsid w:val="00CD55A0"/>
    <w:rsid w:val="00CD5EE9"/>
    <w:rsid w:val="00CD72FB"/>
    <w:rsid w:val="00CE04D9"/>
    <w:rsid w:val="00CE2263"/>
    <w:rsid w:val="00CE304C"/>
    <w:rsid w:val="00CE6956"/>
    <w:rsid w:val="00CE722D"/>
    <w:rsid w:val="00CE782C"/>
    <w:rsid w:val="00CE7C72"/>
    <w:rsid w:val="00CF0F40"/>
    <w:rsid w:val="00CF1A54"/>
    <w:rsid w:val="00CF20FD"/>
    <w:rsid w:val="00CF2AD9"/>
    <w:rsid w:val="00CF3097"/>
    <w:rsid w:val="00CF3442"/>
    <w:rsid w:val="00CF3BA4"/>
    <w:rsid w:val="00CF3E33"/>
    <w:rsid w:val="00CF3F4C"/>
    <w:rsid w:val="00CF41F4"/>
    <w:rsid w:val="00CF5DDA"/>
    <w:rsid w:val="00CF63EB"/>
    <w:rsid w:val="00CF6915"/>
    <w:rsid w:val="00D008ED"/>
    <w:rsid w:val="00D00CC7"/>
    <w:rsid w:val="00D01766"/>
    <w:rsid w:val="00D02802"/>
    <w:rsid w:val="00D03465"/>
    <w:rsid w:val="00D054A2"/>
    <w:rsid w:val="00D05578"/>
    <w:rsid w:val="00D07360"/>
    <w:rsid w:val="00D11825"/>
    <w:rsid w:val="00D11BF8"/>
    <w:rsid w:val="00D124F9"/>
    <w:rsid w:val="00D12AEB"/>
    <w:rsid w:val="00D13800"/>
    <w:rsid w:val="00D142B2"/>
    <w:rsid w:val="00D1440E"/>
    <w:rsid w:val="00D148CE"/>
    <w:rsid w:val="00D15494"/>
    <w:rsid w:val="00D15AA5"/>
    <w:rsid w:val="00D1799E"/>
    <w:rsid w:val="00D17C2F"/>
    <w:rsid w:val="00D2098C"/>
    <w:rsid w:val="00D223EB"/>
    <w:rsid w:val="00D225AC"/>
    <w:rsid w:val="00D22830"/>
    <w:rsid w:val="00D234A6"/>
    <w:rsid w:val="00D2376D"/>
    <w:rsid w:val="00D23E55"/>
    <w:rsid w:val="00D24403"/>
    <w:rsid w:val="00D244FB"/>
    <w:rsid w:val="00D248EF"/>
    <w:rsid w:val="00D24AF2"/>
    <w:rsid w:val="00D25722"/>
    <w:rsid w:val="00D27182"/>
    <w:rsid w:val="00D279F2"/>
    <w:rsid w:val="00D3234B"/>
    <w:rsid w:val="00D32B11"/>
    <w:rsid w:val="00D33210"/>
    <w:rsid w:val="00D33B9C"/>
    <w:rsid w:val="00D35DF3"/>
    <w:rsid w:val="00D37D26"/>
    <w:rsid w:val="00D37E5D"/>
    <w:rsid w:val="00D37EAE"/>
    <w:rsid w:val="00D4103C"/>
    <w:rsid w:val="00D41E4A"/>
    <w:rsid w:val="00D41FAA"/>
    <w:rsid w:val="00D422E3"/>
    <w:rsid w:val="00D436C9"/>
    <w:rsid w:val="00D506CF"/>
    <w:rsid w:val="00D51950"/>
    <w:rsid w:val="00D54676"/>
    <w:rsid w:val="00D54AD2"/>
    <w:rsid w:val="00D54B26"/>
    <w:rsid w:val="00D56482"/>
    <w:rsid w:val="00D568F8"/>
    <w:rsid w:val="00D56AEF"/>
    <w:rsid w:val="00D60585"/>
    <w:rsid w:val="00D6142C"/>
    <w:rsid w:val="00D6254B"/>
    <w:rsid w:val="00D63518"/>
    <w:rsid w:val="00D63B4A"/>
    <w:rsid w:val="00D64C10"/>
    <w:rsid w:val="00D653C6"/>
    <w:rsid w:val="00D67AD8"/>
    <w:rsid w:val="00D713EA"/>
    <w:rsid w:val="00D72EC5"/>
    <w:rsid w:val="00D7310E"/>
    <w:rsid w:val="00D753ED"/>
    <w:rsid w:val="00D753F8"/>
    <w:rsid w:val="00D75C50"/>
    <w:rsid w:val="00D765D8"/>
    <w:rsid w:val="00D76F45"/>
    <w:rsid w:val="00D76F97"/>
    <w:rsid w:val="00D8026D"/>
    <w:rsid w:val="00D807C1"/>
    <w:rsid w:val="00D849A9"/>
    <w:rsid w:val="00D851C5"/>
    <w:rsid w:val="00D85B70"/>
    <w:rsid w:val="00D86248"/>
    <w:rsid w:val="00D866CA"/>
    <w:rsid w:val="00D9045E"/>
    <w:rsid w:val="00D91687"/>
    <w:rsid w:val="00D93BBE"/>
    <w:rsid w:val="00D94501"/>
    <w:rsid w:val="00D95A4C"/>
    <w:rsid w:val="00DA30C7"/>
    <w:rsid w:val="00DA349F"/>
    <w:rsid w:val="00DA6574"/>
    <w:rsid w:val="00DA6F3F"/>
    <w:rsid w:val="00DB15EE"/>
    <w:rsid w:val="00DB181C"/>
    <w:rsid w:val="00DB2A50"/>
    <w:rsid w:val="00DB2E40"/>
    <w:rsid w:val="00DB3F4F"/>
    <w:rsid w:val="00DB499A"/>
    <w:rsid w:val="00DB53EB"/>
    <w:rsid w:val="00DB6498"/>
    <w:rsid w:val="00DB67C5"/>
    <w:rsid w:val="00DB685D"/>
    <w:rsid w:val="00DB6A78"/>
    <w:rsid w:val="00DB78F7"/>
    <w:rsid w:val="00DC3F91"/>
    <w:rsid w:val="00DC48F2"/>
    <w:rsid w:val="00DC58E1"/>
    <w:rsid w:val="00DC7215"/>
    <w:rsid w:val="00DD0C1E"/>
    <w:rsid w:val="00DD0DD8"/>
    <w:rsid w:val="00DD1419"/>
    <w:rsid w:val="00DD15B6"/>
    <w:rsid w:val="00DD1B5C"/>
    <w:rsid w:val="00DD707B"/>
    <w:rsid w:val="00DD7384"/>
    <w:rsid w:val="00DD74BE"/>
    <w:rsid w:val="00DE083F"/>
    <w:rsid w:val="00DE1DC5"/>
    <w:rsid w:val="00DE3E87"/>
    <w:rsid w:val="00DE53D8"/>
    <w:rsid w:val="00DE6121"/>
    <w:rsid w:val="00DE7675"/>
    <w:rsid w:val="00DF07AB"/>
    <w:rsid w:val="00DF2074"/>
    <w:rsid w:val="00DF2366"/>
    <w:rsid w:val="00DF2716"/>
    <w:rsid w:val="00DF302A"/>
    <w:rsid w:val="00DF3BCD"/>
    <w:rsid w:val="00DF40C8"/>
    <w:rsid w:val="00DF54A7"/>
    <w:rsid w:val="00DF61D9"/>
    <w:rsid w:val="00DF733C"/>
    <w:rsid w:val="00DF7544"/>
    <w:rsid w:val="00DF7DD6"/>
    <w:rsid w:val="00DF7F14"/>
    <w:rsid w:val="00E0011C"/>
    <w:rsid w:val="00E001B4"/>
    <w:rsid w:val="00E0057B"/>
    <w:rsid w:val="00E016A6"/>
    <w:rsid w:val="00E0173C"/>
    <w:rsid w:val="00E01884"/>
    <w:rsid w:val="00E0201D"/>
    <w:rsid w:val="00E0307B"/>
    <w:rsid w:val="00E04940"/>
    <w:rsid w:val="00E053D2"/>
    <w:rsid w:val="00E055D7"/>
    <w:rsid w:val="00E0607C"/>
    <w:rsid w:val="00E0647C"/>
    <w:rsid w:val="00E06845"/>
    <w:rsid w:val="00E0696A"/>
    <w:rsid w:val="00E069DE"/>
    <w:rsid w:val="00E06C94"/>
    <w:rsid w:val="00E07CD1"/>
    <w:rsid w:val="00E07F6A"/>
    <w:rsid w:val="00E07F7B"/>
    <w:rsid w:val="00E10890"/>
    <w:rsid w:val="00E11565"/>
    <w:rsid w:val="00E14CF2"/>
    <w:rsid w:val="00E15BF1"/>
    <w:rsid w:val="00E15C5B"/>
    <w:rsid w:val="00E20E96"/>
    <w:rsid w:val="00E21217"/>
    <w:rsid w:val="00E25B24"/>
    <w:rsid w:val="00E2616F"/>
    <w:rsid w:val="00E27352"/>
    <w:rsid w:val="00E326B6"/>
    <w:rsid w:val="00E32CC1"/>
    <w:rsid w:val="00E33041"/>
    <w:rsid w:val="00E34127"/>
    <w:rsid w:val="00E34361"/>
    <w:rsid w:val="00E34D75"/>
    <w:rsid w:val="00E35DFC"/>
    <w:rsid w:val="00E36A96"/>
    <w:rsid w:val="00E36C59"/>
    <w:rsid w:val="00E36FE4"/>
    <w:rsid w:val="00E375B1"/>
    <w:rsid w:val="00E37935"/>
    <w:rsid w:val="00E43504"/>
    <w:rsid w:val="00E44060"/>
    <w:rsid w:val="00E45650"/>
    <w:rsid w:val="00E4579E"/>
    <w:rsid w:val="00E46C03"/>
    <w:rsid w:val="00E51913"/>
    <w:rsid w:val="00E51C74"/>
    <w:rsid w:val="00E54D9E"/>
    <w:rsid w:val="00E54E73"/>
    <w:rsid w:val="00E5594A"/>
    <w:rsid w:val="00E55FD8"/>
    <w:rsid w:val="00E56B19"/>
    <w:rsid w:val="00E6000D"/>
    <w:rsid w:val="00E6165E"/>
    <w:rsid w:val="00E61DF7"/>
    <w:rsid w:val="00E66076"/>
    <w:rsid w:val="00E701D0"/>
    <w:rsid w:val="00E716F0"/>
    <w:rsid w:val="00E71ED3"/>
    <w:rsid w:val="00E71F1D"/>
    <w:rsid w:val="00E72A69"/>
    <w:rsid w:val="00E72C72"/>
    <w:rsid w:val="00E73075"/>
    <w:rsid w:val="00E73907"/>
    <w:rsid w:val="00E765D3"/>
    <w:rsid w:val="00E765E9"/>
    <w:rsid w:val="00E76CE0"/>
    <w:rsid w:val="00E77E02"/>
    <w:rsid w:val="00E806BC"/>
    <w:rsid w:val="00E80919"/>
    <w:rsid w:val="00E84BDB"/>
    <w:rsid w:val="00E85AED"/>
    <w:rsid w:val="00E85FDE"/>
    <w:rsid w:val="00E86334"/>
    <w:rsid w:val="00E86ACC"/>
    <w:rsid w:val="00E8740C"/>
    <w:rsid w:val="00E9046F"/>
    <w:rsid w:val="00E9257E"/>
    <w:rsid w:val="00E92D51"/>
    <w:rsid w:val="00E92D62"/>
    <w:rsid w:val="00E932CC"/>
    <w:rsid w:val="00E93846"/>
    <w:rsid w:val="00E94723"/>
    <w:rsid w:val="00E951C0"/>
    <w:rsid w:val="00E973AC"/>
    <w:rsid w:val="00E97DEA"/>
    <w:rsid w:val="00E97E89"/>
    <w:rsid w:val="00EA0562"/>
    <w:rsid w:val="00EA177F"/>
    <w:rsid w:val="00EA5364"/>
    <w:rsid w:val="00EA589C"/>
    <w:rsid w:val="00EA5C15"/>
    <w:rsid w:val="00EA63D9"/>
    <w:rsid w:val="00EA6877"/>
    <w:rsid w:val="00EA7C07"/>
    <w:rsid w:val="00EB0115"/>
    <w:rsid w:val="00EB2071"/>
    <w:rsid w:val="00EB3372"/>
    <w:rsid w:val="00EB3A91"/>
    <w:rsid w:val="00EB4F15"/>
    <w:rsid w:val="00EB60B1"/>
    <w:rsid w:val="00EB63FE"/>
    <w:rsid w:val="00EB7E7C"/>
    <w:rsid w:val="00EB7F18"/>
    <w:rsid w:val="00EC0FF2"/>
    <w:rsid w:val="00EC102F"/>
    <w:rsid w:val="00EC1382"/>
    <w:rsid w:val="00EC2145"/>
    <w:rsid w:val="00EC346D"/>
    <w:rsid w:val="00EC37BF"/>
    <w:rsid w:val="00EC39D3"/>
    <w:rsid w:val="00EC5F2B"/>
    <w:rsid w:val="00EC7F18"/>
    <w:rsid w:val="00ED11A7"/>
    <w:rsid w:val="00ED4244"/>
    <w:rsid w:val="00ED4A6A"/>
    <w:rsid w:val="00ED55BC"/>
    <w:rsid w:val="00ED6779"/>
    <w:rsid w:val="00ED727C"/>
    <w:rsid w:val="00EE0262"/>
    <w:rsid w:val="00EE0E26"/>
    <w:rsid w:val="00EE15A4"/>
    <w:rsid w:val="00EE309B"/>
    <w:rsid w:val="00EE4B23"/>
    <w:rsid w:val="00EE5976"/>
    <w:rsid w:val="00EF104D"/>
    <w:rsid w:val="00EF1AB0"/>
    <w:rsid w:val="00EF1AF6"/>
    <w:rsid w:val="00EF1FB2"/>
    <w:rsid w:val="00EF2595"/>
    <w:rsid w:val="00EF43C6"/>
    <w:rsid w:val="00EF6A83"/>
    <w:rsid w:val="00EF7B23"/>
    <w:rsid w:val="00F017A9"/>
    <w:rsid w:val="00F038A9"/>
    <w:rsid w:val="00F03FC1"/>
    <w:rsid w:val="00F05531"/>
    <w:rsid w:val="00F055F8"/>
    <w:rsid w:val="00F05F24"/>
    <w:rsid w:val="00F065A1"/>
    <w:rsid w:val="00F06B13"/>
    <w:rsid w:val="00F0780E"/>
    <w:rsid w:val="00F079ED"/>
    <w:rsid w:val="00F101A5"/>
    <w:rsid w:val="00F12B4F"/>
    <w:rsid w:val="00F13D4E"/>
    <w:rsid w:val="00F14DA5"/>
    <w:rsid w:val="00F15C16"/>
    <w:rsid w:val="00F160CC"/>
    <w:rsid w:val="00F2008B"/>
    <w:rsid w:val="00F219DC"/>
    <w:rsid w:val="00F21CEC"/>
    <w:rsid w:val="00F21FA4"/>
    <w:rsid w:val="00F22098"/>
    <w:rsid w:val="00F23F02"/>
    <w:rsid w:val="00F23FE9"/>
    <w:rsid w:val="00F2425E"/>
    <w:rsid w:val="00F25B68"/>
    <w:rsid w:val="00F2668C"/>
    <w:rsid w:val="00F273E5"/>
    <w:rsid w:val="00F32231"/>
    <w:rsid w:val="00F327BD"/>
    <w:rsid w:val="00F33195"/>
    <w:rsid w:val="00F358C6"/>
    <w:rsid w:val="00F35DC5"/>
    <w:rsid w:val="00F36601"/>
    <w:rsid w:val="00F36E10"/>
    <w:rsid w:val="00F37114"/>
    <w:rsid w:val="00F375D5"/>
    <w:rsid w:val="00F377FC"/>
    <w:rsid w:val="00F42973"/>
    <w:rsid w:val="00F4376B"/>
    <w:rsid w:val="00F442EE"/>
    <w:rsid w:val="00F44AC8"/>
    <w:rsid w:val="00F4550A"/>
    <w:rsid w:val="00F456FF"/>
    <w:rsid w:val="00F45A79"/>
    <w:rsid w:val="00F45B79"/>
    <w:rsid w:val="00F47833"/>
    <w:rsid w:val="00F47D02"/>
    <w:rsid w:val="00F47EFB"/>
    <w:rsid w:val="00F50CED"/>
    <w:rsid w:val="00F51EAF"/>
    <w:rsid w:val="00F5250D"/>
    <w:rsid w:val="00F52B8A"/>
    <w:rsid w:val="00F54301"/>
    <w:rsid w:val="00F543C2"/>
    <w:rsid w:val="00F54F74"/>
    <w:rsid w:val="00F5589B"/>
    <w:rsid w:val="00F5646B"/>
    <w:rsid w:val="00F564AF"/>
    <w:rsid w:val="00F60A0D"/>
    <w:rsid w:val="00F648BC"/>
    <w:rsid w:val="00F65C63"/>
    <w:rsid w:val="00F66881"/>
    <w:rsid w:val="00F67645"/>
    <w:rsid w:val="00F67686"/>
    <w:rsid w:val="00F67A2F"/>
    <w:rsid w:val="00F729F3"/>
    <w:rsid w:val="00F7311B"/>
    <w:rsid w:val="00F7358E"/>
    <w:rsid w:val="00F747E9"/>
    <w:rsid w:val="00F75B25"/>
    <w:rsid w:val="00F76C99"/>
    <w:rsid w:val="00F804A0"/>
    <w:rsid w:val="00F805AF"/>
    <w:rsid w:val="00F8212F"/>
    <w:rsid w:val="00F84BC7"/>
    <w:rsid w:val="00F84D44"/>
    <w:rsid w:val="00F84FEC"/>
    <w:rsid w:val="00F85E32"/>
    <w:rsid w:val="00F90453"/>
    <w:rsid w:val="00F9073C"/>
    <w:rsid w:val="00F90C54"/>
    <w:rsid w:val="00F92D3B"/>
    <w:rsid w:val="00F936A5"/>
    <w:rsid w:val="00F94EEA"/>
    <w:rsid w:val="00F95028"/>
    <w:rsid w:val="00F956B0"/>
    <w:rsid w:val="00F965BD"/>
    <w:rsid w:val="00F970D1"/>
    <w:rsid w:val="00FA0005"/>
    <w:rsid w:val="00FA0244"/>
    <w:rsid w:val="00FA207E"/>
    <w:rsid w:val="00FA2294"/>
    <w:rsid w:val="00FA24C1"/>
    <w:rsid w:val="00FA2790"/>
    <w:rsid w:val="00FA2CD1"/>
    <w:rsid w:val="00FA4F70"/>
    <w:rsid w:val="00FA59CA"/>
    <w:rsid w:val="00FA5F90"/>
    <w:rsid w:val="00FA7C14"/>
    <w:rsid w:val="00FA7D73"/>
    <w:rsid w:val="00FB1E9F"/>
    <w:rsid w:val="00FB3938"/>
    <w:rsid w:val="00FB5624"/>
    <w:rsid w:val="00FB6B1B"/>
    <w:rsid w:val="00FB6B5C"/>
    <w:rsid w:val="00FB7800"/>
    <w:rsid w:val="00FB7A04"/>
    <w:rsid w:val="00FC2245"/>
    <w:rsid w:val="00FC331A"/>
    <w:rsid w:val="00FC3E50"/>
    <w:rsid w:val="00FC40E5"/>
    <w:rsid w:val="00FC4760"/>
    <w:rsid w:val="00FC498E"/>
    <w:rsid w:val="00FC549D"/>
    <w:rsid w:val="00FC5A2B"/>
    <w:rsid w:val="00FC6EEA"/>
    <w:rsid w:val="00FD0471"/>
    <w:rsid w:val="00FD1088"/>
    <w:rsid w:val="00FD1CC4"/>
    <w:rsid w:val="00FD2549"/>
    <w:rsid w:val="00FD3EAE"/>
    <w:rsid w:val="00FD4BAD"/>
    <w:rsid w:val="00FE0B49"/>
    <w:rsid w:val="00FE2D21"/>
    <w:rsid w:val="00FE3604"/>
    <w:rsid w:val="00FE4527"/>
    <w:rsid w:val="00FE4B35"/>
    <w:rsid w:val="00FE6E1B"/>
    <w:rsid w:val="00FE7515"/>
    <w:rsid w:val="00FF03A3"/>
    <w:rsid w:val="00FF1221"/>
    <w:rsid w:val="00FF2FAD"/>
    <w:rsid w:val="00FF328B"/>
    <w:rsid w:val="00FF375A"/>
    <w:rsid w:val="00FF4BA9"/>
    <w:rsid w:val="00FF71FF"/>
    <w:rsid w:val="01CEC757"/>
    <w:rsid w:val="07DB7799"/>
    <w:rsid w:val="13765FC0"/>
    <w:rsid w:val="2CD68F7C"/>
    <w:rsid w:val="4CCF0F43"/>
    <w:rsid w:val="5F1BA04D"/>
    <w:rsid w:val="6FEBBFA4"/>
    <w:rsid w:val="7353E797"/>
    <w:rsid w:val="79FDB4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D1842"/>
  <w15:chartTrackingRefBased/>
  <w15:docId w15:val="{9F80503A-03C0-4DCA-A94D-189DC6D2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103"/>
  </w:style>
  <w:style w:type="paragraph" w:styleId="Heading1">
    <w:name w:val="heading 1"/>
    <w:basedOn w:val="Normal"/>
    <w:next w:val="Normal"/>
    <w:link w:val="Heading1Char"/>
    <w:uiPriority w:val="9"/>
    <w:qFormat/>
    <w:rsid w:val="00A11A4E"/>
    <w:pPr>
      <w:jc w:val="center"/>
      <w:outlineLvl w:val="0"/>
    </w:pPr>
    <w:rPr>
      <w:b/>
      <w:bCs/>
    </w:rPr>
  </w:style>
  <w:style w:type="paragraph" w:styleId="Heading2">
    <w:name w:val="heading 2"/>
    <w:basedOn w:val="ListParagraph"/>
    <w:next w:val="Normal"/>
    <w:link w:val="Heading2Char"/>
    <w:uiPriority w:val="9"/>
    <w:unhideWhenUsed/>
    <w:qFormat/>
    <w:rsid w:val="00A14B57"/>
    <w:pPr>
      <w:numPr>
        <w:numId w:val="8"/>
      </w:numPr>
      <w:spacing w:after="0" w:line="240" w:lineRule="auto"/>
      <w:outlineLvl w:val="1"/>
    </w:pPr>
    <w:rPr>
      <w:rFonts w:cstheme="minorHAnsi"/>
      <w:b/>
      <w:bCs/>
      <w:color w:val="2F5496" w:themeColor="accent1" w:themeShade="BF"/>
      <w:sz w:val="24"/>
      <w:szCs w:val="24"/>
    </w:rPr>
  </w:style>
  <w:style w:type="paragraph" w:styleId="Heading3">
    <w:name w:val="heading 3"/>
    <w:basedOn w:val="Normal"/>
    <w:next w:val="Normal"/>
    <w:link w:val="Heading3Char"/>
    <w:uiPriority w:val="9"/>
    <w:semiHidden/>
    <w:unhideWhenUsed/>
    <w:qFormat/>
    <w:rsid w:val="009A62B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31103"/>
    <w:pPr>
      <w:spacing w:after="0" w:line="240" w:lineRule="auto"/>
    </w:pPr>
    <w:rPr>
      <w:sz w:val="20"/>
      <w:szCs w:val="20"/>
    </w:rPr>
  </w:style>
  <w:style w:type="character" w:customStyle="1" w:styleId="FootnoteTextChar">
    <w:name w:val="Footnote Text Char"/>
    <w:basedOn w:val="DefaultParagraphFont"/>
    <w:link w:val="FootnoteText"/>
    <w:uiPriority w:val="99"/>
    <w:rsid w:val="00231103"/>
    <w:rPr>
      <w:sz w:val="20"/>
      <w:szCs w:val="20"/>
    </w:rPr>
  </w:style>
  <w:style w:type="character" w:styleId="FootnoteReference">
    <w:name w:val="footnote reference"/>
    <w:basedOn w:val="DefaultParagraphFont"/>
    <w:uiPriority w:val="99"/>
    <w:unhideWhenUsed/>
    <w:rsid w:val="00231103"/>
    <w:rPr>
      <w:vertAlign w:val="superscript"/>
    </w:rPr>
  </w:style>
  <w:style w:type="table" w:styleId="TableGrid">
    <w:name w:val="Table Grid"/>
    <w:basedOn w:val="TableNormal"/>
    <w:uiPriority w:val="59"/>
    <w:rsid w:val="00231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6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45C"/>
  </w:style>
  <w:style w:type="paragraph" w:styleId="NoSpacing">
    <w:name w:val="No Spacing"/>
    <w:uiPriority w:val="1"/>
    <w:qFormat/>
    <w:rsid w:val="0004645C"/>
    <w:pPr>
      <w:spacing w:after="0" w:line="240" w:lineRule="auto"/>
    </w:pPr>
  </w:style>
  <w:style w:type="paragraph" w:styleId="ListParagraph">
    <w:name w:val="List Paragraph"/>
    <w:basedOn w:val="Normal"/>
    <w:link w:val="ListParagraphChar"/>
    <w:uiPriority w:val="1"/>
    <w:qFormat/>
    <w:rsid w:val="00BB0F4E"/>
    <w:pPr>
      <w:ind w:left="720"/>
      <w:contextualSpacing/>
    </w:pPr>
  </w:style>
  <w:style w:type="character" w:styleId="CommentReference">
    <w:name w:val="annotation reference"/>
    <w:basedOn w:val="DefaultParagraphFont"/>
    <w:uiPriority w:val="99"/>
    <w:semiHidden/>
    <w:unhideWhenUsed/>
    <w:rsid w:val="008C1253"/>
    <w:rPr>
      <w:sz w:val="16"/>
      <w:szCs w:val="16"/>
    </w:rPr>
  </w:style>
  <w:style w:type="paragraph" w:styleId="CommentText">
    <w:name w:val="annotation text"/>
    <w:basedOn w:val="Normal"/>
    <w:link w:val="CommentTextChar"/>
    <w:uiPriority w:val="99"/>
    <w:unhideWhenUsed/>
    <w:rsid w:val="008C1253"/>
    <w:pPr>
      <w:spacing w:line="240" w:lineRule="auto"/>
    </w:pPr>
    <w:rPr>
      <w:sz w:val="20"/>
      <w:szCs w:val="20"/>
    </w:rPr>
  </w:style>
  <w:style w:type="character" w:customStyle="1" w:styleId="CommentTextChar">
    <w:name w:val="Comment Text Char"/>
    <w:basedOn w:val="DefaultParagraphFont"/>
    <w:link w:val="CommentText"/>
    <w:uiPriority w:val="99"/>
    <w:rsid w:val="008C1253"/>
    <w:rPr>
      <w:sz w:val="20"/>
      <w:szCs w:val="20"/>
    </w:rPr>
  </w:style>
  <w:style w:type="paragraph" w:styleId="CommentSubject">
    <w:name w:val="annotation subject"/>
    <w:basedOn w:val="CommentText"/>
    <w:next w:val="CommentText"/>
    <w:link w:val="CommentSubjectChar"/>
    <w:uiPriority w:val="99"/>
    <w:semiHidden/>
    <w:unhideWhenUsed/>
    <w:rsid w:val="008C1253"/>
    <w:rPr>
      <w:b/>
      <w:bCs/>
    </w:rPr>
  </w:style>
  <w:style w:type="character" w:customStyle="1" w:styleId="CommentSubjectChar">
    <w:name w:val="Comment Subject Char"/>
    <w:basedOn w:val="CommentTextChar"/>
    <w:link w:val="CommentSubject"/>
    <w:uiPriority w:val="99"/>
    <w:semiHidden/>
    <w:rsid w:val="008C1253"/>
    <w:rPr>
      <w:b/>
      <w:bCs/>
      <w:sz w:val="20"/>
      <w:szCs w:val="20"/>
    </w:rPr>
  </w:style>
  <w:style w:type="character" w:styleId="Hyperlink">
    <w:name w:val="Hyperlink"/>
    <w:basedOn w:val="DefaultParagraphFont"/>
    <w:uiPriority w:val="99"/>
    <w:unhideWhenUsed/>
    <w:rsid w:val="00D223EB"/>
    <w:rPr>
      <w:color w:val="0563C1" w:themeColor="hyperlink"/>
      <w:u w:val="single"/>
    </w:rPr>
  </w:style>
  <w:style w:type="paragraph" w:styleId="Footer">
    <w:name w:val="footer"/>
    <w:basedOn w:val="Normal"/>
    <w:link w:val="FooterChar"/>
    <w:uiPriority w:val="99"/>
    <w:unhideWhenUsed/>
    <w:rsid w:val="00D22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3EB"/>
  </w:style>
  <w:style w:type="paragraph" w:styleId="BalloonText">
    <w:name w:val="Balloon Text"/>
    <w:basedOn w:val="Normal"/>
    <w:link w:val="BalloonTextChar"/>
    <w:uiPriority w:val="99"/>
    <w:semiHidden/>
    <w:unhideWhenUsed/>
    <w:rsid w:val="00567A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A48"/>
    <w:rPr>
      <w:rFonts w:ascii="Segoe UI" w:hAnsi="Segoe UI" w:cs="Segoe UI"/>
      <w:sz w:val="18"/>
      <w:szCs w:val="18"/>
    </w:rPr>
  </w:style>
  <w:style w:type="paragraph" w:styleId="NormalWeb">
    <w:name w:val="Normal (Web)"/>
    <w:basedOn w:val="Normal"/>
    <w:uiPriority w:val="99"/>
    <w:semiHidden/>
    <w:unhideWhenUsed/>
    <w:rsid w:val="00055F9E"/>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E0307B"/>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E0307B"/>
    <w:rPr>
      <w:rFonts w:ascii="Calibri" w:eastAsia="Calibri" w:hAnsi="Calibri" w:cs="Calibri"/>
    </w:rPr>
  </w:style>
  <w:style w:type="paragraph" w:customStyle="1" w:styleId="TableParagraph">
    <w:name w:val="Table Paragraph"/>
    <w:basedOn w:val="Normal"/>
    <w:uiPriority w:val="1"/>
    <w:qFormat/>
    <w:rsid w:val="00E0307B"/>
    <w:pPr>
      <w:widowControl w:val="0"/>
      <w:autoSpaceDE w:val="0"/>
      <w:autoSpaceDN w:val="0"/>
      <w:spacing w:after="0" w:line="240" w:lineRule="auto"/>
    </w:pPr>
    <w:rPr>
      <w:rFonts w:ascii="Calibri" w:eastAsia="Calibri" w:hAnsi="Calibri" w:cs="Calibri"/>
    </w:rPr>
  </w:style>
  <w:style w:type="paragraph" w:customStyle="1" w:styleId="xmsonormal">
    <w:name w:val="x_msonormal"/>
    <w:basedOn w:val="Normal"/>
    <w:rsid w:val="00C048D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6325B1"/>
    <w:rPr>
      <w:color w:val="605E5C"/>
      <w:shd w:val="clear" w:color="auto" w:fill="E1DFDD"/>
    </w:rPr>
  </w:style>
  <w:style w:type="character" w:customStyle="1" w:styleId="cf01">
    <w:name w:val="cf01"/>
    <w:basedOn w:val="DefaultParagraphFont"/>
    <w:rsid w:val="00D51950"/>
    <w:rPr>
      <w:rFonts w:ascii="Segoe UI" w:hAnsi="Segoe UI" w:cs="Segoe UI" w:hint="default"/>
      <w:sz w:val="18"/>
      <w:szCs w:val="18"/>
    </w:rPr>
  </w:style>
  <w:style w:type="paragraph" w:customStyle="1" w:styleId="pf0">
    <w:name w:val="pf0"/>
    <w:basedOn w:val="Normal"/>
    <w:rsid w:val="00F15C1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CD1315"/>
    <w:pPr>
      <w:spacing w:after="0" w:line="240" w:lineRule="auto"/>
    </w:pPr>
  </w:style>
  <w:style w:type="character" w:customStyle="1" w:styleId="ListParagraphChar">
    <w:name w:val="List Paragraph Char"/>
    <w:basedOn w:val="DefaultParagraphFont"/>
    <w:link w:val="ListParagraph"/>
    <w:uiPriority w:val="34"/>
    <w:rsid w:val="00344DAC"/>
  </w:style>
  <w:style w:type="paragraph" w:customStyle="1" w:styleId="Default">
    <w:name w:val="Default"/>
    <w:rsid w:val="007B689C"/>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11A4E"/>
    <w:rPr>
      <w:b/>
      <w:bCs/>
    </w:rPr>
  </w:style>
  <w:style w:type="character" w:customStyle="1" w:styleId="Heading3Char">
    <w:name w:val="Heading 3 Char"/>
    <w:basedOn w:val="DefaultParagraphFont"/>
    <w:link w:val="Heading3"/>
    <w:uiPriority w:val="9"/>
    <w:semiHidden/>
    <w:rsid w:val="009A62BC"/>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A14B57"/>
    <w:rPr>
      <w:rFonts w:cstheme="minorHAnsi"/>
      <w:b/>
      <w:b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1287">
      <w:bodyDiv w:val="1"/>
      <w:marLeft w:val="0"/>
      <w:marRight w:val="0"/>
      <w:marTop w:val="0"/>
      <w:marBottom w:val="0"/>
      <w:divBdr>
        <w:top w:val="none" w:sz="0" w:space="0" w:color="auto"/>
        <w:left w:val="none" w:sz="0" w:space="0" w:color="auto"/>
        <w:bottom w:val="none" w:sz="0" w:space="0" w:color="auto"/>
        <w:right w:val="none" w:sz="0" w:space="0" w:color="auto"/>
      </w:divBdr>
    </w:div>
    <w:div w:id="513031321">
      <w:bodyDiv w:val="1"/>
      <w:marLeft w:val="0"/>
      <w:marRight w:val="0"/>
      <w:marTop w:val="0"/>
      <w:marBottom w:val="0"/>
      <w:divBdr>
        <w:top w:val="none" w:sz="0" w:space="0" w:color="auto"/>
        <w:left w:val="none" w:sz="0" w:space="0" w:color="auto"/>
        <w:bottom w:val="none" w:sz="0" w:space="0" w:color="auto"/>
        <w:right w:val="none" w:sz="0" w:space="0" w:color="auto"/>
      </w:divBdr>
    </w:div>
    <w:div w:id="546599813">
      <w:bodyDiv w:val="1"/>
      <w:marLeft w:val="0"/>
      <w:marRight w:val="0"/>
      <w:marTop w:val="0"/>
      <w:marBottom w:val="0"/>
      <w:divBdr>
        <w:top w:val="none" w:sz="0" w:space="0" w:color="auto"/>
        <w:left w:val="none" w:sz="0" w:space="0" w:color="auto"/>
        <w:bottom w:val="none" w:sz="0" w:space="0" w:color="auto"/>
        <w:right w:val="none" w:sz="0" w:space="0" w:color="auto"/>
      </w:divBdr>
    </w:div>
    <w:div w:id="560865281">
      <w:bodyDiv w:val="1"/>
      <w:marLeft w:val="0"/>
      <w:marRight w:val="0"/>
      <w:marTop w:val="0"/>
      <w:marBottom w:val="0"/>
      <w:divBdr>
        <w:top w:val="none" w:sz="0" w:space="0" w:color="auto"/>
        <w:left w:val="none" w:sz="0" w:space="0" w:color="auto"/>
        <w:bottom w:val="none" w:sz="0" w:space="0" w:color="auto"/>
        <w:right w:val="none" w:sz="0" w:space="0" w:color="auto"/>
      </w:divBdr>
    </w:div>
    <w:div w:id="566721004">
      <w:bodyDiv w:val="1"/>
      <w:marLeft w:val="0"/>
      <w:marRight w:val="0"/>
      <w:marTop w:val="0"/>
      <w:marBottom w:val="0"/>
      <w:divBdr>
        <w:top w:val="none" w:sz="0" w:space="0" w:color="auto"/>
        <w:left w:val="none" w:sz="0" w:space="0" w:color="auto"/>
        <w:bottom w:val="none" w:sz="0" w:space="0" w:color="auto"/>
        <w:right w:val="none" w:sz="0" w:space="0" w:color="auto"/>
      </w:divBdr>
    </w:div>
    <w:div w:id="636254132">
      <w:bodyDiv w:val="1"/>
      <w:marLeft w:val="0"/>
      <w:marRight w:val="0"/>
      <w:marTop w:val="0"/>
      <w:marBottom w:val="0"/>
      <w:divBdr>
        <w:top w:val="none" w:sz="0" w:space="0" w:color="auto"/>
        <w:left w:val="none" w:sz="0" w:space="0" w:color="auto"/>
        <w:bottom w:val="none" w:sz="0" w:space="0" w:color="auto"/>
        <w:right w:val="none" w:sz="0" w:space="0" w:color="auto"/>
      </w:divBdr>
    </w:div>
    <w:div w:id="782457477">
      <w:bodyDiv w:val="1"/>
      <w:marLeft w:val="0"/>
      <w:marRight w:val="0"/>
      <w:marTop w:val="0"/>
      <w:marBottom w:val="0"/>
      <w:divBdr>
        <w:top w:val="none" w:sz="0" w:space="0" w:color="auto"/>
        <w:left w:val="none" w:sz="0" w:space="0" w:color="auto"/>
        <w:bottom w:val="none" w:sz="0" w:space="0" w:color="auto"/>
        <w:right w:val="none" w:sz="0" w:space="0" w:color="auto"/>
      </w:divBdr>
    </w:div>
    <w:div w:id="841745989">
      <w:bodyDiv w:val="1"/>
      <w:marLeft w:val="0"/>
      <w:marRight w:val="0"/>
      <w:marTop w:val="0"/>
      <w:marBottom w:val="0"/>
      <w:divBdr>
        <w:top w:val="none" w:sz="0" w:space="0" w:color="auto"/>
        <w:left w:val="none" w:sz="0" w:space="0" w:color="auto"/>
        <w:bottom w:val="none" w:sz="0" w:space="0" w:color="auto"/>
        <w:right w:val="none" w:sz="0" w:space="0" w:color="auto"/>
      </w:divBdr>
    </w:div>
    <w:div w:id="871189433">
      <w:bodyDiv w:val="1"/>
      <w:marLeft w:val="0"/>
      <w:marRight w:val="0"/>
      <w:marTop w:val="0"/>
      <w:marBottom w:val="0"/>
      <w:divBdr>
        <w:top w:val="none" w:sz="0" w:space="0" w:color="auto"/>
        <w:left w:val="none" w:sz="0" w:space="0" w:color="auto"/>
        <w:bottom w:val="none" w:sz="0" w:space="0" w:color="auto"/>
        <w:right w:val="none" w:sz="0" w:space="0" w:color="auto"/>
      </w:divBdr>
    </w:div>
    <w:div w:id="1052728483">
      <w:bodyDiv w:val="1"/>
      <w:marLeft w:val="0"/>
      <w:marRight w:val="0"/>
      <w:marTop w:val="0"/>
      <w:marBottom w:val="0"/>
      <w:divBdr>
        <w:top w:val="none" w:sz="0" w:space="0" w:color="auto"/>
        <w:left w:val="none" w:sz="0" w:space="0" w:color="auto"/>
        <w:bottom w:val="none" w:sz="0" w:space="0" w:color="auto"/>
        <w:right w:val="none" w:sz="0" w:space="0" w:color="auto"/>
      </w:divBdr>
    </w:div>
    <w:div w:id="1074426049">
      <w:bodyDiv w:val="1"/>
      <w:marLeft w:val="0"/>
      <w:marRight w:val="0"/>
      <w:marTop w:val="0"/>
      <w:marBottom w:val="0"/>
      <w:divBdr>
        <w:top w:val="none" w:sz="0" w:space="0" w:color="auto"/>
        <w:left w:val="none" w:sz="0" w:space="0" w:color="auto"/>
        <w:bottom w:val="none" w:sz="0" w:space="0" w:color="auto"/>
        <w:right w:val="none" w:sz="0" w:space="0" w:color="auto"/>
      </w:divBdr>
    </w:div>
    <w:div w:id="1102413742">
      <w:bodyDiv w:val="1"/>
      <w:marLeft w:val="0"/>
      <w:marRight w:val="0"/>
      <w:marTop w:val="0"/>
      <w:marBottom w:val="0"/>
      <w:divBdr>
        <w:top w:val="none" w:sz="0" w:space="0" w:color="auto"/>
        <w:left w:val="none" w:sz="0" w:space="0" w:color="auto"/>
        <w:bottom w:val="none" w:sz="0" w:space="0" w:color="auto"/>
        <w:right w:val="none" w:sz="0" w:space="0" w:color="auto"/>
      </w:divBdr>
    </w:div>
    <w:div w:id="1227304709">
      <w:bodyDiv w:val="1"/>
      <w:marLeft w:val="0"/>
      <w:marRight w:val="0"/>
      <w:marTop w:val="0"/>
      <w:marBottom w:val="0"/>
      <w:divBdr>
        <w:top w:val="none" w:sz="0" w:space="0" w:color="auto"/>
        <w:left w:val="none" w:sz="0" w:space="0" w:color="auto"/>
        <w:bottom w:val="none" w:sz="0" w:space="0" w:color="auto"/>
        <w:right w:val="none" w:sz="0" w:space="0" w:color="auto"/>
      </w:divBdr>
    </w:div>
    <w:div w:id="1417360638">
      <w:bodyDiv w:val="1"/>
      <w:marLeft w:val="0"/>
      <w:marRight w:val="0"/>
      <w:marTop w:val="0"/>
      <w:marBottom w:val="0"/>
      <w:divBdr>
        <w:top w:val="none" w:sz="0" w:space="0" w:color="auto"/>
        <w:left w:val="none" w:sz="0" w:space="0" w:color="auto"/>
        <w:bottom w:val="none" w:sz="0" w:space="0" w:color="auto"/>
        <w:right w:val="none" w:sz="0" w:space="0" w:color="auto"/>
      </w:divBdr>
    </w:div>
    <w:div w:id="1433889771">
      <w:bodyDiv w:val="1"/>
      <w:marLeft w:val="0"/>
      <w:marRight w:val="0"/>
      <w:marTop w:val="0"/>
      <w:marBottom w:val="0"/>
      <w:divBdr>
        <w:top w:val="none" w:sz="0" w:space="0" w:color="auto"/>
        <w:left w:val="none" w:sz="0" w:space="0" w:color="auto"/>
        <w:bottom w:val="none" w:sz="0" w:space="0" w:color="auto"/>
        <w:right w:val="none" w:sz="0" w:space="0" w:color="auto"/>
      </w:divBdr>
    </w:div>
    <w:div w:id="1445618264">
      <w:bodyDiv w:val="1"/>
      <w:marLeft w:val="0"/>
      <w:marRight w:val="0"/>
      <w:marTop w:val="0"/>
      <w:marBottom w:val="0"/>
      <w:divBdr>
        <w:top w:val="none" w:sz="0" w:space="0" w:color="auto"/>
        <w:left w:val="none" w:sz="0" w:space="0" w:color="auto"/>
        <w:bottom w:val="none" w:sz="0" w:space="0" w:color="auto"/>
        <w:right w:val="none" w:sz="0" w:space="0" w:color="auto"/>
      </w:divBdr>
    </w:div>
    <w:div w:id="1472214227">
      <w:bodyDiv w:val="1"/>
      <w:marLeft w:val="0"/>
      <w:marRight w:val="0"/>
      <w:marTop w:val="0"/>
      <w:marBottom w:val="0"/>
      <w:divBdr>
        <w:top w:val="none" w:sz="0" w:space="0" w:color="auto"/>
        <w:left w:val="none" w:sz="0" w:space="0" w:color="auto"/>
        <w:bottom w:val="none" w:sz="0" w:space="0" w:color="auto"/>
        <w:right w:val="none" w:sz="0" w:space="0" w:color="auto"/>
      </w:divBdr>
    </w:div>
    <w:div w:id="1478499901">
      <w:bodyDiv w:val="1"/>
      <w:marLeft w:val="0"/>
      <w:marRight w:val="0"/>
      <w:marTop w:val="0"/>
      <w:marBottom w:val="0"/>
      <w:divBdr>
        <w:top w:val="none" w:sz="0" w:space="0" w:color="auto"/>
        <w:left w:val="none" w:sz="0" w:space="0" w:color="auto"/>
        <w:bottom w:val="none" w:sz="0" w:space="0" w:color="auto"/>
        <w:right w:val="none" w:sz="0" w:space="0" w:color="auto"/>
      </w:divBdr>
    </w:div>
    <w:div w:id="1507089232">
      <w:bodyDiv w:val="1"/>
      <w:marLeft w:val="0"/>
      <w:marRight w:val="0"/>
      <w:marTop w:val="0"/>
      <w:marBottom w:val="0"/>
      <w:divBdr>
        <w:top w:val="none" w:sz="0" w:space="0" w:color="auto"/>
        <w:left w:val="none" w:sz="0" w:space="0" w:color="auto"/>
        <w:bottom w:val="none" w:sz="0" w:space="0" w:color="auto"/>
        <w:right w:val="none" w:sz="0" w:space="0" w:color="auto"/>
      </w:divBdr>
    </w:div>
    <w:div w:id="1529836053">
      <w:bodyDiv w:val="1"/>
      <w:marLeft w:val="0"/>
      <w:marRight w:val="0"/>
      <w:marTop w:val="0"/>
      <w:marBottom w:val="0"/>
      <w:divBdr>
        <w:top w:val="none" w:sz="0" w:space="0" w:color="auto"/>
        <w:left w:val="none" w:sz="0" w:space="0" w:color="auto"/>
        <w:bottom w:val="none" w:sz="0" w:space="0" w:color="auto"/>
        <w:right w:val="none" w:sz="0" w:space="0" w:color="auto"/>
      </w:divBdr>
    </w:div>
    <w:div w:id="1575435056">
      <w:bodyDiv w:val="1"/>
      <w:marLeft w:val="0"/>
      <w:marRight w:val="0"/>
      <w:marTop w:val="0"/>
      <w:marBottom w:val="0"/>
      <w:divBdr>
        <w:top w:val="none" w:sz="0" w:space="0" w:color="auto"/>
        <w:left w:val="none" w:sz="0" w:space="0" w:color="auto"/>
        <w:bottom w:val="none" w:sz="0" w:space="0" w:color="auto"/>
        <w:right w:val="none" w:sz="0" w:space="0" w:color="auto"/>
      </w:divBdr>
    </w:div>
    <w:div w:id="1616717330">
      <w:bodyDiv w:val="1"/>
      <w:marLeft w:val="0"/>
      <w:marRight w:val="0"/>
      <w:marTop w:val="0"/>
      <w:marBottom w:val="0"/>
      <w:divBdr>
        <w:top w:val="none" w:sz="0" w:space="0" w:color="auto"/>
        <w:left w:val="none" w:sz="0" w:space="0" w:color="auto"/>
        <w:bottom w:val="none" w:sz="0" w:space="0" w:color="auto"/>
        <w:right w:val="none" w:sz="0" w:space="0" w:color="auto"/>
      </w:divBdr>
    </w:div>
    <w:div w:id="1734041949">
      <w:bodyDiv w:val="1"/>
      <w:marLeft w:val="0"/>
      <w:marRight w:val="0"/>
      <w:marTop w:val="0"/>
      <w:marBottom w:val="0"/>
      <w:divBdr>
        <w:top w:val="none" w:sz="0" w:space="0" w:color="auto"/>
        <w:left w:val="none" w:sz="0" w:space="0" w:color="auto"/>
        <w:bottom w:val="none" w:sz="0" w:space="0" w:color="auto"/>
        <w:right w:val="none" w:sz="0" w:space="0" w:color="auto"/>
      </w:divBdr>
    </w:div>
    <w:div w:id="1768768947">
      <w:bodyDiv w:val="1"/>
      <w:marLeft w:val="0"/>
      <w:marRight w:val="0"/>
      <w:marTop w:val="0"/>
      <w:marBottom w:val="0"/>
      <w:divBdr>
        <w:top w:val="none" w:sz="0" w:space="0" w:color="auto"/>
        <w:left w:val="none" w:sz="0" w:space="0" w:color="auto"/>
        <w:bottom w:val="none" w:sz="0" w:space="0" w:color="auto"/>
        <w:right w:val="none" w:sz="0" w:space="0" w:color="auto"/>
      </w:divBdr>
    </w:div>
    <w:div w:id="1924417191">
      <w:bodyDiv w:val="1"/>
      <w:marLeft w:val="0"/>
      <w:marRight w:val="0"/>
      <w:marTop w:val="0"/>
      <w:marBottom w:val="0"/>
      <w:divBdr>
        <w:top w:val="none" w:sz="0" w:space="0" w:color="auto"/>
        <w:left w:val="none" w:sz="0" w:space="0" w:color="auto"/>
        <w:bottom w:val="none" w:sz="0" w:space="0" w:color="auto"/>
        <w:right w:val="none" w:sz="0" w:space="0" w:color="auto"/>
      </w:divBdr>
    </w:div>
    <w:div w:id="1945067716">
      <w:bodyDiv w:val="1"/>
      <w:marLeft w:val="0"/>
      <w:marRight w:val="0"/>
      <w:marTop w:val="0"/>
      <w:marBottom w:val="0"/>
      <w:divBdr>
        <w:top w:val="none" w:sz="0" w:space="0" w:color="auto"/>
        <w:left w:val="none" w:sz="0" w:space="0" w:color="auto"/>
        <w:bottom w:val="none" w:sz="0" w:space="0" w:color="auto"/>
        <w:right w:val="none" w:sz="0" w:space="0" w:color="auto"/>
      </w:divBdr>
    </w:div>
    <w:div w:id="1946690431">
      <w:bodyDiv w:val="1"/>
      <w:marLeft w:val="0"/>
      <w:marRight w:val="0"/>
      <w:marTop w:val="0"/>
      <w:marBottom w:val="0"/>
      <w:divBdr>
        <w:top w:val="none" w:sz="0" w:space="0" w:color="auto"/>
        <w:left w:val="none" w:sz="0" w:space="0" w:color="auto"/>
        <w:bottom w:val="none" w:sz="0" w:space="0" w:color="auto"/>
        <w:right w:val="none" w:sz="0" w:space="0" w:color="auto"/>
      </w:divBdr>
    </w:div>
    <w:div w:id="210325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FCC5F2C8880F45B59EA6BBBA4E1A66" ma:contentTypeVersion="9" ma:contentTypeDescription="Create a new document." ma:contentTypeScope="" ma:versionID="6034ed3ccd04fd089959b9760f1bf6e4">
  <xsd:schema xmlns:xsd="http://www.w3.org/2001/XMLSchema" xmlns:xs="http://www.w3.org/2001/XMLSchema" xmlns:p="http://schemas.microsoft.com/office/2006/metadata/properties" xmlns:ns2="fb1e1941-e971-4fcd-9647-5c92aa44abc0" xmlns:ns3="c5e887a9-3264-4a11-98fe-00f96354db3e" targetNamespace="http://schemas.microsoft.com/office/2006/metadata/properties" ma:root="true" ma:fieldsID="e1569c82de055a1f5a51e24a78a393fd" ns2:_="" ns3:_="">
    <xsd:import namespace="fb1e1941-e971-4fcd-9647-5c92aa44abc0"/>
    <xsd:import namespace="c5e887a9-3264-4a11-98fe-00f96354db3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1e1941-e971-4fcd-9647-5c92aa44ab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e887a9-3264-4a11-98fe-00f96354db3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6414E6-33A8-411E-B2D8-218C7B6E1D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9EFB92-AB3E-4650-B87D-2F7432D34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1e1941-e971-4fcd-9647-5c92aa44abc0"/>
    <ds:schemaRef ds:uri="c5e887a9-3264-4a11-98fe-00f96354d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481688-260E-4C70-9CB3-828486135F31}">
  <ds:schemaRefs>
    <ds:schemaRef ds:uri="http://schemas.openxmlformats.org/officeDocument/2006/bibliography"/>
  </ds:schemaRefs>
</ds:datastoreItem>
</file>

<file path=customXml/itemProps4.xml><?xml version="1.0" encoding="utf-8"?>
<ds:datastoreItem xmlns:ds="http://schemas.openxmlformats.org/officeDocument/2006/customXml" ds:itemID="{D501DF7D-3AB0-486D-B7B5-24625E164B16}">
  <ds:schemaRefs>
    <ds:schemaRef ds:uri="http://schemas.microsoft.com/sharepoint/v3/contenttype/forms"/>
  </ds:schemaRefs>
</ds:datastoreItem>
</file>

<file path=docMetadata/LabelInfo.xml><?xml version="1.0" encoding="utf-8"?>
<clbl:labelList xmlns:clbl="http://schemas.microsoft.com/office/2020/mipLabelMetadata">
  <clbl:label id="{246133fa-69ef-4269-808b-de9077c63400}" enabled="0" method="" siteId="{246133fa-69ef-4269-808b-de9077c63400}" removed="1"/>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1114</Words>
  <Characters>6352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Lighthouse Operator Responses to DON 1</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Responses to DoN 2</dc:title>
  <dc:subject/>
  <dc:creator>Lucy</dc:creator>
  <cp:keywords/>
  <dc:description/>
  <cp:lastModifiedBy>Marks, Brett (DPH)</cp:lastModifiedBy>
  <cp:revision>8</cp:revision>
  <cp:lastPrinted>2022-04-08T23:57:00Z</cp:lastPrinted>
  <dcterms:created xsi:type="dcterms:W3CDTF">2026-09-29T19:18:00Z</dcterms:created>
  <dcterms:modified xsi:type="dcterms:W3CDTF">2026-10-16T15:19:00Z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0x01010041FCC5F2C8880F45B59EA6BBBA4E1A66</vt:lpwstr>
  </property>
</Properties>
</file>