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4EC4F241" w:rsidR="00D223EB" w:rsidRPr="0030785A" w:rsidRDefault="00D223EB" w:rsidP="01CEC757">
      <w:pPr>
        <w:jc w:val="center"/>
        <w:rPr>
          <w:b/>
          <w:bCs/>
        </w:rPr>
      </w:pPr>
      <w:r w:rsidRPr="0030785A">
        <w:rPr>
          <w:b/>
          <w:bCs/>
        </w:rPr>
        <w:t>APPLICANT QUESTIONS</w:t>
      </w:r>
      <w:r w:rsidR="00026B6F" w:rsidRPr="0030785A">
        <w:rPr>
          <w:b/>
          <w:bCs/>
        </w:rPr>
        <w:t xml:space="preserve"> </w:t>
      </w:r>
      <w:r w:rsidR="009A0860">
        <w:rPr>
          <w:b/>
          <w:bCs/>
        </w:rPr>
        <w:t>2</w:t>
      </w:r>
    </w:p>
    <w:p w14:paraId="71F6355D" w14:textId="0EB083F5" w:rsidR="00D223EB" w:rsidRPr="00183D7F" w:rsidRDefault="00D223EB" w:rsidP="00D223EB">
      <w:pPr>
        <w:jc w:val="center"/>
        <w:rPr>
          <w:rFonts w:cstheme="minorHAnsi"/>
        </w:rPr>
      </w:pPr>
      <w:r w:rsidRPr="00183D7F">
        <w:rPr>
          <w:rFonts w:cstheme="minorHAnsi"/>
          <w:i/>
          <w:iCs/>
        </w:rPr>
        <w:t xml:space="preserve">Responses should be sent to </w:t>
      </w:r>
      <w:proofErr w:type="spellStart"/>
      <w:r w:rsidRPr="00183D7F">
        <w:rPr>
          <w:rFonts w:cstheme="minorHAnsi"/>
          <w:i/>
          <w:iCs/>
        </w:rPr>
        <w:t>DoN</w:t>
      </w:r>
      <w:proofErr w:type="spellEnd"/>
      <w:r w:rsidRPr="00183D7F">
        <w:rPr>
          <w:rFonts w:cstheme="minorHAnsi"/>
          <w:i/>
          <w:iCs/>
        </w:rPr>
        <w:t xml:space="preserve"> staff at </w:t>
      </w:r>
      <w:hyperlink r:id="rId12" w:history="1">
        <w:r w:rsidR="005C4EB9" w:rsidRPr="00183D7F">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183D7F" w14:paraId="57106F2B" w14:textId="77777777" w:rsidTr="008B5D5E">
        <w:trPr>
          <w:jc w:val="center"/>
        </w:trPr>
        <w:tc>
          <w:tcPr>
            <w:tcW w:w="9350" w:type="dxa"/>
          </w:tcPr>
          <w:p w14:paraId="0D6A2228" w14:textId="77777777" w:rsidR="00D223EB" w:rsidRPr="00183D7F" w:rsidRDefault="00D223EB" w:rsidP="008B5D5E">
            <w:pPr>
              <w:rPr>
                <w:rFonts w:cstheme="minorHAnsi"/>
                <w:bCs/>
              </w:rPr>
            </w:pPr>
            <w:proofErr w:type="gramStart"/>
            <w:r w:rsidRPr="00183D7F">
              <w:rPr>
                <w:rFonts w:cstheme="minorHAnsi"/>
                <w:bCs/>
              </w:rPr>
              <w:t>While</w:t>
            </w:r>
            <w:proofErr w:type="gramEnd"/>
            <w:r w:rsidRPr="00183D7F">
              <w:rPr>
                <w:rFonts w:cstheme="minorHAnsi"/>
                <w:bCs/>
              </w:rPr>
              <w:t xml:space="preserve"> you may submit each answer as available, please </w:t>
            </w:r>
          </w:p>
          <w:p w14:paraId="3BAD0544" w14:textId="77777777" w:rsidR="00D223EB" w:rsidRPr="00183D7F" w:rsidRDefault="00D223EB" w:rsidP="00584A4B">
            <w:pPr>
              <w:pStyle w:val="ListParagraph"/>
              <w:numPr>
                <w:ilvl w:val="0"/>
                <w:numId w:val="1"/>
              </w:numPr>
              <w:rPr>
                <w:rFonts w:cstheme="minorHAnsi"/>
                <w:bCs/>
              </w:rPr>
            </w:pPr>
            <w:r w:rsidRPr="00183D7F">
              <w:rPr>
                <w:rFonts w:cstheme="minorHAnsi"/>
                <w:bCs/>
              </w:rPr>
              <w:t xml:space="preserve">List question number and question for each answer you provide </w:t>
            </w:r>
          </w:p>
          <w:p w14:paraId="77AFC609" w14:textId="1F813011" w:rsidR="00D223EB" w:rsidRPr="00183D7F" w:rsidRDefault="00D223EB" w:rsidP="00584A4B">
            <w:pPr>
              <w:pStyle w:val="ListParagraph"/>
              <w:numPr>
                <w:ilvl w:val="0"/>
                <w:numId w:val="1"/>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2D4D3A49" w14:textId="7AF2D827" w:rsidR="00D223EB" w:rsidRPr="00183D7F" w:rsidRDefault="001E0B94" w:rsidP="00584A4B">
            <w:pPr>
              <w:pStyle w:val="ListParagraph"/>
              <w:numPr>
                <w:ilvl w:val="0"/>
                <w:numId w:val="1"/>
              </w:numPr>
              <w:rPr>
                <w:rFonts w:cstheme="minorHAnsi"/>
                <w:bCs/>
              </w:rPr>
            </w:pPr>
            <w:r w:rsidRPr="00183D7F">
              <w:rPr>
                <w:rFonts w:cstheme="minorHAnsi"/>
                <w:bCs/>
              </w:rPr>
              <w:t xml:space="preserve">We accept answers on a rolling </w:t>
            </w:r>
            <w:proofErr w:type="gramStart"/>
            <w:r w:rsidRPr="00183D7F">
              <w:rPr>
                <w:rFonts w:cstheme="minorHAnsi"/>
                <w:bCs/>
              </w:rPr>
              <w:t>basis</w:t>
            </w:r>
            <w:proofErr w:type="gramEnd"/>
            <w:r w:rsidRPr="00183D7F">
              <w:rPr>
                <w:rFonts w:cstheme="minorHAnsi"/>
                <w:bCs/>
              </w:rPr>
              <w:t xml:space="preserve"> however, w</w:t>
            </w:r>
            <w:r w:rsidR="00D223EB" w:rsidRPr="00183D7F">
              <w:rPr>
                <w:rFonts w:cstheme="minorHAnsi"/>
                <w:bCs/>
              </w:rPr>
              <w:t>hen providing the answer to the final question, submit all questions and answers in</w:t>
            </w:r>
            <w:r w:rsidRPr="00183D7F">
              <w:rPr>
                <w:rFonts w:cstheme="minorHAnsi"/>
                <w:bCs/>
              </w:rPr>
              <w:t xml:space="preserve"> order in</w:t>
            </w:r>
            <w:r w:rsidR="00D223EB" w:rsidRPr="00183D7F">
              <w:rPr>
                <w:rFonts w:cstheme="minorHAnsi"/>
                <w:bCs/>
              </w:rPr>
              <w:t xml:space="preserve"> one final document</w:t>
            </w:r>
            <w:r w:rsidRPr="00183D7F">
              <w:rPr>
                <w:rFonts w:cstheme="minorHAnsi"/>
                <w:bCs/>
              </w:rPr>
              <w:t>.</w:t>
            </w:r>
          </w:p>
          <w:p w14:paraId="552712FE" w14:textId="2E737CA2" w:rsidR="00D223EB" w:rsidRPr="00183D7F" w:rsidRDefault="00D223EB" w:rsidP="00584A4B">
            <w:pPr>
              <w:pStyle w:val="ListParagraph"/>
              <w:numPr>
                <w:ilvl w:val="0"/>
                <w:numId w:val="1"/>
              </w:numPr>
              <w:rPr>
                <w:rFonts w:cstheme="minorHAnsi"/>
                <w:b/>
              </w:rPr>
            </w:pPr>
            <w:r w:rsidRPr="00183D7F">
              <w:rPr>
                <w:rFonts w:cstheme="minorHAnsi"/>
                <w:bCs/>
              </w:rPr>
              <w:t xml:space="preserve">Submit responses in WORD or EXCEL; only use PDF’s if </w:t>
            </w:r>
            <w:proofErr w:type="gramStart"/>
            <w:r w:rsidRPr="00183D7F">
              <w:rPr>
                <w:rFonts w:cstheme="minorHAnsi"/>
                <w:bCs/>
              </w:rPr>
              <w:t>absolutely necessary</w:t>
            </w:r>
            <w:proofErr w:type="gramEnd"/>
            <w:r w:rsidRPr="00183D7F">
              <w:rPr>
                <w:rFonts w:cstheme="minorHAnsi"/>
                <w:bCs/>
              </w:rPr>
              <w:t xml:space="preserve">. </w:t>
            </w:r>
            <w:r w:rsidRPr="00183D7F">
              <w:rPr>
                <w:rFonts w:cstheme="minorHAnsi"/>
                <w:b/>
              </w:rPr>
              <w:t>Whenever possible, include a</w:t>
            </w:r>
            <w:r w:rsidR="001E0B94" w:rsidRPr="00183D7F">
              <w:rPr>
                <w:rFonts w:cstheme="minorHAnsi"/>
                <w:b/>
              </w:rPr>
              <w:t xml:space="preserve"> </w:t>
            </w:r>
            <w:r w:rsidRPr="00183D7F">
              <w:rPr>
                <w:rFonts w:cstheme="minorHAnsi"/>
                <w:b/>
              </w:rPr>
              <w:t>table</w:t>
            </w:r>
            <w:r w:rsidR="001E0B94" w:rsidRPr="00183D7F">
              <w:rPr>
                <w:rFonts w:cstheme="minorHAnsi"/>
                <w:b/>
              </w:rPr>
              <w:t xml:space="preserve"> in</w:t>
            </w:r>
            <w:r w:rsidRPr="00183D7F">
              <w:rPr>
                <w:rFonts w:cstheme="minorHAnsi"/>
                <w:b/>
              </w:rPr>
              <w:t xml:space="preserve"> </w:t>
            </w:r>
            <w:r w:rsidR="001E0B94" w:rsidRPr="00183D7F">
              <w:rPr>
                <w:rFonts w:cstheme="minorHAnsi"/>
                <w:b/>
              </w:rPr>
              <w:t xml:space="preserve">data format (NOT pdf or picture) </w:t>
            </w:r>
            <w:r w:rsidRPr="00183D7F">
              <w:rPr>
                <w:rFonts w:cstheme="minorHAnsi"/>
                <w:b/>
              </w:rPr>
              <w:t>with the response</w:t>
            </w:r>
            <w:r w:rsidR="001E0B94" w:rsidRPr="00183D7F">
              <w:rPr>
                <w:rFonts w:cstheme="minorHAnsi"/>
                <w:b/>
              </w:rPr>
              <w:t>.</w:t>
            </w:r>
          </w:p>
        </w:tc>
      </w:tr>
    </w:tbl>
    <w:p w14:paraId="3B5BE3DB" w14:textId="77777777" w:rsidR="004D6F61" w:rsidRDefault="004D6F61" w:rsidP="004D6F61">
      <w:pPr>
        <w:spacing w:after="0"/>
      </w:pPr>
    </w:p>
    <w:p w14:paraId="230E4A6C" w14:textId="040E8047" w:rsidR="00382F9A" w:rsidRPr="004D6F61" w:rsidRDefault="00380E08" w:rsidP="004D6F61">
      <w:pPr>
        <w:spacing w:after="0"/>
        <w:rPr>
          <w:rStyle w:val="cf01"/>
          <w:rFonts w:asciiTheme="minorHAnsi" w:hAnsiTheme="minorHAnsi" w:cstheme="minorBidi"/>
          <w:sz w:val="22"/>
          <w:szCs w:val="22"/>
          <w:highlight w:val="yellow"/>
        </w:rPr>
      </w:pPr>
      <w:proofErr w:type="gramStart"/>
      <w:r w:rsidRPr="00183D7F">
        <w:t>In order for</w:t>
      </w:r>
      <w:proofErr w:type="gramEnd"/>
      <w:r w:rsidRPr="00183D7F">
        <w:t xml:space="preserve"> us to review this project in a timely manner, pleas</w:t>
      </w:r>
      <w:r w:rsidR="00684458" w:rsidRPr="00183D7F">
        <w:t>e</w:t>
      </w:r>
      <w:r w:rsidRPr="00183D7F">
        <w:t xml:space="preserve"> provide the </w:t>
      </w:r>
      <w:r w:rsidRPr="00DA349F">
        <w:t xml:space="preserve">responses by </w:t>
      </w:r>
      <w:r w:rsidR="00F93E01">
        <w:rPr>
          <w:b/>
          <w:bCs/>
        </w:rPr>
        <w:t>January 2, 2025</w:t>
      </w:r>
      <w:r w:rsidRPr="00DA349F">
        <w:t>.</w:t>
      </w:r>
    </w:p>
    <w:p w14:paraId="13135CCF" w14:textId="14DF4446" w:rsidR="00382F9A" w:rsidRPr="003151A7" w:rsidRDefault="00382F9A" w:rsidP="00382F9A">
      <w:pPr>
        <w:rPr>
          <w:rFonts w:cstheme="minorHAnsi"/>
          <w:b/>
          <w:bCs/>
        </w:rPr>
      </w:pPr>
      <w:r w:rsidRPr="003151A7">
        <w:rPr>
          <w:rFonts w:cstheme="minorHAnsi"/>
          <w:b/>
          <w:bCs/>
        </w:rPr>
        <w:t>Factor 1a</w:t>
      </w:r>
      <w:r w:rsidR="00F017A9" w:rsidRPr="003151A7">
        <w:rPr>
          <w:rFonts w:cstheme="minorHAnsi"/>
          <w:b/>
          <w:bCs/>
        </w:rPr>
        <w:t>i</w:t>
      </w:r>
      <w:r w:rsidRPr="003151A7">
        <w:rPr>
          <w:rFonts w:cstheme="minorHAnsi"/>
          <w:b/>
          <w:bCs/>
        </w:rPr>
        <w:t xml:space="preserve">: Patient Panel </w:t>
      </w:r>
    </w:p>
    <w:p w14:paraId="32D8C012" w14:textId="77777777" w:rsidR="00BF3831" w:rsidRPr="003151A7" w:rsidRDefault="00BF3831" w:rsidP="00BF3831">
      <w:pPr>
        <w:spacing w:after="0" w:line="229" w:lineRule="exact"/>
        <w:rPr>
          <w:rFonts w:cstheme="minorHAnsi"/>
          <w:sz w:val="24"/>
          <w:szCs w:val="24"/>
        </w:rPr>
      </w:pPr>
    </w:p>
    <w:p w14:paraId="6D0DC935" w14:textId="47737F55" w:rsidR="004D6F61" w:rsidRPr="004D6F61" w:rsidRDefault="00FD19F9" w:rsidP="004D6F61">
      <w:pPr>
        <w:pStyle w:val="ListParagraph"/>
        <w:numPr>
          <w:ilvl w:val="0"/>
          <w:numId w:val="2"/>
        </w:numPr>
        <w:spacing w:after="0" w:line="229" w:lineRule="exact"/>
        <w:rPr>
          <w:color w:val="FF0000"/>
          <w:sz w:val="24"/>
          <w:szCs w:val="24"/>
        </w:rPr>
      </w:pPr>
      <w:r w:rsidRPr="7F3E0D37">
        <w:rPr>
          <w:sz w:val="24"/>
          <w:szCs w:val="24"/>
        </w:rPr>
        <w:t xml:space="preserve">The BILH </w:t>
      </w:r>
      <w:r w:rsidR="00432E48" w:rsidRPr="7F3E0D37">
        <w:rPr>
          <w:sz w:val="24"/>
          <w:szCs w:val="24"/>
        </w:rPr>
        <w:t xml:space="preserve">Health System </w:t>
      </w:r>
      <w:r w:rsidRPr="7F3E0D37">
        <w:rPr>
          <w:sz w:val="24"/>
          <w:szCs w:val="24"/>
        </w:rPr>
        <w:t xml:space="preserve">Patient Panel is required </w:t>
      </w:r>
      <w:r w:rsidR="00432E48" w:rsidRPr="7F3E0D37">
        <w:rPr>
          <w:sz w:val="24"/>
          <w:szCs w:val="24"/>
        </w:rPr>
        <w:t>for this application</w:t>
      </w:r>
      <w:r w:rsidR="00E87B71" w:rsidRPr="7F3E0D37">
        <w:rPr>
          <w:sz w:val="24"/>
          <w:szCs w:val="24"/>
        </w:rPr>
        <w:t>. Please verify that the table below provides accurate demographic information for the BILH Health System</w:t>
      </w:r>
      <w:r w:rsidR="00AC75E5" w:rsidRPr="7F3E0D37">
        <w:rPr>
          <w:sz w:val="24"/>
          <w:szCs w:val="24"/>
        </w:rPr>
        <w:t xml:space="preserve"> (Taken from the most recently approved </w:t>
      </w:r>
      <w:r w:rsidR="000138FE" w:rsidRPr="7F3E0D37">
        <w:rPr>
          <w:sz w:val="24"/>
          <w:szCs w:val="24"/>
        </w:rPr>
        <w:t>BILH Application)</w:t>
      </w:r>
      <w:r w:rsidR="00E87B71" w:rsidRPr="7F3E0D37">
        <w:rPr>
          <w:sz w:val="24"/>
          <w:szCs w:val="24"/>
        </w:rPr>
        <w:t>.</w:t>
      </w:r>
      <w:r w:rsidR="0061601C" w:rsidRPr="7F3E0D37">
        <w:rPr>
          <w:sz w:val="24"/>
          <w:szCs w:val="24"/>
        </w:rPr>
        <w:t xml:space="preserve"> </w:t>
      </w:r>
    </w:p>
    <w:p w14:paraId="44ECDBEE" w14:textId="77777777" w:rsidR="004D6F61" w:rsidRDefault="004D6F61" w:rsidP="004D6F61">
      <w:pPr>
        <w:spacing w:after="0" w:line="229" w:lineRule="exact"/>
        <w:rPr>
          <w:b/>
        </w:rPr>
      </w:pPr>
    </w:p>
    <w:p w14:paraId="4DBE2608" w14:textId="77777777" w:rsidR="004D6F61" w:rsidRDefault="004D6F61" w:rsidP="004D6F61">
      <w:pPr>
        <w:spacing w:after="0" w:line="229" w:lineRule="exact"/>
        <w:ind w:firstLine="360"/>
        <w:rPr>
          <w:b/>
        </w:rPr>
      </w:pPr>
      <w:r w:rsidRPr="00A01B41">
        <w:rPr>
          <w:b/>
        </w:rPr>
        <w:t>The Applicant confirms this table is accurate.</w:t>
      </w:r>
    </w:p>
    <w:p w14:paraId="12C5E251" w14:textId="7213B6AF" w:rsidR="004D6F61" w:rsidRPr="00A01B41" w:rsidRDefault="004D6F61" w:rsidP="004D6F61">
      <w:pPr>
        <w:spacing w:after="0" w:line="229" w:lineRule="exact"/>
        <w:rPr>
          <w:b/>
        </w:rPr>
      </w:pPr>
      <w:r>
        <w:rPr>
          <w:b/>
        </w:rPr>
        <w:tab/>
      </w:r>
    </w:p>
    <w:p w14:paraId="4C87F5FF" w14:textId="77777777" w:rsidR="004D6F61" w:rsidRPr="00393303" w:rsidRDefault="004D6F61" w:rsidP="004D6F61">
      <w:pPr>
        <w:spacing w:after="0" w:line="229" w:lineRule="exact"/>
        <w:jc w:val="center"/>
        <w:rPr>
          <w:rFonts w:eastAsia="Verdana" w:cstheme="minorHAnsi"/>
          <w:b/>
          <w:bCs/>
          <w:u w:val="single"/>
        </w:rPr>
      </w:pPr>
      <w:r w:rsidRPr="00393303">
        <w:rPr>
          <w:rFonts w:eastAsia="Verdana" w:cstheme="minorHAnsi"/>
          <w:b/>
          <w:bCs/>
          <w:u w:val="single"/>
        </w:rPr>
        <w:t>BILH Patient Panel Demographics</w:t>
      </w:r>
    </w:p>
    <w:tbl>
      <w:tblPr>
        <w:tblStyle w:val="TableGrid"/>
        <w:tblW w:w="5945" w:type="dxa"/>
        <w:jc w:val="center"/>
        <w:tblLayout w:type="fixed"/>
        <w:tblLook w:val="04A0" w:firstRow="1" w:lastRow="0" w:firstColumn="1" w:lastColumn="0" w:noHBand="0" w:noVBand="1"/>
      </w:tblPr>
      <w:tblGrid>
        <w:gridCol w:w="3875"/>
        <w:gridCol w:w="1035"/>
        <w:gridCol w:w="1035"/>
      </w:tblGrid>
      <w:tr w:rsidR="004D6F61" w:rsidRPr="002601CF" w14:paraId="2B4B6480" w14:textId="77777777" w:rsidTr="00136B11">
        <w:trPr>
          <w:cantSplit/>
          <w:tblHeader/>
          <w:jc w:val="center"/>
        </w:trPr>
        <w:tc>
          <w:tcPr>
            <w:tcW w:w="3875" w:type="dxa"/>
            <w:shd w:val="clear" w:color="auto" w:fill="B4C6E7" w:themeFill="accent1" w:themeFillTint="66"/>
            <w:vAlign w:val="center"/>
          </w:tcPr>
          <w:p w14:paraId="16F516CC" w14:textId="77777777" w:rsidR="004D6F61" w:rsidRPr="002601CF" w:rsidRDefault="004D6F61" w:rsidP="00DD29F1">
            <w:pPr>
              <w:rPr>
                <w:rFonts w:asciiTheme="majorHAnsi" w:hAnsiTheme="majorHAnsi" w:cstheme="majorHAnsi"/>
                <w:sz w:val="17"/>
                <w:szCs w:val="17"/>
              </w:rPr>
            </w:pPr>
          </w:p>
        </w:tc>
        <w:tc>
          <w:tcPr>
            <w:tcW w:w="1035" w:type="dxa"/>
            <w:shd w:val="clear" w:color="auto" w:fill="B4C6E7" w:themeFill="accent1" w:themeFillTint="66"/>
            <w:vAlign w:val="center"/>
          </w:tcPr>
          <w:p w14:paraId="53785DCF" w14:textId="77777777" w:rsidR="004D6F61" w:rsidRPr="002601CF" w:rsidRDefault="004D6F61" w:rsidP="00DD29F1">
            <w:pPr>
              <w:jc w:val="center"/>
              <w:rPr>
                <w:rFonts w:asciiTheme="majorHAnsi" w:hAnsiTheme="majorHAnsi" w:cstheme="majorHAnsi"/>
                <w:sz w:val="17"/>
                <w:szCs w:val="17"/>
              </w:rPr>
            </w:pPr>
            <w:r w:rsidRPr="002601CF">
              <w:rPr>
                <w:rFonts w:asciiTheme="majorHAnsi" w:eastAsia="Times New Roman" w:hAnsiTheme="majorHAnsi" w:cstheme="majorHAnsi"/>
                <w:b/>
                <w:bCs/>
                <w:color w:val="000000"/>
                <w:sz w:val="17"/>
                <w:szCs w:val="17"/>
              </w:rPr>
              <w:t>FY2023 Count</w:t>
            </w:r>
          </w:p>
        </w:tc>
        <w:tc>
          <w:tcPr>
            <w:tcW w:w="1035" w:type="dxa"/>
            <w:shd w:val="clear" w:color="auto" w:fill="B4C6E7" w:themeFill="accent1" w:themeFillTint="66"/>
            <w:vAlign w:val="center"/>
          </w:tcPr>
          <w:p w14:paraId="4BB3B5E6" w14:textId="77777777" w:rsidR="004D6F61" w:rsidRPr="002601CF" w:rsidRDefault="004D6F61" w:rsidP="00DD29F1">
            <w:pPr>
              <w:jc w:val="center"/>
              <w:rPr>
                <w:rFonts w:asciiTheme="majorHAnsi" w:eastAsia="Times New Roman" w:hAnsiTheme="majorHAnsi" w:cstheme="majorHAnsi"/>
                <w:b/>
                <w:bCs/>
                <w:color w:val="000000"/>
                <w:sz w:val="17"/>
                <w:szCs w:val="17"/>
              </w:rPr>
            </w:pPr>
            <w:r w:rsidRPr="002601CF">
              <w:rPr>
                <w:rFonts w:asciiTheme="majorHAnsi" w:eastAsia="Times New Roman" w:hAnsiTheme="majorHAnsi" w:cstheme="majorHAnsi"/>
                <w:b/>
                <w:bCs/>
                <w:color w:val="000000"/>
                <w:sz w:val="17"/>
                <w:szCs w:val="17"/>
              </w:rPr>
              <w:t>FY2023</w:t>
            </w:r>
          </w:p>
          <w:p w14:paraId="48562161" w14:textId="77777777" w:rsidR="004D6F61" w:rsidRPr="002601CF" w:rsidRDefault="004D6F61" w:rsidP="00DD29F1">
            <w:pPr>
              <w:jc w:val="center"/>
              <w:rPr>
                <w:rFonts w:asciiTheme="majorHAnsi" w:hAnsiTheme="majorHAnsi" w:cstheme="majorHAnsi"/>
                <w:sz w:val="17"/>
                <w:szCs w:val="17"/>
              </w:rPr>
            </w:pPr>
            <w:r w:rsidRPr="002601CF">
              <w:rPr>
                <w:rFonts w:asciiTheme="majorHAnsi" w:eastAsia="Times New Roman" w:hAnsiTheme="majorHAnsi" w:cstheme="majorHAnsi"/>
                <w:b/>
                <w:bCs/>
                <w:color w:val="000000"/>
                <w:sz w:val="17"/>
                <w:szCs w:val="17"/>
              </w:rPr>
              <w:t>Percent</w:t>
            </w:r>
          </w:p>
        </w:tc>
      </w:tr>
      <w:tr w:rsidR="004D6F61" w:rsidRPr="002601CF" w14:paraId="40176DDF" w14:textId="77777777" w:rsidTr="00136B11">
        <w:trPr>
          <w:cantSplit/>
          <w:jc w:val="center"/>
        </w:trPr>
        <w:tc>
          <w:tcPr>
            <w:tcW w:w="3875" w:type="dxa"/>
            <w:shd w:val="clear" w:color="auto" w:fill="D9E2F3" w:themeFill="accent1" w:themeFillTint="33"/>
            <w:vAlign w:val="center"/>
          </w:tcPr>
          <w:p w14:paraId="065B4950" w14:textId="77777777" w:rsidR="004D6F61" w:rsidRPr="002601CF" w:rsidRDefault="004D6F61" w:rsidP="00DD29F1">
            <w:pPr>
              <w:rPr>
                <w:rFonts w:asciiTheme="majorHAnsi" w:hAnsiTheme="majorHAnsi" w:cstheme="majorHAnsi"/>
                <w:sz w:val="17"/>
                <w:szCs w:val="17"/>
              </w:rPr>
            </w:pPr>
            <w:r w:rsidRPr="002601CF">
              <w:rPr>
                <w:rFonts w:asciiTheme="majorHAnsi" w:eastAsia="Times New Roman" w:hAnsiTheme="majorHAnsi" w:cstheme="majorHAnsi"/>
                <w:b/>
                <w:bCs/>
                <w:color w:val="000000"/>
                <w:sz w:val="17"/>
                <w:szCs w:val="17"/>
              </w:rPr>
              <w:t>Total</w:t>
            </w:r>
          </w:p>
        </w:tc>
        <w:tc>
          <w:tcPr>
            <w:tcW w:w="1035" w:type="dxa"/>
            <w:shd w:val="clear" w:color="auto" w:fill="D9E2F3" w:themeFill="accent1" w:themeFillTint="33"/>
          </w:tcPr>
          <w:p w14:paraId="7718281F" w14:textId="77777777" w:rsidR="004D6F61" w:rsidRPr="002601CF" w:rsidRDefault="004D6F61" w:rsidP="00DD29F1">
            <w:pPr>
              <w:jc w:val="right"/>
              <w:rPr>
                <w:rFonts w:asciiTheme="majorHAnsi" w:hAnsiTheme="majorHAnsi" w:cstheme="majorHAnsi"/>
                <w:sz w:val="17"/>
                <w:szCs w:val="17"/>
              </w:rPr>
            </w:pPr>
            <w:r w:rsidRPr="002601CF">
              <w:rPr>
                <w:color w:val="000000"/>
                <w:sz w:val="17"/>
                <w:szCs w:val="17"/>
              </w:rPr>
              <w:t>1,398,921</w:t>
            </w:r>
          </w:p>
        </w:tc>
        <w:tc>
          <w:tcPr>
            <w:tcW w:w="1035" w:type="dxa"/>
            <w:shd w:val="clear" w:color="auto" w:fill="D9E2F3" w:themeFill="accent1" w:themeFillTint="33"/>
          </w:tcPr>
          <w:p w14:paraId="74C837F3" w14:textId="77777777" w:rsidR="004D6F61" w:rsidRPr="002601CF" w:rsidRDefault="004D6F61" w:rsidP="00DD29F1">
            <w:pPr>
              <w:jc w:val="right"/>
              <w:rPr>
                <w:rFonts w:asciiTheme="majorHAnsi" w:hAnsiTheme="majorHAnsi" w:cstheme="majorHAnsi"/>
                <w:sz w:val="17"/>
                <w:szCs w:val="17"/>
              </w:rPr>
            </w:pPr>
            <w:r w:rsidRPr="002601CF">
              <w:rPr>
                <w:color w:val="000000"/>
                <w:sz w:val="17"/>
                <w:szCs w:val="17"/>
              </w:rPr>
              <w:t>100.00%</w:t>
            </w:r>
          </w:p>
        </w:tc>
      </w:tr>
      <w:tr w:rsidR="004D6F61" w:rsidRPr="002601CF" w14:paraId="3BCD2EA6" w14:textId="77777777" w:rsidTr="00136B11">
        <w:trPr>
          <w:cantSplit/>
          <w:jc w:val="center"/>
        </w:trPr>
        <w:tc>
          <w:tcPr>
            <w:tcW w:w="3875" w:type="dxa"/>
            <w:shd w:val="clear" w:color="auto" w:fill="auto"/>
            <w:vAlign w:val="bottom"/>
          </w:tcPr>
          <w:p w14:paraId="5DDEE2F2" w14:textId="77777777" w:rsidR="004D6F61" w:rsidRPr="002601CF" w:rsidRDefault="004D6F61" w:rsidP="00DD29F1">
            <w:pPr>
              <w:rPr>
                <w:rFonts w:cstheme="minorHAnsi"/>
                <w:sz w:val="17"/>
                <w:szCs w:val="17"/>
              </w:rPr>
            </w:pPr>
            <w:r w:rsidRPr="002601CF">
              <w:rPr>
                <w:rFonts w:cstheme="minorHAnsi"/>
                <w:color w:val="000000"/>
                <w:sz w:val="17"/>
                <w:szCs w:val="17"/>
              </w:rPr>
              <w:t>Age: 0 to 17</w:t>
            </w:r>
          </w:p>
        </w:tc>
        <w:tc>
          <w:tcPr>
            <w:tcW w:w="1035" w:type="dxa"/>
            <w:shd w:val="clear" w:color="auto" w:fill="auto"/>
          </w:tcPr>
          <w:p w14:paraId="4AB53D13" w14:textId="77777777" w:rsidR="004D6F61" w:rsidRPr="002601CF" w:rsidRDefault="004D6F61" w:rsidP="00DD29F1">
            <w:pPr>
              <w:jc w:val="right"/>
              <w:rPr>
                <w:rFonts w:cstheme="minorHAnsi"/>
                <w:sz w:val="17"/>
                <w:szCs w:val="17"/>
              </w:rPr>
            </w:pPr>
            <w:r w:rsidRPr="002601CF">
              <w:rPr>
                <w:rFonts w:cstheme="minorHAnsi"/>
                <w:color w:val="000000"/>
                <w:sz w:val="17"/>
                <w:szCs w:val="17"/>
              </w:rPr>
              <w:t>98,201</w:t>
            </w:r>
          </w:p>
        </w:tc>
        <w:tc>
          <w:tcPr>
            <w:tcW w:w="1035" w:type="dxa"/>
            <w:shd w:val="clear" w:color="auto" w:fill="auto"/>
          </w:tcPr>
          <w:p w14:paraId="25F4CF9B" w14:textId="77777777" w:rsidR="004D6F61" w:rsidRPr="002601CF" w:rsidRDefault="004D6F61" w:rsidP="00DD29F1">
            <w:pPr>
              <w:jc w:val="right"/>
              <w:rPr>
                <w:rFonts w:cstheme="minorHAnsi"/>
                <w:sz w:val="17"/>
                <w:szCs w:val="17"/>
              </w:rPr>
            </w:pPr>
            <w:r w:rsidRPr="002601CF">
              <w:rPr>
                <w:rFonts w:cstheme="minorHAnsi"/>
                <w:color w:val="000000"/>
                <w:sz w:val="17"/>
                <w:szCs w:val="17"/>
              </w:rPr>
              <w:t>7.0%</w:t>
            </w:r>
          </w:p>
        </w:tc>
      </w:tr>
      <w:tr w:rsidR="004D6F61" w:rsidRPr="002601CF" w14:paraId="1AD89510" w14:textId="77777777" w:rsidTr="00136B11">
        <w:trPr>
          <w:cantSplit/>
          <w:jc w:val="center"/>
        </w:trPr>
        <w:tc>
          <w:tcPr>
            <w:tcW w:w="3875" w:type="dxa"/>
            <w:shd w:val="clear" w:color="auto" w:fill="auto"/>
            <w:vAlign w:val="bottom"/>
          </w:tcPr>
          <w:p w14:paraId="498358C4" w14:textId="77777777" w:rsidR="004D6F61" w:rsidRPr="002601CF" w:rsidRDefault="004D6F61" w:rsidP="00DD29F1">
            <w:pPr>
              <w:rPr>
                <w:rFonts w:cstheme="minorHAnsi"/>
                <w:sz w:val="17"/>
                <w:szCs w:val="17"/>
              </w:rPr>
            </w:pPr>
            <w:r w:rsidRPr="002601CF">
              <w:rPr>
                <w:rFonts w:cstheme="minorHAnsi"/>
                <w:color w:val="000000"/>
                <w:sz w:val="17"/>
                <w:szCs w:val="17"/>
              </w:rPr>
              <w:t>Age: 18 to 64</w:t>
            </w:r>
          </w:p>
        </w:tc>
        <w:tc>
          <w:tcPr>
            <w:tcW w:w="1035" w:type="dxa"/>
            <w:shd w:val="clear" w:color="auto" w:fill="auto"/>
          </w:tcPr>
          <w:p w14:paraId="4EF13576" w14:textId="77777777" w:rsidR="004D6F61" w:rsidRPr="002601CF" w:rsidRDefault="004D6F61" w:rsidP="00DD29F1">
            <w:pPr>
              <w:jc w:val="right"/>
              <w:rPr>
                <w:rFonts w:cstheme="minorHAnsi"/>
                <w:sz w:val="17"/>
                <w:szCs w:val="17"/>
              </w:rPr>
            </w:pPr>
            <w:r w:rsidRPr="002601CF">
              <w:rPr>
                <w:rFonts w:cstheme="minorHAnsi"/>
                <w:color w:val="000000"/>
                <w:sz w:val="17"/>
                <w:szCs w:val="17"/>
              </w:rPr>
              <w:t>848,076</w:t>
            </w:r>
          </w:p>
        </w:tc>
        <w:tc>
          <w:tcPr>
            <w:tcW w:w="1035" w:type="dxa"/>
            <w:shd w:val="clear" w:color="auto" w:fill="auto"/>
          </w:tcPr>
          <w:p w14:paraId="169CDD0A" w14:textId="77777777" w:rsidR="004D6F61" w:rsidRPr="002601CF" w:rsidRDefault="004D6F61" w:rsidP="00DD29F1">
            <w:pPr>
              <w:jc w:val="right"/>
              <w:rPr>
                <w:rFonts w:cstheme="minorHAnsi"/>
                <w:sz w:val="17"/>
                <w:szCs w:val="17"/>
              </w:rPr>
            </w:pPr>
            <w:r w:rsidRPr="002601CF">
              <w:rPr>
                <w:rFonts w:cstheme="minorHAnsi"/>
                <w:color w:val="000000"/>
                <w:sz w:val="17"/>
                <w:szCs w:val="17"/>
              </w:rPr>
              <w:t>60.6%</w:t>
            </w:r>
          </w:p>
        </w:tc>
      </w:tr>
      <w:tr w:rsidR="004D6F61" w:rsidRPr="002601CF" w14:paraId="75B9226F" w14:textId="77777777" w:rsidTr="00136B11">
        <w:trPr>
          <w:cantSplit/>
          <w:jc w:val="center"/>
        </w:trPr>
        <w:tc>
          <w:tcPr>
            <w:tcW w:w="3875" w:type="dxa"/>
            <w:shd w:val="clear" w:color="auto" w:fill="auto"/>
            <w:vAlign w:val="bottom"/>
          </w:tcPr>
          <w:p w14:paraId="01DB44C8" w14:textId="77777777" w:rsidR="004D6F61" w:rsidRPr="002601CF" w:rsidRDefault="004D6F61" w:rsidP="00DD29F1">
            <w:pPr>
              <w:rPr>
                <w:rFonts w:cstheme="minorHAnsi"/>
                <w:sz w:val="17"/>
                <w:szCs w:val="17"/>
              </w:rPr>
            </w:pPr>
            <w:r w:rsidRPr="002601CF">
              <w:rPr>
                <w:rFonts w:cstheme="minorHAnsi"/>
                <w:color w:val="000000"/>
                <w:sz w:val="17"/>
                <w:szCs w:val="17"/>
              </w:rPr>
              <w:t>Age: 65+</w:t>
            </w:r>
          </w:p>
        </w:tc>
        <w:tc>
          <w:tcPr>
            <w:tcW w:w="1035" w:type="dxa"/>
            <w:shd w:val="clear" w:color="auto" w:fill="auto"/>
          </w:tcPr>
          <w:p w14:paraId="53EA6873" w14:textId="77777777" w:rsidR="004D6F61" w:rsidRPr="002601CF" w:rsidRDefault="004D6F61" w:rsidP="00DD29F1">
            <w:pPr>
              <w:jc w:val="right"/>
              <w:rPr>
                <w:rFonts w:cstheme="minorHAnsi"/>
                <w:sz w:val="17"/>
                <w:szCs w:val="17"/>
              </w:rPr>
            </w:pPr>
            <w:r w:rsidRPr="002601CF">
              <w:rPr>
                <w:rFonts w:cstheme="minorHAnsi"/>
                <w:color w:val="000000"/>
                <w:sz w:val="17"/>
                <w:szCs w:val="17"/>
              </w:rPr>
              <w:t>452,644</w:t>
            </w:r>
          </w:p>
        </w:tc>
        <w:tc>
          <w:tcPr>
            <w:tcW w:w="1035" w:type="dxa"/>
            <w:shd w:val="clear" w:color="auto" w:fill="auto"/>
          </w:tcPr>
          <w:p w14:paraId="62B5DBAB" w14:textId="77777777" w:rsidR="004D6F61" w:rsidRPr="002601CF" w:rsidRDefault="004D6F61" w:rsidP="00DD29F1">
            <w:pPr>
              <w:jc w:val="right"/>
              <w:rPr>
                <w:rFonts w:cstheme="minorHAnsi"/>
                <w:sz w:val="17"/>
                <w:szCs w:val="17"/>
              </w:rPr>
            </w:pPr>
            <w:r w:rsidRPr="002601CF">
              <w:rPr>
                <w:rFonts w:cstheme="minorHAnsi"/>
                <w:color w:val="000000"/>
                <w:sz w:val="17"/>
                <w:szCs w:val="17"/>
              </w:rPr>
              <w:t>32.4%</w:t>
            </w:r>
          </w:p>
        </w:tc>
      </w:tr>
      <w:tr w:rsidR="004D6F61" w:rsidRPr="002601CF" w14:paraId="02EA76C7" w14:textId="77777777" w:rsidTr="00136B11">
        <w:trPr>
          <w:cantSplit/>
          <w:jc w:val="center"/>
        </w:trPr>
        <w:tc>
          <w:tcPr>
            <w:tcW w:w="3875" w:type="dxa"/>
            <w:shd w:val="clear" w:color="auto" w:fill="auto"/>
            <w:vAlign w:val="bottom"/>
          </w:tcPr>
          <w:p w14:paraId="5A6AEB11" w14:textId="77777777" w:rsidR="004D6F61" w:rsidRPr="002601CF" w:rsidRDefault="004D6F61" w:rsidP="00DD29F1">
            <w:pPr>
              <w:rPr>
                <w:rFonts w:cstheme="minorHAnsi"/>
                <w:sz w:val="17"/>
                <w:szCs w:val="17"/>
              </w:rPr>
            </w:pPr>
            <w:r w:rsidRPr="002601CF">
              <w:rPr>
                <w:rFonts w:cstheme="minorHAnsi"/>
                <w:color w:val="000000"/>
                <w:sz w:val="17"/>
                <w:szCs w:val="17"/>
              </w:rPr>
              <w:t>Gender: Male</w:t>
            </w:r>
          </w:p>
        </w:tc>
        <w:tc>
          <w:tcPr>
            <w:tcW w:w="1035" w:type="dxa"/>
            <w:shd w:val="clear" w:color="auto" w:fill="auto"/>
          </w:tcPr>
          <w:p w14:paraId="52C8D6FF" w14:textId="77777777" w:rsidR="004D6F61" w:rsidRPr="002601CF" w:rsidRDefault="004D6F61" w:rsidP="00DD29F1">
            <w:pPr>
              <w:jc w:val="right"/>
              <w:rPr>
                <w:rFonts w:cstheme="minorHAnsi"/>
                <w:sz w:val="17"/>
                <w:szCs w:val="17"/>
              </w:rPr>
            </w:pPr>
            <w:r w:rsidRPr="002601CF">
              <w:rPr>
                <w:rFonts w:cstheme="minorHAnsi"/>
                <w:color w:val="000000"/>
                <w:sz w:val="17"/>
                <w:szCs w:val="17"/>
              </w:rPr>
              <w:t>573,059</w:t>
            </w:r>
          </w:p>
        </w:tc>
        <w:tc>
          <w:tcPr>
            <w:tcW w:w="1035" w:type="dxa"/>
            <w:shd w:val="clear" w:color="auto" w:fill="auto"/>
          </w:tcPr>
          <w:p w14:paraId="7DECDD15" w14:textId="77777777" w:rsidR="004D6F61" w:rsidRPr="002601CF" w:rsidRDefault="004D6F61" w:rsidP="00DD29F1">
            <w:pPr>
              <w:jc w:val="right"/>
              <w:rPr>
                <w:rFonts w:cstheme="minorHAnsi"/>
                <w:sz w:val="17"/>
                <w:szCs w:val="17"/>
              </w:rPr>
            </w:pPr>
            <w:r w:rsidRPr="002601CF">
              <w:rPr>
                <w:rFonts w:cstheme="minorHAnsi"/>
                <w:color w:val="000000"/>
                <w:sz w:val="17"/>
                <w:szCs w:val="17"/>
              </w:rPr>
              <w:t>41.0%</w:t>
            </w:r>
          </w:p>
        </w:tc>
      </w:tr>
      <w:tr w:rsidR="004D6F61" w:rsidRPr="002601CF" w14:paraId="56CB5313" w14:textId="77777777" w:rsidTr="00136B11">
        <w:trPr>
          <w:cantSplit/>
          <w:jc w:val="center"/>
        </w:trPr>
        <w:tc>
          <w:tcPr>
            <w:tcW w:w="3875" w:type="dxa"/>
            <w:shd w:val="clear" w:color="auto" w:fill="auto"/>
            <w:vAlign w:val="bottom"/>
          </w:tcPr>
          <w:p w14:paraId="77DB656A" w14:textId="77777777" w:rsidR="004D6F61" w:rsidRPr="002601CF" w:rsidRDefault="004D6F61" w:rsidP="00DD29F1">
            <w:pPr>
              <w:rPr>
                <w:rFonts w:cstheme="minorHAnsi"/>
                <w:sz w:val="17"/>
                <w:szCs w:val="17"/>
              </w:rPr>
            </w:pPr>
            <w:r w:rsidRPr="002601CF">
              <w:rPr>
                <w:rFonts w:cstheme="minorHAnsi"/>
                <w:color w:val="000000"/>
                <w:sz w:val="17"/>
                <w:szCs w:val="17"/>
              </w:rPr>
              <w:t>Gender: Female</w:t>
            </w:r>
          </w:p>
        </w:tc>
        <w:tc>
          <w:tcPr>
            <w:tcW w:w="1035" w:type="dxa"/>
            <w:shd w:val="clear" w:color="auto" w:fill="auto"/>
          </w:tcPr>
          <w:p w14:paraId="36CE8B65" w14:textId="77777777" w:rsidR="004D6F61" w:rsidRPr="002601CF" w:rsidRDefault="004D6F61" w:rsidP="00DD29F1">
            <w:pPr>
              <w:jc w:val="right"/>
              <w:rPr>
                <w:rFonts w:cstheme="minorHAnsi"/>
                <w:sz w:val="17"/>
                <w:szCs w:val="17"/>
              </w:rPr>
            </w:pPr>
            <w:r w:rsidRPr="002601CF">
              <w:rPr>
                <w:rFonts w:cstheme="minorHAnsi"/>
                <w:color w:val="000000"/>
                <w:sz w:val="17"/>
                <w:szCs w:val="17"/>
              </w:rPr>
              <w:t>819,131</w:t>
            </w:r>
          </w:p>
        </w:tc>
        <w:tc>
          <w:tcPr>
            <w:tcW w:w="1035" w:type="dxa"/>
            <w:shd w:val="clear" w:color="auto" w:fill="auto"/>
          </w:tcPr>
          <w:p w14:paraId="2CC68439" w14:textId="77777777" w:rsidR="004D6F61" w:rsidRPr="002601CF" w:rsidRDefault="004D6F61" w:rsidP="00DD29F1">
            <w:pPr>
              <w:jc w:val="right"/>
              <w:rPr>
                <w:rFonts w:cstheme="minorHAnsi"/>
                <w:sz w:val="17"/>
                <w:szCs w:val="17"/>
              </w:rPr>
            </w:pPr>
            <w:r w:rsidRPr="002601CF">
              <w:rPr>
                <w:rFonts w:cstheme="minorHAnsi"/>
                <w:color w:val="000000"/>
                <w:sz w:val="17"/>
                <w:szCs w:val="17"/>
              </w:rPr>
              <w:t>58.6%</w:t>
            </w:r>
          </w:p>
        </w:tc>
      </w:tr>
      <w:tr w:rsidR="004D6F61" w:rsidRPr="002601CF" w14:paraId="609A8322" w14:textId="77777777" w:rsidTr="00136B11">
        <w:trPr>
          <w:cantSplit/>
          <w:jc w:val="center"/>
        </w:trPr>
        <w:tc>
          <w:tcPr>
            <w:tcW w:w="3875" w:type="dxa"/>
            <w:shd w:val="clear" w:color="auto" w:fill="auto"/>
            <w:vAlign w:val="bottom"/>
          </w:tcPr>
          <w:p w14:paraId="513EEDF9" w14:textId="77777777" w:rsidR="004D6F61" w:rsidRPr="002601CF" w:rsidRDefault="004D6F61" w:rsidP="00DD29F1">
            <w:pPr>
              <w:rPr>
                <w:rFonts w:cstheme="minorHAnsi"/>
                <w:sz w:val="17"/>
                <w:szCs w:val="17"/>
              </w:rPr>
            </w:pPr>
            <w:r w:rsidRPr="002601CF">
              <w:rPr>
                <w:rFonts w:cstheme="minorHAnsi"/>
                <w:color w:val="000000"/>
                <w:sz w:val="17"/>
                <w:szCs w:val="17"/>
              </w:rPr>
              <w:t>Gender: Other</w:t>
            </w:r>
            <w:r w:rsidRPr="002601CF">
              <w:rPr>
                <w:rStyle w:val="FootnoteReference"/>
                <w:rFonts w:cstheme="minorHAnsi"/>
                <w:color w:val="000000"/>
                <w:sz w:val="17"/>
                <w:szCs w:val="17"/>
              </w:rPr>
              <w:footnoteReference w:id="2"/>
            </w:r>
          </w:p>
        </w:tc>
        <w:tc>
          <w:tcPr>
            <w:tcW w:w="1035" w:type="dxa"/>
            <w:shd w:val="clear" w:color="auto" w:fill="auto"/>
          </w:tcPr>
          <w:p w14:paraId="763C3CC6" w14:textId="77777777" w:rsidR="004D6F61" w:rsidRPr="002601CF" w:rsidRDefault="004D6F61" w:rsidP="00DD29F1">
            <w:pPr>
              <w:jc w:val="right"/>
              <w:rPr>
                <w:rFonts w:cstheme="minorHAnsi"/>
                <w:sz w:val="17"/>
                <w:szCs w:val="17"/>
              </w:rPr>
            </w:pPr>
            <w:r w:rsidRPr="002601CF">
              <w:rPr>
                <w:rFonts w:cstheme="minorHAnsi"/>
                <w:color w:val="000000"/>
                <w:sz w:val="17"/>
                <w:szCs w:val="17"/>
              </w:rPr>
              <w:t>6,731</w:t>
            </w:r>
          </w:p>
        </w:tc>
        <w:tc>
          <w:tcPr>
            <w:tcW w:w="1035" w:type="dxa"/>
            <w:shd w:val="clear" w:color="auto" w:fill="auto"/>
          </w:tcPr>
          <w:p w14:paraId="7FF47787" w14:textId="77777777" w:rsidR="004D6F61" w:rsidRPr="002601CF" w:rsidRDefault="004D6F61" w:rsidP="00DD29F1">
            <w:pPr>
              <w:jc w:val="right"/>
              <w:rPr>
                <w:rFonts w:cstheme="minorHAnsi"/>
                <w:sz w:val="17"/>
                <w:szCs w:val="17"/>
              </w:rPr>
            </w:pPr>
            <w:r w:rsidRPr="002601CF">
              <w:rPr>
                <w:rFonts w:cstheme="minorHAnsi"/>
                <w:color w:val="000000"/>
                <w:sz w:val="17"/>
                <w:szCs w:val="17"/>
              </w:rPr>
              <w:t>0.5%</w:t>
            </w:r>
          </w:p>
        </w:tc>
      </w:tr>
      <w:tr w:rsidR="004D6F61" w:rsidRPr="002601CF" w14:paraId="6ABF34CD" w14:textId="77777777" w:rsidTr="00136B11">
        <w:trPr>
          <w:cantSplit/>
          <w:jc w:val="center"/>
        </w:trPr>
        <w:tc>
          <w:tcPr>
            <w:tcW w:w="3875" w:type="dxa"/>
            <w:shd w:val="clear" w:color="auto" w:fill="auto"/>
            <w:vAlign w:val="bottom"/>
          </w:tcPr>
          <w:p w14:paraId="22A58A64" w14:textId="77777777" w:rsidR="004D6F61" w:rsidRPr="002601CF" w:rsidRDefault="004D6F61" w:rsidP="00DD29F1">
            <w:pPr>
              <w:rPr>
                <w:rFonts w:cstheme="minorHAnsi"/>
                <w:sz w:val="17"/>
                <w:szCs w:val="17"/>
              </w:rPr>
            </w:pPr>
            <w:r w:rsidRPr="002601CF">
              <w:rPr>
                <w:rFonts w:cstheme="minorHAnsi"/>
                <w:color w:val="000000"/>
                <w:sz w:val="17"/>
                <w:szCs w:val="17"/>
              </w:rPr>
              <w:t>Race: White</w:t>
            </w:r>
          </w:p>
        </w:tc>
        <w:tc>
          <w:tcPr>
            <w:tcW w:w="1035" w:type="dxa"/>
            <w:shd w:val="clear" w:color="auto" w:fill="auto"/>
          </w:tcPr>
          <w:p w14:paraId="43BAEC67" w14:textId="77777777" w:rsidR="004D6F61" w:rsidRPr="002601CF" w:rsidRDefault="004D6F61" w:rsidP="00DD29F1">
            <w:pPr>
              <w:jc w:val="right"/>
              <w:rPr>
                <w:rFonts w:cstheme="minorHAnsi"/>
                <w:sz w:val="17"/>
                <w:szCs w:val="17"/>
              </w:rPr>
            </w:pPr>
            <w:r w:rsidRPr="002601CF">
              <w:rPr>
                <w:rFonts w:cstheme="minorHAnsi"/>
                <w:color w:val="000000"/>
                <w:sz w:val="17"/>
                <w:szCs w:val="17"/>
              </w:rPr>
              <w:t>1,057,436</w:t>
            </w:r>
          </w:p>
        </w:tc>
        <w:tc>
          <w:tcPr>
            <w:tcW w:w="1035" w:type="dxa"/>
            <w:shd w:val="clear" w:color="auto" w:fill="auto"/>
          </w:tcPr>
          <w:p w14:paraId="750C0F98" w14:textId="77777777" w:rsidR="004D6F61" w:rsidRPr="002601CF" w:rsidRDefault="004D6F61" w:rsidP="00DD29F1">
            <w:pPr>
              <w:jc w:val="right"/>
              <w:rPr>
                <w:rFonts w:cstheme="minorHAnsi"/>
                <w:sz w:val="17"/>
                <w:szCs w:val="17"/>
              </w:rPr>
            </w:pPr>
            <w:r w:rsidRPr="002601CF">
              <w:rPr>
                <w:rFonts w:cstheme="minorHAnsi"/>
                <w:color w:val="000000"/>
                <w:sz w:val="17"/>
                <w:szCs w:val="17"/>
              </w:rPr>
              <w:t>75.6%</w:t>
            </w:r>
          </w:p>
        </w:tc>
      </w:tr>
      <w:tr w:rsidR="004D6F61" w:rsidRPr="002601CF" w14:paraId="69555C31" w14:textId="77777777" w:rsidTr="00136B11">
        <w:trPr>
          <w:cantSplit/>
          <w:jc w:val="center"/>
        </w:trPr>
        <w:tc>
          <w:tcPr>
            <w:tcW w:w="3875" w:type="dxa"/>
            <w:shd w:val="clear" w:color="auto" w:fill="auto"/>
            <w:vAlign w:val="bottom"/>
          </w:tcPr>
          <w:p w14:paraId="44597C9B" w14:textId="77777777" w:rsidR="004D6F61" w:rsidRPr="002601CF" w:rsidRDefault="004D6F61" w:rsidP="00DD29F1">
            <w:pPr>
              <w:rPr>
                <w:rFonts w:cstheme="minorHAnsi"/>
                <w:sz w:val="17"/>
                <w:szCs w:val="17"/>
              </w:rPr>
            </w:pPr>
            <w:r w:rsidRPr="002601CF">
              <w:rPr>
                <w:rFonts w:cstheme="minorHAnsi"/>
                <w:color w:val="000000"/>
                <w:sz w:val="17"/>
                <w:szCs w:val="17"/>
              </w:rPr>
              <w:t>Race: Black or African American</w:t>
            </w:r>
          </w:p>
        </w:tc>
        <w:tc>
          <w:tcPr>
            <w:tcW w:w="1035" w:type="dxa"/>
            <w:shd w:val="clear" w:color="auto" w:fill="auto"/>
          </w:tcPr>
          <w:p w14:paraId="380E21DF" w14:textId="77777777" w:rsidR="004D6F61" w:rsidRPr="002601CF" w:rsidRDefault="004D6F61" w:rsidP="00DD29F1">
            <w:pPr>
              <w:jc w:val="right"/>
              <w:rPr>
                <w:rFonts w:cstheme="minorHAnsi"/>
                <w:sz w:val="17"/>
                <w:szCs w:val="17"/>
              </w:rPr>
            </w:pPr>
            <w:r w:rsidRPr="002601CF">
              <w:rPr>
                <w:rFonts w:cstheme="minorHAnsi"/>
                <w:color w:val="000000"/>
                <w:sz w:val="17"/>
                <w:szCs w:val="17"/>
              </w:rPr>
              <w:t>79,023</w:t>
            </w:r>
          </w:p>
        </w:tc>
        <w:tc>
          <w:tcPr>
            <w:tcW w:w="1035" w:type="dxa"/>
            <w:shd w:val="clear" w:color="auto" w:fill="auto"/>
          </w:tcPr>
          <w:p w14:paraId="11364081" w14:textId="77777777" w:rsidR="004D6F61" w:rsidRPr="002601CF" w:rsidRDefault="004D6F61" w:rsidP="00DD29F1">
            <w:pPr>
              <w:jc w:val="right"/>
              <w:rPr>
                <w:rFonts w:cstheme="minorHAnsi"/>
                <w:sz w:val="17"/>
                <w:szCs w:val="17"/>
              </w:rPr>
            </w:pPr>
            <w:r w:rsidRPr="002601CF">
              <w:rPr>
                <w:rFonts w:cstheme="minorHAnsi"/>
                <w:color w:val="000000"/>
                <w:sz w:val="17"/>
                <w:szCs w:val="17"/>
              </w:rPr>
              <w:t>5.6%</w:t>
            </w:r>
          </w:p>
        </w:tc>
      </w:tr>
      <w:tr w:rsidR="004D6F61" w:rsidRPr="002601CF" w14:paraId="29EE4F83" w14:textId="77777777" w:rsidTr="00136B11">
        <w:trPr>
          <w:cantSplit/>
          <w:jc w:val="center"/>
        </w:trPr>
        <w:tc>
          <w:tcPr>
            <w:tcW w:w="3875" w:type="dxa"/>
            <w:shd w:val="clear" w:color="auto" w:fill="auto"/>
            <w:vAlign w:val="bottom"/>
          </w:tcPr>
          <w:p w14:paraId="0ABEC102" w14:textId="77777777" w:rsidR="004D6F61" w:rsidRPr="002601CF" w:rsidRDefault="004D6F61" w:rsidP="00DD29F1">
            <w:pPr>
              <w:rPr>
                <w:rFonts w:cstheme="minorHAnsi"/>
                <w:sz w:val="17"/>
                <w:szCs w:val="17"/>
              </w:rPr>
            </w:pPr>
            <w:r w:rsidRPr="002601CF">
              <w:rPr>
                <w:rFonts w:cstheme="minorHAnsi"/>
                <w:color w:val="000000"/>
                <w:sz w:val="17"/>
                <w:szCs w:val="17"/>
              </w:rPr>
              <w:t>Race: American Indian or Alaska Native</w:t>
            </w:r>
          </w:p>
        </w:tc>
        <w:tc>
          <w:tcPr>
            <w:tcW w:w="1035" w:type="dxa"/>
            <w:shd w:val="clear" w:color="auto" w:fill="auto"/>
          </w:tcPr>
          <w:p w14:paraId="52FF3135" w14:textId="77777777" w:rsidR="004D6F61" w:rsidRPr="002601CF" w:rsidRDefault="004D6F61" w:rsidP="00DD29F1">
            <w:pPr>
              <w:jc w:val="right"/>
              <w:rPr>
                <w:rFonts w:cstheme="minorHAnsi"/>
                <w:sz w:val="17"/>
                <w:szCs w:val="17"/>
              </w:rPr>
            </w:pPr>
            <w:r w:rsidRPr="002601CF">
              <w:rPr>
                <w:rFonts w:cstheme="minorHAnsi"/>
                <w:color w:val="000000"/>
                <w:sz w:val="17"/>
                <w:szCs w:val="17"/>
              </w:rPr>
              <w:t>1,819</w:t>
            </w:r>
          </w:p>
        </w:tc>
        <w:tc>
          <w:tcPr>
            <w:tcW w:w="1035" w:type="dxa"/>
            <w:shd w:val="clear" w:color="auto" w:fill="auto"/>
          </w:tcPr>
          <w:p w14:paraId="230FA309" w14:textId="77777777" w:rsidR="004D6F61" w:rsidRPr="002601CF" w:rsidRDefault="004D6F61" w:rsidP="00DD29F1">
            <w:pPr>
              <w:jc w:val="right"/>
              <w:rPr>
                <w:rFonts w:cstheme="minorHAnsi"/>
                <w:sz w:val="17"/>
                <w:szCs w:val="17"/>
              </w:rPr>
            </w:pPr>
            <w:r w:rsidRPr="002601CF">
              <w:rPr>
                <w:rFonts w:cstheme="minorHAnsi"/>
                <w:color w:val="000000"/>
                <w:sz w:val="17"/>
                <w:szCs w:val="17"/>
              </w:rPr>
              <w:t>0.1%</w:t>
            </w:r>
          </w:p>
        </w:tc>
      </w:tr>
      <w:tr w:rsidR="004D6F61" w:rsidRPr="002601CF" w14:paraId="091F8B91" w14:textId="77777777" w:rsidTr="00136B11">
        <w:trPr>
          <w:cantSplit/>
          <w:jc w:val="center"/>
        </w:trPr>
        <w:tc>
          <w:tcPr>
            <w:tcW w:w="3875" w:type="dxa"/>
            <w:shd w:val="clear" w:color="auto" w:fill="auto"/>
            <w:vAlign w:val="bottom"/>
          </w:tcPr>
          <w:p w14:paraId="366D13C1" w14:textId="77777777" w:rsidR="004D6F61" w:rsidRPr="002601CF" w:rsidRDefault="004D6F61" w:rsidP="00DD29F1">
            <w:pPr>
              <w:rPr>
                <w:rFonts w:cstheme="minorHAnsi"/>
                <w:sz w:val="17"/>
                <w:szCs w:val="17"/>
              </w:rPr>
            </w:pPr>
            <w:r w:rsidRPr="002601CF">
              <w:rPr>
                <w:rFonts w:cstheme="minorHAnsi"/>
                <w:color w:val="000000"/>
                <w:sz w:val="17"/>
                <w:szCs w:val="17"/>
              </w:rPr>
              <w:t>Race: Asian</w:t>
            </w:r>
          </w:p>
        </w:tc>
        <w:tc>
          <w:tcPr>
            <w:tcW w:w="1035" w:type="dxa"/>
            <w:shd w:val="clear" w:color="auto" w:fill="auto"/>
          </w:tcPr>
          <w:p w14:paraId="119BB1AD" w14:textId="77777777" w:rsidR="004D6F61" w:rsidRPr="002601CF" w:rsidRDefault="004D6F61" w:rsidP="00DD29F1">
            <w:pPr>
              <w:jc w:val="right"/>
              <w:rPr>
                <w:rFonts w:cstheme="minorHAnsi"/>
                <w:sz w:val="17"/>
                <w:szCs w:val="17"/>
              </w:rPr>
            </w:pPr>
            <w:r w:rsidRPr="002601CF">
              <w:rPr>
                <w:rFonts w:cstheme="minorHAnsi"/>
                <w:color w:val="000000"/>
                <w:sz w:val="17"/>
                <w:szCs w:val="17"/>
              </w:rPr>
              <w:t>95,061</w:t>
            </w:r>
          </w:p>
        </w:tc>
        <w:tc>
          <w:tcPr>
            <w:tcW w:w="1035" w:type="dxa"/>
            <w:shd w:val="clear" w:color="auto" w:fill="auto"/>
          </w:tcPr>
          <w:p w14:paraId="1CFBF62B" w14:textId="77777777" w:rsidR="004D6F61" w:rsidRPr="002601CF" w:rsidRDefault="004D6F61" w:rsidP="00DD29F1">
            <w:pPr>
              <w:jc w:val="right"/>
              <w:rPr>
                <w:rFonts w:cstheme="minorHAnsi"/>
                <w:sz w:val="17"/>
                <w:szCs w:val="17"/>
              </w:rPr>
            </w:pPr>
            <w:r w:rsidRPr="002601CF">
              <w:rPr>
                <w:rFonts w:cstheme="minorHAnsi"/>
                <w:color w:val="000000"/>
                <w:sz w:val="17"/>
                <w:szCs w:val="17"/>
              </w:rPr>
              <w:t>6.8%</w:t>
            </w:r>
          </w:p>
        </w:tc>
      </w:tr>
      <w:tr w:rsidR="004D6F61" w:rsidRPr="002601CF" w14:paraId="756C75CD" w14:textId="77777777" w:rsidTr="00136B11">
        <w:trPr>
          <w:cantSplit/>
          <w:jc w:val="center"/>
        </w:trPr>
        <w:tc>
          <w:tcPr>
            <w:tcW w:w="3875" w:type="dxa"/>
            <w:shd w:val="clear" w:color="auto" w:fill="auto"/>
            <w:vAlign w:val="bottom"/>
          </w:tcPr>
          <w:p w14:paraId="1A39F925" w14:textId="77777777" w:rsidR="004D6F61" w:rsidRPr="002601CF" w:rsidRDefault="004D6F61" w:rsidP="00DD29F1">
            <w:pPr>
              <w:rPr>
                <w:rFonts w:cstheme="minorHAnsi"/>
                <w:sz w:val="17"/>
                <w:szCs w:val="17"/>
              </w:rPr>
            </w:pPr>
            <w:r w:rsidRPr="002601CF">
              <w:rPr>
                <w:rFonts w:cstheme="minorHAnsi"/>
                <w:color w:val="000000"/>
                <w:sz w:val="17"/>
                <w:szCs w:val="17"/>
              </w:rPr>
              <w:t>Race: Native Hawaiian or Other Pacific Islander</w:t>
            </w:r>
          </w:p>
        </w:tc>
        <w:tc>
          <w:tcPr>
            <w:tcW w:w="1035" w:type="dxa"/>
            <w:shd w:val="clear" w:color="auto" w:fill="auto"/>
          </w:tcPr>
          <w:p w14:paraId="3D17AE26" w14:textId="77777777" w:rsidR="004D6F61" w:rsidRPr="002601CF" w:rsidRDefault="004D6F61" w:rsidP="00DD29F1">
            <w:pPr>
              <w:jc w:val="right"/>
              <w:rPr>
                <w:rFonts w:cstheme="minorHAnsi"/>
                <w:sz w:val="17"/>
                <w:szCs w:val="17"/>
              </w:rPr>
            </w:pPr>
            <w:r w:rsidRPr="002601CF">
              <w:rPr>
                <w:rFonts w:cstheme="minorHAnsi"/>
                <w:color w:val="000000"/>
                <w:sz w:val="17"/>
                <w:szCs w:val="17"/>
              </w:rPr>
              <w:t>934</w:t>
            </w:r>
          </w:p>
        </w:tc>
        <w:tc>
          <w:tcPr>
            <w:tcW w:w="1035" w:type="dxa"/>
            <w:shd w:val="clear" w:color="auto" w:fill="auto"/>
          </w:tcPr>
          <w:p w14:paraId="5080BA00" w14:textId="77777777" w:rsidR="004D6F61" w:rsidRPr="002601CF" w:rsidRDefault="004D6F61" w:rsidP="00DD29F1">
            <w:pPr>
              <w:jc w:val="right"/>
              <w:rPr>
                <w:rFonts w:cstheme="minorHAnsi"/>
                <w:sz w:val="17"/>
                <w:szCs w:val="17"/>
              </w:rPr>
            </w:pPr>
            <w:r w:rsidRPr="002601CF">
              <w:rPr>
                <w:rFonts w:cstheme="minorHAnsi"/>
                <w:color w:val="000000"/>
                <w:sz w:val="17"/>
                <w:szCs w:val="17"/>
              </w:rPr>
              <w:t>0.1%</w:t>
            </w:r>
          </w:p>
        </w:tc>
      </w:tr>
      <w:tr w:rsidR="004D6F61" w:rsidRPr="002601CF" w14:paraId="0B722832" w14:textId="77777777" w:rsidTr="00136B11">
        <w:trPr>
          <w:cantSplit/>
          <w:jc w:val="center"/>
        </w:trPr>
        <w:tc>
          <w:tcPr>
            <w:tcW w:w="3875" w:type="dxa"/>
            <w:shd w:val="clear" w:color="auto" w:fill="auto"/>
            <w:vAlign w:val="bottom"/>
          </w:tcPr>
          <w:p w14:paraId="5CF03793" w14:textId="77777777" w:rsidR="004D6F61" w:rsidRPr="002601CF" w:rsidRDefault="004D6F61" w:rsidP="00DD29F1">
            <w:pPr>
              <w:rPr>
                <w:rFonts w:cstheme="minorHAnsi"/>
                <w:sz w:val="17"/>
                <w:szCs w:val="17"/>
              </w:rPr>
            </w:pPr>
            <w:r w:rsidRPr="002601CF">
              <w:rPr>
                <w:rFonts w:cstheme="minorHAnsi"/>
                <w:color w:val="000000"/>
                <w:sz w:val="17"/>
                <w:szCs w:val="17"/>
              </w:rPr>
              <w:t>Race: Other</w:t>
            </w:r>
          </w:p>
        </w:tc>
        <w:tc>
          <w:tcPr>
            <w:tcW w:w="1035" w:type="dxa"/>
            <w:shd w:val="clear" w:color="auto" w:fill="auto"/>
          </w:tcPr>
          <w:p w14:paraId="0690F738" w14:textId="77777777" w:rsidR="004D6F61" w:rsidRPr="002601CF" w:rsidRDefault="004D6F61" w:rsidP="00DD29F1">
            <w:pPr>
              <w:jc w:val="right"/>
              <w:rPr>
                <w:rFonts w:cstheme="minorHAnsi"/>
                <w:sz w:val="17"/>
                <w:szCs w:val="17"/>
              </w:rPr>
            </w:pPr>
            <w:r w:rsidRPr="002601CF">
              <w:rPr>
                <w:rFonts w:cstheme="minorHAnsi"/>
                <w:color w:val="000000"/>
                <w:sz w:val="17"/>
                <w:szCs w:val="17"/>
              </w:rPr>
              <w:t>66,961</w:t>
            </w:r>
          </w:p>
        </w:tc>
        <w:tc>
          <w:tcPr>
            <w:tcW w:w="1035" w:type="dxa"/>
            <w:shd w:val="clear" w:color="auto" w:fill="auto"/>
          </w:tcPr>
          <w:p w14:paraId="0268D9A4" w14:textId="77777777" w:rsidR="004D6F61" w:rsidRPr="002601CF" w:rsidRDefault="004D6F61" w:rsidP="00DD29F1">
            <w:pPr>
              <w:jc w:val="right"/>
              <w:rPr>
                <w:rFonts w:cstheme="minorHAnsi"/>
                <w:sz w:val="17"/>
                <w:szCs w:val="17"/>
              </w:rPr>
            </w:pPr>
            <w:r w:rsidRPr="002601CF">
              <w:rPr>
                <w:rFonts w:cstheme="minorHAnsi"/>
                <w:color w:val="000000"/>
                <w:sz w:val="17"/>
                <w:szCs w:val="17"/>
              </w:rPr>
              <w:t>4.8%</w:t>
            </w:r>
          </w:p>
        </w:tc>
      </w:tr>
      <w:tr w:rsidR="004D6F61" w:rsidRPr="002601CF" w14:paraId="1CF63D27" w14:textId="77777777" w:rsidTr="00136B11">
        <w:trPr>
          <w:cantSplit/>
          <w:jc w:val="center"/>
        </w:trPr>
        <w:tc>
          <w:tcPr>
            <w:tcW w:w="3875" w:type="dxa"/>
            <w:shd w:val="clear" w:color="auto" w:fill="auto"/>
            <w:vAlign w:val="bottom"/>
          </w:tcPr>
          <w:p w14:paraId="357CC1CF" w14:textId="77777777" w:rsidR="004D6F61" w:rsidRPr="002601CF" w:rsidRDefault="004D6F61" w:rsidP="00DD29F1">
            <w:pPr>
              <w:rPr>
                <w:rFonts w:cstheme="minorHAnsi"/>
                <w:sz w:val="17"/>
                <w:szCs w:val="17"/>
              </w:rPr>
            </w:pPr>
            <w:r w:rsidRPr="002601CF">
              <w:rPr>
                <w:rFonts w:cstheme="minorHAnsi"/>
                <w:color w:val="000000"/>
                <w:sz w:val="17"/>
                <w:szCs w:val="17"/>
              </w:rPr>
              <w:t>Race: Unknown</w:t>
            </w:r>
          </w:p>
        </w:tc>
        <w:tc>
          <w:tcPr>
            <w:tcW w:w="1035" w:type="dxa"/>
            <w:shd w:val="clear" w:color="auto" w:fill="auto"/>
          </w:tcPr>
          <w:p w14:paraId="0E240327" w14:textId="77777777" w:rsidR="004D6F61" w:rsidRPr="002601CF" w:rsidRDefault="004D6F61" w:rsidP="00DD29F1">
            <w:pPr>
              <w:jc w:val="right"/>
              <w:rPr>
                <w:rFonts w:cstheme="minorHAnsi"/>
                <w:sz w:val="17"/>
                <w:szCs w:val="17"/>
              </w:rPr>
            </w:pPr>
            <w:r w:rsidRPr="002601CF">
              <w:rPr>
                <w:rFonts w:cstheme="minorHAnsi"/>
                <w:color w:val="000000"/>
                <w:sz w:val="17"/>
                <w:szCs w:val="17"/>
              </w:rPr>
              <w:t>78,252</w:t>
            </w:r>
          </w:p>
        </w:tc>
        <w:tc>
          <w:tcPr>
            <w:tcW w:w="1035" w:type="dxa"/>
            <w:shd w:val="clear" w:color="auto" w:fill="auto"/>
          </w:tcPr>
          <w:p w14:paraId="16999502" w14:textId="77777777" w:rsidR="004D6F61" w:rsidRPr="002601CF" w:rsidRDefault="004D6F61" w:rsidP="00DD29F1">
            <w:pPr>
              <w:jc w:val="right"/>
              <w:rPr>
                <w:rFonts w:cstheme="minorHAnsi"/>
                <w:sz w:val="17"/>
                <w:szCs w:val="17"/>
              </w:rPr>
            </w:pPr>
            <w:r w:rsidRPr="002601CF">
              <w:rPr>
                <w:rFonts w:cstheme="minorHAnsi"/>
                <w:color w:val="000000"/>
                <w:sz w:val="17"/>
                <w:szCs w:val="17"/>
              </w:rPr>
              <w:t>5.6%</w:t>
            </w:r>
          </w:p>
        </w:tc>
      </w:tr>
      <w:tr w:rsidR="004D6F61" w:rsidRPr="002601CF" w14:paraId="157B22CA" w14:textId="77777777" w:rsidTr="00136B11">
        <w:trPr>
          <w:cantSplit/>
          <w:jc w:val="center"/>
        </w:trPr>
        <w:tc>
          <w:tcPr>
            <w:tcW w:w="3875" w:type="dxa"/>
            <w:shd w:val="clear" w:color="auto" w:fill="auto"/>
            <w:vAlign w:val="bottom"/>
          </w:tcPr>
          <w:p w14:paraId="2D94C953" w14:textId="77777777" w:rsidR="004D6F61" w:rsidRPr="002601CF" w:rsidRDefault="004D6F61" w:rsidP="00DD29F1">
            <w:pPr>
              <w:rPr>
                <w:rFonts w:cstheme="minorHAnsi"/>
                <w:sz w:val="17"/>
                <w:szCs w:val="17"/>
              </w:rPr>
            </w:pPr>
            <w:r w:rsidRPr="002601CF">
              <w:rPr>
                <w:rFonts w:cstheme="minorHAnsi"/>
                <w:color w:val="000000"/>
                <w:sz w:val="17"/>
                <w:szCs w:val="17"/>
              </w:rPr>
              <w:t>Race: Patient Declined</w:t>
            </w:r>
          </w:p>
        </w:tc>
        <w:tc>
          <w:tcPr>
            <w:tcW w:w="1035" w:type="dxa"/>
            <w:shd w:val="clear" w:color="auto" w:fill="auto"/>
          </w:tcPr>
          <w:p w14:paraId="3FFC4BEB" w14:textId="77777777" w:rsidR="004D6F61" w:rsidRPr="002601CF" w:rsidRDefault="004D6F61" w:rsidP="00DD29F1">
            <w:pPr>
              <w:jc w:val="right"/>
              <w:rPr>
                <w:rFonts w:cstheme="minorHAnsi"/>
                <w:sz w:val="17"/>
                <w:szCs w:val="17"/>
              </w:rPr>
            </w:pPr>
            <w:r w:rsidRPr="002601CF">
              <w:rPr>
                <w:rFonts w:cstheme="minorHAnsi"/>
                <w:color w:val="000000"/>
                <w:sz w:val="17"/>
                <w:szCs w:val="17"/>
              </w:rPr>
              <w:t>19,435</w:t>
            </w:r>
          </w:p>
        </w:tc>
        <w:tc>
          <w:tcPr>
            <w:tcW w:w="1035" w:type="dxa"/>
            <w:shd w:val="clear" w:color="auto" w:fill="auto"/>
          </w:tcPr>
          <w:p w14:paraId="4CF95D3F" w14:textId="77777777" w:rsidR="004D6F61" w:rsidRPr="002601CF" w:rsidRDefault="004D6F61" w:rsidP="00DD29F1">
            <w:pPr>
              <w:jc w:val="right"/>
              <w:rPr>
                <w:rFonts w:cstheme="minorHAnsi"/>
                <w:sz w:val="17"/>
                <w:szCs w:val="17"/>
              </w:rPr>
            </w:pPr>
            <w:r w:rsidRPr="002601CF">
              <w:rPr>
                <w:rFonts w:cstheme="minorHAnsi"/>
                <w:color w:val="000000"/>
                <w:sz w:val="17"/>
                <w:szCs w:val="17"/>
              </w:rPr>
              <w:t>1.4%</w:t>
            </w:r>
          </w:p>
        </w:tc>
      </w:tr>
      <w:tr w:rsidR="004D6F61" w:rsidRPr="002601CF" w14:paraId="274858B9" w14:textId="77777777" w:rsidTr="00136B11">
        <w:trPr>
          <w:cantSplit/>
          <w:jc w:val="center"/>
        </w:trPr>
        <w:tc>
          <w:tcPr>
            <w:tcW w:w="3875" w:type="dxa"/>
            <w:shd w:val="clear" w:color="auto" w:fill="auto"/>
            <w:vAlign w:val="bottom"/>
          </w:tcPr>
          <w:p w14:paraId="2FF25E40" w14:textId="77777777" w:rsidR="004D6F61" w:rsidRPr="002601CF" w:rsidRDefault="004D6F61" w:rsidP="00DD29F1">
            <w:pPr>
              <w:rPr>
                <w:rFonts w:cstheme="minorHAnsi"/>
                <w:sz w:val="17"/>
                <w:szCs w:val="17"/>
              </w:rPr>
            </w:pPr>
            <w:r w:rsidRPr="002601CF">
              <w:rPr>
                <w:rFonts w:cstheme="minorHAnsi"/>
                <w:color w:val="000000"/>
                <w:sz w:val="17"/>
                <w:szCs w:val="17"/>
              </w:rPr>
              <w:t>Ethnicity: Hispanic or Latino</w:t>
            </w:r>
          </w:p>
        </w:tc>
        <w:tc>
          <w:tcPr>
            <w:tcW w:w="1035" w:type="dxa"/>
            <w:shd w:val="clear" w:color="auto" w:fill="auto"/>
          </w:tcPr>
          <w:p w14:paraId="00167FF1" w14:textId="77777777" w:rsidR="004D6F61" w:rsidRPr="002601CF" w:rsidRDefault="004D6F61" w:rsidP="00DD29F1">
            <w:pPr>
              <w:jc w:val="right"/>
              <w:rPr>
                <w:rFonts w:cstheme="minorHAnsi"/>
                <w:sz w:val="17"/>
                <w:szCs w:val="17"/>
              </w:rPr>
            </w:pPr>
            <w:r w:rsidRPr="002601CF">
              <w:rPr>
                <w:rFonts w:cstheme="minorHAnsi"/>
                <w:color w:val="000000"/>
                <w:sz w:val="17"/>
                <w:szCs w:val="17"/>
              </w:rPr>
              <w:t>52,818</w:t>
            </w:r>
          </w:p>
        </w:tc>
        <w:tc>
          <w:tcPr>
            <w:tcW w:w="1035" w:type="dxa"/>
            <w:shd w:val="clear" w:color="auto" w:fill="auto"/>
          </w:tcPr>
          <w:p w14:paraId="7A36E6FC" w14:textId="77777777" w:rsidR="004D6F61" w:rsidRPr="002601CF" w:rsidRDefault="004D6F61" w:rsidP="00DD29F1">
            <w:pPr>
              <w:jc w:val="right"/>
              <w:rPr>
                <w:rFonts w:cstheme="minorHAnsi"/>
                <w:sz w:val="17"/>
                <w:szCs w:val="17"/>
              </w:rPr>
            </w:pPr>
            <w:r w:rsidRPr="002601CF">
              <w:rPr>
                <w:rFonts w:cstheme="minorHAnsi"/>
                <w:color w:val="000000"/>
                <w:sz w:val="17"/>
                <w:szCs w:val="17"/>
              </w:rPr>
              <w:t>3.8%</w:t>
            </w:r>
          </w:p>
        </w:tc>
      </w:tr>
      <w:tr w:rsidR="004D6F61" w:rsidRPr="002601CF" w14:paraId="2A8B2F13" w14:textId="77777777" w:rsidTr="00136B11">
        <w:trPr>
          <w:cantSplit/>
          <w:jc w:val="center"/>
        </w:trPr>
        <w:tc>
          <w:tcPr>
            <w:tcW w:w="3875" w:type="dxa"/>
            <w:shd w:val="clear" w:color="auto" w:fill="auto"/>
            <w:vAlign w:val="bottom"/>
          </w:tcPr>
          <w:p w14:paraId="1D80662F" w14:textId="77777777" w:rsidR="004D6F61" w:rsidRPr="002601CF" w:rsidRDefault="004D6F61" w:rsidP="00DD29F1">
            <w:pPr>
              <w:rPr>
                <w:rFonts w:cstheme="minorHAnsi"/>
                <w:sz w:val="17"/>
                <w:szCs w:val="17"/>
              </w:rPr>
            </w:pPr>
            <w:r w:rsidRPr="002601CF">
              <w:rPr>
                <w:rFonts w:cstheme="minorHAnsi"/>
                <w:color w:val="000000"/>
                <w:sz w:val="17"/>
                <w:szCs w:val="17"/>
              </w:rPr>
              <w:t>Ethnicity: Not Hispanic or Latino</w:t>
            </w:r>
          </w:p>
        </w:tc>
        <w:tc>
          <w:tcPr>
            <w:tcW w:w="1035" w:type="dxa"/>
            <w:shd w:val="clear" w:color="auto" w:fill="auto"/>
          </w:tcPr>
          <w:p w14:paraId="61DCDCA8" w14:textId="77777777" w:rsidR="004D6F61" w:rsidRPr="002601CF" w:rsidRDefault="004D6F61" w:rsidP="00DD29F1">
            <w:pPr>
              <w:jc w:val="right"/>
              <w:rPr>
                <w:rFonts w:cstheme="minorHAnsi"/>
                <w:sz w:val="17"/>
                <w:szCs w:val="17"/>
              </w:rPr>
            </w:pPr>
            <w:r w:rsidRPr="002601CF">
              <w:rPr>
                <w:rFonts w:cstheme="minorHAnsi"/>
                <w:color w:val="000000"/>
                <w:sz w:val="17"/>
                <w:szCs w:val="17"/>
              </w:rPr>
              <w:t>1,242,712</w:t>
            </w:r>
          </w:p>
        </w:tc>
        <w:tc>
          <w:tcPr>
            <w:tcW w:w="1035" w:type="dxa"/>
            <w:shd w:val="clear" w:color="auto" w:fill="auto"/>
          </w:tcPr>
          <w:p w14:paraId="710A1316" w14:textId="77777777" w:rsidR="004D6F61" w:rsidRPr="002601CF" w:rsidRDefault="004D6F61" w:rsidP="00DD29F1">
            <w:pPr>
              <w:jc w:val="right"/>
              <w:rPr>
                <w:rFonts w:cstheme="minorHAnsi"/>
                <w:sz w:val="17"/>
                <w:szCs w:val="17"/>
              </w:rPr>
            </w:pPr>
            <w:r w:rsidRPr="002601CF">
              <w:rPr>
                <w:rFonts w:cstheme="minorHAnsi"/>
                <w:color w:val="000000"/>
                <w:sz w:val="17"/>
                <w:szCs w:val="17"/>
              </w:rPr>
              <w:t>88.8%</w:t>
            </w:r>
          </w:p>
        </w:tc>
      </w:tr>
      <w:tr w:rsidR="004D6F61" w:rsidRPr="002601CF" w14:paraId="2043F34D" w14:textId="77777777" w:rsidTr="00136B11">
        <w:trPr>
          <w:cantSplit/>
          <w:jc w:val="center"/>
        </w:trPr>
        <w:tc>
          <w:tcPr>
            <w:tcW w:w="3875" w:type="dxa"/>
            <w:shd w:val="clear" w:color="auto" w:fill="auto"/>
            <w:vAlign w:val="bottom"/>
          </w:tcPr>
          <w:p w14:paraId="3899BDF3" w14:textId="77777777" w:rsidR="004D6F61" w:rsidRPr="002601CF" w:rsidRDefault="004D6F61" w:rsidP="00DD29F1">
            <w:pPr>
              <w:rPr>
                <w:rFonts w:cstheme="minorHAnsi"/>
                <w:sz w:val="17"/>
                <w:szCs w:val="17"/>
              </w:rPr>
            </w:pPr>
            <w:r w:rsidRPr="002601CF">
              <w:rPr>
                <w:rFonts w:cstheme="minorHAnsi"/>
                <w:color w:val="000000"/>
                <w:sz w:val="17"/>
                <w:szCs w:val="17"/>
              </w:rPr>
              <w:t>Ethnicity: Other</w:t>
            </w:r>
          </w:p>
        </w:tc>
        <w:tc>
          <w:tcPr>
            <w:tcW w:w="1035" w:type="dxa"/>
            <w:shd w:val="clear" w:color="auto" w:fill="auto"/>
          </w:tcPr>
          <w:p w14:paraId="7D18E924" w14:textId="77777777" w:rsidR="004D6F61" w:rsidRPr="002601CF" w:rsidRDefault="004D6F61" w:rsidP="00DD29F1">
            <w:pPr>
              <w:jc w:val="right"/>
              <w:rPr>
                <w:rFonts w:cstheme="minorHAnsi"/>
                <w:sz w:val="17"/>
                <w:szCs w:val="17"/>
              </w:rPr>
            </w:pPr>
            <w:r w:rsidRPr="002601CF">
              <w:rPr>
                <w:rFonts w:cstheme="minorHAnsi"/>
                <w:color w:val="000000"/>
                <w:sz w:val="17"/>
                <w:szCs w:val="17"/>
              </w:rPr>
              <w:t>30,306</w:t>
            </w:r>
          </w:p>
        </w:tc>
        <w:tc>
          <w:tcPr>
            <w:tcW w:w="1035" w:type="dxa"/>
            <w:shd w:val="clear" w:color="auto" w:fill="auto"/>
          </w:tcPr>
          <w:p w14:paraId="3FB5106D" w14:textId="77777777" w:rsidR="004D6F61" w:rsidRPr="002601CF" w:rsidRDefault="004D6F61" w:rsidP="00DD29F1">
            <w:pPr>
              <w:jc w:val="right"/>
              <w:rPr>
                <w:rFonts w:cstheme="minorHAnsi"/>
                <w:sz w:val="17"/>
                <w:szCs w:val="17"/>
              </w:rPr>
            </w:pPr>
            <w:r w:rsidRPr="002601CF">
              <w:rPr>
                <w:rFonts w:cstheme="minorHAnsi"/>
                <w:color w:val="000000"/>
                <w:sz w:val="17"/>
                <w:szCs w:val="17"/>
              </w:rPr>
              <w:t>2.2%</w:t>
            </w:r>
          </w:p>
        </w:tc>
      </w:tr>
      <w:tr w:rsidR="004D6F61" w:rsidRPr="002601CF" w14:paraId="47D59F5C" w14:textId="77777777" w:rsidTr="00136B11">
        <w:trPr>
          <w:cantSplit/>
          <w:jc w:val="center"/>
        </w:trPr>
        <w:tc>
          <w:tcPr>
            <w:tcW w:w="3875" w:type="dxa"/>
            <w:shd w:val="clear" w:color="auto" w:fill="auto"/>
            <w:vAlign w:val="bottom"/>
          </w:tcPr>
          <w:p w14:paraId="69D9924F" w14:textId="77777777" w:rsidR="004D6F61" w:rsidRPr="002601CF" w:rsidRDefault="004D6F61" w:rsidP="00DD29F1">
            <w:pPr>
              <w:rPr>
                <w:rFonts w:cstheme="minorHAnsi"/>
                <w:sz w:val="17"/>
                <w:szCs w:val="17"/>
              </w:rPr>
            </w:pPr>
            <w:r w:rsidRPr="002601CF">
              <w:rPr>
                <w:rFonts w:cstheme="minorHAnsi"/>
                <w:color w:val="000000"/>
                <w:sz w:val="17"/>
                <w:szCs w:val="17"/>
              </w:rPr>
              <w:t>Ethnicity: Unknown</w:t>
            </w:r>
          </w:p>
        </w:tc>
        <w:tc>
          <w:tcPr>
            <w:tcW w:w="1035" w:type="dxa"/>
            <w:shd w:val="clear" w:color="auto" w:fill="auto"/>
          </w:tcPr>
          <w:p w14:paraId="5ACEC986" w14:textId="77777777" w:rsidR="004D6F61" w:rsidRPr="002601CF" w:rsidRDefault="004D6F61" w:rsidP="00DD29F1">
            <w:pPr>
              <w:jc w:val="right"/>
              <w:rPr>
                <w:rFonts w:cstheme="minorHAnsi"/>
                <w:sz w:val="17"/>
                <w:szCs w:val="17"/>
              </w:rPr>
            </w:pPr>
            <w:r w:rsidRPr="002601CF">
              <w:rPr>
                <w:rFonts w:cstheme="minorHAnsi"/>
                <w:color w:val="000000"/>
                <w:sz w:val="17"/>
                <w:szCs w:val="17"/>
              </w:rPr>
              <w:t>67,382</w:t>
            </w:r>
          </w:p>
        </w:tc>
        <w:tc>
          <w:tcPr>
            <w:tcW w:w="1035" w:type="dxa"/>
            <w:shd w:val="clear" w:color="auto" w:fill="auto"/>
          </w:tcPr>
          <w:p w14:paraId="4A15F7F0" w14:textId="77777777" w:rsidR="004D6F61" w:rsidRPr="002601CF" w:rsidRDefault="004D6F61" w:rsidP="00DD29F1">
            <w:pPr>
              <w:jc w:val="right"/>
              <w:rPr>
                <w:rFonts w:cstheme="minorHAnsi"/>
                <w:sz w:val="17"/>
                <w:szCs w:val="17"/>
              </w:rPr>
            </w:pPr>
            <w:r w:rsidRPr="002601CF">
              <w:rPr>
                <w:rFonts w:cstheme="minorHAnsi"/>
                <w:color w:val="000000"/>
                <w:sz w:val="17"/>
                <w:szCs w:val="17"/>
              </w:rPr>
              <w:t>4.8%</w:t>
            </w:r>
          </w:p>
        </w:tc>
      </w:tr>
      <w:tr w:rsidR="004D6F61" w:rsidRPr="002601CF" w14:paraId="0B7B7E9E" w14:textId="77777777" w:rsidTr="00136B11">
        <w:trPr>
          <w:cantSplit/>
          <w:jc w:val="center"/>
        </w:trPr>
        <w:tc>
          <w:tcPr>
            <w:tcW w:w="3875" w:type="dxa"/>
            <w:shd w:val="clear" w:color="auto" w:fill="auto"/>
            <w:vAlign w:val="bottom"/>
          </w:tcPr>
          <w:p w14:paraId="694F58D9" w14:textId="77777777" w:rsidR="004D6F61" w:rsidRPr="002601CF" w:rsidRDefault="004D6F61" w:rsidP="00DD29F1">
            <w:pPr>
              <w:rPr>
                <w:rFonts w:cstheme="minorHAnsi"/>
                <w:sz w:val="17"/>
                <w:szCs w:val="17"/>
              </w:rPr>
            </w:pPr>
            <w:r w:rsidRPr="002601CF">
              <w:rPr>
                <w:rFonts w:cstheme="minorHAnsi"/>
                <w:color w:val="000000"/>
                <w:sz w:val="17"/>
                <w:szCs w:val="17"/>
              </w:rPr>
              <w:t>Ethnicity: Patient Declined</w:t>
            </w:r>
          </w:p>
        </w:tc>
        <w:tc>
          <w:tcPr>
            <w:tcW w:w="1035" w:type="dxa"/>
            <w:shd w:val="clear" w:color="auto" w:fill="auto"/>
          </w:tcPr>
          <w:p w14:paraId="2410612A" w14:textId="77777777" w:rsidR="004D6F61" w:rsidRPr="002601CF" w:rsidRDefault="004D6F61" w:rsidP="00DD29F1">
            <w:pPr>
              <w:jc w:val="right"/>
              <w:rPr>
                <w:rFonts w:cstheme="minorHAnsi"/>
                <w:sz w:val="17"/>
                <w:szCs w:val="17"/>
              </w:rPr>
            </w:pPr>
            <w:r w:rsidRPr="002601CF">
              <w:rPr>
                <w:rFonts w:cstheme="minorHAnsi"/>
                <w:color w:val="000000"/>
                <w:sz w:val="17"/>
                <w:szCs w:val="17"/>
              </w:rPr>
              <w:t>5,703</w:t>
            </w:r>
          </w:p>
        </w:tc>
        <w:tc>
          <w:tcPr>
            <w:tcW w:w="1035" w:type="dxa"/>
            <w:shd w:val="clear" w:color="auto" w:fill="auto"/>
          </w:tcPr>
          <w:p w14:paraId="236C440D" w14:textId="77777777" w:rsidR="004D6F61" w:rsidRPr="002601CF" w:rsidRDefault="004D6F61" w:rsidP="00DD29F1">
            <w:pPr>
              <w:jc w:val="right"/>
              <w:rPr>
                <w:rFonts w:cstheme="minorHAnsi"/>
                <w:sz w:val="17"/>
                <w:szCs w:val="17"/>
              </w:rPr>
            </w:pPr>
            <w:r w:rsidRPr="002601CF">
              <w:rPr>
                <w:rFonts w:cstheme="minorHAnsi"/>
                <w:color w:val="000000"/>
                <w:sz w:val="17"/>
                <w:szCs w:val="17"/>
              </w:rPr>
              <w:t>0.4%</w:t>
            </w:r>
          </w:p>
        </w:tc>
      </w:tr>
      <w:tr w:rsidR="004D6F61" w:rsidRPr="002601CF" w14:paraId="5E8C54AA" w14:textId="77777777" w:rsidTr="00136B11">
        <w:trPr>
          <w:cantSplit/>
          <w:jc w:val="center"/>
        </w:trPr>
        <w:tc>
          <w:tcPr>
            <w:tcW w:w="3875" w:type="dxa"/>
            <w:shd w:val="clear" w:color="auto" w:fill="auto"/>
            <w:vAlign w:val="bottom"/>
          </w:tcPr>
          <w:p w14:paraId="1BB52959" w14:textId="77777777" w:rsidR="004D6F61" w:rsidRPr="002601CF" w:rsidRDefault="004D6F61" w:rsidP="00DD29F1">
            <w:pPr>
              <w:rPr>
                <w:rFonts w:cstheme="minorHAnsi"/>
                <w:sz w:val="17"/>
                <w:szCs w:val="17"/>
              </w:rPr>
            </w:pPr>
            <w:r w:rsidRPr="002601CF">
              <w:rPr>
                <w:rFonts w:cstheme="minorHAnsi"/>
                <w:color w:val="000000"/>
                <w:sz w:val="17"/>
                <w:szCs w:val="17"/>
              </w:rPr>
              <w:t>Payer: Commercial</w:t>
            </w:r>
          </w:p>
        </w:tc>
        <w:tc>
          <w:tcPr>
            <w:tcW w:w="1035" w:type="dxa"/>
            <w:shd w:val="clear" w:color="auto" w:fill="auto"/>
          </w:tcPr>
          <w:p w14:paraId="10000CC8" w14:textId="77777777" w:rsidR="004D6F61" w:rsidRPr="002601CF" w:rsidRDefault="004D6F61" w:rsidP="00DD29F1">
            <w:pPr>
              <w:jc w:val="right"/>
              <w:rPr>
                <w:rFonts w:cstheme="minorHAnsi"/>
                <w:sz w:val="17"/>
                <w:szCs w:val="17"/>
              </w:rPr>
            </w:pPr>
            <w:r w:rsidRPr="002601CF">
              <w:rPr>
                <w:rFonts w:cstheme="minorHAnsi"/>
                <w:color w:val="000000"/>
                <w:sz w:val="17"/>
                <w:szCs w:val="17"/>
              </w:rPr>
              <w:t>706,050</w:t>
            </w:r>
          </w:p>
        </w:tc>
        <w:tc>
          <w:tcPr>
            <w:tcW w:w="1035" w:type="dxa"/>
            <w:shd w:val="clear" w:color="auto" w:fill="auto"/>
          </w:tcPr>
          <w:p w14:paraId="6CF71923" w14:textId="77777777" w:rsidR="004D6F61" w:rsidRPr="002601CF" w:rsidRDefault="004D6F61" w:rsidP="00DD29F1">
            <w:pPr>
              <w:jc w:val="right"/>
              <w:rPr>
                <w:rFonts w:cstheme="minorHAnsi"/>
                <w:sz w:val="17"/>
                <w:szCs w:val="17"/>
              </w:rPr>
            </w:pPr>
            <w:r w:rsidRPr="002601CF">
              <w:rPr>
                <w:rFonts w:cstheme="minorHAnsi"/>
                <w:color w:val="000000"/>
                <w:sz w:val="17"/>
                <w:szCs w:val="17"/>
              </w:rPr>
              <w:t>50.5%</w:t>
            </w:r>
          </w:p>
        </w:tc>
      </w:tr>
      <w:tr w:rsidR="004D6F61" w:rsidRPr="002601CF" w14:paraId="071D1873" w14:textId="77777777" w:rsidTr="00136B11">
        <w:trPr>
          <w:cantSplit/>
          <w:jc w:val="center"/>
        </w:trPr>
        <w:tc>
          <w:tcPr>
            <w:tcW w:w="3875" w:type="dxa"/>
            <w:shd w:val="clear" w:color="auto" w:fill="auto"/>
            <w:vAlign w:val="bottom"/>
          </w:tcPr>
          <w:p w14:paraId="4898EED3" w14:textId="77777777" w:rsidR="004D6F61" w:rsidRPr="002601CF" w:rsidRDefault="004D6F61" w:rsidP="00DD29F1">
            <w:pPr>
              <w:rPr>
                <w:rFonts w:cstheme="minorHAnsi"/>
                <w:sz w:val="17"/>
                <w:szCs w:val="17"/>
              </w:rPr>
            </w:pPr>
            <w:r w:rsidRPr="002601CF">
              <w:rPr>
                <w:rFonts w:cstheme="minorHAnsi"/>
                <w:color w:val="000000"/>
                <w:sz w:val="17"/>
                <w:szCs w:val="17"/>
              </w:rPr>
              <w:t>Payer: Medicare</w:t>
            </w:r>
          </w:p>
        </w:tc>
        <w:tc>
          <w:tcPr>
            <w:tcW w:w="1035" w:type="dxa"/>
            <w:shd w:val="clear" w:color="auto" w:fill="auto"/>
          </w:tcPr>
          <w:p w14:paraId="2E0EF22A" w14:textId="77777777" w:rsidR="004D6F61" w:rsidRPr="002601CF" w:rsidRDefault="004D6F61" w:rsidP="00DD29F1">
            <w:pPr>
              <w:jc w:val="right"/>
              <w:rPr>
                <w:rFonts w:cstheme="minorHAnsi"/>
                <w:sz w:val="17"/>
                <w:szCs w:val="17"/>
              </w:rPr>
            </w:pPr>
            <w:r w:rsidRPr="002601CF">
              <w:rPr>
                <w:rFonts w:cstheme="minorHAnsi"/>
                <w:color w:val="000000"/>
                <w:sz w:val="17"/>
                <w:szCs w:val="17"/>
              </w:rPr>
              <w:t>419,994</w:t>
            </w:r>
          </w:p>
        </w:tc>
        <w:tc>
          <w:tcPr>
            <w:tcW w:w="1035" w:type="dxa"/>
            <w:shd w:val="clear" w:color="auto" w:fill="auto"/>
          </w:tcPr>
          <w:p w14:paraId="0E6D031D" w14:textId="77777777" w:rsidR="004D6F61" w:rsidRPr="002601CF" w:rsidRDefault="004D6F61" w:rsidP="00DD29F1">
            <w:pPr>
              <w:jc w:val="right"/>
              <w:rPr>
                <w:rFonts w:cstheme="minorHAnsi"/>
                <w:sz w:val="17"/>
                <w:szCs w:val="17"/>
              </w:rPr>
            </w:pPr>
            <w:r w:rsidRPr="002601CF">
              <w:rPr>
                <w:rFonts w:cstheme="minorHAnsi"/>
                <w:color w:val="000000"/>
                <w:sz w:val="17"/>
                <w:szCs w:val="17"/>
              </w:rPr>
              <w:t>30.0%</w:t>
            </w:r>
          </w:p>
        </w:tc>
      </w:tr>
      <w:tr w:rsidR="004D6F61" w:rsidRPr="002601CF" w14:paraId="2B7D9120" w14:textId="77777777" w:rsidTr="00136B11">
        <w:trPr>
          <w:cantSplit/>
          <w:jc w:val="center"/>
        </w:trPr>
        <w:tc>
          <w:tcPr>
            <w:tcW w:w="3875" w:type="dxa"/>
            <w:shd w:val="clear" w:color="auto" w:fill="auto"/>
            <w:vAlign w:val="bottom"/>
          </w:tcPr>
          <w:p w14:paraId="023FAE00" w14:textId="77777777" w:rsidR="004D6F61" w:rsidRPr="002601CF" w:rsidRDefault="004D6F61" w:rsidP="00DD29F1">
            <w:pPr>
              <w:rPr>
                <w:rFonts w:cstheme="minorHAnsi"/>
                <w:sz w:val="17"/>
                <w:szCs w:val="17"/>
              </w:rPr>
            </w:pPr>
            <w:r w:rsidRPr="002601CF">
              <w:rPr>
                <w:rFonts w:cstheme="minorHAnsi"/>
                <w:color w:val="000000"/>
                <w:sz w:val="17"/>
                <w:szCs w:val="17"/>
              </w:rPr>
              <w:t>Payer: Medicaid</w:t>
            </w:r>
          </w:p>
        </w:tc>
        <w:tc>
          <w:tcPr>
            <w:tcW w:w="1035" w:type="dxa"/>
            <w:shd w:val="clear" w:color="auto" w:fill="auto"/>
          </w:tcPr>
          <w:p w14:paraId="6002EEA5" w14:textId="77777777" w:rsidR="004D6F61" w:rsidRPr="002601CF" w:rsidRDefault="004D6F61" w:rsidP="00DD29F1">
            <w:pPr>
              <w:jc w:val="right"/>
              <w:rPr>
                <w:rFonts w:cstheme="minorHAnsi"/>
                <w:sz w:val="17"/>
                <w:szCs w:val="17"/>
              </w:rPr>
            </w:pPr>
            <w:r w:rsidRPr="002601CF">
              <w:rPr>
                <w:rFonts w:cstheme="minorHAnsi"/>
                <w:color w:val="000000"/>
                <w:sz w:val="17"/>
                <w:szCs w:val="17"/>
              </w:rPr>
              <w:t>224,892</w:t>
            </w:r>
          </w:p>
        </w:tc>
        <w:tc>
          <w:tcPr>
            <w:tcW w:w="1035" w:type="dxa"/>
            <w:shd w:val="clear" w:color="auto" w:fill="auto"/>
          </w:tcPr>
          <w:p w14:paraId="6B8A1612" w14:textId="77777777" w:rsidR="004D6F61" w:rsidRPr="002601CF" w:rsidRDefault="004D6F61" w:rsidP="00DD29F1">
            <w:pPr>
              <w:jc w:val="right"/>
              <w:rPr>
                <w:rFonts w:cstheme="minorHAnsi"/>
                <w:sz w:val="17"/>
                <w:szCs w:val="17"/>
              </w:rPr>
            </w:pPr>
            <w:r w:rsidRPr="002601CF">
              <w:rPr>
                <w:rFonts w:cstheme="minorHAnsi"/>
                <w:color w:val="000000"/>
                <w:sz w:val="17"/>
                <w:szCs w:val="17"/>
              </w:rPr>
              <w:t>16.1%</w:t>
            </w:r>
          </w:p>
        </w:tc>
      </w:tr>
      <w:tr w:rsidR="004D6F61" w:rsidRPr="002601CF" w14:paraId="10F7564E" w14:textId="77777777" w:rsidTr="00136B11">
        <w:trPr>
          <w:cantSplit/>
          <w:jc w:val="center"/>
        </w:trPr>
        <w:tc>
          <w:tcPr>
            <w:tcW w:w="3875" w:type="dxa"/>
            <w:shd w:val="clear" w:color="auto" w:fill="auto"/>
            <w:vAlign w:val="bottom"/>
          </w:tcPr>
          <w:p w14:paraId="0B353159" w14:textId="77777777" w:rsidR="004D6F61" w:rsidRPr="002601CF" w:rsidRDefault="004D6F61" w:rsidP="00DD29F1">
            <w:pPr>
              <w:rPr>
                <w:rFonts w:cstheme="minorHAnsi"/>
                <w:sz w:val="17"/>
                <w:szCs w:val="17"/>
              </w:rPr>
            </w:pPr>
            <w:r w:rsidRPr="002601CF">
              <w:rPr>
                <w:rFonts w:cstheme="minorHAnsi"/>
                <w:color w:val="000000"/>
                <w:sz w:val="17"/>
                <w:szCs w:val="17"/>
              </w:rPr>
              <w:t>Payer: Other</w:t>
            </w:r>
            <w:r w:rsidRPr="002601CF">
              <w:rPr>
                <w:rStyle w:val="FootnoteReference"/>
                <w:rFonts w:cstheme="minorHAnsi"/>
                <w:color w:val="000000"/>
                <w:sz w:val="17"/>
                <w:szCs w:val="17"/>
              </w:rPr>
              <w:footnoteReference w:id="3"/>
            </w:r>
          </w:p>
        </w:tc>
        <w:tc>
          <w:tcPr>
            <w:tcW w:w="1035" w:type="dxa"/>
            <w:shd w:val="clear" w:color="auto" w:fill="auto"/>
          </w:tcPr>
          <w:p w14:paraId="12B2EA11" w14:textId="77777777" w:rsidR="004D6F61" w:rsidRPr="002601CF" w:rsidRDefault="004D6F61" w:rsidP="00DD29F1">
            <w:pPr>
              <w:jc w:val="right"/>
              <w:rPr>
                <w:rFonts w:cstheme="minorHAnsi"/>
                <w:sz w:val="17"/>
                <w:szCs w:val="17"/>
              </w:rPr>
            </w:pPr>
            <w:r w:rsidRPr="002601CF">
              <w:rPr>
                <w:rFonts w:cstheme="minorHAnsi"/>
                <w:color w:val="000000"/>
                <w:sz w:val="17"/>
                <w:szCs w:val="17"/>
              </w:rPr>
              <w:t>46,685</w:t>
            </w:r>
          </w:p>
        </w:tc>
        <w:tc>
          <w:tcPr>
            <w:tcW w:w="1035" w:type="dxa"/>
            <w:shd w:val="clear" w:color="auto" w:fill="auto"/>
          </w:tcPr>
          <w:p w14:paraId="74CA53A2" w14:textId="77777777" w:rsidR="004D6F61" w:rsidRPr="002601CF" w:rsidRDefault="004D6F61" w:rsidP="00DD29F1">
            <w:pPr>
              <w:jc w:val="right"/>
              <w:rPr>
                <w:rFonts w:cstheme="minorHAnsi"/>
                <w:sz w:val="17"/>
                <w:szCs w:val="17"/>
              </w:rPr>
            </w:pPr>
            <w:r w:rsidRPr="002601CF">
              <w:rPr>
                <w:rFonts w:cstheme="minorHAnsi"/>
                <w:color w:val="000000"/>
                <w:sz w:val="17"/>
                <w:szCs w:val="17"/>
              </w:rPr>
              <w:t>3.3%</w:t>
            </w:r>
          </w:p>
        </w:tc>
      </w:tr>
      <w:tr w:rsidR="004D6F61" w:rsidRPr="002601CF" w14:paraId="71D07A4D" w14:textId="77777777" w:rsidTr="00136B11">
        <w:trPr>
          <w:cantSplit/>
          <w:jc w:val="center"/>
        </w:trPr>
        <w:tc>
          <w:tcPr>
            <w:tcW w:w="3875" w:type="dxa"/>
            <w:shd w:val="clear" w:color="auto" w:fill="auto"/>
            <w:vAlign w:val="bottom"/>
          </w:tcPr>
          <w:p w14:paraId="7BB6A9E7" w14:textId="77777777" w:rsidR="004D6F61" w:rsidRPr="002601CF" w:rsidRDefault="004D6F61" w:rsidP="00DD29F1">
            <w:pPr>
              <w:rPr>
                <w:rFonts w:cstheme="minorHAnsi"/>
                <w:sz w:val="17"/>
                <w:szCs w:val="17"/>
              </w:rPr>
            </w:pPr>
            <w:r w:rsidRPr="002601CF">
              <w:rPr>
                <w:rFonts w:cstheme="minorHAnsi"/>
                <w:color w:val="000000"/>
                <w:sz w:val="17"/>
                <w:szCs w:val="17"/>
              </w:rPr>
              <w:t>Payer: Unknown</w:t>
            </w:r>
          </w:p>
        </w:tc>
        <w:tc>
          <w:tcPr>
            <w:tcW w:w="1035" w:type="dxa"/>
            <w:shd w:val="clear" w:color="auto" w:fill="auto"/>
          </w:tcPr>
          <w:p w14:paraId="29A0EC45" w14:textId="77777777" w:rsidR="004D6F61" w:rsidRPr="002601CF" w:rsidRDefault="004D6F61" w:rsidP="00DD29F1">
            <w:pPr>
              <w:jc w:val="right"/>
              <w:rPr>
                <w:rFonts w:cstheme="minorHAnsi"/>
                <w:sz w:val="17"/>
                <w:szCs w:val="17"/>
              </w:rPr>
            </w:pPr>
            <w:r w:rsidRPr="002601CF">
              <w:rPr>
                <w:rFonts w:cstheme="minorHAnsi"/>
                <w:color w:val="000000"/>
                <w:sz w:val="17"/>
                <w:szCs w:val="17"/>
              </w:rPr>
              <w:t>1,300</w:t>
            </w:r>
          </w:p>
        </w:tc>
        <w:tc>
          <w:tcPr>
            <w:tcW w:w="1035" w:type="dxa"/>
            <w:shd w:val="clear" w:color="auto" w:fill="auto"/>
          </w:tcPr>
          <w:p w14:paraId="1D94D588" w14:textId="77777777" w:rsidR="004D6F61" w:rsidRPr="002601CF" w:rsidRDefault="004D6F61" w:rsidP="00DD29F1">
            <w:pPr>
              <w:jc w:val="right"/>
              <w:rPr>
                <w:rFonts w:cstheme="minorHAnsi"/>
                <w:sz w:val="17"/>
                <w:szCs w:val="17"/>
              </w:rPr>
            </w:pPr>
            <w:r w:rsidRPr="002601CF">
              <w:rPr>
                <w:rFonts w:cstheme="minorHAnsi"/>
                <w:color w:val="000000"/>
                <w:sz w:val="17"/>
                <w:szCs w:val="17"/>
              </w:rPr>
              <w:t>0.1%</w:t>
            </w:r>
          </w:p>
        </w:tc>
      </w:tr>
    </w:tbl>
    <w:p w14:paraId="65F0C924" w14:textId="77777777" w:rsidR="004D6F61" w:rsidRPr="00145A96" w:rsidRDefault="004D6F61" w:rsidP="004D6F61">
      <w:pPr>
        <w:spacing w:after="0" w:line="229" w:lineRule="exact"/>
        <w:ind w:left="360"/>
        <w:rPr>
          <w:rFonts w:cstheme="minorHAnsi"/>
          <w:sz w:val="24"/>
          <w:szCs w:val="24"/>
        </w:rPr>
      </w:pPr>
    </w:p>
    <w:p w14:paraId="61615CF1" w14:textId="77777777" w:rsidR="004D6F61" w:rsidRPr="008151A1" w:rsidRDefault="004D6F61" w:rsidP="004D6F61">
      <w:pPr>
        <w:pStyle w:val="ListParagraph"/>
        <w:numPr>
          <w:ilvl w:val="0"/>
          <w:numId w:val="3"/>
        </w:numPr>
        <w:spacing w:after="0" w:line="229" w:lineRule="exact"/>
        <w:rPr>
          <w:rFonts w:cstheme="minorHAnsi"/>
          <w:color w:val="FF0000"/>
          <w:sz w:val="24"/>
          <w:szCs w:val="24"/>
        </w:rPr>
      </w:pPr>
      <w:r w:rsidRPr="00713A28">
        <w:rPr>
          <w:rFonts w:cstheme="minorHAnsi"/>
          <w:sz w:val="24"/>
          <w:szCs w:val="24"/>
        </w:rPr>
        <w:lastRenderedPageBreak/>
        <w:t>Please provide an explanation for the drop in volume at BID-Plymouth from FY2</w:t>
      </w:r>
      <w:r>
        <w:rPr>
          <w:rFonts w:cstheme="minorHAnsi"/>
          <w:sz w:val="24"/>
          <w:szCs w:val="24"/>
        </w:rPr>
        <w:t>1</w:t>
      </w:r>
      <w:r w:rsidRPr="00713A28">
        <w:rPr>
          <w:rFonts w:cstheme="minorHAnsi"/>
          <w:sz w:val="24"/>
          <w:szCs w:val="24"/>
        </w:rPr>
        <w:t>-FY23</w:t>
      </w:r>
      <w:r>
        <w:rPr>
          <w:rFonts w:cstheme="minorHAnsi"/>
          <w:sz w:val="24"/>
          <w:szCs w:val="24"/>
        </w:rPr>
        <w:t xml:space="preserve"> (Table 1 in the Narrative, page 5.</w:t>
      </w:r>
    </w:p>
    <w:p w14:paraId="6F3774D8" w14:textId="77777777" w:rsidR="004D6F61" w:rsidRDefault="004D6F61" w:rsidP="004D6F61">
      <w:pPr>
        <w:pStyle w:val="ListParagraph"/>
        <w:spacing w:after="0" w:line="229" w:lineRule="exact"/>
        <w:rPr>
          <w:rFonts w:cstheme="minorHAnsi"/>
          <w:sz w:val="24"/>
          <w:szCs w:val="24"/>
        </w:rPr>
      </w:pPr>
    </w:p>
    <w:p w14:paraId="3D8A86DE" w14:textId="77777777" w:rsidR="004D6F61" w:rsidRPr="004D6F61" w:rsidRDefault="004D6F61" w:rsidP="004D6F61">
      <w:pPr>
        <w:spacing w:after="0" w:line="229" w:lineRule="exact"/>
        <w:ind w:left="360"/>
        <w:rPr>
          <w:b/>
          <w:bCs/>
        </w:rPr>
      </w:pPr>
      <w:r w:rsidRPr="004D6F61">
        <w:rPr>
          <w:b/>
          <w:bCs/>
        </w:rPr>
        <w:t xml:space="preserve">The Applicant would like to note that Table 1 reflects unique patients served, not volume. Volume at BID Plymouth Hospital increased in nearly all categories. Please see a </w:t>
      </w:r>
      <w:proofErr w:type="gramStart"/>
      <w:r w:rsidRPr="004D6F61">
        <w:rPr>
          <w:b/>
          <w:bCs/>
        </w:rPr>
        <w:t>sampling</w:t>
      </w:r>
      <w:proofErr w:type="gramEnd"/>
      <w:r w:rsidRPr="004D6F61">
        <w:rPr>
          <w:b/>
          <w:bCs/>
        </w:rPr>
        <w:t xml:space="preserve"> in the below chart. </w:t>
      </w:r>
    </w:p>
    <w:p w14:paraId="0664CAFE" w14:textId="77777777" w:rsidR="004D6F61" w:rsidRDefault="004D6F61" w:rsidP="004D6F61">
      <w:pPr>
        <w:pStyle w:val="ListParagraph"/>
        <w:spacing w:after="0" w:line="229" w:lineRule="exact"/>
        <w:rPr>
          <w:rFonts w:ascii="Calibri" w:eastAsia="Times New Roman" w:hAnsi="Calibri" w:cs="Calibri"/>
          <w:b/>
          <w:bCs/>
          <w:color w:val="000000" w:themeColor="text1"/>
        </w:rPr>
      </w:pPr>
    </w:p>
    <w:p w14:paraId="63CC2BAB" w14:textId="77777777" w:rsidR="004D6F61" w:rsidRDefault="004D6F61" w:rsidP="004D6F61">
      <w:pPr>
        <w:pStyle w:val="ListParagraph"/>
        <w:spacing w:after="0" w:line="229" w:lineRule="exact"/>
        <w:jc w:val="center"/>
        <w:rPr>
          <w:rFonts w:ascii="Calibri" w:eastAsia="Times New Roman" w:hAnsi="Calibri" w:cs="Calibri"/>
          <w:b/>
          <w:bCs/>
          <w:color w:val="000000" w:themeColor="text1"/>
        </w:rPr>
      </w:pPr>
    </w:p>
    <w:p w14:paraId="2AB41E35" w14:textId="77777777" w:rsidR="004D6F61" w:rsidRPr="00202D62" w:rsidRDefault="004D6F61" w:rsidP="004D6F61">
      <w:pPr>
        <w:pStyle w:val="ListParagraph"/>
        <w:spacing w:after="0" w:line="229" w:lineRule="exact"/>
        <w:jc w:val="center"/>
        <w:rPr>
          <w:rFonts w:ascii="Calibri" w:eastAsia="Times New Roman" w:hAnsi="Calibri" w:cs="Calibri"/>
          <w:b/>
          <w:bCs/>
          <w:color w:val="000000" w:themeColor="text1"/>
          <w:u w:val="single"/>
        </w:rPr>
      </w:pPr>
      <w:r w:rsidRPr="00202D62">
        <w:rPr>
          <w:rFonts w:ascii="Calibri" w:eastAsia="Times New Roman" w:hAnsi="Calibri" w:cs="Calibri"/>
          <w:b/>
          <w:bCs/>
          <w:color w:val="000000" w:themeColor="text1"/>
          <w:u w:val="single"/>
        </w:rPr>
        <w:t xml:space="preserve">BID Plymouth Patient Panel Data </w:t>
      </w:r>
    </w:p>
    <w:p w14:paraId="5AF79DFC" w14:textId="77777777" w:rsidR="004D6F61" w:rsidRDefault="004D6F61" w:rsidP="004D6F61">
      <w:pPr>
        <w:pStyle w:val="ListParagraph"/>
        <w:spacing w:after="0" w:line="229" w:lineRule="exact"/>
        <w:jc w:val="center"/>
        <w:rPr>
          <w:rFonts w:ascii="Calibri" w:eastAsia="Times New Roman" w:hAnsi="Calibri" w:cs="Calibri"/>
          <w:b/>
          <w:bCs/>
          <w:color w:val="000000" w:themeColor="text1"/>
        </w:rPr>
      </w:pPr>
      <w:r w:rsidRPr="00202D62">
        <w:rPr>
          <w:rFonts w:ascii="Calibri" w:eastAsia="Times New Roman" w:hAnsi="Calibri" w:cs="Calibri"/>
          <w:b/>
          <w:bCs/>
          <w:color w:val="000000" w:themeColor="text1"/>
          <w:u w:val="single"/>
        </w:rPr>
        <w:t xml:space="preserve">Volume </w:t>
      </w:r>
    </w:p>
    <w:p w14:paraId="6874B85E" w14:textId="77777777" w:rsidR="004D6F61" w:rsidRDefault="004D6F61" w:rsidP="004D6F61">
      <w:pPr>
        <w:pStyle w:val="ListParagraph"/>
        <w:spacing w:after="0" w:line="229" w:lineRule="exact"/>
        <w:jc w:val="center"/>
        <w:rPr>
          <w:rFonts w:cstheme="minorHAnsi"/>
          <w:b/>
          <w:sz w:val="24"/>
          <w:szCs w:val="24"/>
        </w:rPr>
      </w:pPr>
    </w:p>
    <w:tbl>
      <w:tblPr>
        <w:tblW w:w="8980" w:type="dxa"/>
        <w:jc w:val="center"/>
        <w:tblLook w:val="04A0" w:firstRow="1" w:lastRow="0" w:firstColumn="1" w:lastColumn="0" w:noHBand="0" w:noVBand="1"/>
      </w:tblPr>
      <w:tblGrid>
        <w:gridCol w:w="3380"/>
        <w:gridCol w:w="1400"/>
        <w:gridCol w:w="1400"/>
        <w:gridCol w:w="1400"/>
        <w:gridCol w:w="1400"/>
      </w:tblGrid>
      <w:tr w:rsidR="004D6F61" w:rsidRPr="00393303" w14:paraId="5F4ADCFB" w14:textId="77777777" w:rsidTr="002400A2">
        <w:trPr>
          <w:cantSplit/>
          <w:trHeight w:val="600"/>
          <w:tblHeader/>
          <w:jc w:val="center"/>
        </w:trPr>
        <w:tc>
          <w:tcPr>
            <w:tcW w:w="3380"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0D1D699" w14:textId="77777777" w:rsidR="004D6F61" w:rsidRPr="00393303" w:rsidRDefault="004D6F61" w:rsidP="00DD29F1">
            <w:pPr>
              <w:spacing w:after="0" w:line="240" w:lineRule="auto"/>
              <w:rPr>
                <w:rFonts w:ascii="Calibri" w:eastAsia="Times New Roman" w:hAnsi="Calibri" w:cs="Calibri"/>
                <w:b/>
                <w:bCs/>
                <w:color w:val="000000"/>
              </w:rPr>
            </w:pPr>
            <w:r w:rsidRPr="00393303">
              <w:rPr>
                <w:rFonts w:ascii="Calibri" w:eastAsia="Times New Roman" w:hAnsi="Calibri" w:cs="Calibri"/>
                <w:b/>
                <w:bCs/>
                <w:color w:val="000000"/>
              </w:rPr>
              <w:t>Variables</w:t>
            </w:r>
          </w:p>
        </w:tc>
        <w:tc>
          <w:tcPr>
            <w:tcW w:w="1400" w:type="dxa"/>
            <w:tcBorders>
              <w:top w:val="single" w:sz="4" w:space="0" w:color="auto"/>
              <w:left w:val="nil"/>
              <w:bottom w:val="single" w:sz="4" w:space="0" w:color="auto"/>
              <w:right w:val="single" w:sz="4" w:space="0" w:color="auto"/>
            </w:tcBorders>
            <w:shd w:val="clear" w:color="auto" w:fill="DDEBF7"/>
            <w:vAlign w:val="bottom"/>
            <w:hideMark/>
          </w:tcPr>
          <w:p w14:paraId="6D228D5C" w14:textId="77777777" w:rsidR="004D6F61" w:rsidRPr="00393303" w:rsidRDefault="004D6F61" w:rsidP="00DD29F1">
            <w:pPr>
              <w:spacing w:after="0" w:line="240" w:lineRule="auto"/>
              <w:jc w:val="center"/>
              <w:rPr>
                <w:rFonts w:ascii="Calibri" w:eastAsia="Times New Roman" w:hAnsi="Calibri" w:cs="Calibri"/>
                <w:b/>
                <w:bCs/>
                <w:color w:val="000000"/>
              </w:rPr>
            </w:pPr>
            <w:r w:rsidRPr="00393303">
              <w:rPr>
                <w:rFonts w:ascii="Calibri" w:eastAsia="Times New Roman" w:hAnsi="Calibri" w:cs="Calibri"/>
                <w:b/>
                <w:bCs/>
                <w:color w:val="000000"/>
              </w:rPr>
              <w:t>FY2021 Count</w:t>
            </w:r>
          </w:p>
        </w:tc>
        <w:tc>
          <w:tcPr>
            <w:tcW w:w="1400" w:type="dxa"/>
            <w:tcBorders>
              <w:top w:val="single" w:sz="4" w:space="0" w:color="auto"/>
              <w:left w:val="nil"/>
              <w:bottom w:val="single" w:sz="4" w:space="0" w:color="auto"/>
              <w:right w:val="single" w:sz="4" w:space="0" w:color="auto"/>
            </w:tcBorders>
            <w:shd w:val="clear" w:color="auto" w:fill="DDEBF7"/>
            <w:vAlign w:val="bottom"/>
            <w:hideMark/>
          </w:tcPr>
          <w:p w14:paraId="61960432" w14:textId="77777777" w:rsidR="004D6F61" w:rsidRPr="00393303" w:rsidRDefault="004D6F61" w:rsidP="00DD29F1">
            <w:pPr>
              <w:spacing w:after="0" w:line="240" w:lineRule="auto"/>
              <w:jc w:val="center"/>
              <w:rPr>
                <w:rFonts w:ascii="Calibri" w:eastAsia="Times New Roman" w:hAnsi="Calibri" w:cs="Calibri"/>
                <w:b/>
                <w:bCs/>
                <w:color w:val="000000"/>
              </w:rPr>
            </w:pPr>
            <w:r w:rsidRPr="00393303">
              <w:rPr>
                <w:rFonts w:ascii="Calibri" w:eastAsia="Times New Roman" w:hAnsi="Calibri" w:cs="Calibri"/>
                <w:b/>
                <w:bCs/>
                <w:color w:val="000000"/>
              </w:rPr>
              <w:t>FY2022 Count</w:t>
            </w:r>
          </w:p>
        </w:tc>
        <w:tc>
          <w:tcPr>
            <w:tcW w:w="1400" w:type="dxa"/>
            <w:tcBorders>
              <w:top w:val="single" w:sz="4" w:space="0" w:color="auto"/>
              <w:left w:val="nil"/>
              <w:bottom w:val="single" w:sz="4" w:space="0" w:color="auto"/>
              <w:right w:val="single" w:sz="4" w:space="0" w:color="auto"/>
            </w:tcBorders>
            <w:shd w:val="clear" w:color="auto" w:fill="DDEBF7"/>
            <w:vAlign w:val="bottom"/>
            <w:hideMark/>
          </w:tcPr>
          <w:p w14:paraId="532BE315" w14:textId="77777777" w:rsidR="004D6F61" w:rsidRPr="00393303" w:rsidRDefault="004D6F61" w:rsidP="00DD29F1">
            <w:pPr>
              <w:spacing w:after="0" w:line="240" w:lineRule="auto"/>
              <w:jc w:val="center"/>
              <w:rPr>
                <w:rFonts w:ascii="Calibri" w:eastAsia="Times New Roman" w:hAnsi="Calibri" w:cs="Calibri"/>
                <w:b/>
                <w:bCs/>
                <w:color w:val="000000"/>
              </w:rPr>
            </w:pPr>
            <w:r w:rsidRPr="00393303">
              <w:rPr>
                <w:rFonts w:ascii="Calibri" w:eastAsia="Times New Roman" w:hAnsi="Calibri" w:cs="Calibri"/>
                <w:b/>
                <w:bCs/>
                <w:color w:val="000000"/>
              </w:rPr>
              <w:t>FY2023 Count</w:t>
            </w:r>
          </w:p>
        </w:tc>
        <w:tc>
          <w:tcPr>
            <w:tcW w:w="1400" w:type="dxa"/>
            <w:tcBorders>
              <w:top w:val="single" w:sz="4" w:space="0" w:color="auto"/>
              <w:left w:val="nil"/>
              <w:bottom w:val="single" w:sz="4" w:space="0" w:color="auto"/>
              <w:right w:val="single" w:sz="4" w:space="0" w:color="auto"/>
            </w:tcBorders>
            <w:shd w:val="clear" w:color="auto" w:fill="DDEBF7"/>
            <w:vAlign w:val="bottom"/>
            <w:hideMark/>
          </w:tcPr>
          <w:p w14:paraId="55B36C34" w14:textId="77777777" w:rsidR="004D6F61" w:rsidRPr="00393303" w:rsidRDefault="004D6F61" w:rsidP="00DD29F1">
            <w:pPr>
              <w:spacing w:after="0" w:line="240" w:lineRule="auto"/>
              <w:jc w:val="center"/>
              <w:rPr>
                <w:rFonts w:ascii="Calibri" w:eastAsia="Times New Roman" w:hAnsi="Calibri" w:cs="Calibri"/>
                <w:b/>
                <w:bCs/>
                <w:color w:val="000000"/>
              </w:rPr>
            </w:pPr>
            <w:r w:rsidRPr="00393303">
              <w:rPr>
                <w:rFonts w:ascii="Calibri" w:eastAsia="Times New Roman" w:hAnsi="Calibri" w:cs="Calibri"/>
                <w:b/>
                <w:bCs/>
                <w:color w:val="000000"/>
              </w:rPr>
              <w:t>FY21-FY23</w:t>
            </w:r>
            <w:r w:rsidRPr="00393303">
              <w:rPr>
                <w:rFonts w:ascii="Calibri" w:eastAsia="Times New Roman" w:hAnsi="Calibri" w:cs="Calibri"/>
                <w:b/>
                <w:bCs/>
                <w:color w:val="000000"/>
              </w:rPr>
              <w:br/>
              <w:t>% Change</w:t>
            </w:r>
          </w:p>
        </w:tc>
      </w:tr>
      <w:tr w:rsidR="004D6F61" w:rsidRPr="00393303" w14:paraId="0BD462CA" w14:textId="77777777" w:rsidTr="002400A2">
        <w:trPr>
          <w:cantSplit/>
          <w:trHeight w:val="29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560C7E12" w14:textId="77777777" w:rsidR="004D6F61" w:rsidRPr="00393303" w:rsidRDefault="004D6F61" w:rsidP="00DD29F1">
            <w:pPr>
              <w:spacing w:after="0" w:line="240" w:lineRule="auto"/>
              <w:rPr>
                <w:rFonts w:ascii="Calibri" w:eastAsia="Times New Roman" w:hAnsi="Calibri" w:cs="Calibri"/>
                <w:color w:val="000000"/>
              </w:rPr>
            </w:pPr>
            <w:r w:rsidRPr="00393303">
              <w:rPr>
                <w:rFonts w:ascii="Calibri" w:eastAsia="Times New Roman" w:hAnsi="Calibri" w:cs="Calibri"/>
                <w:color w:val="000000"/>
              </w:rPr>
              <w:t>Total Discharges</w:t>
            </w:r>
          </w:p>
        </w:tc>
        <w:tc>
          <w:tcPr>
            <w:tcW w:w="1400" w:type="dxa"/>
            <w:tcBorders>
              <w:top w:val="nil"/>
              <w:left w:val="nil"/>
              <w:bottom w:val="single" w:sz="4" w:space="0" w:color="auto"/>
              <w:right w:val="single" w:sz="4" w:space="0" w:color="auto"/>
            </w:tcBorders>
            <w:shd w:val="clear" w:color="auto" w:fill="auto"/>
            <w:noWrap/>
            <w:vAlign w:val="bottom"/>
            <w:hideMark/>
          </w:tcPr>
          <w:p w14:paraId="384D602A"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11,402</w:t>
            </w:r>
          </w:p>
        </w:tc>
        <w:tc>
          <w:tcPr>
            <w:tcW w:w="1400" w:type="dxa"/>
            <w:tcBorders>
              <w:top w:val="nil"/>
              <w:left w:val="nil"/>
              <w:bottom w:val="single" w:sz="4" w:space="0" w:color="auto"/>
              <w:right w:val="single" w:sz="4" w:space="0" w:color="auto"/>
            </w:tcBorders>
            <w:shd w:val="clear" w:color="auto" w:fill="auto"/>
            <w:noWrap/>
            <w:vAlign w:val="bottom"/>
            <w:hideMark/>
          </w:tcPr>
          <w:p w14:paraId="0B6F0D1E"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11,309</w:t>
            </w:r>
          </w:p>
        </w:tc>
        <w:tc>
          <w:tcPr>
            <w:tcW w:w="1400" w:type="dxa"/>
            <w:tcBorders>
              <w:top w:val="nil"/>
              <w:left w:val="nil"/>
              <w:bottom w:val="single" w:sz="4" w:space="0" w:color="auto"/>
              <w:right w:val="single" w:sz="4" w:space="0" w:color="auto"/>
            </w:tcBorders>
            <w:shd w:val="clear" w:color="auto" w:fill="auto"/>
            <w:noWrap/>
            <w:vAlign w:val="bottom"/>
            <w:hideMark/>
          </w:tcPr>
          <w:p w14:paraId="3E56F3EB"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12,439</w:t>
            </w:r>
          </w:p>
        </w:tc>
        <w:tc>
          <w:tcPr>
            <w:tcW w:w="1400" w:type="dxa"/>
            <w:tcBorders>
              <w:top w:val="nil"/>
              <w:left w:val="nil"/>
              <w:bottom w:val="single" w:sz="4" w:space="0" w:color="auto"/>
              <w:right w:val="single" w:sz="4" w:space="0" w:color="auto"/>
            </w:tcBorders>
            <w:shd w:val="clear" w:color="auto" w:fill="auto"/>
            <w:noWrap/>
            <w:vAlign w:val="bottom"/>
            <w:hideMark/>
          </w:tcPr>
          <w:p w14:paraId="28D844CE"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9.1%</w:t>
            </w:r>
          </w:p>
        </w:tc>
      </w:tr>
      <w:tr w:rsidR="004D6F61" w:rsidRPr="00393303" w14:paraId="4A587C91" w14:textId="77777777" w:rsidTr="002400A2">
        <w:trPr>
          <w:cantSplit/>
          <w:trHeight w:val="290"/>
          <w:jc w:val="center"/>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6DDE8B97" w14:textId="77777777" w:rsidR="004D6F61" w:rsidRPr="00393303" w:rsidRDefault="004D6F61" w:rsidP="00DD29F1">
            <w:pPr>
              <w:spacing w:after="0" w:line="240" w:lineRule="auto"/>
              <w:rPr>
                <w:rFonts w:ascii="Calibri" w:eastAsia="Times New Roman" w:hAnsi="Calibri" w:cs="Calibri"/>
                <w:color w:val="000000"/>
              </w:rPr>
            </w:pPr>
            <w:r w:rsidRPr="00393303">
              <w:rPr>
                <w:rFonts w:ascii="Calibri" w:eastAsia="Times New Roman" w:hAnsi="Calibri" w:cs="Calibri"/>
                <w:color w:val="000000"/>
              </w:rPr>
              <w:t>Emergency Visits</w:t>
            </w:r>
          </w:p>
        </w:tc>
        <w:tc>
          <w:tcPr>
            <w:tcW w:w="1400" w:type="dxa"/>
            <w:tcBorders>
              <w:top w:val="nil"/>
              <w:left w:val="nil"/>
              <w:bottom w:val="single" w:sz="4" w:space="0" w:color="auto"/>
              <w:right w:val="single" w:sz="4" w:space="0" w:color="auto"/>
            </w:tcBorders>
            <w:shd w:val="clear" w:color="auto" w:fill="auto"/>
            <w:noWrap/>
            <w:vAlign w:val="bottom"/>
            <w:hideMark/>
          </w:tcPr>
          <w:p w14:paraId="0D9E0024"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themeColor="text1"/>
              </w:rPr>
              <w:t>40,180</w:t>
            </w:r>
          </w:p>
        </w:tc>
        <w:tc>
          <w:tcPr>
            <w:tcW w:w="1400" w:type="dxa"/>
            <w:tcBorders>
              <w:top w:val="nil"/>
              <w:left w:val="nil"/>
              <w:bottom w:val="single" w:sz="4" w:space="0" w:color="auto"/>
              <w:right w:val="single" w:sz="4" w:space="0" w:color="auto"/>
            </w:tcBorders>
            <w:shd w:val="clear" w:color="auto" w:fill="auto"/>
            <w:noWrap/>
            <w:vAlign w:val="bottom"/>
            <w:hideMark/>
          </w:tcPr>
          <w:p w14:paraId="0178284B"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themeColor="text1"/>
              </w:rPr>
              <w:t>42,367</w:t>
            </w:r>
          </w:p>
        </w:tc>
        <w:tc>
          <w:tcPr>
            <w:tcW w:w="1400" w:type="dxa"/>
            <w:tcBorders>
              <w:top w:val="nil"/>
              <w:left w:val="nil"/>
              <w:bottom w:val="single" w:sz="4" w:space="0" w:color="auto"/>
              <w:right w:val="single" w:sz="4" w:space="0" w:color="auto"/>
            </w:tcBorders>
            <w:shd w:val="clear" w:color="auto" w:fill="auto"/>
            <w:noWrap/>
            <w:vAlign w:val="bottom"/>
            <w:hideMark/>
          </w:tcPr>
          <w:p w14:paraId="79AE7619"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themeColor="text1"/>
              </w:rPr>
              <w:t>43,609</w:t>
            </w:r>
          </w:p>
        </w:tc>
        <w:tc>
          <w:tcPr>
            <w:tcW w:w="1400" w:type="dxa"/>
            <w:tcBorders>
              <w:top w:val="nil"/>
              <w:left w:val="nil"/>
              <w:bottom w:val="single" w:sz="4" w:space="0" w:color="auto"/>
              <w:right w:val="single" w:sz="4" w:space="0" w:color="auto"/>
            </w:tcBorders>
            <w:shd w:val="clear" w:color="auto" w:fill="auto"/>
            <w:noWrap/>
            <w:vAlign w:val="bottom"/>
            <w:hideMark/>
          </w:tcPr>
          <w:p w14:paraId="34F58768"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themeColor="text1"/>
              </w:rPr>
              <w:t>8.5%</w:t>
            </w:r>
          </w:p>
        </w:tc>
      </w:tr>
    </w:tbl>
    <w:p w14:paraId="7FC16B36" w14:textId="288FD7AA" w:rsidR="0004009F" w:rsidRPr="0004009F" w:rsidRDefault="0004009F" w:rsidP="7F3E0D37">
      <w:pPr>
        <w:spacing w:after="0" w:line="229" w:lineRule="exact"/>
      </w:pPr>
    </w:p>
    <w:p w14:paraId="4294760F" w14:textId="17FDD290" w:rsidR="00FF328B" w:rsidRPr="002D70D2" w:rsidRDefault="00E30B4E" w:rsidP="004D6F61">
      <w:pPr>
        <w:pStyle w:val="ListParagraph"/>
        <w:numPr>
          <w:ilvl w:val="0"/>
          <w:numId w:val="3"/>
        </w:numPr>
        <w:spacing w:after="0" w:line="229" w:lineRule="exact"/>
        <w:rPr>
          <w:rFonts w:cstheme="minorHAnsi"/>
          <w:color w:val="FF0000"/>
          <w:sz w:val="24"/>
          <w:szCs w:val="24"/>
        </w:rPr>
      </w:pPr>
      <w:r>
        <w:rPr>
          <w:rFonts w:cstheme="minorHAnsi"/>
          <w:sz w:val="24"/>
          <w:szCs w:val="24"/>
        </w:rPr>
        <w:t>Based on the demographics table provided in the first round of Question responses, p</w:t>
      </w:r>
      <w:r w:rsidR="000F2503" w:rsidRPr="000F2503">
        <w:rPr>
          <w:rFonts w:cstheme="minorHAnsi"/>
          <w:sz w:val="24"/>
          <w:szCs w:val="24"/>
        </w:rPr>
        <w:t xml:space="preserve">lease provide an explanation for the drop in </w:t>
      </w:r>
      <w:r w:rsidR="00036008">
        <w:rPr>
          <w:rFonts w:cstheme="minorHAnsi"/>
          <w:sz w:val="24"/>
          <w:szCs w:val="24"/>
        </w:rPr>
        <w:t>visits</w:t>
      </w:r>
      <w:r w:rsidR="000F2503" w:rsidRPr="000F2503">
        <w:rPr>
          <w:rFonts w:cstheme="minorHAnsi"/>
          <w:sz w:val="24"/>
          <w:szCs w:val="24"/>
        </w:rPr>
        <w:t xml:space="preserve"> at BILH Urgent Care Quincy from FY2</w:t>
      </w:r>
      <w:r w:rsidR="00F55878">
        <w:rPr>
          <w:rFonts w:cstheme="minorHAnsi"/>
          <w:sz w:val="24"/>
          <w:szCs w:val="24"/>
        </w:rPr>
        <w:t>2</w:t>
      </w:r>
      <w:r w:rsidR="000F2503" w:rsidRPr="000F2503">
        <w:rPr>
          <w:rFonts w:cstheme="minorHAnsi"/>
          <w:sz w:val="24"/>
          <w:szCs w:val="24"/>
        </w:rPr>
        <w:t>-FY23.</w:t>
      </w:r>
    </w:p>
    <w:p w14:paraId="7F83911C" w14:textId="4D8998C2" w:rsidR="002D70D2" w:rsidRDefault="002D70D2" w:rsidP="002D70D2">
      <w:pPr>
        <w:spacing w:after="0" w:line="229" w:lineRule="exact"/>
        <w:ind w:left="360"/>
        <w:rPr>
          <w:rFonts w:cstheme="minorHAnsi"/>
          <w:color w:val="FF0000"/>
          <w:sz w:val="24"/>
          <w:szCs w:val="24"/>
        </w:rPr>
      </w:pPr>
    </w:p>
    <w:p w14:paraId="32B62C64" w14:textId="39545B1D" w:rsidR="002D70D2" w:rsidRPr="002D70D2" w:rsidRDefault="002D70D2" w:rsidP="004D6F61">
      <w:pPr>
        <w:spacing w:after="0" w:line="229" w:lineRule="exact"/>
        <w:ind w:left="360"/>
        <w:rPr>
          <w:rFonts w:cstheme="minorHAnsi"/>
          <w:b/>
        </w:rPr>
      </w:pPr>
      <w:r w:rsidRPr="002D70D2">
        <w:rPr>
          <w:rFonts w:cstheme="minorHAnsi"/>
          <w:b/>
        </w:rPr>
        <w:t xml:space="preserve">The Applicant used the </w:t>
      </w:r>
      <w:r w:rsidR="005F77D6">
        <w:rPr>
          <w:rFonts w:cstheme="minorHAnsi"/>
          <w:b/>
        </w:rPr>
        <w:t xml:space="preserve">BILH Urgent Care Quincy Center </w:t>
      </w:r>
      <w:r w:rsidRPr="002D70D2">
        <w:rPr>
          <w:rFonts w:cstheme="minorHAnsi"/>
          <w:b/>
        </w:rPr>
        <w:t>as a Covid testing site and experienced a drop-off in Covid testing between FY22 and FY23.</w:t>
      </w:r>
    </w:p>
    <w:p w14:paraId="6CEC22A2" w14:textId="77777777" w:rsidR="0004009F" w:rsidRPr="0004009F" w:rsidRDefault="0004009F" w:rsidP="0004009F">
      <w:pPr>
        <w:spacing w:after="0" w:line="229" w:lineRule="exact"/>
        <w:rPr>
          <w:rFonts w:cstheme="minorHAnsi"/>
          <w:sz w:val="24"/>
          <w:szCs w:val="24"/>
        </w:rPr>
      </w:pPr>
    </w:p>
    <w:p w14:paraId="6F80736A" w14:textId="0A111137" w:rsidR="00586B2C" w:rsidRDefault="00586B2C" w:rsidP="004D6F61">
      <w:pPr>
        <w:pStyle w:val="ListParagraph"/>
        <w:numPr>
          <w:ilvl w:val="0"/>
          <w:numId w:val="3"/>
        </w:numPr>
        <w:spacing w:after="0" w:line="229" w:lineRule="exact"/>
        <w:rPr>
          <w:sz w:val="24"/>
          <w:szCs w:val="24"/>
        </w:rPr>
      </w:pPr>
      <w:r w:rsidRPr="7F3E0D37">
        <w:rPr>
          <w:sz w:val="24"/>
          <w:szCs w:val="24"/>
        </w:rPr>
        <w:t>Gender demographics for BILH</w:t>
      </w:r>
      <w:r w:rsidR="005F77D6">
        <w:rPr>
          <w:sz w:val="24"/>
          <w:szCs w:val="24"/>
        </w:rPr>
        <w:t xml:space="preserve"> </w:t>
      </w:r>
      <w:r w:rsidRPr="7F3E0D37">
        <w:rPr>
          <w:sz w:val="24"/>
          <w:szCs w:val="24"/>
        </w:rPr>
        <w:t>P</w:t>
      </w:r>
      <w:r w:rsidR="005F77D6">
        <w:rPr>
          <w:sz w:val="24"/>
          <w:szCs w:val="24"/>
        </w:rPr>
        <w:t xml:space="preserve">rimary </w:t>
      </w:r>
      <w:r w:rsidRPr="7F3E0D37">
        <w:rPr>
          <w:sz w:val="24"/>
          <w:szCs w:val="24"/>
        </w:rPr>
        <w:t>C</w:t>
      </w:r>
      <w:r w:rsidR="005F77D6">
        <w:rPr>
          <w:sz w:val="24"/>
          <w:szCs w:val="24"/>
        </w:rPr>
        <w:t>are</w:t>
      </w:r>
      <w:r w:rsidRPr="7F3E0D37">
        <w:rPr>
          <w:sz w:val="24"/>
          <w:szCs w:val="24"/>
        </w:rPr>
        <w:t xml:space="preserve"> Quincy indicate that 3/4 of patients are female. Please provide an explanation for the higher than usual proportion.</w:t>
      </w:r>
      <w:r w:rsidR="008F0E69" w:rsidRPr="7F3E0D37">
        <w:rPr>
          <w:sz w:val="24"/>
          <w:szCs w:val="24"/>
        </w:rPr>
        <w:t xml:space="preserve"> </w:t>
      </w:r>
    </w:p>
    <w:p w14:paraId="29FF4D0E" w14:textId="63E1944A" w:rsidR="00BB5983" w:rsidRDefault="00BB5983" w:rsidP="00BB5983">
      <w:pPr>
        <w:spacing w:after="0" w:line="229" w:lineRule="exact"/>
        <w:ind w:left="360"/>
        <w:rPr>
          <w:rFonts w:cstheme="minorHAnsi"/>
          <w:sz w:val="24"/>
          <w:szCs w:val="24"/>
        </w:rPr>
      </w:pPr>
    </w:p>
    <w:p w14:paraId="73FE37DF" w14:textId="7A76B473" w:rsidR="0004009F" w:rsidRPr="00BB5983" w:rsidRDefault="00BB5983" w:rsidP="004D6F61">
      <w:pPr>
        <w:ind w:firstLine="360"/>
        <w:rPr>
          <w:rFonts w:ascii="Calibri" w:eastAsia="Times New Roman" w:hAnsi="Calibri" w:cs="Calibri"/>
          <w:b/>
          <w:bCs/>
          <w:color w:val="000000" w:themeColor="text1"/>
        </w:rPr>
      </w:pPr>
      <w:r w:rsidRPr="7F3E0D37">
        <w:rPr>
          <w:b/>
          <w:bCs/>
        </w:rPr>
        <w:t xml:space="preserve">The Applicant notes that </w:t>
      </w:r>
      <w:r w:rsidRPr="7F3E0D37">
        <w:rPr>
          <w:rFonts w:ascii="Calibri" w:eastAsia="Times New Roman" w:hAnsi="Calibri" w:cs="Calibri"/>
          <w:b/>
          <w:bCs/>
          <w:color w:val="000000" w:themeColor="text1"/>
        </w:rPr>
        <w:t xml:space="preserve">3 of the 4 providers in the </w:t>
      </w:r>
      <w:r w:rsidR="00773A3A">
        <w:rPr>
          <w:rFonts w:ascii="Calibri" w:eastAsia="Times New Roman" w:hAnsi="Calibri" w:cs="Calibri"/>
          <w:b/>
          <w:bCs/>
          <w:color w:val="000000" w:themeColor="text1"/>
        </w:rPr>
        <w:t xml:space="preserve">BILH Primary Care </w:t>
      </w:r>
      <w:r w:rsidRPr="7F3E0D37">
        <w:rPr>
          <w:rFonts w:ascii="Calibri" w:eastAsia="Times New Roman" w:hAnsi="Calibri" w:cs="Calibri"/>
          <w:b/>
          <w:bCs/>
          <w:color w:val="000000" w:themeColor="text1"/>
        </w:rPr>
        <w:t>Quincy practice are female</w:t>
      </w:r>
      <w:r w:rsidR="5FA9AACF" w:rsidRPr="7F3E0D37">
        <w:rPr>
          <w:rFonts w:ascii="Calibri" w:eastAsia="Times New Roman" w:hAnsi="Calibri" w:cs="Calibri"/>
          <w:b/>
          <w:bCs/>
          <w:color w:val="000000" w:themeColor="text1"/>
        </w:rPr>
        <w:t>.</w:t>
      </w:r>
      <w:r w:rsidRPr="7F3E0D37">
        <w:rPr>
          <w:rFonts w:ascii="Calibri" w:eastAsia="Times New Roman" w:hAnsi="Calibri" w:cs="Calibri"/>
          <w:b/>
          <w:bCs/>
          <w:color w:val="000000" w:themeColor="text1"/>
        </w:rPr>
        <w:t xml:space="preserve"> </w:t>
      </w:r>
    </w:p>
    <w:p w14:paraId="685E4267" w14:textId="1E1BAF43" w:rsidR="00931360" w:rsidRDefault="00931360" w:rsidP="004D6F61">
      <w:pPr>
        <w:pStyle w:val="ListParagraph"/>
        <w:numPr>
          <w:ilvl w:val="0"/>
          <w:numId w:val="3"/>
        </w:numPr>
        <w:spacing w:after="0" w:line="229" w:lineRule="exact"/>
        <w:rPr>
          <w:rFonts w:cstheme="minorHAnsi"/>
          <w:sz w:val="24"/>
          <w:szCs w:val="24"/>
        </w:rPr>
      </w:pPr>
      <w:r w:rsidRPr="00B87AB6">
        <w:rPr>
          <w:rFonts w:cstheme="minorHAnsi"/>
          <w:sz w:val="24"/>
          <w:szCs w:val="24"/>
        </w:rPr>
        <w:t>Table 1 in the Narrative (page 5) indicates that the total unique patients for 2023 was 81,364. However, the total number of patients in the Race section of the profile totals 82,151. Please provide an explanation or correction to the race demographics for 2023.</w:t>
      </w:r>
    </w:p>
    <w:p w14:paraId="7F93CCB0" w14:textId="278E59B1" w:rsidR="00351662" w:rsidRDefault="00351662" w:rsidP="00351662">
      <w:pPr>
        <w:pStyle w:val="ListParagraph"/>
        <w:rPr>
          <w:rFonts w:cstheme="minorHAnsi"/>
          <w:sz w:val="24"/>
          <w:szCs w:val="24"/>
        </w:rPr>
      </w:pPr>
    </w:p>
    <w:p w14:paraId="45EBAAB2" w14:textId="32329489" w:rsidR="004D6F61" w:rsidRPr="00A01B41" w:rsidRDefault="004D6F61" w:rsidP="004D6F61">
      <w:pPr>
        <w:pStyle w:val="ListParagraph"/>
        <w:spacing w:after="0" w:line="229" w:lineRule="exact"/>
        <w:jc w:val="center"/>
        <w:rPr>
          <w:rFonts w:ascii="Calibri" w:eastAsia="Times New Roman" w:hAnsi="Calibri" w:cs="Calibri"/>
          <w:b/>
          <w:bCs/>
          <w:color w:val="000000"/>
          <w:u w:val="single"/>
        </w:rPr>
      </w:pPr>
      <w:r>
        <w:rPr>
          <w:rFonts w:ascii="Calibri" w:eastAsia="Times New Roman" w:hAnsi="Calibri" w:cs="Calibri"/>
          <w:b/>
          <w:bCs/>
          <w:color w:val="000000"/>
          <w:u w:val="single"/>
        </w:rPr>
        <w:t>B</w:t>
      </w:r>
      <w:r w:rsidRPr="00A01B41">
        <w:rPr>
          <w:rFonts w:ascii="Calibri" w:eastAsia="Times New Roman" w:hAnsi="Calibri" w:cs="Calibri"/>
          <w:b/>
          <w:bCs/>
          <w:color w:val="000000"/>
          <w:u w:val="single"/>
        </w:rPr>
        <w:t>ID Plymouth Patient Panel Data</w:t>
      </w:r>
    </w:p>
    <w:p w14:paraId="7D0046DA" w14:textId="77777777" w:rsidR="004D6F61" w:rsidRDefault="004D6F61" w:rsidP="004D6F61">
      <w:pPr>
        <w:pStyle w:val="ListParagraph"/>
        <w:spacing w:after="0" w:line="229" w:lineRule="exact"/>
        <w:jc w:val="center"/>
        <w:rPr>
          <w:rFonts w:cstheme="minorHAnsi"/>
          <w:b/>
          <w:bCs/>
          <w:color w:val="000000"/>
          <w:u w:val="single"/>
        </w:rPr>
      </w:pPr>
      <w:r w:rsidRPr="00A01B41">
        <w:rPr>
          <w:rFonts w:cstheme="minorHAnsi"/>
          <w:b/>
          <w:bCs/>
          <w:color w:val="000000"/>
          <w:u w:val="single"/>
        </w:rPr>
        <w:t>Race</w:t>
      </w:r>
    </w:p>
    <w:p w14:paraId="0EAB1162" w14:textId="77777777" w:rsidR="004D6F61" w:rsidRPr="00A01B41" w:rsidRDefault="004D6F61" w:rsidP="004D6F61">
      <w:pPr>
        <w:pStyle w:val="ListParagraph"/>
        <w:spacing w:after="0" w:line="229" w:lineRule="exact"/>
        <w:jc w:val="center"/>
        <w:rPr>
          <w:rFonts w:cstheme="minorHAnsi"/>
          <w:b/>
          <w:bCs/>
          <w:sz w:val="24"/>
          <w:szCs w:val="24"/>
        </w:rPr>
      </w:pPr>
    </w:p>
    <w:tbl>
      <w:tblPr>
        <w:tblW w:w="8460" w:type="dxa"/>
        <w:jc w:val="center"/>
        <w:tblLook w:val="04A0" w:firstRow="1" w:lastRow="0" w:firstColumn="1" w:lastColumn="0" w:noHBand="0" w:noVBand="1"/>
      </w:tblPr>
      <w:tblGrid>
        <w:gridCol w:w="4157"/>
        <w:gridCol w:w="2233"/>
        <w:gridCol w:w="2070"/>
      </w:tblGrid>
      <w:tr w:rsidR="004D6F61" w:rsidRPr="00393303" w14:paraId="1BC2107E" w14:textId="77777777" w:rsidTr="00501D52">
        <w:trPr>
          <w:cantSplit/>
          <w:trHeight w:val="300"/>
          <w:tblHeader/>
          <w:jc w:val="center"/>
        </w:trPr>
        <w:tc>
          <w:tcPr>
            <w:tcW w:w="4157" w:type="dxa"/>
            <w:vMerge w:val="restart"/>
            <w:tcBorders>
              <w:top w:val="single" w:sz="4" w:space="0" w:color="auto"/>
              <w:left w:val="single" w:sz="4" w:space="0" w:color="auto"/>
              <w:right w:val="single" w:sz="4" w:space="0" w:color="auto"/>
            </w:tcBorders>
            <w:shd w:val="clear" w:color="auto" w:fill="D9E2F3" w:themeFill="accent1" w:themeFillTint="33"/>
            <w:noWrap/>
            <w:vAlign w:val="bottom"/>
          </w:tcPr>
          <w:p w14:paraId="53C69D90" w14:textId="77777777" w:rsidR="004D6F61" w:rsidRPr="00393303" w:rsidRDefault="004D6F61" w:rsidP="00DD29F1">
            <w:pPr>
              <w:spacing w:before="240" w:after="0" w:line="240" w:lineRule="auto"/>
              <w:rPr>
                <w:rFonts w:ascii="Calibri" w:eastAsia="Times New Roman" w:hAnsi="Calibri" w:cs="Calibri"/>
                <w:b/>
                <w:bCs/>
                <w:color w:val="000000"/>
              </w:rPr>
            </w:pPr>
          </w:p>
        </w:tc>
        <w:tc>
          <w:tcPr>
            <w:tcW w:w="223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059789AA" w14:textId="77777777" w:rsidR="004D6F61" w:rsidRPr="00393303" w:rsidRDefault="004D6F61" w:rsidP="00DD29F1">
            <w:pPr>
              <w:spacing w:before="240" w:after="0" w:line="240" w:lineRule="auto"/>
              <w:jc w:val="center"/>
              <w:rPr>
                <w:rFonts w:ascii="Calibri" w:eastAsia="Times New Roman" w:hAnsi="Calibri" w:cs="Calibri"/>
                <w:b/>
                <w:bCs/>
                <w:color w:val="000000"/>
                <w:u w:val="single"/>
              </w:rPr>
            </w:pPr>
            <w:r w:rsidRPr="00393303">
              <w:rPr>
                <w:rFonts w:ascii="Calibri" w:eastAsia="Times New Roman" w:hAnsi="Calibri" w:cs="Calibri"/>
                <w:b/>
                <w:bCs/>
                <w:color w:val="000000"/>
                <w:u w:val="single"/>
              </w:rPr>
              <w:t>Revised Submission</w:t>
            </w:r>
          </w:p>
        </w:tc>
        <w:tc>
          <w:tcPr>
            <w:tcW w:w="2070" w:type="dxa"/>
            <w:tcBorders>
              <w:top w:val="single" w:sz="8" w:space="0" w:color="auto"/>
              <w:left w:val="single" w:sz="4" w:space="0" w:color="auto"/>
              <w:bottom w:val="nil"/>
              <w:right w:val="single" w:sz="8" w:space="0" w:color="auto"/>
            </w:tcBorders>
            <w:shd w:val="clear" w:color="auto" w:fill="D9E2F3" w:themeFill="accent1" w:themeFillTint="33"/>
            <w:vAlign w:val="center"/>
          </w:tcPr>
          <w:p w14:paraId="2188E4E6" w14:textId="77777777" w:rsidR="004D6F61" w:rsidRPr="00393303" w:rsidRDefault="004D6F61" w:rsidP="00DD29F1">
            <w:pPr>
              <w:spacing w:before="240" w:after="0" w:line="240" w:lineRule="auto"/>
              <w:jc w:val="center"/>
              <w:rPr>
                <w:rFonts w:ascii="Calibri" w:eastAsia="Times New Roman" w:hAnsi="Calibri" w:cs="Calibri"/>
                <w:b/>
                <w:bCs/>
                <w:color w:val="000000" w:themeColor="text1"/>
                <w:u w:val="single"/>
              </w:rPr>
            </w:pPr>
            <w:r w:rsidRPr="00393303">
              <w:rPr>
                <w:rFonts w:ascii="Calibri" w:eastAsia="Times New Roman" w:hAnsi="Calibri" w:cs="Calibri"/>
                <w:b/>
                <w:bCs/>
                <w:color w:val="000000" w:themeColor="text1"/>
                <w:u w:val="single"/>
              </w:rPr>
              <w:t>Original Submission</w:t>
            </w:r>
          </w:p>
        </w:tc>
      </w:tr>
      <w:tr w:rsidR="004D6F61" w:rsidRPr="00393303" w14:paraId="04BB80F3" w14:textId="77777777" w:rsidTr="00501D52">
        <w:trPr>
          <w:cantSplit/>
          <w:trHeight w:val="300"/>
          <w:tblHeader/>
          <w:jc w:val="center"/>
        </w:trPr>
        <w:tc>
          <w:tcPr>
            <w:tcW w:w="4157" w:type="dxa"/>
            <w:vMerge/>
            <w:tcBorders>
              <w:left w:val="single" w:sz="4" w:space="0" w:color="auto"/>
              <w:bottom w:val="single" w:sz="4" w:space="0" w:color="auto"/>
              <w:right w:val="single" w:sz="4" w:space="0" w:color="auto"/>
            </w:tcBorders>
            <w:shd w:val="clear" w:color="auto" w:fill="D9E2F3" w:themeFill="accent1" w:themeFillTint="33"/>
            <w:vAlign w:val="bottom"/>
          </w:tcPr>
          <w:p w14:paraId="7EFF6971" w14:textId="77777777" w:rsidR="004D6F61" w:rsidRPr="00393303" w:rsidRDefault="004D6F61" w:rsidP="00DD29F1">
            <w:pPr>
              <w:spacing w:before="240" w:after="0" w:line="240" w:lineRule="auto"/>
              <w:rPr>
                <w:rFonts w:ascii="Calibri" w:eastAsia="Times New Roman" w:hAnsi="Calibri" w:cs="Calibri"/>
                <w:b/>
                <w:bCs/>
                <w:color w:val="000000"/>
              </w:rPr>
            </w:pPr>
          </w:p>
        </w:tc>
        <w:tc>
          <w:tcPr>
            <w:tcW w:w="22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7D12AE" w14:textId="77777777" w:rsidR="004D6F61" w:rsidRPr="00393303" w:rsidRDefault="004D6F61" w:rsidP="00DD29F1">
            <w:pPr>
              <w:spacing w:before="240" w:after="0" w:line="240" w:lineRule="auto"/>
              <w:jc w:val="center"/>
              <w:rPr>
                <w:rFonts w:ascii="Calibri" w:eastAsia="Times New Roman" w:hAnsi="Calibri" w:cs="Calibri"/>
                <w:b/>
                <w:bCs/>
                <w:color w:val="000000"/>
              </w:rPr>
            </w:pPr>
            <w:r w:rsidRPr="00393303">
              <w:rPr>
                <w:rFonts w:ascii="Calibri" w:eastAsia="Times New Roman" w:hAnsi="Calibri" w:cs="Calibri"/>
                <w:b/>
                <w:bCs/>
                <w:color w:val="000000"/>
              </w:rPr>
              <w:t>FY2023 Count</w:t>
            </w:r>
          </w:p>
        </w:tc>
        <w:tc>
          <w:tcPr>
            <w:tcW w:w="2070" w:type="dxa"/>
            <w:tcBorders>
              <w:top w:val="single" w:sz="4" w:space="0" w:color="auto"/>
              <w:left w:val="single" w:sz="4" w:space="0" w:color="auto"/>
              <w:bottom w:val="single" w:sz="4" w:space="0" w:color="auto"/>
              <w:right w:val="single" w:sz="8" w:space="0" w:color="auto"/>
            </w:tcBorders>
            <w:shd w:val="clear" w:color="auto" w:fill="D9E2F3" w:themeFill="accent1" w:themeFillTint="33"/>
            <w:vAlign w:val="center"/>
          </w:tcPr>
          <w:p w14:paraId="04427628" w14:textId="77777777" w:rsidR="004D6F61" w:rsidRPr="00393303" w:rsidRDefault="004D6F61" w:rsidP="00DD29F1">
            <w:pPr>
              <w:spacing w:before="240" w:after="0" w:line="240" w:lineRule="auto"/>
              <w:jc w:val="center"/>
              <w:rPr>
                <w:rFonts w:ascii="Calibri" w:eastAsia="Times New Roman" w:hAnsi="Calibri" w:cs="Calibri"/>
                <w:b/>
                <w:bCs/>
                <w:color w:val="000000" w:themeColor="text1"/>
              </w:rPr>
            </w:pPr>
            <w:r w:rsidRPr="00393303">
              <w:rPr>
                <w:rFonts w:ascii="Calibri" w:eastAsia="Times New Roman" w:hAnsi="Calibri" w:cs="Calibri"/>
                <w:b/>
                <w:bCs/>
                <w:color w:val="000000" w:themeColor="text1"/>
              </w:rPr>
              <w:t>FY2023 Count</w:t>
            </w:r>
          </w:p>
        </w:tc>
      </w:tr>
      <w:tr w:rsidR="004D6F61" w:rsidRPr="00393303" w14:paraId="715C953C" w14:textId="77777777" w:rsidTr="00501D52">
        <w:trPr>
          <w:cantSplit/>
          <w:trHeight w:val="300"/>
          <w:jc w:val="center"/>
        </w:trPr>
        <w:tc>
          <w:tcPr>
            <w:tcW w:w="415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14:paraId="284EA865" w14:textId="77777777" w:rsidR="004D6F61" w:rsidRPr="00393303" w:rsidRDefault="004D6F61" w:rsidP="00DD29F1">
            <w:pPr>
              <w:spacing w:after="0" w:line="240" w:lineRule="auto"/>
              <w:rPr>
                <w:rFonts w:ascii="Calibri" w:eastAsia="Times New Roman" w:hAnsi="Calibri" w:cs="Calibri"/>
                <w:color w:val="000000"/>
              </w:rPr>
            </w:pPr>
            <w:r w:rsidRPr="00393303">
              <w:rPr>
                <w:rFonts w:ascii="Calibri" w:eastAsia="Times New Roman" w:hAnsi="Calibri" w:cs="Calibri"/>
                <w:color w:val="000000"/>
              </w:rPr>
              <w:t>Race - American Indian or Alaska Native</w:t>
            </w:r>
          </w:p>
        </w:tc>
        <w:tc>
          <w:tcPr>
            <w:tcW w:w="2233" w:type="dxa"/>
            <w:tcBorders>
              <w:top w:val="nil"/>
              <w:left w:val="nil"/>
              <w:bottom w:val="single" w:sz="4" w:space="0" w:color="auto"/>
              <w:right w:val="single" w:sz="8" w:space="0" w:color="auto"/>
            </w:tcBorders>
            <w:shd w:val="clear" w:color="auto" w:fill="FFFFFF" w:themeFill="background1"/>
            <w:noWrap/>
            <w:vAlign w:val="bottom"/>
            <w:hideMark/>
          </w:tcPr>
          <w:p w14:paraId="6C9EF46B"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95</w:t>
            </w:r>
          </w:p>
        </w:tc>
        <w:tc>
          <w:tcPr>
            <w:tcW w:w="2070" w:type="dxa"/>
            <w:tcBorders>
              <w:top w:val="nil"/>
              <w:left w:val="nil"/>
              <w:bottom w:val="single" w:sz="4" w:space="0" w:color="auto"/>
              <w:right w:val="single" w:sz="8" w:space="0" w:color="auto"/>
            </w:tcBorders>
            <w:shd w:val="clear" w:color="auto" w:fill="FFFFFF" w:themeFill="background1"/>
            <w:vAlign w:val="bottom"/>
          </w:tcPr>
          <w:p w14:paraId="2913A2E3" w14:textId="77777777" w:rsidR="004D6F61" w:rsidRPr="00393303" w:rsidRDefault="004D6F61" w:rsidP="00DD29F1">
            <w:pPr>
              <w:spacing w:line="240" w:lineRule="auto"/>
              <w:contextualSpacing/>
              <w:jc w:val="right"/>
              <w:rPr>
                <w:rFonts w:ascii="Calibri" w:eastAsia="Times New Roman" w:hAnsi="Calibri" w:cs="Calibri"/>
                <w:color w:val="000000" w:themeColor="text1"/>
              </w:rPr>
            </w:pPr>
            <w:r w:rsidRPr="00393303">
              <w:rPr>
                <w:rFonts w:ascii="Calibri" w:eastAsia="Times New Roman" w:hAnsi="Calibri" w:cs="Calibri"/>
                <w:color w:val="000000" w:themeColor="text1"/>
              </w:rPr>
              <w:t>95</w:t>
            </w:r>
          </w:p>
        </w:tc>
      </w:tr>
      <w:tr w:rsidR="004D6F61" w:rsidRPr="00393303" w14:paraId="3A714378" w14:textId="77777777" w:rsidTr="00501D52">
        <w:trPr>
          <w:cantSplit/>
          <w:trHeight w:val="300"/>
          <w:jc w:val="center"/>
        </w:trPr>
        <w:tc>
          <w:tcPr>
            <w:tcW w:w="4157"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07D61689" w14:textId="77777777" w:rsidR="004D6F61" w:rsidRPr="00393303" w:rsidRDefault="004D6F61" w:rsidP="00DD29F1">
            <w:pPr>
              <w:spacing w:after="0" w:line="240" w:lineRule="auto"/>
              <w:rPr>
                <w:rFonts w:ascii="Calibri" w:eastAsia="Times New Roman" w:hAnsi="Calibri" w:cs="Calibri"/>
                <w:color w:val="000000"/>
              </w:rPr>
            </w:pPr>
            <w:r w:rsidRPr="00393303">
              <w:rPr>
                <w:rFonts w:ascii="Calibri" w:eastAsia="Times New Roman" w:hAnsi="Calibri" w:cs="Calibri"/>
                <w:color w:val="000000"/>
              </w:rPr>
              <w:t>Race - Asian</w:t>
            </w:r>
          </w:p>
        </w:tc>
        <w:tc>
          <w:tcPr>
            <w:tcW w:w="2233" w:type="dxa"/>
            <w:tcBorders>
              <w:top w:val="nil"/>
              <w:left w:val="nil"/>
              <w:bottom w:val="single" w:sz="4" w:space="0" w:color="auto"/>
              <w:right w:val="single" w:sz="8" w:space="0" w:color="auto"/>
            </w:tcBorders>
            <w:shd w:val="clear" w:color="auto" w:fill="FFFFFF" w:themeFill="background1"/>
            <w:noWrap/>
            <w:vAlign w:val="bottom"/>
            <w:hideMark/>
          </w:tcPr>
          <w:p w14:paraId="3B2B4370"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502</w:t>
            </w:r>
          </w:p>
        </w:tc>
        <w:tc>
          <w:tcPr>
            <w:tcW w:w="2070" w:type="dxa"/>
            <w:tcBorders>
              <w:top w:val="nil"/>
              <w:left w:val="nil"/>
              <w:bottom w:val="single" w:sz="4" w:space="0" w:color="auto"/>
              <w:right w:val="single" w:sz="8" w:space="0" w:color="auto"/>
            </w:tcBorders>
            <w:shd w:val="clear" w:color="auto" w:fill="FFFFFF" w:themeFill="background1"/>
            <w:vAlign w:val="bottom"/>
          </w:tcPr>
          <w:p w14:paraId="05C6E5F9" w14:textId="77777777" w:rsidR="004D6F61" w:rsidRPr="00393303" w:rsidRDefault="004D6F61" w:rsidP="00DD29F1">
            <w:pPr>
              <w:spacing w:line="240" w:lineRule="auto"/>
              <w:contextualSpacing/>
              <w:jc w:val="right"/>
              <w:rPr>
                <w:rFonts w:ascii="Calibri" w:eastAsia="Times New Roman" w:hAnsi="Calibri" w:cs="Calibri"/>
                <w:color w:val="000000" w:themeColor="text1"/>
              </w:rPr>
            </w:pPr>
            <w:r w:rsidRPr="00393303">
              <w:rPr>
                <w:rFonts w:ascii="Calibri" w:eastAsia="Times New Roman" w:hAnsi="Calibri" w:cs="Calibri"/>
                <w:color w:val="000000" w:themeColor="text1"/>
              </w:rPr>
              <w:t>502</w:t>
            </w:r>
          </w:p>
        </w:tc>
      </w:tr>
      <w:tr w:rsidR="004D6F61" w:rsidRPr="00393303" w14:paraId="664FE467" w14:textId="77777777" w:rsidTr="00501D52">
        <w:trPr>
          <w:cantSplit/>
          <w:trHeight w:val="300"/>
          <w:jc w:val="center"/>
        </w:trPr>
        <w:tc>
          <w:tcPr>
            <w:tcW w:w="4157"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26362D69" w14:textId="77777777" w:rsidR="004D6F61" w:rsidRPr="00393303" w:rsidRDefault="004D6F61" w:rsidP="00DD29F1">
            <w:pPr>
              <w:spacing w:after="0" w:line="240" w:lineRule="auto"/>
              <w:rPr>
                <w:rFonts w:ascii="Calibri" w:eastAsia="Times New Roman" w:hAnsi="Calibri" w:cs="Calibri"/>
                <w:color w:val="000000"/>
              </w:rPr>
            </w:pPr>
            <w:r w:rsidRPr="00393303">
              <w:rPr>
                <w:rFonts w:ascii="Calibri" w:eastAsia="Times New Roman" w:hAnsi="Calibri" w:cs="Calibri"/>
                <w:color w:val="000000"/>
              </w:rPr>
              <w:t>Race - Black or African American</w:t>
            </w:r>
          </w:p>
        </w:tc>
        <w:tc>
          <w:tcPr>
            <w:tcW w:w="2233" w:type="dxa"/>
            <w:tcBorders>
              <w:top w:val="nil"/>
              <w:left w:val="nil"/>
              <w:bottom w:val="single" w:sz="4" w:space="0" w:color="auto"/>
              <w:right w:val="single" w:sz="8" w:space="0" w:color="auto"/>
            </w:tcBorders>
            <w:shd w:val="clear" w:color="auto" w:fill="FFFFFF" w:themeFill="background1"/>
            <w:noWrap/>
            <w:vAlign w:val="bottom"/>
            <w:hideMark/>
          </w:tcPr>
          <w:p w14:paraId="0778CE52"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1,878</w:t>
            </w:r>
          </w:p>
        </w:tc>
        <w:tc>
          <w:tcPr>
            <w:tcW w:w="2070" w:type="dxa"/>
            <w:tcBorders>
              <w:top w:val="nil"/>
              <w:left w:val="nil"/>
              <w:bottom w:val="single" w:sz="4" w:space="0" w:color="auto"/>
              <w:right w:val="single" w:sz="8" w:space="0" w:color="auto"/>
            </w:tcBorders>
            <w:shd w:val="clear" w:color="auto" w:fill="FFFFFF" w:themeFill="background1"/>
            <w:vAlign w:val="bottom"/>
          </w:tcPr>
          <w:p w14:paraId="408FC39B" w14:textId="77777777" w:rsidR="004D6F61" w:rsidRPr="00393303" w:rsidRDefault="004D6F61" w:rsidP="00DD29F1">
            <w:pPr>
              <w:spacing w:line="240" w:lineRule="auto"/>
              <w:contextualSpacing/>
              <w:jc w:val="right"/>
              <w:rPr>
                <w:rFonts w:ascii="Calibri" w:eastAsia="Times New Roman" w:hAnsi="Calibri" w:cs="Calibri"/>
                <w:color w:val="000000" w:themeColor="text1"/>
              </w:rPr>
            </w:pPr>
            <w:r w:rsidRPr="00393303">
              <w:rPr>
                <w:rFonts w:ascii="Calibri" w:eastAsia="Times New Roman" w:hAnsi="Calibri" w:cs="Calibri"/>
                <w:color w:val="000000" w:themeColor="text1"/>
              </w:rPr>
              <w:t>1,878</w:t>
            </w:r>
          </w:p>
        </w:tc>
      </w:tr>
      <w:tr w:rsidR="004D6F61" w:rsidRPr="00393303" w14:paraId="0263DB84" w14:textId="77777777" w:rsidTr="00501D52">
        <w:trPr>
          <w:cantSplit/>
          <w:trHeight w:val="300"/>
          <w:jc w:val="center"/>
        </w:trPr>
        <w:tc>
          <w:tcPr>
            <w:tcW w:w="4157"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21FA2E1E" w14:textId="77777777" w:rsidR="004D6F61" w:rsidRPr="00393303" w:rsidRDefault="004D6F61" w:rsidP="00DD29F1">
            <w:pPr>
              <w:spacing w:after="0" w:line="240" w:lineRule="auto"/>
              <w:rPr>
                <w:rFonts w:ascii="Calibri" w:eastAsia="Times New Roman" w:hAnsi="Calibri" w:cs="Calibri"/>
                <w:color w:val="000000"/>
              </w:rPr>
            </w:pPr>
            <w:r w:rsidRPr="00393303">
              <w:rPr>
                <w:rFonts w:ascii="Calibri" w:eastAsia="Times New Roman" w:hAnsi="Calibri" w:cs="Calibri"/>
                <w:color w:val="000000"/>
              </w:rPr>
              <w:t>Race - Native Hawaiian or Other Pacific Islander</w:t>
            </w:r>
          </w:p>
        </w:tc>
        <w:tc>
          <w:tcPr>
            <w:tcW w:w="2233" w:type="dxa"/>
            <w:tcBorders>
              <w:top w:val="nil"/>
              <w:left w:val="nil"/>
              <w:bottom w:val="single" w:sz="4" w:space="0" w:color="auto"/>
              <w:right w:val="single" w:sz="8" w:space="0" w:color="auto"/>
            </w:tcBorders>
            <w:shd w:val="clear" w:color="auto" w:fill="FFFFFF" w:themeFill="background1"/>
            <w:noWrap/>
            <w:vAlign w:val="bottom"/>
            <w:hideMark/>
          </w:tcPr>
          <w:p w14:paraId="15C8018E"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34</w:t>
            </w:r>
          </w:p>
        </w:tc>
        <w:tc>
          <w:tcPr>
            <w:tcW w:w="2070" w:type="dxa"/>
            <w:tcBorders>
              <w:top w:val="nil"/>
              <w:left w:val="nil"/>
              <w:bottom w:val="single" w:sz="4" w:space="0" w:color="auto"/>
              <w:right w:val="single" w:sz="8" w:space="0" w:color="auto"/>
            </w:tcBorders>
            <w:shd w:val="clear" w:color="auto" w:fill="FFFFFF" w:themeFill="background1"/>
            <w:vAlign w:val="bottom"/>
          </w:tcPr>
          <w:p w14:paraId="34F05118" w14:textId="77777777" w:rsidR="004D6F61" w:rsidRPr="00393303" w:rsidRDefault="004D6F61" w:rsidP="00DD29F1">
            <w:pPr>
              <w:spacing w:line="240" w:lineRule="auto"/>
              <w:contextualSpacing/>
              <w:jc w:val="right"/>
              <w:rPr>
                <w:rFonts w:ascii="Calibri" w:eastAsia="Times New Roman" w:hAnsi="Calibri" w:cs="Calibri"/>
                <w:color w:val="000000" w:themeColor="text1"/>
              </w:rPr>
            </w:pPr>
            <w:r w:rsidRPr="00393303">
              <w:rPr>
                <w:rFonts w:ascii="Calibri" w:eastAsia="Times New Roman" w:hAnsi="Calibri" w:cs="Calibri"/>
                <w:color w:val="000000" w:themeColor="text1"/>
              </w:rPr>
              <w:t>6,673</w:t>
            </w:r>
          </w:p>
        </w:tc>
      </w:tr>
      <w:tr w:rsidR="004D6F61" w:rsidRPr="00393303" w14:paraId="01B565D2" w14:textId="77777777" w:rsidTr="00501D52">
        <w:trPr>
          <w:cantSplit/>
          <w:trHeight w:val="300"/>
          <w:jc w:val="center"/>
        </w:trPr>
        <w:tc>
          <w:tcPr>
            <w:tcW w:w="4157"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4BE9099B" w14:textId="77777777" w:rsidR="004D6F61" w:rsidRPr="00393303" w:rsidRDefault="004D6F61" w:rsidP="00DD29F1">
            <w:pPr>
              <w:spacing w:after="0" w:line="240" w:lineRule="auto"/>
              <w:rPr>
                <w:rFonts w:ascii="Calibri" w:eastAsia="Times New Roman" w:hAnsi="Calibri" w:cs="Calibri"/>
                <w:color w:val="000000"/>
              </w:rPr>
            </w:pPr>
            <w:r w:rsidRPr="00393303">
              <w:rPr>
                <w:rFonts w:ascii="Calibri" w:eastAsia="Times New Roman" w:hAnsi="Calibri" w:cs="Calibri"/>
                <w:color w:val="000000"/>
              </w:rPr>
              <w:t>Race - Other</w:t>
            </w:r>
          </w:p>
        </w:tc>
        <w:tc>
          <w:tcPr>
            <w:tcW w:w="2233" w:type="dxa"/>
            <w:tcBorders>
              <w:top w:val="nil"/>
              <w:left w:val="nil"/>
              <w:bottom w:val="single" w:sz="4" w:space="0" w:color="auto"/>
              <w:right w:val="single" w:sz="8" w:space="0" w:color="auto"/>
            </w:tcBorders>
            <w:shd w:val="clear" w:color="auto" w:fill="FFFFFF" w:themeFill="background1"/>
            <w:noWrap/>
            <w:vAlign w:val="bottom"/>
            <w:hideMark/>
          </w:tcPr>
          <w:p w14:paraId="4622510F"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6,673</w:t>
            </w:r>
          </w:p>
        </w:tc>
        <w:tc>
          <w:tcPr>
            <w:tcW w:w="2070" w:type="dxa"/>
            <w:tcBorders>
              <w:top w:val="nil"/>
              <w:left w:val="nil"/>
              <w:bottom w:val="single" w:sz="4" w:space="0" w:color="auto"/>
              <w:right w:val="single" w:sz="8" w:space="0" w:color="auto"/>
            </w:tcBorders>
            <w:shd w:val="clear" w:color="auto" w:fill="FFFFFF" w:themeFill="background1"/>
            <w:vAlign w:val="bottom"/>
          </w:tcPr>
          <w:p w14:paraId="2D8C7D73" w14:textId="77777777" w:rsidR="004D6F61" w:rsidRPr="00393303" w:rsidRDefault="004D6F61" w:rsidP="00DD29F1">
            <w:pPr>
              <w:spacing w:line="240" w:lineRule="auto"/>
              <w:contextualSpacing/>
              <w:jc w:val="right"/>
              <w:rPr>
                <w:rFonts w:ascii="Calibri" w:eastAsia="Times New Roman" w:hAnsi="Calibri" w:cs="Calibri"/>
                <w:color w:val="000000" w:themeColor="text1"/>
              </w:rPr>
            </w:pPr>
            <w:r w:rsidRPr="00393303">
              <w:rPr>
                <w:rFonts w:ascii="Calibri" w:eastAsia="Times New Roman" w:hAnsi="Calibri" w:cs="Calibri"/>
                <w:color w:val="000000" w:themeColor="text1"/>
              </w:rPr>
              <w:t>821</w:t>
            </w:r>
          </w:p>
        </w:tc>
      </w:tr>
      <w:tr w:rsidR="004D6F61" w:rsidRPr="00393303" w14:paraId="6FAE40D9" w14:textId="77777777" w:rsidTr="00501D52">
        <w:trPr>
          <w:cantSplit/>
          <w:trHeight w:val="300"/>
          <w:jc w:val="center"/>
        </w:trPr>
        <w:tc>
          <w:tcPr>
            <w:tcW w:w="4157"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270FCFE1" w14:textId="77777777" w:rsidR="004D6F61" w:rsidRPr="00393303" w:rsidRDefault="004D6F61" w:rsidP="00DD29F1">
            <w:pPr>
              <w:spacing w:after="0" w:line="240" w:lineRule="auto"/>
              <w:rPr>
                <w:rFonts w:ascii="Calibri" w:eastAsia="Times New Roman" w:hAnsi="Calibri" w:cs="Calibri"/>
                <w:color w:val="000000"/>
              </w:rPr>
            </w:pPr>
            <w:r w:rsidRPr="00393303">
              <w:rPr>
                <w:rFonts w:ascii="Calibri" w:eastAsia="Times New Roman" w:hAnsi="Calibri" w:cs="Calibri"/>
                <w:color w:val="000000"/>
              </w:rPr>
              <w:t>Race - White</w:t>
            </w:r>
          </w:p>
        </w:tc>
        <w:tc>
          <w:tcPr>
            <w:tcW w:w="2233" w:type="dxa"/>
            <w:tcBorders>
              <w:top w:val="nil"/>
              <w:left w:val="nil"/>
              <w:bottom w:val="single" w:sz="4" w:space="0" w:color="auto"/>
              <w:right w:val="single" w:sz="8" w:space="0" w:color="auto"/>
            </w:tcBorders>
            <w:shd w:val="clear" w:color="auto" w:fill="FFFFFF" w:themeFill="background1"/>
            <w:noWrap/>
            <w:vAlign w:val="bottom"/>
            <w:hideMark/>
          </w:tcPr>
          <w:p w14:paraId="24A6B320"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72,182</w:t>
            </w:r>
          </w:p>
        </w:tc>
        <w:tc>
          <w:tcPr>
            <w:tcW w:w="2070" w:type="dxa"/>
            <w:tcBorders>
              <w:top w:val="nil"/>
              <w:left w:val="nil"/>
              <w:bottom w:val="single" w:sz="4" w:space="0" w:color="auto"/>
              <w:right w:val="single" w:sz="8" w:space="0" w:color="auto"/>
            </w:tcBorders>
            <w:shd w:val="clear" w:color="auto" w:fill="FFFFFF" w:themeFill="background1"/>
            <w:vAlign w:val="bottom"/>
          </w:tcPr>
          <w:p w14:paraId="2A328893" w14:textId="77777777" w:rsidR="004D6F61" w:rsidRPr="00393303" w:rsidRDefault="004D6F61" w:rsidP="00DD29F1">
            <w:pPr>
              <w:spacing w:line="240" w:lineRule="auto"/>
              <w:contextualSpacing/>
              <w:jc w:val="right"/>
              <w:rPr>
                <w:rFonts w:ascii="Calibri" w:eastAsia="Times New Roman" w:hAnsi="Calibri" w:cs="Calibri"/>
                <w:color w:val="000000" w:themeColor="text1"/>
              </w:rPr>
            </w:pPr>
            <w:r w:rsidRPr="00393303">
              <w:rPr>
                <w:rFonts w:ascii="Calibri" w:eastAsia="Times New Roman" w:hAnsi="Calibri" w:cs="Calibri"/>
                <w:color w:val="000000" w:themeColor="text1"/>
              </w:rPr>
              <w:t>72,182</w:t>
            </w:r>
          </w:p>
        </w:tc>
      </w:tr>
      <w:tr w:rsidR="004D6F61" w:rsidRPr="00393303" w14:paraId="7A04A6C4" w14:textId="77777777" w:rsidTr="00501D52">
        <w:trPr>
          <w:cantSplit/>
          <w:trHeight w:val="300"/>
          <w:jc w:val="center"/>
        </w:trPr>
        <w:tc>
          <w:tcPr>
            <w:tcW w:w="4157"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0AFAAFAF" w14:textId="77777777" w:rsidR="004D6F61" w:rsidRPr="00393303" w:rsidRDefault="004D6F61" w:rsidP="00DD29F1">
            <w:pPr>
              <w:spacing w:after="0" w:line="240" w:lineRule="auto"/>
              <w:rPr>
                <w:rFonts w:ascii="Calibri" w:eastAsia="Times New Roman" w:hAnsi="Calibri" w:cs="Calibri"/>
                <w:color w:val="000000"/>
              </w:rPr>
            </w:pPr>
            <w:r w:rsidRPr="00393303">
              <w:rPr>
                <w:rFonts w:ascii="Calibri" w:eastAsia="Times New Roman" w:hAnsi="Calibri" w:cs="Calibri"/>
                <w:color w:val="000000"/>
              </w:rPr>
              <w:t>Race - Unknown</w:t>
            </w:r>
          </w:p>
        </w:tc>
        <w:tc>
          <w:tcPr>
            <w:tcW w:w="2233" w:type="dxa"/>
            <w:tcBorders>
              <w:top w:val="nil"/>
              <w:left w:val="nil"/>
              <w:bottom w:val="single" w:sz="4" w:space="0" w:color="auto"/>
              <w:right w:val="single" w:sz="8" w:space="0" w:color="auto"/>
            </w:tcBorders>
            <w:shd w:val="clear" w:color="auto" w:fill="FFFFFF" w:themeFill="background1"/>
            <w:noWrap/>
            <w:vAlign w:val="bottom"/>
            <w:hideMark/>
          </w:tcPr>
          <w:p w14:paraId="4E3280F3"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0</w:t>
            </w:r>
          </w:p>
        </w:tc>
        <w:tc>
          <w:tcPr>
            <w:tcW w:w="2070" w:type="dxa"/>
            <w:tcBorders>
              <w:top w:val="nil"/>
              <w:left w:val="nil"/>
              <w:bottom w:val="single" w:sz="4" w:space="0" w:color="auto"/>
              <w:right w:val="single" w:sz="8" w:space="0" w:color="auto"/>
            </w:tcBorders>
            <w:shd w:val="clear" w:color="auto" w:fill="FFFFFF" w:themeFill="background1"/>
            <w:vAlign w:val="bottom"/>
          </w:tcPr>
          <w:p w14:paraId="0289C2D9" w14:textId="77777777" w:rsidR="004D6F61" w:rsidRPr="00393303" w:rsidRDefault="004D6F61" w:rsidP="00DD29F1">
            <w:pPr>
              <w:spacing w:line="240" w:lineRule="auto"/>
              <w:contextualSpacing/>
              <w:jc w:val="right"/>
              <w:rPr>
                <w:rFonts w:ascii="Calibri" w:eastAsia="Times New Roman" w:hAnsi="Calibri" w:cs="Calibri"/>
                <w:color w:val="000000" w:themeColor="text1"/>
              </w:rPr>
            </w:pPr>
            <w:r w:rsidRPr="00393303">
              <w:rPr>
                <w:rFonts w:ascii="Calibri" w:eastAsia="Times New Roman" w:hAnsi="Calibri" w:cs="Calibri"/>
                <w:color w:val="000000" w:themeColor="text1"/>
              </w:rPr>
              <w:t>0</w:t>
            </w:r>
          </w:p>
        </w:tc>
      </w:tr>
      <w:tr w:rsidR="004D6F61" w:rsidRPr="00393303" w14:paraId="2B3D81B2" w14:textId="77777777" w:rsidTr="00501D52">
        <w:trPr>
          <w:cantSplit/>
          <w:trHeight w:val="300"/>
          <w:jc w:val="center"/>
        </w:trPr>
        <w:tc>
          <w:tcPr>
            <w:tcW w:w="4157" w:type="dxa"/>
            <w:tcBorders>
              <w:top w:val="nil"/>
              <w:left w:val="single" w:sz="8" w:space="0" w:color="auto"/>
              <w:bottom w:val="single" w:sz="8" w:space="0" w:color="auto"/>
              <w:right w:val="single" w:sz="4" w:space="0" w:color="auto"/>
            </w:tcBorders>
            <w:shd w:val="clear" w:color="auto" w:fill="FFFFFF" w:themeFill="background1"/>
            <w:noWrap/>
            <w:vAlign w:val="bottom"/>
            <w:hideMark/>
          </w:tcPr>
          <w:p w14:paraId="1F7EA64B" w14:textId="77777777" w:rsidR="004D6F61" w:rsidRPr="00393303" w:rsidRDefault="004D6F61" w:rsidP="00DD29F1">
            <w:pPr>
              <w:spacing w:after="0" w:line="240" w:lineRule="auto"/>
              <w:rPr>
                <w:rFonts w:ascii="Calibri" w:eastAsia="Times New Roman" w:hAnsi="Calibri" w:cs="Calibri"/>
                <w:color w:val="000000"/>
              </w:rPr>
            </w:pPr>
            <w:r w:rsidRPr="00393303">
              <w:rPr>
                <w:rFonts w:ascii="Calibri" w:eastAsia="Times New Roman" w:hAnsi="Calibri" w:cs="Calibri"/>
                <w:color w:val="000000"/>
              </w:rPr>
              <w:t>Total</w:t>
            </w:r>
          </w:p>
        </w:tc>
        <w:tc>
          <w:tcPr>
            <w:tcW w:w="2233" w:type="dxa"/>
            <w:tcBorders>
              <w:top w:val="nil"/>
              <w:left w:val="nil"/>
              <w:bottom w:val="single" w:sz="8" w:space="0" w:color="auto"/>
              <w:right w:val="single" w:sz="8" w:space="0" w:color="auto"/>
            </w:tcBorders>
            <w:shd w:val="clear" w:color="auto" w:fill="FFFFFF" w:themeFill="background1"/>
            <w:noWrap/>
            <w:vAlign w:val="bottom"/>
            <w:hideMark/>
          </w:tcPr>
          <w:p w14:paraId="58BE43D1" w14:textId="77777777" w:rsidR="004D6F61" w:rsidRPr="00393303" w:rsidRDefault="004D6F61" w:rsidP="00DD29F1">
            <w:pPr>
              <w:spacing w:after="0" w:line="240" w:lineRule="auto"/>
              <w:jc w:val="right"/>
              <w:rPr>
                <w:rFonts w:ascii="Calibri" w:eastAsia="Times New Roman" w:hAnsi="Calibri" w:cs="Calibri"/>
                <w:color w:val="000000"/>
              </w:rPr>
            </w:pPr>
            <w:r w:rsidRPr="00393303">
              <w:rPr>
                <w:rFonts w:ascii="Calibri" w:eastAsia="Times New Roman" w:hAnsi="Calibri" w:cs="Calibri"/>
                <w:color w:val="000000"/>
              </w:rPr>
              <w:t>81,364</w:t>
            </w:r>
          </w:p>
        </w:tc>
        <w:tc>
          <w:tcPr>
            <w:tcW w:w="2070" w:type="dxa"/>
            <w:tcBorders>
              <w:top w:val="nil"/>
              <w:left w:val="nil"/>
              <w:bottom w:val="single" w:sz="8" w:space="0" w:color="auto"/>
              <w:right w:val="single" w:sz="8" w:space="0" w:color="auto"/>
            </w:tcBorders>
            <w:shd w:val="clear" w:color="auto" w:fill="FFFFFF" w:themeFill="background1"/>
            <w:vAlign w:val="bottom"/>
          </w:tcPr>
          <w:p w14:paraId="163C8816" w14:textId="77777777" w:rsidR="004D6F61" w:rsidRPr="00393303" w:rsidRDefault="004D6F61" w:rsidP="00DD29F1">
            <w:pPr>
              <w:spacing w:after="0" w:line="240" w:lineRule="auto"/>
              <w:jc w:val="right"/>
              <w:rPr>
                <w:rFonts w:ascii="Calibri" w:eastAsia="Times New Roman" w:hAnsi="Calibri" w:cs="Calibri"/>
                <w:color w:val="000000" w:themeColor="text1"/>
              </w:rPr>
            </w:pPr>
            <w:r w:rsidRPr="00393303">
              <w:rPr>
                <w:rFonts w:ascii="Calibri" w:eastAsia="Times New Roman" w:hAnsi="Calibri" w:cs="Calibri"/>
                <w:color w:val="000000" w:themeColor="text1"/>
              </w:rPr>
              <w:t>82,151</w:t>
            </w:r>
          </w:p>
        </w:tc>
      </w:tr>
    </w:tbl>
    <w:p w14:paraId="61849EDE" w14:textId="77777777" w:rsidR="00351662" w:rsidRDefault="00351662" w:rsidP="00351662">
      <w:pPr>
        <w:pStyle w:val="ListParagraph"/>
        <w:spacing w:after="0" w:line="229" w:lineRule="exact"/>
        <w:rPr>
          <w:rFonts w:cstheme="minorHAnsi"/>
          <w:sz w:val="24"/>
          <w:szCs w:val="24"/>
        </w:rPr>
      </w:pPr>
    </w:p>
    <w:p w14:paraId="223740FA" w14:textId="77777777" w:rsidR="004D6F61" w:rsidRDefault="004D6F61" w:rsidP="00351662">
      <w:pPr>
        <w:pStyle w:val="ListParagraph"/>
        <w:spacing w:after="0" w:line="229" w:lineRule="exact"/>
        <w:rPr>
          <w:rFonts w:cstheme="minorHAnsi"/>
          <w:sz w:val="24"/>
          <w:szCs w:val="24"/>
        </w:rPr>
      </w:pPr>
    </w:p>
    <w:p w14:paraId="58901BDD" w14:textId="77777777" w:rsidR="004D6F61" w:rsidRDefault="004D6F61" w:rsidP="00351662">
      <w:pPr>
        <w:pStyle w:val="ListParagraph"/>
        <w:spacing w:after="0" w:line="229" w:lineRule="exact"/>
        <w:rPr>
          <w:rFonts w:cstheme="minorHAnsi"/>
          <w:sz w:val="24"/>
          <w:szCs w:val="24"/>
        </w:rPr>
      </w:pPr>
    </w:p>
    <w:p w14:paraId="7733F984" w14:textId="77777777" w:rsidR="0004009F" w:rsidRPr="0004009F" w:rsidRDefault="0004009F" w:rsidP="0004009F">
      <w:pPr>
        <w:spacing w:after="0" w:line="229" w:lineRule="exact"/>
        <w:rPr>
          <w:rFonts w:cstheme="minorHAnsi"/>
          <w:sz w:val="24"/>
          <w:szCs w:val="24"/>
        </w:rPr>
      </w:pPr>
    </w:p>
    <w:p w14:paraId="384F35F2" w14:textId="1828DD66" w:rsidR="00586B2C" w:rsidRDefault="003E3D33" w:rsidP="004D6F61">
      <w:pPr>
        <w:pStyle w:val="ListParagraph"/>
        <w:numPr>
          <w:ilvl w:val="0"/>
          <w:numId w:val="3"/>
        </w:numPr>
        <w:spacing w:after="0" w:line="229" w:lineRule="exact"/>
        <w:rPr>
          <w:rFonts w:cstheme="minorHAnsi"/>
          <w:sz w:val="24"/>
          <w:szCs w:val="24"/>
        </w:rPr>
      </w:pPr>
      <w:r w:rsidRPr="003E3D33">
        <w:rPr>
          <w:rFonts w:cstheme="minorHAnsi"/>
          <w:sz w:val="24"/>
          <w:szCs w:val="24"/>
        </w:rPr>
        <w:lastRenderedPageBreak/>
        <w:t>The MassHealth</w:t>
      </w:r>
      <w:r w:rsidR="0004009F">
        <w:rPr>
          <w:rFonts w:cstheme="minorHAnsi"/>
          <w:sz w:val="24"/>
          <w:szCs w:val="24"/>
        </w:rPr>
        <w:t xml:space="preserve">/ </w:t>
      </w:r>
      <w:r w:rsidRPr="003E3D33">
        <w:rPr>
          <w:rFonts w:cstheme="minorHAnsi"/>
          <w:sz w:val="24"/>
          <w:szCs w:val="24"/>
        </w:rPr>
        <w:t>Medicaid</w:t>
      </w:r>
      <w:r w:rsidR="0004009F">
        <w:rPr>
          <w:rFonts w:cstheme="minorHAnsi"/>
          <w:sz w:val="24"/>
          <w:szCs w:val="24"/>
        </w:rPr>
        <w:t xml:space="preserve"> </w:t>
      </w:r>
      <w:r w:rsidRPr="003E3D33">
        <w:rPr>
          <w:rFonts w:cstheme="minorHAnsi"/>
          <w:sz w:val="24"/>
          <w:szCs w:val="24"/>
        </w:rPr>
        <w:t xml:space="preserve">levels for BID-Oncology, BILHPC Quincy and BILH Urgent Care </w:t>
      </w:r>
      <w:r w:rsidR="004D6F61" w:rsidRPr="003E3D33">
        <w:rPr>
          <w:rFonts w:cstheme="minorHAnsi"/>
          <w:sz w:val="24"/>
          <w:szCs w:val="24"/>
        </w:rPr>
        <w:t>Quincy</w:t>
      </w:r>
      <w:r w:rsidRPr="003E3D33">
        <w:rPr>
          <w:rFonts w:cstheme="minorHAnsi"/>
          <w:sz w:val="24"/>
          <w:szCs w:val="24"/>
        </w:rPr>
        <w:t xml:space="preserve"> stand out as low in comparison to the hospital</w:t>
      </w:r>
      <w:r w:rsidR="0004009F">
        <w:rPr>
          <w:rFonts w:cstheme="minorHAnsi"/>
          <w:sz w:val="24"/>
          <w:szCs w:val="24"/>
        </w:rPr>
        <w:t xml:space="preserve"> percentages</w:t>
      </w:r>
      <w:r w:rsidRPr="003E3D33">
        <w:rPr>
          <w:rFonts w:cstheme="minorHAnsi"/>
          <w:sz w:val="24"/>
          <w:szCs w:val="24"/>
        </w:rPr>
        <w:t xml:space="preserve">. Please provide an analysis </w:t>
      </w:r>
      <w:proofErr w:type="gramStart"/>
      <w:r w:rsidRPr="003E3D33">
        <w:rPr>
          <w:rFonts w:cstheme="minorHAnsi"/>
          <w:sz w:val="24"/>
          <w:szCs w:val="24"/>
        </w:rPr>
        <w:t>on</w:t>
      </w:r>
      <w:proofErr w:type="gramEnd"/>
      <w:r w:rsidRPr="003E3D33">
        <w:rPr>
          <w:rFonts w:cstheme="minorHAnsi"/>
          <w:sz w:val="24"/>
          <w:szCs w:val="24"/>
        </w:rPr>
        <w:t xml:space="preserve"> why these rates are so much lower and what steps </w:t>
      </w:r>
      <w:r w:rsidR="0004009F">
        <w:rPr>
          <w:rFonts w:cstheme="minorHAnsi"/>
          <w:sz w:val="24"/>
          <w:szCs w:val="24"/>
        </w:rPr>
        <w:t>the Applicant</w:t>
      </w:r>
      <w:r w:rsidRPr="003E3D33">
        <w:rPr>
          <w:rFonts w:cstheme="minorHAnsi"/>
          <w:sz w:val="24"/>
          <w:szCs w:val="24"/>
        </w:rPr>
        <w:t xml:space="preserve"> will take to increase Mass Health levels at the new Satellite sites.</w:t>
      </w:r>
    </w:p>
    <w:p w14:paraId="2B6DF211" w14:textId="21401EB8" w:rsidR="00664511" w:rsidRDefault="00664511" w:rsidP="00664511">
      <w:pPr>
        <w:spacing w:after="0" w:line="229" w:lineRule="exact"/>
        <w:rPr>
          <w:rFonts w:cstheme="minorHAnsi"/>
          <w:sz w:val="24"/>
          <w:szCs w:val="24"/>
        </w:rPr>
      </w:pPr>
    </w:p>
    <w:p w14:paraId="7AEFC6FF" w14:textId="468F94AA" w:rsidR="004D6F61" w:rsidRPr="004D6F61" w:rsidRDefault="002D58A3" w:rsidP="004D6F61">
      <w:pPr>
        <w:spacing w:after="120" w:line="240" w:lineRule="auto"/>
        <w:ind w:left="360"/>
        <w:jc w:val="both"/>
        <w:rPr>
          <w:rStyle w:val="cf01"/>
          <w:rFonts w:ascii="Calibri" w:eastAsia="Times New Roman" w:hAnsi="Calibri" w:cs="Calibri"/>
          <w:b/>
          <w:bCs/>
          <w:sz w:val="22"/>
          <w:szCs w:val="22"/>
        </w:rPr>
      </w:pPr>
      <w:r w:rsidRPr="002D58A3">
        <w:rPr>
          <w:rFonts w:ascii="Calibri" w:eastAsia="Times New Roman" w:hAnsi="Calibri" w:cs="Calibri"/>
          <w:b/>
          <w:bCs/>
          <w:kern w:val="2"/>
        </w:rPr>
        <w:t xml:space="preserve">According to data shared by the Applicant, </w:t>
      </w:r>
      <w:r>
        <w:rPr>
          <w:rFonts w:ascii="Calibri" w:eastAsia="Times New Roman" w:hAnsi="Calibri" w:cs="Calibri"/>
          <w:b/>
          <w:bCs/>
          <w:kern w:val="2"/>
        </w:rPr>
        <w:t xml:space="preserve">the </w:t>
      </w:r>
      <w:r w:rsidRPr="002D58A3">
        <w:rPr>
          <w:rFonts w:ascii="Calibri" w:eastAsia="Times New Roman" w:hAnsi="Calibri" w:cs="Calibri"/>
          <w:b/>
          <w:bCs/>
          <w:kern w:val="2"/>
        </w:rPr>
        <w:t>Medicaid payer mix for BILH</w:t>
      </w:r>
      <w:r w:rsidR="18A0C2F5" w:rsidRPr="002D58A3">
        <w:rPr>
          <w:rFonts w:ascii="Calibri" w:eastAsia="Times New Roman" w:hAnsi="Calibri" w:cs="Calibri"/>
          <w:b/>
          <w:bCs/>
          <w:kern w:val="2"/>
        </w:rPr>
        <w:t xml:space="preserve"> </w:t>
      </w:r>
      <w:r w:rsidRPr="002D58A3">
        <w:rPr>
          <w:rFonts w:ascii="Calibri" w:eastAsia="Times New Roman" w:hAnsi="Calibri" w:cs="Calibri"/>
          <w:b/>
          <w:bCs/>
          <w:kern w:val="2"/>
        </w:rPr>
        <w:t>P</w:t>
      </w:r>
      <w:r w:rsidR="4BF24F62" w:rsidRPr="002D58A3">
        <w:rPr>
          <w:rFonts w:ascii="Calibri" w:eastAsia="Times New Roman" w:hAnsi="Calibri" w:cs="Calibri"/>
          <w:b/>
          <w:bCs/>
          <w:kern w:val="2"/>
        </w:rPr>
        <w:t xml:space="preserve">rimary </w:t>
      </w:r>
      <w:r w:rsidRPr="002D58A3">
        <w:rPr>
          <w:rFonts w:ascii="Calibri" w:eastAsia="Times New Roman" w:hAnsi="Calibri" w:cs="Calibri"/>
          <w:b/>
          <w:bCs/>
          <w:kern w:val="2"/>
        </w:rPr>
        <w:t>C</w:t>
      </w:r>
      <w:r w:rsidR="74CE3DCD" w:rsidRPr="002D58A3">
        <w:rPr>
          <w:rFonts w:ascii="Calibri" w:eastAsia="Times New Roman" w:hAnsi="Calibri" w:cs="Calibri"/>
          <w:b/>
          <w:bCs/>
          <w:kern w:val="2"/>
        </w:rPr>
        <w:t>are</w:t>
      </w:r>
      <w:r w:rsidRPr="002D58A3">
        <w:rPr>
          <w:rFonts w:ascii="Calibri" w:eastAsia="Times New Roman" w:hAnsi="Calibri" w:cs="Calibri"/>
          <w:b/>
          <w:bCs/>
          <w:kern w:val="2"/>
        </w:rPr>
        <w:t xml:space="preserve"> Quincy </w:t>
      </w:r>
      <w:r w:rsidR="16F04A73" w:rsidRPr="002D58A3">
        <w:rPr>
          <w:rFonts w:ascii="Calibri" w:eastAsia="Times New Roman" w:hAnsi="Calibri" w:cs="Calibri"/>
          <w:b/>
          <w:bCs/>
          <w:kern w:val="2"/>
        </w:rPr>
        <w:t>was</w:t>
      </w:r>
      <w:r w:rsidR="2F414953" w:rsidRPr="002D58A3">
        <w:rPr>
          <w:rFonts w:ascii="Calibri" w:eastAsia="Times New Roman" w:hAnsi="Calibri" w:cs="Calibri"/>
          <w:b/>
          <w:bCs/>
          <w:kern w:val="2"/>
        </w:rPr>
        <w:t xml:space="preserve"> </w:t>
      </w:r>
      <w:r w:rsidRPr="002D58A3">
        <w:rPr>
          <w:rFonts w:ascii="Calibri" w:eastAsia="Times New Roman" w:hAnsi="Calibri" w:cs="Calibri"/>
          <w:b/>
          <w:bCs/>
          <w:kern w:val="2"/>
        </w:rPr>
        <w:t xml:space="preserve">27% and </w:t>
      </w:r>
      <w:r w:rsidR="66C7DD69" w:rsidRPr="002D58A3">
        <w:rPr>
          <w:rFonts w:ascii="Calibri" w:eastAsia="Times New Roman" w:hAnsi="Calibri" w:cs="Calibri"/>
          <w:b/>
          <w:bCs/>
          <w:kern w:val="2"/>
        </w:rPr>
        <w:t xml:space="preserve">for </w:t>
      </w:r>
      <w:r w:rsidRPr="002D58A3">
        <w:rPr>
          <w:rFonts w:ascii="Calibri" w:eastAsia="Times New Roman" w:hAnsi="Calibri" w:cs="Calibri"/>
          <w:b/>
          <w:bCs/>
          <w:kern w:val="2"/>
        </w:rPr>
        <w:t xml:space="preserve">BILH Urgent Care Quincy </w:t>
      </w:r>
      <w:r w:rsidR="2D569E35" w:rsidRPr="002D58A3">
        <w:rPr>
          <w:rFonts w:ascii="Calibri" w:eastAsia="Times New Roman" w:hAnsi="Calibri" w:cs="Calibri"/>
          <w:b/>
          <w:bCs/>
          <w:kern w:val="2"/>
        </w:rPr>
        <w:t>was</w:t>
      </w:r>
      <w:r w:rsidRPr="002D58A3">
        <w:rPr>
          <w:rFonts w:ascii="Calibri" w:eastAsia="Times New Roman" w:hAnsi="Calibri" w:cs="Calibri"/>
          <w:b/>
          <w:bCs/>
          <w:kern w:val="2"/>
        </w:rPr>
        <w:t xml:space="preserve"> 1</w:t>
      </w:r>
      <w:r>
        <w:rPr>
          <w:rFonts w:ascii="Calibri" w:eastAsia="Times New Roman" w:hAnsi="Calibri" w:cs="Calibri"/>
          <w:b/>
          <w:bCs/>
          <w:kern w:val="2"/>
        </w:rPr>
        <w:t>3</w:t>
      </w:r>
      <w:r w:rsidRPr="002D58A3">
        <w:rPr>
          <w:rFonts w:ascii="Calibri" w:eastAsia="Times New Roman" w:hAnsi="Calibri" w:cs="Calibri"/>
          <w:b/>
          <w:bCs/>
          <w:kern w:val="2"/>
        </w:rPr>
        <w:t>%</w:t>
      </w:r>
      <w:r w:rsidR="51C787CD" w:rsidRPr="002D58A3">
        <w:rPr>
          <w:rFonts w:ascii="Calibri" w:eastAsia="Times New Roman" w:hAnsi="Calibri" w:cs="Calibri"/>
          <w:b/>
          <w:bCs/>
          <w:kern w:val="2"/>
        </w:rPr>
        <w:t>, both of which are</w:t>
      </w:r>
      <w:r>
        <w:rPr>
          <w:rFonts w:ascii="Calibri" w:eastAsia="Times New Roman" w:hAnsi="Calibri" w:cs="Calibri"/>
          <w:b/>
          <w:bCs/>
          <w:kern w:val="2"/>
        </w:rPr>
        <w:t xml:space="preserve"> higher than or in concert with Medicaid payer mix for BID Milton Hospital</w:t>
      </w:r>
      <w:r w:rsidR="004D6F61">
        <w:rPr>
          <w:rFonts w:ascii="Calibri" w:eastAsia="Times New Roman" w:hAnsi="Calibri" w:cs="Calibri"/>
          <w:b/>
          <w:bCs/>
          <w:kern w:val="2"/>
        </w:rPr>
        <w:t xml:space="preserve">, which was </w:t>
      </w:r>
      <w:r>
        <w:rPr>
          <w:rFonts w:ascii="Calibri" w:eastAsia="Times New Roman" w:hAnsi="Calibri" w:cs="Calibri"/>
          <w:b/>
          <w:bCs/>
          <w:kern w:val="2"/>
        </w:rPr>
        <w:t xml:space="preserve">14.4%. </w:t>
      </w:r>
      <w:r w:rsidR="1E028316">
        <w:rPr>
          <w:rFonts w:ascii="Calibri" w:eastAsia="Times New Roman" w:hAnsi="Calibri" w:cs="Calibri"/>
          <w:b/>
          <w:bCs/>
          <w:kern w:val="2"/>
        </w:rPr>
        <w:t>While the</w:t>
      </w:r>
      <w:r w:rsidR="7983799F">
        <w:rPr>
          <w:rFonts w:ascii="Calibri" w:eastAsia="Times New Roman" w:hAnsi="Calibri" w:cs="Calibri"/>
          <w:b/>
          <w:bCs/>
          <w:kern w:val="2"/>
        </w:rPr>
        <w:t xml:space="preserve"> </w:t>
      </w:r>
      <w:r>
        <w:rPr>
          <w:rFonts w:ascii="Calibri" w:eastAsia="Times New Roman" w:hAnsi="Calibri" w:cs="Calibri"/>
          <w:b/>
          <w:bCs/>
          <w:kern w:val="2"/>
        </w:rPr>
        <w:t>BID</w:t>
      </w:r>
      <w:r w:rsidR="3193AF13">
        <w:rPr>
          <w:rFonts w:ascii="Calibri" w:eastAsia="Times New Roman" w:hAnsi="Calibri" w:cs="Calibri"/>
          <w:b/>
          <w:bCs/>
          <w:kern w:val="2"/>
        </w:rPr>
        <w:t xml:space="preserve"> Plymouth</w:t>
      </w:r>
      <w:r>
        <w:rPr>
          <w:rFonts w:ascii="Calibri" w:eastAsia="Times New Roman" w:hAnsi="Calibri" w:cs="Calibri"/>
          <w:b/>
          <w:bCs/>
          <w:kern w:val="2"/>
        </w:rPr>
        <w:t>-Oncology</w:t>
      </w:r>
      <w:r w:rsidR="19709484">
        <w:rPr>
          <w:rFonts w:ascii="Calibri" w:eastAsia="Times New Roman" w:hAnsi="Calibri" w:cs="Calibri"/>
          <w:b/>
          <w:bCs/>
          <w:kern w:val="2"/>
        </w:rPr>
        <w:t xml:space="preserve"> </w:t>
      </w:r>
      <w:r w:rsidR="00773A3A">
        <w:rPr>
          <w:rFonts w:ascii="Calibri" w:eastAsia="Times New Roman" w:hAnsi="Calibri" w:cs="Calibri"/>
          <w:b/>
          <w:bCs/>
          <w:kern w:val="2"/>
        </w:rPr>
        <w:t>program</w:t>
      </w:r>
      <w:r w:rsidR="19709484">
        <w:rPr>
          <w:rFonts w:ascii="Calibri" w:eastAsia="Times New Roman" w:hAnsi="Calibri" w:cs="Calibri"/>
          <w:b/>
          <w:bCs/>
          <w:kern w:val="2"/>
        </w:rPr>
        <w:t>’s</w:t>
      </w:r>
      <w:r w:rsidR="00E1230B">
        <w:rPr>
          <w:rFonts w:ascii="Calibri" w:eastAsia="Times New Roman" w:hAnsi="Calibri" w:cs="Calibri"/>
          <w:b/>
          <w:bCs/>
          <w:kern w:val="2"/>
        </w:rPr>
        <w:t xml:space="preserve"> Medicaid rate appears out of sync</w:t>
      </w:r>
      <w:r w:rsidR="6C47D8F4">
        <w:rPr>
          <w:rFonts w:ascii="Calibri" w:eastAsia="Times New Roman" w:hAnsi="Calibri" w:cs="Calibri"/>
          <w:b/>
          <w:bCs/>
          <w:kern w:val="2"/>
        </w:rPr>
        <w:t xml:space="preserve"> with BID Plymouth Hospital’s Medicaid rate</w:t>
      </w:r>
      <w:r w:rsidR="00E1230B">
        <w:rPr>
          <w:rFonts w:ascii="Calibri" w:eastAsia="Times New Roman" w:hAnsi="Calibri" w:cs="Calibri"/>
          <w:b/>
          <w:bCs/>
          <w:kern w:val="2"/>
        </w:rPr>
        <w:t xml:space="preserve">, </w:t>
      </w:r>
      <w:r>
        <w:rPr>
          <w:rFonts w:ascii="Calibri" w:eastAsia="Times New Roman" w:hAnsi="Calibri" w:cs="Calibri"/>
          <w:b/>
          <w:bCs/>
          <w:kern w:val="2"/>
        </w:rPr>
        <w:t>60</w:t>
      </w:r>
      <w:r w:rsidR="008B1AD5">
        <w:rPr>
          <w:rFonts w:ascii="Calibri" w:eastAsia="Times New Roman" w:hAnsi="Calibri" w:cs="Calibri"/>
          <w:b/>
          <w:bCs/>
          <w:kern w:val="2"/>
        </w:rPr>
        <w:t xml:space="preserve">% of patients </w:t>
      </w:r>
      <w:r w:rsidR="00E1230B">
        <w:rPr>
          <w:rFonts w:ascii="Calibri" w:eastAsia="Times New Roman" w:hAnsi="Calibri" w:cs="Calibri"/>
          <w:b/>
          <w:bCs/>
          <w:kern w:val="2"/>
        </w:rPr>
        <w:t>of the BID</w:t>
      </w:r>
      <w:r w:rsidR="0D358D75">
        <w:rPr>
          <w:rFonts w:ascii="Calibri" w:eastAsia="Times New Roman" w:hAnsi="Calibri" w:cs="Calibri"/>
          <w:b/>
          <w:bCs/>
          <w:kern w:val="2"/>
        </w:rPr>
        <w:t xml:space="preserve"> Plymouth</w:t>
      </w:r>
      <w:r w:rsidR="00E1230B">
        <w:rPr>
          <w:rFonts w:ascii="Calibri" w:eastAsia="Times New Roman" w:hAnsi="Calibri" w:cs="Calibri"/>
          <w:b/>
          <w:bCs/>
          <w:kern w:val="2"/>
        </w:rPr>
        <w:t xml:space="preserve">-Oncology program </w:t>
      </w:r>
      <w:r w:rsidR="008B1AD5">
        <w:rPr>
          <w:rFonts w:ascii="Calibri" w:eastAsia="Times New Roman" w:hAnsi="Calibri" w:cs="Calibri"/>
          <w:b/>
          <w:bCs/>
          <w:kern w:val="2"/>
        </w:rPr>
        <w:t xml:space="preserve">had Medicare insurance compared to </w:t>
      </w:r>
      <w:r w:rsidR="4762B90E">
        <w:rPr>
          <w:rFonts w:ascii="Calibri" w:eastAsia="Times New Roman" w:hAnsi="Calibri" w:cs="Calibri"/>
          <w:b/>
          <w:bCs/>
          <w:kern w:val="2"/>
        </w:rPr>
        <w:t xml:space="preserve">just </w:t>
      </w:r>
      <w:r w:rsidR="008B1AD5">
        <w:rPr>
          <w:rFonts w:ascii="Calibri" w:eastAsia="Times New Roman" w:hAnsi="Calibri" w:cs="Calibri"/>
          <w:b/>
          <w:bCs/>
          <w:kern w:val="2"/>
        </w:rPr>
        <w:t xml:space="preserve">37% for BID Plymouth Hospital overall. This </w:t>
      </w:r>
      <w:r w:rsidR="005F77D6">
        <w:rPr>
          <w:rFonts w:ascii="Calibri" w:eastAsia="Times New Roman" w:hAnsi="Calibri" w:cs="Calibri"/>
          <w:b/>
          <w:bCs/>
          <w:kern w:val="2"/>
        </w:rPr>
        <w:t xml:space="preserve">disproportionate share of patients with Medicare insurance </w:t>
      </w:r>
      <w:r w:rsidR="00773A3A">
        <w:rPr>
          <w:rFonts w:ascii="Calibri" w:eastAsia="Times New Roman" w:hAnsi="Calibri" w:cs="Calibri"/>
          <w:b/>
          <w:bCs/>
          <w:kern w:val="2"/>
        </w:rPr>
        <w:t xml:space="preserve">in the BID Plymouth-Oncology program </w:t>
      </w:r>
      <w:r w:rsidR="008B1AD5">
        <w:rPr>
          <w:rFonts w:ascii="Calibri" w:eastAsia="Times New Roman" w:hAnsi="Calibri" w:cs="Calibri"/>
          <w:b/>
          <w:bCs/>
          <w:kern w:val="2"/>
        </w:rPr>
        <w:t xml:space="preserve">is the result of </w:t>
      </w:r>
      <w:r w:rsidR="578A422C">
        <w:rPr>
          <w:rFonts w:ascii="Calibri" w:eastAsia="Times New Roman" w:hAnsi="Calibri" w:cs="Calibri"/>
          <w:b/>
          <w:bCs/>
          <w:kern w:val="2"/>
        </w:rPr>
        <w:t xml:space="preserve">advancing </w:t>
      </w:r>
      <w:r w:rsidR="5E5B0DC3">
        <w:rPr>
          <w:rFonts w:ascii="Calibri" w:eastAsia="Times New Roman" w:hAnsi="Calibri" w:cs="Calibri"/>
          <w:b/>
          <w:bCs/>
          <w:kern w:val="2"/>
        </w:rPr>
        <w:t xml:space="preserve">age being the primary risk factor for </w:t>
      </w:r>
      <w:r w:rsidR="008B1AD5">
        <w:rPr>
          <w:rFonts w:ascii="Calibri" w:eastAsia="Times New Roman" w:hAnsi="Calibri" w:cs="Calibri"/>
          <w:b/>
          <w:bCs/>
          <w:kern w:val="2"/>
        </w:rPr>
        <w:t xml:space="preserve">cancer </w:t>
      </w:r>
      <w:r w:rsidR="06D78DB5">
        <w:rPr>
          <w:rFonts w:ascii="Calibri" w:eastAsia="Times New Roman" w:hAnsi="Calibri" w:cs="Calibri"/>
          <w:b/>
          <w:bCs/>
          <w:kern w:val="2"/>
        </w:rPr>
        <w:t>with incidence rates that climb steadily as age increases.</w:t>
      </w:r>
      <w:r w:rsidR="004D6F61">
        <w:rPr>
          <w:rStyle w:val="FootnoteReference"/>
          <w:rFonts w:ascii="Calibri" w:eastAsia="Times New Roman" w:hAnsi="Calibri" w:cs="Calibri"/>
          <w:b/>
          <w:bCs/>
          <w:kern w:val="2"/>
        </w:rPr>
        <w:footnoteReference w:id="4"/>
      </w:r>
    </w:p>
    <w:p w14:paraId="0FDCC5B2" w14:textId="5BB22463" w:rsidR="00CF3F4C" w:rsidRPr="008F19AC" w:rsidRDefault="00FF328B" w:rsidP="004D6F61">
      <w:pPr>
        <w:spacing w:after="120" w:line="240" w:lineRule="auto"/>
        <w:ind w:left="20"/>
        <w:jc w:val="both"/>
        <w:rPr>
          <w:rFonts w:cstheme="minorHAnsi"/>
          <w:b/>
          <w:bCs/>
        </w:rPr>
      </w:pPr>
      <w:r w:rsidRPr="008F19AC">
        <w:rPr>
          <w:rFonts w:cstheme="minorHAnsi"/>
          <w:b/>
          <w:bCs/>
        </w:rPr>
        <w:t>Factor 1a: Patient Panel Need</w:t>
      </w:r>
    </w:p>
    <w:p w14:paraId="25A67915" w14:textId="77777777" w:rsidR="001219C3" w:rsidRPr="001219C3" w:rsidRDefault="008F19AC" w:rsidP="004D6F61">
      <w:pPr>
        <w:pStyle w:val="ListParagraph"/>
        <w:numPr>
          <w:ilvl w:val="0"/>
          <w:numId w:val="3"/>
        </w:numPr>
        <w:spacing w:after="0" w:line="229" w:lineRule="exact"/>
        <w:rPr>
          <w:rFonts w:cstheme="minorHAnsi"/>
          <w:color w:val="FF0000"/>
          <w:sz w:val="24"/>
          <w:szCs w:val="24"/>
        </w:rPr>
      </w:pPr>
      <w:r w:rsidRPr="008F19AC">
        <w:rPr>
          <w:rFonts w:cstheme="minorHAnsi"/>
          <w:sz w:val="24"/>
          <w:szCs w:val="24"/>
        </w:rPr>
        <w:t>How many physicians and other staff currently at the BID-Plymouth Hematology-Oncology Clinic are expected to transfer to the Cordage Park Satellite?</w:t>
      </w:r>
    </w:p>
    <w:p w14:paraId="061593B3" w14:textId="77777777" w:rsidR="001219C3" w:rsidRDefault="001219C3" w:rsidP="001219C3">
      <w:pPr>
        <w:spacing w:after="0" w:line="229" w:lineRule="exact"/>
        <w:rPr>
          <w:rFonts w:cstheme="minorHAnsi"/>
          <w:sz w:val="24"/>
          <w:szCs w:val="24"/>
        </w:rPr>
      </w:pPr>
    </w:p>
    <w:p w14:paraId="19C31D43" w14:textId="77777777" w:rsidR="004D6F61" w:rsidRPr="001219C3" w:rsidRDefault="004D6F61" w:rsidP="004D6F61">
      <w:pPr>
        <w:spacing w:after="0" w:line="229" w:lineRule="exact"/>
        <w:ind w:left="360"/>
        <w:rPr>
          <w:b/>
          <w:bCs/>
          <w:color w:val="FF0000"/>
        </w:rPr>
      </w:pPr>
      <w:r w:rsidRPr="7F3E0D37">
        <w:rPr>
          <w:b/>
          <w:bCs/>
        </w:rPr>
        <w:t xml:space="preserve">The Applicant will transition </w:t>
      </w:r>
      <w:r>
        <w:rPr>
          <w:b/>
          <w:bCs/>
        </w:rPr>
        <w:t>seven</w:t>
      </w:r>
      <w:r w:rsidRPr="7F3E0D37">
        <w:rPr>
          <w:b/>
          <w:bCs/>
        </w:rPr>
        <w:t xml:space="preserve"> </w:t>
      </w:r>
      <w:r>
        <w:rPr>
          <w:b/>
          <w:bCs/>
        </w:rPr>
        <w:t>p</w:t>
      </w:r>
      <w:r w:rsidRPr="7F3E0D37">
        <w:rPr>
          <w:b/>
          <w:bCs/>
        </w:rPr>
        <w:t xml:space="preserve">hysicians, </w:t>
      </w:r>
      <w:r>
        <w:rPr>
          <w:b/>
          <w:bCs/>
        </w:rPr>
        <w:t>two</w:t>
      </w:r>
      <w:r w:rsidRPr="7F3E0D37">
        <w:rPr>
          <w:b/>
          <w:bCs/>
        </w:rPr>
        <w:t xml:space="preserve"> </w:t>
      </w:r>
      <w:r>
        <w:rPr>
          <w:b/>
          <w:bCs/>
        </w:rPr>
        <w:t>a</w:t>
      </w:r>
      <w:r w:rsidRPr="7F3E0D37">
        <w:rPr>
          <w:b/>
          <w:bCs/>
        </w:rPr>
        <w:t xml:space="preserve">dvanced </w:t>
      </w:r>
      <w:r>
        <w:rPr>
          <w:b/>
          <w:bCs/>
        </w:rPr>
        <w:t>p</w:t>
      </w:r>
      <w:r w:rsidRPr="7F3E0D37">
        <w:rPr>
          <w:b/>
          <w:bCs/>
        </w:rPr>
        <w:t xml:space="preserve">ractice </w:t>
      </w:r>
      <w:r>
        <w:rPr>
          <w:b/>
          <w:bCs/>
        </w:rPr>
        <w:t>p</w:t>
      </w:r>
      <w:r w:rsidRPr="7F3E0D37">
        <w:rPr>
          <w:b/>
          <w:bCs/>
        </w:rPr>
        <w:t>roviders, and 44 staff to the new C</w:t>
      </w:r>
      <w:r>
        <w:rPr>
          <w:b/>
          <w:bCs/>
        </w:rPr>
        <w:t>ordage Park Satellite</w:t>
      </w:r>
      <w:r w:rsidRPr="7F3E0D37">
        <w:rPr>
          <w:b/>
          <w:bCs/>
        </w:rPr>
        <w:t>.</w:t>
      </w:r>
    </w:p>
    <w:p w14:paraId="6CF12699" w14:textId="77777777" w:rsidR="00003E12" w:rsidRPr="00003E12" w:rsidRDefault="00003E12" w:rsidP="00003E12">
      <w:pPr>
        <w:spacing w:after="0" w:line="229" w:lineRule="exact"/>
        <w:ind w:left="360"/>
        <w:rPr>
          <w:rFonts w:cstheme="minorHAnsi"/>
          <w:sz w:val="24"/>
          <w:szCs w:val="24"/>
        </w:rPr>
      </w:pPr>
    </w:p>
    <w:p w14:paraId="454C4288" w14:textId="5E269374" w:rsidR="0070288A" w:rsidRDefault="0070288A" w:rsidP="004D6F61">
      <w:pPr>
        <w:pStyle w:val="ListParagraph"/>
        <w:numPr>
          <w:ilvl w:val="0"/>
          <w:numId w:val="3"/>
        </w:numPr>
        <w:spacing w:after="0" w:line="229" w:lineRule="exact"/>
        <w:rPr>
          <w:rFonts w:cstheme="minorHAnsi"/>
          <w:color w:val="FF0000"/>
          <w:sz w:val="24"/>
          <w:szCs w:val="24"/>
        </w:rPr>
      </w:pPr>
      <w:r w:rsidRPr="00B87AB6">
        <w:rPr>
          <w:rFonts w:cstheme="minorHAnsi"/>
          <w:sz w:val="24"/>
          <w:szCs w:val="24"/>
        </w:rPr>
        <w:t xml:space="preserve">Please provide the number of new </w:t>
      </w:r>
      <w:proofErr w:type="gramStart"/>
      <w:r w:rsidRPr="00B87AB6">
        <w:rPr>
          <w:rFonts w:cstheme="minorHAnsi"/>
          <w:sz w:val="24"/>
          <w:szCs w:val="24"/>
        </w:rPr>
        <w:t>hire</w:t>
      </w:r>
      <w:proofErr w:type="gramEnd"/>
      <w:r w:rsidRPr="00B87AB6">
        <w:rPr>
          <w:rFonts w:cstheme="minorHAnsi"/>
          <w:sz w:val="24"/>
          <w:szCs w:val="24"/>
        </w:rPr>
        <w:t xml:space="preserve"> physicians and other staff as well as the number of physicians/ other staff expected to transition to the </w:t>
      </w:r>
      <w:r w:rsidR="004D6F61" w:rsidRPr="00B87AB6">
        <w:rPr>
          <w:rFonts w:cstheme="minorHAnsi"/>
          <w:sz w:val="24"/>
          <w:szCs w:val="24"/>
        </w:rPr>
        <w:t>Quincy</w:t>
      </w:r>
      <w:r w:rsidRPr="00B87AB6">
        <w:rPr>
          <w:rFonts w:cstheme="minorHAnsi"/>
          <w:sz w:val="24"/>
          <w:szCs w:val="24"/>
        </w:rPr>
        <w:t xml:space="preserve"> Satellite.</w:t>
      </w:r>
    </w:p>
    <w:p w14:paraId="2264CF10" w14:textId="0899F9E1" w:rsidR="00E72A8A" w:rsidRDefault="00E72A8A" w:rsidP="00E72A8A">
      <w:pPr>
        <w:spacing w:after="0" w:line="229" w:lineRule="exact"/>
        <w:rPr>
          <w:rFonts w:cstheme="minorHAnsi"/>
          <w:color w:val="FF0000"/>
          <w:sz w:val="24"/>
          <w:szCs w:val="24"/>
        </w:rPr>
      </w:pPr>
    </w:p>
    <w:p w14:paraId="299261C7" w14:textId="3036A988" w:rsidR="004D6F61" w:rsidRPr="00E72A8A" w:rsidRDefault="004D6F61" w:rsidP="004D6F61">
      <w:pPr>
        <w:spacing w:after="0" w:line="229" w:lineRule="exact"/>
        <w:ind w:firstLine="360"/>
        <w:rPr>
          <w:rFonts w:cstheme="minorHAnsi"/>
          <w:b/>
          <w:color w:val="000000" w:themeColor="text1"/>
        </w:rPr>
      </w:pPr>
      <w:r w:rsidRPr="00E72A8A">
        <w:rPr>
          <w:rFonts w:cstheme="minorHAnsi"/>
          <w:b/>
          <w:color w:val="000000" w:themeColor="text1"/>
        </w:rPr>
        <w:t>The Applicant will recruit/hire or transition staff to the new Quincy Satellite as follows:</w:t>
      </w:r>
    </w:p>
    <w:p w14:paraId="6FBDD845" w14:textId="77777777" w:rsidR="004D6F61" w:rsidRDefault="004D6F61" w:rsidP="004D6F61">
      <w:pPr>
        <w:spacing w:after="0" w:line="229" w:lineRule="exact"/>
        <w:ind w:left="360"/>
        <w:jc w:val="center"/>
        <w:rPr>
          <w:rFonts w:cstheme="minorHAnsi"/>
          <w:color w:val="FF0000"/>
          <w:sz w:val="24"/>
          <w:szCs w:val="24"/>
        </w:rPr>
      </w:pPr>
    </w:p>
    <w:p w14:paraId="611ECC1F" w14:textId="77777777" w:rsidR="004D6F61" w:rsidRDefault="004D6F61" w:rsidP="004D6F61">
      <w:pPr>
        <w:spacing w:after="0" w:line="229" w:lineRule="exact"/>
        <w:ind w:left="360"/>
        <w:jc w:val="center"/>
        <w:rPr>
          <w:rFonts w:ascii="Calibri" w:eastAsia="Times New Roman" w:hAnsi="Calibri" w:cs="Calibri"/>
          <w:b/>
          <w:bCs/>
          <w:color w:val="000000"/>
          <w:u w:val="single"/>
        </w:rPr>
      </w:pPr>
      <w:r w:rsidRPr="00393303">
        <w:rPr>
          <w:rFonts w:ascii="Calibri" w:eastAsia="Times New Roman" w:hAnsi="Calibri" w:cs="Calibri"/>
          <w:b/>
          <w:bCs/>
          <w:color w:val="000000"/>
          <w:u w:val="single"/>
        </w:rPr>
        <w:t>Quincy Satellite Staffing Model</w:t>
      </w:r>
    </w:p>
    <w:p w14:paraId="7589A13E" w14:textId="77777777" w:rsidR="004D6F61" w:rsidRPr="00393303" w:rsidRDefault="004D6F61" w:rsidP="004D6F61">
      <w:pPr>
        <w:spacing w:after="0" w:line="229" w:lineRule="exact"/>
        <w:ind w:left="360"/>
        <w:jc w:val="center"/>
        <w:rPr>
          <w:rFonts w:cstheme="minorHAnsi"/>
          <w:color w:val="FF0000"/>
          <w:sz w:val="24"/>
          <w:szCs w:val="24"/>
          <w:u w:val="single"/>
        </w:rPr>
      </w:pPr>
    </w:p>
    <w:tbl>
      <w:tblPr>
        <w:tblW w:w="9040" w:type="dxa"/>
        <w:tblLayout w:type="fixed"/>
        <w:tblLook w:val="04A0" w:firstRow="1" w:lastRow="0" w:firstColumn="1" w:lastColumn="0" w:noHBand="0" w:noVBand="1"/>
      </w:tblPr>
      <w:tblGrid>
        <w:gridCol w:w="3013"/>
        <w:gridCol w:w="3013"/>
        <w:gridCol w:w="3014"/>
      </w:tblGrid>
      <w:tr w:rsidR="004D6F61" w:rsidRPr="00E72A8A" w14:paraId="72D8612E" w14:textId="77777777" w:rsidTr="004D6F61">
        <w:trPr>
          <w:trHeight w:val="600"/>
        </w:trPr>
        <w:tc>
          <w:tcPr>
            <w:tcW w:w="3013"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3BFBBB83" w14:textId="77777777" w:rsidR="004D6F61" w:rsidRPr="00E72A8A" w:rsidRDefault="004D6F61" w:rsidP="004D6F61">
            <w:pPr>
              <w:spacing w:after="0" w:line="240" w:lineRule="auto"/>
              <w:jc w:val="center"/>
              <w:rPr>
                <w:rFonts w:ascii="Calibri" w:eastAsia="Times New Roman" w:hAnsi="Calibri" w:cs="Calibri"/>
                <w:b/>
                <w:bCs/>
                <w:color w:val="000000"/>
              </w:rPr>
            </w:pPr>
          </w:p>
        </w:tc>
        <w:tc>
          <w:tcPr>
            <w:tcW w:w="3013" w:type="dxa"/>
            <w:tcBorders>
              <w:top w:val="single" w:sz="4" w:space="0" w:color="auto"/>
              <w:left w:val="nil"/>
              <w:bottom w:val="single" w:sz="4" w:space="0" w:color="auto"/>
              <w:right w:val="single" w:sz="4" w:space="0" w:color="auto"/>
            </w:tcBorders>
            <w:shd w:val="clear" w:color="auto" w:fill="DDEBF7"/>
            <w:noWrap/>
            <w:vAlign w:val="center"/>
            <w:hideMark/>
          </w:tcPr>
          <w:p w14:paraId="43557153" w14:textId="77777777" w:rsidR="004D6F61" w:rsidRPr="00E72A8A" w:rsidRDefault="004D6F61" w:rsidP="004D6F61">
            <w:pPr>
              <w:spacing w:after="0" w:line="240" w:lineRule="auto"/>
              <w:jc w:val="center"/>
              <w:rPr>
                <w:rFonts w:ascii="Calibri" w:eastAsia="Times New Roman" w:hAnsi="Calibri" w:cs="Calibri"/>
                <w:b/>
                <w:bCs/>
                <w:color w:val="000000"/>
              </w:rPr>
            </w:pPr>
            <w:r w:rsidRPr="00E72A8A">
              <w:rPr>
                <w:rFonts w:ascii="Calibri" w:eastAsia="Times New Roman" w:hAnsi="Calibri" w:cs="Calibri"/>
                <w:b/>
                <w:bCs/>
                <w:color w:val="000000"/>
              </w:rPr>
              <w:t>New Hire</w:t>
            </w:r>
          </w:p>
        </w:tc>
        <w:tc>
          <w:tcPr>
            <w:tcW w:w="3014" w:type="dxa"/>
            <w:tcBorders>
              <w:top w:val="single" w:sz="4" w:space="0" w:color="auto"/>
              <w:left w:val="nil"/>
              <w:bottom w:val="single" w:sz="4" w:space="0" w:color="auto"/>
              <w:right w:val="single" w:sz="4" w:space="0" w:color="auto"/>
            </w:tcBorders>
            <w:shd w:val="clear" w:color="auto" w:fill="DDEBF7"/>
            <w:noWrap/>
            <w:vAlign w:val="center"/>
            <w:hideMark/>
          </w:tcPr>
          <w:p w14:paraId="3FE943BC" w14:textId="77777777" w:rsidR="004D6F61" w:rsidRPr="00E72A8A" w:rsidRDefault="004D6F61" w:rsidP="004D6F61">
            <w:pPr>
              <w:spacing w:after="0" w:line="240" w:lineRule="auto"/>
              <w:jc w:val="center"/>
              <w:rPr>
                <w:rFonts w:ascii="Calibri" w:eastAsia="Times New Roman" w:hAnsi="Calibri" w:cs="Calibri"/>
                <w:b/>
                <w:bCs/>
                <w:color w:val="000000"/>
              </w:rPr>
            </w:pPr>
            <w:r w:rsidRPr="00E72A8A">
              <w:rPr>
                <w:rFonts w:ascii="Calibri" w:eastAsia="Times New Roman" w:hAnsi="Calibri" w:cs="Calibri"/>
                <w:b/>
                <w:bCs/>
                <w:color w:val="000000"/>
              </w:rPr>
              <w:t>Transition</w:t>
            </w:r>
          </w:p>
        </w:tc>
      </w:tr>
      <w:tr w:rsidR="004D6F61" w:rsidRPr="00E72A8A" w14:paraId="5441BB11" w14:textId="77777777" w:rsidTr="004D6F61">
        <w:trPr>
          <w:trHeight w:val="29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72151266" w14:textId="77777777" w:rsidR="004D6F61" w:rsidRPr="00E72A8A" w:rsidRDefault="004D6F61" w:rsidP="00DD29F1">
            <w:pPr>
              <w:spacing w:after="0" w:line="240" w:lineRule="auto"/>
              <w:rPr>
                <w:rFonts w:ascii="Calibri" w:eastAsia="Times New Roman" w:hAnsi="Calibri" w:cs="Calibri"/>
                <w:color w:val="000000"/>
              </w:rPr>
            </w:pPr>
            <w:r w:rsidRPr="00E72A8A">
              <w:rPr>
                <w:rFonts w:ascii="Calibri" w:eastAsia="Times New Roman" w:hAnsi="Calibri" w:cs="Calibri"/>
                <w:color w:val="000000"/>
              </w:rPr>
              <w:t>Providers</w:t>
            </w:r>
            <w:r>
              <w:rPr>
                <w:rStyle w:val="FootnoteReference"/>
                <w:rFonts w:ascii="Calibri" w:eastAsia="Times New Roman" w:hAnsi="Calibri" w:cs="Calibri"/>
                <w:color w:val="000000"/>
              </w:rPr>
              <w:footnoteReference w:id="5"/>
            </w:r>
          </w:p>
        </w:tc>
        <w:tc>
          <w:tcPr>
            <w:tcW w:w="3013" w:type="dxa"/>
            <w:tcBorders>
              <w:top w:val="nil"/>
              <w:left w:val="nil"/>
              <w:bottom w:val="single" w:sz="4" w:space="0" w:color="auto"/>
              <w:right w:val="single" w:sz="4" w:space="0" w:color="auto"/>
            </w:tcBorders>
            <w:shd w:val="clear" w:color="auto" w:fill="auto"/>
            <w:noWrap/>
            <w:vAlign w:val="bottom"/>
            <w:hideMark/>
          </w:tcPr>
          <w:p w14:paraId="2D6FDA74" w14:textId="77777777" w:rsidR="004D6F61" w:rsidRPr="00E72A8A" w:rsidRDefault="004D6F61" w:rsidP="00DD29F1">
            <w:pPr>
              <w:spacing w:after="0" w:line="240" w:lineRule="auto"/>
              <w:jc w:val="center"/>
              <w:rPr>
                <w:rFonts w:ascii="Calibri" w:eastAsia="Times New Roman" w:hAnsi="Calibri" w:cs="Calibri"/>
                <w:color w:val="000000"/>
              </w:rPr>
            </w:pPr>
            <w:r w:rsidRPr="00E72A8A">
              <w:rPr>
                <w:rFonts w:ascii="Calibri" w:eastAsia="Times New Roman" w:hAnsi="Calibri" w:cs="Calibri"/>
                <w:color w:val="000000"/>
              </w:rPr>
              <w:t>17</w:t>
            </w:r>
            <w:r>
              <w:rPr>
                <w:rFonts w:ascii="Calibri" w:eastAsia="Times New Roman" w:hAnsi="Calibri" w:cs="Calibri"/>
                <w:color w:val="000000"/>
              </w:rPr>
              <w:t>.0</w:t>
            </w:r>
          </w:p>
        </w:tc>
        <w:tc>
          <w:tcPr>
            <w:tcW w:w="3014" w:type="dxa"/>
            <w:tcBorders>
              <w:top w:val="nil"/>
              <w:left w:val="nil"/>
              <w:bottom w:val="single" w:sz="4" w:space="0" w:color="auto"/>
              <w:right w:val="single" w:sz="4" w:space="0" w:color="auto"/>
            </w:tcBorders>
            <w:shd w:val="clear" w:color="auto" w:fill="auto"/>
            <w:noWrap/>
            <w:vAlign w:val="bottom"/>
            <w:hideMark/>
          </w:tcPr>
          <w:p w14:paraId="371C504F" w14:textId="77777777" w:rsidR="004D6F61" w:rsidRPr="00E72A8A" w:rsidRDefault="004D6F61" w:rsidP="00DD29F1">
            <w:pPr>
              <w:spacing w:after="0" w:line="240" w:lineRule="auto"/>
              <w:jc w:val="center"/>
              <w:rPr>
                <w:rFonts w:ascii="Calibri" w:eastAsia="Times New Roman" w:hAnsi="Calibri" w:cs="Calibri"/>
                <w:color w:val="000000"/>
              </w:rPr>
            </w:pPr>
            <w:r>
              <w:rPr>
                <w:rFonts w:ascii="Calibri" w:eastAsia="Times New Roman" w:hAnsi="Calibri" w:cs="Calibri"/>
                <w:color w:val="000000"/>
              </w:rPr>
              <w:t>13.2</w:t>
            </w:r>
          </w:p>
        </w:tc>
      </w:tr>
      <w:tr w:rsidR="004D6F61" w:rsidRPr="00E72A8A" w14:paraId="40DC9B80" w14:textId="77777777" w:rsidTr="004D6F61">
        <w:trPr>
          <w:trHeight w:val="290"/>
        </w:trPr>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78B2693E" w14:textId="77777777" w:rsidR="004D6F61" w:rsidRPr="00E72A8A" w:rsidRDefault="004D6F61" w:rsidP="00DD29F1">
            <w:pPr>
              <w:spacing w:after="0" w:line="240" w:lineRule="auto"/>
              <w:rPr>
                <w:rFonts w:ascii="Calibri" w:eastAsia="Times New Roman" w:hAnsi="Calibri" w:cs="Calibri"/>
                <w:color w:val="000000"/>
              </w:rPr>
            </w:pPr>
            <w:r w:rsidRPr="00E72A8A">
              <w:rPr>
                <w:rFonts w:ascii="Calibri" w:eastAsia="Times New Roman" w:hAnsi="Calibri" w:cs="Calibri"/>
                <w:color w:val="000000"/>
              </w:rPr>
              <w:t>Staff</w:t>
            </w:r>
          </w:p>
        </w:tc>
        <w:tc>
          <w:tcPr>
            <w:tcW w:w="3013" w:type="dxa"/>
            <w:tcBorders>
              <w:top w:val="nil"/>
              <w:left w:val="nil"/>
              <w:bottom w:val="single" w:sz="4" w:space="0" w:color="auto"/>
              <w:right w:val="single" w:sz="4" w:space="0" w:color="auto"/>
            </w:tcBorders>
            <w:shd w:val="clear" w:color="auto" w:fill="auto"/>
            <w:noWrap/>
            <w:vAlign w:val="bottom"/>
            <w:hideMark/>
          </w:tcPr>
          <w:p w14:paraId="6F7C6934" w14:textId="77777777" w:rsidR="004D6F61" w:rsidRPr="00E72A8A" w:rsidRDefault="004D6F61" w:rsidP="00DD29F1">
            <w:pPr>
              <w:spacing w:after="0" w:line="240" w:lineRule="auto"/>
              <w:jc w:val="center"/>
              <w:rPr>
                <w:rFonts w:ascii="Calibri" w:eastAsia="Times New Roman" w:hAnsi="Calibri" w:cs="Calibri"/>
                <w:color w:val="000000"/>
              </w:rPr>
            </w:pPr>
            <w:r w:rsidRPr="00E72A8A">
              <w:rPr>
                <w:rFonts w:ascii="Calibri" w:eastAsia="Times New Roman" w:hAnsi="Calibri" w:cs="Calibri"/>
                <w:color w:val="000000"/>
              </w:rPr>
              <w:t>1</w:t>
            </w:r>
            <w:r>
              <w:rPr>
                <w:rFonts w:ascii="Calibri" w:eastAsia="Times New Roman" w:hAnsi="Calibri" w:cs="Calibri"/>
                <w:color w:val="000000"/>
              </w:rPr>
              <w:t>53.7</w:t>
            </w:r>
          </w:p>
        </w:tc>
        <w:tc>
          <w:tcPr>
            <w:tcW w:w="3014" w:type="dxa"/>
            <w:tcBorders>
              <w:top w:val="nil"/>
              <w:left w:val="nil"/>
              <w:bottom w:val="single" w:sz="4" w:space="0" w:color="auto"/>
              <w:right w:val="single" w:sz="4" w:space="0" w:color="auto"/>
            </w:tcBorders>
            <w:shd w:val="clear" w:color="auto" w:fill="auto"/>
            <w:noWrap/>
            <w:vAlign w:val="bottom"/>
            <w:hideMark/>
          </w:tcPr>
          <w:p w14:paraId="12DCEF7F" w14:textId="77777777" w:rsidR="004D6F61" w:rsidRPr="00E72A8A" w:rsidRDefault="004D6F61" w:rsidP="00DD29F1">
            <w:pPr>
              <w:spacing w:after="0" w:line="240" w:lineRule="auto"/>
              <w:jc w:val="center"/>
              <w:rPr>
                <w:rFonts w:ascii="Calibri" w:eastAsia="Times New Roman" w:hAnsi="Calibri" w:cs="Calibri"/>
                <w:color w:val="000000"/>
              </w:rPr>
            </w:pPr>
            <w:r>
              <w:rPr>
                <w:rFonts w:ascii="Calibri" w:eastAsia="Times New Roman" w:hAnsi="Calibri" w:cs="Calibri"/>
                <w:color w:val="000000"/>
              </w:rPr>
              <w:t>34.0</w:t>
            </w:r>
          </w:p>
        </w:tc>
      </w:tr>
    </w:tbl>
    <w:p w14:paraId="40EE13DB" w14:textId="6A465876" w:rsidR="00C73799" w:rsidRPr="009A0860" w:rsidRDefault="00C73799" w:rsidP="004D6F61">
      <w:pPr>
        <w:spacing w:after="0" w:line="229" w:lineRule="exact"/>
        <w:rPr>
          <w:rStyle w:val="cf01"/>
          <w:rFonts w:asciiTheme="minorHAnsi" w:hAnsiTheme="minorHAnsi" w:cstheme="minorHAnsi"/>
          <w:sz w:val="24"/>
          <w:szCs w:val="24"/>
          <w:highlight w:val="yellow"/>
        </w:rPr>
      </w:pPr>
    </w:p>
    <w:p w14:paraId="33FA5C24" w14:textId="77777777" w:rsidR="004D6F61" w:rsidRDefault="004D6F61" w:rsidP="005F77D6">
      <w:pPr>
        <w:rPr>
          <w:rFonts w:cstheme="minorHAnsi"/>
          <w:b/>
          <w:bCs/>
        </w:rPr>
      </w:pPr>
    </w:p>
    <w:p w14:paraId="55F16B36" w14:textId="7954597F" w:rsidR="005F77D6" w:rsidRPr="00E5236C" w:rsidRDefault="005F77D6" w:rsidP="005F77D6">
      <w:pPr>
        <w:rPr>
          <w:rFonts w:cstheme="minorHAnsi"/>
          <w:b/>
          <w:bCs/>
        </w:rPr>
      </w:pPr>
      <w:r w:rsidRPr="00E5236C">
        <w:rPr>
          <w:rFonts w:cstheme="minorHAnsi"/>
          <w:b/>
          <w:bCs/>
        </w:rPr>
        <w:t xml:space="preserve">Factor 1f: </w:t>
      </w:r>
      <w:r>
        <w:rPr>
          <w:rFonts w:cstheme="minorHAnsi"/>
          <w:b/>
          <w:bCs/>
        </w:rPr>
        <w:t>Competition</w:t>
      </w:r>
    </w:p>
    <w:p w14:paraId="2F71067B" w14:textId="0655C873" w:rsidR="00F57807" w:rsidRPr="004D6F61" w:rsidRDefault="005F77D6" w:rsidP="004D6F61">
      <w:pPr>
        <w:pStyle w:val="ListParagraph"/>
        <w:numPr>
          <w:ilvl w:val="0"/>
          <w:numId w:val="3"/>
        </w:numPr>
        <w:spacing w:after="0" w:line="229" w:lineRule="exact"/>
        <w:rPr>
          <w:rStyle w:val="eop"/>
          <w:rFonts w:cstheme="minorHAnsi"/>
          <w:color w:val="FF0000"/>
          <w:sz w:val="24"/>
          <w:szCs w:val="24"/>
        </w:rPr>
      </w:pPr>
      <w:r w:rsidRPr="00E5236C">
        <w:rPr>
          <w:rFonts w:cstheme="minorHAnsi"/>
          <w:sz w:val="24"/>
          <w:szCs w:val="24"/>
        </w:rPr>
        <w:t>Please provide an explanation (with references cited) to support that improving access to hematology-oncology, infusion, primary and specialty care, urgent care, lab, and diagnostic imaging services would reduce the cost of care (without reiterating the cost comparison table provided in round 1 questions.)</w:t>
      </w:r>
    </w:p>
    <w:p w14:paraId="34AC2F03" w14:textId="1A8CBC9C" w:rsidR="00776FA4" w:rsidRDefault="00776FA4" w:rsidP="00F57807">
      <w:pPr>
        <w:pStyle w:val="paragraph"/>
        <w:spacing w:before="0" w:beforeAutospacing="0" w:after="0" w:afterAutospacing="0"/>
        <w:textAlignment w:val="baseline"/>
        <w:rPr>
          <w:rStyle w:val="eop"/>
          <w:rFonts w:ascii="Calibri" w:hAnsi="Calibri" w:cs="Calibri"/>
          <w:sz w:val="22"/>
          <w:szCs w:val="22"/>
        </w:rPr>
      </w:pPr>
    </w:p>
    <w:p w14:paraId="25EB292E" w14:textId="77777777" w:rsidR="004D6F61" w:rsidRPr="004D6F61" w:rsidRDefault="00776FA4" w:rsidP="004D6F61">
      <w:pPr>
        <w:pStyle w:val="paragraph"/>
        <w:spacing w:before="0" w:beforeAutospacing="0" w:after="0" w:afterAutospacing="0"/>
        <w:ind w:left="360"/>
        <w:textAlignment w:val="baseline"/>
        <w:rPr>
          <w:rStyle w:val="normaltextrun"/>
          <w:rFonts w:ascii="Calibri" w:hAnsi="Calibri" w:cs="Calibri"/>
          <w:b/>
          <w:sz w:val="22"/>
          <w:szCs w:val="22"/>
        </w:rPr>
      </w:pPr>
      <w:r w:rsidRPr="004D6F61">
        <w:rPr>
          <w:rFonts w:asciiTheme="minorHAnsi" w:hAnsiTheme="minorHAnsi" w:cstheme="minorHAnsi"/>
          <w:b/>
          <w:sz w:val="22"/>
          <w:szCs w:val="22"/>
        </w:rPr>
        <w:lastRenderedPageBreak/>
        <w:t>Foregoing or delaying appropriate and necessary care, particularly for chronic conditions, results in deteriorating health, exacerbated symptoms and an increase in overall costs to the health care system.</w:t>
      </w:r>
      <w:r w:rsidR="004D6F61" w:rsidRPr="004D6F61">
        <w:rPr>
          <w:rStyle w:val="FootnoteReference"/>
          <w:rFonts w:asciiTheme="minorHAnsi" w:hAnsiTheme="minorHAnsi" w:cstheme="minorHAnsi"/>
          <w:b/>
          <w:sz w:val="22"/>
          <w:szCs w:val="22"/>
        </w:rPr>
        <w:footnoteReference w:id="6"/>
      </w:r>
      <w:r w:rsidR="004D6F61" w:rsidRPr="004D6F61">
        <w:rPr>
          <w:rFonts w:asciiTheme="minorHAnsi" w:hAnsiTheme="minorHAnsi" w:cstheme="minorHAnsi"/>
          <w:b/>
          <w:sz w:val="22"/>
          <w:szCs w:val="22"/>
          <w:vertAlign w:val="superscript"/>
        </w:rPr>
        <w:t xml:space="preserve"> </w:t>
      </w:r>
      <w:r w:rsidR="00F57807" w:rsidRPr="004D6F61">
        <w:rPr>
          <w:rStyle w:val="normaltextrun"/>
          <w:rFonts w:ascii="Calibri" w:hAnsi="Calibri" w:cs="Calibri"/>
          <w:b/>
          <w:sz w:val="22"/>
          <w:szCs w:val="22"/>
        </w:rPr>
        <w:t>In a study reviewing cost of care for breast cancer, which included two years of post-diagnosis claims data analyzed by stage at diagnosis, researchers found that the average cost per patient at disease stages III and IV were between 64% and 154% higher than the cost of those patients treated at Stage 0, I and II.</w:t>
      </w:r>
      <w:r w:rsidR="004D6F61" w:rsidRPr="004D6F61">
        <w:rPr>
          <w:rStyle w:val="FootnoteReference"/>
          <w:rFonts w:ascii="Calibri" w:hAnsi="Calibri" w:cs="Calibri"/>
          <w:b/>
          <w:sz w:val="22"/>
          <w:szCs w:val="22"/>
        </w:rPr>
        <w:footnoteReference w:id="7"/>
      </w:r>
      <w:r w:rsidR="004D6F61" w:rsidRPr="004D6F61">
        <w:rPr>
          <w:rFonts w:asciiTheme="minorHAnsi" w:hAnsiTheme="minorHAnsi" w:cstheme="minorHAnsi"/>
          <w:b/>
          <w:sz w:val="22"/>
          <w:szCs w:val="22"/>
          <w:vertAlign w:val="superscript"/>
        </w:rPr>
        <w:t xml:space="preserve"> </w:t>
      </w:r>
      <w:r w:rsidR="00E8043B" w:rsidRPr="004D6F61">
        <w:rPr>
          <w:rStyle w:val="normaltextrun"/>
          <w:rFonts w:ascii="Calibri" w:hAnsi="Calibri" w:cs="Calibri"/>
          <w:b/>
          <w:sz w:val="22"/>
          <w:szCs w:val="22"/>
        </w:rPr>
        <w:t>M</w:t>
      </w:r>
      <w:r w:rsidR="004A2155" w:rsidRPr="004D6F61">
        <w:rPr>
          <w:rStyle w:val="normaltextrun"/>
          <w:rFonts w:ascii="Calibri" w:hAnsi="Calibri" w:cs="Calibri"/>
          <w:b/>
          <w:sz w:val="22"/>
          <w:szCs w:val="22"/>
        </w:rPr>
        <w:t>issed medical appointments, annual check-ups, and preventive screenings such as mammograms and colonoscopies</w:t>
      </w:r>
      <w:r w:rsidR="00E8043B" w:rsidRPr="004D6F61">
        <w:rPr>
          <w:rStyle w:val="normaltextrun"/>
          <w:rFonts w:ascii="Calibri" w:hAnsi="Calibri" w:cs="Calibri"/>
          <w:b/>
          <w:sz w:val="22"/>
          <w:szCs w:val="22"/>
        </w:rPr>
        <w:t>,</w:t>
      </w:r>
      <w:r w:rsidR="004A2155" w:rsidRPr="004D6F61">
        <w:rPr>
          <w:rStyle w:val="normaltextrun"/>
          <w:rFonts w:ascii="Calibri" w:hAnsi="Calibri" w:cs="Calibri"/>
          <w:b/>
          <w:sz w:val="22"/>
          <w:szCs w:val="22"/>
        </w:rPr>
        <w:t xml:space="preserve"> </w:t>
      </w:r>
      <w:r w:rsidR="00E8043B" w:rsidRPr="004D6F61">
        <w:rPr>
          <w:rStyle w:val="normaltextrun"/>
          <w:rFonts w:ascii="Calibri" w:hAnsi="Calibri" w:cs="Calibri"/>
          <w:b/>
          <w:sz w:val="22"/>
          <w:szCs w:val="22"/>
        </w:rPr>
        <w:t xml:space="preserve">can </w:t>
      </w:r>
      <w:r w:rsidR="00584A4B" w:rsidRPr="004D6F61">
        <w:rPr>
          <w:rStyle w:val="normaltextrun"/>
          <w:rFonts w:ascii="Calibri" w:hAnsi="Calibri" w:cs="Calibri"/>
          <w:b/>
          <w:sz w:val="22"/>
          <w:szCs w:val="22"/>
        </w:rPr>
        <w:t>result in unmanaged symptoms, particularly for individuals with chronic disease, leading to emergency room visits or hospitalizations that are far costlier than outpatient care.</w:t>
      </w:r>
      <w:r w:rsidR="004D6F61" w:rsidRPr="004D6F61">
        <w:rPr>
          <w:rStyle w:val="FootnoteReference"/>
          <w:rFonts w:ascii="Calibri" w:hAnsi="Calibri" w:cs="Calibri"/>
          <w:b/>
          <w:sz w:val="22"/>
          <w:szCs w:val="22"/>
        </w:rPr>
        <w:footnoteReference w:id="8"/>
      </w:r>
    </w:p>
    <w:p w14:paraId="564DEDB7" w14:textId="77777777" w:rsidR="004D6F61" w:rsidRPr="004D6F61" w:rsidRDefault="004D6F61" w:rsidP="004D6F61">
      <w:pPr>
        <w:pStyle w:val="paragraph"/>
        <w:spacing w:before="0" w:beforeAutospacing="0" w:after="0" w:afterAutospacing="0"/>
        <w:ind w:left="360"/>
        <w:textAlignment w:val="baseline"/>
        <w:rPr>
          <w:rStyle w:val="normaltextrun"/>
          <w:rFonts w:ascii="Calibri" w:hAnsi="Calibri" w:cs="Calibri"/>
          <w:b/>
          <w:sz w:val="22"/>
          <w:szCs w:val="22"/>
          <w:shd w:val="clear" w:color="auto" w:fill="FFFFFF"/>
        </w:rPr>
      </w:pPr>
    </w:p>
    <w:p w14:paraId="48CB2DBD" w14:textId="49978ECB" w:rsidR="00996456" w:rsidRPr="004D6F61" w:rsidRDefault="004D6F61" w:rsidP="004D6F61">
      <w:pPr>
        <w:pStyle w:val="paragraph"/>
        <w:spacing w:before="0" w:beforeAutospacing="0" w:after="0" w:afterAutospacing="0"/>
        <w:ind w:left="360"/>
        <w:textAlignment w:val="baseline"/>
        <w:rPr>
          <w:rStyle w:val="normaltextrun"/>
          <w:rFonts w:asciiTheme="minorHAnsi" w:hAnsiTheme="minorHAnsi" w:cstheme="minorHAnsi"/>
          <w:b/>
          <w:sz w:val="22"/>
          <w:szCs w:val="22"/>
          <w:vertAlign w:val="superscript"/>
        </w:rPr>
      </w:pPr>
      <w:r w:rsidRPr="004D6F61">
        <w:rPr>
          <w:rStyle w:val="normaltextrun"/>
          <w:rFonts w:ascii="Calibri" w:hAnsi="Calibri" w:cs="Calibri"/>
          <w:b/>
          <w:sz w:val="22"/>
          <w:szCs w:val="22"/>
          <w:shd w:val="clear" w:color="auto" w:fill="FFFFFF"/>
        </w:rPr>
        <w:t>Further, m</w:t>
      </w:r>
      <w:r w:rsidR="00CC7736" w:rsidRPr="004D6F61">
        <w:rPr>
          <w:rStyle w:val="normaltextrun"/>
          <w:rFonts w:ascii="Calibri" w:hAnsi="Calibri" w:cs="Calibri"/>
          <w:b/>
          <w:sz w:val="22"/>
          <w:szCs w:val="22"/>
          <w:shd w:val="clear" w:color="auto" w:fill="FFFFFF"/>
        </w:rPr>
        <w:t xml:space="preserve">edication adherence can be negatively impacted </w:t>
      </w:r>
      <w:proofErr w:type="gramStart"/>
      <w:r w:rsidR="00CC7736" w:rsidRPr="004D6F61">
        <w:rPr>
          <w:rStyle w:val="normaltextrun"/>
          <w:rFonts w:ascii="Calibri" w:hAnsi="Calibri" w:cs="Calibri"/>
          <w:b/>
          <w:sz w:val="22"/>
          <w:szCs w:val="22"/>
          <w:shd w:val="clear" w:color="auto" w:fill="FFFFFF"/>
        </w:rPr>
        <w:t>as a result of</w:t>
      </w:r>
      <w:proofErr w:type="gramEnd"/>
      <w:r w:rsidR="00CC7736" w:rsidRPr="004D6F61">
        <w:rPr>
          <w:rStyle w:val="normaltextrun"/>
          <w:rFonts w:ascii="Calibri" w:hAnsi="Calibri" w:cs="Calibri"/>
          <w:b/>
          <w:sz w:val="22"/>
          <w:szCs w:val="22"/>
          <w:shd w:val="clear" w:color="auto" w:fill="FFFFFF"/>
        </w:rPr>
        <w:t xml:space="preserve"> lack of transportation to and from a doctor’s office and/or a pharmacy.</w:t>
      </w:r>
      <w:r w:rsidRPr="004D6F61">
        <w:rPr>
          <w:rStyle w:val="FootnoteReference"/>
          <w:rFonts w:ascii="Calibri" w:hAnsi="Calibri" w:cs="Calibri"/>
          <w:b/>
          <w:sz w:val="22"/>
          <w:szCs w:val="22"/>
          <w:shd w:val="clear" w:color="auto" w:fill="FFFFFF"/>
        </w:rPr>
        <w:footnoteReference w:id="9"/>
      </w:r>
      <w:r w:rsidRPr="004D6F61">
        <w:rPr>
          <w:rStyle w:val="normaltextrun"/>
          <w:rFonts w:ascii="Calibri" w:hAnsi="Calibri" w:cs="Calibri"/>
          <w:b/>
          <w:sz w:val="22"/>
          <w:szCs w:val="22"/>
          <w:shd w:val="clear" w:color="auto" w:fill="FFFFFF"/>
        </w:rPr>
        <w:t xml:space="preserve"> </w:t>
      </w:r>
      <w:r w:rsidR="00CC7736" w:rsidRPr="004D6F61">
        <w:rPr>
          <w:rStyle w:val="normaltextrun"/>
          <w:rFonts w:ascii="Calibri" w:hAnsi="Calibri" w:cs="Calibri"/>
          <w:b/>
          <w:sz w:val="22"/>
          <w:szCs w:val="22"/>
          <w:shd w:val="clear" w:color="auto" w:fill="FFFFFF"/>
        </w:rPr>
        <w:t>One study concluded that the annual estimated cost of prescription drug morbidity and mortality resulting from non-optimized medication therapy, including medication non-adherence, was over $500 billion in 2016 dollars.</w:t>
      </w:r>
      <w:r w:rsidRPr="004D6F61">
        <w:rPr>
          <w:rStyle w:val="FootnoteReference"/>
          <w:rFonts w:ascii="Calibri" w:hAnsi="Calibri" w:cs="Calibri"/>
          <w:b/>
          <w:sz w:val="22"/>
          <w:szCs w:val="22"/>
          <w:shd w:val="clear" w:color="auto" w:fill="FFFFFF"/>
        </w:rPr>
        <w:footnoteReference w:id="10"/>
      </w:r>
    </w:p>
    <w:p w14:paraId="158DCD31" w14:textId="77777777" w:rsidR="004D6F61" w:rsidRPr="004D6F61" w:rsidRDefault="004D6F61" w:rsidP="004D6F61">
      <w:pPr>
        <w:pStyle w:val="paragraph"/>
        <w:spacing w:before="0" w:beforeAutospacing="0" w:after="0" w:afterAutospacing="0"/>
        <w:ind w:left="360"/>
        <w:textAlignment w:val="baseline"/>
        <w:rPr>
          <w:rStyle w:val="normaltextrun"/>
          <w:rFonts w:ascii="Calibri" w:hAnsi="Calibri" w:cs="Calibri"/>
          <w:b/>
          <w:sz w:val="22"/>
          <w:szCs w:val="22"/>
          <w:shd w:val="clear" w:color="auto" w:fill="FFFFFF"/>
        </w:rPr>
      </w:pPr>
    </w:p>
    <w:p w14:paraId="68ADA432" w14:textId="06A57BDF" w:rsidR="00F57807" w:rsidRPr="004D6F61" w:rsidRDefault="004D6F61" w:rsidP="004D6F61">
      <w:pPr>
        <w:pStyle w:val="paragraph"/>
        <w:spacing w:before="0" w:beforeAutospacing="0" w:after="0" w:afterAutospacing="0"/>
        <w:ind w:left="360"/>
        <w:textAlignment w:val="baseline"/>
        <w:rPr>
          <w:rFonts w:ascii="Calibri" w:hAnsi="Calibri" w:cs="Calibri"/>
          <w:b/>
          <w:sz w:val="22"/>
          <w:szCs w:val="22"/>
          <w:shd w:val="clear" w:color="auto" w:fill="FFFFFF"/>
        </w:rPr>
      </w:pPr>
      <w:r w:rsidRPr="004D6F61">
        <w:rPr>
          <w:rStyle w:val="normaltextrun"/>
          <w:rFonts w:ascii="Calibri" w:hAnsi="Calibri" w:cs="Calibri"/>
          <w:b/>
          <w:sz w:val="22"/>
          <w:szCs w:val="22"/>
          <w:shd w:val="clear" w:color="auto" w:fill="FFFFFF"/>
        </w:rPr>
        <w:t>T</w:t>
      </w:r>
      <w:r w:rsidR="00497263" w:rsidRPr="004D6F61">
        <w:rPr>
          <w:rStyle w:val="normaltextrun"/>
          <w:rFonts w:ascii="Calibri" w:hAnsi="Calibri" w:cs="Calibri"/>
          <w:b/>
          <w:sz w:val="22"/>
          <w:szCs w:val="22"/>
          <w:shd w:val="clear" w:color="auto" w:fill="FFFFFF"/>
        </w:rPr>
        <w:t xml:space="preserve">he Applicant seeks to improve adherence to healthcare regimens </w:t>
      </w:r>
      <w:r w:rsidR="00DD7317" w:rsidRPr="004D6F61">
        <w:rPr>
          <w:rStyle w:val="normaltextrun"/>
          <w:rFonts w:ascii="Calibri" w:hAnsi="Calibri" w:cs="Calibri"/>
          <w:b/>
          <w:sz w:val="22"/>
          <w:szCs w:val="22"/>
          <w:shd w:val="clear" w:color="auto" w:fill="FFFFFF"/>
        </w:rPr>
        <w:t xml:space="preserve">by expanding services in the local </w:t>
      </w:r>
      <w:r w:rsidR="00497263" w:rsidRPr="004D6F61">
        <w:rPr>
          <w:rStyle w:val="normaltextrun"/>
          <w:rFonts w:ascii="Calibri" w:hAnsi="Calibri" w:cs="Calibri"/>
          <w:b/>
          <w:sz w:val="22"/>
          <w:szCs w:val="22"/>
          <w:shd w:val="clear" w:color="auto" w:fill="FFFFFF"/>
        </w:rPr>
        <w:t>communit</w:t>
      </w:r>
      <w:r w:rsidR="00DD7317" w:rsidRPr="004D6F61">
        <w:rPr>
          <w:rStyle w:val="normaltextrun"/>
          <w:rFonts w:ascii="Calibri" w:hAnsi="Calibri" w:cs="Calibri"/>
          <w:b/>
          <w:sz w:val="22"/>
          <w:szCs w:val="22"/>
          <w:shd w:val="clear" w:color="auto" w:fill="FFFFFF"/>
        </w:rPr>
        <w:t xml:space="preserve">y and reducing the need for patients to travel outside of their local community to receive care. </w:t>
      </w:r>
      <w:r w:rsidR="00497263" w:rsidRPr="004D6F61">
        <w:rPr>
          <w:rStyle w:val="normaltextrun"/>
          <w:rFonts w:ascii="Calibri" w:hAnsi="Calibri" w:cs="Calibri"/>
          <w:b/>
          <w:sz w:val="22"/>
          <w:szCs w:val="22"/>
          <w:shd w:val="clear" w:color="auto" w:fill="FFFFFF"/>
        </w:rPr>
        <w:t>A literature review of 61 studies concluded that transportation barriers, particularly for individuals with lower incomes or who are un- or under-insured, are a key barrier to healthcare access.</w:t>
      </w:r>
      <w:r w:rsidRPr="004D6F61">
        <w:rPr>
          <w:rStyle w:val="FootnoteReference"/>
          <w:rFonts w:ascii="Calibri" w:hAnsi="Calibri" w:cs="Calibri"/>
          <w:b/>
          <w:sz w:val="22"/>
          <w:szCs w:val="22"/>
          <w:shd w:val="clear" w:color="auto" w:fill="FFFFFF"/>
        </w:rPr>
        <w:footnoteReference w:id="11"/>
      </w:r>
      <w:r w:rsidR="00497263" w:rsidRPr="004D6F61">
        <w:rPr>
          <w:rStyle w:val="normaltextrun"/>
          <w:rFonts w:ascii="Calibri" w:hAnsi="Calibri" w:cs="Calibri"/>
          <w:b/>
          <w:sz w:val="22"/>
          <w:szCs w:val="22"/>
          <w:shd w:val="clear" w:color="auto" w:fill="FFFFFF"/>
        </w:rPr>
        <w:t xml:space="preserve"> </w:t>
      </w:r>
    </w:p>
    <w:p w14:paraId="6880F2E5" w14:textId="77777777" w:rsidR="00F57807" w:rsidRDefault="00F57807" w:rsidP="00F5780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FF0000"/>
        </w:rPr>
        <w:t> </w:t>
      </w:r>
    </w:p>
    <w:p w14:paraId="41E816A5" w14:textId="7CE07B74" w:rsidR="00F22098" w:rsidRPr="008C1246" w:rsidRDefault="006516BF" w:rsidP="006516BF">
      <w:pPr>
        <w:tabs>
          <w:tab w:val="left" w:pos="1440"/>
        </w:tabs>
        <w:autoSpaceDE w:val="0"/>
        <w:autoSpaceDN w:val="0"/>
        <w:adjustRightInd w:val="0"/>
        <w:spacing w:after="0" w:line="240" w:lineRule="auto"/>
        <w:rPr>
          <w:rFonts w:cstheme="minorHAnsi"/>
          <w:b/>
          <w:bCs/>
        </w:rPr>
      </w:pPr>
      <w:r w:rsidRPr="008C1246">
        <w:rPr>
          <w:rFonts w:cstheme="minorHAnsi"/>
          <w:b/>
          <w:bCs/>
        </w:rPr>
        <w:t xml:space="preserve">Factor 2: </w:t>
      </w:r>
      <w:r w:rsidR="008C1246" w:rsidRPr="008C1246">
        <w:rPr>
          <w:rFonts w:cstheme="minorHAnsi"/>
          <w:b/>
          <w:bCs/>
        </w:rPr>
        <w:t>Cost Containment</w:t>
      </w:r>
    </w:p>
    <w:p w14:paraId="5ACC7DC9" w14:textId="5419F2AE" w:rsidR="006516BF" w:rsidRPr="00EB03E8" w:rsidRDefault="006516BF" w:rsidP="004D6F61">
      <w:pPr>
        <w:pStyle w:val="ListParagraph"/>
        <w:numPr>
          <w:ilvl w:val="0"/>
          <w:numId w:val="3"/>
        </w:numPr>
        <w:tabs>
          <w:tab w:val="left" w:pos="1440"/>
        </w:tabs>
        <w:autoSpaceDE w:val="0"/>
        <w:autoSpaceDN w:val="0"/>
        <w:adjustRightInd w:val="0"/>
        <w:spacing w:after="0" w:line="240" w:lineRule="auto"/>
        <w:rPr>
          <w:rFonts w:cstheme="minorHAnsi"/>
          <w:color w:val="FF0000"/>
          <w:sz w:val="24"/>
          <w:szCs w:val="24"/>
        </w:rPr>
      </w:pPr>
      <w:r w:rsidRPr="008C1246">
        <w:rPr>
          <w:rFonts w:cstheme="minorHAnsi"/>
          <w:sz w:val="24"/>
          <w:szCs w:val="24"/>
        </w:rPr>
        <w:t>Please define “B</w:t>
      </w:r>
      <w:r w:rsidR="00416D6B">
        <w:rPr>
          <w:rFonts w:cstheme="minorHAnsi"/>
          <w:sz w:val="24"/>
          <w:szCs w:val="24"/>
        </w:rPr>
        <w:t>l</w:t>
      </w:r>
      <w:r w:rsidRPr="008C1246">
        <w:rPr>
          <w:rFonts w:cstheme="minorHAnsi"/>
          <w:sz w:val="24"/>
          <w:szCs w:val="24"/>
        </w:rPr>
        <w:t>ended + Discount” in the Comparison of Average Costs table provided in round 1 questions.</w:t>
      </w:r>
    </w:p>
    <w:p w14:paraId="027FCF1D" w14:textId="539624C1" w:rsidR="00EB03E8" w:rsidRDefault="00EB03E8" w:rsidP="00EB03E8">
      <w:pPr>
        <w:tabs>
          <w:tab w:val="left" w:pos="1440"/>
        </w:tabs>
        <w:autoSpaceDE w:val="0"/>
        <w:autoSpaceDN w:val="0"/>
        <w:adjustRightInd w:val="0"/>
        <w:spacing w:after="0" w:line="240" w:lineRule="auto"/>
        <w:ind w:left="360"/>
        <w:rPr>
          <w:rFonts w:cstheme="minorHAnsi"/>
          <w:color w:val="FF0000"/>
          <w:sz w:val="24"/>
          <w:szCs w:val="24"/>
        </w:rPr>
      </w:pPr>
    </w:p>
    <w:p w14:paraId="420CD622" w14:textId="1D9F78B2" w:rsidR="00EB03E8" w:rsidRDefault="00EB03E8" w:rsidP="004D6F61">
      <w:pPr>
        <w:tabs>
          <w:tab w:val="left" w:pos="1440"/>
        </w:tabs>
        <w:autoSpaceDE w:val="0"/>
        <w:autoSpaceDN w:val="0"/>
        <w:adjustRightInd w:val="0"/>
        <w:spacing w:after="0" w:line="240" w:lineRule="auto"/>
        <w:ind w:left="360"/>
        <w:rPr>
          <w:rFonts w:cstheme="minorHAnsi"/>
          <w:b/>
          <w:color w:val="000000" w:themeColor="text1"/>
        </w:rPr>
      </w:pPr>
      <w:r w:rsidRPr="00946E37">
        <w:rPr>
          <w:rFonts w:cstheme="minorHAnsi"/>
          <w:b/>
          <w:color w:val="000000" w:themeColor="text1"/>
        </w:rPr>
        <w:t xml:space="preserve">The Applicant </w:t>
      </w:r>
      <w:r w:rsidR="00946E37" w:rsidRPr="00946E37">
        <w:rPr>
          <w:rFonts w:cstheme="minorHAnsi"/>
          <w:b/>
          <w:color w:val="000000" w:themeColor="text1"/>
        </w:rPr>
        <w:t>defines</w:t>
      </w:r>
      <w:r w:rsidRPr="00946E37">
        <w:rPr>
          <w:rFonts w:cstheme="minorHAnsi"/>
          <w:b/>
          <w:color w:val="000000" w:themeColor="text1"/>
        </w:rPr>
        <w:t xml:space="preserve"> “Blended” </w:t>
      </w:r>
      <w:r w:rsidR="00946E37" w:rsidRPr="00946E37">
        <w:rPr>
          <w:rFonts w:cstheme="minorHAnsi"/>
          <w:b/>
          <w:color w:val="000000" w:themeColor="text1"/>
        </w:rPr>
        <w:t xml:space="preserve">as the sum of </w:t>
      </w:r>
      <w:r w:rsidRPr="00946E37">
        <w:rPr>
          <w:rFonts w:cstheme="minorHAnsi"/>
          <w:b/>
          <w:color w:val="000000" w:themeColor="text1"/>
        </w:rPr>
        <w:t xml:space="preserve">net patient service revenue </w:t>
      </w:r>
      <w:r w:rsidR="00946E37" w:rsidRPr="00946E37">
        <w:rPr>
          <w:rFonts w:cstheme="minorHAnsi"/>
          <w:b/>
          <w:color w:val="000000" w:themeColor="text1"/>
        </w:rPr>
        <w:t xml:space="preserve">per visit </w:t>
      </w:r>
      <w:r w:rsidRPr="00946E37">
        <w:rPr>
          <w:rFonts w:cstheme="minorHAnsi"/>
          <w:b/>
          <w:color w:val="000000" w:themeColor="text1"/>
        </w:rPr>
        <w:t xml:space="preserve">across three payer categories (Commercial, Medicare and Medicaid/Other) </w:t>
      </w:r>
      <w:r w:rsidR="00946E37" w:rsidRPr="00946E37">
        <w:rPr>
          <w:rFonts w:cstheme="minorHAnsi"/>
          <w:b/>
          <w:color w:val="000000" w:themeColor="text1"/>
        </w:rPr>
        <w:t>and the payer mix for each specialty. “+ Discount” then reduces the Blended rate by 40% percent to reflect off-campus Hospital Outpatient Department rates.</w:t>
      </w:r>
    </w:p>
    <w:p w14:paraId="31BF71D9" w14:textId="7FFD4F01" w:rsidR="005F77D6" w:rsidRDefault="005F77D6" w:rsidP="005F77D6">
      <w:pPr>
        <w:tabs>
          <w:tab w:val="left" w:pos="1440"/>
        </w:tabs>
        <w:autoSpaceDE w:val="0"/>
        <w:autoSpaceDN w:val="0"/>
        <w:adjustRightInd w:val="0"/>
        <w:spacing w:after="0" w:line="240" w:lineRule="auto"/>
        <w:rPr>
          <w:rFonts w:cstheme="minorHAnsi"/>
          <w:b/>
          <w:color w:val="000000" w:themeColor="text1"/>
        </w:rPr>
      </w:pPr>
    </w:p>
    <w:p w14:paraId="512A645E" w14:textId="77777777" w:rsidR="005F77D6" w:rsidRPr="00A850A1" w:rsidRDefault="005F77D6" w:rsidP="004D6F61">
      <w:pPr>
        <w:pStyle w:val="ListParagraph"/>
        <w:numPr>
          <w:ilvl w:val="0"/>
          <w:numId w:val="3"/>
        </w:numPr>
        <w:tabs>
          <w:tab w:val="left" w:pos="1440"/>
        </w:tabs>
        <w:autoSpaceDE w:val="0"/>
        <w:autoSpaceDN w:val="0"/>
        <w:adjustRightInd w:val="0"/>
        <w:spacing w:after="0" w:line="240" w:lineRule="auto"/>
        <w:rPr>
          <w:rFonts w:cstheme="minorHAnsi"/>
          <w:sz w:val="24"/>
          <w:szCs w:val="24"/>
        </w:rPr>
      </w:pPr>
      <w:proofErr w:type="gramStart"/>
      <w:r>
        <w:rPr>
          <w:rFonts w:cstheme="minorHAnsi"/>
          <w:sz w:val="24"/>
          <w:szCs w:val="24"/>
        </w:rPr>
        <w:t>In order to</w:t>
      </w:r>
      <w:proofErr w:type="gramEnd"/>
      <w:r>
        <w:rPr>
          <w:rFonts w:cstheme="minorHAnsi"/>
          <w:sz w:val="24"/>
          <w:szCs w:val="24"/>
        </w:rPr>
        <w:t xml:space="preserve"> support the statement that the Satellite is likely to reduce the cost of care:</w:t>
      </w:r>
    </w:p>
    <w:p w14:paraId="62594915" w14:textId="138E0850" w:rsidR="005F77D6" w:rsidRDefault="005F77D6" w:rsidP="004D6F61">
      <w:pPr>
        <w:pStyle w:val="ListParagraph"/>
        <w:numPr>
          <w:ilvl w:val="1"/>
          <w:numId w:val="3"/>
        </w:numPr>
        <w:tabs>
          <w:tab w:val="left" w:pos="1440"/>
        </w:tabs>
        <w:autoSpaceDE w:val="0"/>
        <w:autoSpaceDN w:val="0"/>
        <w:adjustRightInd w:val="0"/>
        <w:spacing w:after="0" w:line="240" w:lineRule="auto"/>
        <w:rPr>
          <w:rFonts w:cstheme="minorHAnsi"/>
          <w:sz w:val="24"/>
          <w:szCs w:val="24"/>
        </w:rPr>
      </w:pPr>
      <w:r>
        <w:rPr>
          <w:rFonts w:cstheme="minorHAnsi"/>
          <w:sz w:val="24"/>
          <w:szCs w:val="24"/>
        </w:rPr>
        <w:t xml:space="preserve">Please explain the reasoning behind licensing the Satellites as HOPD’s connected to BIDMC, one BILH’s most expensive </w:t>
      </w:r>
      <w:r w:rsidRPr="002D013E">
        <w:rPr>
          <w:rFonts w:cstheme="minorHAnsi"/>
          <w:sz w:val="24"/>
          <w:szCs w:val="24"/>
        </w:rPr>
        <w:t>hospitals</w:t>
      </w:r>
      <w:r>
        <w:rPr>
          <w:rFonts w:cstheme="minorHAnsi"/>
          <w:sz w:val="24"/>
          <w:szCs w:val="24"/>
        </w:rPr>
        <w:t xml:space="preserve">, instead of </w:t>
      </w:r>
      <w:r w:rsidRPr="002D013E">
        <w:rPr>
          <w:rFonts w:cstheme="minorHAnsi"/>
          <w:sz w:val="24"/>
          <w:szCs w:val="24"/>
        </w:rPr>
        <w:t xml:space="preserve">attaching to one of </w:t>
      </w:r>
      <w:r>
        <w:rPr>
          <w:rFonts w:cstheme="minorHAnsi"/>
          <w:sz w:val="24"/>
          <w:szCs w:val="24"/>
        </w:rPr>
        <w:t xml:space="preserve">BILH’s </w:t>
      </w:r>
      <w:r w:rsidRPr="002D013E">
        <w:rPr>
          <w:rFonts w:cstheme="minorHAnsi"/>
          <w:sz w:val="24"/>
          <w:szCs w:val="24"/>
        </w:rPr>
        <w:t>community hospitals.</w:t>
      </w:r>
    </w:p>
    <w:p w14:paraId="4AE198EA" w14:textId="1D9328C4" w:rsidR="00F57807" w:rsidRDefault="00F57807" w:rsidP="00F57807">
      <w:pPr>
        <w:tabs>
          <w:tab w:val="left" w:pos="1440"/>
        </w:tabs>
        <w:autoSpaceDE w:val="0"/>
        <w:autoSpaceDN w:val="0"/>
        <w:adjustRightInd w:val="0"/>
        <w:spacing w:after="0" w:line="240" w:lineRule="auto"/>
        <w:rPr>
          <w:rFonts w:cstheme="minorHAnsi"/>
          <w:sz w:val="24"/>
          <w:szCs w:val="24"/>
        </w:rPr>
      </w:pPr>
    </w:p>
    <w:p w14:paraId="318FB115" w14:textId="5F108B17" w:rsidR="00F57807" w:rsidRPr="00AE0452" w:rsidRDefault="00F57807" w:rsidP="004D6F61">
      <w:pPr>
        <w:tabs>
          <w:tab w:val="left" w:pos="1440"/>
        </w:tabs>
        <w:autoSpaceDE w:val="0"/>
        <w:autoSpaceDN w:val="0"/>
        <w:adjustRightInd w:val="0"/>
        <w:spacing w:after="0" w:line="240" w:lineRule="auto"/>
        <w:ind w:left="360"/>
        <w:rPr>
          <w:rFonts w:cstheme="minorHAnsi"/>
        </w:rPr>
      </w:pPr>
      <w:r w:rsidRPr="00AE0452">
        <w:rPr>
          <w:rStyle w:val="normaltextrun"/>
          <w:rFonts w:ascii="Calibri" w:hAnsi="Calibri" w:cs="Calibri"/>
          <w:b/>
          <w:bCs/>
          <w:shd w:val="clear" w:color="auto" w:fill="FFFFFF"/>
        </w:rPr>
        <w:t xml:space="preserve">The Applicant’s decision to license the Satellites under BIDMC is based on </w:t>
      </w:r>
      <w:proofErr w:type="gramStart"/>
      <w:r w:rsidRPr="00AE0452">
        <w:rPr>
          <w:rStyle w:val="normaltextrun"/>
          <w:rFonts w:ascii="Calibri" w:hAnsi="Calibri" w:cs="Calibri"/>
          <w:b/>
          <w:bCs/>
          <w:shd w:val="clear" w:color="auto" w:fill="FFFFFF"/>
        </w:rPr>
        <w:t>a number of</w:t>
      </w:r>
      <w:proofErr w:type="gramEnd"/>
      <w:r w:rsidRPr="00AE0452">
        <w:rPr>
          <w:rStyle w:val="normaltextrun"/>
          <w:rFonts w:ascii="Calibri" w:hAnsi="Calibri" w:cs="Calibri"/>
          <w:b/>
          <w:bCs/>
          <w:shd w:val="clear" w:color="auto" w:fill="FFFFFF"/>
        </w:rPr>
        <w:t xml:space="preserve"> factors. First, the Satellites will enhance clinical offerings for patients in the Plymouth and Quincy regions, including expanding access to a greater variety of oncology clinical trials, sustaining access to increasingly complex, high-cost pharmaceutical infusion treatments and sub-specialized physicians from BIDMC that would not </w:t>
      </w:r>
      <w:r w:rsidRPr="00AE0452">
        <w:rPr>
          <w:rStyle w:val="normaltextrun"/>
          <w:rFonts w:ascii="Calibri" w:hAnsi="Calibri" w:cs="Calibri"/>
          <w:b/>
          <w:bCs/>
          <w:shd w:val="clear" w:color="auto" w:fill="FFFFFF"/>
        </w:rPr>
        <w:lastRenderedPageBreak/>
        <w:t xml:space="preserve">be available if the Satellites were licensed under the local hospitals. Second, BID Milton does not have the provider resources nor operational structure to support </w:t>
      </w:r>
      <w:r w:rsidR="004D6F61">
        <w:rPr>
          <w:rStyle w:val="normaltextrun"/>
          <w:rFonts w:ascii="Calibri" w:hAnsi="Calibri" w:cs="Calibri"/>
          <w:b/>
          <w:bCs/>
          <w:shd w:val="clear" w:color="auto" w:fill="FFFFFF"/>
        </w:rPr>
        <w:t xml:space="preserve">the </w:t>
      </w:r>
      <w:r w:rsidRPr="00AE0452">
        <w:rPr>
          <w:rStyle w:val="normaltextrun"/>
          <w:rFonts w:ascii="Calibri" w:hAnsi="Calibri" w:cs="Calibri"/>
          <w:b/>
          <w:bCs/>
          <w:shd w:val="clear" w:color="auto" w:fill="FFFFFF"/>
        </w:rPr>
        <w:t xml:space="preserve">development of the Quincy Satellite which is </w:t>
      </w:r>
      <w:r w:rsidR="004D6F61">
        <w:rPr>
          <w:rStyle w:val="normaltextrun"/>
          <w:rFonts w:ascii="Calibri" w:hAnsi="Calibri" w:cs="Calibri"/>
          <w:b/>
          <w:bCs/>
          <w:shd w:val="clear" w:color="auto" w:fill="FFFFFF"/>
        </w:rPr>
        <w:t>anticipated</w:t>
      </w:r>
      <w:r w:rsidRPr="00AE0452">
        <w:rPr>
          <w:rStyle w:val="normaltextrun"/>
          <w:rFonts w:ascii="Calibri" w:hAnsi="Calibri" w:cs="Calibri"/>
          <w:b/>
          <w:bCs/>
          <w:shd w:val="clear" w:color="auto" w:fill="FFFFFF"/>
        </w:rPr>
        <w:t xml:space="preserve"> to add significant health services capacity in a region</w:t>
      </w:r>
      <w:r w:rsidR="004D6F61">
        <w:rPr>
          <w:rStyle w:val="normaltextrun"/>
          <w:rFonts w:ascii="Calibri" w:hAnsi="Calibri" w:cs="Calibri"/>
          <w:b/>
          <w:bCs/>
          <w:shd w:val="clear" w:color="auto" w:fill="FFFFFF"/>
        </w:rPr>
        <w:t xml:space="preserve"> that is forecasted to have an increase in </w:t>
      </w:r>
      <w:r w:rsidRPr="00AE0452">
        <w:rPr>
          <w:rStyle w:val="normaltextrun"/>
          <w:rFonts w:ascii="Calibri" w:hAnsi="Calibri" w:cs="Calibri"/>
          <w:b/>
          <w:bCs/>
          <w:shd w:val="clear" w:color="auto" w:fill="FFFFFF"/>
        </w:rPr>
        <w:t>population growth and unmet healthcare demand in a number of areas, and that has experienced losses in medical services due to</w:t>
      </w:r>
      <w:r w:rsidR="004D6F61">
        <w:rPr>
          <w:rStyle w:val="normaltextrun"/>
          <w:rFonts w:ascii="Calibri" w:hAnsi="Calibri" w:cs="Calibri"/>
          <w:b/>
          <w:bCs/>
          <w:shd w:val="clear" w:color="auto" w:fill="FFFFFF"/>
        </w:rPr>
        <w:t xml:space="preserve"> the</w:t>
      </w:r>
      <w:r w:rsidRPr="00AE0452">
        <w:rPr>
          <w:rStyle w:val="normaltextrun"/>
          <w:rFonts w:ascii="Calibri" w:hAnsi="Calibri" w:cs="Calibri"/>
          <w:b/>
          <w:bCs/>
          <w:shd w:val="clear" w:color="auto" w:fill="FFFFFF"/>
        </w:rPr>
        <w:t xml:space="preserve"> Steward hospital closures in Quincy and Dorchester. Lastly, the cost structure of the Proposed Project is expected to be significantly </w:t>
      </w:r>
      <w:r w:rsidR="004D6F61">
        <w:rPr>
          <w:rStyle w:val="normaltextrun"/>
          <w:rFonts w:ascii="Calibri" w:hAnsi="Calibri" w:cs="Calibri"/>
          <w:b/>
          <w:bCs/>
          <w:shd w:val="clear" w:color="auto" w:fill="FFFFFF"/>
        </w:rPr>
        <w:t xml:space="preserve">lower </w:t>
      </w:r>
      <w:r w:rsidRPr="00AE0452">
        <w:rPr>
          <w:rStyle w:val="normaltextrun"/>
          <w:rFonts w:ascii="Calibri" w:hAnsi="Calibri" w:cs="Calibri"/>
          <w:b/>
          <w:bCs/>
          <w:shd w:val="clear" w:color="auto" w:fill="FFFFFF"/>
        </w:rPr>
        <w:t xml:space="preserve">under the BIDMC license. BIDMC is lower cost than numerous other Greater Boston </w:t>
      </w:r>
      <w:r w:rsidR="004D6F61">
        <w:rPr>
          <w:rStyle w:val="normaltextrun"/>
          <w:rFonts w:ascii="Calibri" w:hAnsi="Calibri" w:cs="Calibri"/>
          <w:b/>
          <w:bCs/>
          <w:shd w:val="clear" w:color="auto" w:fill="FFFFFF"/>
        </w:rPr>
        <w:t>academic</w:t>
      </w:r>
      <w:r w:rsidRPr="00AE0452">
        <w:rPr>
          <w:rStyle w:val="normaltextrun"/>
          <w:rFonts w:ascii="Calibri" w:hAnsi="Calibri" w:cs="Calibri"/>
          <w:b/>
          <w:bCs/>
          <w:shd w:val="clear" w:color="auto" w:fill="FFFFFF"/>
        </w:rPr>
        <w:t xml:space="preserve"> </w:t>
      </w:r>
      <w:r w:rsidR="004D6F61">
        <w:rPr>
          <w:rStyle w:val="normaltextrun"/>
          <w:rFonts w:ascii="Calibri" w:hAnsi="Calibri" w:cs="Calibri"/>
          <w:b/>
          <w:bCs/>
          <w:shd w:val="clear" w:color="auto" w:fill="FFFFFF"/>
        </w:rPr>
        <w:t>medical</w:t>
      </w:r>
      <w:r w:rsidRPr="00AE0452">
        <w:rPr>
          <w:rStyle w:val="normaltextrun"/>
          <w:rFonts w:ascii="Calibri" w:hAnsi="Calibri" w:cs="Calibri"/>
          <w:b/>
          <w:bCs/>
          <w:shd w:val="clear" w:color="auto" w:fill="FFFFFF"/>
        </w:rPr>
        <w:t xml:space="preserve"> </w:t>
      </w:r>
      <w:r w:rsidR="004D6F61">
        <w:rPr>
          <w:rStyle w:val="normaltextrun"/>
          <w:rFonts w:ascii="Calibri" w:hAnsi="Calibri" w:cs="Calibri"/>
          <w:b/>
          <w:bCs/>
          <w:shd w:val="clear" w:color="auto" w:fill="FFFFFF"/>
        </w:rPr>
        <w:t>centers</w:t>
      </w:r>
      <w:r w:rsidRPr="00AE0452">
        <w:rPr>
          <w:rStyle w:val="normaltextrun"/>
          <w:rFonts w:ascii="Calibri" w:hAnsi="Calibri" w:cs="Calibri"/>
          <w:b/>
          <w:bCs/>
          <w:shd w:val="clear" w:color="auto" w:fill="FFFFFF"/>
        </w:rPr>
        <w:t xml:space="preserve">. As a system, </w:t>
      </w:r>
      <w:r w:rsidR="004D6F61">
        <w:rPr>
          <w:rStyle w:val="normaltextrun"/>
          <w:rFonts w:ascii="Calibri" w:hAnsi="Calibri" w:cs="Calibri"/>
          <w:b/>
          <w:bCs/>
          <w:shd w:val="clear" w:color="auto" w:fill="FFFFFF"/>
        </w:rPr>
        <w:t>the Applicant</w:t>
      </w:r>
      <w:r w:rsidRPr="00AE0452">
        <w:rPr>
          <w:rStyle w:val="normaltextrun"/>
          <w:rFonts w:ascii="Calibri" w:hAnsi="Calibri" w:cs="Calibri"/>
          <w:b/>
          <w:bCs/>
          <w:shd w:val="clear" w:color="auto" w:fill="FFFFFF"/>
        </w:rPr>
        <w:t xml:space="preserve"> has a record of bringing more complex care closer to patients within their communities, while also ensuring care that should be provided in a community hospital setting remains in that setting. </w:t>
      </w:r>
      <w:r w:rsidR="004D6F61">
        <w:rPr>
          <w:rStyle w:val="normaltextrun"/>
          <w:rFonts w:ascii="Calibri" w:hAnsi="Calibri" w:cs="Calibri"/>
          <w:b/>
          <w:bCs/>
          <w:shd w:val="clear" w:color="auto" w:fill="FFFFFF"/>
        </w:rPr>
        <w:t xml:space="preserve">The Proposed Project </w:t>
      </w:r>
      <w:r w:rsidRPr="00AE0452">
        <w:rPr>
          <w:rStyle w:val="normaltextrun"/>
          <w:rFonts w:ascii="Calibri" w:hAnsi="Calibri" w:cs="Calibri"/>
          <w:b/>
          <w:bCs/>
          <w:shd w:val="clear" w:color="auto" w:fill="FFFFFF"/>
        </w:rPr>
        <w:t xml:space="preserve">will improve health outcomes, patient </w:t>
      </w:r>
      <w:r w:rsidR="004D6F61" w:rsidRPr="00AE0452">
        <w:rPr>
          <w:rStyle w:val="normaltextrun"/>
          <w:rFonts w:ascii="Calibri" w:hAnsi="Calibri" w:cs="Calibri"/>
          <w:b/>
          <w:bCs/>
          <w:shd w:val="clear" w:color="auto" w:fill="FFFFFF"/>
        </w:rPr>
        <w:t>satisfaction,</w:t>
      </w:r>
      <w:r w:rsidRPr="00AE0452">
        <w:rPr>
          <w:rStyle w:val="normaltextrun"/>
          <w:rFonts w:ascii="Calibri" w:hAnsi="Calibri" w:cs="Calibri"/>
          <w:b/>
          <w:bCs/>
          <w:shd w:val="clear" w:color="auto" w:fill="FFFFFF"/>
        </w:rPr>
        <w:t xml:space="preserve"> and quality of life by providing timely access to critical healthcare services in a lower-cost outpatient setting.</w:t>
      </w:r>
      <w:r w:rsidRPr="00AE0452">
        <w:rPr>
          <w:rStyle w:val="eop"/>
          <w:rFonts w:ascii="Calibri" w:hAnsi="Calibri" w:cs="Calibri"/>
          <w:shd w:val="clear" w:color="auto" w:fill="FFFFFF"/>
        </w:rPr>
        <w:t> </w:t>
      </w:r>
    </w:p>
    <w:p w14:paraId="1E7DCF4E" w14:textId="77777777" w:rsidR="005F77D6" w:rsidRPr="00AE0452" w:rsidRDefault="005F77D6" w:rsidP="005F77D6">
      <w:pPr>
        <w:tabs>
          <w:tab w:val="left" w:pos="1440"/>
        </w:tabs>
        <w:spacing w:after="0" w:line="240" w:lineRule="auto"/>
        <w:rPr>
          <w:rFonts w:cs="Times New Roman"/>
          <w:b/>
          <w:bCs/>
          <w:color w:val="0070C0"/>
        </w:rPr>
      </w:pPr>
    </w:p>
    <w:p w14:paraId="5B86B4C8" w14:textId="6BF76CEE" w:rsidR="005F77D6" w:rsidRPr="00AE0452" w:rsidRDefault="005F77D6" w:rsidP="004D6F61">
      <w:pPr>
        <w:pStyle w:val="ListParagraph"/>
        <w:numPr>
          <w:ilvl w:val="1"/>
          <w:numId w:val="3"/>
        </w:numPr>
        <w:tabs>
          <w:tab w:val="left" w:pos="1440"/>
        </w:tabs>
        <w:autoSpaceDE w:val="0"/>
        <w:autoSpaceDN w:val="0"/>
        <w:adjustRightInd w:val="0"/>
        <w:spacing w:after="0" w:line="240" w:lineRule="auto"/>
        <w:rPr>
          <w:rFonts w:cstheme="minorHAnsi"/>
          <w:color w:val="FF0000"/>
        </w:rPr>
      </w:pPr>
      <w:r w:rsidRPr="00AE0452">
        <w:rPr>
          <w:rFonts w:cstheme="minorHAnsi"/>
        </w:rPr>
        <w:t>Please provide a comparison of the NPSR per visit for the Quincy Satellite services compared to the NPSR Per Visit for Community Hospital Licensed Outpatient Centers.</w:t>
      </w:r>
    </w:p>
    <w:p w14:paraId="66C5A2BF" w14:textId="77777777" w:rsidR="005F77D6" w:rsidRPr="00AE0452" w:rsidRDefault="005F77D6" w:rsidP="005F77D6">
      <w:pPr>
        <w:pStyle w:val="ListParagraph"/>
        <w:rPr>
          <w:rFonts w:cstheme="minorHAnsi"/>
          <w:color w:val="FF0000"/>
        </w:rPr>
      </w:pPr>
    </w:p>
    <w:p w14:paraId="2AE1570E" w14:textId="77777777" w:rsidR="004D6F61" w:rsidRDefault="002E2BB4" w:rsidP="004D6F61">
      <w:pPr>
        <w:pStyle w:val="ListParagraph"/>
        <w:tabs>
          <w:tab w:val="left" w:pos="1440"/>
        </w:tabs>
        <w:autoSpaceDE w:val="0"/>
        <w:autoSpaceDN w:val="0"/>
        <w:adjustRightInd w:val="0"/>
        <w:spacing w:after="0" w:line="240" w:lineRule="auto"/>
        <w:ind w:hanging="360"/>
        <w:rPr>
          <w:rFonts w:cstheme="minorHAnsi"/>
          <w:b/>
        </w:rPr>
      </w:pPr>
      <w:r w:rsidRPr="00AE0452">
        <w:rPr>
          <w:rFonts w:cstheme="minorHAnsi"/>
          <w:b/>
        </w:rPr>
        <w:t>Please see the table below for a comparison of the</w:t>
      </w:r>
      <w:r w:rsidR="004D6F61">
        <w:rPr>
          <w:rFonts w:cstheme="minorHAnsi"/>
          <w:b/>
        </w:rPr>
        <w:t xml:space="preserve"> net patient service revenue (“NPSR”) of the Quincy </w:t>
      </w:r>
    </w:p>
    <w:p w14:paraId="0E1AD2A9" w14:textId="22AE7AA1" w:rsidR="005F77D6" w:rsidRPr="00AE0452" w:rsidRDefault="004D6F61" w:rsidP="004D6F61">
      <w:pPr>
        <w:pStyle w:val="ListParagraph"/>
        <w:tabs>
          <w:tab w:val="left" w:pos="1440"/>
        </w:tabs>
        <w:autoSpaceDE w:val="0"/>
        <w:autoSpaceDN w:val="0"/>
        <w:adjustRightInd w:val="0"/>
        <w:spacing w:after="0" w:line="240" w:lineRule="auto"/>
        <w:ind w:left="360"/>
        <w:rPr>
          <w:rFonts w:cstheme="minorHAnsi"/>
          <w:b/>
        </w:rPr>
      </w:pPr>
      <w:r>
        <w:rPr>
          <w:rFonts w:cstheme="minorHAnsi"/>
          <w:b/>
        </w:rPr>
        <w:t xml:space="preserve">Satellite versus </w:t>
      </w:r>
      <w:r w:rsidR="001A0DDE">
        <w:rPr>
          <w:rFonts w:cstheme="minorHAnsi"/>
          <w:b/>
        </w:rPr>
        <w:t>other</w:t>
      </w:r>
      <w:r w:rsidR="002E2BB4" w:rsidRPr="00AE0452">
        <w:rPr>
          <w:rFonts w:cstheme="minorHAnsi"/>
          <w:b/>
        </w:rPr>
        <w:t xml:space="preserve"> Applicant’s urgent care centers located throughout Eastern </w:t>
      </w:r>
      <w:r>
        <w:rPr>
          <w:rFonts w:cstheme="minorHAnsi"/>
          <w:b/>
        </w:rPr>
        <w:t xml:space="preserve">Massachusetts, </w:t>
      </w:r>
      <w:r w:rsidR="002E2BB4" w:rsidRPr="00AE0452">
        <w:rPr>
          <w:rFonts w:cstheme="minorHAnsi"/>
          <w:b/>
        </w:rPr>
        <w:t>licensed as either an off-campus hospital outpatient department or a physician office and that are billing for urgent care services.</w:t>
      </w:r>
    </w:p>
    <w:p w14:paraId="6C206D0C" w14:textId="77777777" w:rsidR="004D6F61" w:rsidRDefault="004D6F61" w:rsidP="004D6F61">
      <w:pPr>
        <w:rPr>
          <w:rFonts w:cstheme="minorHAnsi"/>
          <w:b/>
          <w:color w:val="0070C0"/>
        </w:rPr>
      </w:pPr>
    </w:p>
    <w:p w14:paraId="6CBAED8B" w14:textId="06B5162D" w:rsidR="004D6F61" w:rsidRPr="004D6F61" w:rsidRDefault="004D6F61" w:rsidP="004D6F61">
      <w:pPr>
        <w:jc w:val="center"/>
        <w:rPr>
          <w:rFonts w:cstheme="minorHAnsi"/>
          <w:b/>
          <w:color w:val="0070C0"/>
        </w:rPr>
      </w:pPr>
      <w:r w:rsidRPr="004D6F61">
        <w:rPr>
          <w:rFonts w:ascii="Calibri" w:eastAsia="Times New Roman" w:hAnsi="Calibri" w:cs="Calibri"/>
          <w:b/>
          <w:bCs/>
          <w:color w:val="000000"/>
          <w:u w:val="single"/>
        </w:rPr>
        <w:t>Comparison of Quincy Satellite and Community Hospital Licensed Outpatient Center NPSR per visit</w:t>
      </w:r>
    </w:p>
    <w:p w14:paraId="70945B53" w14:textId="77777777" w:rsidR="004D6F61" w:rsidRPr="004D6F61" w:rsidRDefault="004D6F61" w:rsidP="004D6F61">
      <w:pPr>
        <w:spacing w:after="0" w:line="240" w:lineRule="auto"/>
        <w:jc w:val="center"/>
        <w:rPr>
          <w:rFonts w:ascii="Calibri" w:eastAsia="Times New Roman" w:hAnsi="Calibri" w:cs="Calibri"/>
          <w:b/>
          <w:bCs/>
          <w:color w:val="000000"/>
        </w:rPr>
      </w:pPr>
    </w:p>
    <w:tbl>
      <w:tblPr>
        <w:tblW w:w="9175" w:type="dxa"/>
        <w:jc w:val="center"/>
        <w:tblLook w:val="04A0" w:firstRow="1" w:lastRow="0" w:firstColumn="1" w:lastColumn="0" w:noHBand="0" w:noVBand="1"/>
      </w:tblPr>
      <w:tblGrid>
        <w:gridCol w:w="2280"/>
        <w:gridCol w:w="1280"/>
        <w:gridCol w:w="1280"/>
        <w:gridCol w:w="1280"/>
        <w:gridCol w:w="1280"/>
        <w:gridCol w:w="1871"/>
      </w:tblGrid>
      <w:tr w:rsidR="002E2BB4" w:rsidRPr="002E2BB4" w14:paraId="177E71F8" w14:textId="77777777" w:rsidTr="004D6F61">
        <w:trPr>
          <w:trHeight w:val="600"/>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34019B2D" w14:textId="77777777" w:rsidR="002E2BB4" w:rsidRPr="002E2BB4" w:rsidRDefault="002E2BB4" w:rsidP="002E2BB4">
            <w:pPr>
              <w:spacing w:after="0" w:line="240" w:lineRule="auto"/>
              <w:rPr>
                <w:rFonts w:ascii="Calibri" w:eastAsia="Times New Roman" w:hAnsi="Calibri" w:cs="Calibri"/>
                <w:color w:val="000000"/>
              </w:rPr>
            </w:pPr>
          </w:p>
        </w:tc>
        <w:tc>
          <w:tcPr>
            <w:tcW w:w="1256" w:type="dxa"/>
            <w:tcBorders>
              <w:top w:val="single" w:sz="4" w:space="0" w:color="auto"/>
              <w:left w:val="nil"/>
              <w:bottom w:val="single" w:sz="4" w:space="0" w:color="auto"/>
              <w:right w:val="single" w:sz="4" w:space="0" w:color="auto"/>
            </w:tcBorders>
            <w:shd w:val="clear" w:color="000000" w:fill="DDEBF7"/>
            <w:vAlign w:val="bottom"/>
            <w:hideMark/>
          </w:tcPr>
          <w:p w14:paraId="3CAADFB2" w14:textId="77777777" w:rsidR="002E2BB4" w:rsidRPr="004D6F61" w:rsidRDefault="002E2BB4" w:rsidP="002E2BB4">
            <w:pPr>
              <w:spacing w:after="0" w:line="240" w:lineRule="auto"/>
              <w:jc w:val="center"/>
              <w:rPr>
                <w:rFonts w:ascii="Calibri" w:eastAsia="Times New Roman" w:hAnsi="Calibri" w:cs="Calibri"/>
                <w:b/>
                <w:bCs/>
                <w:color w:val="000000"/>
                <w:u w:val="single"/>
              </w:rPr>
            </w:pPr>
            <w:r w:rsidRPr="004D6F61">
              <w:rPr>
                <w:rFonts w:ascii="Calibri" w:eastAsia="Times New Roman" w:hAnsi="Calibri" w:cs="Calibri"/>
                <w:b/>
                <w:bCs/>
                <w:color w:val="000000"/>
                <w:u w:val="single"/>
              </w:rPr>
              <w:t>Community Site 1</w:t>
            </w:r>
          </w:p>
        </w:tc>
        <w:tc>
          <w:tcPr>
            <w:tcW w:w="1256" w:type="dxa"/>
            <w:tcBorders>
              <w:top w:val="single" w:sz="4" w:space="0" w:color="auto"/>
              <w:left w:val="nil"/>
              <w:bottom w:val="single" w:sz="4" w:space="0" w:color="auto"/>
              <w:right w:val="single" w:sz="4" w:space="0" w:color="auto"/>
            </w:tcBorders>
            <w:shd w:val="clear" w:color="000000" w:fill="DDEBF7"/>
            <w:vAlign w:val="bottom"/>
            <w:hideMark/>
          </w:tcPr>
          <w:p w14:paraId="02547B0C" w14:textId="77777777" w:rsidR="002E2BB4" w:rsidRPr="004D6F61" w:rsidRDefault="002E2BB4" w:rsidP="002E2BB4">
            <w:pPr>
              <w:spacing w:after="0" w:line="240" w:lineRule="auto"/>
              <w:jc w:val="center"/>
              <w:rPr>
                <w:rFonts w:ascii="Calibri" w:eastAsia="Times New Roman" w:hAnsi="Calibri" w:cs="Calibri"/>
                <w:b/>
                <w:bCs/>
                <w:color w:val="000000"/>
                <w:u w:val="single"/>
              </w:rPr>
            </w:pPr>
            <w:r w:rsidRPr="004D6F61">
              <w:rPr>
                <w:rFonts w:ascii="Calibri" w:eastAsia="Times New Roman" w:hAnsi="Calibri" w:cs="Calibri"/>
                <w:b/>
                <w:bCs/>
                <w:color w:val="000000"/>
                <w:u w:val="single"/>
              </w:rPr>
              <w:t>Community Site 2</w:t>
            </w:r>
          </w:p>
        </w:tc>
        <w:tc>
          <w:tcPr>
            <w:tcW w:w="1256" w:type="dxa"/>
            <w:tcBorders>
              <w:top w:val="single" w:sz="4" w:space="0" w:color="auto"/>
              <w:left w:val="nil"/>
              <w:bottom w:val="single" w:sz="4" w:space="0" w:color="auto"/>
              <w:right w:val="single" w:sz="4" w:space="0" w:color="auto"/>
            </w:tcBorders>
            <w:shd w:val="clear" w:color="000000" w:fill="DDEBF7"/>
            <w:vAlign w:val="bottom"/>
            <w:hideMark/>
          </w:tcPr>
          <w:p w14:paraId="7E01247E" w14:textId="77777777" w:rsidR="002E2BB4" w:rsidRPr="004D6F61" w:rsidRDefault="002E2BB4" w:rsidP="002E2BB4">
            <w:pPr>
              <w:spacing w:after="0" w:line="240" w:lineRule="auto"/>
              <w:jc w:val="center"/>
              <w:rPr>
                <w:rFonts w:ascii="Calibri" w:eastAsia="Times New Roman" w:hAnsi="Calibri" w:cs="Calibri"/>
                <w:b/>
                <w:bCs/>
                <w:color w:val="000000"/>
                <w:u w:val="single"/>
              </w:rPr>
            </w:pPr>
            <w:r w:rsidRPr="004D6F61">
              <w:rPr>
                <w:rFonts w:ascii="Calibri" w:eastAsia="Times New Roman" w:hAnsi="Calibri" w:cs="Calibri"/>
                <w:b/>
                <w:bCs/>
                <w:color w:val="000000"/>
                <w:u w:val="single"/>
              </w:rPr>
              <w:t>Community Site 3</w:t>
            </w:r>
          </w:p>
        </w:tc>
        <w:tc>
          <w:tcPr>
            <w:tcW w:w="1256" w:type="dxa"/>
            <w:tcBorders>
              <w:top w:val="single" w:sz="4" w:space="0" w:color="auto"/>
              <w:left w:val="nil"/>
              <w:bottom w:val="single" w:sz="4" w:space="0" w:color="auto"/>
              <w:right w:val="single" w:sz="4" w:space="0" w:color="auto"/>
            </w:tcBorders>
            <w:shd w:val="clear" w:color="000000" w:fill="DDEBF7"/>
            <w:vAlign w:val="bottom"/>
            <w:hideMark/>
          </w:tcPr>
          <w:p w14:paraId="0CE1EB44" w14:textId="77777777" w:rsidR="002E2BB4" w:rsidRPr="004D6F61" w:rsidRDefault="002E2BB4" w:rsidP="002E2BB4">
            <w:pPr>
              <w:spacing w:after="0" w:line="240" w:lineRule="auto"/>
              <w:jc w:val="center"/>
              <w:rPr>
                <w:rFonts w:ascii="Calibri" w:eastAsia="Times New Roman" w:hAnsi="Calibri" w:cs="Calibri"/>
                <w:b/>
                <w:bCs/>
                <w:color w:val="000000"/>
                <w:u w:val="single"/>
              </w:rPr>
            </w:pPr>
            <w:r w:rsidRPr="004D6F61">
              <w:rPr>
                <w:rFonts w:ascii="Calibri" w:eastAsia="Times New Roman" w:hAnsi="Calibri" w:cs="Calibri"/>
                <w:b/>
                <w:bCs/>
                <w:color w:val="000000"/>
                <w:u w:val="single"/>
              </w:rPr>
              <w:t>Community Site 4</w:t>
            </w:r>
          </w:p>
        </w:tc>
        <w:tc>
          <w:tcPr>
            <w:tcW w:w="1871" w:type="dxa"/>
            <w:tcBorders>
              <w:top w:val="single" w:sz="4" w:space="0" w:color="auto"/>
              <w:left w:val="nil"/>
              <w:bottom w:val="single" w:sz="4" w:space="0" w:color="auto"/>
              <w:right w:val="single" w:sz="4" w:space="0" w:color="auto"/>
            </w:tcBorders>
            <w:shd w:val="clear" w:color="auto" w:fill="F7CAAC" w:themeFill="accent2" w:themeFillTint="66"/>
            <w:vAlign w:val="bottom"/>
            <w:hideMark/>
          </w:tcPr>
          <w:p w14:paraId="520B5310" w14:textId="77777777" w:rsidR="002E2BB4" w:rsidRPr="004D6F61" w:rsidRDefault="002E2BB4" w:rsidP="002E2BB4">
            <w:pPr>
              <w:spacing w:after="0" w:line="240" w:lineRule="auto"/>
              <w:jc w:val="center"/>
              <w:rPr>
                <w:rFonts w:ascii="Calibri" w:eastAsia="Times New Roman" w:hAnsi="Calibri" w:cs="Calibri"/>
                <w:b/>
                <w:bCs/>
                <w:color w:val="000000"/>
                <w:u w:val="single"/>
              </w:rPr>
            </w:pPr>
            <w:r w:rsidRPr="004D6F61">
              <w:rPr>
                <w:rFonts w:ascii="Calibri" w:eastAsia="Times New Roman" w:hAnsi="Calibri" w:cs="Calibri"/>
                <w:b/>
                <w:bCs/>
                <w:color w:val="000000"/>
                <w:u w:val="single"/>
              </w:rPr>
              <w:t>New Satellite</w:t>
            </w:r>
          </w:p>
        </w:tc>
      </w:tr>
      <w:tr w:rsidR="002E2BB4" w:rsidRPr="002E2BB4" w14:paraId="134DDB97" w14:textId="77777777" w:rsidTr="004D6F61">
        <w:trPr>
          <w:trHeight w:val="290"/>
          <w:jc w:val="center"/>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8E6F2CF" w14:textId="61142FA3" w:rsidR="002E2BB4" w:rsidRPr="002E2BB4" w:rsidRDefault="004D6F61" w:rsidP="002E2BB4">
            <w:pPr>
              <w:spacing w:after="0" w:line="240" w:lineRule="auto"/>
              <w:rPr>
                <w:rFonts w:ascii="Calibri" w:eastAsia="Times New Roman" w:hAnsi="Calibri" w:cs="Calibri"/>
                <w:color w:val="000000"/>
              </w:rPr>
            </w:pPr>
            <w:r>
              <w:rPr>
                <w:rFonts w:ascii="Calibri" w:eastAsia="Times New Roman" w:hAnsi="Calibri" w:cs="Calibri"/>
                <w:color w:val="000000"/>
              </w:rPr>
              <w:t xml:space="preserve">NPSR per visit for </w:t>
            </w:r>
            <w:r w:rsidRPr="002E2BB4">
              <w:rPr>
                <w:rFonts w:ascii="Calibri" w:eastAsia="Times New Roman" w:hAnsi="Calibri" w:cs="Calibri"/>
                <w:color w:val="000000"/>
              </w:rPr>
              <w:t>Urgent Care</w:t>
            </w:r>
          </w:p>
        </w:tc>
        <w:tc>
          <w:tcPr>
            <w:tcW w:w="1256" w:type="dxa"/>
            <w:tcBorders>
              <w:top w:val="nil"/>
              <w:left w:val="nil"/>
              <w:bottom w:val="single" w:sz="4" w:space="0" w:color="auto"/>
              <w:right w:val="single" w:sz="4" w:space="0" w:color="auto"/>
            </w:tcBorders>
            <w:shd w:val="clear" w:color="auto" w:fill="auto"/>
            <w:noWrap/>
            <w:vAlign w:val="center"/>
            <w:hideMark/>
          </w:tcPr>
          <w:p w14:paraId="7EFDE67B" w14:textId="24D07A01" w:rsidR="002E2BB4" w:rsidRPr="002E2BB4" w:rsidRDefault="002E2BB4" w:rsidP="004D6F61">
            <w:pPr>
              <w:spacing w:after="0" w:line="240" w:lineRule="auto"/>
              <w:jc w:val="center"/>
              <w:rPr>
                <w:rFonts w:ascii="Calibri" w:eastAsia="Times New Roman" w:hAnsi="Calibri" w:cs="Calibri"/>
                <w:color w:val="000000"/>
              </w:rPr>
            </w:pPr>
            <w:r w:rsidRPr="002E2BB4">
              <w:rPr>
                <w:rFonts w:ascii="Calibri" w:eastAsia="Times New Roman" w:hAnsi="Calibri" w:cs="Calibri"/>
                <w:color w:val="000000"/>
              </w:rPr>
              <w:t>$     148.96</w:t>
            </w:r>
          </w:p>
        </w:tc>
        <w:tc>
          <w:tcPr>
            <w:tcW w:w="1256" w:type="dxa"/>
            <w:tcBorders>
              <w:top w:val="nil"/>
              <w:left w:val="nil"/>
              <w:bottom w:val="single" w:sz="4" w:space="0" w:color="auto"/>
              <w:right w:val="single" w:sz="4" w:space="0" w:color="auto"/>
            </w:tcBorders>
            <w:shd w:val="clear" w:color="auto" w:fill="auto"/>
            <w:noWrap/>
            <w:vAlign w:val="center"/>
            <w:hideMark/>
          </w:tcPr>
          <w:p w14:paraId="6D80037A" w14:textId="30C3D247" w:rsidR="002E2BB4" w:rsidRPr="002E2BB4" w:rsidRDefault="002E2BB4" w:rsidP="004D6F61">
            <w:pPr>
              <w:spacing w:after="0" w:line="240" w:lineRule="auto"/>
              <w:jc w:val="center"/>
              <w:rPr>
                <w:rFonts w:ascii="Calibri" w:eastAsia="Times New Roman" w:hAnsi="Calibri" w:cs="Calibri"/>
                <w:color w:val="000000"/>
              </w:rPr>
            </w:pPr>
            <w:r w:rsidRPr="002E2BB4">
              <w:rPr>
                <w:rFonts w:ascii="Calibri" w:eastAsia="Times New Roman" w:hAnsi="Calibri" w:cs="Calibri"/>
                <w:color w:val="000000"/>
              </w:rPr>
              <w:t>$     145.00</w:t>
            </w:r>
          </w:p>
        </w:tc>
        <w:tc>
          <w:tcPr>
            <w:tcW w:w="1256" w:type="dxa"/>
            <w:tcBorders>
              <w:top w:val="nil"/>
              <w:left w:val="nil"/>
              <w:bottom w:val="single" w:sz="4" w:space="0" w:color="auto"/>
              <w:right w:val="single" w:sz="4" w:space="0" w:color="auto"/>
            </w:tcBorders>
            <w:shd w:val="clear" w:color="auto" w:fill="auto"/>
            <w:noWrap/>
            <w:vAlign w:val="center"/>
            <w:hideMark/>
          </w:tcPr>
          <w:p w14:paraId="631256D4" w14:textId="74FA9214" w:rsidR="002E2BB4" w:rsidRPr="002E2BB4" w:rsidRDefault="002E2BB4" w:rsidP="004D6F61">
            <w:pPr>
              <w:spacing w:after="0" w:line="240" w:lineRule="auto"/>
              <w:jc w:val="center"/>
              <w:rPr>
                <w:rFonts w:ascii="Calibri" w:eastAsia="Times New Roman" w:hAnsi="Calibri" w:cs="Calibri"/>
                <w:color w:val="000000"/>
              </w:rPr>
            </w:pPr>
            <w:r w:rsidRPr="002E2BB4">
              <w:rPr>
                <w:rFonts w:ascii="Calibri" w:eastAsia="Times New Roman" w:hAnsi="Calibri" w:cs="Calibri"/>
                <w:color w:val="000000"/>
              </w:rPr>
              <w:t>$     142.00</w:t>
            </w:r>
          </w:p>
        </w:tc>
        <w:tc>
          <w:tcPr>
            <w:tcW w:w="1256" w:type="dxa"/>
            <w:tcBorders>
              <w:top w:val="nil"/>
              <w:left w:val="nil"/>
              <w:bottom w:val="single" w:sz="4" w:space="0" w:color="auto"/>
              <w:right w:val="single" w:sz="4" w:space="0" w:color="auto"/>
            </w:tcBorders>
            <w:shd w:val="clear" w:color="auto" w:fill="auto"/>
            <w:noWrap/>
            <w:vAlign w:val="center"/>
            <w:hideMark/>
          </w:tcPr>
          <w:p w14:paraId="5199F86D" w14:textId="125AE8D9" w:rsidR="002E2BB4" w:rsidRPr="002E2BB4" w:rsidRDefault="002E2BB4" w:rsidP="004D6F61">
            <w:pPr>
              <w:spacing w:after="0" w:line="240" w:lineRule="auto"/>
              <w:jc w:val="center"/>
              <w:rPr>
                <w:rFonts w:ascii="Calibri" w:eastAsia="Times New Roman" w:hAnsi="Calibri" w:cs="Calibri"/>
                <w:color w:val="000000"/>
              </w:rPr>
            </w:pPr>
            <w:r w:rsidRPr="002E2BB4">
              <w:rPr>
                <w:rFonts w:ascii="Calibri" w:eastAsia="Times New Roman" w:hAnsi="Calibri" w:cs="Calibri"/>
                <w:color w:val="000000"/>
              </w:rPr>
              <w:t>$     165.00</w:t>
            </w:r>
          </w:p>
        </w:tc>
        <w:tc>
          <w:tcPr>
            <w:tcW w:w="1871" w:type="dxa"/>
            <w:tcBorders>
              <w:top w:val="nil"/>
              <w:left w:val="nil"/>
              <w:bottom w:val="single" w:sz="4" w:space="0" w:color="auto"/>
              <w:right w:val="single" w:sz="4" w:space="0" w:color="auto"/>
            </w:tcBorders>
            <w:shd w:val="clear" w:color="auto" w:fill="F7CAAC" w:themeFill="accent2" w:themeFillTint="66"/>
            <w:noWrap/>
            <w:vAlign w:val="center"/>
            <w:hideMark/>
          </w:tcPr>
          <w:p w14:paraId="1ADC5FA4" w14:textId="4EB2118D" w:rsidR="002E2BB4" w:rsidRPr="002E2BB4" w:rsidRDefault="002E2BB4" w:rsidP="004D6F61">
            <w:pPr>
              <w:spacing w:after="0" w:line="240" w:lineRule="auto"/>
              <w:jc w:val="center"/>
              <w:rPr>
                <w:rFonts w:ascii="Calibri" w:eastAsia="Times New Roman" w:hAnsi="Calibri" w:cs="Calibri"/>
                <w:color w:val="000000"/>
              </w:rPr>
            </w:pPr>
            <w:r w:rsidRPr="002E2BB4">
              <w:rPr>
                <w:rFonts w:ascii="Calibri" w:eastAsia="Times New Roman" w:hAnsi="Calibri" w:cs="Calibri"/>
                <w:color w:val="000000"/>
              </w:rPr>
              <w:t>$     143.38</w:t>
            </w:r>
          </w:p>
        </w:tc>
      </w:tr>
      <w:tr w:rsidR="002E2BB4" w:rsidRPr="002E2BB4" w14:paraId="520022A2" w14:textId="77777777" w:rsidTr="004D6F61">
        <w:trPr>
          <w:trHeight w:val="290"/>
          <w:jc w:val="center"/>
        </w:trPr>
        <w:tc>
          <w:tcPr>
            <w:tcW w:w="2280" w:type="dxa"/>
            <w:tcBorders>
              <w:top w:val="nil"/>
              <w:left w:val="nil"/>
              <w:bottom w:val="nil"/>
              <w:right w:val="nil"/>
            </w:tcBorders>
            <w:shd w:val="clear" w:color="auto" w:fill="auto"/>
            <w:noWrap/>
            <w:vAlign w:val="bottom"/>
            <w:hideMark/>
          </w:tcPr>
          <w:p w14:paraId="2CEDEE7F" w14:textId="77777777" w:rsidR="002E2BB4" w:rsidRPr="002E2BB4" w:rsidRDefault="002E2BB4" w:rsidP="002E2BB4">
            <w:pPr>
              <w:spacing w:after="0" w:line="240" w:lineRule="auto"/>
              <w:rPr>
                <w:rFonts w:ascii="Calibri" w:eastAsia="Times New Roman" w:hAnsi="Calibri" w:cs="Calibri"/>
                <w:color w:val="000000"/>
              </w:rPr>
            </w:pPr>
          </w:p>
        </w:tc>
        <w:tc>
          <w:tcPr>
            <w:tcW w:w="1256" w:type="dxa"/>
            <w:tcBorders>
              <w:top w:val="nil"/>
              <w:left w:val="nil"/>
              <w:bottom w:val="nil"/>
              <w:right w:val="nil"/>
            </w:tcBorders>
            <w:shd w:val="clear" w:color="auto" w:fill="auto"/>
            <w:noWrap/>
            <w:vAlign w:val="bottom"/>
            <w:hideMark/>
          </w:tcPr>
          <w:p w14:paraId="3EE35248" w14:textId="77777777" w:rsidR="002E2BB4" w:rsidRPr="002E2BB4" w:rsidRDefault="002E2BB4" w:rsidP="002E2BB4">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1D86D52" w14:textId="77777777" w:rsidR="002E2BB4" w:rsidRPr="002E2BB4" w:rsidRDefault="002E2BB4" w:rsidP="002E2BB4">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6E6C279" w14:textId="77777777" w:rsidR="002E2BB4" w:rsidRPr="002E2BB4" w:rsidRDefault="002E2BB4" w:rsidP="002E2BB4">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DBF7412" w14:textId="77777777" w:rsidR="002E2BB4" w:rsidRPr="002E2BB4" w:rsidRDefault="002E2BB4" w:rsidP="002E2BB4">
            <w:pPr>
              <w:spacing w:after="0" w:line="240" w:lineRule="auto"/>
              <w:rPr>
                <w:rFonts w:ascii="Times New Roman" w:eastAsia="Times New Roman" w:hAnsi="Times New Roman" w:cs="Times New Roman"/>
                <w:sz w:val="20"/>
                <w:szCs w:val="20"/>
              </w:rPr>
            </w:pPr>
          </w:p>
        </w:tc>
        <w:tc>
          <w:tcPr>
            <w:tcW w:w="1871" w:type="dxa"/>
            <w:tcBorders>
              <w:top w:val="nil"/>
              <w:left w:val="nil"/>
              <w:bottom w:val="nil"/>
              <w:right w:val="nil"/>
            </w:tcBorders>
            <w:shd w:val="clear" w:color="auto" w:fill="auto"/>
            <w:noWrap/>
            <w:vAlign w:val="bottom"/>
            <w:hideMark/>
          </w:tcPr>
          <w:p w14:paraId="64D4C7C1" w14:textId="77777777" w:rsidR="002E2BB4" w:rsidRPr="002E2BB4" w:rsidRDefault="002E2BB4" w:rsidP="002E2BB4">
            <w:pPr>
              <w:spacing w:after="0" w:line="240" w:lineRule="auto"/>
              <w:rPr>
                <w:rFonts w:ascii="Times New Roman" w:eastAsia="Times New Roman" w:hAnsi="Times New Roman" w:cs="Times New Roman"/>
                <w:sz w:val="20"/>
                <w:szCs w:val="20"/>
              </w:rPr>
            </w:pPr>
          </w:p>
        </w:tc>
      </w:tr>
      <w:tr w:rsidR="002E2BB4" w:rsidRPr="002E2BB4" w14:paraId="575B9EA6" w14:textId="77777777" w:rsidTr="004D6F61">
        <w:trPr>
          <w:trHeight w:val="600"/>
          <w:jc w:val="center"/>
        </w:trPr>
        <w:tc>
          <w:tcPr>
            <w:tcW w:w="9175" w:type="dxa"/>
            <w:gridSpan w:val="6"/>
            <w:tcBorders>
              <w:top w:val="nil"/>
              <w:left w:val="nil"/>
              <w:bottom w:val="nil"/>
              <w:right w:val="nil"/>
            </w:tcBorders>
            <w:shd w:val="clear" w:color="auto" w:fill="auto"/>
            <w:vAlign w:val="bottom"/>
            <w:hideMark/>
          </w:tcPr>
          <w:p w14:paraId="6A3D93CA" w14:textId="1D14AB12" w:rsidR="002E2BB4" w:rsidRPr="002E2BB4" w:rsidRDefault="002E2BB4" w:rsidP="002E2BB4">
            <w:pPr>
              <w:spacing w:after="0" w:line="240" w:lineRule="auto"/>
              <w:rPr>
                <w:rFonts w:ascii="Calibri" w:eastAsia="Times New Roman" w:hAnsi="Calibri" w:cs="Calibri"/>
                <w:color w:val="000000"/>
              </w:rPr>
            </w:pPr>
          </w:p>
        </w:tc>
      </w:tr>
    </w:tbl>
    <w:p w14:paraId="6E77CE0A" w14:textId="087CE5EE" w:rsidR="00D86DD3" w:rsidRPr="00D86DD3" w:rsidRDefault="00D86DD3" w:rsidP="002E2BB4">
      <w:pPr>
        <w:tabs>
          <w:tab w:val="left" w:pos="1440"/>
        </w:tabs>
        <w:autoSpaceDE w:val="0"/>
        <w:autoSpaceDN w:val="0"/>
        <w:adjustRightInd w:val="0"/>
        <w:spacing w:after="0" w:line="240" w:lineRule="auto"/>
        <w:rPr>
          <w:rFonts w:cstheme="minorHAnsi"/>
          <w:sz w:val="24"/>
          <w:szCs w:val="24"/>
        </w:rPr>
      </w:pPr>
    </w:p>
    <w:p w14:paraId="193B7D85" w14:textId="31491DE7" w:rsidR="007932F5" w:rsidRPr="007932F5" w:rsidRDefault="007932F5" w:rsidP="0068635B">
      <w:pPr>
        <w:tabs>
          <w:tab w:val="left" w:pos="1440"/>
        </w:tabs>
        <w:autoSpaceDE w:val="0"/>
        <w:autoSpaceDN w:val="0"/>
        <w:adjustRightInd w:val="0"/>
        <w:spacing w:after="0" w:line="240" w:lineRule="auto"/>
        <w:contextualSpacing/>
        <w:rPr>
          <w:rFonts w:cstheme="minorHAnsi"/>
          <w:color w:val="FF0000"/>
          <w:sz w:val="24"/>
          <w:szCs w:val="24"/>
        </w:rPr>
      </w:pPr>
    </w:p>
    <w:sectPr w:rsidR="007932F5" w:rsidRPr="007932F5" w:rsidSect="00C938D8">
      <w:headerReference w:type="default" r:id="rId13"/>
      <w:footerReference w:type="even" r:id="rId14"/>
      <w:footerReference w:type="defaul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1EEF" w14:textId="77777777" w:rsidR="003E7F55" w:rsidRDefault="003E7F55" w:rsidP="00231103">
      <w:pPr>
        <w:spacing w:after="0" w:line="240" w:lineRule="auto"/>
      </w:pPr>
      <w:r>
        <w:separator/>
      </w:r>
    </w:p>
  </w:endnote>
  <w:endnote w:type="continuationSeparator" w:id="0">
    <w:p w14:paraId="0E37B97E" w14:textId="77777777" w:rsidR="003E7F55" w:rsidRDefault="003E7F55" w:rsidP="00231103">
      <w:pPr>
        <w:spacing w:after="0" w:line="240" w:lineRule="auto"/>
      </w:pPr>
      <w:r>
        <w:continuationSeparator/>
      </w:r>
    </w:p>
  </w:endnote>
  <w:endnote w:type="continuationNotice" w:id="1">
    <w:p w14:paraId="7C2D91F5" w14:textId="77777777" w:rsidR="003E7F55" w:rsidRDefault="003E7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05E" w14:textId="57459F9C" w:rsidR="00525D26" w:rsidRDefault="001A0DDE" w:rsidP="00515265">
    <w:pPr>
      <w:pStyle w:val="DocID"/>
    </w:pPr>
    <w:fldSimple w:instr="DOCPROPERTY DOCXDOCID DMS=IManage Format=&lt;&lt;NUM&gt;&gt;_&lt;&lt;VER&gt;&gt; \* MERGEFORMAT ">
      <w:r w:rsidR="00515265" w:rsidRPr="00515265">
        <w:t>149460224_4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1F87D0E" w:rsidR="00632AEC" w:rsidRDefault="00632AEC">
        <w:pPr>
          <w:pStyle w:val="Footer"/>
          <w:jc w:val="center"/>
        </w:pPr>
        <w:r>
          <w:fldChar w:fldCharType="begin"/>
        </w:r>
        <w:r>
          <w:instrText xml:space="preserve"> PAGE   \* MERGEFORMAT </w:instrText>
        </w:r>
        <w:r>
          <w:fldChar w:fldCharType="separate"/>
        </w:r>
        <w:r w:rsidR="002E2BB4">
          <w:rPr>
            <w:noProof/>
          </w:rPr>
          <w:t>1</w:t>
        </w:r>
        <w:r>
          <w:rPr>
            <w:noProof/>
          </w:rPr>
          <w:fldChar w:fldCharType="end"/>
        </w:r>
      </w:p>
    </w:sdtContent>
  </w:sdt>
  <w:p w14:paraId="6BBA7089" w14:textId="20EBDB96" w:rsidR="00632AEC" w:rsidRDefault="001A0DDE" w:rsidP="00515265">
    <w:pPr>
      <w:pStyle w:val="DocID"/>
    </w:pPr>
    <w:fldSimple w:instr="DOCPROPERTY DOCXDOCID DMS=IManage Format=&lt;&lt;NUM&gt;&gt;_&lt;&lt;VER&gt;&gt; \* MERGEFORMAT ">
      <w:r w:rsidR="00515265" w:rsidRPr="00515265">
        <w:t>149460224_4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11BD" w14:textId="79406C65" w:rsidR="00525D26" w:rsidRDefault="001A0DDE" w:rsidP="00515265">
    <w:pPr>
      <w:pStyle w:val="DocID"/>
    </w:pPr>
    <w:fldSimple w:instr="DOCPROPERTY DOCXDOCID DMS=IManage Format=&lt;&lt;NUM&gt;&gt;_&lt;&lt;VER&gt;&gt; \* MERGEFORMAT ">
      <w:r w:rsidR="00515265" w:rsidRPr="00515265">
        <w:t>149460224_4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A4D9" w14:textId="77777777" w:rsidR="003E7F55" w:rsidRDefault="003E7F55" w:rsidP="00231103">
      <w:pPr>
        <w:spacing w:after="0" w:line="240" w:lineRule="auto"/>
      </w:pPr>
      <w:r>
        <w:separator/>
      </w:r>
    </w:p>
  </w:footnote>
  <w:footnote w:type="continuationSeparator" w:id="0">
    <w:p w14:paraId="6D4C3243" w14:textId="77777777" w:rsidR="003E7F55" w:rsidRDefault="003E7F55" w:rsidP="00231103">
      <w:pPr>
        <w:spacing w:after="0" w:line="240" w:lineRule="auto"/>
      </w:pPr>
      <w:r>
        <w:continuationSeparator/>
      </w:r>
    </w:p>
  </w:footnote>
  <w:footnote w:type="continuationNotice" w:id="1">
    <w:p w14:paraId="3D6ECD9B" w14:textId="77777777" w:rsidR="003E7F55" w:rsidRDefault="003E7F55">
      <w:pPr>
        <w:spacing w:after="0" w:line="240" w:lineRule="auto"/>
      </w:pPr>
    </w:p>
  </w:footnote>
  <w:footnote w:id="2">
    <w:p w14:paraId="3FAFB412" w14:textId="77777777" w:rsidR="004D6F61" w:rsidRPr="004D6F61" w:rsidRDefault="004D6F61" w:rsidP="004D6F61">
      <w:pPr>
        <w:spacing w:after="0" w:line="240" w:lineRule="auto"/>
        <w:rPr>
          <w:rFonts w:eastAsia="Times New Roman" w:cstheme="minorHAnsi"/>
          <w:color w:val="000000" w:themeColor="text1"/>
          <w:sz w:val="16"/>
          <w:szCs w:val="16"/>
        </w:rPr>
      </w:pPr>
      <w:r w:rsidRPr="004D6F61">
        <w:rPr>
          <w:rStyle w:val="FootnoteReference"/>
          <w:rFonts w:cstheme="minorHAnsi"/>
          <w:color w:val="000000" w:themeColor="text1"/>
          <w:sz w:val="16"/>
          <w:szCs w:val="16"/>
        </w:rPr>
        <w:footnoteRef/>
      </w:r>
      <w:r w:rsidRPr="004D6F61">
        <w:rPr>
          <w:rFonts w:cstheme="minorHAnsi"/>
          <w:color w:val="000000" w:themeColor="text1"/>
          <w:sz w:val="16"/>
          <w:szCs w:val="16"/>
        </w:rPr>
        <w:t xml:space="preserve"> </w:t>
      </w:r>
      <w:r w:rsidRPr="004D6F61">
        <w:rPr>
          <w:rFonts w:eastAsia="Times New Roman" w:cstheme="minorHAnsi"/>
          <w:color w:val="000000" w:themeColor="text1"/>
          <w:sz w:val="16"/>
          <w:szCs w:val="16"/>
        </w:rPr>
        <w:t xml:space="preserve">Includes genders other than male/female, as well as patients for whom a gender is not specified, and whose gender varies across visits over the </w:t>
      </w:r>
      <w:proofErr w:type="gramStart"/>
      <w:r w:rsidRPr="004D6F61">
        <w:rPr>
          <w:rFonts w:eastAsia="Times New Roman" w:cstheme="minorHAnsi"/>
          <w:color w:val="000000" w:themeColor="text1"/>
          <w:sz w:val="16"/>
          <w:szCs w:val="16"/>
        </w:rPr>
        <w:t>time period</w:t>
      </w:r>
      <w:proofErr w:type="gramEnd"/>
      <w:r w:rsidRPr="004D6F61">
        <w:rPr>
          <w:rFonts w:eastAsia="Times New Roman" w:cstheme="minorHAnsi"/>
          <w:color w:val="000000" w:themeColor="text1"/>
          <w:sz w:val="16"/>
          <w:szCs w:val="16"/>
        </w:rPr>
        <w:t xml:space="preserve">. </w:t>
      </w:r>
    </w:p>
  </w:footnote>
  <w:footnote w:id="3">
    <w:p w14:paraId="529BF7DF" w14:textId="77777777" w:rsidR="004D6F61" w:rsidRPr="004D6F61" w:rsidRDefault="004D6F61" w:rsidP="004D6F61">
      <w:pPr>
        <w:spacing w:after="0" w:line="240" w:lineRule="auto"/>
        <w:rPr>
          <w:rFonts w:eastAsia="Times New Roman" w:cstheme="minorHAnsi"/>
          <w:color w:val="000000" w:themeColor="text1"/>
          <w:sz w:val="16"/>
          <w:szCs w:val="16"/>
        </w:rPr>
      </w:pPr>
      <w:r w:rsidRPr="004D6F61">
        <w:rPr>
          <w:rStyle w:val="FootnoteReference"/>
          <w:rFonts w:cstheme="minorHAnsi"/>
          <w:color w:val="000000" w:themeColor="text1"/>
          <w:sz w:val="16"/>
          <w:szCs w:val="16"/>
        </w:rPr>
        <w:footnoteRef/>
      </w:r>
      <w:r w:rsidRPr="004D6F61">
        <w:rPr>
          <w:rFonts w:cstheme="minorHAnsi"/>
          <w:color w:val="000000" w:themeColor="text1"/>
          <w:sz w:val="16"/>
          <w:szCs w:val="16"/>
        </w:rPr>
        <w:t xml:space="preserve"> </w:t>
      </w:r>
      <w:r w:rsidRPr="004D6F61">
        <w:rPr>
          <w:rFonts w:eastAsia="Times New Roman" w:cstheme="minorHAnsi"/>
          <w:color w:val="000000" w:themeColor="text1"/>
          <w:sz w:val="16"/>
          <w:szCs w:val="16"/>
        </w:rPr>
        <w:t>Includes self-pay, health safety net, and liability coverage other than worker’s compensation for an injury event.</w:t>
      </w:r>
    </w:p>
  </w:footnote>
  <w:footnote w:id="4">
    <w:p w14:paraId="173A9E5C" w14:textId="505EFF87" w:rsidR="004D6F61" w:rsidRPr="004D6F61" w:rsidRDefault="004D6F61" w:rsidP="004D6F61">
      <w:pPr>
        <w:pStyle w:val="FootnoteText"/>
        <w:rPr>
          <w:rFonts w:cstheme="minorHAnsi"/>
          <w:color w:val="000000" w:themeColor="text1"/>
          <w:sz w:val="16"/>
          <w:szCs w:val="16"/>
        </w:rPr>
      </w:pPr>
      <w:r w:rsidRPr="004D6F61">
        <w:rPr>
          <w:rStyle w:val="FootnoteReference"/>
          <w:rFonts w:cstheme="minorHAnsi"/>
          <w:color w:val="000000" w:themeColor="text1"/>
          <w:sz w:val="16"/>
          <w:szCs w:val="16"/>
        </w:rPr>
        <w:footnoteRef/>
      </w:r>
      <w:r w:rsidRPr="004D6F61">
        <w:rPr>
          <w:rFonts w:cstheme="minorHAnsi"/>
          <w:color w:val="000000" w:themeColor="text1"/>
          <w:sz w:val="16"/>
          <w:szCs w:val="16"/>
        </w:rPr>
        <w:t xml:space="preserve"> National Cancer Institute</w:t>
      </w:r>
      <w:r w:rsidRPr="00DB579D">
        <w:rPr>
          <w:rFonts w:cstheme="minorHAnsi"/>
          <w:sz w:val="16"/>
          <w:szCs w:val="16"/>
        </w:rPr>
        <w:t xml:space="preserve">, </w:t>
      </w:r>
      <w:hyperlink r:id="rId1" w:anchor=":~:text=According%20to%20the%20most%20recent,diagnosed%20in%20this%20age%20group" w:history="1">
        <w:r w:rsidRPr="00DB579D">
          <w:rPr>
            <w:rStyle w:val="Hyperlink"/>
            <w:rFonts w:cstheme="minorHAnsi"/>
            <w:i/>
            <w:iCs/>
            <w:color w:val="auto"/>
            <w:sz w:val="16"/>
            <w:szCs w:val="16"/>
            <w:u w:val="none"/>
          </w:rPr>
          <w:t>Age and cancer risk</w:t>
        </w:r>
      </w:hyperlink>
      <w:r w:rsidRPr="00DB579D">
        <w:rPr>
          <w:rFonts w:cstheme="minorHAnsi"/>
          <w:sz w:val="16"/>
          <w:szCs w:val="16"/>
        </w:rPr>
        <w:t xml:space="preserve"> (March 5, 2021), </w:t>
      </w:r>
      <w:hyperlink r:id="rId2" w:history="1">
        <w:r w:rsidR="006C5988" w:rsidRPr="00DB579D">
          <w:rPr>
            <w:rStyle w:val="Hyperlink"/>
            <w:rFonts w:cstheme="minorHAnsi"/>
            <w:bCs/>
            <w:color w:val="auto"/>
            <w:sz w:val="16"/>
            <w:szCs w:val="16"/>
            <w:u w:val="none"/>
          </w:rPr>
          <w:t>https://www.cancer.gov/about-cancer/causes-prevention/risk/age#:~:text=According%20to%20the%20most%20recent,diagnosed%20in%20this%20age%20group</w:t>
        </w:r>
      </w:hyperlink>
      <w:r w:rsidR="006C5988" w:rsidRPr="00DB579D">
        <w:rPr>
          <w:rFonts w:cstheme="minorHAnsi"/>
          <w:bCs/>
          <w:sz w:val="16"/>
          <w:szCs w:val="16"/>
        </w:rPr>
        <w:t xml:space="preserve"> </w:t>
      </w:r>
      <w:r w:rsidRPr="00DB579D">
        <w:rPr>
          <w:rFonts w:cstheme="minorHAnsi"/>
          <w:bCs/>
          <w:sz w:val="16"/>
          <w:szCs w:val="16"/>
        </w:rPr>
        <w:t xml:space="preserve">; </w:t>
      </w:r>
      <w:r w:rsidRPr="00DB579D">
        <w:rPr>
          <w:sz w:val="16"/>
          <w:szCs w:val="16"/>
        </w:rPr>
        <w:t>Andrei V. Gudkov, PhD,</w:t>
      </w:r>
      <w:r w:rsidRPr="00DB579D">
        <w:rPr>
          <w:i/>
          <w:iCs/>
          <w:sz w:val="16"/>
          <w:szCs w:val="16"/>
        </w:rPr>
        <w:t xml:space="preserve"> </w:t>
      </w:r>
      <w:hyperlink r:id="rId3" w:anchor=":~:text=Unfortunately%2C%20yes.,for%20recruiting%20cancer%2Dinitiating%20cells" w:history="1">
        <w:r w:rsidRPr="00DB579D">
          <w:rPr>
            <w:rStyle w:val="Hyperlink"/>
            <w:i/>
            <w:iCs/>
            <w:color w:val="auto"/>
            <w:sz w:val="16"/>
            <w:szCs w:val="16"/>
            <w:u w:val="none"/>
          </w:rPr>
          <w:t>Does cancer risk increase with age?</w:t>
        </w:r>
        <w:r w:rsidRPr="00DB579D">
          <w:rPr>
            <w:rStyle w:val="Hyperlink"/>
            <w:color w:val="auto"/>
            <w:sz w:val="16"/>
            <w:szCs w:val="16"/>
            <w:u w:val="none"/>
          </w:rPr>
          <w:t xml:space="preserve">, </w:t>
        </w:r>
      </w:hyperlink>
      <w:r w:rsidRPr="00DB579D">
        <w:rPr>
          <w:sz w:val="16"/>
          <w:szCs w:val="16"/>
        </w:rPr>
        <w:t xml:space="preserve"> Roswell Park Comprehensive Cancer Center, (June 25, 2020), </w:t>
      </w:r>
      <w:hyperlink r:id="rId4" w:history="1">
        <w:r w:rsidR="00DB579D" w:rsidRPr="00DB579D">
          <w:rPr>
            <w:rStyle w:val="Hyperlink"/>
            <w:color w:val="auto"/>
            <w:sz w:val="16"/>
            <w:szCs w:val="16"/>
            <w:u w:val="none"/>
          </w:rPr>
          <w:t>https://www.roswellpark.org/cancertalk/202006/does-cancer-risk-increase-age#:~:text=Unfortunately%2C%20yes.,for%20recruiting%20cancer%2Dinitiating%20cells</w:t>
        </w:r>
      </w:hyperlink>
      <w:r w:rsidR="00DB579D" w:rsidRPr="00DB579D">
        <w:rPr>
          <w:sz w:val="16"/>
          <w:szCs w:val="16"/>
        </w:rPr>
        <w:t xml:space="preserve"> </w:t>
      </w:r>
      <w:r w:rsidRPr="00DB579D">
        <w:rPr>
          <w:sz w:val="16"/>
          <w:szCs w:val="16"/>
        </w:rPr>
        <w:t xml:space="preserve">. </w:t>
      </w:r>
    </w:p>
  </w:footnote>
  <w:footnote w:id="5">
    <w:p w14:paraId="27BC9457" w14:textId="77777777" w:rsidR="004D6F61" w:rsidRPr="004D6F61" w:rsidRDefault="004D6F61" w:rsidP="004D6F61">
      <w:pPr>
        <w:pStyle w:val="FootnoteText"/>
        <w:rPr>
          <w:rFonts w:cstheme="minorHAnsi"/>
          <w:color w:val="000000" w:themeColor="text1"/>
          <w:sz w:val="16"/>
          <w:szCs w:val="16"/>
        </w:rPr>
      </w:pPr>
      <w:r w:rsidRPr="004D6F61">
        <w:rPr>
          <w:rStyle w:val="FootnoteReference"/>
          <w:rFonts w:cstheme="minorHAnsi"/>
          <w:color w:val="000000" w:themeColor="text1"/>
          <w:sz w:val="16"/>
          <w:szCs w:val="16"/>
        </w:rPr>
        <w:footnoteRef/>
      </w:r>
      <w:r w:rsidRPr="004D6F61">
        <w:rPr>
          <w:rFonts w:cstheme="minorHAnsi"/>
          <w:color w:val="000000" w:themeColor="text1"/>
          <w:sz w:val="16"/>
          <w:szCs w:val="16"/>
        </w:rPr>
        <w:t xml:space="preserve"> </w:t>
      </w:r>
      <w:r w:rsidRPr="004D6F61">
        <w:rPr>
          <w:rFonts w:eastAsia="Times New Roman" w:cstheme="minorHAnsi"/>
          <w:color w:val="000000" w:themeColor="text1"/>
          <w:sz w:val="16"/>
          <w:szCs w:val="16"/>
        </w:rPr>
        <w:t>Decisions to recruit new providers (</w:t>
      </w:r>
      <w:r w:rsidRPr="004D6F61">
        <w:rPr>
          <w:rFonts w:eastAsia="Times New Roman" w:cstheme="minorHAnsi"/>
          <w:i/>
          <w:iCs/>
          <w:color w:val="000000" w:themeColor="text1"/>
          <w:sz w:val="16"/>
          <w:szCs w:val="16"/>
        </w:rPr>
        <w:t>e.g.</w:t>
      </w:r>
      <w:r w:rsidRPr="004D6F61">
        <w:rPr>
          <w:rFonts w:eastAsia="Times New Roman" w:cstheme="minorHAnsi"/>
          <w:color w:val="000000" w:themeColor="text1"/>
          <w:sz w:val="16"/>
          <w:szCs w:val="16"/>
        </w:rPr>
        <w:t>, physicians, PAs and NPs) or transition/rotate existing specialty providers are still under development. Additionally, over 100 physicians who provide rotating shift coverage for the current Quincy urgent care center will transition and continue to provide rotating shift coverage at the new Quincy Satellite and are not included in the above count. Lastly, the Applicant anticipates that the Quincy Satellite will serve as a destination site for services including imaging, infusion, lab and pharmacy which comprise 44% of new hires.</w:t>
      </w:r>
    </w:p>
  </w:footnote>
  <w:footnote w:id="6">
    <w:p w14:paraId="651B4336" w14:textId="2C9FA596" w:rsidR="004D6F61" w:rsidRPr="00FF7FDE" w:rsidRDefault="004D6F61" w:rsidP="004D6F61">
      <w:pPr>
        <w:pStyle w:val="paragraph"/>
        <w:spacing w:before="0" w:beforeAutospacing="0" w:after="0" w:afterAutospacing="0"/>
        <w:textAlignment w:val="baseline"/>
        <w:rPr>
          <w:rFonts w:asciiTheme="minorHAnsi" w:hAnsiTheme="minorHAnsi" w:cstheme="minorHAnsi"/>
          <w:sz w:val="16"/>
          <w:szCs w:val="16"/>
        </w:rPr>
      </w:pPr>
      <w:r w:rsidRPr="004D6F61">
        <w:rPr>
          <w:rStyle w:val="FootnoteReference"/>
          <w:rFonts w:asciiTheme="minorHAnsi" w:hAnsiTheme="minorHAnsi" w:cstheme="minorHAnsi"/>
          <w:color w:val="000000" w:themeColor="text1"/>
          <w:sz w:val="16"/>
          <w:szCs w:val="16"/>
        </w:rPr>
        <w:footnoteRef/>
      </w:r>
      <w:r w:rsidRPr="004D6F61">
        <w:rPr>
          <w:rFonts w:asciiTheme="minorHAnsi" w:hAnsiTheme="minorHAnsi" w:cstheme="minorHAnsi"/>
          <w:color w:val="000000" w:themeColor="text1"/>
          <w:sz w:val="16"/>
          <w:szCs w:val="16"/>
        </w:rPr>
        <w:t xml:space="preserve"> </w:t>
      </w:r>
      <w:r w:rsidRPr="004D6F61">
        <w:rPr>
          <w:rStyle w:val="normaltextrun"/>
          <w:rFonts w:asciiTheme="minorHAnsi" w:hAnsiTheme="minorHAnsi" w:cstheme="minorHAnsi"/>
          <w:color w:val="000000" w:themeColor="text1"/>
          <w:sz w:val="16"/>
          <w:szCs w:val="16"/>
        </w:rPr>
        <w:t xml:space="preserve">Stephanie P. </w:t>
      </w:r>
      <w:r w:rsidRPr="00FF7FDE">
        <w:rPr>
          <w:rStyle w:val="normaltextrun"/>
          <w:rFonts w:asciiTheme="minorHAnsi" w:hAnsiTheme="minorHAnsi" w:cstheme="minorHAnsi"/>
          <w:sz w:val="16"/>
          <w:szCs w:val="16"/>
        </w:rPr>
        <w:t xml:space="preserve">Hales, </w:t>
      </w:r>
      <w:hyperlink r:id="rId5" w:history="1">
        <w:r w:rsidRPr="00FF7FDE">
          <w:rPr>
            <w:rStyle w:val="Hyperlink"/>
            <w:rFonts w:asciiTheme="minorHAnsi" w:hAnsiTheme="minorHAnsi" w:cstheme="minorHAnsi"/>
            <w:color w:val="auto"/>
            <w:sz w:val="16"/>
            <w:szCs w:val="16"/>
            <w:u w:val="none"/>
          </w:rPr>
          <w:t>The Role of Appropriate Access to Care in Reducing Health System Costs</w:t>
        </w:r>
      </w:hyperlink>
      <w:r w:rsidRPr="00FF7FDE">
        <w:rPr>
          <w:rStyle w:val="normaltextrun"/>
          <w:rFonts w:asciiTheme="minorHAnsi" w:hAnsiTheme="minorHAnsi" w:cstheme="minorHAnsi"/>
          <w:sz w:val="16"/>
          <w:szCs w:val="16"/>
        </w:rPr>
        <w:t xml:space="preserve">, </w:t>
      </w:r>
      <w:r w:rsidRPr="00FF7FDE">
        <w:rPr>
          <w:rStyle w:val="normaltextrun"/>
          <w:rFonts w:asciiTheme="minorHAnsi" w:hAnsiTheme="minorHAnsi" w:cstheme="minorHAnsi"/>
          <w:smallCaps/>
          <w:sz w:val="16"/>
          <w:szCs w:val="16"/>
        </w:rPr>
        <w:t>The Regulatory Rev.</w:t>
      </w:r>
      <w:r w:rsidRPr="00FF7FDE">
        <w:rPr>
          <w:rStyle w:val="normaltextrun"/>
          <w:rFonts w:asciiTheme="minorHAnsi" w:hAnsiTheme="minorHAnsi" w:cstheme="minorHAnsi"/>
          <w:sz w:val="16"/>
          <w:szCs w:val="16"/>
        </w:rPr>
        <w:t xml:space="preserve">  (May 13, 2019</w:t>
      </w:r>
      <w:r w:rsidRPr="00FF7FDE">
        <w:rPr>
          <w:rStyle w:val="eop"/>
          <w:rFonts w:asciiTheme="minorHAnsi" w:hAnsiTheme="minorHAnsi" w:cstheme="minorHAnsi"/>
          <w:sz w:val="16"/>
          <w:szCs w:val="16"/>
        </w:rPr>
        <w:t xml:space="preserve">), </w:t>
      </w:r>
      <w:hyperlink r:id="rId6" w:history="1">
        <w:r w:rsidR="00FF7FDE" w:rsidRPr="00FF7FDE">
          <w:rPr>
            <w:rStyle w:val="Hyperlink"/>
            <w:rFonts w:asciiTheme="minorHAnsi" w:hAnsiTheme="minorHAnsi" w:cstheme="minorHAnsi"/>
            <w:color w:val="auto"/>
            <w:sz w:val="16"/>
            <w:szCs w:val="16"/>
            <w:u w:val="none"/>
          </w:rPr>
          <w:t>https://www.theregreview.org/2019/05/13/hales-appropriate-access-care-reducing-health-costs/</w:t>
        </w:r>
      </w:hyperlink>
      <w:r w:rsidR="00FF7FDE" w:rsidRPr="00FF7FDE">
        <w:rPr>
          <w:rStyle w:val="normaltextrun"/>
          <w:rFonts w:asciiTheme="minorHAnsi" w:hAnsiTheme="minorHAnsi" w:cstheme="minorHAnsi"/>
          <w:sz w:val="16"/>
          <w:szCs w:val="16"/>
        </w:rPr>
        <w:t xml:space="preserve"> </w:t>
      </w:r>
      <w:r w:rsidRPr="00FF7FDE">
        <w:rPr>
          <w:rStyle w:val="normaltextrun"/>
          <w:rFonts w:asciiTheme="minorHAnsi" w:hAnsiTheme="minorHAnsi" w:cstheme="minorHAnsi"/>
          <w:sz w:val="16"/>
          <w:szCs w:val="16"/>
        </w:rPr>
        <w:t>.</w:t>
      </w:r>
    </w:p>
  </w:footnote>
  <w:footnote w:id="7">
    <w:p w14:paraId="7654CA9B" w14:textId="70058F4E" w:rsidR="004D6F61" w:rsidRPr="00FF7FDE" w:rsidRDefault="004D6F61" w:rsidP="004D6F61">
      <w:pPr>
        <w:pStyle w:val="paragraph"/>
        <w:spacing w:before="0" w:beforeAutospacing="0" w:after="0" w:afterAutospacing="0"/>
        <w:textAlignment w:val="baseline"/>
        <w:rPr>
          <w:rFonts w:asciiTheme="minorHAnsi" w:hAnsiTheme="minorHAnsi" w:cstheme="minorHAnsi"/>
          <w:sz w:val="16"/>
          <w:szCs w:val="16"/>
        </w:rPr>
      </w:pPr>
      <w:r w:rsidRPr="00FF7FDE">
        <w:rPr>
          <w:rStyle w:val="FootnoteReference"/>
          <w:rFonts w:asciiTheme="minorHAnsi" w:hAnsiTheme="minorHAnsi" w:cstheme="minorHAnsi"/>
          <w:sz w:val="16"/>
          <w:szCs w:val="16"/>
        </w:rPr>
        <w:footnoteRef/>
      </w:r>
      <w:r w:rsidRPr="00FF7FDE">
        <w:rPr>
          <w:rFonts w:asciiTheme="minorHAnsi" w:hAnsiTheme="minorHAnsi" w:cstheme="minorHAnsi"/>
          <w:sz w:val="16"/>
          <w:szCs w:val="16"/>
        </w:rPr>
        <w:t xml:space="preserve"> </w:t>
      </w:r>
      <w:r w:rsidRPr="00FF7FDE">
        <w:rPr>
          <w:rStyle w:val="normaltextrun"/>
          <w:rFonts w:asciiTheme="minorHAnsi" w:hAnsiTheme="minorHAnsi" w:cstheme="minorHAnsi"/>
          <w:sz w:val="16"/>
          <w:szCs w:val="16"/>
        </w:rPr>
        <w:t>Helen Blumen, MD, et al., C</w:t>
      </w:r>
      <w:r w:rsidRPr="00FF7FDE">
        <w:rPr>
          <w:rStyle w:val="normaltextrun"/>
          <w:rFonts w:asciiTheme="minorHAnsi" w:hAnsiTheme="minorHAnsi" w:cstheme="minorHAnsi"/>
          <w:i/>
          <w:iCs/>
          <w:sz w:val="16"/>
          <w:szCs w:val="16"/>
        </w:rPr>
        <w:t>omparison of Treatment Costs for Breast Cancer by Tumor Stage and Type of Service</w:t>
      </w:r>
      <w:r w:rsidRPr="00FF7FDE">
        <w:rPr>
          <w:rStyle w:val="normaltextrun"/>
          <w:rFonts w:asciiTheme="minorHAnsi" w:hAnsiTheme="minorHAnsi" w:cstheme="minorHAnsi"/>
          <w:sz w:val="16"/>
          <w:szCs w:val="16"/>
        </w:rPr>
        <w:t xml:space="preserve">. 9Am. </w:t>
      </w:r>
      <w:r w:rsidRPr="00FF7FDE">
        <w:rPr>
          <w:rStyle w:val="normaltextrun"/>
          <w:rFonts w:asciiTheme="minorHAnsi" w:hAnsiTheme="minorHAnsi" w:cstheme="minorHAnsi"/>
          <w:smallCaps/>
          <w:sz w:val="16"/>
          <w:szCs w:val="16"/>
        </w:rPr>
        <w:t xml:space="preserve">Health Drug Benefits </w:t>
      </w:r>
      <w:r w:rsidRPr="00FF7FDE">
        <w:rPr>
          <w:rStyle w:val="normaltextrun"/>
          <w:rFonts w:asciiTheme="minorHAnsi" w:hAnsiTheme="minorHAnsi" w:cstheme="minorHAnsi"/>
          <w:sz w:val="16"/>
          <w:szCs w:val="16"/>
        </w:rPr>
        <w:t>23, 23-32 (2016).</w:t>
      </w:r>
      <w:r w:rsidRPr="00FF7FDE">
        <w:rPr>
          <w:rStyle w:val="eop"/>
          <w:rFonts w:asciiTheme="minorHAnsi" w:hAnsiTheme="minorHAnsi" w:cstheme="minorHAnsi"/>
          <w:sz w:val="16"/>
          <w:szCs w:val="16"/>
        </w:rPr>
        <w:t> </w:t>
      </w:r>
    </w:p>
  </w:footnote>
  <w:footnote w:id="8">
    <w:p w14:paraId="69C64910" w14:textId="3069CD58" w:rsidR="004D6F61" w:rsidRPr="00FF7FDE" w:rsidRDefault="004D6F61" w:rsidP="004D6F61">
      <w:pPr>
        <w:pStyle w:val="paragraph"/>
        <w:spacing w:before="0" w:beforeAutospacing="0" w:after="0" w:afterAutospacing="0"/>
        <w:textAlignment w:val="baseline"/>
        <w:rPr>
          <w:rFonts w:asciiTheme="minorHAnsi" w:hAnsiTheme="minorHAnsi" w:cstheme="minorHAnsi"/>
          <w:sz w:val="16"/>
          <w:szCs w:val="16"/>
        </w:rPr>
      </w:pPr>
      <w:r w:rsidRPr="00FF7FDE">
        <w:rPr>
          <w:rStyle w:val="FootnoteReference"/>
          <w:rFonts w:asciiTheme="minorHAnsi" w:hAnsiTheme="minorHAnsi" w:cstheme="minorHAnsi"/>
          <w:sz w:val="16"/>
          <w:szCs w:val="16"/>
        </w:rPr>
        <w:footnoteRef/>
      </w:r>
      <w:r w:rsidRPr="00FF7FDE">
        <w:rPr>
          <w:rFonts w:asciiTheme="minorHAnsi" w:hAnsiTheme="minorHAnsi" w:cstheme="minorHAnsi"/>
          <w:sz w:val="16"/>
          <w:szCs w:val="16"/>
        </w:rPr>
        <w:t xml:space="preserve"> </w:t>
      </w:r>
      <w:r w:rsidRPr="00FF7FDE">
        <w:rPr>
          <w:rStyle w:val="normaltextrun"/>
          <w:rFonts w:asciiTheme="minorHAnsi" w:hAnsiTheme="minorHAnsi" w:cstheme="minorHAnsi"/>
          <w:sz w:val="16"/>
          <w:szCs w:val="16"/>
        </w:rPr>
        <w:t xml:space="preserve">Sumathi Reddy, </w:t>
      </w:r>
      <w:hyperlink r:id="rId7" w:history="1">
        <w:r w:rsidRPr="00FF7FDE">
          <w:rPr>
            <w:rStyle w:val="Hyperlink"/>
            <w:rFonts w:asciiTheme="minorHAnsi" w:hAnsiTheme="minorHAnsi" w:cstheme="minorHAnsi"/>
            <w:i/>
            <w:iCs/>
            <w:color w:val="auto"/>
            <w:sz w:val="16"/>
            <w:szCs w:val="16"/>
            <w:u w:val="none"/>
          </w:rPr>
          <w:t>The consequences of skipping medical appointments during the Covid pandemic</w:t>
        </w:r>
      </w:hyperlink>
      <w:r w:rsidRPr="00FF7FDE">
        <w:rPr>
          <w:rStyle w:val="normaltextrun"/>
          <w:rFonts w:asciiTheme="minorHAnsi" w:hAnsiTheme="minorHAnsi" w:cstheme="minorHAnsi"/>
          <w:sz w:val="16"/>
          <w:szCs w:val="16"/>
        </w:rPr>
        <w:t xml:space="preserve">, </w:t>
      </w:r>
      <w:r w:rsidRPr="00FF7FDE">
        <w:rPr>
          <w:rStyle w:val="normaltextrun"/>
          <w:rFonts w:asciiTheme="minorHAnsi" w:hAnsiTheme="minorHAnsi" w:cstheme="minorHAnsi"/>
          <w:smallCaps/>
          <w:sz w:val="16"/>
          <w:szCs w:val="16"/>
        </w:rPr>
        <w:t>Wall Street Journal,</w:t>
      </w:r>
      <w:r w:rsidRPr="00FF7FDE">
        <w:rPr>
          <w:rStyle w:val="normaltextrun"/>
          <w:rFonts w:asciiTheme="minorHAnsi" w:hAnsiTheme="minorHAnsi" w:cstheme="minorHAnsi"/>
          <w:sz w:val="16"/>
          <w:szCs w:val="16"/>
        </w:rPr>
        <w:t xml:space="preserve"> (May 3, 2021)</w:t>
      </w:r>
      <w:r w:rsidRPr="00FF7FDE">
        <w:rPr>
          <w:rStyle w:val="eop"/>
          <w:rFonts w:asciiTheme="minorHAnsi" w:hAnsiTheme="minorHAnsi" w:cstheme="minorHAnsi"/>
          <w:sz w:val="16"/>
          <w:szCs w:val="16"/>
        </w:rPr>
        <w:t xml:space="preserve">, </w:t>
      </w:r>
      <w:hyperlink r:id="rId8" w:history="1">
        <w:r w:rsidR="00FF7FDE" w:rsidRPr="00FF7FDE">
          <w:rPr>
            <w:rStyle w:val="Hyperlink"/>
            <w:rFonts w:asciiTheme="minorHAnsi" w:hAnsiTheme="minorHAnsi" w:cstheme="minorHAnsi"/>
            <w:color w:val="auto"/>
            <w:sz w:val="16"/>
            <w:szCs w:val="16"/>
            <w:u w:val="none"/>
          </w:rPr>
          <w:t>https://www.wsj.com/articles/the-consequences-of-skipping-doctor-appointments-during-the-covid-pandemic-11620067142</w:t>
        </w:r>
      </w:hyperlink>
      <w:r w:rsidR="00FF7FDE" w:rsidRPr="00FF7FDE">
        <w:rPr>
          <w:rFonts w:asciiTheme="minorHAnsi" w:hAnsiTheme="minorHAnsi" w:cstheme="minorHAnsi"/>
          <w:sz w:val="16"/>
          <w:szCs w:val="16"/>
        </w:rPr>
        <w:t xml:space="preserve"> </w:t>
      </w:r>
      <w:r w:rsidRPr="00FF7FDE">
        <w:rPr>
          <w:rStyle w:val="normaltextrun"/>
          <w:rFonts w:asciiTheme="minorHAnsi" w:hAnsiTheme="minorHAnsi" w:cstheme="minorHAnsi"/>
          <w:sz w:val="16"/>
          <w:szCs w:val="16"/>
        </w:rPr>
        <w:t>.</w:t>
      </w:r>
    </w:p>
  </w:footnote>
  <w:footnote w:id="9">
    <w:p w14:paraId="4CFAD5D4" w14:textId="01F7601C" w:rsidR="004D6F61" w:rsidRPr="00FF7FDE" w:rsidRDefault="004D6F61" w:rsidP="004D6F61">
      <w:pPr>
        <w:pStyle w:val="paragraph"/>
        <w:spacing w:before="0" w:beforeAutospacing="0" w:after="0" w:afterAutospacing="0"/>
        <w:textAlignment w:val="baseline"/>
        <w:rPr>
          <w:rFonts w:asciiTheme="minorHAnsi" w:hAnsiTheme="minorHAnsi" w:cstheme="minorHAnsi"/>
          <w:sz w:val="16"/>
          <w:szCs w:val="16"/>
        </w:rPr>
      </w:pPr>
      <w:r w:rsidRPr="00FF7FDE">
        <w:rPr>
          <w:rStyle w:val="FootnoteReference"/>
          <w:rFonts w:asciiTheme="minorHAnsi" w:hAnsiTheme="minorHAnsi" w:cstheme="minorHAnsi"/>
          <w:sz w:val="16"/>
          <w:szCs w:val="16"/>
        </w:rPr>
        <w:footnoteRef/>
      </w:r>
      <w:r w:rsidRPr="00FF7FDE">
        <w:rPr>
          <w:rFonts w:asciiTheme="minorHAnsi" w:hAnsiTheme="minorHAnsi" w:cstheme="minorHAnsi"/>
          <w:sz w:val="16"/>
          <w:szCs w:val="16"/>
        </w:rPr>
        <w:t xml:space="preserve"> </w:t>
      </w:r>
      <w:r w:rsidRPr="00FF7FDE">
        <w:rPr>
          <w:rStyle w:val="normaltextrun"/>
          <w:rFonts w:asciiTheme="minorHAnsi" w:hAnsiTheme="minorHAnsi" w:cstheme="minorHAnsi"/>
          <w:sz w:val="16"/>
          <w:szCs w:val="16"/>
        </w:rPr>
        <w:t xml:space="preserve">Dan Klein, </w:t>
      </w:r>
      <w:hyperlink r:id="rId9" w:history="1">
        <w:r w:rsidRPr="00FF7FDE">
          <w:rPr>
            <w:rStyle w:val="Hyperlink"/>
            <w:rFonts w:asciiTheme="minorHAnsi" w:hAnsiTheme="minorHAnsi" w:cstheme="minorHAnsi"/>
            <w:i/>
            <w:iCs/>
            <w:color w:val="auto"/>
            <w:sz w:val="16"/>
            <w:szCs w:val="16"/>
            <w:u w:val="none"/>
          </w:rPr>
          <w:t>Medication non-adherence: a common and costly problem</w:t>
        </w:r>
      </w:hyperlink>
      <w:r w:rsidRPr="00FF7FDE">
        <w:rPr>
          <w:rStyle w:val="normaltextrun"/>
          <w:rFonts w:asciiTheme="minorHAnsi" w:hAnsiTheme="minorHAnsi" w:cstheme="minorHAnsi"/>
          <w:sz w:val="16"/>
          <w:szCs w:val="16"/>
        </w:rPr>
        <w:t xml:space="preserve">, </w:t>
      </w:r>
      <w:r w:rsidRPr="00FF7FDE">
        <w:rPr>
          <w:rStyle w:val="normaltextrun"/>
          <w:rFonts w:asciiTheme="minorHAnsi" w:hAnsiTheme="minorHAnsi" w:cstheme="minorHAnsi"/>
          <w:smallCaps/>
          <w:sz w:val="16"/>
          <w:szCs w:val="16"/>
        </w:rPr>
        <w:t>PAN Found,</w:t>
      </w:r>
      <w:r w:rsidRPr="00FF7FDE">
        <w:rPr>
          <w:rStyle w:val="normaltextrun"/>
          <w:rFonts w:asciiTheme="minorHAnsi" w:hAnsiTheme="minorHAnsi" w:cstheme="minorHAnsi"/>
          <w:sz w:val="16"/>
          <w:szCs w:val="16"/>
        </w:rPr>
        <w:t xml:space="preserve"> (April 2020), </w:t>
      </w:r>
      <w:hyperlink r:id="rId10" w:history="1">
        <w:r w:rsidR="00FF7FDE" w:rsidRPr="00FF7FDE">
          <w:rPr>
            <w:rStyle w:val="Hyperlink"/>
            <w:rFonts w:asciiTheme="minorHAnsi" w:hAnsiTheme="minorHAnsi" w:cstheme="minorHAnsi"/>
            <w:color w:val="auto"/>
            <w:sz w:val="16"/>
            <w:szCs w:val="16"/>
            <w:u w:val="none"/>
          </w:rPr>
          <w:t>https://www.panfoundation.org/medication-non-adherence/</w:t>
        </w:r>
      </w:hyperlink>
      <w:r w:rsidR="00FF7FDE" w:rsidRPr="00FF7FDE">
        <w:rPr>
          <w:rStyle w:val="normaltextrun"/>
          <w:rFonts w:asciiTheme="minorHAnsi" w:hAnsiTheme="minorHAnsi" w:cstheme="minorHAnsi"/>
          <w:sz w:val="16"/>
          <w:szCs w:val="16"/>
        </w:rPr>
        <w:t xml:space="preserve"> </w:t>
      </w:r>
      <w:r w:rsidRPr="00FF7FDE">
        <w:rPr>
          <w:rStyle w:val="normaltextrun"/>
          <w:rFonts w:asciiTheme="minorHAnsi" w:hAnsiTheme="minorHAnsi" w:cstheme="minorHAnsi"/>
          <w:sz w:val="16"/>
          <w:szCs w:val="16"/>
        </w:rPr>
        <w:t xml:space="preserve">. </w:t>
      </w:r>
    </w:p>
  </w:footnote>
  <w:footnote w:id="10">
    <w:p w14:paraId="7CD35C6E" w14:textId="6DC63001" w:rsidR="004D6F61" w:rsidRPr="00FF7FDE" w:rsidRDefault="004D6F61" w:rsidP="004D6F61">
      <w:pPr>
        <w:pStyle w:val="FootnoteText"/>
        <w:rPr>
          <w:rFonts w:cstheme="minorHAnsi"/>
          <w:sz w:val="16"/>
          <w:szCs w:val="16"/>
        </w:rPr>
      </w:pPr>
      <w:r w:rsidRPr="00FF7FDE">
        <w:rPr>
          <w:rStyle w:val="FootnoteReference"/>
          <w:rFonts w:cstheme="minorHAnsi"/>
          <w:sz w:val="16"/>
          <w:szCs w:val="16"/>
        </w:rPr>
        <w:footnoteRef/>
      </w:r>
      <w:r w:rsidRPr="00FF7FDE">
        <w:rPr>
          <w:rFonts w:cstheme="minorHAnsi"/>
          <w:sz w:val="16"/>
          <w:szCs w:val="16"/>
        </w:rPr>
        <w:t xml:space="preserve"> </w:t>
      </w:r>
      <w:r w:rsidRPr="00FF7FDE">
        <w:rPr>
          <w:rFonts w:cstheme="minorHAnsi"/>
          <w:sz w:val="16"/>
          <w:szCs w:val="16"/>
          <w:shd w:val="clear" w:color="auto" w:fill="FFFFFF"/>
        </w:rPr>
        <w:t xml:space="preserve">Jonathan H Watanabe, et al., </w:t>
      </w:r>
      <w:hyperlink r:id="rId11" w:history="1">
        <w:r w:rsidRPr="00FF7FDE">
          <w:rPr>
            <w:rStyle w:val="Hyperlink"/>
            <w:rFonts w:cstheme="minorHAnsi"/>
            <w:i/>
            <w:iCs/>
            <w:color w:val="auto"/>
            <w:sz w:val="16"/>
            <w:szCs w:val="16"/>
            <w:u w:val="none"/>
            <w:shd w:val="clear" w:color="auto" w:fill="FFFFFF"/>
          </w:rPr>
          <w:t>Cost of prescription drug related morbidity and mortality</w:t>
        </w:r>
      </w:hyperlink>
      <w:r w:rsidRPr="00FF7FDE">
        <w:rPr>
          <w:rStyle w:val="normaltextrun"/>
          <w:rFonts w:cstheme="minorHAnsi"/>
          <w:sz w:val="16"/>
          <w:szCs w:val="16"/>
          <w:shd w:val="clear" w:color="auto" w:fill="FFFFFF"/>
        </w:rPr>
        <w:t xml:space="preserve">, 52(9) </w:t>
      </w:r>
      <w:r w:rsidRPr="00FF7FDE">
        <w:rPr>
          <w:rStyle w:val="normaltextrun"/>
          <w:rFonts w:cstheme="minorHAnsi"/>
          <w:smallCaps/>
          <w:sz w:val="16"/>
          <w:szCs w:val="16"/>
          <w:shd w:val="clear" w:color="auto" w:fill="FFFFFF"/>
        </w:rPr>
        <w:t xml:space="preserve">Ann </w:t>
      </w:r>
      <w:proofErr w:type="spellStart"/>
      <w:r w:rsidRPr="00FF7FDE">
        <w:rPr>
          <w:rStyle w:val="normaltextrun"/>
          <w:rFonts w:cstheme="minorHAnsi"/>
          <w:smallCaps/>
          <w:sz w:val="16"/>
          <w:szCs w:val="16"/>
          <w:shd w:val="clear" w:color="auto" w:fill="FFFFFF"/>
        </w:rPr>
        <w:t>Pharmacother</w:t>
      </w:r>
      <w:proofErr w:type="spellEnd"/>
      <w:r w:rsidRPr="00FF7FDE">
        <w:rPr>
          <w:rStyle w:val="normaltextrun"/>
          <w:rFonts w:cstheme="minorHAnsi"/>
          <w:sz w:val="16"/>
          <w:szCs w:val="16"/>
          <w:shd w:val="clear" w:color="auto" w:fill="FFFFFF"/>
        </w:rPr>
        <w:t xml:space="preserve"> 829, 829-837, (Sept. 2018), </w:t>
      </w:r>
      <w:hyperlink r:id="rId12" w:history="1">
        <w:r w:rsidR="00FF7FDE" w:rsidRPr="00FF7FDE">
          <w:rPr>
            <w:rStyle w:val="Hyperlink"/>
            <w:rFonts w:cstheme="minorHAnsi"/>
            <w:color w:val="auto"/>
            <w:sz w:val="16"/>
            <w:szCs w:val="16"/>
            <w:u w:val="none"/>
            <w:shd w:val="clear" w:color="auto" w:fill="FFFFFF"/>
          </w:rPr>
          <w:t>https://pubmed.ncbi.nlm.nih.gov/29577766/</w:t>
        </w:r>
      </w:hyperlink>
      <w:r w:rsidR="00FF7FDE" w:rsidRPr="00FF7FDE">
        <w:rPr>
          <w:rFonts w:cstheme="minorHAnsi"/>
          <w:sz w:val="16"/>
          <w:szCs w:val="16"/>
          <w:shd w:val="clear" w:color="auto" w:fill="FFFFFF"/>
        </w:rPr>
        <w:t xml:space="preserve"> </w:t>
      </w:r>
      <w:r w:rsidRPr="00FF7FDE">
        <w:rPr>
          <w:rFonts w:cstheme="minorHAnsi"/>
          <w:sz w:val="16"/>
          <w:szCs w:val="16"/>
          <w:shd w:val="clear" w:color="auto" w:fill="FFFFFF"/>
        </w:rPr>
        <w:t>.</w:t>
      </w:r>
    </w:p>
  </w:footnote>
  <w:footnote w:id="11">
    <w:p w14:paraId="5E4B7C31" w14:textId="030BBB36" w:rsidR="004D6F61" w:rsidRPr="004D6F61" w:rsidRDefault="004D6F61" w:rsidP="004D6F61">
      <w:pPr>
        <w:pStyle w:val="paragraph"/>
        <w:spacing w:before="0" w:beforeAutospacing="0" w:after="0" w:afterAutospacing="0"/>
        <w:textAlignment w:val="baseline"/>
        <w:rPr>
          <w:rFonts w:asciiTheme="minorHAnsi" w:hAnsiTheme="minorHAnsi" w:cstheme="minorHAnsi"/>
          <w:color w:val="000000" w:themeColor="text1"/>
          <w:sz w:val="16"/>
          <w:szCs w:val="16"/>
        </w:rPr>
      </w:pPr>
      <w:r w:rsidRPr="00FF7FDE">
        <w:rPr>
          <w:rStyle w:val="FootnoteReference"/>
          <w:rFonts w:asciiTheme="minorHAnsi" w:hAnsiTheme="minorHAnsi" w:cstheme="minorHAnsi"/>
          <w:sz w:val="16"/>
          <w:szCs w:val="16"/>
        </w:rPr>
        <w:footnoteRef/>
      </w:r>
      <w:r w:rsidRPr="00FF7FDE">
        <w:rPr>
          <w:rFonts w:asciiTheme="minorHAnsi" w:hAnsiTheme="minorHAnsi" w:cstheme="minorHAnsi"/>
          <w:sz w:val="16"/>
          <w:szCs w:val="16"/>
        </w:rPr>
        <w:t xml:space="preserve"> Samina T. </w:t>
      </w:r>
      <w:r w:rsidRPr="00FF7FDE">
        <w:rPr>
          <w:rStyle w:val="normaltextrun"/>
          <w:rFonts w:asciiTheme="minorHAnsi" w:hAnsiTheme="minorHAnsi" w:cstheme="minorHAnsi"/>
          <w:sz w:val="16"/>
          <w:szCs w:val="16"/>
          <w:shd w:val="clear" w:color="auto" w:fill="FFFFFF"/>
        </w:rPr>
        <w:t xml:space="preserve">Syed, et al., </w:t>
      </w:r>
      <w:hyperlink r:id="rId13" w:history="1">
        <w:r w:rsidRPr="00FF7FDE">
          <w:rPr>
            <w:rStyle w:val="Hyperlink"/>
            <w:rFonts w:asciiTheme="minorHAnsi" w:hAnsiTheme="minorHAnsi" w:cstheme="minorHAnsi"/>
            <w:i/>
            <w:iCs/>
            <w:color w:val="auto"/>
            <w:sz w:val="16"/>
            <w:szCs w:val="16"/>
            <w:u w:val="none"/>
            <w:shd w:val="clear" w:color="auto" w:fill="FFFFFF"/>
          </w:rPr>
          <w:t>Traveling Towards Disease: Transportation Barriers to Health Care Access</w:t>
        </w:r>
      </w:hyperlink>
      <w:r w:rsidRPr="00FF7FDE">
        <w:rPr>
          <w:rStyle w:val="normaltextrun"/>
          <w:rFonts w:asciiTheme="minorHAnsi" w:hAnsiTheme="minorHAnsi" w:cstheme="minorHAnsi"/>
          <w:i/>
          <w:iCs/>
          <w:sz w:val="16"/>
          <w:szCs w:val="16"/>
          <w:shd w:val="clear" w:color="auto" w:fill="FFFFFF"/>
        </w:rPr>
        <w:t>,</w:t>
      </w:r>
      <w:r w:rsidRPr="00FF7FDE">
        <w:rPr>
          <w:rStyle w:val="normaltextrun"/>
          <w:rFonts w:asciiTheme="minorHAnsi" w:hAnsiTheme="minorHAnsi" w:cstheme="minorHAnsi"/>
          <w:sz w:val="16"/>
          <w:szCs w:val="16"/>
          <w:shd w:val="clear" w:color="auto" w:fill="FFFFFF"/>
        </w:rPr>
        <w:t> </w:t>
      </w:r>
      <w:r w:rsidRPr="00FF7FDE">
        <w:rPr>
          <w:rStyle w:val="normaltextrun"/>
          <w:rFonts w:asciiTheme="minorHAnsi" w:hAnsiTheme="minorHAnsi" w:cstheme="minorHAnsi"/>
          <w:smallCaps/>
          <w:sz w:val="16"/>
          <w:szCs w:val="16"/>
          <w:shd w:val="clear" w:color="auto" w:fill="FFFFFF"/>
        </w:rPr>
        <w:t>J Community Health</w:t>
      </w:r>
      <w:r w:rsidRPr="00FF7FDE">
        <w:rPr>
          <w:rStyle w:val="normaltextrun"/>
          <w:rFonts w:asciiTheme="minorHAnsi" w:hAnsiTheme="minorHAnsi" w:cstheme="minorHAnsi"/>
          <w:sz w:val="16"/>
          <w:szCs w:val="16"/>
          <w:shd w:val="clear" w:color="auto" w:fill="FFFFFF"/>
        </w:rPr>
        <w:t xml:space="preserve"> 38, 976–993 (Mar. 31, 2013), </w:t>
      </w:r>
      <w:hyperlink r:id="rId14" w:history="1">
        <w:r w:rsidR="00FF7FDE" w:rsidRPr="00FF7FDE">
          <w:rPr>
            <w:rStyle w:val="Hyperlink"/>
            <w:rFonts w:asciiTheme="minorHAnsi" w:hAnsiTheme="minorHAnsi" w:cstheme="minorHAnsi"/>
            <w:color w:val="auto"/>
            <w:sz w:val="16"/>
            <w:szCs w:val="16"/>
            <w:u w:val="none"/>
          </w:rPr>
          <w:t>https://link.springer.com/article/10.1007/s10900-013-9681-1</w:t>
        </w:r>
      </w:hyperlink>
      <w:r w:rsidR="00FF7FDE" w:rsidRPr="00FF7FDE">
        <w:rPr>
          <w:rStyle w:val="normaltextrun"/>
          <w:rFonts w:asciiTheme="minorHAnsi" w:hAnsiTheme="minorHAnsi" w:cstheme="minorHAnsi"/>
          <w:sz w:val="16"/>
          <w:szCs w:val="16"/>
        </w:rPr>
        <w:t xml:space="preserve"> </w:t>
      </w:r>
      <w:r w:rsidRPr="00FF7FDE">
        <w:rPr>
          <w:rStyle w:val="normaltextrun"/>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675" w14:textId="1B6DDD83" w:rsidR="00153D99" w:rsidRPr="001C1A06" w:rsidRDefault="00BE5B4B" w:rsidP="00D223EB">
    <w:pPr>
      <w:pStyle w:val="Header"/>
      <w:pBdr>
        <w:bottom w:val="single" w:sz="4" w:space="1" w:color="auto"/>
      </w:pBdr>
      <w:jc w:val="center"/>
      <w:rPr>
        <w:rFonts w:ascii="Arial-BoldMT" w:hAnsi="Arial-BoldMT" w:cs="Arial-BoldMT"/>
        <w:b/>
        <w:bCs/>
        <w:sz w:val="28"/>
        <w:szCs w:val="28"/>
      </w:rPr>
    </w:pPr>
    <w:r w:rsidRPr="001C1A06">
      <w:rPr>
        <w:rFonts w:ascii="Arial-BoldMT" w:hAnsi="Arial-BoldMT" w:cs="Arial-BoldMT"/>
        <w:b/>
        <w:bCs/>
        <w:sz w:val="28"/>
        <w:szCs w:val="28"/>
      </w:rPr>
      <w:t>Beth Israel Lahey Health</w:t>
    </w:r>
    <w:r w:rsidR="00183D7F">
      <w:rPr>
        <w:rFonts w:ascii="Arial-BoldMT" w:hAnsi="Arial-BoldMT" w:cs="Arial-BoldMT"/>
        <w:b/>
        <w:bCs/>
        <w:sz w:val="28"/>
        <w:szCs w:val="28"/>
      </w:rPr>
      <w:t>, Inc</w:t>
    </w:r>
  </w:p>
  <w:p w14:paraId="78DC6D8E" w14:textId="3768623B"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9B320B" w:rsidRPr="009B320B">
      <w:rPr>
        <w:rFonts w:ascii="Arial-BoldMT" w:hAnsi="Arial-BoldMT" w:cs="Arial-BoldMT"/>
        <w:b/>
        <w:bCs/>
        <w:sz w:val="24"/>
        <w:szCs w:val="24"/>
      </w:rPr>
      <w:t>BILH-24080714-HE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651E2"/>
    <w:multiLevelType w:val="hybridMultilevel"/>
    <w:tmpl w:val="4C9A4624"/>
    <w:lvl w:ilvl="0" w:tplc="49C09752">
      <w:start w:val="1"/>
      <w:numFmt w:val="decimal"/>
      <w:lvlText w:val="%1."/>
      <w:lvlJc w:val="left"/>
      <w:pPr>
        <w:ind w:left="720" w:hanging="360"/>
      </w:pPr>
      <w:rPr>
        <w:rFonts w:hint="default"/>
        <w:color w:val="auto"/>
      </w:rPr>
    </w:lvl>
    <w:lvl w:ilvl="1" w:tplc="D3BC7C7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A16E1"/>
    <w:multiLevelType w:val="hybridMultilevel"/>
    <w:tmpl w:val="33D6F5C6"/>
    <w:lvl w:ilvl="0" w:tplc="4B06B2A4">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C562CE"/>
    <w:multiLevelType w:val="hybridMultilevel"/>
    <w:tmpl w:val="4D308086"/>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16cid:durableId="22560088">
    <w:abstractNumId w:val="0"/>
  </w:num>
  <w:num w:numId="2" w16cid:durableId="1117527003">
    <w:abstractNumId w:val="1"/>
  </w:num>
  <w:num w:numId="3" w16cid:durableId="1632325252">
    <w:abstractNumId w:val="2"/>
  </w:num>
  <w:num w:numId="4" w16cid:durableId="139836329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12DD"/>
    <w:rsid w:val="000037BD"/>
    <w:rsid w:val="000038CE"/>
    <w:rsid w:val="00003E12"/>
    <w:rsid w:val="0000498C"/>
    <w:rsid w:val="00005930"/>
    <w:rsid w:val="00011385"/>
    <w:rsid w:val="00012264"/>
    <w:rsid w:val="00012279"/>
    <w:rsid w:val="000138FE"/>
    <w:rsid w:val="00015466"/>
    <w:rsid w:val="00015EFC"/>
    <w:rsid w:val="000168C2"/>
    <w:rsid w:val="00016E99"/>
    <w:rsid w:val="00021767"/>
    <w:rsid w:val="00021A01"/>
    <w:rsid w:val="0002235E"/>
    <w:rsid w:val="00024C6C"/>
    <w:rsid w:val="00025521"/>
    <w:rsid w:val="00026B6F"/>
    <w:rsid w:val="00027FBC"/>
    <w:rsid w:val="0003012E"/>
    <w:rsid w:val="0003035A"/>
    <w:rsid w:val="00030F72"/>
    <w:rsid w:val="00032FF5"/>
    <w:rsid w:val="00036008"/>
    <w:rsid w:val="0004009F"/>
    <w:rsid w:val="00040965"/>
    <w:rsid w:val="000413D6"/>
    <w:rsid w:val="0004380F"/>
    <w:rsid w:val="0004417C"/>
    <w:rsid w:val="00044347"/>
    <w:rsid w:val="0004645C"/>
    <w:rsid w:val="00046BF8"/>
    <w:rsid w:val="00054FF4"/>
    <w:rsid w:val="0005525D"/>
    <w:rsid w:val="00055942"/>
    <w:rsid w:val="00055F9E"/>
    <w:rsid w:val="00056D5B"/>
    <w:rsid w:val="00057A92"/>
    <w:rsid w:val="000606A3"/>
    <w:rsid w:val="000618A4"/>
    <w:rsid w:val="00063414"/>
    <w:rsid w:val="00064206"/>
    <w:rsid w:val="0006445F"/>
    <w:rsid w:val="00071162"/>
    <w:rsid w:val="00072EE3"/>
    <w:rsid w:val="00073DC9"/>
    <w:rsid w:val="00074092"/>
    <w:rsid w:val="00076535"/>
    <w:rsid w:val="000766DC"/>
    <w:rsid w:val="00076A84"/>
    <w:rsid w:val="00076CB2"/>
    <w:rsid w:val="000775B1"/>
    <w:rsid w:val="00080AC6"/>
    <w:rsid w:val="000826CB"/>
    <w:rsid w:val="00083193"/>
    <w:rsid w:val="0008493D"/>
    <w:rsid w:val="000862E1"/>
    <w:rsid w:val="0009039F"/>
    <w:rsid w:val="000906E1"/>
    <w:rsid w:val="000907F9"/>
    <w:rsid w:val="00091C4C"/>
    <w:rsid w:val="00092910"/>
    <w:rsid w:val="000952FD"/>
    <w:rsid w:val="00095621"/>
    <w:rsid w:val="00095FAB"/>
    <w:rsid w:val="00096ACB"/>
    <w:rsid w:val="00097B2C"/>
    <w:rsid w:val="000A56D4"/>
    <w:rsid w:val="000A5A22"/>
    <w:rsid w:val="000A691D"/>
    <w:rsid w:val="000A7A45"/>
    <w:rsid w:val="000B0A7F"/>
    <w:rsid w:val="000B1438"/>
    <w:rsid w:val="000B1D01"/>
    <w:rsid w:val="000C2766"/>
    <w:rsid w:val="000C4405"/>
    <w:rsid w:val="000C6277"/>
    <w:rsid w:val="000C7F71"/>
    <w:rsid w:val="000D0D41"/>
    <w:rsid w:val="000E0B48"/>
    <w:rsid w:val="000E2F30"/>
    <w:rsid w:val="000E3622"/>
    <w:rsid w:val="000E5EC9"/>
    <w:rsid w:val="000E7E1B"/>
    <w:rsid w:val="000F0EDD"/>
    <w:rsid w:val="000F2503"/>
    <w:rsid w:val="000F4FA3"/>
    <w:rsid w:val="000F5BAD"/>
    <w:rsid w:val="000F5CC4"/>
    <w:rsid w:val="000F6503"/>
    <w:rsid w:val="00101646"/>
    <w:rsid w:val="001017F6"/>
    <w:rsid w:val="001018CF"/>
    <w:rsid w:val="00104288"/>
    <w:rsid w:val="001050F4"/>
    <w:rsid w:val="00105768"/>
    <w:rsid w:val="00106D23"/>
    <w:rsid w:val="00106F2E"/>
    <w:rsid w:val="00112BDF"/>
    <w:rsid w:val="00112E92"/>
    <w:rsid w:val="00113110"/>
    <w:rsid w:val="00115F5D"/>
    <w:rsid w:val="001204FE"/>
    <w:rsid w:val="00120FB5"/>
    <w:rsid w:val="001219C3"/>
    <w:rsid w:val="00122099"/>
    <w:rsid w:val="0012232D"/>
    <w:rsid w:val="00123EE2"/>
    <w:rsid w:val="00124116"/>
    <w:rsid w:val="001247D9"/>
    <w:rsid w:val="00125F6B"/>
    <w:rsid w:val="00126E85"/>
    <w:rsid w:val="00131659"/>
    <w:rsid w:val="0013225C"/>
    <w:rsid w:val="001332C7"/>
    <w:rsid w:val="00133CF7"/>
    <w:rsid w:val="00136B11"/>
    <w:rsid w:val="00137A46"/>
    <w:rsid w:val="00137C36"/>
    <w:rsid w:val="0014505C"/>
    <w:rsid w:val="001459CB"/>
    <w:rsid w:val="00145A96"/>
    <w:rsid w:val="00146FB4"/>
    <w:rsid w:val="0014727D"/>
    <w:rsid w:val="00147ED6"/>
    <w:rsid w:val="00150337"/>
    <w:rsid w:val="00152CFB"/>
    <w:rsid w:val="001538B2"/>
    <w:rsid w:val="00153D99"/>
    <w:rsid w:val="00154A10"/>
    <w:rsid w:val="00162A72"/>
    <w:rsid w:val="00164EAE"/>
    <w:rsid w:val="00166158"/>
    <w:rsid w:val="001679DC"/>
    <w:rsid w:val="00167F71"/>
    <w:rsid w:val="001701AE"/>
    <w:rsid w:val="00170D7F"/>
    <w:rsid w:val="00174CFB"/>
    <w:rsid w:val="00176547"/>
    <w:rsid w:val="00176B34"/>
    <w:rsid w:val="00176C56"/>
    <w:rsid w:val="00180580"/>
    <w:rsid w:val="00182533"/>
    <w:rsid w:val="00183D7F"/>
    <w:rsid w:val="00185A10"/>
    <w:rsid w:val="00190646"/>
    <w:rsid w:val="0019184A"/>
    <w:rsid w:val="00191B78"/>
    <w:rsid w:val="00191DAC"/>
    <w:rsid w:val="001926A6"/>
    <w:rsid w:val="00192CFC"/>
    <w:rsid w:val="0019348F"/>
    <w:rsid w:val="00193CD7"/>
    <w:rsid w:val="00194401"/>
    <w:rsid w:val="001A0425"/>
    <w:rsid w:val="001A0DDE"/>
    <w:rsid w:val="001A0FB0"/>
    <w:rsid w:val="001A11D0"/>
    <w:rsid w:val="001A170B"/>
    <w:rsid w:val="001A35DC"/>
    <w:rsid w:val="001A511B"/>
    <w:rsid w:val="001A66A9"/>
    <w:rsid w:val="001A767E"/>
    <w:rsid w:val="001B32E1"/>
    <w:rsid w:val="001B32FB"/>
    <w:rsid w:val="001B3837"/>
    <w:rsid w:val="001B3A91"/>
    <w:rsid w:val="001B517F"/>
    <w:rsid w:val="001B569F"/>
    <w:rsid w:val="001B5845"/>
    <w:rsid w:val="001B5C12"/>
    <w:rsid w:val="001B7F98"/>
    <w:rsid w:val="001C1986"/>
    <w:rsid w:val="001C1A06"/>
    <w:rsid w:val="001C2783"/>
    <w:rsid w:val="001C2A01"/>
    <w:rsid w:val="001C2FE0"/>
    <w:rsid w:val="001C44D2"/>
    <w:rsid w:val="001C5BF3"/>
    <w:rsid w:val="001C6B00"/>
    <w:rsid w:val="001C6D93"/>
    <w:rsid w:val="001D0111"/>
    <w:rsid w:val="001D01BF"/>
    <w:rsid w:val="001D079B"/>
    <w:rsid w:val="001D1521"/>
    <w:rsid w:val="001D1813"/>
    <w:rsid w:val="001D1EDA"/>
    <w:rsid w:val="001D7C2C"/>
    <w:rsid w:val="001E0B77"/>
    <w:rsid w:val="001E0B94"/>
    <w:rsid w:val="001E19D7"/>
    <w:rsid w:val="001E21D7"/>
    <w:rsid w:val="001E2EA3"/>
    <w:rsid w:val="001E4503"/>
    <w:rsid w:val="001E5163"/>
    <w:rsid w:val="001E5650"/>
    <w:rsid w:val="001E5807"/>
    <w:rsid w:val="001F02F3"/>
    <w:rsid w:val="001F27B7"/>
    <w:rsid w:val="001F30FB"/>
    <w:rsid w:val="001F5FDD"/>
    <w:rsid w:val="001F667D"/>
    <w:rsid w:val="001F687E"/>
    <w:rsid w:val="00200334"/>
    <w:rsid w:val="00201F6E"/>
    <w:rsid w:val="00202AD7"/>
    <w:rsid w:val="002037DF"/>
    <w:rsid w:val="00203E5A"/>
    <w:rsid w:val="002050B9"/>
    <w:rsid w:val="00205E02"/>
    <w:rsid w:val="002069DD"/>
    <w:rsid w:val="002102EF"/>
    <w:rsid w:val="00212619"/>
    <w:rsid w:val="002131E4"/>
    <w:rsid w:val="00214FAA"/>
    <w:rsid w:val="002155ED"/>
    <w:rsid w:val="0021563E"/>
    <w:rsid w:val="00216777"/>
    <w:rsid w:val="002179D1"/>
    <w:rsid w:val="00220641"/>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00A2"/>
    <w:rsid w:val="00241F52"/>
    <w:rsid w:val="0024261D"/>
    <w:rsid w:val="002458BA"/>
    <w:rsid w:val="0024615C"/>
    <w:rsid w:val="00246BD6"/>
    <w:rsid w:val="00246FBB"/>
    <w:rsid w:val="00251011"/>
    <w:rsid w:val="00251BEF"/>
    <w:rsid w:val="002533DB"/>
    <w:rsid w:val="0025349C"/>
    <w:rsid w:val="00253AF3"/>
    <w:rsid w:val="00253B0A"/>
    <w:rsid w:val="00254265"/>
    <w:rsid w:val="002542A0"/>
    <w:rsid w:val="00257224"/>
    <w:rsid w:val="0025780A"/>
    <w:rsid w:val="0025792F"/>
    <w:rsid w:val="00262131"/>
    <w:rsid w:val="00262359"/>
    <w:rsid w:val="00262E53"/>
    <w:rsid w:val="002643AF"/>
    <w:rsid w:val="00264588"/>
    <w:rsid w:val="0026558B"/>
    <w:rsid w:val="00267859"/>
    <w:rsid w:val="00270B47"/>
    <w:rsid w:val="00271BF5"/>
    <w:rsid w:val="00271D85"/>
    <w:rsid w:val="0027221A"/>
    <w:rsid w:val="0027284F"/>
    <w:rsid w:val="002750A6"/>
    <w:rsid w:val="002750C0"/>
    <w:rsid w:val="00276196"/>
    <w:rsid w:val="0027783A"/>
    <w:rsid w:val="002865E8"/>
    <w:rsid w:val="002906CE"/>
    <w:rsid w:val="002912FB"/>
    <w:rsid w:val="00291912"/>
    <w:rsid w:val="00292B13"/>
    <w:rsid w:val="00293147"/>
    <w:rsid w:val="00294D49"/>
    <w:rsid w:val="00296F21"/>
    <w:rsid w:val="0029738B"/>
    <w:rsid w:val="002A36DF"/>
    <w:rsid w:val="002A36FE"/>
    <w:rsid w:val="002A4110"/>
    <w:rsid w:val="002A47FE"/>
    <w:rsid w:val="002A518F"/>
    <w:rsid w:val="002A540F"/>
    <w:rsid w:val="002A5E73"/>
    <w:rsid w:val="002A6759"/>
    <w:rsid w:val="002B3476"/>
    <w:rsid w:val="002B4234"/>
    <w:rsid w:val="002B5ADB"/>
    <w:rsid w:val="002C0C55"/>
    <w:rsid w:val="002C0C71"/>
    <w:rsid w:val="002C3BEC"/>
    <w:rsid w:val="002C3C86"/>
    <w:rsid w:val="002C568C"/>
    <w:rsid w:val="002C5E88"/>
    <w:rsid w:val="002D012B"/>
    <w:rsid w:val="002D013E"/>
    <w:rsid w:val="002D06F7"/>
    <w:rsid w:val="002D18BF"/>
    <w:rsid w:val="002D1CC3"/>
    <w:rsid w:val="002D1DAB"/>
    <w:rsid w:val="002D39AC"/>
    <w:rsid w:val="002D58A3"/>
    <w:rsid w:val="002D5989"/>
    <w:rsid w:val="002D5E75"/>
    <w:rsid w:val="002D5F7A"/>
    <w:rsid w:val="002D70D2"/>
    <w:rsid w:val="002E2BB4"/>
    <w:rsid w:val="002E3CEF"/>
    <w:rsid w:val="002E46AB"/>
    <w:rsid w:val="002E5CA9"/>
    <w:rsid w:val="002F0337"/>
    <w:rsid w:val="002F3CDD"/>
    <w:rsid w:val="002F5878"/>
    <w:rsid w:val="002F7B99"/>
    <w:rsid w:val="00301D82"/>
    <w:rsid w:val="00302D3F"/>
    <w:rsid w:val="003030AA"/>
    <w:rsid w:val="00303DD8"/>
    <w:rsid w:val="00303EE3"/>
    <w:rsid w:val="00306307"/>
    <w:rsid w:val="00306D1E"/>
    <w:rsid w:val="0030785A"/>
    <w:rsid w:val="003078B4"/>
    <w:rsid w:val="003079EC"/>
    <w:rsid w:val="00307F98"/>
    <w:rsid w:val="003103B0"/>
    <w:rsid w:val="00312739"/>
    <w:rsid w:val="00312A19"/>
    <w:rsid w:val="003151A7"/>
    <w:rsid w:val="00317580"/>
    <w:rsid w:val="00320371"/>
    <w:rsid w:val="00324696"/>
    <w:rsid w:val="0032484D"/>
    <w:rsid w:val="00325C01"/>
    <w:rsid w:val="00327903"/>
    <w:rsid w:val="00327EAC"/>
    <w:rsid w:val="00331E8E"/>
    <w:rsid w:val="00332A40"/>
    <w:rsid w:val="00332C4B"/>
    <w:rsid w:val="00333E04"/>
    <w:rsid w:val="00335F54"/>
    <w:rsid w:val="00336346"/>
    <w:rsid w:val="00342240"/>
    <w:rsid w:val="00344402"/>
    <w:rsid w:val="00344DAC"/>
    <w:rsid w:val="00345F1B"/>
    <w:rsid w:val="00346884"/>
    <w:rsid w:val="00346FEF"/>
    <w:rsid w:val="003506AE"/>
    <w:rsid w:val="00351662"/>
    <w:rsid w:val="003522D7"/>
    <w:rsid w:val="003533CA"/>
    <w:rsid w:val="00354D26"/>
    <w:rsid w:val="00356283"/>
    <w:rsid w:val="0035653B"/>
    <w:rsid w:val="00357756"/>
    <w:rsid w:val="00357BA6"/>
    <w:rsid w:val="003602C2"/>
    <w:rsid w:val="003620FB"/>
    <w:rsid w:val="00364225"/>
    <w:rsid w:val="00366505"/>
    <w:rsid w:val="0036671D"/>
    <w:rsid w:val="00366918"/>
    <w:rsid w:val="00366DCC"/>
    <w:rsid w:val="003675D5"/>
    <w:rsid w:val="0037102A"/>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92D76"/>
    <w:rsid w:val="00393F8C"/>
    <w:rsid w:val="00394105"/>
    <w:rsid w:val="00395F3D"/>
    <w:rsid w:val="0039698B"/>
    <w:rsid w:val="003A1793"/>
    <w:rsid w:val="003A2B5B"/>
    <w:rsid w:val="003A36B2"/>
    <w:rsid w:val="003A4882"/>
    <w:rsid w:val="003A4DC6"/>
    <w:rsid w:val="003A5F8B"/>
    <w:rsid w:val="003A7217"/>
    <w:rsid w:val="003A7AB8"/>
    <w:rsid w:val="003A7B8C"/>
    <w:rsid w:val="003B0073"/>
    <w:rsid w:val="003B0D30"/>
    <w:rsid w:val="003B1445"/>
    <w:rsid w:val="003B33AB"/>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D0F39"/>
    <w:rsid w:val="003D14BA"/>
    <w:rsid w:val="003D2A24"/>
    <w:rsid w:val="003D31FD"/>
    <w:rsid w:val="003D3D7D"/>
    <w:rsid w:val="003D4A6F"/>
    <w:rsid w:val="003D50D2"/>
    <w:rsid w:val="003D5D6C"/>
    <w:rsid w:val="003D7315"/>
    <w:rsid w:val="003D7942"/>
    <w:rsid w:val="003E0045"/>
    <w:rsid w:val="003E3D33"/>
    <w:rsid w:val="003E4BD2"/>
    <w:rsid w:val="003E4F87"/>
    <w:rsid w:val="003E5576"/>
    <w:rsid w:val="003E5688"/>
    <w:rsid w:val="003E7F55"/>
    <w:rsid w:val="003F1211"/>
    <w:rsid w:val="003F159E"/>
    <w:rsid w:val="003F5EF2"/>
    <w:rsid w:val="003F665D"/>
    <w:rsid w:val="003F7754"/>
    <w:rsid w:val="00401947"/>
    <w:rsid w:val="00402AC2"/>
    <w:rsid w:val="004035C4"/>
    <w:rsid w:val="00404913"/>
    <w:rsid w:val="00407E19"/>
    <w:rsid w:val="004102C5"/>
    <w:rsid w:val="004114C6"/>
    <w:rsid w:val="00411D30"/>
    <w:rsid w:val="004141A0"/>
    <w:rsid w:val="00416D6B"/>
    <w:rsid w:val="0041770C"/>
    <w:rsid w:val="0042031C"/>
    <w:rsid w:val="00421844"/>
    <w:rsid w:val="00421B81"/>
    <w:rsid w:val="00421C21"/>
    <w:rsid w:val="00421FD6"/>
    <w:rsid w:val="00422255"/>
    <w:rsid w:val="004253AA"/>
    <w:rsid w:val="00426884"/>
    <w:rsid w:val="00431EC4"/>
    <w:rsid w:val="00432D19"/>
    <w:rsid w:val="00432E48"/>
    <w:rsid w:val="0043468F"/>
    <w:rsid w:val="0043588D"/>
    <w:rsid w:val="00435E97"/>
    <w:rsid w:val="004365EF"/>
    <w:rsid w:val="00436DA5"/>
    <w:rsid w:val="00436DE0"/>
    <w:rsid w:val="00441ECA"/>
    <w:rsid w:val="00441F3E"/>
    <w:rsid w:val="004449E1"/>
    <w:rsid w:val="00444A21"/>
    <w:rsid w:val="00445B4E"/>
    <w:rsid w:val="00447333"/>
    <w:rsid w:val="0045317B"/>
    <w:rsid w:val="004537FA"/>
    <w:rsid w:val="00455504"/>
    <w:rsid w:val="00456B10"/>
    <w:rsid w:val="00456FCF"/>
    <w:rsid w:val="0045784E"/>
    <w:rsid w:val="00463824"/>
    <w:rsid w:val="00464ACB"/>
    <w:rsid w:val="00465F4D"/>
    <w:rsid w:val="00470202"/>
    <w:rsid w:val="00470E1E"/>
    <w:rsid w:val="00472DB7"/>
    <w:rsid w:val="004739A3"/>
    <w:rsid w:val="00480049"/>
    <w:rsid w:val="00481ADC"/>
    <w:rsid w:val="004821A3"/>
    <w:rsid w:val="004840CC"/>
    <w:rsid w:val="00484231"/>
    <w:rsid w:val="00484A85"/>
    <w:rsid w:val="004873F3"/>
    <w:rsid w:val="004901A5"/>
    <w:rsid w:val="00490846"/>
    <w:rsid w:val="00491AA3"/>
    <w:rsid w:val="004921DF"/>
    <w:rsid w:val="004931F9"/>
    <w:rsid w:val="00497263"/>
    <w:rsid w:val="00497513"/>
    <w:rsid w:val="0049782E"/>
    <w:rsid w:val="004A0DDC"/>
    <w:rsid w:val="004A1907"/>
    <w:rsid w:val="004A1B2F"/>
    <w:rsid w:val="004A1BB1"/>
    <w:rsid w:val="004A1D25"/>
    <w:rsid w:val="004A2155"/>
    <w:rsid w:val="004A28C2"/>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6F61"/>
    <w:rsid w:val="004D7C5C"/>
    <w:rsid w:val="004E166A"/>
    <w:rsid w:val="004E6482"/>
    <w:rsid w:val="004F432A"/>
    <w:rsid w:val="004F590F"/>
    <w:rsid w:val="004F6BB4"/>
    <w:rsid w:val="005002DE"/>
    <w:rsid w:val="005006E2"/>
    <w:rsid w:val="00501D52"/>
    <w:rsid w:val="00502404"/>
    <w:rsid w:val="00507039"/>
    <w:rsid w:val="00510EC8"/>
    <w:rsid w:val="00512FDF"/>
    <w:rsid w:val="005145C3"/>
    <w:rsid w:val="00514968"/>
    <w:rsid w:val="00514ECB"/>
    <w:rsid w:val="00515265"/>
    <w:rsid w:val="0051617E"/>
    <w:rsid w:val="00517104"/>
    <w:rsid w:val="00517D5A"/>
    <w:rsid w:val="00520833"/>
    <w:rsid w:val="00520941"/>
    <w:rsid w:val="00520CE7"/>
    <w:rsid w:val="005218C7"/>
    <w:rsid w:val="00522D14"/>
    <w:rsid w:val="00522F5F"/>
    <w:rsid w:val="00524144"/>
    <w:rsid w:val="005248A7"/>
    <w:rsid w:val="00525292"/>
    <w:rsid w:val="005257D0"/>
    <w:rsid w:val="00525D26"/>
    <w:rsid w:val="00527788"/>
    <w:rsid w:val="005301FC"/>
    <w:rsid w:val="00530477"/>
    <w:rsid w:val="00532D6E"/>
    <w:rsid w:val="005338A0"/>
    <w:rsid w:val="00534C78"/>
    <w:rsid w:val="005356C2"/>
    <w:rsid w:val="00535A15"/>
    <w:rsid w:val="00536A69"/>
    <w:rsid w:val="00536B22"/>
    <w:rsid w:val="005379D8"/>
    <w:rsid w:val="00540589"/>
    <w:rsid w:val="00541E48"/>
    <w:rsid w:val="005430C8"/>
    <w:rsid w:val="0054339D"/>
    <w:rsid w:val="00546917"/>
    <w:rsid w:val="00547324"/>
    <w:rsid w:val="005475AF"/>
    <w:rsid w:val="005506E6"/>
    <w:rsid w:val="00551569"/>
    <w:rsid w:val="00554017"/>
    <w:rsid w:val="00554544"/>
    <w:rsid w:val="00554CF4"/>
    <w:rsid w:val="00555A05"/>
    <w:rsid w:val="005560CC"/>
    <w:rsid w:val="00561790"/>
    <w:rsid w:val="00561BCC"/>
    <w:rsid w:val="0056282F"/>
    <w:rsid w:val="00564C1B"/>
    <w:rsid w:val="00564F33"/>
    <w:rsid w:val="0056515A"/>
    <w:rsid w:val="00566687"/>
    <w:rsid w:val="005678F4"/>
    <w:rsid w:val="00567A48"/>
    <w:rsid w:val="00570873"/>
    <w:rsid w:val="00573656"/>
    <w:rsid w:val="005759B7"/>
    <w:rsid w:val="005768C9"/>
    <w:rsid w:val="00577B19"/>
    <w:rsid w:val="00580CB5"/>
    <w:rsid w:val="00580E2B"/>
    <w:rsid w:val="0058155B"/>
    <w:rsid w:val="00581E7E"/>
    <w:rsid w:val="00584998"/>
    <w:rsid w:val="00584A4B"/>
    <w:rsid w:val="00586B2C"/>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B4157"/>
    <w:rsid w:val="005C1745"/>
    <w:rsid w:val="005C1922"/>
    <w:rsid w:val="005C1E0B"/>
    <w:rsid w:val="005C3394"/>
    <w:rsid w:val="005C4433"/>
    <w:rsid w:val="005C4EB9"/>
    <w:rsid w:val="005C5476"/>
    <w:rsid w:val="005C7D0C"/>
    <w:rsid w:val="005D4244"/>
    <w:rsid w:val="005D543B"/>
    <w:rsid w:val="005E07A8"/>
    <w:rsid w:val="005E1AEF"/>
    <w:rsid w:val="005E3669"/>
    <w:rsid w:val="005E6826"/>
    <w:rsid w:val="005E72B7"/>
    <w:rsid w:val="005F2E76"/>
    <w:rsid w:val="005F5F80"/>
    <w:rsid w:val="005F62ED"/>
    <w:rsid w:val="005F7339"/>
    <w:rsid w:val="005F77D6"/>
    <w:rsid w:val="00605067"/>
    <w:rsid w:val="006054A8"/>
    <w:rsid w:val="00605AB6"/>
    <w:rsid w:val="00607E0F"/>
    <w:rsid w:val="00610F50"/>
    <w:rsid w:val="006113E0"/>
    <w:rsid w:val="0061268C"/>
    <w:rsid w:val="00612D41"/>
    <w:rsid w:val="006149B7"/>
    <w:rsid w:val="00615C75"/>
    <w:rsid w:val="0061601C"/>
    <w:rsid w:val="00621087"/>
    <w:rsid w:val="00623AD7"/>
    <w:rsid w:val="00624F1A"/>
    <w:rsid w:val="006269A1"/>
    <w:rsid w:val="00627A68"/>
    <w:rsid w:val="006303FF"/>
    <w:rsid w:val="00631829"/>
    <w:rsid w:val="006325B1"/>
    <w:rsid w:val="00632AEC"/>
    <w:rsid w:val="00636A3D"/>
    <w:rsid w:val="006403D2"/>
    <w:rsid w:val="00643226"/>
    <w:rsid w:val="00643D57"/>
    <w:rsid w:val="0064499E"/>
    <w:rsid w:val="00645592"/>
    <w:rsid w:val="006513CC"/>
    <w:rsid w:val="006516BF"/>
    <w:rsid w:val="0065176F"/>
    <w:rsid w:val="006520E7"/>
    <w:rsid w:val="006533A2"/>
    <w:rsid w:val="0065372D"/>
    <w:rsid w:val="00654360"/>
    <w:rsid w:val="00654E2F"/>
    <w:rsid w:val="006560F8"/>
    <w:rsid w:val="00664511"/>
    <w:rsid w:val="006650CD"/>
    <w:rsid w:val="0066694A"/>
    <w:rsid w:val="006705F7"/>
    <w:rsid w:val="006708F8"/>
    <w:rsid w:val="006733D5"/>
    <w:rsid w:val="00674E0A"/>
    <w:rsid w:val="00680AD8"/>
    <w:rsid w:val="006814E7"/>
    <w:rsid w:val="00681BF5"/>
    <w:rsid w:val="00682275"/>
    <w:rsid w:val="006826AF"/>
    <w:rsid w:val="00684458"/>
    <w:rsid w:val="0068635B"/>
    <w:rsid w:val="00687E3F"/>
    <w:rsid w:val="006906F3"/>
    <w:rsid w:val="00692BAB"/>
    <w:rsid w:val="00693E98"/>
    <w:rsid w:val="006969C6"/>
    <w:rsid w:val="006A11AA"/>
    <w:rsid w:val="006A1400"/>
    <w:rsid w:val="006A21E4"/>
    <w:rsid w:val="006A25D2"/>
    <w:rsid w:val="006A2BD7"/>
    <w:rsid w:val="006A3466"/>
    <w:rsid w:val="006A4D5B"/>
    <w:rsid w:val="006A5179"/>
    <w:rsid w:val="006A7E86"/>
    <w:rsid w:val="006A7EAE"/>
    <w:rsid w:val="006B0549"/>
    <w:rsid w:val="006B0698"/>
    <w:rsid w:val="006B0C48"/>
    <w:rsid w:val="006B0F22"/>
    <w:rsid w:val="006B499D"/>
    <w:rsid w:val="006B4E04"/>
    <w:rsid w:val="006B5BEF"/>
    <w:rsid w:val="006B68C4"/>
    <w:rsid w:val="006B7171"/>
    <w:rsid w:val="006C1B8D"/>
    <w:rsid w:val="006C3ED5"/>
    <w:rsid w:val="006C552B"/>
    <w:rsid w:val="006C5988"/>
    <w:rsid w:val="006D01D3"/>
    <w:rsid w:val="006D501C"/>
    <w:rsid w:val="006D5E0F"/>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EF5"/>
    <w:rsid w:val="006F5D61"/>
    <w:rsid w:val="006F5D6C"/>
    <w:rsid w:val="006F7519"/>
    <w:rsid w:val="006F78B6"/>
    <w:rsid w:val="007013CB"/>
    <w:rsid w:val="0070288A"/>
    <w:rsid w:val="00703ED5"/>
    <w:rsid w:val="0070409F"/>
    <w:rsid w:val="0070518D"/>
    <w:rsid w:val="007113DC"/>
    <w:rsid w:val="00711700"/>
    <w:rsid w:val="00712FA6"/>
    <w:rsid w:val="0071352B"/>
    <w:rsid w:val="00713A28"/>
    <w:rsid w:val="0071402E"/>
    <w:rsid w:val="0071563E"/>
    <w:rsid w:val="00715918"/>
    <w:rsid w:val="007172F6"/>
    <w:rsid w:val="007200B2"/>
    <w:rsid w:val="00722F8A"/>
    <w:rsid w:val="007230BC"/>
    <w:rsid w:val="00723188"/>
    <w:rsid w:val="00723E74"/>
    <w:rsid w:val="007242B4"/>
    <w:rsid w:val="00724BED"/>
    <w:rsid w:val="00725E9D"/>
    <w:rsid w:val="0073005B"/>
    <w:rsid w:val="00730E81"/>
    <w:rsid w:val="00733BDE"/>
    <w:rsid w:val="00733E21"/>
    <w:rsid w:val="0073404F"/>
    <w:rsid w:val="00734A0C"/>
    <w:rsid w:val="00740B16"/>
    <w:rsid w:val="00742E67"/>
    <w:rsid w:val="0074357F"/>
    <w:rsid w:val="00743F50"/>
    <w:rsid w:val="00747EF6"/>
    <w:rsid w:val="007508EF"/>
    <w:rsid w:val="00750B62"/>
    <w:rsid w:val="0075159B"/>
    <w:rsid w:val="007525CA"/>
    <w:rsid w:val="007531D5"/>
    <w:rsid w:val="0075373D"/>
    <w:rsid w:val="00753F14"/>
    <w:rsid w:val="00757106"/>
    <w:rsid w:val="00761997"/>
    <w:rsid w:val="0076213B"/>
    <w:rsid w:val="00762CA1"/>
    <w:rsid w:val="00766B76"/>
    <w:rsid w:val="00771621"/>
    <w:rsid w:val="00773A3A"/>
    <w:rsid w:val="00774FA6"/>
    <w:rsid w:val="00775A18"/>
    <w:rsid w:val="00776FA4"/>
    <w:rsid w:val="00777580"/>
    <w:rsid w:val="007871AD"/>
    <w:rsid w:val="00787CB4"/>
    <w:rsid w:val="00791B92"/>
    <w:rsid w:val="00792DB0"/>
    <w:rsid w:val="007931E8"/>
    <w:rsid w:val="007932F5"/>
    <w:rsid w:val="0079340E"/>
    <w:rsid w:val="007934D2"/>
    <w:rsid w:val="00795B9D"/>
    <w:rsid w:val="00795E61"/>
    <w:rsid w:val="00795E6A"/>
    <w:rsid w:val="007966DB"/>
    <w:rsid w:val="007B3A5E"/>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D3C65"/>
    <w:rsid w:val="007E0AC9"/>
    <w:rsid w:val="007E0DEF"/>
    <w:rsid w:val="007E5FE7"/>
    <w:rsid w:val="007E6854"/>
    <w:rsid w:val="007F1021"/>
    <w:rsid w:val="007F43D4"/>
    <w:rsid w:val="007F5301"/>
    <w:rsid w:val="007F561D"/>
    <w:rsid w:val="007F5C97"/>
    <w:rsid w:val="007F5DD1"/>
    <w:rsid w:val="007F6742"/>
    <w:rsid w:val="008006D1"/>
    <w:rsid w:val="008011BB"/>
    <w:rsid w:val="0080170E"/>
    <w:rsid w:val="008031C1"/>
    <w:rsid w:val="00803785"/>
    <w:rsid w:val="008050B8"/>
    <w:rsid w:val="008061A3"/>
    <w:rsid w:val="00807D3F"/>
    <w:rsid w:val="00810C49"/>
    <w:rsid w:val="008124F5"/>
    <w:rsid w:val="0081262E"/>
    <w:rsid w:val="00813262"/>
    <w:rsid w:val="00813ECA"/>
    <w:rsid w:val="008151A1"/>
    <w:rsid w:val="00815464"/>
    <w:rsid w:val="0081551A"/>
    <w:rsid w:val="0081609A"/>
    <w:rsid w:val="00820074"/>
    <w:rsid w:val="00820C2B"/>
    <w:rsid w:val="008217B2"/>
    <w:rsid w:val="008218EF"/>
    <w:rsid w:val="00821F58"/>
    <w:rsid w:val="008222C5"/>
    <w:rsid w:val="008244F6"/>
    <w:rsid w:val="008263DF"/>
    <w:rsid w:val="00826574"/>
    <w:rsid w:val="00830723"/>
    <w:rsid w:val="0083116D"/>
    <w:rsid w:val="00833925"/>
    <w:rsid w:val="0083393C"/>
    <w:rsid w:val="00835493"/>
    <w:rsid w:val="00842E61"/>
    <w:rsid w:val="00843356"/>
    <w:rsid w:val="008440E4"/>
    <w:rsid w:val="008443E7"/>
    <w:rsid w:val="008449E3"/>
    <w:rsid w:val="0084640D"/>
    <w:rsid w:val="008464B2"/>
    <w:rsid w:val="00847411"/>
    <w:rsid w:val="00847665"/>
    <w:rsid w:val="00847BE1"/>
    <w:rsid w:val="00851136"/>
    <w:rsid w:val="008519A8"/>
    <w:rsid w:val="00851EBF"/>
    <w:rsid w:val="00852964"/>
    <w:rsid w:val="00854496"/>
    <w:rsid w:val="008552B3"/>
    <w:rsid w:val="0086021D"/>
    <w:rsid w:val="00862AF4"/>
    <w:rsid w:val="008634B7"/>
    <w:rsid w:val="00863F89"/>
    <w:rsid w:val="00863FC5"/>
    <w:rsid w:val="008643F3"/>
    <w:rsid w:val="00874C86"/>
    <w:rsid w:val="0087518D"/>
    <w:rsid w:val="00875EDB"/>
    <w:rsid w:val="00876CE8"/>
    <w:rsid w:val="0088093B"/>
    <w:rsid w:val="00881DF6"/>
    <w:rsid w:val="00882805"/>
    <w:rsid w:val="00883C3A"/>
    <w:rsid w:val="00885BDE"/>
    <w:rsid w:val="008868E6"/>
    <w:rsid w:val="00886E11"/>
    <w:rsid w:val="00890231"/>
    <w:rsid w:val="0089063F"/>
    <w:rsid w:val="008906F3"/>
    <w:rsid w:val="008922CA"/>
    <w:rsid w:val="008955B8"/>
    <w:rsid w:val="00895B40"/>
    <w:rsid w:val="00897A92"/>
    <w:rsid w:val="008A0455"/>
    <w:rsid w:val="008A0B8C"/>
    <w:rsid w:val="008A1722"/>
    <w:rsid w:val="008A1BCF"/>
    <w:rsid w:val="008A4AEA"/>
    <w:rsid w:val="008A6BAF"/>
    <w:rsid w:val="008A7920"/>
    <w:rsid w:val="008A7D64"/>
    <w:rsid w:val="008B18BD"/>
    <w:rsid w:val="008B1AD5"/>
    <w:rsid w:val="008B7668"/>
    <w:rsid w:val="008C07AB"/>
    <w:rsid w:val="008C121E"/>
    <w:rsid w:val="008C1246"/>
    <w:rsid w:val="008C1253"/>
    <w:rsid w:val="008C5B77"/>
    <w:rsid w:val="008C5D7E"/>
    <w:rsid w:val="008C698B"/>
    <w:rsid w:val="008D0B54"/>
    <w:rsid w:val="008D2B88"/>
    <w:rsid w:val="008D2D7E"/>
    <w:rsid w:val="008D5182"/>
    <w:rsid w:val="008D5359"/>
    <w:rsid w:val="008D6D5E"/>
    <w:rsid w:val="008D7435"/>
    <w:rsid w:val="008E0484"/>
    <w:rsid w:val="008E187B"/>
    <w:rsid w:val="008E234D"/>
    <w:rsid w:val="008E39DC"/>
    <w:rsid w:val="008E3C7A"/>
    <w:rsid w:val="008E455C"/>
    <w:rsid w:val="008E4FB8"/>
    <w:rsid w:val="008E6DF2"/>
    <w:rsid w:val="008E7355"/>
    <w:rsid w:val="008E7E5A"/>
    <w:rsid w:val="008F0E69"/>
    <w:rsid w:val="008F1860"/>
    <w:rsid w:val="008F19AC"/>
    <w:rsid w:val="008F2137"/>
    <w:rsid w:val="008F4E1B"/>
    <w:rsid w:val="008F5981"/>
    <w:rsid w:val="008F67D8"/>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1360"/>
    <w:rsid w:val="00931374"/>
    <w:rsid w:val="009317D3"/>
    <w:rsid w:val="00931AA1"/>
    <w:rsid w:val="00934706"/>
    <w:rsid w:val="0093616A"/>
    <w:rsid w:val="0093644B"/>
    <w:rsid w:val="009366A5"/>
    <w:rsid w:val="00936CCC"/>
    <w:rsid w:val="009376A5"/>
    <w:rsid w:val="00937C51"/>
    <w:rsid w:val="00937DF4"/>
    <w:rsid w:val="00940929"/>
    <w:rsid w:val="00943EBF"/>
    <w:rsid w:val="0094400A"/>
    <w:rsid w:val="00944815"/>
    <w:rsid w:val="009448F4"/>
    <w:rsid w:val="0094528E"/>
    <w:rsid w:val="00946E37"/>
    <w:rsid w:val="009471C5"/>
    <w:rsid w:val="009501C2"/>
    <w:rsid w:val="00950BA9"/>
    <w:rsid w:val="00951254"/>
    <w:rsid w:val="00951485"/>
    <w:rsid w:val="009528C0"/>
    <w:rsid w:val="00955D10"/>
    <w:rsid w:val="00956F13"/>
    <w:rsid w:val="00960DBC"/>
    <w:rsid w:val="00963347"/>
    <w:rsid w:val="009637E5"/>
    <w:rsid w:val="00963B87"/>
    <w:rsid w:val="009656E3"/>
    <w:rsid w:val="00965AEA"/>
    <w:rsid w:val="009672C2"/>
    <w:rsid w:val="00967D55"/>
    <w:rsid w:val="00970D87"/>
    <w:rsid w:val="009723AD"/>
    <w:rsid w:val="00974468"/>
    <w:rsid w:val="0097656A"/>
    <w:rsid w:val="0097742B"/>
    <w:rsid w:val="00982647"/>
    <w:rsid w:val="00982829"/>
    <w:rsid w:val="00982B4D"/>
    <w:rsid w:val="009859C9"/>
    <w:rsid w:val="00985A22"/>
    <w:rsid w:val="009865DB"/>
    <w:rsid w:val="00986A89"/>
    <w:rsid w:val="00987B47"/>
    <w:rsid w:val="009910CE"/>
    <w:rsid w:val="00994000"/>
    <w:rsid w:val="00996456"/>
    <w:rsid w:val="009A0860"/>
    <w:rsid w:val="009A4BB1"/>
    <w:rsid w:val="009A5373"/>
    <w:rsid w:val="009A706B"/>
    <w:rsid w:val="009B0139"/>
    <w:rsid w:val="009B046C"/>
    <w:rsid w:val="009B122A"/>
    <w:rsid w:val="009B1C56"/>
    <w:rsid w:val="009B23D4"/>
    <w:rsid w:val="009B287F"/>
    <w:rsid w:val="009B320B"/>
    <w:rsid w:val="009B36CA"/>
    <w:rsid w:val="009B62C3"/>
    <w:rsid w:val="009B74DA"/>
    <w:rsid w:val="009B7881"/>
    <w:rsid w:val="009B7A81"/>
    <w:rsid w:val="009C0E83"/>
    <w:rsid w:val="009C11D6"/>
    <w:rsid w:val="009C1D85"/>
    <w:rsid w:val="009C2396"/>
    <w:rsid w:val="009C271D"/>
    <w:rsid w:val="009D0E59"/>
    <w:rsid w:val="009D2DC7"/>
    <w:rsid w:val="009D301F"/>
    <w:rsid w:val="009D46AB"/>
    <w:rsid w:val="009D6CFA"/>
    <w:rsid w:val="009D71EE"/>
    <w:rsid w:val="009D7BC6"/>
    <w:rsid w:val="009E1C94"/>
    <w:rsid w:val="009E2663"/>
    <w:rsid w:val="009E2754"/>
    <w:rsid w:val="009E3746"/>
    <w:rsid w:val="009F10DE"/>
    <w:rsid w:val="009F2325"/>
    <w:rsid w:val="009F3886"/>
    <w:rsid w:val="009F7263"/>
    <w:rsid w:val="00A04393"/>
    <w:rsid w:val="00A05AE5"/>
    <w:rsid w:val="00A07020"/>
    <w:rsid w:val="00A0707E"/>
    <w:rsid w:val="00A07187"/>
    <w:rsid w:val="00A071D8"/>
    <w:rsid w:val="00A0730F"/>
    <w:rsid w:val="00A07682"/>
    <w:rsid w:val="00A109EC"/>
    <w:rsid w:val="00A144A7"/>
    <w:rsid w:val="00A14B99"/>
    <w:rsid w:val="00A15C5C"/>
    <w:rsid w:val="00A15FC6"/>
    <w:rsid w:val="00A1708E"/>
    <w:rsid w:val="00A17248"/>
    <w:rsid w:val="00A17E54"/>
    <w:rsid w:val="00A23564"/>
    <w:rsid w:val="00A256D6"/>
    <w:rsid w:val="00A266C5"/>
    <w:rsid w:val="00A27237"/>
    <w:rsid w:val="00A27496"/>
    <w:rsid w:val="00A27C1B"/>
    <w:rsid w:val="00A32048"/>
    <w:rsid w:val="00A33B33"/>
    <w:rsid w:val="00A350ED"/>
    <w:rsid w:val="00A35384"/>
    <w:rsid w:val="00A40ACC"/>
    <w:rsid w:val="00A41584"/>
    <w:rsid w:val="00A42F5D"/>
    <w:rsid w:val="00A43080"/>
    <w:rsid w:val="00A43B47"/>
    <w:rsid w:val="00A44911"/>
    <w:rsid w:val="00A4674F"/>
    <w:rsid w:val="00A50902"/>
    <w:rsid w:val="00A50B75"/>
    <w:rsid w:val="00A52BF6"/>
    <w:rsid w:val="00A52D05"/>
    <w:rsid w:val="00A530E9"/>
    <w:rsid w:val="00A550CF"/>
    <w:rsid w:val="00A628AF"/>
    <w:rsid w:val="00A63B2C"/>
    <w:rsid w:val="00A63B34"/>
    <w:rsid w:val="00A65D21"/>
    <w:rsid w:val="00A718DC"/>
    <w:rsid w:val="00A71F8B"/>
    <w:rsid w:val="00A72A1B"/>
    <w:rsid w:val="00A7342F"/>
    <w:rsid w:val="00A73660"/>
    <w:rsid w:val="00A74634"/>
    <w:rsid w:val="00A75C79"/>
    <w:rsid w:val="00A7645F"/>
    <w:rsid w:val="00A80684"/>
    <w:rsid w:val="00A82823"/>
    <w:rsid w:val="00A83C91"/>
    <w:rsid w:val="00A8439B"/>
    <w:rsid w:val="00A84E87"/>
    <w:rsid w:val="00A850A1"/>
    <w:rsid w:val="00A864E1"/>
    <w:rsid w:val="00A9164D"/>
    <w:rsid w:val="00A91AB7"/>
    <w:rsid w:val="00A92183"/>
    <w:rsid w:val="00A941F2"/>
    <w:rsid w:val="00A94BDA"/>
    <w:rsid w:val="00A94C41"/>
    <w:rsid w:val="00A94DFA"/>
    <w:rsid w:val="00A961D7"/>
    <w:rsid w:val="00A97218"/>
    <w:rsid w:val="00A979E2"/>
    <w:rsid w:val="00AA0462"/>
    <w:rsid w:val="00AA04A0"/>
    <w:rsid w:val="00AA12C8"/>
    <w:rsid w:val="00AA35A1"/>
    <w:rsid w:val="00AA5AD2"/>
    <w:rsid w:val="00AB004E"/>
    <w:rsid w:val="00AB0B0A"/>
    <w:rsid w:val="00AB0CDE"/>
    <w:rsid w:val="00AB1643"/>
    <w:rsid w:val="00AB525B"/>
    <w:rsid w:val="00AB56AA"/>
    <w:rsid w:val="00AB76B3"/>
    <w:rsid w:val="00AC08F8"/>
    <w:rsid w:val="00AC2CEE"/>
    <w:rsid w:val="00AC34FD"/>
    <w:rsid w:val="00AC3823"/>
    <w:rsid w:val="00AC75E5"/>
    <w:rsid w:val="00AC7702"/>
    <w:rsid w:val="00AD2C45"/>
    <w:rsid w:val="00AD3FD8"/>
    <w:rsid w:val="00AD4D0A"/>
    <w:rsid w:val="00AD7A33"/>
    <w:rsid w:val="00AE0452"/>
    <w:rsid w:val="00AE0C95"/>
    <w:rsid w:val="00AE161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01D"/>
    <w:rsid w:val="00B06DF0"/>
    <w:rsid w:val="00B079A7"/>
    <w:rsid w:val="00B10DB9"/>
    <w:rsid w:val="00B10E37"/>
    <w:rsid w:val="00B11DF8"/>
    <w:rsid w:val="00B15D82"/>
    <w:rsid w:val="00B17A76"/>
    <w:rsid w:val="00B2056A"/>
    <w:rsid w:val="00B20D4C"/>
    <w:rsid w:val="00B231D9"/>
    <w:rsid w:val="00B23473"/>
    <w:rsid w:val="00B23AE4"/>
    <w:rsid w:val="00B24C4E"/>
    <w:rsid w:val="00B271C5"/>
    <w:rsid w:val="00B303DD"/>
    <w:rsid w:val="00B34854"/>
    <w:rsid w:val="00B34BE7"/>
    <w:rsid w:val="00B3678C"/>
    <w:rsid w:val="00B37E4B"/>
    <w:rsid w:val="00B40EAB"/>
    <w:rsid w:val="00B41B3F"/>
    <w:rsid w:val="00B42417"/>
    <w:rsid w:val="00B42880"/>
    <w:rsid w:val="00B440D9"/>
    <w:rsid w:val="00B45060"/>
    <w:rsid w:val="00B45447"/>
    <w:rsid w:val="00B473EC"/>
    <w:rsid w:val="00B47B6B"/>
    <w:rsid w:val="00B47C7E"/>
    <w:rsid w:val="00B50946"/>
    <w:rsid w:val="00B512E6"/>
    <w:rsid w:val="00B5326E"/>
    <w:rsid w:val="00B53AB1"/>
    <w:rsid w:val="00B605C6"/>
    <w:rsid w:val="00B608E6"/>
    <w:rsid w:val="00B63DE0"/>
    <w:rsid w:val="00B65FB4"/>
    <w:rsid w:val="00B70B72"/>
    <w:rsid w:val="00B715B4"/>
    <w:rsid w:val="00B73CA9"/>
    <w:rsid w:val="00B7599B"/>
    <w:rsid w:val="00B75AFF"/>
    <w:rsid w:val="00B765CA"/>
    <w:rsid w:val="00B772BD"/>
    <w:rsid w:val="00B77DF7"/>
    <w:rsid w:val="00B8412E"/>
    <w:rsid w:val="00B851A8"/>
    <w:rsid w:val="00B856DA"/>
    <w:rsid w:val="00B8765D"/>
    <w:rsid w:val="00B87AB6"/>
    <w:rsid w:val="00B93245"/>
    <w:rsid w:val="00B96371"/>
    <w:rsid w:val="00B97B4C"/>
    <w:rsid w:val="00BA1261"/>
    <w:rsid w:val="00BA1F76"/>
    <w:rsid w:val="00BA2559"/>
    <w:rsid w:val="00BA49FE"/>
    <w:rsid w:val="00BA5DC1"/>
    <w:rsid w:val="00BA6C3B"/>
    <w:rsid w:val="00BB0119"/>
    <w:rsid w:val="00BB0F4E"/>
    <w:rsid w:val="00BB2067"/>
    <w:rsid w:val="00BB2D8B"/>
    <w:rsid w:val="00BB372A"/>
    <w:rsid w:val="00BB42EF"/>
    <w:rsid w:val="00BB5983"/>
    <w:rsid w:val="00BB758B"/>
    <w:rsid w:val="00BC09B3"/>
    <w:rsid w:val="00BC1DD2"/>
    <w:rsid w:val="00BC5571"/>
    <w:rsid w:val="00BC5676"/>
    <w:rsid w:val="00BC689E"/>
    <w:rsid w:val="00BD1BBA"/>
    <w:rsid w:val="00BD1E7E"/>
    <w:rsid w:val="00BD2346"/>
    <w:rsid w:val="00BD2FF4"/>
    <w:rsid w:val="00BD3B34"/>
    <w:rsid w:val="00BD5D70"/>
    <w:rsid w:val="00BD66E6"/>
    <w:rsid w:val="00BD782E"/>
    <w:rsid w:val="00BE1885"/>
    <w:rsid w:val="00BE30DE"/>
    <w:rsid w:val="00BE47F4"/>
    <w:rsid w:val="00BE5B4B"/>
    <w:rsid w:val="00BE5D9B"/>
    <w:rsid w:val="00BE67C3"/>
    <w:rsid w:val="00BE7434"/>
    <w:rsid w:val="00BF0682"/>
    <w:rsid w:val="00BF1147"/>
    <w:rsid w:val="00BF23D2"/>
    <w:rsid w:val="00BF349C"/>
    <w:rsid w:val="00BF3831"/>
    <w:rsid w:val="00BF4BB3"/>
    <w:rsid w:val="00BF57F0"/>
    <w:rsid w:val="00BF6A10"/>
    <w:rsid w:val="00C010A7"/>
    <w:rsid w:val="00C015DC"/>
    <w:rsid w:val="00C048DB"/>
    <w:rsid w:val="00C143F4"/>
    <w:rsid w:val="00C14DDD"/>
    <w:rsid w:val="00C16717"/>
    <w:rsid w:val="00C16FD9"/>
    <w:rsid w:val="00C173CA"/>
    <w:rsid w:val="00C173F7"/>
    <w:rsid w:val="00C176D2"/>
    <w:rsid w:val="00C17CC6"/>
    <w:rsid w:val="00C20009"/>
    <w:rsid w:val="00C20168"/>
    <w:rsid w:val="00C239AF"/>
    <w:rsid w:val="00C25E62"/>
    <w:rsid w:val="00C27682"/>
    <w:rsid w:val="00C31CF6"/>
    <w:rsid w:val="00C354EB"/>
    <w:rsid w:val="00C376DA"/>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E62"/>
    <w:rsid w:val="00C562BF"/>
    <w:rsid w:val="00C56FD7"/>
    <w:rsid w:val="00C60878"/>
    <w:rsid w:val="00C625DD"/>
    <w:rsid w:val="00C70920"/>
    <w:rsid w:val="00C70D92"/>
    <w:rsid w:val="00C7150E"/>
    <w:rsid w:val="00C72E70"/>
    <w:rsid w:val="00C73799"/>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A14"/>
    <w:rsid w:val="00C93E8E"/>
    <w:rsid w:val="00C95555"/>
    <w:rsid w:val="00C95F6B"/>
    <w:rsid w:val="00C96658"/>
    <w:rsid w:val="00CA0F34"/>
    <w:rsid w:val="00CA0FB3"/>
    <w:rsid w:val="00CA3412"/>
    <w:rsid w:val="00CA49B1"/>
    <w:rsid w:val="00CA4F7B"/>
    <w:rsid w:val="00CA691E"/>
    <w:rsid w:val="00CA6EEC"/>
    <w:rsid w:val="00CA7229"/>
    <w:rsid w:val="00CA7E20"/>
    <w:rsid w:val="00CB139E"/>
    <w:rsid w:val="00CB3DC0"/>
    <w:rsid w:val="00CB4136"/>
    <w:rsid w:val="00CB4C5C"/>
    <w:rsid w:val="00CB573E"/>
    <w:rsid w:val="00CB7D84"/>
    <w:rsid w:val="00CC11B8"/>
    <w:rsid w:val="00CC2555"/>
    <w:rsid w:val="00CC38FF"/>
    <w:rsid w:val="00CC4C68"/>
    <w:rsid w:val="00CC576D"/>
    <w:rsid w:val="00CC61A0"/>
    <w:rsid w:val="00CC6C74"/>
    <w:rsid w:val="00CC71D1"/>
    <w:rsid w:val="00CC7736"/>
    <w:rsid w:val="00CD1315"/>
    <w:rsid w:val="00CD2F8C"/>
    <w:rsid w:val="00CD48D5"/>
    <w:rsid w:val="00CD5EE9"/>
    <w:rsid w:val="00CD72FB"/>
    <w:rsid w:val="00CE2263"/>
    <w:rsid w:val="00CE304C"/>
    <w:rsid w:val="00CE6956"/>
    <w:rsid w:val="00CE6AEA"/>
    <w:rsid w:val="00CE722D"/>
    <w:rsid w:val="00CE782C"/>
    <w:rsid w:val="00CE7C72"/>
    <w:rsid w:val="00CF0F40"/>
    <w:rsid w:val="00CF1A54"/>
    <w:rsid w:val="00CF20FD"/>
    <w:rsid w:val="00CF2AD9"/>
    <w:rsid w:val="00CF3097"/>
    <w:rsid w:val="00CF3442"/>
    <w:rsid w:val="00CF3BA4"/>
    <w:rsid w:val="00CF3E33"/>
    <w:rsid w:val="00CF3F4C"/>
    <w:rsid w:val="00CF5DDA"/>
    <w:rsid w:val="00CF63EB"/>
    <w:rsid w:val="00D00CC7"/>
    <w:rsid w:val="00D01766"/>
    <w:rsid w:val="00D02802"/>
    <w:rsid w:val="00D03465"/>
    <w:rsid w:val="00D054A2"/>
    <w:rsid w:val="00D05578"/>
    <w:rsid w:val="00D11BF8"/>
    <w:rsid w:val="00D124F9"/>
    <w:rsid w:val="00D12AEB"/>
    <w:rsid w:val="00D13800"/>
    <w:rsid w:val="00D142B2"/>
    <w:rsid w:val="00D1440E"/>
    <w:rsid w:val="00D15494"/>
    <w:rsid w:val="00D15AA5"/>
    <w:rsid w:val="00D1799E"/>
    <w:rsid w:val="00D17C2F"/>
    <w:rsid w:val="00D223EB"/>
    <w:rsid w:val="00D234A6"/>
    <w:rsid w:val="00D23E55"/>
    <w:rsid w:val="00D24403"/>
    <w:rsid w:val="00D248EF"/>
    <w:rsid w:val="00D24AF2"/>
    <w:rsid w:val="00D25722"/>
    <w:rsid w:val="00D27182"/>
    <w:rsid w:val="00D279F2"/>
    <w:rsid w:val="00D3234B"/>
    <w:rsid w:val="00D33210"/>
    <w:rsid w:val="00D33B9C"/>
    <w:rsid w:val="00D35DF3"/>
    <w:rsid w:val="00D37D26"/>
    <w:rsid w:val="00D37DA4"/>
    <w:rsid w:val="00D37EAE"/>
    <w:rsid w:val="00D4103C"/>
    <w:rsid w:val="00D41E4A"/>
    <w:rsid w:val="00D41FAA"/>
    <w:rsid w:val="00D422E3"/>
    <w:rsid w:val="00D436C9"/>
    <w:rsid w:val="00D506CF"/>
    <w:rsid w:val="00D51950"/>
    <w:rsid w:val="00D54AD2"/>
    <w:rsid w:val="00D54B26"/>
    <w:rsid w:val="00D55FB4"/>
    <w:rsid w:val="00D56AEF"/>
    <w:rsid w:val="00D60585"/>
    <w:rsid w:val="00D6142C"/>
    <w:rsid w:val="00D6254B"/>
    <w:rsid w:val="00D63B4A"/>
    <w:rsid w:val="00D64C10"/>
    <w:rsid w:val="00D653C6"/>
    <w:rsid w:val="00D67AD8"/>
    <w:rsid w:val="00D71B61"/>
    <w:rsid w:val="00D7433F"/>
    <w:rsid w:val="00D753F8"/>
    <w:rsid w:val="00D75C50"/>
    <w:rsid w:val="00D76F45"/>
    <w:rsid w:val="00D76F97"/>
    <w:rsid w:val="00D849A9"/>
    <w:rsid w:val="00D851C5"/>
    <w:rsid w:val="00D85B70"/>
    <w:rsid w:val="00D86248"/>
    <w:rsid w:val="00D866CA"/>
    <w:rsid w:val="00D86DD3"/>
    <w:rsid w:val="00D93BBE"/>
    <w:rsid w:val="00D94501"/>
    <w:rsid w:val="00D956F1"/>
    <w:rsid w:val="00D95A4C"/>
    <w:rsid w:val="00DA30C7"/>
    <w:rsid w:val="00DA349F"/>
    <w:rsid w:val="00DA6574"/>
    <w:rsid w:val="00DA6F3F"/>
    <w:rsid w:val="00DB181C"/>
    <w:rsid w:val="00DB2E40"/>
    <w:rsid w:val="00DB499A"/>
    <w:rsid w:val="00DB53EB"/>
    <w:rsid w:val="00DB579D"/>
    <w:rsid w:val="00DB6498"/>
    <w:rsid w:val="00DB685D"/>
    <w:rsid w:val="00DB6A78"/>
    <w:rsid w:val="00DB78F7"/>
    <w:rsid w:val="00DC206F"/>
    <w:rsid w:val="00DC3F91"/>
    <w:rsid w:val="00DD0C1E"/>
    <w:rsid w:val="00DD1419"/>
    <w:rsid w:val="00DD15B6"/>
    <w:rsid w:val="00DD707B"/>
    <w:rsid w:val="00DD7317"/>
    <w:rsid w:val="00DD7384"/>
    <w:rsid w:val="00DD74BE"/>
    <w:rsid w:val="00DE05F5"/>
    <w:rsid w:val="00DE083F"/>
    <w:rsid w:val="00DE1DC5"/>
    <w:rsid w:val="00DE53D8"/>
    <w:rsid w:val="00DE6121"/>
    <w:rsid w:val="00DE7675"/>
    <w:rsid w:val="00DF07AB"/>
    <w:rsid w:val="00DF2366"/>
    <w:rsid w:val="00DF2716"/>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22AB"/>
    <w:rsid w:val="00E0307B"/>
    <w:rsid w:val="00E053D2"/>
    <w:rsid w:val="00E0607C"/>
    <w:rsid w:val="00E06845"/>
    <w:rsid w:val="00E0696A"/>
    <w:rsid w:val="00E069DE"/>
    <w:rsid w:val="00E06C94"/>
    <w:rsid w:val="00E07CD1"/>
    <w:rsid w:val="00E07F6A"/>
    <w:rsid w:val="00E07F7B"/>
    <w:rsid w:val="00E10890"/>
    <w:rsid w:val="00E1230B"/>
    <w:rsid w:val="00E14CF2"/>
    <w:rsid w:val="00E15BF1"/>
    <w:rsid w:val="00E15C5B"/>
    <w:rsid w:val="00E20E96"/>
    <w:rsid w:val="00E25B24"/>
    <w:rsid w:val="00E27352"/>
    <w:rsid w:val="00E30B4E"/>
    <w:rsid w:val="00E33041"/>
    <w:rsid w:val="00E34127"/>
    <w:rsid w:val="00E34361"/>
    <w:rsid w:val="00E36A96"/>
    <w:rsid w:val="00E36FE4"/>
    <w:rsid w:val="00E375B1"/>
    <w:rsid w:val="00E44060"/>
    <w:rsid w:val="00E45650"/>
    <w:rsid w:val="00E4579E"/>
    <w:rsid w:val="00E46C03"/>
    <w:rsid w:val="00E51913"/>
    <w:rsid w:val="00E5236C"/>
    <w:rsid w:val="00E54D9E"/>
    <w:rsid w:val="00E54E73"/>
    <w:rsid w:val="00E5594A"/>
    <w:rsid w:val="00E55FD8"/>
    <w:rsid w:val="00E56B19"/>
    <w:rsid w:val="00E6000D"/>
    <w:rsid w:val="00E6165E"/>
    <w:rsid w:val="00E61DF7"/>
    <w:rsid w:val="00E66076"/>
    <w:rsid w:val="00E701D0"/>
    <w:rsid w:val="00E716F0"/>
    <w:rsid w:val="00E71ED3"/>
    <w:rsid w:val="00E71F1D"/>
    <w:rsid w:val="00E72A8A"/>
    <w:rsid w:val="00E72C72"/>
    <w:rsid w:val="00E73075"/>
    <w:rsid w:val="00E73907"/>
    <w:rsid w:val="00E765D3"/>
    <w:rsid w:val="00E765E9"/>
    <w:rsid w:val="00E8043B"/>
    <w:rsid w:val="00E806BC"/>
    <w:rsid w:val="00E81CCC"/>
    <w:rsid w:val="00E84BDB"/>
    <w:rsid w:val="00E85FDE"/>
    <w:rsid w:val="00E86ACC"/>
    <w:rsid w:val="00E8740C"/>
    <w:rsid w:val="00E87B71"/>
    <w:rsid w:val="00E9046F"/>
    <w:rsid w:val="00E923B7"/>
    <w:rsid w:val="00E9257E"/>
    <w:rsid w:val="00E92D51"/>
    <w:rsid w:val="00E932CC"/>
    <w:rsid w:val="00E94723"/>
    <w:rsid w:val="00E951C0"/>
    <w:rsid w:val="00E973AC"/>
    <w:rsid w:val="00EA0562"/>
    <w:rsid w:val="00EA177F"/>
    <w:rsid w:val="00EA5364"/>
    <w:rsid w:val="00EA589C"/>
    <w:rsid w:val="00EA63D9"/>
    <w:rsid w:val="00EB03E8"/>
    <w:rsid w:val="00EB3372"/>
    <w:rsid w:val="00EB3A91"/>
    <w:rsid w:val="00EB60B1"/>
    <w:rsid w:val="00EB63FE"/>
    <w:rsid w:val="00EC0FF2"/>
    <w:rsid w:val="00EC102F"/>
    <w:rsid w:val="00EC2145"/>
    <w:rsid w:val="00EC39D3"/>
    <w:rsid w:val="00EC5F2B"/>
    <w:rsid w:val="00EC7F18"/>
    <w:rsid w:val="00ED11A7"/>
    <w:rsid w:val="00ED4A6A"/>
    <w:rsid w:val="00ED55BC"/>
    <w:rsid w:val="00EE0262"/>
    <w:rsid w:val="00EE0E26"/>
    <w:rsid w:val="00EE15A4"/>
    <w:rsid w:val="00EE5976"/>
    <w:rsid w:val="00EF1AF6"/>
    <w:rsid w:val="00EF3F98"/>
    <w:rsid w:val="00EF43C6"/>
    <w:rsid w:val="00EF4D6D"/>
    <w:rsid w:val="00EF5367"/>
    <w:rsid w:val="00EF7B23"/>
    <w:rsid w:val="00F017A9"/>
    <w:rsid w:val="00F038A9"/>
    <w:rsid w:val="00F055F8"/>
    <w:rsid w:val="00F065A1"/>
    <w:rsid w:val="00F06B13"/>
    <w:rsid w:val="00F0780E"/>
    <w:rsid w:val="00F101A5"/>
    <w:rsid w:val="00F12B4F"/>
    <w:rsid w:val="00F13D4E"/>
    <w:rsid w:val="00F15C16"/>
    <w:rsid w:val="00F160CC"/>
    <w:rsid w:val="00F2008B"/>
    <w:rsid w:val="00F21CEC"/>
    <w:rsid w:val="00F22098"/>
    <w:rsid w:val="00F23FE9"/>
    <w:rsid w:val="00F2425E"/>
    <w:rsid w:val="00F2668C"/>
    <w:rsid w:val="00F273E5"/>
    <w:rsid w:val="00F31375"/>
    <w:rsid w:val="00F327BD"/>
    <w:rsid w:val="00F33195"/>
    <w:rsid w:val="00F358C6"/>
    <w:rsid w:val="00F35DC5"/>
    <w:rsid w:val="00F36E10"/>
    <w:rsid w:val="00F37114"/>
    <w:rsid w:val="00F375D5"/>
    <w:rsid w:val="00F377FC"/>
    <w:rsid w:val="00F442EE"/>
    <w:rsid w:val="00F44AC8"/>
    <w:rsid w:val="00F4550A"/>
    <w:rsid w:val="00F45A79"/>
    <w:rsid w:val="00F50CED"/>
    <w:rsid w:val="00F51EAF"/>
    <w:rsid w:val="00F5250D"/>
    <w:rsid w:val="00F52B8A"/>
    <w:rsid w:val="00F54F74"/>
    <w:rsid w:val="00F55878"/>
    <w:rsid w:val="00F5589B"/>
    <w:rsid w:val="00F5646B"/>
    <w:rsid w:val="00F564AF"/>
    <w:rsid w:val="00F57807"/>
    <w:rsid w:val="00F648BC"/>
    <w:rsid w:val="00F65C63"/>
    <w:rsid w:val="00F66881"/>
    <w:rsid w:val="00F729F3"/>
    <w:rsid w:val="00F747E9"/>
    <w:rsid w:val="00F75B25"/>
    <w:rsid w:val="00F76C99"/>
    <w:rsid w:val="00F804A0"/>
    <w:rsid w:val="00F805AF"/>
    <w:rsid w:val="00F8212F"/>
    <w:rsid w:val="00F84D44"/>
    <w:rsid w:val="00F85E32"/>
    <w:rsid w:val="00F90453"/>
    <w:rsid w:val="00F9073C"/>
    <w:rsid w:val="00F90C54"/>
    <w:rsid w:val="00F92D3B"/>
    <w:rsid w:val="00F93E01"/>
    <w:rsid w:val="00F95028"/>
    <w:rsid w:val="00F956B0"/>
    <w:rsid w:val="00F96015"/>
    <w:rsid w:val="00F965BD"/>
    <w:rsid w:val="00F970D1"/>
    <w:rsid w:val="00FA0244"/>
    <w:rsid w:val="00FA207E"/>
    <w:rsid w:val="00FA2294"/>
    <w:rsid w:val="00FA24C1"/>
    <w:rsid w:val="00FA2790"/>
    <w:rsid w:val="00FA2CD1"/>
    <w:rsid w:val="00FA59CA"/>
    <w:rsid w:val="00FA5F90"/>
    <w:rsid w:val="00FA7C14"/>
    <w:rsid w:val="00FB1E9F"/>
    <w:rsid w:val="00FB3938"/>
    <w:rsid w:val="00FB5624"/>
    <w:rsid w:val="00FB6B1B"/>
    <w:rsid w:val="00FB7800"/>
    <w:rsid w:val="00FC3E50"/>
    <w:rsid w:val="00FC40E5"/>
    <w:rsid w:val="00FC4760"/>
    <w:rsid w:val="00FC498E"/>
    <w:rsid w:val="00FC549D"/>
    <w:rsid w:val="00FC6EEA"/>
    <w:rsid w:val="00FD0471"/>
    <w:rsid w:val="00FD1088"/>
    <w:rsid w:val="00FD19F9"/>
    <w:rsid w:val="00FD1CC4"/>
    <w:rsid w:val="00FD4BAD"/>
    <w:rsid w:val="00FD4C5C"/>
    <w:rsid w:val="00FE0B49"/>
    <w:rsid w:val="00FE3604"/>
    <w:rsid w:val="00FE4B35"/>
    <w:rsid w:val="00FF03A3"/>
    <w:rsid w:val="00FF1221"/>
    <w:rsid w:val="00FF2FAD"/>
    <w:rsid w:val="00FF328B"/>
    <w:rsid w:val="00FF375A"/>
    <w:rsid w:val="00FF4BA9"/>
    <w:rsid w:val="00FF58EF"/>
    <w:rsid w:val="00FF71FF"/>
    <w:rsid w:val="00FF7FDE"/>
    <w:rsid w:val="013BCDB0"/>
    <w:rsid w:val="01CEC757"/>
    <w:rsid w:val="02697F60"/>
    <w:rsid w:val="037DBFE4"/>
    <w:rsid w:val="039C81DC"/>
    <w:rsid w:val="03ABCB93"/>
    <w:rsid w:val="03CE81C5"/>
    <w:rsid w:val="04B1C22D"/>
    <w:rsid w:val="064ED3C1"/>
    <w:rsid w:val="06D78DB5"/>
    <w:rsid w:val="07DB7799"/>
    <w:rsid w:val="08D7FE04"/>
    <w:rsid w:val="09FEF949"/>
    <w:rsid w:val="0C21A9FC"/>
    <w:rsid w:val="0C408CD0"/>
    <w:rsid w:val="0C9CFF36"/>
    <w:rsid w:val="0D358D75"/>
    <w:rsid w:val="0DE5FB12"/>
    <w:rsid w:val="0E6B78B0"/>
    <w:rsid w:val="114CCD1B"/>
    <w:rsid w:val="118F5011"/>
    <w:rsid w:val="123C71C3"/>
    <w:rsid w:val="1280A4C2"/>
    <w:rsid w:val="128AEA7D"/>
    <w:rsid w:val="139A2851"/>
    <w:rsid w:val="13BE12B4"/>
    <w:rsid w:val="13C152AB"/>
    <w:rsid w:val="13CA78A6"/>
    <w:rsid w:val="13CFCF31"/>
    <w:rsid w:val="14375125"/>
    <w:rsid w:val="1438F172"/>
    <w:rsid w:val="1453C391"/>
    <w:rsid w:val="14D984DD"/>
    <w:rsid w:val="154E875F"/>
    <w:rsid w:val="16399ADA"/>
    <w:rsid w:val="168D1ED5"/>
    <w:rsid w:val="16C891E0"/>
    <w:rsid w:val="16CDB89A"/>
    <w:rsid w:val="16ED1525"/>
    <w:rsid w:val="16F04A73"/>
    <w:rsid w:val="17EE76CA"/>
    <w:rsid w:val="185BF2FF"/>
    <w:rsid w:val="18A0C2F5"/>
    <w:rsid w:val="18C88BF6"/>
    <w:rsid w:val="18F3610A"/>
    <w:rsid w:val="19709484"/>
    <w:rsid w:val="19DC5D5A"/>
    <w:rsid w:val="19F1CD5D"/>
    <w:rsid w:val="1AB53C3C"/>
    <w:rsid w:val="1AF54BA7"/>
    <w:rsid w:val="1B8B16AC"/>
    <w:rsid w:val="1D14F8EE"/>
    <w:rsid w:val="1D65EA61"/>
    <w:rsid w:val="1E028316"/>
    <w:rsid w:val="1EB6E521"/>
    <w:rsid w:val="1F409F98"/>
    <w:rsid w:val="1FEF00B4"/>
    <w:rsid w:val="204D56A7"/>
    <w:rsid w:val="20DEEF6A"/>
    <w:rsid w:val="22FECB83"/>
    <w:rsid w:val="253103D1"/>
    <w:rsid w:val="2541FF9D"/>
    <w:rsid w:val="25AD7B2A"/>
    <w:rsid w:val="25B0BE06"/>
    <w:rsid w:val="26569ED9"/>
    <w:rsid w:val="2771A866"/>
    <w:rsid w:val="2798DE3D"/>
    <w:rsid w:val="2954908A"/>
    <w:rsid w:val="298F7445"/>
    <w:rsid w:val="2AC4B6D6"/>
    <w:rsid w:val="2B38DC8F"/>
    <w:rsid w:val="2BABE8B1"/>
    <w:rsid w:val="2C20D464"/>
    <w:rsid w:val="2CC03CB2"/>
    <w:rsid w:val="2D569E35"/>
    <w:rsid w:val="2D8A4EBA"/>
    <w:rsid w:val="2DD2F093"/>
    <w:rsid w:val="2E18494C"/>
    <w:rsid w:val="2E5B9557"/>
    <w:rsid w:val="2E5C5E0A"/>
    <w:rsid w:val="2EE2009A"/>
    <w:rsid w:val="2EFB24AA"/>
    <w:rsid w:val="2F376085"/>
    <w:rsid w:val="2F414953"/>
    <w:rsid w:val="2F78B72B"/>
    <w:rsid w:val="30078913"/>
    <w:rsid w:val="30766FE0"/>
    <w:rsid w:val="30778017"/>
    <w:rsid w:val="30AE2FFF"/>
    <w:rsid w:val="3193AF13"/>
    <w:rsid w:val="32227066"/>
    <w:rsid w:val="337FE2E1"/>
    <w:rsid w:val="33B3192E"/>
    <w:rsid w:val="353AD437"/>
    <w:rsid w:val="35BA2915"/>
    <w:rsid w:val="35CF2A93"/>
    <w:rsid w:val="38EA1487"/>
    <w:rsid w:val="3A2CBF75"/>
    <w:rsid w:val="3AAB00E6"/>
    <w:rsid w:val="3AD81DBD"/>
    <w:rsid w:val="3B3DA129"/>
    <w:rsid w:val="3D5A7A88"/>
    <w:rsid w:val="3E702618"/>
    <w:rsid w:val="3E8A0881"/>
    <w:rsid w:val="3EF3BE01"/>
    <w:rsid w:val="3F94EBF0"/>
    <w:rsid w:val="40F7BBEC"/>
    <w:rsid w:val="418B5089"/>
    <w:rsid w:val="41DF9B29"/>
    <w:rsid w:val="424146E4"/>
    <w:rsid w:val="4278AEDA"/>
    <w:rsid w:val="42E6EB36"/>
    <w:rsid w:val="43078184"/>
    <w:rsid w:val="435DACFD"/>
    <w:rsid w:val="43E97AD3"/>
    <w:rsid w:val="442D9823"/>
    <w:rsid w:val="45E6EB3D"/>
    <w:rsid w:val="46F5CD14"/>
    <w:rsid w:val="4762B90E"/>
    <w:rsid w:val="47D94201"/>
    <w:rsid w:val="4859B31D"/>
    <w:rsid w:val="48952E7E"/>
    <w:rsid w:val="4990F48B"/>
    <w:rsid w:val="4B104FE4"/>
    <w:rsid w:val="4B5B8448"/>
    <w:rsid w:val="4BF24F62"/>
    <w:rsid w:val="4DD9D802"/>
    <w:rsid w:val="4F778EE4"/>
    <w:rsid w:val="4F850F62"/>
    <w:rsid w:val="508CBFAE"/>
    <w:rsid w:val="51573061"/>
    <w:rsid w:val="51C787CD"/>
    <w:rsid w:val="51CB98F2"/>
    <w:rsid w:val="54759E1A"/>
    <w:rsid w:val="547661BC"/>
    <w:rsid w:val="5486A82A"/>
    <w:rsid w:val="54DC7A99"/>
    <w:rsid w:val="54F02E44"/>
    <w:rsid w:val="54F4207F"/>
    <w:rsid w:val="55C80A0D"/>
    <w:rsid w:val="574B8098"/>
    <w:rsid w:val="578A422C"/>
    <w:rsid w:val="57F9BBAD"/>
    <w:rsid w:val="5A4D54AE"/>
    <w:rsid w:val="5C6DD620"/>
    <w:rsid w:val="5E128E14"/>
    <w:rsid w:val="5E5B0DC3"/>
    <w:rsid w:val="5E642B2B"/>
    <w:rsid w:val="5FA9AACF"/>
    <w:rsid w:val="607112E7"/>
    <w:rsid w:val="60C0EEB6"/>
    <w:rsid w:val="62B7B319"/>
    <w:rsid w:val="6321E072"/>
    <w:rsid w:val="637556C9"/>
    <w:rsid w:val="644DFD9B"/>
    <w:rsid w:val="652C0D5B"/>
    <w:rsid w:val="66C7DD69"/>
    <w:rsid w:val="66D2692C"/>
    <w:rsid w:val="69ABCEC8"/>
    <w:rsid w:val="69EF334C"/>
    <w:rsid w:val="6B36270B"/>
    <w:rsid w:val="6C3CA1F1"/>
    <w:rsid w:val="6C47D8F4"/>
    <w:rsid w:val="6D3A3FDC"/>
    <w:rsid w:val="6D98A9D4"/>
    <w:rsid w:val="6E176A45"/>
    <w:rsid w:val="6EA89870"/>
    <w:rsid w:val="703019B4"/>
    <w:rsid w:val="707ABD96"/>
    <w:rsid w:val="73BEE449"/>
    <w:rsid w:val="746B2A1B"/>
    <w:rsid w:val="74C89262"/>
    <w:rsid w:val="74CE3DCD"/>
    <w:rsid w:val="75737AF7"/>
    <w:rsid w:val="75F1A498"/>
    <w:rsid w:val="762FA425"/>
    <w:rsid w:val="7636373D"/>
    <w:rsid w:val="76B4B708"/>
    <w:rsid w:val="76C7A936"/>
    <w:rsid w:val="77982B0C"/>
    <w:rsid w:val="77BDC06F"/>
    <w:rsid w:val="7983799F"/>
    <w:rsid w:val="79BCA593"/>
    <w:rsid w:val="7A344F7F"/>
    <w:rsid w:val="7A62FAED"/>
    <w:rsid w:val="7C129543"/>
    <w:rsid w:val="7F3E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31659"/>
    <w:rPr>
      <w:color w:val="954F72" w:themeColor="followedHyperlink"/>
      <w:u w:val="single"/>
    </w:rPr>
  </w:style>
  <w:style w:type="character" w:customStyle="1" w:styleId="normaltextrun">
    <w:name w:val="normaltextrun"/>
    <w:basedOn w:val="DefaultParagraphFont"/>
    <w:rsid w:val="00F57807"/>
  </w:style>
  <w:style w:type="character" w:customStyle="1" w:styleId="eop">
    <w:name w:val="eop"/>
    <w:basedOn w:val="DefaultParagraphFont"/>
    <w:rsid w:val="00F57807"/>
  </w:style>
  <w:style w:type="paragraph" w:customStyle="1" w:styleId="paragraph">
    <w:name w:val="paragraph"/>
    <w:basedOn w:val="Normal"/>
    <w:rsid w:val="00F578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ID">
    <w:name w:val="DocID"/>
    <w:rsid w:val="00436DE0"/>
    <w:pPr>
      <w:spacing w:after="0" w:line="240" w:lineRule="auto"/>
    </w:pPr>
    <w:rPr>
      <w:rFonts w:ascii="Times New Roman" w:eastAsia="Calibri" w:hAnsi="Times New Roman" w:cs="Times New Roman"/>
      <w:sz w:val="16"/>
      <w:szCs w:val="20"/>
    </w:rPr>
  </w:style>
  <w:style w:type="character" w:styleId="UnresolvedMention">
    <w:name w:val="Unresolved Mention"/>
    <w:basedOn w:val="DefaultParagraphFont"/>
    <w:uiPriority w:val="99"/>
    <w:semiHidden/>
    <w:unhideWhenUsed/>
    <w:rsid w:val="004D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131942545">
      <w:bodyDiv w:val="1"/>
      <w:marLeft w:val="0"/>
      <w:marRight w:val="0"/>
      <w:marTop w:val="0"/>
      <w:marBottom w:val="0"/>
      <w:divBdr>
        <w:top w:val="none" w:sz="0" w:space="0" w:color="auto"/>
        <w:left w:val="none" w:sz="0" w:space="0" w:color="auto"/>
        <w:bottom w:val="none" w:sz="0" w:space="0" w:color="auto"/>
        <w:right w:val="none" w:sz="0" w:space="0" w:color="auto"/>
      </w:divBdr>
    </w:div>
    <w:div w:id="152180491">
      <w:bodyDiv w:val="1"/>
      <w:marLeft w:val="0"/>
      <w:marRight w:val="0"/>
      <w:marTop w:val="0"/>
      <w:marBottom w:val="0"/>
      <w:divBdr>
        <w:top w:val="none" w:sz="0" w:space="0" w:color="auto"/>
        <w:left w:val="none" w:sz="0" w:space="0" w:color="auto"/>
        <w:bottom w:val="none" w:sz="0" w:space="0" w:color="auto"/>
        <w:right w:val="none" w:sz="0" w:space="0" w:color="auto"/>
      </w:divBdr>
    </w:div>
    <w:div w:id="154927582">
      <w:bodyDiv w:val="1"/>
      <w:marLeft w:val="0"/>
      <w:marRight w:val="0"/>
      <w:marTop w:val="0"/>
      <w:marBottom w:val="0"/>
      <w:divBdr>
        <w:top w:val="none" w:sz="0" w:space="0" w:color="auto"/>
        <w:left w:val="none" w:sz="0" w:space="0" w:color="auto"/>
        <w:bottom w:val="none" w:sz="0" w:space="0" w:color="auto"/>
        <w:right w:val="none" w:sz="0" w:space="0" w:color="auto"/>
      </w:divBdr>
    </w:div>
    <w:div w:id="249512555">
      <w:bodyDiv w:val="1"/>
      <w:marLeft w:val="0"/>
      <w:marRight w:val="0"/>
      <w:marTop w:val="0"/>
      <w:marBottom w:val="0"/>
      <w:divBdr>
        <w:top w:val="none" w:sz="0" w:space="0" w:color="auto"/>
        <w:left w:val="none" w:sz="0" w:space="0" w:color="auto"/>
        <w:bottom w:val="none" w:sz="0" w:space="0" w:color="auto"/>
        <w:right w:val="none" w:sz="0" w:space="0" w:color="auto"/>
      </w:divBdr>
    </w:div>
    <w:div w:id="25660273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47883719">
      <w:bodyDiv w:val="1"/>
      <w:marLeft w:val="0"/>
      <w:marRight w:val="0"/>
      <w:marTop w:val="0"/>
      <w:marBottom w:val="0"/>
      <w:divBdr>
        <w:top w:val="none" w:sz="0" w:space="0" w:color="auto"/>
        <w:left w:val="none" w:sz="0" w:space="0" w:color="auto"/>
        <w:bottom w:val="none" w:sz="0" w:space="0" w:color="auto"/>
        <w:right w:val="none" w:sz="0" w:space="0" w:color="auto"/>
      </w:divBdr>
    </w:div>
    <w:div w:id="551306946">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594170523">
      <w:bodyDiv w:val="1"/>
      <w:marLeft w:val="0"/>
      <w:marRight w:val="0"/>
      <w:marTop w:val="0"/>
      <w:marBottom w:val="0"/>
      <w:divBdr>
        <w:top w:val="none" w:sz="0" w:space="0" w:color="auto"/>
        <w:left w:val="none" w:sz="0" w:space="0" w:color="auto"/>
        <w:bottom w:val="none" w:sz="0" w:space="0" w:color="auto"/>
        <w:right w:val="none" w:sz="0" w:space="0" w:color="auto"/>
      </w:divBdr>
      <w:divsChild>
        <w:div w:id="45375078">
          <w:marLeft w:val="0"/>
          <w:marRight w:val="0"/>
          <w:marTop w:val="0"/>
          <w:marBottom w:val="0"/>
          <w:divBdr>
            <w:top w:val="none" w:sz="0" w:space="0" w:color="auto"/>
            <w:left w:val="none" w:sz="0" w:space="0" w:color="auto"/>
            <w:bottom w:val="none" w:sz="0" w:space="0" w:color="auto"/>
            <w:right w:val="none" w:sz="0" w:space="0" w:color="auto"/>
          </w:divBdr>
        </w:div>
      </w:divsChild>
    </w:div>
    <w:div w:id="703945276">
      <w:bodyDiv w:val="1"/>
      <w:marLeft w:val="0"/>
      <w:marRight w:val="0"/>
      <w:marTop w:val="0"/>
      <w:marBottom w:val="0"/>
      <w:divBdr>
        <w:top w:val="none" w:sz="0" w:space="0" w:color="auto"/>
        <w:left w:val="none" w:sz="0" w:space="0" w:color="auto"/>
        <w:bottom w:val="none" w:sz="0" w:space="0" w:color="auto"/>
        <w:right w:val="none" w:sz="0" w:space="0" w:color="auto"/>
      </w:divBdr>
    </w:div>
    <w:div w:id="778260409">
      <w:bodyDiv w:val="1"/>
      <w:marLeft w:val="0"/>
      <w:marRight w:val="0"/>
      <w:marTop w:val="0"/>
      <w:marBottom w:val="0"/>
      <w:divBdr>
        <w:top w:val="none" w:sz="0" w:space="0" w:color="auto"/>
        <w:left w:val="none" w:sz="0" w:space="0" w:color="auto"/>
        <w:bottom w:val="none" w:sz="0" w:space="0" w:color="auto"/>
        <w:right w:val="none" w:sz="0" w:space="0" w:color="auto"/>
      </w:divBdr>
    </w:div>
    <w:div w:id="810485310">
      <w:bodyDiv w:val="1"/>
      <w:marLeft w:val="0"/>
      <w:marRight w:val="0"/>
      <w:marTop w:val="0"/>
      <w:marBottom w:val="0"/>
      <w:divBdr>
        <w:top w:val="none" w:sz="0" w:space="0" w:color="auto"/>
        <w:left w:val="none" w:sz="0" w:space="0" w:color="auto"/>
        <w:bottom w:val="none" w:sz="0" w:space="0" w:color="auto"/>
        <w:right w:val="none" w:sz="0" w:space="0" w:color="auto"/>
      </w:divBdr>
    </w:div>
    <w:div w:id="959845053">
      <w:bodyDiv w:val="1"/>
      <w:marLeft w:val="0"/>
      <w:marRight w:val="0"/>
      <w:marTop w:val="0"/>
      <w:marBottom w:val="0"/>
      <w:divBdr>
        <w:top w:val="none" w:sz="0" w:space="0" w:color="auto"/>
        <w:left w:val="none" w:sz="0" w:space="0" w:color="auto"/>
        <w:bottom w:val="none" w:sz="0" w:space="0" w:color="auto"/>
        <w:right w:val="none" w:sz="0" w:space="0" w:color="auto"/>
      </w:divBdr>
    </w:div>
    <w:div w:id="968128591">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159275782">
      <w:bodyDiv w:val="1"/>
      <w:marLeft w:val="0"/>
      <w:marRight w:val="0"/>
      <w:marTop w:val="0"/>
      <w:marBottom w:val="0"/>
      <w:divBdr>
        <w:top w:val="none" w:sz="0" w:space="0" w:color="auto"/>
        <w:left w:val="none" w:sz="0" w:space="0" w:color="auto"/>
        <w:bottom w:val="none" w:sz="0" w:space="0" w:color="auto"/>
        <w:right w:val="none" w:sz="0" w:space="0" w:color="auto"/>
      </w:divBdr>
    </w:div>
    <w:div w:id="1258712428">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10607317">
      <w:bodyDiv w:val="1"/>
      <w:marLeft w:val="0"/>
      <w:marRight w:val="0"/>
      <w:marTop w:val="0"/>
      <w:marBottom w:val="0"/>
      <w:divBdr>
        <w:top w:val="none" w:sz="0" w:space="0" w:color="auto"/>
        <w:left w:val="none" w:sz="0" w:space="0" w:color="auto"/>
        <w:bottom w:val="none" w:sz="0" w:space="0" w:color="auto"/>
        <w:right w:val="none" w:sz="0" w:space="0" w:color="auto"/>
      </w:divBdr>
    </w:div>
    <w:div w:id="1523129414">
      <w:bodyDiv w:val="1"/>
      <w:marLeft w:val="0"/>
      <w:marRight w:val="0"/>
      <w:marTop w:val="0"/>
      <w:marBottom w:val="0"/>
      <w:divBdr>
        <w:top w:val="none" w:sz="0" w:space="0" w:color="auto"/>
        <w:left w:val="none" w:sz="0" w:space="0" w:color="auto"/>
        <w:bottom w:val="none" w:sz="0" w:space="0" w:color="auto"/>
        <w:right w:val="none" w:sz="0" w:space="0" w:color="auto"/>
      </w:divBdr>
      <w:divsChild>
        <w:div w:id="865412278">
          <w:marLeft w:val="0"/>
          <w:marRight w:val="0"/>
          <w:marTop w:val="0"/>
          <w:marBottom w:val="0"/>
          <w:divBdr>
            <w:top w:val="none" w:sz="0" w:space="0" w:color="auto"/>
            <w:left w:val="none" w:sz="0" w:space="0" w:color="auto"/>
            <w:bottom w:val="none" w:sz="0" w:space="0" w:color="auto"/>
            <w:right w:val="none" w:sz="0" w:space="0" w:color="auto"/>
          </w:divBdr>
        </w:div>
        <w:div w:id="1549607889">
          <w:marLeft w:val="0"/>
          <w:marRight w:val="0"/>
          <w:marTop w:val="0"/>
          <w:marBottom w:val="0"/>
          <w:divBdr>
            <w:top w:val="none" w:sz="0" w:space="0" w:color="auto"/>
            <w:left w:val="none" w:sz="0" w:space="0" w:color="auto"/>
            <w:bottom w:val="none" w:sz="0" w:space="0" w:color="auto"/>
            <w:right w:val="none" w:sz="0" w:space="0" w:color="auto"/>
          </w:divBdr>
        </w:div>
        <w:div w:id="464853275">
          <w:marLeft w:val="0"/>
          <w:marRight w:val="0"/>
          <w:marTop w:val="0"/>
          <w:marBottom w:val="0"/>
          <w:divBdr>
            <w:top w:val="none" w:sz="0" w:space="0" w:color="auto"/>
            <w:left w:val="none" w:sz="0" w:space="0" w:color="auto"/>
            <w:bottom w:val="none" w:sz="0" w:space="0" w:color="auto"/>
            <w:right w:val="none" w:sz="0" w:space="0" w:color="auto"/>
          </w:divBdr>
        </w:div>
        <w:div w:id="831457763">
          <w:marLeft w:val="0"/>
          <w:marRight w:val="0"/>
          <w:marTop w:val="0"/>
          <w:marBottom w:val="0"/>
          <w:divBdr>
            <w:top w:val="none" w:sz="0" w:space="0" w:color="auto"/>
            <w:left w:val="none" w:sz="0" w:space="0" w:color="auto"/>
            <w:bottom w:val="none" w:sz="0" w:space="0" w:color="auto"/>
            <w:right w:val="none" w:sz="0" w:space="0" w:color="auto"/>
          </w:divBdr>
        </w:div>
        <w:div w:id="1270044324">
          <w:marLeft w:val="0"/>
          <w:marRight w:val="0"/>
          <w:marTop w:val="0"/>
          <w:marBottom w:val="0"/>
          <w:divBdr>
            <w:top w:val="none" w:sz="0" w:space="0" w:color="auto"/>
            <w:left w:val="none" w:sz="0" w:space="0" w:color="auto"/>
            <w:bottom w:val="none" w:sz="0" w:space="0" w:color="auto"/>
            <w:right w:val="none" w:sz="0" w:space="0" w:color="auto"/>
          </w:divBdr>
        </w:div>
        <w:div w:id="2058048949">
          <w:marLeft w:val="0"/>
          <w:marRight w:val="0"/>
          <w:marTop w:val="0"/>
          <w:marBottom w:val="0"/>
          <w:divBdr>
            <w:top w:val="none" w:sz="0" w:space="0" w:color="auto"/>
            <w:left w:val="none" w:sz="0" w:space="0" w:color="auto"/>
            <w:bottom w:val="none" w:sz="0" w:space="0" w:color="auto"/>
            <w:right w:val="none" w:sz="0" w:space="0" w:color="auto"/>
          </w:divBdr>
        </w:div>
        <w:div w:id="625619816">
          <w:marLeft w:val="0"/>
          <w:marRight w:val="0"/>
          <w:marTop w:val="0"/>
          <w:marBottom w:val="0"/>
          <w:divBdr>
            <w:top w:val="none" w:sz="0" w:space="0" w:color="auto"/>
            <w:left w:val="none" w:sz="0" w:space="0" w:color="auto"/>
            <w:bottom w:val="none" w:sz="0" w:space="0" w:color="auto"/>
            <w:right w:val="none" w:sz="0" w:space="0" w:color="auto"/>
          </w:divBdr>
        </w:div>
        <w:div w:id="875654910">
          <w:marLeft w:val="0"/>
          <w:marRight w:val="0"/>
          <w:marTop w:val="0"/>
          <w:marBottom w:val="0"/>
          <w:divBdr>
            <w:top w:val="none" w:sz="0" w:space="0" w:color="auto"/>
            <w:left w:val="none" w:sz="0" w:space="0" w:color="auto"/>
            <w:bottom w:val="none" w:sz="0" w:space="0" w:color="auto"/>
            <w:right w:val="none" w:sz="0" w:space="0" w:color="auto"/>
          </w:divBdr>
        </w:div>
        <w:div w:id="980156677">
          <w:marLeft w:val="0"/>
          <w:marRight w:val="0"/>
          <w:marTop w:val="0"/>
          <w:marBottom w:val="0"/>
          <w:divBdr>
            <w:top w:val="none" w:sz="0" w:space="0" w:color="auto"/>
            <w:left w:val="none" w:sz="0" w:space="0" w:color="auto"/>
            <w:bottom w:val="none" w:sz="0" w:space="0" w:color="auto"/>
            <w:right w:val="none" w:sz="0" w:space="0" w:color="auto"/>
          </w:divBdr>
        </w:div>
        <w:div w:id="738134304">
          <w:marLeft w:val="0"/>
          <w:marRight w:val="0"/>
          <w:marTop w:val="0"/>
          <w:marBottom w:val="0"/>
          <w:divBdr>
            <w:top w:val="none" w:sz="0" w:space="0" w:color="auto"/>
            <w:left w:val="none" w:sz="0" w:space="0" w:color="auto"/>
            <w:bottom w:val="none" w:sz="0" w:space="0" w:color="auto"/>
            <w:right w:val="none" w:sz="0" w:space="0" w:color="auto"/>
          </w:divBdr>
        </w:div>
        <w:div w:id="210311912">
          <w:marLeft w:val="0"/>
          <w:marRight w:val="0"/>
          <w:marTop w:val="0"/>
          <w:marBottom w:val="0"/>
          <w:divBdr>
            <w:top w:val="none" w:sz="0" w:space="0" w:color="auto"/>
            <w:left w:val="none" w:sz="0" w:space="0" w:color="auto"/>
            <w:bottom w:val="none" w:sz="0" w:space="0" w:color="auto"/>
            <w:right w:val="none" w:sz="0" w:space="0" w:color="auto"/>
          </w:divBdr>
        </w:div>
        <w:div w:id="992178124">
          <w:marLeft w:val="0"/>
          <w:marRight w:val="0"/>
          <w:marTop w:val="0"/>
          <w:marBottom w:val="0"/>
          <w:divBdr>
            <w:top w:val="none" w:sz="0" w:space="0" w:color="auto"/>
            <w:left w:val="none" w:sz="0" w:space="0" w:color="auto"/>
            <w:bottom w:val="none" w:sz="0" w:space="0" w:color="auto"/>
            <w:right w:val="none" w:sz="0" w:space="0" w:color="auto"/>
          </w:divBdr>
        </w:div>
        <w:div w:id="420762161">
          <w:marLeft w:val="0"/>
          <w:marRight w:val="0"/>
          <w:marTop w:val="0"/>
          <w:marBottom w:val="0"/>
          <w:divBdr>
            <w:top w:val="none" w:sz="0" w:space="0" w:color="auto"/>
            <w:left w:val="none" w:sz="0" w:space="0" w:color="auto"/>
            <w:bottom w:val="none" w:sz="0" w:space="0" w:color="auto"/>
            <w:right w:val="none" w:sz="0" w:space="0" w:color="auto"/>
          </w:divBdr>
        </w:div>
        <w:div w:id="1210531441">
          <w:marLeft w:val="0"/>
          <w:marRight w:val="0"/>
          <w:marTop w:val="0"/>
          <w:marBottom w:val="0"/>
          <w:divBdr>
            <w:top w:val="none" w:sz="0" w:space="0" w:color="auto"/>
            <w:left w:val="none" w:sz="0" w:space="0" w:color="auto"/>
            <w:bottom w:val="none" w:sz="0" w:space="0" w:color="auto"/>
            <w:right w:val="none" w:sz="0" w:space="0" w:color="auto"/>
          </w:divBdr>
        </w:div>
        <w:div w:id="172769351">
          <w:marLeft w:val="0"/>
          <w:marRight w:val="0"/>
          <w:marTop w:val="0"/>
          <w:marBottom w:val="0"/>
          <w:divBdr>
            <w:top w:val="none" w:sz="0" w:space="0" w:color="auto"/>
            <w:left w:val="none" w:sz="0" w:space="0" w:color="auto"/>
            <w:bottom w:val="none" w:sz="0" w:space="0" w:color="auto"/>
            <w:right w:val="none" w:sz="0" w:space="0" w:color="auto"/>
          </w:divBdr>
        </w:div>
        <w:div w:id="2060087140">
          <w:marLeft w:val="0"/>
          <w:marRight w:val="0"/>
          <w:marTop w:val="0"/>
          <w:marBottom w:val="0"/>
          <w:divBdr>
            <w:top w:val="none" w:sz="0" w:space="0" w:color="auto"/>
            <w:left w:val="none" w:sz="0" w:space="0" w:color="auto"/>
            <w:bottom w:val="none" w:sz="0" w:space="0" w:color="auto"/>
            <w:right w:val="none" w:sz="0" w:space="0" w:color="auto"/>
          </w:divBdr>
        </w:div>
        <w:div w:id="1835217688">
          <w:marLeft w:val="0"/>
          <w:marRight w:val="0"/>
          <w:marTop w:val="0"/>
          <w:marBottom w:val="0"/>
          <w:divBdr>
            <w:top w:val="none" w:sz="0" w:space="0" w:color="auto"/>
            <w:left w:val="none" w:sz="0" w:space="0" w:color="auto"/>
            <w:bottom w:val="none" w:sz="0" w:space="0" w:color="auto"/>
            <w:right w:val="none" w:sz="0" w:space="0" w:color="auto"/>
          </w:divBdr>
        </w:div>
        <w:div w:id="985085997">
          <w:marLeft w:val="0"/>
          <w:marRight w:val="0"/>
          <w:marTop w:val="0"/>
          <w:marBottom w:val="0"/>
          <w:divBdr>
            <w:top w:val="none" w:sz="0" w:space="0" w:color="auto"/>
            <w:left w:val="none" w:sz="0" w:space="0" w:color="auto"/>
            <w:bottom w:val="none" w:sz="0" w:space="0" w:color="auto"/>
            <w:right w:val="none" w:sz="0" w:space="0" w:color="auto"/>
          </w:divBdr>
        </w:div>
        <w:div w:id="602301183">
          <w:marLeft w:val="0"/>
          <w:marRight w:val="0"/>
          <w:marTop w:val="0"/>
          <w:marBottom w:val="0"/>
          <w:divBdr>
            <w:top w:val="none" w:sz="0" w:space="0" w:color="auto"/>
            <w:left w:val="none" w:sz="0" w:space="0" w:color="auto"/>
            <w:bottom w:val="none" w:sz="0" w:space="0" w:color="auto"/>
            <w:right w:val="none" w:sz="0" w:space="0" w:color="auto"/>
          </w:divBdr>
        </w:div>
        <w:div w:id="2135054147">
          <w:marLeft w:val="0"/>
          <w:marRight w:val="0"/>
          <w:marTop w:val="0"/>
          <w:marBottom w:val="0"/>
          <w:divBdr>
            <w:top w:val="none" w:sz="0" w:space="0" w:color="auto"/>
            <w:left w:val="none" w:sz="0" w:space="0" w:color="auto"/>
            <w:bottom w:val="none" w:sz="0" w:space="0" w:color="auto"/>
            <w:right w:val="none" w:sz="0" w:space="0" w:color="auto"/>
          </w:divBdr>
        </w:div>
        <w:div w:id="907375927">
          <w:marLeft w:val="0"/>
          <w:marRight w:val="0"/>
          <w:marTop w:val="0"/>
          <w:marBottom w:val="0"/>
          <w:divBdr>
            <w:top w:val="none" w:sz="0" w:space="0" w:color="auto"/>
            <w:left w:val="none" w:sz="0" w:space="0" w:color="auto"/>
            <w:bottom w:val="none" w:sz="0" w:space="0" w:color="auto"/>
            <w:right w:val="none" w:sz="0" w:space="0" w:color="auto"/>
          </w:divBdr>
        </w:div>
        <w:div w:id="1510832168">
          <w:marLeft w:val="0"/>
          <w:marRight w:val="0"/>
          <w:marTop w:val="0"/>
          <w:marBottom w:val="0"/>
          <w:divBdr>
            <w:top w:val="none" w:sz="0" w:space="0" w:color="auto"/>
            <w:left w:val="none" w:sz="0" w:space="0" w:color="auto"/>
            <w:bottom w:val="none" w:sz="0" w:space="0" w:color="auto"/>
            <w:right w:val="none" w:sz="0" w:space="0" w:color="auto"/>
          </w:divBdr>
        </w:div>
        <w:div w:id="1279991861">
          <w:marLeft w:val="0"/>
          <w:marRight w:val="0"/>
          <w:marTop w:val="0"/>
          <w:marBottom w:val="0"/>
          <w:divBdr>
            <w:top w:val="none" w:sz="0" w:space="0" w:color="auto"/>
            <w:left w:val="none" w:sz="0" w:space="0" w:color="auto"/>
            <w:bottom w:val="none" w:sz="0" w:space="0" w:color="auto"/>
            <w:right w:val="none" w:sz="0" w:space="0" w:color="auto"/>
          </w:divBdr>
        </w:div>
        <w:div w:id="522133944">
          <w:marLeft w:val="0"/>
          <w:marRight w:val="0"/>
          <w:marTop w:val="0"/>
          <w:marBottom w:val="0"/>
          <w:divBdr>
            <w:top w:val="none" w:sz="0" w:space="0" w:color="auto"/>
            <w:left w:val="none" w:sz="0" w:space="0" w:color="auto"/>
            <w:bottom w:val="none" w:sz="0" w:space="0" w:color="auto"/>
            <w:right w:val="none" w:sz="0" w:space="0" w:color="auto"/>
          </w:divBdr>
        </w:div>
        <w:div w:id="464853273">
          <w:marLeft w:val="0"/>
          <w:marRight w:val="0"/>
          <w:marTop w:val="0"/>
          <w:marBottom w:val="0"/>
          <w:divBdr>
            <w:top w:val="none" w:sz="0" w:space="0" w:color="auto"/>
            <w:left w:val="none" w:sz="0" w:space="0" w:color="auto"/>
            <w:bottom w:val="none" w:sz="0" w:space="0" w:color="auto"/>
            <w:right w:val="none" w:sz="0" w:space="0" w:color="auto"/>
          </w:divBdr>
        </w:div>
      </w:divsChild>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597783076">
      <w:bodyDiv w:val="1"/>
      <w:marLeft w:val="0"/>
      <w:marRight w:val="0"/>
      <w:marTop w:val="0"/>
      <w:marBottom w:val="0"/>
      <w:divBdr>
        <w:top w:val="none" w:sz="0" w:space="0" w:color="auto"/>
        <w:left w:val="none" w:sz="0" w:space="0" w:color="auto"/>
        <w:bottom w:val="none" w:sz="0" w:space="0" w:color="auto"/>
        <w:right w:val="none" w:sz="0" w:space="0" w:color="auto"/>
      </w:divBdr>
    </w:div>
    <w:div w:id="1604655621">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4444736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038237304">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H.DON@mas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sj.com/articles/the-consequences-of-skipping-doctor-appointments-during-the-covid-pandemic-11620067142" TargetMode="External"/><Relationship Id="rId13" Type="http://schemas.openxmlformats.org/officeDocument/2006/relationships/hyperlink" Target="https://link.springer.com/article/10.1007/s10900-013-9681-1" TargetMode="External"/><Relationship Id="rId3" Type="http://schemas.openxmlformats.org/officeDocument/2006/relationships/hyperlink" Target="https://www.roswellpark.org/cancertalk/202006/does-cancer-risk-increase-age" TargetMode="External"/><Relationship Id="rId7" Type="http://schemas.openxmlformats.org/officeDocument/2006/relationships/hyperlink" Target="https://www.wsj.com/articles/the-consequences-of-skipping-doctor-appointments-during-the-covid-pandemic-11620067142" TargetMode="External"/><Relationship Id="rId12" Type="http://schemas.openxmlformats.org/officeDocument/2006/relationships/hyperlink" Target="https://pubmed.ncbi.nlm.nih.gov/29577766/" TargetMode="External"/><Relationship Id="rId2" Type="http://schemas.openxmlformats.org/officeDocument/2006/relationships/hyperlink" Target="https://www.cancer.gov/about-cancer/causes-prevention/risk/age#:~:text=According%20to%20the%20most%20recent,diagnosed%20in%20this%20age%20group" TargetMode="External"/><Relationship Id="rId1" Type="http://schemas.openxmlformats.org/officeDocument/2006/relationships/hyperlink" Target="https://www.cancer.gov/about-cancer/causes-prevention/risk/age" TargetMode="External"/><Relationship Id="rId6" Type="http://schemas.openxmlformats.org/officeDocument/2006/relationships/hyperlink" Target="https://www.theregreview.org/2019/05/13/hales-appropriate-access-care-reducing-health-costs/" TargetMode="External"/><Relationship Id="rId11" Type="http://schemas.openxmlformats.org/officeDocument/2006/relationships/hyperlink" Target="https://pubmed.ncbi.nlm.nih.gov/29577766/" TargetMode="External"/><Relationship Id="rId5" Type="http://schemas.openxmlformats.org/officeDocument/2006/relationships/hyperlink" Target="https://www.theregreview.org/2019/05/13/hales-appropriate-access-care-reducing-health-costs/" TargetMode="External"/><Relationship Id="rId10" Type="http://schemas.openxmlformats.org/officeDocument/2006/relationships/hyperlink" Target="https://www.panfoundation.org/medication-non-adherence/" TargetMode="External"/><Relationship Id="rId4" Type="http://schemas.openxmlformats.org/officeDocument/2006/relationships/hyperlink" Target="https://www.roswellpark.org/cancertalk/202006/does-cancer-risk-increase-age#:~:text=Unfortunately%2C%20yes.,for%20recruiting%20cancer%2Dinitiating%20cells" TargetMode="External"/><Relationship Id="rId9" Type="http://schemas.openxmlformats.org/officeDocument/2006/relationships/hyperlink" Target="https://www.panfoundation.org/medication-non-adherence/" TargetMode="External"/><Relationship Id="rId14" Type="http://schemas.openxmlformats.org/officeDocument/2006/relationships/hyperlink" Target="https://link.springer.com/article/10.1007/s10900-013-9681-1" TargetMode="External"/></Relationships>
</file>

<file path=word/documenttasks/documenttasks1.xml><?xml version="1.0" encoding="utf-8"?>
<t:Tasks xmlns:t="http://schemas.microsoft.com/office/tasks/2019/documenttasks" xmlns:oel="http://schemas.microsoft.com/office/2019/extlst">
  <t:Task id="{449616EA-312A-4759-8E62-505A649216B7}">
    <t:Anchor>
      <t:Comment id="1306459334"/>
    </t:Anchor>
    <t:History>
      <t:Event id="{21D17873-CC37-443B-98BA-781C32A8EDB6}" time="2025-01-02T14:46:58.769Z">
        <t:Attribution userId="S::stephen.boyd@bilh.org::8201c10c-74de-419e-b2b3-7e8c946e5453" userProvider="AD" userName="Boyd, Stephen (BILH - Assistant Vice President, Assistant Deputy General Counsel)"/>
        <t:Anchor>
          <t:Comment id="1306459334"/>
        </t:Anchor>
        <t:Create/>
      </t:Event>
      <t:Event id="{B7156A62-E574-420A-9BE4-58F8FAB483AE}" time="2025-01-02T14:46:58.769Z">
        <t:Attribution userId="S::stephen.boyd@bilh.org::8201c10c-74de-419e-b2b3-7e8c946e5453" userProvider="AD" userName="Boyd, Stephen (BILH - Assistant Vice President, Assistant Deputy General Counsel)"/>
        <t:Anchor>
          <t:Comment id="1306459334"/>
        </t:Anchor>
        <t:Assign userId="S::lisa.neveling@bilh.org::36843c7e-c370-401e-ab67-bbc6355211fe" userProvider="AD" userName="Neveling, Lisa (BILH - AVP, Strategy)"/>
      </t:Event>
      <t:Event id="{8191235B-91CB-42DD-BFAD-085F7AF94303}" time="2025-01-02T14:46:58.769Z">
        <t:Attribution userId="S::stephen.boyd@bilh.org::8201c10c-74de-419e-b2b3-7e8c946e5453" userProvider="AD" userName="Boyd, Stephen (BILH - Assistant Vice President, Assistant Deputy General Counsel)"/>
        <t:Anchor>
          <t:Comment id="1306459334"/>
        </t:Anchor>
        <t:SetTitle title="@Neveling, Lisa (BILH - AVP, Strategy) , IMO/Abby can likely confi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Active!149460224.4</documentid>
  <senderid>SJAQUEZ</senderid>
  <senderemail>sharon.jaquez@ropesgray.com</senderemail>
  <lastmodified>2025-01-09T14:15:00.0000000-05:00</lastmodified>
  <database>Active</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2.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FD2BCA-4502-4E40-A33D-0A361745486E}">
  <ds:schemaRefs>
    <ds:schemaRef ds:uri="http://schemas.openxmlformats.org/officeDocument/2006/bibliography"/>
  </ds:schemaRefs>
</ds:datastoreItem>
</file>

<file path=customXml/itemProps4.xml><?xml version="1.0" encoding="utf-8"?>
<ds:datastoreItem xmlns:ds="http://schemas.openxmlformats.org/officeDocument/2006/customXml" ds:itemID="{D9FA225B-233E-46A9-B884-B7AE0037F8D3}">
  <ds:schemaRefs>
    <ds:schemaRef ds:uri="http://www.imanage.com/work/xmlschema"/>
  </ds:schemaRefs>
</ds:datastoreItem>
</file>

<file path=customXml/itemProps5.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45</TotalTime>
  <Pages>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12</cp:revision>
  <cp:lastPrinted>2022-04-08T14:57:00Z</cp:lastPrinted>
  <dcterms:created xsi:type="dcterms:W3CDTF">2025-01-09T00:28:00Z</dcterms:created>
  <dcterms:modified xsi:type="dcterms:W3CDTF">2025-01-24T13:14:00Z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DOCXDOCID">
    <vt:lpwstr>149460224_4</vt:lpwstr>
  </property>
  <property fmtid="{D5CDD505-2E9C-101B-9397-08002B2CF9AE}" pid="4" name="DocXFormat">
    <vt:lpwstr>DefaultFormat</vt:lpwstr>
  </property>
  <property fmtid="{D5CDD505-2E9C-101B-9397-08002B2CF9AE}" pid="5" name="DocXLocation">
    <vt:lpwstr>EveryPage</vt:lpwstr>
  </property>
  <property fmtid="{D5CDD505-2E9C-101B-9397-08002B2CF9AE}" pid="6" name="RGMatter">
    <vt:lpwstr>BIDM-245</vt:lpwstr>
  </property>
</Properties>
</file>