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A40ABE">
      <w:pPr>
        <w:spacing w:after="120"/>
        <w:jc w:val="center"/>
        <w:rPr>
          <w:rFonts w:cstheme="minorHAnsi"/>
          <w:b/>
          <w:bCs/>
        </w:rPr>
      </w:pPr>
    </w:p>
    <w:p w14:paraId="26D9C4F2" w14:textId="2C30C129" w:rsidR="00D45CF3" w:rsidRPr="00665920" w:rsidRDefault="001348C0" w:rsidP="005F5325">
      <w:pPr>
        <w:pStyle w:val="Heading1"/>
      </w:pPr>
      <w:r>
        <w:t xml:space="preserve"> </w:t>
      </w:r>
      <w:proofErr w:type="spellStart"/>
      <w:r>
        <w:t>DoN</w:t>
      </w:r>
      <w:proofErr w:type="spellEnd"/>
      <w:r>
        <w:t xml:space="preserve"> </w:t>
      </w:r>
      <w:r w:rsidR="00D45CF3" w:rsidRPr="005F5325">
        <w:t>QUESTIONS</w:t>
      </w:r>
      <w:r w:rsidR="00006750" w:rsidRPr="00665920">
        <w:t xml:space="preserve"> #</w:t>
      </w:r>
      <w:r w:rsidR="006F73FB">
        <w:t>2</w:t>
      </w:r>
    </w:p>
    <w:p w14:paraId="0B653DC0" w14:textId="77777777" w:rsidR="00D45CF3" w:rsidRPr="00665920" w:rsidRDefault="00D45CF3" w:rsidP="00A40ABE">
      <w:pPr>
        <w:spacing w:after="120"/>
        <w:jc w:val="center"/>
        <w:rPr>
          <w:rFonts w:cstheme="minorHAnsi"/>
        </w:rPr>
      </w:pPr>
      <w:r w:rsidRPr="00665920">
        <w:rPr>
          <w:rFonts w:cstheme="minorHAnsi"/>
          <w:i/>
          <w:iCs/>
        </w:rPr>
        <w:t xml:space="preserve">Responses should be sent to DoN staff at </w:t>
      </w:r>
      <w:hyperlink r:id="rId7" w:history="1">
        <w:r w:rsidRPr="00665920">
          <w:rPr>
            <w:rStyle w:val="Hyperlink"/>
            <w:rFonts w:cstheme="minorHAnsi"/>
          </w:rPr>
          <w:t>DPH.DON@State.MA.US</w:t>
        </w:r>
      </w:hyperlink>
    </w:p>
    <w:p w14:paraId="2A15505A" w14:textId="77777777" w:rsidR="005F5325" w:rsidRPr="00665920" w:rsidRDefault="005F5325" w:rsidP="005F5325">
      <w:pPr>
        <w:spacing w:after="120"/>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0EB864AA" w14:textId="77777777" w:rsidR="005F5325" w:rsidRPr="00665920" w:rsidRDefault="005F5325" w:rsidP="005F5325">
      <w:pPr>
        <w:pStyle w:val="ListParagraph"/>
        <w:numPr>
          <w:ilvl w:val="0"/>
          <w:numId w:val="2"/>
        </w:numPr>
        <w:spacing w:after="120"/>
        <w:contextualSpacing w:val="0"/>
        <w:rPr>
          <w:rFonts w:cstheme="minorHAnsi"/>
          <w:bCs/>
        </w:rPr>
      </w:pPr>
      <w:r w:rsidRPr="00665920">
        <w:rPr>
          <w:rFonts w:cstheme="minorHAnsi"/>
          <w:bCs/>
        </w:rPr>
        <w:t xml:space="preserve">List question number and question for each answer you provide </w:t>
      </w:r>
    </w:p>
    <w:p w14:paraId="52FA8AAC" w14:textId="77777777" w:rsidR="005F5325" w:rsidRPr="00665920" w:rsidRDefault="005F5325" w:rsidP="005F5325">
      <w:pPr>
        <w:pStyle w:val="ListParagraph"/>
        <w:numPr>
          <w:ilvl w:val="0"/>
          <w:numId w:val="2"/>
        </w:numPr>
        <w:spacing w:after="120"/>
        <w:contextualSpacing w:val="0"/>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70A6DC2C" w14:textId="77777777" w:rsidR="005F5325" w:rsidRPr="00665920" w:rsidRDefault="005F5325" w:rsidP="005F5325">
      <w:pPr>
        <w:pStyle w:val="ListParagraph"/>
        <w:numPr>
          <w:ilvl w:val="0"/>
          <w:numId w:val="2"/>
        </w:numPr>
        <w:spacing w:after="120"/>
        <w:contextualSpacing w:val="0"/>
        <w:rPr>
          <w:rFonts w:cstheme="minorHAnsi"/>
          <w:bCs/>
        </w:rPr>
      </w:pPr>
      <w:r w:rsidRPr="00665920">
        <w:rPr>
          <w:rFonts w:cstheme="minorHAnsi"/>
          <w:bCs/>
        </w:rPr>
        <w:t xml:space="preserve">When providing the answer to the final question, submit all questions and answers in one final document </w:t>
      </w:r>
    </w:p>
    <w:p w14:paraId="4C596F35" w14:textId="77777777" w:rsidR="005F5325" w:rsidRPr="00665920" w:rsidRDefault="005F5325" w:rsidP="005F5325">
      <w:pPr>
        <w:pStyle w:val="ListParagraph"/>
        <w:numPr>
          <w:ilvl w:val="0"/>
          <w:numId w:val="2"/>
        </w:numPr>
        <w:spacing w:after="120"/>
        <w:contextualSpacing w:val="0"/>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44D4A8CE" w14:textId="77777777" w:rsidR="005F5325" w:rsidRDefault="005F5325" w:rsidP="005F5325">
      <w:pPr>
        <w:pStyle w:val="ListParagraph"/>
        <w:numPr>
          <w:ilvl w:val="0"/>
          <w:numId w:val="2"/>
        </w:numPr>
        <w:spacing w:after="120"/>
        <w:contextualSpacing w:val="0"/>
        <w:rPr>
          <w:rFonts w:cstheme="minorHAnsi"/>
          <w:b/>
        </w:rPr>
      </w:pPr>
      <w:r w:rsidRPr="00665920">
        <w:rPr>
          <w:rFonts w:cstheme="minorHAnsi"/>
          <w:b/>
        </w:rPr>
        <w:t>Whenever possible, include a table with the response</w:t>
      </w:r>
    </w:p>
    <w:p w14:paraId="0A81B0B9" w14:textId="29F55BEF" w:rsidR="0066604A" w:rsidRPr="005F5325" w:rsidRDefault="005F5325" w:rsidP="005F5325">
      <w:pPr>
        <w:pStyle w:val="ListParagraph"/>
        <w:numPr>
          <w:ilvl w:val="0"/>
          <w:numId w:val="2"/>
        </w:numPr>
        <w:spacing w:after="120"/>
        <w:contextualSpacing w:val="0"/>
        <w:rPr>
          <w:rFonts w:cstheme="minorHAnsi"/>
          <w:b/>
        </w:rPr>
      </w:pPr>
      <w:r w:rsidRPr="005F5325">
        <w:rPr>
          <w:rFonts w:cstheme="minorHAnsi"/>
          <w:b/>
        </w:rPr>
        <w:t>For HIPAA compliance Do not include numbers &lt;11.</w:t>
      </w:r>
    </w:p>
    <w:p w14:paraId="6E542D62" w14:textId="6685CFFC" w:rsidR="00332060" w:rsidRDefault="00332060" w:rsidP="005F5325">
      <w:pPr>
        <w:pStyle w:val="Heading2"/>
      </w:pPr>
      <w:r w:rsidRPr="00332060">
        <w:t xml:space="preserve">Factor 1a: </w:t>
      </w:r>
      <w:r w:rsidRPr="005F5325">
        <w:t>Patient</w:t>
      </w:r>
      <w:r w:rsidRPr="00332060">
        <w:t xml:space="preserve"> Panel Need</w:t>
      </w:r>
    </w:p>
    <w:p w14:paraId="7C3F9D9C" w14:textId="551909EE" w:rsidR="004C541B" w:rsidRPr="004C541B" w:rsidRDefault="004C541B" w:rsidP="002D45FD">
      <w:pPr>
        <w:pStyle w:val="Heading3"/>
        <w:rPr>
          <w:b/>
          <w:bCs/>
        </w:rPr>
      </w:pPr>
      <w:r>
        <w:t xml:space="preserve">Responses to </w:t>
      </w:r>
      <w:proofErr w:type="spellStart"/>
      <w:r w:rsidRPr="002D45FD">
        <w:t>DoN</w:t>
      </w:r>
      <w:proofErr w:type="spellEnd"/>
      <w:r>
        <w:t xml:space="preserve"> Questions #1 states </w:t>
      </w:r>
      <w:r w:rsidRPr="004C541B">
        <w:t>Winchester Hospital patients comprise 64% of the Center’s patients and Atrius patients comprise the remaining 36% of patients</w:t>
      </w:r>
      <w:r>
        <w:t xml:space="preserve"> (pg.</w:t>
      </w:r>
      <w:r w:rsidR="004C6267">
        <w:t>2)</w:t>
      </w:r>
      <w:r w:rsidRPr="004C541B">
        <w:t>.</w:t>
      </w:r>
      <w:r w:rsidRPr="004C541B">
        <w:rPr>
          <w:b/>
          <w:bCs/>
        </w:rPr>
        <w:t xml:space="preserve"> </w:t>
      </w:r>
    </w:p>
    <w:p w14:paraId="1770D3D8" w14:textId="4FF97FEB" w:rsidR="00A72F1E" w:rsidRPr="00A40ABE" w:rsidRDefault="00DE1BCE" w:rsidP="00A40ABE">
      <w:pPr>
        <w:pStyle w:val="ListParagraph"/>
        <w:numPr>
          <w:ilvl w:val="1"/>
          <w:numId w:val="31"/>
        </w:numPr>
        <w:spacing w:after="120"/>
        <w:contextualSpacing w:val="0"/>
        <w:rPr>
          <w:rFonts w:cstheme="minorHAnsi"/>
        </w:rPr>
      </w:pPr>
      <w:r w:rsidRPr="00DE1BCE">
        <w:rPr>
          <w:rFonts w:cstheme="minorHAnsi"/>
        </w:rPr>
        <w:t>Are DHA patients counted separately from Winchester Hospital’s GI groups’ patients?</w:t>
      </w:r>
    </w:p>
    <w:p w14:paraId="4E5E4BF6" w14:textId="7944F75E" w:rsidR="00A72F1E" w:rsidRPr="00BF516A" w:rsidRDefault="00DA7EC9" w:rsidP="00BF516A">
      <w:pPr>
        <w:pStyle w:val="ListParagraph"/>
        <w:spacing w:after="120"/>
        <w:ind w:left="1440"/>
        <w:contextualSpacing w:val="0"/>
        <w:rPr>
          <w:rFonts w:cstheme="minorHAnsi"/>
          <w:b/>
          <w:bCs/>
        </w:rPr>
      </w:pPr>
      <w:r>
        <w:rPr>
          <w:rFonts w:cstheme="minorHAnsi"/>
          <w:b/>
          <w:bCs/>
        </w:rPr>
        <w:t xml:space="preserve">Yes. </w:t>
      </w:r>
    </w:p>
    <w:p w14:paraId="03AE71E2" w14:textId="7FD07044" w:rsidR="0059776A" w:rsidRPr="00A40ABE" w:rsidRDefault="000201BE" w:rsidP="00A40ABE">
      <w:pPr>
        <w:pStyle w:val="ListParagraph"/>
        <w:numPr>
          <w:ilvl w:val="1"/>
          <w:numId w:val="31"/>
        </w:numPr>
        <w:spacing w:after="120"/>
        <w:contextualSpacing w:val="0"/>
        <w:rPr>
          <w:rFonts w:cstheme="minorHAnsi"/>
        </w:rPr>
      </w:pPr>
      <w:r w:rsidRPr="0059776A">
        <w:rPr>
          <w:rFonts w:cstheme="minorHAnsi"/>
        </w:rPr>
        <w:t xml:space="preserve">Digestive Health Associates </w:t>
      </w:r>
      <w:r w:rsidR="00DE1BCE" w:rsidRPr="0059776A">
        <w:rPr>
          <w:rFonts w:cstheme="minorHAnsi"/>
        </w:rPr>
        <w:t xml:space="preserve">patients </w:t>
      </w:r>
      <w:r w:rsidRPr="0059776A">
        <w:rPr>
          <w:rFonts w:cstheme="minorHAnsi"/>
        </w:rPr>
        <w:t>comprise what percentage of the Center’s patients?</w:t>
      </w:r>
      <w:r w:rsidR="00C422D6" w:rsidRPr="0059776A">
        <w:rPr>
          <w:rFonts w:cstheme="minorHAnsi"/>
        </w:rPr>
        <w:t xml:space="preserve"> </w:t>
      </w:r>
    </w:p>
    <w:p w14:paraId="41C7B7FF" w14:textId="21EF4E9D" w:rsidR="000201BE" w:rsidRPr="00BF516A" w:rsidRDefault="0059776A" w:rsidP="00BF516A">
      <w:pPr>
        <w:pStyle w:val="ListParagraph"/>
        <w:spacing w:after="120"/>
        <w:ind w:left="1440"/>
        <w:contextualSpacing w:val="0"/>
        <w:rPr>
          <w:rFonts w:cstheme="minorHAnsi"/>
          <w:b/>
          <w:bCs/>
        </w:rPr>
      </w:pPr>
      <w:r>
        <w:rPr>
          <w:rFonts w:cstheme="minorHAnsi"/>
          <w:b/>
          <w:bCs/>
        </w:rPr>
        <w:t xml:space="preserve">30%. </w:t>
      </w:r>
    </w:p>
    <w:p w14:paraId="3076B30F" w14:textId="5888EFFF" w:rsidR="00920031" w:rsidRPr="00DC156C" w:rsidRDefault="006F73FB" w:rsidP="002D45FD">
      <w:pPr>
        <w:pStyle w:val="Heading3"/>
      </w:pPr>
      <w:r w:rsidRPr="00DC156C">
        <w:t xml:space="preserve">Explain </w:t>
      </w:r>
      <w:r w:rsidR="00A504CE" w:rsidRPr="00DC156C">
        <w:t xml:space="preserve">the reason for the decrease in Medicaid, in the Center’s payer mix from </w:t>
      </w:r>
      <w:r w:rsidR="00920031" w:rsidRPr="00DC156C">
        <w:t xml:space="preserve">FY23 to FY25, as well as strategies that Applicant is </w:t>
      </w:r>
      <w:r w:rsidR="00411826" w:rsidRPr="00DC156C">
        <w:t xml:space="preserve">implementing </w:t>
      </w:r>
      <w:r w:rsidR="00920031" w:rsidRPr="00DC156C">
        <w:t xml:space="preserve">to increase Medicaid in the Center’s payer mix. </w:t>
      </w:r>
    </w:p>
    <w:p w14:paraId="72CB117E" w14:textId="7201A917" w:rsidR="00356ACD" w:rsidRDefault="00DC156C" w:rsidP="00356ACD">
      <w:pPr>
        <w:pStyle w:val="ListParagraph"/>
        <w:spacing w:after="120"/>
        <w:rPr>
          <w:rFonts w:cstheme="minorHAnsi"/>
          <w:b/>
          <w:bCs/>
        </w:rPr>
      </w:pPr>
      <w:r>
        <w:rPr>
          <w:rFonts w:cstheme="minorHAnsi"/>
          <w:b/>
          <w:bCs/>
        </w:rPr>
        <w:t xml:space="preserve">Medicaid, inclusive of Managed Medicaid, </w:t>
      </w:r>
      <w:r w:rsidR="00BF516A">
        <w:rPr>
          <w:rFonts w:cstheme="minorHAnsi"/>
          <w:b/>
          <w:bCs/>
        </w:rPr>
        <w:t>increased from 298</w:t>
      </w:r>
      <w:r w:rsidR="00DB422B">
        <w:rPr>
          <w:rFonts w:cstheme="minorHAnsi"/>
          <w:b/>
          <w:bCs/>
        </w:rPr>
        <w:t xml:space="preserve"> covered patients in FY23</w:t>
      </w:r>
      <w:r w:rsidR="00BF516A">
        <w:rPr>
          <w:rFonts w:cstheme="minorHAnsi"/>
          <w:b/>
          <w:bCs/>
        </w:rPr>
        <w:t xml:space="preserve"> to 442 </w:t>
      </w:r>
      <w:r w:rsidR="00DB422B">
        <w:rPr>
          <w:rFonts w:cstheme="minorHAnsi"/>
          <w:b/>
          <w:bCs/>
        </w:rPr>
        <w:t xml:space="preserve">covered patients in FY25, </w:t>
      </w:r>
      <w:r w:rsidR="00BF516A">
        <w:rPr>
          <w:rFonts w:cstheme="minorHAnsi"/>
          <w:b/>
          <w:bCs/>
        </w:rPr>
        <w:t xml:space="preserve">demonstrating increased access to endoscopy by patients with Medicaid.  </w:t>
      </w:r>
      <w:r w:rsidR="00356ACD">
        <w:rPr>
          <w:rFonts w:cstheme="minorHAnsi"/>
          <w:b/>
          <w:bCs/>
        </w:rPr>
        <w:t>The Applicant further notes that t</w:t>
      </w:r>
      <w:r w:rsidR="00356ACD" w:rsidRPr="00356ACD">
        <w:rPr>
          <w:rFonts w:cstheme="minorHAnsi"/>
          <w:b/>
          <w:bCs/>
        </w:rPr>
        <w:t xml:space="preserve">he decrease in Medicaid patients as a percentage </w:t>
      </w:r>
      <w:r w:rsidR="00356ACD">
        <w:rPr>
          <w:rFonts w:cstheme="minorHAnsi"/>
          <w:b/>
          <w:bCs/>
        </w:rPr>
        <w:t xml:space="preserve">of the Center’s payer mix </w:t>
      </w:r>
      <w:r w:rsidR="00356ACD" w:rsidRPr="00356ACD">
        <w:rPr>
          <w:rFonts w:cstheme="minorHAnsi"/>
          <w:b/>
          <w:bCs/>
        </w:rPr>
        <w:t>is reflective of payer mix in Massachusetts overall. In 2025, fewer patients were enrolled with MassHealth statewide compared to 2023. For reference, 1,590,000 individuals were enrolled in MassHealth in 2023 and the number decreased to 1,270,000 in 2025, reflecting a 20% decline.</w:t>
      </w:r>
      <w:r w:rsidR="00356ACD">
        <w:rPr>
          <w:rStyle w:val="FootnoteReference"/>
          <w:rFonts w:cstheme="minorHAnsi"/>
          <w:b/>
          <w:bCs/>
        </w:rPr>
        <w:footnoteReference w:id="2"/>
      </w:r>
      <w:r w:rsidR="00356ACD" w:rsidRPr="00356ACD">
        <w:rPr>
          <w:rFonts w:cstheme="minorHAnsi"/>
          <w:b/>
          <w:bCs/>
        </w:rPr>
        <w:t xml:space="preserve"> The Applicant attributes the decline at Winchester Hospital to the decline at the state level. </w:t>
      </w:r>
    </w:p>
    <w:p w14:paraId="2F5E330F" w14:textId="77777777" w:rsidR="00356ACD" w:rsidRPr="002D45FD" w:rsidRDefault="00356ACD" w:rsidP="002D45FD">
      <w:pPr>
        <w:spacing w:after="120"/>
        <w:rPr>
          <w:rFonts w:cstheme="minorHAnsi"/>
          <w:b/>
          <w:bCs/>
        </w:rPr>
      </w:pPr>
    </w:p>
    <w:p w14:paraId="725DBCCD" w14:textId="77777777" w:rsidR="00356ACD" w:rsidRPr="00356ACD" w:rsidRDefault="00356ACD" w:rsidP="00356ACD">
      <w:pPr>
        <w:pStyle w:val="ListParagraph"/>
        <w:spacing w:after="120"/>
        <w:rPr>
          <w:rFonts w:cstheme="minorHAnsi"/>
          <w:b/>
          <w:bCs/>
        </w:rPr>
      </w:pPr>
    </w:p>
    <w:p w14:paraId="7647E3BB" w14:textId="1CFBA3C7" w:rsidR="00A40ABE" w:rsidRPr="00A40ABE" w:rsidRDefault="00F15A55" w:rsidP="002D45FD">
      <w:pPr>
        <w:pStyle w:val="Heading3"/>
      </w:pPr>
      <w:r w:rsidRPr="00A40ABE">
        <w:t xml:space="preserve">For comparison purposes, please provide current wait times for endoscopy procedures at Winchester Hospital – Main Campus Endoscopy. </w:t>
      </w:r>
    </w:p>
    <w:p w14:paraId="6CF5E7CF" w14:textId="00A7E269" w:rsidR="00C74738" w:rsidRPr="007E437C" w:rsidRDefault="00A40ABE" w:rsidP="007E437C">
      <w:pPr>
        <w:pStyle w:val="ListParagraph"/>
        <w:spacing w:after="120"/>
        <w:contextualSpacing w:val="0"/>
        <w:rPr>
          <w:rFonts w:cstheme="minorHAnsi"/>
          <w:b/>
          <w:bCs/>
        </w:rPr>
      </w:pPr>
      <w:r>
        <w:rPr>
          <w:rFonts w:cstheme="minorHAnsi"/>
          <w:b/>
          <w:bCs/>
        </w:rPr>
        <w:lastRenderedPageBreak/>
        <w:t xml:space="preserve">Wait time for endoscopy at the Hospital’s main campus are one to three months depending on when the patient’s GI physician has available block time. </w:t>
      </w:r>
    </w:p>
    <w:p w14:paraId="49BC8D2F" w14:textId="4C3373FF" w:rsidR="00C74738" w:rsidRPr="007E437C" w:rsidRDefault="00462480" w:rsidP="002D45FD">
      <w:pPr>
        <w:pStyle w:val="Heading3"/>
      </w:pPr>
      <w:r w:rsidRPr="007E437C">
        <w:t xml:space="preserve">Responses to DoN Questions #1 states, </w:t>
      </w:r>
      <w:r w:rsidR="00C74738" w:rsidRPr="007E437C">
        <w:t xml:space="preserve">Winchester GI, DHA, and Atrius each have 90 hours of block time a week (pg.3). </w:t>
      </w:r>
    </w:p>
    <w:p w14:paraId="6CF05B72" w14:textId="618118F7" w:rsidR="00301D2C" w:rsidRPr="007E437C" w:rsidRDefault="006D3382" w:rsidP="00A40ABE">
      <w:pPr>
        <w:pStyle w:val="ListParagraph"/>
        <w:numPr>
          <w:ilvl w:val="1"/>
          <w:numId w:val="31"/>
        </w:numPr>
        <w:spacing w:after="120"/>
        <w:contextualSpacing w:val="0"/>
        <w:rPr>
          <w:rFonts w:cstheme="minorHAnsi"/>
        </w:rPr>
      </w:pPr>
      <w:r w:rsidRPr="007E437C">
        <w:rPr>
          <w:rFonts w:cstheme="minorHAnsi"/>
        </w:rPr>
        <w:t>What will be the allotted block time for Winchester GI, DHA and Atrius after implementation of the Proposed Project?</w:t>
      </w:r>
    </w:p>
    <w:p w14:paraId="70EBF9D3" w14:textId="52DB1C67" w:rsidR="00C74738" w:rsidRPr="00DB422B" w:rsidRDefault="00880E0B" w:rsidP="00DB422B">
      <w:pPr>
        <w:pStyle w:val="ListParagraph"/>
        <w:spacing w:after="120"/>
        <w:ind w:left="1440"/>
        <w:contextualSpacing w:val="0"/>
        <w:rPr>
          <w:rFonts w:cstheme="minorHAnsi"/>
          <w:b/>
          <w:bCs/>
        </w:rPr>
      </w:pPr>
      <w:r w:rsidRPr="007E437C">
        <w:rPr>
          <w:rFonts w:cstheme="minorHAnsi"/>
          <w:b/>
          <w:bCs/>
        </w:rPr>
        <w:t xml:space="preserve">Block time has not been determined at this time because it will be driven by utilization trends reflective of the </w:t>
      </w:r>
      <w:proofErr w:type="gramStart"/>
      <w:r w:rsidRPr="007E437C">
        <w:rPr>
          <w:rFonts w:cstheme="minorHAnsi"/>
          <w:b/>
          <w:bCs/>
        </w:rPr>
        <w:t>period of time</w:t>
      </w:r>
      <w:proofErr w:type="gramEnd"/>
      <w:r w:rsidRPr="007E437C">
        <w:rPr>
          <w:rFonts w:cstheme="minorHAnsi"/>
          <w:b/>
          <w:bCs/>
        </w:rPr>
        <w:t xml:space="preserve"> </w:t>
      </w:r>
      <w:r w:rsidR="007E437C" w:rsidRPr="007E437C">
        <w:rPr>
          <w:rFonts w:cstheme="minorHAnsi"/>
          <w:b/>
          <w:bCs/>
        </w:rPr>
        <w:t>when t</w:t>
      </w:r>
      <w:r w:rsidRPr="007E437C">
        <w:rPr>
          <w:rFonts w:cstheme="minorHAnsi"/>
          <w:b/>
          <w:bCs/>
        </w:rPr>
        <w:t>he additional rooms</w:t>
      </w:r>
      <w:r w:rsidR="007E437C" w:rsidRPr="007E437C">
        <w:rPr>
          <w:rFonts w:cstheme="minorHAnsi"/>
          <w:b/>
          <w:bCs/>
        </w:rPr>
        <w:t xml:space="preserve"> open</w:t>
      </w:r>
      <w:r w:rsidRPr="007E437C">
        <w:rPr>
          <w:rFonts w:cstheme="minorHAnsi"/>
          <w:b/>
          <w:bCs/>
        </w:rPr>
        <w:t>.</w:t>
      </w:r>
    </w:p>
    <w:p w14:paraId="3A480149" w14:textId="6F9C815A" w:rsidR="002E277C" w:rsidRPr="002E277C" w:rsidRDefault="00462480" w:rsidP="002D45FD">
      <w:pPr>
        <w:pStyle w:val="Heading3"/>
      </w:pPr>
      <w:r>
        <w:t xml:space="preserve">Responses to DoN Questions #1 states, </w:t>
      </w:r>
      <w:r w:rsidR="00570FC5">
        <w:t>t</w:t>
      </w:r>
      <w:r w:rsidR="00343328" w:rsidRPr="00343328">
        <w:t>he Hospital anticipates most positions will be filled by internal applicants. To the extent external applicants are needed, the Hospital will recruit internally from its medical/surgical service. The Center offers career advancement from medical/surgical positions that are highly sought after by staff. As a result, the Hospital does not anticipate any staffing challenges for the proposed expansion</w:t>
      </w:r>
      <w:r w:rsidR="002E277C">
        <w:t xml:space="preserve"> (pg.4)</w:t>
      </w:r>
      <w:r w:rsidR="00343328" w:rsidRPr="00343328">
        <w:rPr>
          <w:b/>
          <w:bCs/>
        </w:rPr>
        <w:t xml:space="preserve">. </w:t>
      </w:r>
    </w:p>
    <w:p w14:paraId="487966C2" w14:textId="77777777" w:rsidR="00DE230B" w:rsidRPr="00DE230B" w:rsidRDefault="00DE230B" w:rsidP="00A40ABE">
      <w:pPr>
        <w:pStyle w:val="ListParagraph"/>
        <w:numPr>
          <w:ilvl w:val="1"/>
          <w:numId w:val="31"/>
        </w:numPr>
        <w:spacing w:after="120"/>
        <w:contextualSpacing w:val="0"/>
        <w:rPr>
          <w:rFonts w:cstheme="minorHAnsi"/>
        </w:rPr>
      </w:pPr>
      <w:r w:rsidRPr="00DE230B">
        <w:rPr>
          <w:rFonts w:cstheme="minorHAnsi"/>
        </w:rPr>
        <w:t xml:space="preserve">Explain the difference between an internal candidate and an external candidate, for the purposes of recruiting and staffing the Center, including differences in affiliation to Winchester Hospital. </w:t>
      </w:r>
    </w:p>
    <w:p w14:paraId="326E2321" w14:textId="46C48FBD" w:rsidR="00DE230B" w:rsidRPr="005D2727" w:rsidRDefault="00A72F1E" w:rsidP="00A40ABE">
      <w:pPr>
        <w:spacing w:after="120"/>
        <w:ind w:left="1440"/>
        <w:rPr>
          <w:rFonts w:cstheme="minorHAnsi"/>
          <w:b/>
          <w:bCs/>
        </w:rPr>
      </w:pPr>
      <w:r>
        <w:rPr>
          <w:rFonts w:cstheme="minorHAnsi"/>
          <w:b/>
          <w:bCs/>
        </w:rPr>
        <w:t>The</w:t>
      </w:r>
      <w:r w:rsidR="005D2727">
        <w:rPr>
          <w:rFonts w:cstheme="minorHAnsi"/>
          <w:b/>
          <w:bCs/>
        </w:rPr>
        <w:t xml:space="preserve"> Center is part of the </w:t>
      </w:r>
      <w:r w:rsidR="005654C9">
        <w:rPr>
          <w:rFonts w:cstheme="minorHAnsi"/>
          <w:b/>
          <w:bCs/>
        </w:rPr>
        <w:t xml:space="preserve">licensed </w:t>
      </w:r>
      <w:r w:rsidR="005D2727">
        <w:rPr>
          <w:rFonts w:cstheme="minorHAnsi"/>
          <w:b/>
          <w:bCs/>
        </w:rPr>
        <w:t>Hospital</w:t>
      </w:r>
      <w:r w:rsidR="005654C9">
        <w:rPr>
          <w:rFonts w:cstheme="minorHAnsi"/>
          <w:b/>
          <w:bCs/>
        </w:rPr>
        <w:t xml:space="preserve"> and operated by the same legal entity</w:t>
      </w:r>
      <w:r w:rsidR="005D2727">
        <w:rPr>
          <w:rFonts w:cstheme="minorHAnsi"/>
          <w:b/>
          <w:bCs/>
        </w:rPr>
        <w:t xml:space="preserve">. Therefore, internal candidates </w:t>
      </w:r>
      <w:r w:rsidR="00DB422B">
        <w:rPr>
          <w:rFonts w:cstheme="minorHAnsi"/>
          <w:b/>
          <w:bCs/>
        </w:rPr>
        <w:t>are</w:t>
      </w:r>
      <w:r w:rsidR="005D2727">
        <w:rPr>
          <w:rFonts w:cstheme="minorHAnsi"/>
          <w:b/>
          <w:bCs/>
        </w:rPr>
        <w:t xml:space="preserve"> all individuals currently employed by Winchester Hospital. </w:t>
      </w:r>
    </w:p>
    <w:p w14:paraId="6AE7BAF8" w14:textId="54C45E72" w:rsidR="00A72F1E" w:rsidRPr="00A40ABE" w:rsidRDefault="00451296" w:rsidP="00A40ABE">
      <w:pPr>
        <w:pStyle w:val="ListParagraph"/>
        <w:numPr>
          <w:ilvl w:val="1"/>
          <w:numId w:val="31"/>
        </w:numPr>
        <w:spacing w:after="120"/>
        <w:contextualSpacing w:val="0"/>
        <w:rPr>
          <w:rFonts w:cstheme="minorHAnsi"/>
        </w:rPr>
      </w:pPr>
      <w:r>
        <w:rPr>
          <w:rFonts w:cstheme="minorHAnsi"/>
        </w:rPr>
        <w:t xml:space="preserve">How will the recruitment of staff from Winchester Hospital to the Center impact Winchester Hospital’s staffing? </w:t>
      </w:r>
      <w:r w:rsidR="008E4ABE">
        <w:rPr>
          <w:rFonts w:cstheme="minorHAnsi"/>
        </w:rPr>
        <w:t xml:space="preserve">Will Winchester Hospital experience any staffing challenges </w:t>
      </w:r>
      <w:proofErr w:type="gramStart"/>
      <w:r w:rsidR="008E4ABE">
        <w:rPr>
          <w:rFonts w:cstheme="minorHAnsi"/>
        </w:rPr>
        <w:t>as a result of</w:t>
      </w:r>
      <w:proofErr w:type="gramEnd"/>
      <w:r w:rsidR="008E4ABE">
        <w:rPr>
          <w:rFonts w:cstheme="minorHAnsi"/>
        </w:rPr>
        <w:t xml:space="preserve"> the </w:t>
      </w:r>
      <w:r w:rsidR="00462480">
        <w:rPr>
          <w:rFonts w:cstheme="minorHAnsi"/>
        </w:rPr>
        <w:t xml:space="preserve">internal </w:t>
      </w:r>
      <w:r w:rsidR="008E4ABE">
        <w:rPr>
          <w:rFonts w:cstheme="minorHAnsi"/>
        </w:rPr>
        <w:t xml:space="preserve">recruitment of </w:t>
      </w:r>
      <w:r w:rsidR="00462480">
        <w:rPr>
          <w:rFonts w:cstheme="minorHAnsi"/>
        </w:rPr>
        <w:t>medical/surgical staff to the Center</w:t>
      </w:r>
      <w:r w:rsidR="004136F7">
        <w:rPr>
          <w:rFonts w:cstheme="minorHAnsi"/>
        </w:rPr>
        <w:t>?</w:t>
      </w:r>
      <w:r w:rsidR="00462480">
        <w:rPr>
          <w:rFonts w:cstheme="minorHAnsi"/>
        </w:rPr>
        <w:t xml:space="preserve"> </w:t>
      </w:r>
    </w:p>
    <w:p w14:paraId="43F9B6C7" w14:textId="65E43D2F" w:rsidR="00DE04D6" w:rsidRPr="007E437C" w:rsidRDefault="005D2727" w:rsidP="007E437C">
      <w:pPr>
        <w:pStyle w:val="ListParagraph"/>
        <w:spacing w:after="120"/>
        <w:ind w:left="1440"/>
        <w:contextualSpacing w:val="0"/>
        <w:rPr>
          <w:rFonts w:cstheme="minorHAnsi"/>
          <w:b/>
          <w:bCs/>
        </w:rPr>
      </w:pPr>
      <w:r>
        <w:rPr>
          <w:rFonts w:cstheme="minorHAnsi"/>
          <w:b/>
          <w:bCs/>
        </w:rPr>
        <w:t xml:space="preserve">No. </w:t>
      </w:r>
      <w:r w:rsidR="00DA7EC9">
        <w:rPr>
          <w:rFonts w:cstheme="minorHAnsi"/>
          <w:b/>
          <w:bCs/>
        </w:rPr>
        <w:t xml:space="preserve">The number of new staff needed at the Center is unlikely to impact staffing at the Hospital. </w:t>
      </w:r>
    </w:p>
    <w:p w14:paraId="4D33D92C" w14:textId="695E7E92" w:rsidR="00A35827" w:rsidRPr="00A40ABE" w:rsidRDefault="00AC3721" w:rsidP="002D45FD">
      <w:pPr>
        <w:pStyle w:val="Heading3"/>
      </w:pPr>
      <w:r>
        <w:t xml:space="preserve">Given that </w:t>
      </w:r>
      <w:r w:rsidR="0010649D">
        <w:t xml:space="preserve">HOPD’s </w:t>
      </w:r>
      <w:r>
        <w:t>higher reimbursement</w:t>
      </w:r>
      <w:r w:rsidR="0010649D">
        <w:t xml:space="preserve"> </w:t>
      </w:r>
      <w:r w:rsidR="00557583">
        <w:t xml:space="preserve">for </w:t>
      </w:r>
      <w:r w:rsidR="006B288B">
        <w:t>common</w:t>
      </w:r>
      <w:r w:rsidR="0010649D">
        <w:t xml:space="preserve"> procedures </w:t>
      </w:r>
      <w:r w:rsidR="00557583">
        <w:t>when</w:t>
      </w:r>
      <w:r w:rsidR="0010649D">
        <w:t xml:space="preserve"> performed in the ASC setting</w:t>
      </w:r>
      <w:r w:rsidR="00C873A2">
        <w:t>,</w:t>
      </w:r>
      <w:r w:rsidR="00557583">
        <w:t xml:space="preserve"> and ASCs lower operating costs,</w:t>
      </w:r>
      <w:r w:rsidR="0060775A">
        <w:t xml:space="preserve"> </w:t>
      </w:r>
      <w:r w:rsidR="00EF41B7">
        <w:t>how does the Proposed Project, including the expansion of</w:t>
      </w:r>
      <w:r w:rsidR="004160EF">
        <w:t xml:space="preserve"> access to endoscopy services in the HOPD setting</w:t>
      </w:r>
      <w:r w:rsidR="00EF41B7">
        <w:t xml:space="preserve"> </w:t>
      </w:r>
      <w:r w:rsidR="002D02B5" w:rsidRPr="00EF41B7">
        <w:t xml:space="preserve">compete </w:t>
      </w:r>
      <w:proofErr w:type="gramStart"/>
      <w:r w:rsidR="002D02B5" w:rsidRPr="00EF41B7">
        <w:t>on the basis of</w:t>
      </w:r>
      <w:proofErr w:type="gramEnd"/>
      <w:r w:rsidR="002D02B5" w:rsidRPr="00EF41B7">
        <w:t xml:space="preserve"> price?</w:t>
      </w:r>
      <w:r w:rsidR="00A31FC4">
        <w:rPr>
          <w:rStyle w:val="EndnoteReference"/>
        </w:rPr>
        <w:endnoteReference w:id="2"/>
      </w:r>
      <w:r w:rsidR="002536DC" w:rsidRPr="002536DC">
        <w:rPr>
          <w:vertAlign w:val="superscript"/>
        </w:rPr>
        <w:t>,</w:t>
      </w:r>
      <w:r w:rsidR="002536DC">
        <w:rPr>
          <w:rStyle w:val="EndnoteReference"/>
        </w:rPr>
        <w:endnoteReference w:id="3"/>
      </w:r>
    </w:p>
    <w:p w14:paraId="17E15371" w14:textId="39BBFD44" w:rsidR="007B121A" w:rsidRPr="00A40ABE" w:rsidRDefault="007B121A" w:rsidP="00DB422B">
      <w:pPr>
        <w:pStyle w:val="ListParagraph"/>
        <w:spacing w:after="120"/>
        <w:contextualSpacing w:val="0"/>
        <w:jc w:val="both"/>
        <w:rPr>
          <w:rFonts w:cstheme="minorHAnsi"/>
          <w:b/>
          <w:bCs/>
        </w:rPr>
      </w:pPr>
      <w:r>
        <w:rPr>
          <w:rFonts w:cstheme="minorHAnsi"/>
          <w:b/>
          <w:bCs/>
        </w:rPr>
        <w:t xml:space="preserve">While the Center is a hospital outpatient department, cost implications other than price were important considerations for the Applicant in determining that the proposed expansion of the Center is needed for its Patient Panel. </w:t>
      </w:r>
      <w:r w:rsidR="00A35827" w:rsidRPr="00A35827">
        <w:rPr>
          <w:rFonts w:cstheme="minorHAnsi"/>
          <w:b/>
          <w:bCs/>
        </w:rPr>
        <w:t xml:space="preserve">The </w:t>
      </w:r>
      <w:r w:rsidR="00A35827">
        <w:rPr>
          <w:rFonts w:cstheme="minorHAnsi"/>
          <w:b/>
          <w:bCs/>
        </w:rPr>
        <w:t>Center is a</w:t>
      </w:r>
      <w:r w:rsidR="005D2727">
        <w:rPr>
          <w:rFonts w:cstheme="minorHAnsi"/>
          <w:b/>
          <w:bCs/>
        </w:rPr>
        <w:t xml:space="preserve"> well-</w:t>
      </w:r>
      <w:r w:rsidR="00A35827">
        <w:rPr>
          <w:rFonts w:cstheme="minorHAnsi"/>
          <w:b/>
          <w:bCs/>
        </w:rPr>
        <w:t xml:space="preserve">established </w:t>
      </w:r>
      <w:r w:rsidR="00A72F1E">
        <w:rPr>
          <w:rFonts w:cstheme="minorHAnsi"/>
          <w:b/>
          <w:bCs/>
        </w:rPr>
        <w:t>endoscopy provider</w:t>
      </w:r>
      <w:r w:rsidR="00A35827">
        <w:rPr>
          <w:rFonts w:cstheme="minorHAnsi"/>
          <w:b/>
          <w:bCs/>
        </w:rPr>
        <w:t xml:space="preserve"> with </w:t>
      </w:r>
      <w:r w:rsidR="005D2727">
        <w:rPr>
          <w:rFonts w:cstheme="minorHAnsi"/>
          <w:b/>
          <w:bCs/>
        </w:rPr>
        <w:t>the staffing and payer contracting infrastructure and physical space for an</w:t>
      </w:r>
      <w:r w:rsidR="00A35827">
        <w:rPr>
          <w:rFonts w:cstheme="minorHAnsi"/>
          <w:b/>
          <w:bCs/>
        </w:rPr>
        <w:t xml:space="preserve"> expansion. </w:t>
      </w:r>
      <w:r w:rsidR="00A72F1E">
        <w:rPr>
          <w:rFonts w:cstheme="minorHAnsi"/>
          <w:b/>
          <w:bCs/>
        </w:rPr>
        <w:t xml:space="preserve">Constructing </w:t>
      </w:r>
      <w:r w:rsidR="005D2727">
        <w:rPr>
          <w:rFonts w:cstheme="minorHAnsi"/>
          <w:b/>
          <w:bCs/>
        </w:rPr>
        <w:t xml:space="preserve">a new freestanding ASC would require </w:t>
      </w:r>
      <w:r>
        <w:rPr>
          <w:rFonts w:cstheme="minorHAnsi"/>
          <w:b/>
          <w:bCs/>
        </w:rPr>
        <w:t xml:space="preserve">a </w:t>
      </w:r>
      <w:r w:rsidR="005D2727">
        <w:rPr>
          <w:rFonts w:cstheme="minorHAnsi"/>
          <w:b/>
          <w:bCs/>
        </w:rPr>
        <w:t>significant</w:t>
      </w:r>
      <w:r>
        <w:rPr>
          <w:rFonts w:cstheme="minorHAnsi"/>
          <w:b/>
          <w:bCs/>
        </w:rPr>
        <w:t>ly higher</w:t>
      </w:r>
      <w:r w:rsidR="005D2727">
        <w:rPr>
          <w:rFonts w:cstheme="minorHAnsi"/>
          <w:b/>
          <w:bCs/>
        </w:rPr>
        <w:t xml:space="preserve"> capital </w:t>
      </w:r>
      <w:r>
        <w:rPr>
          <w:rFonts w:cstheme="minorHAnsi"/>
          <w:b/>
          <w:bCs/>
        </w:rPr>
        <w:t xml:space="preserve">expenditure </w:t>
      </w:r>
      <w:r w:rsidR="005D2727">
        <w:rPr>
          <w:rFonts w:cstheme="minorHAnsi"/>
          <w:b/>
          <w:bCs/>
        </w:rPr>
        <w:t>and more time</w:t>
      </w:r>
      <w:r>
        <w:rPr>
          <w:rFonts w:cstheme="minorHAnsi"/>
          <w:b/>
          <w:bCs/>
        </w:rPr>
        <w:t>,</w:t>
      </w:r>
      <w:r w:rsidR="005D2727">
        <w:rPr>
          <w:rFonts w:cstheme="minorHAnsi"/>
          <w:b/>
          <w:bCs/>
        </w:rPr>
        <w:t xml:space="preserve"> </w:t>
      </w:r>
      <w:r>
        <w:rPr>
          <w:rFonts w:cstheme="minorHAnsi"/>
          <w:b/>
          <w:bCs/>
        </w:rPr>
        <w:t xml:space="preserve">resulting in costly and unnecessary delays in </w:t>
      </w:r>
      <w:r w:rsidR="005D2727">
        <w:rPr>
          <w:rFonts w:cstheme="minorHAnsi"/>
          <w:b/>
          <w:bCs/>
        </w:rPr>
        <w:t>expanding access to diagnostic and preventative health care.</w:t>
      </w:r>
      <w:r w:rsidR="00A72F1E">
        <w:rPr>
          <w:rFonts w:cstheme="minorHAnsi"/>
          <w:b/>
          <w:bCs/>
        </w:rPr>
        <w:t xml:space="preserve"> </w:t>
      </w:r>
      <w:r w:rsidR="005D2727">
        <w:rPr>
          <w:rFonts w:cstheme="minorHAnsi"/>
          <w:b/>
          <w:bCs/>
        </w:rPr>
        <w:t xml:space="preserve"> </w:t>
      </w:r>
    </w:p>
    <w:p w14:paraId="0E0F3F0D" w14:textId="3392FFAE" w:rsidR="00373C87" w:rsidRPr="0017766A" w:rsidRDefault="007B121A" w:rsidP="0017766A">
      <w:pPr>
        <w:pStyle w:val="ListParagraph"/>
        <w:spacing w:after="120"/>
        <w:contextualSpacing w:val="0"/>
        <w:jc w:val="both"/>
        <w:rPr>
          <w:rFonts w:cstheme="minorHAnsi"/>
          <w:b/>
          <w:bCs/>
        </w:rPr>
      </w:pPr>
      <w:r w:rsidRPr="007B121A">
        <w:rPr>
          <w:rFonts w:cstheme="minorHAnsi"/>
          <w:b/>
          <w:bCs/>
        </w:rPr>
        <w:t xml:space="preserve">As noted in the Application, </w:t>
      </w:r>
      <w:r>
        <w:rPr>
          <w:rFonts w:cstheme="minorHAnsi"/>
          <w:b/>
          <w:bCs/>
        </w:rPr>
        <w:t>the</w:t>
      </w:r>
      <w:r w:rsidRPr="007B121A">
        <w:rPr>
          <w:rFonts w:cstheme="minorHAnsi"/>
          <w:b/>
          <w:bCs/>
        </w:rPr>
        <w:t xml:space="preserve"> Center</w:t>
      </w:r>
      <w:r>
        <w:rPr>
          <w:rFonts w:cstheme="minorHAnsi"/>
          <w:b/>
          <w:bCs/>
        </w:rPr>
        <w:t>’s expansion</w:t>
      </w:r>
      <w:r w:rsidRPr="007B121A">
        <w:rPr>
          <w:rFonts w:cstheme="minorHAnsi"/>
          <w:b/>
          <w:bCs/>
        </w:rPr>
        <w:t xml:space="preserve"> will lower health care spending and total medical expenditure through the provision of preventative care. Early detection of colorectal and other gastrointestinal cancers via routine endoscopic screening enables the identification and removal of precancerous polyps, significantly reducing the incidence of advanced-stage </w:t>
      </w:r>
      <w:r w:rsidRPr="007B121A">
        <w:rPr>
          <w:rFonts w:cstheme="minorHAnsi"/>
          <w:b/>
          <w:bCs/>
        </w:rPr>
        <w:lastRenderedPageBreak/>
        <w:t>cancers that are far more costly to treat.</w:t>
      </w:r>
      <w:r w:rsidRPr="007B121A">
        <w:rPr>
          <w:rFonts w:cstheme="minorHAnsi"/>
          <w:b/>
          <w:bCs/>
          <w:vertAlign w:val="superscript"/>
        </w:rPr>
        <w:footnoteReference w:customMarkFollows="1" w:id="3"/>
        <w:t>[1]</w:t>
      </w:r>
      <w:r w:rsidRPr="007B121A">
        <w:rPr>
          <w:rFonts w:cstheme="minorHAnsi"/>
          <w:b/>
          <w:bCs/>
        </w:rPr>
        <w:t xml:space="preserve"> Preventative endoscopy not only improves patient outcomes and survival rates but also reduces the need for later expensive interventions, potential hospital admissions, and complex oncologic treatments associated with late-stage disease.</w:t>
      </w:r>
      <w:bookmarkStart w:id="0" w:name="_Ref213767237"/>
      <w:r w:rsidRPr="007B121A">
        <w:rPr>
          <w:rFonts w:cstheme="minorHAnsi"/>
          <w:b/>
          <w:bCs/>
          <w:vertAlign w:val="superscript"/>
        </w:rPr>
        <w:footnoteReference w:customMarkFollows="1" w:id="4"/>
        <w:t>[2]</w:t>
      </w:r>
      <w:bookmarkEnd w:id="0"/>
      <w:r w:rsidRPr="007B121A">
        <w:rPr>
          <w:rFonts w:cstheme="minorHAnsi"/>
          <w:b/>
          <w:bCs/>
        </w:rPr>
        <w:t xml:space="preserve"> Increasing procedural capacity at the Endoscopy Center will support earlier, less invasive, and more cost-effective care, ultimately decreasing the overall financial burden on patients, payers, and the Commonwealth’s healthcare system. </w:t>
      </w:r>
      <w:r>
        <w:rPr>
          <w:rFonts w:cstheme="minorHAnsi"/>
          <w:b/>
          <w:bCs/>
        </w:rPr>
        <w:t xml:space="preserve">Whereas the establishment of a new ASC would add years to the timeline for bringing expanded access to the Patient Panel. </w:t>
      </w:r>
      <w:r w:rsidR="00DB422B">
        <w:rPr>
          <w:rFonts w:cstheme="minorHAnsi"/>
          <w:b/>
          <w:bCs/>
        </w:rPr>
        <w:t>Lastly, a</w:t>
      </w:r>
      <w:r w:rsidRPr="007B121A">
        <w:rPr>
          <w:rFonts w:cstheme="minorHAnsi"/>
          <w:b/>
          <w:bCs/>
        </w:rPr>
        <w:t xml:space="preserve">s an existing provider of endoscopy services, there will be no change in price </w:t>
      </w:r>
      <w:r w:rsidR="00DB422B" w:rsidRPr="007B121A">
        <w:rPr>
          <w:rFonts w:cstheme="minorHAnsi"/>
          <w:b/>
          <w:bCs/>
        </w:rPr>
        <w:t>because of</w:t>
      </w:r>
      <w:r w:rsidRPr="007B121A">
        <w:rPr>
          <w:rFonts w:cstheme="minorHAnsi"/>
          <w:b/>
          <w:bCs/>
        </w:rPr>
        <w:t xml:space="preserve"> the Proposed Project.</w:t>
      </w:r>
    </w:p>
    <w:p w14:paraId="58A6828E" w14:textId="1EC69F3E" w:rsidR="00E640CD" w:rsidRDefault="003A2162" w:rsidP="002D45FD">
      <w:pPr>
        <w:pStyle w:val="Heading3"/>
      </w:pPr>
      <w:r>
        <w:t>The application states i</w:t>
      </w:r>
      <w:r w:rsidR="00E640CD" w:rsidRPr="00E640CD">
        <w:t>nterpreter services are available for more than 100 languages, including American Sign Language, and can be used 24 hours a day 7 days a week</w:t>
      </w:r>
      <w:r w:rsidR="000B75A8">
        <w:t xml:space="preserve"> (pg.16)</w:t>
      </w:r>
      <w:r w:rsidR="00E640CD" w:rsidRPr="00E640CD">
        <w:t xml:space="preserve">. </w:t>
      </w:r>
    </w:p>
    <w:p w14:paraId="78AC0AFA" w14:textId="6389E7CB" w:rsidR="00A72F1E" w:rsidRPr="00A40ABE" w:rsidRDefault="00E640CD" w:rsidP="00A40ABE">
      <w:pPr>
        <w:pStyle w:val="ListParagraph"/>
        <w:numPr>
          <w:ilvl w:val="1"/>
          <w:numId w:val="31"/>
        </w:numPr>
        <w:spacing w:after="120"/>
        <w:contextualSpacing w:val="0"/>
        <w:rPr>
          <w:rFonts w:cstheme="minorHAnsi"/>
        </w:rPr>
      </w:pPr>
      <w:r>
        <w:rPr>
          <w:rFonts w:cstheme="minorHAnsi"/>
        </w:rPr>
        <w:t>Please confirm that interpreter services are available during the Center’s hours of operation (</w:t>
      </w:r>
      <w:r w:rsidR="008E5502" w:rsidRPr="008E5502">
        <w:rPr>
          <w:rFonts w:cstheme="minorHAnsi"/>
        </w:rPr>
        <w:t>Monday-Friday, 7am-5pm</w:t>
      </w:r>
      <w:r w:rsidR="008E5502">
        <w:rPr>
          <w:rFonts w:cstheme="minorHAnsi"/>
        </w:rPr>
        <w:t>)</w:t>
      </w:r>
      <w:r w:rsidR="000B75A8">
        <w:rPr>
          <w:rFonts w:cstheme="minorHAnsi"/>
        </w:rPr>
        <w:t>.</w:t>
      </w:r>
    </w:p>
    <w:p w14:paraId="17DAB7FF" w14:textId="25C2F97B" w:rsidR="005654C9" w:rsidRPr="00880E0B" w:rsidRDefault="00F270AD" w:rsidP="00880E0B">
      <w:pPr>
        <w:pStyle w:val="ListParagraph"/>
        <w:spacing w:after="120"/>
        <w:ind w:left="1440"/>
        <w:contextualSpacing w:val="0"/>
        <w:rPr>
          <w:rFonts w:cstheme="minorHAnsi"/>
          <w:b/>
          <w:bCs/>
        </w:rPr>
      </w:pPr>
      <w:r>
        <w:rPr>
          <w:rFonts w:cstheme="minorHAnsi"/>
          <w:b/>
          <w:bCs/>
        </w:rPr>
        <w:t xml:space="preserve">Yes, as </w:t>
      </w:r>
      <w:r w:rsidR="005654C9">
        <w:rPr>
          <w:rFonts w:cstheme="minorHAnsi"/>
          <w:b/>
          <w:bCs/>
        </w:rPr>
        <w:t>the Center is a service of the</w:t>
      </w:r>
      <w:r>
        <w:rPr>
          <w:rFonts w:cstheme="minorHAnsi"/>
          <w:b/>
          <w:bCs/>
        </w:rPr>
        <w:t xml:space="preserve"> Hospital, interpreter services are available </w:t>
      </w:r>
      <w:r w:rsidR="005654C9">
        <w:rPr>
          <w:rFonts w:cstheme="minorHAnsi"/>
          <w:b/>
          <w:bCs/>
        </w:rPr>
        <w:t>during the Center’s hours of operation.</w:t>
      </w:r>
    </w:p>
    <w:p w14:paraId="250CF34B" w14:textId="54605D4D" w:rsidR="00A72F1E" w:rsidRPr="00A40ABE" w:rsidRDefault="00C823C4" w:rsidP="00A40ABE">
      <w:pPr>
        <w:pStyle w:val="ListParagraph"/>
        <w:numPr>
          <w:ilvl w:val="1"/>
          <w:numId w:val="31"/>
        </w:numPr>
        <w:spacing w:after="120"/>
        <w:contextualSpacing w:val="0"/>
        <w:rPr>
          <w:rFonts w:cstheme="minorHAnsi"/>
        </w:rPr>
      </w:pPr>
      <w:r>
        <w:rPr>
          <w:rFonts w:cstheme="minorHAnsi"/>
        </w:rPr>
        <w:t xml:space="preserve">Are interpreter services available to </w:t>
      </w:r>
      <w:proofErr w:type="gramStart"/>
      <w:r>
        <w:rPr>
          <w:rFonts w:cstheme="minorHAnsi"/>
        </w:rPr>
        <w:t>all of</w:t>
      </w:r>
      <w:proofErr w:type="gramEnd"/>
      <w:r>
        <w:rPr>
          <w:rFonts w:cstheme="minorHAnsi"/>
        </w:rPr>
        <w:t xml:space="preserve"> the Center’s patients (Winchester Hospital GI group, DHA, and Atrius)? </w:t>
      </w:r>
    </w:p>
    <w:p w14:paraId="7503BAC1" w14:textId="6B07FE94" w:rsidR="00A72F1E" w:rsidRPr="00880E0B" w:rsidRDefault="00F270AD" w:rsidP="00880E0B">
      <w:pPr>
        <w:pStyle w:val="ListParagraph"/>
        <w:spacing w:after="120"/>
        <w:ind w:left="1440"/>
        <w:contextualSpacing w:val="0"/>
        <w:rPr>
          <w:rFonts w:cstheme="minorHAnsi"/>
          <w:b/>
          <w:bCs/>
        </w:rPr>
      </w:pPr>
      <w:r>
        <w:rPr>
          <w:rFonts w:cstheme="minorHAnsi"/>
          <w:b/>
          <w:bCs/>
        </w:rPr>
        <w:t xml:space="preserve">Yes. </w:t>
      </w:r>
    </w:p>
    <w:p w14:paraId="6A9E4646" w14:textId="0B29AB8A" w:rsidR="009C3595" w:rsidRDefault="00136C17" w:rsidP="00A40ABE">
      <w:pPr>
        <w:pStyle w:val="ListParagraph"/>
        <w:numPr>
          <w:ilvl w:val="1"/>
          <w:numId w:val="31"/>
        </w:numPr>
        <w:spacing w:after="120"/>
        <w:contextualSpacing w:val="0"/>
        <w:rPr>
          <w:rFonts w:cstheme="minorHAnsi"/>
        </w:rPr>
      </w:pPr>
      <w:r w:rsidRPr="00A40ABE">
        <w:rPr>
          <w:rFonts w:cstheme="minorHAnsi"/>
        </w:rPr>
        <w:t>Provide the number of interpreter service requests in the past year by the Center’s patients, as well as top languages requested.</w:t>
      </w:r>
    </w:p>
    <w:p w14:paraId="4F0D93F4" w14:textId="22613F4C" w:rsidR="00607AE3" w:rsidRPr="00880E0B" w:rsidRDefault="00A40ABE" w:rsidP="00880E0B">
      <w:pPr>
        <w:pStyle w:val="ListParagraph"/>
        <w:spacing w:after="120"/>
        <w:ind w:left="1440"/>
        <w:contextualSpacing w:val="0"/>
        <w:rPr>
          <w:rFonts w:cstheme="minorHAnsi"/>
          <w:b/>
          <w:bCs/>
        </w:rPr>
      </w:pPr>
      <w:r>
        <w:rPr>
          <w:rFonts w:cstheme="minorHAnsi"/>
          <w:b/>
          <w:bCs/>
        </w:rPr>
        <w:t xml:space="preserve">Interpreter services are available by </w:t>
      </w:r>
      <w:r w:rsidR="00DB422B">
        <w:rPr>
          <w:rFonts w:cstheme="minorHAnsi"/>
          <w:b/>
          <w:bCs/>
        </w:rPr>
        <w:t>service,</w:t>
      </w:r>
      <w:r>
        <w:rPr>
          <w:rFonts w:cstheme="minorHAnsi"/>
          <w:b/>
          <w:bCs/>
        </w:rPr>
        <w:t xml:space="preserve"> in this case, outpatient endoscopy. Therefore</w:t>
      </w:r>
      <w:r w:rsidR="00880E0B">
        <w:rPr>
          <w:rFonts w:cstheme="minorHAnsi"/>
          <w:b/>
          <w:bCs/>
        </w:rPr>
        <w:t>,</w:t>
      </w:r>
      <w:r>
        <w:rPr>
          <w:rFonts w:cstheme="minorHAnsi"/>
          <w:b/>
          <w:bCs/>
        </w:rPr>
        <w:t xml:space="preserve"> the data previously provided is inclusive of </w:t>
      </w:r>
      <w:r w:rsidR="00880E0B">
        <w:rPr>
          <w:rFonts w:cstheme="minorHAnsi"/>
          <w:b/>
          <w:bCs/>
        </w:rPr>
        <w:t xml:space="preserve">patients at the main campus and </w:t>
      </w:r>
      <w:r>
        <w:rPr>
          <w:rFonts w:cstheme="minorHAnsi"/>
          <w:b/>
          <w:bCs/>
        </w:rPr>
        <w:t xml:space="preserve">the </w:t>
      </w:r>
      <w:r w:rsidR="00DB422B">
        <w:rPr>
          <w:rFonts w:cstheme="minorHAnsi"/>
          <w:b/>
          <w:bCs/>
        </w:rPr>
        <w:t>Center and</w:t>
      </w:r>
      <w:r>
        <w:rPr>
          <w:rFonts w:cstheme="minorHAnsi"/>
          <w:b/>
          <w:bCs/>
        </w:rPr>
        <w:t xml:space="preserve"> cannot be further broken down. </w:t>
      </w:r>
    </w:p>
    <w:p w14:paraId="3D166817" w14:textId="792306BC" w:rsidR="00CF716C" w:rsidRPr="00CF716C" w:rsidRDefault="00CF716C" w:rsidP="002D45FD">
      <w:pPr>
        <w:pStyle w:val="Heading3"/>
      </w:pPr>
      <w:r w:rsidRPr="00CF716C">
        <w:t xml:space="preserve">The application states staff also receive ongoing training on health equity, disability, interpreter services, and social determinants of health through department meetings and online learning modules (pg. 17). </w:t>
      </w:r>
    </w:p>
    <w:p w14:paraId="07E27E1D" w14:textId="355DD8A2" w:rsidR="005654C9" w:rsidRPr="00A40ABE" w:rsidRDefault="00CF716C" w:rsidP="00A40ABE">
      <w:pPr>
        <w:pStyle w:val="ListParagraph"/>
        <w:numPr>
          <w:ilvl w:val="1"/>
          <w:numId w:val="31"/>
        </w:numPr>
        <w:spacing w:after="120"/>
        <w:contextualSpacing w:val="0"/>
        <w:rPr>
          <w:rFonts w:cstheme="minorHAnsi"/>
        </w:rPr>
      </w:pPr>
      <w:r>
        <w:rPr>
          <w:rFonts w:cstheme="minorHAnsi"/>
        </w:rPr>
        <w:t>Does this include the Center’s staff?</w:t>
      </w:r>
      <w:r w:rsidR="00607AE3">
        <w:rPr>
          <w:rFonts w:cstheme="minorHAnsi"/>
        </w:rPr>
        <w:t xml:space="preserve"> If not, please discuss any required training for the Center’s staff. </w:t>
      </w:r>
    </w:p>
    <w:p w14:paraId="4C0324A8" w14:textId="4A12E240" w:rsidR="00607AE3" w:rsidRPr="00880E0B" w:rsidRDefault="00F270AD" w:rsidP="00880E0B">
      <w:pPr>
        <w:pStyle w:val="ListParagraph"/>
        <w:spacing w:after="120"/>
        <w:ind w:left="1440"/>
        <w:contextualSpacing w:val="0"/>
        <w:rPr>
          <w:rFonts w:cstheme="minorHAnsi"/>
          <w:b/>
          <w:bCs/>
        </w:rPr>
      </w:pPr>
      <w:r>
        <w:rPr>
          <w:rFonts w:cstheme="minorHAnsi"/>
          <w:b/>
          <w:bCs/>
        </w:rPr>
        <w:t xml:space="preserve">Yes. </w:t>
      </w:r>
      <w:r w:rsidR="005654C9">
        <w:rPr>
          <w:rFonts w:cstheme="minorHAnsi"/>
          <w:b/>
          <w:bCs/>
        </w:rPr>
        <w:t>The Center is part of the Hospital and as such the</w:t>
      </w:r>
      <w:r w:rsidR="007B121A">
        <w:rPr>
          <w:rFonts w:cstheme="minorHAnsi"/>
          <w:b/>
          <w:bCs/>
        </w:rPr>
        <w:t xml:space="preserve"> Center</w:t>
      </w:r>
      <w:r w:rsidR="005654C9">
        <w:rPr>
          <w:rFonts w:cstheme="minorHAnsi"/>
          <w:b/>
          <w:bCs/>
        </w:rPr>
        <w:t xml:space="preserve"> staff are employed by the Hospital and subject to the same training as all hospital staff. </w:t>
      </w:r>
    </w:p>
    <w:p w14:paraId="19739C27" w14:textId="6BFB8CC0" w:rsidR="00607AE3" w:rsidRPr="00D02FF0" w:rsidRDefault="00607AE3" w:rsidP="002D45FD">
      <w:pPr>
        <w:pStyle w:val="Heading3"/>
      </w:pPr>
      <w:r w:rsidRPr="00D02FF0">
        <w:t xml:space="preserve">The </w:t>
      </w:r>
      <w:r w:rsidR="002B18CD" w:rsidRPr="00D02FF0">
        <w:t>a</w:t>
      </w:r>
      <w:r w:rsidRPr="00D02FF0">
        <w:t xml:space="preserve">pplicant states that all Winchester Hospital patients are screened for </w:t>
      </w:r>
      <w:proofErr w:type="spellStart"/>
      <w:r w:rsidRPr="00D02FF0">
        <w:t>SDoH</w:t>
      </w:r>
      <w:proofErr w:type="spellEnd"/>
      <w:r w:rsidRPr="00D02FF0">
        <w:t xml:space="preserve"> during the initial consultation by nurse staff</w:t>
      </w:r>
      <w:r w:rsidR="002D45E3" w:rsidRPr="00D02FF0">
        <w:t xml:space="preserve"> (pg.16)</w:t>
      </w:r>
      <w:r w:rsidRPr="00D02FF0">
        <w:t>.</w:t>
      </w:r>
    </w:p>
    <w:p w14:paraId="7F5EC357" w14:textId="5F2006F0" w:rsidR="00A35827" w:rsidRDefault="00607AE3" w:rsidP="00880E0B">
      <w:pPr>
        <w:pStyle w:val="ListParagraph"/>
        <w:numPr>
          <w:ilvl w:val="1"/>
          <w:numId w:val="31"/>
        </w:numPr>
        <w:spacing w:after="120"/>
        <w:contextualSpacing w:val="0"/>
        <w:rPr>
          <w:rFonts w:cstheme="minorHAnsi"/>
        </w:rPr>
      </w:pPr>
      <w:r w:rsidRPr="00D02FF0">
        <w:rPr>
          <w:rFonts w:cstheme="minorHAnsi"/>
        </w:rPr>
        <w:t>Do</w:t>
      </w:r>
      <w:r w:rsidR="00407189" w:rsidRPr="00D02FF0">
        <w:rPr>
          <w:rFonts w:cstheme="minorHAnsi"/>
        </w:rPr>
        <w:t xml:space="preserve"> Winchester Hospital’s </w:t>
      </w:r>
      <w:proofErr w:type="spellStart"/>
      <w:r w:rsidR="00407189" w:rsidRPr="00D02FF0">
        <w:rPr>
          <w:rFonts w:cstheme="minorHAnsi"/>
        </w:rPr>
        <w:t>SDoH</w:t>
      </w:r>
      <w:proofErr w:type="spellEnd"/>
      <w:r w:rsidR="00407189" w:rsidRPr="00D02FF0">
        <w:rPr>
          <w:rFonts w:cstheme="minorHAnsi"/>
        </w:rPr>
        <w:t xml:space="preserve"> screening and referral processes </w:t>
      </w:r>
      <w:r w:rsidRPr="00D02FF0">
        <w:rPr>
          <w:rFonts w:cstheme="minorHAnsi"/>
        </w:rPr>
        <w:t xml:space="preserve">include </w:t>
      </w:r>
      <w:proofErr w:type="gramStart"/>
      <w:r w:rsidR="00A11A57" w:rsidRPr="00D02FF0">
        <w:rPr>
          <w:rFonts w:cstheme="minorHAnsi"/>
        </w:rPr>
        <w:t xml:space="preserve">all </w:t>
      </w:r>
      <w:r w:rsidRPr="00D02FF0">
        <w:rPr>
          <w:rFonts w:cstheme="minorHAnsi"/>
        </w:rPr>
        <w:t>of</w:t>
      </w:r>
      <w:proofErr w:type="gramEnd"/>
      <w:r w:rsidRPr="00D02FF0">
        <w:rPr>
          <w:rFonts w:cstheme="minorHAnsi"/>
        </w:rPr>
        <w:t xml:space="preserve"> </w:t>
      </w:r>
      <w:r w:rsidR="00A11A57" w:rsidRPr="00D02FF0">
        <w:rPr>
          <w:rFonts w:cstheme="minorHAnsi"/>
        </w:rPr>
        <w:t xml:space="preserve">the Center’s patients (Winchester Hospital GI group, DHA, and Atrius)? If not, please explain. </w:t>
      </w:r>
    </w:p>
    <w:p w14:paraId="532B09EF" w14:textId="4C57BD84" w:rsidR="00D02FF0" w:rsidRPr="00D02FF0" w:rsidRDefault="00D02FF0" w:rsidP="00D02FF0">
      <w:pPr>
        <w:pStyle w:val="ListParagraph"/>
        <w:spacing w:after="120"/>
        <w:ind w:left="1440"/>
        <w:contextualSpacing w:val="0"/>
        <w:rPr>
          <w:rFonts w:cstheme="minorHAnsi"/>
          <w:b/>
          <w:bCs/>
        </w:rPr>
      </w:pPr>
      <w:r w:rsidRPr="0017766A">
        <w:rPr>
          <w:rFonts w:cstheme="minorHAnsi"/>
          <w:b/>
          <w:bCs/>
        </w:rPr>
        <w:lastRenderedPageBreak/>
        <w:t>All Center patients are screened for safety at home and BILH Find Help Resources included on every patient After Visit Summary at discharge.</w:t>
      </w:r>
      <w:r w:rsidR="009E401B" w:rsidRPr="0017766A">
        <w:rPr>
          <w:rFonts w:cstheme="minorHAnsi"/>
          <w:b/>
          <w:bCs/>
        </w:rPr>
        <w:t xml:space="preserve"> If an issue is disclosed </w:t>
      </w:r>
      <w:r w:rsidR="0017766A" w:rsidRPr="0017766A">
        <w:rPr>
          <w:rFonts w:cstheme="minorHAnsi"/>
          <w:b/>
          <w:bCs/>
        </w:rPr>
        <w:t>to Center staff, referrals will be made to the appropriate resource.</w:t>
      </w:r>
      <w:r w:rsidR="0017766A">
        <w:rPr>
          <w:rFonts w:cstheme="minorHAnsi"/>
          <w:b/>
          <w:bCs/>
        </w:rPr>
        <w:t xml:space="preserve"> </w:t>
      </w:r>
    </w:p>
    <w:p w14:paraId="6A50D89F" w14:textId="719C595A" w:rsidR="00B04069" w:rsidRDefault="00C234A6" w:rsidP="002D45FD">
      <w:pPr>
        <w:pStyle w:val="Heading3"/>
      </w:pPr>
      <w:r>
        <w:t xml:space="preserve">Responses to DoN Questions #1 states </w:t>
      </w:r>
      <w:r w:rsidRPr="00C234A6">
        <w:t>BILH Performance Network (BILHPN) is committed to advancing population health and achieving quality performance measures outlined in at-risk payor contracts, including colon cancer screening</w:t>
      </w:r>
      <w:r w:rsidR="009741E2">
        <w:t xml:space="preserve"> (pg.</w:t>
      </w:r>
      <w:r w:rsidR="00436B48">
        <w:t>5).</w:t>
      </w:r>
    </w:p>
    <w:p w14:paraId="57C605E5" w14:textId="117601BD" w:rsidR="005654C9" w:rsidRPr="00A40ABE" w:rsidRDefault="00436B48" w:rsidP="00A40ABE">
      <w:pPr>
        <w:pStyle w:val="ListParagraph"/>
        <w:numPr>
          <w:ilvl w:val="1"/>
          <w:numId w:val="31"/>
        </w:numPr>
        <w:spacing w:after="120"/>
        <w:contextualSpacing w:val="0"/>
        <w:rPr>
          <w:rFonts w:cstheme="minorHAnsi"/>
        </w:rPr>
      </w:pPr>
      <w:r>
        <w:rPr>
          <w:rFonts w:cstheme="minorHAnsi"/>
        </w:rPr>
        <w:t>Does BILHPN’s work to advance population health and achieve performance measures</w:t>
      </w:r>
      <w:r w:rsidR="002D45E3">
        <w:rPr>
          <w:rFonts w:cstheme="minorHAnsi"/>
        </w:rPr>
        <w:t xml:space="preserve"> </w:t>
      </w:r>
      <w:r w:rsidR="00AB3788">
        <w:rPr>
          <w:rFonts w:cstheme="minorHAnsi"/>
        </w:rPr>
        <w:t>described on page 5 of Responses to DoN #1</w:t>
      </w:r>
      <w:r>
        <w:rPr>
          <w:rFonts w:cstheme="minorHAnsi"/>
        </w:rPr>
        <w:t xml:space="preserve"> include all patients of the Center (Winchester Hospital GI group, DHA, and Atrius patients)?</w:t>
      </w:r>
      <w:r w:rsidR="00585CF8">
        <w:rPr>
          <w:rFonts w:cstheme="minorHAnsi"/>
        </w:rPr>
        <w:t xml:space="preserve"> If not, please explain. </w:t>
      </w:r>
    </w:p>
    <w:p w14:paraId="4230B535" w14:textId="68A4533E" w:rsidR="00F877E8" w:rsidRPr="009E401B" w:rsidRDefault="00F270AD" w:rsidP="009E401B">
      <w:pPr>
        <w:pStyle w:val="ListParagraph"/>
        <w:spacing w:after="120"/>
        <w:ind w:left="1440"/>
        <w:contextualSpacing w:val="0"/>
        <w:rPr>
          <w:rFonts w:cstheme="minorHAnsi"/>
          <w:b/>
          <w:bCs/>
        </w:rPr>
      </w:pPr>
      <w:r>
        <w:rPr>
          <w:rFonts w:cstheme="minorHAnsi"/>
          <w:b/>
          <w:bCs/>
        </w:rPr>
        <w:t xml:space="preserve">Yes, </w:t>
      </w:r>
      <w:r w:rsidR="005654C9">
        <w:rPr>
          <w:rFonts w:cstheme="minorHAnsi"/>
          <w:b/>
          <w:bCs/>
        </w:rPr>
        <w:t xml:space="preserve">as the Center is </w:t>
      </w:r>
      <w:r w:rsidR="007B121A">
        <w:rPr>
          <w:rFonts w:cstheme="minorHAnsi"/>
          <w:b/>
          <w:bCs/>
        </w:rPr>
        <w:t>a satellite of the</w:t>
      </w:r>
      <w:r w:rsidR="005654C9">
        <w:rPr>
          <w:rFonts w:cstheme="minorHAnsi"/>
          <w:b/>
          <w:bCs/>
        </w:rPr>
        <w:t xml:space="preserve"> Hospital, it is</w:t>
      </w:r>
      <w:r>
        <w:rPr>
          <w:rFonts w:cstheme="minorHAnsi"/>
          <w:b/>
          <w:bCs/>
        </w:rPr>
        <w:t xml:space="preserve"> included in BILHPN’s work. </w:t>
      </w:r>
    </w:p>
    <w:p w14:paraId="709E715A" w14:textId="3C23BD2A" w:rsidR="00F43A28" w:rsidRPr="001413CF" w:rsidRDefault="00F43A28" w:rsidP="002D45FD">
      <w:pPr>
        <w:pStyle w:val="Heading3"/>
      </w:pPr>
      <w:r w:rsidRPr="001413CF">
        <w:t>The benchmark for ADRs is 25% overall, 30% in men, and 20% in women.</w:t>
      </w:r>
      <w:r w:rsidRPr="001413CF">
        <w:rPr>
          <w:vertAlign w:val="superscript"/>
        </w:rPr>
        <w:endnoteReference w:id="4"/>
      </w:r>
      <w:r w:rsidRPr="001413CF">
        <w:rPr>
          <w:vertAlign w:val="superscript"/>
        </w:rPr>
        <w:t>,</w:t>
      </w:r>
      <w:r w:rsidRPr="001413CF">
        <w:rPr>
          <w:vertAlign w:val="superscript"/>
        </w:rPr>
        <w:endnoteReference w:id="5"/>
      </w:r>
      <w:r w:rsidR="004335AF" w:rsidRPr="001413CF">
        <w:rPr>
          <w:rStyle w:val="EndnoteReference"/>
        </w:rPr>
        <w:endnoteReference w:id="6"/>
      </w:r>
    </w:p>
    <w:p w14:paraId="10491329" w14:textId="4D2A177F" w:rsidR="006A5A96" w:rsidRPr="001413CF" w:rsidRDefault="0034351B" w:rsidP="00A40ABE">
      <w:pPr>
        <w:pStyle w:val="ListParagraph"/>
        <w:numPr>
          <w:ilvl w:val="1"/>
          <w:numId w:val="31"/>
        </w:numPr>
        <w:spacing w:after="120"/>
        <w:contextualSpacing w:val="0"/>
      </w:pPr>
      <w:r w:rsidRPr="001413CF">
        <w:rPr>
          <w:rFonts w:cstheme="minorHAnsi"/>
        </w:rPr>
        <w:t>How is</w:t>
      </w:r>
      <w:r w:rsidRPr="001413CF">
        <w:t xml:space="preserve"> the Center’s ADR</w:t>
      </w:r>
      <w:r w:rsidRPr="001413CF">
        <w:rPr>
          <w:rFonts w:cstheme="minorHAnsi"/>
        </w:rPr>
        <w:t xml:space="preserve"> calculated?</w:t>
      </w:r>
    </w:p>
    <w:p w14:paraId="5869B32E" w14:textId="5D700EF0" w:rsidR="001413CF" w:rsidRPr="001413CF" w:rsidRDefault="001413CF" w:rsidP="001413CF">
      <w:pPr>
        <w:pStyle w:val="ListParagraph"/>
        <w:spacing w:after="120"/>
        <w:ind w:left="1440"/>
        <w:contextualSpacing w:val="0"/>
        <w:rPr>
          <w:b/>
          <w:bCs/>
        </w:rPr>
      </w:pPr>
      <w:r w:rsidRPr="001413CF">
        <w:rPr>
          <w:b/>
          <w:bCs/>
        </w:rPr>
        <w:t>Number of colonoscopies with at least one polyp finding/total number of colonoscopies</w:t>
      </w:r>
      <w:r>
        <w:rPr>
          <w:b/>
          <w:bCs/>
        </w:rPr>
        <w:t xml:space="preserve">. </w:t>
      </w:r>
    </w:p>
    <w:p w14:paraId="0306CC11" w14:textId="20AC4BFF" w:rsidR="005D0E04" w:rsidRPr="00D02FF0" w:rsidRDefault="00F43A28" w:rsidP="00A40ABE">
      <w:pPr>
        <w:pStyle w:val="ListParagraph"/>
        <w:numPr>
          <w:ilvl w:val="1"/>
          <w:numId w:val="31"/>
        </w:numPr>
        <w:spacing w:after="120"/>
        <w:contextualSpacing w:val="0"/>
        <w:rPr>
          <w:rFonts w:cstheme="minorHAnsi"/>
        </w:rPr>
      </w:pPr>
      <w:r w:rsidRPr="00D02FF0">
        <w:rPr>
          <w:rFonts w:cstheme="minorHAnsi"/>
        </w:rPr>
        <w:t>Explain the reason for the Center’s</w:t>
      </w:r>
      <w:r w:rsidR="005C4329" w:rsidRPr="00D02FF0">
        <w:rPr>
          <w:rFonts w:cstheme="minorHAnsi"/>
        </w:rPr>
        <w:t xml:space="preserve"> </w:t>
      </w:r>
      <w:r w:rsidRPr="00D02FF0">
        <w:rPr>
          <w:rFonts w:cstheme="minorHAnsi"/>
        </w:rPr>
        <w:t>ADR</w:t>
      </w:r>
      <w:r w:rsidR="00D56479" w:rsidRPr="00D02FF0">
        <w:rPr>
          <w:rFonts w:cstheme="minorHAnsi"/>
        </w:rPr>
        <w:t xml:space="preserve"> in 2025</w:t>
      </w:r>
      <w:r w:rsidRPr="00D02FF0">
        <w:rPr>
          <w:rFonts w:cstheme="minorHAnsi"/>
        </w:rPr>
        <w:t xml:space="preserve"> </w:t>
      </w:r>
      <w:r w:rsidR="00264C5C" w:rsidRPr="00D02FF0">
        <w:rPr>
          <w:rFonts w:cstheme="minorHAnsi"/>
        </w:rPr>
        <w:t>(</w:t>
      </w:r>
      <w:r w:rsidR="005C4329" w:rsidRPr="00D02FF0">
        <w:rPr>
          <w:rFonts w:cstheme="minorHAnsi"/>
        </w:rPr>
        <w:t xml:space="preserve">lower </w:t>
      </w:r>
      <w:r w:rsidR="00264C5C" w:rsidRPr="00D02FF0">
        <w:rPr>
          <w:rFonts w:cstheme="minorHAnsi"/>
        </w:rPr>
        <w:t xml:space="preserve">than the benchmark) </w:t>
      </w:r>
      <w:r w:rsidRPr="00D02FF0">
        <w:rPr>
          <w:rFonts w:cstheme="minorHAnsi"/>
        </w:rPr>
        <w:t xml:space="preserve">as reported in Responses to </w:t>
      </w:r>
      <w:r w:rsidR="005D0E04" w:rsidRPr="00D02FF0">
        <w:rPr>
          <w:rFonts w:cstheme="minorHAnsi"/>
        </w:rPr>
        <w:t>DoN Questions #1</w:t>
      </w:r>
      <w:r w:rsidR="00043BF7" w:rsidRPr="00D02FF0">
        <w:rPr>
          <w:rFonts w:cstheme="minorHAnsi"/>
        </w:rPr>
        <w:t xml:space="preserve"> (pg.5)</w:t>
      </w:r>
      <w:r w:rsidR="00264C5C" w:rsidRPr="00D02FF0">
        <w:rPr>
          <w:rFonts w:cstheme="minorHAnsi"/>
        </w:rPr>
        <w:t xml:space="preserve">, and any </w:t>
      </w:r>
      <w:r w:rsidR="005D0E04" w:rsidRPr="00D02FF0">
        <w:rPr>
          <w:rFonts w:cstheme="minorHAnsi"/>
        </w:rPr>
        <w:t>strategies in place to improve the Center’s ADR.</w:t>
      </w:r>
    </w:p>
    <w:p w14:paraId="0006ED40" w14:textId="1EEADFA8" w:rsidR="00F877E8" w:rsidRPr="00F877E8" w:rsidRDefault="00F877E8" w:rsidP="00F877E8">
      <w:pPr>
        <w:pStyle w:val="ListParagraph"/>
        <w:spacing w:after="120"/>
        <w:ind w:left="1440"/>
        <w:contextualSpacing w:val="0"/>
        <w:rPr>
          <w:rFonts w:cstheme="minorHAnsi"/>
          <w:b/>
          <w:bCs/>
        </w:rPr>
      </w:pPr>
      <w:r w:rsidRPr="00D02FF0">
        <w:rPr>
          <w:rFonts w:cstheme="minorHAnsi"/>
          <w:b/>
          <w:bCs/>
        </w:rPr>
        <w:t xml:space="preserve">The Center historically has been unable to capture Atrius </w:t>
      </w:r>
      <w:r w:rsidR="0017766A" w:rsidRPr="00D02FF0">
        <w:rPr>
          <w:rFonts w:cstheme="minorHAnsi"/>
          <w:b/>
          <w:bCs/>
        </w:rPr>
        <w:t>results,</w:t>
      </w:r>
      <w:r w:rsidRPr="00D02FF0">
        <w:rPr>
          <w:rFonts w:cstheme="minorHAnsi"/>
          <w:b/>
          <w:bCs/>
        </w:rPr>
        <w:t xml:space="preserve"> so the ADR provided did not include Atrius patients in the numerator, but did capture all procedures in the denominator, thus skewing the ADR negatively.</w:t>
      </w:r>
      <w:r>
        <w:rPr>
          <w:rFonts w:cstheme="minorHAnsi"/>
          <w:b/>
          <w:bCs/>
        </w:rPr>
        <w:t xml:space="preserve"> </w:t>
      </w:r>
    </w:p>
    <w:p w14:paraId="2D1C42FA" w14:textId="6CBC4416" w:rsidR="00E34200" w:rsidRPr="00D02FF0" w:rsidRDefault="00E34200" w:rsidP="002D45FD">
      <w:pPr>
        <w:pStyle w:val="Heading3"/>
      </w:pPr>
      <w:r w:rsidRPr="00DC156C">
        <w:t xml:space="preserve">The application states that </w:t>
      </w:r>
      <w:r w:rsidR="00C40E16" w:rsidRPr="00DC156C">
        <w:t xml:space="preserve">the Proposed Project will address a need for endoscopy services in the </w:t>
      </w:r>
      <w:r w:rsidR="00C40E16" w:rsidRPr="00D02FF0">
        <w:t xml:space="preserve">BILH system, particularly among </w:t>
      </w:r>
      <w:r w:rsidR="002C55FE" w:rsidRPr="00D02FF0">
        <w:t>Lahey and BIDMC GI patients.</w:t>
      </w:r>
    </w:p>
    <w:p w14:paraId="5D00CE5B" w14:textId="77777777" w:rsidR="006F4CD8" w:rsidRPr="00D02FF0" w:rsidRDefault="002C55FE" w:rsidP="006F4CD8">
      <w:pPr>
        <w:pStyle w:val="ListParagraph"/>
        <w:numPr>
          <w:ilvl w:val="1"/>
          <w:numId w:val="31"/>
        </w:numPr>
        <w:spacing w:after="120"/>
        <w:contextualSpacing w:val="0"/>
        <w:rPr>
          <w:rFonts w:cstheme="minorHAnsi"/>
        </w:rPr>
      </w:pPr>
      <w:r w:rsidRPr="00D02FF0">
        <w:rPr>
          <w:rFonts w:cstheme="minorHAnsi"/>
        </w:rPr>
        <w:t xml:space="preserve">Explain the referral process for Lahey and BIDMC GI patients. Are patients referred directly to the Center </w:t>
      </w:r>
      <w:r w:rsidR="00755D92" w:rsidRPr="00D02FF0">
        <w:rPr>
          <w:rFonts w:cstheme="minorHAnsi"/>
        </w:rPr>
        <w:t xml:space="preserve">for a procedure </w:t>
      </w:r>
      <w:r w:rsidRPr="00D02FF0">
        <w:rPr>
          <w:rFonts w:cstheme="minorHAnsi"/>
        </w:rPr>
        <w:t xml:space="preserve">or </w:t>
      </w:r>
      <w:r w:rsidR="00755D92" w:rsidRPr="00D02FF0">
        <w:rPr>
          <w:rFonts w:cstheme="minorHAnsi"/>
        </w:rPr>
        <w:t xml:space="preserve">are </w:t>
      </w:r>
      <w:r w:rsidRPr="00D02FF0">
        <w:rPr>
          <w:rFonts w:cstheme="minorHAnsi"/>
        </w:rPr>
        <w:t>the</w:t>
      </w:r>
      <w:r w:rsidR="00755D92" w:rsidRPr="00D02FF0">
        <w:rPr>
          <w:rFonts w:cstheme="minorHAnsi"/>
        </w:rPr>
        <w:t>y screened by Winchester Hospital GI providers?</w:t>
      </w:r>
    </w:p>
    <w:p w14:paraId="61941F31" w14:textId="31EDE68D" w:rsidR="00F877E8" w:rsidRPr="00B846D1" w:rsidRDefault="006F4CD8" w:rsidP="00B846D1">
      <w:pPr>
        <w:pStyle w:val="ListParagraph"/>
        <w:spacing w:after="120"/>
        <w:ind w:left="1440"/>
        <w:contextualSpacing w:val="0"/>
        <w:jc w:val="both"/>
        <w:rPr>
          <w:rFonts w:cstheme="minorHAnsi"/>
        </w:rPr>
      </w:pPr>
      <w:r w:rsidRPr="006F4CD8">
        <w:rPr>
          <w:rFonts w:ascii="Calibri" w:eastAsia="Times New Roman" w:hAnsi="Calibri" w:cs="Calibri"/>
          <w:b/>
          <w:bCs/>
          <w:color w:val="000000"/>
        </w:rPr>
        <w:t>BILH is currently utilizing two processes to facilitate care for BIDMC and Lahey patients at the Center. First, Winchester Hospital is providing block time (seven days per month) at the Center to one BIDMC GI provider which will allow approximately 1,000 BIDMC patients annually to receive their care at the Center with their existing GI provider.</w:t>
      </w:r>
      <w:r w:rsidR="00B846D1">
        <w:rPr>
          <w:rFonts w:ascii="Calibri" w:eastAsia="Times New Roman" w:hAnsi="Calibri" w:cs="Calibri"/>
          <w:b/>
          <w:bCs/>
          <w:color w:val="000000"/>
        </w:rPr>
        <w:t xml:space="preserve"> </w:t>
      </w:r>
      <w:r w:rsidR="00F877E8" w:rsidRPr="006F4CD8">
        <w:rPr>
          <w:rFonts w:cstheme="minorHAnsi"/>
          <w:b/>
          <w:bCs/>
        </w:rPr>
        <w:t xml:space="preserve">Second, Winchester Hospital is working directly with Lahey Primary Care patients who have colonoscopy orders to schedule their procedures at the Center with the next available provider. </w:t>
      </w:r>
    </w:p>
    <w:p w14:paraId="46595173" w14:textId="16C989A2" w:rsidR="00EC3375" w:rsidRPr="006F4CD8" w:rsidRDefault="00755D92" w:rsidP="00DB422B">
      <w:pPr>
        <w:pStyle w:val="ListParagraph"/>
        <w:numPr>
          <w:ilvl w:val="1"/>
          <w:numId w:val="31"/>
        </w:numPr>
        <w:spacing w:after="120"/>
        <w:contextualSpacing w:val="0"/>
        <w:rPr>
          <w:rFonts w:cstheme="minorHAnsi"/>
        </w:rPr>
      </w:pPr>
      <w:r w:rsidRPr="006F4CD8">
        <w:rPr>
          <w:rFonts w:cstheme="minorHAnsi"/>
        </w:rPr>
        <w:t xml:space="preserve">BIDMC and Lahey patients will make up what percentage of </w:t>
      </w:r>
      <w:r w:rsidR="008B5134" w:rsidRPr="006F4CD8">
        <w:rPr>
          <w:rFonts w:cstheme="minorHAnsi"/>
        </w:rPr>
        <w:t xml:space="preserve">the Center’s </w:t>
      </w:r>
      <w:r w:rsidRPr="006F4CD8">
        <w:rPr>
          <w:rFonts w:cstheme="minorHAnsi"/>
        </w:rPr>
        <w:t>projected new procedure volume?</w:t>
      </w:r>
    </w:p>
    <w:p w14:paraId="6BE28CBB" w14:textId="37DB858D" w:rsidR="00F877E8" w:rsidRPr="00F877E8" w:rsidRDefault="00F877E8" w:rsidP="006F4CD8">
      <w:pPr>
        <w:pStyle w:val="ListParagraph"/>
        <w:spacing w:after="120"/>
        <w:ind w:left="1440"/>
        <w:contextualSpacing w:val="0"/>
        <w:jc w:val="both"/>
        <w:rPr>
          <w:rFonts w:cstheme="minorHAnsi"/>
          <w:b/>
          <w:bCs/>
        </w:rPr>
      </w:pPr>
      <w:r w:rsidRPr="006F4CD8">
        <w:rPr>
          <w:rFonts w:cstheme="minorHAnsi"/>
          <w:b/>
          <w:bCs/>
        </w:rPr>
        <w:t xml:space="preserve">Lahey patients currently make up approximately </w:t>
      </w:r>
      <w:r w:rsidR="00F24DAA">
        <w:rPr>
          <w:rFonts w:cstheme="minorHAnsi"/>
          <w:b/>
          <w:bCs/>
        </w:rPr>
        <w:t>one-third (1/3)</w:t>
      </w:r>
      <w:r w:rsidRPr="006F4CD8">
        <w:rPr>
          <w:rFonts w:cstheme="minorHAnsi"/>
          <w:b/>
          <w:bCs/>
        </w:rPr>
        <w:t xml:space="preserve"> of the Center’s screening colonoscopy referral </w:t>
      </w:r>
      <w:proofErr w:type="gramStart"/>
      <w:r w:rsidRPr="006F4CD8">
        <w:rPr>
          <w:rFonts w:cstheme="minorHAnsi"/>
          <w:b/>
          <w:bCs/>
        </w:rPr>
        <w:t>volume</w:t>
      </w:r>
      <w:proofErr w:type="gramEnd"/>
      <w:r w:rsidRPr="006F4CD8">
        <w:rPr>
          <w:rFonts w:cstheme="minorHAnsi"/>
          <w:b/>
          <w:bCs/>
        </w:rPr>
        <w:t xml:space="preserve"> and </w:t>
      </w:r>
      <w:r w:rsidR="00B846D1">
        <w:rPr>
          <w:rFonts w:cstheme="minorHAnsi"/>
          <w:b/>
          <w:bCs/>
        </w:rPr>
        <w:t xml:space="preserve">the Applicant </w:t>
      </w:r>
      <w:r w:rsidRPr="006F4CD8">
        <w:rPr>
          <w:rFonts w:cstheme="minorHAnsi"/>
          <w:b/>
          <w:bCs/>
        </w:rPr>
        <w:t xml:space="preserve">anticipates </w:t>
      </w:r>
      <w:r w:rsidR="006F4CD8" w:rsidRPr="006F4CD8">
        <w:rPr>
          <w:rFonts w:cstheme="minorHAnsi"/>
          <w:b/>
          <w:bCs/>
        </w:rPr>
        <w:t xml:space="preserve">Lahey patients will similarly comprise </w:t>
      </w:r>
      <w:r w:rsidR="00F24DAA">
        <w:rPr>
          <w:rFonts w:cstheme="minorHAnsi"/>
          <w:b/>
          <w:bCs/>
        </w:rPr>
        <w:t>one-third (</w:t>
      </w:r>
      <w:r w:rsidR="006F4CD8" w:rsidRPr="006F4CD8">
        <w:rPr>
          <w:rFonts w:cstheme="minorHAnsi"/>
          <w:b/>
          <w:bCs/>
        </w:rPr>
        <w:t>1/3</w:t>
      </w:r>
      <w:r w:rsidR="00F24DAA">
        <w:rPr>
          <w:rFonts w:cstheme="minorHAnsi"/>
          <w:b/>
          <w:bCs/>
        </w:rPr>
        <w:t>)</w:t>
      </w:r>
      <w:r w:rsidR="006F4CD8" w:rsidRPr="006F4CD8">
        <w:rPr>
          <w:rFonts w:cstheme="minorHAnsi"/>
          <w:b/>
          <w:bCs/>
        </w:rPr>
        <w:t xml:space="preserve"> of additional screening volume through</w:t>
      </w:r>
      <w:r w:rsidRPr="006F4CD8">
        <w:rPr>
          <w:rFonts w:cstheme="minorHAnsi"/>
          <w:b/>
          <w:bCs/>
        </w:rPr>
        <w:t xml:space="preserve"> the Proposed Project. </w:t>
      </w:r>
      <w:r w:rsidR="006F4CD8" w:rsidRPr="006F4CD8">
        <w:rPr>
          <w:rFonts w:cstheme="minorHAnsi"/>
          <w:b/>
          <w:bCs/>
        </w:rPr>
        <w:t>The Applicant anticipates an additional 1,000 BIDMC will have access to endoscopy at the Center</w:t>
      </w:r>
      <w:r w:rsidR="00B846D1">
        <w:rPr>
          <w:rFonts w:cstheme="minorHAnsi"/>
          <w:b/>
          <w:bCs/>
        </w:rPr>
        <w:t xml:space="preserve"> following the proposed expansion. </w:t>
      </w:r>
    </w:p>
    <w:p w14:paraId="67F09EEE" w14:textId="158768C5" w:rsidR="00052B53" w:rsidRDefault="00052B53" w:rsidP="002D45FD">
      <w:pPr>
        <w:pStyle w:val="Heading3"/>
      </w:pPr>
      <w:r>
        <w:lastRenderedPageBreak/>
        <w:t>The application states a</w:t>
      </w:r>
      <w:r w:rsidRPr="00052B53">
        <w:t>ll BILH-affiliated</w:t>
      </w:r>
      <w:r>
        <w:t xml:space="preserve"> </w:t>
      </w:r>
      <w:r w:rsidRPr="00052B53">
        <w:t>providers receive case notes following the endoscopy procedure at the Center</w:t>
      </w:r>
      <w:r>
        <w:t xml:space="preserve"> (pg.17)</w:t>
      </w:r>
    </w:p>
    <w:p w14:paraId="6C6673B0" w14:textId="1101B70B" w:rsidR="005654C9" w:rsidRPr="00880E0B" w:rsidRDefault="00052B53" w:rsidP="00880E0B">
      <w:pPr>
        <w:pStyle w:val="ListParagraph"/>
        <w:numPr>
          <w:ilvl w:val="1"/>
          <w:numId w:val="31"/>
        </w:numPr>
        <w:spacing w:after="120"/>
        <w:contextualSpacing w:val="0"/>
        <w:rPr>
          <w:rFonts w:cstheme="minorHAnsi"/>
        </w:rPr>
      </w:pPr>
      <w:r>
        <w:rPr>
          <w:rFonts w:cstheme="minorHAnsi"/>
        </w:rPr>
        <w:t xml:space="preserve">Does this </w:t>
      </w:r>
      <w:proofErr w:type="gramStart"/>
      <w:r>
        <w:rPr>
          <w:rFonts w:cstheme="minorHAnsi"/>
        </w:rPr>
        <w:t>include for</w:t>
      </w:r>
      <w:proofErr w:type="gramEnd"/>
      <w:r>
        <w:rPr>
          <w:rFonts w:cstheme="minorHAnsi"/>
        </w:rPr>
        <w:t xml:space="preserve"> DHA and Atrius </w:t>
      </w:r>
      <w:r w:rsidR="00F155B4">
        <w:rPr>
          <w:rFonts w:cstheme="minorHAnsi"/>
        </w:rPr>
        <w:t>providers</w:t>
      </w:r>
      <w:r>
        <w:rPr>
          <w:rFonts w:cstheme="minorHAnsi"/>
        </w:rPr>
        <w:t xml:space="preserve">? If not, please explain processes for sharing case notes. </w:t>
      </w:r>
    </w:p>
    <w:p w14:paraId="516BBE91" w14:textId="07C61942" w:rsidR="00880E0B" w:rsidRDefault="00A35827" w:rsidP="00DB422B">
      <w:pPr>
        <w:pStyle w:val="ListParagraph"/>
        <w:spacing w:after="120"/>
        <w:ind w:left="1440"/>
        <w:contextualSpacing w:val="0"/>
        <w:rPr>
          <w:rFonts w:cstheme="minorHAnsi"/>
          <w:b/>
          <w:bCs/>
        </w:rPr>
      </w:pPr>
      <w:r>
        <w:rPr>
          <w:rFonts w:cstheme="minorHAnsi"/>
          <w:b/>
          <w:bCs/>
        </w:rPr>
        <w:t xml:space="preserve">Yes, DHA and Atrius providers are BILH-affiliated providers. </w:t>
      </w:r>
    </w:p>
    <w:p w14:paraId="35891D58" w14:textId="77777777" w:rsidR="00B846D1" w:rsidRPr="00660283" w:rsidRDefault="00B846D1" w:rsidP="00DB422B">
      <w:pPr>
        <w:pStyle w:val="ListParagraph"/>
        <w:spacing w:after="120"/>
        <w:ind w:left="1440"/>
        <w:contextualSpacing w:val="0"/>
        <w:rPr>
          <w:rFonts w:cstheme="minorHAnsi"/>
          <w:b/>
          <w:bCs/>
        </w:rPr>
      </w:pPr>
    </w:p>
    <w:p w14:paraId="004B5E10" w14:textId="2462FD83" w:rsidR="004D2FCA" w:rsidRDefault="004D2FCA" w:rsidP="002D45FD">
      <w:pPr>
        <w:pStyle w:val="Heading3"/>
      </w:pPr>
      <w:r>
        <w:t xml:space="preserve">Responses to DoN questions #1 states that </w:t>
      </w:r>
      <w:r w:rsidRPr="004D2FCA">
        <w:t>the Applicant’s fiscal year</w:t>
      </w:r>
      <w:r w:rsidR="00F42F4D" w:rsidRPr="00F42F4D">
        <w:t xml:space="preserve"> </w:t>
      </w:r>
      <w:r w:rsidR="00F42F4D">
        <w:t xml:space="preserve">is from </w:t>
      </w:r>
      <w:r w:rsidR="00F42F4D" w:rsidRPr="00F42F4D">
        <w:t>October 1 – September 30</w:t>
      </w:r>
      <w:r w:rsidR="00086271">
        <w:t xml:space="preserve"> (pg.1)</w:t>
      </w:r>
      <w:r w:rsidR="00F42F4D" w:rsidRPr="00F42F4D">
        <w:t>.</w:t>
      </w:r>
    </w:p>
    <w:p w14:paraId="5AF7B8D8" w14:textId="230D159E" w:rsidR="005654C9" w:rsidRPr="00DC156C" w:rsidRDefault="00983CFB" w:rsidP="00DC156C">
      <w:pPr>
        <w:pStyle w:val="ListParagraph"/>
        <w:numPr>
          <w:ilvl w:val="1"/>
          <w:numId w:val="31"/>
        </w:numPr>
        <w:spacing w:after="120"/>
        <w:contextualSpacing w:val="0"/>
        <w:rPr>
          <w:rFonts w:cstheme="minorHAnsi"/>
        </w:rPr>
      </w:pPr>
      <w:r>
        <w:rPr>
          <w:rFonts w:cstheme="minorHAnsi"/>
        </w:rPr>
        <w:t xml:space="preserve">Are </w:t>
      </w:r>
      <w:r w:rsidR="00086271">
        <w:rPr>
          <w:rFonts w:cstheme="minorHAnsi"/>
        </w:rPr>
        <w:t xml:space="preserve">the fiscal years referenced in the </w:t>
      </w:r>
      <w:r>
        <w:rPr>
          <w:rFonts w:cstheme="minorHAnsi"/>
        </w:rPr>
        <w:t>applica</w:t>
      </w:r>
      <w:r w:rsidR="00585CF8">
        <w:rPr>
          <w:rFonts w:cstheme="minorHAnsi"/>
        </w:rPr>
        <w:t>tion</w:t>
      </w:r>
      <w:r>
        <w:rPr>
          <w:rFonts w:cstheme="minorHAnsi"/>
        </w:rPr>
        <w:t xml:space="preserve"> </w:t>
      </w:r>
      <w:r w:rsidR="00086271">
        <w:rPr>
          <w:rFonts w:cstheme="minorHAnsi"/>
        </w:rPr>
        <w:t xml:space="preserve">and follow-up questions </w:t>
      </w:r>
      <w:r>
        <w:rPr>
          <w:rFonts w:cstheme="minorHAnsi"/>
        </w:rPr>
        <w:t>the same as the</w:t>
      </w:r>
      <w:r w:rsidR="00086271">
        <w:rPr>
          <w:rFonts w:cstheme="minorHAnsi"/>
        </w:rPr>
        <w:t xml:space="preserve"> Applicant’s fiscal year (Oct 1-Sept 30). If not, please provide fiscal years for the data where </w:t>
      </w:r>
      <w:r w:rsidR="00CB316A">
        <w:rPr>
          <w:rFonts w:cstheme="minorHAnsi"/>
        </w:rPr>
        <w:t>it</w:t>
      </w:r>
      <w:r w:rsidR="00086271">
        <w:rPr>
          <w:rFonts w:cstheme="minorHAnsi"/>
        </w:rPr>
        <w:t xml:space="preserve"> differ</w:t>
      </w:r>
      <w:r w:rsidR="00CB316A">
        <w:rPr>
          <w:rFonts w:cstheme="minorHAnsi"/>
        </w:rPr>
        <w:t>s</w:t>
      </w:r>
      <w:r w:rsidR="00086271">
        <w:rPr>
          <w:rFonts w:cstheme="minorHAnsi"/>
        </w:rPr>
        <w:t xml:space="preserve"> from the Applicant’s. </w:t>
      </w:r>
    </w:p>
    <w:p w14:paraId="6A2E41AB" w14:textId="3775CFB6" w:rsidR="00A35827" w:rsidRPr="005654C9" w:rsidRDefault="007B121A" w:rsidP="00A40ABE">
      <w:pPr>
        <w:pStyle w:val="ListParagraph"/>
        <w:spacing w:after="120"/>
        <w:ind w:left="1440"/>
        <w:contextualSpacing w:val="0"/>
        <w:rPr>
          <w:rFonts w:cstheme="minorHAnsi"/>
          <w:b/>
          <w:bCs/>
        </w:rPr>
      </w:pPr>
      <w:r>
        <w:rPr>
          <w:rFonts w:cstheme="minorHAnsi"/>
          <w:b/>
          <w:bCs/>
        </w:rPr>
        <w:t>Yes. The</w:t>
      </w:r>
      <w:r w:rsidR="005654C9">
        <w:rPr>
          <w:rFonts w:cstheme="minorHAnsi"/>
          <w:b/>
          <w:bCs/>
        </w:rPr>
        <w:t xml:space="preserve"> Applicant </w:t>
      </w:r>
      <w:r>
        <w:rPr>
          <w:rFonts w:cstheme="minorHAnsi"/>
          <w:b/>
          <w:bCs/>
        </w:rPr>
        <w:t xml:space="preserve">is the provider organization and all entities within that organization </w:t>
      </w:r>
      <w:r w:rsidR="005654C9">
        <w:rPr>
          <w:rFonts w:cstheme="minorHAnsi"/>
          <w:b/>
          <w:bCs/>
        </w:rPr>
        <w:t>are on the same fiscal year</w:t>
      </w:r>
      <w:r>
        <w:rPr>
          <w:rFonts w:cstheme="minorHAnsi"/>
          <w:b/>
          <w:bCs/>
        </w:rPr>
        <w:t>,</w:t>
      </w:r>
      <w:r w:rsidR="00A35827" w:rsidRPr="005654C9">
        <w:rPr>
          <w:rFonts w:cstheme="minorHAnsi"/>
          <w:b/>
          <w:bCs/>
        </w:rPr>
        <w:t xml:space="preserve"> October 1 – September 30.</w:t>
      </w:r>
      <w:r>
        <w:rPr>
          <w:rFonts w:cstheme="minorHAnsi"/>
          <w:b/>
          <w:bCs/>
        </w:rPr>
        <w:t xml:space="preserve"> </w:t>
      </w:r>
    </w:p>
    <w:sectPr w:rsidR="00A35827" w:rsidRPr="005654C9" w:rsidSect="00C04577">
      <w:headerReference w:type="even" r:id="rId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B76B" w14:textId="77777777" w:rsidR="00510047" w:rsidRDefault="00510047" w:rsidP="00E45D1C">
      <w:pPr>
        <w:spacing w:after="0" w:line="240" w:lineRule="auto"/>
      </w:pPr>
      <w:r>
        <w:separator/>
      </w:r>
    </w:p>
  </w:endnote>
  <w:endnote w:type="continuationSeparator" w:id="0">
    <w:p w14:paraId="3E49EB53" w14:textId="77777777" w:rsidR="00510047" w:rsidRDefault="00510047" w:rsidP="00E45D1C">
      <w:pPr>
        <w:spacing w:after="0" w:line="240" w:lineRule="auto"/>
      </w:pPr>
      <w:r>
        <w:continuationSeparator/>
      </w:r>
    </w:p>
  </w:endnote>
  <w:endnote w:type="continuationNotice" w:id="1">
    <w:p w14:paraId="02035DFF" w14:textId="77777777" w:rsidR="00510047" w:rsidRDefault="00510047">
      <w:pPr>
        <w:spacing w:after="0" w:line="240" w:lineRule="auto"/>
      </w:pPr>
    </w:p>
  </w:endnote>
  <w:endnote w:id="2">
    <w:p w14:paraId="386CD1E3" w14:textId="7F252B4C" w:rsidR="00EC35E4" w:rsidRPr="0059776A" w:rsidRDefault="00A31FC4">
      <w:pPr>
        <w:pStyle w:val="EndnoteText"/>
        <w:rPr>
          <w:rFonts w:ascii="Aptos" w:hAnsi="Aptos"/>
          <w:b/>
          <w:bCs/>
          <w:sz w:val="16"/>
          <w:szCs w:val="16"/>
        </w:rPr>
      </w:pPr>
      <w:r w:rsidRPr="0059776A">
        <w:rPr>
          <w:rStyle w:val="EndnoteReference"/>
          <w:rFonts w:ascii="Aptos" w:hAnsi="Aptos"/>
          <w:sz w:val="16"/>
          <w:szCs w:val="16"/>
        </w:rPr>
        <w:endnoteRef/>
      </w:r>
      <w:r w:rsidRPr="0059776A">
        <w:rPr>
          <w:rFonts w:ascii="Aptos" w:hAnsi="Aptos"/>
          <w:sz w:val="16"/>
          <w:szCs w:val="16"/>
        </w:rPr>
        <w:t xml:space="preserve"> </w:t>
      </w:r>
      <w:hyperlink r:id="rId1" w:anchor=":~:text=Commercial%20insurers%20paid%20an%20average,safely%20performed%20in%20ASC%20setting" w:history="1">
        <w:r w:rsidR="00EC35E4" w:rsidRPr="0088273D">
          <w:rPr>
            <w:rStyle w:val="Hyperlink"/>
            <w:rFonts w:ascii="Aptos" w:hAnsi="Aptos"/>
            <w:color w:val="000000" w:themeColor="text1"/>
            <w:sz w:val="16"/>
            <w:szCs w:val="16"/>
            <w:u w:val="none"/>
          </w:rPr>
          <w:t>Commercial prices 78% higher in HOPDs than ASCs</w:t>
        </w:r>
      </w:hyperlink>
      <w:r w:rsidR="00EC35E4" w:rsidRPr="0088273D">
        <w:rPr>
          <w:rFonts w:ascii="Aptos" w:hAnsi="Aptos"/>
          <w:color w:val="000000" w:themeColor="text1"/>
          <w:sz w:val="16"/>
          <w:szCs w:val="16"/>
        </w:rPr>
        <w:t>: Study</w:t>
      </w:r>
      <w:r w:rsidR="00EC35E4" w:rsidRPr="0059776A">
        <w:rPr>
          <w:rFonts w:ascii="Aptos" w:hAnsi="Aptos"/>
          <w:sz w:val="16"/>
          <w:szCs w:val="16"/>
        </w:rPr>
        <w:t>.</w:t>
      </w:r>
      <w:r w:rsidR="00EC35E4" w:rsidRPr="0059776A">
        <w:rPr>
          <w:rFonts w:ascii="Aptos" w:hAnsi="Aptos"/>
          <w:b/>
          <w:bCs/>
          <w:sz w:val="16"/>
          <w:szCs w:val="16"/>
        </w:rPr>
        <w:t xml:space="preserve"> </w:t>
      </w:r>
      <w:r w:rsidR="00EC35E4" w:rsidRPr="0059776A">
        <w:rPr>
          <w:rFonts w:ascii="Aptos" w:hAnsi="Aptos"/>
          <w:sz w:val="16"/>
          <w:szCs w:val="16"/>
        </w:rPr>
        <w:t xml:space="preserve">Becker’s ASC Review. </w:t>
      </w:r>
    </w:p>
    <w:p w14:paraId="4DB2A97A" w14:textId="60F52A83" w:rsidR="00A31FC4" w:rsidRPr="0059776A" w:rsidRDefault="00EC35E4">
      <w:pPr>
        <w:pStyle w:val="EndnoteText"/>
        <w:rPr>
          <w:rFonts w:ascii="Aptos" w:hAnsi="Aptos"/>
          <w:sz w:val="16"/>
          <w:szCs w:val="16"/>
        </w:rPr>
      </w:pPr>
      <w:hyperlink r:id="rId2" w:anchor=":~:text=Commercial%20insurers%20paid%20an%20average,safely%20performed%20in%20ASC%20setting" w:history="1">
        <w:r w:rsidRPr="0059776A">
          <w:rPr>
            <w:rStyle w:val="Hyperlink"/>
            <w:rFonts w:ascii="Aptos" w:hAnsi="Aptos"/>
            <w:sz w:val="16"/>
            <w:szCs w:val="16"/>
          </w:rPr>
          <w:t>https://www.beckersasc.com/asc-coding-billing-and-collections/commercial-prices-78-higher-in-hopds-than-ascs-study/#:~:text=Commercial%20insurers%20paid%20an%20average,safely%20performed%20in%20ASC%20setting</w:t>
        </w:r>
      </w:hyperlink>
      <w:r w:rsidRPr="0059776A">
        <w:rPr>
          <w:rFonts w:ascii="Aptos" w:hAnsi="Aptos"/>
          <w:sz w:val="16"/>
          <w:szCs w:val="16"/>
        </w:rPr>
        <w:t xml:space="preserve"> </w:t>
      </w:r>
    </w:p>
  </w:endnote>
  <w:endnote w:id="3">
    <w:p w14:paraId="16D1C317" w14:textId="44240BB9" w:rsidR="002536DC" w:rsidRPr="0059776A" w:rsidRDefault="002536DC">
      <w:pPr>
        <w:pStyle w:val="EndnoteText"/>
        <w:rPr>
          <w:rFonts w:ascii="Aptos" w:hAnsi="Aptos"/>
          <w:sz w:val="16"/>
          <w:szCs w:val="16"/>
        </w:rPr>
      </w:pPr>
      <w:r w:rsidRPr="0059776A">
        <w:rPr>
          <w:rStyle w:val="EndnoteReference"/>
          <w:rFonts w:ascii="Aptos" w:hAnsi="Aptos"/>
          <w:sz w:val="16"/>
          <w:szCs w:val="16"/>
        </w:rPr>
        <w:endnoteRef/>
      </w:r>
      <w:r w:rsidRPr="0059776A">
        <w:rPr>
          <w:rFonts w:ascii="Aptos" w:hAnsi="Aptos"/>
          <w:sz w:val="16"/>
          <w:szCs w:val="16"/>
        </w:rPr>
        <w:t xml:space="preserve"> </w:t>
      </w:r>
      <w:hyperlink r:id="rId3" w:history="1">
        <w:r w:rsidR="00E054AC" w:rsidRPr="0088273D">
          <w:rPr>
            <w:rStyle w:val="Hyperlink"/>
            <w:rFonts w:ascii="Aptos" w:hAnsi="Aptos"/>
            <w:color w:val="000000" w:themeColor="text1"/>
            <w:sz w:val="16"/>
            <w:szCs w:val="16"/>
            <w:u w:val="none"/>
          </w:rPr>
          <w:t>Hospital outpatient prices far higher, rising faster than physician sites</w:t>
        </w:r>
      </w:hyperlink>
      <w:r w:rsidR="00E054AC" w:rsidRPr="0088273D">
        <w:rPr>
          <w:rFonts w:ascii="Aptos" w:hAnsi="Aptos"/>
          <w:color w:val="000000" w:themeColor="text1"/>
          <w:sz w:val="16"/>
          <w:szCs w:val="16"/>
        </w:rPr>
        <w:t>.</w:t>
      </w:r>
    </w:p>
    <w:p w14:paraId="2203F2CB" w14:textId="30676DE7" w:rsidR="00E054AC" w:rsidRPr="0059776A" w:rsidRDefault="00E054AC">
      <w:pPr>
        <w:pStyle w:val="EndnoteText"/>
        <w:rPr>
          <w:rFonts w:ascii="Aptos" w:hAnsi="Aptos"/>
          <w:sz w:val="16"/>
          <w:szCs w:val="16"/>
        </w:rPr>
      </w:pPr>
      <w:hyperlink r:id="rId4" w:history="1">
        <w:r w:rsidRPr="0059776A">
          <w:rPr>
            <w:rStyle w:val="Hyperlink"/>
            <w:rFonts w:ascii="Aptos" w:hAnsi="Aptos"/>
            <w:sz w:val="16"/>
            <w:szCs w:val="16"/>
          </w:rPr>
          <w:t>https://www.bcbs.com/news-and-insights/white-paper/ambulatory-payment-classifications-site-neutral-analysis</w:t>
        </w:r>
      </w:hyperlink>
      <w:r w:rsidRPr="0059776A">
        <w:rPr>
          <w:rFonts w:ascii="Aptos" w:hAnsi="Aptos"/>
          <w:sz w:val="16"/>
          <w:szCs w:val="16"/>
        </w:rPr>
        <w:t xml:space="preserve"> </w:t>
      </w:r>
    </w:p>
  </w:endnote>
  <w:endnote w:id="4">
    <w:p w14:paraId="2D9E0994" w14:textId="77777777" w:rsidR="00F43A28" w:rsidRPr="0059776A" w:rsidRDefault="00F43A28" w:rsidP="00F43A28">
      <w:pPr>
        <w:pStyle w:val="EndnoteText"/>
        <w:rPr>
          <w:rFonts w:ascii="Aptos" w:hAnsi="Aptos"/>
          <w:sz w:val="16"/>
          <w:szCs w:val="16"/>
        </w:rPr>
      </w:pPr>
      <w:r w:rsidRPr="0059776A">
        <w:rPr>
          <w:rStyle w:val="EndnoteReference"/>
          <w:rFonts w:ascii="Aptos" w:hAnsi="Aptos"/>
          <w:sz w:val="16"/>
          <w:szCs w:val="16"/>
        </w:rPr>
        <w:endnoteRef/>
      </w:r>
      <w:r w:rsidRPr="0059776A">
        <w:rPr>
          <w:rFonts w:ascii="Aptos" w:hAnsi="Aptos"/>
          <w:sz w:val="16"/>
          <w:szCs w:val="16"/>
        </w:rPr>
        <w:t xml:space="preserve"> Liem B, Gupta N. Adenoma detection rate: the perfect colonoscopy quality measure or is there more? </w:t>
      </w:r>
      <w:proofErr w:type="spellStart"/>
      <w:r w:rsidRPr="0059776A">
        <w:rPr>
          <w:rFonts w:ascii="Aptos" w:hAnsi="Aptos"/>
          <w:sz w:val="16"/>
          <w:szCs w:val="16"/>
        </w:rPr>
        <w:t>Transl</w:t>
      </w:r>
      <w:proofErr w:type="spellEnd"/>
      <w:r w:rsidRPr="0059776A">
        <w:rPr>
          <w:rFonts w:ascii="Aptos" w:hAnsi="Aptos"/>
          <w:sz w:val="16"/>
          <w:szCs w:val="16"/>
        </w:rPr>
        <w:t xml:space="preserve"> Gastroenterol Hepatol. 2018 Mar 21;3:19. </w:t>
      </w:r>
      <w:proofErr w:type="spellStart"/>
      <w:r w:rsidRPr="0059776A">
        <w:rPr>
          <w:rFonts w:ascii="Aptos" w:hAnsi="Aptos"/>
          <w:sz w:val="16"/>
          <w:szCs w:val="16"/>
        </w:rPr>
        <w:t>doi</w:t>
      </w:r>
      <w:proofErr w:type="spellEnd"/>
      <w:r w:rsidRPr="0059776A">
        <w:rPr>
          <w:rFonts w:ascii="Aptos" w:hAnsi="Aptos"/>
          <w:sz w:val="16"/>
          <w:szCs w:val="16"/>
        </w:rPr>
        <w:t>: 10.21037/tgh.2018.03.04. PMID: 29682626; PMCID: PMC5897691.</w:t>
      </w:r>
    </w:p>
  </w:endnote>
  <w:endnote w:id="5">
    <w:p w14:paraId="22E2312F" w14:textId="77777777" w:rsidR="00F43A28" w:rsidRPr="0059776A" w:rsidRDefault="00F43A28" w:rsidP="00F43A28">
      <w:pPr>
        <w:pStyle w:val="EndnoteText"/>
        <w:rPr>
          <w:rFonts w:ascii="Aptos" w:hAnsi="Aptos"/>
          <w:sz w:val="16"/>
          <w:szCs w:val="16"/>
        </w:rPr>
      </w:pPr>
      <w:r w:rsidRPr="0059776A">
        <w:rPr>
          <w:rStyle w:val="EndnoteReference"/>
          <w:rFonts w:ascii="Aptos" w:hAnsi="Aptos"/>
          <w:sz w:val="16"/>
          <w:szCs w:val="16"/>
        </w:rPr>
        <w:endnoteRef/>
      </w:r>
      <w:r w:rsidRPr="0059776A">
        <w:rPr>
          <w:rFonts w:ascii="Aptos" w:hAnsi="Aptos"/>
          <w:sz w:val="16"/>
          <w:szCs w:val="16"/>
        </w:rPr>
        <w:t xml:space="preserve"> Anderson JC, Rex DK, Mackenzie TA, Hisey W, Robinson CM, Butterly LF. Endoscopist adenomas-per-colonoscopy detection rates and risk for </w:t>
      </w:r>
      <w:proofErr w:type="spellStart"/>
      <w:r w:rsidRPr="0059776A">
        <w:rPr>
          <w:rFonts w:ascii="Aptos" w:hAnsi="Aptos"/>
          <w:sz w:val="16"/>
          <w:szCs w:val="16"/>
        </w:rPr>
        <w:t>postcolonoscopy</w:t>
      </w:r>
      <w:proofErr w:type="spellEnd"/>
      <w:r w:rsidRPr="0059776A">
        <w:rPr>
          <w:rFonts w:ascii="Aptos" w:hAnsi="Aptos"/>
          <w:sz w:val="16"/>
          <w:szCs w:val="16"/>
        </w:rPr>
        <w:t xml:space="preserve"> colorectal cancer: data from the New Hampshire Colonoscopy Registry. </w:t>
      </w:r>
      <w:proofErr w:type="spellStart"/>
      <w:r w:rsidRPr="0059776A">
        <w:rPr>
          <w:rFonts w:ascii="Aptos" w:hAnsi="Aptos"/>
          <w:sz w:val="16"/>
          <w:szCs w:val="16"/>
        </w:rPr>
        <w:t>Gastrointest</w:t>
      </w:r>
      <w:proofErr w:type="spellEnd"/>
      <w:r w:rsidRPr="0059776A">
        <w:rPr>
          <w:rFonts w:ascii="Aptos" w:hAnsi="Aptos"/>
          <w:sz w:val="16"/>
          <w:szCs w:val="16"/>
        </w:rPr>
        <w:t xml:space="preserve"> </w:t>
      </w:r>
      <w:proofErr w:type="spellStart"/>
      <w:r w:rsidRPr="0059776A">
        <w:rPr>
          <w:rFonts w:ascii="Aptos" w:hAnsi="Aptos"/>
          <w:sz w:val="16"/>
          <w:szCs w:val="16"/>
        </w:rPr>
        <w:t>Endosc</w:t>
      </w:r>
      <w:proofErr w:type="spellEnd"/>
      <w:r w:rsidRPr="0059776A">
        <w:rPr>
          <w:rFonts w:ascii="Aptos" w:hAnsi="Aptos"/>
          <w:sz w:val="16"/>
          <w:szCs w:val="16"/>
        </w:rPr>
        <w:t xml:space="preserve">. 2024 May;99(5):787-795. </w:t>
      </w:r>
      <w:proofErr w:type="spellStart"/>
      <w:r w:rsidRPr="0059776A">
        <w:rPr>
          <w:rFonts w:ascii="Aptos" w:hAnsi="Aptos"/>
          <w:sz w:val="16"/>
          <w:szCs w:val="16"/>
        </w:rPr>
        <w:t>doi</w:t>
      </w:r>
      <w:proofErr w:type="spellEnd"/>
      <w:r w:rsidRPr="0059776A">
        <w:rPr>
          <w:rFonts w:ascii="Aptos" w:hAnsi="Aptos"/>
          <w:sz w:val="16"/>
          <w:szCs w:val="16"/>
        </w:rPr>
        <w:t xml:space="preserve">: 10.1016/j.gie.2023.11.014. </w:t>
      </w:r>
      <w:proofErr w:type="spellStart"/>
      <w:r w:rsidRPr="0059776A">
        <w:rPr>
          <w:rFonts w:ascii="Aptos" w:hAnsi="Aptos"/>
          <w:sz w:val="16"/>
          <w:szCs w:val="16"/>
        </w:rPr>
        <w:t>Epub</w:t>
      </w:r>
      <w:proofErr w:type="spellEnd"/>
      <w:r w:rsidRPr="0059776A">
        <w:rPr>
          <w:rFonts w:ascii="Aptos" w:hAnsi="Aptos"/>
          <w:sz w:val="16"/>
          <w:szCs w:val="16"/>
        </w:rPr>
        <w:t xml:space="preserve"> 2023 Nov 21. PMID: 37993057; PMCID: PMC11039365.</w:t>
      </w:r>
    </w:p>
  </w:endnote>
  <w:endnote w:id="6">
    <w:p w14:paraId="1BDD1DA6" w14:textId="6014A2DF" w:rsidR="00CB1F74" w:rsidRPr="008C1243" w:rsidRDefault="004335AF" w:rsidP="00CB1F74">
      <w:pPr>
        <w:pStyle w:val="EndnoteText"/>
        <w:rPr>
          <w:rFonts w:ascii="Aptos" w:hAnsi="Aptos"/>
          <w:color w:val="000000" w:themeColor="text1"/>
          <w:sz w:val="16"/>
          <w:szCs w:val="16"/>
        </w:rPr>
      </w:pPr>
      <w:r w:rsidRPr="0059776A">
        <w:rPr>
          <w:rStyle w:val="EndnoteReference"/>
          <w:rFonts w:ascii="Aptos" w:hAnsi="Aptos"/>
          <w:sz w:val="16"/>
          <w:szCs w:val="16"/>
        </w:rPr>
        <w:endnoteRef/>
      </w:r>
      <w:r w:rsidRPr="0059776A">
        <w:rPr>
          <w:rFonts w:ascii="Aptos" w:hAnsi="Aptos"/>
          <w:sz w:val="16"/>
          <w:szCs w:val="16"/>
        </w:rPr>
        <w:t xml:space="preserve"> </w:t>
      </w:r>
      <w:hyperlink r:id="rId5" w:history="1">
        <w:r w:rsidR="00CB1F74" w:rsidRPr="008C1243">
          <w:rPr>
            <w:rStyle w:val="Hyperlink"/>
            <w:rFonts w:ascii="Aptos" w:hAnsi="Aptos"/>
            <w:color w:val="000000" w:themeColor="text1"/>
            <w:sz w:val="16"/>
            <w:szCs w:val="16"/>
            <w:u w:val="none"/>
          </w:rPr>
          <w:t>Quality indicators for colonoscopy</w:t>
        </w:r>
        <w:r w:rsidR="007B252A" w:rsidRPr="008C1243">
          <w:rPr>
            <w:rStyle w:val="Hyperlink"/>
            <w:rFonts w:ascii="Aptos" w:hAnsi="Aptos"/>
            <w:color w:val="000000" w:themeColor="text1"/>
            <w:sz w:val="16"/>
            <w:szCs w:val="16"/>
            <w:u w:val="none"/>
          </w:rPr>
          <w:t>.</w:t>
        </w:r>
      </w:hyperlink>
      <w:r w:rsidR="007B252A" w:rsidRPr="008C1243">
        <w:rPr>
          <w:rFonts w:ascii="Aptos" w:hAnsi="Aptos"/>
          <w:color w:val="000000" w:themeColor="text1"/>
          <w:sz w:val="16"/>
          <w:szCs w:val="16"/>
        </w:rPr>
        <w:t xml:space="preserve"> </w:t>
      </w:r>
      <w:r w:rsidR="00CB1F74" w:rsidRPr="008C1243">
        <w:rPr>
          <w:rFonts w:ascii="Aptos" w:hAnsi="Aptos"/>
          <w:color w:val="000000" w:themeColor="text1"/>
          <w:sz w:val="16"/>
          <w:szCs w:val="16"/>
        </w:rPr>
        <w:t xml:space="preserve">Rex, Douglas </w:t>
      </w:r>
      <w:proofErr w:type="spellStart"/>
      <w:proofErr w:type="gramStart"/>
      <w:r w:rsidR="00CB1F74" w:rsidRPr="008C1243">
        <w:rPr>
          <w:rFonts w:ascii="Aptos" w:hAnsi="Aptos"/>
          <w:color w:val="000000" w:themeColor="text1"/>
          <w:sz w:val="16"/>
          <w:szCs w:val="16"/>
        </w:rPr>
        <w:t>K.Anderson</w:t>
      </w:r>
      <w:proofErr w:type="spellEnd"/>
      <w:proofErr w:type="gramEnd"/>
      <w:r w:rsidR="00CB1F74" w:rsidRPr="008C1243">
        <w:rPr>
          <w:rFonts w:ascii="Aptos" w:hAnsi="Aptos"/>
          <w:color w:val="000000" w:themeColor="text1"/>
          <w:sz w:val="16"/>
          <w:szCs w:val="16"/>
        </w:rPr>
        <w:t xml:space="preserve">, Joseph </w:t>
      </w:r>
      <w:proofErr w:type="spellStart"/>
      <w:proofErr w:type="gramStart"/>
      <w:r w:rsidR="00CB1F74" w:rsidRPr="008C1243">
        <w:rPr>
          <w:rFonts w:ascii="Aptos" w:hAnsi="Aptos"/>
          <w:color w:val="000000" w:themeColor="text1"/>
          <w:sz w:val="16"/>
          <w:szCs w:val="16"/>
        </w:rPr>
        <w:t>C.Butterly</w:t>
      </w:r>
      <w:proofErr w:type="spellEnd"/>
      <w:proofErr w:type="gramEnd"/>
      <w:r w:rsidR="00CB1F74" w:rsidRPr="008C1243">
        <w:rPr>
          <w:rFonts w:ascii="Aptos" w:hAnsi="Aptos"/>
          <w:color w:val="000000" w:themeColor="text1"/>
          <w:sz w:val="16"/>
          <w:szCs w:val="16"/>
        </w:rPr>
        <w:t xml:space="preserve">, Lynn </w:t>
      </w:r>
      <w:proofErr w:type="spellStart"/>
      <w:proofErr w:type="gramStart"/>
      <w:r w:rsidR="00CB1F74" w:rsidRPr="008C1243">
        <w:rPr>
          <w:rFonts w:ascii="Aptos" w:hAnsi="Aptos"/>
          <w:color w:val="000000" w:themeColor="text1"/>
          <w:sz w:val="16"/>
          <w:szCs w:val="16"/>
        </w:rPr>
        <w:t>F.Day</w:t>
      </w:r>
      <w:proofErr w:type="spellEnd"/>
      <w:proofErr w:type="gramEnd"/>
      <w:r w:rsidR="00CB1F74" w:rsidRPr="008C1243">
        <w:rPr>
          <w:rFonts w:ascii="Aptos" w:hAnsi="Aptos"/>
          <w:color w:val="000000" w:themeColor="text1"/>
          <w:sz w:val="16"/>
          <w:szCs w:val="16"/>
        </w:rPr>
        <w:t xml:space="preserve">, </w:t>
      </w:r>
      <w:proofErr w:type="spellStart"/>
      <w:r w:rsidR="00CB1F74" w:rsidRPr="008C1243">
        <w:rPr>
          <w:rFonts w:ascii="Aptos" w:hAnsi="Aptos"/>
          <w:color w:val="000000" w:themeColor="text1"/>
          <w:sz w:val="16"/>
          <w:szCs w:val="16"/>
        </w:rPr>
        <w:t>Lukejohn</w:t>
      </w:r>
      <w:proofErr w:type="spellEnd"/>
      <w:r w:rsidR="00CB1F74" w:rsidRPr="008C1243">
        <w:rPr>
          <w:rFonts w:ascii="Aptos" w:hAnsi="Aptos"/>
          <w:color w:val="000000" w:themeColor="text1"/>
          <w:sz w:val="16"/>
          <w:szCs w:val="16"/>
        </w:rPr>
        <w:t xml:space="preserve"> </w:t>
      </w:r>
      <w:proofErr w:type="spellStart"/>
      <w:proofErr w:type="gramStart"/>
      <w:r w:rsidR="00CB1F74" w:rsidRPr="008C1243">
        <w:rPr>
          <w:rFonts w:ascii="Aptos" w:hAnsi="Aptos"/>
          <w:color w:val="000000" w:themeColor="text1"/>
          <w:sz w:val="16"/>
          <w:szCs w:val="16"/>
        </w:rPr>
        <w:t>W.Dominitz</w:t>
      </w:r>
      <w:proofErr w:type="spellEnd"/>
      <w:proofErr w:type="gramEnd"/>
      <w:r w:rsidR="00CB1F74" w:rsidRPr="008C1243">
        <w:rPr>
          <w:rFonts w:ascii="Aptos" w:hAnsi="Aptos"/>
          <w:color w:val="000000" w:themeColor="text1"/>
          <w:sz w:val="16"/>
          <w:szCs w:val="16"/>
        </w:rPr>
        <w:t xml:space="preserve">, Jason </w:t>
      </w:r>
      <w:proofErr w:type="spellStart"/>
      <w:proofErr w:type="gramStart"/>
      <w:r w:rsidR="00CB1F74" w:rsidRPr="008C1243">
        <w:rPr>
          <w:rFonts w:ascii="Aptos" w:hAnsi="Aptos"/>
          <w:color w:val="000000" w:themeColor="text1"/>
          <w:sz w:val="16"/>
          <w:szCs w:val="16"/>
        </w:rPr>
        <w:t>A.Kaltenbach</w:t>
      </w:r>
      <w:proofErr w:type="spellEnd"/>
      <w:proofErr w:type="gramEnd"/>
      <w:r w:rsidR="00CB1F74" w:rsidRPr="008C1243">
        <w:rPr>
          <w:rFonts w:ascii="Aptos" w:hAnsi="Aptos"/>
          <w:color w:val="000000" w:themeColor="text1"/>
          <w:sz w:val="16"/>
          <w:szCs w:val="16"/>
        </w:rPr>
        <w:t xml:space="preserve">, </w:t>
      </w:r>
      <w:proofErr w:type="spellStart"/>
      <w:r w:rsidR="00CB1F74" w:rsidRPr="008C1243">
        <w:rPr>
          <w:rFonts w:ascii="Aptos" w:hAnsi="Aptos"/>
          <w:color w:val="000000" w:themeColor="text1"/>
          <w:sz w:val="16"/>
          <w:szCs w:val="16"/>
        </w:rPr>
        <w:t>TonyaLadabaum</w:t>
      </w:r>
      <w:proofErr w:type="spellEnd"/>
      <w:r w:rsidR="00CB1F74" w:rsidRPr="008C1243">
        <w:rPr>
          <w:rFonts w:ascii="Aptos" w:hAnsi="Aptos"/>
          <w:color w:val="000000" w:themeColor="text1"/>
          <w:sz w:val="16"/>
          <w:szCs w:val="16"/>
        </w:rPr>
        <w:t xml:space="preserve">, </w:t>
      </w:r>
      <w:proofErr w:type="spellStart"/>
      <w:r w:rsidR="00CB1F74" w:rsidRPr="008C1243">
        <w:rPr>
          <w:rFonts w:ascii="Aptos" w:hAnsi="Aptos"/>
          <w:color w:val="000000" w:themeColor="text1"/>
          <w:sz w:val="16"/>
          <w:szCs w:val="16"/>
        </w:rPr>
        <w:t>UriLevin</w:t>
      </w:r>
      <w:proofErr w:type="spellEnd"/>
      <w:r w:rsidR="00CB1F74" w:rsidRPr="008C1243">
        <w:rPr>
          <w:rFonts w:ascii="Aptos" w:hAnsi="Aptos"/>
          <w:color w:val="000000" w:themeColor="text1"/>
          <w:sz w:val="16"/>
          <w:szCs w:val="16"/>
        </w:rPr>
        <w:t xml:space="preserve">, Theodore </w:t>
      </w:r>
      <w:proofErr w:type="spellStart"/>
      <w:proofErr w:type="gramStart"/>
      <w:r w:rsidR="00CB1F74" w:rsidRPr="008C1243">
        <w:rPr>
          <w:rFonts w:ascii="Aptos" w:hAnsi="Aptos"/>
          <w:color w:val="000000" w:themeColor="text1"/>
          <w:sz w:val="16"/>
          <w:szCs w:val="16"/>
        </w:rPr>
        <w:t>R.Shaukat</w:t>
      </w:r>
      <w:proofErr w:type="spellEnd"/>
      <w:proofErr w:type="gramEnd"/>
      <w:r w:rsidR="00CB1F74" w:rsidRPr="008C1243">
        <w:rPr>
          <w:rFonts w:ascii="Aptos" w:hAnsi="Aptos"/>
          <w:color w:val="000000" w:themeColor="text1"/>
          <w:sz w:val="16"/>
          <w:szCs w:val="16"/>
        </w:rPr>
        <w:t xml:space="preserve">, </w:t>
      </w:r>
      <w:proofErr w:type="spellStart"/>
      <w:r w:rsidR="00CB1F74" w:rsidRPr="008C1243">
        <w:rPr>
          <w:rFonts w:ascii="Aptos" w:hAnsi="Aptos"/>
          <w:color w:val="000000" w:themeColor="text1"/>
          <w:sz w:val="16"/>
          <w:szCs w:val="16"/>
        </w:rPr>
        <w:t>AasmaAchkar</w:t>
      </w:r>
      <w:proofErr w:type="spellEnd"/>
      <w:r w:rsidR="00CB1F74" w:rsidRPr="008C1243">
        <w:rPr>
          <w:rFonts w:ascii="Aptos" w:hAnsi="Aptos"/>
          <w:color w:val="000000" w:themeColor="text1"/>
          <w:sz w:val="16"/>
          <w:szCs w:val="16"/>
        </w:rPr>
        <w:t>, Jean-</w:t>
      </w:r>
      <w:proofErr w:type="spellStart"/>
      <w:r w:rsidR="00CB1F74" w:rsidRPr="008C1243">
        <w:rPr>
          <w:rFonts w:ascii="Aptos" w:hAnsi="Aptos"/>
          <w:color w:val="000000" w:themeColor="text1"/>
          <w:sz w:val="16"/>
          <w:szCs w:val="16"/>
        </w:rPr>
        <w:t>PaulFarraye</w:t>
      </w:r>
      <w:proofErr w:type="spellEnd"/>
      <w:r w:rsidR="00CB1F74" w:rsidRPr="008C1243">
        <w:rPr>
          <w:rFonts w:ascii="Aptos" w:hAnsi="Aptos"/>
          <w:color w:val="000000" w:themeColor="text1"/>
          <w:sz w:val="16"/>
          <w:szCs w:val="16"/>
        </w:rPr>
        <w:t xml:space="preserve">, Francis </w:t>
      </w:r>
      <w:proofErr w:type="spellStart"/>
      <w:proofErr w:type="gramStart"/>
      <w:r w:rsidR="00CB1F74" w:rsidRPr="008C1243">
        <w:rPr>
          <w:rFonts w:ascii="Aptos" w:hAnsi="Aptos"/>
          <w:color w:val="000000" w:themeColor="text1"/>
          <w:sz w:val="16"/>
          <w:szCs w:val="16"/>
        </w:rPr>
        <w:t>A.Kane</w:t>
      </w:r>
      <w:proofErr w:type="spellEnd"/>
      <w:proofErr w:type="gramEnd"/>
      <w:r w:rsidR="00CB1F74" w:rsidRPr="008C1243">
        <w:rPr>
          <w:rFonts w:ascii="Aptos" w:hAnsi="Aptos"/>
          <w:color w:val="000000" w:themeColor="text1"/>
          <w:sz w:val="16"/>
          <w:szCs w:val="16"/>
        </w:rPr>
        <w:t xml:space="preserve">, Sunanda </w:t>
      </w:r>
      <w:proofErr w:type="spellStart"/>
      <w:proofErr w:type="gramStart"/>
      <w:r w:rsidR="00CB1F74" w:rsidRPr="008C1243">
        <w:rPr>
          <w:rFonts w:ascii="Aptos" w:hAnsi="Aptos"/>
          <w:color w:val="000000" w:themeColor="text1"/>
          <w:sz w:val="16"/>
          <w:szCs w:val="16"/>
        </w:rPr>
        <w:t>V.Shaheen</w:t>
      </w:r>
      <w:proofErr w:type="spellEnd"/>
      <w:proofErr w:type="gramEnd"/>
      <w:r w:rsidR="00CB1F74" w:rsidRPr="008C1243">
        <w:rPr>
          <w:rFonts w:ascii="Aptos" w:hAnsi="Aptos"/>
          <w:color w:val="000000" w:themeColor="text1"/>
          <w:sz w:val="16"/>
          <w:szCs w:val="16"/>
        </w:rPr>
        <w:t>, Nicholas J. et al.</w:t>
      </w:r>
      <w:r w:rsidR="007B252A" w:rsidRPr="008C1243">
        <w:rPr>
          <w:rFonts w:ascii="Aptos" w:hAnsi="Aptos"/>
          <w:color w:val="000000" w:themeColor="text1"/>
          <w:sz w:val="16"/>
          <w:szCs w:val="16"/>
        </w:rPr>
        <w:t xml:space="preserve"> </w:t>
      </w:r>
      <w:r w:rsidR="00CB1F74" w:rsidRPr="008C1243">
        <w:rPr>
          <w:rFonts w:ascii="Aptos" w:hAnsi="Aptos"/>
          <w:color w:val="000000" w:themeColor="text1"/>
          <w:sz w:val="16"/>
          <w:szCs w:val="16"/>
        </w:rPr>
        <w:t>Gastrointestinal Endoscopy, Volume 100, Issue 3, 352 - 381</w:t>
      </w:r>
    </w:p>
    <w:p w14:paraId="421CB7D8" w14:textId="728C4A71" w:rsidR="004335AF" w:rsidRDefault="008C1243">
      <w:pPr>
        <w:pStyle w:val="EndnoteText"/>
      </w:pPr>
      <w:hyperlink r:id="rId6" w:history="1">
        <w:r w:rsidRPr="008C1243">
          <w:rPr>
            <w:rStyle w:val="Hyperlink"/>
            <w:rFonts w:ascii="Aptos" w:hAnsi="Aptos"/>
            <w:color w:val="000000" w:themeColor="text1"/>
            <w:sz w:val="16"/>
            <w:szCs w:val="16"/>
            <w:u w:val="none"/>
          </w:rPr>
          <w:t>https://www.giejournal.org/action/showPdf?pii=S0016-5107%2824%2903164-X</w:t>
        </w:r>
      </w:hyperlink>
      <w:r w:rsidRPr="008C1243">
        <w:rPr>
          <w:rFonts w:ascii="Aptos" w:hAnsi="Aptos"/>
          <w:color w:val="000000" w:themeColor="text1"/>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6FC6" w14:textId="77777777" w:rsidR="00510047" w:rsidRDefault="00510047" w:rsidP="00E45D1C">
      <w:pPr>
        <w:spacing w:after="0" w:line="240" w:lineRule="auto"/>
      </w:pPr>
      <w:r>
        <w:separator/>
      </w:r>
    </w:p>
  </w:footnote>
  <w:footnote w:type="continuationSeparator" w:id="0">
    <w:p w14:paraId="3158230C" w14:textId="77777777" w:rsidR="00510047" w:rsidRDefault="00510047" w:rsidP="00E45D1C">
      <w:pPr>
        <w:spacing w:after="0" w:line="240" w:lineRule="auto"/>
      </w:pPr>
      <w:r>
        <w:continuationSeparator/>
      </w:r>
    </w:p>
  </w:footnote>
  <w:footnote w:type="continuationNotice" w:id="1">
    <w:p w14:paraId="092F1E0A" w14:textId="77777777" w:rsidR="00510047" w:rsidRDefault="00510047">
      <w:pPr>
        <w:spacing w:after="0" w:line="240" w:lineRule="auto"/>
      </w:pPr>
    </w:p>
  </w:footnote>
  <w:footnote w:id="2">
    <w:p w14:paraId="44C0D516" w14:textId="6049E310" w:rsidR="00356ACD" w:rsidRDefault="00356ACD">
      <w:pPr>
        <w:pStyle w:val="FootnoteText"/>
      </w:pPr>
      <w:r>
        <w:rPr>
          <w:rStyle w:val="FootnoteReference"/>
        </w:rPr>
        <w:footnoteRef/>
      </w:r>
      <w:r>
        <w:t xml:space="preserve"> </w:t>
      </w:r>
      <w:hyperlink r:id="rId1" w:history="1">
        <w:r w:rsidRPr="00356ACD">
          <w:rPr>
            <w:rStyle w:val="Hyperlink"/>
          </w:rPr>
          <w:t>https://www.chiamass.gov/enrollment-in-health-insurance/</w:t>
        </w:r>
      </w:hyperlink>
      <w:r w:rsidRPr="00356ACD">
        <w:t xml:space="preserve"> </w:t>
      </w:r>
    </w:p>
  </w:footnote>
  <w:footnote w:id="3">
    <w:p w14:paraId="72ED2ADE" w14:textId="1292565D" w:rsidR="007B121A" w:rsidRPr="0059776A" w:rsidRDefault="007B121A" w:rsidP="007B121A">
      <w:pPr>
        <w:pStyle w:val="FootnoteText"/>
        <w:rPr>
          <w:rFonts w:ascii="Aptos" w:hAnsi="Aptos"/>
          <w:sz w:val="14"/>
          <w:szCs w:val="14"/>
        </w:rPr>
      </w:pPr>
      <w:r w:rsidRPr="0059776A">
        <w:rPr>
          <w:rStyle w:val="FootnoteReference"/>
          <w:rFonts w:ascii="Aptos" w:hAnsi="Aptos"/>
          <w:sz w:val="18"/>
          <w:szCs w:val="18"/>
        </w:rPr>
        <w:t>[1]</w:t>
      </w:r>
      <w:r w:rsidRPr="0059776A">
        <w:rPr>
          <w:rFonts w:ascii="Aptos" w:hAnsi="Aptos"/>
          <w:sz w:val="18"/>
          <w:szCs w:val="18"/>
        </w:rPr>
        <w:t xml:space="preserve"> </w:t>
      </w:r>
      <w:r w:rsidRPr="0059776A">
        <w:rPr>
          <w:rFonts w:ascii="Aptos" w:hAnsi="Aptos"/>
          <w:i/>
          <w:iCs/>
          <w:sz w:val="18"/>
          <w:szCs w:val="18"/>
        </w:rPr>
        <w:t xml:space="preserve">See, e.g., </w:t>
      </w:r>
      <w:r w:rsidRPr="0059776A">
        <w:rPr>
          <w:rFonts w:ascii="Aptos" w:hAnsi="Aptos"/>
          <w:sz w:val="18"/>
          <w:szCs w:val="18"/>
        </w:rPr>
        <w:t xml:space="preserve">Mehak Gul </w:t>
      </w:r>
      <w:proofErr w:type="spellStart"/>
      <w:r w:rsidRPr="0059776A">
        <w:rPr>
          <w:rFonts w:ascii="Aptos" w:hAnsi="Aptos"/>
          <w:sz w:val="18"/>
          <w:szCs w:val="18"/>
        </w:rPr>
        <w:t>Mastoi</w:t>
      </w:r>
      <w:proofErr w:type="spellEnd"/>
      <w:r w:rsidRPr="0059776A">
        <w:rPr>
          <w:rFonts w:ascii="Aptos" w:hAnsi="Aptos"/>
          <w:sz w:val="18"/>
          <w:szCs w:val="18"/>
        </w:rPr>
        <w:t xml:space="preserve"> et al., </w:t>
      </w:r>
      <w:hyperlink r:id="rId2" w:history="1">
        <w:r w:rsidRPr="00C53372">
          <w:rPr>
            <w:rStyle w:val="Hyperlink"/>
            <w:rFonts w:ascii="Aptos" w:hAnsi="Aptos"/>
            <w:i/>
            <w:iCs/>
            <w:color w:val="000000" w:themeColor="text1"/>
            <w:sz w:val="18"/>
            <w:szCs w:val="18"/>
            <w:u w:val="none"/>
          </w:rPr>
          <w:t>Advances In Endoscopic Techniques For Early Detection And Treatment of Gastrointestinal Cancers: A Systematic Review</w:t>
        </w:r>
      </w:hyperlink>
      <w:r w:rsidRPr="00C53372">
        <w:rPr>
          <w:rFonts w:ascii="Aptos" w:hAnsi="Aptos"/>
          <w:color w:val="000000" w:themeColor="text1"/>
          <w:sz w:val="18"/>
          <w:szCs w:val="18"/>
        </w:rPr>
        <w:t xml:space="preserve">, </w:t>
      </w:r>
      <w:r w:rsidRPr="00C53372">
        <w:rPr>
          <w:rFonts w:ascii="Aptos" w:hAnsi="Aptos"/>
          <w:smallCaps/>
          <w:color w:val="000000" w:themeColor="text1"/>
          <w:sz w:val="18"/>
          <w:szCs w:val="18"/>
        </w:rPr>
        <w:t>Medicine</w:t>
      </w:r>
      <w:r w:rsidRPr="00C53372">
        <w:rPr>
          <w:rFonts w:ascii="Aptos" w:hAnsi="Aptos"/>
          <w:color w:val="000000" w:themeColor="text1"/>
          <w:sz w:val="18"/>
          <w:szCs w:val="18"/>
        </w:rPr>
        <w:t xml:space="preserve"> (Oct. 2025), </w:t>
      </w:r>
      <w:hyperlink r:id="rId3" w:history="1">
        <w:r w:rsidR="00C53372" w:rsidRPr="00C53372">
          <w:rPr>
            <w:rStyle w:val="Hyperlink"/>
            <w:rFonts w:ascii="Aptos" w:hAnsi="Aptos"/>
            <w:color w:val="000000" w:themeColor="text1"/>
            <w:sz w:val="18"/>
            <w:szCs w:val="18"/>
            <w:u w:val="none"/>
          </w:rPr>
          <w:t>https://pmc.ncbi.nlm.nih.gov/articles/PMC12537103/</w:t>
        </w:r>
      </w:hyperlink>
      <w:r w:rsidR="00C53372" w:rsidRPr="00C53372">
        <w:rPr>
          <w:rFonts w:ascii="Aptos" w:hAnsi="Aptos"/>
          <w:color w:val="000000" w:themeColor="text1"/>
          <w:sz w:val="18"/>
          <w:szCs w:val="18"/>
        </w:rPr>
        <w:t xml:space="preserve"> </w:t>
      </w:r>
      <w:r w:rsidRPr="00C53372">
        <w:rPr>
          <w:rFonts w:ascii="Aptos" w:hAnsi="Aptos"/>
          <w:color w:val="000000" w:themeColor="text1"/>
          <w:sz w:val="18"/>
          <w:szCs w:val="18"/>
        </w:rPr>
        <w:t>.</w:t>
      </w:r>
    </w:p>
  </w:footnote>
  <w:footnote w:id="4">
    <w:p w14:paraId="0F926D3B" w14:textId="77777777" w:rsidR="007B121A" w:rsidRDefault="007B121A" w:rsidP="007B121A">
      <w:pPr>
        <w:pStyle w:val="FootnoteText"/>
      </w:pPr>
      <w:r w:rsidRPr="0059776A">
        <w:rPr>
          <w:rStyle w:val="FootnoteReference"/>
          <w:rFonts w:ascii="Aptos" w:hAnsi="Aptos"/>
          <w:sz w:val="18"/>
          <w:szCs w:val="18"/>
          <w:lang w:val="de-DE"/>
        </w:rPr>
        <w:t>[2]</w:t>
      </w:r>
      <w:r w:rsidRPr="0059776A">
        <w:rPr>
          <w:rFonts w:ascii="Aptos" w:hAnsi="Aptos"/>
          <w:sz w:val="18"/>
          <w:szCs w:val="18"/>
          <w:lang w:val="de-DE"/>
        </w:rPr>
        <w:t xml:space="preserve"> Goede SL, Kuntz KM, van Ballegooijen M, et al. </w:t>
      </w:r>
      <w:r w:rsidRPr="0059776A">
        <w:rPr>
          <w:rFonts w:ascii="Aptos" w:hAnsi="Aptos"/>
          <w:sz w:val="18"/>
          <w:szCs w:val="18"/>
        </w:rPr>
        <w:t xml:space="preserve">Cost Savings to Medicare from Pre-Medicare Colorectal Cancer Screening. </w:t>
      </w:r>
      <w:r w:rsidRPr="0059776A">
        <w:rPr>
          <w:rFonts w:ascii="Aptos" w:hAnsi="Aptos"/>
          <w:smallCaps/>
          <w:sz w:val="18"/>
          <w:szCs w:val="18"/>
        </w:rPr>
        <w:t>Medical Care</w:t>
      </w:r>
      <w:r w:rsidRPr="0059776A">
        <w:rPr>
          <w:rFonts w:ascii="Aptos" w:hAnsi="Aptos"/>
          <w:sz w:val="18"/>
          <w:szCs w:val="18"/>
        </w:rPr>
        <w:t>. 2015;53(7):630–638.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510047">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1EAA0B01" w:rsidR="00856033" w:rsidRDefault="005C0C50" w:rsidP="00B371F2">
    <w:pPr>
      <w:pStyle w:val="Header"/>
      <w:jc w:val="center"/>
      <w:rPr>
        <w:b/>
        <w:bCs/>
        <w:sz w:val="28"/>
        <w:szCs w:val="28"/>
      </w:rPr>
    </w:pPr>
    <w:r>
      <w:rPr>
        <w:b/>
        <w:bCs/>
        <w:sz w:val="28"/>
        <w:szCs w:val="28"/>
      </w:rPr>
      <w:t>BILH Winchester Hospital</w:t>
    </w:r>
  </w:p>
  <w:p w14:paraId="4FD1865F" w14:textId="05FBBCCD" w:rsidR="005C0C50" w:rsidRPr="00092585"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 #BILH</w:t>
    </w:r>
    <w:r w:rsidR="00A927D2">
      <w:rPr>
        <w:b/>
        <w:bCs/>
        <w:sz w:val="28"/>
        <w:szCs w:val="28"/>
      </w:rPr>
      <w:t>-</w:t>
    </w:r>
    <w:r w:rsidR="00241771">
      <w:rPr>
        <w:b/>
        <w:bCs/>
        <w:sz w:val="28"/>
        <w:szCs w:val="28"/>
      </w:rPr>
      <w:t>25102211-AS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6210B"/>
    <w:multiLevelType w:val="hybridMultilevel"/>
    <w:tmpl w:val="96D85F1E"/>
    <w:lvl w:ilvl="0" w:tplc="5B66B59E">
      <w:start w:val="1"/>
      <w:numFmt w:val="decimal"/>
      <w:pStyle w:val="Heading3"/>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87C90"/>
    <w:multiLevelType w:val="hybridMultilevel"/>
    <w:tmpl w:val="2BFA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BB7406"/>
    <w:multiLevelType w:val="hybridMultilevel"/>
    <w:tmpl w:val="F190D71C"/>
    <w:lvl w:ilvl="0" w:tplc="762261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9"/>
  </w:num>
  <w:num w:numId="2" w16cid:durableId="449669609">
    <w:abstractNumId w:val="7"/>
  </w:num>
  <w:num w:numId="3" w16cid:durableId="1632975170">
    <w:abstractNumId w:val="27"/>
  </w:num>
  <w:num w:numId="4" w16cid:durableId="1183977095">
    <w:abstractNumId w:val="36"/>
  </w:num>
  <w:num w:numId="5" w16cid:durableId="1230916997">
    <w:abstractNumId w:val="30"/>
  </w:num>
  <w:num w:numId="6" w16cid:durableId="464589505">
    <w:abstractNumId w:val="33"/>
  </w:num>
  <w:num w:numId="7" w16cid:durableId="982151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5"/>
  </w:num>
  <w:num w:numId="9" w16cid:durableId="1477533355">
    <w:abstractNumId w:val="3"/>
  </w:num>
  <w:num w:numId="10" w16cid:durableId="1828202636">
    <w:abstractNumId w:val="16"/>
  </w:num>
  <w:num w:numId="11" w16cid:durableId="1769345806">
    <w:abstractNumId w:val="1"/>
  </w:num>
  <w:num w:numId="12" w16cid:durableId="1426415847">
    <w:abstractNumId w:val="26"/>
  </w:num>
  <w:num w:numId="13" w16cid:durableId="1549880134">
    <w:abstractNumId w:val="18"/>
  </w:num>
  <w:num w:numId="14" w16cid:durableId="2131704504">
    <w:abstractNumId w:val="21"/>
  </w:num>
  <w:num w:numId="15" w16cid:durableId="1853495620">
    <w:abstractNumId w:val="4"/>
  </w:num>
  <w:num w:numId="16" w16cid:durableId="941954089">
    <w:abstractNumId w:val="19"/>
  </w:num>
  <w:num w:numId="17" w16cid:durableId="1650279753">
    <w:abstractNumId w:val="13"/>
  </w:num>
  <w:num w:numId="18" w16cid:durableId="1988584985">
    <w:abstractNumId w:val="23"/>
  </w:num>
  <w:num w:numId="19" w16cid:durableId="535700289">
    <w:abstractNumId w:val="32"/>
  </w:num>
  <w:num w:numId="20" w16cid:durableId="461190725">
    <w:abstractNumId w:val="17"/>
  </w:num>
  <w:num w:numId="21" w16cid:durableId="1317417397">
    <w:abstractNumId w:val="6"/>
  </w:num>
  <w:num w:numId="22" w16cid:durableId="2038381733">
    <w:abstractNumId w:val="10"/>
  </w:num>
  <w:num w:numId="23" w16cid:durableId="1769961476">
    <w:abstractNumId w:val="6"/>
  </w:num>
  <w:num w:numId="24" w16cid:durableId="975526697">
    <w:abstractNumId w:val="14"/>
  </w:num>
  <w:num w:numId="25" w16cid:durableId="1724527157">
    <w:abstractNumId w:val="5"/>
  </w:num>
  <w:num w:numId="26" w16cid:durableId="1825075340">
    <w:abstractNumId w:val="9"/>
  </w:num>
  <w:num w:numId="27" w16cid:durableId="1062371025">
    <w:abstractNumId w:val="0"/>
  </w:num>
  <w:num w:numId="28" w16cid:durableId="319892756">
    <w:abstractNumId w:val="12"/>
  </w:num>
  <w:num w:numId="29" w16cid:durableId="1980500724">
    <w:abstractNumId w:val="31"/>
  </w:num>
  <w:num w:numId="30" w16cid:durableId="1571192574">
    <w:abstractNumId w:val="24"/>
  </w:num>
  <w:num w:numId="31" w16cid:durableId="186604058">
    <w:abstractNumId w:val="2"/>
  </w:num>
  <w:num w:numId="32" w16cid:durableId="1622417416">
    <w:abstractNumId w:val="11"/>
  </w:num>
  <w:num w:numId="33" w16cid:durableId="216406134">
    <w:abstractNumId w:val="28"/>
  </w:num>
  <w:num w:numId="34" w16cid:durableId="56174161">
    <w:abstractNumId w:val="15"/>
  </w:num>
  <w:num w:numId="35" w16cid:durableId="1548906486">
    <w:abstractNumId w:val="34"/>
  </w:num>
  <w:num w:numId="36" w16cid:durableId="1498185125">
    <w:abstractNumId w:val="20"/>
  </w:num>
  <w:num w:numId="37" w16cid:durableId="1452437946">
    <w:abstractNumId w:val="22"/>
  </w:num>
  <w:num w:numId="38" w16cid:durableId="1889409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43A5"/>
    <w:rsid w:val="00005616"/>
    <w:rsid w:val="00005A4C"/>
    <w:rsid w:val="00006750"/>
    <w:rsid w:val="000115B7"/>
    <w:rsid w:val="00011E91"/>
    <w:rsid w:val="00015AB6"/>
    <w:rsid w:val="0001602B"/>
    <w:rsid w:val="0001718E"/>
    <w:rsid w:val="000201A4"/>
    <w:rsid w:val="000201BE"/>
    <w:rsid w:val="000204BD"/>
    <w:rsid w:val="00020571"/>
    <w:rsid w:val="00020C11"/>
    <w:rsid w:val="00021E16"/>
    <w:rsid w:val="0002247D"/>
    <w:rsid w:val="00023287"/>
    <w:rsid w:val="0002367C"/>
    <w:rsid w:val="000246A5"/>
    <w:rsid w:val="00024CDB"/>
    <w:rsid w:val="00025270"/>
    <w:rsid w:val="00025D1B"/>
    <w:rsid w:val="00026890"/>
    <w:rsid w:val="000305E0"/>
    <w:rsid w:val="00030EF5"/>
    <w:rsid w:val="00033CB3"/>
    <w:rsid w:val="00034D04"/>
    <w:rsid w:val="00035AF5"/>
    <w:rsid w:val="000367CC"/>
    <w:rsid w:val="00037DBC"/>
    <w:rsid w:val="000401C6"/>
    <w:rsid w:val="00041BBB"/>
    <w:rsid w:val="00042007"/>
    <w:rsid w:val="00043BF7"/>
    <w:rsid w:val="0004417D"/>
    <w:rsid w:val="000441F8"/>
    <w:rsid w:val="000458B3"/>
    <w:rsid w:val="00046CFA"/>
    <w:rsid w:val="000471D4"/>
    <w:rsid w:val="00047E6B"/>
    <w:rsid w:val="00050CF0"/>
    <w:rsid w:val="0005118D"/>
    <w:rsid w:val="00052B53"/>
    <w:rsid w:val="0005322C"/>
    <w:rsid w:val="00055D9B"/>
    <w:rsid w:val="00057914"/>
    <w:rsid w:val="00057BAA"/>
    <w:rsid w:val="00062F8C"/>
    <w:rsid w:val="00062FC0"/>
    <w:rsid w:val="000631D6"/>
    <w:rsid w:val="00064CD2"/>
    <w:rsid w:val="00065A3D"/>
    <w:rsid w:val="00070036"/>
    <w:rsid w:val="000703C3"/>
    <w:rsid w:val="000713AA"/>
    <w:rsid w:val="00071A62"/>
    <w:rsid w:val="00071FC9"/>
    <w:rsid w:val="00074284"/>
    <w:rsid w:val="000747D7"/>
    <w:rsid w:val="000750FC"/>
    <w:rsid w:val="00075B8D"/>
    <w:rsid w:val="00077704"/>
    <w:rsid w:val="00080B4C"/>
    <w:rsid w:val="00080C65"/>
    <w:rsid w:val="000814DA"/>
    <w:rsid w:val="000819BE"/>
    <w:rsid w:val="00083BD7"/>
    <w:rsid w:val="00084492"/>
    <w:rsid w:val="0008545A"/>
    <w:rsid w:val="00086271"/>
    <w:rsid w:val="00086FF9"/>
    <w:rsid w:val="00090684"/>
    <w:rsid w:val="00092585"/>
    <w:rsid w:val="00092E82"/>
    <w:rsid w:val="00093B92"/>
    <w:rsid w:val="00094963"/>
    <w:rsid w:val="00095A0E"/>
    <w:rsid w:val="00096556"/>
    <w:rsid w:val="000968DB"/>
    <w:rsid w:val="000A1FAF"/>
    <w:rsid w:val="000A33BD"/>
    <w:rsid w:val="000A3493"/>
    <w:rsid w:val="000A4B26"/>
    <w:rsid w:val="000A4C12"/>
    <w:rsid w:val="000A661B"/>
    <w:rsid w:val="000A6E13"/>
    <w:rsid w:val="000A7C7B"/>
    <w:rsid w:val="000B0A20"/>
    <w:rsid w:val="000B205E"/>
    <w:rsid w:val="000B33AC"/>
    <w:rsid w:val="000B4433"/>
    <w:rsid w:val="000B49FE"/>
    <w:rsid w:val="000B4C1D"/>
    <w:rsid w:val="000B6D58"/>
    <w:rsid w:val="000B753F"/>
    <w:rsid w:val="000B75A8"/>
    <w:rsid w:val="000C0238"/>
    <w:rsid w:val="000C0FF4"/>
    <w:rsid w:val="000C26C3"/>
    <w:rsid w:val="000C3B64"/>
    <w:rsid w:val="000C4F63"/>
    <w:rsid w:val="000C5E2D"/>
    <w:rsid w:val="000C7403"/>
    <w:rsid w:val="000D568B"/>
    <w:rsid w:val="000E1A2B"/>
    <w:rsid w:val="000E3F88"/>
    <w:rsid w:val="000E7B9E"/>
    <w:rsid w:val="000E7BB1"/>
    <w:rsid w:val="000F0F66"/>
    <w:rsid w:val="000F1308"/>
    <w:rsid w:val="000F4352"/>
    <w:rsid w:val="000F76B5"/>
    <w:rsid w:val="00101DAD"/>
    <w:rsid w:val="001036A2"/>
    <w:rsid w:val="00104021"/>
    <w:rsid w:val="0010649D"/>
    <w:rsid w:val="00106F8B"/>
    <w:rsid w:val="00107578"/>
    <w:rsid w:val="0011132B"/>
    <w:rsid w:val="001119A9"/>
    <w:rsid w:val="00114641"/>
    <w:rsid w:val="001147F0"/>
    <w:rsid w:val="00117D7A"/>
    <w:rsid w:val="00120B70"/>
    <w:rsid w:val="0012138E"/>
    <w:rsid w:val="001215CE"/>
    <w:rsid w:val="00121E3F"/>
    <w:rsid w:val="00122AC1"/>
    <w:rsid w:val="00123798"/>
    <w:rsid w:val="00123AB6"/>
    <w:rsid w:val="00124E01"/>
    <w:rsid w:val="001275EE"/>
    <w:rsid w:val="00130034"/>
    <w:rsid w:val="00131E01"/>
    <w:rsid w:val="001321E8"/>
    <w:rsid w:val="001348C0"/>
    <w:rsid w:val="00136C17"/>
    <w:rsid w:val="00137228"/>
    <w:rsid w:val="001413CF"/>
    <w:rsid w:val="001418CE"/>
    <w:rsid w:val="00141F17"/>
    <w:rsid w:val="001439D9"/>
    <w:rsid w:val="00144AAB"/>
    <w:rsid w:val="0014570F"/>
    <w:rsid w:val="001470B4"/>
    <w:rsid w:val="00150334"/>
    <w:rsid w:val="001514FF"/>
    <w:rsid w:val="001526EC"/>
    <w:rsid w:val="00152B76"/>
    <w:rsid w:val="001542DA"/>
    <w:rsid w:val="00154BA0"/>
    <w:rsid w:val="00154DFC"/>
    <w:rsid w:val="001561A4"/>
    <w:rsid w:val="00156EF2"/>
    <w:rsid w:val="00157D38"/>
    <w:rsid w:val="001603F3"/>
    <w:rsid w:val="001611C3"/>
    <w:rsid w:val="00161633"/>
    <w:rsid w:val="001635BC"/>
    <w:rsid w:val="00163C19"/>
    <w:rsid w:val="00163F97"/>
    <w:rsid w:val="001649EA"/>
    <w:rsid w:val="00164C8A"/>
    <w:rsid w:val="0016653F"/>
    <w:rsid w:val="001665EA"/>
    <w:rsid w:val="00170092"/>
    <w:rsid w:val="00170BF0"/>
    <w:rsid w:val="00171E8F"/>
    <w:rsid w:val="00172258"/>
    <w:rsid w:val="00172BE4"/>
    <w:rsid w:val="00173202"/>
    <w:rsid w:val="001742F8"/>
    <w:rsid w:val="001745F4"/>
    <w:rsid w:val="00175714"/>
    <w:rsid w:val="0017766A"/>
    <w:rsid w:val="00183328"/>
    <w:rsid w:val="001840D3"/>
    <w:rsid w:val="0018422C"/>
    <w:rsid w:val="00185E42"/>
    <w:rsid w:val="00187159"/>
    <w:rsid w:val="001873ED"/>
    <w:rsid w:val="001912C7"/>
    <w:rsid w:val="00193038"/>
    <w:rsid w:val="00193B1B"/>
    <w:rsid w:val="0019409A"/>
    <w:rsid w:val="00194B0F"/>
    <w:rsid w:val="0019518B"/>
    <w:rsid w:val="0019751B"/>
    <w:rsid w:val="0019763E"/>
    <w:rsid w:val="001A0238"/>
    <w:rsid w:val="001A32EA"/>
    <w:rsid w:val="001A338F"/>
    <w:rsid w:val="001A7871"/>
    <w:rsid w:val="001A7FF2"/>
    <w:rsid w:val="001B032C"/>
    <w:rsid w:val="001B1A6C"/>
    <w:rsid w:val="001B28D2"/>
    <w:rsid w:val="001B4571"/>
    <w:rsid w:val="001B4F20"/>
    <w:rsid w:val="001B524B"/>
    <w:rsid w:val="001C05B6"/>
    <w:rsid w:val="001C2043"/>
    <w:rsid w:val="001C2065"/>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67A3"/>
    <w:rsid w:val="001F798F"/>
    <w:rsid w:val="001F7F58"/>
    <w:rsid w:val="00200E76"/>
    <w:rsid w:val="0020210C"/>
    <w:rsid w:val="00202897"/>
    <w:rsid w:val="00203870"/>
    <w:rsid w:val="002047A2"/>
    <w:rsid w:val="002059BD"/>
    <w:rsid w:val="002059E0"/>
    <w:rsid w:val="00207205"/>
    <w:rsid w:val="002076B6"/>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37D71"/>
    <w:rsid w:val="00241771"/>
    <w:rsid w:val="00245ECA"/>
    <w:rsid w:val="002468A2"/>
    <w:rsid w:val="00247513"/>
    <w:rsid w:val="00250A27"/>
    <w:rsid w:val="00251C67"/>
    <w:rsid w:val="002536DC"/>
    <w:rsid w:val="002538FB"/>
    <w:rsid w:val="00253A90"/>
    <w:rsid w:val="002549E8"/>
    <w:rsid w:val="0025668D"/>
    <w:rsid w:val="00257E6B"/>
    <w:rsid w:val="002600A8"/>
    <w:rsid w:val="0026167E"/>
    <w:rsid w:val="0026193A"/>
    <w:rsid w:val="00264644"/>
    <w:rsid w:val="00264904"/>
    <w:rsid w:val="00264C5C"/>
    <w:rsid w:val="002652EE"/>
    <w:rsid w:val="00267062"/>
    <w:rsid w:val="002711C8"/>
    <w:rsid w:val="00271623"/>
    <w:rsid w:val="00272D23"/>
    <w:rsid w:val="00277109"/>
    <w:rsid w:val="0028035A"/>
    <w:rsid w:val="0028203A"/>
    <w:rsid w:val="00282E35"/>
    <w:rsid w:val="002842EA"/>
    <w:rsid w:val="00290185"/>
    <w:rsid w:val="00291B41"/>
    <w:rsid w:val="0029201E"/>
    <w:rsid w:val="0029547F"/>
    <w:rsid w:val="002957A3"/>
    <w:rsid w:val="0029685E"/>
    <w:rsid w:val="00296A97"/>
    <w:rsid w:val="00296F51"/>
    <w:rsid w:val="002A1CEE"/>
    <w:rsid w:val="002A3B81"/>
    <w:rsid w:val="002A48E5"/>
    <w:rsid w:val="002A49B1"/>
    <w:rsid w:val="002A554F"/>
    <w:rsid w:val="002A7141"/>
    <w:rsid w:val="002A71D6"/>
    <w:rsid w:val="002B0B0C"/>
    <w:rsid w:val="002B18CD"/>
    <w:rsid w:val="002B20FF"/>
    <w:rsid w:val="002B4626"/>
    <w:rsid w:val="002B5AC6"/>
    <w:rsid w:val="002B79D0"/>
    <w:rsid w:val="002C0853"/>
    <w:rsid w:val="002C0F9E"/>
    <w:rsid w:val="002C2587"/>
    <w:rsid w:val="002C4CDD"/>
    <w:rsid w:val="002C55FE"/>
    <w:rsid w:val="002C6757"/>
    <w:rsid w:val="002D02B5"/>
    <w:rsid w:val="002D05D8"/>
    <w:rsid w:val="002D1749"/>
    <w:rsid w:val="002D3A78"/>
    <w:rsid w:val="002D3C8E"/>
    <w:rsid w:val="002D40AC"/>
    <w:rsid w:val="002D45E3"/>
    <w:rsid w:val="002D45FD"/>
    <w:rsid w:val="002D7BFC"/>
    <w:rsid w:val="002E1DF0"/>
    <w:rsid w:val="002E2029"/>
    <w:rsid w:val="002E258F"/>
    <w:rsid w:val="002E277C"/>
    <w:rsid w:val="002E5E09"/>
    <w:rsid w:val="002F04D1"/>
    <w:rsid w:val="002F1A9F"/>
    <w:rsid w:val="002F40F6"/>
    <w:rsid w:val="002F4542"/>
    <w:rsid w:val="002F4573"/>
    <w:rsid w:val="002F4F3C"/>
    <w:rsid w:val="002F5E31"/>
    <w:rsid w:val="002F7CAF"/>
    <w:rsid w:val="00301D2C"/>
    <w:rsid w:val="00304A69"/>
    <w:rsid w:val="003054CD"/>
    <w:rsid w:val="00305770"/>
    <w:rsid w:val="003065B2"/>
    <w:rsid w:val="00306967"/>
    <w:rsid w:val="00310C77"/>
    <w:rsid w:val="00311F78"/>
    <w:rsid w:val="00312975"/>
    <w:rsid w:val="0031310D"/>
    <w:rsid w:val="00313D95"/>
    <w:rsid w:val="00313E62"/>
    <w:rsid w:val="00314A9A"/>
    <w:rsid w:val="0031511B"/>
    <w:rsid w:val="00316561"/>
    <w:rsid w:val="00316EC3"/>
    <w:rsid w:val="00317099"/>
    <w:rsid w:val="00321BD4"/>
    <w:rsid w:val="003237E9"/>
    <w:rsid w:val="003250DC"/>
    <w:rsid w:val="00330446"/>
    <w:rsid w:val="003316C4"/>
    <w:rsid w:val="00332060"/>
    <w:rsid w:val="0033289B"/>
    <w:rsid w:val="0033773E"/>
    <w:rsid w:val="0034188E"/>
    <w:rsid w:val="00342413"/>
    <w:rsid w:val="00342927"/>
    <w:rsid w:val="00343328"/>
    <w:rsid w:val="0034351B"/>
    <w:rsid w:val="003435C8"/>
    <w:rsid w:val="00344E2B"/>
    <w:rsid w:val="003538AF"/>
    <w:rsid w:val="00356ACD"/>
    <w:rsid w:val="00356B68"/>
    <w:rsid w:val="003606D6"/>
    <w:rsid w:val="00360E9D"/>
    <w:rsid w:val="0036169E"/>
    <w:rsid w:val="00363CE2"/>
    <w:rsid w:val="003662A0"/>
    <w:rsid w:val="003666E4"/>
    <w:rsid w:val="003671CE"/>
    <w:rsid w:val="00371B78"/>
    <w:rsid w:val="00372069"/>
    <w:rsid w:val="003724CF"/>
    <w:rsid w:val="00372914"/>
    <w:rsid w:val="00373C87"/>
    <w:rsid w:val="0037508A"/>
    <w:rsid w:val="0037562D"/>
    <w:rsid w:val="003802D2"/>
    <w:rsid w:val="00381C32"/>
    <w:rsid w:val="00382E07"/>
    <w:rsid w:val="003842C5"/>
    <w:rsid w:val="00386473"/>
    <w:rsid w:val="003872A8"/>
    <w:rsid w:val="003878E1"/>
    <w:rsid w:val="00387BB6"/>
    <w:rsid w:val="00390BC5"/>
    <w:rsid w:val="003949CE"/>
    <w:rsid w:val="003A0FFD"/>
    <w:rsid w:val="003A1DF2"/>
    <w:rsid w:val="003A1F93"/>
    <w:rsid w:val="003A2162"/>
    <w:rsid w:val="003A2DC1"/>
    <w:rsid w:val="003A39A4"/>
    <w:rsid w:val="003A42C0"/>
    <w:rsid w:val="003A5DE9"/>
    <w:rsid w:val="003A5F00"/>
    <w:rsid w:val="003A62B4"/>
    <w:rsid w:val="003A6733"/>
    <w:rsid w:val="003B0E66"/>
    <w:rsid w:val="003B22DA"/>
    <w:rsid w:val="003B2E25"/>
    <w:rsid w:val="003B472F"/>
    <w:rsid w:val="003B4A51"/>
    <w:rsid w:val="003B7323"/>
    <w:rsid w:val="003B7F86"/>
    <w:rsid w:val="003C64F4"/>
    <w:rsid w:val="003D057A"/>
    <w:rsid w:val="003D0850"/>
    <w:rsid w:val="003D2987"/>
    <w:rsid w:val="003D49A8"/>
    <w:rsid w:val="003D56C4"/>
    <w:rsid w:val="003D6D46"/>
    <w:rsid w:val="003D78E0"/>
    <w:rsid w:val="003E0130"/>
    <w:rsid w:val="003E07A8"/>
    <w:rsid w:val="003E0A15"/>
    <w:rsid w:val="003E1259"/>
    <w:rsid w:val="003E1923"/>
    <w:rsid w:val="003E1DE1"/>
    <w:rsid w:val="003E29F6"/>
    <w:rsid w:val="003E561D"/>
    <w:rsid w:val="003E5DAD"/>
    <w:rsid w:val="003E77B9"/>
    <w:rsid w:val="003F052A"/>
    <w:rsid w:val="003F2940"/>
    <w:rsid w:val="003F3FD9"/>
    <w:rsid w:val="003F5831"/>
    <w:rsid w:val="003F722F"/>
    <w:rsid w:val="00400B33"/>
    <w:rsid w:val="00404016"/>
    <w:rsid w:val="00405764"/>
    <w:rsid w:val="00407189"/>
    <w:rsid w:val="0040735A"/>
    <w:rsid w:val="00407A93"/>
    <w:rsid w:val="004111B0"/>
    <w:rsid w:val="00411826"/>
    <w:rsid w:val="00411981"/>
    <w:rsid w:val="004123DB"/>
    <w:rsid w:val="00412848"/>
    <w:rsid w:val="00412E37"/>
    <w:rsid w:val="004136F7"/>
    <w:rsid w:val="00414582"/>
    <w:rsid w:val="00414903"/>
    <w:rsid w:val="00415C49"/>
    <w:rsid w:val="004160EF"/>
    <w:rsid w:val="00416671"/>
    <w:rsid w:val="00416A5C"/>
    <w:rsid w:val="004171A9"/>
    <w:rsid w:val="00420EE4"/>
    <w:rsid w:val="004216D3"/>
    <w:rsid w:val="00422B3E"/>
    <w:rsid w:val="0042381E"/>
    <w:rsid w:val="004309CD"/>
    <w:rsid w:val="00430D4A"/>
    <w:rsid w:val="00431FF9"/>
    <w:rsid w:val="00432AEC"/>
    <w:rsid w:val="004335AF"/>
    <w:rsid w:val="004340C2"/>
    <w:rsid w:val="00434DC2"/>
    <w:rsid w:val="00435C52"/>
    <w:rsid w:val="004367E9"/>
    <w:rsid w:val="00436B48"/>
    <w:rsid w:val="004372D5"/>
    <w:rsid w:val="00437907"/>
    <w:rsid w:val="00441B9C"/>
    <w:rsid w:val="00442E58"/>
    <w:rsid w:val="00444549"/>
    <w:rsid w:val="00446451"/>
    <w:rsid w:val="004464D7"/>
    <w:rsid w:val="00451296"/>
    <w:rsid w:val="00451A61"/>
    <w:rsid w:val="00451BD0"/>
    <w:rsid w:val="00452A64"/>
    <w:rsid w:val="00453A6F"/>
    <w:rsid w:val="00454856"/>
    <w:rsid w:val="0045541D"/>
    <w:rsid w:val="00456827"/>
    <w:rsid w:val="00457ABD"/>
    <w:rsid w:val="00457F1E"/>
    <w:rsid w:val="00460508"/>
    <w:rsid w:val="004605D8"/>
    <w:rsid w:val="00460A29"/>
    <w:rsid w:val="00462480"/>
    <w:rsid w:val="00467022"/>
    <w:rsid w:val="0047061C"/>
    <w:rsid w:val="00471E4D"/>
    <w:rsid w:val="004722DA"/>
    <w:rsid w:val="0047239E"/>
    <w:rsid w:val="00472621"/>
    <w:rsid w:val="0047404C"/>
    <w:rsid w:val="0047519D"/>
    <w:rsid w:val="00482A3A"/>
    <w:rsid w:val="004859DC"/>
    <w:rsid w:val="00486FC2"/>
    <w:rsid w:val="004870CE"/>
    <w:rsid w:val="00487F71"/>
    <w:rsid w:val="00491C09"/>
    <w:rsid w:val="004927DD"/>
    <w:rsid w:val="00492CE8"/>
    <w:rsid w:val="004938AD"/>
    <w:rsid w:val="00493CF8"/>
    <w:rsid w:val="00493E5D"/>
    <w:rsid w:val="0049644D"/>
    <w:rsid w:val="004A1BFF"/>
    <w:rsid w:val="004A206E"/>
    <w:rsid w:val="004A3DDB"/>
    <w:rsid w:val="004A6DA9"/>
    <w:rsid w:val="004A6DDB"/>
    <w:rsid w:val="004A743E"/>
    <w:rsid w:val="004A76F7"/>
    <w:rsid w:val="004A7AC3"/>
    <w:rsid w:val="004A7CF2"/>
    <w:rsid w:val="004B2BBA"/>
    <w:rsid w:val="004B35D9"/>
    <w:rsid w:val="004B4C63"/>
    <w:rsid w:val="004B53ED"/>
    <w:rsid w:val="004B5D2E"/>
    <w:rsid w:val="004B616C"/>
    <w:rsid w:val="004C19E2"/>
    <w:rsid w:val="004C2653"/>
    <w:rsid w:val="004C3E58"/>
    <w:rsid w:val="004C40EF"/>
    <w:rsid w:val="004C541B"/>
    <w:rsid w:val="004C5FF3"/>
    <w:rsid w:val="004C6267"/>
    <w:rsid w:val="004C6954"/>
    <w:rsid w:val="004D1EB6"/>
    <w:rsid w:val="004D2FCA"/>
    <w:rsid w:val="004D4F2A"/>
    <w:rsid w:val="004D5803"/>
    <w:rsid w:val="004D597E"/>
    <w:rsid w:val="004E0B9F"/>
    <w:rsid w:val="004E0F87"/>
    <w:rsid w:val="004E2285"/>
    <w:rsid w:val="004E2D36"/>
    <w:rsid w:val="004E2DC4"/>
    <w:rsid w:val="004E3CEE"/>
    <w:rsid w:val="004E4515"/>
    <w:rsid w:val="004E4580"/>
    <w:rsid w:val="004E5C9E"/>
    <w:rsid w:val="004E6F4B"/>
    <w:rsid w:val="004E76F9"/>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31AA"/>
    <w:rsid w:val="00504EE4"/>
    <w:rsid w:val="0050594A"/>
    <w:rsid w:val="0050625C"/>
    <w:rsid w:val="00510047"/>
    <w:rsid w:val="005125ED"/>
    <w:rsid w:val="00513919"/>
    <w:rsid w:val="005162D4"/>
    <w:rsid w:val="00516E5B"/>
    <w:rsid w:val="00521A21"/>
    <w:rsid w:val="00522EFA"/>
    <w:rsid w:val="00530092"/>
    <w:rsid w:val="005320CC"/>
    <w:rsid w:val="005335A2"/>
    <w:rsid w:val="00533A68"/>
    <w:rsid w:val="00533F7E"/>
    <w:rsid w:val="005365BC"/>
    <w:rsid w:val="00540B34"/>
    <w:rsid w:val="0054284F"/>
    <w:rsid w:val="0054495B"/>
    <w:rsid w:val="00545E14"/>
    <w:rsid w:val="005462CF"/>
    <w:rsid w:val="00547298"/>
    <w:rsid w:val="00547C33"/>
    <w:rsid w:val="00550CD0"/>
    <w:rsid w:val="00551EFD"/>
    <w:rsid w:val="0055317A"/>
    <w:rsid w:val="00556043"/>
    <w:rsid w:val="005565A0"/>
    <w:rsid w:val="00557583"/>
    <w:rsid w:val="00557892"/>
    <w:rsid w:val="005605A7"/>
    <w:rsid w:val="00562B15"/>
    <w:rsid w:val="00563A52"/>
    <w:rsid w:val="005654C9"/>
    <w:rsid w:val="00565661"/>
    <w:rsid w:val="005660A2"/>
    <w:rsid w:val="00566392"/>
    <w:rsid w:val="005672AD"/>
    <w:rsid w:val="00567E03"/>
    <w:rsid w:val="00567EAE"/>
    <w:rsid w:val="00570FC5"/>
    <w:rsid w:val="00571DB5"/>
    <w:rsid w:val="005723FC"/>
    <w:rsid w:val="00573FE7"/>
    <w:rsid w:val="005756F8"/>
    <w:rsid w:val="0057795A"/>
    <w:rsid w:val="00580403"/>
    <w:rsid w:val="0058133A"/>
    <w:rsid w:val="00583CDD"/>
    <w:rsid w:val="00585CF8"/>
    <w:rsid w:val="00586678"/>
    <w:rsid w:val="00592633"/>
    <w:rsid w:val="00592812"/>
    <w:rsid w:val="00593BD5"/>
    <w:rsid w:val="00593D09"/>
    <w:rsid w:val="00595DC3"/>
    <w:rsid w:val="00595FA7"/>
    <w:rsid w:val="00596B62"/>
    <w:rsid w:val="0059776A"/>
    <w:rsid w:val="00597C1C"/>
    <w:rsid w:val="005A09EA"/>
    <w:rsid w:val="005A2195"/>
    <w:rsid w:val="005A59B0"/>
    <w:rsid w:val="005A5B88"/>
    <w:rsid w:val="005A62C4"/>
    <w:rsid w:val="005A67B9"/>
    <w:rsid w:val="005B2002"/>
    <w:rsid w:val="005B3EED"/>
    <w:rsid w:val="005B41AC"/>
    <w:rsid w:val="005B5F2F"/>
    <w:rsid w:val="005C0AF5"/>
    <w:rsid w:val="005C0C50"/>
    <w:rsid w:val="005C13BE"/>
    <w:rsid w:val="005C2AE2"/>
    <w:rsid w:val="005C3588"/>
    <w:rsid w:val="005C361E"/>
    <w:rsid w:val="005C3C51"/>
    <w:rsid w:val="005C415C"/>
    <w:rsid w:val="005C4329"/>
    <w:rsid w:val="005C4EA9"/>
    <w:rsid w:val="005C50BA"/>
    <w:rsid w:val="005C577D"/>
    <w:rsid w:val="005C6635"/>
    <w:rsid w:val="005C712B"/>
    <w:rsid w:val="005C772F"/>
    <w:rsid w:val="005D0555"/>
    <w:rsid w:val="005D0E04"/>
    <w:rsid w:val="005D0ED5"/>
    <w:rsid w:val="005D1437"/>
    <w:rsid w:val="005D2727"/>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3A24"/>
    <w:rsid w:val="005F3ECC"/>
    <w:rsid w:val="005F48D7"/>
    <w:rsid w:val="005F5325"/>
    <w:rsid w:val="005F5586"/>
    <w:rsid w:val="005F585E"/>
    <w:rsid w:val="0060093A"/>
    <w:rsid w:val="00601540"/>
    <w:rsid w:val="00604B74"/>
    <w:rsid w:val="00606EE8"/>
    <w:rsid w:val="0060745D"/>
    <w:rsid w:val="0060775A"/>
    <w:rsid w:val="00607AE3"/>
    <w:rsid w:val="00610861"/>
    <w:rsid w:val="00611A51"/>
    <w:rsid w:val="006124F9"/>
    <w:rsid w:val="00613CDD"/>
    <w:rsid w:val="0061472D"/>
    <w:rsid w:val="00614912"/>
    <w:rsid w:val="006155C9"/>
    <w:rsid w:val="006174A7"/>
    <w:rsid w:val="00620026"/>
    <w:rsid w:val="006203C9"/>
    <w:rsid w:val="00620EB6"/>
    <w:rsid w:val="006231EE"/>
    <w:rsid w:val="00623D2C"/>
    <w:rsid w:val="0062510E"/>
    <w:rsid w:val="00626439"/>
    <w:rsid w:val="00627715"/>
    <w:rsid w:val="00631B65"/>
    <w:rsid w:val="006345D0"/>
    <w:rsid w:val="00637B05"/>
    <w:rsid w:val="006414D7"/>
    <w:rsid w:val="006414FA"/>
    <w:rsid w:val="0064412C"/>
    <w:rsid w:val="00645A9F"/>
    <w:rsid w:val="0064691A"/>
    <w:rsid w:val="0064794B"/>
    <w:rsid w:val="00651565"/>
    <w:rsid w:val="006515CF"/>
    <w:rsid w:val="00651B37"/>
    <w:rsid w:val="00651E60"/>
    <w:rsid w:val="00656842"/>
    <w:rsid w:val="006570E4"/>
    <w:rsid w:val="00660283"/>
    <w:rsid w:val="00665920"/>
    <w:rsid w:val="0066604A"/>
    <w:rsid w:val="0066746F"/>
    <w:rsid w:val="00671633"/>
    <w:rsid w:val="00671A4C"/>
    <w:rsid w:val="00676C6C"/>
    <w:rsid w:val="006813D8"/>
    <w:rsid w:val="00682421"/>
    <w:rsid w:val="006832D4"/>
    <w:rsid w:val="00685792"/>
    <w:rsid w:val="006878B8"/>
    <w:rsid w:val="0068795C"/>
    <w:rsid w:val="00687DF5"/>
    <w:rsid w:val="006900CC"/>
    <w:rsid w:val="006911C3"/>
    <w:rsid w:val="006979BE"/>
    <w:rsid w:val="006A0B44"/>
    <w:rsid w:val="006A0E12"/>
    <w:rsid w:val="006A15F2"/>
    <w:rsid w:val="006A2082"/>
    <w:rsid w:val="006A2C18"/>
    <w:rsid w:val="006A4298"/>
    <w:rsid w:val="006A5A96"/>
    <w:rsid w:val="006A6499"/>
    <w:rsid w:val="006A680C"/>
    <w:rsid w:val="006B00BA"/>
    <w:rsid w:val="006B063E"/>
    <w:rsid w:val="006B11D2"/>
    <w:rsid w:val="006B288B"/>
    <w:rsid w:val="006B28E2"/>
    <w:rsid w:val="006B416A"/>
    <w:rsid w:val="006B7D5A"/>
    <w:rsid w:val="006C18E2"/>
    <w:rsid w:val="006C1C43"/>
    <w:rsid w:val="006C427A"/>
    <w:rsid w:val="006C44F3"/>
    <w:rsid w:val="006C46DC"/>
    <w:rsid w:val="006C4AFF"/>
    <w:rsid w:val="006C5DC0"/>
    <w:rsid w:val="006C6604"/>
    <w:rsid w:val="006C6F27"/>
    <w:rsid w:val="006C7E6B"/>
    <w:rsid w:val="006D06AC"/>
    <w:rsid w:val="006D2806"/>
    <w:rsid w:val="006D3382"/>
    <w:rsid w:val="006D5FA5"/>
    <w:rsid w:val="006D61EB"/>
    <w:rsid w:val="006D67BA"/>
    <w:rsid w:val="006D67C1"/>
    <w:rsid w:val="006D6EFC"/>
    <w:rsid w:val="006D7B04"/>
    <w:rsid w:val="006E49A5"/>
    <w:rsid w:val="006F0FDE"/>
    <w:rsid w:val="006F272F"/>
    <w:rsid w:val="006F4CD8"/>
    <w:rsid w:val="006F508A"/>
    <w:rsid w:val="006F73FB"/>
    <w:rsid w:val="00700759"/>
    <w:rsid w:val="00701397"/>
    <w:rsid w:val="00702AC9"/>
    <w:rsid w:val="00702D67"/>
    <w:rsid w:val="0070429A"/>
    <w:rsid w:val="00704AF2"/>
    <w:rsid w:val="00705F72"/>
    <w:rsid w:val="007073E9"/>
    <w:rsid w:val="007077C0"/>
    <w:rsid w:val="00710539"/>
    <w:rsid w:val="007111FF"/>
    <w:rsid w:val="007117A4"/>
    <w:rsid w:val="0071227F"/>
    <w:rsid w:val="00714363"/>
    <w:rsid w:val="0071442D"/>
    <w:rsid w:val="007163BC"/>
    <w:rsid w:val="007204F8"/>
    <w:rsid w:val="007214CD"/>
    <w:rsid w:val="0072181F"/>
    <w:rsid w:val="00722009"/>
    <w:rsid w:val="0072258B"/>
    <w:rsid w:val="007227E7"/>
    <w:rsid w:val="007231BB"/>
    <w:rsid w:val="00723C74"/>
    <w:rsid w:val="007245D3"/>
    <w:rsid w:val="00725E86"/>
    <w:rsid w:val="007312C2"/>
    <w:rsid w:val="0073551C"/>
    <w:rsid w:val="007370BC"/>
    <w:rsid w:val="0073766B"/>
    <w:rsid w:val="00742C46"/>
    <w:rsid w:val="00743517"/>
    <w:rsid w:val="007469D8"/>
    <w:rsid w:val="007503CE"/>
    <w:rsid w:val="00752C1B"/>
    <w:rsid w:val="007531A0"/>
    <w:rsid w:val="00754A13"/>
    <w:rsid w:val="00755D92"/>
    <w:rsid w:val="00757CD0"/>
    <w:rsid w:val="007629DA"/>
    <w:rsid w:val="00762C24"/>
    <w:rsid w:val="00763BCC"/>
    <w:rsid w:val="007641EC"/>
    <w:rsid w:val="00764B1F"/>
    <w:rsid w:val="0076651E"/>
    <w:rsid w:val="00766B15"/>
    <w:rsid w:val="00767DB8"/>
    <w:rsid w:val="00770D89"/>
    <w:rsid w:val="00770ECE"/>
    <w:rsid w:val="00772622"/>
    <w:rsid w:val="007741F5"/>
    <w:rsid w:val="00774549"/>
    <w:rsid w:val="00777966"/>
    <w:rsid w:val="007808E9"/>
    <w:rsid w:val="00781702"/>
    <w:rsid w:val="00782D74"/>
    <w:rsid w:val="00785128"/>
    <w:rsid w:val="00786222"/>
    <w:rsid w:val="0078781C"/>
    <w:rsid w:val="00790371"/>
    <w:rsid w:val="00791931"/>
    <w:rsid w:val="00791D0F"/>
    <w:rsid w:val="00792DFA"/>
    <w:rsid w:val="007933C8"/>
    <w:rsid w:val="00793566"/>
    <w:rsid w:val="00795238"/>
    <w:rsid w:val="00796150"/>
    <w:rsid w:val="007A1963"/>
    <w:rsid w:val="007A19B2"/>
    <w:rsid w:val="007A6756"/>
    <w:rsid w:val="007A7975"/>
    <w:rsid w:val="007B121A"/>
    <w:rsid w:val="007B1AF4"/>
    <w:rsid w:val="007B252A"/>
    <w:rsid w:val="007B441D"/>
    <w:rsid w:val="007B48AC"/>
    <w:rsid w:val="007B7107"/>
    <w:rsid w:val="007C1208"/>
    <w:rsid w:val="007C1CAE"/>
    <w:rsid w:val="007C22AE"/>
    <w:rsid w:val="007C2A52"/>
    <w:rsid w:val="007C31A5"/>
    <w:rsid w:val="007C392B"/>
    <w:rsid w:val="007C4499"/>
    <w:rsid w:val="007C627A"/>
    <w:rsid w:val="007C6BBF"/>
    <w:rsid w:val="007C719E"/>
    <w:rsid w:val="007C7AEE"/>
    <w:rsid w:val="007D0C4C"/>
    <w:rsid w:val="007D0F53"/>
    <w:rsid w:val="007D14E2"/>
    <w:rsid w:val="007D1DE6"/>
    <w:rsid w:val="007D309E"/>
    <w:rsid w:val="007D399B"/>
    <w:rsid w:val="007D4FB8"/>
    <w:rsid w:val="007D6F84"/>
    <w:rsid w:val="007D716F"/>
    <w:rsid w:val="007E03DC"/>
    <w:rsid w:val="007E2341"/>
    <w:rsid w:val="007E437C"/>
    <w:rsid w:val="007E515A"/>
    <w:rsid w:val="007F18F5"/>
    <w:rsid w:val="007F25A0"/>
    <w:rsid w:val="007F539B"/>
    <w:rsid w:val="007F5758"/>
    <w:rsid w:val="007F7113"/>
    <w:rsid w:val="00800525"/>
    <w:rsid w:val="00805000"/>
    <w:rsid w:val="00806316"/>
    <w:rsid w:val="008073AD"/>
    <w:rsid w:val="00807DB0"/>
    <w:rsid w:val="0081361A"/>
    <w:rsid w:val="00814BA2"/>
    <w:rsid w:val="008155E9"/>
    <w:rsid w:val="00816BF8"/>
    <w:rsid w:val="0081758A"/>
    <w:rsid w:val="00817A7B"/>
    <w:rsid w:val="00820E1A"/>
    <w:rsid w:val="008233CC"/>
    <w:rsid w:val="008249B3"/>
    <w:rsid w:val="008251A2"/>
    <w:rsid w:val="00826C1D"/>
    <w:rsid w:val="00832477"/>
    <w:rsid w:val="008325CF"/>
    <w:rsid w:val="00832690"/>
    <w:rsid w:val="008343FE"/>
    <w:rsid w:val="0084044F"/>
    <w:rsid w:val="00840898"/>
    <w:rsid w:val="008411DB"/>
    <w:rsid w:val="0084166A"/>
    <w:rsid w:val="00842A12"/>
    <w:rsid w:val="008441D2"/>
    <w:rsid w:val="00844887"/>
    <w:rsid w:val="00850B66"/>
    <w:rsid w:val="00853808"/>
    <w:rsid w:val="008547AC"/>
    <w:rsid w:val="008558AA"/>
    <w:rsid w:val="00856033"/>
    <w:rsid w:val="00856C65"/>
    <w:rsid w:val="008628D0"/>
    <w:rsid w:val="008636E7"/>
    <w:rsid w:val="00863DED"/>
    <w:rsid w:val="00865A56"/>
    <w:rsid w:val="00870B9C"/>
    <w:rsid w:val="00872985"/>
    <w:rsid w:val="00872E44"/>
    <w:rsid w:val="00874E59"/>
    <w:rsid w:val="0087532E"/>
    <w:rsid w:val="008764FF"/>
    <w:rsid w:val="00876B13"/>
    <w:rsid w:val="0088088D"/>
    <w:rsid w:val="00880B05"/>
    <w:rsid w:val="00880E0B"/>
    <w:rsid w:val="008816DE"/>
    <w:rsid w:val="0088273D"/>
    <w:rsid w:val="00884889"/>
    <w:rsid w:val="0088529C"/>
    <w:rsid w:val="00885860"/>
    <w:rsid w:val="008858B5"/>
    <w:rsid w:val="0088594F"/>
    <w:rsid w:val="00886B1C"/>
    <w:rsid w:val="00890411"/>
    <w:rsid w:val="008A4663"/>
    <w:rsid w:val="008A4AAE"/>
    <w:rsid w:val="008A4D39"/>
    <w:rsid w:val="008A5D59"/>
    <w:rsid w:val="008A6940"/>
    <w:rsid w:val="008B0020"/>
    <w:rsid w:val="008B02DF"/>
    <w:rsid w:val="008B19DE"/>
    <w:rsid w:val="008B4A42"/>
    <w:rsid w:val="008B5134"/>
    <w:rsid w:val="008B64BA"/>
    <w:rsid w:val="008B762F"/>
    <w:rsid w:val="008C1243"/>
    <w:rsid w:val="008C13D3"/>
    <w:rsid w:val="008C1BC1"/>
    <w:rsid w:val="008C1D6D"/>
    <w:rsid w:val="008C2503"/>
    <w:rsid w:val="008C48B4"/>
    <w:rsid w:val="008C4A85"/>
    <w:rsid w:val="008C6549"/>
    <w:rsid w:val="008C7624"/>
    <w:rsid w:val="008D4DCA"/>
    <w:rsid w:val="008D648C"/>
    <w:rsid w:val="008E1A0C"/>
    <w:rsid w:val="008E4ABE"/>
    <w:rsid w:val="008E5502"/>
    <w:rsid w:val="008E63C4"/>
    <w:rsid w:val="008E6545"/>
    <w:rsid w:val="008E7724"/>
    <w:rsid w:val="008F1E32"/>
    <w:rsid w:val="008F1EB6"/>
    <w:rsid w:val="008F29D8"/>
    <w:rsid w:val="008F3D62"/>
    <w:rsid w:val="008F4EC3"/>
    <w:rsid w:val="008F5195"/>
    <w:rsid w:val="008F5A1B"/>
    <w:rsid w:val="008F6DF2"/>
    <w:rsid w:val="0090315D"/>
    <w:rsid w:val="00903338"/>
    <w:rsid w:val="0090431E"/>
    <w:rsid w:val="0090500B"/>
    <w:rsid w:val="009050B0"/>
    <w:rsid w:val="00906951"/>
    <w:rsid w:val="009070E4"/>
    <w:rsid w:val="0091073B"/>
    <w:rsid w:val="00910CA6"/>
    <w:rsid w:val="00911309"/>
    <w:rsid w:val="009131E9"/>
    <w:rsid w:val="00917ED9"/>
    <w:rsid w:val="00920031"/>
    <w:rsid w:val="009226E8"/>
    <w:rsid w:val="009235C2"/>
    <w:rsid w:val="00924725"/>
    <w:rsid w:val="00925EA0"/>
    <w:rsid w:val="00926826"/>
    <w:rsid w:val="00926EBB"/>
    <w:rsid w:val="00926EC5"/>
    <w:rsid w:val="009277C0"/>
    <w:rsid w:val="009317C0"/>
    <w:rsid w:val="00931F5D"/>
    <w:rsid w:val="00932435"/>
    <w:rsid w:val="0093360D"/>
    <w:rsid w:val="00935A39"/>
    <w:rsid w:val="00935F5B"/>
    <w:rsid w:val="00942A8A"/>
    <w:rsid w:val="00943FBE"/>
    <w:rsid w:val="00945170"/>
    <w:rsid w:val="00950571"/>
    <w:rsid w:val="00950B02"/>
    <w:rsid w:val="0095274A"/>
    <w:rsid w:val="00953121"/>
    <w:rsid w:val="009565C2"/>
    <w:rsid w:val="00956827"/>
    <w:rsid w:val="00956A3F"/>
    <w:rsid w:val="00957375"/>
    <w:rsid w:val="0096109A"/>
    <w:rsid w:val="00961C88"/>
    <w:rsid w:val="009648F0"/>
    <w:rsid w:val="00964F5E"/>
    <w:rsid w:val="00964F91"/>
    <w:rsid w:val="00965110"/>
    <w:rsid w:val="0096675D"/>
    <w:rsid w:val="00967B5B"/>
    <w:rsid w:val="00971489"/>
    <w:rsid w:val="009717FD"/>
    <w:rsid w:val="00972FFF"/>
    <w:rsid w:val="009741E2"/>
    <w:rsid w:val="009748E0"/>
    <w:rsid w:val="00975185"/>
    <w:rsid w:val="0097558A"/>
    <w:rsid w:val="009764DF"/>
    <w:rsid w:val="00983CFB"/>
    <w:rsid w:val="009843AE"/>
    <w:rsid w:val="00985C39"/>
    <w:rsid w:val="00987943"/>
    <w:rsid w:val="00990F2E"/>
    <w:rsid w:val="00991C78"/>
    <w:rsid w:val="009925F8"/>
    <w:rsid w:val="00992C15"/>
    <w:rsid w:val="00995A03"/>
    <w:rsid w:val="009961E1"/>
    <w:rsid w:val="009964C9"/>
    <w:rsid w:val="00996619"/>
    <w:rsid w:val="009972E1"/>
    <w:rsid w:val="00997CD2"/>
    <w:rsid w:val="009A107B"/>
    <w:rsid w:val="009A305D"/>
    <w:rsid w:val="009A306A"/>
    <w:rsid w:val="009A36D7"/>
    <w:rsid w:val="009A3EB1"/>
    <w:rsid w:val="009A49D5"/>
    <w:rsid w:val="009A4DCE"/>
    <w:rsid w:val="009B0CBF"/>
    <w:rsid w:val="009B0F0C"/>
    <w:rsid w:val="009B2BE4"/>
    <w:rsid w:val="009B3AD9"/>
    <w:rsid w:val="009B3D14"/>
    <w:rsid w:val="009B3FB7"/>
    <w:rsid w:val="009B766D"/>
    <w:rsid w:val="009B7DDC"/>
    <w:rsid w:val="009B7F1F"/>
    <w:rsid w:val="009C1049"/>
    <w:rsid w:val="009C1493"/>
    <w:rsid w:val="009C157F"/>
    <w:rsid w:val="009C3595"/>
    <w:rsid w:val="009C48AF"/>
    <w:rsid w:val="009C49C8"/>
    <w:rsid w:val="009C5BE2"/>
    <w:rsid w:val="009C6AC2"/>
    <w:rsid w:val="009C774C"/>
    <w:rsid w:val="009D23CF"/>
    <w:rsid w:val="009D2693"/>
    <w:rsid w:val="009D4973"/>
    <w:rsid w:val="009D4D27"/>
    <w:rsid w:val="009D5819"/>
    <w:rsid w:val="009D6784"/>
    <w:rsid w:val="009D7430"/>
    <w:rsid w:val="009D7FE4"/>
    <w:rsid w:val="009E0085"/>
    <w:rsid w:val="009E092D"/>
    <w:rsid w:val="009E1518"/>
    <w:rsid w:val="009E351A"/>
    <w:rsid w:val="009E36FF"/>
    <w:rsid w:val="009E401B"/>
    <w:rsid w:val="009E4464"/>
    <w:rsid w:val="009E5232"/>
    <w:rsid w:val="009E70CA"/>
    <w:rsid w:val="009E7B07"/>
    <w:rsid w:val="009F057B"/>
    <w:rsid w:val="009F14A8"/>
    <w:rsid w:val="009F1D51"/>
    <w:rsid w:val="009F4FDA"/>
    <w:rsid w:val="009F6AC5"/>
    <w:rsid w:val="009F7972"/>
    <w:rsid w:val="009F7F1E"/>
    <w:rsid w:val="00A003CF"/>
    <w:rsid w:val="00A005EA"/>
    <w:rsid w:val="00A032FE"/>
    <w:rsid w:val="00A03630"/>
    <w:rsid w:val="00A0414A"/>
    <w:rsid w:val="00A059C1"/>
    <w:rsid w:val="00A10811"/>
    <w:rsid w:val="00A11A57"/>
    <w:rsid w:val="00A12D89"/>
    <w:rsid w:val="00A13A35"/>
    <w:rsid w:val="00A159F2"/>
    <w:rsid w:val="00A15D95"/>
    <w:rsid w:val="00A169F5"/>
    <w:rsid w:val="00A171D2"/>
    <w:rsid w:val="00A20622"/>
    <w:rsid w:val="00A2150D"/>
    <w:rsid w:val="00A2358F"/>
    <w:rsid w:val="00A26A69"/>
    <w:rsid w:val="00A27739"/>
    <w:rsid w:val="00A27C53"/>
    <w:rsid w:val="00A30B85"/>
    <w:rsid w:val="00A30C2A"/>
    <w:rsid w:val="00A30E69"/>
    <w:rsid w:val="00A31FC4"/>
    <w:rsid w:val="00A321CE"/>
    <w:rsid w:val="00A3256A"/>
    <w:rsid w:val="00A3290D"/>
    <w:rsid w:val="00A34468"/>
    <w:rsid w:val="00A35827"/>
    <w:rsid w:val="00A36D68"/>
    <w:rsid w:val="00A40530"/>
    <w:rsid w:val="00A40ABE"/>
    <w:rsid w:val="00A41C5A"/>
    <w:rsid w:val="00A44EA2"/>
    <w:rsid w:val="00A45125"/>
    <w:rsid w:val="00A4648C"/>
    <w:rsid w:val="00A47E94"/>
    <w:rsid w:val="00A5030F"/>
    <w:rsid w:val="00A504CE"/>
    <w:rsid w:val="00A5271A"/>
    <w:rsid w:val="00A55F6E"/>
    <w:rsid w:val="00A56887"/>
    <w:rsid w:val="00A60EC2"/>
    <w:rsid w:val="00A648BD"/>
    <w:rsid w:val="00A64B08"/>
    <w:rsid w:val="00A67BBD"/>
    <w:rsid w:val="00A67CCF"/>
    <w:rsid w:val="00A700BA"/>
    <w:rsid w:val="00A70E69"/>
    <w:rsid w:val="00A71431"/>
    <w:rsid w:val="00A725EF"/>
    <w:rsid w:val="00A72F1E"/>
    <w:rsid w:val="00A75E59"/>
    <w:rsid w:val="00A760C1"/>
    <w:rsid w:val="00A766C3"/>
    <w:rsid w:val="00A81D30"/>
    <w:rsid w:val="00A82237"/>
    <w:rsid w:val="00A83D76"/>
    <w:rsid w:val="00A91A74"/>
    <w:rsid w:val="00A92066"/>
    <w:rsid w:val="00A927D2"/>
    <w:rsid w:val="00A97891"/>
    <w:rsid w:val="00AA0969"/>
    <w:rsid w:val="00AA0B69"/>
    <w:rsid w:val="00AB117F"/>
    <w:rsid w:val="00AB235E"/>
    <w:rsid w:val="00AB3788"/>
    <w:rsid w:val="00AB4394"/>
    <w:rsid w:val="00AB5038"/>
    <w:rsid w:val="00AB5C56"/>
    <w:rsid w:val="00AB6659"/>
    <w:rsid w:val="00AB7C08"/>
    <w:rsid w:val="00AC08DF"/>
    <w:rsid w:val="00AC1764"/>
    <w:rsid w:val="00AC3721"/>
    <w:rsid w:val="00AC66B9"/>
    <w:rsid w:val="00AC6DC0"/>
    <w:rsid w:val="00AD0749"/>
    <w:rsid w:val="00AD0C34"/>
    <w:rsid w:val="00AD13BC"/>
    <w:rsid w:val="00AD18E4"/>
    <w:rsid w:val="00AD47D4"/>
    <w:rsid w:val="00AD4C61"/>
    <w:rsid w:val="00AE07E6"/>
    <w:rsid w:val="00AE5894"/>
    <w:rsid w:val="00AF2121"/>
    <w:rsid w:val="00AF2D10"/>
    <w:rsid w:val="00AF393F"/>
    <w:rsid w:val="00AF4A4A"/>
    <w:rsid w:val="00AF5D07"/>
    <w:rsid w:val="00B00290"/>
    <w:rsid w:val="00B02BA4"/>
    <w:rsid w:val="00B03B4E"/>
    <w:rsid w:val="00B04069"/>
    <w:rsid w:val="00B0518A"/>
    <w:rsid w:val="00B05564"/>
    <w:rsid w:val="00B05F3E"/>
    <w:rsid w:val="00B06C7D"/>
    <w:rsid w:val="00B11062"/>
    <w:rsid w:val="00B13F28"/>
    <w:rsid w:val="00B14989"/>
    <w:rsid w:val="00B15210"/>
    <w:rsid w:val="00B15223"/>
    <w:rsid w:val="00B152BF"/>
    <w:rsid w:val="00B17E81"/>
    <w:rsid w:val="00B21F26"/>
    <w:rsid w:val="00B21FC0"/>
    <w:rsid w:val="00B25870"/>
    <w:rsid w:val="00B35BDB"/>
    <w:rsid w:val="00B36903"/>
    <w:rsid w:val="00B371F2"/>
    <w:rsid w:val="00B41866"/>
    <w:rsid w:val="00B4368C"/>
    <w:rsid w:val="00B44DFC"/>
    <w:rsid w:val="00B46497"/>
    <w:rsid w:val="00B513A7"/>
    <w:rsid w:val="00B51BF8"/>
    <w:rsid w:val="00B54D93"/>
    <w:rsid w:val="00B55440"/>
    <w:rsid w:val="00B56EC6"/>
    <w:rsid w:val="00B60C82"/>
    <w:rsid w:val="00B60F75"/>
    <w:rsid w:val="00B61620"/>
    <w:rsid w:val="00B62348"/>
    <w:rsid w:val="00B62B8B"/>
    <w:rsid w:val="00B6535D"/>
    <w:rsid w:val="00B6792D"/>
    <w:rsid w:val="00B70864"/>
    <w:rsid w:val="00B71821"/>
    <w:rsid w:val="00B74C9C"/>
    <w:rsid w:val="00B74C9D"/>
    <w:rsid w:val="00B74F20"/>
    <w:rsid w:val="00B76741"/>
    <w:rsid w:val="00B767F4"/>
    <w:rsid w:val="00B82AD4"/>
    <w:rsid w:val="00B8331E"/>
    <w:rsid w:val="00B845CB"/>
    <w:rsid w:val="00B845E2"/>
    <w:rsid w:val="00B846D1"/>
    <w:rsid w:val="00B861CC"/>
    <w:rsid w:val="00B8635B"/>
    <w:rsid w:val="00B87214"/>
    <w:rsid w:val="00B877C0"/>
    <w:rsid w:val="00B90FBA"/>
    <w:rsid w:val="00B917E5"/>
    <w:rsid w:val="00B94B0C"/>
    <w:rsid w:val="00B96C27"/>
    <w:rsid w:val="00B9779C"/>
    <w:rsid w:val="00B97E48"/>
    <w:rsid w:val="00BA08DC"/>
    <w:rsid w:val="00BA1744"/>
    <w:rsid w:val="00BA556E"/>
    <w:rsid w:val="00BA5E8C"/>
    <w:rsid w:val="00BA69C8"/>
    <w:rsid w:val="00BA6BEA"/>
    <w:rsid w:val="00BB1EDC"/>
    <w:rsid w:val="00BB251B"/>
    <w:rsid w:val="00BB2A76"/>
    <w:rsid w:val="00BB2E00"/>
    <w:rsid w:val="00BB52C7"/>
    <w:rsid w:val="00BB76E3"/>
    <w:rsid w:val="00BC0A97"/>
    <w:rsid w:val="00BC1907"/>
    <w:rsid w:val="00BC40AF"/>
    <w:rsid w:val="00BC491E"/>
    <w:rsid w:val="00BC6042"/>
    <w:rsid w:val="00BC605A"/>
    <w:rsid w:val="00BC6BB6"/>
    <w:rsid w:val="00BD0495"/>
    <w:rsid w:val="00BD0DF8"/>
    <w:rsid w:val="00BD29F0"/>
    <w:rsid w:val="00BD2F8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1098"/>
    <w:rsid w:val="00BF1270"/>
    <w:rsid w:val="00BF4723"/>
    <w:rsid w:val="00BF4FE9"/>
    <w:rsid w:val="00BF516A"/>
    <w:rsid w:val="00BF6977"/>
    <w:rsid w:val="00BF6C9E"/>
    <w:rsid w:val="00BF7597"/>
    <w:rsid w:val="00C00195"/>
    <w:rsid w:val="00C01ED7"/>
    <w:rsid w:val="00C01F2B"/>
    <w:rsid w:val="00C02728"/>
    <w:rsid w:val="00C02CD1"/>
    <w:rsid w:val="00C03143"/>
    <w:rsid w:val="00C04577"/>
    <w:rsid w:val="00C04986"/>
    <w:rsid w:val="00C04A57"/>
    <w:rsid w:val="00C067EA"/>
    <w:rsid w:val="00C077DA"/>
    <w:rsid w:val="00C10FE9"/>
    <w:rsid w:val="00C119AE"/>
    <w:rsid w:val="00C12AFE"/>
    <w:rsid w:val="00C13C66"/>
    <w:rsid w:val="00C13DB7"/>
    <w:rsid w:val="00C1401B"/>
    <w:rsid w:val="00C1425D"/>
    <w:rsid w:val="00C16875"/>
    <w:rsid w:val="00C17ADD"/>
    <w:rsid w:val="00C20650"/>
    <w:rsid w:val="00C22980"/>
    <w:rsid w:val="00C234A6"/>
    <w:rsid w:val="00C26F8E"/>
    <w:rsid w:val="00C34108"/>
    <w:rsid w:val="00C36BC2"/>
    <w:rsid w:val="00C37224"/>
    <w:rsid w:val="00C37B96"/>
    <w:rsid w:val="00C40E16"/>
    <w:rsid w:val="00C422D6"/>
    <w:rsid w:val="00C4294C"/>
    <w:rsid w:val="00C4348D"/>
    <w:rsid w:val="00C44CC2"/>
    <w:rsid w:val="00C452E9"/>
    <w:rsid w:val="00C5137E"/>
    <w:rsid w:val="00C53372"/>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738"/>
    <w:rsid w:val="00C74D28"/>
    <w:rsid w:val="00C77F12"/>
    <w:rsid w:val="00C80667"/>
    <w:rsid w:val="00C81D4B"/>
    <w:rsid w:val="00C823C4"/>
    <w:rsid w:val="00C828C4"/>
    <w:rsid w:val="00C829BD"/>
    <w:rsid w:val="00C82F9B"/>
    <w:rsid w:val="00C843C0"/>
    <w:rsid w:val="00C8546B"/>
    <w:rsid w:val="00C86D34"/>
    <w:rsid w:val="00C873A2"/>
    <w:rsid w:val="00C90E00"/>
    <w:rsid w:val="00C925C4"/>
    <w:rsid w:val="00C933BA"/>
    <w:rsid w:val="00C935BD"/>
    <w:rsid w:val="00C97C94"/>
    <w:rsid w:val="00CA1C1B"/>
    <w:rsid w:val="00CA36EF"/>
    <w:rsid w:val="00CA3E60"/>
    <w:rsid w:val="00CA4ABB"/>
    <w:rsid w:val="00CA68C1"/>
    <w:rsid w:val="00CB1F74"/>
    <w:rsid w:val="00CB316A"/>
    <w:rsid w:val="00CB3CD6"/>
    <w:rsid w:val="00CB5FD7"/>
    <w:rsid w:val="00CB64A6"/>
    <w:rsid w:val="00CB762D"/>
    <w:rsid w:val="00CB77EB"/>
    <w:rsid w:val="00CC1784"/>
    <w:rsid w:val="00CC1E0F"/>
    <w:rsid w:val="00CC47F4"/>
    <w:rsid w:val="00CC4822"/>
    <w:rsid w:val="00CC4F1C"/>
    <w:rsid w:val="00CC50AB"/>
    <w:rsid w:val="00CC5E40"/>
    <w:rsid w:val="00CC6C79"/>
    <w:rsid w:val="00CD7788"/>
    <w:rsid w:val="00CD7BAE"/>
    <w:rsid w:val="00CE0E16"/>
    <w:rsid w:val="00CE0F2A"/>
    <w:rsid w:val="00CE32B2"/>
    <w:rsid w:val="00CE38D9"/>
    <w:rsid w:val="00CE53FD"/>
    <w:rsid w:val="00CE58FA"/>
    <w:rsid w:val="00CE5DCB"/>
    <w:rsid w:val="00CE603A"/>
    <w:rsid w:val="00CF0D93"/>
    <w:rsid w:val="00CF1812"/>
    <w:rsid w:val="00CF1E16"/>
    <w:rsid w:val="00CF310E"/>
    <w:rsid w:val="00CF38F9"/>
    <w:rsid w:val="00CF4088"/>
    <w:rsid w:val="00CF63B3"/>
    <w:rsid w:val="00CF6CE6"/>
    <w:rsid w:val="00CF716C"/>
    <w:rsid w:val="00CF7C97"/>
    <w:rsid w:val="00D02182"/>
    <w:rsid w:val="00D02FF0"/>
    <w:rsid w:val="00D05D9F"/>
    <w:rsid w:val="00D06A2B"/>
    <w:rsid w:val="00D07FD7"/>
    <w:rsid w:val="00D105C6"/>
    <w:rsid w:val="00D12E94"/>
    <w:rsid w:val="00D1364E"/>
    <w:rsid w:val="00D1436A"/>
    <w:rsid w:val="00D20720"/>
    <w:rsid w:val="00D2129E"/>
    <w:rsid w:val="00D22872"/>
    <w:rsid w:val="00D26919"/>
    <w:rsid w:val="00D26B57"/>
    <w:rsid w:val="00D27A7C"/>
    <w:rsid w:val="00D3063B"/>
    <w:rsid w:val="00D308A3"/>
    <w:rsid w:val="00D310D5"/>
    <w:rsid w:val="00D31558"/>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0B4A"/>
    <w:rsid w:val="00D5322E"/>
    <w:rsid w:val="00D5329D"/>
    <w:rsid w:val="00D5504B"/>
    <w:rsid w:val="00D551E8"/>
    <w:rsid w:val="00D55E02"/>
    <w:rsid w:val="00D56479"/>
    <w:rsid w:val="00D57DA9"/>
    <w:rsid w:val="00D609DF"/>
    <w:rsid w:val="00D621FF"/>
    <w:rsid w:val="00D63837"/>
    <w:rsid w:val="00D63CB7"/>
    <w:rsid w:val="00D64489"/>
    <w:rsid w:val="00D66B98"/>
    <w:rsid w:val="00D67E1C"/>
    <w:rsid w:val="00D7003E"/>
    <w:rsid w:val="00D722DC"/>
    <w:rsid w:val="00D740C8"/>
    <w:rsid w:val="00D81F53"/>
    <w:rsid w:val="00D82539"/>
    <w:rsid w:val="00D825B2"/>
    <w:rsid w:val="00D848CD"/>
    <w:rsid w:val="00D92955"/>
    <w:rsid w:val="00D93B6A"/>
    <w:rsid w:val="00D949B3"/>
    <w:rsid w:val="00D94F5E"/>
    <w:rsid w:val="00D95865"/>
    <w:rsid w:val="00DA0180"/>
    <w:rsid w:val="00DA0274"/>
    <w:rsid w:val="00DA13D0"/>
    <w:rsid w:val="00DA1F3A"/>
    <w:rsid w:val="00DA2F76"/>
    <w:rsid w:val="00DA3405"/>
    <w:rsid w:val="00DA3673"/>
    <w:rsid w:val="00DA4DF0"/>
    <w:rsid w:val="00DA763B"/>
    <w:rsid w:val="00DA7EC9"/>
    <w:rsid w:val="00DB023D"/>
    <w:rsid w:val="00DB1027"/>
    <w:rsid w:val="00DB1D96"/>
    <w:rsid w:val="00DB2779"/>
    <w:rsid w:val="00DB33F9"/>
    <w:rsid w:val="00DB422B"/>
    <w:rsid w:val="00DB4ECC"/>
    <w:rsid w:val="00DB5C66"/>
    <w:rsid w:val="00DB5EAB"/>
    <w:rsid w:val="00DC02B9"/>
    <w:rsid w:val="00DC099C"/>
    <w:rsid w:val="00DC156C"/>
    <w:rsid w:val="00DC33EB"/>
    <w:rsid w:val="00DC356D"/>
    <w:rsid w:val="00DC3594"/>
    <w:rsid w:val="00DC3FF1"/>
    <w:rsid w:val="00DC591D"/>
    <w:rsid w:val="00DD0E66"/>
    <w:rsid w:val="00DD129B"/>
    <w:rsid w:val="00DD1E79"/>
    <w:rsid w:val="00DD69D7"/>
    <w:rsid w:val="00DD7C1A"/>
    <w:rsid w:val="00DD7EC0"/>
    <w:rsid w:val="00DE04D6"/>
    <w:rsid w:val="00DE1BCE"/>
    <w:rsid w:val="00DE1FC1"/>
    <w:rsid w:val="00DE230B"/>
    <w:rsid w:val="00DE273B"/>
    <w:rsid w:val="00DE4555"/>
    <w:rsid w:val="00DE5271"/>
    <w:rsid w:val="00DE5B3F"/>
    <w:rsid w:val="00DE5D46"/>
    <w:rsid w:val="00DE6EF5"/>
    <w:rsid w:val="00DE7F77"/>
    <w:rsid w:val="00DF1384"/>
    <w:rsid w:val="00DF23A5"/>
    <w:rsid w:val="00DF382D"/>
    <w:rsid w:val="00DF46ED"/>
    <w:rsid w:val="00DF69BB"/>
    <w:rsid w:val="00E0090C"/>
    <w:rsid w:val="00E00C8A"/>
    <w:rsid w:val="00E01E4E"/>
    <w:rsid w:val="00E02046"/>
    <w:rsid w:val="00E03797"/>
    <w:rsid w:val="00E0462A"/>
    <w:rsid w:val="00E05118"/>
    <w:rsid w:val="00E054AC"/>
    <w:rsid w:val="00E06F11"/>
    <w:rsid w:val="00E07092"/>
    <w:rsid w:val="00E076EE"/>
    <w:rsid w:val="00E13803"/>
    <w:rsid w:val="00E14513"/>
    <w:rsid w:val="00E14EB6"/>
    <w:rsid w:val="00E1508B"/>
    <w:rsid w:val="00E161B2"/>
    <w:rsid w:val="00E16714"/>
    <w:rsid w:val="00E1771C"/>
    <w:rsid w:val="00E20641"/>
    <w:rsid w:val="00E21686"/>
    <w:rsid w:val="00E226C4"/>
    <w:rsid w:val="00E23559"/>
    <w:rsid w:val="00E30B0F"/>
    <w:rsid w:val="00E30B76"/>
    <w:rsid w:val="00E30E4C"/>
    <w:rsid w:val="00E30F62"/>
    <w:rsid w:val="00E316DB"/>
    <w:rsid w:val="00E320DD"/>
    <w:rsid w:val="00E322E2"/>
    <w:rsid w:val="00E3248B"/>
    <w:rsid w:val="00E34200"/>
    <w:rsid w:val="00E35518"/>
    <w:rsid w:val="00E37A64"/>
    <w:rsid w:val="00E405DF"/>
    <w:rsid w:val="00E405F3"/>
    <w:rsid w:val="00E42F6C"/>
    <w:rsid w:val="00E449F2"/>
    <w:rsid w:val="00E45906"/>
    <w:rsid w:val="00E45D1C"/>
    <w:rsid w:val="00E46C32"/>
    <w:rsid w:val="00E47912"/>
    <w:rsid w:val="00E507AA"/>
    <w:rsid w:val="00E52965"/>
    <w:rsid w:val="00E640CD"/>
    <w:rsid w:val="00E64CA8"/>
    <w:rsid w:val="00E65065"/>
    <w:rsid w:val="00E66473"/>
    <w:rsid w:val="00E67788"/>
    <w:rsid w:val="00E679FC"/>
    <w:rsid w:val="00E70C57"/>
    <w:rsid w:val="00E70E72"/>
    <w:rsid w:val="00E71C35"/>
    <w:rsid w:val="00E74AA6"/>
    <w:rsid w:val="00E75E62"/>
    <w:rsid w:val="00E767D9"/>
    <w:rsid w:val="00E76C0A"/>
    <w:rsid w:val="00E80B56"/>
    <w:rsid w:val="00E83374"/>
    <w:rsid w:val="00E83F58"/>
    <w:rsid w:val="00E87852"/>
    <w:rsid w:val="00E87B6A"/>
    <w:rsid w:val="00E901E8"/>
    <w:rsid w:val="00E92687"/>
    <w:rsid w:val="00E92FF3"/>
    <w:rsid w:val="00E94536"/>
    <w:rsid w:val="00E951A6"/>
    <w:rsid w:val="00E957E5"/>
    <w:rsid w:val="00E960D2"/>
    <w:rsid w:val="00E96526"/>
    <w:rsid w:val="00E970FF"/>
    <w:rsid w:val="00EA46D1"/>
    <w:rsid w:val="00EA739F"/>
    <w:rsid w:val="00EB1208"/>
    <w:rsid w:val="00EB13CC"/>
    <w:rsid w:val="00EB426A"/>
    <w:rsid w:val="00EB48B9"/>
    <w:rsid w:val="00EC2153"/>
    <w:rsid w:val="00EC3375"/>
    <w:rsid w:val="00EC35E4"/>
    <w:rsid w:val="00EC36BE"/>
    <w:rsid w:val="00EC3700"/>
    <w:rsid w:val="00EC403C"/>
    <w:rsid w:val="00EC45AB"/>
    <w:rsid w:val="00EC5B1A"/>
    <w:rsid w:val="00EC64CD"/>
    <w:rsid w:val="00EC7968"/>
    <w:rsid w:val="00ED012E"/>
    <w:rsid w:val="00ED063D"/>
    <w:rsid w:val="00ED0C5D"/>
    <w:rsid w:val="00ED1D5D"/>
    <w:rsid w:val="00ED3214"/>
    <w:rsid w:val="00ED5169"/>
    <w:rsid w:val="00ED5446"/>
    <w:rsid w:val="00ED612B"/>
    <w:rsid w:val="00ED671D"/>
    <w:rsid w:val="00ED68C8"/>
    <w:rsid w:val="00ED7726"/>
    <w:rsid w:val="00EE2200"/>
    <w:rsid w:val="00EE2326"/>
    <w:rsid w:val="00EE3C2D"/>
    <w:rsid w:val="00EE550C"/>
    <w:rsid w:val="00EE6DD8"/>
    <w:rsid w:val="00EE744F"/>
    <w:rsid w:val="00EF24AB"/>
    <w:rsid w:val="00EF41B7"/>
    <w:rsid w:val="00EF4821"/>
    <w:rsid w:val="00EF4A86"/>
    <w:rsid w:val="00EF4B35"/>
    <w:rsid w:val="00EF5B9C"/>
    <w:rsid w:val="00EF6C77"/>
    <w:rsid w:val="00F009BC"/>
    <w:rsid w:val="00F10AA4"/>
    <w:rsid w:val="00F11338"/>
    <w:rsid w:val="00F1179E"/>
    <w:rsid w:val="00F12400"/>
    <w:rsid w:val="00F132D2"/>
    <w:rsid w:val="00F1358D"/>
    <w:rsid w:val="00F14B36"/>
    <w:rsid w:val="00F155B4"/>
    <w:rsid w:val="00F1598A"/>
    <w:rsid w:val="00F15A55"/>
    <w:rsid w:val="00F16B41"/>
    <w:rsid w:val="00F24DAA"/>
    <w:rsid w:val="00F2571A"/>
    <w:rsid w:val="00F270AD"/>
    <w:rsid w:val="00F30C35"/>
    <w:rsid w:val="00F31732"/>
    <w:rsid w:val="00F31C3A"/>
    <w:rsid w:val="00F32D47"/>
    <w:rsid w:val="00F32F98"/>
    <w:rsid w:val="00F33BC0"/>
    <w:rsid w:val="00F359E2"/>
    <w:rsid w:val="00F35A41"/>
    <w:rsid w:val="00F370B8"/>
    <w:rsid w:val="00F37496"/>
    <w:rsid w:val="00F40703"/>
    <w:rsid w:val="00F40A5C"/>
    <w:rsid w:val="00F42F4D"/>
    <w:rsid w:val="00F43A28"/>
    <w:rsid w:val="00F45C80"/>
    <w:rsid w:val="00F4688B"/>
    <w:rsid w:val="00F46FA8"/>
    <w:rsid w:val="00F4700E"/>
    <w:rsid w:val="00F47553"/>
    <w:rsid w:val="00F47956"/>
    <w:rsid w:val="00F57E75"/>
    <w:rsid w:val="00F6091C"/>
    <w:rsid w:val="00F62A12"/>
    <w:rsid w:val="00F655FF"/>
    <w:rsid w:val="00F70CC0"/>
    <w:rsid w:val="00F7158B"/>
    <w:rsid w:val="00F71A35"/>
    <w:rsid w:val="00F735CF"/>
    <w:rsid w:val="00F77D62"/>
    <w:rsid w:val="00F801D9"/>
    <w:rsid w:val="00F81BF6"/>
    <w:rsid w:val="00F8246A"/>
    <w:rsid w:val="00F8350F"/>
    <w:rsid w:val="00F84F51"/>
    <w:rsid w:val="00F877C0"/>
    <w:rsid w:val="00F877E8"/>
    <w:rsid w:val="00F9419E"/>
    <w:rsid w:val="00F94FAE"/>
    <w:rsid w:val="00F9581E"/>
    <w:rsid w:val="00F95D48"/>
    <w:rsid w:val="00FA0E87"/>
    <w:rsid w:val="00FA0F43"/>
    <w:rsid w:val="00FA1EDA"/>
    <w:rsid w:val="00FA2640"/>
    <w:rsid w:val="00FA2882"/>
    <w:rsid w:val="00FA40A9"/>
    <w:rsid w:val="00FA53AF"/>
    <w:rsid w:val="00FA5838"/>
    <w:rsid w:val="00FA7461"/>
    <w:rsid w:val="00FA7A7A"/>
    <w:rsid w:val="00FB0A84"/>
    <w:rsid w:val="00FB15A0"/>
    <w:rsid w:val="00FB3ED8"/>
    <w:rsid w:val="00FC0A23"/>
    <w:rsid w:val="00FC3EBF"/>
    <w:rsid w:val="00FC45B9"/>
    <w:rsid w:val="00FC610F"/>
    <w:rsid w:val="00FC67D7"/>
    <w:rsid w:val="00FC7B85"/>
    <w:rsid w:val="00FC7F89"/>
    <w:rsid w:val="00FD110B"/>
    <w:rsid w:val="00FD25A9"/>
    <w:rsid w:val="00FD2660"/>
    <w:rsid w:val="00FE02CA"/>
    <w:rsid w:val="00FE0CCE"/>
    <w:rsid w:val="00FE0CFB"/>
    <w:rsid w:val="00FE1525"/>
    <w:rsid w:val="00FE1D24"/>
    <w:rsid w:val="00FE2421"/>
    <w:rsid w:val="00FE245E"/>
    <w:rsid w:val="00FE3247"/>
    <w:rsid w:val="00FE431E"/>
    <w:rsid w:val="00FE5678"/>
    <w:rsid w:val="00FE6398"/>
    <w:rsid w:val="00FF69D9"/>
    <w:rsid w:val="00FF7E15"/>
    <w:rsid w:val="00FF7F68"/>
    <w:rsid w:val="33AE3F0D"/>
    <w:rsid w:val="515EF969"/>
    <w:rsid w:val="562F4FC6"/>
    <w:rsid w:val="630529BB"/>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62EECA21-FD05-4E5D-BD21-A3EAA2C3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325"/>
    <w:pPr>
      <w:spacing w:after="120"/>
      <w:jc w:val="center"/>
      <w:outlineLvl w:val="0"/>
    </w:pPr>
    <w:rPr>
      <w:rFonts w:cstheme="minorHAnsi"/>
      <w:b/>
      <w:bCs/>
    </w:rPr>
  </w:style>
  <w:style w:type="paragraph" w:styleId="Heading2">
    <w:name w:val="heading 2"/>
    <w:basedOn w:val="Normal"/>
    <w:next w:val="Normal"/>
    <w:link w:val="Heading2Char"/>
    <w:uiPriority w:val="9"/>
    <w:unhideWhenUsed/>
    <w:qFormat/>
    <w:rsid w:val="005F5325"/>
    <w:pPr>
      <w:spacing w:after="120"/>
      <w:outlineLvl w:val="1"/>
    </w:pPr>
    <w:rPr>
      <w:rFonts w:cstheme="minorHAnsi"/>
      <w:b/>
      <w:bCs/>
    </w:rPr>
  </w:style>
  <w:style w:type="paragraph" w:styleId="Heading3">
    <w:name w:val="heading 3"/>
    <w:basedOn w:val="ListParagraph"/>
    <w:next w:val="Normal"/>
    <w:link w:val="Heading3Char"/>
    <w:uiPriority w:val="9"/>
    <w:unhideWhenUsed/>
    <w:qFormat/>
    <w:rsid w:val="002D45FD"/>
    <w:pPr>
      <w:numPr>
        <w:numId w:val="31"/>
      </w:numPr>
      <w:spacing w:after="120"/>
      <w:contextualSpacing w:val="0"/>
      <w:outlineLvl w:val="2"/>
    </w:pPr>
    <w:rPr>
      <w:rFonts w:cstheme="minorHAnsi"/>
    </w:rPr>
  </w:style>
  <w:style w:type="paragraph" w:styleId="Heading4">
    <w:name w:val="heading 4"/>
    <w:basedOn w:val="Normal"/>
    <w:next w:val="Normal"/>
    <w:link w:val="Heading4Char"/>
    <w:uiPriority w:val="9"/>
    <w:semiHidden/>
    <w:unhideWhenUsed/>
    <w:qFormat/>
    <w:rsid w:val="00CB1F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styleId="EndnoteText">
    <w:name w:val="endnote text"/>
    <w:basedOn w:val="Normal"/>
    <w:link w:val="EndnoteTextChar"/>
    <w:uiPriority w:val="99"/>
    <w:unhideWhenUsed/>
    <w:rsid w:val="00F43A28"/>
    <w:pPr>
      <w:widowControl w:val="0"/>
      <w:autoSpaceDE w:val="0"/>
      <w:autoSpaceDN w:val="0"/>
      <w:spacing w:after="0" w:line="240" w:lineRule="auto"/>
    </w:pPr>
    <w:rPr>
      <w:rFonts w:ascii="Calibri" w:hAnsi="Calibri" w:cstheme="minorHAnsi"/>
      <w:sz w:val="20"/>
      <w:szCs w:val="20"/>
    </w:rPr>
  </w:style>
  <w:style w:type="character" w:customStyle="1" w:styleId="EndnoteTextChar">
    <w:name w:val="Endnote Text Char"/>
    <w:basedOn w:val="DefaultParagraphFont"/>
    <w:link w:val="EndnoteText"/>
    <w:uiPriority w:val="99"/>
    <w:rsid w:val="00F43A28"/>
    <w:rPr>
      <w:rFonts w:ascii="Calibri" w:hAnsi="Calibri" w:cstheme="minorHAnsi"/>
      <w:sz w:val="20"/>
      <w:szCs w:val="20"/>
    </w:rPr>
  </w:style>
  <w:style w:type="character" w:styleId="EndnoteReference">
    <w:name w:val="endnote reference"/>
    <w:basedOn w:val="DefaultParagraphFont"/>
    <w:uiPriority w:val="99"/>
    <w:semiHidden/>
    <w:unhideWhenUsed/>
    <w:rsid w:val="00F43A28"/>
    <w:rPr>
      <w:vertAlign w:val="superscript"/>
    </w:rPr>
  </w:style>
  <w:style w:type="character" w:customStyle="1" w:styleId="Heading4Char">
    <w:name w:val="Heading 4 Char"/>
    <w:basedOn w:val="DefaultParagraphFont"/>
    <w:link w:val="Heading4"/>
    <w:uiPriority w:val="9"/>
    <w:semiHidden/>
    <w:rsid w:val="00CB1F7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F5325"/>
    <w:rPr>
      <w:rFonts w:cstheme="minorHAnsi"/>
      <w:b/>
      <w:bCs/>
    </w:rPr>
  </w:style>
  <w:style w:type="paragraph" w:customStyle="1" w:styleId="DocID">
    <w:name w:val="DocID"/>
    <w:basedOn w:val="Normal"/>
    <w:qFormat/>
    <w:rsid w:val="008073AD"/>
    <w:pPr>
      <w:suppressAutoHyphens/>
      <w:spacing w:after="0" w:line="240" w:lineRule="auto"/>
    </w:pPr>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5F5325"/>
    <w:rPr>
      <w:rFonts w:cstheme="minorHAnsi"/>
      <w:b/>
      <w:bCs/>
    </w:rPr>
  </w:style>
  <w:style w:type="character" w:customStyle="1" w:styleId="Heading3Char">
    <w:name w:val="Heading 3 Char"/>
    <w:basedOn w:val="DefaultParagraphFont"/>
    <w:link w:val="Heading3"/>
    <w:uiPriority w:val="9"/>
    <w:rsid w:val="002D45FD"/>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bcbs.com/news-and-insights/white-paper/ambulatory-payment-classifications-site-neutral-analysis" TargetMode="External"/><Relationship Id="rId2" Type="http://schemas.openxmlformats.org/officeDocument/2006/relationships/hyperlink" Target="https://www.beckersasc.com/asc-coding-billing-and-collections/commercial-prices-78-higher-in-hopds-than-ascs-study/" TargetMode="External"/><Relationship Id="rId1" Type="http://schemas.openxmlformats.org/officeDocument/2006/relationships/hyperlink" Target="https://www.beckersasc.com/asc-coding-billing-and-collections/commercial-prices-78-higher-in-hopds-than-ascs-study/" TargetMode="External"/><Relationship Id="rId6" Type="http://schemas.openxmlformats.org/officeDocument/2006/relationships/hyperlink" Target="https://www.giejournal.org/action/showPdf?pii=S0016-5107%2824%2903164-X" TargetMode="External"/><Relationship Id="rId5" Type="http://schemas.openxmlformats.org/officeDocument/2006/relationships/hyperlink" Target="https://www.giejournal.org/action/showPdf?pii=S0016-5107%2824%2903164-X" TargetMode="External"/><Relationship Id="rId4" Type="http://schemas.openxmlformats.org/officeDocument/2006/relationships/hyperlink" Target="https://www.bcbs.com/news-and-insights/white-paper/ambulatory-payment-classifications-site-neutral-analys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mc.ncbi.nlm.nih.gov/articles/PMC12537103/" TargetMode="External"/><Relationship Id="rId2" Type="http://schemas.openxmlformats.org/officeDocument/2006/relationships/hyperlink" Target="https://pmc.ncbi.nlm.nih.gov/articles/PMC12537103/" TargetMode="External"/><Relationship Id="rId1" Type="http://schemas.openxmlformats.org/officeDocument/2006/relationships/hyperlink" Target="https://www.chiamass.gov/enrollment-in-health-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11068</CharactersWithSpaces>
  <SharedDoc>false</SharedDoc>
  <HLinks>
    <vt:vector size="18" baseType="variant">
      <vt:variant>
        <vt:i4>2293761</vt:i4>
      </vt:variant>
      <vt:variant>
        <vt:i4>0</vt:i4>
      </vt:variant>
      <vt:variant>
        <vt:i4>0</vt:i4>
      </vt:variant>
      <vt:variant>
        <vt:i4>5</vt:i4>
      </vt:variant>
      <vt:variant>
        <vt:lpwstr>mailto:DPH.DON@State.MA.US</vt:lpwstr>
      </vt:variant>
      <vt:variant>
        <vt:lpwstr/>
      </vt:variant>
      <vt:variant>
        <vt:i4>7471212</vt:i4>
      </vt:variant>
      <vt:variant>
        <vt:i4>3</vt:i4>
      </vt:variant>
      <vt:variant>
        <vt:i4>0</vt:i4>
      </vt:variant>
      <vt:variant>
        <vt:i4>5</vt:i4>
      </vt:variant>
      <vt:variant>
        <vt:lpwstr>https://www.bcbs.com/news-and-insights/white-paper/ambulatory-payment-classifications-site-neutral-analysis</vt:lpwstr>
      </vt:variant>
      <vt:variant>
        <vt:lpwstr/>
      </vt:variant>
      <vt:variant>
        <vt:i4>6094859</vt:i4>
      </vt:variant>
      <vt:variant>
        <vt:i4>0</vt:i4>
      </vt:variant>
      <vt:variant>
        <vt:i4>0</vt:i4>
      </vt:variant>
      <vt:variant>
        <vt:i4>5</vt:i4>
      </vt:variant>
      <vt:variant>
        <vt:lpwstr>https://www.beckersasc.com/asc-coding-billing-and-collections/commercial-prices-78-higher-in-hopds-than-ascs-study/</vt:lpwstr>
      </vt:variant>
      <vt:variant>
        <vt:lpwstr>:~:text=Commercial%20insurers%20paid%20an%20average,safely%20performed%20in%20ASC%20setting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Winchester Responses to Questions #2</dc:title>
  <cp:lastModifiedBy>Marks, Brett (DPH)</cp:lastModifiedBy>
  <cp:revision>7</cp:revision>
  <cp:lastPrinted>1900-01-01T06:00:00Z</cp:lastPrinted>
  <dcterms:created xsi:type="dcterms:W3CDTF">1900-01-01T06:00:00Z</dcterms:created>
  <dcterms:modified xsi:type="dcterms:W3CDTF">2026-02-20T14:11:00Z</dcterms:modified>
</cp:coreProperties>
</file>