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A601F" w14:textId="0E0957EC" w:rsidR="00D223EB" w:rsidRPr="00692126" w:rsidRDefault="00D223EB" w:rsidP="01CEC757">
      <w:pPr>
        <w:jc w:val="center"/>
        <w:rPr>
          <w:b/>
          <w:bCs/>
        </w:rPr>
      </w:pPr>
      <w:r w:rsidRPr="00692126">
        <w:rPr>
          <w:b/>
          <w:bCs/>
        </w:rPr>
        <w:t xml:space="preserve">APPLICANT </w:t>
      </w:r>
      <w:r w:rsidR="00DD77F0" w:rsidRPr="00692126">
        <w:rPr>
          <w:b/>
          <w:bCs/>
        </w:rPr>
        <w:t>RESPONSES</w:t>
      </w:r>
      <w:r w:rsidR="00026B6F" w:rsidRPr="00692126">
        <w:rPr>
          <w:b/>
          <w:bCs/>
        </w:rPr>
        <w:t xml:space="preserve"> </w:t>
      </w:r>
      <w:r w:rsidR="0050605F" w:rsidRPr="00692126">
        <w:rPr>
          <w:b/>
          <w:bCs/>
        </w:rPr>
        <w:t>2</w:t>
      </w:r>
    </w:p>
    <w:p w14:paraId="71F6355D" w14:textId="0EB083F5" w:rsidR="00D223EB" w:rsidRPr="00692126" w:rsidRDefault="00D223EB" w:rsidP="00D223EB">
      <w:pPr>
        <w:jc w:val="center"/>
        <w:rPr>
          <w:rFonts w:cstheme="minorHAnsi"/>
        </w:rPr>
      </w:pPr>
      <w:r w:rsidRPr="00692126">
        <w:rPr>
          <w:rFonts w:cstheme="minorHAnsi"/>
          <w:i/>
          <w:iCs/>
        </w:rPr>
        <w:t xml:space="preserve">Responses should be sent to </w:t>
      </w:r>
      <w:proofErr w:type="spellStart"/>
      <w:r w:rsidRPr="00692126">
        <w:rPr>
          <w:rFonts w:cstheme="minorHAnsi"/>
          <w:i/>
          <w:iCs/>
        </w:rPr>
        <w:t>DoN</w:t>
      </w:r>
      <w:proofErr w:type="spellEnd"/>
      <w:r w:rsidRPr="00692126">
        <w:rPr>
          <w:rFonts w:cstheme="minorHAnsi"/>
          <w:i/>
          <w:iCs/>
        </w:rPr>
        <w:t xml:space="preserve"> staff at </w:t>
      </w:r>
      <w:hyperlink r:id="rId11" w:history="1">
        <w:r w:rsidR="005C4EB9" w:rsidRPr="00692126">
          <w:rPr>
            <w:rStyle w:val="Hyperlink"/>
            <w:rFonts w:cstheme="minorHAnsi"/>
            <w:color w:val="auto"/>
          </w:rPr>
          <w:t>DPH.DON@mass.gov</w:t>
        </w:r>
      </w:hyperlink>
    </w:p>
    <w:tbl>
      <w:tblPr>
        <w:tblStyle w:val="TableGrid"/>
        <w:tblW w:w="0" w:type="auto"/>
        <w:jc w:val="center"/>
        <w:tblLook w:val="04A0" w:firstRow="1" w:lastRow="0" w:firstColumn="1" w:lastColumn="0" w:noHBand="0" w:noVBand="1"/>
      </w:tblPr>
      <w:tblGrid>
        <w:gridCol w:w="9350"/>
      </w:tblGrid>
      <w:tr w:rsidR="00D223EB" w:rsidRPr="00692126" w14:paraId="57106F2B" w14:textId="77777777" w:rsidTr="008B5D5E">
        <w:trPr>
          <w:jc w:val="center"/>
        </w:trPr>
        <w:tc>
          <w:tcPr>
            <w:tcW w:w="9350" w:type="dxa"/>
          </w:tcPr>
          <w:p w14:paraId="0D6A2228" w14:textId="77777777" w:rsidR="00D223EB" w:rsidRPr="00692126" w:rsidRDefault="00D223EB" w:rsidP="008B5D5E">
            <w:pPr>
              <w:rPr>
                <w:rFonts w:cstheme="minorHAnsi"/>
                <w:bCs/>
              </w:rPr>
            </w:pPr>
            <w:proofErr w:type="gramStart"/>
            <w:r w:rsidRPr="00692126">
              <w:rPr>
                <w:rFonts w:cstheme="minorHAnsi"/>
                <w:bCs/>
              </w:rPr>
              <w:t>While</w:t>
            </w:r>
            <w:proofErr w:type="gramEnd"/>
            <w:r w:rsidRPr="00692126">
              <w:rPr>
                <w:rFonts w:cstheme="minorHAnsi"/>
                <w:bCs/>
              </w:rPr>
              <w:t xml:space="preserve"> you may submit each answer as available, please </w:t>
            </w:r>
          </w:p>
          <w:p w14:paraId="3BAD0544" w14:textId="77777777" w:rsidR="00D223EB" w:rsidRPr="00692126" w:rsidRDefault="00D223EB" w:rsidP="00F27F11">
            <w:pPr>
              <w:pStyle w:val="ListParagraph"/>
              <w:numPr>
                <w:ilvl w:val="0"/>
                <w:numId w:val="1"/>
              </w:numPr>
              <w:rPr>
                <w:rFonts w:cstheme="minorHAnsi"/>
                <w:bCs/>
              </w:rPr>
            </w:pPr>
            <w:r w:rsidRPr="00692126">
              <w:rPr>
                <w:rFonts w:cstheme="minorHAnsi"/>
                <w:bCs/>
              </w:rPr>
              <w:t xml:space="preserve">List question number and question for each answer you provide </w:t>
            </w:r>
          </w:p>
          <w:p w14:paraId="77AFC609" w14:textId="1F813011" w:rsidR="00D223EB" w:rsidRPr="00692126" w:rsidRDefault="00D223EB" w:rsidP="00F27F11">
            <w:pPr>
              <w:pStyle w:val="ListParagraph"/>
              <w:numPr>
                <w:ilvl w:val="0"/>
                <w:numId w:val="1"/>
              </w:numPr>
              <w:rPr>
                <w:rFonts w:cstheme="minorHAnsi"/>
                <w:bCs/>
              </w:rPr>
            </w:pPr>
            <w:r w:rsidRPr="00692126">
              <w:rPr>
                <w:rFonts w:cstheme="minorHAnsi"/>
                <w:bCs/>
              </w:rPr>
              <w:t xml:space="preserve">Submit responses as a separate word document, using the above application title and number as a running header and page numbers in the footer </w:t>
            </w:r>
          </w:p>
          <w:p w14:paraId="2D4D3A49" w14:textId="7AF2D827" w:rsidR="00D223EB" w:rsidRPr="00692126" w:rsidRDefault="001E0B94" w:rsidP="00F27F11">
            <w:pPr>
              <w:pStyle w:val="ListParagraph"/>
              <w:numPr>
                <w:ilvl w:val="0"/>
                <w:numId w:val="1"/>
              </w:numPr>
              <w:rPr>
                <w:rFonts w:cstheme="minorHAnsi"/>
                <w:bCs/>
              </w:rPr>
            </w:pPr>
            <w:r w:rsidRPr="00692126">
              <w:rPr>
                <w:rFonts w:cstheme="minorHAnsi"/>
                <w:bCs/>
              </w:rPr>
              <w:t xml:space="preserve">We accept answers on a rolling </w:t>
            </w:r>
            <w:proofErr w:type="gramStart"/>
            <w:r w:rsidRPr="00692126">
              <w:rPr>
                <w:rFonts w:cstheme="minorHAnsi"/>
                <w:bCs/>
              </w:rPr>
              <w:t>basis</w:t>
            </w:r>
            <w:proofErr w:type="gramEnd"/>
            <w:r w:rsidRPr="00692126">
              <w:rPr>
                <w:rFonts w:cstheme="minorHAnsi"/>
                <w:bCs/>
              </w:rPr>
              <w:t xml:space="preserve"> however, w</w:t>
            </w:r>
            <w:r w:rsidR="00D223EB" w:rsidRPr="00692126">
              <w:rPr>
                <w:rFonts w:cstheme="minorHAnsi"/>
                <w:bCs/>
              </w:rPr>
              <w:t>hen providing the answer to the final question, submit all questions and answers in</w:t>
            </w:r>
            <w:r w:rsidRPr="00692126">
              <w:rPr>
                <w:rFonts w:cstheme="minorHAnsi"/>
                <w:bCs/>
              </w:rPr>
              <w:t xml:space="preserve"> order in</w:t>
            </w:r>
            <w:r w:rsidR="00D223EB" w:rsidRPr="00692126">
              <w:rPr>
                <w:rFonts w:cstheme="minorHAnsi"/>
                <w:bCs/>
              </w:rPr>
              <w:t xml:space="preserve"> one final document</w:t>
            </w:r>
            <w:r w:rsidRPr="00692126">
              <w:rPr>
                <w:rFonts w:cstheme="minorHAnsi"/>
                <w:bCs/>
              </w:rPr>
              <w:t>.</w:t>
            </w:r>
          </w:p>
          <w:p w14:paraId="552712FE" w14:textId="2E737CA2" w:rsidR="00D223EB" w:rsidRPr="00692126" w:rsidRDefault="00D223EB" w:rsidP="00F27F11">
            <w:pPr>
              <w:pStyle w:val="ListParagraph"/>
              <w:numPr>
                <w:ilvl w:val="0"/>
                <w:numId w:val="1"/>
              </w:numPr>
              <w:rPr>
                <w:rFonts w:cstheme="minorHAnsi"/>
                <w:b/>
              </w:rPr>
            </w:pPr>
            <w:r w:rsidRPr="00692126">
              <w:rPr>
                <w:rFonts w:cstheme="minorHAnsi"/>
                <w:bCs/>
              </w:rPr>
              <w:t xml:space="preserve">Submit responses in WORD or EXCEL; only use PDF’s if </w:t>
            </w:r>
            <w:proofErr w:type="gramStart"/>
            <w:r w:rsidRPr="00692126">
              <w:rPr>
                <w:rFonts w:cstheme="minorHAnsi"/>
                <w:bCs/>
              </w:rPr>
              <w:t>absolutely necessary</w:t>
            </w:r>
            <w:proofErr w:type="gramEnd"/>
            <w:r w:rsidRPr="00692126">
              <w:rPr>
                <w:rFonts w:cstheme="minorHAnsi"/>
                <w:bCs/>
              </w:rPr>
              <w:t xml:space="preserve">. </w:t>
            </w:r>
            <w:r w:rsidRPr="00692126">
              <w:rPr>
                <w:rFonts w:cstheme="minorHAnsi"/>
                <w:b/>
              </w:rPr>
              <w:t>Whenever possible, include a</w:t>
            </w:r>
            <w:r w:rsidR="001E0B94" w:rsidRPr="00692126">
              <w:rPr>
                <w:rFonts w:cstheme="minorHAnsi"/>
                <w:b/>
              </w:rPr>
              <w:t xml:space="preserve"> </w:t>
            </w:r>
            <w:r w:rsidRPr="00692126">
              <w:rPr>
                <w:rFonts w:cstheme="minorHAnsi"/>
                <w:b/>
              </w:rPr>
              <w:t>table</w:t>
            </w:r>
            <w:r w:rsidR="001E0B94" w:rsidRPr="00692126">
              <w:rPr>
                <w:rFonts w:cstheme="minorHAnsi"/>
                <w:b/>
              </w:rPr>
              <w:t xml:space="preserve"> in</w:t>
            </w:r>
            <w:r w:rsidRPr="00692126">
              <w:rPr>
                <w:rFonts w:cstheme="minorHAnsi"/>
                <w:b/>
              </w:rPr>
              <w:t xml:space="preserve"> </w:t>
            </w:r>
            <w:r w:rsidR="001E0B94" w:rsidRPr="00692126">
              <w:rPr>
                <w:rFonts w:cstheme="minorHAnsi"/>
                <w:b/>
              </w:rPr>
              <w:t xml:space="preserve">data format (NOT pdf or picture) </w:t>
            </w:r>
            <w:r w:rsidRPr="00692126">
              <w:rPr>
                <w:rFonts w:cstheme="minorHAnsi"/>
                <w:b/>
              </w:rPr>
              <w:t>with the response</w:t>
            </w:r>
            <w:r w:rsidR="001E0B94" w:rsidRPr="00692126">
              <w:rPr>
                <w:rFonts w:cstheme="minorHAnsi"/>
                <w:b/>
              </w:rPr>
              <w:t>.</w:t>
            </w:r>
          </w:p>
        </w:tc>
      </w:tr>
    </w:tbl>
    <w:p w14:paraId="2758094D" w14:textId="1C1631B9" w:rsidR="00032FF5" w:rsidRPr="00692126" w:rsidRDefault="00032FF5"/>
    <w:p w14:paraId="23F8BD40" w14:textId="00AE9B67" w:rsidR="000D0D41" w:rsidRPr="00692126" w:rsidRDefault="00380E08" w:rsidP="0056515A">
      <w:pPr>
        <w:rPr>
          <w:highlight w:val="yellow"/>
        </w:rPr>
      </w:pPr>
      <w:proofErr w:type="gramStart"/>
      <w:r w:rsidRPr="00692126">
        <w:t>In order for</w:t>
      </w:r>
      <w:proofErr w:type="gramEnd"/>
      <w:r w:rsidRPr="00692126">
        <w:t xml:space="preserve"> us to review this project in a timely manner, pleas</w:t>
      </w:r>
      <w:r w:rsidR="00684458" w:rsidRPr="00692126">
        <w:t>e</w:t>
      </w:r>
      <w:r w:rsidRPr="00692126">
        <w:t xml:space="preserve"> provide the responses by </w:t>
      </w:r>
      <w:r w:rsidR="0050605F" w:rsidRPr="00692126">
        <w:rPr>
          <w:b/>
          <w:bCs/>
        </w:rPr>
        <w:t xml:space="preserve">October </w:t>
      </w:r>
      <w:r w:rsidR="00B517FB" w:rsidRPr="00692126">
        <w:rPr>
          <w:b/>
          <w:bCs/>
        </w:rPr>
        <w:t>1</w:t>
      </w:r>
      <w:r w:rsidR="00D705B2" w:rsidRPr="00692126">
        <w:rPr>
          <w:b/>
          <w:bCs/>
        </w:rPr>
        <w:t>6</w:t>
      </w:r>
      <w:r w:rsidR="00B517FB" w:rsidRPr="00692126">
        <w:rPr>
          <w:b/>
          <w:bCs/>
        </w:rPr>
        <w:t>,</w:t>
      </w:r>
      <w:r w:rsidR="00113110" w:rsidRPr="00692126">
        <w:rPr>
          <w:b/>
          <w:bCs/>
        </w:rPr>
        <w:t xml:space="preserve"> 2024</w:t>
      </w:r>
      <w:r w:rsidRPr="00692126">
        <w:t>.</w:t>
      </w:r>
    </w:p>
    <w:p w14:paraId="230E4A6C" w14:textId="77777777" w:rsidR="00382F9A" w:rsidRPr="00692126" w:rsidRDefault="00382F9A" w:rsidP="00DF733C">
      <w:pPr>
        <w:spacing w:after="0" w:line="229" w:lineRule="exact"/>
        <w:rPr>
          <w:rStyle w:val="cf01"/>
          <w:rFonts w:asciiTheme="minorHAnsi" w:hAnsiTheme="minorHAnsi" w:cstheme="minorHAnsi"/>
          <w:sz w:val="24"/>
          <w:szCs w:val="24"/>
          <w:highlight w:val="yellow"/>
        </w:rPr>
      </w:pPr>
    </w:p>
    <w:p w14:paraId="04733AFA" w14:textId="616813BB" w:rsidR="00877A04" w:rsidRPr="00692126" w:rsidRDefault="00877A04" w:rsidP="005F637B">
      <w:pPr>
        <w:rPr>
          <w:rFonts w:cstheme="minorHAnsi"/>
          <w:b/>
          <w:bCs/>
          <w:sz w:val="24"/>
          <w:szCs w:val="24"/>
        </w:rPr>
      </w:pPr>
      <w:r w:rsidRPr="00692126">
        <w:rPr>
          <w:rFonts w:cstheme="minorHAnsi"/>
          <w:b/>
          <w:bCs/>
          <w:sz w:val="24"/>
          <w:szCs w:val="24"/>
        </w:rPr>
        <w:t>Project Description</w:t>
      </w:r>
    </w:p>
    <w:p w14:paraId="284438B9" w14:textId="1C1DBFC6" w:rsidR="007A1CBE" w:rsidRPr="00692126" w:rsidRDefault="00877A04" w:rsidP="00F27F11">
      <w:pPr>
        <w:pStyle w:val="ListParagraph"/>
        <w:numPr>
          <w:ilvl w:val="0"/>
          <w:numId w:val="2"/>
        </w:numPr>
        <w:spacing w:after="0" w:line="229" w:lineRule="exact"/>
        <w:rPr>
          <w:rFonts w:cstheme="minorHAnsi"/>
          <w:b/>
          <w:bCs/>
          <w:sz w:val="24"/>
          <w:szCs w:val="24"/>
        </w:rPr>
      </w:pPr>
      <w:r w:rsidRPr="00692126">
        <w:rPr>
          <w:rFonts w:cstheme="minorHAnsi"/>
          <w:b/>
          <w:bCs/>
          <w:sz w:val="24"/>
          <w:szCs w:val="24"/>
        </w:rPr>
        <w:t>Please define Vertical Treatment Unit</w:t>
      </w:r>
      <w:r w:rsidR="00270F6B" w:rsidRPr="00692126">
        <w:rPr>
          <w:rFonts w:cstheme="minorHAnsi"/>
          <w:b/>
          <w:bCs/>
          <w:sz w:val="24"/>
          <w:szCs w:val="24"/>
        </w:rPr>
        <w:t xml:space="preserve"> (Narrative, page 1)</w:t>
      </w:r>
      <w:r w:rsidR="009410A1" w:rsidRPr="00692126">
        <w:rPr>
          <w:rFonts w:cstheme="minorHAnsi"/>
          <w:b/>
          <w:bCs/>
          <w:sz w:val="24"/>
          <w:szCs w:val="24"/>
        </w:rPr>
        <w:t>.</w:t>
      </w:r>
    </w:p>
    <w:p w14:paraId="544B7667" w14:textId="77777777" w:rsidR="00692126" w:rsidRDefault="00692126" w:rsidP="009410A1">
      <w:pPr>
        <w:pStyle w:val="ListParagraph"/>
        <w:spacing w:after="0" w:line="229" w:lineRule="exact"/>
        <w:rPr>
          <w:rFonts w:cstheme="minorHAnsi"/>
          <w:sz w:val="24"/>
          <w:szCs w:val="24"/>
        </w:rPr>
      </w:pPr>
    </w:p>
    <w:p w14:paraId="4D9FC576" w14:textId="6E7E790E" w:rsidR="009410A1" w:rsidRPr="00692126" w:rsidRDefault="009410A1" w:rsidP="009410A1">
      <w:pPr>
        <w:pStyle w:val="ListParagraph"/>
        <w:spacing w:after="0" w:line="229" w:lineRule="exact"/>
        <w:rPr>
          <w:rFonts w:cstheme="minorHAnsi"/>
          <w:b/>
          <w:bCs/>
          <w:sz w:val="24"/>
          <w:szCs w:val="24"/>
        </w:rPr>
      </w:pPr>
      <w:r w:rsidRPr="00692126">
        <w:rPr>
          <w:rFonts w:cstheme="minorHAnsi"/>
          <w:sz w:val="24"/>
          <w:szCs w:val="24"/>
        </w:rPr>
        <w:t>This is an area that includes the use of recliner type chairs to</w:t>
      </w:r>
      <w:r w:rsidR="001131F8">
        <w:rPr>
          <w:rFonts w:cstheme="minorHAnsi"/>
          <w:sz w:val="24"/>
          <w:szCs w:val="24"/>
        </w:rPr>
        <w:t xml:space="preserve"> provide care rather than stretchers and dedicated private rooms. </w:t>
      </w:r>
      <w:r w:rsidRPr="00692126">
        <w:rPr>
          <w:rFonts w:cstheme="minorHAnsi"/>
          <w:sz w:val="24"/>
          <w:szCs w:val="24"/>
        </w:rPr>
        <w:t xml:space="preserve"> Patients who are determined to have the ability, based on acuity assigned at triage, to be able to sit in a chair to receive their care will be assigned to the Vertical Treatment Unit </w:t>
      </w:r>
      <w:proofErr w:type="gramStart"/>
      <w:r w:rsidRPr="00692126">
        <w:rPr>
          <w:rFonts w:cstheme="minorHAnsi"/>
          <w:sz w:val="24"/>
          <w:szCs w:val="24"/>
        </w:rPr>
        <w:t>in order to</w:t>
      </w:r>
      <w:proofErr w:type="gramEnd"/>
      <w:r w:rsidRPr="00692126">
        <w:rPr>
          <w:rFonts w:cstheme="minorHAnsi"/>
          <w:sz w:val="24"/>
          <w:szCs w:val="24"/>
        </w:rPr>
        <w:t xml:space="preserve"> maintain availability of the ED’s treatment beds. </w:t>
      </w:r>
      <w:r w:rsidR="001131F8">
        <w:rPr>
          <w:rFonts w:cstheme="minorHAnsi"/>
          <w:sz w:val="24"/>
          <w:szCs w:val="24"/>
        </w:rPr>
        <w:t xml:space="preserve">The use of a vertical treatment area allows the hospital to </w:t>
      </w:r>
      <w:r w:rsidR="001131F8" w:rsidRPr="00692126">
        <w:rPr>
          <w:rFonts w:cstheme="minorHAnsi"/>
          <w:sz w:val="24"/>
          <w:szCs w:val="24"/>
        </w:rPr>
        <w:t>reserve ED beds for higher acuity patients.</w:t>
      </w:r>
    </w:p>
    <w:p w14:paraId="45E63520" w14:textId="77777777" w:rsidR="00877A04" w:rsidRPr="00692126" w:rsidRDefault="00877A04" w:rsidP="005F637B">
      <w:pPr>
        <w:rPr>
          <w:rFonts w:cstheme="minorHAnsi"/>
          <w:b/>
          <w:bCs/>
          <w:sz w:val="24"/>
          <w:szCs w:val="24"/>
        </w:rPr>
      </w:pPr>
    </w:p>
    <w:p w14:paraId="07E78AAD" w14:textId="1A90A250" w:rsidR="00FA2CD1" w:rsidRPr="00692126" w:rsidRDefault="00382F9A" w:rsidP="0016111D">
      <w:pPr>
        <w:rPr>
          <w:rFonts w:cstheme="minorHAnsi"/>
          <w:b/>
          <w:bCs/>
          <w:sz w:val="24"/>
          <w:szCs w:val="24"/>
        </w:rPr>
      </w:pPr>
      <w:r w:rsidRPr="00692126">
        <w:rPr>
          <w:rFonts w:cstheme="minorHAnsi"/>
          <w:b/>
          <w:bCs/>
          <w:sz w:val="24"/>
          <w:szCs w:val="24"/>
        </w:rPr>
        <w:t>Factor 1a</w:t>
      </w:r>
      <w:r w:rsidR="00F017A9" w:rsidRPr="00692126">
        <w:rPr>
          <w:rFonts w:cstheme="minorHAnsi"/>
          <w:b/>
          <w:bCs/>
          <w:sz w:val="24"/>
          <w:szCs w:val="24"/>
        </w:rPr>
        <w:t>i</w:t>
      </w:r>
      <w:r w:rsidR="00C80102" w:rsidRPr="00692126">
        <w:rPr>
          <w:rFonts w:cstheme="minorHAnsi"/>
          <w:b/>
          <w:bCs/>
          <w:sz w:val="24"/>
          <w:szCs w:val="24"/>
        </w:rPr>
        <w:t>i</w:t>
      </w:r>
      <w:r w:rsidRPr="00692126">
        <w:rPr>
          <w:rFonts w:cstheme="minorHAnsi"/>
          <w:b/>
          <w:bCs/>
          <w:sz w:val="24"/>
          <w:szCs w:val="24"/>
        </w:rPr>
        <w:t xml:space="preserve">: Patient Panel </w:t>
      </w:r>
      <w:r w:rsidR="00C80102" w:rsidRPr="00692126">
        <w:rPr>
          <w:rFonts w:cstheme="minorHAnsi"/>
          <w:b/>
          <w:bCs/>
          <w:sz w:val="24"/>
          <w:szCs w:val="24"/>
        </w:rPr>
        <w:t>Need</w:t>
      </w:r>
    </w:p>
    <w:p w14:paraId="1A97AB41" w14:textId="77777777" w:rsidR="00FE1703" w:rsidRPr="00692126" w:rsidRDefault="008A1E06" w:rsidP="00F27F11">
      <w:pPr>
        <w:pStyle w:val="ListParagraph"/>
        <w:numPr>
          <w:ilvl w:val="0"/>
          <w:numId w:val="2"/>
        </w:numPr>
        <w:spacing w:after="0" w:line="229" w:lineRule="exact"/>
        <w:rPr>
          <w:rFonts w:cstheme="minorHAnsi"/>
          <w:b/>
          <w:bCs/>
          <w:sz w:val="24"/>
          <w:szCs w:val="24"/>
        </w:rPr>
      </w:pPr>
      <w:r w:rsidRPr="00692126">
        <w:rPr>
          <w:rFonts w:cstheme="minorHAnsi"/>
          <w:b/>
          <w:bCs/>
          <w:sz w:val="24"/>
          <w:szCs w:val="24"/>
        </w:rPr>
        <w:t xml:space="preserve">In the Narrative (table 4, page </w:t>
      </w:r>
      <w:r w:rsidR="005B6C38" w:rsidRPr="00692126">
        <w:rPr>
          <w:rFonts w:cstheme="minorHAnsi"/>
          <w:b/>
          <w:bCs/>
          <w:sz w:val="24"/>
          <w:szCs w:val="24"/>
        </w:rPr>
        <w:t>6)</w:t>
      </w:r>
      <w:r w:rsidR="00017924" w:rsidRPr="00692126">
        <w:rPr>
          <w:rFonts w:cstheme="minorHAnsi"/>
          <w:b/>
          <w:bCs/>
          <w:sz w:val="24"/>
          <w:szCs w:val="24"/>
        </w:rPr>
        <w:t xml:space="preserve"> notes an increase in ED visits</w:t>
      </w:r>
      <w:r w:rsidR="006B0381" w:rsidRPr="00692126">
        <w:rPr>
          <w:rFonts w:cstheme="minorHAnsi"/>
          <w:b/>
          <w:bCs/>
          <w:sz w:val="24"/>
          <w:szCs w:val="24"/>
        </w:rPr>
        <w:t xml:space="preserve">. Beyond the increase in population </w:t>
      </w:r>
      <w:r w:rsidR="0000383B" w:rsidRPr="00692126">
        <w:rPr>
          <w:rFonts w:cstheme="minorHAnsi"/>
          <w:b/>
          <w:bCs/>
          <w:sz w:val="24"/>
          <w:szCs w:val="24"/>
        </w:rPr>
        <w:t xml:space="preserve">already </w:t>
      </w:r>
      <w:r w:rsidR="006B0381" w:rsidRPr="00692126">
        <w:rPr>
          <w:rFonts w:cstheme="minorHAnsi"/>
          <w:b/>
          <w:bCs/>
          <w:sz w:val="24"/>
          <w:szCs w:val="24"/>
        </w:rPr>
        <w:t>noted in the Narrati</w:t>
      </w:r>
      <w:r w:rsidR="0000383B" w:rsidRPr="00692126">
        <w:rPr>
          <w:rFonts w:cstheme="minorHAnsi"/>
          <w:b/>
          <w:bCs/>
          <w:sz w:val="24"/>
          <w:szCs w:val="24"/>
        </w:rPr>
        <w:t>ve</w:t>
      </w:r>
      <w:r w:rsidR="00FE1703" w:rsidRPr="00692126">
        <w:rPr>
          <w:rFonts w:cstheme="minorHAnsi"/>
          <w:b/>
          <w:bCs/>
          <w:sz w:val="24"/>
          <w:szCs w:val="24"/>
        </w:rPr>
        <w:t>:</w:t>
      </w:r>
      <w:r w:rsidR="0000383B" w:rsidRPr="00692126">
        <w:rPr>
          <w:rFonts w:cstheme="minorHAnsi"/>
          <w:b/>
          <w:bCs/>
          <w:sz w:val="24"/>
          <w:szCs w:val="24"/>
        </w:rPr>
        <w:t xml:space="preserve"> </w:t>
      </w:r>
    </w:p>
    <w:p w14:paraId="7A7521F3" w14:textId="560F0DF7" w:rsidR="008A1E06" w:rsidRPr="00692126" w:rsidRDefault="00FE1703" w:rsidP="00F27F11">
      <w:pPr>
        <w:pStyle w:val="ListParagraph"/>
        <w:numPr>
          <w:ilvl w:val="1"/>
          <w:numId w:val="2"/>
        </w:numPr>
        <w:spacing w:after="0" w:line="229" w:lineRule="exact"/>
        <w:rPr>
          <w:rFonts w:cstheme="minorHAnsi"/>
          <w:b/>
          <w:bCs/>
          <w:sz w:val="24"/>
          <w:szCs w:val="24"/>
        </w:rPr>
      </w:pPr>
      <w:r w:rsidRPr="00692126">
        <w:rPr>
          <w:rFonts w:cstheme="minorHAnsi"/>
          <w:b/>
          <w:bCs/>
          <w:sz w:val="24"/>
          <w:szCs w:val="24"/>
        </w:rPr>
        <w:t>T</w:t>
      </w:r>
      <w:r w:rsidR="0000383B" w:rsidRPr="00692126">
        <w:rPr>
          <w:rFonts w:cstheme="minorHAnsi"/>
          <w:b/>
          <w:bCs/>
          <w:sz w:val="24"/>
          <w:szCs w:val="24"/>
        </w:rPr>
        <w:t xml:space="preserve">o what does the Applicant attribute the increase in </w:t>
      </w:r>
      <w:r w:rsidRPr="00692126">
        <w:rPr>
          <w:rFonts w:cstheme="minorHAnsi"/>
          <w:b/>
          <w:bCs/>
          <w:sz w:val="24"/>
          <w:szCs w:val="24"/>
        </w:rPr>
        <w:t xml:space="preserve">ED </w:t>
      </w:r>
      <w:r w:rsidR="0000383B" w:rsidRPr="00692126">
        <w:rPr>
          <w:rFonts w:cstheme="minorHAnsi"/>
          <w:b/>
          <w:bCs/>
          <w:sz w:val="24"/>
          <w:szCs w:val="24"/>
        </w:rPr>
        <w:t xml:space="preserve">visits? </w:t>
      </w:r>
    </w:p>
    <w:p w14:paraId="758CC8C4" w14:textId="77777777" w:rsidR="00CD00D7" w:rsidRPr="00692126" w:rsidRDefault="00CD00D7" w:rsidP="007A1CBE">
      <w:pPr>
        <w:pStyle w:val="ListParagraph"/>
        <w:spacing w:after="0" w:line="229" w:lineRule="exact"/>
        <w:ind w:left="2160"/>
        <w:rPr>
          <w:rFonts w:cstheme="minorHAnsi"/>
          <w:sz w:val="24"/>
          <w:szCs w:val="24"/>
        </w:rPr>
      </w:pPr>
    </w:p>
    <w:p w14:paraId="5ACEAA20" w14:textId="7BD3C9AA" w:rsidR="007A1CBE" w:rsidRPr="00692126" w:rsidRDefault="00754B9E" w:rsidP="00754B9E">
      <w:pPr>
        <w:spacing w:after="0" w:line="229" w:lineRule="exact"/>
        <w:ind w:left="1440"/>
        <w:jc w:val="both"/>
        <w:rPr>
          <w:rFonts w:cstheme="minorHAnsi"/>
          <w:sz w:val="24"/>
          <w:szCs w:val="24"/>
        </w:rPr>
      </w:pPr>
      <w:r w:rsidRPr="00692126">
        <w:rPr>
          <w:rFonts w:cstheme="minorHAnsi"/>
          <w:sz w:val="24"/>
          <w:szCs w:val="24"/>
        </w:rPr>
        <w:t>In addition to p</w:t>
      </w:r>
      <w:r w:rsidR="007A1CBE" w:rsidRPr="00692126">
        <w:rPr>
          <w:rFonts w:cstheme="minorHAnsi"/>
          <w:sz w:val="24"/>
          <w:szCs w:val="24"/>
        </w:rPr>
        <w:t>opulation growt</w:t>
      </w:r>
      <w:r w:rsidRPr="00692126">
        <w:rPr>
          <w:rFonts w:cstheme="minorHAnsi"/>
          <w:sz w:val="24"/>
          <w:szCs w:val="24"/>
        </w:rPr>
        <w:t xml:space="preserve">h, the Applicant attributes the increase in ED visits largely to the closure of Compass Medical in </w:t>
      </w:r>
      <w:r w:rsidR="0085462D">
        <w:rPr>
          <w:rFonts w:cstheme="minorHAnsi"/>
          <w:sz w:val="24"/>
          <w:szCs w:val="24"/>
        </w:rPr>
        <w:t>May 2023</w:t>
      </w:r>
      <w:r w:rsidRPr="00692126">
        <w:rPr>
          <w:rFonts w:cstheme="minorHAnsi"/>
          <w:sz w:val="24"/>
          <w:szCs w:val="24"/>
        </w:rPr>
        <w:t xml:space="preserve">, which left patients without access to their primary and specialty care providers. As a result, patients with acute medical needs turned to the Plymouth ED. Further compounding care access was the temporary closure of Brockton Hospital. Some of these patients will </w:t>
      </w:r>
      <w:proofErr w:type="gramStart"/>
      <w:r w:rsidRPr="00692126">
        <w:rPr>
          <w:rFonts w:cstheme="minorHAnsi"/>
          <w:sz w:val="24"/>
          <w:szCs w:val="24"/>
        </w:rPr>
        <w:t>chose</w:t>
      </w:r>
      <w:proofErr w:type="gramEnd"/>
      <w:r w:rsidRPr="00692126">
        <w:rPr>
          <w:rFonts w:cstheme="minorHAnsi"/>
          <w:sz w:val="24"/>
          <w:szCs w:val="24"/>
        </w:rPr>
        <w:t xml:space="preserve"> to remain within the BILH system, including</w:t>
      </w:r>
      <w:r w:rsidR="0085462D">
        <w:rPr>
          <w:rFonts w:cstheme="minorHAnsi"/>
          <w:sz w:val="24"/>
          <w:szCs w:val="24"/>
        </w:rPr>
        <w:t xml:space="preserve"> for obtaining</w:t>
      </w:r>
      <w:r w:rsidRPr="00692126">
        <w:rPr>
          <w:rFonts w:cstheme="minorHAnsi"/>
          <w:sz w:val="24"/>
          <w:szCs w:val="24"/>
        </w:rPr>
        <w:t xml:space="preserve"> emergency services. </w:t>
      </w:r>
    </w:p>
    <w:p w14:paraId="2F6E97C4" w14:textId="77777777" w:rsidR="007A1CBE" w:rsidRPr="00692126" w:rsidRDefault="007A1CBE" w:rsidP="007A1CBE">
      <w:pPr>
        <w:pStyle w:val="ListParagraph"/>
        <w:spacing w:after="0" w:line="229" w:lineRule="exact"/>
        <w:ind w:left="2160"/>
        <w:rPr>
          <w:rFonts w:cstheme="minorHAnsi"/>
          <w:sz w:val="24"/>
          <w:szCs w:val="24"/>
        </w:rPr>
      </w:pPr>
    </w:p>
    <w:p w14:paraId="2A72851B" w14:textId="731C1F6D" w:rsidR="00957545" w:rsidRPr="00692126" w:rsidRDefault="00D76093" w:rsidP="00F27F11">
      <w:pPr>
        <w:pStyle w:val="ListParagraph"/>
        <w:numPr>
          <w:ilvl w:val="1"/>
          <w:numId w:val="2"/>
        </w:numPr>
        <w:spacing w:after="0" w:line="229" w:lineRule="exact"/>
        <w:rPr>
          <w:rFonts w:cstheme="minorHAnsi"/>
          <w:b/>
          <w:bCs/>
          <w:sz w:val="24"/>
          <w:szCs w:val="24"/>
        </w:rPr>
      </w:pPr>
      <w:r w:rsidRPr="00692126">
        <w:rPr>
          <w:rFonts w:cstheme="minorHAnsi"/>
          <w:b/>
          <w:bCs/>
          <w:sz w:val="24"/>
          <w:szCs w:val="24"/>
        </w:rPr>
        <w:t>Are the patients being seen in the ED more appropriate to urgent care?</w:t>
      </w:r>
      <w:r w:rsidR="007A1CBE" w:rsidRPr="00692126">
        <w:rPr>
          <w:rFonts w:cstheme="minorHAnsi"/>
          <w:b/>
          <w:bCs/>
          <w:sz w:val="24"/>
          <w:szCs w:val="24"/>
        </w:rPr>
        <w:t xml:space="preserve"> </w:t>
      </w:r>
    </w:p>
    <w:p w14:paraId="18CFC6C9" w14:textId="77777777" w:rsidR="00692126" w:rsidRDefault="00692126" w:rsidP="00692126">
      <w:pPr>
        <w:pStyle w:val="ListParagraph"/>
        <w:spacing w:after="0" w:line="229" w:lineRule="exact"/>
        <w:ind w:left="1440"/>
        <w:rPr>
          <w:rFonts w:cstheme="minorHAnsi"/>
          <w:sz w:val="24"/>
          <w:szCs w:val="24"/>
        </w:rPr>
      </w:pPr>
    </w:p>
    <w:p w14:paraId="53C2F2CC" w14:textId="6F05DA12" w:rsidR="0085462D" w:rsidRPr="007B0FD2" w:rsidRDefault="00692126" w:rsidP="0085462D">
      <w:pPr>
        <w:pStyle w:val="ListParagraph"/>
        <w:spacing w:after="0" w:line="229" w:lineRule="exact"/>
        <w:ind w:left="1440"/>
        <w:jc w:val="both"/>
        <w:rPr>
          <w:rFonts w:cstheme="minorHAnsi"/>
          <w:sz w:val="24"/>
          <w:szCs w:val="24"/>
        </w:rPr>
      </w:pPr>
      <w:r w:rsidRPr="00692126">
        <w:rPr>
          <w:rFonts w:cstheme="minorHAnsi"/>
          <w:sz w:val="24"/>
          <w:szCs w:val="24"/>
        </w:rPr>
        <w:t xml:space="preserve">In 2024, only 14.4% of patients </w:t>
      </w:r>
      <w:r w:rsidR="0085462D">
        <w:rPr>
          <w:rFonts w:cstheme="minorHAnsi"/>
          <w:sz w:val="24"/>
          <w:szCs w:val="24"/>
        </w:rPr>
        <w:t xml:space="preserve">were categorized on the </w:t>
      </w:r>
      <w:r w:rsidR="0085462D" w:rsidRPr="00692126">
        <w:rPr>
          <w:rFonts w:cstheme="minorHAnsi"/>
          <w:sz w:val="24"/>
          <w:szCs w:val="24"/>
        </w:rPr>
        <w:t xml:space="preserve">Emergency Severity Index (ESI) </w:t>
      </w:r>
      <w:r w:rsidR="0085462D">
        <w:rPr>
          <w:rFonts w:cstheme="minorHAnsi"/>
          <w:sz w:val="24"/>
          <w:szCs w:val="24"/>
        </w:rPr>
        <w:t xml:space="preserve">as ESI </w:t>
      </w:r>
      <w:r w:rsidR="0085462D" w:rsidRPr="00692126">
        <w:rPr>
          <w:rFonts w:cstheme="minorHAnsi"/>
          <w:sz w:val="24"/>
          <w:szCs w:val="24"/>
        </w:rPr>
        <w:t>4 and 5</w:t>
      </w:r>
      <w:r w:rsidR="0085462D">
        <w:rPr>
          <w:rFonts w:cstheme="minorHAnsi"/>
          <w:sz w:val="24"/>
          <w:szCs w:val="24"/>
        </w:rPr>
        <w:t xml:space="preserve">, which are patients with low acuity needs. As detailed below, despite the increase in ED utilization, the percentage of patients categorized as ESI 4 and 5 has declined every year since 2020. Through these efforts, the number of low acuity patients has decreased from 19.1% of all ED patients in FY2020 to 14.4%. Moreover, approximately 800 fewer patients sought ED-level care for lower acuity conditions in FY2024 compared to FY2020 despite an increase of 7,000 more ED visits in FY2024 compared to FY2020. </w:t>
      </w:r>
    </w:p>
    <w:p w14:paraId="713413D3" w14:textId="78E962E8" w:rsidR="0085462D" w:rsidRDefault="0085462D" w:rsidP="0085462D">
      <w:pPr>
        <w:pStyle w:val="ListParagraph"/>
        <w:spacing w:after="0" w:line="229" w:lineRule="exact"/>
        <w:ind w:left="1440"/>
        <w:rPr>
          <w:rFonts w:cstheme="minorHAnsi"/>
          <w:sz w:val="24"/>
          <w:szCs w:val="24"/>
        </w:rPr>
      </w:pPr>
    </w:p>
    <w:p w14:paraId="0E0B1696" w14:textId="77777777" w:rsidR="0085462D" w:rsidRDefault="0085462D" w:rsidP="0085462D">
      <w:pPr>
        <w:pStyle w:val="ListParagraph"/>
        <w:spacing w:after="0" w:line="229" w:lineRule="exact"/>
        <w:ind w:left="1440"/>
        <w:rPr>
          <w:rFonts w:cstheme="minorHAnsi"/>
          <w:sz w:val="24"/>
          <w:szCs w:val="24"/>
        </w:rPr>
      </w:pPr>
    </w:p>
    <w:p w14:paraId="6D86F173" w14:textId="537A1882" w:rsidR="0085462D" w:rsidRPr="00692126" w:rsidRDefault="0085462D" w:rsidP="00713C43">
      <w:pPr>
        <w:pStyle w:val="ListParagraph"/>
        <w:spacing w:after="0" w:line="229" w:lineRule="exact"/>
        <w:ind w:left="1440"/>
        <w:rPr>
          <w:rFonts w:cstheme="minorHAnsi"/>
          <w:sz w:val="24"/>
          <w:szCs w:val="24"/>
        </w:rPr>
      </w:pPr>
      <w:r>
        <w:rPr>
          <w:rFonts w:cstheme="minorHAnsi"/>
          <w:sz w:val="24"/>
          <w:szCs w:val="24"/>
        </w:rPr>
        <w:lastRenderedPageBreak/>
        <w:t xml:space="preserve">The Hospital attributes this decline in low acuity ED visits to initiatives it has put into place to facilitate patients receiving care in the right setting. </w:t>
      </w:r>
    </w:p>
    <w:p w14:paraId="5260FD5A" w14:textId="77777777" w:rsidR="00713C43" w:rsidRDefault="00713C43" w:rsidP="007B0FD2">
      <w:pPr>
        <w:pStyle w:val="ListParagraph"/>
        <w:spacing w:after="0" w:line="229" w:lineRule="exact"/>
        <w:ind w:left="1440"/>
        <w:jc w:val="both"/>
        <w:rPr>
          <w:rFonts w:cstheme="minorHAnsi"/>
          <w:sz w:val="24"/>
          <w:szCs w:val="24"/>
        </w:rPr>
      </w:pPr>
    </w:p>
    <w:p w14:paraId="6712F479" w14:textId="36B24C75" w:rsidR="007B0FD2" w:rsidRDefault="00692126" w:rsidP="007B0FD2">
      <w:pPr>
        <w:pStyle w:val="ListParagraph"/>
        <w:spacing w:after="0" w:line="229" w:lineRule="exact"/>
        <w:ind w:left="1440"/>
        <w:jc w:val="both"/>
        <w:rPr>
          <w:rFonts w:cstheme="minorHAnsi"/>
          <w:sz w:val="24"/>
          <w:szCs w:val="24"/>
        </w:rPr>
      </w:pPr>
      <w:r>
        <w:rPr>
          <w:rFonts w:cstheme="minorHAnsi"/>
          <w:sz w:val="24"/>
          <w:szCs w:val="24"/>
        </w:rPr>
        <w:t xml:space="preserve">BID-Plymouth and the Applicant continue to provide </w:t>
      </w:r>
      <w:r w:rsidRPr="00692126">
        <w:rPr>
          <w:rFonts w:cstheme="minorHAnsi"/>
          <w:sz w:val="24"/>
          <w:szCs w:val="24"/>
        </w:rPr>
        <w:t>patient education in the primary care setting as well as the community setting on “where to go for what care”</w:t>
      </w:r>
      <w:r w:rsidR="00713C43">
        <w:rPr>
          <w:rFonts w:cstheme="minorHAnsi"/>
          <w:sz w:val="24"/>
          <w:szCs w:val="24"/>
        </w:rPr>
        <w:t>, including education specifically designed for new residents</w:t>
      </w:r>
      <w:r w:rsidRPr="00692126">
        <w:rPr>
          <w:rFonts w:cstheme="minorHAnsi"/>
          <w:sz w:val="24"/>
          <w:szCs w:val="24"/>
        </w:rPr>
        <w:t xml:space="preserve">.  </w:t>
      </w:r>
      <w:r w:rsidR="007B0FD2">
        <w:rPr>
          <w:rFonts w:cstheme="minorHAnsi"/>
          <w:sz w:val="24"/>
          <w:szCs w:val="24"/>
        </w:rPr>
        <w:t>The Hospital</w:t>
      </w:r>
      <w:r w:rsidRPr="00692126">
        <w:rPr>
          <w:rFonts w:cstheme="minorHAnsi"/>
          <w:sz w:val="24"/>
          <w:szCs w:val="24"/>
        </w:rPr>
        <w:t xml:space="preserve"> created a list of common </w:t>
      </w:r>
      <w:proofErr w:type="gramStart"/>
      <w:r w:rsidRPr="00692126">
        <w:rPr>
          <w:rFonts w:cstheme="minorHAnsi"/>
          <w:sz w:val="24"/>
          <w:szCs w:val="24"/>
        </w:rPr>
        <w:t>illness</w:t>
      </w:r>
      <w:proofErr w:type="gramEnd"/>
      <w:r w:rsidRPr="00692126">
        <w:rPr>
          <w:rFonts w:cstheme="minorHAnsi"/>
          <w:sz w:val="24"/>
          <w:szCs w:val="24"/>
        </w:rPr>
        <w:t xml:space="preserve"> and guidelines for the </w:t>
      </w:r>
      <w:r w:rsidR="0085462D">
        <w:rPr>
          <w:rFonts w:cstheme="minorHAnsi"/>
          <w:sz w:val="24"/>
          <w:szCs w:val="24"/>
        </w:rPr>
        <w:t xml:space="preserve">most appropriate </w:t>
      </w:r>
      <w:r w:rsidRPr="00692126">
        <w:rPr>
          <w:rFonts w:cstheme="minorHAnsi"/>
          <w:sz w:val="24"/>
          <w:szCs w:val="24"/>
        </w:rPr>
        <w:t>place to go for treatment if/when primary care is not available</w:t>
      </w:r>
      <w:r w:rsidR="007B0FD2">
        <w:rPr>
          <w:rFonts w:cstheme="minorHAnsi"/>
          <w:sz w:val="24"/>
          <w:szCs w:val="24"/>
        </w:rPr>
        <w:t xml:space="preserve">. </w:t>
      </w:r>
      <w:r w:rsidR="007B0FD2" w:rsidRPr="007B0FD2">
        <w:rPr>
          <w:rFonts w:cstheme="minorHAnsi"/>
          <w:sz w:val="24"/>
          <w:szCs w:val="24"/>
        </w:rPr>
        <w:t>Further, the Hospital hosts a</w:t>
      </w:r>
      <w:r w:rsidRPr="007B0FD2">
        <w:rPr>
          <w:rFonts w:cstheme="minorHAnsi"/>
          <w:sz w:val="24"/>
          <w:szCs w:val="24"/>
        </w:rPr>
        <w:t xml:space="preserve"> “House Calls” series, where physician leaders and administrators spend time with </w:t>
      </w:r>
      <w:r w:rsidR="0085462D">
        <w:rPr>
          <w:rFonts w:cstheme="minorHAnsi"/>
          <w:sz w:val="24"/>
          <w:szCs w:val="24"/>
        </w:rPr>
        <w:t>the community</w:t>
      </w:r>
      <w:r w:rsidR="0085462D" w:rsidRPr="007B0FD2">
        <w:rPr>
          <w:rFonts w:cstheme="minorHAnsi"/>
          <w:sz w:val="24"/>
          <w:szCs w:val="24"/>
        </w:rPr>
        <w:t xml:space="preserve"> </w:t>
      </w:r>
      <w:r w:rsidRPr="007B0FD2">
        <w:rPr>
          <w:rFonts w:cstheme="minorHAnsi"/>
          <w:sz w:val="24"/>
          <w:szCs w:val="24"/>
        </w:rPr>
        <w:t xml:space="preserve">in </w:t>
      </w:r>
      <w:r w:rsidR="007B0FD2" w:rsidRPr="007B0FD2">
        <w:rPr>
          <w:rFonts w:cstheme="minorHAnsi"/>
          <w:sz w:val="24"/>
          <w:szCs w:val="24"/>
        </w:rPr>
        <w:t xml:space="preserve">settings such as </w:t>
      </w:r>
      <w:r w:rsidRPr="007B0FD2">
        <w:rPr>
          <w:rFonts w:cstheme="minorHAnsi"/>
          <w:sz w:val="24"/>
          <w:szCs w:val="24"/>
        </w:rPr>
        <w:t>community centers, senior living facilities and librar</w:t>
      </w:r>
      <w:r w:rsidR="007B0FD2" w:rsidRPr="007B0FD2">
        <w:rPr>
          <w:rFonts w:cstheme="minorHAnsi"/>
          <w:sz w:val="24"/>
          <w:szCs w:val="24"/>
        </w:rPr>
        <w:t xml:space="preserve">ies. </w:t>
      </w:r>
      <w:r w:rsidRPr="007B0FD2">
        <w:rPr>
          <w:rFonts w:cstheme="minorHAnsi"/>
          <w:sz w:val="24"/>
          <w:szCs w:val="24"/>
        </w:rPr>
        <w:t>These events are educational and social</w:t>
      </w:r>
      <w:r w:rsidR="007B0FD2" w:rsidRPr="007B0FD2">
        <w:rPr>
          <w:rFonts w:cstheme="minorHAnsi"/>
          <w:sz w:val="24"/>
          <w:szCs w:val="24"/>
        </w:rPr>
        <w:t>,</w:t>
      </w:r>
      <w:r w:rsidRPr="007B0FD2">
        <w:rPr>
          <w:rFonts w:cstheme="minorHAnsi"/>
          <w:sz w:val="24"/>
          <w:szCs w:val="24"/>
        </w:rPr>
        <w:t xml:space="preserve"> </w:t>
      </w:r>
      <w:r w:rsidR="0085462D">
        <w:rPr>
          <w:rFonts w:cstheme="minorHAnsi"/>
          <w:sz w:val="24"/>
          <w:szCs w:val="24"/>
        </w:rPr>
        <w:t>providing</w:t>
      </w:r>
      <w:r w:rsidRPr="007B0FD2">
        <w:rPr>
          <w:rFonts w:cstheme="minorHAnsi"/>
          <w:sz w:val="24"/>
          <w:szCs w:val="24"/>
        </w:rPr>
        <w:t xml:space="preserve"> opportunities to re-educate the public </w:t>
      </w:r>
      <w:proofErr w:type="gramStart"/>
      <w:r w:rsidRPr="007B0FD2">
        <w:rPr>
          <w:rFonts w:cstheme="minorHAnsi"/>
          <w:sz w:val="24"/>
          <w:szCs w:val="24"/>
        </w:rPr>
        <w:t>on</w:t>
      </w:r>
      <w:proofErr w:type="gramEnd"/>
      <w:r w:rsidRPr="007B0FD2">
        <w:rPr>
          <w:rFonts w:cstheme="minorHAnsi"/>
          <w:sz w:val="24"/>
          <w:szCs w:val="24"/>
        </w:rPr>
        <w:t xml:space="preserve"> the best place </w:t>
      </w:r>
      <w:r w:rsidR="0085462D">
        <w:rPr>
          <w:rFonts w:cstheme="minorHAnsi"/>
          <w:sz w:val="24"/>
          <w:szCs w:val="24"/>
        </w:rPr>
        <w:t>for obtaining</w:t>
      </w:r>
      <w:r w:rsidRPr="007B0FD2">
        <w:rPr>
          <w:rFonts w:cstheme="minorHAnsi"/>
          <w:sz w:val="24"/>
          <w:szCs w:val="24"/>
        </w:rPr>
        <w:t xml:space="preserve"> after hours care.</w:t>
      </w:r>
      <w:r w:rsidR="007B0FD2">
        <w:rPr>
          <w:rFonts w:cstheme="minorHAnsi"/>
          <w:sz w:val="24"/>
          <w:szCs w:val="24"/>
        </w:rPr>
        <w:t xml:space="preserve"> </w:t>
      </w:r>
    </w:p>
    <w:p w14:paraId="099405AD" w14:textId="77777777" w:rsidR="007B0FD2" w:rsidRDefault="007B0FD2" w:rsidP="007B0FD2">
      <w:pPr>
        <w:pStyle w:val="ListParagraph"/>
        <w:spacing w:after="0" w:line="229" w:lineRule="exact"/>
        <w:ind w:left="1440"/>
        <w:jc w:val="both"/>
        <w:rPr>
          <w:rFonts w:cstheme="minorHAnsi"/>
          <w:sz w:val="24"/>
          <w:szCs w:val="24"/>
        </w:rPr>
      </w:pPr>
    </w:p>
    <w:p w14:paraId="09D45B43" w14:textId="77777777" w:rsidR="00D76093" w:rsidRPr="00692126" w:rsidRDefault="00D76093" w:rsidP="00D76093">
      <w:pPr>
        <w:spacing w:after="0" w:line="229" w:lineRule="exact"/>
        <w:ind w:left="1080"/>
        <w:rPr>
          <w:rFonts w:cstheme="minorHAnsi"/>
          <w:sz w:val="24"/>
          <w:szCs w:val="24"/>
        </w:rPr>
      </w:pPr>
    </w:p>
    <w:p w14:paraId="18FDE05E" w14:textId="28D7255E" w:rsidR="00EA177F" w:rsidRPr="00692126" w:rsidRDefault="00ED75C1" w:rsidP="00F27F11">
      <w:pPr>
        <w:pStyle w:val="ListParagraph"/>
        <w:numPr>
          <w:ilvl w:val="0"/>
          <w:numId w:val="2"/>
        </w:numPr>
        <w:spacing w:after="0" w:line="229" w:lineRule="exact"/>
        <w:rPr>
          <w:rFonts w:cstheme="minorHAnsi"/>
          <w:b/>
          <w:bCs/>
          <w:sz w:val="24"/>
          <w:szCs w:val="24"/>
        </w:rPr>
      </w:pPr>
      <w:r w:rsidRPr="00692126">
        <w:rPr>
          <w:rFonts w:cstheme="minorHAnsi"/>
          <w:b/>
          <w:bCs/>
          <w:sz w:val="24"/>
          <w:szCs w:val="24"/>
        </w:rPr>
        <w:t xml:space="preserve">Page 6 of the Narrative </w:t>
      </w:r>
      <w:proofErr w:type="gramStart"/>
      <w:r w:rsidRPr="00692126">
        <w:rPr>
          <w:rFonts w:cstheme="minorHAnsi"/>
          <w:b/>
          <w:bCs/>
          <w:sz w:val="24"/>
          <w:szCs w:val="24"/>
        </w:rPr>
        <w:t>references</w:t>
      </w:r>
      <w:proofErr w:type="gramEnd"/>
      <w:r w:rsidRPr="00692126">
        <w:rPr>
          <w:rFonts w:cstheme="minorHAnsi"/>
          <w:b/>
          <w:bCs/>
          <w:sz w:val="24"/>
          <w:szCs w:val="24"/>
        </w:rPr>
        <w:t xml:space="preserve"> patient acuity levels for ED visits. Please define:</w:t>
      </w:r>
      <w:r w:rsidR="001A0D95" w:rsidRPr="00692126">
        <w:rPr>
          <w:rFonts w:cstheme="minorHAnsi"/>
          <w:b/>
          <w:bCs/>
          <w:sz w:val="24"/>
          <w:szCs w:val="24"/>
        </w:rPr>
        <w:t xml:space="preserve"> </w:t>
      </w:r>
    </w:p>
    <w:p w14:paraId="72FC2329" w14:textId="427303AD" w:rsidR="0067116A" w:rsidRPr="00692126" w:rsidRDefault="0067116A" w:rsidP="00F27F11">
      <w:pPr>
        <w:pStyle w:val="ListParagraph"/>
        <w:numPr>
          <w:ilvl w:val="1"/>
          <w:numId w:val="2"/>
        </w:numPr>
        <w:spacing w:after="0" w:line="229" w:lineRule="exact"/>
        <w:rPr>
          <w:rFonts w:cstheme="minorHAnsi"/>
          <w:sz w:val="24"/>
          <w:szCs w:val="24"/>
        </w:rPr>
      </w:pPr>
      <w:r w:rsidRPr="00692126">
        <w:rPr>
          <w:rFonts w:cstheme="minorHAnsi"/>
          <w:sz w:val="24"/>
          <w:szCs w:val="24"/>
          <w:u w:val="single"/>
        </w:rPr>
        <w:t>Low Acuity patients</w:t>
      </w:r>
      <w:proofErr w:type="gramStart"/>
      <w:r w:rsidRPr="00692126">
        <w:rPr>
          <w:rFonts w:cstheme="minorHAnsi"/>
          <w:sz w:val="24"/>
          <w:szCs w:val="24"/>
        </w:rPr>
        <w:t xml:space="preserve">: </w:t>
      </w:r>
      <w:r w:rsidR="0085462D">
        <w:rPr>
          <w:rFonts w:cstheme="minorHAnsi"/>
          <w:sz w:val="24"/>
          <w:szCs w:val="24"/>
        </w:rPr>
        <w:t xml:space="preserve"> ESI</w:t>
      </w:r>
      <w:proofErr w:type="gramEnd"/>
      <w:r w:rsidR="0085462D">
        <w:rPr>
          <w:rFonts w:cstheme="minorHAnsi"/>
          <w:sz w:val="24"/>
          <w:szCs w:val="24"/>
        </w:rPr>
        <w:t xml:space="preserve"> 4 and 5</w:t>
      </w:r>
    </w:p>
    <w:p w14:paraId="5168D2D0" w14:textId="4E47832B" w:rsidR="0067116A" w:rsidRPr="00692126" w:rsidRDefault="0067116A" w:rsidP="00F27F11">
      <w:pPr>
        <w:pStyle w:val="ListParagraph"/>
        <w:numPr>
          <w:ilvl w:val="1"/>
          <w:numId w:val="2"/>
        </w:numPr>
        <w:spacing w:after="0" w:line="229" w:lineRule="exact"/>
        <w:rPr>
          <w:rFonts w:cstheme="minorHAnsi"/>
          <w:sz w:val="24"/>
          <w:szCs w:val="24"/>
        </w:rPr>
      </w:pPr>
      <w:r w:rsidRPr="00692126">
        <w:rPr>
          <w:rFonts w:cstheme="minorHAnsi"/>
          <w:sz w:val="24"/>
          <w:szCs w:val="24"/>
          <w:u w:val="single"/>
        </w:rPr>
        <w:t>Moderate Acuity patients</w:t>
      </w:r>
      <w:r w:rsidRPr="00692126">
        <w:rPr>
          <w:rFonts w:cstheme="minorHAnsi"/>
          <w:sz w:val="24"/>
          <w:szCs w:val="24"/>
        </w:rPr>
        <w:t>: ESI 2 and 3</w:t>
      </w:r>
    </w:p>
    <w:p w14:paraId="3D6C5FF6" w14:textId="168E7DE9" w:rsidR="0067116A" w:rsidRPr="00692126" w:rsidRDefault="0067116A" w:rsidP="00F27F11">
      <w:pPr>
        <w:pStyle w:val="ListParagraph"/>
        <w:numPr>
          <w:ilvl w:val="1"/>
          <w:numId w:val="2"/>
        </w:numPr>
        <w:spacing w:after="0" w:line="229" w:lineRule="exact"/>
        <w:rPr>
          <w:rFonts w:cstheme="minorHAnsi"/>
          <w:sz w:val="24"/>
          <w:szCs w:val="24"/>
        </w:rPr>
      </w:pPr>
      <w:r w:rsidRPr="00692126">
        <w:rPr>
          <w:rFonts w:cstheme="minorHAnsi"/>
          <w:sz w:val="24"/>
          <w:szCs w:val="24"/>
          <w:u w:val="single"/>
        </w:rPr>
        <w:t>High Acuity patients</w:t>
      </w:r>
      <w:r w:rsidRPr="00692126">
        <w:rPr>
          <w:rFonts w:cstheme="minorHAnsi"/>
          <w:sz w:val="24"/>
          <w:szCs w:val="24"/>
        </w:rPr>
        <w:t>: ESI 1</w:t>
      </w:r>
    </w:p>
    <w:p w14:paraId="3CE918E7" w14:textId="77777777" w:rsidR="00F13D9E" w:rsidRPr="00692126" w:rsidRDefault="00F13D9E" w:rsidP="00F13D9E">
      <w:pPr>
        <w:spacing w:after="0" w:line="229" w:lineRule="exact"/>
        <w:ind w:left="1080"/>
        <w:rPr>
          <w:rFonts w:cstheme="minorHAnsi"/>
          <w:sz w:val="24"/>
          <w:szCs w:val="24"/>
        </w:rPr>
      </w:pPr>
    </w:p>
    <w:p w14:paraId="33710B41" w14:textId="4C2F1E7E" w:rsidR="00911B9C" w:rsidRPr="00692126" w:rsidRDefault="00F656A8" w:rsidP="00F27F11">
      <w:pPr>
        <w:pStyle w:val="ListParagraph"/>
        <w:numPr>
          <w:ilvl w:val="0"/>
          <w:numId w:val="2"/>
        </w:numPr>
        <w:spacing w:before="240" w:after="0" w:line="229" w:lineRule="exact"/>
        <w:rPr>
          <w:rFonts w:cstheme="minorHAnsi"/>
          <w:b/>
          <w:bCs/>
          <w:sz w:val="24"/>
          <w:szCs w:val="24"/>
        </w:rPr>
      </w:pPr>
      <w:r w:rsidRPr="00692126">
        <w:rPr>
          <w:rFonts w:cstheme="minorHAnsi"/>
          <w:b/>
          <w:bCs/>
          <w:sz w:val="24"/>
          <w:szCs w:val="24"/>
        </w:rPr>
        <w:t>Page 6 of the Narrative discusses data</w:t>
      </w:r>
      <w:r w:rsidR="00BB166F" w:rsidRPr="00692126">
        <w:rPr>
          <w:rFonts w:cstheme="minorHAnsi"/>
          <w:b/>
          <w:bCs/>
          <w:sz w:val="24"/>
          <w:szCs w:val="24"/>
        </w:rPr>
        <w:t xml:space="preserve"> about patient acuity levels for ED Visits. Please provide the following information for a more complete view of the </w:t>
      </w:r>
      <w:r w:rsidR="0058683B" w:rsidRPr="00692126">
        <w:rPr>
          <w:rFonts w:cstheme="minorHAnsi"/>
          <w:b/>
          <w:bCs/>
          <w:sz w:val="24"/>
          <w:szCs w:val="24"/>
        </w:rPr>
        <w:t>data referenced:</w:t>
      </w:r>
      <w:r w:rsidR="001A0D95" w:rsidRPr="00692126">
        <w:rPr>
          <w:rFonts w:cstheme="minorHAnsi"/>
          <w:b/>
          <w:bCs/>
          <w:sz w:val="24"/>
          <w:szCs w:val="24"/>
        </w:rPr>
        <w:t xml:space="preserve"> </w:t>
      </w:r>
    </w:p>
    <w:p w14:paraId="0DB9B894" w14:textId="52D3052A" w:rsidR="0058683B" w:rsidRPr="00692126" w:rsidRDefault="0058683B" w:rsidP="0098047C">
      <w:pPr>
        <w:spacing w:before="240" w:after="0" w:line="229" w:lineRule="exact"/>
        <w:ind w:left="360"/>
        <w:jc w:val="center"/>
        <w:rPr>
          <w:rFonts w:cstheme="minorHAnsi"/>
          <w:b/>
          <w:bCs/>
          <w:sz w:val="24"/>
          <w:szCs w:val="24"/>
        </w:rPr>
      </w:pPr>
      <w:r w:rsidRPr="00692126">
        <w:rPr>
          <w:rFonts w:cstheme="minorHAnsi"/>
          <w:b/>
          <w:bCs/>
          <w:sz w:val="24"/>
          <w:szCs w:val="24"/>
        </w:rPr>
        <w:t>ED Visit Acuity Levels</w:t>
      </w:r>
    </w:p>
    <w:tbl>
      <w:tblPr>
        <w:tblStyle w:val="TableGrid"/>
        <w:tblW w:w="7555" w:type="dxa"/>
        <w:jc w:val="center"/>
        <w:tblLook w:val="04A0" w:firstRow="1" w:lastRow="0" w:firstColumn="1" w:lastColumn="0" w:noHBand="0" w:noVBand="1"/>
      </w:tblPr>
      <w:tblGrid>
        <w:gridCol w:w="1883"/>
        <w:gridCol w:w="1172"/>
        <w:gridCol w:w="1080"/>
        <w:gridCol w:w="1170"/>
        <w:gridCol w:w="1170"/>
        <w:gridCol w:w="1080"/>
      </w:tblGrid>
      <w:tr w:rsidR="00692126" w:rsidRPr="00692126" w14:paraId="76A38215" w14:textId="77777777" w:rsidTr="00FF00B1">
        <w:trPr>
          <w:cantSplit/>
          <w:tblHeader/>
          <w:jc w:val="center"/>
        </w:trPr>
        <w:tc>
          <w:tcPr>
            <w:tcW w:w="1883" w:type="dxa"/>
            <w:shd w:val="clear" w:color="auto" w:fill="D9E2F3" w:themeFill="accent1" w:themeFillTint="33"/>
          </w:tcPr>
          <w:p w14:paraId="7D7DA9C4" w14:textId="77777777" w:rsidR="0058683B" w:rsidRPr="00692126" w:rsidRDefault="0058683B" w:rsidP="00C46307">
            <w:pPr>
              <w:jc w:val="both"/>
              <w:rPr>
                <w:rFonts w:cstheme="minorHAnsi"/>
                <w:b/>
                <w:bCs/>
                <w:sz w:val="24"/>
                <w:szCs w:val="24"/>
              </w:rPr>
            </w:pPr>
          </w:p>
        </w:tc>
        <w:tc>
          <w:tcPr>
            <w:tcW w:w="1172" w:type="dxa"/>
            <w:shd w:val="clear" w:color="auto" w:fill="D9E2F3" w:themeFill="accent1" w:themeFillTint="33"/>
            <w:vAlign w:val="center"/>
          </w:tcPr>
          <w:p w14:paraId="58E6B0EC" w14:textId="77777777" w:rsidR="0058683B" w:rsidRPr="00692126" w:rsidRDefault="0058683B" w:rsidP="00C46307">
            <w:pPr>
              <w:jc w:val="center"/>
              <w:rPr>
                <w:rFonts w:cstheme="minorHAnsi"/>
                <w:sz w:val="24"/>
                <w:szCs w:val="24"/>
              </w:rPr>
            </w:pPr>
            <w:r w:rsidRPr="00692126">
              <w:rPr>
                <w:rFonts w:eastAsia="Times New Roman" w:cstheme="minorHAnsi"/>
                <w:b/>
                <w:bCs/>
                <w:sz w:val="24"/>
                <w:szCs w:val="24"/>
              </w:rPr>
              <w:t>FY2020</w:t>
            </w:r>
          </w:p>
        </w:tc>
        <w:tc>
          <w:tcPr>
            <w:tcW w:w="1080" w:type="dxa"/>
            <w:shd w:val="clear" w:color="auto" w:fill="D9E2F3" w:themeFill="accent1" w:themeFillTint="33"/>
            <w:vAlign w:val="center"/>
          </w:tcPr>
          <w:p w14:paraId="251E3D28" w14:textId="77777777" w:rsidR="0058683B" w:rsidRPr="00692126" w:rsidRDefault="0058683B" w:rsidP="00C46307">
            <w:pPr>
              <w:jc w:val="center"/>
              <w:rPr>
                <w:rFonts w:cstheme="minorHAnsi"/>
                <w:sz w:val="24"/>
                <w:szCs w:val="24"/>
              </w:rPr>
            </w:pPr>
            <w:r w:rsidRPr="00692126">
              <w:rPr>
                <w:rFonts w:eastAsia="Times New Roman" w:cstheme="minorHAnsi"/>
                <w:b/>
                <w:bCs/>
                <w:sz w:val="24"/>
                <w:szCs w:val="24"/>
              </w:rPr>
              <w:t>FY2021</w:t>
            </w:r>
          </w:p>
        </w:tc>
        <w:tc>
          <w:tcPr>
            <w:tcW w:w="1170" w:type="dxa"/>
            <w:shd w:val="clear" w:color="auto" w:fill="D9E2F3" w:themeFill="accent1" w:themeFillTint="33"/>
            <w:vAlign w:val="center"/>
          </w:tcPr>
          <w:p w14:paraId="141CDED5" w14:textId="77777777" w:rsidR="0058683B" w:rsidRPr="00692126" w:rsidRDefault="0058683B" w:rsidP="00C46307">
            <w:pPr>
              <w:jc w:val="center"/>
              <w:rPr>
                <w:rFonts w:cstheme="minorHAnsi"/>
                <w:sz w:val="24"/>
                <w:szCs w:val="24"/>
              </w:rPr>
            </w:pPr>
            <w:r w:rsidRPr="00692126">
              <w:rPr>
                <w:rFonts w:eastAsia="Times New Roman" w:cstheme="minorHAnsi"/>
                <w:b/>
                <w:bCs/>
                <w:sz w:val="24"/>
                <w:szCs w:val="24"/>
              </w:rPr>
              <w:t>FY2022</w:t>
            </w:r>
          </w:p>
        </w:tc>
        <w:tc>
          <w:tcPr>
            <w:tcW w:w="1170" w:type="dxa"/>
            <w:shd w:val="clear" w:color="auto" w:fill="D9E2F3" w:themeFill="accent1" w:themeFillTint="33"/>
            <w:vAlign w:val="center"/>
          </w:tcPr>
          <w:p w14:paraId="329D46CE" w14:textId="77777777" w:rsidR="0058683B" w:rsidRPr="00692126" w:rsidRDefault="0058683B" w:rsidP="00C46307">
            <w:pPr>
              <w:jc w:val="center"/>
              <w:rPr>
                <w:rFonts w:cstheme="minorHAnsi"/>
                <w:sz w:val="24"/>
                <w:szCs w:val="24"/>
              </w:rPr>
            </w:pPr>
            <w:r w:rsidRPr="00692126">
              <w:rPr>
                <w:rFonts w:eastAsia="Times New Roman" w:cstheme="minorHAnsi"/>
                <w:b/>
                <w:bCs/>
                <w:sz w:val="24"/>
                <w:szCs w:val="24"/>
              </w:rPr>
              <w:t>FY2023</w:t>
            </w:r>
          </w:p>
        </w:tc>
        <w:tc>
          <w:tcPr>
            <w:tcW w:w="1080" w:type="dxa"/>
            <w:shd w:val="clear" w:color="auto" w:fill="D9E2F3" w:themeFill="accent1" w:themeFillTint="33"/>
            <w:vAlign w:val="center"/>
          </w:tcPr>
          <w:p w14:paraId="56B213DE" w14:textId="77777777" w:rsidR="0058683B" w:rsidRPr="00692126" w:rsidRDefault="0058683B" w:rsidP="00C46307">
            <w:pPr>
              <w:jc w:val="center"/>
              <w:rPr>
                <w:rFonts w:eastAsia="Times New Roman" w:cstheme="minorHAnsi"/>
                <w:b/>
                <w:bCs/>
                <w:sz w:val="24"/>
                <w:szCs w:val="24"/>
              </w:rPr>
            </w:pPr>
            <w:r w:rsidRPr="00692126">
              <w:rPr>
                <w:rFonts w:eastAsia="Times New Roman" w:cstheme="minorHAnsi"/>
                <w:b/>
                <w:bCs/>
                <w:sz w:val="24"/>
                <w:szCs w:val="24"/>
              </w:rPr>
              <w:t>FY2024</w:t>
            </w:r>
            <w:r w:rsidRPr="00692126">
              <w:rPr>
                <w:rStyle w:val="FootnoteReference"/>
                <w:rFonts w:eastAsia="Times New Roman" w:cstheme="minorHAnsi"/>
                <w:b/>
                <w:bCs/>
                <w:sz w:val="24"/>
                <w:szCs w:val="24"/>
              </w:rPr>
              <w:footnoteReference w:id="2"/>
            </w:r>
          </w:p>
        </w:tc>
      </w:tr>
      <w:tr w:rsidR="00692126" w:rsidRPr="00692126" w14:paraId="7169F075" w14:textId="77777777" w:rsidTr="0098047C">
        <w:trPr>
          <w:jc w:val="center"/>
        </w:trPr>
        <w:tc>
          <w:tcPr>
            <w:tcW w:w="1883" w:type="dxa"/>
          </w:tcPr>
          <w:p w14:paraId="701A9473" w14:textId="3978B6CB" w:rsidR="0067116A" w:rsidRPr="00692126" w:rsidRDefault="0067116A" w:rsidP="0067116A">
            <w:pPr>
              <w:jc w:val="both"/>
              <w:rPr>
                <w:rFonts w:cstheme="minorHAnsi"/>
                <w:sz w:val="24"/>
                <w:szCs w:val="24"/>
              </w:rPr>
            </w:pPr>
            <w:r w:rsidRPr="00692126">
              <w:rPr>
                <w:rFonts w:cstheme="minorHAnsi"/>
                <w:sz w:val="24"/>
                <w:szCs w:val="24"/>
              </w:rPr>
              <w:t>Low Acuity</w:t>
            </w:r>
          </w:p>
        </w:tc>
        <w:tc>
          <w:tcPr>
            <w:tcW w:w="1172" w:type="dxa"/>
          </w:tcPr>
          <w:p w14:paraId="46BDE59B" w14:textId="670967B4" w:rsidR="0067116A" w:rsidRPr="00692126" w:rsidRDefault="0067116A" w:rsidP="0067116A">
            <w:pPr>
              <w:jc w:val="center"/>
              <w:rPr>
                <w:rFonts w:cstheme="minorHAnsi"/>
                <w:sz w:val="24"/>
                <w:szCs w:val="24"/>
              </w:rPr>
            </w:pPr>
            <w:r w:rsidRPr="00692126">
              <w:rPr>
                <w:rFonts w:cstheme="minorHAnsi"/>
                <w:sz w:val="24"/>
                <w:szCs w:val="24"/>
              </w:rPr>
              <w:t>19.1%</w:t>
            </w:r>
          </w:p>
        </w:tc>
        <w:tc>
          <w:tcPr>
            <w:tcW w:w="1080" w:type="dxa"/>
          </w:tcPr>
          <w:p w14:paraId="7E1E3F73" w14:textId="6EDC5C0C" w:rsidR="0067116A" w:rsidRPr="00692126" w:rsidRDefault="0067116A" w:rsidP="0067116A">
            <w:pPr>
              <w:jc w:val="center"/>
              <w:rPr>
                <w:rFonts w:cstheme="minorHAnsi"/>
                <w:sz w:val="24"/>
                <w:szCs w:val="24"/>
              </w:rPr>
            </w:pPr>
            <w:r w:rsidRPr="00692126">
              <w:rPr>
                <w:rFonts w:cstheme="minorHAnsi"/>
                <w:sz w:val="24"/>
                <w:szCs w:val="24"/>
              </w:rPr>
              <w:t>17.3%</w:t>
            </w:r>
          </w:p>
        </w:tc>
        <w:tc>
          <w:tcPr>
            <w:tcW w:w="1170" w:type="dxa"/>
          </w:tcPr>
          <w:p w14:paraId="69751E4E" w14:textId="16C43BA3" w:rsidR="0067116A" w:rsidRPr="00692126" w:rsidRDefault="0067116A" w:rsidP="0067116A">
            <w:pPr>
              <w:jc w:val="center"/>
              <w:rPr>
                <w:rFonts w:cstheme="minorHAnsi"/>
                <w:sz w:val="24"/>
                <w:szCs w:val="24"/>
              </w:rPr>
            </w:pPr>
            <w:r w:rsidRPr="00692126">
              <w:rPr>
                <w:rFonts w:cstheme="minorHAnsi"/>
                <w:sz w:val="24"/>
                <w:szCs w:val="24"/>
              </w:rPr>
              <w:t>16.1%</w:t>
            </w:r>
          </w:p>
        </w:tc>
        <w:tc>
          <w:tcPr>
            <w:tcW w:w="1170" w:type="dxa"/>
          </w:tcPr>
          <w:p w14:paraId="4D18762B" w14:textId="013098B0" w:rsidR="0067116A" w:rsidRPr="00692126" w:rsidRDefault="0067116A" w:rsidP="0067116A">
            <w:pPr>
              <w:jc w:val="center"/>
              <w:rPr>
                <w:rFonts w:cstheme="minorHAnsi"/>
                <w:sz w:val="24"/>
                <w:szCs w:val="24"/>
              </w:rPr>
            </w:pPr>
            <w:r w:rsidRPr="00692126">
              <w:rPr>
                <w:rFonts w:cstheme="minorHAnsi"/>
                <w:sz w:val="24"/>
                <w:szCs w:val="24"/>
              </w:rPr>
              <w:t>15.8%</w:t>
            </w:r>
          </w:p>
        </w:tc>
        <w:tc>
          <w:tcPr>
            <w:tcW w:w="1080" w:type="dxa"/>
          </w:tcPr>
          <w:p w14:paraId="3E7A35AD" w14:textId="405E3B74" w:rsidR="0067116A" w:rsidRPr="00692126" w:rsidRDefault="0067116A" w:rsidP="0067116A">
            <w:pPr>
              <w:jc w:val="center"/>
              <w:rPr>
                <w:rFonts w:cstheme="minorHAnsi"/>
                <w:sz w:val="24"/>
                <w:szCs w:val="24"/>
              </w:rPr>
            </w:pPr>
            <w:r w:rsidRPr="00692126">
              <w:rPr>
                <w:rFonts w:cstheme="minorHAnsi"/>
                <w:sz w:val="24"/>
                <w:szCs w:val="24"/>
              </w:rPr>
              <w:t>14.4%</w:t>
            </w:r>
          </w:p>
        </w:tc>
      </w:tr>
      <w:tr w:rsidR="00692126" w:rsidRPr="00692126" w14:paraId="014EEB6F" w14:textId="77777777" w:rsidTr="0098047C">
        <w:trPr>
          <w:jc w:val="center"/>
        </w:trPr>
        <w:tc>
          <w:tcPr>
            <w:tcW w:w="1883" w:type="dxa"/>
          </w:tcPr>
          <w:p w14:paraId="22130EE2" w14:textId="130AF5DB" w:rsidR="0067116A" w:rsidRPr="00692126" w:rsidRDefault="0067116A" w:rsidP="0067116A">
            <w:pPr>
              <w:jc w:val="both"/>
              <w:rPr>
                <w:rFonts w:cstheme="minorHAnsi"/>
                <w:sz w:val="24"/>
                <w:szCs w:val="24"/>
              </w:rPr>
            </w:pPr>
            <w:r w:rsidRPr="00692126">
              <w:rPr>
                <w:rFonts w:cstheme="minorHAnsi"/>
                <w:sz w:val="24"/>
                <w:szCs w:val="24"/>
              </w:rPr>
              <w:t>Moderate Acuity</w:t>
            </w:r>
          </w:p>
        </w:tc>
        <w:tc>
          <w:tcPr>
            <w:tcW w:w="1172" w:type="dxa"/>
          </w:tcPr>
          <w:p w14:paraId="502EB5AA" w14:textId="268695C5" w:rsidR="0067116A" w:rsidRPr="00692126" w:rsidRDefault="0067116A" w:rsidP="0067116A">
            <w:pPr>
              <w:jc w:val="center"/>
              <w:rPr>
                <w:rFonts w:cstheme="minorHAnsi"/>
                <w:sz w:val="24"/>
                <w:szCs w:val="24"/>
              </w:rPr>
            </w:pPr>
            <w:r w:rsidRPr="00692126">
              <w:rPr>
                <w:rFonts w:cstheme="minorHAnsi"/>
                <w:sz w:val="24"/>
                <w:szCs w:val="24"/>
              </w:rPr>
              <w:t>79.5%</w:t>
            </w:r>
          </w:p>
        </w:tc>
        <w:tc>
          <w:tcPr>
            <w:tcW w:w="1080" w:type="dxa"/>
          </w:tcPr>
          <w:p w14:paraId="2AFC1220" w14:textId="142C7DC9" w:rsidR="0067116A" w:rsidRPr="00692126" w:rsidRDefault="0067116A" w:rsidP="0067116A">
            <w:pPr>
              <w:jc w:val="center"/>
              <w:rPr>
                <w:rFonts w:cstheme="minorHAnsi"/>
                <w:sz w:val="24"/>
                <w:szCs w:val="24"/>
              </w:rPr>
            </w:pPr>
            <w:r w:rsidRPr="00692126">
              <w:rPr>
                <w:rFonts w:cstheme="minorHAnsi"/>
                <w:sz w:val="24"/>
                <w:szCs w:val="24"/>
              </w:rPr>
              <w:t>81,2%</w:t>
            </w:r>
          </w:p>
        </w:tc>
        <w:tc>
          <w:tcPr>
            <w:tcW w:w="1170" w:type="dxa"/>
          </w:tcPr>
          <w:p w14:paraId="23502786" w14:textId="09E24BFC" w:rsidR="0067116A" w:rsidRPr="00692126" w:rsidRDefault="0067116A" w:rsidP="0067116A">
            <w:pPr>
              <w:jc w:val="center"/>
              <w:rPr>
                <w:rFonts w:cstheme="minorHAnsi"/>
                <w:sz w:val="24"/>
                <w:szCs w:val="24"/>
              </w:rPr>
            </w:pPr>
            <w:r w:rsidRPr="00692126">
              <w:rPr>
                <w:rFonts w:cstheme="minorHAnsi"/>
                <w:sz w:val="24"/>
                <w:szCs w:val="24"/>
              </w:rPr>
              <w:t>82.6%</w:t>
            </w:r>
          </w:p>
        </w:tc>
        <w:tc>
          <w:tcPr>
            <w:tcW w:w="1170" w:type="dxa"/>
          </w:tcPr>
          <w:p w14:paraId="5509079C" w14:textId="4989AC5B" w:rsidR="0067116A" w:rsidRPr="00692126" w:rsidRDefault="0067116A" w:rsidP="0067116A">
            <w:pPr>
              <w:jc w:val="center"/>
              <w:rPr>
                <w:rFonts w:cstheme="minorHAnsi"/>
                <w:sz w:val="24"/>
                <w:szCs w:val="24"/>
              </w:rPr>
            </w:pPr>
            <w:r w:rsidRPr="00692126">
              <w:rPr>
                <w:rFonts w:cstheme="minorHAnsi"/>
                <w:sz w:val="24"/>
                <w:szCs w:val="24"/>
              </w:rPr>
              <w:t>82.9%</w:t>
            </w:r>
          </w:p>
        </w:tc>
        <w:tc>
          <w:tcPr>
            <w:tcW w:w="1080" w:type="dxa"/>
          </w:tcPr>
          <w:p w14:paraId="5675D3E5" w14:textId="41A60689" w:rsidR="0067116A" w:rsidRPr="00692126" w:rsidRDefault="0067116A" w:rsidP="0067116A">
            <w:pPr>
              <w:jc w:val="center"/>
              <w:rPr>
                <w:rFonts w:cstheme="minorHAnsi"/>
                <w:sz w:val="24"/>
                <w:szCs w:val="24"/>
              </w:rPr>
            </w:pPr>
            <w:r w:rsidRPr="00692126">
              <w:rPr>
                <w:rFonts w:cstheme="minorHAnsi"/>
                <w:sz w:val="24"/>
                <w:szCs w:val="24"/>
              </w:rPr>
              <w:t>84.2%</w:t>
            </w:r>
          </w:p>
        </w:tc>
      </w:tr>
      <w:tr w:rsidR="00692126" w:rsidRPr="00692126" w14:paraId="6A647439" w14:textId="77777777" w:rsidTr="0098047C">
        <w:trPr>
          <w:jc w:val="center"/>
        </w:trPr>
        <w:tc>
          <w:tcPr>
            <w:tcW w:w="1883" w:type="dxa"/>
          </w:tcPr>
          <w:p w14:paraId="2F493541" w14:textId="01900F91" w:rsidR="0067116A" w:rsidRPr="00692126" w:rsidRDefault="0067116A" w:rsidP="0067116A">
            <w:pPr>
              <w:jc w:val="both"/>
              <w:rPr>
                <w:rFonts w:cstheme="minorHAnsi"/>
                <w:sz w:val="24"/>
                <w:szCs w:val="24"/>
              </w:rPr>
            </w:pPr>
            <w:r w:rsidRPr="00692126">
              <w:rPr>
                <w:rFonts w:cstheme="minorHAnsi"/>
                <w:sz w:val="24"/>
                <w:szCs w:val="24"/>
              </w:rPr>
              <w:t>High Acuity</w:t>
            </w:r>
          </w:p>
        </w:tc>
        <w:tc>
          <w:tcPr>
            <w:tcW w:w="1172" w:type="dxa"/>
          </w:tcPr>
          <w:p w14:paraId="268CD2FC" w14:textId="0EB1CD00" w:rsidR="0067116A" w:rsidRPr="00692126" w:rsidRDefault="0067116A" w:rsidP="0067116A">
            <w:pPr>
              <w:jc w:val="center"/>
              <w:rPr>
                <w:rFonts w:cstheme="minorHAnsi"/>
                <w:sz w:val="24"/>
                <w:szCs w:val="24"/>
              </w:rPr>
            </w:pPr>
            <w:r w:rsidRPr="00692126">
              <w:rPr>
                <w:rFonts w:cstheme="minorHAnsi"/>
                <w:sz w:val="24"/>
                <w:szCs w:val="24"/>
              </w:rPr>
              <w:t>1.4%</w:t>
            </w:r>
          </w:p>
        </w:tc>
        <w:tc>
          <w:tcPr>
            <w:tcW w:w="1080" w:type="dxa"/>
          </w:tcPr>
          <w:p w14:paraId="0386D542" w14:textId="561229A1" w:rsidR="0067116A" w:rsidRPr="00692126" w:rsidRDefault="0067116A" w:rsidP="0067116A">
            <w:pPr>
              <w:jc w:val="center"/>
              <w:rPr>
                <w:rFonts w:cstheme="minorHAnsi"/>
                <w:sz w:val="24"/>
                <w:szCs w:val="24"/>
              </w:rPr>
            </w:pPr>
            <w:r w:rsidRPr="00692126">
              <w:rPr>
                <w:rFonts w:cstheme="minorHAnsi"/>
                <w:sz w:val="24"/>
                <w:szCs w:val="24"/>
              </w:rPr>
              <w:t>1.5%</w:t>
            </w:r>
          </w:p>
        </w:tc>
        <w:tc>
          <w:tcPr>
            <w:tcW w:w="1170" w:type="dxa"/>
          </w:tcPr>
          <w:p w14:paraId="66AFF1EE" w14:textId="11D3E669" w:rsidR="0067116A" w:rsidRPr="00692126" w:rsidRDefault="0067116A" w:rsidP="0067116A">
            <w:pPr>
              <w:jc w:val="center"/>
              <w:rPr>
                <w:rFonts w:cstheme="minorHAnsi"/>
                <w:sz w:val="24"/>
                <w:szCs w:val="24"/>
              </w:rPr>
            </w:pPr>
            <w:r w:rsidRPr="00692126">
              <w:rPr>
                <w:rFonts w:cstheme="minorHAnsi"/>
                <w:sz w:val="24"/>
                <w:szCs w:val="24"/>
              </w:rPr>
              <w:t>1.3%</w:t>
            </w:r>
          </w:p>
        </w:tc>
        <w:tc>
          <w:tcPr>
            <w:tcW w:w="1170" w:type="dxa"/>
          </w:tcPr>
          <w:p w14:paraId="06E13711" w14:textId="093B0EEF" w:rsidR="0067116A" w:rsidRPr="00692126" w:rsidRDefault="0067116A" w:rsidP="0067116A">
            <w:pPr>
              <w:jc w:val="center"/>
              <w:rPr>
                <w:rFonts w:cstheme="minorHAnsi"/>
                <w:sz w:val="24"/>
                <w:szCs w:val="24"/>
              </w:rPr>
            </w:pPr>
            <w:r w:rsidRPr="00692126">
              <w:rPr>
                <w:rFonts w:cstheme="minorHAnsi"/>
                <w:sz w:val="24"/>
                <w:szCs w:val="24"/>
              </w:rPr>
              <w:t>1.3%</w:t>
            </w:r>
          </w:p>
        </w:tc>
        <w:tc>
          <w:tcPr>
            <w:tcW w:w="1080" w:type="dxa"/>
          </w:tcPr>
          <w:p w14:paraId="090A4778" w14:textId="39B8908F" w:rsidR="0067116A" w:rsidRPr="00692126" w:rsidRDefault="0067116A" w:rsidP="0067116A">
            <w:pPr>
              <w:jc w:val="center"/>
              <w:rPr>
                <w:rFonts w:cstheme="minorHAnsi"/>
                <w:sz w:val="24"/>
                <w:szCs w:val="24"/>
              </w:rPr>
            </w:pPr>
            <w:r w:rsidRPr="00692126">
              <w:rPr>
                <w:rFonts w:cstheme="minorHAnsi"/>
                <w:sz w:val="24"/>
                <w:szCs w:val="24"/>
              </w:rPr>
              <w:t>1.3%</w:t>
            </w:r>
          </w:p>
        </w:tc>
      </w:tr>
      <w:tr w:rsidR="0058683B" w:rsidRPr="00692126" w14:paraId="2B2139A1" w14:textId="77777777" w:rsidTr="0098047C">
        <w:trPr>
          <w:jc w:val="center"/>
        </w:trPr>
        <w:tc>
          <w:tcPr>
            <w:tcW w:w="1883" w:type="dxa"/>
          </w:tcPr>
          <w:p w14:paraId="79C25351" w14:textId="4F8A1127" w:rsidR="0058683B" w:rsidRPr="00692126" w:rsidRDefault="0058683B" w:rsidP="00C46307">
            <w:pPr>
              <w:jc w:val="both"/>
              <w:rPr>
                <w:rFonts w:cstheme="minorHAnsi"/>
                <w:sz w:val="24"/>
                <w:szCs w:val="24"/>
              </w:rPr>
            </w:pPr>
            <w:r w:rsidRPr="00692126">
              <w:rPr>
                <w:rFonts w:cstheme="minorHAnsi"/>
                <w:sz w:val="24"/>
                <w:szCs w:val="24"/>
              </w:rPr>
              <w:t xml:space="preserve">Total ED Visits  </w:t>
            </w:r>
          </w:p>
        </w:tc>
        <w:tc>
          <w:tcPr>
            <w:tcW w:w="1172" w:type="dxa"/>
          </w:tcPr>
          <w:p w14:paraId="2F0335A6" w14:textId="77777777" w:rsidR="0058683B" w:rsidRPr="00692126" w:rsidRDefault="0058683B" w:rsidP="00C46307">
            <w:pPr>
              <w:jc w:val="center"/>
              <w:rPr>
                <w:rFonts w:cstheme="minorHAnsi"/>
                <w:sz w:val="24"/>
                <w:szCs w:val="24"/>
              </w:rPr>
            </w:pPr>
            <w:r w:rsidRPr="00692126">
              <w:rPr>
                <w:rFonts w:cstheme="minorHAnsi"/>
                <w:sz w:val="24"/>
                <w:szCs w:val="24"/>
              </w:rPr>
              <w:t>39,142</w:t>
            </w:r>
          </w:p>
        </w:tc>
        <w:tc>
          <w:tcPr>
            <w:tcW w:w="1080" w:type="dxa"/>
          </w:tcPr>
          <w:p w14:paraId="292DF873" w14:textId="77777777" w:rsidR="0058683B" w:rsidRPr="00692126" w:rsidRDefault="0058683B" w:rsidP="00C46307">
            <w:pPr>
              <w:jc w:val="center"/>
              <w:rPr>
                <w:rFonts w:cstheme="minorHAnsi"/>
                <w:sz w:val="24"/>
                <w:szCs w:val="24"/>
              </w:rPr>
            </w:pPr>
            <w:r w:rsidRPr="00692126">
              <w:rPr>
                <w:rFonts w:cstheme="minorHAnsi"/>
                <w:sz w:val="24"/>
                <w:szCs w:val="24"/>
              </w:rPr>
              <w:t>40,180</w:t>
            </w:r>
          </w:p>
        </w:tc>
        <w:tc>
          <w:tcPr>
            <w:tcW w:w="1170" w:type="dxa"/>
          </w:tcPr>
          <w:p w14:paraId="63A110C4" w14:textId="77777777" w:rsidR="0058683B" w:rsidRPr="00692126" w:rsidRDefault="0058683B" w:rsidP="00C46307">
            <w:pPr>
              <w:jc w:val="center"/>
              <w:rPr>
                <w:rFonts w:cstheme="minorHAnsi"/>
                <w:sz w:val="24"/>
                <w:szCs w:val="24"/>
              </w:rPr>
            </w:pPr>
            <w:r w:rsidRPr="00692126">
              <w:rPr>
                <w:rFonts w:cstheme="minorHAnsi"/>
                <w:sz w:val="24"/>
                <w:szCs w:val="24"/>
              </w:rPr>
              <w:t>42,367</w:t>
            </w:r>
          </w:p>
        </w:tc>
        <w:tc>
          <w:tcPr>
            <w:tcW w:w="1170" w:type="dxa"/>
          </w:tcPr>
          <w:p w14:paraId="350D29DD" w14:textId="77777777" w:rsidR="0058683B" w:rsidRPr="00692126" w:rsidRDefault="0058683B" w:rsidP="00C46307">
            <w:pPr>
              <w:jc w:val="center"/>
              <w:rPr>
                <w:rFonts w:cstheme="minorHAnsi"/>
                <w:sz w:val="24"/>
                <w:szCs w:val="24"/>
              </w:rPr>
            </w:pPr>
            <w:r w:rsidRPr="00692126">
              <w:rPr>
                <w:rFonts w:cstheme="minorHAnsi"/>
                <w:sz w:val="24"/>
                <w:szCs w:val="24"/>
              </w:rPr>
              <w:t>43,609</w:t>
            </w:r>
          </w:p>
        </w:tc>
        <w:tc>
          <w:tcPr>
            <w:tcW w:w="1080" w:type="dxa"/>
          </w:tcPr>
          <w:p w14:paraId="550BC406" w14:textId="77777777" w:rsidR="0058683B" w:rsidRPr="00692126" w:rsidRDefault="0058683B" w:rsidP="00C46307">
            <w:pPr>
              <w:jc w:val="center"/>
              <w:rPr>
                <w:rFonts w:cstheme="minorHAnsi"/>
                <w:sz w:val="24"/>
                <w:szCs w:val="24"/>
              </w:rPr>
            </w:pPr>
            <w:r w:rsidRPr="00692126">
              <w:rPr>
                <w:rFonts w:cstheme="minorHAnsi"/>
                <w:sz w:val="24"/>
                <w:szCs w:val="24"/>
              </w:rPr>
              <w:t>45,952</w:t>
            </w:r>
          </w:p>
        </w:tc>
      </w:tr>
    </w:tbl>
    <w:p w14:paraId="480BE220" w14:textId="1F85C382" w:rsidR="008F2137" w:rsidRPr="00692126" w:rsidRDefault="001C6610" w:rsidP="00F27F11">
      <w:pPr>
        <w:pStyle w:val="ListParagraph"/>
        <w:numPr>
          <w:ilvl w:val="0"/>
          <w:numId w:val="2"/>
        </w:numPr>
        <w:spacing w:before="240" w:after="0" w:line="229" w:lineRule="exact"/>
        <w:rPr>
          <w:rFonts w:cstheme="minorHAnsi"/>
          <w:b/>
          <w:bCs/>
          <w:sz w:val="24"/>
          <w:szCs w:val="24"/>
        </w:rPr>
      </w:pPr>
      <w:bookmarkStart w:id="0" w:name="_Hlk179982685"/>
      <w:r w:rsidRPr="00692126">
        <w:rPr>
          <w:rFonts w:cstheme="minorHAnsi"/>
          <w:b/>
          <w:bCs/>
          <w:sz w:val="24"/>
          <w:szCs w:val="24"/>
        </w:rPr>
        <w:t>Based on the projections provided</w:t>
      </w:r>
      <w:r w:rsidR="00A54197" w:rsidRPr="00692126">
        <w:rPr>
          <w:rFonts w:cstheme="minorHAnsi"/>
          <w:b/>
          <w:bCs/>
          <w:sz w:val="24"/>
          <w:szCs w:val="24"/>
        </w:rPr>
        <w:t>, the Proposed Project wou</w:t>
      </w:r>
      <w:r w:rsidR="00C74432" w:rsidRPr="00692126">
        <w:rPr>
          <w:rFonts w:cstheme="minorHAnsi"/>
          <w:b/>
          <w:bCs/>
          <w:sz w:val="24"/>
          <w:szCs w:val="24"/>
        </w:rPr>
        <w:t xml:space="preserve">ld not be operational until FY2029. </w:t>
      </w:r>
      <w:r w:rsidR="00CE298E" w:rsidRPr="00692126">
        <w:rPr>
          <w:rFonts w:cstheme="minorHAnsi"/>
          <w:b/>
          <w:bCs/>
          <w:sz w:val="24"/>
          <w:szCs w:val="24"/>
        </w:rPr>
        <w:t>Considering the current capacity issues, what is the Applicant</w:t>
      </w:r>
      <w:r w:rsidR="00F13D9E" w:rsidRPr="00692126">
        <w:rPr>
          <w:rFonts w:cstheme="minorHAnsi"/>
          <w:b/>
          <w:bCs/>
          <w:sz w:val="24"/>
          <w:szCs w:val="24"/>
        </w:rPr>
        <w:t>’</w:t>
      </w:r>
      <w:r w:rsidR="00CE298E" w:rsidRPr="00692126">
        <w:rPr>
          <w:rFonts w:cstheme="minorHAnsi"/>
          <w:b/>
          <w:bCs/>
          <w:sz w:val="24"/>
          <w:szCs w:val="24"/>
        </w:rPr>
        <w:t xml:space="preserve">s interim plan to manage </w:t>
      </w:r>
      <w:r w:rsidR="00F13D9E" w:rsidRPr="00692126">
        <w:rPr>
          <w:rFonts w:cstheme="minorHAnsi"/>
          <w:b/>
          <w:bCs/>
          <w:sz w:val="24"/>
          <w:szCs w:val="24"/>
        </w:rPr>
        <w:t>the volume until the Project achieves completion?</w:t>
      </w:r>
      <w:r w:rsidR="00C74432" w:rsidRPr="00692126">
        <w:rPr>
          <w:rFonts w:cstheme="minorHAnsi"/>
          <w:b/>
          <w:bCs/>
          <w:sz w:val="24"/>
          <w:szCs w:val="24"/>
        </w:rPr>
        <w:t xml:space="preserve"> </w:t>
      </w:r>
    </w:p>
    <w:p w14:paraId="630E8059" w14:textId="1E8C5F05" w:rsidR="00E258EA" w:rsidRDefault="00E258EA" w:rsidP="00C9591D">
      <w:pPr>
        <w:spacing w:before="240" w:after="0" w:line="229" w:lineRule="exact"/>
        <w:ind w:left="720"/>
        <w:rPr>
          <w:rFonts w:cstheme="minorHAnsi"/>
          <w:sz w:val="24"/>
          <w:szCs w:val="24"/>
        </w:rPr>
      </w:pPr>
      <w:r>
        <w:rPr>
          <w:rFonts w:cstheme="minorHAnsi"/>
          <w:sz w:val="24"/>
          <w:szCs w:val="24"/>
        </w:rPr>
        <w:t xml:space="preserve">The Proposed Project will be completed in phases so the ED will experience incremental improvements once construction begins. </w:t>
      </w:r>
    </w:p>
    <w:bookmarkEnd w:id="0"/>
    <w:p w14:paraId="27904662" w14:textId="77777777" w:rsidR="00FD3339" w:rsidRDefault="00FD3339" w:rsidP="00FD3339">
      <w:pPr>
        <w:spacing w:before="240" w:after="0" w:line="229" w:lineRule="exact"/>
        <w:ind w:firstLine="720"/>
        <w:rPr>
          <w:rFonts w:cstheme="minorHAnsi"/>
          <w:sz w:val="24"/>
          <w:szCs w:val="24"/>
        </w:rPr>
      </w:pPr>
      <w:r w:rsidRPr="00FD3339">
        <w:rPr>
          <w:rFonts w:cstheme="minorHAnsi"/>
          <w:sz w:val="24"/>
          <w:szCs w:val="24"/>
        </w:rPr>
        <w:t xml:space="preserve"> Phase I will be accomplished in two sub-phases:</w:t>
      </w:r>
    </w:p>
    <w:p w14:paraId="10735A0B" w14:textId="35D8C80B" w:rsidR="00FD3339" w:rsidRDefault="00FD3339" w:rsidP="00FD3339">
      <w:pPr>
        <w:spacing w:before="240" w:after="0" w:line="229" w:lineRule="exact"/>
        <w:ind w:left="1440"/>
        <w:rPr>
          <w:rFonts w:cstheme="minorHAnsi"/>
          <w:sz w:val="24"/>
          <w:szCs w:val="24"/>
        </w:rPr>
      </w:pPr>
      <w:r w:rsidRPr="00FD3339">
        <w:rPr>
          <w:rFonts w:cstheme="minorHAnsi"/>
          <w:sz w:val="24"/>
          <w:szCs w:val="24"/>
        </w:rPr>
        <w:t xml:space="preserve">Phase </w:t>
      </w:r>
      <w:r>
        <w:rPr>
          <w:rFonts w:cstheme="minorHAnsi"/>
          <w:sz w:val="24"/>
          <w:szCs w:val="24"/>
        </w:rPr>
        <w:t>1</w:t>
      </w:r>
      <w:r w:rsidRPr="00FD3339">
        <w:rPr>
          <w:rFonts w:cstheme="minorHAnsi"/>
          <w:sz w:val="24"/>
          <w:szCs w:val="24"/>
        </w:rPr>
        <w:t xml:space="preserve">A will create the new addition which will include the new emergency department main entrance, public waiting area, reception and triage areas, public toilet facilities, security center of operations, seven new private treatment rooms – one of which is appointed for patients of size – and supporting clinical and administrative areas. </w:t>
      </w:r>
      <w:r w:rsidR="00337FBF">
        <w:rPr>
          <w:rFonts w:cstheme="minorHAnsi"/>
          <w:sz w:val="24"/>
          <w:szCs w:val="24"/>
        </w:rPr>
        <w:t>Completion is targeted for Spring 2026.</w:t>
      </w:r>
    </w:p>
    <w:p w14:paraId="0CC30AD9" w14:textId="71854AA6" w:rsidR="00916FC3" w:rsidRPr="00916FC3" w:rsidRDefault="00FD3339" w:rsidP="00916FC3">
      <w:pPr>
        <w:spacing w:before="240" w:after="0" w:line="229" w:lineRule="exact"/>
        <w:ind w:left="1440"/>
        <w:rPr>
          <w:rFonts w:cstheme="minorHAnsi"/>
          <w:sz w:val="24"/>
          <w:szCs w:val="24"/>
        </w:rPr>
      </w:pPr>
      <w:r w:rsidRPr="00FD3339">
        <w:rPr>
          <w:rFonts w:cstheme="minorHAnsi"/>
          <w:sz w:val="24"/>
          <w:szCs w:val="24"/>
        </w:rPr>
        <w:t xml:space="preserve">Following the opening of the new addition, Phase </w:t>
      </w:r>
      <w:r>
        <w:rPr>
          <w:rFonts w:cstheme="minorHAnsi"/>
          <w:sz w:val="24"/>
          <w:szCs w:val="24"/>
        </w:rPr>
        <w:t>1</w:t>
      </w:r>
      <w:r w:rsidRPr="00FD3339">
        <w:rPr>
          <w:rFonts w:cstheme="minorHAnsi"/>
          <w:sz w:val="24"/>
          <w:szCs w:val="24"/>
        </w:rPr>
        <w:t xml:space="preserve">B will then renovate the front end of the existing emergency department taking the existing waiting area, reception, triage, four treatment bays, security office, and supporting administrative areas offline since the aforementioned areas will have moved into </w:t>
      </w:r>
      <w:r w:rsidR="00916FC3" w:rsidRPr="00916FC3">
        <w:rPr>
          <w:rFonts w:cstheme="minorHAnsi"/>
          <w:sz w:val="24"/>
          <w:szCs w:val="24"/>
        </w:rPr>
        <w:t>the new addition. A temporary corridor will be created to enable direct access between the new emergency</w:t>
      </w:r>
      <w:r w:rsidR="00916FC3">
        <w:rPr>
          <w:rFonts w:cstheme="minorHAnsi"/>
          <w:sz w:val="24"/>
          <w:szCs w:val="24"/>
        </w:rPr>
        <w:t xml:space="preserve"> </w:t>
      </w:r>
      <w:r w:rsidR="00916FC3" w:rsidRPr="00916FC3">
        <w:rPr>
          <w:rFonts w:cstheme="minorHAnsi"/>
          <w:sz w:val="24"/>
          <w:szCs w:val="24"/>
        </w:rPr>
        <w:t xml:space="preserve">department addition and the portion of the existing emergency department that will remain active during Phase IB construction. Phase </w:t>
      </w:r>
      <w:r w:rsidR="00337FBF">
        <w:rPr>
          <w:rFonts w:cstheme="minorHAnsi"/>
          <w:sz w:val="24"/>
          <w:szCs w:val="24"/>
        </w:rPr>
        <w:t>1</w:t>
      </w:r>
      <w:r w:rsidR="00916FC3" w:rsidRPr="00916FC3">
        <w:rPr>
          <w:rFonts w:cstheme="minorHAnsi"/>
          <w:sz w:val="24"/>
          <w:szCs w:val="24"/>
        </w:rPr>
        <w:t xml:space="preserve">B will create ten new private treatment rooms and </w:t>
      </w:r>
      <w:proofErr w:type="gramStart"/>
      <w:r w:rsidR="00916FC3" w:rsidRPr="00916FC3">
        <w:rPr>
          <w:rFonts w:cstheme="minorHAnsi"/>
          <w:sz w:val="24"/>
          <w:szCs w:val="24"/>
        </w:rPr>
        <w:lastRenderedPageBreak/>
        <w:t>supporting</w:t>
      </w:r>
      <w:proofErr w:type="gramEnd"/>
      <w:r w:rsidR="00916FC3" w:rsidRPr="00916FC3">
        <w:rPr>
          <w:rFonts w:cstheme="minorHAnsi"/>
          <w:sz w:val="24"/>
          <w:szCs w:val="24"/>
        </w:rPr>
        <w:t xml:space="preserve"> clinical &amp; administrative areas. </w:t>
      </w:r>
      <w:r w:rsidR="00337FBF">
        <w:rPr>
          <w:rFonts w:cstheme="minorHAnsi"/>
          <w:sz w:val="24"/>
          <w:szCs w:val="24"/>
        </w:rPr>
        <w:t>Completion of this phase is targeted for late 2026.</w:t>
      </w:r>
    </w:p>
    <w:p w14:paraId="0F8D9DF8" w14:textId="218DB639" w:rsidR="00FD3339" w:rsidRPr="00FD3339" w:rsidRDefault="00FD3339" w:rsidP="00916FC3">
      <w:pPr>
        <w:spacing w:before="240" w:after="0" w:line="229" w:lineRule="exact"/>
        <w:ind w:left="720"/>
        <w:rPr>
          <w:rFonts w:cstheme="minorHAnsi"/>
          <w:sz w:val="24"/>
          <w:szCs w:val="24"/>
        </w:rPr>
      </w:pPr>
      <w:r w:rsidRPr="00FD3339">
        <w:rPr>
          <w:rFonts w:cstheme="minorHAnsi"/>
          <w:sz w:val="24"/>
          <w:szCs w:val="24"/>
        </w:rPr>
        <w:t xml:space="preserve">Phase </w:t>
      </w:r>
      <w:r w:rsidR="00916FC3">
        <w:rPr>
          <w:rFonts w:cstheme="minorHAnsi"/>
          <w:sz w:val="24"/>
          <w:szCs w:val="24"/>
        </w:rPr>
        <w:t>2</w:t>
      </w:r>
      <w:r w:rsidRPr="00FD3339">
        <w:rPr>
          <w:rFonts w:cstheme="minorHAnsi"/>
          <w:sz w:val="24"/>
          <w:szCs w:val="24"/>
        </w:rPr>
        <w:t xml:space="preserve"> will then renovate the vacant portion of an existing infusion department to create a new secure-holding behavioral health area for the ED. This will result in sixteen new secure-holding behavioral health rooms with supporting clinical and administrative areas. This phase also includes new ED staff and administrative support areas including private and shared offices, a staff locker room, a staff toilet, and additional storage space. </w:t>
      </w:r>
    </w:p>
    <w:p w14:paraId="2AC44C62" w14:textId="1889C126" w:rsidR="00916FC3" w:rsidRDefault="00FD3339" w:rsidP="00916FC3">
      <w:pPr>
        <w:spacing w:before="240" w:after="0" w:line="229" w:lineRule="exact"/>
        <w:ind w:firstLine="720"/>
        <w:rPr>
          <w:rFonts w:cstheme="minorHAnsi"/>
          <w:sz w:val="24"/>
          <w:szCs w:val="24"/>
        </w:rPr>
      </w:pPr>
      <w:r w:rsidRPr="00FD3339">
        <w:rPr>
          <w:rFonts w:cstheme="minorHAnsi"/>
          <w:sz w:val="24"/>
          <w:szCs w:val="24"/>
        </w:rPr>
        <w:t xml:space="preserve">Phase </w:t>
      </w:r>
      <w:r w:rsidR="00916FC3">
        <w:rPr>
          <w:rFonts w:cstheme="minorHAnsi"/>
          <w:sz w:val="24"/>
          <w:szCs w:val="24"/>
        </w:rPr>
        <w:t xml:space="preserve">3 </w:t>
      </w:r>
      <w:r w:rsidRPr="00FD3339">
        <w:rPr>
          <w:rFonts w:cstheme="minorHAnsi"/>
          <w:sz w:val="24"/>
          <w:szCs w:val="24"/>
        </w:rPr>
        <w:t>will be accomplished in two sub-</w:t>
      </w:r>
      <w:proofErr w:type="gramStart"/>
      <w:r w:rsidRPr="00FD3339">
        <w:rPr>
          <w:rFonts w:cstheme="minorHAnsi"/>
          <w:sz w:val="24"/>
          <w:szCs w:val="24"/>
        </w:rPr>
        <w:t>phases;</w:t>
      </w:r>
      <w:proofErr w:type="gramEnd"/>
      <w:r w:rsidRPr="00FD3339">
        <w:rPr>
          <w:rFonts w:cstheme="minorHAnsi"/>
          <w:sz w:val="24"/>
          <w:szCs w:val="24"/>
        </w:rPr>
        <w:t xml:space="preserve"> A and B: </w:t>
      </w:r>
    </w:p>
    <w:p w14:paraId="02778A96" w14:textId="54945C2F" w:rsidR="00916FC3" w:rsidRDefault="00FD3339" w:rsidP="00916FC3">
      <w:pPr>
        <w:spacing w:before="240" w:after="0" w:line="229" w:lineRule="exact"/>
        <w:ind w:left="1440"/>
        <w:rPr>
          <w:rFonts w:cstheme="minorHAnsi"/>
          <w:sz w:val="24"/>
          <w:szCs w:val="24"/>
        </w:rPr>
      </w:pPr>
      <w:r w:rsidRPr="00FD3339">
        <w:rPr>
          <w:rFonts w:cstheme="minorHAnsi"/>
          <w:sz w:val="24"/>
          <w:szCs w:val="24"/>
        </w:rPr>
        <w:t xml:space="preserve">Phase </w:t>
      </w:r>
      <w:r w:rsidR="00916FC3">
        <w:rPr>
          <w:rFonts w:cstheme="minorHAnsi"/>
          <w:sz w:val="24"/>
          <w:szCs w:val="24"/>
        </w:rPr>
        <w:t>3</w:t>
      </w:r>
      <w:r w:rsidRPr="00FD3339">
        <w:rPr>
          <w:rFonts w:cstheme="minorHAnsi"/>
          <w:sz w:val="24"/>
          <w:szCs w:val="24"/>
        </w:rPr>
        <w:t xml:space="preserve">A will renovate the remaining portion of the existing emergency department that does not contain the existing secure-holding behavioral health rooms. This will include both the renovation of existing and construction of new patient support spaces, supporting clinical areas, and staff support areas. The patient support spaces will include the renovation of existing patient toilets, a new </w:t>
      </w:r>
      <w:proofErr w:type="gramStart"/>
      <w:r w:rsidRPr="00FD3339">
        <w:rPr>
          <w:rFonts w:cstheme="minorHAnsi"/>
          <w:sz w:val="24"/>
          <w:szCs w:val="24"/>
        </w:rPr>
        <w:t>consult</w:t>
      </w:r>
      <w:proofErr w:type="gramEnd"/>
      <w:r w:rsidRPr="00FD3339">
        <w:rPr>
          <w:rFonts w:cstheme="minorHAnsi"/>
          <w:sz w:val="24"/>
          <w:szCs w:val="24"/>
        </w:rPr>
        <w:t xml:space="preserve"> room, nine new private treatment rooms, and the renovation of five existing private treatment rooms. </w:t>
      </w:r>
    </w:p>
    <w:p w14:paraId="1B9CDD32" w14:textId="5AA148BF" w:rsidR="00FD3339" w:rsidRPr="00FD3339" w:rsidRDefault="00FD3339" w:rsidP="00916FC3">
      <w:pPr>
        <w:spacing w:before="240" w:after="0" w:line="229" w:lineRule="exact"/>
        <w:ind w:left="1440"/>
        <w:rPr>
          <w:rFonts w:cstheme="minorHAnsi"/>
          <w:sz w:val="24"/>
          <w:szCs w:val="24"/>
        </w:rPr>
      </w:pPr>
      <w:r w:rsidRPr="00FD3339">
        <w:rPr>
          <w:rFonts w:cstheme="minorHAnsi"/>
          <w:sz w:val="24"/>
          <w:szCs w:val="24"/>
        </w:rPr>
        <w:t xml:space="preserve">Phase </w:t>
      </w:r>
      <w:r w:rsidR="00916FC3">
        <w:rPr>
          <w:rFonts w:cstheme="minorHAnsi"/>
          <w:sz w:val="24"/>
          <w:szCs w:val="24"/>
        </w:rPr>
        <w:t>3</w:t>
      </w:r>
      <w:r w:rsidRPr="00FD3339">
        <w:rPr>
          <w:rFonts w:cstheme="minorHAnsi"/>
          <w:sz w:val="24"/>
          <w:szCs w:val="24"/>
        </w:rPr>
        <w:t xml:space="preserve">B will then renovate the existing emergency department secure-holding behavioral health space to create five new private treatment rooms and </w:t>
      </w:r>
      <w:proofErr w:type="gramStart"/>
      <w:r w:rsidRPr="00FD3339">
        <w:rPr>
          <w:rFonts w:cstheme="minorHAnsi"/>
          <w:sz w:val="24"/>
          <w:szCs w:val="24"/>
        </w:rPr>
        <w:t>supporting</w:t>
      </w:r>
      <w:proofErr w:type="gramEnd"/>
      <w:r w:rsidRPr="00FD3339">
        <w:rPr>
          <w:rFonts w:cstheme="minorHAnsi"/>
          <w:sz w:val="24"/>
          <w:szCs w:val="24"/>
        </w:rPr>
        <w:t xml:space="preserve"> patient, staff, and clinical areas. </w:t>
      </w:r>
    </w:p>
    <w:p w14:paraId="3D501232" w14:textId="7870A0C6" w:rsidR="0016111D" w:rsidRPr="00692126" w:rsidRDefault="00E258EA" w:rsidP="00916FC3">
      <w:pPr>
        <w:spacing w:before="240" w:after="0" w:line="229" w:lineRule="exact"/>
        <w:ind w:left="360"/>
        <w:jc w:val="both"/>
        <w:rPr>
          <w:rFonts w:cstheme="minorHAnsi"/>
          <w:sz w:val="24"/>
          <w:szCs w:val="24"/>
        </w:rPr>
      </w:pPr>
      <w:r>
        <w:rPr>
          <w:rFonts w:cstheme="minorHAnsi"/>
          <w:sz w:val="24"/>
          <w:szCs w:val="24"/>
        </w:rPr>
        <w:t xml:space="preserve">Additionally, </w:t>
      </w:r>
      <w:r w:rsidR="00A65876" w:rsidRPr="00692126">
        <w:rPr>
          <w:rFonts w:cstheme="minorHAnsi"/>
          <w:sz w:val="24"/>
          <w:szCs w:val="24"/>
        </w:rPr>
        <w:t>BID-Plymouth</w:t>
      </w:r>
      <w:r w:rsidR="00E43DC9" w:rsidRPr="00E43DC9">
        <w:rPr>
          <w:rFonts w:cstheme="minorHAnsi"/>
          <w:sz w:val="24"/>
          <w:szCs w:val="24"/>
        </w:rPr>
        <w:t xml:space="preserve"> engaged the Berkeley Research Group to </w:t>
      </w:r>
      <w:proofErr w:type="gramStart"/>
      <w:r w:rsidR="00E43DC9" w:rsidRPr="00E43DC9">
        <w:rPr>
          <w:rFonts w:cstheme="minorHAnsi"/>
          <w:sz w:val="24"/>
          <w:szCs w:val="24"/>
        </w:rPr>
        <w:t>conduct an assessment of</w:t>
      </w:r>
      <w:proofErr w:type="gramEnd"/>
      <w:r w:rsidR="00E43DC9" w:rsidRPr="00E43DC9">
        <w:rPr>
          <w:rFonts w:cstheme="minorHAnsi"/>
          <w:sz w:val="24"/>
          <w:szCs w:val="24"/>
        </w:rPr>
        <w:t xml:space="preserve"> ED throughput opportunities and has begun implementation of the interventions identified</w:t>
      </w:r>
      <w:r w:rsidR="00E43DC9">
        <w:rPr>
          <w:rFonts w:cstheme="minorHAnsi"/>
          <w:sz w:val="24"/>
          <w:szCs w:val="24"/>
        </w:rPr>
        <w:t xml:space="preserve">. These initiatives </w:t>
      </w:r>
      <w:r w:rsidR="00E43DC9" w:rsidRPr="00E43DC9">
        <w:rPr>
          <w:rFonts w:cstheme="minorHAnsi"/>
          <w:sz w:val="24"/>
          <w:szCs w:val="24"/>
        </w:rPr>
        <w:t xml:space="preserve">include </w:t>
      </w:r>
      <w:r w:rsidR="00E43DC9">
        <w:rPr>
          <w:rFonts w:cstheme="minorHAnsi"/>
          <w:sz w:val="24"/>
          <w:szCs w:val="24"/>
        </w:rPr>
        <w:t xml:space="preserve">adjusting </w:t>
      </w:r>
      <w:r w:rsidR="00E43DC9" w:rsidRPr="00E43DC9">
        <w:rPr>
          <w:rFonts w:cstheme="minorHAnsi"/>
          <w:sz w:val="24"/>
          <w:szCs w:val="24"/>
        </w:rPr>
        <w:t>staffing patterns</w:t>
      </w:r>
      <w:r w:rsidR="00E43DC9">
        <w:rPr>
          <w:rFonts w:cstheme="minorHAnsi"/>
          <w:sz w:val="24"/>
          <w:szCs w:val="24"/>
        </w:rPr>
        <w:t xml:space="preserve"> in real time </w:t>
      </w:r>
      <w:r w:rsidR="00E43DC9" w:rsidRPr="00E43DC9">
        <w:rPr>
          <w:rFonts w:cstheme="minorHAnsi"/>
          <w:sz w:val="24"/>
          <w:szCs w:val="24"/>
        </w:rPr>
        <w:t>to meet patient demand</w:t>
      </w:r>
      <w:r w:rsidR="00E43DC9">
        <w:rPr>
          <w:rFonts w:cstheme="minorHAnsi"/>
          <w:sz w:val="24"/>
          <w:szCs w:val="24"/>
        </w:rPr>
        <w:t xml:space="preserve">, </w:t>
      </w:r>
      <w:r w:rsidR="00E43DC9" w:rsidRPr="00E43DC9">
        <w:rPr>
          <w:rFonts w:cstheme="minorHAnsi"/>
          <w:sz w:val="24"/>
          <w:szCs w:val="24"/>
        </w:rPr>
        <w:t xml:space="preserve">focusing on reducing turnaround times for diagnostic imaging studies </w:t>
      </w:r>
      <w:r w:rsidR="00E43DC9">
        <w:rPr>
          <w:rFonts w:cstheme="minorHAnsi"/>
          <w:sz w:val="24"/>
          <w:szCs w:val="24"/>
        </w:rPr>
        <w:t>through</w:t>
      </w:r>
      <w:r w:rsidR="00E43DC9" w:rsidRPr="00E43DC9">
        <w:rPr>
          <w:rFonts w:cstheme="minorHAnsi"/>
          <w:sz w:val="24"/>
          <w:szCs w:val="24"/>
        </w:rPr>
        <w:t xml:space="preserve"> the addition of another teleradiology service when testing volume warrants additional radiologists to interpret completed studies, and implementing laboratory point of care testing within the Emergency Department to </w:t>
      </w:r>
      <w:r w:rsidR="00E43DC9">
        <w:rPr>
          <w:rFonts w:cstheme="minorHAnsi"/>
          <w:sz w:val="24"/>
          <w:szCs w:val="24"/>
        </w:rPr>
        <w:t xml:space="preserve">improve </w:t>
      </w:r>
      <w:r w:rsidR="00E43DC9" w:rsidRPr="00E43DC9">
        <w:rPr>
          <w:rFonts w:cstheme="minorHAnsi"/>
          <w:sz w:val="24"/>
          <w:szCs w:val="24"/>
        </w:rPr>
        <w:t>laboratory testing turnaround times. In addition</w:t>
      </w:r>
      <w:r w:rsidR="00E43DC9">
        <w:rPr>
          <w:rFonts w:cstheme="minorHAnsi"/>
          <w:sz w:val="24"/>
          <w:szCs w:val="24"/>
        </w:rPr>
        <w:t>, BID-Plymouth convened an</w:t>
      </w:r>
      <w:r w:rsidR="00E43DC9" w:rsidRPr="00E43DC9">
        <w:rPr>
          <w:rFonts w:cstheme="minorHAnsi"/>
          <w:sz w:val="24"/>
          <w:szCs w:val="24"/>
        </w:rPr>
        <w:t xml:space="preserve"> ED Throughput Multidisciplinary Steering Team to </w:t>
      </w:r>
      <w:r w:rsidR="00E43DC9">
        <w:rPr>
          <w:rFonts w:cstheme="minorHAnsi"/>
          <w:sz w:val="24"/>
          <w:szCs w:val="24"/>
        </w:rPr>
        <w:t>oversee the</w:t>
      </w:r>
      <w:r w:rsidR="00E43DC9" w:rsidRPr="00E43DC9">
        <w:rPr>
          <w:rFonts w:cstheme="minorHAnsi"/>
          <w:sz w:val="24"/>
          <w:szCs w:val="24"/>
        </w:rPr>
        <w:t xml:space="preserve"> workgroups </w:t>
      </w:r>
      <w:r w:rsidR="00E43DC9">
        <w:rPr>
          <w:rFonts w:cstheme="minorHAnsi"/>
          <w:sz w:val="24"/>
          <w:szCs w:val="24"/>
        </w:rPr>
        <w:t xml:space="preserve">responsible for implementing the above </w:t>
      </w:r>
      <w:r w:rsidR="00E43DC9" w:rsidRPr="00E43DC9">
        <w:rPr>
          <w:rFonts w:cstheme="minorHAnsi"/>
          <w:sz w:val="24"/>
          <w:szCs w:val="24"/>
        </w:rPr>
        <w:t>strategies</w:t>
      </w:r>
      <w:r w:rsidR="00E43DC9">
        <w:rPr>
          <w:rFonts w:cstheme="minorHAnsi"/>
          <w:sz w:val="24"/>
          <w:szCs w:val="24"/>
        </w:rPr>
        <w:t>, evaluating outcomes,</w:t>
      </w:r>
      <w:r w:rsidR="00E43DC9" w:rsidRPr="00E43DC9">
        <w:rPr>
          <w:rFonts w:cstheme="minorHAnsi"/>
          <w:sz w:val="24"/>
          <w:szCs w:val="24"/>
        </w:rPr>
        <w:t xml:space="preserve"> and </w:t>
      </w:r>
      <w:r w:rsidR="00E43DC9">
        <w:rPr>
          <w:rFonts w:cstheme="minorHAnsi"/>
          <w:sz w:val="24"/>
          <w:szCs w:val="24"/>
        </w:rPr>
        <w:t>identifying the potential need for</w:t>
      </w:r>
      <w:r w:rsidR="00E43DC9" w:rsidRPr="00E43DC9">
        <w:rPr>
          <w:rFonts w:cstheme="minorHAnsi"/>
          <w:sz w:val="24"/>
          <w:szCs w:val="24"/>
        </w:rPr>
        <w:t xml:space="preserve"> additional interventions.</w:t>
      </w:r>
    </w:p>
    <w:p w14:paraId="7C59D734" w14:textId="77777777" w:rsidR="00C03FB1" w:rsidRPr="00692126" w:rsidRDefault="00E25483" w:rsidP="00F27F11">
      <w:pPr>
        <w:pStyle w:val="ListParagraph"/>
        <w:numPr>
          <w:ilvl w:val="0"/>
          <w:numId w:val="2"/>
        </w:numPr>
        <w:spacing w:before="240" w:after="0" w:line="229" w:lineRule="exact"/>
        <w:rPr>
          <w:rFonts w:cstheme="minorHAnsi"/>
          <w:b/>
          <w:bCs/>
          <w:sz w:val="24"/>
          <w:szCs w:val="24"/>
        </w:rPr>
      </w:pPr>
      <w:r w:rsidRPr="00692126">
        <w:rPr>
          <w:rFonts w:cstheme="minorHAnsi"/>
          <w:b/>
          <w:bCs/>
          <w:sz w:val="24"/>
          <w:szCs w:val="24"/>
        </w:rPr>
        <w:t xml:space="preserve">Narrative page 7 discusses the need for additional Behavioral Health beds. </w:t>
      </w:r>
    </w:p>
    <w:p w14:paraId="6535AB40" w14:textId="107890DB" w:rsidR="00A053DF" w:rsidRPr="00692126" w:rsidRDefault="00E25483" w:rsidP="00F27F11">
      <w:pPr>
        <w:pStyle w:val="ListParagraph"/>
        <w:numPr>
          <w:ilvl w:val="1"/>
          <w:numId w:val="2"/>
        </w:numPr>
        <w:spacing w:before="240" w:after="0" w:line="229" w:lineRule="exact"/>
        <w:rPr>
          <w:rFonts w:cstheme="minorHAnsi"/>
          <w:b/>
          <w:bCs/>
          <w:sz w:val="24"/>
          <w:szCs w:val="24"/>
        </w:rPr>
      </w:pPr>
      <w:r w:rsidRPr="00692126">
        <w:rPr>
          <w:rFonts w:cstheme="minorHAnsi"/>
          <w:b/>
          <w:bCs/>
          <w:sz w:val="24"/>
          <w:szCs w:val="24"/>
        </w:rPr>
        <w:t xml:space="preserve">How did the application determine that </w:t>
      </w:r>
      <w:r w:rsidR="008C24B6" w:rsidRPr="00692126">
        <w:rPr>
          <w:rFonts w:cstheme="minorHAnsi"/>
          <w:b/>
          <w:bCs/>
          <w:sz w:val="24"/>
          <w:szCs w:val="24"/>
        </w:rPr>
        <w:t xml:space="preserve">9 </w:t>
      </w:r>
      <w:r w:rsidR="00144EBA" w:rsidRPr="00692126">
        <w:rPr>
          <w:rFonts w:cstheme="minorHAnsi"/>
          <w:b/>
          <w:bCs/>
          <w:sz w:val="24"/>
          <w:szCs w:val="24"/>
        </w:rPr>
        <w:t xml:space="preserve">beds </w:t>
      </w:r>
      <w:proofErr w:type="gramStart"/>
      <w:r w:rsidR="00144EBA" w:rsidRPr="00692126">
        <w:rPr>
          <w:rFonts w:cstheme="minorHAnsi"/>
          <w:b/>
          <w:bCs/>
          <w:sz w:val="24"/>
          <w:szCs w:val="24"/>
        </w:rPr>
        <w:t>was</w:t>
      </w:r>
      <w:proofErr w:type="gramEnd"/>
      <w:r w:rsidR="00144EBA" w:rsidRPr="00692126">
        <w:rPr>
          <w:rFonts w:cstheme="minorHAnsi"/>
          <w:b/>
          <w:bCs/>
          <w:sz w:val="24"/>
          <w:szCs w:val="24"/>
        </w:rPr>
        <w:t xml:space="preserve"> the appropriate number of beds to add to the unit?</w:t>
      </w:r>
    </w:p>
    <w:p w14:paraId="3E98EE7E" w14:textId="77777777" w:rsidR="007B0FD2" w:rsidRDefault="007B0FD2" w:rsidP="00311C74">
      <w:pPr>
        <w:pStyle w:val="ListParagraph"/>
        <w:spacing w:before="240" w:after="0" w:line="229" w:lineRule="exact"/>
        <w:ind w:left="1440"/>
        <w:rPr>
          <w:rFonts w:cstheme="minorHAnsi"/>
          <w:sz w:val="24"/>
          <w:szCs w:val="24"/>
        </w:rPr>
      </w:pPr>
    </w:p>
    <w:p w14:paraId="0099BC0C" w14:textId="36981B60" w:rsidR="00311C74" w:rsidRPr="00692126" w:rsidRDefault="00BB5DFC" w:rsidP="00311C74">
      <w:pPr>
        <w:pStyle w:val="ListParagraph"/>
        <w:spacing w:before="240" w:after="0" w:line="229" w:lineRule="exact"/>
        <w:ind w:left="1440"/>
        <w:rPr>
          <w:rFonts w:cstheme="minorHAnsi"/>
          <w:sz w:val="24"/>
          <w:szCs w:val="24"/>
        </w:rPr>
      </w:pPr>
      <w:r w:rsidRPr="00692126">
        <w:rPr>
          <w:rFonts w:cstheme="minorHAnsi"/>
          <w:sz w:val="24"/>
          <w:szCs w:val="24"/>
        </w:rPr>
        <w:t xml:space="preserve">The Hospital determined that 16 behavioral health beds would provide sufficient capacity based on historical utilization. </w:t>
      </w:r>
      <w:r w:rsidR="00A158F9">
        <w:rPr>
          <w:rFonts w:cstheme="minorHAnsi"/>
          <w:sz w:val="24"/>
          <w:szCs w:val="24"/>
        </w:rPr>
        <w:t>The</w:t>
      </w:r>
      <w:r w:rsidRPr="00692126">
        <w:rPr>
          <w:rFonts w:cstheme="minorHAnsi"/>
          <w:sz w:val="24"/>
          <w:szCs w:val="24"/>
        </w:rPr>
        <w:t xml:space="preserve"> Hospital</w:t>
      </w:r>
      <w:r w:rsidR="00A158F9">
        <w:rPr>
          <w:rFonts w:cstheme="minorHAnsi"/>
          <w:sz w:val="24"/>
          <w:szCs w:val="24"/>
        </w:rPr>
        <w:t xml:space="preserve"> utilized the </w:t>
      </w:r>
      <w:r w:rsidRPr="00692126">
        <w:rPr>
          <w:rFonts w:cstheme="minorHAnsi"/>
          <w:sz w:val="24"/>
          <w:szCs w:val="24"/>
        </w:rPr>
        <w:t xml:space="preserve">number of behavioral health visits in the ED from 2018 to 2021. During this period, the ED had an average of </w:t>
      </w:r>
      <w:r w:rsidR="002017F0">
        <w:rPr>
          <w:rFonts w:cstheme="minorHAnsi"/>
          <w:sz w:val="24"/>
          <w:szCs w:val="24"/>
        </w:rPr>
        <w:t>seven (7)</w:t>
      </w:r>
      <w:r w:rsidRPr="00692126">
        <w:rPr>
          <w:rFonts w:cstheme="minorHAnsi"/>
          <w:sz w:val="24"/>
          <w:szCs w:val="24"/>
        </w:rPr>
        <w:t xml:space="preserve"> beds </w:t>
      </w:r>
      <w:r w:rsidR="00A158F9">
        <w:rPr>
          <w:rFonts w:cstheme="minorHAnsi"/>
          <w:sz w:val="24"/>
          <w:szCs w:val="24"/>
        </w:rPr>
        <w:t>used for</w:t>
      </w:r>
      <w:r w:rsidRPr="00692126">
        <w:rPr>
          <w:rFonts w:cstheme="minorHAnsi"/>
          <w:sz w:val="24"/>
          <w:szCs w:val="24"/>
        </w:rPr>
        <w:t xml:space="preserve"> behavior</w:t>
      </w:r>
      <w:r w:rsidR="00A158F9">
        <w:rPr>
          <w:rFonts w:cstheme="minorHAnsi"/>
          <w:sz w:val="24"/>
          <w:szCs w:val="24"/>
        </w:rPr>
        <w:t>al health patients. By having 16 beds, the Hospital will be able to accommodate peak volumes</w:t>
      </w:r>
      <w:r w:rsidR="002017F0">
        <w:rPr>
          <w:rFonts w:cstheme="minorHAnsi"/>
          <w:sz w:val="24"/>
          <w:szCs w:val="24"/>
        </w:rPr>
        <w:t xml:space="preserve"> as well as serve multiple populations simultaneously.  </w:t>
      </w:r>
    </w:p>
    <w:p w14:paraId="6A3DE694" w14:textId="77777777" w:rsidR="001A0D95" w:rsidRPr="00692126" w:rsidRDefault="001A0D95" w:rsidP="001A0D95">
      <w:pPr>
        <w:pStyle w:val="ListParagraph"/>
        <w:spacing w:before="240" w:after="0" w:line="229" w:lineRule="exact"/>
        <w:ind w:left="2160"/>
        <w:rPr>
          <w:rFonts w:cstheme="minorHAnsi"/>
          <w:sz w:val="24"/>
          <w:szCs w:val="24"/>
        </w:rPr>
      </w:pPr>
    </w:p>
    <w:p w14:paraId="43A3F928" w14:textId="77777777" w:rsidR="001A0D95" w:rsidRPr="00692126" w:rsidRDefault="001A0D95" w:rsidP="001A0D95">
      <w:pPr>
        <w:pStyle w:val="ListParagraph"/>
        <w:spacing w:before="240" w:after="0" w:line="229" w:lineRule="exact"/>
        <w:ind w:left="2160"/>
        <w:rPr>
          <w:rFonts w:cstheme="minorHAnsi"/>
          <w:sz w:val="24"/>
          <w:szCs w:val="24"/>
        </w:rPr>
      </w:pPr>
    </w:p>
    <w:p w14:paraId="6A32A14D" w14:textId="39A7DD32" w:rsidR="0016111D" w:rsidRPr="00692126" w:rsidRDefault="00C03FB1" w:rsidP="00F27F11">
      <w:pPr>
        <w:pStyle w:val="ListParagraph"/>
        <w:numPr>
          <w:ilvl w:val="1"/>
          <w:numId w:val="2"/>
        </w:numPr>
        <w:spacing w:before="240" w:after="0" w:line="229" w:lineRule="exact"/>
        <w:rPr>
          <w:rFonts w:cstheme="minorHAnsi"/>
          <w:b/>
          <w:bCs/>
          <w:sz w:val="24"/>
          <w:szCs w:val="24"/>
        </w:rPr>
      </w:pPr>
      <w:r w:rsidRPr="00692126">
        <w:rPr>
          <w:rFonts w:cstheme="minorHAnsi"/>
          <w:b/>
          <w:bCs/>
          <w:sz w:val="24"/>
          <w:szCs w:val="24"/>
        </w:rPr>
        <w:t xml:space="preserve">Will the Hospital have sufficient </w:t>
      </w:r>
      <w:r w:rsidR="008B52CB" w:rsidRPr="00692126">
        <w:rPr>
          <w:rFonts w:cstheme="minorHAnsi"/>
          <w:b/>
          <w:bCs/>
          <w:sz w:val="24"/>
          <w:szCs w:val="24"/>
        </w:rPr>
        <w:t>inpatient capacity to serve the needs</w:t>
      </w:r>
      <w:r w:rsidR="00140AE5" w:rsidRPr="00692126">
        <w:rPr>
          <w:rFonts w:cstheme="minorHAnsi"/>
          <w:b/>
          <w:bCs/>
          <w:sz w:val="24"/>
          <w:szCs w:val="24"/>
        </w:rPr>
        <w:t xml:space="preserve"> of behavioral health individuals?</w:t>
      </w:r>
      <w:r w:rsidR="00326742" w:rsidRPr="00692126">
        <w:rPr>
          <w:rFonts w:cstheme="minorHAnsi"/>
          <w:b/>
          <w:bCs/>
          <w:sz w:val="24"/>
          <w:szCs w:val="24"/>
        </w:rPr>
        <w:t xml:space="preserve"> </w:t>
      </w:r>
    </w:p>
    <w:p w14:paraId="4BF99CEA" w14:textId="77777777" w:rsidR="007B0FD2" w:rsidRDefault="007B0FD2" w:rsidP="00C36419">
      <w:pPr>
        <w:pStyle w:val="ListParagraph"/>
        <w:spacing w:before="240" w:after="0" w:line="229" w:lineRule="exact"/>
        <w:ind w:left="1440"/>
        <w:jc w:val="both"/>
        <w:rPr>
          <w:rFonts w:cstheme="minorHAnsi"/>
          <w:sz w:val="24"/>
          <w:szCs w:val="24"/>
        </w:rPr>
      </w:pPr>
    </w:p>
    <w:p w14:paraId="1280D7D9" w14:textId="2BBB2E7F" w:rsidR="00C36419" w:rsidRPr="00692126" w:rsidRDefault="00A158F9" w:rsidP="00C36419">
      <w:pPr>
        <w:pStyle w:val="ListParagraph"/>
        <w:spacing w:before="240" w:after="0" w:line="229" w:lineRule="exact"/>
        <w:ind w:left="1440"/>
        <w:jc w:val="both"/>
        <w:rPr>
          <w:rFonts w:cstheme="minorHAnsi"/>
          <w:sz w:val="24"/>
          <w:szCs w:val="24"/>
        </w:rPr>
      </w:pPr>
      <w:r>
        <w:rPr>
          <w:rFonts w:cstheme="minorHAnsi"/>
          <w:sz w:val="24"/>
          <w:szCs w:val="24"/>
        </w:rPr>
        <w:t>This project does not involve an increase in inpatient psychiatric beds at the hospital. It is important to recognize that</w:t>
      </w:r>
      <w:r w:rsidR="00C36419" w:rsidRPr="00692126">
        <w:rPr>
          <w:rFonts w:cstheme="minorHAnsi"/>
          <w:sz w:val="24"/>
          <w:szCs w:val="24"/>
        </w:rPr>
        <w:t xml:space="preserve"> Hospital’s inpatient </w:t>
      </w:r>
      <w:r>
        <w:rPr>
          <w:rFonts w:cstheme="minorHAnsi"/>
          <w:sz w:val="24"/>
          <w:szCs w:val="24"/>
        </w:rPr>
        <w:t xml:space="preserve">psychiatric bed </w:t>
      </w:r>
      <w:r w:rsidR="00C36419" w:rsidRPr="00692126">
        <w:rPr>
          <w:rFonts w:cstheme="minorHAnsi"/>
          <w:sz w:val="24"/>
          <w:szCs w:val="24"/>
        </w:rPr>
        <w:t>capacity does not dictate where patients will seek emergency services</w:t>
      </w:r>
      <w:r>
        <w:rPr>
          <w:rFonts w:cstheme="minorHAnsi"/>
          <w:sz w:val="24"/>
          <w:szCs w:val="24"/>
        </w:rPr>
        <w:t xml:space="preserve"> and the project is addressing the need for patients presenting to the ED in need of behavioral health services, not all of which require an inpatient admission</w:t>
      </w:r>
      <w:r w:rsidR="00C36419" w:rsidRPr="00692126">
        <w:rPr>
          <w:rFonts w:cstheme="minorHAnsi"/>
          <w:sz w:val="24"/>
          <w:szCs w:val="24"/>
        </w:rPr>
        <w:t xml:space="preserve"> </w:t>
      </w:r>
    </w:p>
    <w:p w14:paraId="0D1D3900" w14:textId="77777777" w:rsidR="0016111D" w:rsidRPr="00692126" w:rsidRDefault="0016111D" w:rsidP="0016111D">
      <w:pPr>
        <w:spacing w:after="0" w:line="229" w:lineRule="exact"/>
        <w:ind w:left="1080"/>
        <w:rPr>
          <w:rFonts w:cstheme="minorHAnsi"/>
          <w:sz w:val="24"/>
          <w:szCs w:val="24"/>
        </w:rPr>
      </w:pPr>
    </w:p>
    <w:p w14:paraId="4EDFB6CD" w14:textId="77777777" w:rsidR="00EE0BC5" w:rsidRPr="00692126" w:rsidRDefault="002B0AF0" w:rsidP="00F27F11">
      <w:pPr>
        <w:pStyle w:val="ListParagraph"/>
        <w:numPr>
          <w:ilvl w:val="0"/>
          <w:numId w:val="2"/>
        </w:numPr>
        <w:spacing w:before="240" w:after="0" w:line="229" w:lineRule="exact"/>
        <w:rPr>
          <w:rFonts w:cstheme="minorHAnsi"/>
          <w:b/>
          <w:bCs/>
          <w:sz w:val="24"/>
          <w:szCs w:val="24"/>
        </w:rPr>
      </w:pPr>
      <w:r w:rsidRPr="00692126">
        <w:rPr>
          <w:rFonts w:cstheme="minorHAnsi"/>
          <w:b/>
          <w:bCs/>
          <w:sz w:val="24"/>
          <w:szCs w:val="24"/>
        </w:rPr>
        <w:t xml:space="preserve">Page 7 of the Narrative </w:t>
      </w:r>
      <w:r w:rsidR="00D556A3" w:rsidRPr="00692126">
        <w:rPr>
          <w:rFonts w:cstheme="minorHAnsi"/>
          <w:b/>
          <w:bCs/>
          <w:sz w:val="24"/>
          <w:szCs w:val="24"/>
        </w:rPr>
        <w:t>states, “</w:t>
      </w:r>
      <w:r w:rsidR="007F7A71" w:rsidRPr="00692126">
        <w:rPr>
          <w:rFonts w:cstheme="minorHAnsi"/>
          <w:b/>
          <w:bCs/>
          <w:sz w:val="24"/>
          <w:szCs w:val="24"/>
        </w:rPr>
        <w:t xml:space="preserve">Annually, Plymouth’s population is growing at a rate of 3.52% and is expected to grow by an additional 10,000 residents by 2035.  </w:t>
      </w:r>
    </w:p>
    <w:p w14:paraId="1E6EF46B" w14:textId="4178A5B3" w:rsidR="00627A68" w:rsidRPr="00692126" w:rsidRDefault="00EE0BC5" w:rsidP="00F27F11">
      <w:pPr>
        <w:pStyle w:val="ListParagraph"/>
        <w:numPr>
          <w:ilvl w:val="1"/>
          <w:numId w:val="2"/>
        </w:numPr>
        <w:spacing w:before="240" w:after="0" w:line="229" w:lineRule="exact"/>
        <w:rPr>
          <w:rFonts w:cstheme="minorHAnsi"/>
          <w:b/>
          <w:bCs/>
          <w:sz w:val="24"/>
          <w:szCs w:val="24"/>
        </w:rPr>
      </w:pPr>
      <w:r w:rsidRPr="00692126">
        <w:rPr>
          <w:rFonts w:cstheme="minorHAnsi"/>
          <w:b/>
          <w:bCs/>
          <w:sz w:val="24"/>
          <w:szCs w:val="24"/>
        </w:rPr>
        <w:lastRenderedPageBreak/>
        <w:t xml:space="preserve">Given the 3.52% population growth rate cited, please explain why </w:t>
      </w:r>
      <w:r w:rsidR="005A6618" w:rsidRPr="00692126">
        <w:rPr>
          <w:rFonts w:cstheme="minorHAnsi"/>
          <w:b/>
          <w:bCs/>
          <w:sz w:val="24"/>
          <w:szCs w:val="24"/>
        </w:rPr>
        <w:t>only a 2% growth rate was applied to projections.</w:t>
      </w:r>
    </w:p>
    <w:p w14:paraId="072EEDD4" w14:textId="77777777" w:rsidR="001353C3" w:rsidRPr="00692126" w:rsidRDefault="001353C3" w:rsidP="001353C3">
      <w:pPr>
        <w:pStyle w:val="ListParagraph"/>
        <w:spacing w:before="240" w:after="0" w:line="229" w:lineRule="exact"/>
        <w:ind w:left="1440"/>
        <w:rPr>
          <w:rFonts w:cstheme="minorHAnsi"/>
          <w:b/>
          <w:bCs/>
          <w:sz w:val="24"/>
          <w:szCs w:val="24"/>
        </w:rPr>
      </w:pPr>
    </w:p>
    <w:p w14:paraId="32D0DEF3" w14:textId="609312AD" w:rsidR="001353C3" w:rsidRPr="00692126" w:rsidRDefault="001353C3" w:rsidP="001353C3">
      <w:pPr>
        <w:pStyle w:val="ListParagraph"/>
        <w:spacing w:before="240" w:after="0" w:line="229" w:lineRule="exact"/>
        <w:ind w:left="1440"/>
        <w:jc w:val="both"/>
        <w:rPr>
          <w:rFonts w:cstheme="minorHAnsi"/>
          <w:sz w:val="24"/>
          <w:szCs w:val="24"/>
        </w:rPr>
      </w:pPr>
      <w:r w:rsidRPr="00692126">
        <w:rPr>
          <w:rFonts w:cstheme="minorHAnsi"/>
          <w:sz w:val="24"/>
          <w:szCs w:val="24"/>
        </w:rPr>
        <w:t xml:space="preserve">A 2% growth rate for emergency services was applied to the Hospital’s projections to account for better utilization of virtual care, telemedicine, primary care, and urgent care for low acuity conditions. As these services are used more consistently for patients who would have gone to the ED with ESI level 5 or level 4 complaints, the Applicant anticipates emergency services will grow at a slightly lower rate than the population. </w:t>
      </w:r>
      <w:r w:rsidR="00A158F9">
        <w:rPr>
          <w:rFonts w:cstheme="minorHAnsi"/>
          <w:sz w:val="24"/>
          <w:szCs w:val="24"/>
        </w:rPr>
        <w:t>In addition, the Hospital experienced an increase in ED visits due to the closure of Brockton Hospital. With the Hospital’s reopening, it anticipates that patients will chose to obtain emergency services locally rather than travelling to Plymouth.</w:t>
      </w:r>
    </w:p>
    <w:p w14:paraId="2C1AE1BB" w14:textId="77777777" w:rsidR="0016111D" w:rsidRPr="00692126" w:rsidRDefault="0016111D" w:rsidP="0016111D">
      <w:pPr>
        <w:spacing w:after="0" w:line="229" w:lineRule="exact"/>
        <w:ind w:left="1080"/>
        <w:rPr>
          <w:rFonts w:cstheme="minorHAnsi"/>
          <w:sz w:val="24"/>
          <w:szCs w:val="24"/>
        </w:rPr>
      </w:pPr>
    </w:p>
    <w:p w14:paraId="623DDEAA" w14:textId="0FE93745" w:rsidR="00806593" w:rsidRPr="00692126" w:rsidRDefault="00277D9A" w:rsidP="00F27F11">
      <w:pPr>
        <w:pStyle w:val="ListParagraph"/>
        <w:numPr>
          <w:ilvl w:val="0"/>
          <w:numId w:val="2"/>
        </w:numPr>
        <w:spacing w:before="240" w:after="0" w:line="229" w:lineRule="exact"/>
        <w:rPr>
          <w:rFonts w:cstheme="minorHAnsi"/>
          <w:b/>
          <w:bCs/>
          <w:sz w:val="24"/>
          <w:szCs w:val="24"/>
        </w:rPr>
      </w:pPr>
      <w:r w:rsidRPr="00692126">
        <w:rPr>
          <w:rFonts w:cstheme="minorHAnsi"/>
          <w:b/>
          <w:bCs/>
          <w:sz w:val="24"/>
          <w:szCs w:val="24"/>
        </w:rPr>
        <w:t xml:space="preserve">In table </w:t>
      </w:r>
      <w:r w:rsidR="00BD5E37" w:rsidRPr="00692126">
        <w:rPr>
          <w:rFonts w:cstheme="minorHAnsi"/>
          <w:b/>
          <w:bCs/>
          <w:sz w:val="24"/>
          <w:szCs w:val="24"/>
        </w:rPr>
        <w:t xml:space="preserve">6 on page 7 of the Narrative, Year 1 </w:t>
      </w:r>
      <w:r w:rsidR="0085466C" w:rsidRPr="00692126">
        <w:rPr>
          <w:rFonts w:cstheme="minorHAnsi"/>
          <w:b/>
          <w:bCs/>
          <w:sz w:val="24"/>
          <w:szCs w:val="24"/>
        </w:rPr>
        <w:t xml:space="preserve">volume </w:t>
      </w:r>
      <w:r w:rsidR="00BD5E37" w:rsidRPr="00692126">
        <w:rPr>
          <w:rFonts w:cstheme="minorHAnsi"/>
          <w:b/>
          <w:bCs/>
          <w:sz w:val="24"/>
          <w:szCs w:val="24"/>
        </w:rPr>
        <w:t xml:space="preserve">is projected to be approximately </w:t>
      </w:r>
      <w:r w:rsidR="0085466C" w:rsidRPr="00692126">
        <w:rPr>
          <w:rFonts w:cstheme="minorHAnsi"/>
          <w:b/>
          <w:bCs/>
          <w:sz w:val="24"/>
          <w:szCs w:val="24"/>
        </w:rPr>
        <w:t>44,481. However, the annualize</w:t>
      </w:r>
      <w:r w:rsidR="00B517FB" w:rsidRPr="00692126">
        <w:rPr>
          <w:rFonts w:cstheme="minorHAnsi"/>
          <w:b/>
          <w:bCs/>
          <w:sz w:val="24"/>
          <w:szCs w:val="24"/>
        </w:rPr>
        <w:t>d</w:t>
      </w:r>
      <w:r w:rsidR="0085466C" w:rsidRPr="00692126">
        <w:rPr>
          <w:rFonts w:cstheme="minorHAnsi"/>
          <w:b/>
          <w:bCs/>
          <w:sz w:val="24"/>
          <w:szCs w:val="24"/>
        </w:rPr>
        <w:t xml:space="preserve"> data for 2024 volume </w:t>
      </w:r>
      <w:r w:rsidR="0022349D" w:rsidRPr="00692126">
        <w:rPr>
          <w:rFonts w:cstheme="minorHAnsi"/>
          <w:b/>
          <w:bCs/>
          <w:sz w:val="24"/>
          <w:szCs w:val="24"/>
        </w:rPr>
        <w:t xml:space="preserve">was approximately </w:t>
      </w:r>
      <w:r w:rsidR="00CC4A55" w:rsidRPr="00692126">
        <w:rPr>
          <w:rFonts w:cstheme="minorHAnsi"/>
          <w:b/>
          <w:bCs/>
          <w:sz w:val="24"/>
          <w:szCs w:val="24"/>
        </w:rPr>
        <w:t xml:space="preserve">45,952. Could the Applicant please explain the presumed decrease in volume from FY2024 </w:t>
      </w:r>
      <w:r w:rsidR="006409C8" w:rsidRPr="00692126">
        <w:rPr>
          <w:rFonts w:cstheme="minorHAnsi"/>
          <w:b/>
          <w:bCs/>
          <w:sz w:val="24"/>
          <w:szCs w:val="24"/>
        </w:rPr>
        <w:t>to Year 1 (FY2029)</w:t>
      </w:r>
      <w:r w:rsidR="0016111D" w:rsidRPr="00692126">
        <w:rPr>
          <w:rFonts w:cstheme="minorHAnsi"/>
          <w:b/>
          <w:bCs/>
          <w:sz w:val="24"/>
          <w:szCs w:val="24"/>
        </w:rPr>
        <w:t>.</w:t>
      </w:r>
    </w:p>
    <w:p w14:paraId="52F95019" w14:textId="77777777" w:rsidR="001353C3" w:rsidRPr="00692126" w:rsidRDefault="001353C3" w:rsidP="001353C3">
      <w:pPr>
        <w:pStyle w:val="ListParagraph"/>
        <w:spacing w:before="240" w:after="0" w:line="229" w:lineRule="exact"/>
        <w:rPr>
          <w:rFonts w:cstheme="minorHAnsi"/>
          <w:sz w:val="24"/>
          <w:szCs w:val="24"/>
        </w:rPr>
      </w:pPr>
    </w:p>
    <w:p w14:paraId="7DD87BC8" w14:textId="7E8AEF92" w:rsidR="00A65876" w:rsidRPr="00692126" w:rsidRDefault="00A65876" w:rsidP="00A65876">
      <w:pPr>
        <w:spacing w:line="229" w:lineRule="exact"/>
        <w:ind w:left="720"/>
        <w:rPr>
          <w:rFonts w:cstheme="minorHAnsi"/>
          <w:sz w:val="24"/>
          <w:szCs w:val="24"/>
        </w:rPr>
      </w:pPr>
      <w:r w:rsidRPr="00692126">
        <w:rPr>
          <w:rFonts w:cstheme="minorHAnsi"/>
          <w:sz w:val="24"/>
          <w:szCs w:val="24"/>
        </w:rPr>
        <w:t>Please refer to the table below for the Applicant’s current projections which were provided in the CPA Report</w:t>
      </w:r>
      <w:r w:rsidR="005C681E" w:rsidRPr="00692126">
        <w:rPr>
          <w:rFonts w:cstheme="minorHAnsi"/>
          <w:sz w:val="24"/>
          <w:szCs w:val="24"/>
        </w:rPr>
        <w:t xml:space="preserve"> and more accurately reflect when the Proposed Project will be fully operational</w:t>
      </w:r>
      <w:r w:rsidRPr="00692126">
        <w:rPr>
          <w:rFonts w:cstheme="minorHAnsi"/>
          <w:sz w:val="24"/>
          <w:szCs w:val="24"/>
        </w:rPr>
        <w:t>.</w:t>
      </w:r>
    </w:p>
    <w:p w14:paraId="3EE35161" w14:textId="77777777" w:rsidR="00A65876" w:rsidRPr="00692126" w:rsidRDefault="00A65876" w:rsidP="00A65876">
      <w:pPr>
        <w:spacing w:line="229" w:lineRule="exact"/>
        <w:ind w:left="720"/>
        <w:rPr>
          <w:rFonts w:cstheme="minorHAnsi"/>
          <w:sz w:val="24"/>
          <w:szCs w:val="24"/>
        </w:rPr>
      </w:pPr>
    </w:p>
    <w:tbl>
      <w:tblPr>
        <w:tblStyle w:val="TableGrid"/>
        <w:tblW w:w="8730" w:type="dxa"/>
        <w:jc w:val="center"/>
        <w:tblLayout w:type="fixed"/>
        <w:tblCellMar>
          <w:left w:w="115" w:type="dxa"/>
          <w:right w:w="115" w:type="dxa"/>
        </w:tblCellMar>
        <w:tblLook w:val="04A0" w:firstRow="1" w:lastRow="0" w:firstColumn="1" w:lastColumn="0" w:noHBand="0" w:noVBand="1"/>
      </w:tblPr>
      <w:tblGrid>
        <w:gridCol w:w="1975"/>
        <w:gridCol w:w="1625"/>
        <w:gridCol w:w="1260"/>
        <w:gridCol w:w="1350"/>
        <w:gridCol w:w="1260"/>
        <w:gridCol w:w="1260"/>
      </w:tblGrid>
      <w:tr w:rsidR="00692126" w:rsidRPr="00692126" w14:paraId="64C225E6" w14:textId="77777777" w:rsidTr="005C681E">
        <w:trPr>
          <w:cantSplit/>
          <w:tblHeader/>
          <w:jc w:val="center"/>
        </w:trPr>
        <w:tc>
          <w:tcPr>
            <w:tcW w:w="1975" w:type="dxa"/>
          </w:tcPr>
          <w:p w14:paraId="63DFD2D3" w14:textId="77777777" w:rsidR="00A65876" w:rsidRPr="00A65876" w:rsidRDefault="00A65876" w:rsidP="005C681E">
            <w:pPr>
              <w:spacing w:after="160" w:line="229" w:lineRule="exact"/>
              <w:jc w:val="center"/>
              <w:rPr>
                <w:rFonts w:cstheme="minorHAnsi"/>
                <w:b/>
                <w:bCs/>
                <w:sz w:val="24"/>
                <w:szCs w:val="24"/>
              </w:rPr>
            </w:pPr>
            <w:r w:rsidRPr="00A65876">
              <w:rPr>
                <w:rFonts w:cstheme="minorHAnsi"/>
                <w:b/>
                <w:bCs/>
                <w:sz w:val="24"/>
                <w:szCs w:val="24"/>
              </w:rPr>
              <w:t>Category</w:t>
            </w:r>
          </w:p>
        </w:tc>
        <w:tc>
          <w:tcPr>
            <w:tcW w:w="1625" w:type="dxa"/>
            <w:hideMark/>
          </w:tcPr>
          <w:p w14:paraId="7C6B24C9" w14:textId="77777777" w:rsidR="00A65876" w:rsidRPr="00A65876" w:rsidRDefault="00A65876" w:rsidP="005C681E">
            <w:pPr>
              <w:spacing w:after="160" w:line="229" w:lineRule="exact"/>
              <w:ind w:left="720" w:hanging="720"/>
              <w:jc w:val="center"/>
              <w:rPr>
                <w:rFonts w:cstheme="minorHAnsi"/>
                <w:b/>
                <w:bCs/>
                <w:sz w:val="24"/>
                <w:szCs w:val="24"/>
              </w:rPr>
            </w:pPr>
            <w:r w:rsidRPr="00A65876">
              <w:rPr>
                <w:rFonts w:cstheme="minorHAnsi"/>
                <w:b/>
                <w:bCs/>
                <w:sz w:val="24"/>
                <w:szCs w:val="24"/>
              </w:rPr>
              <w:t>2029</w:t>
            </w:r>
          </w:p>
        </w:tc>
        <w:tc>
          <w:tcPr>
            <w:tcW w:w="1260" w:type="dxa"/>
            <w:hideMark/>
          </w:tcPr>
          <w:p w14:paraId="5131372F" w14:textId="77777777" w:rsidR="00A65876" w:rsidRPr="00A65876" w:rsidRDefault="00A65876" w:rsidP="005C681E">
            <w:pPr>
              <w:spacing w:after="160" w:line="229" w:lineRule="exact"/>
              <w:ind w:left="720" w:hanging="660"/>
              <w:jc w:val="center"/>
              <w:rPr>
                <w:rFonts w:cstheme="minorHAnsi"/>
                <w:b/>
                <w:bCs/>
                <w:sz w:val="24"/>
                <w:szCs w:val="24"/>
              </w:rPr>
            </w:pPr>
            <w:r w:rsidRPr="00A65876">
              <w:rPr>
                <w:rFonts w:cstheme="minorHAnsi"/>
                <w:b/>
                <w:bCs/>
                <w:sz w:val="24"/>
                <w:szCs w:val="24"/>
              </w:rPr>
              <w:t>2030</w:t>
            </w:r>
          </w:p>
        </w:tc>
        <w:tc>
          <w:tcPr>
            <w:tcW w:w="1350" w:type="dxa"/>
            <w:hideMark/>
          </w:tcPr>
          <w:p w14:paraId="1A857D03" w14:textId="77777777" w:rsidR="00A65876" w:rsidRPr="00A65876" w:rsidRDefault="00A65876" w:rsidP="005C681E">
            <w:pPr>
              <w:spacing w:after="160" w:line="229" w:lineRule="exact"/>
              <w:jc w:val="center"/>
              <w:rPr>
                <w:rFonts w:cstheme="minorHAnsi"/>
                <w:b/>
                <w:bCs/>
                <w:sz w:val="24"/>
                <w:szCs w:val="24"/>
              </w:rPr>
            </w:pPr>
            <w:r w:rsidRPr="00A65876">
              <w:rPr>
                <w:rFonts w:cstheme="minorHAnsi"/>
                <w:b/>
                <w:bCs/>
                <w:sz w:val="24"/>
                <w:szCs w:val="24"/>
              </w:rPr>
              <w:t>2031</w:t>
            </w:r>
          </w:p>
        </w:tc>
        <w:tc>
          <w:tcPr>
            <w:tcW w:w="1260" w:type="dxa"/>
            <w:hideMark/>
          </w:tcPr>
          <w:p w14:paraId="6A3412B5" w14:textId="77777777" w:rsidR="00A65876" w:rsidRPr="00A65876" w:rsidRDefault="00A65876" w:rsidP="005C681E">
            <w:pPr>
              <w:spacing w:after="160" w:line="229" w:lineRule="exact"/>
              <w:ind w:left="720" w:hanging="720"/>
              <w:jc w:val="center"/>
              <w:rPr>
                <w:rFonts w:cstheme="minorHAnsi"/>
                <w:b/>
                <w:bCs/>
                <w:sz w:val="24"/>
                <w:szCs w:val="24"/>
              </w:rPr>
            </w:pPr>
            <w:r w:rsidRPr="00A65876">
              <w:rPr>
                <w:rFonts w:cstheme="minorHAnsi"/>
                <w:b/>
                <w:bCs/>
                <w:sz w:val="24"/>
                <w:szCs w:val="24"/>
              </w:rPr>
              <w:t>2032</w:t>
            </w:r>
          </w:p>
        </w:tc>
        <w:tc>
          <w:tcPr>
            <w:tcW w:w="1260" w:type="dxa"/>
            <w:hideMark/>
          </w:tcPr>
          <w:p w14:paraId="23FABA19" w14:textId="77777777" w:rsidR="00A65876" w:rsidRPr="00A65876" w:rsidRDefault="00A65876" w:rsidP="005C681E">
            <w:pPr>
              <w:spacing w:after="160" w:line="229" w:lineRule="exact"/>
              <w:ind w:left="720" w:hanging="660"/>
              <w:jc w:val="center"/>
              <w:rPr>
                <w:rFonts w:cstheme="minorHAnsi"/>
                <w:b/>
                <w:bCs/>
                <w:sz w:val="24"/>
                <w:szCs w:val="24"/>
              </w:rPr>
            </w:pPr>
            <w:r w:rsidRPr="00A65876">
              <w:rPr>
                <w:rFonts w:cstheme="minorHAnsi"/>
                <w:b/>
                <w:bCs/>
                <w:sz w:val="24"/>
                <w:szCs w:val="24"/>
              </w:rPr>
              <w:t>2033</w:t>
            </w:r>
          </w:p>
        </w:tc>
      </w:tr>
      <w:tr w:rsidR="00692126" w:rsidRPr="00692126" w14:paraId="260244EB" w14:textId="77777777" w:rsidTr="005C681E">
        <w:trPr>
          <w:cantSplit/>
          <w:jc w:val="center"/>
        </w:trPr>
        <w:tc>
          <w:tcPr>
            <w:tcW w:w="1975" w:type="dxa"/>
            <w:hideMark/>
          </w:tcPr>
          <w:p w14:paraId="0734DA13" w14:textId="77777777" w:rsidR="00A65876" w:rsidRPr="00A65876" w:rsidRDefault="00A65876" w:rsidP="005C681E">
            <w:pPr>
              <w:spacing w:after="160" w:line="229" w:lineRule="exact"/>
              <w:ind w:left="720" w:hanging="660"/>
              <w:jc w:val="center"/>
              <w:rPr>
                <w:rFonts w:cstheme="minorHAnsi"/>
                <w:sz w:val="24"/>
                <w:szCs w:val="24"/>
              </w:rPr>
            </w:pPr>
            <w:r w:rsidRPr="00A65876">
              <w:rPr>
                <w:rFonts w:cstheme="minorHAnsi"/>
                <w:sz w:val="24"/>
                <w:szCs w:val="24"/>
              </w:rPr>
              <w:t>ED cases</w:t>
            </w:r>
          </w:p>
        </w:tc>
        <w:tc>
          <w:tcPr>
            <w:tcW w:w="1625" w:type="dxa"/>
            <w:hideMark/>
          </w:tcPr>
          <w:p w14:paraId="119EC580" w14:textId="77777777" w:rsidR="00A65876" w:rsidRPr="00A65876" w:rsidRDefault="00A65876" w:rsidP="005C681E">
            <w:pPr>
              <w:spacing w:after="160" w:line="229" w:lineRule="exact"/>
              <w:ind w:left="720" w:hanging="720"/>
              <w:jc w:val="center"/>
              <w:rPr>
                <w:rFonts w:cstheme="minorHAnsi"/>
                <w:sz w:val="24"/>
                <w:szCs w:val="24"/>
              </w:rPr>
            </w:pPr>
            <w:r w:rsidRPr="00A65876">
              <w:rPr>
                <w:rFonts w:cstheme="minorHAnsi"/>
                <w:sz w:val="24"/>
                <w:szCs w:val="24"/>
              </w:rPr>
              <w:t>49,738</w:t>
            </w:r>
          </w:p>
        </w:tc>
        <w:tc>
          <w:tcPr>
            <w:tcW w:w="1260" w:type="dxa"/>
            <w:hideMark/>
          </w:tcPr>
          <w:p w14:paraId="130B74A1" w14:textId="77777777" w:rsidR="00A65876" w:rsidRPr="00A65876" w:rsidRDefault="00A65876" w:rsidP="005C681E">
            <w:pPr>
              <w:spacing w:after="160" w:line="229" w:lineRule="exact"/>
              <w:ind w:left="720" w:hanging="660"/>
              <w:jc w:val="center"/>
              <w:rPr>
                <w:rFonts w:cstheme="minorHAnsi"/>
                <w:sz w:val="24"/>
                <w:szCs w:val="24"/>
              </w:rPr>
            </w:pPr>
            <w:r w:rsidRPr="00A65876">
              <w:rPr>
                <w:rFonts w:cstheme="minorHAnsi"/>
                <w:sz w:val="24"/>
                <w:szCs w:val="24"/>
              </w:rPr>
              <w:t>50,733</w:t>
            </w:r>
          </w:p>
        </w:tc>
        <w:tc>
          <w:tcPr>
            <w:tcW w:w="1350" w:type="dxa"/>
            <w:hideMark/>
          </w:tcPr>
          <w:p w14:paraId="3985EFA6" w14:textId="77777777" w:rsidR="00A65876" w:rsidRPr="00A65876" w:rsidRDefault="00A65876" w:rsidP="005C681E">
            <w:pPr>
              <w:spacing w:after="160" w:line="229" w:lineRule="exact"/>
              <w:ind w:left="720" w:hanging="660"/>
              <w:jc w:val="center"/>
              <w:rPr>
                <w:rFonts w:cstheme="minorHAnsi"/>
                <w:sz w:val="24"/>
                <w:szCs w:val="24"/>
              </w:rPr>
            </w:pPr>
            <w:r w:rsidRPr="00A65876">
              <w:rPr>
                <w:rFonts w:cstheme="minorHAnsi"/>
                <w:sz w:val="24"/>
                <w:szCs w:val="24"/>
              </w:rPr>
              <w:t>51,747</w:t>
            </w:r>
          </w:p>
        </w:tc>
        <w:tc>
          <w:tcPr>
            <w:tcW w:w="1260" w:type="dxa"/>
            <w:hideMark/>
          </w:tcPr>
          <w:p w14:paraId="62477EC1" w14:textId="77777777" w:rsidR="00A65876" w:rsidRPr="00A65876" w:rsidRDefault="00A65876" w:rsidP="005C681E">
            <w:pPr>
              <w:spacing w:after="160" w:line="229" w:lineRule="exact"/>
              <w:ind w:left="720" w:hanging="720"/>
              <w:jc w:val="center"/>
              <w:rPr>
                <w:rFonts w:cstheme="minorHAnsi"/>
                <w:sz w:val="24"/>
                <w:szCs w:val="24"/>
              </w:rPr>
            </w:pPr>
            <w:r w:rsidRPr="00A65876">
              <w:rPr>
                <w:rFonts w:cstheme="minorHAnsi"/>
                <w:sz w:val="24"/>
                <w:szCs w:val="24"/>
              </w:rPr>
              <w:t>52,782</w:t>
            </w:r>
          </w:p>
        </w:tc>
        <w:tc>
          <w:tcPr>
            <w:tcW w:w="1260" w:type="dxa"/>
            <w:hideMark/>
          </w:tcPr>
          <w:p w14:paraId="6BD6AEF1" w14:textId="77777777" w:rsidR="00A65876" w:rsidRPr="00A65876" w:rsidRDefault="00A65876" w:rsidP="005C681E">
            <w:pPr>
              <w:spacing w:after="160" w:line="229" w:lineRule="exact"/>
              <w:ind w:left="720" w:hanging="660"/>
              <w:jc w:val="center"/>
              <w:rPr>
                <w:rFonts w:cstheme="minorHAnsi"/>
                <w:sz w:val="24"/>
                <w:szCs w:val="24"/>
              </w:rPr>
            </w:pPr>
            <w:r w:rsidRPr="00A65876">
              <w:rPr>
                <w:rFonts w:cstheme="minorHAnsi"/>
                <w:sz w:val="24"/>
                <w:szCs w:val="24"/>
              </w:rPr>
              <w:t>53,838</w:t>
            </w:r>
          </w:p>
        </w:tc>
      </w:tr>
    </w:tbl>
    <w:p w14:paraId="0EA6E609" w14:textId="77777777" w:rsidR="00A65876" w:rsidRPr="00692126" w:rsidRDefault="00A65876" w:rsidP="00A65876">
      <w:pPr>
        <w:spacing w:line="229" w:lineRule="exact"/>
        <w:ind w:left="720"/>
        <w:rPr>
          <w:rFonts w:cstheme="minorHAnsi"/>
          <w:sz w:val="24"/>
          <w:szCs w:val="24"/>
        </w:rPr>
      </w:pPr>
    </w:p>
    <w:p w14:paraId="32775692" w14:textId="59E79B17" w:rsidR="001868F3" w:rsidRPr="00692126" w:rsidRDefault="001868F3" w:rsidP="001868F3">
      <w:pPr>
        <w:rPr>
          <w:rFonts w:cstheme="minorHAnsi"/>
          <w:b/>
          <w:bCs/>
          <w:sz w:val="24"/>
          <w:szCs w:val="24"/>
        </w:rPr>
      </w:pPr>
      <w:r w:rsidRPr="00692126">
        <w:rPr>
          <w:rFonts w:cstheme="minorHAnsi"/>
          <w:b/>
          <w:bCs/>
          <w:sz w:val="24"/>
          <w:szCs w:val="24"/>
        </w:rPr>
        <w:t>Factor 1bi</w:t>
      </w:r>
      <w:r w:rsidR="00A31C47" w:rsidRPr="00692126">
        <w:rPr>
          <w:rFonts w:cstheme="minorHAnsi"/>
          <w:b/>
          <w:bCs/>
          <w:sz w:val="24"/>
          <w:szCs w:val="24"/>
        </w:rPr>
        <w:t xml:space="preserve">: </w:t>
      </w:r>
      <w:r w:rsidRPr="00692126">
        <w:rPr>
          <w:rFonts w:cstheme="minorHAnsi"/>
          <w:b/>
          <w:bCs/>
          <w:sz w:val="24"/>
          <w:szCs w:val="24"/>
        </w:rPr>
        <w:t>Public Health Value /</w:t>
      </w:r>
      <w:r w:rsidR="00EB7339" w:rsidRPr="00692126">
        <w:rPr>
          <w:rFonts w:cstheme="minorHAnsi"/>
          <w:b/>
          <w:bCs/>
          <w:sz w:val="24"/>
          <w:szCs w:val="24"/>
        </w:rPr>
        <w:t>Evidence Based</w:t>
      </w:r>
    </w:p>
    <w:p w14:paraId="63C1A9A4" w14:textId="320F5B84" w:rsidR="006D05B3" w:rsidRPr="006D05B3" w:rsidRDefault="007A0625" w:rsidP="006D05B3">
      <w:pPr>
        <w:pStyle w:val="ListParagraph"/>
        <w:numPr>
          <w:ilvl w:val="0"/>
          <w:numId w:val="2"/>
        </w:numPr>
        <w:spacing w:line="229" w:lineRule="exact"/>
        <w:rPr>
          <w:rFonts w:cstheme="minorHAnsi"/>
          <w:b/>
          <w:bCs/>
          <w:sz w:val="24"/>
          <w:szCs w:val="24"/>
        </w:rPr>
      </w:pPr>
      <w:r w:rsidRPr="00092D68">
        <w:rPr>
          <w:rFonts w:cstheme="minorHAnsi"/>
          <w:b/>
          <w:bCs/>
          <w:sz w:val="24"/>
          <w:szCs w:val="24"/>
        </w:rPr>
        <w:t xml:space="preserve">Page 9 of the Narrative </w:t>
      </w:r>
      <w:r w:rsidR="0042099B" w:rsidRPr="00092D68">
        <w:rPr>
          <w:rFonts w:cstheme="minorHAnsi"/>
          <w:b/>
          <w:bCs/>
          <w:sz w:val="24"/>
          <w:szCs w:val="24"/>
        </w:rPr>
        <w:t xml:space="preserve">states that the impact of overcrowding would be longer wait times. Please provide a comparison of average ED wait times for </w:t>
      </w:r>
      <w:r w:rsidR="00F45104" w:rsidRPr="00092D68">
        <w:rPr>
          <w:rFonts w:cstheme="minorHAnsi"/>
          <w:b/>
          <w:bCs/>
          <w:sz w:val="24"/>
          <w:szCs w:val="24"/>
        </w:rPr>
        <w:t xml:space="preserve">comparable </w:t>
      </w:r>
      <w:r w:rsidR="0042099B" w:rsidRPr="00092D68">
        <w:rPr>
          <w:rFonts w:cstheme="minorHAnsi"/>
          <w:b/>
          <w:bCs/>
          <w:sz w:val="24"/>
          <w:szCs w:val="24"/>
        </w:rPr>
        <w:t>Hospital</w:t>
      </w:r>
      <w:r w:rsidR="00F45104" w:rsidRPr="00092D68">
        <w:rPr>
          <w:rFonts w:cstheme="minorHAnsi"/>
          <w:b/>
          <w:bCs/>
          <w:sz w:val="24"/>
          <w:szCs w:val="24"/>
        </w:rPr>
        <w:t>s within the BILH system.</w:t>
      </w:r>
    </w:p>
    <w:tbl>
      <w:tblPr>
        <w:tblW w:w="5130" w:type="dxa"/>
        <w:tblInd w:w="805" w:type="dxa"/>
        <w:tblLook w:val="04A0" w:firstRow="1" w:lastRow="0" w:firstColumn="1" w:lastColumn="0" w:noHBand="0" w:noVBand="1"/>
      </w:tblPr>
      <w:tblGrid>
        <w:gridCol w:w="1800"/>
        <w:gridCol w:w="3330"/>
      </w:tblGrid>
      <w:tr w:rsidR="006D05B3" w:rsidRPr="006D05B3" w14:paraId="039D903F" w14:textId="77777777" w:rsidTr="0031451B">
        <w:trPr>
          <w:cantSplit/>
          <w:trHeight w:val="310"/>
          <w:tblHeader/>
        </w:trPr>
        <w:tc>
          <w:tcPr>
            <w:tcW w:w="1800" w:type="dxa"/>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14:paraId="2988948D" w14:textId="4C105D61" w:rsidR="006D05B3" w:rsidRDefault="006D05B3" w:rsidP="006D05B3">
            <w:pPr>
              <w:spacing w:after="0" w:line="240" w:lineRule="auto"/>
              <w:jc w:val="center"/>
              <w:rPr>
                <w:rFonts w:ascii="Lato" w:eastAsia="Times New Roman" w:hAnsi="Lato" w:cs="Calibri"/>
                <w:color w:val="000000"/>
                <w:sz w:val="20"/>
                <w:szCs w:val="20"/>
              </w:rPr>
            </w:pPr>
            <w:bookmarkStart w:id="1" w:name="_Hlk180051333"/>
            <w:r>
              <w:rPr>
                <w:rFonts w:ascii="Lato" w:eastAsia="Times New Roman" w:hAnsi="Lato" w:cs="Calibri"/>
                <w:color w:val="000000"/>
                <w:sz w:val="20"/>
                <w:szCs w:val="20"/>
              </w:rPr>
              <w:t>HOSPITAL</w:t>
            </w:r>
          </w:p>
        </w:tc>
        <w:tc>
          <w:tcPr>
            <w:tcW w:w="3330" w:type="dxa"/>
            <w:tcBorders>
              <w:top w:val="single" w:sz="4" w:space="0" w:color="C0C0C0"/>
              <w:left w:val="nil"/>
              <w:bottom w:val="single" w:sz="4" w:space="0" w:color="C0C0C0"/>
              <w:right w:val="single" w:sz="4" w:space="0" w:color="C0C0C0"/>
            </w:tcBorders>
            <w:shd w:val="clear" w:color="auto" w:fill="D9D9D9" w:themeFill="background1" w:themeFillShade="D9"/>
            <w:noWrap/>
            <w:vAlign w:val="center"/>
          </w:tcPr>
          <w:p w14:paraId="5E29C5FE" w14:textId="67DA1EFE" w:rsidR="006D05B3" w:rsidRPr="006D05B3" w:rsidRDefault="006D05B3" w:rsidP="006D05B3">
            <w:pPr>
              <w:spacing w:after="0" w:line="240" w:lineRule="auto"/>
              <w:jc w:val="center"/>
              <w:rPr>
                <w:rFonts w:ascii="Lato" w:eastAsia="Times New Roman" w:hAnsi="Lato" w:cs="Calibri"/>
                <w:color w:val="000000"/>
                <w:sz w:val="20"/>
                <w:szCs w:val="20"/>
              </w:rPr>
            </w:pPr>
            <w:r w:rsidRPr="006D05B3">
              <w:rPr>
                <w:rFonts w:ascii="Lato" w:eastAsia="Times New Roman" w:hAnsi="Lato" w:cs="Calibri"/>
                <w:color w:val="000000"/>
                <w:sz w:val="20"/>
                <w:szCs w:val="20"/>
              </w:rPr>
              <w:t>ARRIVAL TO TREATMENT SPACE</w:t>
            </w:r>
            <w:r w:rsidR="00A45988">
              <w:rPr>
                <w:rFonts w:ascii="Lato" w:eastAsia="Times New Roman" w:hAnsi="Lato" w:cs="Calibri"/>
                <w:color w:val="000000"/>
                <w:sz w:val="20"/>
                <w:szCs w:val="20"/>
              </w:rPr>
              <w:t xml:space="preserve"> in minutes</w:t>
            </w:r>
          </w:p>
        </w:tc>
      </w:tr>
      <w:tr w:rsidR="006D05B3" w:rsidRPr="006D05B3" w14:paraId="42966804" w14:textId="77777777" w:rsidTr="0031451B">
        <w:trPr>
          <w:cantSplit/>
          <w:trHeight w:val="310"/>
        </w:trPr>
        <w:tc>
          <w:tcPr>
            <w:tcW w:w="180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72CA7A01" w14:textId="7AAA315F" w:rsidR="006D05B3" w:rsidRPr="006D05B3" w:rsidRDefault="006D05B3" w:rsidP="006D05B3">
            <w:pPr>
              <w:spacing w:after="0" w:line="240" w:lineRule="auto"/>
              <w:jc w:val="center"/>
              <w:rPr>
                <w:rFonts w:ascii="Lato" w:eastAsia="Times New Roman" w:hAnsi="Lato" w:cs="Calibri"/>
                <w:color w:val="000000"/>
                <w:sz w:val="20"/>
                <w:szCs w:val="20"/>
              </w:rPr>
            </w:pPr>
            <w:r>
              <w:rPr>
                <w:rFonts w:ascii="Lato" w:eastAsia="Times New Roman" w:hAnsi="Lato" w:cs="Calibri"/>
                <w:color w:val="000000"/>
                <w:sz w:val="20"/>
                <w:szCs w:val="20"/>
              </w:rPr>
              <w:t>Milton</w:t>
            </w:r>
          </w:p>
        </w:tc>
        <w:tc>
          <w:tcPr>
            <w:tcW w:w="3330" w:type="dxa"/>
            <w:tcBorders>
              <w:top w:val="single" w:sz="4" w:space="0" w:color="C0C0C0"/>
              <w:left w:val="nil"/>
              <w:bottom w:val="single" w:sz="4" w:space="0" w:color="C0C0C0"/>
              <w:right w:val="single" w:sz="4" w:space="0" w:color="C0C0C0"/>
            </w:tcBorders>
            <w:shd w:val="clear" w:color="auto" w:fill="auto"/>
            <w:noWrap/>
            <w:vAlign w:val="center"/>
            <w:hideMark/>
          </w:tcPr>
          <w:p w14:paraId="3EC5BAA7" w14:textId="77777777" w:rsidR="006D05B3" w:rsidRPr="006D05B3" w:rsidRDefault="006D05B3" w:rsidP="006D05B3">
            <w:pPr>
              <w:spacing w:after="0" w:line="240" w:lineRule="auto"/>
              <w:jc w:val="center"/>
              <w:rPr>
                <w:rFonts w:ascii="Lato" w:eastAsia="Times New Roman" w:hAnsi="Lato" w:cs="Calibri"/>
                <w:color w:val="000000"/>
                <w:sz w:val="20"/>
                <w:szCs w:val="20"/>
              </w:rPr>
            </w:pPr>
            <w:r w:rsidRPr="006D05B3">
              <w:rPr>
                <w:rFonts w:ascii="Lato" w:eastAsia="Times New Roman" w:hAnsi="Lato" w:cs="Calibri"/>
                <w:color w:val="000000"/>
                <w:sz w:val="20"/>
                <w:szCs w:val="20"/>
              </w:rPr>
              <w:t>36</w:t>
            </w:r>
          </w:p>
        </w:tc>
      </w:tr>
      <w:tr w:rsidR="006D05B3" w:rsidRPr="006D05B3" w14:paraId="3DB57439" w14:textId="77777777" w:rsidTr="0031451B">
        <w:trPr>
          <w:cantSplit/>
          <w:trHeight w:val="310"/>
        </w:trPr>
        <w:tc>
          <w:tcPr>
            <w:tcW w:w="180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639969EB" w14:textId="73FF4497" w:rsidR="006D05B3" w:rsidRDefault="006D05B3" w:rsidP="006D05B3">
            <w:pPr>
              <w:spacing w:after="0" w:line="240" w:lineRule="auto"/>
              <w:jc w:val="center"/>
              <w:rPr>
                <w:rFonts w:ascii="Lato" w:eastAsia="Times New Roman" w:hAnsi="Lato" w:cs="Calibri"/>
                <w:color w:val="000000"/>
                <w:sz w:val="20"/>
                <w:szCs w:val="20"/>
              </w:rPr>
            </w:pPr>
            <w:r>
              <w:rPr>
                <w:rFonts w:ascii="Lato" w:eastAsia="Times New Roman" w:hAnsi="Lato" w:cs="Calibri"/>
                <w:color w:val="000000"/>
                <w:sz w:val="20"/>
                <w:szCs w:val="20"/>
              </w:rPr>
              <w:t>Plymouth</w:t>
            </w:r>
          </w:p>
        </w:tc>
        <w:tc>
          <w:tcPr>
            <w:tcW w:w="3330" w:type="dxa"/>
            <w:tcBorders>
              <w:top w:val="single" w:sz="4" w:space="0" w:color="C0C0C0"/>
              <w:left w:val="nil"/>
              <w:bottom w:val="single" w:sz="4" w:space="0" w:color="C0C0C0"/>
              <w:right w:val="single" w:sz="4" w:space="0" w:color="C0C0C0"/>
            </w:tcBorders>
            <w:shd w:val="clear" w:color="auto" w:fill="auto"/>
            <w:noWrap/>
            <w:vAlign w:val="center"/>
          </w:tcPr>
          <w:p w14:paraId="6E39E28F" w14:textId="052846AE" w:rsidR="006D05B3" w:rsidRPr="006D05B3" w:rsidRDefault="006D05B3" w:rsidP="006D05B3">
            <w:pPr>
              <w:spacing w:after="0" w:line="240" w:lineRule="auto"/>
              <w:jc w:val="center"/>
              <w:rPr>
                <w:rFonts w:ascii="Lato" w:eastAsia="Times New Roman" w:hAnsi="Lato" w:cs="Calibri"/>
                <w:color w:val="000000"/>
                <w:sz w:val="20"/>
                <w:szCs w:val="20"/>
              </w:rPr>
            </w:pPr>
            <w:r>
              <w:rPr>
                <w:rFonts w:ascii="Lato" w:hAnsi="Lato" w:cs="Calibri"/>
                <w:color w:val="000000"/>
                <w:sz w:val="20"/>
                <w:szCs w:val="20"/>
              </w:rPr>
              <w:t>24</w:t>
            </w:r>
          </w:p>
        </w:tc>
      </w:tr>
      <w:tr w:rsidR="006D05B3" w:rsidRPr="006D05B3" w14:paraId="0EEC7798" w14:textId="77777777" w:rsidTr="0031451B">
        <w:trPr>
          <w:cantSplit/>
          <w:trHeight w:val="310"/>
        </w:trPr>
        <w:tc>
          <w:tcPr>
            <w:tcW w:w="1800" w:type="dxa"/>
            <w:tcBorders>
              <w:top w:val="single" w:sz="4" w:space="0" w:color="C0C0C0"/>
              <w:left w:val="single" w:sz="4" w:space="0" w:color="C0C0C0"/>
              <w:bottom w:val="single" w:sz="4" w:space="0" w:color="C0C0C0"/>
              <w:right w:val="single" w:sz="4" w:space="0" w:color="C0C0C0"/>
            </w:tcBorders>
            <w:shd w:val="clear" w:color="auto" w:fill="auto"/>
            <w:vAlign w:val="center"/>
          </w:tcPr>
          <w:p w14:paraId="470931AF" w14:textId="69B8F0E9" w:rsidR="006D05B3" w:rsidRDefault="006D05B3" w:rsidP="006D05B3">
            <w:pPr>
              <w:spacing w:after="0" w:line="240" w:lineRule="auto"/>
              <w:jc w:val="center"/>
              <w:rPr>
                <w:rFonts w:ascii="Lato" w:eastAsia="Times New Roman" w:hAnsi="Lato" w:cs="Calibri"/>
                <w:color w:val="000000"/>
                <w:sz w:val="20"/>
                <w:szCs w:val="20"/>
              </w:rPr>
            </w:pPr>
            <w:r>
              <w:rPr>
                <w:rFonts w:ascii="Lato" w:eastAsia="Times New Roman" w:hAnsi="Lato" w:cs="Calibri"/>
                <w:color w:val="000000"/>
                <w:sz w:val="20"/>
                <w:szCs w:val="20"/>
              </w:rPr>
              <w:t>Needham</w:t>
            </w:r>
          </w:p>
        </w:tc>
        <w:tc>
          <w:tcPr>
            <w:tcW w:w="3330" w:type="dxa"/>
            <w:tcBorders>
              <w:top w:val="single" w:sz="4" w:space="0" w:color="C0C0C0"/>
              <w:left w:val="nil"/>
              <w:bottom w:val="single" w:sz="4" w:space="0" w:color="C0C0C0"/>
              <w:right w:val="single" w:sz="4" w:space="0" w:color="C0C0C0"/>
            </w:tcBorders>
            <w:shd w:val="clear" w:color="auto" w:fill="auto"/>
            <w:noWrap/>
            <w:vAlign w:val="center"/>
          </w:tcPr>
          <w:p w14:paraId="653720A6" w14:textId="0058FA89" w:rsidR="006D05B3" w:rsidRPr="006D05B3" w:rsidRDefault="006D05B3" w:rsidP="006D05B3">
            <w:pPr>
              <w:spacing w:after="0" w:line="240" w:lineRule="auto"/>
              <w:jc w:val="center"/>
              <w:rPr>
                <w:rFonts w:ascii="Lato" w:eastAsia="Times New Roman" w:hAnsi="Lato" w:cs="Calibri"/>
                <w:color w:val="000000"/>
                <w:sz w:val="20"/>
                <w:szCs w:val="20"/>
              </w:rPr>
            </w:pPr>
            <w:r>
              <w:rPr>
                <w:rFonts w:ascii="Lato" w:hAnsi="Lato" w:cs="Calibri"/>
                <w:color w:val="000000"/>
                <w:sz w:val="20"/>
                <w:szCs w:val="20"/>
              </w:rPr>
              <w:t>9</w:t>
            </w:r>
          </w:p>
        </w:tc>
      </w:tr>
      <w:bookmarkEnd w:id="1"/>
    </w:tbl>
    <w:p w14:paraId="08FB4D24" w14:textId="77777777" w:rsidR="006D05B3" w:rsidRPr="006D05B3" w:rsidRDefault="006D05B3" w:rsidP="006D05B3">
      <w:pPr>
        <w:spacing w:line="229" w:lineRule="exact"/>
        <w:ind w:left="720"/>
        <w:rPr>
          <w:rFonts w:cstheme="minorHAnsi"/>
          <w:b/>
          <w:bCs/>
          <w:sz w:val="24"/>
          <w:szCs w:val="24"/>
        </w:rPr>
      </w:pPr>
    </w:p>
    <w:p w14:paraId="0E50F53A" w14:textId="77777777" w:rsidR="00036A63" w:rsidRPr="00692126" w:rsidRDefault="00036A63" w:rsidP="0016111D">
      <w:pPr>
        <w:spacing w:after="0"/>
        <w:rPr>
          <w:rFonts w:cstheme="minorHAnsi"/>
          <w:b/>
          <w:bCs/>
          <w:sz w:val="24"/>
          <w:szCs w:val="24"/>
        </w:rPr>
      </w:pPr>
    </w:p>
    <w:p w14:paraId="58F5CB20" w14:textId="0104D6EE" w:rsidR="004737C3" w:rsidRPr="00692126" w:rsidRDefault="004737C3" w:rsidP="0063182A">
      <w:pPr>
        <w:rPr>
          <w:rFonts w:cstheme="minorHAnsi"/>
          <w:b/>
          <w:bCs/>
          <w:sz w:val="24"/>
          <w:szCs w:val="24"/>
        </w:rPr>
      </w:pPr>
      <w:r w:rsidRPr="00692126">
        <w:rPr>
          <w:rFonts w:cstheme="minorHAnsi"/>
          <w:b/>
          <w:bCs/>
          <w:sz w:val="24"/>
          <w:szCs w:val="24"/>
        </w:rPr>
        <w:t>Factor 1bi</w:t>
      </w:r>
      <w:r w:rsidR="00A5779C" w:rsidRPr="00692126">
        <w:rPr>
          <w:rFonts w:cstheme="minorHAnsi"/>
          <w:b/>
          <w:bCs/>
          <w:sz w:val="24"/>
          <w:szCs w:val="24"/>
        </w:rPr>
        <w:t>i</w:t>
      </w:r>
      <w:r w:rsidRPr="00692126">
        <w:rPr>
          <w:rFonts w:cstheme="minorHAnsi"/>
          <w:b/>
          <w:bCs/>
          <w:sz w:val="24"/>
          <w:szCs w:val="24"/>
        </w:rPr>
        <w:t xml:space="preserve">i: </w:t>
      </w:r>
      <w:r w:rsidR="0063182A" w:rsidRPr="00692126">
        <w:rPr>
          <w:rFonts w:cstheme="minorHAnsi"/>
          <w:b/>
          <w:bCs/>
          <w:sz w:val="24"/>
          <w:szCs w:val="24"/>
        </w:rPr>
        <w:t>Public Health Value /Health Equity-Focused</w:t>
      </w:r>
    </w:p>
    <w:p w14:paraId="756FD25D" w14:textId="0EE94461" w:rsidR="009E2D76" w:rsidRPr="00692126" w:rsidRDefault="00627A68" w:rsidP="00F27F11">
      <w:pPr>
        <w:pStyle w:val="ListParagraph"/>
        <w:numPr>
          <w:ilvl w:val="0"/>
          <w:numId w:val="2"/>
        </w:numPr>
        <w:spacing w:line="229" w:lineRule="exact"/>
        <w:rPr>
          <w:rFonts w:cstheme="minorHAnsi"/>
          <w:b/>
          <w:bCs/>
          <w:sz w:val="24"/>
          <w:szCs w:val="24"/>
        </w:rPr>
      </w:pPr>
      <w:r w:rsidRPr="00692126">
        <w:rPr>
          <w:rFonts w:cstheme="minorHAnsi"/>
          <w:b/>
          <w:bCs/>
          <w:sz w:val="24"/>
          <w:szCs w:val="24"/>
        </w:rPr>
        <w:t xml:space="preserve">Page </w:t>
      </w:r>
      <w:r w:rsidR="0066491B" w:rsidRPr="00692126">
        <w:rPr>
          <w:rFonts w:cstheme="minorHAnsi"/>
          <w:b/>
          <w:bCs/>
          <w:sz w:val="24"/>
          <w:szCs w:val="24"/>
        </w:rPr>
        <w:t>11</w:t>
      </w:r>
      <w:r w:rsidR="004102C5" w:rsidRPr="00692126">
        <w:rPr>
          <w:rFonts w:cstheme="minorHAnsi"/>
          <w:b/>
          <w:bCs/>
          <w:sz w:val="24"/>
          <w:szCs w:val="24"/>
        </w:rPr>
        <w:t xml:space="preserve"> of the Narrative </w:t>
      </w:r>
      <w:r w:rsidR="00F34D67" w:rsidRPr="00692126">
        <w:rPr>
          <w:rFonts w:cstheme="minorHAnsi"/>
          <w:b/>
          <w:bCs/>
          <w:sz w:val="24"/>
          <w:szCs w:val="24"/>
        </w:rPr>
        <w:t>describes language accessibility efforts</w:t>
      </w:r>
      <w:r w:rsidR="000B37EE" w:rsidRPr="00692126">
        <w:rPr>
          <w:rFonts w:cstheme="minorHAnsi"/>
          <w:b/>
          <w:bCs/>
          <w:sz w:val="24"/>
          <w:szCs w:val="24"/>
        </w:rPr>
        <w:t>.</w:t>
      </w:r>
      <w:r w:rsidR="00306556" w:rsidRPr="00692126">
        <w:rPr>
          <w:rFonts w:cstheme="minorHAnsi"/>
          <w:b/>
          <w:bCs/>
          <w:sz w:val="24"/>
          <w:szCs w:val="24"/>
        </w:rPr>
        <w:t xml:space="preserve"> </w:t>
      </w:r>
      <w:r w:rsidR="000B37EE" w:rsidRPr="00692126">
        <w:rPr>
          <w:rFonts w:cstheme="minorHAnsi"/>
          <w:b/>
          <w:bCs/>
          <w:sz w:val="24"/>
          <w:szCs w:val="24"/>
        </w:rPr>
        <w:t>Ar</w:t>
      </w:r>
      <w:r w:rsidR="009E2D76" w:rsidRPr="00692126">
        <w:rPr>
          <w:rFonts w:cstheme="minorHAnsi"/>
          <w:b/>
          <w:bCs/>
          <w:sz w:val="24"/>
          <w:szCs w:val="24"/>
        </w:rPr>
        <w:t>e the translator staff</w:t>
      </w:r>
      <w:r w:rsidR="001B17D3" w:rsidRPr="00692126">
        <w:rPr>
          <w:rFonts w:cstheme="minorHAnsi"/>
          <w:b/>
          <w:bCs/>
          <w:sz w:val="24"/>
          <w:szCs w:val="24"/>
        </w:rPr>
        <w:t xml:space="preserve"> and resources described dedicated to the ED?</w:t>
      </w:r>
    </w:p>
    <w:p w14:paraId="09BFD9B8" w14:textId="77777777" w:rsidR="00CD00D7" w:rsidRPr="00692126" w:rsidRDefault="00CD00D7" w:rsidP="00036A63">
      <w:pPr>
        <w:pStyle w:val="ListParagraph"/>
        <w:spacing w:line="229" w:lineRule="exact"/>
        <w:rPr>
          <w:rFonts w:cstheme="minorHAnsi"/>
          <w:sz w:val="24"/>
          <w:szCs w:val="24"/>
        </w:rPr>
      </w:pPr>
    </w:p>
    <w:p w14:paraId="1835D3CD" w14:textId="5B26F9AD" w:rsidR="00D17C2F" w:rsidRPr="00E43DC9" w:rsidRDefault="00BB344F" w:rsidP="00E43DC9">
      <w:pPr>
        <w:pStyle w:val="ListParagraph"/>
        <w:spacing w:line="229" w:lineRule="exact"/>
        <w:rPr>
          <w:rFonts w:cstheme="minorHAnsi"/>
          <w:sz w:val="24"/>
          <w:szCs w:val="24"/>
        </w:rPr>
      </w:pPr>
      <w:r>
        <w:rPr>
          <w:rFonts w:cstheme="minorHAnsi"/>
          <w:sz w:val="24"/>
          <w:szCs w:val="24"/>
        </w:rPr>
        <w:t>The</w:t>
      </w:r>
      <w:r w:rsidR="00A65876" w:rsidRPr="00692126">
        <w:rPr>
          <w:rFonts w:cstheme="minorHAnsi"/>
          <w:sz w:val="24"/>
          <w:szCs w:val="24"/>
        </w:rPr>
        <w:t xml:space="preserve"> translator staff and resources described are available across the Hospital</w:t>
      </w:r>
      <w:r>
        <w:rPr>
          <w:rFonts w:cstheme="minorHAnsi"/>
          <w:sz w:val="24"/>
          <w:szCs w:val="24"/>
        </w:rPr>
        <w:t>, including for ED patients</w:t>
      </w:r>
      <w:r w:rsidR="00A65876" w:rsidRPr="00692126">
        <w:rPr>
          <w:rFonts w:cstheme="minorHAnsi"/>
          <w:sz w:val="24"/>
          <w:szCs w:val="24"/>
        </w:rPr>
        <w:t xml:space="preserve">. </w:t>
      </w:r>
    </w:p>
    <w:p w14:paraId="254F7151" w14:textId="5403412E" w:rsidR="00BA62E9" w:rsidRPr="00692126" w:rsidRDefault="00BA62E9" w:rsidP="00BA62E9">
      <w:pPr>
        <w:rPr>
          <w:rFonts w:cstheme="minorHAnsi"/>
          <w:b/>
          <w:bCs/>
          <w:sz w:val="24"/>
          <w:szCs w:val="24"/>
        </w:rPr>
      </w:pPr>
      <w:r w:rsidRPr="00692126">
        <w:rPr>
          <w:rFonts w:cstheme="minorHAnsi"/>
          <w:b/>
          <w:bCs/>
          <w:sz w:val="24"/>
          <w:szCs w:val="24"/>
        </w:rPr>
        <w:t>Factor 2</w:t>
      </w:r>
      <w:r w:rsidR="00DD372D" w:rsidRPr="00692126">
        <w:rPr>
          <w:rFonts w:cstheme="minorHAnsi"/>
          <w:b/>
          <w:bCs/>
          <w:sz w:val="24"/>
          <w:szCs w:val="24"/>
        </w:rPr>
        <w:t>c: Delivery System Transformation</w:t>
      </w:r>
    </w:p>
    <w:p w14:paraId="3CE453F8" w14:textId="1F0E7D83" w:rsidR="00036A63" w:rsidRPr="00692126" w:rsidRDefault="004A1770" w:rsidP="00F27F11">
      <w:pPr>
        <w:pStyle w:val="ListParagraph"/>
        <w:numPr>
          <w:ilvl w:val="0"/>
          <w:numId w:val="2"/>
        </w:numPr>
        <w:spacing w:after="0" w:line="229" w:lineRule="exact"/>
        <w:rPr>
          <w:rFonts w:cstheme="minorHAnsi"/>
          <w:b/>
          <w:bCs/>
          <w:sz w:val="24"/>
          <w:szCs w:val="24"/>
        </w:rPr>
      </w:pPr>
      <w:r w:rsidRPr="00692126">
        <w:rPr>
          <w:rFonts w:cstheme="minorHAnsi"/>
          <w:b/>
          <w:bCs/>
          <w:sz w:val="24"/>
          <w:szCs w:val="24"/>
        </w:rPr>
        <w:t>Page 15 of the Narrative notes that, “BID- Plymouth conducts comprehensive admission screenings that address social determinants of health…”</w:t>
      </w:r>
      <w:r w:rsidR="000E1BB9" w:rsidRPr="00692126">
        <w:rPr>
          <w:rFonts w:cstheme="minorHAnsi"/>
          <w:b/>
          <w:bCs/>
          <w:sz w:val="24"/>
          <w:szCs w:val="24"/>
        </w:rPr>
        <w:t xml:space="preserve">  </w:t>
      </w:r>
      <w:r w:rsidR="00344BBE" w:rsidRPr="00692126">
        <w:rPr>
          <w:rFonts w:cstheme="minorHAnsi"/>
          <w:b/>
          <w:bCs/>
          <w:sz w:val="24"/>
          <w:szCs w:val="24"/>
        </w:rPr>
        <w:t>Are these admission screenings performed at an ED visit or only when a patient has been admitted to the Hospital?</w:t>
      </w:r>
    </w:p>
    <w:p w14:paraId="1D907BC2" w14:textId="77777777" w:rsidR="00036A63" w:rsidRPr="00692126" w:rsidRDefault="00036A63" w:rsidP="00036A63">
      <w:pPr>
        <w:spacing w:after="0" w:line="229" w:lineRule="exact"/>
        <w:rPr>
          <w:rFonts w:cstheme="minorHAnsi"/>
          <w:sz w:val="24"/>
          <w:szCs w:val="24"/>
        </w:rPr>
      </w:pPr>
    </w:p>
    <w:p w14:paraId="7EA6D66D" w14:textId="3C43EEFF" w:rsidR="00036A63" w:rsidRPr="00692126" w:rsidRDefault="00BB344F" w:rsidP="002017F0">
      <w:pPr>
        <w:spacing w:after="0" w:line="229" w:lineRule="exact"/>
        <w:ind w:left="720"/>
        <w:rPr>
          <w:rFonts w:cstheme="minorHAnsi"/>
          <w:sz w:val="24"/>
          <w:szCs w:val="24"/>
        </w:rPr>
      </w:pPr>
      <w:r>
        <w:rPr>
          <w:rFonts w:cstheme="minorHAnsi"/>
          <w:sz w:val="24"/>
          <w:szCs w:val="24"/>
        </w:rPr>
        <w:lastRenderedPageBreak/>
        <w:t>C</w:t>
      </w:r>
      <w:r w:rsidR="00A65876" w:rsidRPr="00692126">
        <w:rPr>
          <w:rFonts w:cstheme="minorHAnsi"/>
          <w:sz w:val="24"/>
          <w:szCs w:val="24"/>
        </w:rPr>
        <w:t xml:space="preserve">omprehensive admissions screenings are only performed for inpatient admissions. Patients seen in the </w:t>
      </w:r>
      <w:r w:rsidR="00036A63" w:rsidRPr="00692126">
        <w:rPr>
          <w:rFonts w:cstheme="minorHAnsi"/>
          <w:sz w:val="24"/>
          <w:szCs w:val="24"/>
        </w:rPr>
        <w:t xml:space="preserve">ED </w:t>
      </w:r>
      <w:r w:rsidR="00A65876" w:rsidRPr="00692126">
        <w:rPr>
          <w:rFonts w:cstheme="minorHAnsi"/>
          <w:sz w:val="24"/>
          <w:szCs w:val="24"/>
        </w:rPr>
        <w:t>receive p</w:t>
      </w:r>
      <w:r w:rsidR="00036A63" w:rsidRPr="00692126">
        <w:rPr>
          <w:rFonts w:cstheme="minorHAnsi"/>
          <w:sz w:val="24"/>
          <w:szCs w:val="24"/>
        </w:rPr>
        <w:t xml:space="preserve">roblem-specific assessments </w:t>
      </w:r>
      <w:r w:rsidR="00A65876" w:rsidRPr="00692126">
        <w:rPr>
          <w:rFonts w:cstheme="minorHAnsi"/>
          <w:sz w:val="24"/>
          <w:szCs w:val="24"/>
        </w:rPr>
        <w:t xml:space="preserve">that may indicate </w:t>
      </w:r>
      <w:r>
        <w:rPr>
          <w:rFonts w:cstheme="minorHAnsi"/>
          <w:sz w:val="24"/>
          <w:szCs w:val="24"/>
        </w:rPr>
        <w:t xml:space="preserve">the need for </w:t>
      </w:r>
      <w:r w:rsidR="00A65876" w:rsidRPr="00692126">
        <w:rPr>
          <w:rFonts w:cstheme="minorHAnsi"/>
          <w:sz w:val="24"/>
          <w:szCs w:val="24"/>
        </w:rPr>
        <w:t xml:space="preserve">the completion of </w:t>
      </w:r>
      <w:proofErr w:type="gramStart"/>
      <w:r w:rsidR="00A65876" w:rsidRPr="00692126">
        <w:rPr>
          <w:rFonts w:cstheme="minorHAnsi"/>
          <w:sz w:val="24"/>
          <w:szCs w:val="24"/>
        </w:rPr>
        <w:t>a comprehensive</w:t>
      </w:r>
      <w:proofErr w:type="gramEnd"/>
      <w:r w:rsidR="00A65876" w:rsidRPr="00692126">
        <w:rPr>
          <w:rFonts w:cstheme="minorHAnsi"/>
          <w:sz w:val="24"/>
          <w:szCs w:val="24"/>
        </w:rPr>
        <w:t xml:space="preserve"> admissions screening. </w:t>
      </w:r>
    </w:p>
    <w:p w14:paraId="6EE41358" w14:textId="77777777" w:rsidR="00913EFB" w:rsidRPr="00692126" w:rsidRDefault="00913EFB" w:rsidP="00913EFB">
      <w:pPr>
        <w:spacing w:after="0" w:line="229" w:lineRule="exact"/>
        <w:rPr>
          <w:rFonts w:cstheme="minorHAnsi"/>
          <w:sz w:val="24"/>
          <w:szCs w:val="24"/>
        </w:rPr>
      </w:pPr>
    </w:p>
    <w:p w14:paraId="085C134F" w14:textId="6313BEED" w:rsidR="00913EFB" w:rsidRPr="00692126" w:rsidRDefault="006754A7" w:rsidP="00F27F11">
      <w:pPr>
        <w:pStyle w:val="ListParagraph"/>
        <w:numPr>
          <w:ilvl w:val="0"/>
          <w:numId w:val="2"/>
        </w:numPr>
        <w:spacing w:after="0" w:line="229" w:lineRule="exact"/>
        <w:rPr>
          <w:rFonts w:cstheme="minorHAnsi"/>
          <w:b/>
          <w:bCs/>
          <w:sz w:val="24"/>
          <w:szCs w:val="24"/>
        </w:rPr>
      </w:pPr>
      <w:r w:rsidRPr="00692126">
        <w:rPr>
          <w:rFonts w:cstheme="minorHAnsi"/>
          <w:b/>
          <w:bCs/>
          <w:sz w:val="24"/>
          <w:szCs w:val="24"/>
        </w:rPr>
        <w:t>Please describe any Delivery System Transformation efforts specifically related to the ED project.</w:t>
      </w:r>
    </w:p>
    <w:p w14:paraId="4766C704" w14:textId="77777777" w:rsidR="00036A63" w:rsidRPr="00692126" w:rsidRDefault="00036A63" w:rsidP="00036A63">
      <w:pPr>
        <w:pStyle w:val="ListParagraph"/>
        <w:spacing w:after="0" w:line="229" w:lineRule="exact"/>
        <w:rPr>
          <w:rFonts w:cstheme="minorHAnsi"/>
          <w:sz w:val="24"/>
          <w:szCs w:val="24"/>
        </w:rPr>
      </w:pPr>
    </w:p>
    <w:p w14:paraId="77590DF1" w14:textId="52587732" w:rsidR="00C36419" w:rsidRPr="00692126" w:rsidRDefault="00311C74" w:rsidP="00F27F11">
      <w:pPr>
        <w:pStyle w:val="ListParagraph"/>
        <w:numPr>
          <w:ilvl w:val="0"/>
          <w:numId w:val="3"/>
        </w:numPr>
        <w:spacing w:after="0" w:line="229" w:lineRule="exact"/>
        <w:jc w:val="both"/>
        <w:rPr>
          <w:rFonts w:cstheme="minorHAnsi"/>
          <w:sz w:val="24"/>
          <w:szCs w:val="24"/>
        </w:rPr>
      </w:pPr>
      <w:r w:rsidRPr="00692126">
        <w:rPr>
          <w:rFonts w:cstheme="minorHAnsi"/>
          <w:sz w:val="24"/>
          <w:szCs w:val="24"/>
        </w:rPr>
        <w:t>One of the more</w:t>
      </w:r>
      <w:r w:rsidR="00C36419" w:rsidRPr="00692126">
        <w:rPr>
          <w:rFonts w:cstheme="minorHAnsi"/>
          <w:sz w:val="24"/>
          <w:szCs w:val="24"/>
        </w:rPr>
        <w:t xml:space="preserve"> significant improvement</w:t>
      </w:r>
      <w:r w:rsidR="00BB344F">
        <w:rPr>
          <w:rFonts w:cstheme="minorHAnsi"/>
          <w:sz w:val="24"/>
          <w:szCs w:val="24"/>
        </w:rPr>
        <w:t>s</w:t>
      </w:r>
      <w:r w:rsidR="00C36419" w:rsidRPr="00692126">
        <w:rPr>
          <w:rFonts w:cstheme="minorHAnsi"/>
          <w:sz w:val="24"/>
          <w:szCs w:val="24"/>
        </w:rPr>
        <w:t xml:space="preserve"> to patient care </w:t>
      </w:r>
      <w:r w:rsidR="00537DA3" w:rsidRPr="00692126">
        <w:rPr>
          <w:rFonts w:cstheme="minorHAnsi"/>
          <w:sz w:val="24"/>
          <w:szCs w:val="24"/>
        </w:rPr>
        <w:t xml:space="preserve">resulting from the Proposed Project </w:t>
      </w:r>
      <w:r w:rsidRPr="00692126">
        <w:rPr>
          <w:rFonts w:cstheme="minorHAnsi"/>
          <w:sz w:val="24"/>
          <w:szCs w:val="24"/>
        </w:rPr>
        <w:t xml:space="preserve">is the </w:t>
      </w:r>
      <w:r w:rsidR="00BB344F">
        <w:rPr>
          <w:rFonts w:cstheme="minorHAnsi"/>
          <w:sz w:val="24"/>
          <w:szCs w:val="24"/>
        </w:rPr>
        <w:t>creation</w:t>
      </w:r>
      <w:r w:rsidRPr="00692126">
        <w:rPr>
          <w:rFonts w:cstheme="minorHAnsi"/>
          <w:sz w:val="24"/>
          <w:szCs w:val="24"/>
        </w:rPr>
        <w:t xml:space="preserve"> all private treatment rooms from</w:t>
      </w:r>
      <w:r w:rsidR="00C36419" w:rsidRPr="00692126">
        <w:rPr>
          <w:rFonts w:cstheme="minorHAnsi"/>
          <w:sz w:val="24"/>
          <w:szCs w:val="24"/>
        </w:rPr>
        <w:t xml:space="preserve"> care being delivered in hallways and curtained bay areas.</w:t>
      </w:r>
      <w:r w:rsidR="00BB344F">
        <w:rPr>
          <w:rFonts w:cstheme="minorHAnsi"/>
          <w:sz w:val="24"/>
          <w:szCs w:val="24"/>
        </w:rPr>
        <w:t xml:space="preserve"> This results in improved patient experience, privacy and space for family and caregivers.</w:t>
      </w:r>
    </w:p>
    <w:p w14:paraId="2E78D448" w14:textId="77777777" w:rsidR="00C36419" w:rsidRPr="00692126" w:rsidRDefault="00C36419" w:rsidP="00311C74">
      <w:pPr>
        <w:pStyle w:val="ListParagraph"/>
        <w:spacing w:after="0" w:line="229" w:lineRule="exact"/>
        <w:ind w:left="1800"/>
        <w:jc w:val="both"/>
        <w:rPr>
          <w:rFonts w:cstheme="minorHAnsi"/>
          <w:sz w:val="24"/>
          <w:szCs w:val="24"/>
        </w:rPr>
      </w:pPr>
    </w:p>
    <w:p w14:paraId="6C74A033" w14:textId="4121F349" w:rsidR="00C36419" w:rsidRPr="00692126" w:rsidRDefault="00537DA3" w:rsidP="00F27F11">
      <w:pPr>
        <w:pStyle w:val="ListParagraph"/>
        <w:numPr>
          <w:ilvl w:val="0"/>
          <w:numId w:val="3"/>
        </w:numPr>
        <w:spacing w:after="0" w:line="229" w:lineRule="exact"/>
        <w:jc w:val="both"/>
        <w:rPr>
          <w:rFonts w:cstheme="minorHAnsi"/>
          <w:sz w:val="24"/>
          <w:szCs w:val="24"/>
        </w:rPr>
      </w:pPr>
      <w:r w:rsidRPr="00692126">
        <w:rPr>
          <w:rFonts w:cstheme="minorHAnsi"/>
          <w:bCs/>
          <w:sz w:val="24"/>
          <w:szCs w:val="24"/>
        </w:rPr>
        <w:t>A larger, d</w:t>
      </w:r>
      <w:r w:rsidR="00C36419" w:rsidRPr="00692126">
        <w:rPr>
          <w:rFonts w:cstheme="minorHAnsi"/>
          <w:bCs/>
          <w:sz w:val="24"/>
          <w:szCs w:val="24"/>
        </w:rPr>
        <w:t>edicate</w:t>
      </w:r>
      <w:r w:rsidR="00311C74" w:rsidRPr="00692126">
        <w:rPr>
          <w:rFonts w:cstheme="minorHAnsi"/>
          <w:bCs/>
          <w:sz w:val="24"/>
          <w:szCs w:val="24"/>
        </w:rPr>
        <w:t>d</w:t>
      </w:r>
      <w:r w:rsidR="00C36419" w:rsidRPr="00692126">
        <w:rPr>
          <w:rFonts w:cstheme="minorHAnsi"/>
          <w:bCs/>
          <w:sz w:val="24"/>
          <w:szCs w:val="24"/>
        </w:rPr>
        <w:t xml:space="preserve"> behavioral health unit with</w:t>
      </w:r>
      <w:r w:rsidR="00C36419" w:rsidRPr="00692126">
        <w:rPr>
          <w:rFonts w:cstheme="minorHAnsi"/>
          <w:sz w:val="24"/>
          <w:szCs w:val="24"/>
        </w:rPr>
        <w:t xml:space="preserve"> ability to serve multiple populations in a secure and ligature resistant environment</w:t>
      </w:r>
      <w:r w:rsidR="00BB344F">
        <w:rPr>
          <w:rFonts w:cstheme="minorHAnsi"/>
          <w:sz w:val="24"/>
          <w:szCs w:val="24"/>
        </w:rPr>
        <w:t xml:space="preserve"> will allow the Hospital to address the needs of this population in an expanded environment that provides for improved patient experience, which in turn may improve outcomes</w:t>
      </w:r>
      <w:r w:rsidRPr="00692126">
        <w:rPr>
          <w:rFonts w:cstheme="minorHAnsi"/>
          <w:sz w:val="24"/>
          <w:szCs w:val="24"/>
        </w:rPr>
        <w:t>.</w:t>
      </w:r>
    </w:p>
    <w:p w14:paraId="5132C0C2" w14:textId="77777777" w:rsidR="00C36419" w:rsidRPr="00692126" w:rsidRDefault="00C36419" w:rsidP="00311C74">
      <w:pPr>
        <w:pStyle w:val="ListParagraph"/>
        <w:spacing w:after="0" w:line="229" w:lineRule="exact"/>
        <w:ind w:left="1800"/>
        <w:jc w:val="both"/>
        <w:rPr>
          <w:rFonts w:cstheme="minorHAnsi"/>
          <w:sz w:val="24"/>
          <w:szCs w:val="24"/>
        </w:rPr>
      </w:pPr>
    </w:p>
    <w:p w14:paraId="2319B29D" w14:textId="37EDF23C" w:rsidR="00C36419" w:rsidRPr="00692126" w:rsidRDefault="00BB344F" w:rsidP="00F27F11">
      <w:pPr>
        <w:pStyle w:val="ListParagraph"/>
        <w:numPr>
          <w:ilvl w:val="0"/>
          <w:numId w:val="3"/>
        </w:numPr>
        <w:spacing w:after="0" w:line="229" w:lineRule="exact"/>
        <w:jc w:val="both"/>
        <w:rPr>
          <w:rFonts w:cstheme="minorHAnsi"/>
          <w:sz w:val="24"/>
          <w:szCs w:val="24"/>
        </w:rPr>
      </w:pPr>
      <w:r>
        <w:rPr>
          <w:rFonts w:cstheme="minorHAnsi"/>
          <w:sz w:val="24"/>
          <w:szCs w:val="24"/>
        </w:rPr>
        <w:t>A c</w:t>
      </w:r>
      <w:r w:rsidR="00311C74" w:rsidRPr="00692126">
        <w:rPr>
          <w:rFonts w:cstheme="minorHAnsi"/>
          <w:sz w:val="24"/>
          <w:szCs w:val="24"/>
        </w:rPr>
        <w:t xml:space="preserve">ontinued commitment to BID-Plymouth’s Mobile Integrated Health (“MIH”) program. </w:t>
      </w:r>
      <w:r w:rsidR="00C36419" w:rsidRPr="00692126">
        <w:rPr>
          <w:rFonts w:cstheme="minorHAnsi"/>
          <w:sz w:val="24"/>
          <w:szCs w:val="24"/>
        </w:rPr>
        <w:t xml:space="preserve">Patients </w:t>
      </w:r>
      <w:r>
        <w:rPr>
          <w:rFonts w:cstheme="minorHAnsi"/>
          <w:sz w:val="24"/>
          <w:szCs w:val="24"/>
        </w:rPr>
        <w:t xml:space="preserve">presenting to the ED that are </w:t>
      </w:r>
      <w:r w:rsidR="00C36419" w:rsidRPr="00692126">
        <w:rPr>
          <w:rFonts w:cstheme="minorHAnsi"/>
          <w:sz w:val="24"/>
          <w:szCs w:val="24"/>
        </w:rPr>
        <w:t xml:space="preserve">determined to need additional support but not necessarily </w:t>
      </w:r>
      <w:r w:rsidR="00537DA3" w:rsidRPr="00692126">
        <w:rPr>
          <w:rFonts w:cstheme="minorHAnsi"/>
          <w:sz w:val="24"/>
          <w:szCs w:val="24"/>
        </w:rPr>
        <w:t xml:space="preserve">an </w:t>
      </w:r>
      <w:r w:rsidR="00C36419" w:rsidRPr="00692126">
        <w:rPr>
          <w:rFonts w:cstheme="minorHAnsi"/>
          <w:sz w:val="24"/>
          <w:szCs w:val="24"/>
        </w:rPr>
        <w:t>admission or observation</w:t>
      </w:r>
      <w:r w:rsidR="00537DA3" w:rsidRPr="00692126">
        <w:rPr>
          <w:rFonts w:cstheme="minorHAnsi"/>
          <w:sz w:val="24"/>
          <w:szCs w:val="24"/>
        </w:rPr>
        <w:t xml:space="preserve"> stay </w:t>
      </w:r>
      <w:r w:rsidR="00C36419" w:rsidRPr="00692126">
        <w:rPr>
          <w:rFonts w:cstheme="minorHAnsi"/>
          <w:sz w:val="24"/>
          <w:szCs w:val="24"/>
        </w:rPr>
        <w:t xml:space="preserve">are referred to the </w:t>
      </w:r>
      <w:r w:rsidR="00311C74" w:rsidRPr="00692126">
        <w:rPr>
          <w:rFonts w:cstheme="minorHAnsi"/>
          <w:sz w:val="24"/>
          <w:szCs w:val="24"/>
        </w:rPr>
        <w:t>MIH</w:t>
      </w:r>
      <w:r w:rsidR="00C36419" w:rsidRPr="00692126">
        <w:rPr>
          <w:rFonts w:cstheme="minorHAnsi"/>
          <w:sz w:val="24"/>
          <w:szCs w:val="24"/>
        </w:rPr>
        <w:t xml:space="preserve"> program</w:t>
      </w:r>
      <w:r>
        <w:rPr>
          <w:rFonts w:cstheme="minorHAnsi"/>
          <w:sz w:val="24"/>
          <w:szCs w:val="24"/>
        </w:rPr>
        <w:t xml:space="preserve"> to manage their care</w:t>
      </w:r>
      <w:r w:rsidR="00537DA3" w:rsidRPr="00692126">
        <w:rPr>
          <w:rFonts w:cstheme="minorHAnsi"/>
          <w:sz w:val="24"/>
          <w:szCs w:val="24"/>
        </w:rPr>
        <w:t>.</w:t>
      </w:r>
      <w:r>
        <w:rPr>
          <w:rFonts w:cstheme="minorHAnsi"/>
          <w:sz w:val="24"/>
          <w:szCs w:val="24"/>
        </w:rPr>
        <w:t xml:space="preserve"> This program is designed to </w:t>
      </w:r>
      <w:proofErr w:type="gramStart"/>
      <w:r>
        <w:rPr>
          <w:rFonts w:cstheme="minorHAnsi"/>
          <w:sz w:val="24"/>
          <w:szCs w:val="24"/>
        </w:rPr>
        <w:t>allow for</w:t>
      </w:r>
      <w:proofErr w:type="gramEnd"/>
      <w:r>
        <w:rPr>
          <w:rFonts w:cstheme="minorHAnsi"/>
          <w:sz w:val="24"/>
          <w:szCs w:val="24"/>
        </w:rPr>
        <w:t xml:space="preserve"> care management that avoids the use of the ED.</w:t>
      </w:r>
      <w:r w:rsidR="00537DA3" w:rsidRPr="00692126">
        <w:rPr>
          <w:rFonts w:cstheme="minorHAnsi"/>
          <w:sz w:val="24"/>
          <w:szCs w:val="24"/>
        </w:rPr>
        <w:t xml:space="preserve"> </w:t>
      </w:r>
    </w:p>
    <w:p w14:paraId="2BE5E63C" w14:textId="77777777" w:rsidR="00C36419" w:rsidRPr="00692126" w:rsidRDefault="00C36419" w:rsidP="00311C74">
      <w:pPr>
        <w:pStyle w:val="ListParagraph"/>
        <w:spacing w:after="0" w:line="229" w:lineRule="exact"/>
        <w:ind w:left="1800"/>
        <w:jc w:val="both"/>
        <w:rPr>
          <w:rFonts w:cstheme="minorHAnsi"/>
          <w:sz w:val="24"/>
          <w:szCs w:val="24"/>
        </w:rPr>
      </w:pPr>
    </w:p>
    <w:p w14:paraId="2902CCC9" w14:textId="057A6811" w:rsidR="00CD00D7" w:rsidRPr="00692126" w:rsidRDefault="00311C74" w:rsidP="00F27F11">
      <w:pPr>
        <w:pStyle w:val="ListParagraph"/>
        <w:numPr>
          <w:ilvl w:val="0"/>
          <w:numId w:val="3"/>
        </w:numPr>
        <w:spacing w:after="0" w:line="229" w:lineRule="exact"/>
        <w:jc w:val="both"/>
        <w:rPr>
          <w:rFonts w:cstheme="minorHAnsi"/>
          <w:sz w:val="24"/>
          <w:szCs w:val="24"/>
        </w:rPr>
      </w:pPr>
      <w:r w:rsidRPr="00692126">
        <w:rPr>
          <w:rFonts w:cstheme="minorHAnsi"/>
          <w:bCs/>
          <w:sz w:val="24"/>
          <w:szCs w:val="24"/>
        </w:rPr>
        <w:t>The Proposed project will improve efficiency for the existing v</w:t>
      </w:r>
      <w:r w:rsidR="00C36419" w:rsidRPr="00692126">
        <w:rPr>
          <w:rFonts w:cstheme="minorHAnsi"/>
          <w:bCs/>
          <w:sz w:val="24"/>
          <w:szCs w:val="24"/>
        </w:rPr>
        <w:t>ertical treatment space, improving</w:t>
      </w:r>
      <w:r w:rsidR="00C36419" w:rsidRPr="00692126">
        <w:rPr>
          <w:rFonts w:cstheme="minorHAnsi"/>
          <w:sz w:val="24"/>
          <w:szCs w:val="24"/>
        </w:rPr>
        <w:t xml:space="preserve"> ED patient throughput by </w:t>
      </w:r>
      <w:r w:rsidR="00BB344F">
        <w:rPr>
          <w:rFonts w:cstheme="minorHAnsi"/>
          <w:sz w:val="24"/>
          <w:szCs w:val="24"/>
        </w:rPr>
        <w:t xml:space="preserve">providing care in the most appropriate setting in the ED. </w:t>
      </w:r>
      <w:r w:rsidR="00C36419" w:rsidRPr="00692126">
        <w:rPr>
          <w:rFonts w:cstheme="minorHAnsi"/>
          <w:sz w:val="24"/>
          <w:szCs w:val="24"/>
        </w:rPr>
        <w:t xml:space="preserve">  </w:t>
      </w:r>
    </w:p>
    <w:p w14:paraId="681A780F" w14:textId="01CEBA54" w:rsidR="00036A63" w:rsidRPr="00692126" w:rsidRDefault="00036A63" w:rsidP="00036A63">
      <w:pPr>
        <w:pStyle w:val="ListParagraph"/>
        <w:spacing w:after="0" w:line="229" w:lineRule="exact"/>
        <w:ind w:left="1440"/>
        <w:rPr>
          <w:rFonts w:cstheme="minorHAnsi"/>
          <w:sz w:val="24"/>
          <w:szCs w:val="24"/>
        </w:rPr>
      </w:pPr>
    </w:p>
    <w:p w14:paraId="32540931" w14:textId="77777777" w:rsidR="00036A63" w:rsidRPr="00692126" w:rsidRDefault="00036A63" w:rsidP="00036A63">
      <w:pPr>
        <w:pStyle w:val="ListParagraph"/>
        <w:spacing w:after="0" w:line="229" w:lineRule="exact"/>
        <w:ind w:left="1440"/>
        <w:rPr>
          <w:rFonts w:cstheme="minorHAnsi"/>
          <w:sz w:val="24"/>
          <w:szCs w:val="24"/>
        </w:rPr>
      </w:pPr>
    </w:p>
    <w:sectPr w:rsidR="00036A63" w:rsidRPr="00692126" w:rsidSect="00C938D8">
      <w:headerReference w:type="default" r:id="rId12"/>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FC058" w14:textId="77777777" w:rsidR="00520833" w:rsidRDefault="00520833" w:rsidP="00231103">
      <w:pPr>
        <w:spacing w:after="0" w:line="240" w:lineRule="auto"/>
      </w:pPr>
      <w:r>
        <w:separator/>
      </w:r>
    </w:p>
  </w:endnote>
  <w:endnote w:type="continuationSeparator" w:id="0">
    <w:p w14:paraId="15C3730A" w14:textId="77777777" w:rsidR="00520833" w:rsidRDefault="00520833" w:rsidP="00231103">
      <w:pPr>
        <w:spacing w:after="0" w:line="240" w:lineRule="auto"/>
      </w:pPr>
      <w:r>
        <w:continuationSeparator/>
      </w:r>
    </w:p>
  </w:endnote>
  <w:endnote w:type="continuationNotice" w:id="1">
    <w:p w14:paraId="3C66BBFB" w14:textId="77777777" w:rsidR="00520833" w:rsidRDefault="005208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5878915"/>
      <w:docPartObj>
        <w:docPartGallery w:val="Page Numbers (Bottom of Page)"/>
        <w:docPartUnique/>
      </w:docPartObj>
    </w:sdtPr>
    <w:sdtEndPr>
      <w:rPr>
        <w:noProof/>
      </w:rPr>
    </w:sdtEndPr>
    <w:sdtContent>
      <w:p w14:paraId="0D149475" w14:textId="53E0776A" w:rsidR="00632AEC" w:rsidRDefault="00632A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46F47" w14:textId="77777777" w:rsidR="00520833" w:rsidRDefault="00520833" w:rsidP="00231103">
      <w:pPr>
        <w:spacing w:after="0" w:line="240" w:lineRule="auto"/>
      </w:pPr>
      <w:r>
        <w:separator/>
      </w:r>
    </w:p>
  </w:footnote>
  <w:footnote w:type="continuationSeparator" w:id="0">
    <w:p w14:paraId="7C6BEAE8" w14:textId="77777777" w:rsidR="00520833" w:rsidRDefault="00520833" w:rsidP="00231103">
      <w:pPr>
        <w:spacing w:after="0" w:line="240" w:lineRule="auto"/>
      </w:pPr>
      <w:r>
        <w:continuationSeparator/>
      </w:r>
    </w:p>
  </w:footnote>
  <w:footnote w:type="continuationNotice" w:id="1">
    <w:p w14:paraId="018A9D5A" w14:textId="77777777" w:rsidR="00520833" w:rsidRDefault="00520833">
      <w:pPr>
        <w:spacing w:after="0" w:line="240" w:lineRule="auto"/>
      </w:pPr>
    </w:p>
  </w:footnote>
  <w:footnote w:id="2">
    <w:p w14:paraId="34AC994D" w14:textId="77777777" w:rsidR="0058683B" w:rsidRPr="00EA025B" w:rsidRDefault="0058683B" w:rsidP="0058683B">
      <w:pPr>
        <w:pStyle w:val="FootnoteText"/>
        <w:rPr>
          <w:sz w:val="16"/>
          <w:szCs w:val="16"/>
        </w:rPr>
      </w:pPr>
      <w:r w:rsidRPr="00EA025B">
        <w:rPr>
          <w:rStyle w:val="FootnoteReference"/>
          <w:sz w:val="16"/>
          <w:szCs w:val="16"/>
        </w:rPr>
        <w:footnoteRef/>
      </w:r>
      <w:r w:rsidRPr="00EA025B">
        <w:rPr>
          <w:sz w:val="16"/>
          <w:szCs w:val="16"/>
        </w:rPr>
        <w:t xml:space="preserve"> 2024 data has been annualized.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C7675" w14:textId="1B6DDD83" w:rsidR="00153D99" w:rsidRPr="001C1A06" w:rsidRDefault="00BE5B4B" w:rsidP="00D223EB">
    <w:pPr>
      <w:pStyle w:val="Header"/>
      <w:pBdr>
        <w:bottom w:val="single" w:sz="4" w:space="1" w:color="auto"/>
      </w:pBdr>
      <w:jc w:val="center"/>
      <w:rPr>
        <w:rFonts w:ascii="Arial-BoldMT" w:hAnsi="Arial-BoldMT" w:cs="Arial-BoldMT"/>
        <w:b/>
        <w:bCs/>
        <w:sz w:val="28"/>
        <w:szCs w:val="28"/>
      </w:rPr>
    </w:pPr>
    <w:r w:rsidRPr="001C1A06">
      <w:rPr>
        <w:rFonts w:ascii="Arial-BoldMT" w:hAnsi="Arial-BoldMT" w:cs="Arial-BoldMT"/>
        <w:b/>
        <w:bCs/>
        <w:sz w:val="28"/>
        <w:szCs w:val="28"/>
      </w:rPr>
      <w:t>Beth Israel Lahey Health</w:t>
    </w:r>
    <w:r w:rsidR="00183D7F">
      <w:rPr>
        <w:rFonts w:ascii="Arial-BoldMT" w:hAnsi="Arial-BoldMT" w:cs="Arial-BoldMT"/>
        <w:b/>
        <w:bCs/>
        <w:sz w:val="28"/>
        <w:szCs w:val="28"/>
      </w:rPr>
      <w:t>, Inc</w:t>
    </w:r>
  </w:p>
  <w:p w14:paraId="78DC6D8E" w14:textId="0B84CD72" w:rsidR="00D223EB" w:rsidRPr="001C1A06" w:rsidRDefault="008F67D8" w:rsidP="008F67D8">
    <w:pPr>
      <w:pStyle w:val="Header"/>
      <w:pBdr>
        <w:bottom w:val="single" w:sz="4" w:space="1" w:color="auto"/>
      </w:pBdr>
      <w:jc w:val="center"/>
      <w:rPr>
        <w:rFonts w:ascii="Arial-BoldMT" w:hAnsi="Arial-BoldMT" w:cs="Arial-BoldMT"/>
        <w:b/>
        <w:bCs/>
        <w:sz w:val="24"/>
        <w:szCs w:val="24"/>
      </w:rPr>
    </w:pPr>
    <w:r w:rsidRPr="008F67D8">
      <w:rPr>
        <w:rFonts w:ascii="Arial-BoldMT" w:hAnsi="Arial-BoldMT" w:cs="Arial-BoldMT"/>
        <w:b/>
        <w:bCs/>
        <w:sz w:val="24"/>
        <w:szCs w:val="24"/>
      </w:rPr>
      <w:t xml:space="preserve">DON # </w:t>
    </w:r>
    <w:r w:rsidR="00925E85" w:rsidRPr="00183D7F">
      <w:rPr>
        <w:rFonts w:ascii="Arial-BoldMT" w:hAnsi="Arial-BoldMT" w:cs="Arial-BoldMT"/>
        <w:b/>
        <w:bCs/>
        <w:sz w:val="24"/>
        <w:szCs w:val="24"/>
      </w:rPr>
      <w:t>BILH-23102414-HE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C4432"/>
    <w:multiLevelType w:val="hybridMultilevel"/>
    <w:tmpl w:val="A3C2F9CA"/>
    <w:lvl w:ilvl="0" w:tplc="247AA878">
      <w:start w:val="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F651E2"/>
    <w:multiLevelType w:val="hybridMultilevel"/>
    <w:tmpl w:val="307C78E2"/>
    <w:lvl w:ilvl="0" w:tplc="8738037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551702">
    <w:abstractNumId w:val="1"/>
  </w:num>
  <w:num w:numId="2" w16cid:durableId="148061709">
    <w:abstractNumId w:val="2"/>
  </w:num>
  <w:num w:numId="3" w16cid:durableId="82466565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C"/>
    <w:rsid w:val="00000463"/>
    <w:rsid w:val="000012DD"/>
    <w:rsid w:val="000037BD"/>
    <w:rsid w:val="0000383B"/>
    <w:rsid w:val="000038CE"/>
    <w:rsid w:val="0000498C"/>
    <w:rsid w:val="00005930"/>
    <w:rsid w:val="00011385"/>
    <w:rsid w:val="00012264"/>
    <w:rsid w:val="00012279"/>
    <w:rsid w:val="000168C2"/>
    <w:rsid w:val="00016E99"/>
    <w:rsid w:val="00017924"/>
    <w:rsid w:val="00021A01"/>
    <w:rsid w:val="0002235E"/>
    <w:rsid w:val="00024C6C"/>
    <w:rsid w:val="00024D28"/>
    <w:rsid w:val="00025521"/>
    <w:rsid w:val="00026B6F"/>
    <w:rsid w:val="00027FBC"/>
    <w:rsid w:val="0003012E"/>
    <w:rsid w:val="0003035A"/>
    <w:rsid w:val="00030F72"/>
    <w:rsid w:val="00032FF5"/>
    <w:rsid w:val="00036A63"/>
    <w:rsid w:val="00040965"/>
    <w:rsid w:val="000413D6"/>
    <w:rsid w:val="0004380F"/>
    <w:rsid w:val="0004645C"/>
    <w:rsid w:val="00054FF4"/>
    <w:rsid w:val="0005525D"/>
    <w:rsid w:val="00055942"/>
    <w:rsid w:val="00055F9E"/>
    <w:rsid w:val="00056D5B"/>
    <w:rsid w:val="00057A92"/>
    <w:rsid w:val="000618A4"/>
    <w:rsid w:val="00063414"/>
    <w:rsid w:val="00064206"/>
    <w:rsid w:val="0006445F"/>
    <w:rsid w:val="00071162"/>
    <w:rsid w:val="00072EE3"/>
    <w:rsid w:val="00073DC9"/>
    <w:rsid w:val="00074092"/>
    <w:rsid w:val="00076535"/>
    <w:rsid w:val="000766DC"/>
    <w:rsid w:val="00076A84"/>
    <w:rsid w:val="00076CB2"/>
    <w:rsid w:val="000775B1"/>
    <w:rsid w:val="00080AC6"/>
    <w:rsid w:val="000826CB"/>
    <w:rsid w:val="00083193"/>
    <w:rsid w:val="0008493D"/>
    <w:rsid w:val="000862E1"/>
    <w:rsid w:val="0009039F"/>
    <w:rsid w:val="000906E1"/>
    <w:rsid w:val="000907F9"/>
    <w:rsid w:val="00091C4C"/>
    <w:rsid w:val="00092910"/>
    <w:rsid w:val="00092D68"/>
    <w:rsid w:val="000950D5"/>
    <w:rsid w:val="000952FD"/>
    <w:rsid w:val="00095621"/>
    <w:rsid w:val="00095FAB"/>
    <w:rsid w:val="00096ACB"/>
    <w:rsid w:val="00097B2C"/>
    <w:rsid w:val="000A56D4"/>
    <w:rsid w:val="000A5A22"/>
    <w:rsid w:val="000A691D"/>
    <w:rsid w:val="000A7A45"/>
    <w:rsid w:val="000B0A7F"/>
    <w:rsid w:val="000B1438"/>
    <w:rsid w:val="000B1D01"/>
    <w:rsid w:val="000B37EE"/>
    <w:rsid w:val="000C2766"/>
    <w:rsid w:val="000C4405"/>
    <w:rsid w:val="000C51AE"/>
    <w:rsid w:val="000C6277"/>
    <w:rsid w:val="000C7F71"/>
    <w:rsid w:val="000D0D41"/>
    <w:rsid w:val="000E0B48"/>
    <w:rsid w:val="000E1BB9"/>
    <w:rsid w:val="000E2F30"/>
    <w:rsid w:val="000E342B"/>
    <w:rsid w:val="000E3622"/>
    <w:rsid w:val="000E5EC9"/>
    <w:rsid w:val="000E7E1B"/>
    <w:rsid w:val="000F0EDD"/>
    <w:rsid w:val="000F4FA3"/>
    <w:rsid w:val="000F5BAD"/>
    <w:rsid w:val="000F5CC4"/>
    <w:rsid w:val="000F6503"/>
    <w:rsid w:val="00101646"/>
    <w:rsid w:val="001017F6"/>
    <w:rsid w:val="001018CF"/>
    <w:rsid w:val="00104288"/>
    <w:rsid w:val="001050F4"/>
    <w:rsid w:val="00105768"/>
    <w:rsid w:val="00106D23"/>
    <w:rsid w:val="00106F2E"/>
    <w:rsid w:val="00112BDF"/>
    <w:rsid w:val="00112E92"/>
    <w:rsid w:val="00113110"/>
    <w:rsid w:val="001131F8"/>
    <w:rsid w:val="001204FE"/>
    <w:rsid w:val="00120FB5"/>
    <w:rsid w:val="00122099"/>
    <w:rsid w:val="0012232D"/>
    <w:rsid w:val="0012374D"/>
    <w:rsid w:val="00123EE2"/>
    <w:rsid w:val="00125F6B"/>
    <w:rsid w:val="00126E85"/>
    <w:rsid w:val="0013225C"/>
    <w:rsid w:val="001332C7"/>
    <w:rsid w:val="00133CF7"/>
    <w:rsid w:val="001353C3"/>
    <w:rsid w:val="00137A46"/>
    <w:rsid w:val="00137C36"/>
    <w:rsid w:val="00140AE5"/>
    <w:rsid w:val="00144EBA"/>
    <w:rsid w:val="0014505C"/>
    <w:rsid w:val="001459CB"/>
    <w:rsid w:val="0014727D"/>
    <w:rsid w:val="001473E0"/>
    <w:rsid w:val="00147ED6"/>
    <w:rsid w:val="00150337"/>
    <w:rsid w:val="00152CFB"/>
    <w:rsid w:val="001538B2"/>
    <w:rsid w:val="00153D99"/>
    <w:rsid w:val="00154A10"/>
    <w:rsid w:val="0016111D"/>
    <w:rsid w:val="00162A72"/>
    <w:rsid w:val="00164EAE"/>
    <w:rsid w:val="00166158"/>
    <w:rsid w:val="001679DC"/>
    <w:rsid w:val="00167F71"/>
    <w:rsid w:val="001701AE"/>
    <w:rsid w:val="00170D7F"/>
    <w:rsid w:val="00174CFB"/>
    <w:rsid w:val="001755E0"/>
    <w:rsid w:val="00175F68"/>
    <w:rsid w:val="00176547"/>
    <w:rsid w:val="00176C56"/>
    <w:rsid w:val="00180580"/>
    <w:rsid w:val="00182533"/>
    <w:rsid w:val="00183D7F"/>
    <w:rsid w:val="00185A10"/>
    <w:rsid w:val="001868F3"/>
    <w:rsid w:val="00187D76"/>
    <w:rsid w:val="00190646"/>
    <w:rsid w:val="0019184A"/>
    <w:rsid w:val="00191B78"/>
    <w:rsid w:val="00191DAC"/>
    <w:rsid w:val="001926A6"/>
    <w:rsid w:val="00192CFC"/>
    <w:rsid w:val="00193CD7"/>
    <w:rsid w:val="001A0425"/>
    <w:rsid w:val="001A0D95"/>
    <w:rsid w:val="001A0FB0"/>
    <w:rsid w:val="001A11D0"/>
    <w:rsid w:val="001A170B"/>
    <w:rsid w:val="001A35DC"/>
    <w:rsid w:val="001A511B"/>
    <w:rsid w:val="001A66A9"/>
    <w:rsid w:val="001A767E"/>
    <w:rsid w:val="001B17D3"/>
    <w:rsid w:val="001B32E1"/>
    <w:rsid w:val="001B3A91"/>
    <w:rsid w:val="001B517F"/>
    <w:rsid w:val="001B569F"/>
    <w:rsid w:val="001B5845"/>
    <w:rsid w:val="001B5C12"/>
    <w:rsid w:val="001B7F98"/>
    <w:rsid w:val="001C1986"/>
    <w:rsid w:val="001C1A06"/>
    <w:rsid w:val="001C2783"/>
    <w:rsid w:val="001C2A01"/>
    <w:rsid w:val="001C44D2"/>
    <w:rsid w:val="001C5BF3"/>
    <w:rsid w:val="001C6610"/>
    <w:rsid w:val="001C6B00"/>
    <w:rsid w:val="001C6D93"/>
    <w:rsid w:val="001D0111"/>
    <w:rsid w:val="001D01BF"/>
    <w:rsid w:val="001D1521"/>
    <w:rsid w:val="001D1813"/>
    <w:rsid w:val="001D7C2C"/>
    <w:rsid w:val="001E0B77"/>
    <w:rsid w:val="001E0B94"/>
    <w:rsid w:val="001E19D7"/>
    <w:rsid w:val="001E21D7"/>
    <w:rsid w:val="001E2EA3"/>
    <w:rsid w:val="001E4503"/>
    <w:rsid w:val="001E5650"/>
    <w:rsid w:val="001E5807"/>
    <w:rsid w:val="001F02F3"/>
    <w:rsid w:val="001F27B7"/>
    <w:rsid w:val="001F2BE8"/>
    <w:rsid w:val="001F30FB"/>
    <w:rsid w:val="001F5FDD"/>
    <w:rsid w:val="001F667D"/>
    <w:rsid w:val="001F687E"/>
    <w:rsid w:val="00200334"/>
    <w:rsid w:val="002017F0"/>
    <w:rsid w:val="00201F6E"/>
    <w:rsid w:val="00202AD7"/>
    <w:rsid w:val="002037DF"/>
    <w:rsid w:val="00203E5A"/>
    <w:rsid w:val="002050B9"/>
    <w:rsid w:val="00205E02"/>
    <w:rsid w:val="002069DD"/>
    <w:rsid w:val="002102EF"/>
    <w:rsid w:val="00212619"/>
    <w:rsid w:val="002131E4"/>
    <w:rsid w:val="00214FAA"/>
    <w:rsid w:val="002155ED"/>
    <w:rsid w:val="0021563E"/>
    <w:rsid w:val="00216324"/>
    <w:rsid w:val="00216777"/>
    <w:rsid w:val="002179D1"/>
    <w:rsid w:val="00220641"/>
    <w:rsid w:val="0022349D"/>
    <w:rsid w:val="00224770"/>
    <w:rsid w:val="00225057"/>
    <w:rsid w:val="00225B1E"/>
    <w:rsid w:val="00225C8A"/>
    <w:rsid w:val="00226A63"/>
    <w:rsid w:val="00227005"/>
    <w:rsid w:val="00227BD5"/>
    <w:rsid w:val="00230C3B"/>
    <w:rsid w:val="00230EF5"/>
    <w:rsid w:val="00231103"/>
    <w:rsid w:val="002314FF"/>
    <w:rsid w:val="00231E3B"/>
    <w:rsid w:val="00233AFE"/>
    <w:rsid w:val="00233C6B"/>
    <w:rsid w:val="00234272"/>
    <w:rsid w:val="002364A1"/>
    <w:rsid w:val="00236B31"/>
    <w:rsid w:val="00236D23"/>
    <w:rsid w:val="00241F52"/>
    <w:rsid w:val="0024261D"/>
    <w:rsid w:val="002458BA"/>
    <w:rsid w:val="0024615C"/>
    <w:rsid w:val="00246BD6"/>
    <w:rsid w:val="00246FBB"/>
    <w:rsid w:val="00251BEF"/>
    <w:rsid w:val="002533DB"/>
    <w:rsid w:val="0025349C"/>
    <w:rsid w:val="00253AF3"/>
    <w:rsid w:val="00253B0A"/>
    <w:rsid w:val="00254265"/>
    <w:rsid w:val="002542A0"/>
    <w:rsid w:val="00257224"/>
    <w:rsid w:val="0025780A"/>
    <w:rsid w:val="0025792F"/>
    <w:rsid w:val="00262131"/>
    <w:rsid w:val="00262359"/>
    <w:rsid w:val="00262E53"/>
    <w:rsid w:val="002643AF"/>
    <w:rsid w:val="00264588"/>
    <w:rsid w:val="0026558B"/>
    <w:rsid w:val="00267859"/>
    <w:rsid w:val="00270B47"/>
    <w:rsid w:val="00270F6B"/>
    <w:rsid w:val="00271BF5"/>
    <w:rsid w:val="00271D85"/>
    <w:rsid w:val="0027221A"/>
    <w:rsid w:val="0027284F"/>
    <w:rsid w:val="002750A6"/>
    <w:rsid w:val="002750C0"/>
    <w:rsid w:val="00276196"/>
    <w:rsid w:val="0027783A"/>
    <w:rsid w:val="00277D9A"/>
    <w:rsid w:val="002865E8"/>
    <w:rsid w:val="002906CE"/>
    <w:rsid w:val="002912FB"/>
    <w:rsid w:val="00291912"/>
    <w:rsid w:val="00292B13"/>
    <w:rsid w:val="00293147"/>
    <w:rsid w:val="00294D49"/>
    <w:rsid w:val="00296F21"/>
    <w:rsid w:val="0029738B"/>
    <w:rsid w:val="002A36DF"/>
    <w:rsid w:val="002A4110"/>
    <w:rsid w:val="002A47FE"/>
    <w:rsid w:val="002A518F"/>
    <w:rsid w:val="002A540F"/>
    <w:rsid w:val="002A5E73"/>
    <w:rsid w:val="002A6759"/>
    <w:rsid w:val="002B0AF0"/>
    <w:rsid w:val="002B3476"/>
    <w:rsid w:val="002B4234"/>
    <w:rsid w:val="002B5ADB"/>
    <w:rsid w:val="002C0C55"/>
    <w:rsid w:val="002C0C71"/>
    <w:rsid w:val="002C3C86"/>
    <w:rsid w:val="002C568C"/>
    <w:rsid w:val="002C5E88"/>
    <w:rsid w:val="002D012B"/>
    <w:rsid w:val="002D06F7"/>
    <w:rsid w:val="002D18BF"/>
    <w:rsid w:val="002D18FC"/>
    <w:rsid w:val="002D1CC3"/>
    <w:rsid w:val="002D39AC"/>
    <w:rsid w:val="002D5E75"/>
    <w:rsid w:val="002D5F7A"/>
    <w:rsid w:val="002E3CEF"/>
    <w:rsid w:val="002E46AB"/>
    <w:rsid w:val="002E5CA9"/>
    <w:rsid w:val="002F0337"/>
    <w:rsid w:val="002F3CDD"/>
    <w:rsid w:val="002F5878"/>
    <w:rsid w:val="002F7B99"/>
    <w:rsid w:val="00301D82"/>
    <w:rsid w:val="00302D3F"/>
    <w:rsid w:val="003030AA"/>
    <w:rsid w:val="0030336D"/>
    <w:rsid w:val="00303DD8"/>
    <w:rsid w:val="00303EE3"/>
    <w:rsid w:val="00306307"/>
    <w:rsid w:val="00306556"/>
    <w:rsid w:val="0030785A"/>
    <w:rsid w:val="003078B4"/>
    <w:rsid w:val="003079EC"/>
    <w:rsid w:val="00307F98"/>
    <w:rsid w:val="003103B0"/>
    <w:rsid w:val="003108C3"/>
    <w:rsid w:val="00311C74"/>
    <w:rsid w:val="00312739"/>
    <w:rsid w:val="00312A19"/>
    <w:rsid w:val="0031451B"/>
    <w:rsid w:val="00317580"/>
    <w:rsid w:val="00320371"/>
    <w:rsid w:val="00324696"/>
    <w:rsid w:val="0032484D"/>
    <w:rsid w:val="00325C01"/>
    <w:rsid w:val="00326742"/>
    <w:rsid w:val="00327903"/>
    <w:rsid w:val="00327EAC"/>
    <w:rsid w:val="00331E8E"/>
    <w:rsid w:val="00332A40"/>
    <w:rsid w:val="00332C4B"/>
    <w:rsid w:val="00333E04"/>
    <w:rsid w:val="00335F54"/>
    <w:rsid w:val="00336346"/>
    <w:rsid w:val="00337FBF"/>
    <w:rsid w:val="00342240"/>
    <w:rsid w:val="00344402"/>
    <w:rsid w:val="00344BBE"/>
    <w:rsid w:val="00344DAC"/>
    <w:rsid w:val="00345F1B"/>
    <w:rsid w:val="00346884"/>
    <w:rsid w:val="00346FEF"/>
    <w:rsid w:val="003506AE"/>
    <w:rsid w:val="003522D7"/>
    <w:rsid w:val="003533CA"/>
    <w:rsid w:val="00354D26"/>
    <w:rsid w:val="00356283"/>
    <w:rsid w:val="0035653B"/>
    <w:rsid w:val="00357756"/>
    <w:rsid w:val="00357BA6"/>
    <w:rsid w:val="003602C2"/>
    <w:rsid w:val="003620FB"/>
    <w:rsid w:val="00364225"/>
    <w:rsid w:val="00366505"/>
    <w:rsid w:val="0036671D"/>
    <w:rsid w:val="00366918"/>
    <w:rsid w:val="00366DCC"/>
    <w:rsid w:val="003675D5"/>
    <w:rsid w:val="003741E5"/>
    <w:rsid w:val="00375F14"/>
    <w:rsid w:val="003764DE"/>
    <w:rsid w:val="003769AF"/>
    <w:rsid w:val="00380361"/>
    <w:rsid w:val="00380B28"/>
    <w:rsid w:val="00380BB5"/>
    <w:rsid w:val="00380E08"/>
    <w:rsid w:val="003813A0"/>
    <w:rsid w:val="00381CBF"/>
    <w:rsid w:val="00382217"/>
    <w:rsid w:val="00382F9A"/>
    <w:rsid w:val="00384767"/>
    <w:rsid w:val="0038699A"/>
    <w:rsid w:val="00387527"/>
    <w:rsid w:val="00392D76"/>
    <w:rsid w:val="00393DE6"/>
    <w:rsid w:val="00393F8C"/>
    <w:rsid w:val="00394105"/>
    <w:rsid w:val="00395F3D"/>
    <w:rsid w:val="0039698B"/>
    <w:rsid w:val="003A1793"/>
    <w:rsid w:val="003A2B5B"/>
    <w:rsid w:val="003A36B2"/>
    <w:rsid w:val="003A4882"/>
    <w:rsid w:val="003A4DC6"/>
    <w:rsid w:val="003A5F8B"/>
    <w:rsid w:val="003A7217"/>
    <w:rsid w:val="003A7AB8"/>
    <w:rsid w:val="003B0073"/>
    <w:rsid w:val="003B0D30"/>
    <w:rsid w:val="003B1445"/>
    <w:rsid w:val="003B575F"/>
    <w:rsid w:val="003B5953"/>
    <w:rsid w:val="003C1787"/>
    <w:rsid w:val="003C2495"/>
    <w:rsid w:val="003C28D0"/>
    <w:rsid w:val="003C3117"/>
    <w:rsid w:val="003C38F5"/>
    <w:rsid w:val="003C3B18"/>
    <w:rsid w:val="003C3FFC"/>
    <w:rsid w:val="003C6F58"/>
    <w:rsid w:val="003C7C67"/>
    <w:rsid w:val="003C7D2A"/>
    <w:rsid w:val="003D0F39"/>
    <w:rsid w:val="003D14BA"/>
    <w:rsid w:val="003D2A24"/>
    <w:rsid w:val="003D31FD"/>
    <w:rsid w:val="003D3D7D"/>
    <w:rsid w:val="003D4A6F"/>
    <w:rsid w:val="003D50D2"/>
    <w:rsid w:val="003D5D6C"/>
    <w:rsid w:val="003D7315"/>
    <w:rsid w:val="003D7942"/>
    <w:rsid w:val="003E0045"/>
    <w:rsid w:val="003E4BD2"/>
    <w:rsid w:val="003E4F87"/>
    <w:rsid w:val="003E5576"/>
    <w:rsid w:val="003E5688"/>
    <w:rsid w:val="003E6A67"/>
    <w:rsid w:val="003F1211"/>
    <w:rsid w:val="003F159E"/>
    <w:rsid w:val="003F5EF2"/>
    <w:rsid w:val="003F665D"/>
    <w:rsid w:val="003F7754"/>
    <w:rsid w:val="00402AC2"/>
    <w:rsid w:val="004035C4"/>
    <w:rsid w:val="0040458F"/>
    <w:rsid w:val="00404913"/>
    <w:rsid w:val="00404F63"/>
    <w:rsid w:val="00407E19"/>
    <w:rsid w:val="004102C5"/>
    <w:rsid w:val="00411D30"/>
    <w:rsid w:val="004141A0"/>
    <w:rsid w:val="0041770C"/>
    <w:rsid w:val="0042031C"/>
    <w:rsid w:val="0042099B"/>
    <w:rsid w:val="00421844"/>
    <w:rsid w:val="00421B81"/>
    <w:rsid w:val="00421C21"/>
    <w:rsid w:val="00422255"/>
    <w:rsid w:val="004253AA"/>
    <w:rsid w:val="00426884"/>
    <w:rsid w:val="00431EC4"/>
    <w:rsid w:val="00432D19"/>
    <w:rsid w:val="0043468F"/>
    <w:rsid w:val="00435E97"/>
    <w:rsid w:val="004365EF"/>
    <w:rsid w:val="00436DA5"/>
    <w:rsid w:val="00441ECA"/>
    <w:rsid w:val="00441F3E"/>
    <w:rsid w:val="004449E1"/>
    <w:rsid w:val="00444A21"/>
    <w:rsid w:val="00445B4E"/>
    <w:rsid w:val="00447333"/>
    <w:rsid w:val="0045317B"/>
    <w:rsid w:val="004537FA"/>
    <w:rsid w:val="00455504"/>
    <w:rsid w:val="00456B10"/>
    <w:rsid w:val="00456FCF"/>
    <w:rsid w:val="00463824"/>
    <w:rsid w:val="00464ACB"/>
    <w:rsid w:val="00465F4D"/>
    <w:rsid w:val="00470202"/>
    <w:rsid w:val="00473694"/>
    <w:rsid w:val="004737C3"/>
    <w:rsid w:val="004739A3"/>
    <w:rsid w:val="00480049"/>
    <w:rsid w:val="00481ADC"/>
    <w:rsid w:val="004821A3"/>
    <w:rsid w:val="00484231"/>
    <w:rsid w:val="00484A85"/>
    <w:rsid w:val="004873F3"/>
    <w:rsid w:val="004901A5"/>
    <w:rsid w:val="0049027D"/>
    <w:rsid w:val="00490846"/>
    <w:rsid w:val="004921DF"/>
    <w:rsid w:val="004931F9"/>
    <w:rsid w:val="00497513"/>
    <w:rsid w:val="0049782E"/>
    <w:rsid w:val="004A0DDC"/>
    <w:rsid w:val="004A1770"/>
    <w:rsid w:val="004A1907"/>
    <w:rsid w:val="004A1B2F"/>
    <w:rsid w:val="004A1BB1"/>
    <w:rsid w:val="004A1D25"/>
    <w:rsid w:val="004A3C27"/>
    <w:rsid w:val="004A5502"/>
    <w:rsid w:val="004A6568"/>
    <w:rsid w:val="004A7A25"/>
    <w:rsid w:val="004B1CE6"/>
    <w:rsid w:val="004B3151"/>
    <w:rsid w:val="004B39F2"/>
    <w:rsid w:val="004B46F4"/>
    <w:rsid w:val="004B53D6"/>
    <w:rsid w:val="004B5430"/>
    <w:rsid w:val="004B582E"/>
    <w:rsid w:val="004B5EF9"/>
    <w:rsid w:val="004B678F"/>
    <w:rsid w:val="004B6C8F"/>
    <w:rsid w:val="004C0998"/>
    <w:rsid w:val="004C2AE3"/>
    <w:rsid w:val="004C2EFC"/>
    <w:rsid w:val="004C3AB7"/>
    <w:rsid w:val="004C7C09"/>
    <w:rsid w:val="004D036D"/>
    <w:rsid w:val="004D0BF9"/>
    <w:rsid w:val="004D293C"/>
    <w:rsid w:val="004D7C5C"/>
    <w:rsid w:val="004E166A"/>
    <w:rsid w:val="004E5380"/>
    <w:rsid w:val="004E6482"/>
    <w:rsid w:val="004F432A"/>
    <w:rsid w:val="004F590F"/>
    <w:rsid w:val="004F6BB4"/>
    <w:rsid w:val="005006E2"/>
    <w:rsid w:val="00502404"/>
    <w:rsid w:val="0050605F"/>
    <w:rsid w:val="00507039"/>
    <w:rsid w:val="00510EC8"/>
    <w:rsid w:val="00512FDF"/>
    <w:rsid w:val="005145C3"/>
    <w:rsid w:val="00514968"/>
    <w:rsid w:val="00514ECB"/>
    <w:rsid w:val="0051617E"/>
    <w:rsid w:val="00517104"/>
    <w:rsid w:val="00517D5A"/>
    <w:rsid w:val="00520833"/>
    <w:rsid w:val="00520941"/>
    <w:rsid w:val="00520CE7"/>
    <w:rsid w:val="005218C7"/>
    <w:rsid w:val="005226CC"/>
    <w:rsid w:val="00522D14"/>
    <w:rsid w:val="00522F5F"/>
    <w:rsid w:val="00524144"/>
    <w:rsid w:val="005248A7"/>
    <w:rsid w:val="00525292"/>
    <w:rsid w:val="005257D0"/>
    <w:rsid w:val="00527788"/>
    <w:rsid w:val="005301FC"/>
    <w:rsid w:val="00530477"/>
    <w:rsid w:val="00532D6E"/>
    <w:rsid w:val="005338A0"/>
    <w:rsid w:val="00534C78"/>
    <w:rsid w:val="005356C2"/>
    <w:rsid w:val="00535A15"/>
    <w:rsid w:val="00536A69"/>
    <w:rsid w:val="00536B22"/>
    <w:rsid w:val="005379D8"/>
    <w:rsid w:val="00537DA3"/>
    <w:rsid w:val="00540589"/>
    <w:rsid w:val="00541E48"/>
    <w:rsid w:val="005430C8"/>
    <w:rsid w:val="0054339D"/>
    <w:rsid w:val="00546917"/>
    <w:rsid w:val="00547324"/>
    <w:rsid w:val="005475AF"/>
    <w:rsid w:val="005506E6"/>
    <w:rsid w:val="00551569"/>
    <w:rsid w:val="00554017"/>
    <w:rsid w:val="00554544"/>
    <w:rsid w:val="00554CF4"/>
    <w:rsid w:val="00555A05"/>
    <w:rsid w:val="005560CC"/>
    <w:rsid w:val="00561790"/>
    <w:rsid w:val="00561BCC"/>
    <w:rsid w:val="0056282F"/>
    <w:rsid w:val="00564C1B"/>
    <w:rsid w:val="00564F33"/>
    <w:rsid w:val="0056515A"/>
    <w:rsid w:val="00566687"/>
    <w:rsid w:val="00567A48"/>
    <w:rsid w:val="00570873"/>
    <w:rsid w:val="00573656"/>
    <w:rsid w:val="005759B7"/>
    <w:rsid w:val="005768C9"/>
    <w:rsid w:val="00577B19"/>
    <w:rsid w:val="00580CB5"/>
    <w:rsid w:val="00580E2B"/>
    <w:rsid w:val="0058155B"/>
    <w:rsid w:val="00581E7E"/>
    <w:rsid w:val="0058683B"/>
    <w:rsid w:val="00587600"/>
    <w:rsid w:val="0059124F"/>
    <w:rsid w:val="00591D85"/>
    <w:rsid w:val="005921B2"/>
    <w:rsid w:val="00592CEF"/>
    <w:rsid w:val="005941A3"/>
    <w:rsid w:val="005946AB"/>
    <w:rsid w:val="00595372"/>
    <w:rsid w:val="00595A74"/>
    <w:rsid w:val="00596226"/>
    <w:rsid w:val="00596309"/>
    <w:rsid w:val="00596F2D"/>
    <w:rsid w:val="00597369"/>
    <w:rsid w:val="005977E8"/>
    <w:rsid w:val="005A081D"/>
    <w:rsid w:val="005A11D8"/>
    <w:rsid w:val="005A2505"/>
    <w:rsid w:val="005A2F6B"/>
    <w:rsid w:val="005A390D"/>
    <w:rsid w:val="005A3A68"/>
    <w:rsid w:val="005A5F29"/>
    <w:rsid w:val="005A6618"/>
    <w:rsid w:val="005A71F5"/>
    <w:rsid w:val="005B24C1"/>
    <w:rsid w:val="005B6C38"/>
    <w:rsid w:val="005C1745"/>
    <w:rsid w:val="005C1922"/>
    <w:rsid w:val="005C1E0B"/>
    <w:rsid w:val="005C3394"/>
    <w:rsid w:val="005C4433"/>
    <w:rsid w:val="005C4EB9"/>
    <w:rsid w:val="005C5476"/>
    <w:rsid w:val="005C681E"/>
    <w:rsid w:val="005C7D0C"/>
    <w:rsid w:val="005D4244"/>
    <w:rsid w:val="005D543B"/>
    <w:rsid w:val="005E07A8"/>
    <w:rsid w:val="005E1AEF"/>
    <w:rsid w:val="005E3669"/>
    <w:rsid w:val="005E72B7"/>
    <w:rsid w:val="005F267E"/>
    <w:rsid w:val="005F2E76"/>
    <w:rsid w:val="005F5F80"/>
    <w:rsid w:val="005F62ED"/>
    <w:rsid w:val="005F637B"/>
    <w:rsid w:val="005F7339"/>
    <w:rsid w:val="00605067"/>
    <w:rsid w:val="006054A8"/>
    <w:rsid w:val="00605AB6"/>
    <w:rsid w:val="00607E0F"/>
    <w:rsid w:val="00610F50"/>
    <w:rsid w:val="006113E0"/>
    <w:rsid w:val="0061268C"/>
    <w:rsid w:val="00612D41"/>
    <w:rsid w:val="0061597C"/>
    <w:rsid w:val="00615C75"/>
    <w:rsid w:val="00621087"/>
    <w:rsid w:val="00623AD7"/>
    <w:rsid w:val="00624F1A"/>
    <w:rsid w:val="006269A1"/>
    <w:rsid w:val="00627A68"/>
    <w:rsid w:val="006303FF"/>
    <w:rsid w:val="00631829"/>
    <w:rsid w:val="0063182A"/>
    <w:rsid w:val="006325B1"/>
    <w:rsid w:val="00632AEC"/>
    <w:rsid w:val="00636A3D"/>
    <w:rsid w:val="006403D2"/>
    <w:rsid w:val="006409C8"/>
    <w:rsid w:val="00643D57"/>
    <w:rsid w:val="0064499E"/>
    <w:rsid w:val="00645592"/>
    <w:rsid w:val="006513CC"/>
    <w:rsid w:val="0065176F"/>
    <w:rsid w:val="006520E7"/>
    <w:rsid w:val="006533A2"/>
    <w:rsid w:val="0065372D"/>
    <w:rsid w:val="006560F8"/>
    <w:rsid w:val="0066491B"/>
    <w:rsid w:val="006650CD"/>
    <w:rsid w:val="0066694A"/>
    <w:rsid w:val="006705F7"/>
    <w:rsid w:val="006708F8"/>
    <w:rsid w:val="0067116A"/>
    <w:rsid w:val="006733D5"/>
    <w:rsid w:val="00674E0A"/>
    <w:rsid w:val="006754A7"/>
    <w:rsid w:val="00680AD8"/>
    <w:rsid w:val="006814E7"/>
    <w:rsid w:val="00682275"/>
    <w:rsid w:val="006826AF"/>
    <w:rsid w:val="00684458"/>
    <w:rsid w:val="00687E3F"/>
    <w:rsid w:val="006906F3"/>
    <w:rsid w:val="00692126"/>
    <w:rsid w:val="00692BAB"/>
    <w:rsid w:val="00693E98"/>
    <w:rsid w:val="006969C6"/>
    <w:rsid w:val="006A11AA"/>
    <w:rsid w:val="006A1400"/>
    <w:rsid w:val="006A21E4"/>
    <w:rsid w:val="006A25D2"/>
    <w:rsid w:val="006A2BD7"/>
    <w:rsid w:val="006A3466"/>
    <w:rsid w:val="006A376D"/>
    <w:rsid w:val="006A4D5B"/>
    <w:rsid w:val="006A5179"/>
    <w:rsid w:val="006A7EAE"/>
    <w:rsid w:val="006B0381"/>
    <w:rsid w:val="006B0549"/>
    <w:rsid w:val="006B0698"/>
    <w:rsid w:val="006B0C48"/>
    <w:rsid w:val="006B0F22"/>
    <w:rsid w:val="006B5BEF"/>
    <w:rsid w:val="006B68C4"/>
    <w:rsid w:val="006B7171"/>
    <w:rsid w:val="006C1B8D"/>
    <w:rsid w:val="006C3ED5"/>
    <w:rsid w:val="006C552B"/>
    <w:rsid w:val="006D01D3"/>
    <w:rsid w:val="006D05B3"/>
    <w:rsid w:val="006D501C"/>
    <w:rsid w:val="006D6315"/>
    <w:rsid w:val="006D650D"/>
    <w:rsid w:val="006D6994"/>
    <w:rsid w:val="006D7054"/>
    <w:rsid w:val="006E112C"/>
    <w:rsid w:val="006E1D4C"/>
    <w:rsid w:val="006E279C"/>
    <w:rsid w:val="006E29DE"/>
    <w:rsid w:val="006E4E00"/>
    <w:rsid w:val="006E5304"/>
    <w:rsid w:val="006E5486"/>
    <w:rsid w:val="006E567F"/>
    <w:rsid w:val="006E5CDF"/>
    <w:rsid w:val="006E6DA9"/>
    <w:rsid w:val="006F0472"/>
    <w:rsid w:val="006F4EF5"/>
    <w:rsid w:val="006F5D61"/>
    <w:rsid w:val="006F7519"/>
    <w:rsid w:val="007013CB"/>
    <w:rsid w:val="00703ED5"/>
    <w:rsid w:val="0070409F"/>
    <w:rsid w:val="007113DC"/>
    <w:rsid w:val="00711700"/>
    <w:rsid w:val="00712FA6"/>
    <w:rsid w:val="0071352B"/>
    <w:rsid w:val="00713C43"/>
    <w:rsid w:val="0071402E"/>
    <w:rsid w:val="0071563E"/>
    <w:rsid w:val="00715918"/>
    <w:rsid w:val="007172F6"/>
    <w:rsid w:val="007200B2"/>
    <w:rsid w:val="00722F8A"/>
    <w:rsid w:val="007230BC"/>
    <w:rsid w:val="00723188"/>
    <w:rsid w:val="00723E74"/>
    <w:rsid w:val="007242B4"/>
    <w:rsid w:val="00724BED"/>
    <w:rsid w:val="0073005B"/>
    <w:rsid w:val="00730E81"/>
    <w:rsid w:val="00733BDE"/>
    <w:rsid w:val="00733E21"/>
    <w:rsid w:val="0073404F"/>
    <w:rsid w:val="00734A0C"/>
    <w:rsid w:val="00740B16"/>
    <w:rsid w:val="00742E67"/>
    <w:rsid w:val="0074357F"/>
    <w:rsid w:val="00743F50"/>
    <w:rsid w:val="00747EF6"/>
    <w:rsid w:val="007508EF"/>
    <w:rsid w:val="00750B62"/>
    <w:rsid w:val="0075159B"/>
    <w:rsid w:val="007525CA"/>
    <w:rsid w:val="007531D5"/>
    <w:rsid w:val="0075373D"/>
    <w:rsid w:val="00753F14"/>
    <w:rsid w:val="00754B9E"/>
    <w:rsid w:val="00757106"/>
    <w:rsid w:val="00761997"/>
    <w:rsid w:val="00762CA1"/>
    <w:rsid w:val="00766B76"/>
    <w:rsid w:val="00771621"/>
    <w:rsid w:val="00774FA6"/>
    <w:rsid w:val="00775A18"/>
    <w:rsid w:val="00777580"/>
    <w:rsid w:val="00777F4E"/>
    <w:rsid w:val="007871AD"/>
    <w:rsid w:val="00787CB4"/>
    <w:rsid w:val="00791B92"/>
    <w:rsid w:val="00792DB0"/>
    <w:rsid w:val="007931E8"/>
    <w:rsid w:val="0079321A"/>
    <w:rsid w:val="007934D2"/>
    <w:rsid w:val="00795B9D"/>
    <w:rsid w:val="00795E61"/>
    <w:rsid w:val="00795E6A"/>
    <w:rsid w:val="007966DB"/>
    <w:rsid w:val="007979FB"/>
    <w:rsid w:val="007A0625"/>
    <w:rsid w:val="007A1CBE"/>
    <w:rsid w:val="007B0FD2"/>
    <w:rsid w:val="007B3A5E"/>
    <w:rsid w:val="007B529A"/>
    <w:rsid w:val="007B57B1"/>
    <w:rsid w:val="007B5C83"/>
    <w:rsid w:val="007B689C"/>
    <w:rsid w:val="007C02F9"/>
    <w:rsid w:val="007C108B"/>
    <w:rsid w:val="007C2DF7"/>
    <w:rsid w:val="007C302D"/>
    <w:rsid w:val="007C3FFF"/>
    <w:rsid w:val="007C6B4E"/>
    <w:rsid w:val="007D023F"/>
    <w:rsid w:val="007D127A"/>
    <w:rsid w:val="007D1376"/>
    <w:rsid w:val="007D16C5"/>
    <w:rsid w:val="007D25EE"/>
    <w:rsid w:val="007D3BF6"/>
    <w:rsid w:val="007D3C65"/>
    <w:rsid w:val="007E0AC9"/>
    <w:rsid w:val="007E0DEF"/>
    <w:rsid w:val="007E5FE7"/>
    <w:rsid w:val="007E6854"/>
    <w:rsid w:val="007F0872"/>
    <w:rsid w:val="007F1021"/>
    <w:rsid w:val="007F43D4"/>
    <w:rsid w:val="007F5301"/>
    <w:rsid w:val="007F561D"/>
    <w:rsid w:val="007F5C97"/>
    <w:rsid w:val="007F5DD1"/>
    <w:rsid w:val="007F6742"/>
    <w:rsid w:val="007F7A71"/>
    <w:rsid w:val="008006D1"/>
    <w:rsid w:val="0080170E"/>
    <w:rsid w:val="008031C1"/>
    <w:rsid w:val="00803785"/>
    <w:rsid w:val="008050B8"/>
    <w:rsid w:val="0080618A"/>
    <w:rsid w:val="008061A3"/>
    <w:rsid w:val="00806593"/>
    <w:rsid w:val="00810C49"/>
    <w:rsid w:val="008124F5"/>
    <w:rsid w:val="0081262E"/>
    <w:rsid w:val="00813262"/>
    <w:rsid w:val="00813ECA"/>
    <w:rsid w:val="00815464"/>
    <w:rsid w:val="0081551A"/>
    <w:rsid w:val="0081609A"/>
    <w:rsid w:val="00820074"/>
    <w:rsid w:val="00820C2B"/>
    <w:rsid w:val="008217B2"/>
    <w:rsid w:val="008218EF"/>
    <w:rsid w:val="00821F58"/>
    <w:rsid w:val="008222C5"/>
    <w:rsid w:val="008244F6"/>
    <w:rsid w:val="008263DF"/>
    <w:rsid w:val="0082642F"/>
    <w:rsid w:val="00826574"/>
    <w:rsid w:val="00830723"/>
    <w:rsid w:val="0083116D"/>
    <w:rsid w:val="00833925"/>
    <w:rsid w:val="0083393C"/>
    <w:rsid w:val="00835493"/>
    <w:rsid w:val="00842E61"/>
    <w:rsid w:val="00843356"/>
    <w:rsid w:val="008440E4"/>
    <w:rsid w:val="008443E7"/>
    <w:rsid w:val="008449E3"/>
    <w:rsid w:val="0084640D"/>
    <w:rsid w:val="008464B2"/>
    <w:rsid w:val="00847665"/>
    <w:rsid w:val="00847BE1"/>
    <w:rsid w:val="00851136"/>
    <w:rsid w:val="008519A8"/>
    <w:rsid w:val="00851EBF"/>
    <w:rsid w:val="00852964"/>
    <w:rsid w:val="00854496"/>
    <w:rsid w:val="0085462D"/>
    <w:rsid w:val="0085466C"/>
    <w:rsid w:val="008552B3"/>
    <w:rsid w:val="0086021D"/>
    <w:rsid w:val="00862AF4"/>
    <w:rsid w:val="008634B7"/>
    <w:rsid w:val="00863F89"/>
    <w:rsid w:val="00863FC5"/>
    <w:rsid w:val="008643F3"/>
    <w:rsid w:val="00874C86"/>
    <w:rsid w:val="0087518D"/>
    <w:rsid w:val="00875EDB"/>
    <w:rsid w:val="00876CE8"/>
    <w:rsid w:val="00877A04"/>
    <w:rsid w:val="00881DF6"/>
    <w:rsid w:val="00882805"/>
    <w:rsid w:val="00883C3A"/>
    <w:rsid w:val="00885BDE"/>
    <w:rsid w:val="008868E6"/>
    <w:rsid w:val="00886E11"/>
    <w:rsid w:val="00890231"/>
    <w:rsid w:val="0089063F"/>
    <w:rsid w:val="008906F3"/>
    <w:rsid w:val="008922CA"/>
    <w:rsid w:val="008955B8"/>
    <w:rsid w:val="00895B40"/>
    <w:rsid w:val="00897A92"/>
    <w:rsid w:val="008A0455"/>
    <w:rsid w:val="008A0B8C"/>
    <w:rsid w:val="008A1722"/>
    <w:rsid w:val="008A1BCF"/>
    <w:rsid w:val="008A1E06"/>
    <w:rsid w:val="008A2200"/>
    <w:rsid w:val="008A4AEA"/>
    <w:rsid w:val="008A6BAF"/>
    <w:rsid w:val="008A7920"/>
    <w:rsid w:val="008A7D64"/>
    <w:rsid w:val="008B18BD"/>
    <w:rsid w:val="008B52CB"/>
    <w:rsid w:val="008B7668"/>
    <w:rsid w:val="008C07AB"/>
    <w:rsid w:val="008C121E"/>
    <w:rsid w:val="008C1253"/>
    <w:rsid w:val="008C24B6"/>
    <w:rsid w:val="008C5D7E"/>
    <w:rsid w:val="008C698B"/>
    <w:rsid w:val="008D0B54"/>
    <w:rsid w:val="008D2B88"/>
    <w:rsid w:val="008D2D7E"/>
    <w:rsid w:val="008D5182"/>
    <w:rsid w:val="008D5359"/>
    <w:rsid w:val="008D6D5E"/>
    <w:rsid w:val="008D7435"/>
    <w:rsid w:val="008E0484"/>
    <w:rsid w:val="008E187B"/>
    <w:rsid w:val="008E234D"/>
    <w:rsid w:val="008E39DC"/>
    <w:rsid w:val="008E3C7A"/>
    <w:rsid w:val="008E455C"/>
    <w:rsid w:val="008E4FB8"/>
    <w:rsid w:val="008E6DF2"/>
    <w:rsid w:val="008E7355"/>
    <w:rsid w:val="008E7E5A"/>
    <w:rsid w:val="008F1860"/>
    <w:rsid w:val="008F2137"/>
    <w:rsid w:val="008F4E1B"/>
    <w:rsid w:val="008F5981"/>
    <w:rsid w:val="008F67D8"/>
    <w:rsid w:val="00900ED6"/>
    <w:rsid w:val="00901BE4"/>
    <w:rsid w:val="0090264F"/>
    <w:rsid w:val="009032E4"/>
    <w:rsid w:val="00906CCD"/>
    <w:rsid w:val="0090727A"/>
    <w:rsid w:val="0091156F"/>
    <w:rsid w:val="00911747"/>
    <w:rsid w:val="00911B9C"/>
    <w:rsid w:val="009135B7"/>
    <w:rsid w:val="00913EFB"/>
    <w:rsid w:val="009143F1"/>
    <w:rsid w:val="00914855"/>
    <w:rsid w:val="00915C11"/>
    <w:rsid w:val="00915F05"/>
    <w:rsid w:val="00916634"/>
    <w:rsid w:val="00916FC3"/>
    <w:rsid w:val="009171CE"/>
    <w:rsid w:val="009178DF"/>
    <w:rsid w:val="00924A83"/>
    <w:rsid w:val="009250A0"/>
    <w:rsid w:val="00925E85"/>
    <w:rsid w:val="009260CC"/>
    <w:rsid w:val="00931374"/>
    <w:rsid w:val="009317D3"/>
    <w:rsid w:val="00931AA1"/>
    <w:rsid w:val="00934706"/>
    <w:rsid w:val="0093616A"/>
    <w:rsid w:val="0093644B"/>
    <w:rsid w:val="009366A5"/>
    <w:rsid w:val="00936CCC"/>
    <w:rsid w:val="009376A5"/>
    <w:rsid w:val="00937C51"/>
    <w:rsid w:val="00937DF4"/>
    <w:rsid w:val="00940929"/>
    <w:rsid w:val="009410A1"/>
    <w:rsid w:val="00943EBF"/>
    <w:rsid w:val="0094400A"/>
    <w:rsid w:val="00944815"/>
    <w:rsid w:val="009448F4"/>
    <w:rsid w:val="0094528E"/>
    <w:rsid w:val="00950BA9"/>
    <w:rsid w:val="00950E04"/>
    <w:rsid w:val="00951254"/>
    <w:rsid w:val="00951485"/>
    <w:rsid w:val="009528C0"/>
    <w:rsid w:val="00955D10"/>
    <w:rsid w:val="00956F13"/>
    <w:rsid w:val="00957545"/>
    <w:rsid w:val="00960DBC"/>
    <w:rsid w:val="00963347"/>
    <w:rsid w:val="009637E5"/>
    <w:rsid w:val="00963B87"/>
    <w:rsid w:val="009656E3"/>
    <w:rsid w:val="00965AEA"/>
    <w:rsid w:val="009672C2"/>
    <w:rsid w:val="00967D55"/>
    <w:rsid w:val="00970D87"/>
    <w:rsid w:val="009723AD"/>
    <w:rsid w:val="00974468"/>
    <w:rsid w:val="0097656A"/>
    <w:rsid w:val="0097742B"/>
    <w:rsid w:val="0098047C"/>
    <w:rsid w:val="00982647"/>
    <w:rsid w:val="00982829"/>
    <w:rsid w:val="00982B4D"/>
    <w:rsid w:val="009859C9"/>
    <w:rsid w:val="00985A22"/>
    <w:rsid w:val="009865DB"/>
    <w:rsid w:val="00986A89"/>
    <w:rsid w:val="00987B47"/>
    <w:rsid w:val="00987F22"/>
    <w:rsid w:val="009910CE"/>
    <w:rsid w:val="00994000"/>
    <w:rsid w:val="009A4BB1"/>
    <w:rsid w:val="009A5373"/>
    <w:rsid w:val="009B0139"/>
    <w:rsid w:val="009B122A"/>
    <w:rsid w:val="009B1C56"/>
    <w:rsid w:val="009B23D4"/>
    <w:rsid w:val="009B287F"/>
    <w:rsid w:val="009B36CA"/>
    <w:rsid w:val="009B62C3"/>
    <w:rsid w:val="009B74DA"/>
    <w:rsid w:val="009B7881"/>
    <w:rsid w:val="009B7A81"/>
    <w:rsid w:val="009C0E83"/>
    <w:rsid w:val="009C1D85"/>
    <w:rsid w:val="009C2396"/>
    <w:rsid w:val="009C271D"/>
    <w:rsid w:val="009D0E59"/>
    <w:rsid w:val="009D2DC7"/>
    <w:rsid w:val="009D301F"/>
    <w:rsid w:val="009D46AB"/>
    <w:rsid w:val="009D7BC6"/>
    <w:rsid w:val="009E1C94"/>
    <w:rsid w:val="009E2663"/>
    <w:rsid w:val="009E2754"/>
    <w:rsid w:val="009E2D76"/>
    <w:rsid w:val="009E3746"/>
    <w:rsid w:val="009F10DE"/>
    <w:rsid w:val="009F2325"/>
    <w:rsid w:val="009F3886"/>
    <w:rsid w:val="00A04393"/>
    <w:rsid w:val="00A053DF"/>
    <w:rsid w:val="00A05AE5"/>
    <w:rsid w:val="00A07020"/>
    <w:rsid w:val="00A0707E"/>
    <w:rsid w:val="00A07187"/>
    <w:rsid w:val="00A071D8"/>
    <w:rsid w:val="00A0730F"/>
    <w:rsid w:val="00A07682"/>
    <w:rsid w:val="00A109EC"/>
    <w:rsid w:val="00A144A7"/>
    <w:rsid w:val="00A14B99"/>
    <w:rsid w:val="00A158F9"/>
    <w:rsid w:val="00A15C5C"/>
    <w:rsid w:val="00A15FC6"/>
    <w:rsid w:val="00A1708E"/>
    <w:rsid w:val="00A17248"/>
    <w:rsid w:val="00A17E54"/>
    <w:rsid w:val="00A256D6"/>
    <w:rsid w:val="00A266C5"/>
    <w:rsid w:val="00A27237"/>
    <w:rsid w:val="00A27C1B"/>
    <w:rsid w:val="00A31C47"/>
    <w:rsid w:val="00A32048"/>
    <w:rsid w:val="00A33B33"/>
    <w:rsid w:val="00A350ED"/>
    <w:rsid w:val="00A35384"/>
    <w:rsid w:val="00A40ACC"/>
    <w:rsid w:val="00A41584"/>
    <w:rsid w:val="00A42F5D"/>
    <w:rsid w:val="00A43080"/>
    <w:rsid w:val="00A43B47"/>
    <w:rsid w:val="00A44911"/>
    <w:rsid w:val="00A45988"/>
    <w:rsid w:val="00A4674F"/>
    <w:rsid w:val="00A50902"/>
    <w:rsid w:val="00A50B75"/>
    <w:rsid w:val="00A52BF6"/>
    <w:rsid w:val="00A52D05"/>
    <w:rsid w:val="00A530E9"/>
    <w:rsid w:val="00A54197"/>
    <w:rsid w:val="00A550CF"/>
    <w:rsid w:val="00A5779C"/>
    <w:rsid w:val="00A628AF"/>
    <w:rsid w:val="00A63B2C"/>
    <w:rsid w:val="00A63B34"/>
    <w:rsid w:val="00A65876"/>
    <w:rsid w:val="00A65D21"/>
    <w:rsid w:val="00A71F8B"/>
    <w:rsid w:val="00A72A1B"/>
    <w:rsid w:val="00A7342F"/>
    <w:rsid w:val="00A73660"/>
    <w:rsid w:val="00A74634"/>
    <w:rsid w:val="00A74A23"/>
    <w:rsid w:val="00A7645F"/>
    <w:rsid w:val="00A82823"/>
    <w:rsid w:val="00A83C91"/>
    <w:rsid w:val="00A8439B"/>
    <w:rsid w:val="00A84E87"/>
    <w:rsid w:val="00A864E1"/>
    <w:rsid w:val="00A9164D"/>
    <w:rsid w:val="00A91AB7"/>
    <w:rsid w:val="00A92183"/>
    <w:rsid w:val="00A941F2"/>
    <w:rsid w:val="00A94BDA"/>
    <w:rsid w:val="00A94C41"/>
    <w:rsid w:val="00A94DFA"/>
    <w:rsid w:val="00A97218"/>
    <w:rsid w:val="00A979E2"/>
    <w:rsid w:val="00AA0462"/>
    <w:rsid w:val="00AA04A0"/>
    <w:rsid w:val="00AA12C8"/>
    <w:rsid w:val="00AA35A1"/>
    <w:rsid w:val="00AA5AD2"/>
    <w:rsid w:val="00AB004E"/>
    <w:rsid w:val="00AB0B0A"/>
    <w:rsid w:val="00AB0CDE"/>
    <w:rsid w:val="00AB1643"/>
    <w:rsid w:val="00AB525B"/>
    <w:rsid w:val="00AB56AA"/>
    <w:rsid w:val="00AC08F8"/>
    <w:rsid w:val="00AC2CEE"/>
    <w:rsid w:val="00AC34FD"/>
    <w:rsid w:val="00AC3823"/>
    <w:rsid w:val="00AC7702"/>
    <w:rsid w:val="00AD2C45"/>
    <w:rsid w:val="00AD3FD8"/>
    <w:rsid w:val="00AD4D0A"/>
    <w:rsid w:val="00AD7A33"/>
    <w:rsid w:val="00AE0C95"/>
    <w:rsid w:val="00AE1619"/>
    <w:rsid w:val="00AE1E9E"/>
    <w:rsid w:val="00AE1F14"/>
    <w:rsid w:val="00AE2E70"/>
    <w:rsid w:val="00AE3E40"/>
    <w:rsid w:val="00AE72CC"/>
    <w:rsid w:val="00AE7CBF"/>
    <w:rsid w:val="00AF01F5"/>
    <w:rsid w:val="00AF1414"/>
    <w:rsid w:val="00AF2AD0"/>
    <w:rsid w:val="00AF2C4C"/>
    <w:rsid w:val="00AF3336"/>
    <w:rsid w:val="00AF4579"/>
    <w:rsid w:val="00AF760E"/>
    <w:rsid w:val="00AF78D6"/>
    <w:rsid w:val="00B00949"/>
    <w:rsid w:val="00B011F9"/>
    <w:rsid w:val="00B0197E"/>
    <w:rsid w:val="00B01E81"/>
    <w:rsid w:val="00B0435F"/>
    <w:rsid w:val="00B04766"/>
    <w:rsid w:val="00B06DF0"/>
    <w:rsid w:val="00B079A7"/>
    <w:rsid w:val="00B10DB9"/>
    <w:rsid w:val="00B11DF8"/>
    <w:rsid w:val="00B15D82"/>
    <w:rsid w:val="00B17A76"/>
    <w:rsid w:val="00B2056A"/>
    <w:rsid w:val="00B20D4C"/>
    <w:rsid w:val="00B231D9"/>
    <w:rsid w:val="00B23473"/>
    <w:rsid w:val="00B23AE4"/>
    <w:rsid w:val="00B24C4E"/>
    <w:rsid w:val="00B271C5"/>
    <w:rsid w:val="00B303DD"/>
    <w:rsid w:val="00B34854"/>
    <w:rsid w:val="00B34BE7"/>
    <w:rsid w:val="00B3678C"/>
    <w:rsid w:val="00B37E4B"/>
    <w:rsid w:val="00B40EAB"/>
    <w:rsid w:val="00B41B3F"/>
    <w:rsid w:val="00B42417"/>
    <w:rsid w:val="00B42880"/>
    <w:rsid w:val="00B440D9"/>
    <w:rsid w:val="00B45060"/>
    <w:rsid w:val="00B45447"/>
    <w:rsid w:val="00B473EC"/>
    <w:rsid w:val="00B47B6B"/>
    <w:rsid w:val="00B47C7E"/>
    <w:rsid w:val="00B50946"/>
    <w:rsid w:val="00B512E6"/>
    <w:rsid w:val="00B517FB"/>
    <w:rsid w:val="00B5326E"/>
    <w:rsid w:val="00B53AB1"/>
    <w:rsid w:val="00B605C6"/>
    <w:rsid w:val="00B608E6"/>
    <w:rsid w:val="00B6218A"/>
    <w:rsid w:val="00B63DDC"/>
    <w:rsid w:val="00B63DE0"/>
    <w:rsid w:val="00B65FB4"/>
    <w:rsid w:val="00B70B72"/>
    <w:rsid w:val="00B715B4"/>
    <w:rsid w:val="00B73CA9"/>
    <w:rsid w:val="00B7599B"/>
    <w:rsid w:val="00B75AFF"/>
    <w:rsid w:val="00B765CA"/>
    <w:rsid w:val="00B772BD"/>
    <w:rsid w:val="00B77DF7"/>
    <w:rsid w:val="00B851A8"/>
    <w:rsid w:val="00B856DA"/>
    <w:rsid w:val="00B8765D"/>
    <w:rsid w:val="00B9594A"/>
    <w:rsid w:val="00B96371"/>
    <w:rsid w:val="00B97B4C"/>
    <w:rsid w:val="00BA1261"/>
    <w:rsid w:val="00BA1F76"/>
    <w:rsid w:val="00BA2559"/>
    <w:rsid w:val="00BA5DC1"/>
    <w:rsid w:val="00BA62E9"/>
    <w:rsid w:val="00BA6C3B"/>
    <w:rsid w:val="00BB0119"/>
    <w:rsid w:val="00BB0F4E"/>
    <w:rsid w:val="00BB166F"/>
    <w:rsid w:val="00BB2D8B"/>
    <w:rsid w:val="00BB344F"/>
    <w:rsid w:val="00BB372A"/>
    <w:rsid w:val="00BB42EF"/>
    <w:rsid w:val="00BB5DFC"/>
    <w:rsid w:val="00BB6F44"/>
    <w:rsid w:val="00BB758B"/>
    <w:rsid w:val="00BC09B3"/>
    <w:rsid w:val="00BC1DD2"/>
    <w:rsid w:val="00BC5571"/>
    <w:rsid w:val="00BC5676"/>
    <w:rsid w:val="00BC689E"/>
    <w:rsid w:val="00BD1BBA"/>
    <w:rsid w:val="00BD1E7E"/>
    <w:rsid w:val="00BD2346"/>
    <w:rsid w:val="00BD2FF4"/>
    <w:rsid w:val="00BD3B34"/>
    <w:rsid w:val="00BD5D70"/>
    <w:rsid w:val="00BD5E37"/>
    <w:rsid w:val="00BD66E6"/>
    <w:rsid w:val="00BD782E"/>
    <w:rsid w:val="00BE1885"/>
    <w:rsid w:val="00BE30DE"/>
    <w:rsid w:val="00BE47F4"/>
    <w:rsid w:val="00BE5B4B"/>
    <w:rsid w:val="00BE67C3"/>
    <w:rsid w:val="00BE7434"/>
    <w:rsid w:val="00BF0682"/>
    <w:rsid w:val="00BF1147"/>
    <w:rsid w:val="00BF23D2"/>
    <w:rsid w:val="00BF349C"/>
    <w:rsid w:val="00BF3831"/>
    <w:rsid w:val="00BF4BB3"/>
    <w:rsid w:val="00BF57F0"/>
    <w:rsid w:val="00BF6A10"/>
    <w:rsid w:val="00C010A7"/>
    <w:rsid w:val="00C015DC"/>
    <w:rsid w:val="00C03FB1"/>
    <w:rsid w:val="00C048DB"/>
    <w:rsid w:val="00C143F4"/>
    <w:rsid w:val="00C14DDD"/>
    <w:rsid w:val="00C16717"/>
    <w:rsid w:val="00C16FD9"/>
    <w:rsid w:val="00C173CA"/>
    <w:rsid w:val="00C173F7"/>
    <w:rsid w:val="00C176D2"/>
    <w:rsid w:val="00C17CC6"/>
    <w:rsid w:val="00C20009"/>
    <w:rsid w:val="00C20168"/>
    <w:rsid w:val="00C239AF"/>
    <w:rsid w:val="00C25E62"/>
    <w:rsid w:val="00C27682"/>
    <w:rsid w:val="00C31CF6"/>
    <w:rsid w:val="00C354EB"/>
    <w:rsid w:val="00C36419"/>
    <w:rsid w:val="00C40A1F"/>
    <w:rsid w:val="00C41902"/>
    <w:rsid w:val="00C41ABA"/>
    <w:rsid w:val="00C42388"/>
    <w:rsid w:val="00C4285D"/>
    <w:rsid w:val="00C44809"/>
    <w:rsid w:val="00C44C22"/>
    <w:rsid w:val="00C45CB9"/>
    <w:rsid w:val="00C465B1"/>
    <w:rsid w:val="00C46878"/>
    <w:rsid w:val="00C46BCC"/>
    <w:rsid w:val="00C5224B"/>
    <w:rsid w:val="00C52979"/>
    <w:rsid w:val="00C52F6D"/>
    <w:rsid w:val="00C539F0"/>
    <w:rsid w:val="00C55E62"/>
    <w:rsid w:val="00C562BF"/>
    <w:rsid w:val="00C56FD7"/>
    <w:rsid w:val="00C60878"/>
    <w:rsid w:val="00C625DD"/>
    <w:rsid w:val="00C70920"/>
    <w:rsid w:val="00C70D92"/>
    <w:rsid w:val="00C72E70"/>
    <w:rsid w:val="00C7386E"/>
    <w:rsid w:val="00C74432"/>
    <w:rsid w:val="00C75012"/>
    <w:rsid w:val="00C763C6"/>
    <w:rsid w:val="00C77B17"/>
    <w:rsid w:val="00C80102"/>
    <w:rsid w:val="00C80AF1"/>
    <w:rsid w:val="00C814D9"/>
    <w:rsid w:val="00C821F5"/>
    <w:rsid w:val="00C8280E"/>
    <w:rsid w:val="00C83FA6"/>
    <w:rsid w:val="00C843B2"/>
    <w:rsid w:val="00C850B6"/>
    <w:rsid w:val="00C85712"/>
    <w:rsid w:val="00C86045"/>
    <w:rsid w:val="00C8665D"/>
    <w:rsid w:val="00C86A46"/>
    <w:rsid w:val="00C8763F"/>
    <w:rsid w:val="00C90FB6"/>
    <w:rsid w:val="00C921DF"/>
    <w:rsid w:val="00C9257A"/>
    <w:rsid w:val="00C938D8"/>
    <w:rsid w:val="00C93E8E"/>
    <w:rsid w:val="00C95555"/>
    <w:rsid w:val="00C9591D"/>
    <w:rsid w:val="00C95F6B"/>
    <w:rsid w:val="00C96658"/>
    <w:rsid w:val="00CA0FB3"/>
    <w:rsid w:val="00CA3412"/>
    <w:rsid w:val="00CA49B1"/>
    <w:rsid w:val="00CA4F7B"/>
    <w:rsid w:val="00CA691E"/>
    <w:rsid w:val="00CA6EEC"/>
    <w:rsid w:val="00CA7229"/>
    <w:rsid w:val="00CA7E20"/>
    <w:rsid w:val="00CB139E"/>
    <w:rsid w:val="00CB3DC0"/>
    <w:rsid w:val="00CB4136"/>
    <w:rsid w:val="00CB573E"/>
    <w:rsid w:val="00CB7D84"/>
    <w:rsid w:val="00CC11B8"/>
    <w:rsid w:val="00CC2555"/>
    <w:rsid w:val="00CC38FF"/>
    <w:rsid w:val="00CC4A55"/>
    <w:rsid w:val="00CC4C68"/>
    <w:rsid w:val="00CC576D"/>
    <w:rsid w:val="00CC61A0"/>
    <w:rsid w:val="00CC6C74"/>
    <w:rsid w:val="00CC71D1"/>
    <w:rsid w:val="00CD00D7"/>
    <w:rsid w:val="00CD1315"/>
    <w:rsid w:val="00CD2F8C"/>
    <w:rsid w:val="00CD48D5"/>
    <w:rsid w:val="00CD5EE9"/>
    <w:rsid w:val="00CE2263"/>
    <w:rsid w:val="00CE298E"/>
    <w:rsid w:val="00CE304C"/>
    <w:rsid w:val="00CE6956"/>
    <w:rsid w:val="00CE782C"/>
    <w:rsid w:val="00CE7C72"/>
    <w:rsid w:val="00CF0F40"/>
    <w:rsid w:val="00CF1A54"/>
    <w:rsid w:val="00CF20FD"/>
    <w:rsid w:val="00CF2AD9"/>
    <w:rsid w:val="00CF3097"/>
    <w:rsid w:val="00CF3442"/>
    <w:rsid w:val="00CF3BA4"/>
    <w:rsid w:val="00CF3E33"/>
    <w:rsid w:val="00CF5DDA"/>
    <w:rsid w:val="00CF63EB"/>
    <w:rsid w:val="00D00CC7"/>
    <w:rsid w:val="00D01766"/>
    <w:rsid w:val="00D02802"/>
    <w:rsid w:val="00D03465"/>
    <w:rsid w:val="00D054A2"/>
    <w:rsid w:val="00D05578"/>
    <w:rsid w:val="00D105E5"/>
    <w:rsid w:val="00D11BF8"/>
    <w:rsid w:val="00D124F9"/>
    <w:rsid w:val="00D12AEB"/>
    <w:rsid w:val="00D13800"/>
    <w:rsid w:val="00D142B2"/>
    <w:rsid w:val="00D1440E"/>
    <w:rsid w:val="00D15494"/>
    <w:rsid w:val="00D15AA5"/>
    <w:rsid w:val="00D1799E"/>
    <w:rsid w:val="00D17C2F"/>
    <w:rsid w:val="00D223EB"/>
    <w:rsid w:val="00D234A6"/>
    <w:rsid w:val="00D23E55"/>
    <w:rsid w:val="00D24403"/>
    <w:rsid w:val="00D248EF"/>
    <w:rsid w:val="00D24AF2"/>
    <w:rsid w:val="00D25722"/>
    <w:rsid w:val="00D27182"/>
    <w:rsid w:val="00D279F2"/>
    <w:rsid w:val="00D3234B"/>
    <w:rsid w:val="00D331F2"/>
    <w:rsid w:val="00D33210"/>
    <w:rsid w:val="00D33B9C"/>
    <w:rsid w:val="00D35DF3"/>
    <w:rsid w:val="00D37D26"/>
    <w:rsid w:val="00D37EAE"/>
    <w:rsid w:val="00D4103C"/>
    <w:rsid w:val="00D41E4A"/>
    <w:rsid w:val="00D422E3"/>
    <w:rsid w:val="00D436C9"/>
    <w:rsid w:val="00D506CF"/>
    <w:rsid w:val="00D51950"/>
    <w:rsid w:val="00D54B26"/>
    <w:rsid w:val="00D556A3"/>
    <w:rsid w:val="00D60585"/>
    <w:rsid w:val="00D6142C"/>
    <w:rsid w:val="00D6254B"/>
    <w:rsid w:val="00D63B4A"/>
    <w:rsid w:val="00D64C10"/>
    <w:rsid w:val="00D653C6"/>
    <w:rsid w:val="00D67AD8"/>
    <w:rsid w:val="00D705B2"/>
    <w:rsid w:val="00D753F8"/>
    <w:rsid w:val="00D75C50"/>
    <w:rsid w:val="00D76093"/>
    <w:rsid w:val="00D76F97"/>
    <w:rsid w:val="00D849A9"/>
    <w:rsid w:val="00D851C5"/>
    <w:rsid w:val="00D85B70"/>
    <w:rsid w:val="00D86248"/>
    <w:rsid w:val="00D866CA"/>
    <w:rsid w:val="00D93BBE"/>
    <w:rsid w:val="00D94501"/>
    <w:rsid w:val="00D95A4C"/>
    <w:rsid w:val="00DA30C7"/>
    <w:rsid w:val="00DA349F"/>
    <w:rsid w:val="00DA6574"/>
    <w:rsid w:val="00DA6F3F"/>
    <w:rsid w:val="00DB181C"/>
    <w:rsid w:val="00DB2E40"/>
    <w:rsid w:val="00DB499A"/>
    <w:rsid w:val="00DB53EB"/>
    <w:rsid w:val="00DB6498"/>
    <w:rsid w:val="00DB685D"/>
    <w:rsid w:val="00DB6A78"/>
    <w:rsid w:val="00DB78F7"/>
    <w:rsid w:val="00DC3F91"/>
    <w:rsid w:val="00DD0C1E"/>
    <w:rsid w:val="00DD1419"/>
    <w:rsid w:val="00DD15B6"/>
    <w:rsid w:val="00DD372D"/>
    <w:rsid w:val="00DD707B"/>
    <w:rsid w:val="00DD7384"/>
    <w:rsid w:val="00DD74BE"/>
    <w:rsid w:val="00DD77F0"/>
    <w:rsid w:val="00DE083F"/>
    <w:rsid w:val="00DE53D8"/>
    <w:rsid w:val="00DE6121"/>
    <w:rsid w:val="00DE7675"/>
    <w:rsid w:val="00DF07AB"/>
    <w:rsid w:val="00DF2366"/>
    <w:rsid w:val="00DF2716"/>
    <w:rsid w:val="00DF3BCD"/>
    <w:rsid w:val="00DF40C8"/>
    <w:rsid w:val="00DF61D9"/>
    <w:rsid w:val="00DF733C"/>
    <w:rsid w:val="00DF7544"/>
    <w:rsid w:val="00DF7DD6"/>
    <w:rsid w:val="00DF7F14"/>
    <w:rsid w:val="00E0011C"/>
    <w:rsid w:val="00E001B4"/>
    <w:rsid w:val="00E0057B"/>
    <w:rsid w:val="00E016A6"/>
    <w:rsid w:val="00E0173C"/>
    <w:rsid w:val="00E0201D"/>
    <w:rsid w:val="00E0307B"/>
    <w:rsid w:val="00E053D2"/>
    <w:rsid w:val="00E0607C"/>
    <w:rsid w:val="00E06845"/>
    <w:rsid w:val="00E0696A"/>
    <w:rsid w:val="00E069DE"/>
    <w:rsid w:val="00E07CD1"/>
    <w:rsid w:val="00E07F6A"/>
    <w:rsid w:val="00E07F7B"/>
    <w:rsid w:val="00E10890"/>
    <w:rsid w:val="00E10C22"/>
    <w:rsid w:val="00E14CF2"/>
    <w:rsid w:val="00E15BF1"/>
    <w:rsid w:val="00E15C5B"/>
    <w:rsid w:val="00E20837"/>
    <w:rsid w:val="00E20E96"/>
    <w:rsid w:val="00E25483"/>
    <w:rsid w:val="00E258EA"/>
    <w:rsid w:val="00E25B24"/>
    <w:rsid w:val="00E27352"/>
    <w:rsid w:val="00E33041"/>
    <w:rsid w:val="00E34127"/>
    <w:rsid w:val="00E34361"/>
    <w:rsid w:val="00E36A96"/>
    <w:rsid w:val="00E36FE4"/>
    <w:rsid w:val="00E375B1"/>
    <w:rsid w:val="00E43DC9"/>
    <w:rsid w:val="00E44060"/>
    <w:rsid w:val="00E45650"/>
    <w:rsid w:val="00E4579E"/>
    <w:rsid w:val="00E46C03"/>
    <w:rsid w:val="00E51913"/>
    <w:rsid w:val="00E54D9E"/>
    <w:rsid w:val="00E54E73"/>
    <w:rsid w:val="00E5594A"/>
    <w:rsid w:val="00E55FD8"/>
    <w:rsid w:val="00E56B19"/>
    <w:rsid w:val="00E6000D"/>
    <w:rsid w:val="00E6165E"/>
    <w:rsid w:val="00E61DF7"/>
    <w:rsid w:val="00E66076"/>
    <w:rsid w:val="00E701D0"/>
    <w:rsid w:val="00E716F0"/>
    <w:rsid w:val="00E71ED3"/>
    <w:rsid w:val="00E71F1D"/>
    <w:rsid w:val="00E72C72"/>
    <w:rsid w:val="00E73075"/>
    <w:rsid w:val="00E73907"/>
    <w:rsid w:val="00E765E9"/>
    <w:rsid w:val="00E806BC"/>
    <w:rsid w:val="00E84BDB"/>
    <w:rsid w:val="00E85FDE"/>
    <w:rsid w:val="00E86ACC"/>
    <w:rsid w:val="00E8740C"/>
    <w:rsid w:val="00E9046F"/>
    <w:rsid w:val="00E9257E"/>
    <w:rsid w:val="00E92D51"/>
    <w:rsid w:val="00E932CC"/>
    <w:rsid w:val="00E94723"/>
    <w:rsid w:val="00E951C0"/>
    <w:rsid w:val="00E973AC"/>
    <w:rsid w:val="00EA0562"/>
    <w:rsid w:val="00EA177F"/>
    <w:rsid w:val="00EA5364"/>
    <w:rsid w:val="00EA589C"/>
    <w:rsid w:val="00EA63D9"/>
    <w:rsid w:val="00EB3372"/>
    <w:rsid w:val="00EB3A91"/>
    <w:rsid w:val="00EB63FE"/>
    <w:rsid w:val="00EB7339"/>
    <w:rsid w:val="00EC0FF2"/>
    <w:rsid w:val="00EC102F"/>
    <w:rsid w:val="00EC2145"/>
    <w:rsid w:val="00EC39D3"/>
    <w:rsid w:val="00EC5F2B"/>
    <w:rsid w:val="00EC7F18"/>
    <w:rsid w:val="00ED11A7"/>
    <w:rsid w:val="00ED4A6A"/>
    <w:rsid w:val="00ED55BC"/>
    <w:rsid w:val="00ED75C1"/>
    <w:rsid w:val="00EE0262"/>
    <w:rsid w:val="00EE0BC5"/>
    <w:rsid w:val="00EE0E26"/>
    <w:rsid w:val="00EE15A4"/>
    <w:rsid w:val="00EE5976"/>
    <w:rsid w:val="00EF1AF6"/>
    <w:rsid w:val="00EF43C6"/>
    <w:rsid w:val="00EF7B23"/>
    <w:rsid w:val="00F017A9"/>
    <w:rsid w:val="00F038A9"/>
    <w:rsid w:val="00F055F8"/>
    <w:rsid w:val="00F0569A"/>
    <w:rsid w:val="00F065A1"/>
    <w:rsid w:val="00F06B13"/>
    <w:rsid w:val="00F0780E"/>
    <w:rsid w:val="00F101A5"/>
    <w:rsid w:val="00F12B4F"/>
    <w:rsid w:val="00F13D4E"/>
    <w:rsid w:val="00F13D9E"/>
    <w:rsid w:val="00F15C16"/>
    <w:rsid w:val="00F160CC"/>
    <w:rsid w:val="00F2008B"/>
    <w:rsid w:val="00F21CEC"/>
    <w:rsid w:val="00F22098"/>
    <w:rsid w:val="00F23FE9"/>
    <w:rsid w:val="00F2425E"/>
    <w:rsid w:val="00F2668C"/>
    <w:rsid w:val="00F273E5"/>
    <w:rsid w:val="00F27F11"/>
    <w:rsid w:val="00F327BD"/>
    <w:rsid w:val="00F33195"/>
    <w:rsid w:val="00F34D67"/>
    <w:rsid w:val="00F358C6"/>
    <w:rsid w:val="00F35DC5"/>
    <w:rsid w:val="00F36E10"/>
    <w:rsid w:val="00F37114"/>
    <w:rsid w:val="00F375D5"/>
    <w:rsid w:val="00F377FC"/>
    <w:rsid w:val="00F442EE"/>
    <w:rsid w:val="00F44AC8"/>
    <w:rsid w:val="00F45104"/>
    <w:rsid w:val="00F4550A"/>
    <w:rsid w:val="00F4793B"/>
    <w:rsid w:val="00F50CED"/>
    <w:rsid w:val="00F51EAF"/>
    <w:rsid w:val="00F54F74"/>
    <w:rsid w:val="00F5589B"/>
    <w:rsid w:val="00F5646B"/>
    <w:rsid w:val="00F564AF"/>
    <w:rsid w:val="00F648BC"/>
    <w:rsid w:val="00F656A8"/>
    <w:rsid w:val="00F65C63"/>
    <w:rsid w:val="00F66881"/>
    <w:rsid w:val="00F729F3"/>
    <w:rsid w:val="00F747E9"/>
    <w:rsid w:val="00F75B25"/>
    <w:rsid w:val="00F76C99"/>
    <w:rsid w:val="00F804A0"/>
    <w:rsid w:val="00F805AF"/>
    <w:rsid w:val="00F8212F"/>
    <w:rsid w:val="00F84D44"/>
    <w:rsid w:val="00F85E32"/>
    <w:rsid w:val="00F90453"/>
    <w:rsid w:val="00F9073C"/>
    <w:rsid w:val="00F90C54"/>
    <w:rsid w:val="00F92D3B"/>
    <w:rsid w:val="00F95028"/>
    <w:rsid w:val="00F956B0"/>
    <w:rsid w:val="00F965BD"/>
    <w:rsid w:val="00F970D1"/>
    <w:rsid w:val="00FA0244"/>
    <w:rsid w:val="00FA207E"/>
    <w:rsid w:val="00FA2294"/>
    <w:rsid w:val="00FA24C1"/>
    <w:rsid w:val="00FA2790"/>
    <w:rsid w:val="00FA2CD1"/>
    <w:rsid w:val="00FA59CA"/>
    <w:rsid w:val="00FA5F90"/>
    <w:rsid w:val="00FA7C14"/>
    <w:rsid w:val="00FB1E9F"/>
    <w:rsid w:val="00FB3938"/>
    <w:rsid w:val="00FB5624"/>
    <w:rsid w:val="00FB6B1B"/>
    <w:rsid w:val="00FB7800"/>
    <w:rsid w:val="00FC3E50"/>
    <w:rsid w:val="00FC40E5"/>
    <w:rsid w:val="00FC4760"/>
    <w:rsid w:val="00FC498E"/>
    <w:rsid w:val="00FC549D"/>
    <w:rsid w:val="00FC6EEA"/>
    <w:rsid w:val="00FD0471"/>
    <w:rsid w:val="00FD1088"/>
    <w:rsid w:val="00FD1CC4"/>
    <w:rsid w:val="00FD3339"/>
    <w:rsid w:val="00FD4BAD"/>
    <w:rsid w:val="00FE0B49"/>
    <w:rsid w:val="00FE1703"/>
    <w:rsid w:val="00FE3604"/>
    <w:rsid w:val="00FE429B"/>
    <w:rsid w:val="00FE4B35"/>
    <w:rsid w:val="00FF00B1"/>
    <w:rsid w:val="00FF03A3"/>
    <w:rsid w:val="00FF1221"/>
    <w:rsid w:val="00FF2FAD"/>
    <w:rsid w:val="00FF375A"/>
    <w:rsid w:val="00FF4BA9"/>
    <w:rsid w:val="00FF71FF"/>
    <w:rsid w:val="01CEC757"/>
    <w:rsid w:val="07DB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1842"/>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1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31103"/>
    <w:pPr>
      <w:spacing w:after="0" w:line="240" w:lineRule="auto"/>
    </w:pPr>
    <w:rPr>
      <w:sz w:val="20"/>
      <w:szCs w:val="20"/>
    </w:rPr>
  </w:style>
  <w:style w:type="character" w:customStyle="1" w:styleId="FootnoteTextChar">
    <w:name w:val="Footnote Text Char"/>
    <w:basedOn w:val="DefaultParagraphFont"/>
    <w:link w:val="FootnoteText"/>
    <w:uiPriority w:val="99"/>
    <w:rsid w:val="00231103"/>
    <w:rPr>
      <w:sz w:val="20"/>
      <w:szCs w:val="20"/>
    </w:rPr>
  </w:style>
  <w:style w:type="character" w:styleId="FootnoteReference">
    <w:name w:val="footnote reference"/>
    <w:basedOn w:val="DefaultParagraphFont"/>
    <w:uiPriority w:val="99"/>
    <w:unhideWhenUsed/>
    <w:rsid w:val="00231103"/>
    <w:rPr>
      <w:vertAlign w:val="superscript"/>
    </w:rPr>
  </w:style>
  <w:style w:type="table" w:styleId="TableGrid">
    <w:name w:val="Table Grid"/>
    <w:basedOn w:val="TableNormal"/>
    <w:uiPriority w:val="39"/>
    <w:rsid w:val="0023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6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45C"/>
  </w:style>
  <w:style w:type="paragraph" w:styleId="NoSpacing">
    <w:name w:val="No Spacing"/>
    <w:uiPriority w:val="1"/>
    <w:qFormat/>
    <w:rsid w:val="0004645C"/>
    <w:pPr>
      <w:spacing w:after="0" w:line="240" w:lineRule="auto"/>
    </w:pPr>
  </w:style>
  <w:style w:type="paragraph" w:styleId="ListParagraph">
    <w:name w:val="List Paragraph"/>
    <w:basedOn w:val="Normal"/>
    <w:link w:val="ListParagraphChar"/>
    <w:uiPriority w:val="34"/>
    <w:qFormat/>
    <w:rsid w:val="00BB0F4E"/>
    <w:pPr>
      <w:ind w:left="720"/>
      <w:contextualSpacing/>
    </w:pPr>
  </w:style>
  <w:style w:type="character" w:styleId="CommentReference">
    <w:name w:val="annotation reference"/>
    <w:basedOn w:val="DefaultParagraphFont"/>
    <w:uiPriority w:val="99"/>
    <w:semiHidden/>
    <w:unhideWhenUsed/>
    <w:rsid w:val="008C1253"/>
    <w:rPr>
      <w:sz w:val="16"/>
      <w:szCs w:val="16"/>
    </w:rPr>
  </w:style>
  <w:style w:type="paragraph" w:styleId="CommentText">
    <w:name w:val="annotation text"/>
    <w:basedOn w:val="Normal"/>
    <w:link w:val="CommentTextChar"/>
    <w:uiPriority w:val="99"/>
    <w:unhideWhenUsed/>
    <w:rsid w:val="008C1253"/>
    <w:pPr>
      <w:spacing w:line="240" w:lineRule="auto"/>
    </w:pPr>
    <w:rPr>
      <w:sz w:val="20"/>
      <w:szCs w:val="20"/>
    </w:rPr>
  </w:style>
  <w:style w:type="character" w:customStyle="1" w:styleId="CommentTextChar">
    <w:name w:val="Comment Text Char"/>
    <w:basedOn w:val="DefaultParagraphFont"/>
    <w:link w:val="CommentText"/>
    <w:uiPriority w:val="99"/>
    <w:rsid w:val="008C1253"/>
    <w:rPr>
      <w:sz w:val="20"/>
      <w:szCs w:val="20"/>
    </w:rPr>
  </w:style>
  <w:style w:type="paragraph" w:styleId="CommentSubject">
    <w:name w:val="annotation subject"/>
    <w:basedOn w:val="CommentText"/>
    <w:next w:val="CommentText"/>
    <w:link w:val="CommentSubjectChar"/>
    <w:uiPriority w:val="99"/>
    <w:semiHidden/>
    <w:unhideWhenUsed/>
    <w:rsid w:val="008C1253"/>
    <w:rPr>
      <w:b/>
      <w:bCs/>
    </w:rPr>
  </w:style>
  <w:style w:type="character" w:customStyle="1" w:styleId="CommentSubjectChar">
    <w:name w:val="Comment Subject Char"/>
    <w:basedOn w:val="CommentTextChar"/>
    <w:link w:val="CommentSubject"/>
    <w:uiPriority w:val="99"/>
    <w:semiHidden/>
    <w:rsid w:val="008C1253"/>
    <w:rPr>
      <w:b/>
      <w:bCs/>
      <w:sz w:val="20"/>
      <w:szCs w:val="20"/>
    </w:rPr>
  </w:style>
  <w:style w:type="character" w:styleId="Hyperlink">
    <w:name w:val="Hyperlink"/>
    <w:basedOn w:val="DefaultParagraphFont"/>
    <w:uiPriority w:val="99"/>
    <w:unhideWhenUsed/>
    <w:rsid w:val="00D223EB"/>
    <w:rPr>
      <w:color w:val="0563C1" w:themeColor="hyperlink"/>
      <w:u w:val="single"/>
    </w:rPr>
  </w:style>
  <w:style w:type="paragraph" w:styleId="Footer">
    <w:name w:val="footer"/>
    <w:basedOn w:val="Normal"/>
    <w:link w:val="FooterChar"/>
    <w:uiPriority w:val="99"/>
    <w:unhideWhenUsed/>
    <w:rsid w:val="00D2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3EB"/>
  </w:style>
  <w:style w:type="paragraph" w:styleId="BalloonText">
    <w:name w:val="Balloon Text"/>
    <w:basedOn w:val="Normal"/>
    <w:link w:val="BalloonTextChar"/>
    <w:uiPriority w:val="99"/>
    <w:semiHidden/>
    <w:unhideWhenUsed/>
    <w:rsid w:val="00567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A48"/>
    <w:rPr>
      <w:rFonts w:ascii="Segoe UI" w:hAnsi="Segoe UI" w:cs="Segoe UI"/>
      <w:sz w:val="18"/>
      <w:szCs w:val="18"/>
    </w:rPr>
  </w:style>
  <w:style w:type="paragraph" w:styleId="NormalWeb">
    <w:name w:val="Normal (Web)"/>
    <w:basedOn w:val="Normal"/>
    <w:uiPriority w:val="99"/>
    <w:semiHidden/>
    <w:unhideWhenUsed/>
    <w:rsid w:val="00055F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E0307B"/>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E0307B"/>
    <w:rPr>
      <w:rFonts w:ascii="Calibri" w:eastAsia="Calibri" w:hAnsi="Calibri" w:cs="Calibri"/>
    </w:rPr>
  </w:style>
  <w:style w:type="paragraph" w:customStyle="1" w:styleId="TableParagraph">
    <w:name w:val="Table Paragraph"/>
    <w:basedOn w:val="Normal"/>
    <w:uiPriority w:val="1"/>
    <w:qFormat/>
    <w:rsid w:val="00E0307B"/>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C048DB"/>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6325B1"/>
    <w:rPr>
      <w:color w:val="605E5C"/>
      <w:shd w:val="clear" w:color="auto" w:fill="E1DFDD"/>
    </w:rPr>
  </w:style>
  <w:style w:type="character" w:customStyle="1" w:styleId="cf01">
    <w:name w:val="cf01"/>
    <w:basedOn w:val="DefaultParagraphFont"/>
    <w:rsid w:val="00D51950"/>
    <w:rPr>
      <w:rFonts w:ascii="Segoe UI" w:hAnsi="Segoe UI" w:cs="Segoe UI" w:hint="default"/>
      <w:sz w:val="18"/>
      <w:szCs w:val="18"/>
    </w:rPr>
  </w:style>
  <w:style w:type="paragraph" w:customStyle="1" w:styleId="pf0">
    <w:name w:val="pf0"/>
    <w:basedOn w:val="Normal"/>
    <w:rsid w:val="00F15C16"/>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D1315"/>
    <w:pPr>
      <w:spacing w:after="0" w:line="240" w:lineRule="auto"/>
    </w:pPr>
  </w:style>
  <w:style w:type="character" w:customStyle="1" w:styleId="ListParagraphChar">
    <w:name w:val="List Paragraph Char"/>
    <w:basedOn w:val="DefaultParagraphFont"/>
    <w:link w:val="ListParagraph"/>
    <w:uiPriority w:val="34"/>
    <w:rsid w:val="00344DAC"/>
  </w:style>
  <w:style w:type="paragraph" w:customStyle="1" w:styleId="Default">
    <w:name w:val="Default"/>
    <w:rsid w:val="007B689C"/>
    <w:pPr>
      <w:autoSpaceDE w:val="0"/>
      <w:autoSpaceDN w:val="0"/>
      <w:adjustRightInd w:val="0"/>
      <w:spacing w:after="0" w:line="240" w:lineRule="auto"/>
    </w:pPr>
    <w:rPr>
      <w:rFonts w:ascii="Calibri" w:hAnsi="Calibri" w:cs="Calibri"/>
      <w:color w:val="000000"/>
      <w:sz w:val="24"/>
      <w:szCs w:val="24"/>
    </w:rPr>
  </w:style>
  <w:style w:type="paragraph" w:customStyle="1" w:styleId="DocID">
    <w:name w:val="DocID"/>
    <w:basedOn w:val="Normal"/>
    <w:qFormat/>
    <w:rsid w:val="00D105E5"/>
    <w:pPr>
      <w:suppressAutoHyphens/>
      <w:spacing w:after="0" w:line="240" w:lineRule="auto"/>
    </w:pPr>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3910">
      <w:bodyDiv w:val="1"/>
      <w:marLeft w:val="0"/>
      <w:marRight w:val="0"/>
      <w:marTop w:val="0"/>
      <w:marBottom w:val="0"/>
      <w:divBdr>
        <w:top w:val="none" w:sz="0" w:space="0" w:color="auto"/>
        <w:left w:val="none" w:sz="0" w:space="0" w:color="auto"/>
        <w:bottom w:val="none" w:sz="0" w:space="0" w:color="auto"/>
        <w:right w:val="none" w:sz="0" w:space="0" w:color="auto"/>
      </w:divBdr>
    </w:div>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184174694">
      <w:bodyDiv w:val="1"/>
      <w:marLeft w:val="0"/>
      <w:marRight w:val="0"/>
      <w:marTop w:val="0"/>
      <w:marBottom w:val="0"/>
      <w:divBdr>
        <w:top w:val="none" w:sz="0" w:space="0" w:color="auto"/>
        <w:left w:val="none" w:sz="0" w:space="0" w:color="auto"/>
        <w:bottom w:val="none" w:sz="0" w:space="0" w:color="auto"/>
        <w:right w:val="none" w:sz="0" w:space="0" w:color="auto"/>
      </w:divBdr>
    </w:div>
    <w:div w:id="416757165">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46599813">
      <w:bodyDiv w:val="1"/>
      <w:marLeft w:val="0"/>
      <w:marRight w:val="0"/>
      <w:marTop w:val="0"/>
      <w:marBottom w:val="0"/>
      <w:divBdr>
        <w:top w:val="none" w:sz="0" w:space="0" w:color="auto"/>
        <w:left w:val="none" w:sz="0" w:space="0" w:color="auto"/>
        <w:bottom w:val="none" w:sz="0" w:space="0" w:color="auto"/>
        <w:right w:val="none" w:sz="0" w:space="0" w:color="auto"/>
      </w:divBdr>
    </w:div>
    <w:div w:id="56086528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859391540">
      <w:bodyDiv w:val="1"/>
      <w:marLeft w:val="0"/>
      <w:marRight w:val="0"/>
      <w:marTop w:val="0"/>
      <w:marBottom w:val="0"/>
      <w:divBdr>
        <w:top w:val="none" w:sz="0" w:space="0" w:color="auto"/>
        <w:left w:val="none" w:sz="0" w:space="0" w:color="auto"/>
        <w:bottom w:val="none" w:sz="0" w:space="0" w:color="auto"/>
        <w:right w:val="none" w:sz="0" w:space="0" w:color="auto"/>
      </w:divBdr>
    </w:div>
    <w:div w:id="937907426">
      <w:bodyDiv w:val="1"/>
      <w:marLeft w:val="0"/>
      <w:marRight w:val="0"/>
      <w:marTop w:val="0"/>
      <w:marBottom w:val="0"/>
      <w:divBdr>
        <w:top w:val="none" w:sz="0" w:space="0" w:color="auto"/>
        <w:left w:val="none" w:sz="0" w:space="0" w:color="auto"/>
        <w:bottom w:val="none" w:sz="0" w:space="0" w:color="auto"/>
        <w:right w:val="none" w:sz="0" w:space="0" w:color="auto"/>
      </w:divBdr>
    </w:div>
    <w:div w:id="1074426049">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2214227">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33111260">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616717330">
      <w:bodyDiv w:val="1"/>
      <w:marLeft w:val="0"/>
      <w:marRight w:val="0"/>
      <w:marTop w:val="0"/>
      <w:marBottom w:val="0"/>
      <w:divBdr>
        <w:top w:val="none" w:sz="0" w:space="0" w:color="auto"/>
        <w:left w:val="none" w:sz="0" w:space="0" w:color="auto"/>
        <w:bottom w:val="none" w:sz="0" w:space="0" w:color="auto"/>
        <w:right w:val="none" w:sz="0" w:space="0" w:color="auto"/>
      </w:divBdr>
    </w:div>
    <w:div w:id="1690719398">
      <w:bodyDiv w:val="1"/>
      <w:marLeft w:val="0"/>
      <w:marRight w:val="0"/>
      <w:marTop w:val="0"/>
      <w:marBottom w:val="0"/>
      <w:divBdr>
        <w:top w:val="none" w:sz="0" w:space="0" w:color="auto"/>
        <w:left w:val="none" w:sz="0" w:space="0" w:color="auto"/>
        <w:bottom w:val="none" w:sz="0" w:space="0" w:color="auto"/>
        <w:right w:val="none" w:sz="0" w:space="0" w:color="auto"/>
      </w:divBdr>
    </w:div>
    <w:div w:id="1729259306">
      <w:bodyDiv w:val="1"/>
      <w:marLeft w:val="0"/>
      <w:marRight w:val="0"/>
      <w:marTop w:val="0"/>
      <w:marBottom w:val="0"/>
      <w:divBdr>
        <w:top w:val="none" w:sz="0" w:space="0" w:color="auto"/>
        <w:left w:val="none" w:sz="0" w:space="0" w:color="auto"/>
        <w:bottom w:val="none" w:sz="0" w:space="0" w:color="auto"/>
        <w:right w:val="none" w:sz="0" w:space="0" w:color="auto"/>
      </w:divBdr>
    </w:div>
    <w:div w:id="1755544434">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809517641">
      <w:bodyDiv w:val="1"/>
      <w:marLeft w:val="0"/>
      <w:marRight w:val="0"/>
      <w:marTop w:val="0"/>
      <w:marBottom w:val="0"/>
      <w:divBdr>
        <w:top w:val="none" w:sz="0" w:space="0" w:color="auto"/>
        <w:left w:val="none" w:sz="0" w:space="0" w:color="auto"/>
        <w:bottom w:val="none" w:sz="0" w:space="0" w:color="auto"/>
        <w:right w:val="none" w:sz="0" w:space="0" w:color="auto"/>
      </w:divBdr>
    </w:div>
    <w:div w:id="1899396333">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1945067716">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H.DON@mas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9" ma:contentTypeDescription="Create a new document." ma:contentTypeScope="" ma:versionID="6034ed3ccd04fd089959b9760f1bf6e4">
  <xsd:schema xmlns:xsd="http://www.w3.org/2001/XMLSchema" xmlns:xs="http://www.w3.org/2001/XMLSchema" xmlns:p="http://schemas.microsoft.com/office/2006/metadata/properties" xmlns:ns2="fb1e1941-e971-4fcd-9647-5c92aa44abc0" xmlns:ns3="c5e887a9-3264-4a11-98fe-00f96354db3e" targetNamespace="http://schemas.microsoft.com/office/2006/metadata/properties" ma:root="true" ma:fieldsID="e1569c82de055a1f5a51e24a78a393fd" ns2:_="" ns3:_="">
    <xsd:import namespace="fb1e1941-e971-4fcd-9647-5c92aa44abc0"/>
    <xsd:import namespace="c5e887a9-3264-4a11-98fe-00f96354db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81688-260E-4C70-9CB3-828486135F31}">
  <ds:schemaRefs>
    <ds:schemaRef ds:uri="http://schemas.openxmlformats.org/officeDocument/2006/bibliography"/>
  </ds:schemaRefs>
</ds:datastoreItem>
</file>

<file path=customXml/itemProps2.xml><?xml version="1.0" encoding="utf-8"?>
<ds:datastoreItem xmlns:ds="http://schemas.openxmlformats.org/officeDocument/2006/customXml" ds:itemID="{7A9EFB92-AB3E-4650-B87D-2F7432D34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e1941-e971-4fcd-9647-5c92aa44abc0"/>
    <ds:schemaRef ds:uri="c5e887a9-3264-4a11-98fe-00f96354d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1DF7D-3AB0-486D-B7B5-24625E164B16}">
  <ds:schemaRefs>
    <ds:schemaRef ds:uri="http://schemas.microsoft.com/sharepoint/v3/contenttype/forms"/>
  </ds:schemaRefs>
</ds:datastoreItem>
</file>

<file path=customXml/itemProps4.xml><?xml version="1.0" encoding="utf-8"?>
<ds:datastoreItem xmlns:ds="http://schemas.openxmlformats.org/officeDocument/2006/customXml" ds:itemID="{CB6414E6-33A8-411E-B2D8-218C7B6E1D5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5</Pages>
  <Words>1916</Words>
  <Characters>10923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10</cp:revision>
  <cp:lastPrinted>2022-04-08T14:57:00Z</cp:lastPrinted>
  <dcterms:created xsi:type="dcterms:W3CDTF">2024-10-17T00:51:00Z</dcterms:created>
  <dcterms:modified xsi:type="dcterms:W3CDTF">2024-12-17T14:05:00Z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DOCXDOCID">
    <vt:lpwstr>HB: 4887-0591-2814.4</vt:lpwstr>
  </property>
  <property fmtid="{D5CDD505-2E9C-101B-9397-08002B2CF9AE}" pid="4" name="DocXFormat">
    <vt:lpwstr>HB DocID w/ver w/HB Label</vt:lpwstr>
  </property>
  <property fmtid="{D5CDD505-2E9C-101B-9397-08002B2CF9AE}" pid="5" name="DocXLocation">
    <vt:lpwstr>NoDocId</vt:lpwstr>
  </property>
  <property fmtid="{D5CDD505-2E9C-101B-9397-08002B2CF9AE}" pid="6" name="ndDocumentId">
    <vt:lpwstr>4887-0591-2814</vt:lpwstr>
  </property>
</Properties>
</file>