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A601F" w14:textId="1F7581EE" w:rsidR="00D223EB" w:rsidRPr="00181CA6" w:rsidRDefault="00D223EB" w:rsidP="01CEC757">
      <w:pPr>
        <w:jc w:val="center"/>
        <w:rPr>
          <w:b/>
          <w:bCs/>
        </w:rPr>
      </w:pPr>
      <w:r w:rsidRPr="00181CA6">
        <w:rPr>
          <w:b/>
          <w:bCs/>
        </w:rPr>
        <w:t xml:space="preserve">APPLICANT </w:t>
      </w:r>
      <w:r w:rsidR="00261439" w:rsidRPr="00181CA6">
        <w:rPr>
          <w:b/>
          <w:bCs/>
        </w:rPr>
        <w:t>RESPONSES</w:t>
      </w:r>
      <w:r w:rsidR="009B738E" w:rsidRPr="00181CA6">
        <w:rPr>
          <w:b/>
          <w:bCs/>
        </w:rPr>
        <w:t xml:space="preserve"> #2</w:t>
      </w:r>
    </w:p>
    <w:p w14:paraId="71F6355D" w14:textId="77777777" w:rsidR="00D223EB" w:rsidRPr="00181CA6" w:rsidRDefault="00D223EB" w:rsidP="00D223EB">
      <w:pPr>
        <w:jc w:val="center"/>
        <w:rPr>
          <w:rFonts w:cstheme="minorHAnsi"/>
        </w:rPr>
      </w:pPr>
      <w:r w:rsidRPr="00181CA6">
        <w:rPr>
          <w:rFonts w:cstheme="minorHAnsi"/>
          <w:i/>
          <w:iCs/>
        </w:rPr>
        <w:t xml:space="preserve">Responses should be sent to DoN staff at </w:t>
      </w:r>
      <w:hyperlink r:id="rId11" w:history="1">
        <w:r w:rsidRPr="00181CA6">
          <w:rPr>
            <w:rStyle w:val="Hyperlink"/>
            <w:rFonts w:cstheme="minorHAnsi"/>
            <w:color w:val="auto"/>
          </w:rPr>
          <w:t>DPH.DON@State.MA.US</w:t>
        </w:r>
      </w:hyperlink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350"/>
      </w:tblGrid>
      <w:tr w:rsidR="00D223EB" w:rsidRPr="00181CA6" w14:paraId="57106F2B" w14:textId="77777777" w:rsidTr="008B5D5E">
        <w:trPr>
          <w:jc w:val="center"/>
        </w:trPr>
        <w:tc>
          <w:tcPr>
            <w:tcW w:w="9350" w:type="dxa"/>
          </w:tcPr>
          <w:p w14:paraId="0D6A2228" w14:textId="77777777" w:rsidR="00D223EB" w:rsidRPr="00181CA6" w:rsidRDefault="00D223EB" w:rsidP="008B5D5E">
            <w:pPr>
              <w:rPr>
                <w:rFonts w:cstheme="minorHAnsi"/>
                <w:bCs/>
              </w:rPr>
            </w:pPr>
            <w:r w:rsidRPr="00181CA6">
              <w:rPr>
                <w:rFonts w:cstheme="minorHAnsi"/>
                <w:bCs/>
              </w:rPr>
              <w:t xml:space="preserve">While you may submit each answer as available, </w:t>
            </w:r>
            <w:proofErr w:type="gramStart"/>
            <w:r w:rsidRPr="00181CA6">
              <w:rPr>
                <w:rFonts w:cstheme="minorHAnsi"/>
                <w:bCs/>
              </w:rPr>
              <w:t>please</w:t>
            </w:r>
            <w:proofErr w:type="gramEnd"/>
            <w:r w:rsidRPr="00181CA6">
              <w:rPr>
                <w:rFonts w:cstheme="minorHAnsi"/>
                <w:bCs/>
              </w:rPr>
              <w:t xml:space="preserve"> </w:t>
            </w:r>
          </w:p>
          <w:p w14:paraId="3BAD0544" w14:textId="77777777" w:rsidR="00D223EB" w:rsidRPr="00181CA6" w:rsidRDefault="00D223EB" w:rsidP="00D223EB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bCs/>
              </w:rPr>
            </w:pPr>
            <w:r w:rsidRPr="00181CA6">
              <w:rPr>
                <w:rFonts w:cstheme="minorHAnsi"/>
                <w:bCs/>
              </w:rPr>
              <w:t xml:space="preserve">List question number and question for each answer you </w:t>
            </w:r>
            <w:proofErr w:type="gramStart"/>
            <w:r w:rsidRPr="00181CA6">
              <w:rPr>
                <w:rFonts w:cstheme="minorHAnsi"/>
                <w:bCs/>
              </w:rPr>
              <w:t>provide</w:t>
            </w:r>
            <w:proofErr w:type="gramEnd"/>
            <w:r w:rsidRPr="00181CA6">
              <w:rPr>
                <w:rFonts w:cstheme="minorHAnsi"/>
                <w:bCs/>
              </w:rPr>
              <w:t xml:space="preserve"> </w:t>
            </w:r>
          </w:p>
          <w:p w14:paraId="77AFC609" w14:textId="1F813011" w:rsidR="00D223EB" w:rsidRPr="00181CA6" w:rsidRDefault="00D223EB" w:rsidP="00D223EB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bCs/>
              </w:rPr>
            </w:pPr>
            <w:r w:rsidRPr="00181CA6">
              <w:rPr>
                <w:rFonts w:cstheme="minorHAnsi"/>
                <w:bCs/>
              </w:rPr>
              <w:t xml:space="preserve">Submit responses as a separate word document, using the above application title and number as a running header and page numbers in the </w:t>
            </w:r>
            <w:proofErr w:type="gramStart"/>
            <w:r w:rsidRPr="00181CA6">
              <w:rPr>
                <w:rFonts w:cstheme="minorHAnsi"/>
                <w:bCs/>
              </w:rPr>
              <w:t>footer</w:t>
            </w:r>
            <w:proofErr w:type="gramEnd"/>
            <w:r w:rsidRPr="00181CA6">
              <w:rPr>
                <w:rFonts w:cstheme="minorHAnsi"/>
                <w:bCs/>
              </w:rPr>
              <w:t xml:space="preserve"> </w:t>
            </w:r>
          </w:p>
          <w:p w14:paraId="2D4D3A49" w14:textId="7AF2D827" w:rsidR="00D223EB" w:rsidRPr="00181CA6" w:rsidRDefault="001E0B94" w:rsidP="00A1062E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bCs/>
              </w:rPr>
            </w:pPr>
            <w:r w:rsidRPr="00181CA6">
              <w:rPr>
                <w:rFonts w:cstheme="minorHAnsi"/>
                <w:bCs/>
              </w:rPr>
              <w:t>We accept answers on a rolling basis however, w</w:t>
            </w:r>
            <w:r w:rsidR="00D223EB" w:rsidRPr="00181CA6">
              <w:rPr>
                <w:rFonts w:cstheme="minorHAnsi"/>
                <w:bCs/>
              </w:rPr>
              <w:t>hen providing the answer to the final question, submit all questions and answers in</w:t>
            </w:r>
            <w:r w:rsidRPr="00181CA6">
              <w:rPr>
                <w:rFonts w:cstheme="minorHAnsi"/>
                <w:bCs/>
              </w:rPr>
              <w:t xml:space="preserve"> order in</w:t>
            </w:r>
            <w:r w:rsidR="00D223EB" w:rsidRPr="00181CA6">
              <w:rPr>
                <w:rFonts w:cstheme="minorHAnsi"/>
                <w:bCs/>
              </w:rPr>
              <w:t xml:space="preserve"> one final document</w:t>
            </w:r>
            <w:r w:rsidRPr="00181CA6">
              <w:rPr>
                <w:rFonts w:cstheme="minorHAnsi"/>
                <w:bCs/>
              </w:rPr>
              <w:t>.</w:t>
            </w:r>
          </w:p>
          <w:p w14:paraId="552712FE" w14:textId="2E737CA2" w:rsidR="00D223EB" w:rsidRPr="00181CA6" w:rsidRDefault="00D223EB" w:rsidP="001E0B94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b/>
              </w:rPr>
            </w:pPr>
            <w:r w:rsidRPr="00181CA6">
              <w:rPr>
                <w:rFonts w:cstheme="minorHAnsi"/>
                <w:bCs/>
              </w:rPr>
              <w:t xml:space="preserve">Submit responses in WORD or EXCEL; only use PDF’s if </w:t>
            </w:r>
            <w:proofErr w:type="gramStart"/>
            <w:r w:rsidRPr="00181CA6">
              <w:rPr>
                <w:rFonts w:cstheme="minorHAnsi"/>
                <w:bCs/>
              </w:rPr>
              <w:t>absolutely necessary</w:t>
            </w:r>
            <w:proofErr w:type="gramEnd"/>
            <w:r w:rsidRPr="00181CA6">
              <w:rPr>
                <w:rFonts w:cstheme="minorHAnsi"/>
                <w:bCs/>
              </w:rPr>
              <w:t xml:space="preserve">. </w:t>
            </w:r>
            <w:r w:rsidRPr="00181CA6">
              <w:rPr>
                <w:rFonts w:cstheme="minorHAnsi"/>
                <w:b/>
              </w:rPr>
              <w:t>Whenever possible, include a</w:t>
            </w:r>
            <w:r w:rsidR="001E0B94" w:rsidRPr="00181CA6">
              <w:rPr>
                <w:rFonts w:cstheme="minorHAnsi"/>
                <w:b/>
              </w:rPr>
              <w:t xml:space="preserve"> </w:t>
            </w:r>
            <w:r w:rsidRPr="00181CA6">
              <w:rPr>
                <w:rFonts w:cstheme="minorHAnsi"/>
                <w:b/>
              </w:rPr>
              <w:t>table</w:t>
            </w:r>
            <w:r w:rsidR="001E0B94" w:rsidRPr="00181CA6">
              <w:rPr>
                <w:rFonts w:cstheme="minorHAnsi"/>
                <w:b/>
              </w:rPr>
              <w:t xml:space="preserve"> in</w:t>
            </w:r>
            <w:r w:rsidRPr="00181CA6">
              <w:rPr>
                <w:rFonts w:cstheme="minorHAnsi"/>
                <w:b/>
              </w:rPr>
              <w:t xml:space="preserve"> </w:t>
            </w:r>
            <w:r w:rsidR="001E0B94" w:rsidRPr="00181CA6">
              <w:rPr>
                <w:rFonts w:cstheme="minorHAnsi"/>
                <w:b/>
              </w:rPr>
              <w:t xml:space="preserve">data format (NOT pdf or picture) </w:t>
            </w:r>
            <w:r w:rsidRPr="00181CA6">
              <w:rPr>
                <w:rFonts w:cstheme="minorHAnsi"/>
                <w:b/>
              </w:rPr>
              <w:t>with the response</w:t>
            </w:r>
            <w:r w:rsidR="001E0B94" w:rsidRPr="00181CA6">
              <w:rPr>
                <w:rFonts w:cstheme="minorHAnsi"/>
                <w:b/>
              </w:rPr>
              <w:t>.</w:t>
            </w:r>
          </w:p>
        </w:tc>
      </w:tr>
    </w:tbl>
    <w:p w14:paraId="2758094D" w14:textId="1C1631B9" w:rsidR="00032FF5" w:rsidRPr="00181CA6" w:rsidRDefault="00032FF5"/>
    <w:p w14:paraId="77AC5D3B" w14:textId="7ADB5047" w:rsidR="00E600FC" w:rsidRPr="00181CA6" w:rsidRDefault="00380E08" w:rsidP="00930A61">
      <w:proofErr w:type="gramStart"/>
      <w:r w:rsidRPr="00181CA6">
        <w:t>In order for</w:t>
      </w:r>
      <w:proofErr w:type="gramEnd"/>
      <w:r w:rsidRPr="00181CA6">
        <w:t xml:space="preserve"> us to review this project in a timely manner, pleas</w:t>
      </w:r>
      <w:r w:rsidR="00684458" w:rsidRPr="00181CA6">
        <w:t>e</w:t>
      </w:r>
      <w:r w:rsidRPr="00181CA6">
        <w:t xml:space="preserve"> provide the responses by </w:t>
      </w:r>
      <w:r w:rsidR="00BD4859" w:rsidRPr="00181CA6">
        <w:t xml:space="preserve">March </w:t>
      </w:r>
      <w:r w:rsidR="007935EB" w:rsidRPr="00181CA6">
        <w:t>21</w:t>
      </w:r>
      <w:r w:rsidR="006A4735" w:rsidRPr="00181CA6">
        <w:t>, 2024</w:t>
      </w:r>
      <w:r w:rsidRPr="00181CA6">
        <w:t>.</w:t>
      </w:r>
    </w:p>
    <w:p w14:paraId="00491F53" w14:textId="77777777" w:rsidR="006A6E7E" w:rsidRPr="00181CA6" w:rsidRDefault="006A6E7E" w:rsidP="00930A61"/>
    <w:p w14:paraId="73092809" w14:textId="728AED07" w:rsidR="00F4422D" w:rsidRPr="00181CA6" w:rsidRDefault="00A72577" w:rsidP="005C7D8D">
      <w:pPr>
        <w:autoSpaceDE w:val="0"/>
        <w:autoSpaceDN w:val="0"/>
        <w:adjustRightInd w:val="0"/>
        <w:spacing w:after="120"/>
        <w:rPr>
          <w:rFonts w:cstheme="minorHAnsi"/>
          <w:b/>
          <w:bCs/>
          <w:sz w:val="20"/>
          <w:szCs w:val="20"/>
        </w:rPr>
      </w:pPr>
      <w:r w:rsidRPr="00181CA6">
        <w:rPr>
          <w:rFonts w:cstheme="minorHAnsi"/>
          <w:b/>
          <w:bCs/>
          <w:sz w:val="20"/>
          <w:szCs w:val="20"/>
        </w:rPr>
        <w:t>Project Description</w:t>
      </w:r>
    </w:p>
    <w:p w14:paraId="338F0511" w14:textId="1CB1AECC" w:rsidR="00F4422D" w:rsidRPr="00181CA6" w:rsidRDefault="00F4422D" w:rsidP="00261439">
      <w:pPr>
        <w:autoSpaceDE w:val="0"/>
        <w:autoSpaceDN w:val="0"/>
        <w:adjustRightInd w:val="0"/>
        <w:spacing w:after="120"/>
        <w:jc w:val="both"/>
        <w:rPr>
          <w:rFonts w:cstheme="minorHAnsi"/>
          <w:sz w:val="20"/>
          <w:szCs w:val="20"/>
        </w:rPr>
      </w:pPr>
      <w:r w:rsidRPr="00181CA6">
        <w:rPr>
          <w:rFonts w:cstheme="minorHAnsi"/>
          <w:sz w:val="20"/>
          <w:szCs w:val="20"/>
        </w:rPr>
        <w:t xml:space="preserve">In responding to the questions below, </w:t>
      </w:r>
      <w:r w:rsidR="0060547C" w:rsidRPr="00181CA6">
        <w:rPr>
          <w:rFonts w:cstheme="minorHAnsi"/>
          <w:sz w:val="20"/>
          <w:szCs w:val="20"/>
        </w:rPr>
        <w:t>MGH understands</w:t>
      </w:r>
      <w:r w:rsidRPr="00181CA6">
        <w:rPr>
          <w:rFonts w:cstheme="minorHAnsi"/>
          <w:sz w:val="20"/>
          <w:szCs w:val="20"/>
        </w:rPr>
        <w:t xml:space="preserve"> the challenge in reconciling data across </w:t>
      </w:r>
      <w:r w:rsidR="00261439" w:rsidRPr="00181CA6">
        <w:rPr>
          <w:rFonts w:cstheme="minorHAnsi"/>
          <w:sz w:val="20"/>
          <w:szCs w:val="20"/>
        </w:rPr>
        <w:t>its</w:t>
      </w:r>
      <w:r w:rsidRPr="00181CA6">
        <w:rPr>
          <w:rFonts w:cstheme="minorHAnsi"/>
          <w:sz w:val="20"/>
          <w:szCs w:val="20"/>
        </w:rPr>
        <w:t xml:space="preserve"> original application, amendment, and various </w:t>
      </w:r>
      <w:r w:rsidR="00611D49" w:rsidRPr="00181CA6">
        <w:rPr>
          <w:rFonts w:cstheme="minorHAnsi"/>
          <w:sz w:val="20"/>
          <w:szCs w:val="20"/>
        </w:rPr>
        <w:t>follow-up</w:t>
      </w:r>
      <w:r w:rsidRPr="00181CA6">
        <w:rPr>
          <w:rFonts w:cstheme="minorHAnsi"/>
          <w:sz w:val="20"/>
          <w:szCs w:val="20"/>
        </w:rPr>
        <w:t xml:space="preserve"> requests</w:t>
      </w:r>
      <w:r w:rsidR="009E5119" w:rsidRPr="00181CA6">
        <w:rPr>
          <w:rFonts w:cstheme="minorHAnsi"/>
          <w:sz w:val="20"/>
          <w:szCs w:val="20"/>
        </w:rPr>
        <w:t xml:space="preserve"> because t</w:t>
      </w:r>
      <w:r w:rsidRPr="00181CA6">
        <w:rPr>
          <w:rFonts w:cstheme="minorHAnsi"/>
          <w:sz w:val="20"/>
          <w:szCs w:val="20"/>
        </w:rPr>
        <w:t xml:space="preserve">here are at least three variables </w:t>
      </w:r>
      <w:r w:rsidR="0010535C" w:rsidRPr="00181CA6">
        <w:rPr>
          <w:rFonts w:cstheme="minorHAnsi"/>
          <w:sz w:val="20"/>
          <w:szCs w:val="20"/>
        </w:rPr>
        <w:t xml:space="preserve">associated with beds </w:t>
      </w:r>
      <w:r w:rsidRPr="00181CA6">
        <w:rPr>
          <w:rFonts w:cstheme="minorHAnsi"/>
          <w:sz w:val="20"/>
          <w:szCs w:val="20"/>
        </w:rPr>
        <w:t xml:space="preserve">that </w:t>
      </w:r>
      <w:r w:rsidR="0010535C" w:rsidRPr="00181CA6">
        <w:rPr>
          <w:rFonts w:cstheme="minorHAnsi"/>
          <w:sz w:val="20"/>
          <w:szCs w:val="20"/>
        </w:rPr>
        <w:t xml:space="preserve">all </w:t>
      </w:r>
      <w:r w:rsidRPr="00181CA6">
        <w:rPr>
          <w:rFonts w:cstheme="minorHAnsi"/>
          <w:sz w:val="20"/>
          <w:szCs w:val="20"/>
        </w:rPr>
        <w:t>intersect</w:t>
      </w:r>
      <w:r w:rsidR="00D80BAC" w:rsidRPr="00181CA6">
        <w:rPr>
          <w:rFonts w:cstheme="minorHAnsi"/>
          <w:sz w:val="20"/>
          <w:szCs w:val="20"/>
        </w:rPr>
        <w:t xml:space="preserve"> and overlap</w:t>
      </w:r>
      <w:r w:rsidRPr="00181CA6">
        <w:rPr>
          <w:rFonts w:cstheme="minorHAnsi"/>
          <w:sz w:val="20"/>
          <w:szCs w:val="20"/>
        </w:rPr>
        <w:t>:</w:t>
      </w:r>
    </w:p>
    <w:p w14:paraId="39E366F9" w14:textId="04FFAF0D" w:rsidR="00F4422D" w:rsidRPr="00181CA6" w:rsidRDefault="00F4422D" w:rsidP="00261439">
      <w:pPr>
        <w:pStyle w:val="ListParagraph"/>
        <w:numPr>
          <w:ilvl w:val="0"/>
          <w:numId w:val="45"/>
        </w:numPr>
        <w:autoSpaceDE w:val="0"/>
        <w:autoSpaceDN w:val="0"/>
        <w:adjustRightInd w:val="0"/>
        <w:spacing w:after="120"/>
        <w:jc w:val="both"/>
        <w:rPr>
          <w:rFonts w:cstheme="minorHAnsi"/>
          <w:sz w:val="20"/>
          <w:szCs w:val="20"/>
        </w:rPr>
      </w:pPr>
      <w:r w:rsidRPr="00181CA6">
        <w:rPr>
          <w:rFonts w:cstheme="minorHAnsi"/>
          <w:sz w:val="20"/>
          <w:szCs w:val="20"/>
        </w:rPr>
        <w:t>Type of bed:  Med/Surg vs Specialty (Pediatrics, OB, psychiatry)</w:t>
      </w:r>
    </w:p>
    <w:p w14:paraId="74850B66" w14:textId="016D5470" w:rsidR="00F4422D" w:rsidRPr="00181CA6" w:rsidRDefault="00F4422D" w:rsidP="00261439">
      <w:pPr>
        <w:pStyle w:val="ListParagraph"/>
        <w:numPr>
          <w:ilvl w:val="0"/>
          <w:numId w:val="45"/>
        </w:numPr>
        <w:autoSpaceDE w:val="0"/>
        <w:autoSpaceDN w:val="0"/>
        <w:adjustRightInd w:val="0"/>
        <w:spacing w:after="120"/>
        <w:jc w:val="both"/>
        <w:rPr>
          <w:rFonts w:cstheme="minorHAnsi"/>
          <w:sz w:val="20"/>
          <w:szCs w:val="20"/>
        </w:rPr>
      </w:pPr>
      <w:r w:rsidRPr="00181CA6">
        <w:rPr>
          <w:rFonts w:cstheme="minorHAnsi"/>
          <w:sz w:val="20"/>
          <w:szCs w:val="20"/>
        </w:rPr>
        <w:t xml:space="preserve">Level of bed:  </w:t>
      </w:r>
      <w:r w:rsidR="00261439" w:rsidRPr="00181CA6">
        <w:rPr>
          <w:rFonts w:cstheme="minorHAnsi"/>
          <w:sz w:val="20"/>
          <w:szCs w:val="20"/>
        </w:rPr>
        <w:t>Med/Surg</w:t>
      </w:r>
      <w:r w:rsidR="00EF394C" w:rsidRPr="00181CA6">
        <w:rPr>
          <w:rFonts w:cstheme="minorHAnsi"/>
          <w:sz w:val="20"/>
          <w:szCs w:val="20"/>
        </w:rPr>
        <w:t xml:space="preserve"> vs ICU</w:t>
      </w:r>
    </w:p>
    <w:p w14:paraId="231BC938" w14:textId="620BD7A1" w:rsidR="0010535C" w:rsidRPr="00181CA6" w:rsidRDefault="0089111A" w:rsidP="00261439">
      <w:pPr>
        <w:pStyle w:val="ListParagraph"/>
        <w:numPr>
          <w:ilvl w:val="0"/>
          <w:numId w:val="45"/>
        </w:numPr>
        <w:autoSpaceDE w:val="0"/>
        <w:autoSpaceDN w:val="0"/>
        <w:adjustRightInd w:val="0"/>
        <w:spacing w:after="120"/>
        <w:jc w:val="both"/>
        <w:rPr>
          <w:rFonts w:cstheme="minorHAnsi"/>
          <w:sz w:val="20"/>
          <w:szCs w:val="20"/>
        </w:rPr>
      </w:pPr>
      <w:r w:rsidRPr="00181CA6">
        <w:rPr>
          <w:rFonts w:cstheme="minorHAnsi"/>
          <w:sz w:val="20"/>
          <w:szCs w:val="20"/>
        </w:rPr>
        <w:t xml:space="preserve">Room Type:  </w:t>
      </w:r>
      <w:r w:rsidR="00BD1F62" w:rsidRPr="00181CA6">
        <w:rPr>
          <w:rFonts w:cstheme="minorHAnsi"/>
          <w:sz w:val="20"/>
          <w:szCs w:val="20"/>
        </w:rPr>
        <w:t>Single- or double-bedded</w:t>
      </w:r>
      <w:r w:rsidRPr="00181CA6">
        <w:rPr>
          <w:rFonts w:cstheme="minorHAnsi"/>
          <w:sz w:val="20"/>
          <w:szCs w:val="20"/>
        </w:rPr>
        <w:t xml:space="preserve"> configuration</w:t>
      </w:r>
    </w:p>
    <w:p w14:paraId="53BDEA4A" w14:textId="7896860A" w:rsidR="0010535C" w:rsidRPr="00181CA6" w:rsidRDefault="0010535C" w:rsidP="00261439">
      <w:pPr>
        <w:autoSpaceDE w:val="0"/>
        <w:autoSpaceDN w:val="0"/>
        <w:adjustRightInd w:val="0"/>
        <w:spacing w:after="120"/>
        <w:jc w:val="both"/>
        <w:rPr>
          <w:rFonts w:cstheme="minorHAnsi"/>
          <w:sz w:val="20"/>
          <w:szCs w:val="20"/>
        </w:rPr>
      </w:pPr>
      <w:r w:rsidRPr="00181CA6">
        <w:rPr>
          <w:rFonts w:cstheme="minorHAnsi"/>
          <w:sz w:val="20"/>
          <w:szCs w:val="20"/>
        </w:rPr>
        <w:t xml:space="preserve">The amendment </w:t>
      </w:r>
      <w:r w:rsidR="00862C61" w:rsidRPr="00181CA6">
        <w:rPr>
          <w:rFonts w:cstheme="minorHAnsi"/>
          <w:sz w:val="20"/>
          <w:szCs w:val="20"/>
        </w:rPr>
        <w:t>focuses on Med/Surg only and requests</w:t>
      </w:r>
      <w:r w:rsidRPr="00181CA6">
        <w:rPr>
          <w:rFonts w:cstheme="minorHAnsi"/>
          <w:sz w:val="20"/>
          <w:szCs w:val="20"/>
        </w:rPr>
        <w:t xml:space="preserve"> 94 incremental </w:t>
      </w:r>
      <w:r w:rsidR="00261439" w:rsidRPr="00181CA6">
        <w:rPr>
          <w:rFonts w:cstheme="minorHAnsi"/>
          <w:sz w:val="20"/>
          <w:szCs w:val="20"/>
        </w:rPr>
        <w:t xml:space="preserve">licensed beds </w:t>
      </w:r>
      <w:r w:rsidRPr="00181CA6">
        <w:rPr>
          <w:rFonts w:cstheme="minorHAnsi"/>
          <w:sz w:val="20"/>
          <w:szCs w:val="20"/>
        </w:rPr>
        <w:t xml:space="preserve">(54 </w:t>
      </w:r>
      <w:r w:rsidR="00261439" w:rsidRPr="00181CA6">
        <w:rPr>
          <w:rFonts w:cstheme="minorHAnsi"/>
          <w:sz w:val="20"/>
          <w:szCs w:val="20"/>
        </w:rPr>
        <w:t>Med/Surg</w:t>
      </w:r>
      <w:r w:rsidRPr="00181CA6">
        <w:rPr>
          <w:rFonts w:cstheme="minorHAnsi"/>
          <w:sz w:val="20"/>
          <w:szCs w:val="20"/>
        </w:rPr>
        <w:t xml:space="preserve"> and 40 ICU).</w:t>
      </w:r>
      <w:r w:rsidR="00E035F8" w:rsidRPr="00181CA6">
        <w:rPr>
          <w:rFonts w:cstheme="minorHAnsi"/>
          <w:sz w:val="20"/>
          <w:szCs w:val="20"/>
        </w:rPr>
        <w:t xml:space="preserve">  </w:t>
      </w:r>
      <w:r w:rsidR="00EF394C" w:rsidRPr="00181CA6">
        <w:rPr>
          <w:rFonts w:cstheme="minorHAnsi"/>
          <w:sz w:val="20"/>
          <w:szCs w:val="20"/>
        </w:rPr>
        <w:t xml:space="preserve">If approved, </w:t>
      </w:r>
      <w:r w:rsidRPr="00181CA6">
        <w:rPr>
          <w:rFonts w:cstheme="minorHAnsi"/>
          <w:sz w:val="20"/>
          <w:szCs w:val="20"/>
        </w:rPr>
        <w:t>MGH has</w:t>
      </w:r>
      <w:r w:rsidR="00D072A8" w:rsidRPr="00181CA6">
        <w:rPr>
          <w:rFonts w:cstheme="minorHAnsi"/>
          <w:sz w:val="20"/>
          <w:szCs w:val="20"/>
        </w:rPr>
        <w:t xml:space="preserve"> a plan to close 12 inpatient units (277 beds) in aging facilities and</w:t>
      </w:r>
      <w:r w:rsidRPr="00181CA6">
        <w:rPr>
          <w:rFonts w:cstheme="minorHAnsi"/>
          <w:sz w:val="20"/>
          <w:szCs w:val="20"/>
        </w:rPr>
        <w:t xml:space="preserve"> a roadmap for how </w:t>
      </w:r>
      <w:r w:rsidR="00261439" w:rsidRPr="00181CA6">
        <w:rPr>
          <w:rFonts w:cstheme="minorHAnsi"/>
          <w:sz w:val="20"/>
          <w:szCs w:val="20"/>
        </w:rPr>
        <w:t>it</w:t>
      </w:r>
      <w:r w:rsidRPr="00181CA6">
        <w:rPr>
          <w:rFonts w:cstheme="minorHAnsi"/>
          <w:sz w:val="20"/>
          <w:szCs w:val="20"/>
        </w:rPr>
        <w:t xml:space="preserve"> might reconfigure </w:t>
      </w:r>
      <w:r w:rsidR="00D072A8" w:rsidRPr="00181CA6">
        <w:rPr>
          <w:rFonts w:cstheme="minorHAnsi"/>
          <w:sz w:val="20"/>
          <w:szCs w:val="20"/>
        </w:rPr>
        <w:t>beds within the remaining 18</w:t>
      </w:r>
      <w:r w:rsidR="00247833" w:rsidRPr="00181CA6">
        <w:rPr>
          <w:rFonts w:cstheme="minorHAnsi"/>
          <w:sz w:val="20"/>
          <w:szCs w:val="20"/>
        </w:rPr>
        <w:t xml:space="preserve"> </w:t>
      </w:r>
      <w:r w:rsidR="0089111A" w:rsidRPr="00181CA6">
        <w:rPr>
          <w:rFonts w:cstheme="minorHAnsi"/>
          <w:sz w:val="20"/>
          <w:szCs w:val="20"/>
        </w:rPr>
        <w:t>patient care units</w:t>
      </w:r>
      <w:r w:rsidRPr="00181CA6">
        <w:rPr>
          <w:rFonts w:cstheme="minorHAnsi"/>
          <w:sz w:val="20"/>
          <w:szCs w:val="20"/>
        </w:rPr>
        <w:t xml:space="preserve"> to achieve this outcome.  </w:t>
      </w:r>
      <w:r w:rsidR="00862C61" w:rsidRPr="00181CA6">
        <w:rPr>
          <w:rFonts w:cstheme="minorHAnsi"/>
          <w:sz w:val="20"/>
          <w:szCs w:val="20"/>
        </w:rPr>
        <w:t xml:space="preserve">The </w:t>
      </w:r>
      <w:r w:rsidR="00D072A8" w:rsidRPr="00181CA6">
        <w:rPr>
          <w:rFonts w:cstheme="minorHAnsi"/>
          <w:sz w:val="20"/>
          <w:szCs w:val="20"/>
        </w:rPr>
        <w:t>combined approach would have</w:t>
      </w:r>
      <w:r w:rsidR="00862C61" w:rsidRPr="00181CA6">
        <w:rPr>
          <w:rFonts w:cstheme="minorHAnsi"/>
          <w:sz w:val="20"/>
          <w:szCs w:val="20"/>
        </w:rPr>
        <w:t xml:space="preserve"> a minor impact on the private room percentage</w:t>
      </w:r>
      <w:r w:rsidR="00261439" w:rsidRPr="00181CA6">
        <w:rPr>
          <w:rFonts w:cstheme="minorHAnsi"/>
          <w:sz w:val="20"/>
          <w:szCs w:val="20"/>
        </w:rPr>
        <w:t xml:space="preserve"> of MGH’s licensed beds</w:t>
      </w:r>
      <w:r w:rsidR="00862C61" w:rsidRPr="00181CA6">
        <w:rPr>
          <w:rFonts w:cstheme="minorHAnsi"/>
          <w:sz w:val="20"/>
          <w:szCs w:val="20"/>
        </w:rPr>
        <w:t xml:space="preserve"> (calculated here based on ICU and </w:t>
      </w:r>
      <w:r w:rsidR="00261439" w:rsidRPr="00181CA6">
        <w:rPr>
          <w:rFonts w:cstheme="minorHAnsi"/>
          <w:sz w:val="20"/>
          <w:szCs w:val="20"/>
        </w:rPr>
        <w:t>Med/Surg</w:t>
      </w:r>
      <w:r w:rsidR="00862C61" w:rsidRPr="00181CA6">
        <w:rPr>
          <w:rFonts w:cstheme="minorHAnsi"/>
          <w:sz w:val="20"/>
          <w:szCs w:val="20"/>
        </w:rPr>
        <w:t xml:space="preserve"> so </w:t>
      </w:r>
      <w:r w:rsidR="00261439" w:rsidRPr="00181CA6">
        <w:rPr>
          <w:rFonts w:cstheme="minorHAnsi"/>
          <w:sz w:val="20"/>
          <w:szCs w:val="20"/>
        </w:rPr>
        <w:t xml:space="preserve">it is </w:t>
      </w:r>
      <w:r w:rsidR="00862C61" w:rsidRPr="00181CA6">
        <w:rPr>
          <w:rFonts w:cstheme="minorHAnsi"/>
          <w:sz w:val="20"/>
          <w:szCs w:val="20"/>
        </w:rPr>
        <w:t xml:space="preserve">higher than </w:t>
      </w:r>
      <w:r w:rsidR="00EF394C" w:rsidRPr="00181CA6">
        <w:rPr>
          <w:rFonts w:cstheme="minorHAnsi"/>
          <w:sz w:val="20"/>
          <w:szCs w:val="20"/>
        </w:rPr>
        <w:t xml:space="preserve">the </w:t>
      </w:r>
      <w:r w:rsidR="00D80BAC" w:rsidRPr="00181CA6">
        <w:rPr>
          <w:rFonts w:cstheme="minorHAnsi"/>
          <w:sz w:val="20"/>
          <w:szCs w:val="20"/>
        </w:rPr>
        <w:t>commentary</w:t>
      </w:r>
      <w:r w:rsidR="00862C61" w:rsidRPr="00181CA6">
        <w:rPr>
          <w:rFonts w:cstheme="minorHAnsi"/>
          <w:sz w:val="20"/>
          <w:szCs w:val="20"/>
        </w:rPr>
        <w:t xml:space="preserve"> in </w:t>
      </w:r>
      <w:r w:rsidR="00261439" w:rsidRPr="00181CA6">
        <w:rPr>
          <w:rFonts w:cstheme="minorHAnsi"/>
          <w:sz w:val="20"/>
          <w:szCs w:val="20"/>
        </w:rPr>
        <w:t>MGH’s</w:t>
      </w:r>
      <w:r w:rsidR="00D80BAC" w:rsidRPr="00181CA6">
        <w:rPr>
          <w:rFonts w:cstheme="minorHAnsi"/>
          <w:sz w:val="20"/>
          <w:szCs w:val="20"/>
        </w:rPr>
        <w:t xml:space="preserve"> </w:t>
      </w:r>
      <w:r w:rsidR="00862C61" w:rsidRPr="00181CA6">
        <w:rPr>
          <w:rFonts w:cstheme="minorHAnsi"/>
          <w:sz w:val="20"/>
          <w:szCs w:val="20"/>
        </w:rPr>
        <w:t xml:space="preserve">prior submissions that isolated </w:t>
      </w:r>
      <w:r w:rsidR="00261439" w:rsidRPr="00181CA6">
        <w:rPr>
          <w:rFonts w:cstheme="minorHAnsi"/>
          <w:sz w:val="20"/>
          <w:szCs w:val="20"/>
        </w:rPr>
        <w:t>Med/Surg beds</w:t>
      </w:r>
      <w:r w:rsidR="00BD1F62" w:rsidRPr="00181CA6">
        <w:rPr>
          <w:rFonts w:cstheme="minorHAnsi"/>
          <w:sz w:val="20"/>
          <w:szCs w:val="20"/>
        </w:rPr>
        <w:t xml:space="preserve"> only</w:t>
      </w:r>
      <w:r w:rsidR="00862C61" w:rsidRPr="00181CA6">
        <w:rPr>
          <w:rFonts w:cstheme="minorHAnsi"/>
          <w:sz w:val="20"/>
          <w:szCs w:val="20"/>
        </w:rPr>
        <w:t xml:space="preserve">).  </w:t>
      </w:r>
    </w:p>
    <w:p w14:paraId="21B16FFC" w14:textId="74DB654C" w:rsidR="00B04813" w:rsidRPr="00181CA6" w:rsidRDefault="000E09DA" w:rsidP="00524D51">
      <w:pPr>
        <w:pStyle w:val="ListParagraph"/>
        <w:numPr>
          <w:ilvl w:val="0"/>
          <w:numId w:val="41"/>
        </w:numPr>
        <w:spacing w:before="240"/>
        <w:rPr>
          <w:rFonts w:cstheme="minorHAnsi"/>
          <w:b/>
          <w:bCs/>
          <w:sz w:val="20"/>
          <w:szCs w:val="20"/>
        </w:rPr>
      </w:pPr>
      <w:r w:rsidRPr="00181CA6">
        <w:rPr>
          <w:rFonts w:cstheme="minorHAnsi"/>
          <w:b/>
          <w:bCs/>
          <w:sz w:val="20"/>
          <w:szCs w:val="20"/>
        </w:rPr>
        <w:t>In response to question 2a of the first round of questions, the Holder stated</w:t>
      </w:r>
      <w:r w:rsidR="005518D4" w:rsidRPr="00181CA6">
        <w:rPr>
          <w:rFonts w:cstheme="minorHAnsi"/>
          <w:b/>
          <w:bCs/>
          <w:sz w:val="20"/>
          <w:szCs w:val="20"/>
        </w:rPr>
        <w:t>, “If 94 requested beds are approved, MGH will close 277 beds in existing facilities and convert 111 existing doubles into singles in existing rooms (388 beds).” Please clarify</w:t>
      </w:r>
      <w:r w:rsidR="00F55137" w:rsidRPr="00181CA6">
        <w:rPr>
          <w:rFonts w:cstheme="minorHAnsi"/>
          <w:b/>
          <w:bCs/>
          <w:sz w:val="20"/>
          <w:szCs w:val="20"/>
        </w:rPr>
        <w:t xml:space="preserve">: Is the </w:t>
      </w:r>
      <w:r w:rsidR="005518D4" w:rsidRPr="00181CA6">
        <w:rPr>
          <w:rFonts w:cstheme="minorHAnsi"/>
          <w:b/>
          <w:bCs/>
          <w:sz w:val="20"/>
          <w:szCs w:val="20"/>
        </w:rPr>
        <w:t xml:space="preserve">intention to </w:t>
      </w:r>
      <w:r w:rsidR="004B0A58" w:rsidRPr="00181CA6">
        <w:rPr>
          <w:rFonts w:cstheme="minorHAnsi"/>
          <w:b/>
          <w:bCs/>
          <w:sz w:val="20"/>
          <w:szCs w:val="20"/>
        </w:rPr>
        <w:t xml:space="preserve">convert 111 beds in double rooms to 54 </w:t>
      </w:r>
      <w:r w:rsidR="006E4A84" w:rsidRPr="00181CA6">
        <w:rPr>
          <w:rFonts w:cstheme="minorHAnsi"/>
          <w:b/>
          <w:bCs/>
          <w:sz w:val="20"/>
          <w:szCs w:val="20"/>
        </w:rPr>
        <w:t>single</w:t>
      </w:r>
      <w:r w:rsidR="004B0A58" w:rsidRPr="00181CA6">
        <w:rPr>
          <w:rFonts w:cstheme="minorHAnsi"/>
          <w:b/>
          <w:bCs/>
          <w:sz w:val="20"/>
          <w:szCs w:val="20"/>
        </w:rPr>
        <w:t xml:space="preserve"> rooms or </w:t>
      </w:r>
      <w:r w:rsidR="00F55137" w:rsidRPr="00181CA6">
        <w:rPr>
          <w:rFonts w:cstheme="minorHAnsi"/>
          <w:b/>
          <w:bCs/>
          <w:sz w:val="20"/>
          <w:szCs w:val="20"/>
        </w:rPr>
        <w:t>would 111 beds be converted to 111 single rooms?</w:t>
      </w:r>
    </w:p>
    <w:p w14:paraId="2411FDF8" w14:textId="7D90D336" w:rsidR="00524D51" w:rsidRPr="00181CA6" w:rsidRDefault="00EF394C" w:rsidP="00EF394C">
      <w:pPr>
        <w:pStyle w:val="ListParagraph"/>
        <w:spacing w:before="240" w:line="240" w:lineRule="auto"/>
        <w:rPr>
          <w:rFonts w:cstheme="minorHAnsi"/>
          <w:sz w:val="20"/>
          <w:szCs w:val="20"/>
        </w:rPr>
      </w:pPr>
      <w:r w:rsidRPr="00181CA6">
        <w:rPr>
          <w:rFonts w:cstheme="minorHAnsi"/>
          <w:sz w:val="20"/>
          <w:szCs w:val="20"/>
        </w:rPr>
        <w:t xml:space="preserve">To achieve the total count, MGH </w:t>
      </w:r>
      <w:r w:rsidR="00261439" w:rsidRPr="00181CA6">
        <w:rPr>
          <w:rFonts w:cstheme="minorHAnsi"/>
          <w:sz w:val="20"/>
          <w:szCs w:val="20"/>
        </w:rPr>
        <w:t>plans to</w:t>
      </w:r>
      <w:r w:rsidR="003968AD" w:rsidRPr="00181CA6">
        <w:rPr>
          <w:rFonts w:cstheme="minorHAnsi"/>
          <w:sz w:val="20"/>
          <w:szCs w:val="20"/>
        </w:rPr>
        <w:t xml:space="preserve"> convert</w:t>
      </w:r>
      <w:r w:rsidR="00E035F8" w:rsidRPr="00181CA6">
        <w:rPr>
          <w:rFonts w:cstheme="minorHAnsi"/>
          <w:sz w:val="20"/>
          <w:szCs w:val="20"/>
        </w:rPr>
        <w:t xml:space="preserve"> </w:t>
      </w:r>
      <w:r w:rsidR="00B04813" w:rsidRPr="00181CA6">
        <w:rPr>
          <w:rFonts w:cstheme="minorHAnsi"/>
          <w:sz w:val="20"/>
          <w:szCs w:val="20"/>
        </w:rPr>
        <w:t xml:space="preserve">111 double-bedded rooms </w:t>
      </w:r>
      <w:r w:rsidR="00261439" w:rsidRPr="00181CA6">
        <w:rPr>
          <w:rFonts w:cstheme="minorHAnsi"/>
          <w:sz w:val="20"/>
          <w:szCs w:val="20"/>
        </w:rPr>
        <w:t>into</w:t>
      </w:r>
      <w:r w:rsidR="00B04813" w:rsidRPr="00181CA6">
        <w:rPr>
          <w:rFonts w:cstheme="minorHAnsi"/>
          <w:sz w:val="20"/>
          <w:szCs w:val="20"/>
        </w:rPr>
        <w:t xml:space="preserve"> 111 single-bedded rooms.</w:t>
      </w:r>
      <w:r w:rsidR="00E035F8" w:rsidRPr="00181CA6">
        <w:rPr>
          <w:rFonts w:cstheme="minorHAnsi"/>
          <w:sz w:val="20"/>
          <w:szCs w:val="20"/>
        </w:rPr>
        <w:t xml:space="preserve">   </w:t>
      </w:r>
    </w:p>
    <w:p w14:paraId="0539F96D" w14:textId="77777777" w:rsidR="00F4422D" w:rsidRPr="00181CA6" w:rsidRDefault="00F4422D" w:rsidP="00F4422D">
      <w:pPr>
        <w:pStyle w:val="ListParagraph"/>
        <w:spacing w:before="240"/>
        <w:rPr>
          <w:rFonts w:cstheme="minorHAnsi"/>
          <w:sz w:val="20"/>
          <w:szCs w:val="20"/>
        </w:rPr>
      </w:pPr>
    </w:p>
    <w:p w14:paraId="5588B523" w14:textId="29CD5EDE" w:rsidR="009C7BBA" w:rsidRPr="00181CA6" w:rsidRDefault="00F679B4" w:rsidP="00F4422D">
      <w:pPr>
        <w:pStyle w:val="ListParagraph"/>
        <w:numPr>
          <w:ilvl w:val="0"/>
          <w:numId w:val="41"/>
        </w:numPr>
        <w:spacing w:before="240"/>
        <w:rPr>
          <w:rFonts w:cstheme="minorHAnsi"/>
          <w:b/>
          <w:bCs/>
          <w:sz w:val="20"/>
          <w:szCs w:val="20"/>
        </w:rPr>
      </w:pPr>
      <w:r w:rsidRPr="00181CA6">
        <w:rPr>
          <w:rStyle w:val="cf01"/>
          <w:rFonts w:asciiTheme="minorHAnsi" w:hAnsiTheme="minorHAnsi" w:cstheme="minorHAnsi"/>
          <w:b/>
          <w:bCs/>
          <w:sz w:val="20"/>
          <w:szCs w:val="20"/>
        </w:rPr>
        <w:t xml:space="preserve">In order to clarify the </w:t>
      </w:r>
      <w:r w:rsidR="00894444" w:rsidRPr="00181CA6">
        <w:rPr>
          <w:rStyle w:val="cf01"/>
          <w:rFonts w:asciiTheme="minorHAnsi" w:hAnsiTheme="minorHAnsi" w:cstheme="minorHAnsi"/>
          <w:b/>
          <w:bCs/>
          <w:sz w:val="20"/>
          <w:szCs w:val="20"/>
        </w:rPr>
        <w:t xml:space="preserve">composition of </w:t>
      </w:r>
      <w:proofErr w:type="gramStart"/>
      <w:r w:rsidR="001E40EE" w:rsidRPr="00181CA6">
        <w:rPr>
          <w:rStyle w:val="cf01"/>
          <w:rFonts w:asciiTheme="minorHAnsi" w:hAnsiTheme="minorHAnsi" w:cstheme="minorHAnsi"/>
          <w:b/>
          <w:bCs/>
          <w:sz w:val="20"/>
          <w:szCs w:val="20"/>
        </w:rPr>
        <w:t>single and double bedded</w:t>
      </w:r>
      <w:proofErr w:type="gramEnd"/>
      <w:r w:rsidR="001E40EE" w:rsidRPr="00181CA6">
        <w:rPr>
          <w:rStyle w:val="cf01"/>
          <w:rFonts w:asciiTheme="minorHAnsi" w:hAnsiTheme="minorHAnsi" w:cstheme="minorHAnsi"/>
          <w:b/>
          <w:bCs/>
          <w:sz w:val="20"/>
          <w:szCs w:val="20"/>
        </w:rPr>
        <w:t xml:space="preserve"> rooms with the</w:t>
      </w:r>
      <w:r w:rsidR="00202ADE" w:rsidRPr="00181CA6">
        <w:rPr>
          <w:rStyle w:val="cf01"/>
          <w:rFonts w:asciiTheme="minorHAnsi" w:hAnsiTheme="minorHAnsi" w:cstheme="minorHAnsi"/>
          <w:b/>
          <w:bCs/>
          <w:sz w:val="20"/>
          <w:szCs w:val="20"/>
        </w:rPr>
        <w:t xml:space="preserve"> addition of 94 beds, please fill out the table</w:t>
      </w:r>
      <w:r w:rsidR="00262D9B" w:rsidRPr="00181CA6">
        <w:rPr>
          <w:rStyle w:val="cf01"/>
          <w:rFonts w:asciiTheme="minorHAnsi" w:hAnsiTheme="minorHAnsi" w:cstheme="minorHAnsi"/>
          <w:b/>
          <w:bCs/>
          <w:sz w:val="20"/>
          <w:szCs w:val="20"/>
        </w:rPr>
        <w:t xml:space="preserve"> below. </w:t>
      </w:r>
      <w:r w:rsidR="00262D9B" w:rsidRPr="00181CA6">
        <w:rPr>
          <w:rFonts w:cstheme="minorHAnsi"/>
          <w:b/>
          <w:bCs/>
          <w:sz w:val="20"/>
          <w:szCs w:val="20"/>
        </w:rPr>
        <w:t>Given that the new building is not yet in operation, please answer how many double and single bedded rooms are currently planned for the new building in the table</w:t>
      </w:r>
      <w:r w:rsidR="00262D9B" w:rsidRPr="00181CA6">
        <w:rPr>
          <w:rFonts w:cstheme="minorHAnsi"/>
          <w:sz w:val="20"/>
          <w:szCs w:val="20"/>
        </w:rPr>
        <w:t>.</w:t>
      </w:r>
    </w:p>
    <w:p w14:paraId="2F405D5F" w14:textId="22323DCD" w:rsidR="00862C61" w:rsidRPr="00181CA6" w:rsidRDefault="00862C61" w:rsidP="00261439">
      <w:pPr>
        <w:pStyle w:val="ListParagraph"/>
        <w:spacing w:before="240" w:line="240" w:lineRule="auto"/>
        <w:jc w:val="both"/>
        <w:rPr>
          <w:rFonts w:cstheme="minorHAnsi"/>
          <w:sz w:val="20"/>
          <w:szCs w:val="20"/>
        </w:rPr>
      </w:pPr>
      <w:r w:rsidRPr="00181CA6">
        <w:rPr>
          <w:rFonts w:cstheme="minorHAnsi"/>
          <w:sz w:val="20"/>
          <w:szCs w:val="20"/>
        </w:rPr>
        <w:t xml:space="preserve">The table below was set up to show the significant improvement </w:t>
      </w:r>
      <w:r w:rsidR="00D80BAC" w:rsidRPr="00181CA6">
        <w:rPr>
          <w:rFonts w:cstheme="minorHAnsi"/>
          <w:sz w:val="20"/>
          <w:szCs w:val="20"/>
        </w:rPr>
        <w:t>in the</w:t>
      </w:r>
      <w:r w:rsidRPr="00181CA6">
        <w:rPr>
          <w:rFonts w:cstheme="minorHAnsi"/>
          <w:sz w:val="20"/>
          <w:szCs w:val="20"/>
        </w:rPr>
        <w:t xml:space="preserve"> private room percentage (</w:t>
      </w:r>
      <w:r w:rsidR="003968AD" w:rsidRPr="00181CA6">
        <w:rPr>
          <w:rFonts w:cstheme="minorHAnsi"/>
          <w:sz w:val="20"/>
          <w:szCs w:val="20"/>
        </w:rPr>
        <w:t xml:space="preserve">calculated on both </w:t>
      </w:r>
      <w:r w:rsidR="00261439" w:rsidRPr="00181CA6">
        <w:rPr>
          <w:rFonts w:cstheme="minorHAnsi"/>
          <w:sz w:val="20"/>
          <w:szCs w:val="20"/>
        </w:rPr>
        <w:t>Med/Surg</w:t>
      </w:r>
      <w:r w:rsidRPr="00181CA6">
        <w:rPr>
          <w:rFonts w:cstheme="minorHAnsi"/>
          <w:sz w:val="20"/>
          <w:szCs w:val="20"/>
        </w:rPr>
        <w:t xml:space="preserve"> and ICU) associated with </w:t>
      </w:r>
      <w:r w:rsidR="003968AD" w:rsidRPr="00181CA6">
        <w:rPr>
          <w:rFonts w:cstheme="minorHAnsi"/>
          <w:sz w:val="20"/>
          <w:szCs w:val="20"/>
        </w:rPr>
        <w:t xml:space="preserve">the </w:t>
      </w:r>
      <w:r w:rsidR="00D80BAC" w:rsidRPr="00181CA6">
        <w:rPr>
          <w:rFonts w:cstheme="minorHAnsi"/>
          <w:sz w:val="20"/>
          <w:szCs w:val="20"/>
        </w:rPr>
        <w:t xml:space="preserve">DON approval that allowed MGH to build </w:t>
      </w:r>
      <w:r w:rsidRPr="00181CA6">
        <w:rPr>
          <w:rFonts w:cstheme="minorHAnsi"/>
          <w:sz w:val="20"/>
          <w:szCs w:val="20"/>
        </w:rPr>
        <w:t>482 private rooms in the new building.</w:t>
      </w:r>
      <w:r w:rsidR="00D072A8" w:rsidRPr="00181CA6">
        <w:rPr>
          <w:rFonts w:cstheme="minorHAnsi"/>
          <w:sz w:val="20"/>
          <w:szCs w:val="20"/>
        </w:rPr>
        <w:t xml:space="preserve">  The original DON approval with no </w:t>
      </w:r>
      <w:r w:rsidR="00261439" w:rsidRPr="00181CA6">
        <w:rPr>
          <w:rFonts w:cstheme="minorHAnsi"/>
          <w:sz w:val="20"/>
          <w:szCs w:val="20"/>
        </w:rPr>
        <w:t>additional beds</w:t>
      </w:r>
      <w:r w:rsidR="00D072A8" w:rsidRPr="00181CA6">
        <w:rPr>
          <w:rFonts w:cstheme="minorHAnsi"/>
          <w:sz w:val="20"/>
          <w:szCs w:val="20"/>
        </w:rPr>
        <w:t xml:space="preserve"> cannot be achieved solely from converting doubles to singles and would also require </w:t>
      </w:r>
      <w:r w:rsidR="00D82DEF" w:rsidRPr="00181CA6">
        <w:rPr>
          <w:rFonts w:cstheme="minorHAnsi"/>
          <w:sz w:val="20"/>
          <w:szCs w:val="20"/>
        </w:rPr>
        <w:t>select patient care</w:t>
      </w:r>
      <w:r w:rsidR="00D072A8" w:rsidRPr="00181CA6">
        <w:rPr>
          <w:rFonts w:cstheme="minorHAnsi"/>
          <w:sz w:val="20"/>
          <w:szCs w:val="20"/>
        </w:rPr>
        <w:t xml:space="preserve"> units to be taken out of service.  </w:t>
      </w:r>
      <w:r w:rsidR="00FE76EB" w:rsidRPr="00181CA6">
        <w:rPr>
          <w:rFonts w:cstheme="minorHAnsi"/>
          <w:sz w:val="20"/>
          <w:szCs w:val="20"/>
        </w:rPr>
        <w:t>However, the amendment for 94 beds</w:t>
      </w:r>
      <w:r w:rsidR="00D072A8" w:rsidRPr="00181CA6">
        <w:rPr>
          <w:rFonts w:cstheme="minorHAnsi"/>
          <w:sz w:val="20"/>
          <w:szCs w:val="20"/>
        </w:rPr>
        <w:t xml:space="preserve"> include</w:t>
      </w:r>
      <w:r w:rsidR="00FE76EB" w:rsidRPr="00181CA6">
        <w:rPr>
          <w:rFonts w:cstheme="minorHAnsi"/>
          <w:sz w:val="20"/>
          <w:szCs w:val="20"/>
        </w:rPr>
        <w:t>s</w:t>
      </w:r>
      <w:r w:rsidR="00D072A8" w:rsidRPr="00181CA6">
        <w:rPr>
          <w:rFonts w:cstheme="minorHAnsi"/>
          <w:sz w:val="20"/>
          <w:szCs w:val="20"/>
        </w:rPr>
        <w:t xml:space="preserve"> </w:t>
      </w:r>
      <w:r w:rsidR="00EF394C" w:rsidRPr="00181CA6">
        <w:rPr>
          <w:rFonts w:cstheme="minorHAnsi"/>
          <w:sz w:val="20"/>
          <w:szCs w:val="20"/>
        </w:rPr>
        <w:t xml:space="preserve">growth in </w:t>
      </w:r>
      <w:r w:rsidR="00D072A8" w:rsidRPr="00181CA6">
        <w:rPr>
          <w:rFonts w:cstheme="minorHAnsi"/>
          <w:sz w:val="20"/>
          <w:szCs w:val="20"/>
        </w:rPr>
        <w:t xml:space="preserve">ICU beds (single-bedded), </w:t>
      </w:r>
      <w:r w:rsidR="00FE76EB" w:rsidRPr="00181CA6">
        <w:rPr>
          <w:rFonts w:cstheme="minorHAnsi"/>
          <w:sz w:val="20"/>
          <w:szCs w:val="20"/>
        </w:rPr>
        <w:t xml:space="preserve">so </w:t>
      </w:r>
      <w:r w:rsidR="00D072A8" w:rsidRPr="00181CA6">
        <w:rPr>
          <w:rFonts w:cstheme="minorHAnsi"/>
          <w:sz w:val="20"/>
          <w:szCs w:val="20"/>
        </w:rPr>
        <w:t xml:space="preserve">the delta between these two columns is </w:t>
      </w:r>
      <w:r w:rsidR="00FE76EB" w:rsidRPr="00181CA6">
        <w:rPr>
          <w:rFonts w:cstheme="minorHAnsi"/>
          <w:sz w:val="20"/>
          <w:szCs w:val="20"/>
        </w:rPr>
        <w:t xml:space="preserve">only </w:t>
      </w:r>
      <w:r w:rsidR="00D82DEF" w:rsidRPr="00181CA6">
        <w:rPr>
          <w:rFonts w:cstheme="minorHAnsi"/>
          <w:sz w:val="20"/>
          <w:szCs w:val="20"/>
        </w:rPr>
        <w:t>5%</w:t>
      </w:r>
      <w:r w:rsidR="00D072A8" w:rsidRPr="00181CA6">
        <w:rPr>
          <w:rFonts w:cstheme="minorHAnsi"/>
          <w:sz w:val="20"/>
          <w:szCs w:val="20"/>
        </w:rPr>
        <w:t xml:space="preserve">.  </w:t>
      </w:r>
    </w:p>
    <w:p w14:paraId="633C52F1" w14:textId="77777777" w:rsidR="00261439" w:rsidRPr="00181CA6" w:rsidRDefault="00261439" w:rsidP="00261439">
      <w:pPr>
        <w:pStyle w:val="ListParagraph"/>
        <w:spacing w:before="240" w:line="240" w:lineRule="auto"/>
        <w:jc w:val="both"/>
        <w:rPr>
          <w:rFonts w:cstheme="minorHAnsi"/>
          <w:sz w:val="20"/>
          <w:szCs w:val="20"/>
        </w:rPr>
      </w:pPr>
    </w:p>
    <w:p w14:paraId="5CFB9041" w14:textId="77777777" w:rsidR="00261439" w:rsidRPr="00181CA6" w:rsidRDefault="00261439" w:rsidP="00261439">
      <w:pPr>
        <w:pStyle w:val="ListParagraph"/>
        <w:spacing w:before="240" w:line="240" w:lineRule="auto"/>
        <w:jc w:val="both"/>
        <w:rPr>
          <w:rFonts w:cstheme="minorHAnsi"/>
          <w:sz w:val="20"/>
          <w:szCs w:val="20"/>
        </w:rPr>
      </w:pPr>
    </w:p>
    <w:p w14:paraId="789992E9" w14:textId="77777777" w:rsidR="00261439" w:rsidRPr="00181CA6" w:rsidRDefault="00261439" w:rsidP="00261439">
      <w:pPr>
        <w:pStyle w:val="ListParagraph"/>
        <w:spacing w:before="240" w:line="240" w:lineRule="auto"/>
        <w:jc w:val="both"/>
        <w:rPr>
          <w:rFonts w:cstheme="minorHAnsi"/>
          <w:sz w:val="20"/>
          <w:szCs w:val="20"/>
        </w:rPr>
      </w:pPr>
    </w:p>
    <w:p w14:paraId="184A3399" w14:textId="77777777" w:rsidR="00261439" w:rsidRPr="00181CA6" w:rsidRDefault="00261439" w:rsidP="00261439">
      <w:pPr>
        <w:pStyle w:val="ListParagraph"/>
        <w:spacing w:before="240" w:line="240" w:lineRule="auto"/>
        <w:jc w:val="both"/>
        <w:rPr>
          <w:rFonts w:cstheme="minorHAnsi"/>
          <w:sz w:val="20"/>
          <w:szCs w:val="20"/>
        </w:rPr>
      </w:pPr>
    </w:p>
    <w:p w14:paraId="29EEE0AE" w14:textId="77777777" w:rsidR="00261439" w:rsidRPr="00181CA6" w:rsidRDefault="00261439" w:rsidP="00261439">
      <w:pPr>
        <w:pStyle w:val="ListParagraph"/>
        <w:spacing w:before="240" w:line="240" w:lineRule="auto"/>
        <w:jc w:val="both"/>
        <w:rPr>
          <w:rFonts w:cstheme="minorHAnsi"/>
          <w:sz w:val="20"/>
          <w:szCs w:val="20"/>
        </w:rPr>
      </w:pPr>
    </w:p>
    <w:tbl>
      <w:tblPr>
        <w:tblStyle w:val="TableGrid"/>
        <w:tblW w:w="7645" w:type="dxa"/>
        <w:tblInd w:w="720" w:type="dxa"/>
        <w:tblLook w:val="04A0" w:firstRow="1" w:lastRow="0" w:firstColumn="1" w:lastColumn="0" w:noHBand="0" w:noVBand="1"/>
      </w:tblPr>
      <w:tblGrid>
        <w:gridCol w:w="2375"/>
        <w:gridCol w:w="1063"/>
        <w:gridCol w:w="1957"/>
        <w:gridCol w:w="2250"/>
      </w:tblGrid>
      <w:tr w:rsidR="00181CA6" w:rsidRPr="00181CA6" w14:paraId="2F6591FE" w14:textId="02243526" w:rsidTr="00230D5B">
        <w:trPr>
          <w:cantSplit/>
          <w:trHeight w:val="247"/>
          <w:tblHeader/>
        </w:trPr>
        <w:tc>
          <w:tcPr>
            <w:tcW w:w="2375" w:type="dxa"/>
          </w:tcPr>
          <w:p w14:paraId="30A81FF0" w14:textId="77777777" w:rsidR="00862C61" w:rsidRPr="00181CA6" w:rsidRDefault="00862C61" w:rsidP="003A0DBC">
            <w:pPr>
              <w:pStyle w:val="pf0"/>
              <w:spacing w:before="0" w:beforeAutospacing="0"/>
              <w:rPr>
                <w:rStyle w:val="cf01"/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63" w:type="dxa"/>
          </w:tcPr>
          <w:p w14:paraId="3CDE08A3" w14:textId="23685516" w:rsidR="00247833" w:rsidRPr="00181CA6" w:rsidRDefault="00247833" w:rsidP="003A0DBC">
            <w:pPr>
              <w:pStyle w:val="pf0"/>
              <w:spacing w:before="0" w:beforeAutospacing="0"/>
              <w:rPr>
                <w:rStyle w:val="cf01"/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1CA6">
              <w:rPr>
                <w:rStyle w:val="cf01"/>
                <w:rFonts w:asciiTheme="minorHAnsi" w:hAnsiTheme="minorHAnsi" w:cstheme="minorHAnsi"/>
                <w:b/>
                <w:bCs/>
                <w:sz w:val="20"/>
                <w:szCs w:val="20"/>
              </w:rPr>
              <w:t>Today</w:t>
            </w:r>
          </w:p>
        </w:tc>
        <w:tc>
          <w:tcPr>
            <w:tcW w:w="1957" w:type="dxa"/>
          </w:tcPr>
          <w:p w14:paraId="5FE0C199" w14:textId="43DF7049" w:rsidR="00247833" w:rsidRPr="00181CA6" w:rsidRDefault="00D80BAC" w:rsidP="003A0DBC">
            <w:pPr>
              <w:pStyle w:val="pf0"/>
              <w:spacing w:before="0" w:beforeAutospacing="0"/>
              <w:rPr>
                <w:rStyle w:val="cf01"/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1CA6">
              <w:rPr>
                <w:rStyle w:val="cf01"/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Original DON w/ </w:t>
            </w:r>
            <w:r w:rsidR="00261439" w:rsidRPr="00181CA6">
              <w:rPr>
                <w:rStyle w:val="cf01"/>
                <w:rFonts w:asciiTheme="minorHAnsi" w:hAnsiTheme="minorHAnsi" w:cstheme="minorHAnsi"/>
                <w:b/>
                <w:bCs/>
                <w:sz w:val="20"/>
                <w:szCs w:val="20"/>
              </w:rPr>
              <w:t>No Net New Beds</w:t>
            </w:r>
          </w:p>
        </w:tc>
        <w:tc>
          <w:tcPr>
            <w:tcW w:w="2250" w:type="dxa"/>
          </w:tcPr>
          <w:p w14:paraId="2CFE35E0" w14:textId="585C16BA" w:rsidR="00247833" w:rsidRPr="00181CA6" w:rsidRDefault="00247833" w:rsidP="003A0DBC">
            <w:pPr>
              <w:pStyle w:val="pf0"/>
              <w:spacing w:before="0" w:beforeAutospacing="0"/>
              <w:rPr>
                <w:rStyle w:val="cf01"/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1CA6">
              <w:rPr>
                <w:rStyle w:val="cf01"/>
                <w:rFonts w:asciiTheme="minorHAnsi" w:hAnsiTheme="minorHAnsi" w:cstheme="minorHAnsi"/>
                <w:b/>
                <w:bCs/>
                <w:sz w:val="20"/>
                <w:szCs w:val="20"/>
              </w:rPr>
              <w:t>If Proposed Change is Approved</w:t>
            </w:r>
          </w:p>
        </w:tc>
      </w:tr>
      <w:tr w:rsidR="00181CA6" w:rsidRPr="00181CA6" w14:paraId="03727BBD" w14:textId="2230145D" w:rsidTr="00230D5B">
        <w:trPr>
          <w:cantSplit/>
          <w:trHeight w:val="496"/>
        </w:trPr>
        <w:tc>
          <w:tcPr>
            <w:tcW w:w="2375" w:type="dxa"/>
          </w:tcPr>
          <w:p w14:paraId="1A110377" w14:textId="67B35DD6" w:rsidR="00247833" w:rsidRPr="00181CA6" w:rsidRDefault="00247833" w:rsidP="003A0DBC">
            <w:pPr>
              <w:pStyle w:val="pf0"/>
              <w:spacing w:before="0" w:beforeAutospacing="0"/>
              <w:rPr>
                <w:rStyle w:val="cf01"/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1CA6">
              <w:rPr>
                <w:rStyle w:val="cf01"/>
                <w:rFonts w:asciiTheme="minorHAnsi" w:hAnsiTheme="minorHAnsi" w:cstheme="minorHAnsi"/>
                <w:b/>
                <w:bCs/>
                <w:sz w:val="20"/>
                <w:szCs w:val="20"/>
              </w:rPr>
              <w:t>Single Bedded Rooms in New Building</w:t>
            </w:r>
          </w:p>
        </w:tc>
        <w:tc>
          <w:tcPr>
            <w:tcW w:w="1063" w:type="dxa"/>
          </w:tcPr>
          <w:p w14:paraId="19BE99B7" w14:textId="137BF965" w:rsidR="00247833" w:rsidRPr="00181CA6" w:rsidRDefault="00261439" w:rsidP="003A0DBC">
            <w:pPr>
              <w:pStyle w:val="pf0"/>
              <w:spacing w:before="0" w:beforeAutospacing="0"/>
              <w:rPr>
                <w:rStyle w:val="cf01"/>
                <w:rFonts w:asciiTheme="minorHAnsi" w:hAnsiTheme="minorHAnsi" w:cstheme="minorHAnsi"/>
                <w:sz w:val="20"/>
                <w:szCs w:val="20"/>
              </w:rPr>
            </w:pPr>
            <w:r w:rsidRPr="00181CA6">
              <w:rPr>
                <w:rStyle w:val="cf01"/>
                <w:rFonts w:asciiTheme="minorHAnsi" w:hAnsiTheme="minorHAnsi" w:cstheme="minorHAnsi"/>
                <w:sz w:val="20"/>
                <w:szCs w:val="20"/>
              </w:rPr>
              <w:t>NA</w:t>
            </w:r>
          </w:p>
        </w:tc>
        <w:tc>
          <w:tcPr>
            <w:tcW w:w="1957" w:type="dxa"/>
          </w:tcPr>
          <w:p w14:paraId="7E6C5471" w14:textId="16286406" w:rsidR="00247833" w:rsidRPr="00181CA6" w:rsidRDefault="00313C2B" w:rsidP="003A0DBC">
            <w:pPr>
              <w:pStyle w:val="pf0"/>
              <w:spacing w:before="0" w:beforeAutospacing="0"/>
              <w:rPr>
                <w:rStyle w:val="cf01"/>
                <w:rFonts w:asciiTheme="minorHAnsi" w:hAnsiTheme="minorHAnsi" w:cstheme="minorHAnsi"/>
                <w:sz w:val="20"/>
                <w:szCs w:val="20"/>
              </w:rPr>
            </w:pPr>
            <w:r w:rsidRPr="00181CA6">
              <w:rPr>
                <w:rStyle w:val="cf01"/>
                <w:rFonts w:asciiTheme="minorHAnsi" w:hAnsiTheme="minorHAnsi" w:cstheme="minorHAnsi"/>
                <w:sz w:val="20"/>
                <w:szCs w:val="20"/>
              </w:rPr>
              <w:t>100%</w:t>
            </w:r>
          </w:p>
        </w:tc>
        <w:tc>
          <w:tcPr>
            <w:tcW w:w="2250" w:type="dxa"/>
          </w:tcPr>
          <w:p w14:paraId="401BBEC6" w14:textId="4C6FF73A" w:rsidR="00247833" w:rsidRPr="00181CA6" w:rsidRDefault="00247833" w:rsidP="003A0DBC">
            <w:pPr>
              <w:pStyle w:val="pf0"/>
              <w:spacing w:before="0" w:beforeAutospacing="0"/>
              <w:rPr>
                <w:rStyle w:val="cf01"/>
                <w:rFonts w:asciiTheme="minorHAnsi" w:hAnsiTheme="minorHAnsi" w:cstheme="minorHAnsi"/>
                <w:sz w:val="20"/>
                <w:szCs w:val="20"/>
              </w:rPr>
            </w:pPr>
            <w:r w:rsidRPr="00181CA6">
              <w:rPr>
                <w:rStyle w:val="cf01"/>
                <w:rFonts w:asciiTheme="minorHAnsi" w:hAnsiTheme="minorHAnsi" w:cstheme="minorHAnsi"/>
                <w:sz w:val="20"/>
                <w:szCs w:val="20"/>
              </w:rPr>
              <w:t xml:space="preserve">100% </w:t>
            </w:r>
          </w:p>
        </w:tc>
      </w:tr>
      <w:tr w:rsidR="00181CA6" w:rsidRPr="00181CA6" w14:paraId="7CE71E47" w14:textId="2ED234F7" w:rsidTr="00230D5B">
        <w:trPr>
          <w:cantSplit/>
          <w:trHeight w:val="508"/>
        </w:trPr>
        <w:tc>
          <w:tcPr>
            <w:tcW w:w="2375" w:type="dxa"/>
          </w:tcPr>
          <w:p w14:paraId="5AAED6BF" w14:textId="72AA87FA" w:rsidR="00247833" w:rsidRPr="00181CA6" w:rsidRDefault="00247833" w:rsidP="003A0DBC">
            <w:pPr>
              <w:pStyle w:val="pf0"/>
              <w:spacing w:before="0" w:beforeAutospacing="0"/>
              <w:rPr>
                <w:rStyle w:val="cf01"/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1CA6">
              <w:rPr>
                <w:rStyle w:val="cf01"/>
                <w:rFonts w:asciiTheme="minorHAnsi" w:hAnsiTheme="minorHAnsi" w:cstheme="minorHAnsi"/>
                <w:b/>
                <w:bCs/>
                <w:sz w:val="20"/>
                <w:szCs w:val="20"/>
              </w:rPr>
              <w:t>Double Bedded Rooms in New Building</w:t>
            </w:r>
          </w:p>
        </w:tc>
        <w:tc>
          <w:tcPr>
            <w:tcW w:w="1063" w:type="dxa"/>
          </w:tcPr>
          <w:p w14:paraId="00714458" w14:textId="3286B21F" w:rsidR="00247833" w:rsidRPr="00181CA6" w:rsidRDefault="00261439" w:rsidP="003A0DBC">
            <w:pPr>
              <w:pStyle w:val="pf0"/>
              <w:spacing w:before="0" w:beforeAutospacing="0"/>
              <w:rPr>
                <w:rStyle w:val="cf01"/>
                <w:rFonts w:asciiTheme="minorHAnsi" w:hAnsiTheme="minorHAnsi" w:cstheme="minorHAnsi"/>
                <w:sz w:val="20"/>
                <w:szCs w:val="20"/>
              </w:rPr>
            </w:pPr>
            <w:r w:rsidRPr="00181CA6">
              <w:rPr>
                <w:rStyle w:val="cf01"/>
                <w:rFonts w:asciiTheme="minorHAnsi" w:hAnsiTheme="minorHAnsi" w:cstheme="minorHAnsi"/>
                <w:sz w:val="20"/>
                <w:szCs w:val="20"/>
              </w:rPr>
              <w:t>NA</w:t>
            </w:r>
          </w:p>
        </w:tc>
        <w:tc>
          <w:tcPr>
            <w:tcW w:w="1957" w:type="dxa"/>
          </w:tcPr>
          <w:p w14:paraId="4FA7B49A" w14:textId="428B9EA8" w:rsidR="00247833" w:rsidRPr="00181CA6" w:rsidRDefault="00313C2B" w:rsidP="003A0DBC">
            <w:pPr>
              <w:pStyle w:val="pf0"/>
              <w:spacing w:before="0" w:beforeAutospacing="0"/>
              <w:rPr>
                <w:rStyle w:val="cf01"/>
                <w:rFonts w:asciiTheme="minorHAnsi" w:hAnsiTheme="minorHAnsi" w:cstheme="minorHAnsi"/>
                <w:sz w:val="20"/>
                <w:szCs w:val="20"/>
              </w:rPr>
            </w:pPr>
            <w:r w:rsidRPr="00181CA6">
              <w:rPr>
                <w:rStyle w:val="cf01"/>
                <w:rFonts w:asciiTheme="minorHAnsi" w:hAnsiTheme="minorHAnsi" w:cstheme="minorHAnsi"/>
                <w:sz w:val="20"/>
                <w:szCs w:val="20"/>
              </w:rPr>
              <w:t>Not allowed by DPH regulation</w:t>
            </w:r>
          </w:p>
        </w:tc>
        <w:tc>
          <w:tcPr>
            <w:tcW w:w="2250" w:type="dxa"/>
          </w:tcPr>
          <w:p w14:paraId="1457871D" w14:textId="1CF0743B" w:rsidR="00247833" w:rsidRPr="00181CA6" w:rsidRDefault="00247833" w:rsidP="003A0DBC">
            <w:pPr>
              <w:pStyle w:val="pf0"/>
              <w:spacing w:before="0" w:beforeAutospacing="0"/>
              <w:rPr>
                <w:rStyle w:val="cf01"/>
                <w:rFonts w:asciiTheme="minorHAnsi" w:hAnsiTheme="minorHAnsi" w:cstheme="minorHAnsi"/>
                <w:sz w:val="20"/>
                <w:szCs w:val="20"/>
              </w:rPr>
            </w:pPr>
            <w:r w:rsidRPr="00181CA6">
              <w:rPr>
                <w:rStyle w:val="cf01"/>
                <w:rFonts w:asciiTheme="minorHAnsi" w:hAnsiTheme="minorHAnsi" w:cstheme="minorHAnsi"/>
                <w:sz w:val="20"/>
                <w:szCs w:val="20"/>
              </w:rPr>
              <w:t>Not allowed by DPH regulation</w:t>
            </w:r>
          </w:p>
        </w:tc>
      </w:tr>
      <w:tr w:rsidR="00181CA6" w:rsidRPr="00181CA6" w14:paraId="76720604" w14:textId="1F215662" w:rsidTr="00230D5B">
        <w:trPr>
          <w:cantSplit/>
          <w:trHeight w:val="496"/>
        </w:trPr>
        <w:tc>
          <w:tcPr>
            <w:tcW w:w="2375" w:type="dxa"/>
          </w:tcPr>
          <w:p w14:paraId="437A51E8" w14:textId="7FCE9BB0" w:rsidR="00247833" w:rsidRPr="00181CA6" w:rsidRDefault="00247833" w:rsidP="003A0DBC">
            <w:pPr>
              <w:pStyle w:val="pf0"/>
              <w:spacing w:before="0" w:beforeAutospacing="0"/>
              <w:rPr>
                <w:rStyle w:val="cf01"/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1CA6">
              <w:rPr>
                <w:rStyle w:val="cf01"/>
                <w:rFonts w:asciiTheme="minorHAnsi" w:hAnsiTheme="minorHAnsi" w:cstheme="minorHAnsi"/>
                <w:b/>
                <w:bCs/>
                <w:sz w:val="20"/>
                <w:szCs w:val="20"/>
              </w:rPr>
              <w:t>Single Bedded Rooms on the Rest of MGH Main Campus</w:t>
            </w:r>
          </w:p>
        </w:tc>
        <w:tc>
          <w:tcPr>
            <w:tcW w:w="1063" w:type="dxa"/>
          </w:tcPr>
          <w:p w14:paraId="46A4FE3C" w14:textId="3AF58BCC" w:rsidR="00247833" w:rsidRPr="00181CA6" w:rsidRDefault="00247833" w:rsidP="003A0DBC">
            <w:pPr>
              <w:pStyle w:val="pf0"/>
              <w:spacing w:before="0" w:beforeAutospacing="0"/>
              <w:rPr>
                <w:rStyle w:val="cf01"/>
                <w:rFonts w:asciiTheme="minorHAnsi" w:hAnsiTheme="minorHAnsi" w:cstheme="minorHAnsi"/>
                <w:sz w:val="20"/>
                <w:szCs w:val="20"/>
              </w:rPr>
            </w:pPr>
            <w:r w:rsidRPr="00181CA6">
              <w:rPr>
                <w:rStyle w:val="cf01"/>
                <w:rFonts w:asciiTheme="minorHAnsi" w:hAnsiTheme="minorHAnsi" w:cstheme="minorHAnsi"/>
                <w:sz w:val="20"/>
                <w:szCs w:val="20"/>
              </w:rPr>
              <w:t>45%</w:t>
            </w:r>
          </w:p>
        </w:tc>
        <w:tc>
          <w:tcPr>
            <w:tcW w:w="1957" w:type="dxa"/>
          </w:tcPr>
          <w:p w14:paraId="765D5681" w14:textId="4F442F39" w:rsidR="00247833" w:rsidRPr="00181CA6" w:rsidRDefault="00BD1F62" w:rsidP="003A0DBC">
            <w:pPr>
              <w:pStyle w:val="pf0"/>
              <w:spacing w:before="0" w:beforeAutospacing="0"/>
              <w:rPr>
                <w:rStyle w:val="cf01"/>
                <w:rFonts w:asciiTheme="minorHAnsi" w:hAnsiTheme="minorHAnsi" w:cstheme="minorHAnsi"/>
                <w:sz w:val="20"/>
                <w:szCs w:val="20"/>
              </w:rPr>
            </w:pPr>
            <w:r w:rsidRPr="00181CA6">
              <w:rPr>
                <w:rStyle w:val="cf01"/>
                <w:rFonts w:asciiTheme="minorHAnsi" w:hAnsiTheme="minorHAnsi" w:cstheme="minorHAnsi"/>
                <w:sz w:val="20"/>
                <w:szCs w:val="20"/>
              </w:rPr>
              <w:t>97%</w:t>
            </w:r>
          </w:p>
        </w:tc>
        <w:tc>
          <w:tcPr>
            <w:tcW w:w="2250" w:type="dxa"/>
          </w:tcPr>
          <w:p w14:paraId="42BA0C2E" w14:textId="008765C0" w:rsidR="00247833" w:rsidRPr="00181CA6" w:rsidRDefault="00247833" w:rsidP="003A0DBC">
            <w:pPr>
              <w:pStyle w:val="pf0"/>
              <w:spacing w:before="0" w:beforeAutospacing="0"/>
              <w:rPr>
                <w:rStyle w:val="cf01"/>
                <w:rFonts w:asciiTheme="minorHAnsi" w:hAnsiTheme="minorHAnsi" w:cstheme="minorHAnsi"/>
                <w:sz w:val="20"/>
                <w:szCs w:val="20"/>
              </w:rPr>
            </w:pPr>
            <w:r w:rsidRPr="00181CA6">
              <w:rPr>
                <w:rStyle w:val="cf01"/>
                <w:rFonts w:asciiTheme="minorHAnsi" w:hAnsiTheme="minorHAnsi" w:cstheme="minorHAnsi"/>
                <w:sz w:val="20"/>
                <w:szCs w:val="20"/>
              </w:rPr>
              <w:t>9</w:t>
            </w:r>
            <w:r w:rsidR="000E77AA" w:rsidRPr="00181CA6">
              <w:rPr>
                <w:rStyle w:val="cf01"/>
                <w:rFonts w:asciiTheme="minorHAnsi" w:hAnsiTheme="minorHAnsi" w:cstheme="minorHAnsi"/>
                <w:sz w:val="20"/>
                <w:szCs w:val="20"/>
              </w:rPr>
              <w:t>2</w:t>
            </w:r>
            <w:r w:rsidRPr="00181CA6">
              <w:rPr>
                <w:rStyle w:val="cf01"/>
                <w:rFonts w:asciiTheme="minorHAnsi" w:hAnsiTheme="minorHAnsi" w:cstheme="minorHAnsi"/>
                <w:sz w:val="20"/>
                <w:szCs w:val="20"/>
              </w:rPr>
              <w:t>%</w:t>
            </w:r>
          </w:p>
        </w:tc>
      </w:tr>
      <w:tr w:rsidR="00181CA6" w:rsidRPr="00181CA6" w14:paraId="1712A0BA" w14:textId="3CFD66D3" w:rsidTr="00230D5B">
        <w:trPr>
          <w:cantSplit/>
          <w:trHeight w:val="496"/>
        </w:trPr>
        <w:tc>
          <w:tcPr>
            <w:tcW w:w="2375" w:type="dxa"/>
          </w:tcPr>
          <w:p w14:paraId="6B802AB4" w14:textId="7B8CA50E" w:rsidR="00247833" w:rsidRPr="00181CA6" w:rsidRDefault="00247833" w:rsidP="003A0DBC">
            <w:pPr>
              <w:pStyle w:val="pf0"/>
              <w:spacing w:before="0" w:beforeAutospacing="0"/>
              <w:rPr>
                <w:rStyle w:val="cf01"/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1CA6">
              <w:rPr>
                <w:rStyle w:val="cf01"/>
                <w:rFonts w:asciiTheme="minorHAnsi" w:hAnsiTheme="minorHAnsi" w:cstheme="minorHAnsi"/>
                <w:b/>
                <w:bCs/>
                <w:sz w:val="20"/>
                <w:szCs w:val="20"/>
              </w:rPr>
              <w:t>Double Bedded Rooms on the Rest of MGH Main Campus</w:t>
            </w:r>
          </w:p>
        </w:tc>
        <w:tc>
          <w:tcPr>
            <w:tcW w:w="1063" w:type="dxa"/>
          </w:tcPr>
          <w:p w14:paraId="2EF32B7C" w14:textId="1DA52360" w:rsidR="00247833" w:rsidRPr="00181CA6" w:rsidRDefault="00247833" w:rsidP="003A0DBC">
            <w:pPr>
              <w:pStyle w:val="pf0"/>
              <w:spacing w:before="0" w:beforeAutospacing="0"/>
              <w:rPr>
                <w:rStyle w:val="cf01"/>
                <w:rFonts w:asciiTheme="minorHAnsi" w:hAnsiTheme="minorHAnsi" w:cstheme="minorHAnsi"/>
                <w:sz w:val="20"/>
                <w:szCs w:val="20"/>
              </w:rPr>
            </w:pPr>
            <w:r w:rsidRPr="00181CA6">
              <w:rPr>
                <w:rStyle w:val="cf01"/>
                <w:rFonts w:asciiTheme="minorHAnsi" w:hAnsiTheme="minorHAnsi" w:cstheme="minorHAnsi"/>
                <w:sz w:val="20"/>
                <w:szCs w:val="20"/>
              </w:rPr>
              <w:t>55%</w:t>
            </w:r>
          </w:p>
        </w:tc>
        <w:tc>
          <w:tcPr>
            <w:tcW w:w="1957" w:type="dxa"/>
          </w:tcPr>
          <w:p w14:paraId="40FCA9E9" w14:textId="4223713B" w:rsidR="00247833" w:rsidRPr="00181CA6" w:rsidRDefault="00BD1F62" w:rsidP="003A0DBC">
            <w:pPr>
              <w:pStyle w:val="pf0"/>
              <w:spacing w:before="0" w:beforeAutospacing="0"/>
              <w:rPr>
                <w:rStyle w:val="cf01"/>
                <w:rFonts w:asciiTheme="minorHAnsi" w:hAnsiTheme="minorHAnsi" w:cstheme="minorHAnsi"/>
                <w:sz w:val="20"/>
                <w:szCs w:val="20"/>
              </w:rPr>
            </w:pPr>
            <w:r w:rsidRPr="00181CA6">
              <w:rPr>
                <w:rStyle w:val="cf01"/>
                <w:rFonts w:asciiTheme="minorHAnsi" w:hAnsiTheme="minorHAnsi" w:cstheme="minorHAnsi"/>
                <w:sz w:val="20"/>
                <w:szCs w:val="20"/>
              </w:rPr>
              <w:t>3%</w:t>
            </w:r>
          </w:p>
        </w:tc>
        <w:tc>
          <w:tcPr>
            <w:tcW w:w="2250" w:type="dxa"/>
          </w:tcPr>
          <w:p w14:paraId="41D803B2" w14:textId="5B29EE2F" w:rsidR="00247833" w:rsidRPr="00181CA6" w:rsidRDefault="000E77AA" w:rsidP="003A0DBC">
            <w:pPr>
              <w:pStyle w:val="pf0"/>
              <w:spacing w:before="0" w:beforeAutospacing="0"/>
              <w:rPr>
                <w:rStyle w:val="cf01"/>
                <w:rFonts w:asciiTheme="minorHAnsi" w:hAnsiTheme="minorHAnsi" w:cstheme="minorHAnsi"/>
                <w:sz w:val="20"/>
                <w:szCs w:val="20"/>
              </w:rPr>
            </w:pPr>
            <w:r w:rsidRPr="00181CA6">
              <w:rPr>
                <w:rStyle w:val="cf01"/>
                <w:rFonts w:asciiTheme="minorHAnsi" w:hAnsiTheme="minorHAnsi" w:cstheme="minorHAnsi"/>
                <w:sz w:val="20"/>
                <w:szCs w:val="20"/>
              </w:rPr>
              <w:t>8</w:t>
            </w:r>
            <w:r w:rsidR="00247833" w:rsidRPr="00181CA6">
              <w:rPr>
                <w:rStyle w:val="cf01"/>
                <w:rFonts w:asciiTheme="minorHAnsi" w:hAnsiTheme="minorHAnsi" w:cstheme="minorHAnsi"/>
                <w:sz w:val="20"/>
                <w:szCs w:val="20"/>
              </w:rPr>
              <w:t>%</w:t>
            </w:r>
          </w:p>
        </w:tc>
      </w:tr>
      <w:tr w:rsidR="00247833" w:rsidRPr="00181CA6" w14:paraId="7D6BE56F" w14:textId="77777777" w:rsidTr="00230D5B">
        <w:trPr>
          <w:cantSplit/>
          <w:trHeight w:val="247"/>
        </w:trPr>
        <w:tc>
          <w:tcPr>
            <w:tcW w:w="2375" w:type="dxa"/>
          </w:tcPr>
          <w:p w14:paraId="4CC5D42E" w14:textId="55213F28" w:rsidR="00247833" w:rsidRPr="00181CA6" w:rsidRDefault="00247833" w:rsidP="003A0DBC">
            <w:pPr>
              <w:pStyle w:val="pf0"/>
              <w:spacing w:before="0" w:beforeAutospacing="0"/>
              <w:rPr>
                <w:rStyle w:val="cf01"/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1CA6">
              <w:rPr>
                <w:rStyle w:val="cf01"/>
                <w:rFonts w:asciiTheme="minorHAnsi" w:hAnsiTheme="minorHAnsi" w:cstheme="minorHAnsi"/>
                <w:b/>
                <w:bCs/>
                <w:sz w:val="20"/>
                <w:szCs w:val="20"/>
              </w:rPr>
              <w:t>Total</w:t>
            </w:r>
            <w:r w:rsidR="00D80BAC" w:rsidRPr="00181CA6">
              <w:rPr>
                <w:rStyle w:val="cf01"/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Med Surg Beds</w:t>
            </w:r>
          </w:p>
        </w:tc>
        <w:tc>
          <w:tcPr>
            <w:tcW w:w="1063" w:type="dxa"/>
          </w:tcPr>
          <w:p w14:paraId="5C69BC7B" w14:textId="31F5F50E" w:rsidR="00247833" w:rsidRPr="00181CA6" w:rsidRDefault="00D80BAC" w:rsidP="003A0DBC">
            <w:pPr>
              <w:pStyle w:val="pf0"/>
              <w:spacing w:before="0" w:beforeAutospacing="0"/>
              <w:rPr>
                <w:rStyle w:val="cf01"/>
                <w:rFonts w:asciiTheme="minorHAnsi" w:hAnsiTheme="minorHAnsi" w:cstheme="minorHAnsi"/>
                <w:sz w:val="20"/>
                <w:szCs w:val="20"/>
              </w:rPr>
            </w:pPr>
            <w:r w:rsidRPr="00181CA6">
              <w:rPr>
                <w:rStyle w:val="cf01"/>
                <w:rFonts w:asciiTheme="minorHAnsi" w:hAnsiTheme="minorHAnsi" w:cstheme="minorHAnsi"/>
                <w:sz w:val="20"/>
                <w:szCs w:val="20"/>
              </w:rPr>
              <w:t>900</w:t>
            </w:r>
          </w:p>
        </w:tc>
        <w:tc>
          <w:tcPr>
            <w:tcW w:w="1957" w:type="dxa"/>
          </w:tcPr>
          <w:p w14:paraId="381C12B4" w14:textId="085D7BE0" w:rsidR="00247833" w:rsidRPr="00181CA6" w:rsidRDefault="00D80BAC" w:rsidP="003A0DBC">
            <w:pPr>
              <w:pStyle w:val="pf0"/>
              <w:spacing w:before="0" w:beforeAutospacing="0"/>
              <w:rPr>
                <w:rStyle w:val="cf01"/>
                <w:rFonts w:asciiTheme="minorHAnsi" w:hAnsiTheme="minorHAnsi" w:cstheme="minorHAnsi"/>
                <w:sz w:val="20"/>
                <w:szCs w:val="20"/>
              </w:rPr>
            </w:pPr>
            <w:r w:rsidRPr="00181CA6">
              <w:rPr>
                <w:rStyle w:val="cf01"/>
                <w:rFonts w:asciiTheme="minorHAnsi" w:hAnsiTheme="minorHAnsi" w:cstheme="minorHAnsi"/>
                <w:sz w:val="20"/>
                <w:szCs w:val="20"/>
              </w:rPr>
              <w:t>900</w:t>
            </w:r>
          </w:p>
        </w:tc>
        <w:tc>
          <w:tcPr>
            <w:tcW w:w="2250" w:type="dxa"/>
          </w:tcPr>
          <w:p w14:paraId="5F70975E" w14:textId="42A89C9A" w:rsidR="00247833" w:rsidRPr="00181CA6" w:rsidRDefault="00D80BAC" w:rsidP="003A0DBC">
            <w:pPr>
              <w:pStyle w:val="pf0"/>
              <w:spacing w:before="0" w:beforeAutospacing="0"/>
              <w:rPr>
                <w:rStyle w:val="cf01"/>
                <w:rFonts w:asciiTheme="minorHAnsi" w:hAnsiTheme="minorHAnsi" w:cstheme="minorHAnsi"/>
                <w:sz w:val="20"/>
                <w:szCs w:val="20"/>
              </w:rPr>
            </w:pPr>
            <w:r w:rsidRPr="00181CA6">
              <w:rPr>
                <w:rStyle w:val="cf01"/>
                <w:rFonts w:asciiTheme="minorHAnsi" w:hAnsiTheme="minorHAnsi" w:cstheme="minorHAnsi"/>
                <w:sz w:val="20"/>
                <w:szCs w:val="20"/>
              </w:rPr>
              <w:t>994</w:t>
            </w:r>
          </w:p>
        </w:tc>
      </w:tr>
    </w:tbl>
    <w:p w14:paraId="3FCAFF2E" w14:textId="77777777" w:rsidR="00FC3ABC" w:rsidRPr="00181CA6" w:rsidRDefault="00FC3ABC" w:rsidP="00FC3ABC">
      <w:pPr>
        <w:pStyle w:val="ListParagraph"/>
        <w:rPr>
          <w:rFonts w:cstheme="minorHAnsi"/>
          <w:sz w:val="20"/>
          <w:szCs w:val="20"/>
        </w:rPr>
      </w:pPr>
    </w:p>
    <w:p w14:paraId="35E706EA" w14:textId="3EA2BC07" w:rsidR="00714DB1" w:rsidRPr="00181CA6" w:rsidRDefault="00714DB1" w:rsidP="00714DB1">
      <w:pPr>
        <w:pStyle w:val="ListParagraph"/>
        <w:numPr>
          <w:ilvl w:val="0"/>
          <w:numId w:val="41"/>
        </w:numPr>
        <w:rPr>
          <w:rFonts w:cstheme="minorHAnsi"/>
          <w:b/>
          <w:bCs/>
          <w:sz w:val="20"/>
          <w:szCs w:val="20"/>
        </w:rPr>
      </w:pPr>
      <w:r w:rsidRPr="00181CA6">
        <w:rPr>
          <w:rFonts w:cstheme="minorHAnsi"/>
          <w:b/>
          <w:bCs/>
          <w:sz w:val="20"/>
          <w:szCs w:val="20"/>
        </w:rPr>
        <w:t>What methods does the hospita</w:t>
      </w:r>
      <w:r w:rsidR="00916D0B" w:rsidRPr="00181CA6">
        <w:rPr>
          <w:rFonts w:cstheme="minorHAnsi"/>
          <w:b/>
          <w:bCs/>
          <w:sz w:val="20"/>
          <w:szCs w:val="20"/>
        </w:rPr>
        <w:t>l use</w:t>
      </w:r>
      <w:r w:rsidR="00894444" w:rsidRPr="00181CA6">
        <w:rPr>
          <w:rFonts w:cstheme="minorHAnsi"/>
          <w:b/>
          <w:bCs/>
          <w:sz w:val="20"/>
          <w:szCs w:val="20"/>
        </w:rPr>
        <w:t xml:space="preserve"> to mitigate infection control concerns in the </w:t>
      </w:r>
      <w:r w:rsidR="00261439" w:rsidRPr="00181CA6">
        <w:rPr>
          <w:rFonts w:cstheme="minorHAnsi"/>
          <w:b/>
          <w:bCs/>
          <w:sz w:val="20"/>
          <w:szCs w:val="20"/>
        </w:rPr>
        <w:t>double-bedded</w:t>
      </w:r>
      <w:r w:rsidR="00894444" w:rsidRPr="00181CA6">
        <w:rPr>
          <w:rFonts w:cstheme="minorHAnsi"/>
          <w:b/>
          <w:bCs/>
          <w:sz w:val="20"/>
          <w:szCs w:val="20"/>
        </w:rPr>
        <w:t xml:space="preserve"> rooms listed above?</w:t>
      </w:r>
    </w:p>
    <w:p w14:paraId="417421E7" w14:textId="0447DE83" w:rsidR="00B04813" w:rsidRPr="00181CA6" w:rsidRDefault="00694F03" w:rsidP="00261439">
      <w:pPr>
        <w:pStyle w:val="ListParagraph"/>
        <w:spacing w:line="240" w:lineRule="auto"/>
        <w:jc w:val="both"/>
        <w:rPr>
          <w:rFonts w:cstheme="minorHAnsi"/>
          <w:sz w:val="20"/>
          <w:szCs w:val="20"/>
        </w:rPr>
      </w:pPr>
      <w:r w:rsidRPr="00181CA6">
        <w:rPr>
          <w:rFonts w:cstheme="minorHAnsi"/>
          <w:sz w:val="20"/>
          <w:szCs w:val="20"/>
        </w:rPr>
        <w:t xml:space="preserve">The new construction facilitates a significant reduction in the number of double-bedded rooms and there </w:t>
      </w:r>
      <w:r w:rsidR="009C7BBA" w:rsidRPr="00181CA6">
        <w:rPr>
          <w:rFonts w:cstheme="minorHAnsi"/>
          <w:sz w:val="20"/>
          <w:szCs w:val="20"/>
        </w:rPr>
        <w:t xml:space="preserve">would be no change in infection control procedures associated with this </w:t>
      </w:r>
      <w:r w:rsidR="00261439" w:rsidRPr="00181CA6">
        <w:rPr>
          <w:rFonts w:cstheme="minorHAnsi"/>
          <w:sz w:val="20"/>
          <w:szCs w:val="20"/>
        </w:rPr>
        <w:t>Amendment Request</w:t>
      </w:r>
      <w:r w:rsidR="009C7BBA" w:rsidRPr="00181CA6">
        <w:rPr>
          <w:rFonts w:cstheme="minorHAnsi"/>
          <w:sz w:val="20"/>
          <w:szCs w:val="20"/>
        </w:rPr>
        <w:t xml:space="preserve">.   </w:t>
      </w:r>
      <w:r w:rsidRPr="00181CA6">
        <w:rPr>
          <w:rFonts w:cstheme="minorHAnsi"/>
          <w:sz w:val="20"/>
          <w:szCs w:val="20"/>
        </w:rPr>
        <w:t>The MG</w:t>
      </w:r>
      <w:r w:rsidR="00F32758" w:rsidRPr="00181CA6">
        <w:rPr>
          <w:rFonts w:cstheme="minorHAnsi"/>
          <w:sz w:val="20"/>
          <w:szCs w:val="20"/>
        </w:rPr>
        <w:t>H</w:t>
      </w:r>
      <w:r w:rsidRPr="00181CA6">
        <w:rPr>
          <w:rFonts w:cstheme="minorHAnsi"/>
          <w:sz w:val="20"/>
          <w:szCs w:val="20"/>
        </w:rPr>
        <w:t xml:space="preserve"> Infection Control and Prevention Program is designed to support safety by establishing policies and procedures </w:t>
      </w:r>
      <w:r w:rsidR="00F821D2" w:rsidRPr="00181CA6">
        <w:rPr>
          <w:rFonts w:cstheme="minorHAnsi"/>
          <w:sz w:val="20"/>
          <w:szCs w:val="20"/>
        </w:rPr>
        <w:t>that reduce</w:t>
      </w:r>
      <w:r w:rsidR="00B22C50" w:rsidRPr="00181CA6">
        <w:rPr>
          <w:rFonts w:cstheme="minorHAnsi"/>
          <w:sz w:val="20"/>
          <w:szCs w:val="20"/>
        </w:rPr>
        <w:t xml:space="preserve"> the risk of acquiring and transmitting infection in patients, visitors</w:t>
      </w:r>
      <w:r w:rsidR="00F821D2" w:rsidRPr="00181CA6">
        <w:rPr>
          <w:rFonts w:cstheme="minorHAnsi"/>
          <w:sz w:val="20"/>
          <w:szCs w:val="20"/>
        </w:rPr>
        <w:t>,</w:t>
      </w:r>
      <w:r w:rsidR="00B22C50" w:rsidRPr="00181CA6">
        <w:rPr>
          <w:rFonts w:cstheme="minorHAnsi"/>
          <w:sz w:val="20"/>
          <w:szCs w:val="20"/>
        </w:rPr>
        <w:t xml:space="preserve"> and healthcare personnel </w:t>
      </w:r>
      <w:r w:rsidR="003E06CC" w:rsidRPr="00181CA6">
        <w:rPr>
          <w:rFonts w:cstheme="minorHAnsi"/>
          <w:sz w:val="20"/>
          <w:szCs w:val="20"/>
        </w:rPr>
        <w:t>as well as</w:t>
      </w:r>
      <w:r w:rsidR="00B22C50" w:rsidRPr="00181CA6">
        <w:rPr>
          <w:rFonts w:cstheme="minorHAnsi"/>
          <w:sz w:val="20"/>
          <w:szCs w:val="20"/>
        </w:rPr>
        <w:t xml:space="preserve"> standards for </w:t>
      </w:r>
      <w:r w:rsidRPr="00181CA6">
        <w:rPr>
          <w:rFonts w:cstheme="minorHAnsi"/>
          <w:sz w:val="20"/>
          <w:szCs w:val="20"/>
        </w:rPr>
        <w:t>cleaning/disinfection</w:t>
      </w:r>
      <w:r w:rsidR="00B22C50" w:rsidRPr="00181CA6">
        <w:rPr>
          <w:rFonts w:cstheme="minorHAnsi"/>
          <w:sz w:val="20"/>
          <w:szCs w:val="20"/>
        </w:rPr>
        <w:t>.</w:t>
      </w:r>
      <w:r w:rsidRPr="00181CA6">
        <w:rPr>
          <w:rFonts w:cstheme="minorHAnsi"/>
          <w:sz w:val="20"/>
          <w:szCs w:val="20"/>
        </w:rPr>
        <w:t xml:space="preserve"> </w:t>
      </w:r>
    </w:p>
    <w:p w14:paraId="5B1AC4AE" w14:textId="77777777" w:rsidR="00C3758F" w:rsidRPr="00181CA6" w:rsidRDefault="00C3758F" w:rsidP="00261439">
      <w:pPr>
        <w:pStyle w:val="ListParagraph"/>
        <w:spacing w:line="240" w:lineRule="auto"/>
        <w:jc w:val="both"/>
        <w:rPr>
          <w:rFonts w:cstheme="minorHAnsi"/>
          <w:sz w:val="20"/>
          <w:szCs w:val="20"/>
        </w:rPr>
      </w:pPr>
    </w:p>
    <w:p w14:paraId="470476CA" w14:textId="3D2BDC90" w:rsidR="00C3758F" w:rsidRPr="00181CA6" w:rsidRDefault="00C3758F" w:rsidP="00261439">
      <w:pPr>
        <w:pStyle w:val="ListParagraph"/>
        <w:spacing w:line="240" w:lineRule="auto"/>
        <w:jc w:val="both"/>
        <w:rPr>
          <w:rFonts w:cstheme="minorHAnsi"/>
          <w:sz w:val="20"/>
          <w:szCs w:val="20"/>
        </w:rPr>
      </w:pPr>
      <w:r w:rsidRPr="00181CA6">
        <w:rPr>
          <w:rFonts w:cstheme="minorHAnsi"/>
          <w:sz w:val="20"/>
          <w:szCs w:val="20"/>
        </w:rPr>
        <w:t xml:space="preserve">When feasible, MGH </w:t>
      </w:r>
      <w:r w:rsidR="00261439" w:rsidRPr="00181CA6">
        <w:rPr>
          <w:rFonts w:cstheme="minorHAnsi"/>
          <w:sz w:val="20"/>
          <w:szCs w:val="20"/>
        </w:rPr>
        <w:t>manages the</w:t>
      </w:r>
      <w:r w:rsidRPr="00181CA6">
        <w:rPr>
          <w:rFonts w:cstheme="minorHAnsi"/>
          <w:sz w:val="20"/>
          <w:szCs w:val="20"/>
        </w:rPr>
        <w:t xml:space="preserve"> patient placement process to minimize the use of double occupancy rooms.  However, having additional licensed beds to place patients in, even if doubles, was deemed preferable </w:t>
      </w:r>
      <w:r w:rsidR="00D63CAA" w:rsidRPr="00181CA6">
        <w:rPr>
          <w:rFonts w:cstheme="minorHAnsi"/>
          <w:sz w:val="20"/>
          <w:szCs w:val="20"/>
        </w:rPr>
        <w:t xml:space="preserve">through the lens of infection control </w:t>
      </w:r>
      <w:r w:rsidRPr="00181CA6">
        <w:rPr>
          <w:rFonts w:cstheme="minorHAnsi"/>
          <w:sz w:val="20"/>
          <w:szCs w:val="20"/>
        </w:rPr>
        <w:t>to boarding in an overcrowded emergency department.</w:t>
      </w:r>
    </w:p>
    <w:p w14:paraId="08BD07B0" w14:textId="77777777" w:rsidR="00067686" w:rsidRPr="00181CA6" w:rsidRDefault="00067686" w:rsidP="00261439">
      <w:pPr>
        <w:pStyle w:val="ListParagraph"/>
        <w:spacing w:line="240" w:lineRule="auto"/>
        <w:jc w:val="both"/>
        <w:rPr>
          <w:rFonts w:cstheme="minorHAnsi"/>
          <w:sz w:val="20"/>
          <w:szCs w:val="20"/>
        </w:rPr>
      </w:pPr>
    </w:p>
    <w:p w14:paraId="687C9CC4" w14:textId="24EFE045" w:rsidR="00067686" w:rsidRPr="00181CA6" w:rsidRDefault="00F80F32" w:rsidP="00261439">
      <w:pPr>
        <w:pStyle w:val="ListParagraph"/>
        <w:spacing w:line="240" w:lineRule="auto"/>
        <w:jc w:val="both"/>
        <w:rPr>
          <w:rFonts w:cstheme="minorHAnsi"/>
          <w:sz w:val="20"/>
          <w:szCs w:val="20"/>
        </w:rPr>
      </w:pPr>
      <w:r w:rsidRPr="00181CA6">
        <w:rPr>
          <w:rFonts w:cstheme="minorHAnsi"/>
          <w:sz w:val="20"/>
          <w:szCs w:val="20"/>
        </w:rPr>
        <w:t>As a reminder, no</w:t>
      </w:r>
      <w:r w:rsidR="00067686" w:rsidRPr="00181CA6">
        <w:rPr>
          <w:rFonts w:cstheme="minorHAnsi"/>
          <w:sz w:val="20"/>
          <w:szCs w:val="20"/>
        </w:rPr>
        <w:t xml:space="preserve"> new double</w:t>
      </w:r>
      <w:r w:rsidR="00261439" w:rsidRPr="00181CA6">
        <w:rPr>
          <w:rFonts w:cstheme="minorHAnsi"/>
          <w:sz w:val="20"/>
          <w:szCs w:val="20"/>
        </w:rPr>
        <w:t xml:space="preserve">-bedded rooms would be created </w:t>
      </w:r>
      <w:r w:rsidRPr="00181CA6">
        <w:rPr>
          <w:rFonts w:cstheme="minorHAnsi"/>
          <w:sz w:val="20"/>
          <w:szCs w:val="20"/>
        </w:rPr>
        <w:t xml:space="preserve">through this </w:t>
      </w:r>
      <w:r w:rsidR="00261439" w:rsidRPr="00181CA6">
        <w:rPr>
          <w:rFonts w:cstheme="minorHAnsi"/>
          <w:sz w:val="20"/>
          <w:szCs w:val="20"/>
        </w:rPr>
        <w:t>Proposed Change</w:t>
      </w:r>
      <w:r w:rsidRPr="00181CA6">
        <w:rPr>
          <w:rFonts w:cstheme="minorHAnsi"/>
          <w:sz w:val="20"/>
          <w:szCs w:val="20"/>
        </w:rPr>
        <w:t xml:space="preserve">, and it is a substantial improvement over </w:t>
      </w:r>
      <w:r w:rsidR="00261439" w:rsidRPr="00181CA6">
        <w:rPr>
          <w:rFonts w:cstheme="minorHAnsi"/>
          <w:sz w:val="20"/>
          <w:szCs w:val="20"/>
        </w:rPr>
        <w:t xml:space="preserve">the Hospital’s </w:t>
      </w:r>
      <w:r w:rsidRPr="00181CA6">
        <w:rPr>
          <w:rFonts w:cstheme="minorHAnsi"/>
          <w:sz w:val="20"/>
          <w:szCs w:val="20"/>
        </w:rPr>
        <w:t xml:space="preserve">current state.   </w:t>
      </w:r>
    </w:p>
    <w:p w14:paraId="3C4A6257" w14:textId="206E7BC8" w:rsidR="00D261B8" w:rsidRPr="00181CA6" w:rsidRDefault="00D261B8" w:rsidP="00D261B8">
      <w:pPr>
        <w:autoSpaceDE w:val="0"/>
        <w:autoSpaceDN w:val="0"/>
        <w:adjustRightInd w:val="0"/>
        <w:spacing w:before="120" w:after="120"/>
        <w:ind w:left="360"/>
        <w:rPr>
          <w:rFonts w:cstheme="minorHAnsi"/>
          <w:b/>
          <w:bCs/>
          <w:sz w:val="20"/>
          <w:szCs w:val="20"/>
        </w:rPr>
      </w:pPr>
      <w:r w:rsidRPr="00181CA6">
        <w:rPr>
          <w:rFonts w:cstheme="minorHAnsi"/>
          <w:b/>
          <w:bCs/>
          <w:sz w:val="20"/>
          <w:szCs w:val="20"/>
        </w:rPr>
        <w:t>10.5.d Provide a detailed narrative, comparing the approved project to the proposed Significant Change, and the rationale for such change.</w:t>
      </w:r>
    </w:p>
    <w:p w14:paraId="42685983" w14:textId="77777777" w:rsidR="00D261B8" w:rsidRPr="00181CA6" w:rsidRDefault="00D261B8" w:rsidP="00D261B8">
      <w:pPr>
        <w:pStyle w:val="pf0"/>
        <w:numPr>
          <w:ilvl w:val="0"/>
          <w:numId w:val="41"/>
        </w:numPr>
        <w:spacing w:before="0" w:beforeAutospacing="0" w:after="0" w:afterAutospacing="0"/>
        <w:rPr>
          <w:rStyle w:val="cf01"/>
          <w:rFonts w:asciiTheme="minorHAnsi" w:hAnsiTheme="minorHAnsi" w:cstheme="minorHAnsi"/>
          <w:b/>
          <w:bCs/>
          <w:sz w:val="20"/>
          <w:szCs w:val="20"/>
        </w:rPr>
      </w:pPr>
      <w:r w:rsidRPr="00181CA6">
        <w:rPr>
          <w:rStyle w:val="cf01"/>
          <w:rFonts w:asciiTheme="minorHAnsi" w:hAnsiTheme="minorHAnsi" w:cstheme="minorHAnsi"/>
          <w:b/>
          <w:bCs/>
          <w:sz w:val="20"/>
          <w:szCs w:val="20"/>
        </w:rPr>
        <w:t>To better understand the impact of ALOS on the current overcrowding situation at the Hospital:</w:t>
      </w:r>
    </w:p>
    <w:p w14:paraId="632D8D47" w14:textId="20F25864" w:rsidR="00FE76EB" w:rsidRPr="00181CA6" w:rsidRDefault="00FE76EB" w:rsidP="00FE76EB">
      <w:pPr>
        <w:pStyle w:val="pf0"/>
        <w:spacing w:before="0" w:beforeAutospacing="0" w:after="0" w:afterAutospacing="0"/>
        <w:ind w:left="720"/>
        <w:rPr>
          <w:rStyle w:val="cf01"/>
          <w:rFonts w:asciiTheme="minorHAnsi" w:hAnsiTheme="minorHAnsi" w:cstheme="minorHAnsi"/>
          <w:b/>
          <w:bCs/>
          <w:sz w:val="20"/>
          <w:szCs w:val="20"/>
        </w:rPr>
      </w:pPr>
      <w:r w:rsidRPr="00181CA6">
        <w:rPr>
          <w:rStyle w:val="cf01"/>
          <w:rFonts w:asciiTheme="minorHAnsi" w:hAnsiTheme="minorHAnsi" w:cstheme="minorHAnsi"/>
          <w:b/>
          <w:bCs/>
          <w:sz w:val="20"/>
          <w:szCs w:val="20"/>
        </w:rPr>
        <w:t xml:space="preserve">All data provided below is for Med/Surg patients only and does not include the specialty services.  </w:t>
      </w:r>
    </w:p>
    <w:p w14:paraId="1853F56B" w14:textId="77777777" w:rsidR="00261439" w:rsidRPr="00181CA6" w:rsidRDefault="00261439" w:rsidP="00FE76EB">
      <w:pPr>
        <w:pStyle w:val="pf0"/>
        <w:spacing w:before="0" w:beforeAutospacing="0" w:after="0" w:afterAutospacing="0"/>
        <w:ind w:left="720"/>
        <w:rPr>
          <w:rStyle w:val="cf01"/>
          <w:rFonts w:asciiTheme="minorHAnsi" w:hAnsiTheme="minorHAnsi" w:cstheme="minorHAnsi"/>
          <w:sz w:val="20"/>
          <w:szCs w:val="20"/>
        </w:rPr>
      </w:pPr>
    </w:p>
    <w:p w14:paraId="383EDE5E" w14:textId="77777777" w:rsidR="00D261B8" w:rsidRPr="00181CA6" w:rsidRDefault="00D261B8" w:rsidP="00D261B8">
      <w:pPr>
        <w:pStyle w:val="pf0"/>
        <w:numPr>
          <w:ilvl w:val="1"/>
          <w:numId w:val="41"/>
        </w:numPr>
        <w:spacing w:before="0" w:beforeAutospacing="0" w:after="0" w:afterAutospacing="0"/>
        <w:rPr>
          <w:rStyle w:val="cf01"/>
          <w:rFonts w:asciiTheme="minorHAnsi" w:hAnsiTheme="minorHAnsi" w:cstheme="minorHAnsi"/>
          <w:b/>
          <w:bCs/>
          <w:sz w:val="20"/>
          <w:szCs w:val="20"/>
        </w:rPr>
      </w:pPr>
      <w:r w:rsidRPr="00181CA6">
        <w:rPr>
          <w:rStyle w:val="cf01"/>
          <w:rFonts w:asciiTheme="minorHAnsi" w:hAnsiTheme="minorHAnsi" w:cstheme="minorHAnsi"/>
          <w:b/>
          <w:bCs/>
          <w:sz w:val="20"/>
          <w:szCs w:val="20"/>
        </w:rPr>
        <w:t>Please provide information on how the current ALOS figures compare to the industry standard.</w:t>
      </w:r>
    </w:p>
    <w:p w14:paraId="427ED9EA" w14:textId="6A80AF14" w:rsidR="00C614B4" w:rsidRPr="00181CA6" w:rsidRDefault="00C614B4" w:rsidP="00261439">
      <w:pPr>
        <w:pStyle w:val="pf0"/>
        <w:spacing w:before="0" w:beforeAutospacing="0" w:after="0" w:afterAutospacing="0"/>
        <w:ind w:left="1440"/>
        <w:jc w:val="both"/>
        <w:rPr>
          <w:rStyle w:val="cf01"/>
          <w:rFonts w:asciiTheme="minorHAnsi" w:hAnsiTheme="minorHAnsi" w:cstheme="minorHAnsi"/>
          <w:sz w:val="20"/>
          <w:szCs w:val="20"/>
        </w:rPr>
      </w:pPr>
      <w:r w:rsidRPr="00181CA6">
        <w:rPr>
          <w:rStyle w:val="cf01"/>
          <w:rFonts w:asciiTheme="minorHAnsi" w:hAnsiTheme="minorHAnsi" w:cstheme="minorHAnsi"/>
          <w:sz w:val="20"/>
          <w:szCs w:val="20"/>
        </w:rPr>
        <w:t xml:space="preserve">There is no industry standard for ALOS as each hospital has a different mix of specialties and acuity profile.  </w:t>
      </w:r>
      <w:r w:rsidR="00261439" w:rsidRPr="00181CA6">
        <w:rPr>
          <w:rStyle w:val="cf01"/>
          <w:rFonts w:asciiTheme="minorHAnsi" w:hAnsiTheme="minorHAnsi" w:cstheme="minorHAnsi"/>
          <w:sz w:val="20"/>
          <w:szCs w:val="20"/>
        </w:rPr>
        <w:t>MGH reviews</w:t>
      </w:r>
      <w:r w:rsidRPr="00181CA6">
        <w:rPr>
          <w:rStyle w:val="cf01"/>
          <w:rFonts w:asciiTheme="minorHAnsi" w:hAnsiTheme="minorHAnsi" w:cstheme="minorHAnsi"/>
          <w:sz w:val="20"/>
          <w:szCs w:val="20"/>
        </w:rPr>
        <w:t xml:space="preserve"> data on acuity adjusted length of stay (ALOS divided by case mix index) to ensure any increases in the unadjusted figures can be explained by clinical </w:t>
      </w:r>
      <w:r w:rsidR="00E52DDA" w:rsidRPr="00181CA6">
        <w:rPr>
          <w:rStyle w:val="cf01"/>
          <w:rFonts w:asciiTheme="minorHAnsi" w:hAnsiTheme="minorHAnsi" w:cstheme="minorHAnsi"/>
          <w:sz w:val="20"/>
          <w:szCs w:val="20"/>
        </w:rPr>
        <w:t>factors.  It is important to note that ALOS will increase with more high acuity cases, but also as low intensity cases shift to outpatient and drop out of the numerator and denominator</w:t>
      </w:r>
      <w:r w:rsidRPr="00181CA6">
        <w:rPr>
          <w:rStyle w:val="cf01"/>
          <w:rFonts w:asciiTheme="minorHAnsi" w:hAnsiTheme="minorHAnsi" w:cstheme="minorHAnsi"/>
          <w:sz w:val="20"/>
          <w:szCs w:val="20"/>
        </w:rPr>
        <w:t xml:space="preserve">.  </w:t>
      </w:r>
    </w:p>
    <w:p w14:paraId="7F0AEE06" w14:textId="77777777" w:rsidR="00261439" w:rsidRPr="00181CA6" w:rsidRDefault="00261439" w:rsidP="00C614B4">
      <w:pPr>
        <w:pStyle w:val="pf0"/>
        <w:spacing w:before="0" w:beforeAutospacing="0" w:after="0" w:afterAutospacing="0"/>
        <w:ind w:left="1440"/>
        <w:rPr>
          <w:rStyle w:val="cf01"/>
          <w:rFonts w:asciiTheme="minorHAnsi" w:hAnsiTheme="minorHAnsi" w:cstheme="minorHAnsi"/>
          <w:sz w:val="20"/>
          <w:szCs w:val="20"/>
        </w:rPr>
      </w:pPr>
    </w:p>
    <w:p w14:paraId="61C7E1AD" w14:textId="261A7A48" w:rsidR="00067686" w:rsidRPr="00181CA6" w:rsidRDefault="00D261B8" w:rsidP="00067686">
      <w:pPr>
        <w:pStyle w:val="pf0"/>
        <w:numPr>
          <w:ilvl w:val="1"/>
          <w:numId w:val="41"/>
        </w:numPr>
        <w:spacing w:before="0" w:beforeAutospacing="0" w:after="0" w:afterAutospacing="0"/>
        <w:rPr>
          <w:rStyle w:val="cf01"/>
          <w:rFonts w:asciiTheme="minorHAnsi" w:hAnsiTheme="minorHAnsi" w:cstheme="minorHAnsi"/>
          <w:b/>
          <w:bCs/>
          <w:sz w:val="20"/>
          <w:szCs w:val="20"/>
        </w:rPr>
      </w:pPr>
      <w:r w:rsidRPr="00181CA6">
        <w:rPr>
          <w:rStyle w:val="cf01"/>
          <w:rFonts w:asciiTheme="minorHAnsi" w:hAnsiTheme="minorHAnsi" w:cstheme="minorHAnsi"/>
          <w:b/>
          <w:bCs/>
          <w:sz w:val="20"/>
          <w:szCs w:val="20"/>
        </w:rPr>
        <w:t>What impact does the Holder anticipate the additional 94 beds would have on ALOS</w:t>
      </w:r>
      <w:r w:rsidR="00067686" w:rsidRPr="00181CA6">
        <w:rPr>
          <w:rStyle w:val="cf01"/>
          <w:rFonts w:asciiTheme="minorHAnsi" w:hAnsiTheme="minorHAnsi" w:cstheme="minorHAnsi"/>
          <w:b/>
          <w:bCs/>
          <w:sz w:val="20"/>
          <w:szCs w:val="20"/>
        </w:rPr>
        <w:t>?</w:t>
      </w:r>
    </w:p>
    <w:p w14:paraId="2211F467" w14:textId="4EA6AA13" w:rsidR="00C614B4" w:rsidRPr="00181CA6" w:rsidRDefault="00C614B4" w:rsidP="00261439">
      <w:pPr>
        <w:pStyle w:val="pf0"/>
        <w:spacing w:before="0" w:beforeAutospacing="0" w:after="0" w:afterAutospacing="0"/>
        <w:ind w:left="1440"/>
        <w:jc w:val="both"/>
        <w:rPr>
          <w:rStyle w:val="cf01"/>
          <w:rFonts w:asciiTheme="minorHAnsi" w:hAnsiTheme="minorHAnsi" w:cstheme="minorHAnsi"/>
          <w:sz w:val="20"/>
          <w:szCs w:val="20"/>
        </w:rPr>
      </w:pPr>
      <w:r w:rsidRPr="00181CA6">
        <w:rPr>
          <w:rStyle w:val="cf01"/>
          <w:rFonts w:asciiTheme="minorHAnsi" w:hAnsiTheme="minorHAnsi" w:cstheme="minorHAnsi"/>
          <w:sz w:val="20"/>
          <w:szCs w:val="20"/>
        </w:rPr>
        <w:t xml:space="preserve">MGH believes that a more efficient flow through the hospital associated with the 94 beds should improve </w:t>
      </w:r>
      <w:r w:rsidR="00067686" w:rsidRPr="00181CA6">
        <w:rPr>
          <w:rStyle w:val="cf01"/>
          <w:rFonts w:asciiTheme="minorHAnsi" w:hAnsiTheme="minorHAnsi" w:cstheme="minorHAnsi"/>
          <w:sz w:val="20"/>
          <w:szCs w:val="20"/>
        </w:rPr>
        <w:t>operations and throughput</w:t>
      </w:r>
      <w:r w:rsidRPr="00181CA6">
        <w:rPr>
          <w:rStyle w:val="cf01"/>
          <w:rFonts w:asciiTheme="minorHAnsi" w:hAnsiTheme="minorHAnsi" w:cstheme="minorHAnsi"/>
          <w:sz w:val="20"/>
          <w:szCs w:val="20"/>
        </w:rPr>
        <w:t xml:space="preserve">.  </w:t>
      </w:r>
      <w:r w:rsidR="00067686" w:rsidRPr="00181CA6">
        <w:rPr>
          <w:rStyle w:val="cf01"/>
          <w:rFonts w:asciiTheme="minorHAnsi" w:hAnsiTheme="minorHAnsi" w:cstheme="minorHAnsi"/>
          <w:sz w:val="20"/>
          <w:szCs w:val="20"/>
        </w:rPr>
        <w:t>Any changes in</w:t>
      </w:r>
      <w:r w:rsidRPr="00181CA6">
        <w:rPr>
          <w:rStyle w:val="cf01"/>
          <w:rFonts w:asciiTheme="minorHAnsi" w:hAnsiTheme="minorHAnsi" w:cstheme="minorHAnsi"/>
          <w:sz w:val="20"/>
          <w:szCs w:val="20"/>
        </w:rPr>
        <w:t xml:space="preserve"> wait times and delays </w:t>
      </w:r>
      <w:r w:rsidR="00067686" w:rsidRPr="00181CA6">
        <w:rPr>
          <w:rStyle w:val="cf01"/>
          <w:rFonts w:asciiTheme="minorHAnsi" w:hAnsiTheme="minorHAnsi" w:cstheme="minorHAnsi"/>
          <w:sz w:val="20"/>
          <w:szCs w:val="20"/>
        </w:rPr>
        <w:t xml:space="preserve">(for the subset of patients now boarding) </w:t>
      </w:r>
      <w:r w:rsidRPr="00181CA6">
        <w:rPr>
          <w:rStyle w:val="cf01"/>
          <w:rFonts w:asciiTheme="minorHAnsi" w:hAnsiTheme="minorHAnsi" w:cstheme="minorHAnsi"/>
          <w:sz w:val="20"/>
          <w:szCs w:val="20"/>
        </w:rPr>
        <w:t>are likely measured in hours, not days</w:t>
      </w:r>
      <w:r w:rsidR="00067686" w:rsidRPr="00181CA6">
        <w:rPr>
          <w:rStyle w:val="cf01"/>
          <w:rFonts w:asciiTheme="minorHAnsi" w:hAnsiTheme="minorHAnsi" w:cstheme="minorHAnsi"/>
          <w:sz w:val="20"/>
          <w:szCs w:val="20"/>
        </w:rPr>
        <w:t xml:space="preserve"> and would be challenging to </w:t>
      </w:r>
      <w:r w:rsidR="00261439" w:rsidRPr="00181CA6">
        <w:rPr>
          <w:rStyle w:val="cf01"/>
          <w:rFonts w:asciiTheme="minorHAnsi" w:hAnsiTheme="minorHAnsi" w:cstheme="minorHAnsi"/>
          <w:sz w:val="20"/>
          <w:szCs w:val="20"/>
        </w:rPr>
        <w:t xml:space="preserve">identify in </w:t>
      </w:r>
      <w:r w:rsidR="00067686" w:rsidRPr="00181CA6">
        <w:rPr>
          <w:rStyle w:val="cf01"/>
          <w:rFonts w:asciiTheme="minorHAnsi" w:hAnsiTheme="minorHAnsi" w:cstheme="minorHAnsi"/>
          <w:sz w:val="20"/>
          <w:szCs w:val="20"/>
        </w:rPr>
        <w:t>the aggregate ALOS</w:t>
      </w:r>
      <w:r w:rsidR="00F80F32" w:rsidRPr="00181CA6">
        <w:rPr>
          <w:rStyle w:val="cf01"/>
          <w:rFonts w:asciiTheme="minorHAnsi" w:hAnsiTheme="minorHAnsi" w:cstheme="minorHAnsi"/>
          <w:sz w:val="20"/>
          <w:szCs w:val="20"/>
        </w:rPr>
        <w:t xml:space="preserve"> metric</w:t>
      </w:r>
      <w:r w:rsidR="00067686" w:rsidRPr="00181CA6">
        <w:rPr>
          <w:rStyle w:val="cf01"/>
          <w:rFonts w:asciiTheme="minorHAnsi" w:hAnsiTheme="minorHAnsi" w:cstheme="minorHAnsi"/>
          <w:sz w:val="20"/>
          <w:szCs w:val="20"/>
        </w:rPr>
        <w:t>.</w:t>
      </w:r>
    </w:p>
    <w:p w14:paraId="09098E59" w14:textId="77777777" w:rsidR="00261439" w:rsidRPr="00181CA6" w:rsidRDefault="00261439" w:rsidP="00C614B4">
      <w:pPr>
        <w:pStyle w:val="pf0"/>
        <w:spacing w:before="0" w:beforeAutospacing="0" w:after="0" w:afterAutospacing="0"/>
        <w:ind w:left="1440"/>
        <w:rPr>
          <w:rStyle w:val="cf01"/>
          <w:rFonts w:asciiTheme="minorHAnsi" w:hAnsiTheme="minorHAnsi" w:cstheme="minorHAnsi"/>
          <w:sz w:val="20"/>
          <w:szCs w:val="20"/>
        </w:rPr>
      </w:pPr>
    </w:p>
    <w:p w14:paraId="264258E8" w14:textId="77777777" w:rsidR="00D261B8" w:rsidRPr="00181CA6" w:rsidRDefault="00D261B8" w:rsidP="00D261B8">
      <w:pPr>
        <w:pStyle w:val="pf0"/>
        <w:numPr>
          <w:ilvl w:val="1"/>
          <w:numId w:val="41"/>
        </w:numPr>
        <w:spacing w:before="0" w:beforeAutospacing="0" w:after="0" w:afterAutospacing="0"/>
        <w:rPr>
          <w:rStyle w:val="cf01"/>
          <w:rFonts w:asciiTheme="minorHAnsi" w:hAnsiTheme="minorHAnsi" w:cstheme="minorHAnsi"/>
          <w:b/>
          <w:bCs/>
          <w:sz w:val="20"/>
          <w:szCs w:val="20"/>
        </w:rPr>
      </w:pPr>
      <w:r w:rsidRPr="00181CA6">
        <w:rPr>
          <w:rStyle w:val="cf01"/>
          <w:rFonts w:asciiTheme="minorHAnsi" w:hAnsiTheme="minorHAnsi" w:cstheme="minorHAnsi"/>
          <w:b/>
          <w:bCs/>
          <w:sz w:val="20"/>
          <w:szCs w:val="20"/>
        </w:rPr>
        <w:t>Please fill out the table below for FY2019</w:t>
      </w:r>
    </w:p>
    <w:p w14:paraId="1A17C03C" w14:textId="11CD402B" w:rsidR="00875D2D" w:rsidRPr="00181CA6" w:rsidRDefault="00875D2D" w:rsidP="00261439">
      <w:pPr>
        <w:pStyle w:val="pf0"/>
        <w:spacing w:before="0" w:beforeAutospacing="0" w:after="0" w:afterAutospacing="0"/>
        <w:ind w:left="1440"/>
        <w:jc w:val="both"/>
        <w:rPr>
          <w:rStyle w:val="cf01"/>
          <w:rFonts w:asciiTheme="minorHAnsi" w:hAnsiTheme="minorHAnsi" w:cstheme="minorHAnsi"/>
          <w:sz w:val="20"/>
          <w:szCs w:val="20"/>
        </w:rPr>
      </w:pPr>
      <w:r w:rsidRPr="00181CA6">
        <w:rPr>
          <w:rStyle w:val="cf01"/>
          <w:rFonts w:asciiTheme="minorHAnsi" w:hAnsiTheme="minorHAnsi" w:cstheme="minorHAnsi"/>
          <w:sz w:val="20"/>
          <w:szCs w:val="20"/>
        </w:rPr>
        <w:t xml:space="preserve">Methodology:  </w:t>
      </w:r>
      <w:r w:rsidR="00C0009D" w:rsidRPr="00181CA6">
        <w:rPr>
          <w:rStyle w:val="cf01"/>
          <w:rFonts w:asciiTheme="minorHAnsi" w:hAnsiTheme="minorHAnsi" w:cstheme="minorHAnsi"/>
          <w:sz w:val="20"/>
          <w:szCs w:val="20"/>
        </w:rPr>
        <w:t xml:space="preserve">Since patients move between </w:t>
      </w:r>
      <w:r w:rsidR="00261439" w:rsidRPr="00181CA6">
        <w:rPr>
          <w:rStyle w:val="cf01"/>
          <w:rFonts w:asciiTheme="minorHAnsi" w:hAnsiTheme="minorHAnsi" w:cstheme="minorHAnsi"/>
          <w:sz w:val="20"/>
          <w:szCs w:val="20"/>
        </w:rPr>
        <w:t>Med/Surg</w:t>
      </w:r>
      <w:r w:rsidR="00C0009D" w:rsidRPr="00181CA6">
        <w:rPr>
          <w:rStyle w:val="cf01"/>
          <w:rFonts w:asciiTheme="minorHAnsi" w:hAnsiTheme="minorHAnsi" w:cstheme="minorHAnsi"/>
          <w:sz w:val="20"/>
          <w:szCs w:val="20"/>
        </w:rPr>
        <w:t xml:space="preserve"> and ICU beds throughout their stay, the most accurate measure of ALOS is total.   However, </w:t>
      </w:r>
      <w:r w:rsidR="00261439" w:rsidRPr="00181CA6">
        <w:rPr>
          <w:rStyle w:val="cf01"/>
          <w:rFonts w:asciiTheme="minorHAnsi" w:hAnsiTheme="minorHAnsi" w:cstheme="minorHAnsi"/>
          <w:sz w:val="20"/>
          <w:szCs w:val="20"/>
        </w:rPr>
        <w:t>MGH has</w:t>
      </w:r>
      <w:r w:rsidR="00C0009D" w:rsidRPr="00181CA6">
        <w:rPr>
          <w:rStyle w:val="cf01"/>
          <w:rFonts w:asciiTheme="minorHAnsi" w:hAnsiTheme="minorHAnsi" w:cstheme="minorHAnsi"/>
          <w:sz w:val="20"/>
          <w:szCs w:val="20"/>
        </w:rPr>
        <w:t xml:space="preserve"> provided additional insights by separating patients who had at least one night in the ICU from those who never received care in an ICU.  Patients who spent </w:t>
      </w:r>
      <w:r w:rsidR="00C0009D" w:rsidRPr="00181CA6">
        <w:rPr>
          <w:rStyle w:val="cf01"/>
          <w:rFonts w:asciiTheme="minorHAnsi" w:hAnsiTheme="minorHAnsi" w:cstheme="minorHAnsi"/>
          <w:sz w:val="20"/>
          <w:szCs w:val="20"/>
        </w:rPr>
        <w:lastRenderedPageBreak/>
        <w:t>some time in the ICU have a significantly higher overall LOS compared to patients who were never in an ICU during their stay.</w:t>
      </w:r>
      <w:r w:rsidRPr="00181CA6">
        <w:rPr>
          <w:rStyle w:val="cf01"/>
          <w:rFonts w:asciiTheme="minorHAnsi" w:hAnsiTheme="minorHAnsi" w:cstheme="minorHAnsi"/>
          <w:sz w:val="20"/>
          <w:szCs w:val="20"/>
        </w:rPr>
        <w:t xml:space="preserve"> </w:t>
      </w:r>
      <w:r w:rsidR="00C0009D" w:rsidRPr="00181CA6">
        <w:rPr>
          <w:rStyle w:val="cf01"/>
          <w:rFonts w:asciiTheme="minorHAnsi" w:hAnsiTheme="minorHAnsi" w:cstheme="minorHAnsi"/>
          <w:sz w:val="20"/>
          <w:szCs w:val="20"/>
        </w:rPr>
        <w:t>The Case Mix Index (CMI) is for the entire patient stay and therefore corresponds to the Total ALOS.</w:t>
      </w:r>
    </w:p>
    <w:p w14:paraId="64C3846C" w14:textId="77777777" w:rsidR="00261439" w:rsidRPr="00181CA6" w:rsidRDefault="00261439" w:rsidP="00875D2D">
      <w:pPr>
        <w:pStyle w:val="pf0"/>
        <w:spacing w:before="0" w:beforeAutospacing="0" w:after="0" w:afterAutospacing="0"/>
        <w:ind w:left="1440"/>
        <w:rPr>
          <w:rStyle w:val="cf01"/>
          <w:rFonts w:asciiTheme="minorHAnsi" w:hAnsiTheme="minorHAnsi" w:cstheme="minorHAnsi"/>
          <w:sz w:val="20"/>
          <w:szCs w:val="20"/>
        </w:rPr>
      </w:pPr>
    </w:p>
    <w:p w14:paraId="0D4BC46A" w14:textId="77777777" w:rsidR="00261439" w:rsidRPr="00181CA6" w:rsidRDefault="00261439" w:rsidP="00C13CF6">
      <w:pPr>
        <w:pStyle w:val="pf0"/>
        <w:spacing w:before="0" w:beforeAutospacing="0" w:after="0" w:afterAutospacing="0"/>
        <w:ind w:left="1440"/>
        <w:rPr>
          <w:rStyle w:val="cf01"/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805"/>
        <w:gridCol w:w="1170"/>
        <w:gridCol w:w="1080"/>
        <w:gridCol w:w="1890"/>
        <w:gridCol w:w="1440"/>
        <w:gridCol w:w="2245"/>
      </w:tblGrid>
      <w:tr w:rsidR="00181CA6" w:rsidRPr="00181CA6" w14:paraId="19C3C6F2" w14:textId="77777777" w:rsidTr="00230D5B">
        <w:trPr>
          <w:cantSplit/>
          <w:tblHeader/>
        </w:trPr>
        <w:tc>
          <w:tcPr>
            <w:tcW w:w="805" w:type="dxa"/>
            <w:shd w:val="clear" w:color="auto" w:fill="B4C6E7" w:themeFill="accent1" w:themeFillTint="66"/>
          </w:tcPr>
          <w:p w14:paraId="594CC887" w14:textId="77777777" w:rsidR="00086759" w:rsidRPr="00181CA6" w:rsidRDefault="00086759" w:rsidP="00C13CF6">
            <w:pPr>
              <w:pStyle w:val="pf0"/>
              <w:spacing w:before="0" w:beforeAutospacing="0" w:after="0" w:afterAutospacing="0"/>
              <w:rPr>
                <w:rStyle w:val="cf01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B4C6E7" w:themeFill="accent1" w:themeFillTint="66"/>
          </w:tcPr>
          <w:p w14:paraId="71B5D30F" w14:textId="66705F47" w:rsidR="00086759" w:rsidRPr="00181CA6" w:rsidRDefault="00086759" w:rsidP="00086759">
            <w:pPr>
              <w:pStyle w:val="pf0"/>
              <w:spacing w:before="0" w:beforeAutospacing="0" w:after="0" w:afterAutospacing="0"/>
              <w:jc w:val="center"/>
              <w:rPr>
                <w:rStyle w:val="cf01"/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1CA6">
              <w:rPr>
                <w:rStyle w:val="cf01"/>
                <w:rFonts w:asciiTheme="minorHAnsi" w:hAnsiTheme="minorHAnsi" w:cstheme="minorHAnsi"/>
                <w:b/>
                <w:bCs/>
                <w:sz w:val="20"/>
                <w:szCs w:val="20"/>
              </w:rPr>
              <w:t>M</w:t>
            </w:r>
            <w:r w:rsidRPr="00181CA6">
              <w:rPr>
                <w:rStyle w:val="cf01"/>
                <w:rFonts w:cstheme="minorHAnsi"/>
                <w:b/>
                <w:bCs/>
                <w:sz w:val="20"/>
                <w:szCs w:val="20"/>
              </w:rPr>
              <w:t>ed/Surg</w:t>
            </w:r>
          </w:p>
        </w:tc>
        <w:tc>
          <w:tcPr>
            <w:tcW w:w="1080" w:type="dxa"/>
            <w:shd w:val="clear" w:color="auto" w:fill="B4C6E7" w:themeFill="accent1" w:themeFillTint="66"/>
          </w:tcPr>
          <w:p w14:paraId="676ED57E" w14:textId="38BE8B40" w:rsidR="00086759" w:rsidRPr="00181CA6" w:rsidRDefault="00086759" w:rsidP="00086759">
            <w:pPr>
              <w:pStyle w:val="pf0"/>
              <w:spacing w:before="0" w:beforeAutospacing="0" w:after="0" w:afterAutospacing="0"/>
              <w:jc w:val="center"/>
              <w:rPr>
                <w:rStyle w:val="cf01"/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1CA6">
              <w:rPr>
                <w:rStyle w:val="cf01"/>
                <w:rFonts w:asciiTheme="minorHAnsi" w:hAnsiTheme="minorHAnsi" w:cstheme="minorHAnsi"/>
                <w:b/>
                <w:bCs/>
                <w:sz w:val="20"/>
                <w:szCs w:val="20"/>
              </w:rPr>
              <w:t>I</w:t>
            </w:r>
            <w:r w:rsidRPr="00181CA6">
              <w:rPr>
                <w:rStyle w:val="cf01"/>
                <w:rFonts w:cstheme="minorHAnsi"/>
                <w:b/>
                <w:bCs/>
                <w:sz w:val="20"/>
                <w:szCs w:val="20"/>
              </w:rPr>
              <w:t>CU</w:t>
            </w:r>
          </w:p>
        </w:tc>
        <w:tc>
          <w:tcPr>
            <w:tcW w:w="1890" w:type="dxa"/>
            <w:shd w:val="clear" w:color="auto" w:fill="B4C6E7" w:themeFill="accent1" w:themeFillTint="66"/>
          </w:tcPr>
          <w:p w14:paraId="2201241C" w14:textId="32C08E43" w:rsidR="00086759" w:rsidRPr="00181CA6" w:rsidRDefault="00086759" w:rsidP="00086759">
            <w:pPr>
              <w:pStyle w:val="pf0"/>
              <w:spacing w:before="0" w:beforeAutospacing="0" w:after="0" w:afterAutospacing="0"/>
              <w:jc w:val="center"/>
              <w:rPr>
                <w:rStyle w:val="cf01"/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1CA6">
              <w:rPr>
                <w:rStyle w:val="cf01"/>
                <w:rFonts w:asciiTheme="minorHAnsi" w:hAnsiTheme="minorHAnsi" w:cstheme="minorHAnsi"/>
                <w:b/>
                <w:bCs/>
                <w:sz w:val="20"/>
                <w:szCs w:val="20"/>
              </w:rPr>
              <w:t>Total Med/Surg and ICU</w:t>
            </w:r>
          </w:p>
        </w:tc>
        <w:tc>
          <w:tcPr>
            <w:tcW w:w="1440" w:type="dxa"/>
            <w:shd w:val="clear" w:color="auto" w:fill="B4C6E7" w:themeFill="accent1" w:themeFillTint="66"/>
          </w:tcPr>
          <w:p w14:paraId="20D2F7C7" w14:textId="79E7BB44" w:rsidR="00086759" w:rsidRPr="00181CA6" w:rsidRDefault="00086759" w:rsidP="00086759">
            <w:pPr>
              <w:pStyle w:val="pf0"/>
              <w:spacing w:before="0" w:beforeAutospacing="0" w:after="0" w:afterAutospacing="0"/>
              <w:jc w:val="center"/>
              <w:rPr>
                <w:rStyle w:val="cf01"/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1CA6">
              <w:rPr>
                <w:rStyle w:val="cf01"/>
                <w:rFonts w:asciiTheme="minorHAnsi" w:hAnsiTheme="minorHAnsi" w:cstheme="minorHAnsi"/>
                <w:b/>
                <w:bCs/>
                <w:sz w:val="20"/>
                <w:szCs w:val="20"/>
              </w:rPr>
              <w:t>Total CMI</w:t>
            </w:r>
          </w:p>
        </w:tc>
        <w:tc>
          <w:tcPr>
            <w:tcW w:w="2245" w:type="dxa"/>
            <w:shd w:val="clear" w:color="auto" w:fill="B4C6E7" w:themeFill="accent1" w:themeFillTint="66"/>
          </w:tcPr>
          <w:p w14:paraId="58784A35" w14:textId="2ECC6E72" w:rsidR="00086759" w:rsidRPr="00181CA6" w:rsidRDefault="00086759" w:rsidP="00086759">
            <w:pPr>
              <w:pStyle w:val="pf0"/>
              <w:spacing w:before="0" w:beforeAutospacing="0" w:after="0" w:afterAutospacing="0"/>
              <w:jc w:val="center"/>
              <w:rPr>
                <w:rStyle w:val="cf01"/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1CA6">
              <w:rPr>
                <w:rStyle w:val="cf01"/>
                <w:rFonts w:asciiTheme="minorHAnsi" w:hAnsiTheme="minorHAnsi" w:cstheme="minorHAnsi"/>
                <w:b/>
                <w:bCs/>
                <w:sz w:val="20"/>
                <w:szCs w:val="20"/>
              </w:rPr>
              <w:t>Total Adjusted CMI</w:t>
            </w:r>
          </w:p>
        </w:tc>
      </w:tr>
      <w:tr w:rsidR="00181CA6" w:rsidRPr="00181CA6" w14:paraId="6587D2D8" w14:textId="77777777" w:rsidTr="00230D5B">
        <w:trPr>
          <w:cantSplit/>
        </w:trPr>
        <w:tc>
          <w:tcPr>
            <w:tcW w:w="805" w:type="dxa"/>
          </w:tcPr>
          <w:p w14:paraId="06B3F6C7" w14:textId="3E893B1E" w:rsidR="00086759" w:rsidRPr="00181CA6" w:rsidRDefault="00181CA6" w:rsidP="00C13CF6">
            <w:pPr>
              <w:pStyle w:val="pf0"/>
              <w:spacing w:before="0" w:beforeAutospacing="0" w:after="0" w:afterAutospacing="0"/>
              <w:rPr>
                <w:rStyle w:val="cf01"/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Style w:val="cf01"/>
                <w:rFonts w:cstheme="minorHAnsi"/>
                <w:b/>
                <w:bCs/>
                <w:sz w:val="20"/>
                <w:szCs w:val="20"/>
              </w:rPr>
              <w:t>F</w:t>
            </w:r>
            <w:r w:rsidR="00086759" w:rsidRPr="00181CA6">
              <w:rPr>
                <w:rStyle w:val="cf01"/>
                <w:rFonts w:cstheme="minorHAnsi"/>
                <w:b/>
                <w:bCs/>
                <w:sz w:val="20"/>
                <w:szCs w:val="20"/>
              </w:rPr>
              <w:t>Y19</w:t>
            </w:r>
          </w:p>
        </w:tc>
        <w:tc>
          <w:tcPr>
            <w:tcW w:w="1170" w:type="dxa"/>
          </w:tcPr>
          <w:p w14:paraId="410EE0FF" w14:textId="7C6015CA" w:rsidR="00086759" w:rsidRPr="00181CA6" w:rsidRDefault="00086759" w:rsidP="00086759">
            <w:pPr>
              <w:pStyle w:val="pf0"/>
              <w:spacing w:before="0" w:beforeAutospacing="0" w:after="0" w:afterAutospacing="0"/>
              <w:jc w:val="center"/>
              <w:rPr>
                <w:rStyle w:val="cf01"/>
                <w:rFonts w:asciiTheme="minorHAnsi" w:hAnsiTheme="minorHAnsi" w:cstheme="minorHAnsi"/>
                <w:sz w:val="20"/>
                <w:szCs w:val="20"/>
              </w:rPr>
            </w:pPr>
            <w:r w:rsidRPr="00181CA6">
              <w:rPr>
                <w:rStyle w:val="cf01"/>
                <w:rFonts w:asciiTheme="minorHAnsi" w:hAnsiTheme="minorHAnsi" w:cstheme="minorHAnsi"/>
                <w:sz w:val="20"/>
                <w:szCs w:val="20"/>
              </w:rPr>
              <w:t>5.3</w:t>
            </w:r>
          </w:p>
        </w:tc>
        <w:tc>
          <w:tcPr>
            <w:tcW w:w="1080" w:type="dxa"/>
          </w:tcPr>
          <w:p w14:paraId="72DA7305" w14:textId="43028054" w:rsidR="00086759" w:rsidRPr="00181CA6" w:rsidRDefault="00086759" w:rsidP="00086759">
            <w:pPr>
              <w:pStyle w:val="pf0"/>
              <w:spacing w:before="0" w:beforeAutospacing="0" w:after="0" w:afterAutospacing="0"/>
              <w:jc w:val="center"/>
              <w:rPr>
                <w:rStyle w:val="cf01"/>
                <w:rFonts w:asciiTheme="minorHAnsi" w:hAnsiTheme="minorHAnsi" w:cstheme="minorHAnsi"/>
                <w:sz w:val="20"/>
                <w:szCs w:val="20"/>
              </w:rPr>
            </w:pPr>
            <w:r w:rsidRPr="00181CA6">
              <w:rPr>
                <w:rStyle w:val="cf01"/>
                <w:rFonts w:asciiTheme="minorHAnsi" w:hAnsiTheme="minorHAnsi" w:cstheme="minorHAnsi"/>
                <w:sz w:val="20"/>
                <w:szCs w:val="20"/>
              </w:rPr>
              <w:t>12.4</w:t>
            </w:r>
          </w:p>
        </w:tc>
        <w:tc>
          <w:tcPr>
            <w:tcW w:w="1890" w:type="dxa"/>
            <w:shd w:val="clear" w:color="auto" w:fill="auto"/>
          </w:tcPr>
          <w:p w14:paraId="417B8598" w14:textId="771B3EF1" w:rsidR="00086759" w:rsidRPr="00181CA6" w:rsidRDefault="00086759" w:rsidP="00086759">
            <w:pPr>
              <w:pStyle w:val="pf0"/>
              <w:spacing w:before="0" w:beforeAutospacing="0" w:after="0" w:afterAutospacing="0"/>
              <w:jc w:val="center"/>
              <w:rPr>
                <w:rStyle w:val="cf01"/>
                <w:rFonts w:asciiTheme="minorHAnsi" w:hAnsiTheme="minorHAnsi" w:cstheme="minorHAnsi"/>
                <w:sz w:val="20"/>
                <w:szCs w:val="20"/>
              </w:rPr>
            </w:pPr>
            <w:r w:rsidRPr="00181CA6">
              <w:rPr>
                <w:rStyle w:val="cf01"/>
                <w:rFonts w:asciiTheme="minorHAnsi" w:hAnsiTheme="minorHAnsi" w:cstheme="minorHAnsi"/>
                <w:sz w:val="20"/>
                <w:szCs w:val="20"/>
              </w:rPr>
              <w:t>6.57</w:t>
            </w:r>
          </w:p>
        </w:tc>
        <w:tc>
          <w:tcPr>
            <w:tcW w:w="1440" w:type="dxa"/>
            <w:shd w:val="clear" w:color="auto" w:fill="auto"/>
          </w:tcPr>
          <w:p w14:paraId="3AC0FEF2" w14:textId="343250DF" w:rsidR="00086759" w:rsidRPr="00181CA6" w:rsidRDefault="00086759" w:rsidP="00086759">
            <w:pPr>
              <w:pStyle w:val="pf0"/>
              <w:spacing w:before="0" w:beforeAutospacing="0" w:after="0" w:afterAutospacing="0"/>
              <w:jc w:val="center"/>
              <w:rPr>
                <w:rStyle w:val="cf01"/>
                <w:rFonts w:asciiTheme="minorHAnsi" w:hAnsiTheme="minorHAnsi" w:cstheme="minorHAnsi"/>
                <w:sz w:val="20"/>
                <w:szCs w:val="20"/>
              </w:rPr>
            </w:pPr>
            <w:r w:rsidRPr="00181CA6">
              <w:rPr>
                <w:rStyle w:val="cf01"/>
                <w:rFonts w:asciiTheme="minorHAnsi" w:hAnsiTheme="minorHAnsi" w:cstheme="minorHAnsi"/>
                <w:sz w:val="20"/>
                <w:szCs w:val="20"/>
              </w:rPr>
              <w:t>2.4</w:t>
            </w:r>
          </w:p>
        </w:tc>
        <w:tc>
          <w:tcPr>
            <w:tcW w:w="2245" w:type="dxa"/>
            <w:shd w:val="clear" w:color="auto" w:fill="auto"/>
          </w:tcPr>
          <w:p w14:paraId="190164E1" w14:textId="753EC6C5" w:rsidR="00086759" w:rsidRPr="00181CA6" w:rsidRDefault="00086759" w:rsidP="00086759">
            <w:pPr>
              <w:pStyle w:val="pf0"/>
              <w:spacing w:before="0" w:beforeAutospacing="0" w:after="0" w:afterAutospacing="0"/>
              <w:jc w:val="center"/>
              <w:rPr>
                <w:rStyle w:val="cf01"/>
                <w:rFonts w:asciiTheme="minorHAnsi" w:hAnsiTheme="minorHAnsi" w:cstheme="minorHAnsi"/>
                <w:sz w:val="20"/>
                <w:szCs w:val="20"/>
              </w:rPr>
            </w:pPr>
            <w:r w:rsidRPr="00181CA6">
              <w:rPr>
                <w:rStyle w:val="cf01"/>
                <w:rFonts w:asciiTheme="minorHAnsi" w:hAnsiTheme="minorHAnsi" w:cstheme="minorHAnsi"/>
                <w:sz w:val="20"/>
                <w:szCs w:val="20"/>
              </w:rPr>
              <w:t>2.8</w:t>
            </w:r>
          </w:p>
        </w:tc>
      </w:tr>
      <w:tr w:rsidR="00086759" w:rsidRPr="00181CA6" w14:paraId="3CE639A9" w14:textId="77777777" w:rsidTr="00230D5B">
        <w:trPr>
          <w:cantSplit/>
        </w:trPr>
        <w:tc>
          <w:tcPr>
            <w:tcW w:w="805" w:type="dxa"/>
          </w:tcPr>
          <w:p w14:paraId="26B090C5" w14:textId="71140381" w:rsidR="00086759" w:rsidRPr="00181CA6" w:rsidRDefault="00181CA6" w:rsidP="00C13CF6">
            <w:pPr>
              <w:pStyle w:val="pf0"/>
              <w:spacing w:before="0" w:beforeAutospacing="0" w:after="0" w:afterAutospacing="0"/>
              <w:rPr>
                <w:rStyle w:val="cf01"/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Style w:val="cf01"/>
                <w:rFonts w:cstheme="minorHAnsi"/>
                <w:b/>
                <w:bCs/>
                <w:sz w:val="20"/>
                <w:szCs w:val="20"/>
              </w:rPr>
              <w:t>F</w:t>
            </w:r>
            <w:r w:rsidR="00086759" w:rsidRPr="00181CA6">
              <w:rPr>
                <w:rStyle w:val="cf01"/>
                <w:rFonts w:cstheme="minorHAnsi"/>
                <w:b/>
                <w:bCs/>
                <w:sz w:val="20"/>
                <w:szCs w:val="20"/>
              </w:rPr>
              <w:t>Y23</w:t>
            </w:r>
          </w:p>
        </w:tc>
        <w:tc>
          <w:tcPr>
            <w:tcW w:w="1170" w:type="dxa"/>
          </w:tcPr>
          <w:p w14:paraId="5EAEA969" w14:textId="1FDDF209" w:rsidR="00086759" w:rsidRPr="00181CA6" w:rsidRDefault="00086759" w:rsidP="00086759">
            <w:pPr>
              <w:pStyle w:val="pf0"/>
              <w:spacing w:before="0" w:beforeAutospacing="0" w:after="0" w:afterAutospacing="0"/>
              <w:jc w:val="center"/>
              <w:rPr>
                <w:rStyle w:val="cf01"/>
                <w:rFonts w:asciiTheme="minorHAnsi" w:hAnsiTheme="minorHAnsi" w:cstheme="minorHAnsi"/>
                <w:sz w:val="20"/>
                <w:szCs w:val="20"/>
              </w:rPr>
            </w:pPr>
            <w:r w:rsidRPr="00181CA6">
              <w:rPr>
                <w:rStyle w:val="cf01"/>
                <w:rFonts w:asciiTheme="minorHAnsi" w:hAnsiTheme="minorHAnsi" w:cstheme="minorHAnsi"/>
                <w:sz w:val="20"/>
                <w:szCs w:val="20"/>
              </w:rPr>
              <w:t>6.5</w:t>
            </w:r>
          </w:p>
        </w:tc>
        <w:tc>
          <w:tcPr>
            <w:tcW w:w="1080" w:type="dxa"/>
          </w:tcPr>
          <w:p w14:paraId="6DA604CC" w14:textId="01F77E39" w:rsidR="00086759" w:rsidRPr="00181CA6" w:rsidRDefault="00086759" w:rsidP="00086759">
            <w:pPr>
              <w:pStyle w:val="pf0"/>
              <w:spacing w:before="0" w:beforeAutospacing="0" w:after="0" w:afterAutospacing="0"/>
              <w:jc w:val="center"/>
              <w:rPr>
                <w:rStyle w:val="cf01"/>
                <w:rFonts w:asciiTheme="minorHAnsi" w:hAnsiTheme="minorHAnsi" w:cstheme="minorHAnsi"/>
                <w:sz w:val="20"/>
                <w:szCs w:val="20"/>
              </w:rPr>
            </w:pPr>
            <w:r w:rsidRPr="00181CA6">
              <w:rPr>
                <w:rStyle w:val="cf01"/>
                <w:rFonts w:asciiTheme="minorHAnsi" w:hAnsiTheme="minorHAnsi" w:cstheme="minorHAnsi"/>
                <w:sz w:val="20"/>
                <w:szCs w:val="20"/>
              </w:rPr>
              <w:t>13.4</w:t>
            </w:r>
          </w:p>
        </w:tc>
        <w:tc>
          <w:tcPr>
            <w:tcW w:w="1890" w:type="dxa"/>
            <w:shd w:val="clear" w:color="auto" w:fill="auto"/>
          </w:tcPr>
          <w:p w14:paraId="1512F648" w14:textId="4630880F" w:rsidR="00086759" w:rsidRPr="00181CA6" w:rsidRDefault="00086759" w:rsidP="00086759">
            <w:pPr>
              <w:pStyle w:val="pf0"/>
              <w:spacing w:before="0" w:beforeAutospacing="0" w:after="0" w:afterAutospacing="0"/>
              <w:jc w:val="center"/>
              <w:rPr>
                <w:rStyle w:val="cf01"/>
                <w:rFonts w:asciiTheme="minorHAnsi" w:hAnsiTheme="minorHAnsi" w:cstheme="minorHAnsi"/>
                <w:sz w:val="20"/>
                <w:szCs w:val="20"/>
              </w:rPr>
            </w:pPr>
            <w:r w:rsidRPr="00181CA6">
              <w:rPr>
                <w:rStyle w:val="cf01"/>
                <w:rFonts w:asciiTheme="minorHAnsi" w:hAnsiTheme="minorHAnsi" w:cstheme="minorHAnsi"/>
                <w:sz w:val="20"/>
                <w:szCs w:val="20"/>
              </w:rPr>
              <w:t>7.85</w:t>
            </w:r>
          </w:p>
        </w:tc>
        <w:tc>
          <w:tcPr>
            <w:tcW w:w="1440" w:type="dxa"/>
            <w:shd w:val="clear" w:color="auto" w:fill="auto"/>
          </w:tcPr>
          <w:p w14:paraId="137ED87D" w14:textId="2E9E0813" w:rsidR="00086759" w:rsidRPr="00181CA6" w:rsidRDefault="00086759" w:rsidP="00086759">
            <w:pPr>
              <w:pStyle w:val="pf0"/>
              <w:spacing w:before="0" w:beforeAutospacing="0" w:after="0" w:afterAutospacing="0"/>
              <w:jc w:val="center"/>
              <w:rPr>
                <w:rStyle w:val="cf01"/>
                <w:rFonts w:asciiTheme="minorHAnsi" w:hAnsiTheme="minorHAnsi" w:cstheme="minorHAnsi"/>
                <w:sz w:val="20"/>
                <w:szCs w:val="20"/>
              </w:rPr>
            </w:pPr>
            <w:r w:rsidRPr="00181CA6">
              <w:rPr>
                <w:rStyle w:val="cf01"/>
                <w:rFonts w:asciiTheme="minorHAnsi" w:hAnsiTheme="minorHAnsi" w:cstheme="minorHAnsi"/>
                <w:sz w:val="20"/>
                <w:szCs w:val="20"/>
              </w:rPr>
              <w:t>2.8</w:t>
            </w:r>
          </w:p>
        </w:tc>
        <w:tc>
          <w:tcPr>
            <w:tcW w:w="2245" w:type="dxa"/>
            <w:shd w:val="clear" w:color="auto" w:fill="auto"/>
          </w:tcPr>
          <w:p w14:paraId="0443ECF6" w14:textId="32041B89" w:rsidR="00086759" w:rsidRPr="00181CA6" w:rsidRDefault="00086759" w:rsidP="00086759">
            <w:pPr>
              <w:pStyle w:val="pf0"/>
              <w:spacing w:before="0" w:beforeAutospacing="0" w:after="0" w:afterAutospacing="0"/>
              <w:jc w:val="center"/>
              <w:rPr>
                <w:rStyle w:val="cf01"/>
                <w:rFonts w:asciiTheme="minorHAnsi" w:hAnsiTheme="minorHAnsi" w:cstheme="minorHAnsi"/>
                <w:sz w:val="20"/>
                <w:szCs w:val="20"/>
              </w:rPr>
            </w:pPr>
            <w:r w:rsidRPr="00181CA6">
              <w:rPr>
                <w:rStyle w:val="cf01"/>
                <w:rFonts w:asciiTheme="minorHAnsi" w:hAnsiTheme="minorHAnsi" w:cstheme="minorHAnsi"/>
                <w:sz w:val="20"/>
                <w:szCs w:val="20"/>
              </w:rPr>
              <w:t>2.8</w:t>
            </w:r>
          </w:p>
        </w:tc>
      </w:tr>
    </w:tbl>
    <w:p w14:paraId="50BB0502" w14:textId="77777777" w:rsidR="00261439" w:rsidRPr="00181CA6" w:rsidRDefault="00261439" w:rsidP="00C13CF6">
      <w:pPr>
        <w:pStyle w:val="pf0"/>
        <w:spacing w:before="0" w:beforeAutospacing="0" w:after="0" w:afterAutospacing="0"/>
        <w:ind w:left="1440"/>
        <w:rPr>
          <w:rStyle w:val="cf01"/>
          <w:rFonts w:asciiTheme="minorHAnsi" w:hAnsiTheme="minorHAnsi" w:cstheme="minorHAnsi"/>
          <w:sz w:val="20"/>
          <w:szCs w:val="20"/>
        </w:rPr>
      </w:pPr>
    </w:p>
    <w:p w14:paraId="07D76798" w14:textId="77777777" w:rsidR="001E640E" w:rsidRPr="00181CA6" w:rsidRDefault="001E640E" w:rsidP="00C13CF6">
      <w:pPr>
        <w:pStyle w:val="pf0"/>
        <w:spacing w:before="0" w:beforeAutospacing="0" w:after="0" w:afterAutospacing="0"/>
        <w:ind w:left="1440"/>
        <w:rPr>
          <w:rStyle w:val="cf01"/>
          <w:rFonts w:asciiTheme="minorHAnsi" w:hAnsiTheme="minorHAnsi" w:cstheme="minorHAnsi"/>
          <w:sz w:val="20"/>
          <w:szCs w:val="20"/>
        </w:rPr>
      </w:pPr>
    </w:p>
    <w:p w14:paraId="1F5D77C4" w14:textId="77777777" w:rsidR="00D261B8" w:rsidRPr="00181CA6" w:rsidRDefault="00D261B8" w:rsidP="00D261B8">
      <w:pPr>
        <w:pStyle w:val="pf0"/>
        <w:numPr>
          <w:ilvl w:val="1"/>
          <w:numId w:val="41"/>
        </w:numPr>
        <w:spacing w:before="0" w:beforeAutospacing="0" w:after="0" w:afterAutospacing="0"/>
        <w:rPr>
          <w:rStyle w:val="cf01"/>
          <w:rFonts w:asciiTheme="minorHAnsi" w:hAnsiTheme="minorHAnsi" w:cstheme="minorHAnsi"/>
          <w:b/>
          <w:bCs/>
          <w:sz w:val="20"/>
          <w:szCs w:val="20"/>
        </w:rPr>
      </w:pPr>
      <w:r w:rsidRPr="00181CA6">
        <w:rPr>
          <w:rStyle w:val="cf01"/>
          <w:rFonts w:asciiTheme="minorHAnsi" w:hAnsiTheme="minorHAnsi" w:cstheme="minorHAnsi"/>
          <w:b/>
          <w:bCs/>
          <w:sz w:val="20"/>
          <w:szCs w:val="20"/>
        </w:rPr>
        <w:t>If there has been an increase in ALOS from 2019-2023, please provide an analysis for the cause of the increase.</w:t>
      </w:r>
    </w:p>
    <w:p w14:paraId="27494EFF" w14:textId="184A0B41" w:rsidR="00D261B8" w:rsidRPr="00181CA6" w:rsidRDefault="00E52DDA" w:rsidP="00C614B4">
      <w:pPr>
        <w:autoSpaceDE w:val="0"/>
        <w:autoSpaceDN w:val="0"/>
        <w:adjustRightInd w:val="0"/>
        <w:spacing w:before="120" w:after="120"/>
        <w:ind w:left="1440"/>
        <w:rPr>
          <w:rFonts w:cstheme="minorHAnsi"/>
          <w:sz w:val="20"/>
          <w:szCs w:val="20"/>
        </w:rPr>
      </w:pPr>
      <w:r w:rsidRPr="00181CA6">
        <w:rPr>
          <w:rFonts w:cstheme="minorHAnsi"/>
          <w:sz w:val="20"/>
          <w:szCs w:val="20"/>
        </w:rPr>
        <w:t xml:space="preserve">The </w:t>
      </w:r>
      <w:r w:rsidR="0086685F" w:rsidRPr="00181CA6">
        <w:rPr>
          <w:rFonts w:cstheme="minorHAnsi"/>
          <w:sz w:val="20"/>
          <w:szCs w:val="20"/>
        </w:rPr>
        <w:t>total</w:t>
      </w:r>
      <w:r w:rsidR="00C13CF6" w:rsidRPr="00181CA6">
        <w:rPr>
          <w:rFonts w:cstheme="minorHAnsi"/>
          <w:sz w:val="20"/>
          <w:szCs w:val="20"/>
        </w:rPr>
        <w:t xml:space="preserve"> </w:t>
      </w:r>
      <w:r w:rsidRPr="00181CA6">
        <w:rPr>
          <w:rFonts w:cstheme="minorHAnsi"/>
          <w:sz w:val="20"/>
          <w:szCs w:val="20"/>
        </w:rPr>
        <w:t xml:space="preserve">CMI </w:t>
      </w:r>
      <w:r w:rsidR="0086685F" w:rsidRPr="00181CA6">
        <w:rPr>
          <w:rFonts w:cstheme="minorHAnsi"/>
          <w:sz w:val="20"/>
          <w:szCs w:val="20"/>
        </w:rPr>
        <w:t xml:space="preserve">for Med/Surg patients </w:t>
      </w:r>
      <w:r w:rsidRPr="00181CA6">
        <w:rPr>
          <w:rFonts w:cstheme="minorHAnsi"/>
          <w:sz w:val="20"/>
          <w:szCs w:val="20"/>
        </w:rPr>
        <w:t xml:space="preserve">increased from </w:t>
      </w:r>
      <w:r w:rsidR="00C13CF6" w:rsidRPr="00181CA6">
        <w:rPr>
          <w:rFonts w:cstheme="minorHAnsi"/>
          <w:sz w:val="20"/>
          <w:szCs w:val="20"/>
        </w:rPr>
        <w:t>2.4</w:t>
      </w:r>
      <w:r w:rsidRPr="00181CA6">
        <w:rPr>
          <w:rFonts w:cstheme="minorHAnsi"/>
          <w:sz w:val="20"/>
          <w:szCs w:val="20"/>
        </w:rPr>
        <w:t xml:space="preserve"> to </w:t>
      </w:r>
      <w:r w:rsidR="00C13CF6" w:rsidRPr="00181CA6">
        <w:rPr>
          <w:rFonts w:cstheme="minorHAnsi"/>
          <w:sz w:val="20"/>
          <w:szCs w:val="20"/>
        </w:rPr>
        <w:t>2.8</w:t>
      </w:r>
      <w:r w:rsidRPr="00181CA6">
        <w:rPr>
          <w:rFonts w:cstheme="minorHAnsi"/>
          <w:sz w:val="20"/>
          <w:szCs w:val="20"/>
        </w:rPr>
        <w:t xml:space="preserve"> this timeframe</w:t>
      </w:r>
      <w:r w:rsidR="0075203E" w:rsidRPr="00181CA6">
        <w:rPr>
          <w:rFonts w:cstheme="minorHAnsi"/>
          <w:sz w:val="20"/>
          <w:szCs w:val="20"/>
        </w:rPr>
        <w:t xml:space="preserve"> or 18%. The </w:t>
      </w:r>
      <w:r w:rsidR="0086685F" w:rsidRPr="00181CA6">
        <w:rPr>
          <w:rFonts w:cstheme="minorHAnsi"/>
          <w:sz w:val="20"/>
          <w:szCs w:val="20"/>
        </w:rPr>
        <w:t xml:space="preserve">total </w:t>
      </w:r>
      <w:r w:rsidR="0075203E" w:rsidRPr="00181CA6">
        <w:rPr>
          <w:rFonts w:cstheme="minorHAnsi"/>
          <w:sz w:val="20"/>
          <w:szCs w:val="20"/>
        </w:rPr>
        <w:t>Med/Surg LOS adjusted for CMI remained flat</w:t>
      </w:r>
      <w:r w:rsidR="00C0009D" w:rsidRPr="00181CA6">
        <w:rPr>
          <w:rFonts w:cstheme="minorHAnsi"/>
          <w:sz w:val="20"/>
          <w:szCs w:val="20"/>
        </w:rPr>
        <w:t xml:space="preserve"> implying the change in ALOS is explained by acuity</w:t>
      </w:r>
      <w:r w:rsidR="0075203E" w:rsidRPr="00181CA6">
        <w:rPr>
          <w:rFonts w:cstheme="minorHAnsi"/>
          <w:sz w:val="20"/>
          <w:szCs w:val="20"/>
        </w:rPr>
        <w:t>.</w:t>
      </w:r>
    </w:p>
    <w:p w14:paraId="15CDB1C4" w14:textId="77777777" w:rsidR="00C614B4" w:rsidRPr="00181CA6" w:rsidRDefault="00C614B4" w:rsidP="00D261B8">
      <w:pPr>
        <w:autoSpaceDE w:val="0"/>
        <w:autoSpaceDN w:val="0"/>
        <w:adjustRightInd w:val="0"/>
        <w:spacing w:before="120" w:after="120"/>
        <w:ind w:left="360"/>
        <w:rPr>
          <w:rFonts w:cstheme="minorHAnsi"/>
          <w:b/>
          <w:bCs/>
          <w:sz w:val="20"/>
          <w:szCs w:val="20"/>
        </w:rPr>
      </w:pPr>
    </w:p>
    <w:p w14:paraId="7010E155" w14:textId="0B3E6441" w:rsidR="00857018" w:rsidRPr="00181CA6" w:rsidRDefault="00857018" w:rsidP="00857018">
      <w:pPr>
        <w:pStyle w:val="pf0"/>
        <w:numPr>
          <w:ilvl w:val="0"/>
          <w:numId w:val="41"/>
        </w:numPr>
        <w:spacing w:before="0" w:beforeAutospacing="0" w:after="0" w:afterAutospacing="0"/>
        <w:rPr>
          <w:rStyle w:val="cf01"/>
          <w:rFonts w:asciiTheme="minorHAnsi" w:hAnsiTheme="minorHAnsi" w:cstheme="minorHAnsi"/>
          <w:b/>
          <w:bCs/>
          <w:sz w:val="20"/>
          <w:szCs w:val="20"/>
        </w:rPr>
      </w:pPr>
      <w:r w:rsidRPr="00181CA6">
        <w:rPr>
          <w:rStyle w:val="cf01"/>
          <w:rFonts w:asciiTheme="minorHAnsi" w:hAnsiTheme="minorHAnsi" w:cstheme="minorHAnsi"/>
          <w:b/>
          <w:bCs/>
          <w:sz w:val="20"/>
          <w:szCs w:val="20"/>
        </w:rPr>
        <w:t xml:space="preserve">Table 2 on Page 4 of the Amendment Narrative provides an occupancy table for FY2023 if 94 beds had been added to the </w:t>
      </w:r>
      <w:proofErr w:type="gramStart"/>
      <w:r w:rsidRPr="00181CA6">
        <w:rPr>
          <w:rStyle w:val="cf01"/>
          <w:rFonts w:asciiTheme="minorHAnsi" w:hAnsiTheme="minorHAnsi" w:cstheme="minorHAnsi"/>
          <w:b/>
          <w:bCs/>
          <w:sz w:val="20"/>
          <w:szCs w:val="20"/>
        </w:rPr>
        <w:t>license, but</w:t>
      </w:r>
      <w:proofErr w:type="gramEnd"/>
      <w:r w:rsidRPr="00181CA6">
        <w:rPr>
          <w:rStyle w:val="cf01"/>
          <w:rFonts w:asciiTheme="minorHAnsi" w:hAnsiTheme="minorHAnsi" w:cstheme="minorHAnsi"/>
          <w:b/>
          <w:bCs/>
          <w:sz w:val="20"/>
          <w:szCs w:val="20"/>
        </w:rPr>
        <w:t xml:space="preserve"> appears to use patient day data from FY2019. Please update the table using FY2023 numbers. </w:t>
      </w:r>
    </w:p>
    <w:p w14:paraId="57F22F03" w14:textId="77777777" w:rsidR="00F86110" w:rsidRPr="00181CA6" w:rsidRDefault="00F86110" w:rsidP="00F86110">
      <w:pPr>
        <w:pStyle w:val="pf0"/>
        <w:spacing w:before="0" w:beforeAutospacing="0" w:after="0" w:afterAutospacing="0"/>
        <w:rPr>
          <w:rStyle w:val="cf01"/>
          <w:rFonts w:asciiTheme="minorHAnsi" w:hAnsiTheme="minorHAnsi" w:cstheme="minorHAnsi"/>
          <w:sz w:val="20"/>
          <w:szCs w:val="20"/>
        </w:rPr>
      </w:pPr>
    </w:p>
    <w:p w14:paraId="530D204C" w14:textId="111D37AA" w:rsidR="00F86110" w:rsidRPr="00181CA6" w:rsidRDefault="00F86110" w:rsidP="00F86110">
      <w:pPr>
        <w:pStyle w:val="pf0"/>
        <w:spacing w:before="0" w:beforeAutospacing="0" w:after="0" w:afterAutospacing="0"/>
        <w:ind w:left="720"/>
        <w:rPr>
          <w:rStyle w:val="cf01"/>
          <w:rFonts w:asciiTheme="minorHAnsi" w:hAnsiTheme="minorHAnsi" w:cstheme="minorHAnsi"/>
          <w:sz w:val="20"/>
          <w:szCs w:val="20"/>
        </w:rPr>
      </w:pPr>
      <w:r w:rsidRPr="00181CA6">
        <w:rPr>
          <w:rStyle w:val="cf01"/>
          <w:rFonts w:asciiTheme="minorHAnsi" w:hAnsiTheme="minorHAnsi" w:cstheme="minorHAnsi"/>
          <w:sz w:val="20"/>
          <w:szCs w:val="20"/>
        </w:rPr>
        <w:t xml:space="preserve">The occupancy rates </w:t>
      </w:r>
      <w:r w:rsidR="00261439" w:rsidRPr="00181CA6">
        <w:rPr>
          <w:rStyle w:val="cf01"/>
          <w:rFonts w:asciiTheme="minorHAnsi" w:hAnsiTheme="minorHAnsi" w:cstheme="minorHAnsi"/>
          <w:sz w:val="20"/>
          <w:szCs w:val="20"/>
        </w:rPr>
        <w:t xml:space="preserve">originally </w:t>
      </w:r>
      <w:r w:rsidRPr="00181CA6">
        <w:rPr>
          <w:rStyle w:val="cf01"/>
          <w:rFonts w:asciiTheme="minorHAnsi" w:hAnsiTheme="minorHAnsi" w:cstheme="minorHAnsi"/>
          <w:sz w:val="20"/>
          <w:szCs w:val="20"/>
        </w:rPr>
        <w:t xml:space="preserve">provided were calculated using FY2023 data. A corrected table with FY2023 inpatient and outpatient days is provided below. </w:t>
      </w:r>
      <w:r w:rsidR="00F821D2" w:rsidRPr="00181CA6">
        <w:rPr>
          <w:rStyle w:val="cf01"/>
          <w:rFonts w:asciiTheme="minorHAnsi" w:hAnsiTheme="minorHAnsi" w:cstheme="minorHAnsi"/>
          <w:sz w:val="20"/>
          <w:szCs w:val="20"/>
        </w:rPr>
        <w:t xml:space="preserve">  </w:t>
      </w:r>
    </w:p>
    <w:p w14:paraId="1973093F" w14:textId="77777777" w:rsidR="00B04813" w:rsidRPr="00181CA6" w:rsidRDefault="00B04813" w:rsidP="00B04813">
      <w:pPr>
        <w:pStyle w:val="pf0"/>
        <w:spacing w:before="0" w:beforeAutospacing="0" w:after="0" w:afterAutospacing="0"/>
        <w:rPr>
          <w:rStyle w:val="cf01"/>
          <w:rFonts w:asciiTheme="minorHAnsi" w:hAnsiTheme="minorHAnsi" w:cstheme="minorHAnsi"/>
          <w:sz w:val="20"/>
          <w:szCs w:val="20"/>
        </w:rPr>
      </w:pPr>
    </w:p>
    <w:p w14:paraId="26CB0889" w14:textId="77777777" w:rsidR="00B04813" w:rsidRPr="00181CA6" w:rsidRDefault="00B04813" w:rsidP="00F86110">
      <w:pPr>
        <w:ind w:left="90" w:firstLine="720"/>
        <w:jc w:val="both"/>
        <w:rPr>
          <w:rFonts w:cstheme="minorHAnsi"/>
          <w:b/>
          <w:bCs/>
          <w:sz w:val="20"/>
          <w:szCs w:val="20"/>
        </w:rPr>
      </w:pPr>
      <w:r w:rsidRPr="00181CA6">
        <w:rPr>
          <w:rFonts w:cstheme="minorHAnsi"/>
          <w:b/>
          <w:bCs/>
          <w:sz w:val="20"/>
          <w:szCs w:val="20"/>
        </w:rPr>
        <w:t>Table 2: FY23 with 94 Additional Beds</w:t>
      </w:r>
    </w:p>
    <w:tbl>
      <w:tblPr>
        <w:tblStyle w:val="TableGrid"/>
        <w:tblW w:w="7380" w:type="dxa"/>
        <w:tblInd w:w="715" w:type="dxa"/>
        <w:tblLook w:val="04A0" w:firstRow="1" w:lastRow="0" w:firstColumn="1" w:lastColumn="0" w:noHBand="0" w:noVBand="1"/>
      </w:tblPr>
      <w:tblGrid>
        <w:gridCol w:w="2970"/>
        <w:gridCol w:w="4410"/>
      </w:tblGrid>
      <w:tr w:rsidR="00181CA6" w:rsidRPr="00181CA6" w14:paraId="4693C78E" w14:textId="77777777" w:rsidTr="00230D5B">
        <w:trPr>
          <w:cantSplit/>
          <w:tblHeader/>
        </w:trPr>
        <w:tc>
          <w:tcPr>
            <w:tcW w:w="2970" w:type="dxa"/>
            <w:shd w:val="clear" w:color="auto" w:fill="8EAADB" w:themeFill="accent1" w:themeFillTint="99"/>
          </w:tcPr>
          <w:p w14:paraId="56133C45" w14:textId="77777777" w:rsidR="00B04813" w:rsidRPr="00181CA6" w:rsidRDefault="00B04813" w:rsidP="00A9321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181CA6">
              <w:rPr>
                <w:rFonts w:cstheme="minorHAnsi"/>
                <w:b/>
                <w:bCs/>
                <w:sz w:val="20"/>
                <w:szCs w:val="20"/>
              </w:rPr>
              <w:t>Metric</w:t>
            </w:r>
          </w:p>
        </w:tc>
        <w:tc>
          <w:tcPr>
            <w:tcW w:w="4410" w:type="dxa"/>
            <w:shd w:val="clear" w:color="auto" w:fill="8EAADB" w:themeFill="accent1" w:themeFillTint="99"/>
          </w:tcPr>
          <w:p w14:paraId="3AFC0E5D" w14:textId="77777777" w:rsidR="00B04813" w:rsidRPr="00181CA6" w:rsidRDefault="00B04813" w:rsidP="00A9321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81CA6">
              <w:rPr>
                <w:rFonts w:cstheme="minorHAnsi"/>
                <w:b/>
                <w:bCs/>
                <w:sz w:val="20"/>
                <w:szCs w:val="20"/>
              </w:rPr>
              <w:t>FY23</w:t>
            </w:r>
          </w:p>
          <w:p w14:paraId="72BFE3D1" w14:textId="77777777" w:rsidR="00B04813" w:rsidRPr="00181CA6" w:rsidRDefault="00B04813" w:rsidP="00A9321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81CA6">
              <w:rPr>
                <w:rFonts w:cstheme="minorHAnsi"/>
                <w:b/>
                <w:bCs/>
                <w:sz w:val="20"/>
                <w:szCs w:val="20"/>
              </w:rPr>
              <w:t>Modeled with 94 additional Licensed Beds</w:t>
            </w:r>
            <w:r w:rsidRPr="00181CA6">
              <w:rPr>
                <w:rStyle w:val="FootnoteReference"/>
                <w:rFonts w:cstheme="minorHAnsi"/>
                <w:b/>
                <w:bCs/>
                <w:sz w:val="20"/>
                <w:szCs w:val="20"/>
              </w:rPr>
              <w:footnoteReference w:id="2"/>
            </w:r>
            <w:r w:rsidRPr="00181CA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181CA6" w:rsidRPr="00181CA6" w14:paraId="15AF30C5" w14:textId="77777777" w:rsidTr="00230D5B">
        <w:trPr>
          <w:cantSplit/>
        </w:trPr>
        <w:tc>
          <w:tcPr>
            <w:tcW w:w="2970" w:type="dxa"/>
            <w:shd w:val="clear" w:color="auto" w:fill="B4C6E7" w:themeFill="accent1" w:themeFillTint="66"/>
          </w:tcPr>
          <w:p w14:paraId="2E5B6B87" w14:textId="77777777" w:rsidR="00B04813" w:rsidRPr="00181CA6" w:rsidRDefault="00B04813" w:rsidP="00A93213">
            <w:pPr>
              <w:rPr>
                <w:rFonts w:cstheme="minorHAnsi"/>
                <w:sz w:val="20"/>
                <w:szCs w:val="20"/>
              </w:rPr>
            </w:pPr>
            <w:r w:rsidRPr="00181CA6">
              <w:rPr>
                <w:rFonts w:cstheme="minorHAnsi"/>
                <w:sz w:val="20"/>
                <w:szCs w:val="20"/>
              </w:rPr>
              <w:t>Licensed Beds</w:t>
            </w:r>
          </w:p>
        </w:tc>
        <w:tc>
          <w:tcPr>
            <w:tcW w:w="4410" w:type="dxa"/>
            <w:shd w:val="clear" w:color="auto" w:fill="B4C6E7" w:themeFill="accent1" w:themeFillTint="66"/>
          </w:tcPr>
          <w:p w14:paraId="0438E4D3" w14:textId="77777777" w:rsidR="00B04813" w:rsidRPr="00181CA6" w:rsidRDefault="00B04813" w:rsidP="00A9321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81CA6">
              <w:rPr>
                <w:rFonts w:cstheme="minorHAnsi"/>
                <w:sz w:val="20"/>
                <w:szCs w:val="20"/>
              </w:rPr>
              <w:t>994</w:t>
            </w:r>
          </w:p>
        </w:tc>
      </w:tr>
      <w:tr w:rsidR="00181CA6" w:rsidRPr="00181CA6" w14:paraId="65EA3F1C" w14:textId="77777777" w:rsidTr="00230D5B">
        <w:trPr>
          <w:cantSplit/>
        </w:trPr>
        <w:tc>
          <w:tcPr>
            <w:tcW w:w="2970" w:type="dxa"/>
            <w:shd w:val="clear" w:color="auto" w:fill="D9E2F3" w:themeFill="accent1" w:themeFillTint="33"/>
          </w:tcPr>
          <w:p w14:paraId="7CEEBF4B" w14:textId="77777777" w:rsidR="00B04813" w:rsidRPr="00181CA6" w:rsidRDefault="00B04813" w:rsidP="00A93213">
            <w:pPr>
              <w:rPr>
                <w:rFonts w:cstheme="minorHAnsi"/>
                <w:sz w:val="20"/>
                <w:szCs w:val="20"/>
              </w:rPr>
            </w:pPr>
            <w:r w:rsidRPr="00181CA6">
              <w:rPr>
                <w:rFonts w:cstheme="minorHAnsi"/>
                <w:sz w:val="20"/>
                <w:szCs w:val="20"/>
              </w:rPr>
              <w:t>Inpatient Days</w:t>
            </w:r>
          </w:p>
        </w:tc>
        <w:tc>
          <w:tcPr>
            <w:tcW w:w="4410" w:type="dxa"/>
            <w:shd w:val="clear" w:color="auto" w:fill="auto"/>
          </w:tcPr>
          <w:p w14:paraId="6E2D9641" w14:textId="7607C148" w:rsidR="00B04813" w:rsidRPr="00181CA6" w:rsidRDefault="00B04813" w:rsidP="00A9321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81CA6">
              <w:rPr>
                <w:rFonts w:cstheme="minorHAnsi"/>
                <w:sz w:val="20"/>
                <w:szCs w:val="20"/>
              </w:rPr>
              <w:t>292,078</w:t>
            </w:r>
          </w:p>
        </w:tc>
      </w:tr>
      <w:tr w:rsidR="00181CA6" w:rsidRPr="00181CA6" w14:paraId="6B22E17E" w14:textId="77777777" w:rsidTr="00230D5B">
        <w:trPr>
          <w:cantSplit/>
        </w:trPr>
        <w:tc>
          <w:tcPr>
            <w:tcW w:w="2970" w:type="dxa"/>
            <w:shd w:val="clear" w:color="auto" w:fill="D9E2F3" w:themeFill="accent1" w:themeFillTint="33"/>
          </w:tcPr>
          <w:p w14:paraId="66840CFB" w14:textId="77777777" w:rsidR="00B04813" w:rsidRPr="00181CA6" w:rsidRDefault="00B04813" w:rsidP="00A93213">
            <w:pPr>
              <w:rPr>
                <w:rFonts w:cstheme="minorHAnsi"/>
                <w:sz w:val="20"/>
                <w:szCs w:val="20"/>
              </w:rPr>
            </w:pPr>
            <w:r w:rsidRPr="00181CA6">
              <w:rPr>
                <w:rFonts w:cstheme="minorHAnsi"/>
                <w:sz w:val="20"/>
                <w:szCs w:val="20"/>
              </w:rPr>
              <w:t>Bedded Outpatient Days</w:t>
            </w:r>
            <w:r w:rsidRPr="00181CA6">
              <w:rPr>
                <w:rStyle w:val="FootnoteReference"/>
                <w:rFonts w:cstheme="minorHAnsi"/>
                <w:sz w:val="20"/>
                <w:szCs w:val="20"/>
              </w:rPr>
              <w:footnoteReference w:id="3"/>
            </w:r>
          </w:p>
        </w:tc>
        <w:tc>
          <w:tcPr>
            <w:tcW w:w="4410" w:type="dxa"/>
            <w:shd w:val="clear" w:color="auto" w:fill="auto"/>
          </w:tcPr>
          <w:p w14:paraId="72F2E407" w14:textId="757D8212" w:rsidR="00B04813" w:rsidRPr="00181CA6" w:rsidRDefault="00B04813" w:rsidP="00A9321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81CA6">
              <w:rPr>
                <w:rFonts w:cstheme="minorHAnsi"/>
                <w:sz w:val="20"/>
                <w:szCs w:val="20"/>
              </w:rPr>
              <w:t>12,013</w:t>
            </w:r>
          </w:p>
        </w:tc>
      </w:tr>
      <w:tr w:rsidR="00181CA6" w:rsidRPr="00181CA6" w14:paraId="6E22431E" w14:textId="77777777" w:rsidTr="00230D5B">
        <w:trPr>
          <w:cantSplit/>
        </w:trPr>
        <w:tc>
          <w:tcPr>
            <w:tcW w:w="2970" w:type="dxa"/>
            <w:shd w:val="clear" w:color="auto" w:fill="D9E2F3" w:themeFill="accent1" w:themeFillTint="33"/>
          </w:tcPr>
          <w:p w14:paraId="34318FD7" w14:textId="77777777" w:rsidR="00B04813" w:rsidRPr="00181CA6" w:rsidRDefault="00B04813" w:rsidP="00A93213">
            <w:pPr>
              <w:rPr>
                <w:rFonts w:cstheme="minorHAnsi"/>
                <w:sz w:val="20"/>
                <w:szCs w:val="20"/>
              </w:rPr>
            </w:pPr>
            <w:r w:rsidRPr="00181CA6">
              <w:rPr>
                <w:rFonts w:cstheme="minorHAnsi"/>
                <w:sz w:val="20"/>
                <w:szCs w:val="20"/>
              </w:rPr>
              <w:t>Total Days</w:t>
            </w:r>
          </w:p>
        </w:tc>
        <w:tc>
          <w:tcPr>
            <w:tcW w:w="4410" w:type="dxa"/>
            <w:shd w:val="clear" w:color="auto" w:fill="auto"/>
          </w:tcPr>
          <w:p w14:paraId="6C6808B0" w14:textId="374D1E21" w:rsidR="00B04813" w:rsidRPr="00181CA6" w:rsidRDefault="00B04813" w:rsidP="00A9321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81CA6">
              <w:rPr>
                <w:rFonts w:cstheme="minorHAnsi"/>
                <w:sz w:val="20"/>
                <w:szCs w:val="20"/>
              </w:rPr>
              <w:t>304,091</w:t>
            </w:r>
          </w:p>
        </w:tc>
      </w:tr>
      <w:tr w:rsidR="00181CA6" w:rsidRPr="00181CA6" w14:paraId="0DEAA698" w14:textId="77777777" w:rsidTr="00230D5B">
        <w:trPr>
          <w:cantSplit/>
        </w:trPr>
        <w:tc>
          <w:tcPr>
            <w:tcW w:w="2970" w:type="dxa"/>
            <w:shd w:val="clear" w:color="auto" w:fill="D9E2F3" w:themeFill="accent1" w:themeFillTint="33"/>
          </w:tcPr>
          <w:p w14:paraId="3375C76A" w14:textId="77777777" w:rsidR="00B04813" w:rsidRPr="00181CA6" w:rsidRDefault="00B04813" w:rsidP="00A93213">
            <w:pPr>
              <w:rPr>
                <w:rFonts w:cstheme="minorHAnsi"/>
                <w:sz w:val="20"/>
                <w:szCs w:val="20"/>
              </w:rPr>
            </w:pPr>
            <w:r w:rsidRPr="00181CA6">
              <w:rPr>
                <w:rFonts w:cstheme="minorHAnsi"/>
                <w:sz w:val="20"/>
                <w:szCs w:val="20"/>
              </w:rPr>
              <w:t xml:space="preserve">Inpatient Occupancy </w:t>
            </w:r>
          </w:p>
        </w:tc>
        <w:tc>
          <w:tcPr>
            <w:tcW w:w="4410" w:type="dxa"/>
            <w:shd w:val="clear" w:color="auto" w:fill="auto"/>
          </w:tcPr>
          <w:p w14:paraId="48700E8A" w14:textId="77777777" w:rsidR="00B04813" w:rsidRPr="00181CA6" w:rsidRDefault="00B04813" w:rsidP="00A9321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81CA6">
              <w:rPr>
                <w:rFonts w:cstheme="minorHAnsi"/>
                <w:sz w:val="20"/>
                <w:szCs w:val="20"/>
              </w:rPr>
              <w:t>80.5%</w:t>
            </w:r>
          </w:p>
        </w:tc>
      </w:tr>
      <w:tr w:rsidR="00181CA6" w:rsidRPr="00181CA6" w14:paraId="42AFE0C8" w14:textId="77777777" w:rsidTr="00230D5B">
        <w:trPr>
          <w:cantSplit/>
        </w:trPr>
        <w:tc>
          <w:tcPr>
            <w:tcW w:w="2970" w:type="dxa"/>
            <w:shd w:val="clear" w:color="auto" w:fill="D9E2F3" w:themeFill="accent1" w:themeFillTint="33"/>
          </w:tcPr>
          <w:p w14:paraId="7E05BC41" w14:textId="77777777" w:rsidR="00B04813" w:rsidRPr="00181CA6" w:rsidRDefault="00B04813" w:rsidP="00A93213">
            <w:pPr>
              <w:rPr>
                <w:rFonts w:cstheme="minorHAnsi"/>
                <w:sz w:val="20"/>
                <w:szCs w:val="20"/>
              </w:rPr>
            </w:pPr>
            <w:r w:rsidRPr="00181CA6">
              <w:rPr>
                <w:rFonts w:cstheme="minorHAnsi"/>
                <w:sz w:val="20"/>
                <w:szCs w:val="20"/>
              </w:rPr>
              <w:t>Bedded Outpatient Occupancy</w:t>
            </w:r>
          </w:p>
        </w:tc>
        <w:tc>
          <w:tcPr>
            <w:tcW w:w="4410" w:type="dxa"/>
            <w:shd w:val="clear" w:color="auto" w:fill="auto"/>
          </w:tcPr>
          <w:p w14:paraId="3D13FBCE" w14:textId="56CA7077" w:rsidR="00B04813" w:rsidRPr="00181CA6" w:rsidRDefault="00B04813" w:rsidP="00A9321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81CA6">
              <w:rPr>
                <w:rFonts w:cstheme="minorHAnsi"/>
                <w:sz w:val="20"/>
                <w:szCs w:val="20"/>
              </w:rPr>
              <w:t>3.</w:t>
            </w:r>
            <w:r w:rsidR="004342CD" w:rsidRPr="00181CA6">
              <w:rPr>
                <w:rFonts w:cstheme="minorHAnsi"/>
                <w:sz w:val="20"/>
                <w:szCs w:val="20"/>
              </w:rPr>
              <w:t>3</w:t>
            </w:r>
            <w:r w:rsidRPr="00181CA6">
              <w:rPr>
                <w:rFonts w:cstheme="minorHAnsi"/>
                <w:sz w:val="20"/>
                <w:szCs w:val="20"/>
              </w:rPr>
              <w:t>%</w:t>
            </w:r>
          </w:p>
        </w:tc>
      </w:tr>
      <w:tr w:rsidR="00181CA6" w:rsidRPr="00181CA6" w14:paraId="70C61766" w14:textId="77777777" w:rsidTr="00230D5B">
        <w:trPr>
          <w:cantSplit/>
        </w:trPr>
        <w:tc>
          <w:tcPr>
            <w:tcW w:w="2970" w:type="dxa"/>
            <w:shd w:val="clear" w:color="auto" w:fill="D9E2F3" w:themeFill="accent1" w:themeFillTint="33"/>
          </w:tcPr>
          <w:p w14:paraId="704F356A" w14:textId="77777777" w:rsidR="00B04813" w:rsidRPr="00181CA6" w:rsidRDefault="00B04813" w:rsidP="00A93213">
            <w:pPr>
              <w:rPr>
                <w:rFonts w:cstheme="minorHAnsi"/>
                <w:sz w:val="20"/>
                <w:szCs w:val="20"/>
              </w:rPr>
            </w:pPr>
            <w:r w:rsidRPr="00181CA6">
              <w:rPr>
                <w:rFonts w:cstheme="minorHAnsi"/>
                <w:sz w:val="20"/>
                <w:szCs w:val="20"/>
              </w:rPr>
              <w:t xml:space="preserve">Total Occupancy </w:t>
            </w:r>
          </w:p>
        </w:tc>
        <w:tc>
          <w:tcPr>
            <w:tcW w:w="4410" w:type="dxa"/>
            <w:shd w:val="clear" w:color="auto" w:fill="auto"/>
          </w:tcPr>
          <w:p w14:paraId="29C11EC4" w14:textId="77777777" w:rsidR="00B04813" w:rsidRPr="00181CA6" w:rsidRDefault="00B04813" w:rsidP="00A9321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81CA6">
              <w:rPr>
                <w:rFonts w:cstheme="minorHAnsi"/>
                <w:sz w:val="20"/>
                <w:szCs w:val="20"/>
              </w:rPr>
              <w:t>83.8%</w:t>
            </w:r>
          </w:p>
        </w:tc>
      </w:tr>
    </w:tbl>
    <w:p w14:paraId="5BD0E251" w14:textId="77777777" w:rsidR="00B04813" w:rsidRPr="00181CA6" w:rsidRDefault="00B04813" w:rsidP="00B04813">
      <w:pPr>
        <w:pStyle w:val="pf0"/>
        <w:spacing w:before="0" w:beforeAutospacing="0" w:after="0" w:afterAutospacing="0"/>
        <w:rPr>
          <w:rStyle w:val="cf01"/>
          <w:rFonts w:asciiTheme="minorHAnsi" w:hAnsiTheme="minorHAnsi" w:cstheme="minorHAnsi"/>
          <w:sz w:val="20"/>
          <w:szCs w:val="20"/>
        </w:rPr>
      </w:pPr>
    </w:p>
    <w:p w14:paraId="3BB88942" w14:textId="77777777" w:rsidR="00B04813" w:rsidRPr="00181CA6" w:rsidRDefault="00B04813" w:rsidP="00B04813">
      <w:pPr>
        <w:pStyle w:val="pf0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</w:p>
    <w:p w14:paraId="70ADE9FE" w14:textId="1F5885DD" w:rsidR="007372FE" w:rsidRPr="00181CA6" w:rsidRDefault="007372FE" w:rsidP="007372FE">
      <w:pPr>
        <w:pStyle w:val="pf0"/>
        <w:numPr>
          <w:ilvl w:val="0"/>
          <w:numId w:val="41"/>
        </w:numPr>
        <w:spacing w:before="0" w:beforeAutospacing="0" w:after="0" w:afterAutospacing="0"/>
        <w:rPr>
          <w:rStyle w:val="cf01"/>
          <w:rFonts w:asciiTheme="minorHAnsi" w:hAnsiTheme="minorHAnsi" w:cstheme="minorHAnsi"/>
          <w:b/>
          <w:bCs/>
          <w:sz w:val="20"/>
          <w:szCs w:val="20"/>
        </w:rPr>
      </w:pPr>
      <w:r w:rsidRPr="00181CA6">
        <w:rPr>
          <w:rStyle w:val="cf01"/>
          <w:rFonts w:asciiTheme="minorHAnsi" w:hAnsiTheme="minorHAnsi" w:cstheme="minorHAnsi"/>
          <w:b/>
          <w:bCs/>
          <w:sz w:val="20"/>
          <w:szCs w:val="20"/>
        </w:rPr>
        <w:t>In comparing Table 1 (p 4 of Amendment Narrative) to Table 3 (page 5 of Amendment Narrative), there appears to be a projection of lower Bedded Outpatient days than the 2019 numbers. Given that the new building will include 3 new OR’s which will provide outpatient cardiac surgeries, please explain the lower projection in Bedded Outpatient days.</w:t>
      </w:r>
    </w:p>
    <w:p w14:paraId="7C2CA2CC" w14:textId="77777777" w:rsidR="00F86110" w:rsidRPr="00181CA6" w:rsidRDefault="00F86110" w:rsidP="00F86110">
      <w:pPr>
        <w:pStyle w:val="pf0"/>
        <w:spacing w:before="0" w:beforeAutospacing="0" w:after="0" w:afterAutospacing="0"/>
        <w:ind w:left="720"/>
        <w:rPr>
          <w:rStyle w:val="cf01"/>
          <w:rFonts w:asciiTheme="minorHAnsi" w:hAnsiTheme="minorHAnsi" w:cstheme="minorHAnsi"/>
          <w:b/>
          <w:bCs/>
          <w:sz w:val="20"/>
          <w:szCs w:val="20"/>
        </w:rPr>
      </w:pPr>
    </w:p>
    <w:p w14:paraId="68CEEAF7" w14:textId="1939C872" w:rsidR="00220EBE" w:rsidRPr="00181CA6" w:rsidRDefault="00220EBE" w:rsidP="00261439">
      <w:pPr>
        <w:pStyle w:val="pf0"/>
        <w:spacing w:before="0" w:beforeAutospacing="0" w:after="120" w:afterAutospacing="0"/>
        <w:ind w:left="720"/>
        <w:jc w:val="both"/>
        <w:rPr>
          <w:rStyle w:val="cf01"/>
          <w:rFonts w:asciiTheme="minorHAnsi" w:hAnsiTheme="minorHAnsi" w:cstheme="minorHAnsi"/>
          <w:sz w:val="20"/>
          <w:szCs w:val="20"/>
        </w:rPr>
      </w:pPr>
      <w:r w:rsidRPr="00181CA6">
        <w:rPr>
          <w:rStyle w:val="cf01"/>
          <w:rFonts w:asciiTheme="minorHAnsi" w:hAnsiTheme="minorHAnsi" w:cstheme="minorHAnsi"/>
          <w:sz w:val="20"/>
          <w:szCs w:val="20"/>
        </w:rPr>
        <w:t xml:space="preserve">The projection for bedded outpatient days assumed they would remain flat with 2023 </w:t>
      </w:r>
      <w:r w:rsidR="003E06CC" w:rsidRPr="00181CA6">
        <w:rPr>
          <w:rStyle w:val="cf01"/>
          <w:rFonts w:asciiTheme="minorHAnsi" w:hAnsiTheme="minorHAnsi" w:cstheme="minorHAnsi"/>
          <w:sz w:val="20"/>
          <w:szCs w:val="20"/>
        </w:rPr>
        <w:t xml:space="preserve">actual </w:t>
      </w:r>
      <w:r w:rsidRPr="00181CA6">
        <w:rPr>
          <w:rStyle w:val="cf01"/>
          <w:rFonts w:asciiTheme="minorHAnsi" w:hAnsiTheme="minorHAnsi" w:cstheme="minorHAnsi"/>
          <w:sz w:val="20"/>
          <w:szCs w:val="20"/>
        </w:rPr>
        <w:t>levels (noting 2023 was slightly lower than 2019).</w:t>
      </w:r>
    </w:p>
    <w:p w14:paraId="5C55D847" w14:textId="2A19ABBA" w:rsidR="007372FE" w:rsidRPr="00181CA6" w:rsidRDefault="00F86110" w:rsidP="00261439">
      <w:pPr>
        <w:pStyle w:val="pf0"/>
        <w:spacing w:before="0" w:beforeAutospacing="0" w:after="120" w:afterAutospacing="0"/>
        <w:ind w:left="720"/>
        <w:jc w:val="both"/>
        <w:rPr>
          <w:rFonts w:asciiTheme="minorHAnsi" w:hAnsiTheme="minorHAnsi" w:cstheme="minorHAnsi"/>
          <w:sz w:val="20"/>
          <w:szCs w:val="20"/>
        </w:rPr>
      </w:pPr>
      <w:r w:rsidRPr="00181CA6">
        <w:rPr>
          <w:rStyle w:val="cf01"/>
          <w:rFonts w:asciiTheme="minorHAnsi" w:hAnsiTheme="minorHAnsi" w:cstheme="minorHAnsi"/>
          <w:sz w:val="20"/>
          <w:szCs w:val="20"/>
        </w:rPr>
        <w:t xml:space="preserve">Outpatients are placed in inpatient beds when a post-acute care unit or recovery bed is not available. </w:t>
      </w:r>
      <w:r w:rsidR="00220EBE" w:rsidRPr="00181CA6">
        <w:rPr>
          <w:rStyle w:val="cf01"/>
          <w:rFonts w:asciiTheme="minorHAnsi" w:hAnsiTheme="minorHAnsi" w:cstheme="minorHAnsi"/>
          <w:sz w:val="20"/>
          <w:szCs w:val="20"/>
        </w:rPr>
        <w:t>The new building design includes</w:t>
      </w:r>
      <w:r w:rsidR="006643F7" w:rsidRPr="00181CA6">
        <w:rPr>
          <w:rStyle w:val="cf01"/>
          <w:rFonts w:asciiTheme="minorHAnsi" w:hAnsiTheme="minorHAnsi" w:cstheme="minorHAnsi"/>
          <w:sz w:val="20"/>
          <w:szCs w:val="20"/>
        </w:rPr>
        <w:t xml:space="preserve"> 13 additional</w:t>
      </w:r>
      <w:r w:rsidRPr="00181CA6">
        <w:rPr>
          <w:rStyle w:val="cf01"/>
          <w:rFonts w:asciiTheme="minorHAnsi" w:hAnsiTheme="minorHAnsi" w:cstheme="minorHAnsi"/>
          <w:sz w:val="20"/>
          <w:szCs w:val="20"/>
        </w:rPr>
        <w:t xml:space="preserve"> peri-operative bays</w:t>
      </w:r>
      <w:r w:rsidR="006643F7" w:rsidRPr="00181CA6">
        <w:rPr>
          <w:rStyle w:val="cf01"/>
          <w:rFonts w:asciiTheme="minorHAnsi" w:hAnsiTheme="minorHAnsi" w:cstheme="minorHAnsi"/>
          <w:sz w:val="20"/>
          <w:szCs w:val="20"/>
        </w:rPr>
        <w:t xml:space="preserve"> to care for patients during recovery</w:t>
      </w:r>
      <w:r w:rsidR="00220EBE" w:rsidRPr="00181CA6">
        <w:rPr>
          <w:rStyle w:val="cf01"/>
          <w:rFonts w:asciiTheme="minorHAnsi" w:hAnsiTheme="minorHAnsi" w:cstheme="minorHAnsi"/>
          <w:sz w:val="20"/>
          <w:szCs w:val="20"/>
        </w:rPr>
        <w:t xml:space="preserve"> as well as expanded urgen</w:t>
      </w:r>
      <w:r w:rsidR="003E06CC" w:rsidRPr="00181CA6">
        <w:rPr>
          <w:rStyle w:val="cf01"/>
          <w:rFonts w:asciiTheme="minorHAnsi" w:hAnsiTheme="minorHAnsi" w:cstheme="minorHAnsi"/>
          <w:sz w:val="20"/>
          <w:szCs w:val="20"/>
        </w:rPr>
        <w:t>t</w:t>
      </w:r>
      <w:r w:rsidR="00220EBE" w:rsidRPr="00181CA6">
        <w:rPr>
          <w:rStyle w:val="cf01"/>
          <w:rFonts w:asciiTheme="minorHAnsi" w:hAnsiTheme="minorHAnsi" w:cstheme="minorHAnsi"/>
          <w:sz w:val="20"/>
          <w:szCs w:val="20"/>
        </w:rPr>
        <w:t xml:space="preserve"> care capacity in the oncology unit </w:t>
      </w:r>
      <w:r w:rsidR="003E06CC" w:rsidRPr="00181CA6">
        <w:rPr>
          <w:rStyle w:val="cf01"/>
          <w:rFonts w:asciiTheme="minorHAnsi" w:hAnsiTheme="minorHAnsi" w:cstheme="minorHAnsi"/>
          <w:sz w:val="20"/>
          <w:szCs w:val="20"/>
        </w:rPr>
        <w:t>for observation care</w:t>
      </w:r>
      <w:r w:rsidRPr="00181CA6">
        <w:rPr>
          <w:rStyle w:val="cf01"/>
          <w:rFonts w:asciiTheme="minorHAnsi" w:hAnsiTheme="minorHAnsi" w:cstheme="minorHAnsi"/>
          <w:sz w:val="20"/>
          <w:szCs w:val="20"/>
        </w:rPr>
        <w:t xml:space="preserve">. </w:t>
      </w:r>
    </w:p>
    <w:p w14:paraId="7E436236" w14:textId="1B0273CF" w:rsidR="00783F1B" w:rsidRPr="00181CA6" w:rsidRDefault="00783F1B" w:rsidP="00783F1B">
      <w:pPr>
        <w:pStyle w:val="pf0"/>
        <w:numPr>
          <w:ilvl w:val="0"/>
          <w:numId w:val="41"/>
        </w:numPr>
        <w:rPr>
          <w:rFonts w:asciiTheme="minorHAnsi" w:hAnsiTheme="minorHAnsi" w:cstheme="minorHAnsi"/>
          <w:b/>
          <w:bCs/>
          <w:sz w:val="20"/>
          <w:szCs w:val="20"/>
        </w:rPr>
      </w:pPr>
      <w:r w:rsidRPr="00181CA6">
        <w:rPr>
          <w:rFonts w:asciiTheme="minorHAnsi" w:hAnsiTheme="minorHAnsi" w:cstheme="minorHAnsi"/>
          <w:b/>
          <w:bCs/>
          <w:sz w:val="20"/>
          <w:szCs w:val="20"/>
        </w:rPr>
        <w:lastRenderedPageBreak/>
        <w:t xml:space="preserve">Please provide details on discharge delays caused by post-acute care placement and </w:t>
      </w:r>
      <w:r w:rsidR="003E23E8" w:rsidRPr="00181CA6">
        <w:rPr>
          <w:rFonts w:asciiTheme="minorHAnsi" w:hAnsiTheme="minorHAnsi" w:cstheme="minorHAnsi"/>
          <w:b/>
          <w:bCs/>
          <w:sz w:val="20"/>
          <w:szCs w:val="20"/>
        </w:rPr>
        <w:t>share any associated data</w:t>
      </w:r>
      <w:r w:rsidRPr="00181CA6">
        <w:rPr>
          <w:rFonts w:asciiTheme="minorHAnsi" w:hAnsiTheme="minorHAnsi" w:cstheme="minorHAnsi"/>
          <w:b/>
          <w:bCs/>
          <w:sz w:val="20"/>
          <w:szCs w:val="20"/>
        </w:rPr>
        <w:t>.</w:t>
      </w:r>
    </w:p>
    <w:p w14:paraId="0F4FAEF2" w14:textId="25EE9778" w:rsidR="00783F1B" w:rsidRPr="00181CA6" w:rsidRDefault="003E06CC" w:rsidP="00261439">
      <w:pPr>
        <w:autoSpaceDE w:val="0"/>
        <w:autoSpaceDN w:val="0"/>
        <w:adjustRightInd w:val="0"/>
        <w:spacing w:before="120" w:after="120" w:line="240" w:lineRule="auto"/>
        <w:ind w:left="806"/>
        <w:jc w:val="both"/>
        <w:rPr>
          <w:rFonts w:cstheme="minorHAnsi"/>
          <w:sz w:val="20"/>
          <w:szCs w:val="20"/>
        </w:rPr>
      </w:pPr>
      <w:r w:rsidRPr="00181CA6">
        <w:rPr>
          <w:rFonts w:cstheme="minorHAnsi"/>
          <w:sz w:val="20"/>
          <w:szCs w:val="20"/>
        </w:rPr>
        <w:t xml:space="preserve">Like many hospitals in Eastern MA, MGH is experiencing delays in transitioning patients to post-acute facilities.  MGH has just recently established a system to collect data on the number of patient days associated with these delays – </w:t>
      </w:r>
      <w:r w:rsidR="003968AD" w:rsidRPr="00181CA6">
        <w:rPr>
          <w:rFonts w:cstheme="minorHAnsi"/>
          <w:sz w:val="20"/>
          <w:szCs w:val="20"/>
        </w:rPr>
        <w:t>inputting an indicator</w:t>
      </w:r>
      <w:r w:rsidRPr="00181CA6">
        <w:rPr>
          <w:rFonts w:cstheme="minorHAnsi"/>
          <w:sz w:val="20"/>
          <w:szCs w:val="20"/>
        </w:rPr>
        <w:t xml:space="preserve"> when patients are medically cleared for discharge.  In the future, </w:t>
      </w:r>
      <w:r w:rsidR="00261439" w:rsidRPr="00181CA6">
        <w:rPr>
          <w:rFonts w:cstheme="minorHAnsi"/>
          <w:sz w:val="20"/>
          <w:szCs w:val="20"/>
        </w:rPr>
        <w:t>MGH intends</w:t>
      </w:r>
      <w:r w:rsidRPr="00181CA6">
        <w:rPr>
          <w:rFonts w:cstheme="minorHAnsi"/>
          <w:sz w:val="20"/>
          <w:szCs w:val="20"/>
        </w:rPr>
        <w:t xml:space="preserve"> to report on the number of delay days for both med/surg and mental health</w:t>
      </w:r>
      <w:r w:rsidR="001E2478" w:rsidRPr="00181CA6">
        <w:rPr>
          <w:rFonts w:cstheme="minorHAnsi"/>
          <w:sz w:val="20"/>
          <w:szCs w:val="20"/>
        </w:rPr>
        <w:t xml:space="preserve"> patient populations</w:t>
      </w:r>
      <w:r w:rsidRPr="00181CA6">
        <w:rPr>
          <w:rFonts w:cstheme="minorHAnsi"/>
          <w:sz w:val="20"/>
          <w:szCs w:val="20"/>
        </w:rPr>
        <w:t>.  Anecdotally</w:t>
      </w:r>
      <w:r w:rsidR="002C6957" w:rsidRPr="00181CA6">
        <w:rPr>
          <w:rFonts w:cstheme="minorHAnsi"/>
          <w:sz w:val="20"/>
          <w:szCs w:val="20"/>
        </w:rPr>
        <w:t>,</w:t>
      </w:r>
      <w:r w:rsidRPr="00181CA6">
        <w:rPr>
          <w:rFonts w:cstheme="minorHAnsi"/>
          <w:sz w:val="20"/>
          <w:szCs w:val="20"/>
        </w:rPr>
        <w:t xml:space="preserve"> the Case Managers believe the most challenging patient</w:t>
      </w:r>
      <w:r w:rsidR="003968AD" w:rsidRPr="00181CA6">
        <w:rPr>
          <w:rFonts w:cstheme="minorHAnsi"/>
          <w:sz w:val="20"/>
          <w:szCs w:val="20"/>
        </w:rPr>
        <w:t xml:space="preserve"> placement</w:t>
      </w:r>
      <w:r w:rsidRPr="00181CA6">
        <w:rPr>
          <w:rFonts w:cstheme="minorHAnsi"/>
          <w:sz w:val="20"/>
          <w:szCs w:val="20"/>
        </w:rPr>
        <w:t xml:space="preserve">s involve mental health and inadequate insurance coverage which are more complicated social issues than staffing at the post-acute facilities.  </w:t>
      </w:r>
      <w:r w:rsidR="002C6957" w:rsidRPr="00181CA6">
        <w:rPr>
          <w:rFonts w:cstheme="minorHAnsi"/>
          <w:sz w:val="20"/>
          <w:szCs w:val="20"/>
        </w:rPr>
        <w:t>Since FY ‘22</w:t>
      </w:r>
      <w:r w:rsidRPr="00181CA6">
        <w:rPr>
          <w:rFonts w:cstheme="minorHAnsi"/>
          <w:sz w:val="20"/>
          <w:szCs w:val="20"/>
        </w:rPr>
        <w:t xml:space="preserve">, </w:t>
      </w:r>
      <w:r w:rsidR="002C6957" w:rsidRPr="00181CA6">
        <w:rPr>
          <w:rFonts w:cstheme="minorHAnsi"/>
          <w:sz w:val="20"/>
          <w:szCs w:val="20"/>
        </w:rPr>
        <w:t>MGB has sought to address the challenge of discharge delays by</w:t>
      </w:r>
      <w:r w:rsidRPr="00181CA6">
        <w:rPr>
          <w:rFonts w:cstheme="minorHAnsi"/>
          <w:sz w:val="20"/>
          <w:szCs w:val="20"/>
        </w:rPr>
        <w:t xml:space="preserve"> c</w:t>
      </w:r>
      <w:r w:rsidR="002F0ED6" w:rsidRPr="00181CA6">
        <w:rPr>
          <w:rFonts w:cstheme="minorHAnsi"/>
          <w:sz w:val="20"/>
          <w:szCs w:val="20"/>
        </w:rPr>
        <w:t>ontract</w:t>
      </w:r>
      <w:r w:rsidR="002C6957" w:rsidRPr="00181CA6">
        <w:rPr>
          <w:rFonts w:cstheme="minorHAnsi"/>
          <w:sz w:val="20"/>
          <w:szCs w:val="20"/>
        </w:rPr>
        <w:t>ing</w:t>
      </w:r>
      <w:r w:rsidRPr="00181CA6">
        <w:rPr>
          <w:rFonts w:cstheme="minorHAnsi"/>
          <w:sz w:val="20"/>
          <w:szCs w:val="20"/>
        </w:rPr>
        <w:t xml:space="preserve"> </w:t>
      </w:r>
      <w:r w:rsidR="002C6957" w:rsidRPr="00181CA6">
        <w:rPr>
          <w:rFonts w:cstheme="minorHAnsi"/>
          <w:sz w:val="20"/>
          <w:szCs w:val="20"/>
        </w:rPr>
        <w:t>for</w:t>
      </w:r>
      <w:r w:rsidRPr="00181CA6">
        <w:rPr>
          <w:rFonts w:cstheme="minorHAnsi"/>
          <w:sz w:val="20"/>
          <w:szCs w:val="20"/>
        </w:rPr>
        <w:t xml:space="preserve"> access to </w:t>
      </w:r>
      <w:r w:rsidR="00381027" w:rsidRPr="00181CA6">
        <w:rPr>
          <w:rFonts w:cstheme="minorHAnsi"/>
          <w:sz w:val="20"/>
          <w:szCs w:val="20"/>
        </w:rPr>
        <w:t xml:space="preserve">69 leased </w:t>
      </w:r>
      <w:r w:rsidR="002C6957" w:rsidRPr="00181CA6">
        <w:rPr>
          <w:rFonts w:cstheme="minorHAnsi"/>
          <w:sz w:val="20"/>
          <w:szCs w:val="20"/>
        </w:rPr>
        <w:t>skilled nursing facility (SNF)</w:t>
      </w:r>
      <w:r w:rsidR="00381027" w:rsidRPr="00181CA6">
        <w:rPr>
          <w:rFonts w:cstheme="minorHAnsi"/>
          <w:sz w:val="20"/>
          <w:szCs w:val="20"/>
        </w:rPr>
        <w:t xml:space="preserve"> beds</w:t>
      </w:r>
      <w:r w:rsidRPr="00181CA6">
        <w:rPr>
          <w:rFonts w:cstheme="minorHAnsi"/>
          <w:sz w:val="20"/>
          <w:szCs w:val="20"/>
        </w:rPr>
        <w:t xml:space="preserve">. </w:t>
      </w:r>
    </w:p>
    <w:p w14:paraId="470A54C7" w14:textId="4B8B419D" w:rsidR="002C6957" w:rsidRPr="00181CA6" w:rsidRDefault="004B6C5B" w:rsidP="00C56C6A">
      <w:pPr>
        <w:pStyle w:val="pf0"/>
        <w:numPr>
          <w:ilvl w:val="0"/>
          <w:numId w:val="41"/>
        </w:numPr>
        <w:spacing w:before="0" w:beforeAutospacing="0"/>
        <w:rPr>
          <w:rFonts w:asciiTheme="minorHAnsi" w:hAnsiTheme="minorHAnsi" w:cstheme="minorHAnsi"/>
          <w:b/>
          <w:bCs/>
          <w:sz w:val="20"/>
          <w:szCs w:val="20"/>
        </w:rPr>
      </w:pPr>
      <w:r w:rsidRPr="00181CA6">
        <w:rPr>
          <w:rFonts w:asciiTheme="minorHAnsi" w:hAnsiTheme="minorHAnsi" w:cstheme="minorHAnsi"/>
          <w:b/>
          <w:bCs/>
          <w:sz w:val="20"/>
          <w:szCs w:val="20"/>
        </w:rPr>
        <w:t>Please provide a breakdown of the ED</w:t>
      </w:r>
      <w:r w:rsidR="00E30D97" w:rsidRPr="00181CA6">
        <w:rPr>
          <w:rFonts w:asciiTheme="minorHAnsi" w:hAnsiTheme="minorHAnsi" w:cstheme="minorHAnsi"/>
          <w:b/>
          <w:bCs/>
          <w:sz w:val="20"/>
          <w:szCs w:val="20"/>
        </w:rPr>
        <w:t xml:space="preserve"> statistics in the table below for FY2019 and FY2023</w:t>
      </w:r>
      <w:r w:rsidR="003752AE" w:rsidRPr="00181CA6">
        <w:rPr>
          <w:rFonts w:asciiTheme="minorHAnsi" w:hAnsiTheme="minorHAnsi" w:cstheme="minorHAnsi"/>
          <w:b/>
          <w:bCs/>
          <w:sz w:val="20"/>
          <w:szCs w:val="20"/>
        </w:rPr>
        <w:t xml:space="preserve">. Please specify whether the </w:t>
      </w:r>
      <w:r w:rsidR="00D024D0" w:rsidRPr="00181CA6">
        <w:rPr>
          <w:rFonts w:asciiTheme="minorHAnsi" w:hAnsiTheme="minorHAnsi" w:cstheme="minorHAnsi"/>
          <w:b/>
          <w:bCs/>
          <w:sz w:val="20"/>
          <w:szCs w:val="20"/>
        </w:rPr>
        <w:t>time is in minutes or hours.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5"/>
        <w:gridCol w:w="1669"/>
        <w:gridCol w:w="1715"/>
        <w:gridCol w:w="1730"/>
        <w:gridCol w:w="1747"/>
        <w:gridCol w:w="1444"/>
      </w:tblGrid>
      <w:tr w:rsidR="00181CA6" w:rsidRPr="00181CA6" w14:paraId="00CF31EF" w14:textId="77777777" w:rsidTr="00230D5B">
        <w:trPr>
          <w:cantSplit/>
          <w:tblHeader/>
          <w:jc w:val="center"/>
        </w:trPr>
        <w:tc>
          <w:tcPr>
            <w:tcW w:w="1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624B44" w14:textId="7F0E7E4B" w:rsidR="00A80FDF" w:rsidRPr="00181CA6" w:rsidRDefault="00A80FDF" w:rsidP="00261439">
            <w:pPr>
              <w:pStyle w:val="pf0"/>
              <w:spacing w:before="0" w:beforeAutospacing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EE3ECA" w14:textId="77777777" w:rsidR="00A80FDF" w:rsidRPr="00181CA6" w:rsidRDefault="00A80FDF" w:rsidP="00261439">
            <w:pPr>
              <w:pStyle w:val="pf0"/>
              <w:spacing w:before="0" w:beforeAutospacing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81CA6">
              <w:rPr>
                <w:rFonts w:asciiTheme="minorHAnsi" w:hAnsiTheme="minorHAnsi" w:cstheme="minorHAnsi"/>
                <w:sz w:val="20"/>
                <w:szCs w:val="20"/>
              </w:rPr>
              <w:t xml:space="preserve">Number of ED </w:t>
            </w:r>
            <w:r w:rsidRPr="00181CA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Boarders</w:t>
            </w:r>
          </w:p>
        </w:tc>
        <w:tc>
          <w:tcPr>
            <w:tcW w:w="17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EBADB0" w14:textId="77777777" w:rsidR="00A80FDF" w:rsidRPr="00181CA6" w:rsidRDefault="00A80FDF" w:rsidP="00261439">
            <w:pPr>
              <w:pStyle w:val="pf0"/>
              <w:spacing w:before="0" w:beforeAutospacing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81CA6">
              <w:rPr>
                <w:rFonts w:asciiTheme="minorHAnsi" w:hAnsiTheme="minorHAnsi" w:cstheme="minorHAnsi"/>
                <w:sz w:val="20"/>
                <w:szCs w:val="20"/>
              </w:rPr>
              <w:t xml:space="preserve">Total number of </w:t>
            </w:r>
            <w:r w:rsidRPr="00181CA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Boarding</w:t>
            </w:r>
            <w:r w:rsidRPr="00181CA6">
              <w:rPr>
                <w:rFonts w:asciiTheme="minorHAnsi" w:hAnsiTheme="minorHAnsi" w:cstheme="minorHAnsi"/>
                <w:sz w:val="20"/>
                <w:szCs w:val="20"/>
              </w:rPr>
              <w:t xml:space="preserve"> patients identified in ED with a M/S diagnosis</w:t>
            </w:r>
          </w:p>
        </w:tc>
        <w:tc>
          <w:tcPr>
            <w:tcW w:w="17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731EC5" w14:textId="77777777" w:rsidR="00A80FDF" w:rsidRPr="00181CA6" w:rsidRDefault="00A80FDF" w:rsidP="00261439">
            <w:pPr>
              <w:pStyle w:val="pf0"/>
              <w:spacing w:before="0" w:beforeAutospacing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81CA6">
              <w:rPr>
                <w:rFonts w:asciiTheme="minorHAnsi" w:hAnsiTheme="minorHAnsi" w:cstheme="minorHAnsi"/>
                <w:sz w:val="20"/>
                <w:szCs w:val="20"/>
              </w:rPr>
              <w:t xml:space="preserve">Average time from ED arrival to ED departure for </w:t>
            </w:r>
            <w:r w:rsidRPr="00181CA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admitted</w:t>
            </w:r>
            <w:r w:rsidRPr="00181CA6">
              <w:rPr>
                <w:rFonts w:asciiTheme="minorHAnsi" w:hAnsiTheme="minorHAnsi" w:cstheme="minorHAnsi"/>
                <w:sz w:val="20"/>
                <w:szCs w:val="20"/>
              </w:rPr>
              <w:t xml:space="preserve"> M/S ED (mins)</w:t>
            </w:r>
          </w:p>
        </w:tc>
        <w:tc>
          <w:tcPr>
            <w:tcW w:w="17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701946" w14:textId="234B2CE7" w:rsidR="00A80FDF" w:rsidRPr="00181CA6" w:rsidRDefault="00A80FDF" w:rsidP="00261439">
            <w:pPr>
              <w:pStyle w:val="pf0"/>
              <w:spacing w:before="0" w:beforeAutospacing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81CA6">
              <w:rPr>
                <w:rFonts w:asciiTheme="minorHAnsi" w:hAnsiTheme="minorHAnsi" w:cstheme="minorHAnsi"/>
                <w:sz w:val="20"/>
                <w:szCs w:val="20"/>
              </w:rPr>
              <w:t>Total number of patients identified in ED with a behavioral health diagnosis</w:t>
            </w:r>
            <w:r w:rsidR="00261439" w:rsidRPr="00181CA6">
              <w:rPr>
                <w:rStyle w:val="FootnoteReference"/>
                <w:rFonts w:asciiTheme="minorHAnsi" w:hAnsiTheme="minorHAnsi" w:cstheme="minorHAnsi"/>
                <w:sz w:val="20"/>
                <w:szCs w:val="20"/>
              </w:rPr>
              <w:footnoteReference w:id="4"/>
            </w:r>
          </w:p>
        </w:tc>
        <w:tc>
          <w:tcPr>
            <w:tcW w:w="1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8664A1" w14:textId="6A0FF882" w:rsidR="00A80FDF" w:rsidRPr="00181CA6" w:rsidRDefault="00A80FDF" w:rsidP="00261439">
            <w:pPr>
              <w:pStyle w:val="pf0"/>
              <w:spacing w:before="0" w:beforeAutospacing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81CA6">
              <w:rPr>
                <w:rFonts w:asciiTheme="minorHAnsi" w:hAnsiTheme="minorHAnsi" w:cstheme="minorHAnsi"/>
                <w:sz w:val="20"/>
                <w:szCs w:val="20"/>
              </w:rPr>
              <w:t xml:space="preserve">Average time from ED arrival to ED departure for BH patients </w:t>
            </w:r>
            <w:r w:rsidR="004B4095" w:rsidRPr="00181CA6">
              <w:rPr>
                <w:rFonts w:asciiTheme="minorHAnsi" w:hAnsiTheme="minorHAnsi" w:cstheme="minorHAnsi"/>
                <w:sz w:val="20"/>
                <w:szCs w:val="20"/>
              </w:rPr>
              <w:t>by month</w:t>
            </w:r>
            <w:r w:rsidRPr="00181CA6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r w:rsidR="00BE174A" w:rsidRPr="00181CA6">
              <w:rPr>
                <w:rFonts w:asciiTheme="minorHAnsi" w:hAnsiTheme="minorHAnsi" w:cstheme="minorHAnsi"/>
                <w:sz w:val="20"/>
                <w:szCs w:val="20"/>
              </w:rPr>
              <w:t xml:space="preserve">in </w:t>
            </w:r>
            <w:proofErr w:type="gramStart"/>
            <w:r w:rsidRPr="00181CA6">
              <w:rPr>
                <w:rFonts w:asciiTheme="minorHAnsi" w:hAnsiTheme="minorHAnsi" w:cstheme="minorHAnsi"/>
                <w:sz w:val="20"/>
                <w:szCs w:val="20"/>
              </w:rPr>
              <w:t>mins)</w:t>
            </w:r>
            <w:r w:rsidR="004B4095" w:rsidRPr="00181CA6">
              <w:rPr>
                <w:rFonts w:asciiTheme="minorHAnsi" w:hAnsiTheme="minorHAnsi" w:cstheme="minorHAnsi"/>
                <w:sz w:val="20"/>
                <w:szCs w:val="20"/>
              </w:rPr>
              <w:t>*</w:t>
            </w:r>
            <w:proofErr w:type="gramEnd"/>
          </w:p>
        </w:tc>
      </w:tr>
      <w:tr w:rsidR="00181CA6" w:rsidRPr="00181CA6" w14:paraId="1CFFCFAF" w14:textId="77777777" w:rsidTr="00230D5B">
        <w:trPr>
          <w:cantSplit/>
          <w:jc w:val="center"/>
        </w:trPr>
        <w:tc>
          <w:tcPr>
            <w:tcW w:w="1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BB4F34" w14:textId="77777777" w:rsidR="008558DA" w:rsidRPr="00181CA6" w:rsidRDefault="008558DA" w:rsidP="00261439">
            <w:pPr>
              <w:pStyle w:val="pf0"/>
              <w:spacing w:before="0" w:beforeAutospacing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81CA6">
              <w:rPr>
                <w:rFonts w:asciiTheme="minorHAnsi" w:hAnsiTheme="minorHAnsi" w:cstheme="minorHAnsi"/>
                <w:sz w:val="20"/>
                <w:szCs w:val="20"/>
              </w:rPr>
              <w:t>FY2019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DA4C44" w14:textId="00C14748" w:rsidR="008558DA" w:rsidRPr="00181CA6" w:rsidRDefault="008558DA" w:rsidP="00261439">
            <w:pPr>
              <w:pStyle w:val="pf0"/>
              <w:spacing w:before="0" w:beforeAutospacing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81CA6">
              <w:rPr>
                <w:rFonts w:asciiTheme="minorHAnsi" w:hAnsiTheme="minorHAnsi" w:cstheme="minorHAnsi"/>
                <w:sz w:val="20"/>
                <w:szCs w:val="20"/>
              </w:rPr>
              <w:t>23,100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ACB1E4" w14:textId="33B48604" w:rsidR="008558DA" w:rsidRPr="00181CA6" w:rsidRDefault="008558DA" w:rsidP="00261439">
            <w:pPr>
              <w:pStyle w:val="pf0"/>
              <w:spacing w:before="0" w:beforeAutospacing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81CA6">
              <w:rPr>
                <w:rFonts w:asciiTheme="minorHAnsi" w:hAnsiTheme="minorHAnsi" w:cstheme="minorHAnsi"/>
                <w:sz w:val="20"/>
                <w:szCs w:val="20"/>
              </w:rPr>
              <w:t>22,385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31709D" w14:textId="4380AC7B" w:rsidR="008558DA" w:rsidRPr="00181CA6" w:rsidRDefault="008558DA" w:rsidP="00261439">
            <w:pPr>
              <w:pStyle w:val="pf0"/>
              <w:spacing w:before="0" w:beforeAutospacing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81CA6">
              <w:rPr>
                <w:rFonts w:asciiTheme="minorHAnsi" w:hAnsiTheme="minorHAnsi" w:cstheme="minorHAnsi"/>
                <w:sz w:val="20"/>
                <w:szCs w:val="20"/>
              </w:rPr>
              <w:t>715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BA0961" w14:textId="77777777" w:rsidR="008558DA" w:rsidRPr="00181CA6" w:rsidRDefault="008558DA" w:rsidP="00261439">
            <w:pPr>
              <w:pStyle w:val="pf0"/>
              <w:spacing w:before="0" w:beforeAutospacing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81CA6">
              <w:rPr>
                <w:rFonts w:asciiTheme="minorHAnsi" w:hAnsiTheme="minorHAnsi" w:cstheme="minorHAnsi"/>
                <w:sz w:val="20"/>
                <w:szCs w:val="20"/>
              </w:rPr>
              <w:t>8,606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06BFFC" w14:textId="2DCCA048" w:rsidR="008558DA" w:rsidRPr="00181CA6" w:rsidRDefault="008558DA" w:rsidP="00261439">
            <w:pPr>
              <w:pStyle w:val="pf0"/>
              <w:spacing w:before="0" w:beforeAutospacing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81CA6">
              <w:rPr>
                <w:rFonts w:asciiTheme="minorHAnsi" w:hAnsiTheme="minorHAnsi" w:cstheme="minorHAnsi"/>
                <w:sz w:val="20"/>
                <w:szCs w:val="20"/>
              </w:rPr>
              <w:t>See table below</w:t>
            </w:r>
          </w:p>
        </w:tc>
      </w:tr>
      <w:tr w:rsidR="008558DA" w:rsidRPr="00181CA6" w14:paraId="200AFC46" w14:textId="77777777" w:rsidTr="00230D5B">
        <w:trPr>
          <w:cantSplit/>
          <w:trHeight w:val="34"/>
          <w:jc w:val="center"/>
        </w:trPr>
        <w:tc>
          <w:tcPr>
            <w:tcW w:w="1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CF3BB3" w14:textId="77777777" w:rsidR="008558DA" w:rsidRPr="00181CA6" w:rsidRDefault="008558DA" w:rsidP="00261439">
            <w:pPr>
              <w:pStyle w:val="pf0"/>
              <w:spacing w:before="0" w:beforeAutospacing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81CA6">
              <w:rPr>
                <w:rFonts w:asciiTheme="minorHAnsi" w:hAnsiTheme="minorHAnsi" w:cstheme="minorHAnsi"/>
                <w:sz w:val="20"/>
                <w:szCs w:val="20"/>
              </w:rPr>
              <w:t>FY2023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3214AC" w14:textId="6C2FD5E3" w:rsidR="008558DA" w:rsidRPr="00181CA6" w:rsidRDefault="008558DA" w:rsidP="0026143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81CA6">
              <w:rPr>
                <w:rFonts w:cstheme="minorHAnsi"/>
                <w:sz w:val="20"/>
                <w:szCs w:val="20"/>
              </w:rPr>
              <w:t>24,388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4FF1BB" w14:textId="1FD38334" w:rsidR="008558DA" w:rsidRPr="00181CA6" w:rsidRDefault="008558DA" w:rsidP="00261439">
            <w:pPr>
              <w:pStyle w:val="pf0"/>
              <w:spacing w:before="0" w:beforeAutospacing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81CA6">
              <w:rPr>
                <w:rFonts w:asciiTheme="minorHAnsi" w:hAnsiTheme="minorHAnsi" w:cstheme="minorHAnsi"/>
                <w:sz w:val="20"/>
                <w:szCs w:val="20"/>
              </w:rPr>
              <w:t>23,522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99EAC" w14:textId="5E2EFE24" w:rsidR="008558DA" w:rsidRPr="00181CA6" w:rsidRDefault="008558DA" w:rsidP="00261439">
            <w:pPr>
              <w:pStyle w:val="pf0"/>
              <w:spacing w:before="0" w:beforeAutospacing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81CA6">
              <w:rPr>
                <w:rFonts w:asciiTheme="minorHAnsi" w:hAnsiTheme="minorHAnsi" w:cstheme="minorHAnsi"/>
                <w:sz w:val="20"/>
                <w:szCs w:val="20"/>
              </w:rPr>
              <w:t>1,226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49238C" w14:textId="77777777" w:rsidR="008558DA" w:rsidRPr="00181CA6" w:rsidRDefault="008558DA" w:rsidP="00261439">
            <w:pPr>
              <w:pStyle w:val="pf0"/>
              <w:spacing w:before="0" w:beforeAutospacing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81CA6">
              <w:rPr>
                <w:rFonts w:asciiTheme="minorHAnsi" w:hAnsiTheme="minorHAnsi" w:cstheme="minorHAnsi"/>
                <w:sz w:val="20"/>
                <w:szCs w:val="20"/>
              </w:rPr>
              <w:t>8,841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E57D77" w14:textId="4EFB62D9" w:rsidR="008558DA" w:rsidRPr="00181CA6" w:rsidRDefault="008558DA" w:rsidP="00261439">
            <w:pPr>
              <w:pStyle w:val="pf0"/>
              <w:spacing w:before="0" w:beforeAutospacing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81CA6">
              <w:rPr>
                <w:rFonts w:asciiTheme="minorHAnsi" w:hAnsiTheme="minorHAnsi" w:cstheme="minorHAnsi"/>
                <w:sz w:val="20"/>
                <w:szCs w:val="20"/>
              </w:rPr>
              <w:t>See table below</w:t>
            </w:r>
          </w:p>
        </w:tc>
      </w:tr>
    </w:tbl>
    <w:p w14:paraId="5E40233C" w14:textId="77777777" w:rsidR="00261439" w:rsidRPr="00181CA6" w:rsidRDefault="00261439" w:rsidP="00634013">
      <w:pPr>
        <w:pStyle w:val="pf0"/>
        <w:spacing w:before="0" w:beforeAutospacing="0"/>
        <w:rPr>
          <w:rFonts w:asciiTheme="minorHAnsi" w:hAnsiTheme="minorHAnsi" w:cstheme="minorHAnsi"/>
          <w:sz w:val="20"/>
          <w:szCs w:val="20"/>
        </w:rPr>
      </w:pPr>
    </w:p>
    <w:p w14:paraId="479B67A4" w14:textId="141F69FF" w:rsidR="00261439" w:rsidRPr="00181CA6" w:rsidRDefault="00261439" w:rsidP="00261439">
      <w:pPr>
        <w:pStyle w:val="pf0"/>
        <w:spacing w:before="0" w:beforeAutospacing="0"/>
        <w:ind w:firstLine="720"/>
        <w:rPr>
          <w:rFonts w:asciiTheme="minorHAnsi" w:hAnsiTheme="minorHAnsi" w:cstheme="minorHAnsi"/>
          <w:b/>
          <w:bCs/>
          <w:sz w:val="20"/>
          <w:szCs w:val="20"/>
        </w:rPr>
      </w:pPr>
      <w:r w:rsidRPr="00181CA6">
        <w:rPr>
          <w:rFonts w:asciiTheme="minorHAnsi" w:hAnsiTheme="minorHAnsi" w:cstheme="minorHAnsi"/>
          <w:b/>
          <w:bCs/>
          <w:sz w:val="20"/>
          <w:szCs w:val="20"/>
        </w:rPr>
        <w:t>Table A: Average time from ED arrival to ED departure for BH patients by month (mins)</w:t>
      </w:r>
      <w:r w:rsidR="00634013" w:rsidRPr="00181CA6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</w:p>
    <w:tbl>
      <w:tblPr>
        <w:tblW w:w="3320" w:type="dxa"/>
        <w:tblInd w:w="7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3"/>
        <w:gridCol w:w="1295"/>
        <w:gridCol w:w="1162"/>
      </w:tblGrid>
      <w:tr w:rsidR="00181CA6" w:rsidRPr="00181CA6" w14:paraId="6F911BF7" w14:textId="77777777" w:rsidTr="00230D5B">
        <w:trPr>
          <w:cantSplit/>
          <w:trHeight w:val="288"/>
          <w:tblHeader/>
        </w:trPr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CC57CBF" w14:textId="77777777" w:rsidR="00FC0FC1" w:rsidRPr="00181CA6" w:rsidRDefault="00FC0FC1" w:rsidP="00FC0FC1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181CA6">
              <w:rPr>
                <w:rFonts w:eastAsia="Times New Roman" w:cstheme="minorHAnsi"/>
                <w:b/>
                <w:bCs/>
                <w:sz w:val="20"/>
                <w:szCs w:val="20"/>
              </w:rPr>
              <w:t>Month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14:paraId="3F4FA2D3" w14:textId="77777777" w:rsidR="00FC0FC1" w:rsidRPr="00181CA6" w:rsidRDefault="00FC0FC1" w:rsidP="0026143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181CA6">
              <w:rPr>
                <w:rFonts w:eastAsia="Times New Roman" w:cstheme="minorHAnsi"/>
                <w:b/>
                <w:bCs/>
                <w:sz w:val="20"/>
                <w:szCs w:val="20"/>
              </w:rPr>
              <w:t>FY19</w:t>
            </w:r>
          </w:p>
        </w:tc>
        <w:tc>
          <w:tcPr>
            <w:tcW w:w="1162" w:type="dxa"/>
            <w:shd w:val="clear" w:color="auto" w:fill="auto"/>
            <w:noWrap/>
            <w:vAlign w:val="bottom"/>
            <w:hideMark/>
          </w:tcPr>
          <w:p w14:paraId="6D2640CE" w14:textId="77777777" w:rsidR="00FC0FC1" w:rsidRPr="00181CA6" w:rsidRDefault="00FC0FC1" w:rsidP="0026143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181CA6">
              <w:rPr>
                <w:rFonts w:eastAsia="Times New Roman" w:cstheme="minorHAnsi"/>
                <w:b/>
                <w:bCs/>
                <w:sz w:val="20"/>
                <w:szCs w:val="20"/>
              </w:rPr>
              <w:t>FY23</w:t>
            </w:r>
          </w:p>
        </w:tc>
      </w:tr>
      <w:tr w:rsidR="00181CA6" w:rsidRPr="00181CA6" w14:paraId="54A83807" w14:textId="77777777" w:rsidTr="00230D5B">
        <w:trPr>
          <w:cantSplit/>
          <w:trHeight w:val="288"/>
        </w:trPr>
        <w:tc>
          <w:tcPr>
            <w:tcW w:w="863" w:type="dxa"/>
            <w:shd w:val="clear" w:color="auto" w:fill="auto"/>
            <w:noWrap/>
            <w:vAlign w:val="bottom"/>
            <w:hideMark/>
          </w:tcPr>
          <w:p w14:paraId="2CEAB9C2" w14:textId="77777777" w:rsidR="00FC0FC1" w:rsidRPr="00181CA6" w:rsidRDefault="00FC0FC1" w:rsidP="00FC0FC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181CA6">
              <w:rPr>
                <w:rFonts w:eastAsia="Times New Roman" w:cstheme="minorHAnsi"/>
                <w:sz w:val="20"/>
                <w:szCs w:val="20"/>
              </w:rPr>
              <w:t>Oct</w:t>
            </w:r>
          </w:p>
        </w:tc>
        <w:tc>
          <w:tcPr>
            <w:tcW w:w="1295" w:type="dxa"/>
            <w:shd w:val="clear" w:color="auto" w:fill="auto"/>
            <w:noWrap/>
            <w:vAlign w:val="bottom"/>
            <w:hideMark/>
          </w:tcPr>
          <w:p w14:paraId="43E51806" w14:textId="6393CE00" w:rsidR="00FC0FC1" w:rsidRPr="00181CA6" w:rsidRDefault="00FC0FC1" w:rsidP="0026143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81CA6">
              <w:rPr>
                <w:rFonts w:eastAsia="Times New Roman" w:cstheme="minorHAnsi"/>
                <w:sz w:val="20"/>
                <w:szCs w:val="20"/>
              </w:rPr>
              <w:t>1,230</w:t>
            </w:r>
          </w:p>
        </w:tc>
        <w:tc>
          <w:tcPr>
            <w:tcW w:w="1162" w:type="dxa"/>
            <w:shd w:val="clear" w:color="auto" w:fill="auto"/>
            <w:noWrap/>
            <w:vAlign w:val="bottom"/>
            <w:hideMark/>
          </w:tcPr>
          <w:p w14:paraId="46D78222" w14:textId="5BAB892D" w:rsidR="00FC0FC1" w:rsidRPr="00181CA6" w:rsidRDefault="00FC0FC1" w:rsidP="0026143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81CA6">
              <w:rPr>
                <w:rFonts w:eastAsia="Times New Roman" w:cstheme="minorHAnsi"/>
                <w:sz w:val="20"/>
                <w:szCs w:val="20"/>
              </w:rPr>
              <w:t>2,122</w:t>
            </w:r>
          </w:p>
        </w:tc>
      </w:tr>
      <w:tr w:rsidR="00181CA6" w:rsidRPr="00181CA6" w14:paraId="354D0627" w14:textId="77777777" w:rsidTr="00230D5B">
        <w:trPr>
          <w:cantSplit/>
          <w:trHeight w:val="288"/>
        </w:trPr>
        <w:tc>
          <w:tcPr>
            <w:tcW w:w="863" w:type="dxa"/>
            <w:shd w:val="clear" w:color="auto" w:fill="auto"/>
            <w:noWrap/>
            <w:vAlign w:val="bottom"/>
            <w:hideMark/>
          </w:tcPr>
          <w:p w14:paraId="547A510A" w14:textId="77777777" w:rsidR="00FC0FC1" w:rsidRPr="00181CA6" w:rsidRDefault="00FC0FC1" w:rsidP="00FC0FC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181CA6">
              <w:rPr>
                <w:rFonts w:eastAsia="Times New Roman" w:cstheme="minorHAnsi"/>
                <w:sz w:val="20"/>
                <w:szCs w:val="20"/>
              </w:rPr>
              <w:t>Nov</w:t>
            </w:r>
          </w:p>
        </w:tc>
        <w:tc>
          <w:tcPr>
            <w:tcW w:w="1295" w:type="dxa"/>
            <w:shd w:val="clear" w:color="auto" w:fill="auto"/>
            <w:noWrap/>
            <w:vAlign w:val="bottom"/>
            <w:hideMark/>
          </w:tcPr>
          <w:p w14:paraId="7383C712" w14:textId="2F50A3B4" w:rsidR="00FC0FC1" w:rsidRPr="00181CA6" w:rsidRDefault="00FC0FC1" w:rsidP="0026143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81CA6">
              <w:rPr>
                <w:rFonts w:eastAsia="Times New Roman" w:cstheme="minorHAnsi"/>
                <w:sz w:val="20"/>
                <w:szCs w:val="20"/>
              </w:rPr>
              <w:t>1,310</w:t>
            </w:r>
          </w:p>
        </w:tc>
        <w:tc>
          <w:tcPr>
            <w:tcW w:w="1162" w:type="dxa"/>
            <w:shd w:val="clear" w:color="auto" w:fill="auto"/>
            <w:noWrap/>
            <w:vAlign w:val="bottom"/>
            <w:hideMark/>
          </w:tcPr>
          <w:p w14:paraId="2178E099" w14:textId="2D8EEAB8" w:rsidR="00FC0FC1" w:rsidRPr="00181CA6" w:rsidRDefault="00FC0FC1" w:rsidP="0026143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81CA6">
              <w:rPr>
                <w:rFonts w:eastAsia="Times New Roman" w:cstheme="minorHAnsi"/>
                <w:sz w:val="20"/>
                <w:szCs w:val="20"/>
              </w:rPr>
              <w:t>1,952</w:t>
            </w:r>
          </w:p>
        </w:tc>
      </w:tr>
      <w:tr w:rsidR="00181CA6" w:rsidRPr="00181CA6" w14:paraId="73B86A08" w14:textId="77777777" w:rsidTr="00230D5B">
        <w:trPr>
          <w:cantSplit/>
          <w:trHeight w:val="288"/>
        </w:trPr>
        <w:tc>
          <w:tcPr>
            <w:tcW w:w="863" w:type="dxa"/>
            <w:shd w:val="clear" w:color="auto" w:fill="auto"/>
            <w:noWrap/>
            <w:vAlign w:val="bottom"/>
            <w:hideMark/>
          </w:tcPr>
          <w:p w14:paraId="66F1E553" w14:textId="77777777" w:rsidR="00FC0FC1" w:rsidRPr="00181CA6" w:rsidRDefault="00FC0FC1" w:rsidP="00FC0FC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181CA6">
              <w:rPr>
                <w:rFonts w:eastAsia="Times New Roman" w:cstheme="minorHAnsi"/>
                <w:sz w:val="20"/>
                <w:szCs w:val="20"/>
              </w:rPr>
              <w:t>Dec</w:t>
            </w:r>
          </w:p>
        </w:tc>
        <w:tc>
          <w:tcPr>
            <w:tcW w:w="1295" w:type="dxa"/>
            <w:shd w:val="clear" w:color="auto" w:fill="auto"/>
            <w:noWrap/>
            <w:vAlign w:val="bottom"/>
            <w:hideMark/>
          </w:tcPr>
          <w:p w14:paraId="68F79537" w14:textId="54EA775C" w:rsidR="00FC0FC1" w:rsidRPr="00181CA6" w:rsidRDefault="00FC0FC1" w:rsidP="0026143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81CA6">
              <w:rPr>
                <w:rFonts w:eastAsia="Times New Roman" w:cstheme="minorHAnsi"/>
                <w:sz w:val="20"/>
                <w:szCs w:val="20"/>
              </w:rPr>
              <w:t>1,299</w:t>
            </w:r>
          </w:p>
        </w:tc>
        <w:tc>
          <w:tcPr>
            <w:tcW w:w="1162" w:type="dxa"/>
            <w:shd w:val="clear" w:color="auto" w:fill="auto"/>
            <w:noWrap/>
            <w:vAlign w:val="bottom"/>
            <w:hideMark/>
          </w:tcPr>
          <w:p w14:paraId="7D2446AE" w14:textId="78F68A58" w:rsidR="00FC0FC1" w:rsidRPr="00181CA6" w:rsidRDefault="00FC0FC1" w:rsidP="0026143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81CA6">
              <w:rPr>
                <w:rFonts w:eastAsia="Times New Roman" w:cstheme="minorHAnsi"/>
                <w:sz w:val="20"/>
                <w:szCs w:val="20"/>
              </w:rPr>
              <w:t>2,063</w:t>
            </w:r>
          </w:p>
        </w:tc>
      </w:tr>
      <w:tr w:rsidR="00181CA6" w:rsidRPr="00181CA6" w14:paraId="05D3DB35" w14:textId="77777777" w:rsidTr="00230D5B">
        <w:trPr>
          <w:cantSplit/>
          <w:trHeight w:val="288"/>
        </w:trPr>
        <w:tc>
          <w:tcPr>
            <w:tcW w:w="863" w:type="dxa"/>
            <w:shd w:val="clear" w:color="auto" w:fill="auto"/>
            <w:noWrap/>
            <w:vAlign w:val="bottom"/>
            <w:hideMark/>
          </w:tcPr>
          <w:p w14:paraId="04C8B99C" w14:textId="77777777" w:rsidR="00FC0FC1" w:rsidRPr="00181CA6" w:rsidRDefault="00FC0FC1" w:rsidP="00FC0FC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181CA6">
              <w:rPr>
                <w:rFonts w:eastAsia="Times New Roman" w:cstheme="minorHAnsi"/>
                <w:sz w:val="20"/>
                <w:szCs w:val="20"/>
              </w:rPr>
              <w:t>Jan</w:t>
            </w:r>
          </w:p>
        </w:tc>
        <w:tc>
          <w:tcPr>
            <w:tcW w:w="1295" w:type="dxa"/>
            <w:shd w:val="clear" w:color="auto" w:fill="auto"/>
            <w:noWrap/>
            <w:vAlign w:val="bottom"/>
            <w:hideMark/>
          </w:tcPr>
          <w:p w14:paraId="23853D29" w14:textId="46514004" w:rsidR="00FC0FC1" w:rsidRPr="00181CA6" w:rsidRDefault="00FC0FC1" w:rsidP="0026143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81CA6">
              <w:rPr>
                <w:rFonts w:eastAsia="Times New Roman" w:cstheme="minorHAnsi"/>
                <w:sz w:val="20"/>
                <w:szCs w:val="20"/>
              </w:rPr>
              <w:t>1,138</w:t>
            </w:r>
          </w:p>
        </w:tc>
        <w:tc>
          <w:tcPr>
            <w:tcW w:w="1162" w:type="dxa"/>
            <w:shd w:val="clear" w:color="auto" w:fill="auto"/>
            <w:noWrap/>
            <w:vAlign w:val="bottom"/>
            <w:hideMark/>
          </w:tcPr>
          <w:p w14:paraId="49881D2B" w14:textId="5F23C0E9" w:rsidR="00FC0FC1" w:rsidRPr="00181CA6" w:rsidRDefault="00FC0FC1" w:rsidP="0026143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81CA6">
              <w:rPr>
                <w:rFonts w:eastAsia="Times New Roman" w:cstheme="minorHAnsi"/>
                <w:sz w:val="20"/>
                <w:szCs w:val="20"/>
              </w:rPr>
              <w:t>1,864</w:t>
            </w:r>
          </w:p>
        </w:tc>
      </w:tr>
      <w:tr w:rsidR="00181CA6" w:rsidRPr="00181CA6" w14:paraId="4B0BF43E" w14:textId="77777777" w:rsidTr="00230D5B">
        <w:trPr>
          <w:cantSplit/>
          <w:trHeight w:val="288"/>
        </w:trPr>
        <w:tc>
          <w:tcPr>
            <w:tcW w:w="863" w:type="dxa"/>
            <w:shd w:val="clear" w:color="auto" w:fill="auto"/>
            <w:noWrap/>
            <w:vAlign w:val="bottom"/>
            <w:hideMark/>
          </w:tcPr>
          <w:p w14:paraId="2B8D38E7" w14:textId="77777777" w:rsidR="00FC0FC1" w:rsidRPr="00181CA6" w:rsidRDefault="00FC0FC1" w:rsidP="00FC0FC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181CA6">
              <w:rPr>
                <w:rFonts w:eastAsia="Times New Roman" w:cstheme="minorHAnsi"/>
                <w:sz w:val="20"/>
                <w:szCs w:val="20"/>
              </w:rPr>
              <w:t>Feb</w:t>
            </w:r>
          </w:p>
        </w:tc>
        <w:tc>
          <w:tcPr>
            <w:tcW w:w="1295" w:type="dxa"/>
            <w:shd w:val="clear" w:color="auto" w:fill="auto"/>
            <w:noWrap/>
            <w:vAlign w:val="bottom"/>
            <w:hideMark/>
          </w:tcPr>
          <w:p w14:paraId="63CCB5AE" w14:textId="6B12B2D4" w:rsidR="00FC0FC1" w:rsidRPr="00181CA6" w:rsidRDefault="00FC0FC1" w:rsidP="0026143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81CA6">
              <w:rPr>
                <w:rFonts w:eastAsia="Times New Roman" w:cstheme="minorHAnsi"/>
                <w:sz w:val="20"/>
                <w:szCs w:val="20"/>
              </w:rPr>
              <w:t>1,165</w:t>
            </w:r>
          </w:p>
        </w:tc>
        <w:tc>
          <w:tcPr>
            <w:tcW w:w="1162" w:type="dxa"/>
            <w:shd w:val="clear" w:color="auto" w:fill="auto"/>
            <w:noWrap/>
            <w:vAlign w:val="bottom"/>
            <w:hideMark/>
          </w:tcPr>
          <w:p w14:paraId="3F62C427" w14:textId="4972AE56" w:rsidR="00FC0FC1" w:rsidRPr="00181CA6" w:rsidRDefault="00FC0FC1" w:rsidP="0026143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81CA6">
              <w:rPr>
                <w:rFonts w:eastAsia="Times New Roman" w:cstheme="minorHAnsi"/>
                <w:sz w:val="20"/>
                <w:szCs w:val="20"/>
              </w:rPr>
              <w:t>1,883</w:t>
            </w:r>
          </w:p>
        </w:tc>
      </w:tr>
      <w:tr w:rsidR="00181CA6" w:rsidRPr="00181CA6" w14:paraId="0B35BC71" w14:textId="77777777" w:rsidTr="00230D5B">
        <w:trPr>
          <w:cantSplit/>
          <w:trHeight w:val="288"/>
        </w:trPr>
        <w:tc>
          <w:tcPr>
            <w:tcW w:w="863" w:type="dxa"/>
            <w:shd w:val="clear" w:color="auto" w:fill="auto"/>
            <w:noWrap/>
            <w:vAlign w:val="bottom"/>
            <w:hideMark/>
          </w:tcPr>
          <w:p w14:paraId="24A5D3D4" w14:textId="77777777" w:rsidR="00FC0FC1" w:rsidRPr="00181CA6" w:rsidRDefault="00FC0FC1" w:rsidP="00FC0FC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181CA6">
              <w:rPr>
                <w:rFonts w:eastAsia="Times New Roman" w:cstheme="minorHAnsi"/>
                <w:sz w:val="20"/>
                <w:szCs w:val="20"/>
              </w:rPr>
              <w:t>Mar</w:t>
            </w:r>
          </w:p>
        </w:tc>
        <w:tc>
          <w:tcPr>
            <w:tcW w:w="1295" w:type="dxa"/>
            <w:shd w:val="clear" w:color="auto" w:fill="auto"/>
            <w:noWrap/>
            <w:vAlign w:val="bottom"/>
            <w:hideMark/>
          </w:tcPr>
          <w:p w14:paraId="08BC35AD" w14:textId="6D96572F" w:rsidR="00FC0FC1" w:rsidRPr="00181CA6" w:rsidRDefault="00FC0FC1" w:rsidP="0026143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81CA6">
              <w:rPr>
                <w:rFonts w:eastAsia="Times New Roman" w:cstheme="minorHAnsi"/>
                <w:sz w:val="20"/>
                <w:szCs w:val="20"/>
              </w:rPr>
              <w:t>1,043</w:t>
            </w:r>
          </w:p>
        </w:tc>
        <w:tc>
          <w:tcPr>
            <w:tcW w:w="1162" w:type="dxa"/>
            <w:shd w:val="clear" w:color="auto" w:fill="auto"/>
            <w:noWrap/>
            <w:vAlign w:val="bottom"/>
            <w:hideMark/>
          </w:tcPr>
          <w:p w14:paraId="3763D02A" w14:textId="5DBC9E29" w:rsidR="00FC0FC1" w:rsidRPr="00181CA6" w:rsidRDefault="00FC0FC1" w:rsidP="0026143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81CA6">
              <w:rPr>
                <w:rFonts w:eastAsia="Times New Roman" w:cstheme="minorHAnsi"/>
                <w:sz w:val="20"/>
                <w:szCs w:val="20"/>
              </w:rPr>
              <w:t>1,851</w:t>
            </w:r>
          </w:p>
        </w:tc>
      </w:tr>
      <w:tr w:rsidR="00181CA6" w:rsidRPr="00181CA6" w14:paraId="743CA944" w14:textId="77777777" w:rsidTr="00230D5B">
        <w:trPr>
          <w:cantSplit/>
          <w:trHeight w:val="288"/>
        </w:trPr>
        <w:tc>
          <w:tcPr>
            <w:tcW w:w="863" w:type="dxa"/>
            <w:shd w:val="clear" w:color="auto" w:fill="auto"/>
            <w:noWrap/>
            <w:vAlign w:val="bottom"/>
            <w:hideMark/>
          </w:tcPr>
          <w:p w14:paraId="278B0515" w14:textId="77777777" w:rsidR="00FC0FC1" w:rsidRPr="00181CA6" w:rsidRDefault="00FC0FC1" w:rsidP="00FC0FC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181CA6">
              <w:rPr>
                <w:rFonts w:eastAsia="Times New Roman" w:cstheme="minorHAnsi"/>
                <w:sz w:val="20"/>
                <w:szCs w:val="20"/>
              </w:rPr>
              <w:t>Apr</w:t>
            </w:r>
          </w:p>
        </w:tc>
        <w:tc>
          <w:tcPr>
            <w:tcW w:w="1295" w:type="dxa"/>
            <w:shd w:val="clear" w:color="auto" w:fill="auto"/>
            <w:noWrap/>
            <w:vAlign w:val="bottom"/>
            <w:hideMark/>
          </w:tcPr>
          <w:p w14:paraId="1B4EBBCA" w14:textId="01DCCB4E" w:rsidR="00FC0FC1" w:rsidRPr="00181CA6" w:rsidRDefault="00FC0FC1" w:rsidP="0026143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81CA6">
              <w:rPr>
                <w:rFonts w:eastAsia="Times New Roman" w:cstheme="minorHAnsi"/>
                <w:sz w:val="20"/>
                <w:szCs w:val="20"/>
              </w:rPr>
              <w:t>1,068</w:t>
            </w:r>
          </w:p>
        </w:tc>
        <w:tc>
          <w:tcPr>
            <w:tcW w:w="1162" w:type="dxa"/>
            <w:shd w:val="clear" w:color="auto" w:fill="auto"/>
            <w:noWrap/>
            <w:vAlign w:val="bottom"/>
            <w:hideMark/>
          </w:tcPr>
          <w:p w14:paraId="368700F6" w14:textId="7E33BFE6" w:rsidR="00FC0FC1" w:rsidRPr="00181CA6" w:rsidRDefault="00FC0FC1" w:rsidP="0026143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81CA6">
              <w:rPr>
                <w:rFonts w:eastAsia="Times New Roman" w:cstheme="minorHAnsi"/>
                <w:sz w:val="20"/>
                <w:szCs w:val="20"/>
              </w:rPr>
              <w:t>2,020</w:t>
            </w:r>
          </w:p>
        </w:tc>
      </w:tr>
      <w:tr w:rsidR="00181CA6" w:rsidRPr="00181CA6" w14:paraId="1BDFB956" w14:textId="77777777" w:rsidTr="00230D5B">
        <w:trPr>
          <w:cantSplit/>
          <w:trHeight w:val="288"/>
        </w:trPr>
        <w:tc>
          <w:tcPr>
            <w:tcW w:w="863" w:type="dxa"/>
            <w:shd w:val="clear" w:color="auto" w:fill="auto"/>
            <w:noWrap/>
            <w:vAlign w:val="bottom"/>
            <w:hideMark/>
          </w:tcPr>
          <w:p w14:paraId="563695FB" w14:textId="77777777" w:rsidR="00FC0FC1" w:rsidRPr="00181CA6" w:rsidRDefault="00FC0FC1" w:rsidP="00FC0FC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181CA6">
              <w:rPr>
                <w:rFonts w:eastAsia="Times New Roman" w:cstheme="minorHAnsi"/>
                <w:sz w:val="20"/>
                <w:szCs w:val="20"/>
              </w:rPr>
              <w:t>May</w:t>
            </w:r>
          </w:p>
        </w:tc>
        <w:tc>
          <w:tcPr>
            <w:tcW w:w="1295" w:type="dxa"/>
            <w:shd w:val="clear" w:color="auto" w:fill="auto"/>
            <w:noWrap/>
            <w:vAlign w:val="bottom"/>
            <w:hideMark/>
          </w:tcPr>
          <w:p w14:paraId="072496D4" w14:textId="5179E473" w:rsidR="00FC0FC1" w:rsidRPr="00181CA6" w:rsidRDefault="00FC0FC1" w:rsidP="0026143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81CA6">
              <w:rPr>
                <w:rFonts w:eastAsia="Times New Roman" w:cstheme="minorHAnsi"/>
                <w:sz w:val="20"/>
                <w:szCs w:val="20"/>
              </w:rPr>
              <w:t>1,188</w:t>
            </w:r>
          </w:p>
        </w:tc>
        <w:tc>
          <w:tcPr>
            <w:tcW w:w="1162" w:type="dxa"/>
            <w:shd w:val="clear" w:color="auto" w:fill="auto"/>
            <w:noWrap/>
            <w:vAlign w:val="bottom"/>
            <w:hideMark/>
          </w:tcPr>
          <w:p w14:paraId="21BAF1EC" w14:textId="7E2404F9" w:rsidR="00FC0FC1" w:rsidRPr="00181CA6" w:rsidRDefault="00FC0FC1" w:rsidP="0026143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81CA6">
              <w:rPr>
                <w:rFonts w:eastAsia="Times New Roman" w:cstheme="minorHAnsi"/>
                <w:sz w:val="20"/>
                <w:szCs w:val="20"/>
              </w:rPr>
              <w:t>1,883</w:t>
            </w:r>
          </w:p>
        </w:tc>
      </w:tr>
      <w:tr w:rsidR="00181CA6" w:rsidRPr="00181CA6" w14:paraId="2BBF9E3C" w14:textId="77777777" w:rsidTr="00230D5B">
        <w:trPr>
          <w:cantSplit/>
          <w:trHeight w:val="288"/>
        </w:trPr>
        <w:tc>
          <w:tcPr>
            <w:tcW w:w="863" w:type="dxa"/>
            <w:shd w:val="clear" w:color="auto" w:fill="auto"/>
            <w:noWrap/>
            <w:vAlign w:val="bottom"/>
            <w:hideMark/>
          </w:tcPr>
          <w:p w14:paraId="70D5E078" w14:textId="77777777" w:rsidR="00FC0FC1" w:rsidRPr="00181CA6" w:rsidRDefault="00FC0FC1" w:rsidP="00FC0FC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181CA6">
              <w:rPr>
                <w:rFonts w:eastAsia="Times New Roman" w:cstheme="minorHAnsi"/>
                <w:sz w:val="20"/>
                <w:szCs w:val="20"/>
              </w:rPr>
              <w:t>Jun</w:t>
            </w:r>
          </w:p>
        </w:tc>
        <w:tc>
          <w:tcPr>
            <w:tcW w:w="1295" w:type="dxa"/>
            <w:shd w:val="clear" w:color="auto" w:fill="auto"/>
            <w:noWrap/>
            <w:vAlign w:val="bottom"/>
            <w:hideMark/>
          </w:tcPr>
          <w:p w14:paraId="58115FB1" w14:textId="100A0A6B" w:rsidR="00FC0FC1" w:rsidRPr="00181CA6" w:rsidRDefault="00FC0FC1" w:rsidP="0026143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81CA6">
              <w:rPr>
                <w:rFonts w:eastAsia="Times New Roman" w:cstheme="minorHAnsi"/>
                <w:sz w:val="20"/>
                <w:szCs w:val="20"/>
              </w:rPr>
              <w:t>1,124</w:t>
            </w:r>
          </w:p>
        </w:tc>
        <w:tc>
          <w:tcPr>
            <w:tcW w:w="1162" w:type="dxa"/>
            <w:shd w:val="clear" w:color="auto" w:fill="auto"/>
            <w:noWrap/>
            <w:vAlign w:val="bottom"/>
            <w:hideMark/>
          </w:tcPr>
          <w:p w14:paraId="2D90EC22" w14:textId="336243B7" w:rsidR="00FC0FC1" w:rsidRPr="00181CA6" w:rsidRDefault="00FC0FC1" w:rsidP="0026143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81CA6">
              <w:rPr>
                <w:rFonts w:eastAsia="Times New Roman" w:cstheme="minorHAnsi"/>
                <w:sz w:val="20"/>
                <w:szCs w:val="20"/>
              </w:rPr>
              <w:t>1,846</w:t>
            </w:r>
          </w:p>
        </w:tc>
      </w:tr>
      <w:tr w:rsidR="00181CA6" w:rsidRPr="00181CA6" w14:paraId="69B40A1A" w14:textId="77777777" w:rsidTr="00230D5B">
        <w:trPr>
          <w:cantSplit/>
          <w:trHeight w:val="288"/>
        </w:trPr>
        <w:tc>
          <w:tcPr>
            <w:tcW w:w="863" w:type="dxa"/>
            <w:shd w:val="clear" w:color="auto" w:fill="auto"/>
            <w:noWrap/>
            <w:vAlign w:val="bottom"/>
            <w:hideMark/>
          </w:tcPr>
          <w:p w14:paraId="71261B04" w14:textId="77777777" w:rsidR="00FC0FC1" w:rsidRPr="00181CA6" w:rsidRDefault="00FC0FC1" w:rsidP="00FC0FC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181CA6">
              <w:rPr>
                <w:rFonts w:eastAsia="Times New Roman" w:cstheme="minorHAnsi"/>
                <w:sz w:val="20"/>
                <w:szCs w:val="20"/>
              </w:rPr>
              <w:t>Jul</w:t>
            </w:r>
          </w:p>
        </w:tc>
        <w:tc>
          <w:tcPr>
            <w:tcW w:w="1295" w:type="dxa"/>
            <w:shd w:val="clear" w:color="auto" w:fill="auto"/>
            <w:noWrap/>
            <w:vAlign w:val="bottom"/>
            <w:hideMark/>
          </w:tcPr>
          <w:p w14:paraId="5DE763A2" w14:textId="52F2ED83" w:rsidR="00FC0FC1" w:rsidRPr="00181CA6" w:rsidRDefault="00FC0FC1" w:rsidP="0026143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81CA6">
              <w:rPr>
                <w:rFonts w:eastAsia="Times New Roman" w:cstheme="minorHAnsi"/>
                <w:sz w:val="20"/>
                <w:szCs w:val="20"/>
              </w:rPr>
              <w:t>1,372</w:t>
            </w:r>
          </w:p>
        </w:tc>
        <w:tc>
          <w:tcPr>
            <w:tcW w:w="1162" w:type="dxa"/>
            <w:shd w:val="clear" w:color="auto" w:fill="auto"/>
            <w:noWrap/>
            <w:vAlign w:val="bottom"/>
            <w:hideMark/>
          </w:tcPr>
          <w:p w14:paraId="10E62F5F" w14:textId="17CC7003" w:rsidR="00FC0FC1" w:rsidRPr="00181CA6" w:rsidRDefault="00FC0FC1" w:rsidP="0026143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81CA6">
              <w:rPr>
                <w:rFonts w:eastAsia="Times New Roman" w:cstheme="minorHAnsi"/>
                <w:sz w:val="20"/>
                <w:szCs w:val="20"/>
              </w:rPr>
              <w:t>1,892</w:t>
            </w:r>
          </w:p>
        </w:tc>
      </w:tr>
      <w:tr w:rsidR="00181CA6" w:rsidRPr="00181CA6" w14:paraId="654E764D" w14:textId="77777777" w:rsidTr="00230D5B">
        <w:trPr>
          <w:cantSplit/>
          <w:trHeight w:val="288"/>
        </w:trPr>
        <w:tc>
          <w:tcPr>
            <w:tcW w:w="863" w:type="dxa"/>
            <w:shd w:val="clear" w:color="auto" w:fill="auto"/>
            <w:noWrap/>
            <w:vAlign w:val="bottom"/>
            <w:hideMark/>
          </w:tcPr>
          <w:p w14:paraId="3AF4894C" w14:textId="77777777" w:rsidR="00FC0FC1" w:rsidRPr="00181CA6" w:rsidRDefault="00FC0FC1" w:rsidP="00FC0FC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181CA6">
              <w:rPr>
                <w:rFonts w:eastAsia="Times New Roman" w:cstheme="minorHAnsi"/>
                <w:sz w:val="20"/>
                <w:szCs w:val="20"/>
              </w:rPr>
              <w:t>Aug</w:t>
            </w:r>
          </w:p>
        </w:tc>
        <w:tc>
          <w:tcPr>
            <w:tcW w:w="1295" w:type="dxa"/>
            <w:shd w:val="clear" w:color="auto" w:fill="auto"/>
            <w:noWrap/>
            <w:vAlign w:val="bottom"/>
            <w:hideMark/>
          </w:tcPr>
          <w:p w14:paraId="5243FA21" w14:textId="11178679" w:rsidR="00FC0FC1" w:rsidRPr="00181CA6" w:rsidRDefault="00FC0FC1" w:rsidP="0026143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81CA6">
              <w:rPr>
                <w:rFonts w:eastAsia="Times New Roman" w:cstheme="minorHAnsi"/>
                <w:sz w:val="20"/>
                <w:szCs w:val="20"/>
              </w:rPr>
              <w:t>1,275</w:t>
            </w:r>
          </w:p>
        </w:tc>
        <w:tc>
          <w:tcPr>
            <w:tcW w:w="1162" w:type="dxa"/>
            <w:shd w:val="clear" w:color="auto" w:fill="auto"/>
            <w:noWrap/>
            <w:vAlign w:val="bottom"/>
            <w:hideMark/>
          </w:tcPr>
          <w:p w14:paraId="14DFB5CF" w14:textId="4AFC1A84" w:rsidR="00FC0FC1" w:rsidRPr="00181CA6" w:rsidRDefault="00FC0FC1" w:rsidP="0026143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81CA6">
              <w:rPr>
                <w:rFonts w:eastAsia="Times New Roman" w:cstheme="minorHAnsi"/>
                <w:sz w:val="20"/>
                <w:szCs w:val="20"/>
              </w:rPr>
              <w:t>2,025</w:t>
            </w:r>
          </w:p>
        </w:tc>
      </w:tr>
      <w:tr w:rsidR="00FC0FC1" w:rsidRPr="00181CA6" w14:paraId="02346456" w14:textId="77777777" w:rsidTr="00230D5B">
        <w:trPr>
          <w:cantSplit/>
          <w:trHeight w:val="288"/>
        </w:trPr>
        <w:tc>
          <w:tcPr>
            <w:tcW w:w="863" w:type="dxa"/>
            <w:shd w:val="clear" w:color="auto" w:fill="auto"/>
            <w:noWrap/>
            <w:vAlign w:val="bottom"/>
            <w:hideMark/>
          </w:tcPr>
          <w:p w14:paraId="0E1D5958" w14:textId="77777777" w:rsidR="00FC0FC1" w:rsidRPr="00181CA6" w:rsidRDefault="00FC0FC1" w:rsidP="00FC0FC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181CA6">
              <w:rPr>
                <w:rFonts w:eastAsia="Times New Roman" w:cstheme="minorHAnsi"/>
                <w:sz w:val="20"/>
                <w:szCs w:val="20"/>
              </w:rPr>
              <w:t>Sep</w:t>
            </w:r>
          </w:p>
        </w:tc>
        <w:tc>
          <w:tcPr>
            <w:tcW w:w="1295" w:type="dxa"/>
            <w:shd w:val="clear" w:color="auto" w:fill="auto"/>
            <w:noWrap/>
            <w:vAlign w:val="bottom"/>
            <w:hideMark/>
          </w:tcPr>
          <w:p w14:paraId="16F931A1" w14:textId="325BEC70" w:rsidR="00FC0FC1" w:rsidRPr="00181CA6" w:rsidRDefault="00FC0FC1" w:rsidP="0026143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81CA6">
              <w:rPr>
                <w:rFonts w:eastAsia="Times New Roman" w:cstheme="minorHAnsi"/>
                <w:sz w:val="20"/>
                <w:szCs w:val="20"/>
              </w:rPr>
              <w:t>1,193</w:t>
            </w:r>
          </w:p>
        </w:tc>
        <w:tc>
          <w:tcPr>
            <w:tcW w:w="1162" w:type="dxa"/>
            <w:shd w:val="clear" w:color="auto" w:fill="auto"/>
            <w:noWrap/>
            <w:vAlign w:val="bottom"/>
            <w:hideMark/>
          </w:tcPr>
          <w:p w14:paraId="70F1AADA" w14:textId="5453C9FE" w:rsidR="00FC0FC1" w:rsidRPr="00181CA6" w:rsidRDefault="00FC0FC1" w:rsidP="0026143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81CA6">
              <w:rPr>
                <w:rFonts w:eastAsia="Times New Roman" w:cstheme="minorHAnsi"/>
                <w:sz w:val="20"/>
                <w:szCs w:val="20"/>
              </w:rPr>
              <w:t>2,052</w:t>
            </w:r>
          </w:p>
        </w:tc>
      </w:tr>
    </w:tbl>
    <w:p w14:paraId="7B3B4BE0" w14:textId="013D4238" w:rsidR="00FC0FC1" w:rsidRPr="00181CA6" w:rsidRDefault="00FC0FC1" w:rsidP="00A80FDF">
      <w:pPr>
        <w:pStyle w:val="pf0"/>
        <w:spacing w:before="0" w:beforeAutospacing="0"/>
        <w:ind w:left="720"/>
        <w:rPr>
          <w:rFonts w:asciiTheme="minorHAnsi" w:hAnsiTheme="minorHAnsi" w:cstheme="minorHAnsi"/>
          <w:sz w:val="20"/>
          <w:szCs w:val="20"/>
        </w:rPr>
      </w:pPr>
    </w:p>
    <w:p w14:paraId="01C3B672" w14:textId="098FAFC9" w:rsidR="00D6212A" w:rsidRPr="00181CA6" w:rsidRDefault="00AE7544" w:rsidP="007D0E7A">
      <w:pPr>
        <w:pStyle w:val="pf0"/>
        <w:numPr>
          <w:ilvl w:val="0"/>
          <w:numId w:val="41"/>
        </w:numPr>
        <w:rPr>
          <w:rStyle w:val="cf01"/>
          <w:rFonts w:asciiTheme="minorHAnsi" w:hAnsiTheme="minorHAnsi" w:cstheme="minorHAnsi"/>
          <w:b/>
          <w:bCs/>
          <w:sz w:val="20"/>
          <w:szCs w:val="20"/>
        </w:rPr>
      </w:pPr>
      <w:r w:rsidRPr="00181CA6">
        <w:rPr>
          <w:rStyle w:val="cf01"/>
          <w:rFonts w:asciiTheme="minorHAnsi" w:hAnsiTheme="minorHAnsi" w:cstheme="minorHAnsi"/>
          <w:b/>
          <w:bCs/>
          <w:sz w:val="20"/>
          <w:szCs w:val="20"/>
        </w:rPr>
        <w:lastRenderedPageBreak/>
        <w:t xml:space="preserve">Amendment </w:t>
      </w:r>
      <w:r w:rsidR="000D71F9" w:rsidRPr="00181CA6">
        <w:rPr>
          <w:rStyle w:val="cf01"/>
          <w:rFonts w:asciiTheme="minorHAnsi" w:hAnsiTheme="minorHAnsi" w:cstheme="minorHAnsi"/>
          <w:b/>
          <w:bCs/>
          <w:sz w:val="20"/>
          <w:szCs w:val="20"/>
        </w:rPr>
        <w:t xml:space="preserve">Narrative </w:t>
      </w:r>
      <w:r w:rsidR="00D6212A" w:rsidRPr="00181CA6">
        <w:rPr>
          <w:rStyle w:val="cf01"/>
          <w:rFonts w:asciiTheme="minorHAnsi" w:hAnsiTheme="minorHAnsi" w:cstheme="minorHAnsi"/>
          <w:b/>
          <w:bCs/>
          <w:sz w:val="20"/>
          <w:szCs w:val="20"/>
        </w:rPr>
        <w:t>(p</w:t>
      </w:r>
      <w:r w:rsidRPr="00181CA6">
        <w:rPr>
          <w:rStyle w:val="cf01"/>
          <w:rFonts w:asciiTheme="minorHAnsi" w:hAnsiTheme="minorHAnsi" w:cstheme="minorHAnsi"/>
          <w:b/>
          <w:bCs/>
          <w:sz w:val="20"/>
          <w:szCs w:val="20"/>
        </w:rPr>
        <w:t>5</w:t>
      </w:r>
      <w:r w:rsidR="00D6212A" w:rsidRPr="00181CA6">
        <w:rPr>
          <w:rStyle w:val="cf01"/>
          <w:rFonts w:asciiTheme="minorHAnsi" w:hAnsiTheme="minorHAnsi" w:cstheme="minorHAnsi"/>
          <w:b/>
          <w:bCs/>
          <w:sz w:val="20"/>
          <w:szCs w:val="20"/>
        </w:rPr>
        <w:t xml:space="preserve">) </w:t>
      </w:r>
      <w:r w:rsidR="000D71F9" w:rsidRPr="00181CA6">
        <w:rPr>
          <w:rStyle w:val="cf01"/>
          <w:rFonts w:asciiTheme="minorHAnsi" w:hAnsiTheme="minorHAnsi" w:cstheme="minorHAnsi"/>
          <w:b/>
          <w:bCs/>
          <w:sz w:val="20"/>
          <w:szCs w:val="20"/>
        </w:rPr>
        <w:t>states that</w:t>
      </w:r>
      <w:r w:rsidR="00147A1F" w:rsidRPr="00181CA6">
        <w:rPr>
          <w:rStyle w:val="cf01"/>
          <w:rFonts w:asciiTheme="minorHAnsi" w:hAnsiTheme="minorHAnsi" w:cstheme="minorHAnsi"/>
          <w:b/>
          <w:bCs/>
          <w:sz w:val="20"/>
          <w:szCs w:val="20"/>
        </w:rPr>
        <w:t xml:space="preserve"> the Hospital was in either</w:t>
      </w:r>
      <w:r w:rsidR="000D71F9" w:rsidRPr="00181CA6">
        <w:rPr>
          <w:rStyle w:val="cf01"/>
          <w:rFonts w:asciiTheme="minorHAnsi" w:hAnsiTheme="minorHAnsi" w:cstheme="minorHAnsi"/>
          <w:b/>
          <w:bCs/>
          <w:sz w:val="20"/>
          <w:szCs w:val="20"/>
        </w:rPr>
        <w:t xml:space="preserve"> Code Help</w:t>
      </w:r>
      <w:r w:rsidR="00147A1F" w:rsidRPr="00181CA6">
        <w:rPr>
          <w:rStyle w:val="cf01"/>
          <w:rFonts w:asciiTheme="minorHAnsi" w:hAnsiTheme="minorHAnsi" w:cstheme="minorHAnsi"/>
          <w:b/>
          <w:bCs/>
          <w:sz w:val="20"/>
          <w:szCs w:val="20"/>
        </w:rPr>
        <w:t xml:space="preserve"> or Capacity Disaster</w:t>
      </w:r>
      <w:r w:rsidR="000D71F9" w:rsidRPr="00181CA6">
        <w:rPr>
          <w:rStyle w:val="cf01"/>
          <w:rFonts w:asciiTheme="minorHAnsi" w:hAnsiTheme="minorHAnsi" w:cstheme="minorHAnsi"/>
          <w:b/>
          <w:bCs/>
          <w:sz w:val="20"/>
          <w:szCs w:val="20"/>
        </w:rPr>
        <w:t xml:space="preserve"> status 93% </w:t>
      </w:r>
      <w:r w:rsidR="00147A1F" w:rsidRPr="00181CA6">
        <w:rPr>
          <w:rStyle w:val="cf01"/>
          <w:rFonts w:asciiTheme="minorHAnsi" w:hAnsiTheme="minorHAnsi" w:cstheme="minorHAnsi"/>
          <w:b/>
          <w:bCs/>
          <w:sz w:val="20"/>
          <w:szCs w:val="20"/>
        </w:rPr>
        <w:t xml:space="preserve">of the time </w:t>
      </w:r>
      <w:r w:rsidR="000D71F9" w:rsidRPr="00181CA6">
        <w:rPr>
          <w:rStyle w:val="cf01"/>
          <w:rFonts w:asciiTheme="minorHAnsi" w:hAnsiTheme="minorHAnsi" w:cstheme="minorHAnsi"/>
          <w:b/>
          <w:bCs/>
          <w:sz w:val="20"/>
          <w:szCs w:val="20"/>
        </w:rPr>
        <w:t xml:space="preserve">in 2023. </w:t>
      </w:r>
      <w:r w:rsidR="00147A1F" w:rsidRPr="00181CA6">
        <w:rPr>
          <w:rStyle w:val="cf01"/>
          <w:rFonts w:asciiTheme="minorHAnsi" w:hAnsiTheme="minorHAnsi" w:cstheme="minorHAnsi"/>
          <w:b/>
          <w:bCs/>
          <w:sz w:val="20"/>
          <w:szCs w:val="20"/>
        </w:rPr>
        <w:t xml:space="preserve">The </w:t>
      </w:r>
      <w:r w:rsidR="00B50986" w:rsidRPr="00181CA6">
        <w:rPr>
          <w:rStyle w:val="cf01"/>
          <w:rFonts w:asciiTheme="minorHAnsi" w:hAnsiTheme="minorHAnsi" w:cstheme="minorHAnsi"/>
          <w:b/>
          <w:bCs/>
          <w:sz w:val="20"/>
          <w:szCs w:val="20"/>
        </w:rPr>
        <w:t xml:space="preserve">materials from the original DoN Application </w:t>
      </w:r>
      <w:r w:rsidR="00D6212A" w:rsidRPr="00181CA6">
        <w:rPr>
          <w:rStyle w:val="cf01"/>
          <w:rFonts w:asciiTheme="minorHAnsi" w:hAnsiTheme="minorHAnsi" w:cstheme="minorHAnsi"/>
          <w:b/>
          <w:bCs/>
          <w:sz w:val="20"/>
          <w:szCs w:val="20"/>
        </w:rPr>
        <w:t>(</w:t>
      </w:r>
      <w:r w:rsidR="00672966" w:rsidRPr="00181CA6">
        <w:rPr>
          <w:rStyle w:val="cf01"/>
          <w:rFonts w:asciiTheme="minorHAnsi" w:hAnsiTheme="minorHAnsi" w:cstheme="minorHAnsi"/>
          <w:b/>
          <w:bCs/>
          <w:sz w:val="20"/>
          <w:szCs w:val="20"/>
        </w:rPr>
        <w:t>page 13 of the Original DoN Narrative</w:t>
      </w:r>
      <w:r w:rsidR="00D6212A" w:rsidRPr="00181CA6">
        <w:rPr>
          <w:rStyle w:val="cf01"/>
          <w:rFonts w:asciiTheme="minorHAnsi" w:hAnsiTheme="minorHAnsi" w:cstheme="minorHAnsi"/>
          <w:b/>
          <w:bCs/>
          <w:sz w:val="20"/>
          <w:szCs w:val="20"/>
        </w:rPr>
        <w:t xml:space="preserve">) </w:t>
      </w:r>
      <w:r w:rsidR="00B50986" w:rsidRPr="00181CA6">
        <w:rPr>
          <w:rStyle w:val="cf01"/>
          <w:rFonts w:asciiTheme="minorHAnsi" w:hAnsiTheme="minorHAnsi" w:cstheme="minorHAnsi"/>
          <w:b/>
          <w:bCs/>
          <w:sz w:val="20"/>
          <w:szCs w:val="20"/>
        </w:rPr>
        <w:t>state that in 2019, the Hospital was i</w:t>
      </w:r>
      <w:r w:rsidR="00F93C32" w:rsidRPr="00181CA6">
        <w:rPr>
          <w:rStyle w:val="cf01"/>
          <w:rFonts w:asciiTheme="minorHAnsi" w:hAnsiTheme="minorHAnsi" w:cstheme="minorHAnsi"/>
          <w:b/>
          <w:bCs/>
          <w:sz w:val="20"/>
          <w:szCs w:val="20"/>
        </w:rPr>
        <w:t>n</w:t>
      </w:r>
      <w:r w:rsidR="00B50986" w:rsidRPr="00181CA6">
        <w:rPr>
          <w:rStyle w:val="cf01"/>
          <w:rFonts w:asciiTheme="minorHAnsi" w:hAnsiTheme="minorHAnsi" w:cstheme="minorHAnsi"/>
          <w:b/>
          <w:bCs/>
          <w:sz w:val="20"/>
          <w:szCs w:val="20"/>
        </w:rPr>
        <w:t xml:space="preserve"> Code Help 20% of the time. </w:t>
      </w:r>
    </w:p>
    <w:p w14:paraId="274504AA" w14:textId="59484F26" w:rsidR="00D6212A" w:rsidRPr="00181CA6" w:rsidRDefault="00B50986" w:rsidP="007D0E7A">
      <w:pPr>
        <w:pStyle w:val="pf0"/>
        <w:numPr>
          <w:ilvl w:val="1"/>
          <w:numId w:val="41"/>
        </w:numPr>
        <w:rPr>
          <w:rStyle w:val="cf01"/>
          <w:rFonts w:asciiTheme="minorHAnsi" w:hAnsiTheme="minorHAnsi" w:cstheme="minorHAnsi"/>
          <w:sz w:val="20"/>
          <w:szCs w:val="20"/>
        </w:rPr>
      </w:pPr>
      <w:r w:rsidRPr="00181CA6">
        <w:rPr>
          <w:rStyle w:val="cf01"/>
          <w:rFonts w:asciiTheme="minorHAnsi" w:hAnsiTheme="minorHAnsi" w:cstheme="minorHAnsi"/>
          <w:b/>
          <w:bCs/>
          <w:sz w:val="20"/>
          <w:szCs w:val="20"/>
        </w:rPr>
        <w:t>Please verify that th</w:t>
      </w:r>
      <w:r w:rsidR="00D6212A" w:rsidRPr="00181CA6">
        <w:rPr>
          <w:rStyle w:val="cf01"/>
          <w:rFonts w:asciiTheme="minorHAnsi" w:hAnsiTheme="minorHAnsi" w:cstheme="minorHAnsi"/>
          <w:b/>
          <w:bCs/>
          <w:sz w:val="20"/>
          <w:szCs w:val="20"/>
        </w:rPr>
        <w:t>e 20% figure from 2019 is accurate.</w:t>
      </w:r>
      <w:r w:rsidR="00D6212A" w:rsidRPr="00181CA6">
        <w:rPr>
          <w:rStyle w:val="cf01"/>
          <w:rFonts w:asciiTheme="minorHAnsi" w:hAnsiTheme="minorHAnsi" w:cstheme="minorHAnsi"/>
          <w:sz w:val="20"/>
          <w:szCs w:val="20"/>
        </w:rPr>
        <w:t xml:space="preserve"> </w:t>
      </w:r>
      <w:r w:rsidR="00AE6C7B" w:rsidRPr="00181CA6">
        <w:rPr>
          <w:rStyle w:val="cf01"/>
          <w:rFonts w:asciiTheme="minorHAnsi" w:hAnsiTheme="minorHAnsi" w:cstheme="minorHAnsi"/>
          <w:sz w:val="20"/>
          <w:szCs w:val="20"/>
        </w:rPr>
        <w:t xml:space="preserve">Yes </w:t>
      </w:r>
    </w:p>
    <w:p w14:paraId="75C8A8C7" w14:textId="77A3CF01" w:rsidR="00181CA6" w:rsidRPr="00181CA6" w:rsidRDefault="000D71F9" w:rsidP="00181CA6">
      <w:pPr>
        <w:pStyle w:val="pf0"/>
        <w:numPr>
          <w:ilvl w:val="1"/>
          <w:numId w:val="41"/>
        </w:num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181CA6">
        <w:rPr>
          <w:rStyle w:val="cf01"/>
          <w:rFonts w:asciiTheme="minorHAnsi" w:hAnsiTheme="minorHAnsi" w:cstheme="minorHAnsi"/>
          <w:b/>
          <w:bCs/>
          <w:sz w:val="20"/>
          <w:szCs w:val="20"/>
        </w:rPr>
        <w:t>Please provide an analysis for the drastic increase.</w:t>
      </w:r>
      <w:r w:rsidR="00AE6C7B" w:rsidRPr="00181CA6">
        <w:rPr>
          <w:rStyle w:val="cf01"/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AE6C7B" w:rsidRPr="00181CA6">
        <w:rPr>
          <w:rStyle w:val="cf01"/>
          <w:rFonts w:asciiTheme="minorHAnsi" w:hAnsiTheme="minorHAnsi" w:cstheme="minorHAnsi"/>
          <w:sz w:val="20"/>
          <w:szCs w:val="20"/>
        </w:rPr>
        <w:t xml:space="preserve">Though it looks like a drastic increase when looking at FY19 and FY23 </w:t>
      </w:r>
      <w:r w:rsidR="009827CC" w:rsidRPr="00181CA6">
        <w:rPr>
          <w:rStyle w:val="cf01"/>
          <w:rFonts w:asciiTheme="minorHAnsi" w:hAnsiTheme="minorHAnsi" w:cstheme="minorHAnsi"/>
          <w:sz w:val="20"/>
          <w:szCs w:val="20"/>
        </w:rPr>
        <w:t>alone</w:t>
      </w:r>
      <w:r w:rsidR="00AE6C7B" w:rsidRPr="00181CA6">
        <w:rPr>
          <w:rStyle w:val="cf01"/>
          <w:rFonts w:asciiTheme="minorHAnsi" w:hAnsiTheme="minorHAnsi" w:cstheme="minorHAnsi"/>
          <w:sz w:val="20"/>
          <w:szCs w:val="20"/>
        </w:rPr>
        <w:t xml:space="preserve">, increasing instances of Code Help and Capacity Disaster are part of a trend that has been well-documented. As noted in the original application, </w:t>
      </w:r>
      <w:r w:rsidR="00B53FD1" w:rsidRPr="00181CA6">
        <w:rPr>
          <w:rStyle w:val="cf01"/>
          <w:rFonts w:asciiTheme="minorHAnsi" w:hAnsiTheme="minorHAnsi" w:cstheme="minorHAnsi"/>
          <w:sz w:val="20"/>
          <w:szCs w:val="20"/>
        </w:rPr>
        <w:t xml:space="preserve">Code Help activations doubled in FY18 and again in FY19. Since FY19, the health care system has grappled with a global pandemic and </w:t>
      </w:r>
      <w:r w:rsidR="009827CC" w:rsidRPr="00181CA6">
        <w:rPr>
          <w:rStyle w:val="cf01"/>
          <w:rFonts w:asciiTheme="minorHAnsi" w:hAnsiTheme="minorHAnsi" w:cstheme="minorHAnsi"/>
          <w:sz w:val="20"/>
          <w:szCs w:val="20"/>
        </w:rPr>
        <w:t>its</w:t>
      </w:r>
      <w:r w:rsidR="00B53FD1" w:rsidRPr="00181CA6">
        <w:rPr>
          <w:rStyle w:val="cf01"/>
          <w:rFonts w:asciiTheme="minorHAnsi" w:hAnsiTheme="minorHAnsi" w:cstheme="minorHAnsi"/>
          <w:sz w:val="20"/>
          <w:szCs w:val="20"/>
        </w:rPr>
        <w:t xml:space="preserve"> downstream </w:t>
      </w:r>
      <w:r w:rsidR="009827CC" w:rsidRPr="00181CA6">
        <w:rPr>
          <w:rStyle w:val="cf01"/>
          <w:rFonts w:asciiTheme="minorHAnsi" w:hAnsiTheme="minorHAnsi" w:cstheme="minorHAnsi"/>
          <w:sz w:val="20"/>
          <w:szCs w:val="20"/>
        </w:rPr>
        <w:t>impact</w:t>
      </w:r>
      <w:r w:rsidR="00B53FD1" w:rsidRPr="00181CA6">
        <w:rPr>
          <w:rStyle w:val="cf01"/>
          <w:rFonts w:asciiTheme="minorHAnsi" w:hAnsiTheme="minorHAnsi" w:cstheme="minorHAnsi"/>
          <w:sz w:val="20"/>
          <w:szCs w:val="20"/>
        </w:rPr>
        <w:t xml:space="preserve">, including </w:t>
      </w:r>
      <w:r w:rsidR="009827CC" w:rsidRPr="00181CA6">
        <w:rPr>
          <w:rStyle w:val="cf01"/>
          <w:rFonts w:asciiTheme="minorHAnsi" w:hAnsiTheme="minorHAnsi" w:cstheme="minorHAnsi"/>
          <w:sz w:val="20"/>
          <w:szCs w:val="20"/>
        </w:rPr>
        <w:t xml:space="preserve">deferred and delayed care resulting in significantly more patients seeking treatment for more acute conditions, </w:t>
      </w:r>
      <w:r w:rsidR="00181CA6" w:rsidRPr="00181CA6">
        <w:rPr>
          <w:rStyle w:val="cf01"/>
          <w:rFonts w:asciiTheme="minorHAnsi" w:hAnsiTheme="minorHAnsi" w:cstheme="minorHAnsi"/>
          <w:sz w:val="20"/>
          <w:szCs w:val="20"/>
        </w:rPr>
        <w:t>often</w:t>
      </w:r>
      <w:r w:rsidR="009827CC" w:rsidRPr="00181CA6">
        <w:rPr>
          <w:rStyle w:val="cf01"/>
          <w:rFonts w:asciiTheme="minorHAnsi" w:hAnsiTheme="minorHAnsi" w:cstheme="minorHAnsi"/>
          <w:sz w:val="20"/>
          <w:szCs w:val="20"/>
        </w:rPr>
        <w:t xml:space="preserve"> </w:t>
      </w:r>
      <w:r w:rsidR="00261439" w:rsidRPr="00181CA6">
        <w:rPr>
          <w:rStyle w:val="cf01"/>
          <w:rFonts w:asciiTheme="minorHAnsi" w:hAnsiTheme="minorHAnsi" w:cstheme="minorHAnsi"/>
          <w:sz w:val="20"/>
          <w:szCs w:val="20"/>
        </w:rPr>
        <w:t xml:space="preserve">first seeking care </w:t>
      </w:r>
      <w:r w:rsidR="009827CC" w:rsidRPr="00181CA6">
        <w:rPr>
          <w:rStyle w:val="cf01"/>
          <w:rFonts w:asciiTheme="minorHAnsi" w:hAnsiTheme="minorHAnsi" w:cstheme="minorHAnsi"/>
          <w:sz w:val="20"/>
          <w:szCs w:val="20"/>
        </w:rPr>
        <w:t xml:space="preserve">through the ED. </w:t>
      </w:r>
      <w:r w:rsidR="00181CA6">
        <w:rPr>
          <w:rStyle w:val="cf01"/>
          <w:rFonts w:asciiTheme="minorHAnsi" w:hAnsiTheme="minorHAnsi" w:cstheme="minorHAnsi"/>
          <w:sz w:val="20"/>
          <w:szCs w:val="20"/>
        </w:rPr>
        <w:t xml:space="preserve">This experience is reflected in the table below.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1"/>
        <w:gridCol w:w="1336"/>
        <w:gridCol w:w="1336"/>
        <w:gridCol w:w="1336"/>
        <w:gridCol w:w="1336"/>
        <w:gridCol w:w="1336"/>
      </w:tblGrid>
      <w:tr w:rsidR="00181CA6" w:rsidRPr="00181CA6" w14:paraId="4E042871" w14:textId="77777777" w:rsidTr="009348B6">
        <w:trPr>
          <w:cantSplit/>
          <w:tblHeader/>
        </w:trPr>
        <w:tc>
          <w:tcPr>
            <w:tcW w:w="2421" w:type="dxa"/>
          </w:tcPr>
          <w:p w14:paraId="2DFFC524" w14:textId="77777777" w:rsidR="00181CA6" w:rsidRPr="00181CA6" w:rsidRDefault="00181CA6" w:rsidP="007F05F4"/>
        </w:tc>
        <w:tc>
          <w:tcPr>
            <w:tcW w:w="1336" w:type="dxa"/>
          </w:tcPr>
          <w:p w14:paraId="483AD0D1" w14:textId="77777777" w:rsidR="00181CA6" w:rsidRPr="00181CA6" w:rsidRDefault="00181CA6" w:rsidP="007F05F4">
            <w:pPr>
              <w:jc w:val="right"/>
            </w:pPr>
            <w:r w:rsidRPr="00181CA6">
              <w:t>FY19</w:t>
            </w:r>
          </w:p>
        </w:tc>
        <w:tc>
          <w:tcPr>
            <w:tcW w:w="1336" w:type="dxa"/>
          </w:tcPr>
          <w:p w14:paraId="1369BA7E" w14:textId="77777777" w:rsidR="00181CA6" w:rsidRPr="00181CA6" w:rsidRDefault="00181CA6" w:rsidP="007F05F4">
            <w:pPr>
              <w:jc w:val="right"/>
            </w:pPr>
            <w:r w:rsidRPr="00181CA6">
              <w:t>FY20</w:t>
            </w:r>
          </w:p>
        </w:tc>
        <w:tc>
          <w:tcPr>
            <w:tcW w:w="1336" w:type="dxa"/>
          </w:tcPr>
          <w:p w14:paraId="5A244212" w14:textId="77777777" w:rsidR="00181CA6" w:rsidRPr="00181CA6" w:rsidRDefault="00181CA6" w:rsidP="007F05F4">
            <w:pPr>
              <w:jc w:val="right"/>
            </w:pPr>
            <w:r w:rsidRPr="00181CA6">
              <w:t>FY21</w:t>
            </w:r>
          </w:p>
        </w:tc>
        <w:tc>
          <w:tcPr>
            <w:tcW w:w="1336" w:type="dxa"/>
          </w:tcPr>
          <w:p w14:paraId="3C07A5A0" w14:textId="77777777" w:rsidR="00181CA6" w:rsidRPr="00181CA6" w:rsidRDefault="00181CA6" w:rsidP="007F05F4">
            <w:pPr>
              <w:jc w:val="right"/>
            </w:pPr>
            <w:r w:rsidRPr="00181CA6">
              <w:t>FY22</w:t>
            </w:r>
          </w:p>
        </w:tc>
        <w:tc>
          <w:tcPr>
            <w:tcW w:w="1336" w:type="dxa"/>
          </w:tcPr>
          <w:p w14:paraId="0C69B2FC" w14:textId="77777777" w:rsidR="00181CA6" w:rsidRPr="00181CA6" w:rsidRDefault="00181CA6" w:rsidP="007F05F4">
            <w:pPr>
              <w:jc w:val="right"/>
            </w:pPr>
            <w:r w:rsidRPr="00181CA6">
              <w:t>FY23</w:t>
            </w:r>
          </w:p>
        </w:tc>
      </w:tr>
      <w:tr w:rsidR="00181CA6" w:rsidRPr="00181CA6" w14:paraId="06879C4A" w14:textId="77777777" w:rsidTr="009348B6">
        <w:trPr>
          <w:cantSplit/>
        </w:trPr>
        <w:tc>
          <w:tcPr>
            <w:tcW w:w="2421" w:type="dxa"/>
          </w:tcPr>
          <w:p w14:paraId="1090480D" w14:textId="77777777" w:rsidR="00181CA6" w:rsidRPr="00181CA6" w:rsidRDefault="00181CA6" w:rsidP="007F05F4">
            <w:r w:rsidRPr="00181CA6">
              <w:t>Code Help</w:t>
            </w:r>
          </w:p>
        </w:tc>
        <w:tc>
          <w:tcPr>
            <w:tcW w:w="1336" w:type="dxa"/>
          </w:tcPr>
          <w:p w14:paraId="0A28DBC4" w14:textId="77777777" w:rsidR="00181CA6" w:rsidRPr="00181CA6" w:rsidRDefault="00181CA6" w:rsidP="007F05F4">
            <w:pPr>
              <w:jc w:val="right"/>
            </w:pPr>
            <w:r w:rsidRPr="00181CA6">
              <w:t>19.3%</w:t>
            </w:r>
          </w:p>
        </w:tc>
        <w:tc>
          <w:tcPr>
            <w:tcW w:w="1336" w:type="dxa"/>
          </w:tcPr>
          <w:p w14:paraId="5C8394CA" w14:textId="77777777" w:rsidR="00181CA6" w:rsidRPr="00181CA6" w:rsidRDefault="00181CA6" w:rsidP="007F05F4">
            <w:pPr>
              <w:jc w:val="right"/>
            </w:pPr>
            <w:r w:rsidRPr="00181CA6">
              <w:t>6.0%</w:t>
            </w:r>
          </w:p>
        </w:tc>
        <w:tc>
          <w:tcPr>
            <w:tcW w:w="1336" w:type="dxa"/>
          </w:tcPr>
          <w:p w14:paraId="3EEFF821" w14:textId="77777777" w:rsidR="00181CA6" w:rsidRPr="00181CA6" w:rsidRDefault="00181CA6" w:rsidP="007F05F4">
            <w:pPr>
              <w:jc w:val="right"/>
            </w:pPr>
            <w:r w:rsidRPr="00181CA6">
              <w:t>19.9%</w:t>
            </w:r>
          </w:p>
        </w:tc>
        <w:tc>
          <w:tcPr>
            <w:tcW w:w="1336" w:type="dxa"/>
          </w:tcPr>
          <w:p w14:paraId="170ECF4D" w14:textId="77777777" w:rsidR="00181CA6" w:rsidRPr="00181CA6" w:rsidRDefault="00181CA6" w:rsidP="007F05F4">
            <w:pPr>
              <w:jc w:val="right"/>
            </w:pPr>
            <w:r w:rsidRPr="00181CA6">
              <w:t>31.4%</w:t>
            </w:r>
          </w:p>
        </w:tc>
        <w:tc>
          <w:tcPr>
            <w:tcW w:w="1336" w:type="dxa"/>
          </w:tcPr>
          <w:p w14:paraId="2E337120" w14:textId="77777777" w:rsidR="00181CA6" w:rsidRPr="00181CA6" w:rsidRDefault="00181CA6" w:rsidP="007F05F4">
            <w:pPr>
              <w:jc w:val="right"/>
            </w:pPr>
            <w:r w:rsidRPr="00181CA6">
              <w:t>13.3%</w:t>
            </w:r>
          </w:p>
        </w:tc>
      </w:tr>
      <w:tr w:rsidR="00181CA6" w:rsidRPr="00181CA6" w14:paraId="438498EE" w14:textId="77777777" w:rsidTr="009348B6">
        <w:trPr>
          <w:cantSplit/>
        </w:trPr>
        <w:tc>
          <w:tcPr>
            <w:tcW w:w="2421" w:type="dxa"/>
          </w:tcPr>
          <w:p w14:paraId="1B83772F" w14:textId="77777777" w:rsidR="00181CA6" w:rsidRPr="00181CA6" w:rsidRDefault="00181CA6" w:rsidP="007F05F4">
            <w:r w:rsidRPr="00181CA6">
              <w:t>Capacity Disaster</w:t>
            </w:r>
          </w:p>
        </w:tc>
        <w:tc>
          <w:tcPr>
            <w:tcW w:w="1336" w:type="dxa"/>
          </w:tcPr>
          <w:p w14:paraId="1D8017AC" w14:textId="77777777" w:rsidR="00181CA6" w:rsidRPr="00181CA6" w:rsidRDefault="00181CA6" w:rsidP="007F05F4">
            <w:pPr>
              <w:jc w:val="right"/>
            </w:pPr>
            <w:r w:rsidRPr="00181CA6">
              <w:t>3.9%</w:t>
            </w:r>
          </w:p>
        </w:tc>
        <w:tc>
          <w:tcPr>
            <w:tcW w:w="1336" w:type="dxa"/>
          </w:tcPr>
          <w:p w14:paraId="5618F3E8" w14:textId="77777777" w:rsidR="00181CA6" w:rsidRPr="00181CA6" w:rsidRDefault="00181CA6" w:rsidP="007F05F4">
            <w:pPr>
              <w:jc w:val="right"/>
            </w:pPr>
            <w:r w:rsidRPr="00181CA6">
              <w:t>1.7%</w:t>
            </w:r>
          </w:p>
        </w:tc>
        <w:tc>
          <w:tcPr>
            <w:tcW w:w="1336" w:type="dxa"/>
          </w:tcPr>
          <w:p w14:paraId="1651DDA1" w14:textId="77777777" w:rsidR="00181CA6" w:rsidRPr="00181CA6" w:rsidRDefault="00181CA6" w:rsidP="007F05F4">
            <w:pPr>
              <w:jc w:val="right"/>
            </w:pPr>
            <w:r w:rsidRPr="00181CA6">
              <w:t>15.2%</w:t>
            </w:r>
          </w:p>
        </w:tc>
        <w:tc>
          <w:tcPr>
            <w:tcW w:w="1336" w:type="dxa"/>
          </w:tcPr>
          <w:p w14:paraId="5DB034DD" w14:textId="77777777" w:rsidR="00181CA6" w:rsidRPr="00181CA6" w:rsidRDefault="00181CA6" w:rsidP="007F05F4">
            <w:pPr>
              <w:jc w:val="right"/>
            </w:pPr>
            <w:r w:rsidRPr="00181CA6">
              <w:t>44.8%</w:t>
            </w:r>
          </w:p>
        </w:tc>
        <w:tc>
          <w:tcPr>
            <w:tcW w:w="1336" w:type="dxa"/>
          </w:tcPr>
          <w:p w14:paraId="4BE8F826" w14:textId="77777777" w:rsidR="00181CA6" w:rsidRPr="00181CA6" w:rsidRDefault="00181CA6" w:rsidP="007F05F4">
            <w:pPr>
              <w:jc w:val="right"/>
            </w:pPr>
            <w:r w:rsidRPr="00181CA6">
              <w:t>79.3%</w:t>
            </w:r>
          </w:p>
        </w:tc>
      </w:tr>
      <w:tr w:rsidR="00181CA6" w:rsidRPr="00181CA6" w14:paraId="275C3D37" w14:textId="77777777" w:rsidTr="009348B6">
        <w:trPr>
          <w:cantSplit/>
        </w:trPr>
        <w:tc>
          <w:tcPr>
            <w:tcW w:w="2421" w:type="dxa"/>
          </w:tcPr>
          <w:p w14:paraId="50EBB51B" w14:textId="77777777" w:rsidR="00181CA6" w:rsidRPr="00181CA6" w:rsidRDefault="00181CA6" w:rsidP="007F05F4">
            <w:r w:rsidRPr="00181CA6">
              <w:t>Combined Code Help and Capacity Disaster</w:t>
            </w:r>
          </w:p>
        </w:tc>
        <w:tc>
          <w:tcPr>
            <w:tcW w:w="1336" w:type="dxa"/>
            <w:vAlign w:val="bottom"/>
          </w:tcPr>
          <w:p w14:paraId="7D8FB40E" w14:textId="77777777" w:rsidR="00181CA6" w:rsidRPr="00181CA6" w:rsidRDefault="00181CA6" w:rsidP="007F05F4">
            <w:pPr>
              <w:jc w:val="right"/>
            </w:pPr>
            <w:r w:rsidRPr="00181CA6">
              <w:t>23.3%</w:t>
            </w:r>
          </w:p>
        </w:tc>
        <w:tc>
          <w:tcPr>
            <w:tcW w:w="1336" w:type="dxa"/>
            <w:vAlign w:val="bottom"/>
          </w:tcPr>
          <w:p w14:paraId="0CFB88D5" w14:textId="77777777" w:rsidR="00181CA6" w:rsidRPr="00181CA6" w:rsidRDefault="00181CA6" w:rsidP="007F05F4">
            <w:pPr>
              <w:jc w:val="right"/>
            </w:pPr>
            <w:r w:rsidRPr="00181CA6">
              <w:t>7.8%</w:t>
            </w:r>
          </w:p>
        </w:tc>
        <w:tc>
          <w:tcPr>
            <w:tcW w:w="1336" w:type="dxa"/>
            <w:vAlign w:val="bottom"/>
          </w:tcPr>
          <w:p w14:paraId="28BCFDB7" w14:textId="77777777" w:rsidR="00181CA6" w:rsidRPr="00181CA6" w:rsidRDefault="00181CA6" w:rsidP="007F05F4">
            <w:pPr>
              <w:jc w:val="right"/>
            </w:pPr>
            <w:r w:rsidRPr="00181CA6">
              <w:t>35.1%</w:t>
            </w:r>
          </w:p>
        </w:tc>
        <w:tc>
          <w:tcPr>
            <w:tcW w:w="1336" w:type="dxa"/>
            <w:vAlign w:val="bottom"/>
          </w:tcPr>
          <w:p w14:paraId="755E2101" w14:textId="77777777" w:rsidR="00181CA6" w:rsidRPr="00181CA6" w:rsidRDefault="00181CA6" w:rsidP="007F05F4">
            <w:pPr>
              <w:jc w:val="right"/>
            </w:pPr>
            <w:r w:rsidRPr="00181CA6">
              <w:t>76.2%</w:t>
            </w:r>
          </w:p>
        </w:tc>
        <w:tc>
          <w:tcPr>
            <w:tcW w:w="1336" w:type="dxa"/>
            <w:vAlign w:val="bottom"/>
          </w:tcPr>
          <w:p w14:paraId="3725272A" w14:textId="77777777" w:rsidR="00181CA6" w:rsidRPr="00181CA6" w:rsidRDefault="00181CA6" w:rsidP="007F05F4">
            <w:pPr>
              <w:jc w:val="right"/>
            </w:pPr>
            <w:r w:rsidRPr="00181CA6">
              <w:t>92.7%</w:t>
            </w:r>
          </w:p>
        </w:tc>
      </w:tr>
    </w:tbl>
    <w:p w14:paraId="4F5E7559" w14:textId="77777777" w:rsidR="00181CA6" w:rsidRPr="00181CA6" w:rsidRDefault="00181CA6" w:rsidP="00181CA6">
      <w:pPr>
        <w:pStyle w:val="pf0"/>
        <w:ind w:left="1440"/>
        <w:jc w:val="both"/>
        <w:rPr>
          <w:rStyle w:val="cf01"/>
          <w:rFonts w:asciiTheme="minorHAnsi" w:hAnsiTheme="minorHAnsi" w:cstheme="minorHAnsi"/>
          <w:b/>
          <w:bCs/>
          <w:sz w:val="20"/>
          <w:szCs w:val="20"/>
        </w:rPr>
      </w:pPr>
    </w:p>
    <w:p w14:paraId="18CD5A44" w14:textId="35CE7DB7" w:rsidR="006A4FB9" w:rsidRPr="00181CA6" w:rsidRDefault="006A4FB9" w:rsidP="007D0E7A">
      <w:pPr>
        <w:pStyle w:val="pf0"/>
        <w:numPr>
          <w:ilvl w:val="0"/>
          <w:numId w:val="41"/>
        </w:numPr>
        <w:spacing w:before="0" w:beforeAutospacing="0" w:after="0" w:afterAutospacing="0"/>
        <w:rPr>
          <w:rStyle w:val="cf01"/>
          <w:rFonts w:asciiTheme="minorHAnsi" w:hAnsiTheme="minorHAnsi" w:cstheme="minorHAnsi"/>
          <w:b/>
          <w:bCs/>
          <w:sz w:val="20"/>
          <w:szCs w:val="20"/>
        </w:rPr>
      </w:pPr>
      <w:bookmarkStart w:id="0" w:name="_Hlk161299536"/>
      <w:r w:rsidRPr="00181CA6">
        <w:rPr>
          <w:rStyle w:val="cf01"/>
          <w:rFonts w:asciiTheme="minorHAnsi" w:hAnsiTheme="minorHAnsi" w:cstheme="minorHAnsi"/>
          <w:b/>
          <w:bCs/>
          <w:sz w:val="20"/>
          <w:szCs w:val="20"/>
        </w:rPr>
        <w:t xml:space="preserve">The Holder’s response to question </w:t>
      </w:r>
      <w:r w:rsidR="001F4D11" w:rsidRPr="00181CA6">
        <w:rPr>
          <w:rStyle w:val="cf01"/>
          <w:rFonts w:asciiTheme="minorHAnsi" w:hAnsiTheme="minorHAnsi" w:cstheme="minorHAnsi"/>
          <w:b/>
          <w:bCs/>
          <w:sz w:val="20"/>
          <w:szCs w:val="20"/>
        </w:rPr>
        <w:t>5</w:t>
      </w:r>
      <w:r w:rsidR="00D20502" w:rsidRPr="00181CA6">
        <w:rPr>
          <w:rStyle w:val="cf01"/>
          <w:rFonts w:asciiTheme="minorHAnsi" w:hAnsiTheme="minorHAnsi" w:cstheme="minorHAnsi"/>
          <w:b/>
          <w:bCs/>
          <w:sz w:val="20"/>
          <w:szCs w:val="20"/>
        </w:rPr>
        <w:t xml:space="preserve"> in the </w:t>
      </w:r>
      <w:r w:rsidR="00F73561" w:rsidRPr="00181CA6">
        <w:rPr>
          <w:rStyle w:val="cf01"/>
          <w:rFonts w:asciiTheme="minorHAnsi" w:hAnsiTheme="minorHAnsi" w:cstheme="minorHAnsi"/>
          <w:b/>
          <w:bCs/>
          <w:sz w:val="20"/>
          <w:szCs w:val="20"/>
        </w:rPr>
        <w:t xml:space="preserve">first round of </w:t>
      </w:r>
      <w:r w:rsidR="00D20502" w:rsidRPr="00181CA6">
        <w:rPr>
          <w:rStyle w:val="cf01"/>
          <w:rFonts w:asciiTheme="minorHAnsi" w:hAnsiTheme="minorHAnsi" w:cstheme="minorHAnsi"/>
          <w:b/>
          <w:bCs/>
          <w:sz w:val="20"/>
          <w:szCs w:val="20"/>
        </w:rPr>
        <w:t xml:space="preserve">Applicant Questions reiterated the same description that had been provided in the Narrative on page </w:t>
      </w:r>
      <w:r w:rsidR="008101D9" w:rsidRPr="00181CA6">
        <w:rPr>
          <w:rStyle w:val="cf01"/>
          <w:rFonts w:asciiTheme="minorHAnsi" w:hAnsiTheme="minorHAnsi" w:cstheme="minorHAnsi"/>
          <w:b/>
          <w:bCs/>
          <w:sz w:val="20"/>
          <w:szCs w:val="20"/>
        </w:rPr>
        <w:t>2</w:t>
      </w:r>
      <w:r w:rsidR="00D20502" w:rsidRPr="00181CA6">
        <w:rPr>
          <w:rStyle w:val="cf01"/>
          <w:rFonts w:asciiTheme="minorHAnsi" w:hAnsiTheme="minorHAnsi" w:cstheme="minorHAnsi"/>
          <w:b/>
          <w:bCs/>
          <w:sz w:val="20"/>
          <w:szCs w:val="20"/>
        </w:rPr>
        <w:t xml:space="preserve">. </w:t>
      </w:r>
      <w:r w:rsidRPr="00181CA6">
        <w:rPr>
          <w:rStyle w:val="cf01"/>
          <w:rFonts w:asciiTheme="minorHAnsi" w:hAnsiTheme="minorHAnsi" w:cstheme="minorHAnsi"/>
          <w:b/>
          <w:bCs/>
          <w:sz w:val="20"/>
          <w:szCs w:val="20"/>
        </w:rPr>
        <w:t xml:space="preserve">Given that </w:t>
      </w:r>
      <w:r w:rsidR="00D20502" w:rsidRPr="00181CA6">
        <w:rPr>
          <w:rStyle w:val="cf01"/>
          <w:rFonts w:asciiTheme="minorHAnsi" w:hAnsiTheme="minorHAnsi" w:cstheme="minorHAnsi"/>
          <w:b/>
          <w:bCs/>
          <w:sz w:val="20"/>
          <w:szCs w:val="20"/>
        </w:rPr>
        <w:t xml:space="preserve">the Holder is still experiencing </w:t>
      </w:r>
      <w:r w:rsidR="00244D12" w:rsidRPr="00181CA6">
        <w:rPr>
          <w:rStyle w:val="cf01"/>
          <w:rFonts w:asciiTheme="minorHAnsi" w:hAnsiTheme="minorHAnsi" w:cstheme="minorHAnsi"/>
          <w:b/>
          <w:bCs/>
          <w:sz w:val="20"/>
          <w:szCs w:val="20"/>
        </w:rPr>
        <w:t xml:space="preserve">unprecedented overcrowding with these strategies already in place and that </w:t>
      </w:r>
      <w:r w:rsidR="004E145E" w:rsidRPr="00181CA6">
        <w:rPr>
          <w:rStyle w:val="cf01"/>
          <w:rFonts w:asciiTheme="minorHAnsi" w:hAnsiTheme="minorHAnsi" w:cstheme="minorHAnsi"/>
          <w:b/>
          <w:bCs/>
          <w:sz w:val="20"/>
          <w:szCs w:val="20"/>
        </w:rPr>
        <w:t xml:space="preserve">adding additional bed capacity </w:t>
      </w:r>
      <w:r w:rsidRPr="00181CA6">
        <w:rPr>
          <w:rStyle w:val="cf01"/>
          <w:rFonts w:asciiTheme="minorHAnsi" w:hAnsiTheme="minorHAnsi" w:cstheme="minorHAnsi"/>
          <w:b/>
          <w:bCs/>
          <w:sz w:val="20"/>
          <w:szCs w:val="20"/>
        </w:rPr>
        <w:t xml:space="preserve">would not </w:t>
      </w:r>
      <w:r w:rsidR="004E145E" w:rsidRPr="00181CA6">
        <w:rPr>
          <w:rStyle w:val="cf01"/>
          <w:rFonts w:asciiTheme="minorHAnsi" w:hAnsiTheme="minorHAnsi" w:cstheme="minorHAnsi"/>
          <w:b/>
          <w:bCs/>
          <w:sz w:val="20"/>
          <w:szCs w:val="20"/>
        </w:rPr>
        <w:t>provide relief for several year</w:t>
      </w:r>
      <w:r w:rsidR="00F73561" w:rsidRPr="00181CA6">
        <w:rPr>
          <w:rStyle w:val="cf01"/>
          <w:rFonts w:asciiTheme="minorHAnsi" w:hAnsiTheme="minorHAnsi" w:cstheme="minorHAnsi"/>
          <w:b/>
          <w:bCs/>
          <w:sz w:val="20"/>
          <w:szCs w:val="20"/>
        </w:rPr>
        <w:t>s</w:t>
      </w:r>
      <w:r w:rsidRPr="00181CA6">
        <w:rPr>
          <w:rStyle w:val="cf01"/>
          <w:rFonts w:asciiTheme="minorHAnsi" w:hAnsiTheme="minorHAnsi" w:cstheme="minorHAnsi"/>
          <w:b/>
          <w:bCs/>
          <w:sz w:val="20"/>
          <w:szCs w:val="20"/>
        </w:rPr>
        <w:t xml:space="preserve">, </w:t>
      </w:r>
      <w:r w:rsidR="00AB0F4F" w:rsidRPr="00181CA6">
        <w:rPr>
          <w:rStyle w:val="cf01"/>
          <w:rFonts w:asciiTheme="minorHAnsi" w:hAnsiTheme="minorHAnsi" w:cstheme="minorHAnsi"/>
          <w:b/>
          <w:bCs/>
          <w:sz w:val="20"/>
          <w:szCs w:val="20"/>
        </w:rPr>
        <w:t>are there other strategies</w:t>
      </w:r>
      <w:r w:rsidR="00DF5B49" w:rsidRPr="00181CA6">
        <w:rPr>
          <w:rStyle w:val="cf01"/>
          <w:rFonts w:asciiTheme="minorHAnsi" w:hAnsiTheme="minorHAnsi" w:cstheme="minorHAnsi"/>
          <w:b/>
          <w:bCs/>
          <w:sz w:val="20"/>
          <w:szCs w:val="20"/>
        </w:rPr>
        <w:t xml:space="preserve"> being considered in the Holder’s multi-</w:t>
      </w:r>
      <w:r w:rsidR="00AC535D" w:rsidRPr="00181CA6">
        <w:rPr>
          <w:rStyle w:val="cf01"/>
          <w:rFonts w:asciiTheme="minorHAnsi" w:hAnsiTheme="minorHAnsi" w:cstheme="minorHAnsi"/>
          <w:b/>
          <w:bCs/>
          <w:sz w:val="20"/>
          <w:szCs w:val="20"/>
        </w:rPr>
        <w:t>factor</w:t>
      </w:r>
      <w:r w:rsidR="00DF5B49" w:rsidRPr="00181CA6">
        <w:rPr>
          <w:rStyle w:val="cf01"/>
          <w:rFonts w:asciiTheme="minorHAnsi" w:hAnsiTheme="minorHAnsi" w:cstheme="minorHAnsi"/>
          <w:b/>
          <w:bCs/>
          <w:sz w:val="20"/>
          <w:szCs w:val="20"/>
        </w:rPr>
        <w:t xml:space="preserve"> approach to alleviate </w:t>
      </w:r>
      <w:r w:rsidR="009901D9" w:rsidRPr="00181CA6">
        <w:rPr>
          <w:rStyle w:val="cf01"/>
          <w:rFonts w:asciiTheme="minorHAnsi" w:hAnsiTheme="minorHAnsi" w:cstheme="minorHAnsi"/>
          <w:b/>
          <w:bCs/>
          <w:sz w:val="20"/>
          <w:szCs w:val="20"/>
        </w:rPr>
        <w:t xml:space="preserve">overcrowding </w:t>
      </w:r>
      <w:r w:rsidR="00DF5B49" w:rsidRPr="00181CA6">
        <w:rPr>
          <w:rStyle w:val="cf01"/>
          <w:rFonts w:asciiTheme="minorHAnsi" w:hAnsiTheme="minorHAnsi" w:cstheme="minorHAnsi"/>
          <w:b/>
          <w:bCs/>
          <w:sz w:val="20"/>
          <w:szCs w:val="20"/>
        </w:rPr>
        <w:t>that were not</w:t>
      </w:r>
      <w:r w:rsidR="00AB0F4F" w:rsidRPr="00181CA6">
        <w:rPr>
          <w:rStyle w:val="cf01"/>
          <w:rFonts w:asciiTheme="minorHAnsi" w:hAnsiTheme="minorHAnsi" w:cstheme="minorHAnsi"/>
          <w:b/>
          <w:bCs/>
          <w:sz w:val="20"/>
          <w:szCs w:val="20"/>
        </w:rPr>
        <w:t xml:space="preserve"> addressed in the </w:t>
      </w:r>
      <w:r w:rsidR="00655586" w:rsidRPr="00181CA6">
        <w:rPr>
          <w:rStyle w:val="cf01"/>
          <w:rFonts w:asciiTheme="minorHAnsi" w:hAnsiTheme="minorHAnsi" w:cstheme="minorHAnsi"/>
          <w:b/>
          <w:bCs/>
          <w:sz w:val="20"/>
          <w:szCs w:val="20"/>
        </w:rPr>
        <w:t>N</w:t>
      </w:r>
      <w:r w:rsidR="00AB0F4F" w:rsidRPr="00181CA6">
        <w:rPr>
          <w:rStyle w:val="cf01"/>
          <w:rFonts w:asciiTheme="minorHAnsi" w:hAnsiTheme="minorHAnsi" w:cstheme="minorHAnsi"/>
          <w:b/>
          <w:bCs/>
          <w:sz w:val="20"/>
          <w:szCs w:val="20"/>
        </w:rPr>
        <w:t xml:space="preserve">arrative </w:t>
      </w:r>
      <w:r w:rsidR="00763C52" w:rsidRPr="00181CA6">
        <w:rPr>
          <w:rStyle w:val="cf01"/>
          <w:rFonts w:asciiTheme="minorHAnsi" w:hAnsiTheme="minorHAnsi" w:cstheme="minorHAnsi"/>
          <w:b/>
          <w:bCs/>
          <w:sz w:val="20"/>
          <w:szCs w:val="20"/>
        </w:rPr>
        <w:t>(</w:t>
      </w:r>
      <w:r w:rsidR="00443EE8" w:rsidRPr="00181CA6">
        <w:rPr>
          <w:rStyle w:val="cf01"/>
          <w:rFonts w:asciiTheme="minorHAnsi" w:hAnsiTheme="minorHAnsi" w:cstheme="minorHAnsi"/>
          <w:b/>
          <w:bCs/>
          <w:sz w:val="20"/>
          <w:szCs w:val="20"/>
        </w:rPr>
        <w:t xml:space="preserve">increased staffing patterns, </w:t>
      </w:r>
      <w:r w:rsidR="00F02104" w:rsidRPr="00181CA6">
        <w:rPr>
          <w:rStyle w:val="cf01"/>
          <w:rFonts w:asciiTheme="minorHAnsi" w:hAnsiTheme="minorHAnsi" w:cstheme="minorHAnsi"/>
          <w:b/>
          <w:bCs/>
          <w:sz w:val="20"/>
          <w:szCs w:val="20"/>
        </w:rPr>
        <w:t xml:space="preserve">staff input </w:t>
      </w:r>
      <w:r w:rsidR="006E1C56" w:rsidRPr="00181CA6">
        <w:rPr>
          <w:rStyle w:val="cf01"/>
          <w:rFonts w:asciiTheme="minorHAnsi" w:hAnsiTheme="minorHAnsi" w:cstheme="minorHAnsi"/>
          <w:b/>
          <w:bCs/>
          <w:sz w:val="20"/>
          <w:szCs w:val="20"/>
        </w:rPr>
        <w:t xml:space="preserve">across service lines </w:t>
      </w:r>
      <w:r w:rsidR="00F02104" w:rsidRPr="00181CA6">
        <w:rPr>
          <w:rStyle w:val="cf01"/>
          <w:rFonts w:asciiTheme="minorHAnsi" w:hAnsiTheme="minorHAnsi" w:cstheme="minorHAnsi"/>
          <w:b/>
          <w:bCs/>
          <w:sz w:val="20"/>
          <w:szCs w:val="20"/>
        </w:rPr>
        <w:t xml:space="preserve">on </w:t>
      </w:r>
      <w:r w:rsidR="006E1C56" w:rsidRPr="00181CA6">
        <w:rPr>
          <w:rStyle w:val="cf01"/>
          <w:rFonts w:asciiTheme="minorHAnsi" w:hAnsiTheme="minorHAnsi" w:cstheme="minorHAnsi"/>
          <w:b/>
          <w:bCs/>
          <w:sz w:val="20"/>
          <w:szCs w:val="20"/>
        </w:rPr>
        <w:t xml:space="preserve">resolving overcrowding issues, </w:t>
      </w:r>
      <w:r w:rsidR="007E45BD" w:rsidRPr="00181CA6">
        <w:rPr>
          <w:rStyle w:val="cf01"/>
          <w:rFonts w:asciiTheme="minorHAnsi" w:hAnsiTheme="minorHAnsi" w:cstheme="minorHAnsi"/>
          <w:b/>
          <w:bCs/>
          <w:sz w:val="20"/>
          <w:szCs w:val="20"/>
        </w:rPr>
        <w:t xml:space="preserve">patient </w:t>
      </w:r>
      <w:r w:rsidR="003869A5" w:rsidRPr="00181CA6">
        <w:rPr>
          <w:rStyle w:val="cf01"/>
          <w:rFonts w:asciiTheme="minorHAnsi" w:hAnsiTheme="minorHAnsi" w:cstheme="minorHAnsi"/>
          <w:b/>
          <w:bCs/>
          <w:sz w:val="20"/>
          <w:szCs w:val="20"/>
        </w:rPr>
        <w:t>education on the use of urgent care facil</w:t>
      </w:r>
      <w:r w:rsidR="003C655E" w:rsidRPr="00181CA6">
        <w:rPr>
          <w:rStyle w:val="cf01"/>
          <w:rFonts w:asciiTheme="minorHAnsi" w:hAnsiTheme="minorHAnsi" w:cstheme="minorHAnsi"/>
          <w:b/>
          <w:bCs/>
          <w:sz w:val="20"/>
          <w:szCs w:val="20"/>
        </w:rPr>
        <w:t>i</w:t>
      </w:r>
      <w:r w:rsidR="003869A5" w:rsidRPr="00181CA6">
        <w:rPr>
          <w:rStyle w:val="cf01"/>
          <w:rFonts w:asciiTheme="minorHAnsi" w:hAnsiTheme="minorHAnsi" w:cstheme="minorHAnsi"/>
          <w:b/>
          <w:bCs/>
          <w:sz w:val="20"/>
          <w:szCs w:val="20"/>
        </w:rPr>
        <w:t>ties</w:t>
      </w:r>
      <w:r w:rsidR="00655586" w:rsidRPr="00181CA6">
        <w:rPr>
          <w:rStyle w:val="cf01"/>
          <w:rFonts w:asciiTheme="minorHAnsi" w:hAnsiTheme="minorHAnsi" w:cstheme="minorHAnsi"/>
          <w:b/>
          <w:bCs/>
          <w:sz w:val="20"/>
          <w:szCs w:val="20"/>
        </w:rPr>
        <w:t>, etc</w:t>
      </w:r>
      <w:r w:rsidR="00CE01C3" w:rsidRPr="00181CA6">
        <w:rPr>
          <w:rStyle w:val="cf01"/>
          <w:rFonts w:asciiTheme="minorHAnsi" w:hAnsiTheme="minorHAnsi" w:cstheme="minorHAnsi"/>
          <w:b/>
          <w:bCs/>
          <w:sz w:val="20"/>
          <w:szCs w:val="20"/>
        </w:rPr>
        <w:t>.</w:t>
      </w:r>
      <w:r w:rsidR="00655586" w:rsidRPr="00181CA6">
        <w:rPr>
          <w:rStyle w:val="cf01"/>
          <w:rFonts w:asciiTheme="minorHAnsi" w:hAnsiTheme="minorHAnsi" w:cstheme="minorHAnsi"/>
          <w:b/>
          <w:bCs/>
          <w:sz w:val="20"/>
          <w:szCs w:val="20"/>
        </w:rPr>
        <w:t>)</w:t>
      </w:r>
      <w:r w:rsidRPr="00181CA6">
        <w:rPr>
          <w:rStyle w:val="cf01"/>
          <w:rFonts w:asciiTheme="minorHAnsi" w:hAnsiTheme="minorHAnsi" w:cstheme="minorHAnsi"/>
          <w:b/>
          <w:bCs/>
          <w:sz w:val="20"/>
          <w:szCs w:val="20"/>
        </w:rPr>
        <w:t>?</w:t>
      </w:r>
    </w:p>
    <w:p w14:paraId="2642ACEF" w14:textId="77777777" w:rsidR="00DB3353" w:rsidRPr="00181CA6" w:rsidRDefault="00DB3353" w:rsidP="00DB3353">
      <w:pPr>
        <w:pStyle w:val="pf0"/>
        <w:spacing w:before="0" w:beforeAutospacing="0" w:after="0" w:afterAutospacing="0"/>
        <w:ind w:left="720"/>
        <w:rPr>
          <w:rStyle w:val="cf01"/>
          <w:rFonts w:asciiTheme="minorHAnsi" w:hAnsiTheme="minorHAnsi" w:cstheme="minorHAnsi"/>
          <w:sz w:val="20"/>
          <w:szCs w:val="20"/>
        </w:rPr>
      </w:pPr>
    </w:p>
    <w:p w14:paraId="29B23192" w14:textId="156815C1" w:rsidR="00554D3B" w:rsidRPr="00181CA6" w:rsidRDefault="00554D3B" w:rsidP="00261439">
      <w:pPr>
        <w:pStyle w:val="pf0"/>
        <w:spacing w:before="0" w:beforeAutospacing="0" w:after="0" w:afterAutospacing="0"/>
        <w:ind w:left="720"/>
        <w:jc w:val="both"/>
        <w:rPr>
          <w:rStyle w:val="cf01"/>
          <w:rFonts w:asciiTheme="minorHAnsi" w:hAnsiTheme="minorHAnsi" w:cstheme="minorHAnsi"/>
          <w:sz w:val="20"/>
          <w:szCs w:val="20"/>
        </w:rPr>
      </w:pPr>
      <w:r w:rsidRPr="00181CA6">
        <w:rPr>
          <w:rStyle w:val="cf01"/>
          <w:rFonts w:asciiTheme="minorHAnsi" w:hAnsiTheme="minorHAnsi" w:cstheme="minorHAnsi"/>
          <w:sz w:val="20"/>
          <w:szCs w:val="20"/>
        </w:rPr>
        <w:t xml:space="preserve">The strategies in place are in </w:t>
      </w:r>
      <w:r w:rsidR="00261439" w:rsidRPr="00181CA6">
        <w:rPr>
          <w:rStyle w:val="cf01"/>
          <w:rFonts w:asciiTheme="minorHAnsi" w:hAnsiTheme="minorHAnsi" w:cstheme="minorHAnsi"/>
          <w:sz w:val="20"/>
          <w:szCs w:val="20"/>
        </w:rPr>
        <w:t xml:space="preserve">the </w:t>
      </w:r>
      <w:r w:rsidRPr="00181CA6">
        <w:rPr>
          <w:rStyle w:val="cf01"/>
          <w:rFonts w:asciiTheme="minorHAnsi" w:hAnsiTheme="minorHAnsi" w:cstheme="minorHAnsi"/>
          <w:sz w:val="20"/>
          <w:szCs w:val="20"/>
        </w:rPr>
        <w:t xml:space="preserve">early stages and the capacity generated will continue to ramp up over time.   </w:t>
      </w:r>
      <w:r w:rsidR="00F32758" w:rsidRPr="00181CA6">
        <w:rPr>
          <w:rStyle w:val="cf01"/>
          <w:rFonts w:asciiTheme="minorHAnsi" w:hAnsiTheme="minorHAnsi" w:cstheme="minorHAnsi"/>
          <w:sz w:val="20"/>
          <w:szCs w:val="20"/>
        </w:rPr>
        <w:t>Specifically</w:t>
      </w:r>
      <w:r w:rsidRPr="00181CA6">
        <w:rPr>
          <w:rStyle w:val="cf01"/>
          <w:rFonts w:asciiTheme="minorHAnsi" w:hAnsiTheme="minorHAnsi" w:cstheme="minorHAnsi"/>
          <w:sz w:val="20"/>
          <w:szCs w:val="20"/>
        </w:rPr>
        <w:t xml:space="preserve">, MGH’s agreement with Cambridge Health Alliance is intended to ramp up to a daily census of </w:t>
      </w:r>
      <w:r w:rsidR="00067686" w:rsidRPr="00181CA6">
        <w:rPr>
          <w:rStyle w:val="cf01"/>
          <w:rFonts w:asciiTheme="minorHAnsi" w:hAnsiTheme="minorHAnsi" w:cstheme="minorHAnsi"/>
          <w:sz w:val="20"/>
          <w:szCs w:val="20"/>
        </w:rPr>
        <w:t>15</w:t>
      </w:r>
      <w:r w:rsidRPr="00181CA6">
        <w:rPr>
          <w:rStyle w:val="cf01"/>
          <w:rFonts w:asciiTheme="minorHAnsi" w:hAnsiTheme="minorHAnsi" w:cstheme="minorHAnsi"/>
          <w:sz w:val="20"/>
          <w:szCs w:val="20"/>
        </w:rPr>
        <w:t xml:space="preserve"> beds and </w:t>
      </w:r>
      <w:r w:rsidR="00261439" w:rsidRPr="00181CA6">
        <w:rPr>
          <w:rStyle w:val="cf01"/>
          <w:rFonts w:asciiTheme="minorHAnsi" w:hAnsiTheme="minorHAnsi" w:cstheme="minorHAnsi"/>
          <w:sz w:val="20"/>
          <w:szCs w:val="20"/>
        </w:rPr>
        <w:t>so far in</w:t>
      </w:r>
      <w:r w:rsidRPr="00181CA6">
        <w:rPr>
          <w:rStyle w:val="cf01"/>
          <w:rFonts w:asciiTheme="minorHAnsi" w:hAnsiTheme="minorHAnsi" w:cstheme="minorHAnsi"/>
          <w:sz w:val="20"/>
          <w:szCs w:val="20"/>
        </w:rPr>
        <w:t xml:space="preserve"> </w:t>
      </w:r>
      <w:r w:rsidR="00067686" w:rsidRPr="00181CA6">
        <w:rPr>
          <w:rStyle w:val="cf01"/>
          <w:rFonts w:asciiTheme="minorHAnsi" w:hAnsiTheme="minorHAnsi" w:cstheme="minorHAnsi"/>
          <w:sz w:val="20"/>
          <w:szCs w:val="20"/>
        </w:rPr>
        <w:t>FY’24</w:t>
      </w:r>
      <w:r w:rsidR="00261439" w:rsidRPr="00181CA6">
        <w:rPr>
          <w:rStyle w:val="cf01"/>
          <w:rFonts w:asciiTheme="minorHAnsi" w:hAnsiTheme="minorHAnsi" w:cstheme="minorHAnsi"/>
          <w:sz w:val="20"/>
          <w:szCs w:val="20"/>
        </w:rPr>
        <w:t>, MGH has</w:t>
      </w:r>
      <w:r w:rsidRPr="00181CA6">
        <w:rPr>
          <w:rStyle w:val="cf01"/>
          <w:rFonts w:asciiTheme="minorHAnsi" w:hAnsiTheme="minorHAnsi" w:cstheme="minorHAnsi"/>
          <w:sz w:val="20"/>
          <w:szCs w:val="20"/>
        </w:rPr>
        <w:t xml:space="preserve"> achieved the equivalent of </w:t>
      </w:r>
      <w:r w:rsidR="00261439" w:rsidRPr="00181CA6">
        <w:rPr>
          <w:rStyle w:val="cf01"/>
          <w:rFonts w:asciiTheme="minorHAnsi" w:hAnsiTheme="minorHAnsi" w:cstheme="minorHAnsi"/>
          <w:sz w:val="20"/>
          <w:szCs w:val="20"/>
        </w:rPr>
        <w:t>five (</w:t>
      </w:r>
      <w:r w:rsidRPr="00181CA6">
        <w:rPr>
          <w:rStyle w:val="cf01"/>
          <w:rFonts w:asciiTheme="minorHAnsi" w:hAnsiTheme="minorHAnsi" w:cstheme="minorHAnsi"/>
          <w:sz w:val="20"/>
          <w:szCs w:val="20"/>
        </w:rPr>
        <w:t>5</w:t>
      </w:r>
      <w:r w:rsidR="00261439" w:rsidRPr="00181CA6">
        <w:rPr>
          <w:rStyle w:val="cf01"/>
          <w:rFonts w:asciiTheme="minorHAnsi" w:hAnsiTheme="minorHAnsi" w:cstheme="minorHAnsi"/>
          <w:sz w:val="20"/>
          <w:szCs w:val="20"/>
        </w:rPr>
        <w:t>)</w:t>
      </w:r>
      <w:r w:rsidRPr="00181CA6">
        <w:rPr>
          <w:rStyle w:val="cf01"/>
          <w:rFonts w:asciiTheme="minorHAnsi" w:hAnsiTheme="minorHAnsi" w:cstheme="minorHAnsi"/>
          <w:sz w:val="20"/>
          <w:szCs w:val="20"/>
        </w:rPr>
        <w:t xml:space="preserve"> beds.  Similarly, the MGB Home Hospital program is </w:t>
      </w:r>
      <w:r w:rsidR="00261439" w:rsidRPr="00181CA6">
        <w:rPr>
          <w:rStyle w:val="cf01"/>
          <w:rFonts w:asciiTheme="minorHAnsi" w:hAnsiTheme="minorHAnsi" w:cstheme="minorHAnsi"/>
          <w:sz w:val="20"/>
          <w:szCs w:val="20"/>
        </w:rPr>
        <w:t>working</w:t>
      </w:r>
      <w:r w:rsidRPr="00181CA6">
        <w:rPr>
          <w:rStyle w:val="cf01"/>
          <w:rFonts w:asciiTheme="minorHAnsi" w:hAnsiTheme="minorHAnsi" w:cstheme="minorHAnsi"/>
          <w:sz w:val="20"/>
          <w:szCs w:val="20"/>
        </w:rPr>
        <w:t xml:space="preserve"> to hire staff and increase </w:t>
      </w:r>
      <w:r w:rsidR="00261439" w:rsidRPr="00181CA6">
        <w:rPr>
          <w:rStyle w:val="cf01"/>
          <w:rFonts w:asciiTheme="minorHAnsi" w:hAnsiTheme="minorHAnsi" w:cstheme="minorHAnsi"/>
          <w:sz w:val="20"/>
          <w:szCs w:val="20"/>
        </w:rPr>
        <w:t xml:space="preserve">its </w:t>
      </w:r>
      <w:r w:rsidRPr="00181CA6">
        <w:rPr>
          <w:rStyle w:val="cf01"/>
          <w:rFonts w:asciiTheme="minorHAnsi" w:hAnsiTheme="minorHAnsi" w:cstheme="minorHAnsi"/>
          <w:sz w:val="20"/>
          <w:szCs w:val="20"/>
        </w:rPr>
        <w:t xml:space="preserve">capacity to accept new patients.  </w:t>
      </w:r>
      <w:r w:rsidR="008A7DE1" w:rsidRPr="00181CA6">
        <w:rPr>
          <w:rStyle w:val="cf01"/>
          <w:rFonts w:asciiTheme="minorHAnsi" w:hAnsiTheme="minorHAnsi" w:cstheme="minorHAnsi"/>
          <w:sz w:val="20"/>
          <w:szCs w:val="20"/>
        </w:rPr>
        <w:t>T</w:t>
      </w:r>
      <w:r w:rsidRPr="00181CA6">
        <w:rPr>
          <w:rStyle w:val="cf01"/>
          <w:rFonts w:asciiTheme="minorHAnsi" w:hAnsiTheme="minorHAnsi" w:cstheme="minorHAnsi"/>
          <w:sz w:val="20"/>
          <w:szCs w:val="20"/>
        </w:rPr>
        <w:t xml:space="preserve">his program </w:t>
      </w:r>
      <w:r w:rsidR="008A7DE1" w:rsidRPr="00181CA6">
        <w:rPr>
          <w:rStyle w:val="cf01"/>
          <w:rFonts w:asciiTheme="minorHAnsi" w:hAnsiTheme="minorHAnsi" w:cstheme="minorHAnsi"/>
          <w:sz w:val="20"/>
          <w:szCs w:val="20"/>
        </w:rPr>
        <w:t xml:space="preserve">has been running at a census of </w:t>
      </w:r>
      <w:r w:rsidR="00261439" w:rsidRPr="00181CA6">
        <w:rPr>
          <w:rStyle w:val="cf01"/>
          <w:rFonts w:asciiTheme="minorHAnsi" w:hAnsiTheme="minorHAnsi" w:cstheme="minorHAnsi"/>
          <w:sz w:val="20"/>
          <w:szCs w:val="20"/>
        </w:rPr>
        <w:t>nine (</w:t>
      </w:r>
      <w:r w:rsidR="008A7DE1" w:rsidRPr="00181CA6">
        <w:rPr>
          <w:rStyle w:val="cf01"/>
          <w:rFonts w:asciiTheme="minorHAnsi" w:hAnsiTheme="minorHAnsi" w:cstheme="minorHAnsi"/>
          <w:sz w:val="20"/>
          <w:szCs w:val="20"/>
        </w:rPr>
        <w:t>9</w:t>
      </w:r>
      <w:r w:rsidR="00261439" w:rsidRPr="00181CA6">
        <w:rPr>
          <w:rStyle w:val="cf01"/>
          <w:rFonts w:asciiTheme="minorHAnsi" w:hAnsiTheme="minorHAnsi" w:cstheme="minorHAnsi"/>
          <w:sz w:val="20"/>
          <w:szCs w:val="20"/>
        </w:rPr>
        <w:t>)</w:t>
      </w:r>
      <w:r w:rsidR="008A7DE1" w:rsidRPr="00181CA6">
        <w:rPr>
          <w:rStyle w:val="cf01"/>
          <w:rFonts w:asciiTheme="minorHAnsi" w:hAnsiTheme="minorHAnsi" w:cstheme="minorHAnsi"/>
          <w:sz w:val="20"/>
          <w:szCs w:val="20"/>
        </w:rPr>
        <w:t xml:space="preserve"> FY ’24 </w:t>
      </w:r>
      <w:r w:rsidR="00261439" w:rsidRPr="00181CA6">
        <w:rPr>
          <w:rStyle w:val="cf01"/>
          <w:rFonts w:asciiTheme="minorHAnsi" w:hAnsiTheme="minorHAnsi" w:cstheme="minorHAnsi"/>
          <w:sz w:val="20"/>
          <w:szCs w:val="20"/>
        </w:rPr>
        <w:t xml:space="preserve">YTD </w:t>
      </w:r>
      <w:r w:rsidR="008A7DE1" w:rsidRPr="00181CA6">
        <w:rPr>
          <w:rStyle w:val="cf01"/>
          <w:rFonts w:asciiTheme="minorHAnsi" w:hAnsiTheme="minorHAnsi" w:cstheme="minorHAnsi"/>
          <w:sz w:val="20"/>
          <w:szCs w:val="20"/>
        </w:rPr>
        <w:t xml:space="preserve">at MGH but the MGB-wide program is consistently </w:t>
      </w:r>
      <w:r w:rsidRPr="00181CA6">
        <w:rPr>
          <w:rStyle w:val="cf01"/>
          <w:rFonts w:asciiTheme="minorHAnsi" w:hAnsiTheme="minorHAnsi" w:cstheme="minorHAnsi"/>
          <w:sz w:val="20"/>
          <w:szCs w:val="20"/>
        </w:rPr>
        <w:t>rais</w:t>
      </w:r>
      <w:r w:rsidR="008A7DE1" w:rsidRPr="00181CA6">
        <w:rPr>
          <w:rStyle w:val="cf01"/>
          <w:rFonts w:asciiTheme="minorHAnsi" w:hAnsiTheme="minorHAnsi" w:cstheme="minorHAnsi"/>
          <w:sz w:val="20"/>
          <w:szCs w:val="20"/>
        </w:rPr>
        <w:t>ing</w:t>
      </w:r>
      <w:r w:rsidRPr="00181CA6">
        <w:rPr>
          <w:rStyle w:val="cf01"/>
          <w:rFonts w:asciiTheme="minorHAnsi" w:hAnsiTheme="minorHAnsi" w:cstheme="minorHAnsi"/>
          <w:sz w:val="20"/>
          <w:szCs w:val="20"/>
        </w:rPr>
        <w:t xml:space="preserve"> </w:t>
      </w:r>
      <w:r w:rsidR="00261439" w:rsidRPr="00181CA6">
        <w:rPr>
          <w:rStyle w:val="cf01"/>
          <w:rFonts w:asciiTheme="minorHAnsi" w:hAnsiTheme="minorHAnsi" w:cstheme="minorHAnsi"/>
          <w:sz w:val="20"/>
          <w:szCs w:val="20"/>
        </w:rPr>
        <w:t xml:space="preserve">its </w:t>
      </w:r>
      <w:r w:rsidRPr="00181CA6">
        <w:rPr>
          <w:rStyle w:val="cf01"/>
          <w:rFonts w:asciiTheme="minorHAnsi" w:hAnsiTheme="minorHAnsi" w:cstheme="minorHAnsi"/>
          <w:sz w:val="20"/>
          <w:szCs w:val="20"/>
        </w:rPr>
        <w:t xml:space="preserve">census </w:t>
      </w:r>
      <w:r w:rsidR="008A7DE1" w:rsidRPr="00181CA6">
        <w:rPr>
          <w:rStyle w:val="cf01"/>
          <w:rFonts w:asciiTheme="minorHAnsi" w:hAnsiTheme="minorHAnsi" w:cstheme="minorHAnsi"/>
          <w:sz w:val="20"/>
          <w:szCs w:val="20"/>
        </w:rPr>
        <w:t>to accommodate more patients.  Home hospital has no physical constraints to capacity, and it is all about phasing the growth in staff to meet projected demand of eligible patients</w:t>
      </w:r>
      <w:r w:rsidRPr="00181CA6">
        <w:rPr>
          <w:rStyle w:val="cf01"/>
          <w:rFonts w:asciiTheme="minorHAnsi" w:hAnsiTheme="minorHAnsi" w:cstheme="minorHAnsi"/>
          <w:sz w:val="20"/>
          <w:szCs w:val="20"/>
        </w:rPr>
        <w:t>.</w:t>
      </w:r>
      <w:r w:rsidR="00634013" w:rsidRPr="00181CA6">
        <w:rPr>
          <w:rStyle w:val="cf01"/>
          <w:rFonts w:asciiTheme="minorHAnsi" w:hAnsiTheme="minorHAnsi" w:cstheme="minorHAnsi"/>
          <w:sz w:val="20"/>
          <w:szCs w:val="20"/>
        </w:rPr>
        <w:t xml:space="preserve"> This program also allows community hospitals to free up capacity and accept appropriate transfers from the Academic Medical Centers.</w:t>
      </w:r>
      <w:r w:rsidRPr="00181CA6">
        <w:rPr>
          <w:rStyle w:val="cf01"/>
          <w:rFonts w:asciiTheme="minorHAnsi" w:hAnsiTheme="minorHAnsi" w:cstheme="minorHAnsi"/>
          <w:sz w:val="20"/>
          <w:szCs w:val="20"/>
        </w:rPr>
        <w:t xml:space="preserve">   </w:t>
      </w:r>
    </w:p>
    <w:p w14:paraId="770AC517" w14:textId="77777777" w:rsidR="00554D3B" w:rsidRPr="00181CA6" w:rsidRDefault="00554D3B" w:rsidP="00261439">
      <w:pPr>
        <w:pStyle w:val="pf0"/>
        <w:spacing w:before="0" w:beforeAutospacing="0" w:after="0" w:afterAutospacing="0"/>
        <w:ind w:left="720"/>
        <w:jc w:val="both"/>
        <w:rPr>
          <w:rStyle w:val="cf01"/>
          <w:rFonts w:asciiTheme="minorHAnsi" w:hAnsiTheme="minorHAnsi" w:cstheme="minorHAnsi"/>
          <w:sz w:val="20"/>
          <w:szCs w:val="20"/>
        </w:rPr>
      </w:pPr>
    </w:p>
    <w:p w14:paraId="36AC93AE" w14:textId="1328081A" w:rsidR="00982D48" w:rsidRPr="00181CA6" w:rsidRDefault="00982D48" w:rsidP="00261439">
      <w:pPr>
        <w:pStyle w:val="pf0"/>
        <w:spacing w:before="0" w:beforeAutospacing="0" w:after="0" w:afterAutospacing="0"/>
        <w:ind w:left="720"/>
        <w:jc w:val="both"/>
        <w:rPr>
          <w:rStyle w:val="cf01"/>
          <w:rFonts w:asciiTheme="minorHAnsi" w:hAnsiTheme="minorHAnsi" w:cstheme="minorHAnsi"/>
          <w:sz w:val="20"/>
          <w:szCs w:val="20"/>
        </w:rPr>
      </w:pPr>
      <w:r w:rsidRPr="00181CA6">
        <w:rPr>
          <w:rStyle w:val="cf01"/>
          <w:rFonts w:asciiTheme="minorHAnsi" w:hAnsiTheme="minorHAnsi" w:cstheme="minorHAnsi"/>
          <w:sz w:val="20"/>
          <w:szCs w:val="20"/>
        </w:rPr>
        <w:t>MGH has a capacity leader on call every</w:t>
      </w:r>
      <w:r w:rsidR="008A7DE1" w:rsidRPr="00181CA6">
        <w:rPr>
          <w:rStyle w:val="cf01"/>
          <w:rFonts w:asciiTheme="minorHAnsi" w:hAnsiTheme="minorHAnsi" w:cstheme="minorHAnsi"/>
          <w:sz w:val="20"/>
          <w:szCs w:val="20"/>
        </w:rPr>
        <w:t xml:space="preserve"> </w:t>
      </w:r>
      <w:r w:rsidRPr="00181CA6">
        <w:rPr>
          <w:rStyle w:val="cf01"/>
          <w:rFonts w:asciiTheme="minorHAnsi" w:hAnsiTheme="minorHAnsi" w:cstheme="minorHAnsi"/>
          <w:sz w:val="20"/>
          <w:szCs w:val="20"/>
        </w:rPr>
        <w:t xml:space="preserve">day to help eliminate barriers to patient flow (e.g., ensure a specific test can be scheduled and reviewed to get patient discharged).   The individual interventions are tracked </w:t>
      </w:r>
      <w:r w:rsidR="002D5432" w:rsidRPr="00181CA6">
        <w:rPr>
          <w:rStyle w:val="cf01"/>
          <w:rFonts w:asciiTheme="minorHAnsi" w:hAnsiTheme="minorHAnsi" w:cstheme="minorHAnsi"/>
          <w:sz w:val="20"/>
          <w:szCs w:val="20"/>
        </w:rPr>
        <w:t>to look for any</w:t>
      </w:r>
      <w:r w:rsidRPr="00181CA6">
        <w:rPr>
          <w:rStyle w:val="cf01"/>
          <w:rFonts w:asciiTheme="minorHAnsi" w:hAnsiTheme="minorHAnsi" w:cstheme="minorHAnsi"/>
          <w:sz w:val="20"/>
          <w:szCs w:val="20"/>
        </w:rPr>
        <w:t xml:space="preserve"> themes that might require more systemic improvements.  </w:t>
      </w:r>
    </w:p>
    <w:p w14:paraId="17EE285F" w14:textId="77777777" w:rsidR="00982D48" w:rsidRPr="00181CA6" w:rsidRDefault="00982D48" w:rsidP="00261439">
      <w:pPr>
        <w:pStyle w:val="pf0"/>
        <w:spacing w:before="0" w:beforeAutospacing="0" w:after="0" w:afterAutospacing="0"/>
        <w:ind w:left="720"/>
        <w:jc w:val="both"/>
        <w:rPr>
          <w:rStyle w:val="cf01"/>
          <w:rFonts w:asciiTheme="minorHAnsi" w:hAnsiTheme="minorHAnsi" w:cstheme="minorHAnsi"/>
          <w:sz w:val="20"/>
          <w:szCs w:val="20"/>
        </w:rPr>
      </w:pPr>
    </w:p>
    <w:p w14:paraId="04E37493" w14:textId="3F220BC6" w:rsidR="00DB3353" w:rsidRPr="00181CA6" w:rsidRDefault="00554D3B" w:rsidP="00261439">
      <w:pPr>
        <w:pStyle w:val="pf0"/>
        <w:spacing w:before="0" w:beforeAutospacing="0" w:after="0" w:afterAutospacing="0"/>
        <w:ind w:left="720"/>
        <w:jc w:val="both"/>
        <w:rPr>
          <w:rStyle w:val="cf01"/>
          <w:rFonts w:asciiTheme="minorHAnsi" w:hAnsiTheme="minorHAnsi" w:cstheme="minorHAnsi"/>
          <w:sz w:val="20"/>
          <w:szCs w:val="20"/>
        </w:rPr>
      </w:pPr>
      <w:r w:rsidRPr="00181CA6">
        <w:rPr>
          <w:rStyle w:val="cf01"/>
          <w:rFonts w:asciiTheme="minorHAnsi" w:hAnsiTheme="minorHAnsi" w:cstheme="minorHAnsi"/>
          <w:sz w:val="20"/>
          <w:szCs w:val="20"/>
        </w:rPr>
        <w:t xml:space="preserve">Additionally, MGH is currently constructing 17 bays adjacent to the emergency room that will be used as </w:t>
      </w:r>
      <w:r w:rsidR="00F32758" w:rsidRPr="00181CA6">
        <w:rPr>
          <w:rStyle w:val="cf01"/>
          <w:rFonts w:asciiTheme="minorHAnsi" w:hAnsiTheme="minorHAnsi" w:cstheme="minorHAnsi"/>
          <w:sz w:val="20"/>
          <w:szCs w:val="20"/>
        </w:rPr>
        <w:t>incremental</w:t>
      </w:r>
      <w:r w:rsidRPr="00181CA6">
        <w:rPr>
          <w:rStyle w:val="cf01"/>
          <w:rFonts w:asciiTheme="minorHAnsi" w:hAnsiTheme="minorHAnsi" w:cstheme="minorHAnsi"/>
          <w:sz w:val="20"/>
          <w:szCs w:val="20"/>
        </w:rPr>
        <w:t xml:space="preserve"> space for </w:t>
      </w:r>
      <w:r w:rsidR="00F32758" w:rsidRPr="00181CA6">
        <w:rPr>
          <w:rStyle w:val="cf01"/>
          <w:rFonts w:asciiTheme="minorHAnsi" w:hAnsiTheme="minorHAnsi" w:cstheme="minorHAnsi"/>
          <w:sz w:val="20"/>
          <w:szCs w:val="20"/>
        </w:rPr>
        <w:t>boarded</w:t>
      </w:r>
      <w:r w:rsidRPr="00181CA6">
        <w:rPr>
          <w:rStyle w:val="cf01"/>
          <w:rFonts w:asciiTheme="minorHAnsi" w:hAnsiTheme="minorHAnsi" w:cstheme="minorHAnsi"/>
          <w:sz w:val="20"/>
          <w:szCs w:val="20"/>
        </w:rPr>
        <w:t xml:space="preserve"> patients.  This is the only physical location </w:t>
      </w:r>
      <w:r w:rsidR="00261439" w:rsidRPr="00181CA6">
        <w:rPr>
          <w:rStyle w:val="cf01"/>
          <w:rFonts w:asciiTheme="minorHAnsi" w:hAnsiTheme="minorHAnsi" w:cstheme="minorHAnsi"/>
          <w:sz w:val="20"/>
          <w:szCs w:val="20"/>
        </w:rPr>
        <w:t xml:space="preserve">available </w:t>
      </w:r>
      <w:r w:rsidRPr="00181CA6">
        <w:rPr>
          <w:rStyle w:val="cf01"/>
          <w:rFonts w:asciiTheme="minorHAnsi" w:hAnsiTheme="minorHAnsi" w:cstheme="minorHAnsi"/>
          <w:sz w:val="20"/>
          <w:szCs w:val="20"/>
        </w:rPr>
        <w:t xml:space="preserve">to provide some </w:t>
      </w:r>
      <w:r w:rsidR="00F32758" w:rsidRPr="00181CA6">
        <w:rPr>
          <w:rStyle w:val="cf01"/>
          <w:rFonts w:asciiTheme="minorHAnsi" w:hAnsiTheme="minorHAnsi" w:cstheme="minorHAnsi"/>
          <w:sz w:val="20"/>
          <w:szCs w:val="20"/>
        </w:rPr>
        <w:t>improvement in the crowding or density</w:t>
      </w:r>
      <w:r w:rsidR="00261439" w:rsidRPr="00181CA6">
        <w:rPr>
          <w:rStyle w:val="cf01"/>
          <w:rFonts w:asciiTheme="minorHAnsi" w:hAnsiTheme="minorHAnsi" w:cstheme="minorHAnsi"/>
          <w:sz w:val="20"/>
          <w:szCs w:val="20"/>
        </w:rPr>
        <w:t xml:space="preserve">. These bays are expected to </w:t>
      </w:r>
      <w:r w:rsidR="00F32758" w:rsidRPr="00181CA6">
        <w:rPr>
          <w:rStyle w:val="cf01"/>
          <w:rFonts w:asciiTheme="minorHAnsi" w:hAnsiTheme="minorHAnsi" w:cstheme="minorHAnsi"/>
          <w:sz w:val="20"/>
          <w:szCs w:val="20"/>
        </w:rPr>
        <w:t xml:space="preserve">come </w:t>
      </w:r>
      <w:r w:rsidR="00982D48" w:rsidRPr="00181CA6">
        <w:rPr>
          <w:rStyle w:val="cf01"/>
          <w:rFonts w:asciiTheme="minorHAnsi" w:hAnsiTheme="minorHAnsi" w:cstheme="minorHAnsi"/>
          <w:sz w:val="20"/>
          <w:szCs w:val="20"/>
        </w:rPr>
        <w:t>online</w:t>
      </w:r>
      <w:r w:rsidR="00F32758" w:rsidRPr="00181CA6">
        <w:rPr>
          <w:rStyle w:val="cf01"/>
          <w:rFonts w:asciiTheme="minorHAnsi" w:hAnsiTheme="minorHAnsi" w:cstheme="minorHAnsi"/>
          <w:sz w:val="20"/>
          <w:szCs w:val="20"/>
        </w:rPr>
        <w:t xml:space="preserve"> in September.   </w:t>
      </w:r>
    </w:p>
    <w:p w14:paraId="5F201BFC" w14:textId="77777777" w:rsidR="00067686" w:rsidRPr="00181CA6" w:rsidRDefault="00067686" w:rsidP="00261439">
      <w:pPr>
        <w:pStyle w:val="pf0"/>
        <w:spacing w:before="0" w:beforeAutospacing="0" w:after="0" w:afterAutospacing="0"/>
        <w:jc w:val="both"/>
        <w:rPr>
          <w:rStyle w:val="cf01"/>
          <w:rFonts w:asciiTheme="minorHAnsi" w:hAnsiTheme="minorHAnsi" w:cstheme="minorHAnsi"/>
          <w:sz w:val="20"/>
          <w:szCs w:val="20"/>
        </w:rPr>
      </w:pPr>
    </w:p>
    <w:bookmarkEnd w:id="0"/>
    <w:p w14:paraId="67C88743" w14:textId="7F80E650" w:rsidR="006735BF" w:rsidRPr="00181CA6" w:rsidRDefault="00067686" w:rsidP="00261439">
      <w:pPr>
        <w:pStyle w:val="pf0"/>
        <w:spacing w:before="0" w:beforeAutospacing="0" w:after="0" w:afterAutospacing="0"/>
        <w:ind w:left="360"/>
        <w:jc w:val="both"/>
        <w:rPr>
          <w:rStyle w:val="cf01"/>
          <w:rFonts w:asciiTheme="minorHAnsi" w:hAnsiTheme="minorHAnsi" w:cstheme="minorHAnsi"/>
          <w:sz w:val="20"/>
          <w:szCs w:val="20"/>
        </w:rPr>
      </w:pPr>
      <w:r w:rsidRPr="00181CA6">
        <w:rPr>
          <w:rStyle w:val="cf01"/>
          <w:rFonts w:asciiTheme="minorHAnsi" w:hAnsiTheme="minorHAnsi" w:cstheme="minorHAnsi"/>
          <w:sz w:val="20"/>
          <w:szCs w:val="20"/>
        </w:rPr>
        <w:tab/>
        <w:t>Staffing is not a barrier that contributes to overcrowding.</w:t>
      </w:r>
    </w:p>
    <w:p w14:paraId="2F675B1B" w14:textId="77777777" w:rsidR="006D00FA" w:rsidRPr="00181CA6" w:rsidRDefault="006D00FA" w:rsidP="006D00FA">
      <w:pPr>
        <w:pStyle w:val="pf0"/>
        <w:spacing w:before="0" w:beforeAutospacing="0" w:after="0" w:afterAutospacing="0"/>
        <w:rPr>
          <w:rStyle w:val="cf01"/>
          <w:rFonts w:asciiTheme="minorHAnsi" w:hAnsiTheme="minorHAnsi" w:cstheme="minorHAnsi"/>
          <w:sz w:val="20"/>
          <w:szCs w:val="20"/>
          <w:highlight w:val="yellow"/>
        </w:rPr>
      </w:pPr>
    </w:p>
    <w:p w14:paraId="46F2C4F9" w14:textId="77777777" w:rsidR="00775E3C" w:rsidRPr="00181CA6" w:rsidRDefault="00775E3C" w:rsidP="00775E3C">
      <w:pPr>
        <w:autoSpaceDE w:val="0"/>
        <w:autoSpaceDN w:val="0"/>
        <w:adjustRightInd w:val="0"/>
        <w:spacing w:before="120" w:after="120"/>
        <w:jc w:val="both"/>
        <w:rPr>
          <w:rFonts w:cstheme="minorHAnsi"/>
          <w:b/>
          <w:bCs/>
          <w:sz w:val="20"/>
          <w:szCs w:val="20"/>
        </w:rPr>
      </w:pPr>
      <w:r w:rsidRPr="00181CA6">
        <w:rPr>
          <w:rFonts w:cstheme="minorHAnsi"/>
          <w:b/>
          <w:bCs/>
          <w:sz w:val="20"/>
          <w:szCs w:val="20"/>
        </w:rPr>
        <w:t>10.5.c Describe the associated cost implications to the Holder’s existing Patient Panel</w:t>
      </w:r>
    </w:p>
    <w:p w14:paraId="4E97AFBC" w14:textId="77777777" w:rsidR="004B3555" w:rsidRPr="00181CA6" w:rsidRDefault="004B3555" w:rsidP="004B3555">
      <w:pPr>
        <w:pStyle w:val="pf0"/>
        <w:spacing w:before="0" w:beforeAutospacing="0" w:after="0" w:afterAutospacing="0"/>
        <w:rPr>
          <w:rStyle w:val="cf01"/>
          <w:rFonts w:asciiTheme="minorHAnsi" w:hAnsiTheme="minorHAnsi" w:cstheme="minorHAnsi"/>
          <w:sz w:val="20"/>
          <w:szCs w:val="20"/>
        </w:rPr>
      </w:pPr>
    </w:p>
    <w:p w14:paraId="33CD8A79" w14:textId="77777777" w:rsidR="000A51A6" w:rsidRPr="00181CA6" w:rsidRDefault="00081715" w:rsidP="00CC1445">
      <w:pPr>
        <w:pStyle w:val="ListParagraph"/>
        <w:numPr>
          <w:ilvl w:val="0"/>
          <w:numId w:val="41"/>
        </w:numPr>
        <w:spacing w:before="120" w:after="120"/>
        <w:rPr>
          <w:rFonts w:cstheme="minorHAnsi"/>
          <w:b/>
          <w:bCs/>
          <w:sz w:val="20"/>
          <w:szCs w:val="20"/>
        </w:rPr>
      </w:pPr>
      <w:r w:rsidRPr="00181CA6">
        <w:rPr>
          <w:rStyle w:val="cf01"/>
          <w:rFonts w:asciiTheme="minorHAnsi" w:eastAsia="Times New Roman" w:hAnsiTheme="minorHAnsi" w:cstheme="minorHAnsi"/>
          <w:b/>
          <w:bCs/>
          <w:sz w:val="20"/>
          <w:szCs w:val="20"/>
        </w:rPr>
        <w:t>Page 2 of the Narrative sta</w:t>
      </w:r>
      <w:r w:rsidR="00D33A44" w:rsidRPr="00181CA6">
        <w:rPr>
          <w:rStyle w:val="cf01"/>
          <w:rFonts w:asciiTheme="minorHAnsi" w:eastAsia="Times New Roman" w:hAnsiTheme="minorHAnsi" w:cstheme="minorHAnsi"/>
          <w:b/>
          <w:bCs/>
          <w:sz w:val="20"/>
          <w:szCs w:val="20"/>
        </w:rPr>
        <w:t>tes, “</w:t>
      </w:r>
      <w:r w:rsidR="00D33A44" w:rsidRPr="00181CA6">
        <w:rPr>
          <w:rFonts w:cstheme="minorHAnsi"/>
          <w:b/>
          <w:bCs/>
          <w:sz w:val="20"/>
          <w:szCs w:val="20"/>
        </w:rPr>
        <w:t xml:space="preserve">The Proposed Change does not require any renovation or further construction and can be achieved without any additional expenditures.” </w:t>
      </w:r>
    </w:p>
    <w:p w14:paraId="572AEB2F" w14:textId="77777777" w:rsidR="000A51A6" w:rsidRPr="00181CA6" w:rsidRDefault="00951EB6" w:rsidP="00CC1445">
      <w:pPr>
        <w:pStyle w:val="ListParagraph"/>
        <w:numPr>
          <w:ilvl w:val="1"/>
          <w:numId w:val="41"/>
        </w:numPr>
        <w:spacing w:before="120" w:after="120"/>
        <w:rPr>
          <w:rFonts w:cstheme="minorHAnsi"/>
          <w:b/>
          <w:bCs/>
          <w:sz w:val="20"/>
          <w:szCs w:val="20"/>
        </w:rPr>
      </w:pPr>
      <w:r w:rsidRPr="00181CA6">
        <w:rPr>
          <w:rFonts w:cstheme="minorHAnsi"/>
          <w:b/>
          <w:bCs/>
          <w:sz w:val="20"/>
          <w:szCs w:val="20"/>
        </w:rPr>
        <w:lastRenderedPageBreak/>
        <w:t xml:space="preserve">Please explain if there would be any </w:t>
      </w:r>
      <w:r w:rsidR="00CC1445" w:rsidRPr="00181CA6">
        <w:rPr>
          <w:rFonts w:cstheme="minorHAnsi"/>
          <w:b/>
          <w:bCs/>
          <w:sz w:val="20"/>
          <w:szCs w:val="20"/>
        </w:rPr>
        <w:t xml:space="preserve">fixture or </w:t>
      </w:r>
      <w:r w:rsidR="00390E89" w:rsidRPr="00181CA6">
        <w:rPr>
          <w:rFonts w:cstheme="minorHAnsi"/>
          <w:b/>
          <w:bCs/>
          <w:sz w:val="20"/>
          <w:szCs w:val="20"/>
        </w:rPr>
        <w:t xml:space="preserve">equipment </w:t>
      </w:r>
      <w:r w:rsidR="00CC1445" w:rsidRPr="00181CA6">
        <w:rPr>
          <w:rFonts w:cstheme="minorHAnsi"/>
          <w:b/>
          <w:bCs/>
          <w:sz w:val="20"/>
          <w:szCs w:val="20"/>
        </w:rPr>
        <w:t xml:space="preserve">removal </w:t>
      </w:r>
      <w:r w:rsidR="00C05579" w:rsidRPr="00181CA6">
        <w:rPr>
          <w:rFonts w:cstheme="minorHAnsi"/>
          <w:b/>
          <w:bCs/>
          <w:sz w:val="20"/>
          <w:szCs w:val="20"/>
        </w:rPr>
        <w:t xml:space="preserve">associated with </w:t>
      </w:r>
      <w:r w:rsidR="00CC1445" w:rsidRPr="00181CA6">
        <w:rPr>
          <w:rFonts w:cstheme="minorHAnsi"/>
          <w:b/>
          <w:bCs/>
          <w:sz w:val="20"/>
          <w:szCs w:val="20"/>
        </w:rPr>
        <w:t xml:space="preserve">converting double bedded rooms to single bedded rooms </w:t>
      </w:r>
      <w:r w:rsidR="0010549B" w:rsidRPr="00181CA6">
        <w:rPr>
          <w:rFonts w:cstheme="minorHAnsi"/>
          <w:b/>
          <w:bCs/>
          <w:sz w:val="20"/>
          <w:szCs w:val="20"/>
        </w:rPr>
        <w:t>and outline the costs associated with such work.</w:t>
      </w:r>
    </w:p>
    <w:p w14:paraId="1354A85A" w14:textId="77777777" w:rsidR="000D3F72" w:rsidRPr="00181CA6" w:rsidRDefault="000D3F72" w:rsidP="00EC16B3">
      <w:pPr>
        <w:pStyle w:val="ListParagraph"/>
        <w:spacing w:before="120" w:after="120"/>
        <w:ind w:left="1440"/>
        <w:rPr>
          <w:rFonts w:cstheme="minorHAnsi"/>
          <w:sz w:val="20"/>
          <w:szCs w:val="20"/>
        </w:rPr>
      </w:pPr>
    </w:p>
    <w:p w14:paraId="043C239A" w14:textId="048B3AF3" w:rsidR="00EC16B3" w:rsidRPr="00181CA6" w:rsidRDefault="000D3F72" w:rsidP="00261439">
      <w:pPr>
        <w:pStyle w:val="ListParagraph"/>
        <w:spacing w:before="120" w:after="120" w:line="240" w:lineRule="auto"/>
        <w:ind w:left="1440"/>
        <w:jc w:val="both"/>
        <w:rPr>
          <w:rFonts w:cstheme="minorHAnsi"/>
          <w:sz w:val="20"/>
          <w:szCs w:val="20"/>
        </w:rPr>
      </w:pPr>
      <w:r w:rsidRPr="00181CA6">
        <w:rPr>
          <w:rFonts w:cstheme="minorHAnsi"/>
          <w:sz w:val="20"/>
          <w:szCs w:val="20"/>
        </w:rPr>
        <w:t>There would be no construction or renovation costs associated with these conversions from double to single-bedded rooms</w:t>
      </w:r>
      <w:r w:rsidR="00200E16" w:rsidRPr="00181CA6">
        <w:rPr>
          <w:rFonts w:cstheme="minorHAnsi"/>
          <w:sz w:val="20"/>
          <w:szCs w:val="20"/>
        </w:rPr>
        <w:t xml:space="preserve"> as MGH would retain the headwall (e.g., </w:t>
      </w:r>
      <w:r w:rsidR="00A95140" w:rsidRPr="00181CA6">
        <w:rPr>
          <w:rFonts w:cstheme="minorHAnsi"/>
          <w:sz w:val="20"/>
          <w:szCs w:val="20"/>
        </w:rPr>
        <w:t xml:space="preserve">outlets, </w:t>
      </w:r>
      <w:r w:rsidR="00200E16" w:rsidRPr="00181CA6">
        <w:rPr>
          <w:rFonts w:cstheme="minorHAnsi"/>
          <w:sz w:val="20"/>
          <w:szCs w:val="20"/>
        </w:rPr>
        <w:t xml:space="preserve">access to gases, </w:t>
      </w:r>
      <w:r w:rsidR="00A95140" w:rsidRPr="00181CA6">
        <w:rPr>
          <w:rFonts w:cstheme="minorHAnsi"/>
          <w:sz w:val="20"/>
          <w:szCs w:val="20"/>
        </w:rPr>
        <w:t>etc.</w:t>
      </w:r>
      <w:r w:rsidR="00200E16" w:rsidRPr="00181CA6">
        <w:rPr>
          <w:rFonts w:cstheme="minorHAnsi"/>
          <w:sz w:val="20"/>
          <w:szCs w:val="20"/>
        </w:rPr>
        <w:t>)</w:t>
      </w:r>
      <w:r w:rsidR="00DB37FD" w:rsidRPr="00181CA6">
        <w:rPr>
          <w:rFonts w:cstheme="minorHAnsi"/>
          <w:sz w:val="20"/>
          <w:szCs w:val="20"/>
        </w:rPr>
        <w:t xml:space="preserve"> in these rooms</w:t>
      </w:r>
      <w:r w:rsidRPr="00181CA6">
        <w:rPr>
          <w:rFonts w:cstheme="minorHAnsi"/>
          <w:sz w:val="20"/>
          <w:szCs w:val="20"/>
        </w:rPr>
        <w:t>.  The</w:t>
      </w:r>
      <w:r w:rsidR="00DB37FD" w:rsidRPr="00181CA6">
        <w:rPr>
          <w:rFonts w:cstheme="minorHAnsi"/>
          <w:sz w:val="20"/>
          <w:szCs w:val="20"/>
        </w:rPr>
        <w:t xml:space="preserve">re would be some </w:t>
      </w:r>
      <w:r w:rsidR="00BB7968" w:rsidRPr="00181CA6">
        <w:rPr>
          <w:rFonts w:cstheme="minorHAnsi"/>
          <w:sz w:val="20"/>
          <w:szCs w:val="20"/>
        </w:rPr>
        <w:t>minor</w:t>
      </w:r>
      <w:r w:rsidR="00DB37FD" w:rsidRPr="00181CA6">
        <w:rPr>
          <w:rFonts w:cstheme="minorHAnsi"/>
          <w:sz w:val="20"/>
          <w:szCs w:val="20"/>
        </w:rPr>
        <w:t>,</w:t>
      </w:r>
      <w:r w:rsidRPr="00181CA6">
        <w:rPr>
          <w:rFonts w:cstheme="minorHAnsi"/>
          <w:sz w:val="20"/>
          <w:szCs w:val="20"/>
        </w:rPr>
        <w:t xml:space="preserve"> </w:t>
      </w:r>
      <w:r w:rsidR="00BB7968" w:rsidRPr="00181CA6">
        <w:rPr>
          <w:rFonts w:cstheme="minorHAnsi"/>
          <w:sz w:val="20"/>
          <w:szCs w:val="20"/>
        </w:rPr>
        <w:t>one-time</w:t>
      </w:r>
      <w:r w:rsidRPr="00181CA6">
        <w:rPr>
          <w:rFonts w:cstheme="minorHAnsi"/>
          <w:sz w:val="20"/>
          <w:szCs w:val="20"/>
        </w:rPr>
        <w:t xml:space="preserve"> </w:t>
      </w:r>
      <w:r w:rsidR="00DB37FD" w:rsidRPr="00181CA6">
        <w:rPr>
          <w:rFonts w:cstheme="minorHAnsi"/>
          <w:sz w:val="20"/>
          <w:szCs w:val="20"/>
        </w:rPr>
        <w:t xml:space="preserve">operating </w:t>
      </w:r>
      <w:r w:rsidRPr="00181CA6">
        <w:rPr>
          <w:rFonts w:cstheme="minorHAnsi"/>
          <w:sz w:val="20"/>
          <w:szCs w:val="20"/>
        </w:rPr>
        <w:t xml:space="preserve">expenses associated with </w:t>
      </w:r>
      <w:r w:rsidR="00DB37FD" w:rsidRPr="00181CA6">
        <w:rPr>
          <w:rFonts w:cstheme="minorHAnsi"/>
          <w:sz w:val="20"/>
          <w:szCs w:val="20"/>
        </w:rPr>
        <w:t xml:space="preserve">using internal facilities staff to </w:t>
      </w:r>
      <w:r w:rsidR="00C65709" w:rsidRPr="00181CA6">
        <w:rPr>
          <w:rFonts w:cstheme="minorHAnsi"/>
          <w:sz w:val="20"/>
          <w:szCs w:val="20"/>
        </w:rPr>
        <w:t xml:space="preserve">remove </w:t>
      </w:r>
      <w:r w:rsidR="007F6A44" w:rsidRPr="00181CA6">
        <w:rPr>
          <w:rFonts w:cstheme="minorHAnsi"/>
          <w:sz w:val="20"/>
          <w:szCs w:val="20"/>
        </w:rPr>
        <w:t xml:space="preserve">the second bed, </w:t>
      </w:r>
      <w:r w:rsidR="00C65709" w:rsidRPr="00181CA6">
        <w:rPr>
          <w:rFonts w:cstheme="minorHAnsi"/>
          <w:sz w:val="20"/>
          <w:szCs w:val="20"/>
        </w:rPr>
        <w:t>furniture</w:t>
      </w:r>
      <w:r w:rsidR="007F6A44" w:rsidRPr="00181CA6">
        <w:rPr>
          <w:rFonts w:cstheme="minorHAnsi"/>
          <w:sz w:val="20"/>
          <w:szCs w:val="20"/>
        </w:rPr>
        <w:t>,</w:t>
      </w:r>
      <w:r w:rsidR="00C65709" w:rsidRPr="00181CA6">
        <w:rPr>
          <w:rFonts w:cstheme="minorHAnsi"/>
          <w:sz w:val="20"/>
          <w:szCs w:val="20"/>
        </w:rPr>
        <w:t xml:space="preserve"> and movable equipment</w:t>
      </w:r>
      <w:r w:rsidR="00BB7968" w:rsidRPr="00181CA6">
        <w:rPr>
          <w:rFonts w:cstheme="minorHAnsi"/>
          <w:sz w:val="20"/>
          <w:szCs w:val="20"/>
        </w:rPr>
        <w:t xml:space="preserve">.  </w:t>
      </w:r>
    </w:p>
    <w:p w14:paraId="171347CB" w14:textId="77777777" w:rsidR="00BB7968" w:rsidRPr="00181CA6" w:rsidRDefault="00BB7968" w:rsidP="00261439">
      <w:pPr>
        <w:pStyle w:val="ListParagraph"/>
        <w:spacing w:before="120" w:after="120"/>
        <w:ind w:left="1440"/>
        <w:jc w:val="both"/>
        <w:rPr>
          <w:rFonts w:cstheme="minorHAnsi"/>
          <w:sz w:val="20"/>
          <w:szCs w:val="20"/>
        </w:rPr>
      </w:pPr>
    </w:p>
    <w:p w14:paraId="78528BF1" w14:textId="19BAAE5C" w:rsidR="00F14288" w:rsidRPr="00181CA6" w:rsidRDefault="00CC1445" w:rsidP="00261439">
      <w:pPr>
        <w:pStyle w:val="ListParagraph"/>
        <w:numPr>
          <w:ilvl w:val="1"/>
          <w:numId w:val="41"/>
        </w:numPr>
        <w:spacing w:before="120" w:after="120"/>
        <w:jc w:val="both"/>
        <w:rPr>
          <w:rStyle w:val="cf01"/>
          <w:rFonts w:asciiTheme="minorHAnsi" w:hAnsiTheme="minorHAnsi" w:cstheme="minorHAnsi"/>
          <w:b/>
          <w:bCs/>
          <w:sz w:val="20"/>
          <w:szCs w:val="20"/>
        </w:rPr>
      </w:pPr>
      <w:r w:rsidRPr="00181CA6">
        <w:rPr>
          <w:rFonts w:cstheme="minorHAnsi"/>
          <w:b/>
          <w:bCs/>
          <w:sz w:val="20"/>
          <w:szCs w:val="20"/>
        </w:rPr>
        <w:t xml:space="preserve">In the conversion of the </w:t>
      </w:r>
      <w:proofErr w:type="gramStart"/>
      <w:r w:rsidRPr="00181CA6">
        <w:rPr>
          <w:rFonts w:cstheme="minorHAnsi"/>
          <w:b/>
          <w:bCs/>
          <w:sz w:val="20"/>
          <w:szCs w:val="20"/>
        </w:rPr>
        <w:t xml:space="preserve">double </w:t>
      </w:r>
      <w:r w:rsidR="000A51A6" w:rsidRPr="00181CA6">
        <w:rPr>
          <w:rFonts w:cstheme="minorHAnsi"/>
          <w:b/>
          <w:bCs/>
          <w:sz w:val="20"/>
          <w:szCs w:val="20"/>
        </w:rPr>
        <w:t>bedded</w:t>
      </w:r>
      <w:proofErr w:type="gramEnd"/>
      <w:r w:rsidR="000A51A6" w:rsidRPr="00181CA6">
        <w:rPr>
          <w:rFonts w:cstheme="minorHAnsi"/>
          <w:b/>
          <w:bCs/>
          <w:sz w:val="20"/>
          <w:szCs w:val="20"/>
        </w:rPr>
        <w:t xml:space="preserve"> rooms, i</w:t>
      </w:r>
      <w:r w:rsidR="008913C2" w:rsidRPr="00181CA6">
        <w:rPr>
          <w:rFonts w:cstheme="minorHAnsi"/>
          <w:b/>
          <w:bCs/>
          <w:sz w:val="20"/>
          <w:szCs w:val="20"/>
        </w:rPr>
        <w:t>s the plan to use the vacated second</w:t>
      </w:r>
      <w:r w:rsidR="000A51A6" w:rsidRPr="00181CA6">
        <w:rPr>
          <w:rFonts w:cstheme="minorHAnsi"/>
          <w:b/>
          <w:bCs/>
          <w:sz w:val="20"/>
          <w:szCs w:val="20"/>
        </w:rPr>
        <w:t>-bed</w:t>
      </w:r>
      <w:r w:rsidR="008913C2" w:rsidRPr="00181CA6">
        <w:rPr>
          <w:rFonts w:cstheme="minorHAnsi"/>
          <w:b/>
          <w:bCs/>
          <w:sz w:val="20"/>
          <w:szCs w:val="20"/>
        </w:rPr>
        <w:t xml:space="preserve"> spot as surge space?</w:t>
      </w:r>
      <w:r w:rsidR="00EC16B3" w:rsidRPr="00181CA6">
        <w:rPr>
          <w:rFonts w:cstheme="minorHAnsi"/>
          <w:b/>
          <w:bCs/>
          <w:sz w:val="20"/>
          <w:szCs w:val="20"/>
        </w:rPr>
        <w:t xml:space="preserve"> </w:t>
      </w:r>
    </w:p>
    <w:p w14:paraId="7C123710" w14:textId="494441AB" w:rsidR="00D63CAA" w:rsidRPr="00181CA6" w:rsidRDefault="00DB37FD" w:rsidP="00261439">
      <w:pPr>
        <w:spacing w:before="120" w:after="120" w:line="240" w:lineRule="auto"/>
        <w:ind w:left="1440"/>
        <w:contextualSpacing/>
        <w:jc w:val="both"/>
        <w:rPr>
          <w:rStyle w:val="cf01"/>
          <w:rFonts w:asciiTheme="minorHAnsi" w:eastAsia="Times New Roman" w:hAnsiTheme="minorHAnsi" w:cstheme="minorHAnsi"/>
          <w:sz w:val="20"/>
          <w:szCs w:val="20"/>
        </w:rPr>
      </w:pPr>
      <w:r w:rsidRPr="00181CA6">
        <w:rPr>
          <w:rStyle w:val="cf01"/>
          <w:rFonts w:asciiTheme="minorHAnsi" w:eastAsia="Times New Roman" w:hAnsiTheme="minorHAnsi" w:cstheme="minorHAnsi"/>
          <w:sz w:val="20"/>
          <w:szCs w:val="20"/>
        </w:rPr>
        <w:t xml:space="preserve">Yes, it would be possible to use the vacated second headwall </w:t>
      </w:r>
      <w:r w:rsidR="00F367C1" w:rsidRPr="00181CA6">
        <w:rPr>
          <w:rStyle w:val="cf01"/>
          <w:rFonts w:asciiTheme="minorHAnsi" w:eastAsia="Times New Roman" w:hAnsiTheme="minorHAnsi" w:cstheme="minorHAnsi"/>
          <w:sz w:val="20"/>
          <w:szCs w:val="20"/>
        </w:rPr>
        <w:t>as</w:t>
      </w:r>
      <w:r w:rsidRPr="00181CA6">
        <w:rPr>
          <w:rStyle w:val="cf01"/>
          <w:rFonts w:asciiTheme="minorHAnsi" w:eastAsia="Times New Roman" w:hAnsiTheme="minorHAnsi" w:cstheme="minorHAnsi"/>
          <w:sz w:val="20"/>
          <w:szCs w:val="20"/>
        </w:rPr>
        <w:t xml:space="preserve"> a surge </w:t>
      </w:r>
      <w:proofErr w:type="gramStart"/>
      <w:r w:rsidRPr="00181CA6">
        <w:rPr>
          <w:rStyle w:val="cf01"/>
          <w:rFonts w:asciiTheme="minorHAnsi" w:eastAsia="Times New Roman" w:hAnsiTheme="minorHAnsi" w:cstheme="minorHAnsi"/>
          <w:sz w:val="20"/>
          <w:szCs w:val="20"/>
        </w:rPr>
        <w:t>space</w:t>
      </w:r>
      <w:proofErr w:type="gramEnd"/>
      <w:r w:rsidRPr="00181CA6">
        <w:rPr>
          <w:rStyle w:val="cf01"/>
          <w:rFonts w:asciiTheme="minorHAnsi" w:eastAsia="Times New Roman" w:hAnsiTheme="minorHAnsi" w:cstheme="minorHAnsi"/>
          <w:sz w:val="20"/>
          <w:szCs w:val="20"/>
        </w:rPr>
        <w:t xml:space="preserve"> but </w:t>
      </w:r>
      <w:r w:rsidR="00F367C1" w:rsidRPr="00181CA6">
        <w:rPr>
          <w:rStyle w:val="cf01"/>
          <w:rFonts w:asciiTheme="minorHAnsi" w:eastAsia="Times New Roman" w:hAnsiTheme="minorHAnsi" w:cstheme="minorHAnsi"/>
          <w:sz w:val="20"/>
          <w:szCs w:val="20"/>
        </w:rPr>
        <w:t xml:space="preserve">MGH does not have sufficient storage for a large supply of moveable equipment like beds and monitors.   Providing flexibility for </w:t>
      </w:r>
      <w:r w:rsidR="00444D2A" w:rsidRPr="00181CA6">
        <w:rPr>
          <w:rStyle w:val="cf01"/>
          <w:rFonts w:asciiTheme="minorHAnsi" w:eastAsia="Times New Roman" w:hAnsiTheme="minorHAnsi" w:cstheme="minorHAnsi"/>
          <w:sz w:val="20"/>
          <w:szCs w:val="20"/>
        </w:rPr>
        <w:t>larger</w:t>
      </w:r>
      <w:r w:rsidR="007F6A44" w:rsidRPr="00181CA6">
        <w:rPr>
          <w:rStyle w:val="cf01"/>
          <w:rFonts w:asciiTheme="minorHAnsi" w:eastAsia="Times New Roman" w:hAnsiTheme="minorHAnsi" w:cstheme="minorHAnsi"/>
          <w:sz w:val="20"/>
          <w:szCs w:val="20"/>
        </w:rPr>
        <w:t xml:space="preserve"> scale</w:t>
      </w:r>
      <w:r w:rsidR="00444D2A" w:rsidRPr="00181CA6">
        <w:rPr>
          <w:rStyle w:val="cf01"/>
          <w:rFonts w:asciiTheme="minorHAnsi" w:eastAsia="Times New Roman" w:hAnsiTheme="minorHAnsi" w:cstheme="minorHAnsi"/>
          <w:sz w:val="20"/>
          <w:szCs w:val="20"/>
        </w:rPr>
        <w:t xml:space="preserve"> </w:t>
      </w:r>
      <w:r w:rsidR="00F367C1" w:rsidRPr="00181CA6">
        <w:rPr>
          <w:rStyle w:val="cf01"/>
          <w:rFonts w:asciiTheme="minorHAnsi" w:eastAsia="Times New Roman" w:hAnsiTheme="minorHAnsi" w:cstheme="minorHAnsi"/>
          <w:sz w:val="20"/>
          <w:szCs w:val="20"/>
        </w:rPr>
        <w:t xml:space="preserve">capacity peaks and surges is typically associated with maintaining </w:t>
      </w:r>
      <w:r w:rsidR="00D63CAA" w:rsidRPr="00181CA6">
        <w:rPr>
          <w:rStyle w:val="cf01"/>
          <w:rFonts w:asciiTheme="minorHAnsi" w:eastAsia="Times New Roman" w:hAnsiTheme="minorHAnsi" w:cstheme="minorHAnsi"/>
          <w:sz w:val="20"/>
          <w:szCs w:val="20"/>
        </w:rPr>
        <w:t>these resources in</w:t>
      </w:r>
      <w:r w:rsidR="00F367C1" w:rsidRPr="00181CA6">
        <w:rPr>
          <w:rStyle w:val="cf01"/>
          <w:rFonts w:asciiTheme="minorHAnsi" w:eastAsia="Times New Roman" w:hAnsiTheme="minorHAnsi" w:cstheme="minorHAnsi"/>
          <w:sz w:val="20"/>
          <w:szCs w:val="20"/>
        </w:rPr>
        <w:t xml:space="preserve"> </w:t>
      </w:r>
      <w:r w:rsidR="00A970F3" w:rsidRPr="00181CA6">
        <w:rPr>
          <w:rStyle w:val="cf01"/>
          <w:rFonts w:asciiTheme="minorHAnsi" w:eastAsia="Times New Roman" w:hAnsiTheme="minorHAnsi" w:cstheme="minorHAnsi"/>
          <w:sz w:val="20"/>
          <w:szCs w:val="20"/>
        </w:rPr>
        <w:t xml:space="preserve">licensed </w:t>
      </w:r>
      <w:r w:rsidR="00F367C1" w:rsidRPr="00181CA6">
        <w:rPr>
          <w:rStyle w:val="cf01"/>
          <w:rFonts w:asciiTheme="minorHAnsi" w:eastAsia="Times New Roman" w:hAnsiTheme="minorHAnsi" w:cstheme="minorHAnsi"/>
          <w:sz w:val="20"/>
          <w:szCs w:val="20"/>
        </w:rPr>
        <w:t xml:space="preserve">beds </w:t>
      </w:r>
      <w:r w:rsidR="00D63CAA" w:rsidRPr="00181CA6">
        <w:rPr>
          <w:rStyle w:val="cf01"/>
          <w:rFonts w:asciiTheme="minorHAnsi" w:eastAsia="Times New Roman" w:hAnsiTheme="minorHAnsi" w:cstheme="minorHAnsi"/>
          <w:sz w:val="20"/>
          <w:szCs w:val="20"/>
        </w:rPr>
        <w:t>and</w:t>
      </w:r>
      <w:r w:rsidR="00A970F3" w:rsidRPr="00181CA6">
        <w:rPr>
          <w:rStyle w:val="cf01"/>
          <w:rFonts w:asciiTheme="minorHAnsi" w:eastAsia="Times New Roman" w:hAnsiTheme="minorHAnsi" w:cstheme="minorHAnsi"/>
          <w:sz w:val="20"/>
          <w:szCs w:val="20"/>
        </w:rPr>
        <w:t xml:space="preserve"> operating them at</w:t>
      </w:r>
      <w:r w:rsidR="00F367C1" w:rsidRPr="00181CA6">
        <w:rPr>
          <w:rStyle w:val="cf01"/>
          <w:rFonts w:asciiTheme="minorHAnsi" w:eastAsia="Times New Roman" w:hAnsiTheme="minorHAnsi" w:cstheme="minorHAnsi"/>
          <w:sz w:val="20"/>
          <w:szCs w:val="20"/>
        </w:rPr>
        <w:t xml:space="preserve"> lower occupancy percentage</w:t>
      </w:r>
      <w:r w:rsidR="00444D2A" w:rsidRPr="00181CA6">
        <w:rPr>
          <w:rStyle w:val="cf01"/>
          <w:rFonts w:asciiTheme="minorHAnsi" w:eastAsia="Times New Roman" w:hAnsiTheme="minorHAnsi" w:cstheme="minorHAnsi"/>
          <w:sz w:val="20"/>
          <w:szCs w:val="20"/>
        </w:rPr>
        <w:t xml:space="preserve"> than was proposed in </w:t>
      </w:r>
      <w:r w:rsidR="00261439" w:rsidRPr="00181CA6">
        <w:rPr>
          <w:rStyle w:val="cf01"/>
          <w:rFonts w:asciiTheme="minorHAnsi" w:eastAsia="Times New Roman" w:hAnsiTheme="minorHAnsi" w:cstheme="minorHAnsi"/>
          <w:sz w:val="20"/>
          <w:szCs w:val="20"/>
        </w:rPr>
        <w:t>MGH’s</w:t>
      </w:r>
      <w:r w:rsidR="00444D2A" w:rsidRPr="00181CA6">
        <w:rPr>
          <w:rStyle w:val="cf01"/>
          <w:rFonts w:asciiTheme="minorHAnsi" w:eastAsia="Times New Roman" w:hAnsiTheme="minorHAnsi" w:cstheme="minorHAnsi"/>
          <w:sz w:val="20"/>
          <w:szCs w:val="20"/>
        </w:rPr>
        <w:t xml:space="preserve"> application</w:t>
      </w:r>
      <w:r w:rsidR="00F367C1" w:rsidRPr="00181CA6">
        <w:rPr>
          <w:rStyle w:val="cf01"/>
          <w:rFonts w:asciiTheme="minorHAnsi" w:eastAsia="Times New Roman" w:hAnsiTheme="minorHAnsi" w:cstheme="minorHAnsi"/>
          <w:sz w:val="20"/>
          <w:szCs w:val="20"/>
        </w:rPr>
        <w:t xml:space="preserve">.  </w:t>
      </w:r>
    </w:p>
    <w:p w14:paraId="204CB5C9" w14:textId="77777777" w:rsidR="00D63CAA" w:rsidRPr="00181CA6" w:rsidRDefault="00D63CAA" w:rsidP="00261439">
      <w:pPr>
        <w:spacing w:before="120" w:after="120" w:line="240" w:lineRule="auto"/>
        <w:ind w:left="1440"/>
        <w:contextualSpacing/>
        <w:jc w:val="both"/>
        <w:rPr>
          <w:rStyle w:val="cf01"/>
          <w:rFonts w:asciiTheme="minorHAnsi" w:eastAsia="Times New Roman" w:hAnsiTheme="minorHAnsi" w:cstheme="minorHAnsi"/>
          <w:sz w:val="20"/>
          <w:szCs w:val="20"/>
        </w:rPr>
      </w:pPr>
    </w:p>
    <w:p w14:paraId="04927A8F" w14:textId="246A7E83" w:rsidR="00F367C1" w:rsidRPr="00181CA6" w:rsidRDefault="00444D2A" w:rsidP="00261439">
      <w:pPr>
        <w:spacing w:before="120" w:after="120" w:line="240" w:lineRule="auto"/>
        <w:ind w:left="1440"/>
        <w:contextualSpacing/>
        <w:jc w:val="both"/>
        <w:rPr>
          <w:rStyle w:val="cf01"/>
          <w:rFonts w:asciiTheme="minorHAnsi" w:eastAsia="Times New Roman" w:hAnsiTheme="minorHAnsi" w:cstheme="minorHAnsi"/>
          <w:sz w:val="20"/>
          <w:szCs w:val="20"/>
        </w:rPr>
      </w:pPr>
      <w:r w:rsidRPr="00181CA6">
        <w:rPr>
          <w:rStyle w:val="cf01"/>
          <w:rFonts w:asciiTheme="minorHAnsi" w:eastAsia="Times New Roman" w:hAnsiTheme="minorHAnsi" w:cstheme="minorHAnsi"/>
          <w:sz w:val="20"/>
          <w:szCs w:val="20"/>
        </w:rPr>
        <w:t xml:space="preserve">Under </w:t>
      </w:r>
      <w:r w:rsidR="00261439" w:rsidRPr="00181CA6">
        <w:rPr>
          <w:rStyle w:val="cf01"/>
          <w:rFonts w:asciiTheme="minorHAnsi" w:eastAsia="Times New Roman" w:hAnsiTheme="minorHAnsi" w:cstheme="minorHAnsi"/>
          <w:sz w:val="20"/>
          <w:szCs w:val="20"/>
        </w:rPr>
        <w:t>the Proposed Change</w:t>
      </w:r>
      <w:r w:rsidRPr="00181CA6">
        <w:rPr>
          <w:rStyle w:val="cf01"/>
          <w:rFonts w:asciiTheme="minorHAnsi" w:eastAsia="Times New Roman" w:hAnsiTheme="minorHAnsi" w:cstheme="minorHAnsi"/>
          <w:sz w:val="20"/>
          <w:szCs w:val="20"/>
        </w:rPr>
        <w:t xml:space="preserve">, </w:t>
      </w:r>
      <w:r w:rsidR="00A970F3" w:rsidRPr="00181CA6">
        <w:rPr>
          <w:rStyle w:val="cf01"/>
          <w:rFonts w:asciiTheme="minorHAnsi" w:eastAsia="Times New Roman" w:hAnsiTheme="minorHAnsi" w:cstheme="minorHAnsi"/>
          <w:sz w:val="20"/>
          <w:szCs w:val="20"/>
        </w:rPr>
        <w:t xml:space="preserve">MGH will be taking physical capacity </w:t>
      </w:r>
      <w:r w:rsidR="00261439" w:rsidRPr="00181CA6">
        <w:rPr>
          <w:rStyle w:val="cf01"/>
          <w:rFonts w:asciiTheme="minorHAnsi" w:eastAsia="Times New Roman" w:hAnsiTheme="minorHAnsi" w:cstheme="minorHAnsi"/>
          <w:sz w:val="20"/>
          <w:szCs w:val="20"/>
        </w:rPr>
        <w:t>from its</w:t>
      </w:r>
      <w:r w:rsidR="00A970F3" w:rsidRPr="00181CA6">
        <w:rPr>
          <w:rStyle w:val="cf01"/>
          <w:rFonts w:asciiTheme="minorHAnsi" w:eastAsia="Times New Roman" w:hAnsiTheme="minorHAnsi" w:cstheme="minorHAnsi"/>
          <w:sz w:val="20"/>
          <w:szCs w:val="20"/>
        </w:rPr>
        <w:t xml:space="preserve"> legacy patient care units out of service, and it is not necessarily quick or simple to bring it back </w:t>
      </w:r>
      <w:r w:rsidR="00D63CAA" w:rsidRPr="00181CA6">
        <w:rPr>
          <w:rStyle w:val="cf01"/>
          <w:rFonts w:asciiTheme="minorHAnsi" w:eastAsia="Times New Roman" w:hAnsiTheme="minorHAnsi" w:cstheme="minorHAnsi"/>
          <w:sz w:val="20"/>
          <w:szCs w:val="20"/>
        </w:rPr>
        <w:t>online</w:t>
      </w:r>
      <w:r w:rsidR="00A970F3" w:rsidRPr="00181CA6">
        <w:rPr>
          <w:rStyle w:val="cf01"/>
          <w:rFonts w:asciiTheme="minorHAnsi" w:eastAsia="Times New Roman" w:hAnsiTheme="minorHAnsi" w:cstheme="minorHAnsi"/>
          <w:sz w:val="20"/>
          <w:szCs w:val="20"/>
        </w:rPr>
        <w:t xml:space="preserve"> for emergency situations.</w:t>
      </w:r>
      <w:r w:rsidR="00F367C1" w:rsidRPr="00181CA6">
        <w:rPr>
          <w:rStyle w:val="cf01"/>
          <w:rFonts w:asciiTheme="minorHAnsi" w:eastAsia="Times New Roman" w:hAnsiTheme="minorHAnsi" w:cstheme="minorHAnsi"/>
          <w:sz w:val="20"/>
          <w:szCs w:val="20"/>
        </w:rPr>
        <w:t xml:space="preserve">  </w:t>
      </w:r>
      <w:r w:rsidR="00D63CAA" w:rsidRPr="00181CA6">
        <w:rPr>
          <w:rStyle w:val="cf01"/>
          <w:rFonts w:asciiTheme="minorHAnsi" w:eastAsia="Times New Roman" w:hAnsiTheme="minorHAnsi" w:cstheme="minorHAnsi"/>
          <w:sz w:val="20"/>
          <w:szCs w:val="20"/>
        </w:rPr>
        <w:t xml:space="preserve">This is another example of a tradeoff considered when requesting 94 beds -- a reasonable allocation of beds relative to current </w:t>
      </w:r>
      <w:r w:rsidRPr="00181CA6">
        <w:rPr>
          <w:rStyle w:val="cf01"/>
          <w:rFonts w:asciiTheme="minorHAnsi" w:eastAsia="Times New Roman" w:hAnsiTheme="minorHAnsi" w:cstheme="minorHAnsi"/>
          <w:sz w:val="20"/>
          <w:szCs w:val="20"/>
        </w:rPr>
        <w:t xml:space="preserve">and projected </w:t>
      </w:r>
      <w:r w:rsidR="00D63CAA" w:rsidRPr="00181CA6">
        <w:rPr>
          <w:rStyle w:val="cf01"/>
          <w:rFonts w:asciiTheme="minorHAnsi" w:eastAsia="Times New Roman" w:hAnsiTheme="minorHAnsi" w:cstheme="minorHAnsi"/>
          <w:sz w:val="20"/>
          <w:szCs w:val="20"/>
        </w:rPr>
        <w:t xml:space="preserve">demand but </w:t>
      </w:r>
      <w:r w:rsidR="00261439" w:rsidRPr="00181CA6">
        <w:rPr>
          <w:rStyle w:val="cf01"/>
          <w:rFonts w:asciiTheme="minorHAnsi" w:eastAsia="Times New Roman" w:hAnsiTheme="minorHAnsi" w:cstheme="minorHAnsi"/>
          <w:sz w:val="20"/>
          <w:szCs w:val="20"/>
        </w:rPr>
        <w:t xml:space="preserve">it is </w:t>
      </w:r>
      <w:r w:rsidR="00D63CAA" w:rsidRPr="00181CA6">
        <w:rPr>
          <w:rStyle w:val="cf01"/>
          <w:rFonts w:asciiTheme="minorHAnsi" w:eastAsia="Times New Roman" w:hAnsiTheme="minorHAnsi" w:cstheme="minorHAnsi"/>
          <w:sz w:val="20"/>
          <w:szCs w:val="20"/>
        </w:rPr>
        <w:t xml:space="preserve">not </w:t>
      </w:r>
      <w:r w:rsidRPr="00181CA6">
        <w:rPr>
          <w:rStyle w:val="cf01"/>
          <w:rFonts w:asciiTheme="minorHAnsi" w:eastAsia="Times New Roman" w:hAnsiTheme="minorHAnsi" w:cstheme="minorHAnsi"/>
          <w:sz w:val="20"/>
          <w:szCs w:val="20"/>
        </w:rPr>
        <w:t>a</w:t>
      </w:r>
      <w:r w:rsidR="00D63CAA" w:rsidRPr="00181CA6">
        <w:rPr>
          <w:rStyle w:val="cf01"/>
          <w:rFonts w:asciiTheme="minorHAnsi" w:eastAsia="Times New Roman" w:hAnsiTheme="minorHAnsi" w:cstheme="minorHAnsi"/>
          <w:sz w:val="20"/>
          <w:szCs w:val="20"/>
        </w:rPr>
        <w:t xml:space="preserve"> cushion if Boston </w:t>
      </w:r>
      <w:r w:rsidR="00261439" w:rsidRPr="00181CA6">
        <w:rPr>
          <w:rStyle w:val="cf01"/>
          <w:rFonts w:asciiTheme="minorHAnsi" w:eastAsia="Times New Roman" w:hAnsiTheme="minorHAnsi" w:cstheme="minorHAnsi"/>
          <w:sz w:val="20"/>
          <w:szCs w:val="20"/>
        </w:rPr>
        <w:t>were to experience</w:t>
      </w:r>
      <w:r w:rsidR="00D63CAA" w:rsidRPr="00181CA6">
        <w:rPr>
          <w:rStyle w:val="cf01"/>
          <w:rFonts w:asciiTheme="minorHAnsi" w:eastAsia="Times New Roman" w:hAnsiTheme="minorHAnsi" w:cstheme="minorHAnsi"/>
          <w:sz w:val="20"/>
          <w:szCs w:val="20"/>
        </w:rPr>
        <w:t xml:space="preserve"> another </w:t>
      </w:r>
      <w:r w:rsidR="007F6A44" w:rsidRPr="00181CA6">
        <w:rPr>
          <w:rStyle w:val="cf01"/>
          <w:rFonts w:asciiTheme="minorHAnsi" w:eastAsia="Times New Roman" w:hAnsiTheme="minorHAnsi" w:cstheme="minorHAnsi"/>
          <w:sz w:val="20"/>
          <w:szCs w:val="20"/>
        </w:rPr>
        <w:t xml:space="preserve">major </w:t>
      </w:r>
      <w:r w:rsidR="008F419B" w:rsidRPr="00181CA6">
        <w:rPr>
          <w:rStyle w:val="cf01"/>
          <w:rFonts w:asciiTheme="minorHAnsi" w:eastAsia="Times New Roman" w:hAnsiTheme="minorHAnsi" w:cstheme="minorHAnsi"/>
          <w:sz w:val="20"/>
          <w:szCs w:val="20"/>
        </w:rPr>
        <w:t xml:space="preserve">market shift in capacity at other hospitals or </w:t>
      </w:r>
      <w:r w:rsidR="00261439" w:rsidRPr="00181CA6">
        <w:rPr>
          <w:rStyle w:val="cf01"/>
          <w:rFonts w:asciiTheme="minorHAnsi" w:eastAsia="Times New Roman" w:hAnsiTheme="minorHAnsi" w:cstheme="minorHAnsi"/>
          <w:sz w:val="20"/>
          <w:szCs w:val="20"/>
        </w:rPr>
        <w:t xml:space="preserve">a </w:t>
      </w:r>
      <w:r w:rsidR="00D63CAA" w:rsidRPr="00181CA6">
        <w:rPr>
          <w:rStyle w:val="cf01"/>
          <w:rFonts w:asciiTheme="minorHAnsi" w:eastAsia="Times New Roman" w:hAnsiTheme="minorHAnsi" w:cstheme="minorHAnsi"/>
          <w:sz w:val="20"/>
          <w:szCs w:val="20"/>
        </w:rPr>
        <w:t xml:space="preserve">pandemic.   </w:t>
      </w:r>
      <w:r w:rsidR="00F367C1" w:rsidRPr="00181CA6">
        <w:rPr>
          <w:rStyle w:val="cf01"/>
          <w:rFonts w:asciiTheme="minorHAnsi" w:eastAsia="Times New Roman" w:hAnsiTheme="minorHAnsi" w:cstheme="minorHAnsi"/>
          <w:sz w:val="20"/>
          <w:szCs w:val="20"/>
        </w:rPr>
        <w:t xml:space="preserve">  </w:t>
      </w:r>
    </w:p>
    <w:p w14:paraId="4B06F496" w14:textId="365561B7" w:rsidR="0078661A" w:rsidRPr="00181CA6" w:rsidRDefault="00F367C1" w:rsidP="00EF394C">
      <w:pPr>
        <w:spacing w:before="120" w:after="120" w:line="240" w:lineRule="auto"/>
        <w:ind w:left="1440"/>
        <w:contextualSpacing/>
        <w:rPr>
          <w:rStyle w:val="cf01"/>
          <w:rFonts w:asciiTheme="minorHAnsi" w:eastAsia="Times New Roman" w:hAnsiTheme="minorHAnsi" w:cstheme="minorHAnsi"/>
          <w:sz w:val="20"/>
          <w:szCs w:val="20"/>
        </w:rPr>
      </w:pPr>
      <w:r w:rsidRPr="00181CA6">
        <w:rPr>
          <w:rStyle w:val="cf01"/>
          <w:rFonts w:asciiTheme="minorHAnsi" w:eastAsia="Times New Roman" w:hAnsiTheme="minorHAnsi" w:cstheme="minorHAnsi"/>
          <w:sz w:val="20"/>
          <w:szCs w:val="20"/>
        </w:rPr>
        <w:t xml:space="preserve"> </w:t>
      </w:r>
    </w:p>
    <w:p w14:paraId="3D36EFBF" w14:textId="04A95EF5" w:rsidR="00D45AF4" w:rsidRPr="00181CA6" w:rsidRDefault="00BD06E7" w:rsidP="00BD06E7">
      <w:pPr>
        <w:pStyle w:val="ListParagraph"/>
        <w:numPr>
          <w:ilvl w:val="0"/>
          <w:numId w:val="41"/>
        </w:numPr>
        <w:rPr>
          <w:rFonts w:cstheme="minorHAnsi"/>
          <w:b/>
          <w:bCs/>
          <w:sz w:val="20"/>
          <w:szCs w:val="20"/>
        </w:rPr>
      </w:pPr>
      <w:r w:rsidRPr="00181CA6">
        <w:rPr>
          <w:rFonts w:cstheme="minorHAnsi"/>
          <w:b/>
          <w:bCs/>
          <w:sz w:val="20"/>
          <w:szCs w:val="20"/>
        </w:rPr>
        <w:t xml:space="preserve">Page 2 of the Amendment Narrative states that, “…the Hospital expects that operating expenses associated with approval of the Proposed Change will be neutral or net positive because staffing needs will not change.” </w:t>
      </w:r>
      <w:r w:rsidR="00765EBE" w:rsidRPr="00181CA6">
        <w:rPr>
          <w:rFonts w:cstheme="minorHAnsi"/>
          <w:b/>
          <w:bCs/>
          <w:sz w:val="20"/>
          <w:szCs w:val="20"/>
        </w:rPr>
        <w:t xml:space="preserve">While it is understood that maintaining the 94 beds on the main campus rather than </w:t>
      </w:r>
      <w:r w:rsidR="009B29FC" w:rsidRPr="00181CA6">
        <w:rPr>
          <w:rFonts w:cstheme="minorHAnsi"/>
          <w:b/>
          <w:bCs/>
          <w:sz w:val="20"/>
          <w:szCs w:val="20"/>
        </w:rPr>
        <w:t>relocating them to the new building would not result in additional staffing</w:t>
      </w:r>
      <w:r w:rsidR="0009794A" w:rsidRPr="00181CA6">
        <w:rPr>
          <w:rFonts w:cstheme="minorHAnsi"/>
          <w:b/>
          <w:bCs/>
          <w:sz w:val="20"/>
          <w:szCs w:val="20"/>
        </w:rPr>
        <w:t xml:space="preserve"> in their current location</w:t>
      </w:r>
      <w:r w:rsidR="009B29FC" w:rsidRPr="00181CA6">
        <w:rPr>
          <w:rFonts w:cstheme="minorHAnsi"/>
          <w:b/>
          <w:bCs/>
          <w:sz w:val="20"/>
          <w:szCs w:val="20"/>
        </w:rPr>
        <w:t xml:space="preserve">, please explain how the addition of 94 beds to the license </w:t>
      </w:r>
      <w:r w:rsidR="0009794A" w:rsidRPr="00181CA6">
        <w:rPr>
          <w:rFonts w:cstheme="minorHAnsi"/>
          <w:b/>
          <w:bCs/>
          <w:sz w:val="20"/>
          <w:szCs w:val="20"/>
        </w:rPr>
        <w:t>would not result in additional staffing somewhere on the MGH Campus.</w:t>
      </w:r>
    </w:p>
    <w:p w14:paraId="0CA03A54" w14:textId="3FCDA332" w:rsidR="00680AD8" w:rsidRPr="00181CA6" w:rsidRDefault="00FC3760" w:rsidP="00261439">
      <w:pPr>
        <w:ind w:left="720"/>
        <w:jc w:val="both"/>
        <w:rPr>
          <w:rFonts w:cstheme="minorHAnsi"/>
          <w:sz w:val="20"/>
          <w:szCs w:val="20"/>
        </w:rPr>
      </w:pPr>
      <w:r w:rsidRPr="00181CA6">
        <w:rPr>
          <w:rFonts w:cstheme="minorHAnsi"/>
          <w:sz w:val="20"/>
          <w:szCs w:val="20"/>
        </w:rPr>
        <w:t>Clinical s</w:t>
      </w:r>
      <w:r w:rsidR="000D3F72" w:rsidRPr="00181CA6">
        <w:rPr>
          <w:rFonts w:cstheme="minorHAnsi"/>
          <w:sz w:val="20"/>
          <w:szCs w:val="20"/>
        </w:rPr>
        <w:t xml:space="preserve">taffing </w:t>
      </w:r>
      <w:r w:rsidRPr="00181CA6">
        <w:rPr>
          <w:rFonts w:cstheme="minorHAnsi"/>
          <w:sz w:val="20"/>
          <w:szCs w:val="20"/>
        </w:rPr>
        <w:t xml:space="preserve">is variable and </w:t>
      </w:r>
      <w:r w:rsidR="000D3F72" w:rsidRPr="00181CA6">
        <w:rPr>
          <w:rFonts w:cstheme="minorHAnsi"/>
          <w:sz w:val="20"/>
          <w:szCs w:val="20"/>
        </w:rPr>
        <w:t xml:space="preserve">correlates to demand or patient days and not to licensed beds. MGH </w:t>
      </w:r>
      <w:r w:rsidR="000A04E0" w:rsidRPr="00181CA6">
        <w:rPr>
          <w:rFonts w:cstheme="minorHAnsi"/>
          <w:sz w:val="20"/>
          <w:szCs w:val="20"/>
        </w:rPr>
        <w:t xml:space="preserve">is requesting </w:t>
      </w:r>
      <w:r w:rsidR="00261439" w:rsidRPr="00181CA6">
        <w:rPr>
          <w:rFonts w:cstheme="minorHAnsi"/>
          <w:sz w:val="20"/>
          <w:szCs w:val="20"/>
        </w:rPr>
        <w:t>additional bed capacity</w:t>
      </w:r>
      <w:r w:rsidR="000A04E0" w:rsidRPr="00181CA6">
        <w:rPr>
          <w:rFonts w:cstheme="minorHAnsi"/>
          <w:sz w:val="20"/>
          <w:szCs w:val="20"/>
        </w:rPr>
        <w:t xml:space="preserve"> to give an appropriate landing place for patients currently being cared for in the emergency department and the surgical post-acute care unit as boarders.  The teams of nurses</w:t>
      </w:r>
      <w:r w:rsidR="000D3F72" w:rsidRPr="00181CA6">
        <w:rPr>
          <w:rFonts w:cstheme="minorHAnsi"/>
          <w:sz w:val="20"/>
          <w:szCs w:val="20"/>
        </w:rPr>
        <w:t xml:space="preserve">, </w:t>
      </w:r>
      <w:r w:rsidR="000A04E0" w:rsidRPr="00181CA6">
        <w:rPr>
          <w:rFonts w:cstheme="minorHAnsi"/>
          <w:sz w:val="20"/>
          <w:szCs w:val="20"/>
        </w:rPr>
        <w:t>physicians</w:t>
      </w:r>
      <w:r w:rsidR="000D3F72" w:rsidRPr="00181CA6">
        <w:rPr>
          <w:rFonts w:cstheme="minorHAnsi"/>
          <w:sz w:val="20"/>
          <w:szCs w:val="20"/>
        </w:rPr>
        <w:t>,</w:t>
      </w:r>
      <w:r w:rsidR="00D831F9" w:rsidRPr="00181CA6">
        <w:rPr>
          <w:rFonts w:cstheme="minorHAnsi"/>
          <w:sz w:val="20"/>
          <w:szCs w:val="20"/>
        </w:rPr>
        <w:t xml:space="preserve"> </w:t>
      </w:r>
      <w:r w:rsidR="000D3F72" w:rsidRPr="00181CA6">
        <w:rPr>
          <w:rFonts w:cstheme="minorHAnsi"/>
          <w:sz w:val="20"/>
          <w:szCs w:val="20"/>
        </w:rPr>
        <w:t xml:space="preserve">and associated support personnel </w:t>
      </w:r>
      <w:r w:rsidR="00D831F9" w:rsidRPr="00181CA6">
        <w:rPr>
          <w:rFonts w:cstheme="minorHAnsi"/>
          <w:sz w:val="20"/>
          <w:szCs w:val="20"/>
        </w:rPr>
        <w:t>currently</w:t>
      </w:r>
      <w:r w:rsidR="000A04E0" w:rsidRPr="00181CA6">
        <w:rPr>
          <w:rFonts w:cstheme="minorHAnsi"/>
          <w:sz w:val="20"/>
          <w:szCs w:val="20"/>
        </w:rPr>
        <w:t xml:space="preserve"> caring for these patients in an overcrowded setting </w:t>
      </w:r>
      <w:r w:rsidR="000D3F72" w:rsidRPr="00181CA6">
        <w:rPr>
          <w:rFonts w:cstheme="minorHAnsi"/>
          <w:sz w:val="20"/>
          <w:szCs w:val="20"/>
        </w:rPr>
        <w:t>would</w:t>
      </w:r>
      <w:r w:rsidR="000A04E0" w:rsidRPr="00181CA6">
        <w:rPr>
          <w:rFonts w:cstheme="minorHAnsi"/>
          <w:sz w:val="20"/>
          <w:szCs w:val="20"/>
        </w:rPr>
        <w:t xml:space="preserve"> be shifted to </w:t>
      </w:r>
      <w:r w:rsidR="000D3F72" w:rsidRPr="00181CA6">
        <w:rPr>
          <w:rFonts w:cstheme="minorHAnsi"/>
          <w:sz w:val="20"/>
          <w:szCs w:val="20"/>
        </w:rPr>
        <w:t xml:space="preserve">provide similar care in licensed beds on </w:t>
      </w:r>
      <w:r w:rsidR="000A04E0" w:rsidRPr="00181CA6">
        <w:rPr>
          <w:rFonts w:cstheme="minorHAnsi"/>
          <w:sz w:val="20"/>
          <w:szCs w:val="20"/>
        </w:rPr>
        <w:t xml:space="preserve">an inpatient unit.  There may </w:t>
      </w:r>
      <w:r w:rsidR="00447F3B" w:rsidRPr="00181CA6">
        <w:rPr>
          <w:rFonts w:cstheme="minorHAnsi"/>
          <w:sz w:val="20"/>
          <w:szCs w:val="20"/>
        </w:rPr>
        <w:t xml:space="preserve">also </w:t>
      </w:r>
      <w:r w:rsidR="000A04E0" w:rsidRPr="00181CA6">
        <w:rPr>
          <w:rFonts w:cstheme="minorHAnsi"/>
          <w:sz w:val="20"/>
          <w:szCs w:val="20"/>
        </w:rPr>
        <w:t xml:space="preserve">be </w:t>
      </w:r>
      <w:r w:rsidR="000D3F72" w:rsidRPr="00181CA6">
        <w:rPr>
          <w:rFonts w:cstheme="minorHAnsi"/>
          <w:sz w:val="20"/>
          <w:szCs w:val="20"/>
        </w:rPr>
        <w:t xml:space="preserve">cost </w:t>
      </w:r>
      <w:r w:rsidR="000A04E0" w:rsidRPr="00181CA6">
        <w:rPr>
          <w:rFonts w:cstheme="minorHAnsi"/>
          <w:sz w:val="20"/>
          <w:szCs w:val="20"/>
        </w:rPr>
        <w:t xml:space="preserve">efficiencies associated with </w:t>
      </w:r>
      <w:r w:rsidR="003968AD" w:rsidRPr="00181CA6">
        <w:rPr>
          <w:rFonts w:cstheme="minorHAnsi"/>
          <w:sz w:val="20"/>
          <w:szCs w:val="20"/>
        </w:rPr>
        <w:t>reduced</w:t>
      </w:r>
      <w:r w:rsidR="00D831F9" w:rsidRPr="00181CA6">
        <w:rPr>
          <w:rFonts w:cstheme="minorHAnsi"/>
          <w:sz w:val="20"/>
          <w:szCs w:val="20"/>
        </w:rPr>
        <w:t xml:space="preserve"> </w:t>
      </w:r>
      <w:r w:rsidR="000D3F72" w:rsidRPr="00181CA6">
        <w:rPr>
          <w:rFonts w:cstheme="minorHAnsi"/>
          <w:sz w:val="20"/>
          <w:szCs w:val="20"/>
        </w:rPr>
        <w:t xml:space="preserve">patient </w:t>
      </w:r>
      <w:r w:rsidR="00D831F9" w:rsidRPr="00181CA6">
        <w:rPr>
          <w:rFonts w:cstheme="minorHAnsi"/>
          <w:sz w:val="20"/>
          <w:szCs w:val="20"/>
        </w:rPr>
        <w:t xml:space="preserve">boarding </w:t>
      </w:r>
      <w:r w:rsidR="003968AD" w:rsidRPr="00181CA6">
        <w:rPr>
          <w:rFonts w:cstheme="minorHAnsi"/>
          <w:sz w:val="20"/>
          <w:szCs w:val="20"/>
        </w:rPr>
        <w:t>–</w:t>
      </w:r>
      <w:r w:rsidR="00D831F9" w:rsidRPr="00181CA6">
        <w:rPr>
          <w:rFonts w:cstheme="minorHAnsi"/>
          <w:sz w:val="20"/>
          <w:szCs w:val="20"/>
        </w:rPr>
        <w:t xml:space="preserve"> </w:t>
      </w:r>
      <w:r w:rsidR="000A04E0" w:rsidRPr="00181CA6">
        <w:rPr>
          <w:rFonts w:cstheme="minorHAnsi"/>
          <w:sz w:val="20"/>
          <w:szCs w:val="20"/>
        </w:rPr>
        <w:t>improv</w:t>
      </w:r>
      <w:r w:rsidR="003968AD" w:rsidRPr="00181CA6">
        <w:rPr>
          <w:rFonts w:cstheme="minorHAnsi"/>
          <w:sz w:val="20"/>
          <w:szCs w:val="20"/>
        </w:rPr>
        <w:t xml:space="preserve">ed wait </w:t>
      </w:r>
      <w:r w:rsidRPr="00181CA6">
        <w:rPr>
          <w:rFonts w:cstheme="minorHAnsi"/>
          <w:sz w:val="20"/>
          <w:szCs w:val="20"/>
        </w:rPr>
        <w:t>times</w:t>
      </w:r>
      <w:r w:rsidR="003968AD" w:rsidRPr="00181CA6">
        <w:rPr>
          <w:rFonts w:cstheme="minorHAnsi"/>
          <w:sz w:val="20"/>
          <w:szCs w:val="20"/>
        </w:rPr>
        <w:t xml:space="preserve"> and </w:t>
      </w:r>
      <w:r w:rsidR="000A04E0" w:rsidRPr="00181CA6">
        <w:rPr>
          <w:rFonts w:cstheme="minorHAnsi"/>
          <w:sz w:val="20"/>
          <w:szCs w:val="20"/>
        </w:rPr>
        <w:t>patient flow</w:t>
      </w:r>
      <w:r w:rsidR="003968AD" w:rsidRPr="00181CA6">
        <w:rPr>
          <w:rFonts w:cstheme="minorHAnsi"/>
          <w:sz w:val="20"/>
          <w:szCs w:val="20"/>
        </w:rPr>
        <w:t xml:space="preserve">, </w:t>
      </w:r>
      <w:r w:rsidR="00D831F9" w:rsidRPr="00181CA6">
        <w:rPr>
          <w:rFonts w:cstheme="minorHAnsi"/>
          <w:sz w:val="20"/>
          <w:szCs w:val="20"/>
        </w:rPr>
        <w:t xml:space="preserve">lower length of stay, </w:t>
      </w:r>
      <w:r w:rsidR="000A04E0" w:rsidRPr="00181CA6">
        <w:rPr>
          <w:rFonts w:cstheme="minorHAnsi"/>
          <w:sz w:val="20"/>
          <w:szCs w:val="20"/>
        </w:rPr>
        <w:t xml:space="preserve">and </w:t>
      </w:r>
      <w:r w:rsidR="00D831F9" w:rsidRPr="00181CA6">
        <w:rPr>
          <w:rFonts w:cstheme="minorHAnsi"/>
          <w:sz w:val="20"/>
          <w:szCs w:val="20"/>
        </w:rPr>
        <w:t xml:space="preserve">better coordination of care.  </w:t>
      </w:r>
    </w:p>
    <w:p w14:paraId="675381E5" w14:textId="2FB2A436" w:rsidR="000D3F72" w:rsidRPr="00181CA6" w:rsidRDefault="00FC3760" w:rsidP="00261439">
      <w:pPr>
        <w:ind w:left="720"/>
        <w:jc w:val="both"/>
        <w:rPr>
          <w:rFonts w:cstheme="minorHAnsi"/>
          <w:sz w:val="20"/>
          <w:szCs w:val="20"/>
        </w:rPr>
      </w:pPr>
      <w:r w:rsidRPr="00181CA6">
        <w:rPr>
          <w:rFonts w:cstheme="minorHAnsi"/>
          <w:sz w:val="20"/>
          <w:szCs w:val="20"/>
        </w:rPr>
        <w:t>If the amendment is approved</w:t>
      </w:r>
      <w:r w:rsidR="00A07064" w:rsidRPr="00181CA6">
        <w:rPr>
          <w:rFonts w:cstheme="minorHAnsi"/>
          <w:sz w:val="20"/>
          <w:szCs w:val="20"/>
        </w:rPr>
        <w:t xml:space="preserve">, </w:t>
      </w:r>
      <w:r w:rsidRPr="00181CA6">
        <w:rPr>
          <w:rFonts w:cstheme="minorHAnsi"/>
          <w:sz w:val="20"/>
          <w:szCs w:val="20"/>
        </w:rPr>
        <w:t xml:space="preserve">MGH </w:t>
      </w:r>
      <w:r w:rsidR="00A07064" w:rsidRPr="00181CA6">
        <w:rPr>
          <w:rFonts w:cstheme="minorHAnsi"/>
          <w:sz w:val="20"/>
          <w:szCs w:val="20"/>
        </w:rPr>
        <w:t>would</w:t>
      </w:r>
      <w:r w:rsidRPr="00181CA6">
        <w:rPr>
          <w:rFonts w:cstheme="minorHAnsi"/>
          <w:sz w:val="20"/>
          <w:szCs w:val="20"/>
        </w:rPr>
        <w:t xml:space="preserve"> keep more </w:t>
      </w:r>
      <w:r w:rsidR="00A07064" w:rsidRPr="00181CA6">
        <w:rPr>
          <w:rFonts w:cstheme="minorHAnsi"/>
          <w:sz w:val="20"/>
          <w:szCs w:val="20"/>
        </w:rPr>
        <w:t xml:space="preserve">legacy </w:t>
      </w:r>
      <w:r w:rsidRPr="00181CA6">
        <w:rPr>
          <w:rFonts w:cstheme="minorHAnsi"/>
          <w:sz w:val="20"/>
          <w:szCs w:val="20"/>
        </w:rPr>
        <w:t>beds in service (94)</w:t>
      </w:r>
      <w:r w:rsidR="00A07064" w:rsidRPr="00181CA6">
        <w:rPr>
          <w:rFonts w:cstheme="minorHAnsi"/>
          <w:sz w:val="20"/>
          <w:szCs w:val="20"/>
        </w:rPr>
        <w:t xml:space="preserve"> and</w:t>
      </w:r>
      <w:r w:rsidRPr="00181CA6">
        <w:rPr>
          <w:rFonts w:cstheme="minorHAnsi"/>
          <w:sz w:val="20"/>
          <w:szCs w:val="20"/>
        </w:rPr>
        <w:t xml:space="preserve"> get better </w:t>
      </w:r>
      <w:r w:rsidR="00A07064" w:rsidRPr="00181CA6">
        <w:rPr>
          <w:rFonts w:cstheme="minorHAnsi"/>
          <w:sz w:val="20"/>
          <w:szCs w:val="20"/>
        </w:rPr>
        <w:t>leverage</w:t>
      </w:r>
      <w:r w:rsidRPr="00181CA6">
        <w:rPr>
          <w:rFonts w:cstheme="minorHAnsi"/>
          <w:sz w:val="20"/>
          <w:szCs w:val="20"/>
        </w:rPr>
        <w:t xml:space="preserve"> on the </w:t>
      </w:r>
      <w:r w:rsidR="00A07064" w:rsidRPr="00181CA6">
        <w:rPr>
          <w:rFonts w:cstheme="minorHAnsi"/>
          <w:sz w:val="20"/>
          <w:szCs w:val="20"/>
        </w:rPr>
        <w:t xml:space="preserve">existing </w:t>
      </w:r>
      <w:r w:rsidRPr="00181CA6">
        <w:rPr>
          <w:rFonts w:cstheme="minorHAnsi"/>
          <w:sz w:val="20"/>
          <w:szCs w:val="20"/>
        </w:rPr>
        <w:t xml:space="preserve">fixed cost structure for </w:t>
      </w:r>
      <w:r w:rsidR="00261439" w:rsidRPr="00181CA6">
        <w:rPr>
          <w:rFonts w:cstheme="minorHAnsi"/>
          <w:sz w:val="20"/>
          <w:szCs w:val="20"/>
        </w:rPr>
        <w:t xml:space="preserve">resources </w:t>
      </w:r>
      <w:r w:rsidRPr="00181CA6">
        <w:rPr>
          <w:rFonts w:cstheme="minorHAnsi"/>
          <w:sz w:val="20"/>
          <w:szCs w:val="20"/>
        </w:rPr>
        <w:t xml:space="preserve">like </w:t>
      </w:r>
      <w:r w:rsidR="00A07064" w:rsidRPr="00181CA6">
        <w:rPr>
          <w:rFonts w:cstheme="minorHAnsi"/>
          <w:sz w:val="20"/>
          <w:szCs w:val="20"/>
        </w:rPr>
        <w:t xml:space="preserve">utilities, </w:t>
      </w:r>
      <w:r w:rsidRPr="00181CA6">
        <w:rPr>
          <w:rFonts w:cstheme="minorHAnsi"/>
          <w:sz w:val="20"/>
          <w:szCs w:val="20"/>
        </w:rPr>
        <w:t>nurse leader</w:t>
      </w:r>
      <w:r w:rsidR="00261439" w:rsidRPr="00181CA6">
        <w:rPr>
          <w:rFonts w:cstheme="minorHAnsi"/>
          <w:sz w:val="20"/>
          <w:szCs w:val="20"/>
        </w:rPr>
        <w:t xml:space="preserve">s, and </w:t>
      </w:r>
      <w:r w:rsidRPr="00181CA6">
        <w:rPr>
          <w:rFonts w:cstheme="minorHAnsi"/>
          <w:sz w:val="20"/>
          <w:szCs w:val="20"/>
        </w:rPr>
        <w:t>secretar</w:t>
      </w:r>
      <w:r w:rsidR="00261439" w:rsidRPr="00181CA6">
        <w:rPr>
          <w:rFonts w:cstheme="minorHAnsi"/>
          <w:sz w:val="20"/>
          <w:szCs w:val="20"/>
        </w:rPr>
        <w:t>y</w:t>
      </w:r>
      <w:r w:rsidRPr="00181CA6">
        <w:rPr>
          <w:rFonts w:cstheme="minorHAnsi"/>
          <w:sz w:val="20"/>
          <w:szCs w:val="20"/>
        </w:rPr>
        <w:t xml:space="preserve"> role</w:t>
      </w:r>
      <w:r w:rsidR="00261439" w:rsidRPr="00181CA6">
        <w:rPr>
          <w:rFonts w:cstheme="minorHAnsi"/>
          <w:sz w:val="20"/>
          <w:szCs w:val="20"/>
        </w:rPr>
        <w:t>s</w:t>
      </w:r>
      <w:r w:rsidRPr="00181CA6">
        <w:rPr>
          <w:rFonts w:cstheme="minorHAnsi"/>
          <w:sz w:val="20"/>
          <w:szCs w:val="20"/>
        </w:rPr>
        <w:t xml:space="preserve"> </w:t>
      </w:r>
      <w:r w:rsidR="00A07064" w:rsidRPr="00181CA6">
        <w:rPr>
          <w:rFonts w:cstheme="minorHAnsi"/>
          <w:sz w:val="20"/>
          <w:szCs w:val="20"/>
        </w:rPr>
        <w:t xml:space="preserve">already </w:t>
      </w:r>
      <w:r w:rsidRPr="00181CA6">
        <w:rPr>
          <w:rFonts w:cstheme="minorHAnsi"/>
          <w:sz w:val="20"/>
          <w:szCs w:val="20"/>
        </w:rPr>
        <w:t xml:space="preserve">on </w:t>
      </w:r>
      <w:r w:rsidR="00A07064" w:rsidRPr="00181CA6">
        <w:rPr>
          <w:rFonts w:cstheme="minorHAnsi"/>
          <w:sz w:val="20"/>
          <w:szCs w:val="20"/>
        </w:rPr>
        <w:t>patient care unit</w:t>
      </w:r>
      <w:r w:rsidR="00261439" w:rsidRPr="00181CA6">
        <w:rPr>
          <w:rFonts w:cstheme="minorHAnsi"/>
          <w:sz w:val="20"/>
          <w:szCs w:val="20"/>
        </w:rPr>
        <w:t>s</w:t>
      </w:r>
      <w:r w:rsidRPr="00181CA6">
        <w:rPr>
          <w:rFonts w:cstheme="minorHAnsi"/>
          <w:sz w:val="20"/>
          <w:szCs w:val="20"/>
        </w:rPr>
        <w:t xml:space="preserve">.  </w:t>
      </w:r>
    </w:p>
    <w:sectPr w:rsidR="000D3F72" w:rsidRPr="00181CA6" w:rsidSect="0010190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92CED4" w14:textId="77777777" w:rsidR="00101901" w:rsidRDefault="00101901" w:rsidP="00231103">
      <w:pPr>
        <w:spacing w:after="0" w:line="240" w:lineRule="auto"/>
      </w:pPr>
      <w:r>
        <w:separator/>
      </w:r>
    </w:p>
  </w:endnote>
  <w:endnote w:type="continuationSeparator" w:id="0">
    <w:p w14:paraId="181BCE97" w14:textId="77777777" w:rsidR="00101901" w:rsidRDefault="00101901" w:rsidP="00231103">
      <w:pPr>
        <w:spacing w:after="0" w:line="240" w:lineRule="auto"/>
      </w:pPr>
      <w:r>
        <w:continuationSeparator/>
      </w:r>
    </w:p>
  </w:endnote>
  <w:endnote w:type="continuationNotice" w:id="1">
    <w:p w14:paraId="5BF5D4B0" w14:textId="77777777" w:rsidR="00101901" w:rsidRDefault="0010190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E8240E" w14:textId="77777777" w:rsidR="00261439" w:rsidRDefault="002614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6F81D" w14:textId="6C03CA0E" w:rsidR="002F0ED6" w:rsidRDefault="002F0ED6">
    <w:pPr>
      <w:pStyle w:val="Footer"/>
    </w:pPr>
  </w:p>
  <w:p w14:paraId="6BBA7089" w14:textId="77777777" w:rsidR="00632AEC" w:rsidRDefault="00632A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6BA10" w14:textId="77777777" w:rsidR="00261439" w:rsidRDefault="002614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001BFE" w14:textId="77777777" w:rsidR="00101901" w:rsidRDefault="00101901" w:rsidP="00231103">
      <w:pPr>
        <w:spacing w:after="0" w:line="240" w:lineRule="auto"/>
      </w:pPr>
      <w:r>
        <w:separator/>
      </w:r>
    </w:p>
  </w:footnote>
  <w:footnote w:type="continuationSeparator" w:id="0">
    <w:p w14:paraId="361EFEF4" w14:textId="77777777" w:rsidR="00101901" w:rsidRDefault="00101901" w:rsidP="00231103">
      <w:pPr>
        <w:spacing w:after="0" w:line="240" w:lineRule="auto"/>
      </w:pPr>
      <w:r>
        <w:continuationSeparator/>
      </w:r>
    </w:p>
  </w:footnote>
  <w:footnote w:type="continuationNotice" w:id="1">
    <w:p w14:paraId="2FB93DC0" w14:textId="77777777" w:rsidR="00101901" w:rsidRDefault="00101901">
      <w:pPr>
        <w:spacing w:after="0" w:line="240" w:lineRule="auto"/>
      </w:pPr>
    </w:p>
  </w:footnote>
  <w:footnote w:id="2">
    <w:p w14:paraId="7A7C87DB" w14:textId="77777777" w:rsidR="00B04813" w:rsidRDefault="00B04813" w:rsidP="00B04813">
      <w:pPr>
        <w:pStyle w:val="FootnoteText"/>
      </w:pPr>
      <w:r>
        <w:rPr>
          <w:rStyle w:val="FootnoteReference"/>
        </w:rPr>
        <w:footnoteRef/>
      </w:r>
      <w:r>
        <w:t xml:space="preserve"> Inclusive of medical/surgical and intensive care unit beds. </w:t>
      </w:r>
    </w:p>
  </w:footnote>
  <w:footnote w:id="3">
    <w:p w14:paraId="1674DAAA" w14:textId="77777777" w:rsidR="00B04813" w:rsidRDefault="00B04813" w:rsidP="00B04813">
      <w:pPr>
        <w:pStyle w:val="FootnoteText"/>
      </w:pPr>
      <w:r>
        <w:rPr>
          <w:rStyle w:val="FootnoteReference"/>
        </w:rPr>
        <w:footnoteRef/>
      </w:r>
      <w:r>
        <w:t xml:space="preserve"> Outpatient beds refer to outpatients occupying an inpatient bed (PPRs, Admit to Observation, including Short Stay Unit) </w:t>
      </w:r>
    </w:p>
  </w:footnote>
  <w:footnote w:id="4">
    <w:p w14:paraId="16066F44" w14:textId="01840303" w:rsidR="00261439" w:rsidRDefault="0026143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261439">
        <w:rPr>
          <w:rFonts w:ascii="Aptos" w:hAnsi="Aptos"/>
          <w:color w:val="000000"/>
        </w:rPr>
        <w:t>Behavioral Health are patients with only a BH diagnosis and are not in the ED for other medical treatment. These patients as a percent of total visits, understate the magnitude of mental health care in the emergency room as most patients have an acute medical issue and co-occurring BH needs.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E5B9E" w14:textId="77777777" w:rsidR="00261439" w:rsidRDefault="0026143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C7675" w14:textId="6900429E" w:rsidR="00153D99" w:rsidRPr="00153D99" w:rsidRDefault="00A71D28" w:rsidP="00D223EB">
    <w:pPr>
      <w:pStyle w:val="Header"/>
      <w:pBdr>
        <w:bottom w:val="single" w:sz="4" w:space="1" w:color="auto"/>
      </w:pBdr>
      <w:jc w:val="center"/>
      <w:rPr>
        <w:rFonts w:cstheme="minorHAnsi"/>
        <w:b/>
        <w:bCs/>
        <w:sz w:val="36"/>
        <w:szCs w:val="36"/>
      </w:rPr>
    </w:pPr>
    <w:r>
      <w:rPr>
        <w:rFonts w:cstheme="minorHAnsi"/>
        <w:b/>
        <w:bCs/>
        <w:sz w:val="36"/>
        <w:szCs w:val="36"/>
      </w:rPr>
      <w:t>Mass General Brigham</w:t>
    </w:r>
    <w:r w:rsidR="006A4735">
      <w:rPr>
        <w:rFonts w:cstheme="minorHAnsi"/>
        <w:b/>
        <w:bCs/>
        <w:sz w:val="36"/>
        <w:szCs w:val="36"/>
      </w:rPr>
      <w:t xml:space="preserve"> Incorporated</w:t>
    </w:r>
  </w:p>
  <w:p w14:paraId="78DC6D8E" w14:textId="0AC4410C" w:rsidR="00D223EB" w:rsidRPr="008F67D8" w:rsidRDefault="008F67D8" w:rsidP="008F67D8">
    <w:pPr>
      <w:pStyle w:val="Header"/>
      <w:pBdr>
        <w:bottom w:val="single" w:sz="4" w:space="1" w:color="auto"/>
      </w:pBdr>
      <w:jc w:val="center"/>
      <w:rPr>
        <w:sz w:val="24"/>
        <w:szCs w:val="24"/>
      </w:rPr>
    </w:pPr>
    <w:r w:rsidRPr="008F67D8">
      <w:rPr>
        <w:rFonts w:ascii="Arial-BoldMT" w:hAnsi="Arial-BoldMT" w:cs="Arial-BoldMT"/>
        <w:b/>
        <w:bCs/>
        <w:sz w:val="24"/>
        <w:szCs w:val="24"/>
      </w:rPr>
      <w:t xml:space="preserve">DON # </w:t>
    </w:r>
    <w:r w:rsidR="009E0B65" w:rsidRPr="009E0B65">
      <w:rPr>
        <w:rFonts w:ascii="Arial-BoldMT" w:hAnsi="Arial-BoldMT" w:cs="Arial-BoldMT"/>
        <w:b/>
        <w:bCs/>
        <w:sz w:val="24"/>
        <w:szCs w:val="24"/>
      </w:rPr>
      <w:t>MGB-23120414-AM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60B88" w14:textId="77777777" w:rsidR="00261439" w:rsidRDefault="002614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72048"/>
    <w:multiLevelType w:val="hybridMultilevel"/>
    <w:tmpl w:val="6D70E1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00EDA"/>
    <w:multiLevelType w:val="hybridMultilevel"/>
    <w:tmpl w:val="E7DEAF9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E75551"/>
    <w:multiLevelType w:val="hybridMultilevel"/>
    <w:tmpl w:val="81BA4D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AF7EC0"/>
    <w:multiLevelType w:val="hybridMultilevel"/>
    <w:tmpl w:val="D81A184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FA9071D"/>
    <w:multiLevelType w:val="hybridMultilevel"/>
    <w:tmpl w:val="080AD0B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7436EF"/>
    <w:multiLevelType w:val="hybridMultilevel"/>
    <w:tmpl w:val="969EBB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E637B8"/>
    <w:multiLevelType w:val="hybridMultilevel"/>
    <w:tmpl w:val="2F0C5E92"/>
    <w:lvl w:ilvl="0" w:tplc="82C403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377D48"/>
    <w:multiLevelType w:val="hybridMultilevel"/>
    <w:tmpl w:val="EFE0F6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9CD09B6"/>
    <w:multiLevelType w:val="hybridMultilevel"/>
    <w:tmpl w:val="0F1E72C8"/>
    <w:lvl w:ilvl="0" w:tplc="C3E49AEA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  <w:b w:val="0"/>
        <w:bCs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AC6B40"/>
    <w:multiLevelType w:val="hybridMultilevel"/>
    <w:tmpl w:val="147E6D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7D0C41"/>
    <w:multiLevelType w:val="hybridMultilevel"/>
    <w:tmpl w:val="8F1A70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926CA4"/>
    <w:multiLevelType w:val="hybridMultilevel"/>
    <w:tmpl w:val="2BB671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3D19D3"/>
    <w:multiLevelType w:val="hybridMultilevel"/>
    <w:tmpl w:val="8FE0EBA0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2701037D"/>
    <w:multiLevelType w:val="hybridMultilevel"/>
    <w:tmpl w:val="0BE4ADA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B094B7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29AC7226"/>
    <w:multiLevelType w:val="hybridMultilevel"/>
    <w:tmpl w:val="0F4A08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FC2470"/>
    <w:multiLevelType w:val="hybridMultilevel"/>
    <w:tmpl w:val="06401D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0C94ED2"/>
    <w:multiLevelType w:val="hybridMultilevel"/>
    <w:tmpl w:val="A75E2A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054EFB"/>
    <w:multiLevelType w:val="hybridMultilevel"/>
    <w:tmpl w:val="2C229084"/>
    <w:lvl w:ilvl="0" w:tplc="92CE68F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6A5BC3"/>
    <w:multiLevelType w:val="hybridMultilevel"/>
    <w:tmpl w:val="02FCE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953CC0"/>
    <w:multiLevelType w:val="hybridMultilevel"/>
    <w:tmpl w:val="3F2031F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7544439"/>
    <w:multiLevelType w:val="hybridMultilevel"/>
    <w:tmpl w:val="2158B0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B0A36C3"/>
    <w:multiLevelType w:val="hybridMultilevel"/>
    <w:tmpl w:val="2F3EEE18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BEE535A"/>
    <w:multiLevelType w:val="hybridMultilevel"/>
    <w:tmpl w:val="B436F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3404FF"/>
    <w:multiLevelType w:val="hybridMultilevel"/>
    <w:tmpl w:val="CAE081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B05379"/>
    <w:multiLevelType w:val="hybridMultilevel"/>
    <w:tmpl w:val="40B6E1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104E1E"/>
    <w:multiLevelType w:val="hybridMultilevel"/>
    <w:tmpl w:val="3462DE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7C0444"/>
    <w:multiLevelType w:val="hybridMultilevel"/>
    <w:tmpl w:val="F8AEB0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9913E1"/>
    <w:multiLevelType w:val="hybridMultilevel"/>
    <w:tmpl w:val="BA92F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0F1F74"/>
    <w:multiLevelType w:val="hybridMultilevel"/>
    <w:tmpl w:val="CC5C6B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034566"/>
    <w:multiLevelType w:val="hybridMultilevel"/>
    <w:tmpl w:val="3F90E1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5260C3"/>
    <w:multiLevelType w:val="hybridMultilevel"/>
    <w:tmpl w:val="A30EE014"/>
    <w:lvl w:ilvl="0" w:tplc="F3521924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9C42DB"/>
    <w:multiLevelType w:val="hybridMultilevel"/>
    <w:tmpl w:val="CF4C1016"/>
    <w:lvl w:ilvl="0" w:tplc="72CC744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7FC39C4"/>
    <w:multiLevelType w:val="hybridMultilevel"/>
    <w:tmpl w:val="C95C6D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A20EA3"/>
    <w:multiLevelType w:val="hybridMultilevel"/>
    <w:tmpl w:val="2F0C5E92"/>
    <w:lvl w:ilvl="0" w:tplc="82C403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07233B"/>
    <w:multiLevelType w:val="hybridMultilevel"/>
    <w:tmpl w:val="ABB0FE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B2208C"/>
    <w:multiLevelType w:val="hybridMultilevel"/>
    <w:tmpl w:val="C254B4B2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CF7196D"/>
    <w:multiLevelType w:val="hybridMultilevel"/>
    <w:tmpl w:val="6310DA4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C85BAA"/>
    <w:multiLevelType w:val="hybridMultilevel"/>
    <w:tmpl w:val="9ED4B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511235"/>
    <w:multiLevelType w:val="hybridMultilevel"/>
    <w:tmpl w:val="51E4F1F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8A1390"/>
    <w:multiLevelType w:val="hybridMultilevel"/>
    <w:tmpl w:val="7ADA6F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0B4C97"/>
    <w:multiLevelType w:val="hybridMultilevel"/>
    <w:tmpl w:val="9FD63E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D4693B"/>
    <w:multiLevelType w:val="hybridMultilevel"/>
    <w:tmpl w:val="0450D3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BF1893"/>
    <w:multiLevelType w:val="hybridMultilevel"/>
    <w:tmpl w:val="E8627D20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ED45180"/>
    <w:multiLevelType w:val="hybridMultilevel"/>
    <w:tmpl w:val="C3787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8899068">
    <w:abstractNumId w:val="28"/>
  </w:num>
  <w:num w:numId="2" w16cid:durableId="1353843505">
    <w:abstractNumId w:val="44"/>
  </w:num>
  <w:num w:numId="3" w16cid:durableId="1279526035">
    <w:abstractNumId w:val="38"/>
  </w:num>
  <w:num w:numId="4" w16cid:durableId="1378551702">
    <w:abstractNumId w:val="10"/>
  </w:num>
  <w:num w:numId="5" w16cid:durableId="848327212">
    <w:abstractNumId w:val="34"/>
  </w:num>
  <w:num w:numId="6" w16cid:durableId="1139688139">
    <w:abstractNumId w:val="20"/>
  </w:num>
  <w:num w:numId="7" w16cid:durableId="657195646">
    <w:abstractNumId w:val="12"/>
  </w:num>
  <w:num w:numId="8" w16cid:durableId="110832496">
    <w:abstractNumId w:val="8"/>
  </w:num>
  <w:num w:numId="9" w16cid:durableId="387649668">
    <w:abstractNumId w:val="17"/>
  </w:num>
  <w:num w:numId="10" w16cid:durableId="1999535959">
    <w:abstractNumId w:val="31"/>
  </w:num>
  <w:num w:numId="11" w16cid:durableId="1854033332">
    <w:abstractNumId w:val="19"/>
  </w:num>
  <w:num w:numId="12" w16cid:durableId="1587693421">
    <w:abstractNumId w:val="29"/>
  </w:num>
  <w:num w:numId="13" w16cid:durableId="1094132952">
    <w:abstractNumId w:val="9"/>
  </w:num>
  <w:num w:numId="14" w16cid:durableId="913203945">
    <w:abstractNumId w:val="13"/>
  </w:num>
  <w:num w:numId="15" w16cid:durableId="839344708">
    <w:abstractNumId w:val="37"/>
  </w:num>
  <w:num w:numId="16" w16cid:durableId="876431696">
    <w:abstractNumId w:val="7"/>
  </w:num>
  <w:num w:numId="17" w16cid:durableId="806820403">
    <w:abstractNumId w:val="15"/>
  </w:num>
  <w:num w:numId="18" w16cid:durableId="1078599987">
    <w:abstractNumId w:val="6"/>
  </w:num>
  <w:num w:numId="19" w16cid:durableId="1698239086">
    <w:abstractNumId w:val="4"/>
  </w:num>
  <w:num w:numId="20" w16cid:durableId="1851749367">
    <w:abstractNumId w:val="42"/>
  </w:num>
  <w:num w:numId="21" w16cid:durableId="1761026085">
    <w:abstractNumId w:val="35"/>
  </w:num>
  <w:num w:numId="22" w16cid:durableId="1720126088">
    <w:abstractNumId w:val="41"/>
  </w:num>
  <w:num w:numId="23" w16cid:durableId="1722703916">
    <w:abstractNumId w:val="43"/>
  </w:num>
  <w:num w:numId="24" w16cid:durableId="754984576">
    <w:abstractNumId w:val="22"/>
  </w:num>
  <w:num w:numId="25" w16cid:durableId="1784617036">
    <w:abstractNumId w:val="25"/>
  </w:num>
  <w:num w:numId="26" w16cid:durableId="1548058589">
    <w:abstractNumId w:val="23"/>
  </w:num>
  <w:num w:numId="27" w16cid:durableId="1593852056">
    <w:abstractNumId w:val="0"/>
  </w:num>
  <w:num w:numId="28" w16cid:durableId="1336036520">
    <w:abstractNumId w:val="1"/>
  </w:num>
  <w:num w:numId="29" w16cid:durableId="1759598195">
    <w:abstractNumId w:val="32"/>
  </w:num>
  <w:num w:numId="30" w16cid:durableId="203442492">
    <w:abstractNumId w:val="3"/>
  </w:num>
  <w:num w:numId="31" w16cid:durableId="905454452">
    <w:abstractNumId w:val="36"/>
  </w:num>
  <w:num w:numId="32" w16cid:durableId="913900956">
    <w:abstractNumId w:val="39"/>
  </w:num>
  <w:num w:numId="33" w16cid:durableId="459230438">
    <w:abstractNumId w:val="21"/>
  </w:num>
  <w:num w:numId="34" w16cid:durableId="49697358">
    <w:abstractNumId w:val="16"/>
  </w:num>
  <w:num w:numId="35" w16cid:durableId="926427677">
    <w:abstractNumId w:val="14"/>
  </w:num>
  <w:num w:numId="36" w16cid:durableId="2102220202">
    <w:abstractNumId w:val="11"/>
  </w:num>
  <w:num w:numId="37" w16cid:durableId="235669879">
    <w:abstractNumId w:val="26"/>
  </w:num>
  <w:num w:numId="38" w16cid:durableId="1567373231">
    <w:abstractNumId w:val="27"/>
  </w:num>
  <w:num w:numId="39" w16cid:durableId="1621300414">
    <w:abstractNumId w:val="33"/>
  </w:num>
  <w:num w:numId="40" w16cid:durableId="1148015354">
    <w:abstractNumId w:val="2"/>
  </w:num>
  <w:num w:numId="41" w16cid:durableId="2111656432">
    <w:abstractNumId w:val="18"/>
  </w:num>
  <w:num w:numId="42" w16cid:durableId="493227715">
    <w:abstractNumId w:val="40"/>
  </w:num>
  <w:num w:numId="43" w16cid:durableId="1041318659">
    <w:abstractNumId w:val="5"/>
  </w:num>
  <w:num w:numId="44" w16cid:durableId="947547384">
    <w:abstractNumId w:val="24"/>
  </w:num>
  <w:num w:numId="45" w16cid:durableId="25467623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C5C"/>
    <w:rsid w:val="00000463"/>
    <w:rsid w:val="000012DD"/>
    <w:rsid w:val="000027EE"/>
    <w:rsid w:val="000037BD"/>
    <w:rsid w:val="000038CE"/>
    <w:rsid w:val="00004D59"/>
    <w:rsid w:val="00005930"/>
    <w:rsid w:val="00005E23"/>
    <w:rsid w:val="00011385"/>
    <w:rsid w:val="00011556"/>
    <w:rsid w:val="00012264"/>
    <w:rsid w:val="00012279"/>
    <w:rsid w:val="00012F4F"/>
    <w:rsid w:val="000168C2"/>
    <w:rsid w:val="00016E99"/>
    <w:rsid w:val="00021A01"/>
    <w:rsid w:val="0002235E"/>
    <w:rsid w:val="00025521"/>
    <w:rsid w:val="00027FBC"/>
    <w:rsid w:val="0003012E"/>
    <w:rsid w:val="00032FF5"/>
    <w:rsid w:val="0003598B"/>
    <w:rsid w:val="00040965"/>
    <w:rsid w:val="000413D6"/>
    <w:rsid w:val="0004380F"/>
    <w:rsid w:val="0004645C"/>
    <w:rsid w:val="0004730F"/>
    <w:rsid w:val="00054FF4"/>
    <w:rsid w:val="0005525D"/>
    <w:rsid w:val="000558ED"/>
    <w:rsid w:val="00055942"/>
    <w:rsid w:val="00055F9E"/>
    <w:rsid w:val="00056D5B"/>
    <w:rsid w:val="00063414"/>
    <w:rsid w:val="00064206"/>
    <w:rsid w:val="0006445F"/>
    <w:rsid w:val="00066898"/>
    <w:rsid w:val="00067686"/>
    <w:rsid w:val="00071162"/>
    <w:rsid w:val="00072EE3"/>
    <w:rsid w:val="00073932"/>
    <w:rsid w:val="00073DC9"/>
    <w:rsid w:val="00074092"/>
    <w:rsid w:val="00075194"/>
    <w:rsid w:val="000766DC"/>
    <w:rsid w:val="00076728"/>
    <w:rsid w:val="00076A84"/>
    <w:rsid w:val="00076CB2"/>
    <w:rsid w:val="000775B1"/>
    <w:rsid w:val="00080AC6"/>
    <w:rsid w:val="00080B03"/>
    <w:rsid w:val="00081715"/>
    <w:rsid w:val="000826CB"/>
    <w:rsid w:val="0008493D"/>
    <w:rsid w:val="000862E1"/>
    <w:rsid w:val="00086759"/>
    <w:rsid w:val="0008681F"/>
    <w:rsid w:val="000906E1"/>
    <w:rsid w:val="000907F9"/>
    <w:rsid w:val="00091C4C"/>
    <w:rsid w:val="00092910"/>
    <w:rsid w:val="000952FD"/>
    <w:rsid w:val="00095621"/>
    <w:rsid w:val="00096ACB"/>
    <w:rsid w:val="00097762"/>
    <w:rsid w:val="0009794A"/>
    <w:rsid w:val="00097B2C"/>
    <w:rsid w:val="00097C62"/>
    <w:rsid w:val="000A04E0"/>
    <w:rsid w:val="000A26C3"/>
    <w:rsid w:val="000A51A6"/>
    <w:rsid w:val="000A5495"/>
    <w:rsid w:val="000A56D4"/>
    <w:rsid w:val="000A691D"/>
    <w:rsid w:val="000A7A45"/>
    <w:rsid w:val="000A7AAB"/>
    <w:rsid w:val="000B0FB8"/>
    <w:rsid w:val="000B1438"/>
    <w:rsid w:val="000B1AD5"/>
    <w:rsid w:val="000B1D01"/>
    <w:rsid w:val="000B69B2"/>
    <w:rsid w:val="000C4405"/>
    <w:rsid w:val="000C4D24"/>
    <w:rsid w:val="000C6277"/>
    <w:rsid w:val="000C7F71"/>
    <w:rsid w:val="000D0D41"/>
    <w:rsid w:val="000D3F72"/>
    <w:rsid w:val="000D71F9"/>
    <w:rsid w:val="000E09DA"/>
    <w:rsid w:val="000E0B48"/>
    <w:rsid w:val="000E2F30"/>
    <w:rsid w:val="000E3622"/>
    <w:rsid w:val="000E4B6D"/>
    <w:rsid w:val="000E5EC9"/>
    <w:rsid w:val="000E77AA"/>
    <w:rsid w:val="000E7E1B"/>
    <w:rsid w:val="000F0EDD"/>
    <w:rsid w:val="000F405B"/>
    <w:rsid w:val="000F448F"/>
    <w:rsid w:val="000F4FA3"/>
    <w:rsid w:val="000F5BAD"/>
    <w:rsid w:val="000F5CC4"/>
    <w:rsid w:val="00101646"/>
    <w:rsid w:val="001017F6"/>
    <w:rsid w:val="001018CF"/>
    <w:rsid w:val="00101901"/>
    <w:rsid w:val="00104288"/>
    <w:rsid w:val="001050F4"/>
    <w:rsid w:val="00105138"/>
    <w:rsid w:val="0010535C"/>
    <w:rsid w:val="0010549B"/>
    <w:rsid w:val="001059C1"/>
    <w:rsid w:val="00106D23"/>
    <w:rsid w:val="001101AB"/>
    <w:rsid w:val="00112BDF"/>
    <w:rsid w:val="00112E92"/>
    <w:rsid w:val="00116490"/>
    <w:rsid w:val="001204FE"/>
    <w:rsid w:val="00120FB5"/>
    <w:rsid w:val="00122099"/>
    <w:rsid w:val="0012232D"/>
    <w:rsid w:val="00123EE2"/>
    <w:rsid w:val="00125F6B"/>
    <w:rsid w:val="00126E85"/>
    <w:rsid w:val="001332C7"/>
    <w:rsid w:val="00133CF7"/>
    <w:rsid w:val="00137A46"/>
    <w:rsid w:val="00137C36"/>
    <w:rsid w:val="0014505C"/>
    <w:rsid w:val="001459CB"/>
    <w:rsid w:val="00146387"/>
    <w:rsid w:val="00147A1F"/>
    <w:rsid w:val="00152CFB"/>
    <w:rsid w:val="001538B2"/>
    <w:rsid w:val="00153D99"/>
    <w:rsid w:val="00154A10"/>
    <w:rsid w:val="00154D42"/>
    <w:rsid w:val="00162A72"/>
    <w:rsid w:val="00166158"/>
    <w:rsid w:val="00166D4B"/>
    <w:rsid w:val="00167F71"/>
    <w:rsid w:val="001701AE"/>
    <w:rsid w:val="00170D7F"/>
    <w:rsid w:val="00173BC9"/>
    <w:rsid w:val="00174CFB"/>
    <w:rsid w:val="00176547"/>
    <w:rsid w:val="00176C56"/>
    <w:rsid w:val="00180580"/>
    <w:rsid w:val="00181CA6"/>
    <w:rsid w:val="00182533"/>
    <w:rsid w:val="00185A10"/>
    <w:rsid w:val="00190646"/>
    <w:rsid w:val="0019184A"/>
    <w:rsid w:val="00191B78"/>
    <w:rsid w:val="00191DAC"/>
    <w:rsid w:val="001926A6"/>
    <w:rsid w:val="00192CFC"/>
    <w:rsid w:val="00193CD7"/>
    <w:rsid w:val="001A0425"/>
    <w:rsid w:val="001A11D0"/>
    <w:rsid w:val="001A1315"/>
    <w:rsid w:val="001A170B"/>
    <w:rsid w:val="001A4B9D"/>
    <w:rsid w:val="001A511B"/>
    <w:rsid w:val="001A66A9"/>
    <w:rsid w:val="001A710A"/>
    <w:rsid w:val="001A767E"/>
    <w:rsid w:val="001B1155"/>
    <w:rsid w:val="001B32E1"/>
    <w:rsid w:val="001B3A91"/>
    <w:rsid w:val="001B517F"/>
    <w:rsid w:val="001B569F"/>
    <w:rsid w:val="001B5845"/>
    <w:rsid w:val="001B7F98"/>
    <w:rsid w:val="001C2783"/>
    <w:rsid w:val="001C2A01"/>
    <w:rsid w:val="001C5BF3"/>
    <w:rsid w:val="001C6B00"/>
    <w:rsid w:val="001C6D93"/>
    <w:rsid w:val="001C7D8A"/>
    <w:rsid w:val="001D0111"/>
    <w:rsid w:val="001D01BF"/>
    <w:rsid w:val="001D1521"/>
    <w:rsid w:val="001D1813"/>
    <w:rsid w:val="001D3741"/>
    <w:rsid w:val="001D5A6E"/>
    <w:rsid w:val="001D7C2C"/>
    <w:rsid w:val="001E0B77"/>
    <w:rsid w:val="001E0B94"/>
    <w:rsid w:val="001E19D7"/>
    <w:rsid w:val="001E21D7"/>
    <w:rsid w:val="001E2478"/>
    <w:rsid w:val="001E2EA3"/>
    <w:rsid w:val="001E3BCA"/>
    <w:rsid w:val="001E40EE"/>
    <w:rsid w:val="001E4503"/>
    <w:rsid w:val="001E5650"/>
    <w:rsid w:val="001E5807"/>
    <w:rsid w:val="001E5C2E"/>
    <w:rsid w:val="001E640E"/>
    <w:rsid w:val="001F02F3"/>
    <w:rsid w:val="001F27B7"/>
    <w:rsid w:val="001F2B01"/>
    <w:rsid w:val="001F3136"/>
    <w:rsid w:val="001F4D11"/>
    <w:rsid w:val="001F5FDD"/>
    <w:rsid w:val="001F667D"/>
    <w:rsid w:val="001F687E"/>
    <w:rsid w:val="00200334"/>
    <w:rsid w:val="00200E16"/>
    <w:rsid w:val="00201A31"/>
    <w:rsid w:val="00201F6E"/>
    <w:rsid w:val="00202AD7"/>
    <w:rsid w:val="00202ADE"/>
    <w:rsid w:val="0020315F"/>
    <w:rsid w:val="002037DF"/>
    <w:rsid w:val="002050B9"/>
    <w:rsid w:val="00205E02"/>
    <w:rsid w:val="002068C9"/>
    <w:rsid w:val="002069DD"/>
    <w:rsid w:val="002102EF"/>
    <w:rsid w:val="00210336"/>
    <w:rsid w:val="00212619"/>
    <w:rsid w:val="002131E4"/>
    <w:rsid w:val="00214FAA"/>
    <w:rsid w:val="002155ED"/>
    <w:rsid w:val="0021563E"/>
    <w:rsid w:val="00216777"/>
    <w:rsid w:val="002179D1"/>
    <w:rsid w:val="00220EBE"/>
    <w:rsid w:val="00223643"/>
    <w:rsid w:val="00224770"/>
    <w:rsid w:val="00225B1E"/>
    <w:rsid w:val="0022601F"/>
    <w:rsid w:val="00226A63"/>
    <w:rsid w:val="00227005"/>
    <w:rsid w:val="00227BD5"/>
    <w:rsid w:val="00230C3B"/>
    <w:rsid w:val="00230D5B"/>
    <w:rsid w:val="00230EF5"/>
    <w:rsid w:val="00231103"/>
    <w:rsid w:val="002314FF"/>
    <w:rsid w:val="00231E3B"/>
    <w:rsid w:val="00233AFE"/>
    <w:rsid w:val="00234272"/>
    <w:rsid w:val="002364A1"/>
    <w:rsid w:val="00240DEF"/>
    <w:rsid w:val="00241988"/>
    <w:rsid w:val="00241F52"/>
    <w:rsid w:val="0024261D"/>
    <w:rsid w:val="00244D12"/>
    <w:rsid w:val="00245154"/>
    <w:rsid w:val="00247833"/>
    <w:rsid w:val="00251BEF"/>
    <w:rsid w:val="002533DB"/>
    <w:rsid w:val="0025349C"/>
    <w:rsid w:val="00253AF3"/>
    <w:rsid w:val="00253B0A"/>
    <w:rsid w:val="00254265"/>
    <w:rsid w:val="002542A0"/>
    <w:rsid w:val="0025780A"/>
    <w:rsid w:val="0025792F"/>
    <w:rsid w:val="00261439"/>
    <w:rsid w:val="00262131"/>
    <w:rsid w:val="002622C5"/>
    <w:rsid w:val="00262D9B"/>
    <w:rsid w:val="00262E53"/>
    <w:rsid w:val="002643AF"/>
    <w:rsid w:val="00264588"/>
    <w:rsid w:val="0026558B"/>
    <w:rsid w:val="00267859"/>
    <w:rsid w:val="00270B47"/>
    <w:rsid w:val="00271BF5"/>
    <w:rsid w:val="00271D85"/>
    <w:rsid w:val="0027221A"/>
    <w:rsid w:val="0027284F"/>
    <w:rsid w:val="002750A6"/>
    <w:rsid w:val="00276939"/>
    <w:rsid w:val="0027783A"/>
    <w:rsid w:val="00277B36"/>
    <w:rsid w:val="0028259A"/>
    <w:rsid w:val="002836B7"/>
    <w:rsid w:val="002865E8"/>
    <w:rsid w:val="002906CE"/>
    <w:rsid w:val="002912FB"/>
    <w:rsid w:val="00291912"/>
    <w:rsid w:val="00292B13"/>
    <w:rsid w:val="00293147"/>
    <w:rsid w:val="00294BD6"/>
    <w:rsid w:val="00294D49"/>
    <w:rsid w:val="00296F21"/>
    <w:rsid w:val="0029738B"/>
    <w:rsid w:val="002A36DF"/>
    <w:rsid w:val="002A4110"/>
    <w:rsid w:val="002A47FE"/>
    <w:rsid w:val="002A518F"/>
    <w:rsid w:val="002A540F"/>
    <w:rsid w:val="002A5E73"/>
    <w:rsid w:val="002B3476"/>
    <w:rsid w:val="002B4234"/>
    <w:rsid w:val="002B5ADB"/>
    <w:rsid w:val="002C0C55"/>
    <w:rsid w:val="002C0C71"/>
    <w:rsid w:val="002C3C86"/>
    <w:rsid w:val="002C568C"/>
    <w:rsid w:val="002C5E88"/>
    <w:rsid w:val="002C6957"/>
    <w:rsid w:val="002D012B"/>
    <w:rsid w:val="002D034F"/>
    <w:rsid w:val="002D06F7"/>
    <w:rsid w:val="002D18BF"/>
    <w:rsid w:val="002D1CC3"/>
    <w:rsid w:val="002D39AC"/>
    <w:rsid w:val="002D5432"/>
    <w:rsid w:val="002D5E75"/>
    <w:rsid w:val="002D5F7A"/>
    <w:rsid w:val="002E3CEF"/>
    <w:rsid w:val="002E5CA9"/>
    <w:rsid w:val="002F0ED6"/>
    <w:rsid w:val="002F15B0"/>
    <w:rsid w:val="002F3714"/>
    <w:rsid w:val="002F3CDD"/>
    <w:rsid w:val="002F5878"/>
    <w:rsid w:val="002F7B99"/>
    <w:rsid w:val="00302D3F"/>
    <w:rsid w:val="003030AA"/>
    <w:rsid w:val="00303DD8"/>
    <w:rsid w:val="00303EE3"/>
    <w:rsid w:val="00305754"/>
    <w:rsid w:val="00306307"/>
    <w:rsid w:val="003078B4"/>
    <w:rsid w:val="003079EC"/>
    <w:rsid w:val="00307F98"/>
    <w:rsid w:val="003103B0"/>
    <w:rsid w:val="00312739"/>
    <w:rsid w:val="00312A19"/>
    <w:rsid w:val="00312F5C"/>
    <w:rsid w:val="003132A1"/>
    <w:rsid w:val="00313C2B"/>
    <w:rsid w:val="0031436B"/>
    <w:rsid w:val="003164F7"/>
    <w:rsid w:val="00317580"/>
    <w:rsid w:val="00320371"/>
    <w:rsid w:val="0032484D"/>
    <w:rsid w:val="00327903"/>
    <w:rsid w:val="00327EAC"/>
    <w:rsid w:val="00331E8E"/>
    <w:rsid w:val="003346AB"/>
    <w:rsid w:val="00335360"/>
    <w:rsid w:val="00335F54"/>
    <w:rsid w:val="0034004E"/>
    <w:rsid w:val="00341347"/>
    <w:rsid w:val="00342240"/>
    <w:rsid w:val="00344DAC"/>
    <w:rsid w:val="00346884"/>
    <w:rsid w:val="00350118"/>
    <w:rsid w:val="003506AE"/>
    <w:rsid w:val="003533CA"/>
    <w:rsid w:val="00354D26"/>
    <w:rsid w:val="0035653B"/>
    <w:rsid w:val="00357756"/>
    <w:rsid w:val="00357BA6"/>
    <w:rsid w:val="003602C2"/>
    <w:rsid w:val="003620FB"/>
    <w:rsid w:val="00364225"/>
    <w:rsid w:val="00366505"/>
    <w:rsid w:val="00366648"/>
    <w:rsid w:val="0036671D"/>
    <w:rsid w:val="00366918"/>
    <w:rsid w:val="00366DCC"/>
    <w:rsid w:val="00373908"/>
    <w:rsid w:val="00374102"/>
    <w:rsid w:val="003741E5"/>
    <w:rsid w:val="003752AE"/>
    <w:rsid w:val="00375F14"/>
    <w:rsid w:val="003764DE"/>
    <w:rsid w:val="003769AF"/>
    <w:rsid w:val="00380361"/>
    <w:rsid w:val="00380B28"/>
    <w:rsid w:val="00380E08"/>
    <w:rsid w:val="00381027"/>
    <w:rsid w:val="003813A0"/>
    <w:rsid w:val="00381CBF"/>
    <w:rsid w:val="00382217"/>
    <w:rsid w:val="0038255C"/>
    <w:rsid w:val="003869A5"/>
    <w:rsid w:val="00387527"/>
    <w:rsid w:val="00390E89"/>
    <w:rsid w:val="00391569"/>
    <w:rsid w:val="00392D76"/>
    <w:rsid w:val="00393F8C"/>
    <w:rsid w:val="00394105"/>
    <w:rsid w:val="003968AD"/>
    <w:rsid w:val="0039698B"/>
    <w:rsid w:val="003A0DBC"/>
    <w:rsid w:val="003A1793"/>
    <w:rsid w:val="003A2B5B"/>
    <w:rsid w:val="003A36B2"/>
    <w:rsid w:val="003A44FB"/>
    <w:rsid w:val="003A4882"/>
    <w:rsid w:val="003A4DC6"/>
    <w:rsid w:val="003A5564"/>
    <w:rsid w:val="003A56A8"/>
    <w:rsid w:val="003A5F8B"/>
    <w:rsid w:val="003A7217"/>
    <w:rsid w:val="003B0073"/>
    <w:rsid w:val="003B0D30"/>
    <w:rsid w:val="003B1445"/>
    <w:rsid w:val="003B238F"/>
    <w:rsid w:val="003B2B26"/>
    <w:rsid w:val="003B4C05"/>
    <w:rsid w:val="003B575F"/>
    <w:rsid w:val="003B5953"/>
    <w:rsid w:val="003C1787"/>
    <w:rsid w:val="003C2495"/>
    <w:rsid w:val="003C28D0"/>
    <w:rsid w:val="003C3117"/>
    <w:rsid w:val="003C38F5"/>
    <w:rsid w:val="003C3B18"/>
    <w:rsid w:val="003C3FFC"/>
    <w:rsid w:val="003C655E"/>
    <w:rsid w:val="003C6F58"/>
    <w:rsid w:val="003C7C67"/>
    <w:rsid w:val="003C7D2A"/>
    <w:rsid w:val="003D0F39"/>
    <w:rsid w:val="003D14BA"/>
    <w:rsid w:val="003D2A24"/>
    <w:rsid w:val="003D30FA"/>
    <w:rsid w:val="003D31FD"/>
    <w:rsid w:val="003D3D7D"/>
    <w:rsid w:val="003D50D2"/>
    <w:rsid w:val="003D7315"/>
    <w:rsid w:val="003D7942"/>
    <w:rsid w:val="003E0045"/>
    <w:rsid w:val="003E06CC"/>
    <w:rsid w:val="003E23E8"/>
    <w:rsid w:val="003E4BD2"/>
    <w:rsid w:val="003E4F87"/>
    <w:rsid w:val="003E5576"/>
    <w:rsid w:val="003E5688"/>
    <w:rsid w:val="003E5C9B"/>
    <w:rsid w:val="003F1211"/>
    <w:rsid w:val="003F159E"/>
    <w:rsid w:val="003F5EF2"/>
    <w:rsid w:val="003F7754"/>
    <w:rsid w:val="00402AC2"/>
    <w:rsid w:val="004032C0"/>
    <w:rsid w:val="004035C4"/>
    <w:rsid w:val="00407E19"/>
    <w:rsid w:val="00411D30"/>
    <w:rsid w:val="004141A0"/>
    <w:rsid w:val="0041637A"/>
    <w:rsid w:val="004163EF"/>
    <w:rsid w:val="0042031C"/>
    <w:rsid w:val="00421844"/>
    <w:rsid w:val="00421B81"/>
    <w:rsid w:val="00421C21"/>
    <w:rsid w:val="00422255"/>
    <w:rsid w:val="004253AA"/>
    <w:rsid w:val="00426884"/>
    <w:rsid w:val="00432D19"/>
    <w:rsid w:val="004342CD"/>
    <w:rsid w:val="00436DA5"/>
    <w:rsid w:val="00441F3E"/>
    <w:rsid w:val="00443EE8"/>
    <w:rsid w:val="004449E1"/>
    <w:rsid w:val="00444A21"/>
    <w:rsid w:val="00444D2A"/>
    <w:rsid w:val="00445B4E"/>
    <w:rsid w:val="00447333"/>
    <w:rsid w:val="00447F3B"/>
    <w:rsid w:val="0045317B"/>
    <w:rsid w:val="004537FA"/>
    <w:rsid w:val="00454F32"/>
    <w:rsid w:val="00455504"/>
    <w:rsid w:val="00456B10"/>
    <w:rsid w:val="00461706"/>
    <w:rsid w:val="00464ACB"/>
    <w:rsid w:val="00470202"/>
    <w:rsid w:val="0047139C"/>
    <w:rsid w:val="004739A3"/>
    <w:rsid w:val="00480049"/>
    <w:rsid w:val="00480BA1"/>
    <w:rsid w:val="00481ADC"/>
    <w:rsid w:val="004821A3"/>
    <w:rsid w:val="00484231"/>
    <w:rsid w:val="00484A85"/>
    <w:rsid w:val="00485EEB"/>
    <w:rsid w:val="004865F2"/>
    <w:rsid w:val="004873F3"/>
    <w:rsid w:val="004901A5"/>
    <w:rsid w:val="004921DF"/>
    <w:rsid w:val="004938F0"/>
    <w:rsid w:val="0049470D"/>
    <w:rsid w:val="00495B73"/>
    <w:rsid w:val="00497513"/>
    <w:rsid w:val="0049782E"/>
    <w:rsid w:val="00497C2D"/>
    <w:rsid w:val="004A0DDC"/>
    <w:rsid w:val="004A1907"/>
    <w:rsid w:val="004A1BB1"/>
    <w:rsid w:val="004A1D25"/>
    <w:rsid w:val="004A3C27"/>
    <w:rsid w:val="004A4AB0"/>
    <w:rsid w:val="004A5502"/>
    <w:rsid w:val="004A6568"/>
    <w:rsid w:val="004A7A25"/>
    <w:rsid w:val="004B0A58"/>
    <w:rsid w:val="004B1CE6"/>
    <w:rsid w:val="004B3151"/>
    <w:rsid w:val="004B3555"/>
    <w:rsid w:val="004B39F2"/>
    <w:rsid w:val="004B4095"/>
    <w:rsid w:val="004B46F4"/>
    <w:rsid w:val="004B53D6"/>
    <w:rsid w:val="004B582E"/>
    <w:rsid w:val="004B5A76"/>
    <w:rsid w:val="004B5EF9"/>
    <w:rsid w:val="004B678F"/>
    <w:rsid w:val="004B6C5B"/>
    <w:rsid w:val="004B6C8F"/>
    <w:rsid w:val="004C0998"/>
    <w:rsid w:val="004C2AE3"/>
    <w:rsid w:val="004C2EFC"/>
    <w:rsid w:val="004C3627"/>
    <w:rsid w:val="004C3AB7"/>
    <w:rsid w:val="004C4D36"/>
    <w:rsid w:val="004C746F"/>
    <w:rsid w:val="004C7C09"/>
    <w:rsid w:val="004D036D"/>
    <w:rsid w:val="004D0BF9"/>
    <w:rsid w:val="004D293C"/>
    <w:rsid w:val="004D7C5C"/>
    <w:rsid w:val="004E0E90"/>
    <w:rsid w:val="004E145E"/>
    <w:rsid w:val="004E166A"/>
    <w:rsid w:val="004E6482"/>
    <w:rsid w:val="004E6DDA"/>
    <w:rsid w:val="004F0C07"/>
    <w:rsid w:val="004F432A"/>
    <w:rsid w:val="004F590F"/>
    <w:rsid w:val="004F6BB4"/>
    <w:rsid w:val="005006E2"/>
    <w:rsid w:val="00507039"/>
    <w:rsid w:val="0050715B"/>
    <w:rsid w:val="00510EC8"/>
    <w:rsid w:val="00512FDF"/>
    <w:rsid w:val="005145C3"/>
    <w:rsid w:val="00514968"/>
    <w:rsid w:val="00514ECB"/>
    <w:rsid w:val="005155C5"/>
    <w:rsid w:val="0051617E"/>
    <w:rsid w:val="00520941"/>
    <w:rsid w:val="00520CE7"/>
    <w:rsid w:val="005218C7"/>
    <w:rsid w:val="00522D14"/>
    <w:rsid w:val="00522F5F"/>
    <w:rsid w:val="00524144"/>
    <w:rsid w:val="005248A7"/>
    <w:rsid w:val="00524D51"/>
    <w:rsid w:val="00525292"/>
    <w:rsid w:val="005257D0"/>
    <w:rsid w:val="00527788"/>
    <w:rsid w:val="00527DB5"/>
    <w:rsid w:val="005301FC"/>
    <w:rsid w:val="00530477"/>
    <w:rsid w:val="00530E56"/>
    <w:rsid w:val="00532D6E"/>
    <w:rsid w:val="0053317D"/>
    <w:rsid w:val="005338A0"/>
    <w:rsid w:val="00534C78"/>
    <w:rsid w:val="00535A15"/>
    <w:rsid w:val="00536A69"/>
    <w:rsid w:val="00536B22"/>
    <w:rsid w:val="00536FFD"/>
    <w:rsid w:val="005370F4"/>
    <w:rsid w:val="005379D8"/>
    <w:rsid w:val="005430C8"/>
    <w:rsid w:val="0054339D"/>
    <w:rsid w:val="00543F0C"/>
    <w:rsid w:val="00546917"/>
    <w:rsid w:val="00547324"/>
    <w:rsid w:val="005475AF"/>
    <w:rsid w:val="005506E6"/>
    <w:rsid w:val="00551569"/>
    <w:rsid w:val="005518D4"/>
    <w:rsid w:val="00552F4C"/>
    <w:rsid w:val="00554544"/>
    <w:rsid w:val="00554AC8"/>
    <w:rsid w:val="00554CF4"/>
    <w:rsid w:val="00554D3B"/>
    <w:rsid w:val="00555A05"/>
    <w:rsid w:val="005560CC"/>
    <w:rsid w:val="00556966"/>
    <w:rsid w:val="00556FE0"/>
    <w:rsid w:val="00557976"/>
    <w:rsid w:val="00561790"/>
    <w:rsid w:val="00561BCC"/>
    <w:rsid w:val="0056282F"/>
    <w:rsid w:val="00564F33"/>
    <w:rsid w:val="0056515A"/>
    <w:rsid w:val="00566687"/>
    <w:rsid w:val="00567A48"/>
    <w:rsid w:val="00573656"/>
    <w:rsid w:val="005768C9"/>
    <w:rsid w:val="00577B19"/>
    <w:rsid w:val="00580A60"/>
    <w:rsid w:val="00580E2B"/>
    <w:rsid w:val="0058155B"/>
    <w:rsid w:val="00581E7E"/>
    <w:rsid w:val="00582855"/>
    <w:rsid w:val="00586473"/>
    <w:rsid w:val="00587600"/>
    <w:rsid w:val="00590FA9"/>
    <w:rsid w:val="0059124F"/>
    <w:rsid w:val="005921B2"/>
    <w:rsid w:val="0059393C"/>
    <w:rsid w:val="005941A3"/>
    <w:rsid w:val="005946AB"/>
    <w:rsid w:val="00595A74"/>
    <w:rsid w:val="00596226"/>
    <w:rsid w:val="00596309"/>
    <w:rsid w:val="00596F2D"/>
    <w:rsid w:val="00597369"/>
    <w:rsid w:val="005977E8"/>
    <w:rsid w:val="005A081D"/>
    <w:rsid w:val="005A11D8"/>
    <w:rsid w:val="005A2505"/>
    <w:rsid w:val="005A2F6B"/>
    <w:rsid w:val="005A390D"/>
    <w:rsid w:val="005A3A68"/>
    <w:rsid w:val="005A5F29"/>
    <w:rsid w:val="005A71F5"/>
    <w:rsid w:val="005B05D9"/>
    <w:rsid w:val="005B31C8"/>
    <w:rsid w:val="005C04E6"/>
    <w:rsid w:val="005C1C35"/>
    <w:rsid w:val="005C1E0B"/>
    <w:rsid w:val="005C3394"/>
    <w:rsid w:val="005C4433"/>
    <w:rsid w:val="005C5476"/>
    <w:rsid w:val="005C7D0C"/>
    <w:rsid w:val="005C7D8D"/>
    <w:rsid w:val="005D4244"/>
    <w:rsid w:val="005E07A8"/>
    <w:rsid w:val="005E11DA"/>
    <w:rsid w:val="005E1AEF"/>
    <w:rsid w:val="005E3669"/>
    <w:rsid w:val="005E72B7"/>
    <w:rsid w:val="005F0A3C"/>
    <w:rsid w:val="005F5F80"/>
    <w:rsid w:val="005F62ED"/>
    <w:rsid w:val="005F7339"/>
    <w:rsid w:val="00605067"/>
    <w:rsid w:val="0060547C"/>
    <w:rsid w:val="006054A8"/>
    <w:rsid w:val="00605AB6"/>
    <w:rsid w:val="00607E0F"/>
    <w:rsid w:val="00610F50"/>
    <w:rsid w:val="00611212"/>
    <w:rsid w:val="00611D49"/>
    <w:rsid w:val="00612D41"/>
    <w:rsid w:val="00621087"/>
    <w:rsid w:val="00623AD7"/>
    <w:rsid w:val="006269A1"/>
    <w:rsid w:val="006303FF"/>
    <w:rsid w:val="00631200"/>
    <w:rsid w:val="006325B1"/>
    <w:rsid w:val="00632AEC"/>
    <w:rsid w:val="00634013"/>
    <w:rsid w:val="0063455C"/>
    <w:rsid w:val="00636A3D"/>
    <w:rsid w:val="006403D2"/>
    <w:rsid w:val="00642739"/>
    <w:rsid w:val="00643D57"/>
    <w:rsid w:val="0064499E"/>
    <w:rsid w:val="00645592"/>
    <w:rsid w:val="006520E7"/>
    <w:rsid w:val="006533A2"/>
    <w:rsid w:val="0065372D"/>
    <w:rsid w:val="00655586"/>
    <w:rsid w:val="006560F8"/>
    <w:rsid w:val="00656D66"/>
    <w:rsid w:val="00657AEA"/>
    <w:rsid w:val="006643F7"/>
    <w:rsid w:val="0066694A"/>
    <w:rsid w:val="006705F7"/>
    <w:rsid w:val="00671E87"/>
    <w:rsid w:val="00672966"/>
    <w:rsid w:val="006732FA"/>
    <w:rsid w:val="006733D5"/>
    <w:rsid w:val="006735BF"/>
    <w:rsid w:val="00674E0A"/>
    <w:rsid w:val="00680AD8"/>
    <w:rsid w:val="006814E7"/>
    <w:rsid w:val="00682275"/>
    <w:rsid w:val="006826AF"/>
    <w:rsid w:val="00684458"/>
    <w:rsid w:val="00687E3F"/>
    <w:rsid w:val="006906F3"/>
    <w:rsid w:val="00693E98"/>
    <w:rsid w:val="0069456C"/>
    <w:rsid w:val="00694F03"/>
    <w:rsid w:val="00694F39"/>
    <w:rsid w:val="006A0764"/>
    <w:rsid w:val="006A1400"/>
    <w:rsid w:val="006A1C97"/>
    <w:rsid w:val="006A25D2"/>
    <w:rsid w:val="006A2BD7"/>
    <w:rsid w:val="006A4735"/>
    <w:rsid w:val="006A4D5B"/>
    <w:rsid w:val="006A4FB9"/>
    <w:rsid w:val="006A6E7E"/>
    <w:rsid w:val="006A7EAE"/>
    <w:rsid w:val="006B0549"/>
    <w:rsid w:val="006B0C48"/>
    <w:rsid w:val="006B0F22"/>
    <w:rsid w:val="006B5BEF"/>
    <w:rsid w:val="006B68C4"/>
    <w:rsid w:val="006B7171"/>
    <w:rsid w:val="006C1B8D"/>
    <w:rsid w:val="006C3ED5"/>
    <w:rsid w:val="006C552B"/>
    <w:rsid w:val="006D00FA"/>
    <w:rsid w:val="006D01D3"/>
    <w:rsid w:val="006D6315"/>
    <w:rsid w:val="006D650D"/>
    <w:rsid w:val="006D6994"/>
    <w:rsid w:val="006E112C"/>
    <w:rsid w:val="006E1C56"/>
    <w:rsid w:val="006E1D4C"/>
    <w:rsid w:val="006E279C"/>
    <w:rsid w:val="006E29DE"/>
    <w:rsid w:val="006E444D"/>
    <w:rsid w:val="006E4A84"/>
    <w:rsid w:val="006E4E00"/>
    <w:rsid w:val="006E5304"/>
    <w:rsid w:val="006E5B8A"/>
    <w:rsid w:val="006E5CDF"/>
    <w:rsid w:val="006E6DA9"/>
    <w:rsid w:val="006F0472"/>
    <w:rsid w:val="006F0786"/>
    <w:rsid w:val="006F2350"/>
    <w:rsid w:val="006F4EF5"/>
    <w:rsid w:val="006F555A"/>
    <w:rsid w:val="006F7519"/>
    <w:rsid w:val="007013CB"/>
    <w:rsid w:val="007019DF"/>
    <w:rsid w:val="0070409F"/>
    <w:rsid w:val="0070648A"/>
    <w:rsid w:val="007108C3"/>
    <w:rsid w:val="007113DC"/>
    <w:rsid w:val="00712FA6"/>
    <w:rsid w:val="0071402E"/>
    <w:rsid w:val="00714B62"/>
    <w:rsid w:val="00714DB1"/>
    <w:rsid w:val="0071563E"/>
    <w:rsid w:val="00715918"/>
    <w:rsid w:val="00722F8A"/>
    <w:rsid w:val="007230BC"/>
    <w:rsid w:val="00723E74"/>
    <w:rsid w:val="007242B4"/>
    <w:rsid w:val="00724754"/>
    <w:rsid w:val="0073005B"/>
    <w:rsid w:val="007303BA"/>
    <w:rsid w:val="00730E81"/>
    <w:rsid w:val="00732878"/>
    <w:rsid w:val="00733081"/>
    <w:rsid w:val="00733BA9"/>
    <w:rsid w:val="00733BDE"/>
    <w:rsid w:val="00733E21"/>
    <w:rsid w:val="0073404F"/>
    <w:rsid w:val="00734362"/>
    <w:rsid w:val="00734A0C"/>
    <w:rsid w:val="007372FE"/>
    <w:rsid w:val="00737848"/>
    <w:rsid w:val="00740B16"/>
    <w:rsid w:val="00742E67"/>
    <w:rsid w:val="00743F50"/>
    <w:rsid w:val="00747EF6"/>
    <w:rsid w:val="007508EF"/>
    <w:rsid w:val="00750B62"/>
    <w:rsid w:val="0075159B"/>
    <w:rsid w:val="00751C28"/>
    <w:rsid w:val="0075203E"/>
    <w:rsid w:val="00752BE0"/>
    <w:rsid w:val="007531D5"/>
    <w:rsid w:val="0075373D"/>
    <w:rsid w:val="00753F14"/>
    <w:rsid w:val="00757106"/>
    <w:rsid w:val="00761997"/>
    <w:rsid w:val="00763C52"/>
    <w:rsid w:val="00765EBE"/>
    <w:rsid w:val="00766B76"/>
    <w:rsid w:val="00771621"/>
    <w:rsid w:val="00774FA6"/>
    <w:rsid w:val="00775A18"/>
    <w:rsid w:val="00775E3C"/>
    <w:rsid w:val="00777580"/>
    <w:rsid w:val="0078133F"/>
    <w:rsid w:val="00783F1B"/>
    <w:rsid w:val="0078661A"/>
    <w:rsid w:val="00787CB4"/>
    <w:rsid w:val="00791B92"/>
    <w:rsid w:val="007934D2"/>
    <w:rsid w:val="007935EB"/>
    <w:rsid w:val="00795B9D"/>
    <w:rsid w:val="00795E61"/>
    <w:rsid w:val="007966DB"/>
    <w:rsid w:val="007A0593"/>
    <w:rsid w:val="007A6AA1"/>
    <w:rsid w:val="007B12C9"/>
    <w:rsid w:val="007B3A5E"/>
    <w:rsid w:val="007B529A"/>
    <w:rsid w:val="007B57B1"/>
    <w:rsid w:val="007B5C83"/>
    <w:rsid w:val="007B689C"/>
    <w:rsid w:val="007C02F9"/>
    <w:rsid w:val="007C108B"/>
    <w:rsid w:val="007C2DF7"/>
    <w:rsid w:val="007C302D"/>
    <w:rsid w:val="007C3FFF"/>
    <w:rsid w:val="007C6B4E"/>
    <w:rsid w:val="007D023F"/>
    <w:rsid w:val="007D0E7A"/>
    <w:rsid w:val="007D127A"/>
    <w:rsid w:val="007D1376"/>
    <w:rsid w:val="007D16C5"/>
    <w:rsid w:val="007D25EE"/>
    <w:rsid w:val="007D3BF6"/>
    <w:rsid w:val="007E0024"/>
    <w:rsid w:val="007E0AC9"/>
    <w:rsid w:val="007E1E88"/>
    <w:rsid w:val="007E45BD"/>
    <w:rsid w:val="007E5FE7"/>
    <w:rsid w:val="007E6854"/>
    <w:rsid w:val="007F1021"/>
    <w:rsid w:val="007F43D4"/>
    <w:rsid w:val="007F4AEB"/>
    <w:rsid w:val="007F5301"/>
    <w:rsid w:val="007F5C97"/>
    <w:rsid w:val="007F5DD1"/>
    <w:rsid w:val="007F6742"/>
    <w:rsid w:val="007F6A44"/>
    <w:rsid w:val="008006D1"/>
    <w:rsid w:val="0080319B"/>
    <w:rsid w:val="008031C1"/>
    <w:rsid w:val="00803785"/>
    <w:rsid w:val="008061A3"/>
    <w:rsid w:val="008101D9"/>
    <w:rsid w:val="00810C49"/>
    <w:rsid w:val="008124F5"/>
    <w:rsid w:val="00813262"/>
    <w:rsid w:val="00813ECA"/>
    <w:rsid w:val="00815464"/>
    <w:rsid w:val="00820074"/>
    <w:rsid w:val="00820C2B"/>
    <w:rsid w:val="008217B2"/>
    <w:rsid w:val="008218EF"/>
    <w:rsid w:val="008222C5"/>
    <w:rsid w:val="008263DF"/>
    <w:rsid w:val="00826574"/>
    <w:rsid w:val="00830723"/>
    <w:rsid w:val="0083116D"/>
    <w:rsid w:val="0083393C"/>
    <w:rsid w:val="00835493"/>
    <w:rsid w:val="00837CC1"/>
    <w:rsid w:val="00842E61"/>
    <w:rsid w:val="00843356"/>
    <w:rsid w:val="008443E7"/>
    <w:rsid w:val="008449E3"/>
    <w:rsid w:val="008464B2"/>
    <w:rsid w:val="00847665"/>
    <w:rsid w:val="00847BE1"/>
    <w:rsid w:val="00851136"/>
    <w:rsid w:val="00851EBF"/>
    <w:rsid w:val="00853332"/>
    <w:rsid w:val="00854496"/>
    <w:rsid w:val="008552B3"/>
    <w:rsid w:val="008558DA"/>
    <w:rsid w:val="00857018"/>
    <w:rsid w:val="0086021D"/>
    <w:rsid w:val="00862AF4"/>
    <w:rsid w:val="00862C61"/>
    <w:rsid w:val="008634B7"/>
    <w:rsid w:val="00863F89"/>
    <w:rsid w:val="008643F3"/>
    <w:rsid w:val="0086685F"/>
    <w:rsid w:val="008719A2"/>
    <w:rsid w:val="00874C86"/>
    <w:rsid w:val="00875D2D"/>
    <w:rsid w:val="00875EDB"/>
    <w:rsid w:val="00876CE8"/>
    <w:rsid w:val="008804B6"/>
    <w:rsid w:val="00881DF6"/>
    <w:rsid w:val="00882805"/>
    <w:rsid w:val="00885BDE"/>
    <w:rsid w:val="008868E6"/>
    <w:rsid w:val="00886E11"/>
    <w:rsid w:val="008870FD"/>
    <w:rsid w:val="0088717E"/>
    <w:rsid w:val="00890231"/>
    <w:rsid w:val="0089111A"/>
    <w:rsid w:val="008913C2"/>
    <w:rsid w:val="008922CA"/>
    <w:rsid w:val="00893003"/>
    <w:rsid w:val="00894377"/>
    <w:rsid w:val="00894444"/>
    <w:rsid w:val="008955B8"/>
    <w:rsid w:val="00897A92"/>
    <w:rsid w:val="00897CB8"/>
    <w:rsid w:val="008A0455"/>
    <w:rsid w:val="008A1722"/>
    <w:rsid w:val="008A1BCF"/>
    <w:rsid w:val="008A3550"/>
    <w:rsid w:val="008A7920"/>
    <w:rsid w:val="008A7D64"/>
    <w:rsid w:val="008A7DE1"/>
    <w:rsid w:val="008B18BD"/>
    <w:rsid w:val="008B57E2"/>
    <w:rsid w:val="008B7668"/>
    <w:rsid w:val="008B7B80"/>
    <w:rsid w:val="008C07AB"/>
    <w:rsid w:val="008C121E"/>
    <w:rsid w:val="008C1253"/>
    <w:rsid w:val="008C5471"/>
    <w:rsid w:val="008C5D7E"/>
    <w:rsid w:val="008C698B"/>
    <w:rsid w:val="008C6C17"/>
    <w:rsid w:val="008D0B54"/>
    <w:rsid w:val="008D2B88"/>
    <w:rsid w:val="008D2D7E"/>
    <w:rsid w:val="008D5182"/>
    <w:rsid w:val="008D51A8"/>
    <w:rsid w:val="008D5359"/>
    <w:rsid w:val="008D6D5E"/>
    <w:rsid w:val="008D7435"/>
    <w:rsid w:val="008E0484"/>
    <w:rsid w:val="008E08D3"/>
    <w:rsid w:val="008E187B"/>
    <w:rsid w:val="008E234D"/>
    <w:rsid w:val="008E39DC"/>
    <w:rsid w:val="008E3C7A"/>
    <w:rsid w:val="008E455C"/>
    <w:rsid w:val="008E4FB8"/>
    <w:rsid w:val="008E6DF2"/>
    <w:rsid w:val="008E7355"/>
    <w:rsid w:val="008E7E5A"/>
    <w:rsid w:val="008F1860"/>
    <w:rsid w:val="008F419B"/>
    <w:rsid w:val="008F4E1B"/>
    <w:rsid w:val="008F5981"/>
    <w:rsid w:val="008F5C89"/>
    <w:rsid w:val="008F67D8"/>
    <w:rsid w:val="00900ED6"/>
    <w:rsid w:val="00901BE4"/>
    <w:rsid w:val="0090264F"/>
    <w:rsid w:val="009027A6"/>
    <w:rsid w:val="009032E4"/>
    <w:rsid w:val="00905794"/>
    <w:rsid w:val="00906CCD"/>
    <w:rsid w:val="00907842"/>
    <w:rsid w:val="00911747"/>
    <w:rsid w:val="009143F1"/>
    <w:rsid w:val="00914855"/>
    <w:rsid w:val="009153E0"/>
    <w:rsid w:val="00915C11"/>
    <w:rsid w:val="00915F05"/>
    <w:rsid w:val="00916D0B"/>
    <w:rsid w:val="009171CE"/>
    <w:rsid w:val="009178DF"/>
    <w:rsid w:val="00924A83"/>
    <w:rsid w:val="00924A98"/>
    <w:rsid w:val="009250A0"/>
    <w:rsid w:val="00930A61"/>
    <w:rsid w:val="00931374"/>
    <w:rsid w:val="009316E0"/>
    <w:rsid w:val="009317D3"/>
    <w:rsid w:val="00934706"/>
    <w:rsid w:val="009348B6"/>
    <w:rsid w:val="0093616A"/>
    <w:rsid w:val="0093644B"/>
    <w:rsid w:val="009366A5"/>
    <w:rsid w:val="00936CCC"/>
    <w:rsid w:val="009376A5"/>
    <w:rsid w:val="00937C51"/>
    <w:rsid w:val="00937DF4"/>
    <w:rsid w:val="00940929"/>
    <w:rsid w:val="0094168C"/>
    <w:rsid w:val="00943EBF"/>
    <w:rsid w:val="0094400A"/>
    <w:rsid w:val="009448F4"/>
    <w:rsid w:val="0094528E"/>
    <w:rsid w:val="00950BA9"/>
    <w:rsid w:val="00951254"/>
    <w:rsid w:val="00951485"/>
    <w:rsid w:val="00951D09"/>
    <w:rsid w:val="00951EB6"/>
    <w:rsid w:val="009528C0"/>
    <w:rsid w:val="0095389E"/>
    <w:rsid w:val="00953A67"/>
    <w:rsid w:val="009553E1"/>
    <w:rsid w:val="00955D10"/>
    <w:rsid w:val="0095733E"/>
    <w:rsid w:val="00960DBC"/>
    <w:rsid w:val="00961FFA"/>
    <w:rsid w:val="00963347"/>
    <w:rsid w:val="009637E5"/>
    <w:rsid w:val="00963B87"/>
    <w:rsid w:val="009656E3"/>
    <w:rsid w:val="00965AEA"/>
    <w:rsid w:val="009672C2"/>
    <w:rsid w:val="00970D87"/>
    <w:rsid w:val="009723AD"/>
    <w:rsid w:val="009739F8"/>
    <w:rsid w:val="00974468"/>
    <w:rsid w:val="0097656A"/>
    <w:rsid w:val="0097742B"/>
    <w:rsid w:val="00980905"/>
    <w:rsid w:val="00980BED"/>
    <w:rsid w:val="009827CC"/>
    <w:rsid w:val="00982829"/>
    <w:rsid w:val="00982D48"/>
    <w:rsid w:val="00985A22"/>
    <w:rsid w:val="009865DB"/>
    <w:rsid w:val="00986A89"/>
    <w:rsid w:val="00987B47"/>
    <w:rsid w:val="009901D9"/>
    <w:rsid w:val="009910CE"/>
    <w:rsid w:val="009A3911"/>
    <w:rsid w:val="009A4EC4"/>
    <w:rsid w:val="009B0139"/>
    <w:rsid w:val="009B034D"/>
    <w:rsid w:val="009B122A"/>
    <w:rsid w:val="009B1C56"/>
    <w:rsid w:val="009B23D4"/>
    <w:rsid w:val="009B287F"/>
    <w:rsid w:val="009B29FC"/>
    <w:rsid w:val="009B36CA"/>
    <w:rsid w:val="009B62C3"/>
    <w:rsid w:val="009B738E"/>
    <w:rsid w:val="009B74DA"/>
    <w:rsid w:val="009B7881"/>
    <w:rsid w:val="009B7A81"/>
    <w:rsid w:val="009C0E83"/>
    <w:rsid w:val="009C1D85"/>
    <w:rsid w:val="009C2396"/>
    <w:rsid w:val="009C271D"/>
    <w:rsid w:val="009C7BBA"/>
    <w:rsid w:val="009D0E4D"/>
    <w:rsid w:val="009D0E59"/>
    <w:rsid w:val="009D2DC7"/>
    <w:rsid w:val="009D301F"/>
    <w:rsid w:val="009D3AB6"/>
    <w:rsid w:val="009D46AB"/>
    <w:rsid w:val="009D4BE3"/>
    <w:rsid w:val="009E0B65"/>
    <w:rsid w:val="009E1C94"/>
    <w:rsid w:val="009E2663"/>
    <w:rsid w:val="009E2754"/>
    <w:rsid w:val="009E3746"/>
    <w:rsid w:val="009E5119"/>
    <w:rsid w:val="009F10DE"/>
    <w:rsid w:val="009F2325"/>
    <w:rsid w:val="009F3886"/>
    <w:rsid w:val="009F4A35"/>
    <w:rsid w:val="009F64C9"/>
    <w:rsid w:val="009F7E10"/>
    <w:rsid w:val="00A04393"/>
    <w:rsid w:val="00A05AE5"/>
    <w:rsid w:val="00A06D85"/>
    <w:rsid w:val="00A07020"/>
    <w:rsid w:val="00A07064"/>
    <w:rsid w:val="00A0707E"/>
    <w:rsid w:val="00A07187"/>
    <w:rsid w:val="00A0730F"/>
    <w:rsid w:val="00A07682"/>
    <w:rsid w:val="00A144A7"/>
    <w:rsid w:val="00A14B99"/>
    <w:rsid w:val="00A159D5"/>
    <w:rsid w:val="00A15C5C"/>
    <w:rsid w:val="00A15FC6"/>
    <w:rsid w:val="00A1708E"/>
    <w:rsid w:val="00A17E54"/>
    <w:rsid w:val="00A20EDA"/>
    <w:rsid w:val="00A256D6"/>
    <w:rsid w:val="00A266C5"/>
    <w:rsid w:val="00A27237"/>
    <w:rsid w:val="00A27C1B"/>
    <w:rsid w:val="00A32048"/>
    <w:rsid w:val="00A33B33"/>
    <w:rsid w:val="00A350ED"/>
    <w:rsid w:val="00A41584"/>
    <w:rsid w:val="00A41C2D"/>
    <w:rsid w:val="00A41FEF"/>
    <w:rsid w:val="00A4343A"/>
    <w:rsid w:val="00A44911"/>
    <w:rsid w:val="00A5157A"/>
    <w:rsid w:val="00A52251"/>
    <w:rsid w:val="00A52BF6"/>
    <w:rsid w:val="00A52D05"/>
    <w:rsid w:val="00A530E9"/>
    <w:rsid w:val="00A550CF"/>
    <w:rsid w:val="00A628AF"/>
    <w:rsid w:val="00A63B2C"/>
    <w:rsid w:val="00A63B34"/>
    <w:rsid w:val="00A71D28"/>
    <w:rsid w:val="00A72577"/>
    <w:rsid w:val="00A7342F"/>
    <w:rsid w:val="00A74634"/>
    <w:rsid w:val="00A7645F"/>
    <w:rsid w:val="00A771DB"/>
    <w:rsid w:val="00A80FDF"/>
    <w:rsid w:val="00A82823"/>
    <w:rsid w:val="00A83868"/>
    <w:rsid w:val="00A83C91"/>
    <w:rsid w:val="00A8439B"/>
    <w:rsid w:val="00A84E87"/>
    <w:rsid w:val="00A864E1"/>
    <w:rsid w:val="00A9164D"/>
    <w:rsid w:val="00A91AB7"/>
    <w:rsid w:val="00A941F2"/>
    <w:rsid w:val="00A94C41"/>
    <w:rsid w:val="00A94DFA"/>
    <w:rsid w:val="00A9512F"/>
    <w:rsid w:val="00A95140"/>
    <w:rsid w:val="00A970F3"/>
    <w:rsid w:val="00A97218"/>
    <w:rsid w:val="00A979E2"/>
    <w:rsid w:val="00AA0462"/>
    <w:rsid w:val="00AA04A0"/>
    <w:rsid w:val="00AA12C8"/>
    <w:rsid w:val="00AA35A1"/>
    <w:rsid w:val="00AA5AD2"/>
    <w:rsid w:val="00AB0CDE"/>
    <w:rsid w:val="00AB0F4F"/>
    <w:rsid w:val="00AB1643"/>
    <w:rsid w:val="00AB56AA"/>
    <w:rsid w:val="00AC08F8"/>
    <w:rsid w:val="00AC2CEE"/>
    <w:rsid w:val="00AC3823"/>
    <w:rsid w:val="00AC535D"/>
    <w:rsid w:val="00AC7702"/>
    <w:rsid w:val="00AD068E"/>
    <w:rsid w:val="00AD2C45"/>
    <w:rsid w:val="00AD31E3"/>
    <w:rsid w:val="00AD3FD8"/>
    <w:rsid w:val="00AD7A33"/>
    <w:rsid w:val="00AE0BB9"/>
    <w:rsid w:val="00AE0C95"/>
    <w:rsid w:val="00AE1619"/>
    <w:rsid w:val="00AE1E9E"/>
    <w:rsid w:val="00AE1F14"/>
    <w:rsid w:val="00AE2A68"/>
    <w:rsid w:val="00AE2E70"/>
    <w:rsid w:val="00AE3E40"/>
    <w:rsid w:val="00AE6C7B"/>
    <w:rsid w:val="00AE72CC"/>
    <w:rsid w:val="00AE7544"/>
    <w:rsid w:val="00AE77AE"/>
    <w:rsid w:val="00AE7CBF"/>
    <w:rsid w:val="00AF01F5"/>
    <w:rsid w:val="00AF1414"/>
    <w:rsid w:val="00AF2AD0"/>
    <w:rsid w:val="00AF2C4C"/>
    <w:rsid w:val="00AF3336"/>
    <w:rsid w:val="00AF4579"/>
    <w:rsid w:val="00AF6075"/>
    <w:rsid w:val="00B00949"/>
    <w:rsid w:val="00B0197E"/>
    <w:rsid w:val="00B01E81"/>
    <w:rsid w:val="00B0435F"/>
    <w:rsid w:val="00B04766"/>
    <w:rsid w:val="00B04813"/>
    <w:rsid w:val="00B06DF0"/>
    <w:rsid w:val="00B079A7"/>
    <w:rsid w:val="00B10DB9"/>
    <w:rsid w:val="00B11DF8"/>
    <w:rsid w:val="00B15D82"/>
    <w:rsid w:val="00B17A76"/>
    <w:rsid w:val="00B17ACB"/>
    <w:rsid w:val="00B2056A"/>
    <w:rsid w:val="00B22C50"/>
    <w:rsid w:val="00B231D9"/>
    <w:rsid w:val="00B23AE4"/>
    <w:rsid w:val="00B24C4E"/>
    <w:rsid w:val="00B262D1"/>
    <w:rsid w:val="00B271C5"/>
    <w:rsid w:val="00B303DD"/>
    <w:rsid w:val="00B34854"/>
    <w:rsid w:val="00B34BE7"/>
    <w:rsid w:val="00B3678C"/>
    <w:rsid w:val="00B37E4B"/>
    <w:rsid w:val="00B42417"/>
    <w:rsid w:val="00B42880"/>
    <w:rsid w:val="00B440D9"/>
    <w:rsid w:val="00B45034"/>
    <w:rsid w:val="00B45447"/>
    <w:rsid w:val="00B473EC"/>
    <w:rsid w:val="00B47B6B"/>
    <w:rsid w:val="00B47C7E"/>
    <w:rsid w:val="00B50986"/>
    <w:rsid w:val="00B512E6"/>
    <w:rsid w:val="00B521C9"/>
    <w:rsid w:val="00B53AB1"/>
    <w:rsid w:val="00B53FD1"/>
    <w:rsid w:val="00B54078"/>
    <w:rsid w:val="00B55C4B"/>
    <w:rsid w:val="00B605C6"/>
    <w:rsid w:val="00B630CA"/>
    <w:rsid w:val="00B65FB4"/>
    <w:rsid w:val="00B66394"/>
    <w:rsid w:val="00B70B72"/>
    <w:rsid w:val="00B7113C"/>
    <w:rsid w:val="00B715B4"/>
    <w:rsid w:val="00B72988"/>
    <w:rsid w:val="00B73CA9"/>
    <w:rsid w:val="00B75516"/>
    <w:rsid w:val="00B75AFF"/>
    <w:rsid w:val="00B765CA"/>
    <w:rsid w:val="00B77CBD"/>
    <w:rsid w:val="00B77DF7"/>
    <w:rsid w:val="00B851A8"/>
    <w:rsid w:val="00B8543F"/>
    <w:rsid w:val="00B856DA"/>
    <w:rsid w:val="00B86EA5"/>
    <w:rsid w:val="00B8765D"/>
    <w:rsid w:val="00B96371"/>
    <w:rsid w:val="00BA0B05"/>
    <w:rsid w:val="00BA1F76"/>
    <w:rsid w:val="00BA2559"/>
    <w:rsid w:val="00BA5DC1"/>
    <w:rsid w:val="00BA76C0"/>
    <w:rsid w:val="00BA78C1"/>
    <w:rsid w:val="00BB0119"/>
    <w:rsid w:val="00BB0F4E"/>
    <w:rsid w:val="00BB2D8B"/>
    <w:rsid w:val="00BB372A"/>
    <w:rsid w:val="00BB7252"/>
    <w:rsid w:val="00BB758B"/>
    <w:rsid w:val="00BB7968"/>
    <w:rsid w:val="00BC1DD2"/>
    <w:rsid w:val="00BC3787"/>
    <w:rsid w:val="00BC5571"/>
    <w:rsid w:val="00BC5676"/>
    <w:rsid w:val="00BC689E"/>
    <w:rsid w:val="00BC6CF1"/>
    <w:rsid w:val="00BC7F80"/>
    <w:rsid w:val="00BD06E7"/>
    <w:rsid w:val="00BD1BBA"/>
    <w:rsid w:val="00BD1F62"/>
    <w:rsid w:val="00BD2346"/>
    <w:rsid w:val="00BD2FF4"/>
    <w:rsid w:val="00BD3284"/>
    <w:rsid w:val="00BD3B34"/>
    <w:rsid w:val="00BD4859"/>
    <w:rsid w:val="00BD5D70"/>
    <w:rsid w:val="00BD66E6"/>
    <w:rsid w:val="00BD782E"/>
    <w:rsid w:val="00BE174A"/>
    <w:rsid w:val="00BE1885"/>
    <w:rsid w:val="00BE30DE"/>
    <w:rsid w:val="00BE47F4"/>
    <w:rsid w:val="00BE67C3"/>
    <w:rsid w:val="00BE7434"/>
    <w:rsid w:val="00BF0682"/>
    <w:rsid w:val="00BF1147"/>
    <w:rsid w:val="00BF23D2"/>
    <w:rsid w:val="00BF349C"/>
    <w:rsid w:val="00BF4BB3"/>
    <w:rsid w:val="00BF5696"/>
    <w:rsid w:val="00BF57F0"/>
    <w:rsid w:val="00BF6A10"/>
    <w:rsid w:val="00C00011"/>
    <w:rsid w:val="00C0009D"/>
    <w:rsid w:val="00C005A9"/>
    <w:rsid w:val="00C010A7"/>
    <w:rsid w:val="00C048DB"/>
    <w:rsid w:val="00C05579"/>
    <w:rsid w:val="00C079EF"/>
    <w:rsid w:val="00C1251F"/>
    <w:rsid w:val="00C13CF6"/>
    <w:rsid w:val="00C143F4"/>
    <w:rsid w:val="00C150F7"/>
    <w:rsid w:val="00C173F7"/>
    <w:rsid w:val="00C176D2"/>
    <w:rsid w:val="00C17CC6"/>
    <w:rsid w:val="00C20168"/>
    <w:rsid w:val="00C22A6F"/>
    <w:rsid w:val="00C239AF"/>
    <w:rsid w:val="00C240CB"/>
    <w:rsid w:val="00C27067"/>
    <w:rsid w:val="00C27268"/>
    <w:rsid w:val="00C27682"/>
    <w:rsid w:val="00C354EB"/>
    <w:rsid w:val="00C3758F"/>
    <w:rsid w:val="00C40A1F"/>
    <w:rsid w:val="00C41902"/>
    <w:rsid w:val="00C41ABA"/>
    <w:rsid w:val="00C42388"/>
    <w:rsid w:val="00C4285D"/>
    <w:rsid w:val="00C43A5C"/>
    <w:rsid w:val="00C44809"/>
    <w:rsid w:val="00C44C22"/>
    <w:rsid w:val="00C465B1"/>
    <w:rsid w:val="00C46878"/>
    <w:rsid w:val="00C46BCC"/>
    <w:rsid w:val="00C5224B"/>
    <w:rsid w:val="00C52979"/>
    <w:rsid w:val="00C52F6D"/>
    <w:rsid w:val="00C53066"/>
    <w:rsid w:val="00C538AE"/>
    <w:rsid w:val="00C539F0"/>
    <w:rsid w:val="00C53E4E"/>
    <w:rsid w:val="00C55E4A"/>
    <w:rsid w:val="00C55E62"/>
    <w:rsid w:val="00C562BF"/>
    <w:rsid w:val="00C56C6A"/>
    <w:rsid w:val="00C56FD7"/>
    <w:rsid w:val="00C614B4"/>
    <w:rsid w:val="00C625DD"/>
    <w:rsid w:val="00C65709"/>
    <w:rsid w:val="00C67F93"/>
    <w:rsid w:val="00C70920"/>
    <w:rsid w:val="00C70D92"/>
    <w:rsid w:val="00C70E22"/>
    <w:rsid w:val="00C70F9B"/>
    <w:rsid w:val="00C75012"/>
    <w:rsid w:val="00C76518"/>
    <w:rsid w:val="00C77B17"/>
    <w:rsid w:val="00C814D9"/>
    <w:rsid w:val="00C8280E"/>
    <w:rsid w:val="00C837AC"/>
    <w:rsid w:val="00C83FA6"/>
    <w:rsid w:val="00C843B2"/>
    <w:rsid w:val="00C85712"/>
    <w:rsid w:val="00C86045"/>
    <w:rsid w:val="00C8665D"/>
    <w:rsid w:val="00C86A46"/>
    <w:rsid w:val="00C8763F"/>
    <w:rsid w:val="00C90FB6"/>
    <w:rsid w:val="00C91802"/>
    <w:rsid w:val="00C921DF"/>
    <w:rsid w:val="00C93E8E"/>
    <w:rsid w:val="00C946CC"/>
    <w:rsid w:val="00C94858"/>
    <w:rsid w:val="00C95555"/>
    <w:rsid w:val="00C95F6B"/>
    <w:rsid w:val="00CA3412"/>
    <w:rsid w:val="00CA49B1"/>
    <w:rsid w:val="00CA4F7B"/>
    <w:rsid w:val="00CA5DC6"/>
    <w:rsid w:val="00CA691E"/>
    <w:rsid w:val="00CA6EEC"/>
    <w:rsid w:val="00CA772A"/>
    <w:rsid w:val="00CA7E20"/>
    <w:rsid w:val="00CB0680"/>
    <w:rsid w:val="00CB139E"/>
    <w:rsid w:val="00CB3C43"/>
    <w:rsid w:val="00CB4136"/>
    <w:rsid w:val="00CB7D84"/>
    <w:rsid w:val="00CC1445"/>
    <w:rsid w:val="00CC17CB"/>
    <w:rsid w:val="00CC2555"/>
    <w:rsid w:val="00CC38FF"/>
    <w:rsid w:val="00CC4489"/>
    <w:rsid w:val="00CC4C68"/>
    <w:rsid w:val="00CC576D"/>
    <w:rsid w:val="00CC61A0"/>
    <w:rsid w:val="00CC6C74"/>
    <w:rsid w:val="00CC71D1"/>
    <w:rsid w:val="00CD0ECF"/>
    <w:rsid w:val="00CD1315"/>
    <w:rsid w:val="00CD1D46"/>
    <w:rsid w:val="00CD2F8C"/>
    <w:rsid w:val="00CD322E"/>
    <w:rsid w:val="00CD48D5"/>
    <w:rsid w:val="00CD5EE9"/>
    <w:rsid w:val="00CD7F7B"/>
    <w:rsid w:val="00CE01C3"/>
    <w:rsid w:val="00CE2263"/>
    <w:rsid w:val="00CE304C"/>
    <w:rsid w:val="00CE41C5"/>
    <w:rsid w:val="00CE6956"/>
    <w:rsid w:val="00CE7C72"/>
    <w:rsid w:val="00CF0F40"/>
    <w:rsid w:val="00CF1A54"/>
    <w:rsid w:val="00CF1D95"/>
    <w:rsid w:val="00CF2AD9"/>
    <w:rsid w:val="00CF3097"/>
    <w:rsid w:val="00CF3442"/>
    <w:rsid w:val="00CF5DDA"/>
    <w:rsid w:val="00CF6171"/>
    <w:rsid w:val="00CF63EB"/>
    <w:rsid w:val="00D00CC7"/>
    <w:rsid w:val="00D01766"/>
    <w:rsid w:val="00D024D0"/>
    <w:rsid w:val="00D02802"/>
    <w:rsid w:val="00D03465"/>
    <w:rsid w:val="00D03F15"/>
    <w:rsid w:val="00D054A2"/>
    <w:rsid w:val="00D05578"/>
    <w:rsid w:val="00D072A8"/>
    <w:rsid w:val="00D11BF8"/>
    <w:rsid w:val="00D12AEB"/>
    <w:rsid w:val="00D13800"/>
    <w:rsid w:val="00D142B2"/>
    <w:rsid w:val="00D1440E"/>
    <w:rsid w:val="00D15494"/>
    <w:rsid w:val="00D15AA5"/>
    <w:rsid w:val="00D1799E"/>
    <w:rsid w:val="00D20502"/>
    <w:rsid w:val="00D223EB"/>
    <w:rsid w:val="00D23E55"/>
    <w:rsid w:val="00D24403"/>
    <w:rsid w:val="00D248EF"/>
    <w:rsid w:val="00D24AF2"/>
    <w:rsid w:val="00D25722"/>
    <w:rsid w:val="00D261B8"/>
    <w:rsid w:val="00D262B9"/>
    <w:rsid w:val="00D27182"/>
    <w:rsid w:val="00D279F2"/>
    <w:rsid w:val="00D33210"/>
    <w:rsid w:val="00D33A44"/>
    <w:rsid w:val="00D364C9"/>
    <w:rsid w:val="00D37C74"/>
    <w:rsid w:val="00D37D26"/>
    <w:rsid w:val="00D37EAE"/>
    <w:rsid w:val="00D4103C"/>
    <w:rsid w:val="00D41E4A"/>
    <w:rsid w:val="00D422E3"/>
    <w:rsid w:val="00D436C9"/>
    <w:rsid w:val="00D43842"/>
    <w:rsid w:val="00D45AF4"/>
    <w:rsid w:val="00D506CF"/>
    <w:rsid w:val="00D51950"/>
    <w:rsid w:val="00D54B26"/>
    <w:rsid w:val="00D60585"/>
    <w:rsid w:val="00D6142C"/>
    <w:rsid w:val="00D6212A"/>
    <w:rsid w:val="00D6254B"/>
    <w:rsid w:val="00D63B4A"/>
    <w:rsid w:val="00D63CAA"/>
    <w:rsid w:val="00D64B28"/>
    <w:rsid w:val="00D64C10"/>
    <w:rsid w:val="00D653C6"/>
    <w:rsid w:val="00D71E59"/>
    <w:rsid w:val="00D753F8"/>
    <w:rsid w:val="00D75C50"/>
    <w:rsid w:val="00D76F97"/>
    <w:rsid w:val="00D773D2"/>
    <w:rsid w:val="00D80BAC"/>
    <w:rsid w:val="00D81AD1"/>
    <w:rsid w:val="00D82DEF"/>
    <w:rsid w:val="00D831F9"/>
    <w:rsid w:val="00D84061"/>
    <w:rsid w:val="00D849A9"/>
    <w:rsid w:val="00D851C5"/>
    <w:rsid w:val="00D85B70"/>
    <w:rsid w:val="00D866CA"/>
    <w:rsid w:val="00D93BBE"/>
    <w:rsid w:val="00D95A4C"/>
    <w:rsid w:val="00DA30C7"/>
    <w:rsid w:val="00DA6574"/>
    <w:rsid w:val="00DA6F3F"/>
    <w:rsid w:val="00DB2E40"/>
    <w:rsid w:val="00DB3353"/>
    <w:rsid w:val="00DB339A"/>
    <w:rsid w:val="00DB37FD"/>
    <w:rsid w:val="00DB499A"/>
    <w:rsid w:val="00DB53EB"/>
    <w:rsid w:val="00DB6498"/>
    <w:rsid w:val="00DB685D"/>
    <w:rsid w:val="00DB6A78"/>
    <w:rsid w:val="00DC0A86"/>
    <w:rsid w:val="00DC16CC"/>
    <w:rsid w:val="00DC2981"/>
    <w:rsid w:val="00DC3F91"/>
    <w:rsid w:val="00DD0C1E"/>
    <w:rsid w:val="00DD1419"/>
    <w:rsid w:val="00DD15B6"/>
    <w:rsid w:val="00DD2D39"/>
    <w:rsid w:val="00DD399A"/>
    <w:rsid w:val="00DD707B"/>
    <w:rsid w:val="00DD7384"/>
    <w:rsid w:val="00DD74BE"/>
    <w:rsid w:val="00DE083F"/>
    <w:rsid w:val="00DE53D8"/>
    <w:rsid w:val="00DE5787"/>
    <w:rsid w:val="00DE7675"/>
    <w:rsid w:val="00DF07AB"/>
    <w:rsid w:val="00DF17D2"/>
    <w:rsid w:val="00DF2366"/>
    <w:rsid w:val="00DF2716"/>
    <w:rsid w:val="00DF3BCD"/>
    <w:rsid w:val="00DF40C8"/>
    <w:rsid w:val="00DF5B49"/>
    <w:rsid w:val="00DF61D9"/>
    <w:rsid w:val="00DF7DD6"/>
    <w:rsid w:val="00E0011C"/>
    <w:rsid w:val="00E001B4"/>
    <w:rsid w:val="00E0057B"/>
    <w:rsid w:val="00E016A6"/>
    <w:rsid w:val="00E0173C"/>
    <w:rsid w:val="00E0201D"/>
    <w:rsid w:val="00E0307B"/>
    <w:rsid w:val="00E035F8"/>
    <w:rsid w:val="00E03F73"/>
    <w:rsid w:val="00E053D2"/>
    <w:rsid w:val="00E06845"/>
    <w:rsid w:val="00E0696A"/>
    <w:rsid w:val="00E07CD1"/>
    <w:rsid w:val="00E07F6A"/>
    <w:rsid w:val="00E07F7B"/>
    <w:rsid w:val="00E10890"/>
    <w:rsid w:val="00E12891"/>
    <w:rsid w:val="00E130FA"/>
    <w:rsid w:val="00E144CC"/>
    <w:rsid w:val="00E15BF1"/>
    <w:rsid w:val="00E15C5B"/>
    <w:rsid w:val="00E17B9D"/>
    <w:rsid w:val="00E20E96"/>
    <w:rsid w:val="00E25B24"/>
    <w:rsid w:val="00E26DEC"/>
    <w:rsid w:val="00E27352"/>
    <w:rsid w:val="00E27539"/>
    <w:rsid w:val="00E27890"/>
    <w:rsid w:val="00E27A52"/>
    <w:rsid w:val="00E30D97"/>
    <w:rsid w:val="00E33041"/>
    <w:rsid w:val="00E34127"/>
    <w:rsid w:val="00E34361"/>
    <w:rsid w:val="00E34597"/>
    <w:rsid w:val="00E36A96"/>
    <w:rsid w:val="00E375B1"/>
    <w:rsid w:val="00E412EE"/>
    <w:rsid w:val="00E43880"/>
    <w:rsid w:val="00E44060"/>
    <w:rsid w:val="00E4579E"/>
    <w:rsid w:val="00E46C03"/>
    <w:rsid w:val="00E479B7"/>
    <w:rsid w:val="00E51913"/>
    <w:rsid w:val="00E52DDA"/>
    <w:rsid w:val="00E54D9E"/>
    <w:rsid w:val="00E54E73"/>
    <w:rsid w:val="00E5594A"/>
    <w:rsid w:val="00E56B19"/>
    <w:rsid w:val="00E6000D"/>
    <w:rsid w:val="00E600FC"/>
    <w:rsid w:val="00E6165E"/>
    <w:rsid w:val="00E61DF7"/>
    <w:rsid w:val="00E6271C"/>
    <w:rsid w:val="00E701D0"/>
    <w:rsid w:val="00E708EC"/>
    <w:rsid w:val="00E71F1D"/>
    <w:rsid w:val="00E729E8"/>
    <w:rsid w:val="00E72C72"/>
    <w:rsid w:val="00E73075"/>
    <w:rsid w:val="00E765E9"/>
    <w:rsid w:val="00E806BC"/>
    <w:rsid w:val="00E84BDB"/>
    <w:rsid w:val="00E85FDE"/>
    <w:rsid w:val="00E86ACC"/>
    <w:rsid w:val="00E8740C"/>
    <w:rsid w:val="00E9046F"/>
    <w:rsid w:val="00E9257E"/>
    <w:rsid w:val="00E92D51"/>
    <w:rsid w:val="00E932CC"/>
    <w:rsid w:val="00E9443F"/>
    <w:rsid w:val="00E94723"/>
    <w:rsid w:val="00E951C0"/>
    <w:rsid w:val="00E973AC"/>
    <w:rsid w:val="00E97A22"/>
    <w:rsid w:val="00EA0562"/>
    <w:rsid w:val="00EA1894"/>
    <w:rsid w:val="00EA18E9"/>
    <w:rsid w:val="00EA63D9"/>
    <w:rsid w:val="00EA7C1B"/>
    <w:rsid w:val="00EB3372"/>
    <w:rsid w:val="00EB373A"/>
    <w:rsid w:val="00EB63FE"/>
    <w:rsid w:val="00EC03BF"/>
    <w:rsid w:val="00EC102F"/>
    <w:rsid w:val="00EC16B3"/>
    <w:rsid w:val="00EC2145"/>
    <w:rsid w:val="00EC3FB5"/>
    <w:rsid w:val="00EC5F2B"/>
    <w:rsid w:val="00EC7F18"/>
    <w:rsid w:val="00ED11A7"/>
    <w:rsid w:val="00ED4A6A"/>
    <w:rsid w:val="00ED55BC"/>
    <w:rsid w:val="00ED7172"/>
    <w:rsid w:val="00EE0262"/>
    <w:rsid w:val="00EE0E26"/>
    <w:rsid w:val="00EE15A4"/>
    <w:rsid w:val="00EE5976"/>
    <w:rsid w:val="00EF1AF6"/>
    <w:rsid w:val="00EF394C"/>
    <w:rsid w:val="00EF43C6"/>
    <w:rsid w:val="00EF5821"/>
    <w:rsid w:val="00EF7B23"/>
    <w:rsid w:val="00F0117D"/>
    <w:rsid w:val="00F02104"/>
    <w:rsid w:val="00F03E69"/>
    <w:rsid w:val="00F055F8"/>
    <w:rsid w:val="00F065A1"/>
    <w:rsid w:val="00F06B13"/>
    <w:rsid w:val="00F101A5"/>
    <w:rsid w:val="00F12B4F"/>
    <w:rsid w:val="00F13D4E"/>
    <w:rsid w:val="00F14288"/>
    <w:rsid w:val="00F15C16"/>
    <w:rsid w:val="00F160CC"/>
    <w:rsid w:val="00F20844"/>
    <w:rsid w:val="00F21CEC"/>
    <w:rsid w:val="00F23FE9"/>
    <w:rsid w:val="00F2425E"/>
    <w:rsid w:val="00F2668C"/>
    <w:rsid w:val="00F273E5"/>
    <w:rsid w:val="00F32758"/>
    <w:rsid w:val="00F327BD"/>
    <w:rsid w:val="00F33195"/>
    <w:rsid w:val="00F358C6"/>
    <w:rsid w:val="00F35DC5"/>
    <w:rsid w:val="00F367C1"/>
    <w:rsid w:val="00F37114"/>
    <w:rsid w:val="00F375D5"/>
    <w:rsid w:val="00F4422D"/>
    <w:rsid w:val="00F442EE"/>
    <w:rsid w:val="00F4475A"/>
    <w:rsid w:val="00F44AC8"/>
    <w:rsid w:val="00F50CED"/>
    <w:rsid w:val="00F51EAF"/>
    <w:rsid w:val="00F5350B"/>
    <w:rsid w:val="00F55137"/>
    <w:rsid w:val="00F5589B"/>
    <w:rsid w:val="00F5646B"/>
    <w:rsid w:val="00F564AF"/>
    <w:rsid w:val="00F63C5D"/>
    <w:rsid w:val="00F648BC"/>
    <w:rsid w:val="00F65C63"/>
    <w:rsid w:val="00F66071"/>
    <w:rsid w:val="00F66881"/>
    <w:rsid w:val="00F679B4"/>
    <w:rsid w:val="00F67D62"/>
    <w:rsid w:val="00F72923"/>
    <w:rsid w:val="00F72A83"/>
    <w:rsid w:val="00F73561"/>
    <w:rsid w:val="00F747E9"/>
    <w:rsid w:val="00F75B25"/>
    <w:rsid w:val="00F76C99"/>
    <w:rsid w:val="00F804A0"/>
    <w:rsid w:val="00F805AF"/>
    <w:rsid w:val="00F80F32"/>
    <w:rsid w:val="00F8212F"/>
    <w:rsid w:val="00F821D2"/>
    <w:rsid w:val="00F8423A"/>
    <w:rsid w:val="00F84D44"/>
    <w:rsid w:val="00F86110"/>
    <w:rsid w:val="00F90453"/>
    <w:rsid w:val="00F9073C"/>
    <w:rsid w:val="00F90C54"/>
    <w:rsid w:val="00F92D3B"/>
    <w:rsid w:val="00F93C32"/>
    <w:rsid w:val="00F956B0"/>
    <w:rsid w:val="00F965BD"/>
    <w:rsid w:val="00FA0244"/>
    <w:rsid w:val="00FA149D"/>
    <w:rsid w:val="00FA207E"/>
    <w:rsid w:val="00FA20DF"/>
    <w:rsid w:val="00FA2294"/>
    <w:rsid w:val="00FA24C1"/>
    <w:rsid w:val="00FA2790"/>
    <w:rsid w:val="00FA42F0"/>
    <w:rsid w:val="00FA59CA"/>
    <w:rsid w:val="00FA5F90"/>
    <w:rsid w:val="00FA5FDB"/>
    <w:rsid w:val="00FA6513"/>
    <w:rsid w:val="00FA72F4"/>
    <w:rsid w:val="00FA7C14"/>
    <w:rsid w:val="00FB1E9F"/>
    <w:rsid w:val="00FB3938"/>
    <w:rsid w:val="00FB5624"/>
    <w:rsid w:val="00FB6B1B"/>
    <w:rsid w:val="00FB7800"/>
    <w:rsid w:val="00FC0FC1"/>
    <w:rsid w:val="00FC0FF6"/>
    <w:rsid w:val="00FC3760"/>
    <w:rsid w:val="00FC3ABC"/>
    <w:rsid w:val="00FC3E50"/>
    <w:rsid w:val="00FC40E5"/>
    <w:rsid w:val="00FC498E"/>
    <w:rsid w:val="00FC6EEA"/>
    <w:rsid w:val="00FC7AAE"/>
    <w:rsid w:val="00FD0471"/>
    <w:rsid w:val="00FD1088"/>
    <w:rsid w:val="00FD1CC4"/>
    <w:rsid w:val="00FD2AE9"/>
    <w:rsid w:val="00FD4BAD"/>
    <w:rsid w:val="00FE0B49"/>
    <w:rsid w:val="00FE0F68"/>
    <w:rsid w:val="00FE3604"/>
    <w:rsid w:val="00FE4B35"/>
    <w:rsid w:val="00FE76EB"/>
    <w:rsid w:val="00FF03A3"/>
    <w:rsid w:val="00FF10AF"/>
    <w:rsid w:val="00FF1221"/>
    <w:rsid w:val="00FF375A"/>
    <w:rsid w:val="00FF4BA9"/>
    <w:rsid w:val="00FF6EB4"/>
    <w:rsid w:val="00FF71FF"/>
    <w:rsid w:val="01CEC757"/>
    <w:rsid w:val="07DB7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7AD1842"/>
  <w15:chartTrackingRefBased/>
  <w15:docId w15:val="{E83D3C62-79E5-4C43-B170-D3FC06CBD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1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23110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3110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231103"/>
    <w:rPr>
      <w:vertAlign w:val="superscript"/>
    </w:rPr>
  </w:style>
  <w:style w:type="table" w:styleId="TableGrid">
    <w:name w:val="Table Grid"/>
    <w:basedOn w:val="TableNormal"/>
    <w:uiPriority w:val="39"/>
    <w:rsid w:val="002311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464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645C"/>
  </w:style>
  <w:style w:type="paragraph" w:styleId="NoSpacing">
    <w:name w:val="No Spacing"/>
    <w:uiPriority w:val="1"/>
    <w:qFormat/>
    <w:rsid w:val="0004645C"/>
    <w:pPr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00BB0F4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C12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C125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C125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12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1253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223EB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D223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23EB"/>
  </w:style>
  <w:style w:type="paragraph" w:styleId="BalloonText">
    <w:name w:val="Balloon Text"/>
    <w:basedOn w:val="Normal"/>
    <w:link w:val="BalloonTextChar"/>
    <w:uiPriority w:val="99"/>
    <w:semiHidden/>
    <w:unhideWhenUsed/>
    <w:rsid w:val="00567A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7A48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055F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E030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1"/>
    <w:rsid w:val="00E0307B"/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  <w:rsid w:val="00E030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xmsonormal">
    <w:name w:val="x_msonormal"/>
    <w:basedOn w:val="Normal"/>
    <w:rsid w:val="00C048DB"/>
    <w:pPr>
      <w:spacing w:after="0" w:line="240" w:lineRule="auto"/>
    </w:pPr>
    <w:rPr>
      <w:rFonts w:ascii="Calibr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6325B1"/>
    <w:rPr>
      <w:color w:val="605E5C"/>
      <w:shd w:val="clear" w:color="auto" w:fill="E1DFDD"/>
    </w:rPr>
  </w:style>
  <w:style w:type="character" w:customStyle="1" w:styleId="cf01">
    <w:name w:val="cf01"/>
    <w:basedOn w:val="DefaultParagraphFont"/>
    <w:rsid w:val="00D51950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"/>
    <w:rsid w:val="00F15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CD1315"/>
    <w:pPr>
      <w:spacing w:after="0" w:line="240" w:lineRule="auto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344DAC"/>
  </w:style>
  <w:style w:type="paragraph" w:customStyle="1" w:styleId="Default">
    <w:name w:val="Default"/>
    <w:rsid w:val="007B689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A06D8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3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4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6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PH.DON@State.MA.U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FCC5F2C8880F45B59EA6BBBA4E1A66" ma:contentTypeVersion="9" ma:contentTypeDescription="Create a new document." ma:contentTypeScope="" ma:versionID="6034ed3ccd04fd089959b9760f1bf6e4">
  <xsd:schema xmlns:xsd="http://www.w3.org/2001/XMLSchema" xmlns:xs="http://www.w3.org/2001/XMLSchema" xmlns:p="http://schemas.microsoft.com/office/2006/metadata/properties" xmlns:ns2="fb1e1941-e971-4fcd-9647-5c92aa44abc0" xmlns:ns3="c5e887a9-3264-4a11-98fe-00f96354db3e" targetNamespace="http://schemas.microsoft.com/office/2006/metadata/properties" ma:root="true" ma:fieldsID="e1569c82de055a1f5a51e24a78a393fd" ns2:_="" ns3:_="">
    <xsd:import namespace="fb1e1941-e971-4fcd-9647-5c92aa44abc0"/>
    <xsd:import namespace="c5e887a9-3264-4a11-98fe-00f96354db3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1e1941-e971-4fcd-9647-5c92aa44abc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887a9-3264-4a11-98fe-00f96354db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501DF7D-3AB0-486D-B7B5-24625E164B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9EFB92-AB3E-4650-B87D-2F7432D342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1e1941-e971-4fcd-9647-5c92aa44abc0"/>
    <ds:schemaRef ds:uri="c5e887a9-3264-4a11-98fe-00f96354db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481688-260E-4C70-9CB3-828486135F3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B6414E6-33A8-411E-B2D8-218C7B6E1D5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2500</Words>
  <Characters>14252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</dc:creator>
  <cp:keywords/>
  <dc:description/>
  <cp:lastModifiedBy>Marks, Brett (DPH)</cp:lastModifiedBy>
  <cp:revision>4</cp:revision>
  <cp:lastPrinted>2024-03-21T17:09:00Z</cp:lastPrinted>
  <dcterms:created xsi:type="dcterms:W3CDTF">2024-03-21T20:43:00Z</dcterms:created>
  <dcterms:modified xsi:type="dcterms:W3CDTF">2024-03-28T12:53:00Z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0x01010041FCC5F2C8880F45B59EA6BBBA4E1A66</vt:lpwstr>
  </property>
  <property fmtid="{D5CDD505-2E9C-101B-9397-08002B2CF9AE}" pid="3" name="GrammarlyDocumentId">
    <vt:lpwstr>de37813ee2018a12aaff9117a0e338525c4de374b0ab5be1ad8d76cf66efc964</vt:lpwstr>
  </property>
</Properties>
</file>