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601F" w14:textId="5CA43649" w:rsidR="00D223EB" w:rsidRPr="00507EB3" w:rsidRDefault="00D223EB" w:rsidP="00507EB3">
      <w:pPr>
        <w:spacing w:after="120" w:line="240" w:lineRule="auto"/>
        <w:jc w:val="center"/>
        <w:rPr>
          <w:b/>
          <w:bCs/>
        </w:rPr>
      </w:pPr>
      <w:r w:rsidRPr="00507EB3">
        <w:rPr>
          <w:b/>
          <w:bCs/>
        </w:rPr>
        <w:t xml:space="preserve">APPLICANT </w:t>
      </w:r>
      <w:r w:rsidR="00507EB3">
        <w:rPr>
          <w:b/>
          <w:bCs/>
        </w:rPr>
        <w:t>RESPONSES</w:t>
      </w:r>
      <w:r w:rsidR="00026B6F" w:rsidRPr="00507EB3">
        <w:rPr>
          <w:b/>
          <w:bCs/>
        </w:rPr>
        <w:t xml:space="preserve"> </w:t>
      </w:r>
      <w:r w:rsidR="00C6753A" w:rsidRPr="00507EB3">
        <w:rPr>
          <w:b/>
          <w:bCs/>
        </w:rPr>
        <w:t>2</w:t>
      </w:r>
    </w:p>
    <w:p w14:paraId="71F6355D" w14:textId="0EB083F5" w:rsidR="00D223EB" w:rsidRPr="00507EB3" w:rsidRDefault="00D223EB" w:rsidP="00507EB3">
      <w:pPr>
        <w:spacing w:after="120" w:line="240" w:lineRule="auto"/>
        <w:jc w:val="center"/>
        <w:rPr>
          <w:rFonts w:cstheme="minorHAnsi"/>
        </w:rPr>
      </w:pPr>
      <w:r w:rsidRPr="00507EB3">
        <w:rPr>
          <w:rFonts w:cstheme="minorHAnsi"/>
          <w:i/>
          <w:iCs/>
        </w:rPr>
        <w:t xml:space="preserve">Responses should be sent to DoN staff at </w:t>
      </w:r>
      <w:hyperlink r:id="rId7" w:history="1">
        <w:r w:rsidR="005C4EB9" w:rsidRPr="00507EB3">
          <w:rPr>
            <w:rStyle w:val="Hyperlink"/>
            <w:rFonts w:cstheme="minorHAnsi"/>
            <w:color w:val="auto"/>
          </w:rPr>
          <w:t>DPH.DON@mass.gov</w:t>
        </w:r>
      </w:hyperlink>
    </w:p>
    <w:tbl>
      <w:tblPr>
        <w:tblStyle w:val="TableGrid"/>
        <w:tblW w:w="0" w:type="auto"/>
        <w:jc w:val="center"/>
        <w:tblLook w:val="04A0" w:firstRow="1" w:lastRow="0" w:firstColumn="1" w:lastColumn="0" w:noHBand="0" w:noVBand="1"/>
      </w:tblPr>
      <w:tblGrid>
        <w:gridCol w:w="9350"/>
      </w:tblGrid>
      <w:tr w:rsidR="00D223EB" w:rsidRPr="00507EB3" w14:paraId="57106F2B" w14:textId="77777777">
        <w:trPr>
          <w:jc w:val="center"/>
        </w:trPr>
        <w:tc>
          <w:tcPr>
            <w:tcW w:w="9350" w:type="dxa"/>
          </w:tcPr>
          <w:p w14:paraId="0D6A2228" w14:textId="77777777" w:rsidR="00D223EB" w:rsidRPr="00507EB3" w:rsidRDefault="00D223EB" w:rsidP="00970783">
            <w:pPr>
              <w:rPr>
                <w:rFonts w:cstheme="minorHAnsi"/>
                <w:bCs/>
              </w:rPr>
            </w:pPr>
            <w:proofErr w:type="gramStart"/>
            <w:r w:rsidRPr="00507EB3">
              <w:rPr>
                <w:rFonts w:cstheme="minorHAnsi"/>
                <w:bCs/>
              </w:rPr>
              <w:t>While</w:t>
            </w:r>
            <w:proofErr w:type="gramEnd"/>
            <w:r w:rsidRPr="00507EB3">
              <w:rPr>
                <w:rFonts w:cstheme="minorHAnsi"/>
                <w:bCs/>
              </w:rPr>
              <w:t xml:space="preserve"> you may submit each answer as available, please </w:t>
            </w:r>
          </w:p>
          <w:p w14:paraId="3BAD0544" w14:textId="77777777" w:rsidR="00D223EB" w:rsidRPr="00507EB3" w:rsidRDefault="00D223EB" w:rsidP="00970783">
            <w:pPr>
              <w:pStyle w:val="ListParagraph"/>
              <w:numPr>
                <w:ilvl w:val="0"/>
                <w:numId w:val="1"/>
              </w:numPr>
              <w:contextualSpacing w:val="0"/>
              <w:rPr>
                <w:rFonts w:cstheme="minorHAnsi"/>
                <w:bCs/>
              </w:rPr>
            </w:pPr>
            <w:r w:rsidRPr="00507EB3">
              <w:rPr>
                <w:rFonts w:cstheme="minorHAnsi"/>
                <w:bCs/>
              </w:rPr>
              <w:t xml:space="preserve">List question number and question for each answer you provide </w:t>
            </w:r>
          </w:p>
          <w:p w14:paraId="77AFC609" w14:textId="1F813011" w:rsidR="00D223EB" w:rsidRPr="00507EB3" w:rsidRDefault="00D223EB" w:rsidP="00970783">
            <w:pPr>
              <w:pStyle w:val="ListParagraph"/>
              <w:numPr>
                <w:ilvl w:val="0"/>
                <w:numId w:val="1"/>
              </w:numPr>
              <w:contextualSpacing w:val="0"/>
              <w:rPr>
                <w:rFonts w:cstheme="minorHAnsi"/>
                <w:bCs/>
              </w:rPr>
            </w:pPr>
            <w:r w:rsidRPr="00507EB3">
              <w:rPr>
                <w:rFonts w:cstheme="minorHAnsi"/>
                <w:bCs/>
              </w:rPr>
              <w:t xml:space="preserve">Submit responses as a separate word document, using the above application title and number as a running header and page numbers in the footer </w:t>
            </w:r>
          </w:p>
          <w:p w14:paraId="2D4D3A49" w14:textId="7AF2D827" w:rsidR="00D223EB" w:rsidRPr="00507EB3" w:rsidRDefault="001E0B94" w:rsidP="00970783">
            <w:pPr>
              <w:pStyle w:val="ListParagraph"/>
              <w:numPr>
                <w:ilvl w:val="0"/>
                <w:numId w:val="1"/>
              </w:numPr>
              <w:contextualSpacing w:val="0"/>
              <w:rPr>
                <w:rFonts w:cstheme="minorHAnsi"/>
                <w:bCs/>
              </w:rPr>
            </w:pPr>
            <w:r w:rsidRPr="00507EB3">
              <w:rPr>
                <w:rFonts w:cstheme="minorHAnsi"/>
                <w:bCs/>
              </w:rPr>
              <w:t xml:space="preserve">We accept answers on a rolling </w:t>
            </w:r>
            <w:proofErr w:type="gramStart"/>
            <w:r w:rsidRPr="00507EB3">
              <w:rPr>
                <w:rFonts w:cstheme="minorHAnsi"/>
                <w:bCs/>
              </w:rPr>
              <w:t>basis</w:t>
            </w:r>
            <w:proofErr w:type="gramEnd"/>
            <w:r w:rsidRPr="00507EB3">
              <w:rPr>
                <w:rFonts w:cstheme="minorHAnsi"/>
                <w:bCs/>
              </w:rPr>
              <w:t xml:space="preserve"> however, w</w:t>
            </w:r>
            <w:r w:rsidR="00D223EB" w:rsidRPr="00507EB3">
              <w:rPr>
                <w:rFonts w:cstheme="minorHAnsi"/>
                <w:bCs/>
              </w:rPr>
              <w:t>hen providing the answer to the final question, submit all questions and answers in</w:t>
            </w:r>
            <w:r w:rsidRPr="00507EB3">
              <w:rPr>
                <w:rFonts w:cstheme="minorHAnsi"/>
                <w:bCs/>
              </w:rPr>
              <w:t xml:space="preserve"> order in</w:t>
            </w:r>
            <w:r w:rsidR="00D223EB" w:rsidRPr="00507EB3">
              <w:rPr>
                <w:rFonts w:cstheme="minorHAnsi"/>
                <w:bCs/>
              </w:rPr>
              <w:t xml:space="preserve"> one final document</w:t>
            </w:r>
            <w:r w:rsidRPr="00507EB3">
              <w:rPr>
                <w:rFonts w:cstheme="minorHAnsi"/>
                <w:bCs/>
              </w:rPr>
              <w:t>.</w:t>
            </w:r>
          </w:p>
          <w:p w14:paraId="552712FE" w14:textId="2E737CA2" w:rsidR="00D223EB" w:rsidRPr="00507EB3" w:rsidRDefault="00D223EB" w:rsidP="00970783">
            <w:pPr>
              <w:pStyle w:val="ListParagraph"/>
              <w:numPr>
                <w:ilvl w:val="0"/>
                <w:numId w:val="1"/>
              </w:numPr>
              <w:contextualSpacing w:val="0"/>
              <w:rPr>
                <w:rFonts w:cstheme="minorHAnsi"/>
                <w:b/>
              </w:rPr>
            </w:pPr>
            <w:r w:rsidRPr="00507EB3">
              <w:rPr>
                <w:rFonts w:cstheme="minorHAnsi"/>
                <w:bCs/>
              </w:rPr>
              <w:t xml:space="preserve">Submit responses in WORD or EXCEL; only use PDF’s if </w:t>
            </w:r>
            <w:proofErr w:type="gramStart"/>
            <w:r w:rsidRPr="00507EB3">
              <w:rPr>
                <w:rFonts w:cstheme="minorHAnsi"/>
                <w:bCs/>
              </w:rPr>
              <w:t>absolutely necessary</w:t>
            </w:r>
            <w:proofErr w:type="gramEnd"/>
            <w:r w:rsidRPr="00507EB3">
              <w:rPr>
                <w:rFonts w:cstheme="minorHAnsi"/>
                <w:bCs/>
              </w:rPr>
              <w:t xml:space="preserve">. </w:t>
            </w:r>
            <w:r w:rsidRPr="00507EB3">
              <w:rPr>
                <w:rFonts w:cstheme="minorHAnsi"/>
                <w:b/>
              </w:rPr>
              <w:t>Whenever possible, include a</w:t>
            </w:r>
            <w:r w:rsidR="001E0B94" w:rsidRPr="00507EB3">
              <w:rPr>
                <w:rFonts w:cstheme="minorHAnsi"/>
                <w:b/>
              </w:rPr>
              <w:t xml:space="preserve"> </w:t>
            </w:r>
            <w:r w:rsidRPr="00507EB3">
              <w:rPr>
                <w:rFonts w:cstheme="minorHAnsi"/>
                <w:b/>
              </w:rPr>
              <w:t>table</w:t>
            </w:r>
            <w:r w:rsidR="001E0B94" w:rsidRPr="00507EB3">
              <w:rPr>
                <w:rFonts w:cstheme="minorHAnsi"/>
                <w:b/>
              </w:rPr>
              <w:t xml:space="preserve"> in</w:t>
            </w:r>
            <w:r w:rsidRPr="00507EB3">
              <w:rPr>
                <w:rFonts w:cstheme="minorHAnsi"/>
                <w:b/>
              </w:rPr>
              <w:t xml:space="preserve"> </w:t>
            </w:r>
            <w:r w:rsidR="001E0B94" w:rsidRPr="00507EB3">
              <w:rPr>
                <w:rFonts w:cstheme="minorHAnsi"/>
                <w:b/>
              </w:rPr>
              <w:t xml:space="preserve">data format (NOT pdf or picture) </w:t>
            </w:r>
            <w:r w:rsidRPr="00507EB3">
              <w:rPr>
                <w:rFonts w:cstheme="minorHAnsi"/>
                <w:b/>
              </w:rPr>
              <w:t>with the response</w:t>
            </w:r>
            <w:r w:rsidR="001E0B94" w:rsidRPr="00507EB3">
              <w:rPr>
                <w:rFonts w:cstheme="minorHAnsi"/>
                <w:b/>
              </w:rPr>
              <w:t>.</w:t>
            </w:r>
          </w:p>
        </w:tc>
      </w:tr>
    </w:tbl>
    <w:p w14:paraId="2758094D" w14:textId="1C1631B9" w:rsidR="00032FF5" w:rsidRPr="00507EB3" w:rsidRDefault="00032FF5" w:rsidP="00507EB3">
      <w:pPr>
        <w:spacing w:after="120" w:line="240" w:lineRule="auto"/>
      </w:pPr>
    </w:p>
    <w:p w14:paraId="23F8BD40" w14:textId="14875032" w:rsidR="000D0D41" w:rsidRPr="00507EB3" w:rsidRDefault="00380E08" w:rsidP="00507EB3">
      <w:pPr>
        <w:spacing w:after="120" w:line="240" w:lineRule="auto"/>
        <w:rPr>
          <w:rFonts w:ascii="Aptos" w:hAnsi="Aptos"/>
        </w:rPr>
      </w:pPr>
      <w:proofErr w:type="gramStart"/>
      <w:r w:rsidRPr="00507EB3">
        <w:rPr>
          <w:rFonts w:ascii="Aptos" w:hAnsi="Aptos"/>
        </w:rPr>
        <w:t>In order for</w:t>
      </w:r>
      <w:proofErr w:type="gramEnd"/>
      <w:r w:rsidRPr="00507EB3">
        <w:rPr>
          <w:rFonts w:ascii="Aptos" w:hAnsi="Aptos"/>
        </w:rPr>
        <w:t xml:space="preserve"> us to review this project in a timely manner, pleas</w:t>
      </w:r>
      <w:r w:rsidR="00684458" w:rsidRPr="00507EB3">
        <w:rPr>
          <w:rFonts w:ascii="Aptos" w:hAnsi="Aptos"/>
        </w:rPr>
        <w:t>e</w:t>
      </w:r>
      <w:r w:rsidRPr="00507EB3">
        <w:rPr>
          <w:rFonts w:ascii="Aptos" w:hAnsi="Aptos"/>
        </w:rPr>
        <w:t xml:space="preserve"> provide the responses by </w:t>
      </w:r>
      <w:r w:rsidR="008434C8" w:rsidRPr="00507EB3">
        <w:rPr>
          <w:rFonts w:ascii="Aptos" w:hAnsi="Aptos"/>
          <w:b/>
          <w:bCs/>
        </w:rPr>
        <w:t>December 1</w:t>
      </w:r>
      <w:r w:rsidR="00D32B11" w:rsidRPr="00507EB3">
        <w:rPr>
          <w:rFonts w:ascii="Aptos" w:hAnsi="Aptos"/>
          <w:b/>
          <w:bCs/>
        </w:rPr>
        <w:t>, 2025</w:t>
      </w:r>
      <w:r w:rsidRPr="00507EB3">
        <w:rPr>
          <w:rFonts w:ascii="Aptos" w:hAnsi="Aptos"/>
        </w:rPr>
        <w:t>.</w:t>
      </w:r>
    </w:p>
    <w:p w14:paraId="3D7BE39D" w14:textId="77777777" w:rsidR="00507EB3" w:rsidRDefault="004A09D4" w:rsidP="009F5F55">
      <w:pPr>
        <w:pStyle w:val="Heading1"/>
      </w:pPr>
      <w:r w:rsidRPr="00507EB3">
        <w:t xml:space="preserve">Does the Applicant anticipate </w:t>
      </w:r>
      <w:r w:rsidR="000503D8" w:rsidRPr="00507EB3">
        <w:t xml:space="preserve">any collateral alleviation of </w:t>
      </w:r>
      <w:r w:rsidR="00B52DAC" w:rsidRPr="00507EB3">
        <w:t xml:space="preserve">endoscopy backlog </w:t>
      </w:r>
      <w:r w:rsidR="000503D8" w:rsidRPr="00507EB3">
        <w:t xml:space="preserve">at </w:t>
      </w:r>
      <w:r w:rsidR="00B52DAC" w:rsidRPr="00507EB3">
        <w:t xml:space="preserve">any </w:t>
      </w:r>
      <w:r w:rsidR="000503D8" w:rsidRPr="00507EB3">
        <w:t xml:space="preserve">other </w:t>
      </w:r>
      <w:r w:rsidR="00B52DAC" w:rsidRPr="00507EB3">
        <w:t xml:space="preserve">MGB </w:t>
      </w:r>
      <w:r w:rsidR="000503D8" w:rsidRPr="00507EB3">
        <w:t xml:space="preserve">hospitals </w:t>
      </w:r>
      <w:r w:rsidR="00B52DAC" w:rsidRPr="00507EB3">
        <w:t xml:space="preserve">or </w:t>
      </w:r>
      <w:r w:rsidR="000503D8" w:rsidRPr="00507EB3">
        <w:t xml:space="preserve">just the Academic Medical Centers? </w:t>
      </w:r>
    </w:p>
    <w:p w14:paraId="13C1A490" w14:textId="12D38825" w:rsidR="008434C8" w:rsidRPr="00507EB3" w:rsidRDefault="00507EB3" w:rsidP="00507EB3">
      <w:pPr>
        <w:pStyle w:val="ListParagraph"/>
        <w:spacing w:after="120" w:line="240" w:lineRule="auto"/>
        <w:contextualSpacing w:val="0"/>
        <w:rPr>
          <w:rFonts w:ascii="Aptos" w:hAnsi="Aptos"/>
          <w:b/>
          <w:bCs/>
        </w:rPr>
      </w:pPr>
      <w:r w:rsidRPr="009C39D0">
        <w:rPr>
          <w:rFonts w:ascii="Aptos" w:hAnsi="Aptos"/>
        </w:rPr>
        <w:t xml:space="preserve">The primary goal of the Proposed Project is to shift volume from MGB’s AMCs to the ASC. The Proposed Project is part of larger objective </w:t>
      </w:r>
      <w:r w:rsidR="00C50524" w:rsidRPr="009C39D0">
        <w:rPr>
          <w:rFonts w:ascii="Aptos" w:hAnsi="Aptos"/>
        </w:rPr>
        <w:t>to alleviate the system-wide backlog of endoscopy procedures.</w:t>
      </w:r>
      <w:r w:rsidR="00C50524" w:rsidRPr="00507EB3">
        <w:rPr>
          <w:rFonts w:ascii="Aptos" w:hAnsi="Aptos"/>
        </w:rPr>
        <w:t xml:space="preserve"> </w:t>
      </w:r>
    </w:p>
    <w:p w14:paraId="7428E495" w14:textId="77777777" w:rsidR="00507EB3" w:rsidRDefault="006555AB" w:rsidP="009F5F55">
      <w:pPr>
        <w:pStyle w:val="Heading1"/>
      </w:pPr>
      <w:r w:rsidRPr="00507EB3">
        <w:t>Please explain whether</w:t>
      </w:r>
      <w:r w:rsidR="00403118" w:rsidRPr="00507EB3">
        <w:t xml:space="preserve"> a lack of capacity at MGB’s community hospitals and other outpatient locations </w:t>
      </w:r>
      <w:proofErr w:type="gramStart"/>
      <w:r w:rsidR="00403118" w:rsidRPr="00507EB3">
        <w:t>act</w:t>
      </w:r>
      <w:proofErr w:type="gramEnd"/>
      <w:r w:rsidR="00403118" w:rsidRPr="00507EB3">
        <w:t xml:space="preserve"> </w:t>
      </w:r>
      <w:r w:rsidR="00541395" w:rsidRPr="00507EB3">
        <w:t xml:space="preserve">as </w:t>
      </w:r>
      <w:r w:rsidR="00403118" w:rsidRPr="00507EB3">
        <w:t>a barrier to help decant endos</w:t>
      </w:r>
      <w:r w:rsidRPr="00507EB3">
        <w:t>copy</w:t>
      </w:r>
      <w:r w:rsidR="00403118" w:rsidRPr="00507EB3">
        <w:t xml:space="preserve"> from </w:t>
      </w:r>
      <w:r w:rsidRPr="00507EB3">
        <w:t xml:space="preserve">the </w:t>
      </w:r>
      <w:r w:rsidR="00403118" w:rsidRPr="00507EB3">
        <w:t>AMCs</w:t>
      </w:r>
      <w:r w:rsidRPr="00507EB3">
        <w:t>.</w:t>
      </w:r>
      <w:r w:rsidR="000167B3" w:rsidRPr="00507EB3">
        <w:t xml:space="preserve"> </w:t>
      </w:r>
    </w:p>
    <w:p w14:paraId="792D8BC7" w14:textId="54D7C18B" w:rsidR="00B52DAC" w:rsidRPr="00507EB3" w:rsidRDefault="00C50524" w:rsidP="00507EB3">
      <w:pPr>
        <w:pStyle w:val="ListParagraph"/>
        <w:spacing w:after="120" w:line="240" w:lineRule="auto"/>
        <w:contextualSpacing w:val="0"/>
        <w:rPr>
          <w:rFonts w:ascii="Aptos" w:hAnsi="Aptos"/>
          <w:b/>
          <w:bCs/>
        </w:rPr>
      </w:pPr>
      <w:r w:rsidRPr="00507EB3">
        <w:rPr>
          <w:rFonts w:ascii="Aptos" w:hAnsi="Aptos"/>
        </w:rPr>
        <w:t xml:space="preserve">Yes, there are capacity constraints at all MGB locations which prevents the AMCs from shifting volume. </w:t>
      </w:r>
    </w:p>
    <w:p w14:paraId="5FBE10D1" w14:textId="4B4E2CF1" w:rsidR="00CA280B" w:rsidRPr="00507EB3" w:rsidRDefault="001C4F45" w:rsidP="009F5F55">
      <w:pPr>
        <w:pStyle w:val="Heading1"/>
      </w:pPr>
      <w:r w:rsidRPr="00507EB3">
        <w:t>At the bottom of page 2 of the Narrative</w:t>
      </w:r>
      <w:r w:rsidR="00A21B40" w:rsidRPr="00507EB3">
        <w:t xml:space="preserve">, the Applicant describes </w:t>
      </w:r>
      <w:r w:rsidR="00B2238E" w:rsidRPr="00507EB3">
        <w:t xml:space="preserve">the towns with the highest need for </w:t>
      </w:r>
      <w:r w:rsidR="0026280C" w:rsidRPr="00507EB3">
        <w:t xml:space="preserve">outpatient endoscopy and </w:t>
      </w:r>
      <w:r w:rsidR="00CA280B" w:rsidRPr="00507EB3">
        <w:t>receiving care at the MGB AMCs.</w:t>
      </w:r>
      <w:r w:rsidR="00C50524" w:rsidRPr="00507EB3">
        <w:t xml:space="preserve"> </w:t>
      </w:r>
    </w:p>
    <w:p w14:paraId="35D616A0" w14:textId="77777777" w:rsidR="00507EB3" w:rsidRDefault="00CA280B" w:rsidP="00507EB3">
      <w:pPr>
        <w:pStyle w:val="ListParagraph"/>
        <w:numPr>
          <w:ilvl w:val="1"/>
          <w:numId w:val="4"/>
        </w:numPr>
        <w:spacing w:after="120" w:line="240" w:lineRule="auto"/>
        <w:contextualSpacing w:val="0"/>
        <w:rPr>
          <w:rFonts w:ascii="Aptos" w:hAnsi="Aptos"/>
          <w:b/>
          <w:bCs/>
        </w:rPr>
      </w:pPr>
      <w:r w:rsidRPr="00507EB3">
        <w:rPr>
          <w:rFonts w:ascii="Aptos" w:hAnsi="Aptos"/>
          <w:b/>
          <w:bCs/>
        </w:rPr>
        <w:t>Do the towns listed represent</w:t>
      </w:r>
      <w:r w:rsidR="00FE67BC" w:rsidRPr="00507EB3">
        <w:rPr>
          <w:rFonts w:ascii="Aptos" w:hAnsi="Aptos"/>
          <w:b/>
          <w:bCs/>
        </w:rPr>
        <w:t xml:space="preserve"> currently unmet need, or vastly delayed need </w:t>
      </w:r>
      <w:r w:rsidRPr="00507EB3">
        <w:rPr>
          <w:rFonts w:ascii="Aptos" w:hAnsi="Aptos"/>
          <w:b/>
          <w:bCs/>
        </w:rPr>
        <w:t>because the</w:t>
      </w:r>
      <w:r w:rsidR="00FE67BC" w:rsidRPr="00507EB3">
        <w:rPr>
          <w:rFonts w:ascii="Aptos" w:hAnsi="Aptos"/>
          <w:b/>
          <w:bCs/>
        </w:rPr>
        <w:t xml:space="preserve"> AMC is </w:t>
      </w:r>
      <w:r w:rsidRPr="00507EB3">
        <w:rPr>
          <w:rFonts w:ascii="Aptos" w:hAnsi="Aptos"/>
          <w:b/>
          <w:bCs/>
        </w:rPr>
        <w:t xml:space="preserve">currently </w:t>
      </w:r>
      <w:r w:rsidR="00FE67BC" w:rsidRPr="00507EB3">
        <w:rPr>
          <w:rFonts w:ascii="Aptos" w:hAnsi="Aptos"/>
          <w:b/>
          <w:bCs/>
        </w:rPr>
        <w:t xml:space="preserve">the only option? </w:t>
      </w:r>
    </w:p>
    <w:p w14:paraId="7BC124E6" w14:textId="633A97B3" w:rsidR="00CA280B" w:rsidRPr="00507EB3" w:rsidRDefault="00C50524" w:rsidP="00F57F6E">
      <w:pPr>
        <w:pStyle w:val="ListParagraph"/>
        <w:spacing w:after="120" w:line="240" w:lineRule="auto"/>
        <w:ind w:left="1440"/>
        <w:contextualSpacing w:val="0"/>
        <w:jc w:val="both"/>
        <w:rPr>
          <w:rFonts w:ascii="Aptos" w:hAnsi="Aptos"/>
          <w:b/>
          <w:bCs/>
        </w:rPr>
      </w:pPr>
      <w:r w:rsidRPr="009C39D0">
        <w:rPr>
          <w:rFonts w:ascii="Aptos" w:hAnsi="Aptos"/>
        </w:rPr>
        <w:t>The towns</w:t>
      </w:r>
      <w:r w:rsidR="00507EB3" w:rsidRPr="009C39D0">
        <w:rPr>
          <w:rFonts w:ascii="Aptos" w:hAnsi="Aptos"/>
        </w:rPr>
        <w:t xml:space="preserve"> listed</w:t>
      </w:r>
      <w:r w:rsidRPr="009C39D0">
        <w:rPr>
          <w:rFonts w:ascii="Aptos" w:hAnsi="Aptos"/>
        </w:rPr>
        <w:t xml:space="preserve"> represent </w:t>
      </w:r>
      <w:r w:rsidR="00507EB3" w:rsidRPr="009C39D0">
        <w:rPr>
          <w:rFonts w:ascii="Aptos" w:hAnsi="Aptos"/>
        </w:rPr>
        <w:t>the highest need for endoscopy at the AMCs based on</w:t>
      </w:r>
      <w:r w:rsidR="00C55E58" w:rsidRPr="009C39D0">
        <w:rPr>
          <w:rFonts w:ascii="Aptos" w:hAnsi="Aptos"/>
        </w:rPr>
        <w:t xml:space="preserve"> </w:t>
      </w:r>
      <w:r w:rsidR="00F57F6E" w:rsidRPr="009C39D0">
        <w:rPr>
          <w:rFonts w:ascii="Aptos" w:hAnsi="Aptos"/>
        </w:rPr>
        <w:t xml:space="preserve">historical volume and </w:t>
      </w:r>
      <w:r w:rsidR="00C55E58" w:rsidRPr="009C39D0">
        <w:rPr>
          <w:rFonts w:ascii="Aptos" w:hAnsi="Aptos"/>
        </w:rPr>
        <w:t>proximity to the proposed ASC</w:t>
      </w:r>
      <w:r w:rsidR="00507EB3" w:rsidRPr="009C39D0">
        <w:rPr>
          <w:rFonts w:ascii="Aptos" w:hAnsi="Aptos"/>
        </w:rPr>
        <w:t>.</w:t>
      </w:r>
      <w:r w:rsidRPr="009C39D0">
        <w:rPr>
          <w:rFonts w:ascii="Aptos" w:hAnsi="Aptos"/>
        </w:rPr>
        <w:t xml:space="preserve"> </w:t>
      </w:r>
      <w:r w:rsidR="00D34328" w:rsidRPr="009C39D0">
        <w:rPr>
          <w:rFonts w:ascii="Aptos" w:hAnsi="Aptos"/>
        </w:rPr>
        <w:t>T</w:t>
      </w:r>
      <w:r w:rsidR="00C55E58" w:rsidRPr="009C39D0">
        <w:rPr>
          <w:rFonts w:ascii="Aptos" w:hAnsi="Aptos"/>
        </w:rPr>
        <w:t xml:space="preserve">he current need for endoscopy </w:t>
      </w:r>
      <w:r w:rsidR="00D34328" w:rsidRPr="009C39D0">
        <w:rPr>
          <w:rFonts w:ascii="Aptos" w:hAnsi="Aptos"/>
        </w:rPr>
        <w:t xml:space="preserve">by MGB patients </w:t>
      </w:r>
      <w:r w:rsidR="00C55E58" w:rsidRPr="009C39D0">
        <w:rPr>
          <w:rFonts w:ascii="Aptos" w:hAnsi="Aptos"/>
        </w:rPr>
        <w:t>extends across the region because</w:t>
      </w:r>
      <w:r w:rsidRPr="009C39D0">
        <w:rPr>
          <w:rFonts w:ascii="Aptos" w:hAnsi="Aptos"/>
        </w:rPr>
        <w:t xml:space="preserve"> current capacity is insufficient to meet patient </w:t>
      </w:r>
      <w:proofErr w:type="gramStart"/>
      <w:r w:rsidRPr="009C39D0">
        <w:rPr>
          <w:rFonts w:ascii="Aptos" w:hAnsi="Aptos"/>
        </w:rPr>
        <w:t>need</w:t>
      </w:r>
      <w:proofErr w:type="gramEnd"/>
      <w:r w:rsidRPr="009C39D0">
        <w:rPr>
          <w:rFonts w:ascii="Aptos" w:hAnsi="Aptos"/>
        </w:rPr>
        <w:t>.</w:t>
      </w:r>
      <w:r w:rsidRPr="00507EB3">
        <w:rPr>
          <w:rFonts w:ascii="Aptos" w:hAnsi="Aptos"/>
          <w:b/>
          <w:bCs/>
          <w:i/>
          <w:iCs/>
        </w:rPr>
        <w:t xml:space="preserve"> </w:t>
      </w:r>
    </w:p>
    <w:p w14:paraId="2D33D727" w14:textId="77777777" w:rsidR="00507EB3" w:rsidRDefault="00FE67BC" w:rsidP="00507EB3">
      <w:pPr>
        <w:pStyle w:val="ListParagraph"/>
        <w:numPr>
          <w:ilvl w:val="1"/>
          <w:numId w:val="4"/>
        </w:numPr>
        <w:spacing w:after="120" w:line="240" w:lineRule="auto"/>
        <w:contextualSpacing w:val="0"/>
        <w:rPr>
          <w:rFonts w:ascii="Aptos" w:hAnsi="Aptos"/>
          <w:b/>
          <w:bCs/>
        </w:rPr>
      </w:pPr>
      <w:r w:rsidRPr="00507EB3">
        <w:rPr>
          <w:rFonts w:ascii="Aptos" w:hAnsi="Aptos"/>
          <w:b/>
          <w:bCs/>
        </w:rPr>
        <w:t>Is there capacity at Waltham or MGB community hospitals (e.g., NWH)</w:t>
      </w:r>
      <w:r w:rsidR="00CA280B" w:rsidRPr="00507EB3">
        <w:rPr>
          <w:rFonts w:ascii="Aptos" w:hAnsi="Aptos"/>
          <w:b/>
          <w:bCs/>
        </w:rPr>
        <w:t xml:space="preserve"> to </w:t>
      </w:r>
      <w:r w:rsidR="00AF34AC" w:rsidRPr="00507EB3">
        <w:rPr>
          <w:rFonts w:ascii="Aptos" w:hAnsi="Aptos"/>
          <w:b/>
          <w:bCs/>
        </w:rPr>
        <w:t>assist with the backlog in these areas</w:t>
      </w:r>
      <w:r w:rsidRPr="00507EB3">
        <w:rPr>
          <w:rFonts w:ascii="Aptos" w:hAnsi="Aptos"/>
          <w:b/>
          <w:bCs/>
        </w:rPr>
        <w:t>?</w:t>
      </w:r>
      <w:r w:rsidR="000167B3" w:rsidRPr="00507EB3">
        <w:rPr>
          <w:rFonts w:ascii="Aptos" w:hAnsi="Aptos"/>
          <w:b/>
          <w:bCs/>
        </w:rPr>
        <w:t xml:space="preserve"> </w:t>
      </w:r>
    </w:p>
    <w:p w14:paraId="0DE33290" w14:textId="43A6B653" w:rsidR="00FE67BC" w:rsidRPr="00507EB3" w:rsidRDefault="00C50524" w:rsidP="00507EB3">
      <w:pPr>
        <w:pStyle w:val="ListParagraph"/>
        <w:spacing w:after="120" w:line="240" w:lineRule="auto"/>
        <w:ind w:left="1440"/>
        <w:contextualSpacing w:val="0"/>
        <w:rPr>
          <w:rFonts w:ascii="Aptos" w:hAnsi="Aptos"/>
          <w:b/>
          <w:bCs/>
        </w:rPr>
      </w:pPr>
      <w:r w:rsidRPr="00507EB3">
        <w:rPr>
          <w:rFonts w:ascii="Aptos" w:hAnsi="Aptos"/>
        </w:rPr>
        <w:t>No</w:t>
      </w:r>
      <w:r w:rsidR="00E218D8">
        <w:rPr>
          <w:rFonts w:ascii="Aptos" w:hAnsi="Aptos"/>
        </w:rPr>
        <w:t xml:space="preserve">, capacity is not available at alternative MGB facilities to assist with the backlog. </w:t>
      </w:r>
      <w:r w:rsidRPr="00507EB3">
        <w:rPr>
          <w:rFonts w:ascii="Aptos" w:hAnsi="Aptos"/>
          <w:b/>
          <w:bCs/>
        </w:rPr>
        <w:t xml:space="preserve"> </w:t>
      </w:r>
    </w:p>
    <w:p w14:paraId="51A125CB" w14:textId="42AD9E02" w:rsidR="00AF34AC" w:rsidRPr="00507EB3" w:rsidRDefault="00403F89" w:rsidP="009F5F55">
      <w:pPr>
        <w:pStyle w:val="Heading1"/>
      </w:pPr>
      <w:r w:rsidRPr="00507EB3">
        <w:t>Please share the Applicant’s plan</w:t>
      </w:r>
      <w:r w:rsidR="0072480D" w:rsidRPr="00507EB3">
        <w:t xml:space="preserve"> to increase their </w:t>
      </w:r>
      <w:r w:rsidR="00B32ED5" w:rsidRPr="00507EB3">
        <w:t>Medicaid</w:t>
      </w:r>
      <w:r w:rsidR="0072480D" w:rsidRPr="00507EB3">
        <w:t xml:space="preserve"> patients</w:t>
      </w:r>
      <w:r w:rsidR="00B32ED5" w:rsidRPr="00507EB3">
        <w:t>.</w:t>
      </w:r>
    </w:p>
    <w:p w14:paraId="597BF642" w14:textId="577D19DB" w:rsidR="006E12D4" w:rsidRDefault="006E12D4" w:rsidP="00507EB3">
      <w:pPr>
        <w:pStyle w:val="ListParagraph"/>
        <w:spacing w:after="120" w:line="240" w:lineRule="auto"/>
        <w:contextualSpacing w:val="0"/>
        <w:rPr>
          <w:rFonts w:ascii="Aptos" w:hAnsi="Aptos"/>
        </w:rPr>
      </w:pPr>
      <w:r w:rsidRPr="00507EB3">
        <w:rPr>
          <w:rFonts w:ascii="Aptos" w:hAnsi="Aptos"/>
        </w:rPr>
        <w:t xml:space="preserve">The Applicant is a newly formed entity and does not currently have patients. When the Center opens, the Applicant will </w:t>
      </w:r>
      <w:r w:rsidR="00A16CE8" w:rsidRPr="00507EB3">
        <w:rPr>
          <w:rFonts w:ascii="Aptos" w:hAnsi="Aptos"/>
        </w:rPr>
        <w:t>accept Medicaid patients</w:t>
      </w:r>
      <w:r w:rsidR="000C0705" w:rsidRPr="00507EB3">
        <w:rPr>
          <w:rFonts w:ascii="Aptos" w:hAnsi="Aptos"/>
        </w:rPr>
        <w:t xml:space="preserve">. </w:t>
      </w:r>
    </w:p>
    <w:p w14:paraId="2EDAD448" w14:textId="77777777" w:rsidR="00D34328" w:rsidRPr="00507EB3" w:rsidRDefault="00D34328" w:rsidP="00507EB3">
      <w:pPr>
        <w:pStyle w:val="ListParagraph"/>
        <w:spacing w:after="120" w:line="240" w:lineRule="auto"/>
        <w:contextualSpacing w:val="0"/>
        <w:rPr>
          <w:rFonts w:ascii="Aptos" w:hAnsi="Aptos"/>
        </w:rPr>
      </w:pPr>
    </w:p>
    <w:p w14:paraId="50E5B9EE" w14:textId="49040AF8" w:rsidR="00935FF4" w:rsidRPr="00507EB3" w:rsidRDefault="00B3432C" w:rsidP="009F5F55">
      <w:pPr>
        <w:pStyle w:val="Heading1"/>
      </w:pPr>
      <w:r w:rsidRPr="00507EB3">
        <w:t xml:space="preserve">Approximately what percentage of the </w:t>
      </w:r>
      <w:r w:rsidR="0023798E" w:rsidRPr="00507EB3">
        <w:t xml:space="preserve">current </w:t>
      </w:r>
      <w:r w:rsidRPr="00507EB3">
        <w:t>backlog of outpatient endoscopy patients</w:t>
      </w:r>
      <w:r w:rsidR="00091A27" w:rsidRPr="00507EB3">
        <w:t xml:space="preserve"> are waiting for colonoscopies?</w:t>
      </w:r>
      <w:r w:rsidR="000167B3" w:rsidRPr="00507EB3">
        <w:t xml:space="preserve"> </w:t>
      </w:r>
    </w:p>
    <w:p w14:paraId="26DA7F48" w14:textId="1B03F9D6" w:rsidR="00317B21" w:rsidRPr="00507EB3" w:rsidRDefault="00317B21" w:rsidP="00507EB3">
      <w:pPr>
        <w:pStyle w:val="ListParagraph"/>
        <w:spacing w:after="120" w:line="240" w:lineRule="auto"/>
        <w:contextualSpacing w:val="0"/>
        <w:rPr>
          <w:rFonts w:ascii="Aptos" w:hAnsi="Aptos"/>
        </w:rPr>
      </w:pPr>
      <w:r w:rsidRPr="00507EB3">
        <w:rPr>
          <w:rFonts w:ascii="Aptos" w:hAnsi="Aptos"/>
        </w:rPr>
        <w:t>78% of the current backlog of endoscopy patients are waiting for colonoscopy.</w:t>
      </w:r>
    </w:p>
    <w:p w14:paraId="175C2CC8" w14:textId="6BADCA8F" w:rsidR="00091A27" w:rsidRPr="00507EB3" w:rsidRDefault="00FB7714" w:rsidP="009F5F55">
      <w:pPr>
        <w:pStyle w:val="Heading1"/>
      </w:pPr>
      <w:r w:rsidRPr="00507EB3">
        <w:lastRenderedPageBreak/>
        <w:t xml:space="preserve">Page 6 of the Narrative states, </w:t>
      </w:r>
      <w:r w:rsidR="008B75B8" w:rsidRPr="00507EB3">
        <w:t>“</w:t>
      </w:r>
      <w:r w:rsidRPr="00507EB3">
        <w:t>In FY2024, the MGB AMCs performed 35,195 endoscopy procedures, including 29,723 outpatient procedures.</w:t>
      </w:r>
      <w:r w:rsidR="008B75B8" w:rsidRPr="00507EB3">
        <w:t>”</w:t>
      </w:r>
      <w:r w:rsidR="00052729" w:rsidRPr="00507EB3">
        <w:t xml:space="preserve"> Page 7 of the Narrative states, “In FY2024, MGB and BWH performed 20,117 endoscopy procedures which could have been performed in an ASC.</w:t>
      </w:r>
      <w:r w:rsidR="008B75B8" w:rsidRPr="00507EB3">
        <w:t>”</w:t>
      </w:r>
      <w:r w:rsidR="003F616B" w:rsidRPr="00507EB3">
        <w:t xml:space="preserve"> </w:t>
      </w:r>
    </w:p>
    <w:p w14:paraId="027357EF" w14:textId="239C7201" w:rsidR="0049526B" w:rsidRPr="00D34328" w:rsidRDefault="003F616B" w:rsidP="00507EB3">
      <w:pPr>
        <w:pStyle w:val="ListParagraph"/>
        <w:numPr>
          <w:ilvl w:val="1"/>
          <w:numId w:val="4"/>
        </w:numPr>
        <w:spacing w:after="120" w:line="240" w:lineRule="auto"/>
        <w:contextualSpacing w:val="0"/>
        <w:rPr>
          <w:rFonts w:ascii="Aptos" w:hAnsi="Aptos"/>
          <w:b/>
          <w:bCs/>
        </w:rPr>
      </w:pPr>
      <w:r w:rsidRPr="00D34328">
        <w:rPr>
          <w:rFonts w:ascii="Aptos" w:hAnsi="Aptos"/>
          <w:b/>
          <w:bCs/>
        </w:rPr>
        <w:t xml:space="preserve">Please explain the difference in the number of outpatient procedures </w:t>
      </w:r>
      <w:proofErr w:type="gramStart"/>
      <w:r w:rsidRPr="00D34328">
        <w:rPr>
          <w:rFonts w:ascii="Aptos" w:hAnsi="Aptos"/>
          <w:b/>
          <w:bCs/>
        </w:rPr>
        <w:t>referenced?</w:t>
      </w:r>
      <w:proofErr w:type="gramEnd"/>
    </w:p>
    <w:p w14:paraId="56426FB6" w14:textId="77777777" w:rsidR="00D34328" w:rsidRDefault="00D34328" w:rsidP="00D34328">
      <w:pPr>
        <w:pStyle w:val="ListParagraph"/>
        <w:spacing w:after="120" w:line="240" w:lineRule="auto"/>
        <w:ind w:left="1440"/>
        <w:contextualSpacing w:val="0"/>
        <w:rPr>
          <w:rFonts w:ascii="Aptos" w:hAnsi="Aptos"/>
        </w:rPr>
      </w:pPr>
      <w:r w:rsidRPr="00D34328">
        <w:rPr>
          <w:rFonts w:ascii="Aptos" w:hAnsi="Aptos"/>
        </w:rPr>
        <w:t xml:space="preserve">The statement on page 6 refers to all endoscopy patients, while the statement on page 7 refers only to patients who could have had their endoscopy procedure in an ASC. Not all patients are clinically appropriate to have their outpatient procedures performed in an ASC and will continue to be treated in a hospital outpatient department. </w:t>
      </w:r>
    </w:p>
    <w:p w14:paraId="352263E9" w14:textId="76FF98AB" w:rsidR="003F616B" w:rsidRPr="00507EB3" w:rsidRDefault="003F616B" w:rsidP="00D34328">
      <w:pPr>
        <w:pStyle w:val="ListParagraph"/>
        <w:numPr>
          <w:ilvl w:val="1"/>
          <w:numId w:val="4"/>
        </w:numPr>
        <w:spacing w:after="120" w:line="240" w:lineRule="auto"/>
        <w:contextualSpacing w:val="0"/>
        <w:rPr>
          <w:rFonts w:ascii="Aptos" w:hAnsi="Aptos"/>
          <w:b/>
          <w:bCs/>
        </w:rPr>
      </w:pPr>
      <w:r w:rsidRPr="00507EB3">
        <w:rPr>
          <w:rFonts w:ascii="Aptos" w:hAnsi="Aptos"/>
          <w:b/>
          <w:bCs/>
        </w:rPr>
        <w:t>How many of the</w:t>
      </w:r>
      <w:r w:rsidR="008B75B8" w:rsidRPr="00507EB3">
        <w:rPr>
          <w:rFonts w:ascii="Aptos" w:hAnsi="Aptos"/>
          <w:b/>
          <w:bCs/>
        </w:rPr>
        <w:t xml:space="preserve"> outpatient endoscopy procedures that could have been performed in an ASC were colonoscopies?</w:t>
      </w:r>
    </w:p>
    <w:p w14:paraId="69D9CFC0" w14:textId="4D2480DB" w:rsidR="00317B21" w:rsidRPr="00507EB3" w:rsidRDefault="00317B21" w:rsidP="00507EB3">
      <w:pPr>
        <w:pStyle w:val="ListParagraph"/>
        <w:spacing w:after="120" w:line="240" w:lineRule="auto"/>
        <w:ind w:left="1440"/>
        <w:contextualSpacing w:val="0"/>
        <w:rPr>
          <w:rFonts w:ascii="Aptos" w:hAnsi="Aptos"/>
        </w:rPr>
      </w:pPr>
      <w:r w:rsidRPr="00507EB3">
        <w:rPr>
          <w:rFonts w:ascii="Aptos" w:hAnsi="Aptos"/>
        </w:rPr>
        <w:t>16,207 of the ASC-eligible endoscopy procedures were colonoscopies.</w:t>
      </w:r>
    </w:p>
    <w:p w14:paraId="1DE96EAF" w14:textId="60E11223" w:rsidR="008B75B8" w:rsidRPr="00507EB3" w:rsidRDefault="00202D16" w:rsidP="009F5F55">
      <w:pPr>
        <w:pStyle w:val="Heading1"/>
      </w:pPr>
      <w:bookmarkStart w:id="0" w:name="_Hlk214909178"/>
      <w:r w:rsidRPr="00507EB3">
        <w:t>Page 7 of the Narrative states that, “26,586 MGB patients are waiting for their endoscopy procedure to be scheduled at MGH and BWH.”</w:t>
      </w:r>
      <w:r w:rsidR="0095109F" w:rsidRPr="00507EB3">
        <w:t xml:space="preserve"> Please provide </w:t>
      </w:r>
      <w:r w:rsidR="0008655F" w:rsidRPr="00507EB3">
        <w:t xml:space="preserve">historical backlog data from FY2022 to FY2024 to better </w:t>
      </w:r>
      <w:r w:rsidR="00340166" w:rsidRPr="00507EB3">
        <w:t>illuminate the increase in backlog over time.</w:t>
      </w:r>
      <w:r w:rsidR="000167B3" w:rsidRPr="00507EB3">
        <w:t xml:space="preserve"> </w:t>
      </w:r>
    </w:p>
    <w:bookmarkEnd w:id="0"/>
    <w:p w14:paraId="6403B7E6" w14:textId="2A0C8C21" w:rsidR="00507EB3" w:rsidRPr="00507EB3" w:rsidRDefault="00507EB3" w:rsidP="00D34328">
      <w:pPr>
        <w:pStyle w:val="ListParagraph"/>
        <w:spacing w:after="120" w:line="240" w:lineRule="auto"/>
        <w:contextualSpacing w:val="0"/>
        <w:jc w:val="both"/>
        <w:rPr>
          <w:rFonts w:ascii="Aptos" w:hAnsi="Aptos"/>
        </w:rPr>
      </w:pPr>
      <w:r w:rsidRPr="00507EB3">
        <w:rPr>
          <w:rFonts w:ascii="Aptos" w:hAnsi="Aptos"/>
        </w:rPr>
        <w:t xml:space="preserve">Backlog reports can only be run to provide a snapshot of the data as it currently exists therefore a report cannot be run for the backlog that existed historically. Orders are added to the endoscopy queue daily and exceed the number of procedures performed each day. As a result, MGB has continued to see the backlog grow even as endoscopy volume has </w:t>
      </w:r>
      <w:r w:rsidRPr="009C39D0">
        <w:rPr>
          <w:rFonts w:ascii="Aptos" w:hAnsi="Aptos"/>
        </w:rPr>
        <w:t xml:space="preserve">increased. This is demonstrated by wait time data provided in the response to question 10 below, which </w:t>
      </w:r>
      <w:r w:rsidR="009C39D0">
        <w:rPr>
          <w:rFonts w:ascii="Aptos" w:hAnsi="Aptos"/>
        </w:rPr>
        <w:t xml:space="preserve">generally </w:t>
      </w:r>
      <w:r w:rsidRPr="009C39D0">
        <w:rPr>
          <w:rFonts w:ascii="Aptos" w:hAnsi="Aptos"/>
        </w:rPr>
        <w:t xml:space="preserve">shows that wait times have increased across </w:t>
      </w:r>
      <w:r w:rsidR="009C39D0">
        <w:rPr>
          <w:rFonts w:ascii="Aptos" w:hAnsi="Aptos"/>
        </w:rPr>
        <w:t xml:space="preserve">endoscopy </w:t>
      </w:r>
      <w:r w:rsidRPr="009C39D0">
        <w:rPr>
          <w:rFonts w:ascii="Aptos" w:hAnsi="Aptos"/>
        </w:rPr>
        <w:t>procedures</w:t>
      </w:r>
      <w:r w:rsidR="0060169F" w:rsidRPr="009C39D0">
        <w:rPr>
          <w:rStyle w:val="FootnoteReference"/>
          <w:rFonts w:ascii="Aptos" w:hAnsi="Aptos"/>
        </w:rPr>
        <w:footnoteReference w:id="2"/>
      </w:r>
      <w:r w:rsidRPr="009C39D0">
        <w:rPr>
          <w:rFonts w:ascii="Aptos" w:hAnsi="Aptos"/>
        </w:rPr>
        <w:t xml:space="preserve"> at both AMCs</w:t>
      </w:r>
      <w:r w:rsidR="0060169F" w:rsidRPr="009C39D0">
        <w:rPr>
          <w:rFonts w:ascii="Aptos" w:hAnsi="Aptos"/>
        </w:rPr>
        <w:t xml:space="preserve"> by an average of 20% since FY22.</w:t>
      </w:r>
      <w:r w:rsidR="0060169F">
        <w:rPr>
          <w:rFonts w:ascii="Aptos" w:hAnsi="Aptos"/>
        </w:rPr>
        <w:t xml:space="preserve"> </w:t>
      </w:r>
    </w:p>
    <w:p w14:paraId="41EF7D12" w14:textId="7854B07E" w:rsidR="0048661D" w:rsidRPr="00507EB3" w:rsidRDefault="0048661D" w:rsidP="009F5F55">
      <w:pPr>
        <w:pStyle w:val="Heading1"/>
      </w:pPr>
      <w:r w:rsidRPr="00507EB3">
        <w:t xml:space="preserve">Regarding </w:t>
      </w:r>
      <w:r w:rsidR="000F1286" w:rsidRPr="00507EB3">
        <w:t xml:space="preserve">Table 4 </w:t>
      </w:r>
      <w:r w:rsidRPr="00507EB3">
        <w:t>in</w:t>
      </w:r>
      <w:r w:rsidR="000F1286" w:rsidRPr="00507EB3">
        <w:t xml:space="preserve"> </w:t>
      </w:r>
      <w:r w:rsidR="00B00ADD" w:rsidRPr="00507EB3">
        <w:t>the Narrative</w:t>
      </w:r>
      <w:r w:rsidRPr="00507EB3">
        <w:t>:</w:t>
      </w:r>
    </w:p>
    <w:p w14:paraId="4BB3F2AE" w14:textId="44D432EA" w:rsidR="0048661D" w:rsidRPr="00507EB3" w:rsidRDefault="00B00ADD" w:rsidP="00507EB3">
      <w:pPr>
        <w:pStyle w:val="ListParagraph"/>
        <w:numPr>
          <w:ilvl w:val="1"/>
          <w:numId w:val="4"/>
        </w:numPr>
        <w:spacing w:after="120" w:line="240" w:lineRule="auto"/>
        <w:contextualSpacing w:val="0"/>
        <w:rPr>
          <w:rFonts w:ascii="Aptos" w:hAnsi="Aptos"/>
          <w:b/>
          <w:bCs/>
        </w:rPr>
      </w:pPr>
      <w:r w:rsidRPr="00507EB3">
        <w:rPr>
          <w:rFonts w:ascii="Aptos" w:hAnsi="Aptos"/>
          <w:b/>
          <w:bCs/>
        </w:rPr>
        <w:t xml:space="preserve"> </w:t>
      </w:r>
      <w:r w:rsidR="0048661D" w:rsidRPr="00507EB3">
        <w:rPr>
          <w:rFonts w:ascii="Aptos" w:hAnsi="Aptos"/>
          <w:b/>
          <w:bCs/>
        </w:rPr>
        <w:t xml:space="preserve">Is the endoscopy data provided </w:t>
      </w:r>
      <w:r w:rsidR="001F61B1" w:rsidRPr="00507EB3">
        <w:rPr>
          <w:rFonts w:ascii="Aptos" w:hAnsi="Aptos"/>
          <w:b/>
          <w:bCs/>
        </w:rPr>
        <w:t xml:space="preserve">focused only on colonoscopy </w:t>
      </w:r>
      <w:r w:rsidR="007A0879" w:rsidRPr="00507EB3">
        <w:rPr>
          <w:rFonts w:ascii="Aptos" w:hAnsi="Aptos"/>
          <w:b/>
          <w:bCs/>
        </w:rPr>
        <w:t>procedures</w:t>
      </w:r>
      <w:r w:rsidR="001F61B1" w:rsidRPr="00507EB3">
        <w:rPr>
          <w:rFonts w:ascii="Aptos" w:hAnsi="Aptos"/>
          <w:b/>
          <w:bCs/>
        </w:rPr>
        <w:t xml:space="preserve"> or does it include </w:t>
      </w:r>
      <w:r w:rsidR="007A0879" w:rsidRPr="00507EB3">
        <w:rPr>
          <w:rFonts w:ascii="Aptos" w:hAnsi="Aptos"/>
          <w:b/>
          <w:bCs/>
        </w:rPr>
        <w:t>all endoscopy procedures</w:t>
      </w:r>
      <w:r w:rsidR="001F61B1" w:rsidRPr="00507EB3">
        <w:rPr>
          <w:rFonts w:ascii="Aptos" w:hAnsi="Aptos"/>
          <w:b/>
          <w:bCs/>
        </w:rPr>
        <w:t>?</w:t>
      </w:r>
    </w:p>
    <w:p w14:paraId="78C75406" w14:textId="0EC6B2E1" w:rsidR="00F57F6E" w:rsidRPr="00970783" w:rsidRDefault="00FE25A9" w:rsidP="00970783">
      <w:pPr>
        <w:pStyle w:val="ListParagraph"/>
        <w:spacing w:after="120" w:line="240" w:lineRule="auto"/>
        <w:ind w:left="1440"/>
        <w:contextualSpacing w:val="0"/>
        <w:rPr>
          <w:rFonts w:ascii="Aptos" w:hAnsi="Aptos"/>
        </w:rPr>
      </w:pPr>
      <w:r w:rsidRPr="00507EB3">
        <w:rPr>
          <w:rFonts w:ascii="Aptos" w:hAnsi="Aptos"/>
        </w:rPr>
        <w:t xml:space="preserve">This is all ASC-eligible endoscopy volume for the Proposed Service Area. </w:t>
      </w:r>
    </w:p>
    <w:p w14:paraId="315CBD72" w14:textId="187ED1F3" w:rsidR="00F86335" w:rsidRPr="00507EB3" w:rsidRDefault="0048661D" w:rsidP="00507EB3">
      <w:pPr>
        <w:pStyle w:val="ListParagraph"/>
        <w:numPr>
          <w:ilvl w:val="1"/>
          <w:numId w:val="4"/>
        </w:numPr>
        <w:spacing w:after="120" w:line="240" w:lineRule="auto"/>
        <w:contextualSpacing w:val="0"/>
        <w:rPr>
          <w:rFonts w:ascii="Aptos" w:hAnsi="Aptos"/>
          <w:b/>
          <w:bCs/>
        </w:rPr>
      </w:pPr>
      <w:r w:rsidRPr="00507EB3">
        <w:rPr>
          <w:rFonts w:ascii="Aptos" w:hAnsi="Aptos"/>
          <w:b/>
          <w:bCs/>
        </w:rPr>
        <w:t>P</w:t>
      </w:r>
      <w:r w:rsidR="00F86335" w:rsidRPr="00507EB3">
        <w:rPr>
          <w:rFonts w:ascii="Aptos" w:hAnsi="Aptos"/>
          <w:b/>
          <w:bCs/>
        </w:rPr>
        <w:t>lease provide the count and percentage for FY2025</w:t>
      </w:r>
    </w:p>
    <w:tbl>
      <w:tblPr>
        <w:tblW w:w="7920" w:type="dxa"/>
        <w:tblInd w:w="1075" w:type="dxa"/>
        <w:tblLayout w:type="fixed"/>
        <w:tblLook w:val="04A0" w:firstRow="1" w:lastRow="0" w:firstColumn="1" w:lastColumn="0" w:noHBand="0" w:noVBand="1"/>
      </w:tblPr>
      <w:tblGrid>
        <w:gridCol w:w="4230"/>
        <w:gridCol w:w="1845"/>
        <w:gridCol w:w="1845"/>
      </w:tblGrid>
      <w:tr w:rsidR="00507EB3" w:rsidRPr="00507EB3" w14:paraId="740EAADE" w14:textId="77777777" w:rsidTr="009F5F55">
        <w:trPr>
          <w:cantSplit/>
          <w:trHeight w:val="260"/>
          <w:tblHeader/>
        </w:trPr>
        <w:tc>
          <w:tcPr>
            <w:tcW w:w="4230" w:type="dxa"/>
            <w:tcBorders>
              <w:top w:val="single" w:sz="4" w:space="0" w:color="auto"/>
              <w:left w:val="single" w:sz="4" w:space="0" w:color="auto"/>
              <w:bottom w:val="single" w:sz="4" w:space="0" w:color="auto"/>
              <w:right w:val="nil"/>
            </w:tcBorders>
            <w:shd w:val="clear" w:color="auto" w:fill="2F5496" w:themeFill="accent1" w:themeFillShade="BF"/>
            <w:noWrap/>
            <w:vAlign w:val="center"/>
            <w:hideMark/>
          </w:tcPr>
          <w:p w14:paraId="6E0A937E" w14:textId="77777777" w:rsidR="00FE25A9" w:rsidRPr="00F57F6E" w:rsidRDefault="00FE25A9" w:rsidP="00F57F6E">
            <w:pPr>
              <w:spacing w:after="0" w:line="240" w:lineRule="auto"/>
              <w:rPr>
                <w:rFonts w:ascii="Aptos" w:hAnsi="Aptos" w:cs="Calibri"/>
                <w:b/>
                <w:bCs/>
                <w:color w:val="FFFFFF" w:themeColor="background1"/>
                <w:sz w:val="20"/>
                <w:szCs w:val="20"/>
              </w:rPr>
            </w:pPr>
            <w:r w:rsidRPr="00F57F6E">
              <w:rPr>
                <w:rFonts w:ascii="Aptos" w:hAnsi="Aptos" w:cs="Calibri"/>
                <w:b/>
                <w:bCs/>
                <w:color w:val="FFFFFF" w:themeColor="background1"/>
                <w:sz w:val="20"/>
                <w:szCs w:val="20"/>
              </w:rPr>
              <w:t>Table 4: Historical Utilization</w:t>
            </w:r>
          </w:p>
        </w:tc>
        <w:tc>
          <w:tcPr>
            <w:tcW w:w="1845" w:type="dxa"/>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center"/>
          </w:tcPr>
          <w:p w14:paraId="66A11D83" w14:textId="51D3834F" w:rsidR="00FE25A9" w:rsidRPr="00F57F6E" w:rsidRDefault="00FE25A9" w:rsidP="00F57F6E">
            <w:pPr>
              <w:spacing w:after="0" w:line="240" w:lineRule="auto"/>
              <w:jc w:val="center"/>
              <w:rPr>
                <w:rFonts w:ascii="Aptos" w:hAnsi="Aptos" w:cs="Calibri"/>
                <w:b/>
                <w:bCs/>
                <w:color w:val="FFFFFF" w:themeColor="background1"/>
                <w:sz w:val="20"/>
                <w:szCs w:val="20"/>
              </w:rPr>
            </w:pPr>
            <w:r w:rsidRPr="00F57F6E">
              <w:rPr>
                <w:rFonts w:ascii="Aptos" w:hAnsi="Aptos" w:cs="Calibri"/>
                <w:b/>
                <w:bCs/>
                <w:color w:val="FFFFFF" w:themeColor="background1"/>
                <w:sz w:val="20"/>
                <w:szCs w:val="20"/>
              </w:rPr>
              <w:t>FY 2025</w:t>
            </w:r>
          </w:p>
        </w:tc>
        <w:tc>
          <w:tcPr>
            <w:tcW w:w="1845" w:type="dxa"/>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center"/>
          </w:tcPr>
          <w:p w14:paraId="4DF6119E" w14:textId="651DB201" w:rsidR="00FE25A9" w:rsidRPr="00F57F6E" w:rsidRDefault="00FE25A9" w:rsidP="00F57F6E">
            <w:pPr>
              <w:spacing w:after="0" w:line="240" w:lineRule="auto"/>
              <w:jc w:val="center"/>
              <w:rPr>
                <w:rFonts w:ascii="Aptos" w:hAnsi="Aptos" w:cs="Calibri"/>
                <w:b/>
                <w:bCs/>
                <w:color w:val="FFFFFF" w:themeColor="background1"/>
                <w:sz w:val="20"/>
                <w:szCs w:val="20"/>
              </w:rPr>
            </w:pPr>
            <w:r w:rsidRPr="00F57F6E">
              <w:rPr>
                <w:rFonts w:ascii="Aptos" w:hAnsi="Aptos" w:cs="Calibri"/>
                <w:b/>
                <w:bCs/>
                <w:color w:val="FFFFFF" w:themeColor="background1"/>
                <w:sz w:val="20"/>
                <w:szCs w:val="20"/>
              </w:rPr>
              <w:t>FY 2025</w:t>
            </w:r>
          </w:p>
        </w:tc>
      </w:tr>
      <w:tr w:rsidR="00507EB3" w:rsidRPr="00507EB3" w14:paraId="3DB1651F" w14:textId="77777777" w:rsidTr="009F5F55">
        <w:trPr>
          <w:cantSplit/>
          <w:trHeight w:val="310"/>
        </w:trPr>
        <w:tc>
          <w:tcPr>
            <w:tcW w:w="4230" w:type="dxa"/>
            <w:tcBorders>
              <w:top w:val="single" w:sz="4" w:space="0" w:color="auto"/>
              <w:left w:val="single" w:sz="4" w:space="0" w:color="auto"/>
              <w:bottom w:val="single" w:sz="4" w:space="0" w:color="auto"/>
              <w:right w:val="nil"/>
            </w:tcBorders>
            <w:shd w:val="clear" w:color="auto" w:fill="CBD3DE" w:themeFill="text2" w:themeFillTint="40"/>
            <w:noWrap/>
            <w:vAlign w:val="center"/>
            <w:hideMark/>
          </w:tcPr>
          <w:p w14:paraId="71BE09FF" w14:textId="77777777" w:rsidR="00FE25A9" w:rsidRPr="00F57F6E" w:rsidRDefault="00FE25A9" w:rsidP="00F57F6E">
            <w:pPr>
              <w:spacing w:after="0" w:line="240" w:lineRule="auto"/>
              <w:rPr>
                <w:rFonts w:ascii="Aptos" w:hAnsi="Aptos" w:cs="Calibri"/>
                <w:b/>
                <w:bCs/>
                <w:sz w:val="20"/>
                <w:szCs w:val="20"/>
              </w:rPr>
            </w:pPr>
            <w:r w:rsidRPr="00F57F6E">
              <w:rPr>
                <w:rFonts w:ascii="Aptos" w:hAnsi="Aptos" w:cs="Calibri"/>
                <w:b/>
                <w:bCs/>
                <w:sz w:val="20"/>
                <w:szCs w:val="20"/>
              </w:rPr>
              <w:t>Outpatient Endoscopy Volume Total</w:t>
            </w:r>
          </w:p>
        </w:tc>
        <w:tc>
          <w:tcPr>
            <w:tcW w:w="1845" w:type="dxa"/>
            <w:tcBorders>
              <w:top w:val="single" w:sz="4" w:space="0" w:color="auto"/>
              <w:left w:val="single" w:sz="4" w:space="0" w:color="auto"/>
              <w:bottom w:val="single" w:sz="4" w:space="0" w:color="auto"/>
              <w:right w:val="single" w:sz="4" w:space="0" w:color="auto"/>
            </w:tcBorders>
            <w:shd w:val="clear" w:color="auto" w:fill="CBD3DE" w:themeFill="text2" w:themeFillTint="40"/>
            <w:noWrap/>
            <w:vAlign w:val="center"/>
          </w:tcPr>
          <w:p w14:paraId="24308678" w14:textId="0DEA997A" w:rsidR="00FE25A9" w:rsidRPr="00F57F6E" w:rsidRDefault="00FE25A9" w:rsidP="00F57F6E">
            <w:pPr>
              <w:spacing w:after="0" w:line="240" w:lineRule="auto"/>
              <w:jc w:val="center"/>
              <w:rPr>
                <w:rFonts w:ascii="Aptos" w:hAnsi="Aptos" w:cs="Calibri"/>
                <w:b/>
                <w:bCs/>
                <w:sz w:val="20"/>
                <w:szCs w:val="20"/>
              </w:rPr>
            </w:pPr>
            <w:r w:rsidRPr="00F57F6E">
              <w:rPr>
                <w:rFonts w:ascii="Aptos" w:hAnsi="Aptos" w:cs="Calibri"/>
                <w:b/>
                <w:bCs/>
                <w:sz w:val="20"/>
                <w:szCs w:val="20"/>
              </w:rPr>
              <w:t>10,241</w:t>
            </w:r>
          </w:p>
        </w:tc>
        <w:tc>
          <w:tcPr>
            <w:tcW w:w="1845" w:type="dxa"/>
            <w:tcBorders>
              <w:top w:val="single" w:sz="4" w:space="0" w:color="auto"/>
              <w:left w:val="single" w:sz="4" w:space="0" w:color="auto"/>
              <w:bottom w:val="single" w:sz="4" w:space="0" w:color="auto"/>
              <w:right w:val="single" w:sz="4" w:space="0" w:color="auto"/>
            </w:tcBorders>
            <w:shd w:val="clear" w:color="auto" w:fill="CBD3DE" w:themeFill="text2" w:themeFillTint="40"/>
            <w:noWrap/>
            <w:vAlign w:val="center"/>
          </w:tcPr>
          <w:p w14:paraId="74A3744B" w14:textId="642B6CE4" w:rsidR="00FE25A9" w:rsidRPr="00F57F6E" w:rsidRDefault="00FE25A9" w:rsidP="00F57F6E">
            <w:pPr>
              <w:spacing w:after="0" w:line="240" w:lineRule="auto"/>
              <w:jc w:val="center"/>
              <w:rPr>
                <w:rFonts w:ascii="Aptos" w:hAnsi="Aptos" w:cs="Calibri"/>
                <w:b/>
                <w:bCs/>
                <w:sz w:val="20"/>
                <w:szCs w:val="20"/>
              </w:rPr>
            </w:pPr>
            <w:r w:rsidRPr="00F57F6E">
              <w:rPr>
                <w:rFonts w:ascii="Aptos" w:hAnsi="Aptos" w:cs="Calibri"/>
                <w:b/>
                <w:bCs/>
                <w:sz w:val="20"/>
                <w:szCs w:val="20"/>
              </w:rPr>
              <w:t>100%</w:t>
            </w:r>
          </w:p>
        </w:tc>
      </w:tr>
      <w:tr w:rsidR="00507EB3" w:rsidRPr="00507EB3" w14:paraId="5C9511D7" w14:textId="77777777" w:rsidTr="009F5F55">
        <w:trPr>
          <w:cantSplit/>
          <w:trHeight w:val="310"/>
        </w:trPr>
        <w:tc>
          <w:tcPr>
            <w:tcW w:w="4230" w:type="dxa"/>
            <w:tcBorders>
              <w:top w:val="single" w:sz="4" w:space="0" w:color="auto"/>
              <w:left w:val="single" w:sz="4" w:space="0" w:color="auto"/>
              <w:bottom w:val="single" w:sz="4" w:space="0" w:color="auto"/>
              <w:right w:val="nil"/>
            </w:tcBorders>
            <w:noWrap/>
            <w:vAlign w:val="center"/>
            <w:hideMark/>
          </w:tcPr>
          <w:p w14:paraId="5981241C" w14:textId="77777777" w:rsidR="00FE25A9" w:rsidRPr="00F57F6E" w:rsidRDefault="00FE25A9" w:rsidP="00F57F6E">
            <w:pPr>
              <w:spacing w:after="0" w:line="240" w:lineRule="auto"/>
              <w:rPr>
                <w:rFonts w:ascii="Aptos" w:hAnsi="Aptos" w:cs="Calibri"/>
                <w:sz w:val="20"/>
                <w:szCs w:val="20"/>
              </w:rPr>
            </w:pPr>
            <w:r w:rsidRPr="00F57F6E">
              <w:rPr>
                <w:rFonts w:ascii="Aptos" w:hAnsi="Aptos" w:cs="Calibri"/>
                <w:sz w:val="20"/>
                <w:szCs w:val="20"/>
              </w:rPr>
              <w:t>Facility: BWH</w:t>
            </w:r>
          </w:p>
        </w:tc>
        <w:tc>
          <w:tcPr>
            <w:tcW w:w="1845" w:type="dxa"/>
            <w:tcBorders>
              <w:top w:val="single" w:sz="4" w:space="0" w:color="auto"/>
              <w:left w:val="single" w:sz="4" w:space="0" w:color="auto"/>
              <w:bottom w:val="single" w:sz="4" w:space="0" w:color="auto"/>
              <w:right w:val="single" w:sz="4" w:space="0" w:color="auto"/>
            </w:tcBorders>
            <w:noWrap/>
            <w:vAlign w:val="center"/>
          </w:tcPr>
          <w:p w14:paraId="250AC40C" w14:textId="1388B219" w:rsidR="00FE25A9" w:rsidRPr="00F57F6E" w:rsidRDefault="0049526B" w:rsidP="00F57F6E">
            <w:pPr>
              <w:spacing w:after="0" w:line="240" w:lineRule="auto"/>
              <w:jc w:val="center"/>
              <w:rPr>
                <w:rFonts w:ascii="Aptos" w:hAnsi="Aptos" w:cs="Calibri"/>
                <w:sz w:val="20"/>
                <w:szCs w:val="20"/>
              </w:rPr>
            </w:pPr>
            <w:r w:rsidRPr="00F57F6E">
              <w:rPr>
                <w:rFonts w:ascii="Aptos" w:hAnsi="Aptos" w:cs="Calibri"/>
                <w:sz w:val="20"/>
                <w:szCs w:val="20"/>
              </w:rPr>
              <w:t>1,965</w:t>
            </w:r>
          </w:p>
        </w:tc>
        <w:tc>
          <w:tcPr>
            <w:tcW w:w="1845" w:type="dxa"/>
            <w:tcBorders>
              <w:top w:val="single" w:sz="4" w:space="0" w:color="auto"/>
              <w:left w:val="single" w:sz="4" w:space="0" w:color="auto"/>
              <w:bottom w:val="single" w:sz="4" w:space="0" w:color="auto"/>
              <w:right w:val="single" w:sz="4" w:space="0" w:color="auto"/>
            </w:tcBorders>
            <w:noWrap/>
            <w:vAlign w:val="center"/>
          </w:tcPr>
          <w:p w14:paraId="290FC213" w14:textId="4B87993A" w:rsidR="00FE25A9" w:rsidRPr="00F57F6E" w:rsidRDefault="0049526B" w:rsidP="00F57F6E">
            <w:pPr>
              <w:spacing w:after="0" w:line="240" w:lineRule="auto"/>
              <w:jc w:val="center"/>
              <w:rPr>
                <w:rFonts w:ascii="Aptos" w:hAnsi="Aptos" w:cs="Calibri"/>
                <w:sz w:val="20"/>
                <w:szCs w:val="20"/>
              </w:rPr>
            </w:pPr>
            <w:r w:rsidRPr="00F57F6E">
              <w:rPr>
                <w:rFonts w:ascii="Aptos" w:hAnsi="Aptos" w:cs="Calibri"/>
                <w:sz w:val="20"/>
                <w:szCs w:val="20"/>
              </w:rPr>
              <w:t>19%</w:t>
            </w:r>
          </w:p>
        </w:tc>
      </w:tr>
      <w:tr w:rsidR="00507EB3" w:rsidRPr="00507EB3" w14:paraId="6B63F692" w14:textId="77777777" w:rsidTr="009F5F55">
        <w:trPr>
          <w:cantSplit/>
          <w:trHeight w:val="310"/>
        </w:trPr>
        <w:tc>
          <w:tcPr>
            <w:tcW w:w="4230" w:type="dxa"/>
            <w:tcBorders>
              <w:top w:val="single" w:sz="4" w:space="0" w:color="auto"/>
              <w:left w:val="single" w:sz="4" w:space="0" w:color="auto"/>
              <w:bottom w:val="single" w:sz="4" w:space="0" w:color="auto"/>
              <w:right w:val="nil"/>
            </w:tcBorders>
            <w:noWrap/>
            <w:vAlign w:val="center"/>
            <w:hideMark/>
          </w:tcPr>
          <w:p w14:paraId="5DDA551F" w14:textId="77777777" w:rsidR="00FE25A9" w:rsidRPr="00F57F6E" w:rsidRDefault="00FE25A9" w:rsidP="00F57F6E">
            <w:pPr>
              <w:spacing w:after="0" w:line="240" w:lineRule="auto"/>
              <w:rPr>
                <w:rFonts w:ascii="Aptos" w:hAnsi="Aptos" w:cs="Calibri"/>
                <w:sz w:val="20"/>
                <w:szCs w:val="20"/>
              </w:rPr>
            </w:pPr>
            <w:r w:rsidRPr="00F57F6E">
              <w:rPr>
                <w:rFonts w:ascii="Aptos" w:hAnsi="Aptos" w:cs="Calibri"/>
                <w:sz w:val="20"/>
                <w:szCs w:val="20"/>
              </w:rPr>
              <w:t>Facility: MGH</w:t>
            </w:r>
          </w:p>
        </w:tc>
        <w:tc>
          <w:tcPr>
            <w:tcW w:w="1845" w:type="dxa"/>
            <w:tcBorders>
              <w:top w:val="single" w:sz="4" w:space="0" w:color="auto"/>
              <w:left w:val="single" w:sz="4" w:space="0" w:color="auto"/>
              <w:bottom w:val="single" w:sz="4" w:space="0" w:color="auto"/>
              <w:right w:val="single" w:sz="4" w:space="0" w:color="auto"/>
            </w:tcBorders>
            <w:noWrap/>
            <w:vAlign w:val="center"/>
          </w:tcPr>
          <w:p w14:paraId="775B4F59" w14:textId="3E5DC2C6" w:rsidR="00FE25A9" w:rsidRPr="00F57F6E" w:rsidRDefault="0049526B" w:rsidP="00F57F6E">
            <w:pPr>
              <w:spacing w:after="0" w:line="240" w:lineRule="auto"/>
              <w:jc w:val="center"/>
              <w:rPr>
                <w:rFonts w:ascii="Aptos" w:hAnsi="Aptos" w:cs="Calibri"/>
                <w:sz w:val="20"/>
                <w:szCs w:val="20"/>
              </w:rPr>
            </w:pPr>
            <w:r w:rsidRPr="00F57F6E">
              <w:rPr>
                <w:rFonts w:ascii="Aptos" w:hAnsi="Aptos" w:cs="Calibri"/>
                <w:sz w:val="20"/>
                <w:szCs w:val="20"/>
              </w:rPr>
              <w:t>8,276</w:t>
            </w:r>
          </w:p>
        </w:tc>
        <w:tc>
          <w:tcPr>
            <w:tcW w:w="1845" w:type="dxa"/>
            <w:tcBorders>
              <w:top w:val="single" w:sz="4" w:space="0" w:color="auto"/>
              <w:left w:val="single" w:sz="4" w:space="0" w:color="auto"/>
              <w:bottom w:val="single" w:sz="4" w:space="0" w:color="auto"/>
              <w:right w:val="single" w:sz="4" w:space="0" w:color="auto"/>
            </w:tcBorders>
            <w:noWrap/>
            <w:vAlign w:val="center"/>
          </w:tcPr>
          <w:p w14:paraId="04FFFB9A" w14:textId="598691D2" w:rsidR="00FE25A9" w:rsidRPr="00F57F6E" w:rsidRDefault="0049526B" w:rsidP="00F57F6E">
            <w:pPr>
              <w:spacing w:after="0" w:line="240" w:lineRule="auto"/>
              <w:jc w:val="center"/>
              <w:rPr>
                <w:rFonts w:ascii="Aptos" w:hAnsi="Aptos" w:cs="Calibri"/>
                <w:sz w:val="20"/>
                <w:szCs w:val="20"/>
              </w:rPr>
            </w:pPr>
            <w:r w:rsidRPr="00F57F6E">
              <w:rPr>
                <w:rFonts w:ascii="Aptos" w:hAnsi="Aptos" w:cs="Calibri"/>
                <w:sz w:val="20"/>
                <w:szCs w:val="20"/>
              </w:rPr>
              <w:t>81%</w:t>
            </w:r>
          </w:p>
        </w:tc>
      </w:tr>
      <w:tr w:rsidR="00507EB3" w:rsidRPr="00507EB3" w14:paraId="087FECED" w14:textId="77777777" w:rsidTr="009F5F55">
        <w:trPr>
          <w:cantSplit/>
          <w:trHeight w:val="310"/>
        </w:trPr>
        <w:tc>
          <w:tcPr>
            <w:tcW w:w="4230" w:type="dxa"/>
            <w:tcBorders>
              <w:top w:val="single" w:sz="4" w:space="0" w:color="auto"/>
              <w:left w:val="single" w:sz="4" w:space="0" w:color="auto"/>
              <w:bottom w:val="single" w:sz="4" w:space="0" w:color="auto"/>
              <w:right w:val="nil"/>
            </w:tcBorders>
            <w:noWrap/>
            <w:vAlign w:val="center"/>
            <w:hideMark/>
          </w:tcPr>
          <w:p w14:paraId="74F71EA5" w14:textId="77777777" w:rsidR="00FE25A9" w:rsidRPr="00F57F6E" w:rsidRDefault="00FE25A9" w:rsidP="00F57F6E">
            <w:pPr>
              <w:spacing w:after="0" w:line="240" w:lineRule="auto"/>
              <w:rPr>
                <w:rFonts w:ascii="Aptos" w:hAnsi="Aptos" w:cs="Calibri"/>
                <w:sz w:val="20"/>
                <w:szCs w:val="20"/>
              </w:rPr>
            </w:pPr>
            <w:r w:rsidRPr="00F57F6E">
              <w:rPr>
                <w:rFonts w:ascii="Aptos" w:hAnsi="Aptos" w:cs="Calibri"/>
                <w:sz w:val="20"/>
                <w:szCs w:val="20"/>
              </w:rPr>
              <w:t>Category: Diagnostic</w:t>
            </w:r>
          </w:p>
        </w:tc>
        <w:tc>
          <w:tcPr>
            <w:tcW w:w="1845" w:type="dxa"/>
            <w:tcBorders>
              <w:top w:val="single" w:sz="4" w:space="0" w:color="auto"/>
              <w:left w:val="single" w:sz="4" w:space="0" w:color="auto"/>
              <w:bottom w:val="single" w:sz="4" w:space="0" w:color="auto"/>
              <w:right w:val="single" w:sz="4" w:space="0" w:color="auto"/>
            </w:tcBorders>
            <w:noWrap/>
            <w:vAlign w:val="center"/>
          </w:tcPr>
          <w:p w14:paraId="705FA94D" w14:textId="3F5BAE8E" w:rsidR="00FE25A9" w:rsidRPr="00F57F6E" w:rsidRDefault="0049526B" w:rsidP="00F57F6E">
            <w:pPr>
              <w:spacing w:after="0" w:line="240" w:lineRule="auto"/>
              <w:jc w:val="center"/>
              <w:rPr>
                <w:rFonts w:ascii="Aptos" w:hAnsi="Aptos" w:cs="Calibri"/>
                <w:sz w:val="20"/>
                <w:szCs w:val="20"/>
              </w:rPr>
            </w:pPr>
            <w:r w:rsidRPr="00F57F6E">
              <w:rPr>
                <w:rFonts w:ascii="Aptos" w:hAnsi="Aptos" w:cs="Calibri"/>
                <w:sz w:val="20"/>
                <w:szCs w:val="20"/>
              </w:rPr>
              <w:t>4,598</w:t>
            </w:r>
          </w:p>
        </w:tc>
        <w:tc>
          <w:tcPr>
            <w:tcW w:w="1845" w:type="dxa"/>
            <w:tcBorders>
              <w:top w:val="single" w:sz="4" w:space="0" w:color="auto"/>
              <w:left w:val="single" w:sz="4" w:space="0" w:color="auto"/>
              <w:bottom w:val="single" w:sz="4" w:space="0" w:color="auto"/>
              <w:right w:val="single" w:sz="4" w:space="0" w:color="auto"/>
            </w:tcBorders>
            <w:noWrap/>
            <w:vAlign w:val="center"/>
          </w:tcPr>
          <w:p w14:paraId="20EEE97C" w14:textId="125E0FBD" w:rsidR="00FE25A9" w:rsidRPr="00F57F6E" w:rsidRDefault="0049526B" w:rsidP="00F57F6E">
            <w:pPr>
              <w:spacing w:after="0" w:line="240" w:lineRule="auto"/>
              <w:jc w:val="center"/>
              <w:rPr>
                <w:rFonts w:ascii="Aptos" w:hAnsi="Aptos" w:cs="Calibri"/>
                <w:sz w:val="20"/>
                <w:szCs w:val="20"/>
              </w:rPr>
            </w:pPr>
            <w:r w:rsidRPr="00F57F6E">
              <w:rPr>
                <w:rFonts w:ascii="Aptos" w:hAnsi="Aptos" w:cs="Calibri"/>
                <w:sz w:val="20"/>
                <w:szCs w:val="20"/>
              </w:rPr>
              <w:t>45%</w:t>
            </w:r>
          </w:p>
        </w:tc>
      </w:tr>
      <w:tr w:rsidR="00507EB3" w:rsidRPr="00507EB3" w14:paraId="41970751" w14:textId="77777777" w:rsidTr="009F5F55">
        <w:trPr>
          <w:cantSplit/>
          <w:trHeight w:val="310"/>
        </w:trPr>
        <w:tc>
          <w:tcPr>
            <w:tcW w:w="4230" w:type="dxa"/>
            <w:tcBorders>
              <w:top w:val="single" w:sz="4" w:space="0" w:color="auto"/>
              <w:left w:val="single" w:sz="4" w:space="0" w:color="auto"/>
              <w:bottom w:val="single" w:sz="4" w:space="0" w:color="auto"/>
              <w:right w:val="nil"/>
            </w:tcBorders>
            <w:noWrap/>
            <w:vAlign w:val="center"/>
            <w:hideMark/>
          </w:tcPr>
          <w:p w14:paraId="2EB10063" w14:textId="77777777" w:rsidR="00FE25A9" w:rsidRPr="00F57F6E" w:rsidRDefault="00FE25A9" w:rsidP="00F57F6E">
            <w:pPr>
              <w:spacing w:after="0" w:line="240" w:lineRule="auto"/>
              <w:rPr>
                <w:rFonts w:ascii="Aptos" w:hAnsi="Aptos" w:cs="Calibri"/>
                <w:sz w:val="20"/>
                <w:szCs w:val="20"/>
              </w:rPr>
            </w:pPr>
            <w:r w:rsidRPr="00F57F6E">
              <w:rPr>
                <w:rFonts w:ascii="Aptos" w:hAnsi="Aptos" w:cs="Calibri"/>
                <w:sz w:val="20"/>
                <w:szCs w:val="20"/>
              </w:rPr>
              <w:t>Category: Procedural/Screening</w:t>
            </w:r>
          </w:p>
        </w:tc>
        <w:tc>
          <w:tcPr>
            <w:tcW w:w="1845" w:type="dxa"/>
            <w:tcBorders>
              <w:top w:val="single" w:sz="4" w:space="0" w:color="auto"/>
              <w:left w:val="single" w:sz="4" w:space="0" w:color="auto"/>
              <w:bottom w:val="single" w:sz="4" w:space="0" w:color="auto"/>
              <w:right w:val="single" w:sz="4" w:space="0" w:color="auto"/>
            </w:tcBorders>
            <w:noWrap/>
            <w:vAlign w:val="center"/>
          </w:tcPr>
          <w:p w14:paraId="47461919" w14:textId="73A17212" w:rsidR="00FE25A9" w:rsidRPr="00F57F6E" w:rsidRDefault="0049526B" w:rsidP="00F57F6E">
            <w:pPr>
              <w:spacing w:after="0" w:line="240" w:lineRule="auto"/>
              <w:jc w:val="center"/>
              <w:rPr>
                <w:rFonts w:ascii="Aptos" w:hAnsi="Aptos" w:cs="Calibri"/>
                <w:sz w:val="20"/>
                <w:szCs w:val="20"/>
              </w:rPr>
            </w:pPr>
            <w:r w:rsidRPr="00F57F6E">
              <w:rPr>
                <w:rFonts w:ascii="Aptos" w:hAnsi="Aptos" w:cs="Calibri"/>
                <w:sz w:val="20"/>
                <w:szCs w:val="20"/>
              </w:rPr>
              <w:t>4,184</w:t>
            </w:r>
          </w:p>
        </w:tc>
        <w:tc>
          <w:tcPr>
            <w:tcW w:w="1845" w:type="dxa"/>
            <w:tcBorders>
              <w:top w:val="single" w:sz="4" w:space="0" w:color="auto"/>
              <w:left w:val="single" w:sz="4" w:space="0" w:color="auto"/>
              <w:bottom w:val="single" w:sz="4" w:space="0" w:color="auto"/>
              <w:right w:val="single" w:sz="4" w:space="0" w:color="auto"/>
            </w:tcBorders>
            <w:noWrap/>
            <w:vAlign w:val="center"/>
          </w:tcPr>
          <w:p w14:paraId="673D9C03" w14:textId="0B4D5416" w:rsidR="00FE25A9" w:rsidRPr="00F57F6E" w:rsidRDefault="0049526B" w:rsidP="00F57F6E">
            <w:pPr>
              <w:spacing w:after="0" w:line="240" w:lineRule="auto"/>
              <w:jc w:val="center"/>
              <w:rPr>
                <w:rFonts w:ascii="Aptos" w:hAnsi="Aptos" w:cs="Calibri"/>
                <w:sz w:val="20"/>
                <w:szCs w:val="20"/>
              </w:rPr>
            </w:pPr>
            <w:r w:rsidRPr="00F57F6E">
              <w:rPr>
                <w:rFonts w:ascii="Aptos" w:hAnsi="Aptos" w:cs="Calibri"/>
                <w:sz w:val="20"/>
                <w:szCs w:val="20"/>
              </w:rPr>
              <w:t>41%</w:t>
            </w:r>
          </w:p>
        </w:tc>
      </w:tr>
      <w:tr w:rsidR="00507EB3" w:rsidRPr="00507EB3" w14:paraId="32707B4A" w14:textId="77777777" w:rsidTr="009F5F55">
        <w:trPr>
          <w:cantSplit/>
          <w:trHeight w:val="310"/>
        </w:trPr>
        <w:tc>
          <w:tcPr>
            <w:tcW w:w="4230" w:type="dxa"/>
            <w:tcBorders>
              <w:top w:val="single" w:sz="4" w:space="0" w:color="auto"/>
              <w:left w:val="single" w:sz="4" w:space="0" w:color="auto"/>
              <w:bottom w:val="single" w:sz="4" w:space="0" w:color="auto"/>
              <w:right w:val="nil"/>
            </w:tcBorders>
            <w:noWrap/>
            <w:vAlign w:val="center"/>
          </w:tcPr>
          <w:p w14:paraId="5A007B4D" w14:textId="77777777" w:rsidR="00FE25A9" w:rsidRPr="00F57F6E" w:rsidRDefault="00FE25A9" w:rsidP="00F57F6E">
            <w:pPr>
              <w:spacing w:after="0" w:line="240" w:lineRule="auto"/>
              <w:rPr>
                <w:rFonts w:ascii="Aptos" w:hAnsi="Aptos" w:cs="Calibri"/>
                <w:sz w:val="20"/>
                <w:szCs w:val="20"/>
              </w:rPr>
            </w:pPr>
            <w:r w:rsidRPr="00F57F6E">
              <w:rPr>
                <w:rFonts w:ascii="Aptos" w:hAnsi="Aptos" w:cs="Calibri"/>
                <w:sz w:val="20"/>
                <w:szCs w:val="20"/>
              </w:rPr>
              <w:t>Category: Other</w:t>
            </w:r>
            <w:r w:rsidRPr="00F57F6E">
              <w:rPr>
                <w:rStyle w:val="FootnoteReference"/>
                <w:rFonts w:ascii="Aptos" w:hAnsi="Aptos" w:cs="Calibri"/>
                <w:sz w:val="20"/>
                <w:szCs w:val="20"/>
              </w:rPr>
              <w:footnoteReference w:id="3"/>
            </w:r>
            <w:r w:rsidRPr="00F57F6E">
              <w:rPr>
                <w:rFonts w:ascii="Aptos" w:hAnsi="Aptos" w:cs="Calibri"/>
                <w:sz w:val="20"/>
                <w:szCs w:val="20"/>
              </w:rPr>
              <w:t xml:space="preserve"> </w:t>
            </w:r>
          </w:p>
        </w:tc>
        <w:tc>
          <w:tcPr>
            <w:tcW w:w="1845" w:type="dxa"/>
            <w:tcBorders>
              <w:top w:val="single" w:sz="4" w:space="0" w:color="auto"/>
              <w:left w:val="single" w:sz="4" w:space="0" w:color="auto"/>
              <w:bottom w:val="single" w:sz="4" w:space="0" w:color="auto"/>
              <w:right w:val="single" w:sz="4" w:space="0" w:color="auto"/>
            </w:tcBorders>
            <w:noWrap/>
            <w:vAlign w:val="center"/>
          </w:tcPr>
          <w:p w14:paraId="0908D526" w14:textId="5E335FF3" w:rsidR="00FE25A9" w:rsidRPr="00F57F6E" w:rsidRDefault="0049526B" w:rsidP="00F57F6E">
            <w:pPr>
              <w:spacing w:after="0" w:line="240" w:lineRule="auto"/>
              <w:jc w:val="center"/>
              <w:rPr>
                <w:rFonts w:ascii="Aptos" w:hAnsi="Aptos" w:cs="Calibri"/>
                <w:sz w:val="20"/>
                <w:szCs w:val="20"/>
              </w:rPr>
            </w:pPr>
            <w:r w:rsidRPr="00F57F6E">
              <w:rPr>
                <w:rFonts w:ascii="Aptos" w:hAnsi="Aptos" w:cs="Calibri"/>
                <w:sz w:val="20"/>
                <w:szCs w:val="20"/>
              </w:rPr>
              <w:t>1,459</w:t>
            </w:r>
          </w:p>
        </w:tc>
        <w:tc>
          <w:tcPr>
            <w:tcW w:w="1845" w:type="dxa"/>
            <w:tcBorders>
              <w:top w:val="single" w:sz="4" w:space="0" w:color="auto"/>
              <w:left w:val="single" w:sz="4" w:space="0" w:color="auto"/>
              <w:bottom w:val="single" w:sz="4" w:space="0" w:color="auto"/>
              <w:right w:val="single" w:sz="4" w:space="0" w:color="auto"/>
            </w:tcBorders>
            <w:noWrap/>
            <w:vAlign w:val="center"/>
          </w:tcPr>
          <w:p w14:paraId="32E5BC2B" w14:textId="7CAFD3A2" w:rsidR="00FE25A9" w:rsidRPr="00F57F6E" w:rsidRDefault="0049526B" w:rsidP="00F57F6E">
            <w:pPr>
              <w:spacing w:after="0" w:line="240" w:lineRule="auto"/>
              <w:jc w:val="center"/>
              <w:rPr>
                <w:rFonts w:ascii="Aptos" w:hAnsi="Aptos" w:cs="Calibri"/>
                <w:sz w:val="20"/>
                <w:szCs w:val="20"/>
              </w:rPr>
            </w:pPr>
            <w:r w:rsidRPr="00F57F6E">
              <w:rPr>
                <w:rFonts w:ascii="Aptos" w:hAnsi="Aptos" w:cs="Calibri"/>
                <w:sz w:val="20"/>
                <w:szCs w:val="20"/>
              </w:rPr>
              <w:t>14%</w:t>
            </w:r>
          </w:p>
        </w:tc>
      </w:tr>
      <w:tr w:rsidR="00507EB3" w:rsidRPr="00507EB3" w14:paraId="503A11A7" w14:textId="77777777" w:rsidTr="009F5F55">
        <w:trPr>
          <w:cantSplit/>
          <w:trHeight w:val="310"/>
        </w:trPr>
        <w:tc>
          <w:tcPr>
            <w:tcW w:w="4230" w:type="dxa"/>
            <w:tcBorders>
              <w:top w:val="single" w:sz="4" w:space="0" w:color="auto"/>
              <w:left w:val="single" w:sz="4" w:space="0" w:color="auto"/>
              <w:bottom w:val="single" w:sz="4" w:space="0" w:color="auto"/>
              <w:right w:val="nil"/>
            </w:tcBorders>
            <w:vAlign w:val="center"/>
            <w:hideMark/>
          </w:tcPr>
          <w:p w14:paraId="20368C2B" w14:textId="77777777" w:rsidR="00FE25A9" w:rsidRPr="00F57F6E" w:rsidRDefault="00FE25A9" w:rsidP="00F57F6E">
            <w:pPr>
              <w:spacing w:after="0" w:line="240" w:lineRule="auto"/>
              <w:rPr>
                <w:rFonts w:ascii="Aptos" w:hAnsi="Aptos" w:cs="Calibri"/>
                <w:sz w:val="20"/>
                <w:szCs w:val="20"/>
              </w:rPr>
            </w:pPr>
            <w:r w:rsidRPr="00F57F6E">
              <w:rPr>
                <w:rFonts w:ascii="Aptos" w:hAnsi="Aptos" w:cs="Calibri"/>
                <w:sz w:val="20"/>
                <w:szCs w:val="20"/>
              </w:rPr>
              <w:t>Type: Upper</w:t>
            </w:r>
          </w:p>
        </w:tc>
        <w:tc>
          <w:tcPr>
            <w:tcW w:w="1845" w:type="dxa"/>
            <w:tcBorders>
              <w:top w:val="single" w:sz="4" w:space="0" w:color="auto"/>
              <w:left w:val="single" w:sz="4" w:space="0" w:color="auto"/>
              <w:bottom w:val="single" w:sz="4" w:space="0" w:color="auto"/>
              <w:right w:val="single" w:sz="4" w:space="0" w:color="auto"/>
            </w:tcBorders>
            <w:noWrap/>
            <w:vAlign w:val="center"/>
          </w:tcPr>
          <w:p w14:paraId="05B578B2" w14:textId="308390DB" w:rsidR="00FE25A9" w:rsidRPr="00F57F6E" w:rsidRDefault="0049526B" w:rsidP="00F57F6E">
            <w:pPr>
              <w:spacing w:after="0" w:line="240" w:lineRule="auto"/>
              <w:jc w:val="center"/>
              <w:rPr>
                <w:rFonts w:ascii="Aptos" w:hAnsi="Aptos" w:cs="Calibri"/>
                <w:sz w:val="20"/>
                <w:szCs w:val="20"/>
              </w:rPr>
            </w:pPr>
            <w:r w:rsidRPr="00F57F6E">
              <w:rPr>
                <w:rFonts w:ascii="Aptos" w:hAnsi="Aptos" w:cs="Calibri"/>
                <w:sz w:val="20"/>
                <w:szCs w:val="20"/>
              </w:rPr>
              <w:t>2,784</w:t>
            </w:r>
          </w:p>
        </w:tc>
        <w:tc>
          <w:tcPr>
            <w:tcW w:w="1845" w:type="dxa"/>
            <w:tcBorders>
              <w:top w:val="single" w:sz="4" w:space="0" w:color="auto"/>
              <w:left w:val="single" w:sz="4" w:space="0" w:color="auto"/>
              <w:bottom w:val="single" w:sz="4" w:space="0" w:color="auto"/>
              <w:right w:val="single" w:sz="4" w:space="0" w:color="auto"/>
            </w:tcBorders>
            <w:noWrap/>
            <w:vAlign w:val="center"/>
          </w:tcPr>
          <w:p w14:paraId="1DE40900" w14:textId="5597A26D" w:rsidR="00FE25A9" w:rsidRPr="00F57F6E" w:rsidRDefault="0049526B" w:rsidP="00F57F6E">
            <w:pPr>
              <w:spacing w:after="0" w:line="240" w:lineRule="auto"/>
              <w:jc w:val="center"/>
              <w:rPr>
                <w:rFonts w:ascii="Aptos" w:hAnsi="Aptos" w:cs="Calibri"/>
                <w:sz w:val="20"/>
                <w:szCs w:val="20"/>
              </w:rPr>
            </w:pPr>
            <w:r w:rsidRPr="00F57F6E">
              <w:rPr>
                <w:rFonts w:ascii="Aptos" w:hAnsi="Aptos" w:cs="Calibri"/>
                <w:sz w:val="20"/>
                <w:szCs w:val="20"/>
              </w:rPr>
              <w:t>27%</w:t>
            </w:r>
          </w:p>
        </w:tc>
      </w:tr>
      <w:tr w:rsidR="00D34328" w:rsidRPr="00507EB3" w14:paraId="6E7E9538" w14:textId="77777777" w:rsidTr="009F5F55">
        <w:trPr>
          <w:cantSplit/>
          <w:trHeight w:val="310"/>
        </w:trPr>
        <w:tc>
          <w:tcPr>
            <w:tcW w:w="4230" w:type="dxa"/>
            <w:tcBorders>
              <w:top w:val="single" w:sz="4" w:space="0" w:color="auto"/>
              <w:left w:val="single" w:sz="4" w:space="0" w:color="auto"/>
              <w:bottom w:val="single" w:sz="4" w:space="0" w:color="auto"/>
              <w:right w:val="nil"/>
            </w:tcBorders>
            <w:vAlign w:val="center"/>
            <w:hideMark/>
          </w:tcPr>
          <w:p w14:paraId="5EC40689" w14:textId="77777777" w:rsidR="00FE25A9" w:rsidRPr="00F57F6E" w:rsidRDefault="00FE25A9" w:rsidP="00D34328">
            <w:pPr>
              <w:spacing w:after="0" w:line="240" w:lineRule="auto"/>
              <w:rPr>
                <w:rFonts w:ascii="Aptos" w:hAnsi="Aptos" w:cs="Calibri"/>
                <w:sz w:val="20"/>
                <w:szCs w:val="20"/>
              </w:rPr>
            </w:pPr>
            <w:r w:rsidRPr="00F57F6E">
              <w:rPr>
                <w:rFonts w:ascii="Aptos" w:hAnsi="Aptos" w:cs="Calibri"/>
                <w:sz w:val="20"/>
                <w:szCs w:val="20"/>
              </w:rPr>
              <w:t>Type: Lower + Other</w:t>
            </w:r>
          </w:p>
        </w:tc>
        <w:tc>
          <w:tcPr>
            <w:tcW w:w="1845" w:type="dxa"/>
            <w:tcBorders>
              <w:top w:val="single" w:sz="4" w:space="0" w:color="auto"/>
              <w:left w:val="single" w:sz="4" w:space="0" w:color="auto"/>
              <w:bottom w:val="single" w:sz="4" w:space="0" w:color="auto"/>
              <w:right w:val="single" w:sz="4" w:space="0" w:color="auto"/>
            </w:tcBorders>
            <w:noWrap/>
            <w:vAlign w:val="center"/>
          </w:tcPr>
          <w:p w14:paraId="75FDA00E" w14:textId="64BFCED1" w:rsidR="00FE25A9" w:rsidRPr="00F57F6E" w:rsidRDefault="0049526B" w:rsidP="00D34328">
            <w:pPr>
              <w:spacing w:after="0" w:line="240" w:lineRule="auto"/>
              <w:jc w:val="center"/>
              <w:rPr>
                <w:rFonts w:ascii="Aptos" w:hAnsi="Aptos" w:cs="Calibri"/>
                <w:sz w:val="20"/>
                <w:szCs w:val="20"/>
              </w:rPr>
            </w:pPr>
            <w:r w:rsidRPr="00F57F6E">
              <w:rPr>
                <w:rFonts w:ascii="Aptos" w:hAnsi="Aptos" w:cs="Calibri"/>
                <w:sz w:val="20"/>
                <w:szCs w:val="20"/>
              </w:rPr>
              <w:t>7,457</w:t>
            </w:r>
          </w:p>
        </w:tc>
        <w:tc>
          <w:tcPr>
            <w:tcW w:w="1845" w:type="dxa"/>
            <w:tcBorders>
              <w:top w:val="single" w:sz="4" w:space="0" w:color="auto"/>
              <w:left w:val="single" w:sz="4" w:space="0" w:color="auto"/>
              <w:bottom w:val="single" w:sz="4" w:space="0" w:color="auto"/>
              <w:right w:val="single" w:sz="4" w:space="0" w:color="auto"/>
            </w:tcBorders>
            <w:noWrap/>
            <w:vAlign w:val="center"/>
          </w:tcPr>
          <w:p w14:paraId="1DF22B94" w14:textId="00680539" w:rsidR="00FE25A9" w:rsidRPr="00F57F6E" w:rsidRDefault="0049526B" w:rsidP="00D34328">
            <w:pPr>
              <w:spacing w:after="0" w:line="240" w:lineRule="auto"/>
              <w:jc w:val="center"/>
              <w:rPr>
                <w:rFonts w:ascii="Aptos" w:hAnsi="Aptos" w:cs="Calibri"/>
                <w:sz w:val="20"/>
                <w:szCs w:val="20"/>
              </w:rPr>
            </w:pPr>
            <w:r w:rsidRPr="00F57F6E">
              <w:rPr>
                <w:rFonts w:ascii="Aptos" w:hAnsi="Aptos" w:cs="Calibri"/>
                <w:sz w:val="20"/>
                <w:szCs w:val="20"/>
              </w:rPr>
              <w:t>73%</w:t>
            </w:r>
          </w:p>
        </w:tc>
      </w:tr>
    </w:tbl>
    <w:p w14:paraId="476650C0" w14:textId="77777777" w:rsidR="00FE25A9" w:rsidRPr="00507EB3" w:rsidRDefault="00FE25A9" w:rsidP="00507EB3">
      <w:pPr>
        <w:spacing w:after="120" w:line="240" w:lineRule="auto"/>
        <w:rPr>
          <w:rFonts w:ascii="Aptos" w:hAnsi="Aptos"/>
        </w:rPr>
      </w:pPr>
    </w:p>
    <w:p w14:paraId="145C7BDE" w14:textId="3320C05F" w:rsidR="0049526B" w:rsidRPr="00507EB3" w:rsidRDefault="00AB5699" w:rsidP="009F5F55">
      <w:pPr>
        <w:pStyle w:val="Heading1"/>
      </w:pPr>
      <w:r w:rsidRPr="00507EB3">
        <w:lastRenderedPageBreak/>
        <w:t>Page 1 of the Narrative states that the MGB AMCs,</w:t>
      </w:r>
      <w:r w:rsidR="00EE062E" w:rsidRPr="00507EB3">
        <w:t xml:space="preserve"> </w:t>
      </w:r>
      <w:r w:rsidRPr="00507EB3">
        <w:t xml:space="preserve">“have more than 25,000 patients waiting for their endoscopy procedures to be scheduled.” </w:t>
      </w:r>
      <w:r w:rsidR="000500A4" w:rsidRPr="00507EB3">
        <w:t>Are the</w:t>
      </w:r>
      <w:r w:rsidR="00EE062E" w:rsidRPr="00507EB3">
        <w:t xml:space="preserve">se </w:t>
      </w:r>
      <w:r w:rsidR="000500A4" w:rsidRPr="00507EB3">
        <w:t xml:space="preserve">patients waiting for </w:t>
      </w:r>
      <w:r w:rsidR="000B69AA" w:rsidRPr="00507EB3">
        <w:t xml:space="preserve">only </w:t>
      </w:r>
      <w:r w:rsidR="000500A4" w:rsidRPr="00507EB3">
        <w:t xml:space="preserve">colonoscopies or </w:t>
      </w:r>
      <w:r w:rsidR="00EE062E" w:rsidRPr="00507EB3">
        <w:t>other types of endoscopy procedures?</w:t>
      </w:r>
    </w:p>
    <w:p w14:paraId="6699E81F" w14:textId="3DCEF210" w:rsidR="00AB24CC" w:rsidRPr="00D34328" w:rsidRDefault="0049526B" w:rsidP="00F57F6E">
      <w:pPr>
        <w:pStyle w:val="ListParagraph"/>
        <w:spacing w:after="120" w:line="240" w:lineRule="auto"/>
        <w:contextualSpacing w:val="0"/>
        <w:rPr>
          <w:rFonts w:ascii="Aptos" w:hAnsi="Aptos"/>
        </w:rPr>
      </w:pPr>
      <w:r w:rsidRPr="00507EB3">
        <w:rPr>
          <w:rFonts w:ascii="Aptos" w:hAnsi="Aptos"/>
        </w:rPr>
        <w:t xml:space="preserve">This figure is inclusive of all endoscopy procedures. </w:t>
      </w:r>
    </w:p>
    <w:p w14:paraId="7DD8E1BC" w14:textId="4A120A13" w:rsidR="005F6760" w:rsidRDefault="005F6760" w:rsidP="009F5F55">
      <w:pPr>
        <w:pStyle w:val="Heading1"/>
        <w:rPr>
          <w:rStyle w:val="cf01"/>
          <w:rFonts w:ascii="Aptos" w:hAnsi="Aptos" w:cstheme="minorHAnsi"/>
          <w:b w:val="0"/>
          <w:bCs w:val="0"/>
          <w:sz w:val="22"/>
          <w:szCs w:val="22"/>
        </w:rPr>
      </w:pPr>
      <w:r w:rsidRPr="00507EB3">
        <w:rPr>
          <w:rStyle w:val="cf01"/>
          <w:rFonts w:ascii="Aptos" w:hAnsi="Aptos" w:cstheme="minorHAnsi"/>
          <w:sz w:val="22"/>
          <w:szCs w:val="22"/>
        </w:rPr>
        <w:t>Please provide the average wait times at MGH and BWH for all types of outpatient endoscopy procedures from FY2022-FY2025</w:t>
      </w:r>
      <w:r w:rsidR="009115D8" w:rsidRPr="00507EB3">
        <w:rPr>
          <w:rStyle w:val="cf01"/>
          <w:rFonts w:ascii="Aptos" w:hAnsi="Aptos" w:cstheme="minorHAnsi"/>
          <w:sz w:val="22"/>
          <w:szCs w:val="22"/>
        </w:rPr>
        <w:t>, separat</w:t>
      </w:r>
      <w:r w:rsidR="00A81BCA" w:rsidRPr="00507EB3">
        <w:rPr>
          <w:rStyle w:val="cf01"/>
          <w:rFonts w:ascii="Aptos" w:hAnsi="Aptos" w:cstheme="minorHAnsi"/>
          <w:sz w:val="22"/>
          <w:szCs w:val="22"/>
        </w:rPr>
        <w:t>ed by type of procedure if possible.</w:t>
      </w:r>
      <w:r w:rsidR="000167B3" w:rsidRPr="00507EB3">
        <w:rPr>
          <w:rStyle w:val="cf01"/>
          <w:rFonts w:ascii="Aptos" w:hAnsi="Aptos" w:cstheme="minorHAnsi"/>
          <w:sz w:val="22"/>
          <w:szCs w:val="22"/>
        </w:rPr>
        <w:t xml:space="preserve"> </w:t>
      </w:r>
    </w:p>
    <w:p w14:paraId="62E52FB5" w14:textId="48DE9D51" w:rsidR="0060169F" w:rsidRPr="0060169F" w:rsidRDefault="0060169F" w:rsidP="0060169F">
      <w:pPr>
        <w:pStyle w:val="pf0"/>
        <w:spacing w:before="0" w:beforeAutospacing="0" w:after="120" w:afterAutospacing="0"/>
        <w:ind w:left="720"/>
        <w:rPr>
          <w:rStyle w:val="cf01"/>
          <w:rFonts w:ascii="Aptos" w:hAnsi="Aptos" w:cstheme="minorHAnsi"/>
          <w:b/>
          <w:bCs/>
          <w:sz w:val="22"/>
          <w:szCs w:val="22"/>
          <w:u w:val="single"/>
        </w:rPr>
      </w:pPr>
      <w:r w:rsidRPr="0060169F">
        <w:rPr>
          <w:rStyle w:val="cf01"/>
          <w:rFonts w:ascii="Aptos" w:hAnsi="Aptos" w:cstheme="minorHAnsi"/>
          <w:sz w:val="22"/>
          <w:szCs w:val="22"/>
          <w:u w:val="single"/>
        </w:rPr>
        <w:t>BWH Main Campus Endoscopy Wait Times (Days)</w:t>
      </w:r>
    </w:p>
    <w:tbl>
      <w:tblPr>
        <w:tblW w:w="9180"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877"/>
        <w:gridCol w:w="878"/>
        <w:gridCol w:w="877"/>
        <w:gridCol w:w="878"/>
        <w:gridCol w:w="1165"/>
      </w:tblGrid>
      <w:tr w:rsidR="007E1AC6" w:rsidRPr="007E1AC6" w14:paraId="5DD212E7" w14:textId="77777777" w:rsidTr="009F5F55">
        <w:trPr>
          <w:cantSplit/>
          <w:trHeight w:val="20"/>
          <w:tblHeader/>
        </w:trPr>
        <w:tc>
          <w:tcPr>
            <w:tcW w:w="4505" w:type="dxa"/>
            <w:shd w:val="clear" w:color="000000" w:fill="D5DCE4"/>
            <w:noWrap/>
            <w:vAlign w:val="center"/>
            <w:hideMark/>
          </w:tcPr>
          <w:p w14:paraId="7E02B279" w14:textId="1A5FF415" w:rsidR="007E1AC6" w:rsidRPr="007E1AC6" w:rsidRDefault="0060169F" w:rsidP="007E1AC6">
            <w:pPr>
              <w:spacing w:after="0" w:line="240" w:lineRule="auto"/>
              <w:rPr>
                <w:rFonts w:ascii="Aptos" w:eastAsia="Times New Roman" w:hAnsi="Aptos" w:cs="Calibri"/>
                <w:b/>
                <w:bCs/>
                <w:color w:val="000000"/>
                <w:sz w:val="20"/>
                <w:szCs w:val="20"/>
              </w:rPr>
            </w:pPr>
            <w:r w:rsidRPr="0060169F">
              <w:rPr>
                <w:rFonts w:ascii="Aptos" w:eastAsia="Times New Roman" w:hAnsi="Aptos" w:cs="Calibri"/>
                <w:b/>
                <w:bCs/>
                <w:color w:val="000000"/>
                <w:sz w:val="20"/>
                <w:szCs w:val="20"/>
              </w:rPr>
              <w:t>Endoscopy Procedure</w:t>
            </w:r>
          </w:p>
        </w:tc>
        <w:tc>
          <w:tcPr>
            <w:tcW w:w="877" w:type="dxa"/>
            <w:shd w:val="clear" w:color="000000" w:fill="D5DCE4"/>
            <w:vAlign w:val="center"/>
            <w:hideMark/>
          </w:tcPr>
          <w:p w14:paraId="4885D081" w14:textId="77777777" w:rsidR="007E1AC6" w:rsidRPr="007E1AC6" w:rsidRDefault="007E1AC6" w:rsidP="0060169F">
            <w:pPr>
              <w:spacing w:after="0" w:line="240" w:lineRule="auto"/>
              <w:jc w:val="center"/>
              <w:rPr>
                <w:rFonts w:ascii="Aptos" w:eastAsia="Times New Roman" w:hAnsi="Aptos" w:cs="Times New Roman"/>
                <w:b/>
                <w:bCs/>
                <w:color w:val="000000"/>
                <w:sz w:val="20"/>
                <w:szCs w:val="20"/>
              </w:rPr>
            </w:pPr>
            <w:r w:rsidRPr="007E1AC6">
              <w:rPr>
                <w:rFonts w:ascii="Aptos" w:eastAsia="Times New Roman" w:hAnsi="Aptos" w:cs="Times New Roman"/>
                <w:b/>
                <w:bCs/>
                <w:color w:val="000000"/>
                <w:sz w:val="20"/>
                <w:szCs w:val="20"/>
              </w:rPr>
              <w:t>FY22</w:t>
            </w:r>
          </w:p>
        </w:tc>
        <w:tc>
          <w:tcPr>
            <w:tcW w:w="878" w:type="dxa"/>
            <w:shd w:val="clear" w:color="000000" w:fill="D5DCE4"/>
            <w:vAlign w:val="center"/>
            <w:hideMark/>
          </w:tcPr>
          <w:p w14:paraId="509CCB24" w14:textId="77777777" w:rsidR="007E1AC6" w:rsidRPr="007E1AC6" w:rsidRDefault="007E1AC6" w:rsidP="0060169F">
            <w:pPr>
              <w:spacing w:after="0" w:line="240" w:lineRule="auto"/>
              <w:jc w:val="center"/>
              <w:rPr>
                <w:rFonts w:ascii="Aptos" w:eastAsia="Times New Roman" w:hAnsi="Aptos" w:cs="Times New Roman"/>
                <w:b/>
                <w:bCs/>
                <w:color w:val="000000"/>
                <w:sz w:val="20"/>
                <w:szCs w:val="20"/>
              </w:rPr>
            </w:pPr>
            <w:r w:rsidRPr="007E1AC6">
              <w:rPr>
                <w:rFonts w:ascii="Aptos" w:eastAsia="Times New Roman" w:hAnsi="Aptos" w:cs="Times New Roman"/>
                <w:b/>
                <w:bCs/>
                <w:color w:val="000000"/>
                <w:sz w:val="20"/>
                <w:szCs w:val="20"/>
              </w:rPr>
              <w:t>FY23</w:t>
            </w:r>
          </w:p>
        </w:tc>
        <w:tc>
          <w:tcPr>
            <w:tcW w:w="877" w:type="dxa"/>
            <w:shd w:val="clear" w:color="000000" w:fill="D5DCE4"/>
            <w:vAlign w:val="center"/>
            <w:hideMark/>
          </w:tcPr>
          <w:p w14:paraId="2A29FB99" w14:textId="77777777" w:rsidR="007E1AC6" w:rsidRPr="007E1AC6" w:rsidRDefault="007E1AC6" w:rsidP="0060169F">
            <w:pPr>
              <w:spacing w:after="0" w:line="240" w:lineRule="auto"/>
              <w:jc w:val="center"/>
              <w:rPr>
                <w:rFonts w:ascii="Aptos" w:eastAsia="Times New Roman" w:hAnsi="Aptos" w:cs="Times New Roman"/>
                <w:b/>
                <w:bCs/>
                <w:color w:val="000000"/>
                <w:sz w:val="20"/>
                <w:szCs w:val="20"/>
              </w:rPr>
            </w:pPr>
            <w:r w:rsidRPr="007E1AC6">
              <w:rPr>
                <w:rFonts w:ascii="Aptos" w:eastAsia="Times New Roman" w:hAnsi="Aptos" w:cs="Times New Roman"/>
                <w:b/>
                <w:bCs/>
                <w:color w:val="000000"/>
                <w:sz w:val="20"/>
                <w:szCs w:val="20"/>
              </w:rPr>
              <w:t>FY24</w:t>
            </w:r>
          </w:p>
        </w:tc>
        <w:tc>
          <w:tcPr>
            <w:tcW w:w="878" w:type="dxa"/>
            <w:shd w:val="clear" w:color="000000" w:fill="D5DCE4"/>
            <w:vAlign w:val="center"/>
            <w:hideMark/>
          </w:tcPr>
          <w:p w14:paraId="27A5D60E" w14:textId="77777777" w:rsidR="007E1AC6" w:rsidRPr="007E1AC6" w:rsidRDefault="007E1AC6" w:rsidP="0060169F">
            <w:pPr>
              <w:spacing w:after="0" w:line="240" w:lineRule="auto"/>
              <w:jc w:val="center"/>
              <w:rPr>
                <w:rFonts w:ascii="Aptos" w:eastAsia="Times New Roman" w:hAnsi="Aptos" w:cs="Times New Roman"/>
                <w:b/>
                <w:bCs/>
                <w:color w:val="000000"/>
                <w:sz w:val="20"/>
                <w:szCs w:val="20"/>
              </w:rPr>
            </w:pPr>
            <w:r w:rsidRPr="007E1AC6">
              <w:rPr>
                <w:rFonts w:ascii="Aptos" w:eastAsia="Times New Roman" w:hAnsi="Aptos" w:cs="Times New Roman"/>
                <w:b/>
                <w:bCs/>
                <w:color w:val="000000"/>
                <w:sz w:val="20"/>
                <w:szCs w:val="20"/>
              </w:rPr>
              <w:t>FY25</w:t>
            </w:r>
          </w:p>
        </w:tc>
        <w:tc>
          <w:tcPr>
            <w:tcW w:w="1165" w:type="dxa"/>
            <w:shd w:val="clear" w:color="000000" w:fill="D5DCE4"/>
            <w:vAlign w:val="center"/>
            <w:hideMark/>
          </w:tcPr>
          <w:p w14:paraId="201196C7" w14:textId="088C9ACF" w:rsidR="007E1AC6" w:rsidRPr="007E1AC6" w:rsidRDefault="0060169F" w:rsidP="0060169F">
            <w:pPr>
              <w:spacing w:after="0" w:line="240" w:lineRule="auto"/>
              <w:jc w:val="center"/>
              <w:rPr>
                <w:rFonts w:ascii="Aptos" w:eastAsia="Times New Roman" w:hAnsi="Aptos" w:cs="Times New Roman"/>
                <w:b/>
                <w:bCs/>
                <w:color w:val="000000"/>
                <w:sz w:val="20"/>
                <w:szCs w:val="20"/>
              </w:rPr>
            </w:pPr>
            <w:r w:rsidRPr="0060169F">
              <w:rPr>
                <w:rFonts w:ascii="Aptos" w:eastAsia="Times New Roman" w:hAnsi="Aptos" w:cs="Times New Roman"/>
                <w:b/>
                <w:bCs/>
                <w:color w:val="000000"/>
                <w:sz w:val="20"/>
                <w:szCs w:val="20"/>
              </w:rPr>
              <w:t>FY22-FY25</w:t>
            </w:r>
          </w:p>
        </w:tc>
      </w:tr>
      <w:tr w:rsidR="007E1AC6" w:rsidRPr="007E1AC6" w14:paraId="0532BA09" w14:textId="77777777" w:rsidTr="009F5F55">
        <w:trPr>
          <w:cantSplit/>
          <w:trHeight w:val="20"/>
        </w:trPr>
        <w:tc>
          <w:tcPr>
            <w:tcW w:w="4505" w:type="dxa"/>
            <w:shd w:val="clear" w:color="000000" w:fill="FFFFFF"/>
            <w:vAlign w:val="center"/>
            <w:hideMark/>
          </w:tcPr>
          <w:p w14:paraId="5F2C141D" w14:textId="3A8B54BF" w:rsidR="007E1AC6" w:rsidRPr="00AF1E5C" w:rsidRDefault="00565D40" w:rsidP="007E1AC6">
            <w:pPr>
              <w:spacing w:after="0" w:line="240" w:lineRule="auto"/>
              <w:rPr>
                <w:rFonts w:ascii="Aptos Narrow" w:eastAsia="Times New Roman" w:hAnsi="Aptos Narrow" w:cs="Times New Roman"/>
                <w:color w:val="000000"/>
                <w:sz w:val="20"/>
                <w:szCs w:val="20"/>
              </w:rPr>
            </w:pPr>
            <w:r w:rsidRPr="00AF1E5C">
              <w:rPr>
                <w:rFonts w:ascii="Aptos Narrow" w:eastAsia="Times New Roman" w:hAnsi="Aptos Narrow" w:cs="Times New Roman"/>
                <w:color w:val="000000"/>
                <w:sz w:val="20"/>
                <w:szCs w:val="20"/>
              </w:rPr>
              <w:t>Colonoscopy</w:t>
            </w:r>
          </w:p>
        </w:tc>
        <w:tc>
          <w:tcPr>
            <w:tcW w:w="877" w:type="dxa"/>
            <w:shd w:val="clear" w:color="000000" w:fill="FFFFFF"/>
            <w:vAlign w:val="center"/>
            <w:hideMark/>
          </w:tcPr>
          <w:p w14:paraId="390C8177"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118</w:t>
            </w:r>
          </w:p>
        </w:tc>
        <w:tc>
          <w:tcPr>
            <w:tcW w:w="878" w:type="dxa"/>
            <w:shd w:val="clear" w:color="000000" w:fill="FFFFFF"/>
            <w:vAlign w:val="center"/>
            <w:hideMark/>
          </w:tcPr>
          <w:p w14:paraId="2FCF7F68"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142.6</w:t>
            </w:r>
          </w:p>
        </w:tc>
        <w:tc>
          <w:tcPr>
            <w:tcW w:w="877" w:type="dxa"/>
            <w:shd w:val="clear" w:color="000000" w:fill="FFFFFF"/>
            <w:vAlign w:val="center"/>
            <w:hideMark/>
          </w:tcPr>
          <w:p w14:paraId="46579611"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166.4</w:t>
            </w:r>
          </w:p>
        </w:tc>
        <w:tc>
          <w:tcPr>
            <w:tcW w:w="878" w:type="dxa"/>
            <w:shd w:val="clear" w:color="000000" w:fill="FFFFFF"/>
            <w:vAlign w:val="center"/>
            <w:hideMark/>
          </w:tcPr>
          <w:p w14:paraId="2924E97C"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147</w:t>
            </w:r>
          </w:p>
        </w:tc>
        <w:tc>
          <w:tcPr>
            <w:tcW w:w="1165" w:type="dxa"/>
            <w:shd w:val="clear" w:color="000000" w:fill="FFFFFF"/>
            <w:vAlign w:val="center"/>
            <w:hideMark/>
          </w:tcPr>
          <w:p w14:paraId="081E15B0"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24.6%</w:t>
            </w:r>
          </w:p>
        </w:tc>
      </w:tr>
      <w:tr w:rsidR="007E1AC6" w:rsidRPr="007E1AC6" w14:paraId="195D5956" w14:textId="77777777" w:rsidTr="009F5F55">
        <w:trPr>
          <w:cantSplit/>
          <w:trHeight w:val="20"/>
        </w:trPr>
        <w:tc>
          <w:tcPr>
            <w:tcW w:w="4505" w:type="dxa"/>
            <w:shd w:val="clear" w:color="000000" w:fill="FFFFFF"/>
            <w:vAlign w:val="center"/>
            <w:hideMark/>
          </w:tcPr>
          <w:p w14:paraId="0617AE7C" w14:textId="0DB117BC" w:rsidR="007E1AC6" w:rsidRPr="00AF1E5C" w:rsidRDefault="007E1AC6" w:rsidP="007E1AC6">
            <w:pPr>
              <w:spacing w:after="0" w:line="240" w:lineRule="auto"/>
              <w:rPr>
                <w:rFonts w:ascii="Aptos Narrow" w:eastAsia="Times New Roman" w:hAnsi="Aptos Narrow" w:cs="Times New Roman"/>
                <w:color w:val="000000"/>
                <w:sz w:val="20"/>
                <w:szCs w:val="20"/>
              </w:rPr>
            </w:pPr>
            <w:r w:rsidRPr="00AF1E5C">
              <w:rPr>
                <w:rFonts w:ascii="Aptos Narrow" w:eastAsia="Times New Roman" w:hAnsi="Aptos Narrow" w:cs="Times New Roman"/>
                <w:color w:val="000000"/>
                <w:sz w:val="20"/>
                <w:szCs w:val="20"/>
              </w:rPr>
              <w:t>E</w:t>
            </w:r>
            <w:r w:rsidR="00D03EF7" w:rsidRPr="00AF1E5C">
              <w:rPr>
                <w:rFonts w:ascii="Aptos Narrow" w:eastAsia="Times New Roman" w:hAnsi="Aptos Narrow" w:cs="Times New Roman"/>
                <w:color w:val="000000"/>
                <w:sz w:val="20"/>
                <w:szCs w:val="20"/>
              </w:rPr>
              <w:t>ndoscopic</w:t>
            </w:r>
            <w:r w:rsidRPr="00AF1E5C">
              <w:rPr>
                <w:rFonts w:ascii="Aptos Narrow" w:eastAsia="Times New Roman" w:hAnsi="Aptos Narrow" w:cs="Times New Roman"/>
                <w:color w:val="000000"/>
                <w:sz w:val="20"/>
                <w:szCs w:val="20"/>
              </w:rPr>
              <w:t xml:space="preserve"> R</w:t>
            </w:r>
            <w:r w:rsidR="00D03EF7" w:rsidRPr="00AF1E5C">
              <w:rPr>
                <w:rFonts w:ascii="Aptos Narrow" w:eastAsia="Times New Roman" w:hAnsi="Aptos Narrow" w:cs="Times New Roman"/>
                <w:color w:val="000000"/>
                <w:sz w:val="20"/>
                <w:szCs w:val="20"/>
              </w:rPr>
              <w:t>etrograde Cholangiopancreatography</w:t>
            </w:r>
          </w:p>
        </w:tc>
        <w:tc>
          <w:tcPr>
            <w:tcW w:w="877" w:type="dxa"/>
            <w:shd w:val="clear" w:color="000000" w:fill="FFFFFF"/>
            <w:vAlign w:val="center"/>
            <w:hideMark/>
          </w:tcPr>
          <w:p w14:paraId="558D7BE6"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26.4</w:t>
            </w:r>
          </w:p>
        </w:tc>
        <w:tc>
          <w:tcPr>
            <w:tcW w:w="878" w:type="dxa"/>
            <w:shd w:val="clear" w:color="000000" w:fill="FFFFFF"/>
            <w:vAlign w:val="center"/>
            <w:hideMark/>
          </w:tcPr>
          <w:p w14:paraId="2FD710E1"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28.6</w:t>
            </w:r>
          </w:p>
        </w:tc>
        <w:tc>
          <w:tcPr>
            <w:tcW w:w="877" w:type="dxa"/>
            <w:shd w:val="clear" w:color="000000" w:fill="FFFFFF"/>
            <w:vAlign w:val="center"/>
            <w:hideMark/>
          </w:tcPr>
          <w:p w14:paraId="68AF57E9"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36.6</w:t>
            </w:r>
          </w:p>
        </w:tc>
        <w:tc>
          <w:tcPr>
            <w:tcW w:w="878" w:type="dxa"/>
            <w:shd w:val="clear" w:color="000000" w:fill="FFFFFF"/>
            <w:vAlign w:val="center"/>
            <w:hideMark/>
          </w:tcPr>
          <w:p w14:paraId="29CC6D1F"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34.3</w:t>
            </w:r>
          </w:p>
        </w:tc>
        <w:tc>
          <w:tcPr>
            <w:tcW w:w="1165" w:type="dxa"/>
            <w:shd w:val="clear" w:color="000000" w:fill="FFFFFF"/>
            <w:vAlign w:val="center"/>
            <w:hideMark/>
          </w:tcPr>
          <w:p w14:paraId="2283122F"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29.9%</w:t>
            </w:r>
          </w:p>
        </w:tc>
      </w:tr>
      <w:tr w:rsidR="007E1AC6" w:rsidRPr="007E1AC6" w14:paraId="42E9BEF6" w14:textId="77777777" w:rsidTr="009F5F55">
        <w:trPr>
          <w:cantSplit/>
          <w:trHeight w:val="20"/>
        </w:trPr>
        <w:tc>
          <w:tcPr>
            <w:tcW w:w="4505" w:type="dxa"/>
            <w:shd w:val="clear" w:color="000000" w:fill="FFFFFF"/>
            <w:vAlign w:val="center"/>
            <w:hideMark/>
          </w:tcPr>
          <w:p w14:paraId="2D38FDED" w14:textId="235436EC" w:rsidR="007E1AC6" w:rsidRPr="00AF1E5C" w:rsidRDefault="00565D40" w:rsidP="007E1AC6">
            <w:pPr>
              <w:spacing w:after="0" w:line="240" w:lineRule="auto"/>
              <w:rPr>
                <w:rFonts w:ascii="Aptos Narrow" w:eastAsia="Times New Roman" w:hAnsi="Aptos Narrow" w:cs="Times New Roman"/>
                <w:color w:val="000000"/>
                <w:sz w:val="20"/>
                <w:szCs w:val="20"/>
              </w:rPr>
            </w:pPr>
            <w:r w:rsidRPr="00AF1E5C">
              <w:rPr>
                <w:rFonts w:ascii="Aptos Narrow" w:eastAsia="Times New Roman" w:hAnsi="Aptos Narrow" w:cs="Times New Roman"/>
                <w:color w:val="000000"/>
                <w:sz w:val="20"/>
                <w:szCs w:val="20"/>
              </w:rPr>
              <w:t>Esophagogastroduodenoscopy</w:t>
            </w:r>
          </w:p>
        </w:tc>
        <w:tc>
          <w:tcPr>
            <w:tcW w:w="877" w:type="dxa"/>
            <w:shd w:val="clear" w:color="000000" w:fill="FFFFFF"/>
            <w:vAlign w:val="center"/>
            <w:hideMark/>
          </w:tcPr>
          <w:p w14:paraId="7E724416"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70.8</w:t>
            </w:r>
          </w:p>
        </w:tc>
        <w:tc>
          <w:tcPr>
            <w:tcW w:w="878" w:type="dxa"/>
            <w:shd w:val="clear" w:color="000000" w:fill="FFFFFF"/>
            <w:vAlign w:val="center"/>
            <w:hideMark/>
          </w:tcPr>
          <w:p w14:paraId="00AAFBC7"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80.5</w:t>
            </w:r>
          </w:p>
        </w:tc>
        <w:tc>
          <w:tcPr>
            <w:tcW w:w="877" w:type="dxa"/>
            <w:shd w:val="clear" w:color="000000" w:fill="FFFFFF"/>
            <w:vAlign w:val="center"/>
            <w:hideMark/>
          </w:tcPr>
          <w:p w14:paraId="3A89B777"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94.9</w:t>
            </w:r>
          </w:p>
        </w:tc>
        <w:tc>
          <w:tcPr>
            <w:tcW w:w="878" w:type="dxa"/>
            <w:shd w:val="clear" w:color="000000" w:fill="FFFFFF"/>
            <w:vAlign w:val="center"/>
            <w:hideMark/>
          </w:tcPr>
          <w:p w14:paraId="50503695"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84.4</w:t>
            </w:r>
          </w:p>
        </w:tc>
        <w:tc>
          <w:tcPr>
            <w:tcW w:w="1165" w:type="dxa"/>
            <w:shd w:val="clear" w:color="000000" w:fill="FFFFFF"/>
            <w:vAlign w:val="center"/>
            <w:hideMark/>
          </w:tcPr>
          <w:p w14:paraId="304ADC14"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19.2%</w:t>
            </w:r>
          </w:p>
        </w:tc>
      </w:tr>
      <w:tr w:rsidR="007E1AC6" w:rsidRPr="007E1AC6" w14:paraId="3EB1B3D1" w14:textId="77777777" w:rsidTr="009F5F55">
        <w:trPr>
          <w:cantSplit/>
          <w:trHeight w:val="20"/>
        </w:trPr>
        <w:tc>
          <w:tcPr>
            <w:tcW w:w="4505" w:type="dxa"/>
            <w:shd w:val="clear" w:color="000000" w:fill="FFFFFF"/>
            <w:vAlign w:val="center"/>
            <w:hideMark/>
          </w:tcPr>
          <w:p w14:paraId="1C4FB916" w14:textId="5509EE61" w:rsidR="007E1AC6" w:rsidRPr="00AF1E5C" w:rsidRDefault="00565D40" w:rsidP="007E1AC6">
            <w:pPr>
              <w:spacing w:after="0" w:line="240" w:lineRule="auto"/>
              <w:rPr>
                <w:rFonts w:ascii="Aptos Narrow" w:eastAsia="Times New Roman" w:hAnsi="Aptos Narrow" w:cs="Times New Roman"/>
                <w:color w:val="000000"/>
                <w:sz w:val="20"/>
                <w:szCs w:val="20"/>
              </w:rPr>
            </w:pPr>
            <w:r w:rsidRPr="00AF1E5C">
              <w:rPr>
                <w:rFonts w:ascii="Aptos Narrow" w:eastAsia="Times New Roman" w:hAnsi="Aptos Narrow" w:cs="Times New Roman"/>
                <w:color w:val="000000"/>
                <w:sz w:val="20"/>
                <w:szCs w:val="20"/>
              </w:rPr>
              <w:t>Gastroscopy Flexible</w:t>
            </w:r>
          </w:p>
        </w:tc>
        <w:tc>
          <w:tcPr>
            <w:tcW w:w="877" w:type="dxa"/>
            <w:shd w:val="clear" w:color="000000" w:fill="FFFFFF"/>
            <w:vAlign w:val="center"/>
            <w:hideMark/>
          </w:tcPr>
          <w:p w14:paraId="397C530A"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42.8</w:t>
            </w:r>
          </w:p>
        </w:tc>
        <w:tc>
          <w:tcPr>
            <w:tcW w:w="878" w:type="dxa"/>
            <w:shd w:val="clear" w:color="000000" w:fill="FFFFFF"/>
            <w:vAlign w:val="center"/>
            <w:hideMark/>
          </w:tcPr>
          <w:p w14:paraId="718A7C7F"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53.6</w:t>
            </w:r>
          </w:p>
        </w:tc>
        <w:tc>
          <w:tcPr>
            <w:tcW w:w="877" w:type="dxa"/>
            <w:shd w:val="clear" w:color="000000" w:fill="FFFFFF"/>
            <w:vAlign w:val="center"/>
            <w:hideMark/>
          </w:tcPr>
          <w:p w14:paraId="68D71A7B"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62.5</w:t>
            </w:r>
          </w:p>
        </w:tc>
        <w:tc>
          <w:tcPr>
            <w:tcW w:w="878" w:type="dxa"/>
            <w:shd w:val="clear" w:color="000000" w:fill="FFFFFF"/>
            <w:vAlign w:val="center"/>
            <w:hideMark/>
          </w:tcPr>
          <w:p w14:paraId="1F1FD4C0"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59.1</w:t>
            </w:r>
          </w:p>
        </w:tc>
        <w:tc>
          <w:tcPr>
            <w:tcW w:w="1165" w:type="dxa"/>
            <w:shd w:val="clear" w:color="000000" w:fill="FFFFFF"/>
            <w:vAlign w:val="center"/>
            <w:hideMark/>
          </w:tcPr>
          <w:p w14:paraId="23318B17"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38.1%</w:t>
            </w:r>
          </w:p>
        </w:tc>
      </w:tr>
      <w:tr w:rsidR="007E1AC6" w:rsidRPr="007E1AC6" w14:paraId="6437AFA4" w14:textId="77777777" w:rsidTr="009F5F55">
        <w:trPr>
          <w:cantSplit/>
          <w:trHeight w:val="20"/>
        </w:trPr>
        <w:tc>
          <w:tcPr>
            <w:tcW w:w="4505" w:type="dxa"/>
            <w:shd w:val="clear" w:color="000000" w:fill="FFFFFF"/>
            <w:vAlign w:val="center"/>
            <w:hideMark/>
          </w:tcPr>
          <w:p w14:paraId="424C3730" w14:textId="2F61EF82" w:rsidR="007E1AC6" w:rsidRPr="00AF1E5C" w:rsidRDefault="00565D40" w:rsidP="007E1AC6">
            <w:pPr>
              <w:spacing w:after="0" w:line="240" w:lineRule="auto"/>
              <w:rPr>
                <w:rFonts w:ascii="Aptos Narrow" w:eastAsia="Times New Roman" w:hAnsi="Aptos Narrow" w:cs="Times New Roman"/>
                <w:color w:val="000000"/>
                <w:sz w:val="20"/>
                <w:szCs w:val="20"/>
              </w:rPr>
            </w:pPr>
            <w:r w:rsidRPr="00AF1E5C">
              <w:rPr>
                <w:rFonts w:ascii="Aptos Narrow" w:eastAsia="Times New Roman" w:hAnsi="Aptos Narrow" w:cs="Times New Roman"/>
                <w:color w:val="000000"/>
                <w:sz w:val="20"/>
                <w:szCs w:val="20"/>
              </w:rPr>
              <w:t>Sigmoidoscopy Flexible</w:t>
            </w:r>
          </w:p>
        </w:tc>
        <w:tc>
          <w:tcPr>
            <w:tcW w:w="877" w:type="dxa"/>
            <w:shd w:val="clear" w:color="000000" w:fill="FFFFFF"/>
            <w:vAlign w:val="center"/>
            <w:hideMark/>
          </w:tcPr>
          <w:p w14:paraId="00EDF340"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50.2</w:t>
            </w:r>
          </w:p>
        </w:tc>
        <w:tc>
          <w:tcPr>
            <w:tcW w:w="878" w:type="dxa"/>
            <w:shd w:val="clear" w:color="000000" w:fill="FFFFFF"/>
            <w:vAlign w:val="center"/>
            <w:hideMark/>
          </w:tcPr>
          <w:p w14:paraId="43998450"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51.1</w:t>
            </w:r>
          </w:p>
        </w:tc>
        <w:tc>
          <w:tcPr>
            <w:tcW w:w="877" w:type="dxa"/>
            <w:shd w:val="clear" w:color="000000" w:fill="FFFFFF"/>
            <w:vAlign w:val="center"/>
            <w:hideMark/>
          </w:tcPr>
          <w:p w14:paraId="7375D564"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54</w:t>
            </w:r>
          </w:p>
        </w:tc>
        <w:tc>
          <w:tcPr>
            <w:tcW w:w="878" w:type="dxa"/>
            <w:shd w:val="clear" w:color="000000" w:fill="FFFFFF"/>
            <w:vAlign w:val="center"/>
            <w:hideMark/>
          </w:tcPr>
          <w:p w14:paraId="0A884AF4"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50.9</w:t>
            </w:r>
          </w:p>
        </w:tc>
        <w:tc>
          <w:tcPr>
            <w:tcW w:w="1165" w:type="dxa"/>
            <w:shd w:val="clear" w:color="000000" w:fill="FFFFFF"/>
            <w:vAlign w:val="center"/>
            <w:hideMark/>
          </w:tcPr>
          <w:p w14:paraId="29B01C3A"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1.4%</w:t>
            </w:r>
          </w:p>
        </w:tc>
      </w:tr>
      <w:tr w:rsidR="007E1AC6" w:rsidRPr="007E1AC6" w14:paraId="1883A6FC" w14:textId="77777777" w:rsidTr="009F5F55">
        <w:trPr>
          <w:cantSplit/>
          <w:trHeight w:val="20"/>
        </w:trPr>
        <w:tc>
          <w:tcPr>
            <w:tcW w:w="4505" w:type="dxa"/>
            <w:shd w:val="clear" w:color="000000" w:fill="FFFFFF"/>
            <w:vAlign w:val="center"/>
            <w:hideMark/>
          </w:tcPr>
          <w:p w14:paraId="475A06DC" w14:textId="1467E9FD" w:rsidR="007E1AC6" w:rsidRPr="00AF1E5C" w:rsidRDefault="00565D40" w:rsidP="007E1AC6">
            <w:pPr>
              <w:spacing w:after="0" w:line="240" w:lineRule="auto"/>
              <w:rPr>
                <w:rFonts w:ascii="Aptos Narrow" w:eastAsia="Times New Roman" w:hAnsi="Aptos Narrow" w:cs="Times New Roman"/>
                <w:color w:val="000000"/>
                <w:sz w:val="20"/>
                <w:szCs w:val="20"/>
              </w:rPr>
            </w:pPr>
            <w:r w:rsidRPr="00AF1E5C">
              <w:rPr>
                <w:rFonts w:ascii="Aptos Narrow" w:eastAsia="Times New Roman" w:hAnsi="Aptos Narrow" w:cs="Times New Roman"/>
                <w:color w:val="000000"/>
                <w:sz w:val="20"/>
                <w:szCs w:val="20"/>
              </w:rPr>
              <w:t>Upper Endoscopic Ultrasound</w:t>
            </w:r>
          </w:p>
        </w:tc>
        <w:tc>
          <w:tcPr>
            <w:tcW w:w="877" w:type="dxa"/>
            <w:shd w:val="clear" w:color="000000" w:fill="FFFFFF"/>
            <w:vAlign w:val="center"/>
            <w:hideMark/>
          </w:tcPr>
          <w:p w14:paraId="63C60F6B"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61.5</w:t>
            </w:r>
          </w:p>
        </w:tc>
        <w:tc>
          <w:tcPr>
            <w:tcW w:w="878" w:type="dxa"/>
            <w:shd w:val="clear" w:color="000000" w:fill="FFFFFF"/>
            <w:vAlign w:val="center"/>
            <w:hideMark/>
          </w:tcPr>
          <w:p w14:paraId="404A727C"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65.5</w:t>
            </w:r>
          </w:p>
        </w:tc>
        <w:tc>
          <w:tcPr>
            <w:tcW w:w="877" w:type="dxa"/>
            <w:shd w:val="clear" w:color="000000" w:fill="FFFFFF"/>
            <w:vAlign w:val="center"/>
            <w:hideMark/>
          </w:tcPr>
          <w:p w14:paraId="0316C722"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68</w:t>
            </w:r>
          </w:p>
        </w:tc>
        <w:tc>
          <w:tcPr>
            <w:tcW w:w="878" w:type="dxa"/>
            <w:shd w:val="clear" w:color="000000" w:fill="FFFFFF"/>
            <w:vAlign w:val="center"/>
            <w:hideMark/>
          </w:tcPr>
          <w:p w14:paraId="1BE20CCA"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73.7</w:t>
            </w:r>
          </w:p>
        </w:tc>
        <w:tc>
          <w:tcPr>
            <w:tcW w:w="1165" w:type="dxa"/>
            <w:shd w:val="clear" w:color="000000" w:fill="FFFFFF"/>
            <w:vAlign w:val="center"/>
            <w:hideMark/>
          </w:tcPr>
          <w:p w14:paraId="4A116605"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19.8%</w:t>
            </w:r>
          </w:p>
        </w:tc>
      </w:tr>
      <w:tr w:rsidR="007E1AC6" w:rsidRPr="007E1AC6" w14:paraId="15ECB1E2" w14:textId="77777777" w:rsidTr="009F5F55">
        <w:trPr>
          <w:cantSplit/>
          <w:trHeight w:val="20"/>
        </w:trPr>
        <w:tc>
          <w:tcPr>
            <w:tcW w:w="4505" w:type="dxa"/>
            <w:shd w:val="clear" w:color="000000" w:fill="FFFFFF"/>
            <w:vAlign w:val="center"/>
            <w:hideMark/>
          </w:tcPr>
          <w:p w14:paraId="0DA9CADF" w14:textId="77777777" w:rsidR="007E1AC6" w:rsidRPr="00AF1E5C" w:rsidRDefault="007E1AC6" w:rsidP="007E1AC6">
            <w:pPr>
              <w:spacing w:after="0" w:line="240" w:lineRule="auto"/>
              <w:rPr>
                <w:rFonts w:ascii="Aptos Narrow" w:eastAsia="Times New Roman" w:hAnsi="Aptos Narrow" w:cs="Times New Roman"/>
                <w:color w:val="000000"/>
                <w:sz w:val="20"/>
                <w:szCs w:val="20"/>
              </w:rPr>
            </w:pPr>
            <w:r w:rsidRPr="00AF1E5C">
              <w:rPr>
                <w:rFonts w:ascii="Aptos Narrow" w:eastAsia="Times New Roman" w:hAnsi="Aptos Narrow" w:cs="Times New Roman"/>
                <w:color w:val="000000"/>
                <w:sz w:val="20"/>
                <w:szCs w:val="20"/>
              </w:rPr>
              <w:t>Other</w:t>
            </w:r>
          </w:p>
        </w:tc>
        <w:tc>
          <w:tcPr>
            <w:tcW w:w="877" w:type="dxa"/>
            <w:shd w:val="clear" w:color="000000" w:fill="FFFFFF"/>
            <w:vAlign w:val="center"/>
            <w:hideMark/>
          </w:tcPr>
          <w:p w14:paraId="45D87EC4"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86.2</w:t>
            </w:r>
          </w:p>
        </w:tc>
        <w:tc>
          <w:tcPr>
            <w:tcW w:w="878" w:type="dxa"/>
            <w:shd w:val="clear" w:color="000000" w:fill="FFFFFF"/>
            <w:vAlign w:val="center"/>
            <w:hideMark/>
          </w:tcPr>
          <w:p w14:paraId="1D83F00F"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98.8</w:t>
            </w:r>
          </w:p>
        </w:tc>
        <w:tc>
          <w:tcPr>
            <w:tcW w:w="877" w:type="dxa"/>
            <w:shd w:val="clear" w:color="000000" w:fill="FFFFFF"/>
            <w:vAlign w:val="center"/>
            <w:hideMark/>
          </w:tcPr>
          <w:p w14:paraId="699D3488"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113.8</w:t>
            </w:r>
          </w:p>
        </w:tc>
        <w:tc>
          <w:tcPr>
            <w:tcW w:w="878" w:type="dxa"/>
            <w:shd w:val="clear" w:color="000000" w:fill="FFFFFF"/>
            <w:vAlign w:val="center"/>
            <w:hideMark/>
          </w:tcPr>
          <w:p w14:paraId="4EF53161"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100.3</w:t>
            </w:r>
          </w:p>
        </w:tc>
        <w:tc>
          <w:tcPr>
            <w:tcW w:w="1165" w:type="dxa"/>
            <w:shd w:val="clear" w:color="000000" w:fill="FFFFFF"/>
            <w:vAlign w:val="center"/>
            <w:hideMark/>
          </w:tcPr>
          <w:p w14:paraId="2F742643" w14:textId="77777777" w:rsidR="007E1AC6" w:rsidRPr="007E1AC6" w:rsidRDefault="007E1AC6" w:rsidP="0060169F">
            <w:pPr>
              <w:spacing w:after="0" w:line="240" w:lineRule="auto"/>
              <w:jc w:val="center"/>
              <w:rPr>
                <w:rFonts w:ascii="Aptos Narrow" w:eastAsia="Times New Roman" w:hAnsi="Aptos Narrow" w:cs="Times New Roman"/>
                <w:color w:val="000000"/>
                <w:sz w:val="20"/>
                <w:szCs w:val="20"/>
              </w:rPr>
            </w:pPr>
            <w:r w:rsidRPr="007E1AC6">
              <w:rPr>
                <w:rFonts w:ascii="Aptos Narrow" w:eastAsia="Times New Roman" w:hAnsi="Aptos Narrow" w:cs="Times New Roman"/>
                <w:color w:val="000000"/>
                <w:sz w:val="20"/>
                <w:szCs w:val="20"/>
              </w:rPr>
              <w:t>16.4%</w:t>
            </w:r>
          </w:p>
        </w:tc>
      </w:tr>
    </w:tbl>
    <w:p w14:paraId="2A6930FC" w14:textId="77777777" w:rsidR="00F57F6E" w:rsidRDefault="00F57F6E" w:rsidP="0060169F">
      <w:pPr>
        <w:pStyle w:val="pf0"/>
        <w:spacing w:before="0" w:beforeAutospacing="0" w:after="120" w:afterAutospacing="0"/>
        <w:ind w:left="720"/>
        <w:rPr>
          <w:rStyle w:val="cf01"/>
          <w:rFonts w:ascii="Aptos" w:hAnsi="Aptos" w:cstheme="minorHAnsi"/>
          <w:sz w:val="22"/>
          <w:szCs w:val="22"/>
          <w:u w:val="single"/>
        </w:rPr>
      </w:pPr>
    </w:p>
    <w:p w14:paraId="44F339C8" w14:textId="11EF7506" w:rsidR="0060169F" w:rsidRPr="0060169F" w:rsidRDefault="0060169F" w:rsidP="0060169F">
      <w:pPr>
        <w:pStyle w:val="pf0"/>
        <w:spacing w:before="0" w:beforeAutospacing="0" w:after="120" w:afterAutospacing="0"/>
        <w:ind w:left="720"/>
        <w:rPr>
          <w:rStyle w:val="cf01"/>
          <w:rFonts w:ascii="Aptos" w:hAnsi="Aptos" w:cstheme="minorHAnsi"/>
          <w:b/>
          <w:bCs/>
          <w:sz w:val="22"/>
          <w:szCs w:val="22"/>
          <w:u w:val="single"/>
        </w:rPr>
      </w:pPr>
      <w:r>
        <w:rPr>
          <w:rStyle w:val="cf01"/>
          <w:rFonts w:ascii="Aptos" w:hAnsi="Aptos" w:cstheme="minorHAnsi"/>
          <w:sz w:val="22"/>
          <w:szCs w:val="22"/>
          <w:u w:val="single"/>
        </w:rPr>
        <w:t>MGH</w:t>
      </w:r>
      <w:r w:rsidRPr="0060169F">
        <w:rPr>
          <w:rStyle w:val="cf01"/>
          <w:rFonts w:ascii="Aptos" w:hAnsi="Aptos" w:cstheme="minorHAnsi"/>
          <w:sz w:val="22"/>
          <w:szCs w:val="22"/>
          <w:u w:val="single"/>
        </w:rPr>
        <w:t xml:space="preserve"> Main Campus Endoscopy Wait Times (Days)</w:t>
      </w:r>
    </w:p>
    <w:tbl>
      <w:tblPr>
        <w:tblW w:w="9180"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877"/>
        <w:gridCol w:w="878"/>
        <w:gridCol w:w="877"/>
        <w:gridCol w:w="878"/>
        <w:gridCol w:w="1165"/>
      </w:tblGrid>
      <w:tr w:rsidR="0060169F" w:rsidRPr="0060169F" w14:paraId="13E3FF0E" w14:textId="77777777" w:rsidTr="0048562E">
        <w:trPr>
          <w:cantSplit/>
          <w:trHeight w:val="20"/>
          <w:tblHeader/>
        </w:trPr>
        <w:tc>
          <w:tcPr>
            <w:tcW w:w="4505" w:type="dxa"/>
            <w:shd w:val="clear" w:color="auto" w:fill="D5DCE4" w:themeFill="text2" w:themeFillTint="33"/>
            <w:vAlign w:val="center"/>
          </w:tcPr>
          <w:p w14:paraId="46731D23" w14:textId="3671EDF2" w:rsidR="0060169F" w:rsidRPr="0060169F" w:rsidRDefault="0060169F" w:rsidP="0060169F">
            <w:pPr>
              <w:spacing w:after="0" w:line="240" w:lineRule="auto"/>
              <w:rPr>
                <w:rFonts w:ascii="Aptos Narrow" w:eastAsia="Times New Roman" w:hAnsi="Aptos Narrow" w:cs="Times New Roman"/>
                <w:b/>
                <w:bCs/>
                <w:color w:val="000000"/>
                <w:sz w:val="18"/>
                <w:szCs w:val="18"/>
              </w:rPr>
            </w:pPr>
            <w:r w:rsidRPr="0060169F">
              <w:rPr>
                <w:rFonts w:ascii="Aptos" w:eastAsia="Times New Roman" w:hAnsi="Aptos" w:cs="Calibri"/>
                <w:b/>
                <w:bCs/>
                <w:color w:val="000000"/>
                <w:sz w:val="20"/>
                <w:szCs w:val="20"/>
              </w:rPr>
              <w:t>Endoscopy Procedure</w:t>
            </w:r>
          </w:p>
        </w:tc>
        <w:tc>
          <w:tcPr>
            <w:tcW w:w="877" w:type="dxa"/>
            <w:shd w:val="clear" w:color="auto" w:fill="D5DCE4" w:themeFill="text2" w:themeFillTint="33"/>
            <w:vAlign w:val="center"/>
          </w:tcPr>
          <w:p w14:paraId="49319DE2" w14:textId="4BC22D50" w:rsidR="0060169F" w:rsidRPr="0060169F" w:rsidRDefault="0060169F" w:rsidP="0060169F">
            <w:pPr>
              <w:spacing w:after="0" w:line="240" w:lineRule="auto"/>
              <w:jc w:val="center"/>
              <w:rPr>
                <w:rFonts w:ascii="Aptos Narrow" w:eastAsia="Times New Roman" w:hAnsi="Aptos Narrow" w:cs="Times New Roman"/>
                <w:color w:val="000000"/>
                <w:sz w:val="18"/>
                <w:szCs w:val="18"/>
              </w:rPr>
            </w:pPr>
            <w:r w:rsidRPr="007E1AC6">
              <w:rPr>
                <w:rFonts w:ascii="Aptos" w:eastAsia="Times New Roman" w:hAnsi="Aptos" w:cs="Times New Roman"/>
                <w:b/>
                <w:bCs/>
                <w:color w:val="000000"/>
                <w:sz w:val="20"/>
                <w:szCs w:val="20"/>
              </w:rPr>
              <w:t>FY22</w:t>
            </w:r>
          </w:p>
        </w:tc>
        <w:tc>
          <w:tcPr>
            <w:tcW w:w="878" w:type="dxa"/>
            <w:shd w:val="clear" w:color="auto" w:fill="D5DCE4" w:themeFill="text2" w:themeFillTint="33"/>
            <w:vAlign w:val="center"/>
          </w:tcPr>
          <w:p w14:paraId="0F82BC99" w14:textId="73512C14" w:rsidR="0060169F" w:rsidRPr="0060169F" w:rsidRDefault="0060169F" w:rsidP="0060169F">
            <w:pPr>
              <w:spacing w:after="0" w:line="240" w:lineRule="auto"/>
              <w:jc w:val="center"/>
              <w:rPr>
                <w:rFonts w:ascii="Aptos Narrow" w:eastAsia="Times New Roman" w:hAnsi="Aptos Narrow" w:cs="Times New Roman"/>
                <w:color w:val="000000"/>
                <w:sz w:val="18"/>
                <w:szCs w:val="18"/>
              </w:rPr>
            </w:pPr>
            <w:r w:rsidRPr="007E1AC6">
              <w:rPr>
                <w:rFonts w:ascii="Aptos" w:eastAsia="Times New Roman" w:hAnsi="Aptos" w:cs="Times New Roman"/>
                <w:b/>
                <w:bCs/>
                <w:color w:val="000000"/>
                <w:sz w:val="20"/>
                <w:szCs w:val="20"/>
              </w:rPr>
              <w:t>FY23</w:t>
            </w:r>
          </w:p>
        </w:tc>
        <w:tc>
          <w:tcPr>
            <w:tcW w:w="877" w:type="dxa"/>
            <w:shd w:val="clear" w:color="auto" w:fill="D5DCE4" w:themeFill="text2" w:themeFillTint="33"/>
            <w:vAlign w:val="center"/>
          </w:tcPr>
          <w:p w14:paraId="2589F6BA" w14:textId="0C14E930" w:rsidR="0060169F" w:rsidRPr="0060169F" w:rsidRDefault="0060169F" w:rsidP="0060169F">
            <w:pPr>
              <w:spacing w:after="0" w:line="240" w:lineRule="auto"/>
              <w:jc w:val="center"/>
              <w:rPr>
                <w:rFonts w:ascii="Aptos Narrow" w:eastAsia="Times New Roman" w:hAnsi="Aptos Narrow" w:cs="Times New Roman"/>
                <w:color w:val="000000"/>
                <w:sz w:val="18"/>
                <w:szCs w:val="18"/>
              </w:rPr>
            </w:pPr>
            <w:r w:rsidRPr="007E1AC6">
              <w:rPr>
                <w:rFonts w:ascii="Aptos" w:eastAsia="Times New Roman" w:hAnsi="Aptos" w:cs="Times New Roman"/>
                <w:b/>
                <w:bCs/>
                <w:color w:val="000000"/>
                <w:sz w:val="20"/>
                <w:szCs w:val="20"/>
              </w:rPr>
              <w:t>FY24</w:t>
            </w:r>
          </w:p>
        </w:tc>
        <w:tc>
          <w:tcPr>
            <w:tcW w:w="878" w:type="dxa"/>
            <w:shd w:val="clear" w:color="auto" w:fill="D5DCE4" w:themeFill="text2" w:themeFillTint="33"/>
            <w:vAlign w:val="center"/>
          </w:tcPr>
          <w:p w14:paraId="38CAF970" w14:textId="19429BE6" w:rsidR="0060169F" w:rsidRPr="0060169F" w:rsidRDefault="0060169F" w:rsidP="0060169F">
            <w:pPr>
              <w:spacing w:after="0" w:line="240" w:lineRule="auto"/>
              <w:jc w:val="center"/>
              <w:rPr>
                <w:rFonts w:ascii="Aptos Narrow" w:eastAsia="Times New Roman" w:hAnsi="Aptos Narrow" w:cs="Times New Roman"/>
                <w:color w:val="000000"/>
                <w:sz w:val="18"/>
                <w:szCs w:val="18"/>
              </w:rPr>
            </w:pPr>
            <w:r w:rsidRPr="007E1AC6">
              <w:rPr>
                <w:rFonts w:ascii="Aptos" w:eastAsia="Times New Roman" w:hAnsi="Aptos" w:cs="Times New Roman"/>
                <w:b/>
                <w:bCs/>
                <w:color w:val="000000"/>
                <w:sz w:val="20"/>
                <w:szCs w:val="20"/>
              </w:rPr>
              <w:t>FY25</w:t>
            </w:r>
          </w:p>
        </w:tc>
        <w:tc>
          <w:tcPr>
            <w:tcW w:w="1165" w:type="dxa"/>
            <w:shd w:val="clear" w:color="auto" w:fill="D5DCE4" w:themeFill="text2" w:themeFillTint="33"/>
            <w:vAlign w:val="center"/>
          </w:tcPr>
          <w:p w14:paraId="5DD01C8C" w14:textId="2B6388A5" w:rsidR="0060169F" w:rsidRPr="0060169F" w:rsidRDefault="0060169F" w:rsidP="0060169F">
            <w:pPr>
              <w:spacing w:after="0" w:line="240" w:lineRule="auto"/>
              <w:jc w:val="center"/>
              <w:rPr>
                <w:rFonts w:ascii="Aptos Narrow" w:eastAsia="Times New Roman" w:hAnsi="Aptos Narrow" w:cs="Times New Roman"/>
                <w:color w:val="000000"/>
                <w:sz w:val="18"/>
                <w:szCs w:val="18"/>
              </w:rPr>
            </w:pPr>
            <w:r w:rsidRPr="0060169F">
              <w:rPr>
                <w:rFonts w:ascii="Aptos" w:eastAsia="Times New Roman" w:hAnsi="Aptos" w:cs="Times New Roman"/>
                <w:b/>
                <w:bCs/>
                <w:color w:val="000000"/>
                <w:sz w:val="20"/>
                <w:szCs w:val="20"/>
              </w:rPr>
              <w:t>FY22-FY25</w:t>
            </w:r>
          </w:p>
        </w:tc>
      </w:tr>
      <w:tr w:rsidR="0060169F" w:rsidRPr="0060169F" w14:paraId="17319271" w14:textId="77777777" w:rsidTr="0048562E">
        <w:trPr>
          <w:cantSplit/>
          <w:trHeight w:val="20"/>
        </w:trPr>
        <w:tc>
          <w:tcPr>
            <w:tcW w:w="4505" w:type="dxa"/>
            <w:shd w:val="clear" w:color="000000" w:fill="FFFFFF"/>
            <w:vAlign w:val="center"/>
            <w:hideMark/>
          </w:tcPr>
          <w:p w14:paraId="78EC9C44" w14:textId="15DA4572" w:rsidR="0060169F" w:rsidRPr="00AF1E5C" w:rsidRDefault="00565D40" w:rsidP="0060169F">
            <w:pPr>
              <w:spacing w:after="0" w:line="240" w:lineRule="auto"/>
              <w:rPr>
                <w:rFonts w:ascii="Aptos Narrow" w:eastAsia="Times New Roman" w:hAnsi="Aptos Narrow" w:cs="Times New Roman"/>
                <w:color w:val="000000"/>
                <w:sz w:val="20"/>
                <w:szCs w:val="20"/>
              </w:rPr>
            </w:pPr>
            <w:r w:rsidRPr="00AF1E5C">
              <w:rPr>
                <w:rFonts w:ascii="Aptos Narrow" w:eastAsia="Times New Roman" w:hAnsi="Aptos Narrow" w:cs="Times New Roman"/>
                <w:color w:val="000000"/>
                <w:sz w:val="20"/>
                <w:szCs w:val="20"/>
              </w:rPr>
              <w:t>Colonoscopy</w:t>
            </w:r>
          </w:p>
        </w:tc>
        <w:tc>
          <w:tcPr>
            <w:tcW w:w="877" w:type="dxa"/>
            <w:shd w:val="clear" w:color="000000" w:fill="FFFFFF"/>
            <w:vAlign w:val="center"/>
            <w:hideMark/>
          </w:tcPr>
          <w:p w14:paraId="2833D244"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121.8</w:t>
            </w:r>
          </w:p>
        </w:tc>
        <w:tc>
          <w:tcPr>
            <w:tcW w:w="878" w:type="dxa"/>
            <w:shd w:val="clear" w:color="000000" w:fill="FFFFFF"/>
            <w:vAlign w:val="center"/>
            <w:hideMark/>
          </w:tcPr>
          <w:p w14:paraId="67165464"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164.5</w:t>
            </w:r>
          </w:p>
        </w:tc>
        <w:tc>
          <w:tcPr>
            <w:tcW w:w="877" w:type="dxa"/>
            <w:shd w:val="clear" w:color="000000" w:fill="FFFFFF"/>
            <w:vAlign w:val="center"/>
            <w:hideMark/>
          </w:tcPr>
          <w:p w14:paraId="5EB06A6D"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162.8</w:t>
            </w:r>
          </w:p>
        </w:tc>
        <w:tc>
          <w:tcPr>
            <w:tcW w:w="878" w:type="dxa"/>
            <w:shd w:val="clear" w:color="000000" w:fill="FFFFFF"/>
            <w:vAlign w:val="center"/>
            <w:hideMark/>
          </w:tcPr>
          <w:p w14:paraId="30EFB93B"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148.1</w:t>
            </w:r>
          </w:p>
        </w:tc>
        <w:tc>
          <w:tcPr>
            <w:tcW w:w="1165" w:type="dxa"/>
            <w:shd w:val="clear" w:color="000000" w:fill="FFFFFF"/>
            <w:vAlign w:val="center"/>
            <w:hideMark/>
          </w:tcPr>
          <w:p w14:paraId="77A1D9E8"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21.6%</w:t>
            </w:r>
          </w:p>
        </w:tc>
      </w:tr>
      <w:tr w:rsidR="0060169F" w:rsidRPr="0060169F" w14:paraId="14B249F7" w14:textId="77777777" w:rsidTr="0048562E">
        <w:trPr>
          <w:cantSplit/>
          <w:trHeight w:val="20"/>
        </w:trPr>
        <w:tc>
          <w:tcPr>
            <w:tcW w:w="4505" w:type="dxa"/>
            <w:shd w:val="clear" w:color="000000" w:fill="FFFFFF"/>
            <w:vAlign w:val="center"/>
            <w:hideMark/>
          </w:tcPr>
          <w:p w14:paraId="63CBC7F3" w14:textId="1374B405" w:rsidR="0060169F" w:rsidRPr="00AF1E5C" w:rsidRDefault="00D03EF7" w:rsidP="0060169F">
            <w:pPr>
              <w:spacing w:after="0" w:line="240" w:lineRule="auto"/>
              <w:rPr>
                <w:rFonts w:ascii="Aptos Narrow" w:eastAsia="Times New Roman" w:hAnsi="Aptos Narrow" w:cs="Times New Roman"/>
                <w:color w:val="000000"/>
                <w:sz w:val="20"/>
                <w:szCs w:val="20"/>
              </w:rPr>
            </w:pPr>
            <w:r w:rsidRPr="00AF1E5C">
              <w:rPr>
                <w:rFonts w:ascii="Aptos Narrow" w:eastAsia="Times New Roman" w:hAnsi="Aptos Narrow" w:cs="Times New Roman"/>
                <w:color w:val="000000"/>
                <w:sz w:val="20"/>
                <w:szCs w:val="20"/>
              </w:rPr>
              <w:t>Endoscopic Retrograde Cholangiopancreatography</w:t>
            </w:r>
          </w:p>
        </w:tc>
        <w:tc>
          <w:tcPr>
            <w:tcW w:w="877" w:type="dxa"/>
            <w:shd w:val="clear" w:color="000000" w:fill="FFFFFF"/>
            <w:vAlign w:val="center"/>
            <w:hideMark/>
          </w:tcPr>
          <w:p w14:paraId="1BC29962"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41.9</w:t>
            </w:r>
          </w:p>
        </w:tc>
        <w:tc>
          <w:tcPr>
            <w:tcW w:w="878" w:type="dxa"/>
            <w:shd w:val="clear" w:color="000000" w:fill="FFFFFF"/>
            <w:vAlign w:val="center"/>
            <w:hideMark/>
          </w:tcPr>
          <w:p w14:paraId="138311DB"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47.2</w:t>
            </w:r>
          </w:p>
        </w:tc>
        <w:tc>
          <w:tcPr>
            <w:tcW w:w="877" w:type="dxa"/>
            <w:shd w:val="clear" w:color="000000" w:fill="FFFFFF"/>
            <w:vAlign w:val="center"/>
            <w:hideMark/>
          </w:tcPr>
          <w:p w14:paraId="2650BC74"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51.5</w:t>
            </w:r>
          </w:p>
        </w:tc>
        <w:tc>
          <w:tcPr>
            <w:tcW w:w="878" w:type="dxa"/>
            <w:shd w:val="clear" w:color="000000" w:fill="FFFFFF"/>
            <w:vAlign w:val="center"/>
            <w:hideMark/>
          </w:tcPr>
          <w:p w14:paraId="025A62F8"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51.5</w:t>
            </w:r>
          </w:p>
        </w:tc>
        <w:tc>
          <w:tcPr>
            <w:tcW w:w="1165" w:type="dxa"/>
            <w:shd w:val="clear" w:color="000000" w:fill="FFFFFF"/>
            <w:vAlign w:val="center"/>
            <w:hideMark/>
          </w:tcPr>
          <w:p w14:paraId="609379BE"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22.9%</w:t>
            </w:r>
          </w:p>
        </w:tc>
      </w:tr>
      <w:tr w:rsidR="0060169F" w:rsidRPr="0060169F" w14:paraId="33D69ECD" w14:textId="77777777" w:rsidTr="0048562E">
        <w:trPr>
          <w:cantSplit/>
          <w:trHeight w:val="20"/>
        </w:trPr>
        <w:tc>
          <w:tcPr>
            <w:tcW w:w="4505" w:type="dxa"/>
            <w:shd w:val="clear" w:color="000000" w:fill="FFFFFF"/>
            <w:vAlign w:val="center"/>
            <w:hideMark/>
          </w:tcPr>
          <w:p w14:paraId="16CC4E57" w14:textId="2C492BBD" w:rsidR="0060169F" w:rsidRPr="00AF1E5C" w:rsidRDefault="00565D40" w:rsidP="0060169F">
            <w:pPr>
              <w:spacing w:after="0" w:line="240" w:lineRule="auto"/>
              <w:rPr>
                <w:rFonts w:ascii="Aptos Narrow" w:eastAsia="Times New Roman" w:hAnsi="Aptos Narrow" w:cs="Times New Roman"/>
                <w:color w:val="000000"/>
                <w:sz w:val="20"/>
                <w:szCs w:val="20"/>
              </w:rPr>
            </w:pPr>
            <w:r w:rsidRPr="00AF1E5C">
              <w:rPr>
                <w:rFonts w:ascii="Aptos Narrow" w:eastAsia="Times New Roman" w:hAnsi="Aptos Narrow" w:cs="Times New Roman"/>
                <w:color w:val="000000"/>
                <w:sz w:val="20"/>
                <w:szCs w:val="20"/>
              </w:rPr>
              <w:t>Esophagogastroduodenoscopy</w:t>
            </w:r>
          </w:p>
        </w:tc>
        <w:tc>
          <w:tcPr>
            <w:tcW w:w="877" w:type="dxa"/>
            <w:shd w:val="clear" w:color="000000" w:fill="FFFFFF"/>
            <w:vAlign w:val="center"/>
            <w:hideMark/>
          </w:tcPr>
          <w:p w14:paraId="36E62FA1"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77.2</w:t>
            </w:r>
          </w:p>
        </w:tc>
        <w:tc>
          <w:tcPr>
            <w:tcW w:w="878" w:type="dxa"/>
            <w:shd w:val="clear" w:color="000000" w:fill="FFFFFF"/>
            <w:vAlign w:val="center"/>
            <w:hideMark/>
          </w:tcPr>
          <w:p w14:paraId="37BE0D07"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92.7</w:t>
            </w:r>
          </w:p>
        </w:tc>
        <w:tc>
          <w:tcPr>
            <w:tcW w:w="877" w:type="dxa"/>
            <w:shd w:val="clear" w:color="000000" w:fill="FFFFFF"/>
            <w:vAlign w:val="center"/>
            <w:hideMark/>
          </w:tcPr>
          <w:p w14:paraId="1106A1B5"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84.1</w:t>
            </w:r>
          </w:p>
        </w:tc>
        <w:tc>
          <w:tcPr>
            <w:tcW w:w="878" w:type="dxa"/>
            <w:shd w:val="clear" w:color="000000" w:fill="FFFFFF"/>
            <w:vAlign w:val="center"/>
            <w:hideMark/>
          </w:tcPr>
          <w:p w14:paraId="46766044"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86.6</w:t>
            </w:r>
          </w:p>
        </w:tc>
        <w:tc>
          <w:tcPr>
            <w:tcW w:w="1165" w:type="dxa"/>
            <w:shd w:val="clear" w:color="000000" w:fill="FFFFFF"/>
            <w:vAlign w:val="center"/>
            <w:hideMark/>
          </w:tcPr>
          <w:p w14:paraId="4657DD6E"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12.2%</w:t>
            </w:r>
          </w:p>
        </w:tc>
      </w:tr>
      <w:tr w:rsidR="0060169F" w:rsidRPr="0060169F" w14:paraId="110C774D" w14:textId="77777777" w:rsidTr="0048562E">
        <w:trPr>
          <w:cantSplit/>
          <w:trHeight w:val="20"/>
        </w:trPr>
        <w:tc>
          <w:tcPr>
            <w:tcW w:w="4505" w:type="dxa"/>
            <w:shd w:val="clear" w:color="000000" w:fill="FFFFFF"/>
            <w:vAlign w:val="center"/>
            <w:hideMark/>
          </w:tcPr>
          <w:p w14:paraId="4B96F025" w14:textId="72A6D800" w:rsidR="0060169F" w:rsidRPr="00AF1E5C" w:rsidRDefault="00565D40" w:rsidP="0060169F">
            <w:pPr>
              <w:spacing w:after="0" w:line="240" w:lineRule="auto"/>
              <w:rPr>
                <w:rFonts w:ascii="Aptos Narrow" w:eastAsia="Times New Roman" w:hAnsi="Aptos Narrow" w:cs="Times New Roman"/>
                <w:color w:val="000000"/>
                <w:sz w:val="20"/>
                <w:szCs w:val="20"/>
              </w:rPr>
            </w:pPr>
            <w:r w:rsidRPr="00AF1E5C">
              <w:rPr>
                <w:rFonts w:ascii="Aptos Narrow" w:eastAsia="Times New Roman" w:hAnsi="Aptos Narrow" w:cs="Times New Roman"/>
                <w:color w:val="000000"/>
                <w:sz w:val="20"/>
                <w:szCs w:val="20"/>
              </w:rPr>
              <w:t>Gastroscopy Flexible</w:t>
            </w:r>
          </w:p>
        </w:tc>
        <w:tc>
          <w:tcPr>
            <w:tcW w:w="877" w:type="dxa"/>
            <w:shd w:val="clear" w:color="000000" w:fill="FFFFFF"/>
            <w:vAlign w:val="center"/>
            <w:hideMark/>
          </w:tcPr>
          <w:p w14:paraId="788794D4"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62.4</w:t>
            </w:r>
          </w:p>
        </w:tc>
        <w:tc>
          <w:tcPr>
            <w:tcW w:w="878" w:type="dxa"/>
            <w:shd w:val="clear" w:color="000000" w:fill="FFFFFF"/>
            <w:vAlign w:val="center"/>
            <w:hideMark/>
          </w:tcPr>
          <w:p w14:paraId="04657D9C"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66.9</w:t>
            </w:r>
          </w:p>
        </w:tc>
        <w:tc>
          <w:tcPr>
            <w:tcW w:w="877" w:type="dxa"/>
            <w:shd w:val="clear" w:color="000000" w:fill="FFFFFF"/>
            <w:vAlign w:val="center"/>
            <w:hideMark/>
          </w:tcPr>
          <w:p w14:paraId="44906F10"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70.5</w:t>
            </w:r>
          </w:p>
        </w:tc>
        <w:tc>
          <w:tcPr>
            <w:tcW w:w="878" w:type="dxa"/>
            <w:shd w:val="clear" w:color="000000" w:fill="FFFFFF"/>
            <w:vAlign w:val="center"/>
            <w:hideMark/>
          </w:tcPr>
          <w:p w14:paraId="740184C9"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76.4</w:t>
            </w:r>
          </w:p>
        </w:tc>
        <w:tc>
          <w:tcPr>
            <w:tcW w:w="1165" w:type="dxa"/>
            <w:shd w:val="clear" w:color="000000" w:fill="FFFFFF"/>
            <w:vAlign w:val="center"/>
            <w:hideMark/>
          </w:tcPr>
          <w:p w14:paraId="79501A43"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22.4%</w:t>
            </w:r>
          </w:p>
        </w:tc>
      </w:tr>
      <w:tr w:rsidR="0060169F" w:rsidRPr="0060169F" w14:paraId="1AFD11A0" w14:textId="77777777" w:rsidTr="0048562E">
        <w:trPr>
          <w:cantSplit/>
          <w:trHeight w:val="20"/>
        </w:trPr>
        <w:tc>
          <w:tcPr>
            <w:tcW w:w="4505" w:type="dxa"/>
            <w:shd w:val="clear" w:color="000000" w:fill="FFFFFF"/>
            <w:vAlign w:val="center"/>
            <w:hideMark/>
          </w:tcPr>
          <w:p w14:paraId="26497B4C" w14:textId="350C0E3F" w:rsidR="0060169F" w:rsidRPr="00AF1E5C" w:rsidRDefault="00565D40" w:rsidP="0060169F">
            <w:pPr>
              <w:spacing w:after="0" w:line="240" w:lineRule="auto"/>
              <w:rPr>
                <w:rFonts w:ascii="Aptos Narrow" w:eastAsia="Times New Roman" w:hAnsi="Aptos Narrow" w:cs="Times New Roman"/>
                <w:color w:val="000000"/>
                <w:sz w:val="20"/>
                <w:szCs w:val="20"/>
              </w:rPr>
            </w:pPr>
            <w:r w:rsidRPr="00AF1E5C">
              <w:rPr>
                <w:rFonts w:ascii="Aptos Narrow" w:eastAsia="Times New Roman" w:hAnsi="Aptos Narrow" w:cs="Times New Roman"/>
                <w:color w:val="000000"/>
                <w:sz w:val="20"/>
                <w:szCs w:val="20"/>
              </w:rPr>
              <w:t>Sigmoidoscopy Flexible</w:t>
            </w:r>
          </w:p>
        </w:tc>
        <w:tc>
          <w:tcPr>
            <w:tcW w:w="877" w:type="dxa"/>
            <w:shd w:val="clear" w:color="000000" w:fill="FFFFFF"/>
            <w:vAlign w:val="center"/>
            <w:hideMark/>
          </w:tcPr>
          <w:p w14:paraId="6C0BE088"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40.5</w:t>
            </w:r>
          </w:p>
        </w:tc>
        <w:tc>
          <w:tcPr>
            <w:tcW w:w="878" w:type="dxa"/>
            <w:shd w:val="clear" w:color="000000" w:fill="FFFFFF"/>
            <w:vAlign w:val="center"/>
            <w:hideMark/>
          </w:tcPr>
          <w:p w14:paraId="1EB1BE04"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45</w:t>
            </w:r>
          </w:p>
        </w:tc>
        <w:tc>
          <w:tcPr>
            <w:tcW w:w="877" w:type="dxa"/>
            <w:shd w:val="clear" w:color="000000" w:fill="FFFFFF"/>
            <w:vAlign w:val="center"/>
            <w:hideMark/>
          </w:tcPr>
          <w:p w14:paraId="23D355A1"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47.8</w:t>
            </w:r>
          </w:p>
        </w:tc>
        <w:tc>
          <w:tcPr>
            <w:tcW w:w="878" w:type="dxa"/>
            <w:shd w:val="clear" w:color="000000" w:fill="FFFFFF"/>
            <w:vAlign w:val="center"/>
            <w:hideMark/>
          </w:tcPr>
          <w:p w14:paraId="7D88C179"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51.3</w:t>
            </w:r>
          </w:p>
        </w:tc>
        <w:tc>
          <w:tcPr>
            <w:tcW w:w="1165" w:type="dxa"/>
            <w:shd w:val="clear" w:color="000000" w:fill="FFFFFF"/>
            <w:vAlign w:val="center"/>
            <w:hideMark/>
          </w:tcPr>
          <w:p w14:paraId="027343CF"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26.7%</w:t>
            </w:r>
          </w:p>
        </w:tc>
      </w:tr>
      <w:tr w:rsidR="0060169F" w:rsidRPr="0060169F" w14:paraId="1011288C" w14:textId="77777777" w:rsidTr="0048562E">
        <w:trPr>
          <w:cantSplit/>
          <w:trHeight w:val="20"/>
        </w:trPr>
        <w:tc>
          <w:tcPr>
            <w:tcW w:w="4505" w:type="dxa"/>
            <w:shd w:val="clear" w:color="000000" w:fill="FFFFFF"/>
            <w:vAlign w:val="center"/>
            <w:hideMark/>
          </w:tcPr>
          <w:p w14:paraId="7999EE28" w14:textId="3CD1965C" w:rsidR="0060169F" w:rsidRPr="00AF1E5C" w:rsidRDefault="00565D40" w:rsidP="0060169F">
            <w:pPr>
              <w:spacing w:after="0" w:line="240" w:lineRule="auto"/>
              <w:rPr>
                <w:rFonts w:ascii="Aptos Narrow" w:eastAsia="Times New Roman" w:hAnsi="Aptos Narrow" w:cs="Times New Roman"/>
                <w:color w:val="000000"/>
                <w:sz w:val="20"/>
                <w:szCs w:val="20"/>
              </w:rPr>
            </w:pPr>
            <w:r w:rsidRPr="00AF1E5C">
              <w:rPr>
                <w:rFonts w:ascii="Aptos Narrow" w:eastAsia="Times New Roman" w:hAnsi="Aptos Narrow" w:cs="Times New Roman"/>
                <w:color w:val="000000"/>
                <w:sz w:val="20"/>
                <w:szCs w:val="20"/>
              </w:rPr>
              <w:t>Upper Endoscopic Ultrasound</w:t>
            </w:r>
          </w:p>
        </w:tc>
        <w:tc>
          <w:tcPr>
            <w:tcW w:w="877" w:type="dxa"/>
            <w:shd w:val="clear" w:color="000000" w:fill="FFFFFF"/>
            <w:vAlign w:val="center"/>
            <w:hideMark/>
          </w:tcPr>
          <w:p w14:paraId="21526CDE"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85.3</w:t>
            </w:r>
          </w:p>
        </w:tc>
        <w:tc>
          <w:tcPr>
            <w:tcW w:w="878" w:type="dxa"/>
            <w:shd w:val="clear" w:color="000000" w:fill="FFFFFF"/>
            <w:vAlign w:val="center"/>
            <w:hideMark/>
          </w:tcPr>
          <w:p w14:paraId="72274FB2"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90.1</w:t>
            </w:r>
          </w:p>
        </w:tc>
        <w:tc>
          <w:tcPr>
            <w:tcW w:w="877" w:type="dxa"/>
            <w:shd w:val="clear" w:color="000000" w:fill="FFFFFF"/>
            <w:vAlign w:val="center"/>
            <w:hideMark/>
          </w:tcPr>
          <w:p w14:paraId="692951B4"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79.8</w:t>
            </w:r>
          </w:p>
        </w:tc>
        <w:tc>
          <w:tcPr>
            <w:tcW w:w="878" w:type="dxa"/>
            <w:shd w:val="clear" w:color="000000" w:fill="FFFFFF"/>
            <w:vAlign w:val="center"/>
            <w:hideMark/>
          </w:tcPr>
          <w:p w14:paraId="713051E9"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83.8</w:t>
            </w:r>
          </w:p>
        </w:tc>
        <w:tc>
          <w:tcPr>
            <w:tcW w:w="1165" w:type="dxa"/>
            <w:shd w:val="clear" w:color="000000" w:fill="FFFFFF"/>
            <w:vAlign w:val="center"/>
            <w:hideMark/>
          </w:tcPr>
          <w:p w14:paraId="65C34A95"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-1.8%</w:t>
            </w:r>
          </w:p>
        </w:tc>
      </w:tr>
      <w:tr w:rsidR="0060169F" w:rsidRPr="0060169F" w14:paraId="55FA6AE5" w14:textId="77777777" w:rsidTr="0048562E">
        <w:trPr>
          <w:cantSplit/>
          <w:trHeight w:val="20"/>
        </w:trPr>
        <w:tc>
          <w:tcPr>
            <w:tcW w:w="4505" w:type="dxa"/>
            <w:shd w:val="clear" w:color="000000" w:fill="FFFFFF"/>
            <w:vAlign w:val="center"/>
            <w:hideMark/>
          </w:tcPr>
          <w:p w14:paraId="7D4D4458" w14:textId="77777777" w:rsidR="0060169F" w:rsidRPr="00AF1E5C" w:rsidRDefault="0060169F" w:rsidP="0060169F">
            <w:pPr>
              <w:spacing w:after="0" w:line="240" w:lineRule="auto"/>
              <w:rPr>
                <w:rFonts w:ascii="Aptos Narrow" w:eastAsia="Times New Roman" w:hAnsi="Aptos Narrow" w:cs="Times New Roman"/>
                <w:color w:val="000000"/>
                <w:sz w:val="20"/>
                <w:szCs w:val="20"/>
              </w:rPr>
            </w:pPr>
            <w:r w:rsidRPr="00AF1E5C">
              <w:rPr>
                <w:rFonts w:ascii="Aptos Narrow" w:eastAsia="Times New Roman" w:hAnsi="Aptos Narrow" w:cs="Times New Roman"/>
                <w:color w:val="000000"/>
                <w:sz w:val="20"/>
                <w:szCs w:val="20"/>
              </w:rPr>
              <w:t>Other</w:t>
            </w:r>
          </w:p>
        </w:tc>
        <w:tc>
          <w:tcPr>
            <w:tcW w:w="877" w:type="dxa"/>
            <w:shd w:val="clear" w:color="000000" w:fill="FFFFFF"/>
            <w:vAlign w:val="center"/>
            <w:hideMark/>
          </w:tcPr>
          <w:p w14:paraId="1843DABC"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101.5</w:t>
            </w:r>
          </w:p>
        </w:tc>
        <w:tc>
          <w:tcPr>
            <w:tcW w:w="878" w:type="dxa"/>
            <w:shd w:val="clear" w:color="000000" w:fill="FFFFFF"/>
            <w:vAlign w:val="center"/>
            <w:hideMark/>
          </w:tcPr>
          <w:p w14:paraId="7E2B0E06"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133.5</w:t>
            </w:r>
          </w:p>
        </w:tc>
        <w:tc>
          <w:tcPr>
            <w:tcW w:w="877" w:type="dxa"/>
            <w:shd w:val="clear" w:color="000000" w:fill="FFFFFF"/>
            <w:vAlign w:val="center"/>
            <w:hideMark/>
          </w:tcPr>
          <w:p w14:paraId="54C5F111"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127.9</w:t>
            </w:r>
          </w:p>
        </w:tc>
        <w:tc>
          <w:tcPr>
            <w:tcW w:w="878" w:type="dxa"/>
            <w:shd w:val="clear" w:color="000000" w:fill="FFFFFF"/>
            <w:vAlign w:val="center"/>
            <w:hideMark/>
          </w:tcPr>
          <w:p w14:paraId="48BE00CD"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120.4</w:t>
            </w:r>
          </w:p>
        </w:tc>
        <w:tc>
          <w:tcPr>
            <w:tcW w:w="1165" w:type="dxa"/>
            <w:shd w:val="clear" w:color="000000" w:fill="FFFFFF"/>
            <w:vAlign w:val="center"/>
            <w:hideMark/>
          </w:tcPr>
          <w:p w14:paraId="3C319A54" w14:textId="77777777" w:rsidR="0060169F" w:rsidRPr="0060169F" w:rsidRDefault="0060169F" w:rsidP="0060169F">
            <w:pPr>
              <w:spacing w:after="0" w:line="240" w:lineRule="auto"/>
              <w:jc w:val="center"/>
              <w:rPr>
                <w:rFonts w:ascii="Aptos Narrow" w:eastAsia="Times New Roman" w:hAnsi="Aptos Narrow" w:cs="Times New Roman"/>
                <w:color w:val="000000"/>
                <w:sz w:val="20"/>
                <w:szCs w:val="20"/>
              </w:rPr>
            </w:pPr>
            <w:r w:rsidRPr="0060169F">
              <w:rPr>
                <w:rFonts w:ascii="Aptos Narrow" w:eastAsia="Times New Roman" w:hAnsi="Aptos Narrow" w:cs="Times New Roman"/>
                <w:color w:val="000000"/>
                <w:sz w:val="20"/>
                <w:szCs w:val="20"/>
              </w:rPr>
              <w:t>18.6%</w:t>
            </w:r>
          </w:p>
        </w:tc>
      </w:tr>
    </w:tbl>
    <w:p w14:paraId="1C8EB1CC" w14:textId="77777777" w:rsidR="0060169F" w:rsidRPr="00507EB3" w:rsidRDefault="0060169F" w:rsidP="00F57F6E">
      <w:pPr>
        <w:pStyle w:val="pf0"/>
        <w:spacing w:before="0" w:beforeAutospacing="0" w:after="120" w:afterAutospacing="0"/>
        <w:rPr>
          <w:rStyle w:val="cf01"/>
          <w:rFonts w:ascii="Aptos" w:hAnsi="Aptos" w:cstheme="minorHAnsi"/>
          <w:b/>
          <w:bCs/>
          <w:sz w:val="22"/>
          <w:szCs w:val="22"/>
          <w:highlight w:val="yellow"/>
        </w:rPr>
      </w:pPr>
    </w:p>
    <w:p w14:paraId="14039685" w14:textId="3119629B" w:rsidR="00FE25A9" w:rsidRPr="00507EB3" w:rsidRDefault="00C11483" w:rsidP="0048562E">
      <w:pPr>
        <w:pStyle w:val="Heading1"/>
        <w:rPr>
          <w:rStyle w:val="cf01"/>
          <w:rFonts w:ascii="Aptos" w:hAnsi="Aptos" w:cstheme="minorHAnsi"/>
          <w:b w:val="0"/>
          <w:bCs w:val="0"/>
          <w:sz w:val="22"/>
          <w:szCs w:val="22"/>
        </w:rPr>
      </w:pPr>
      <w:r w:rsidRPr="00507EB3">
        <w:rPr>
          <w:rStyle w:val="cf01"/>
          <w:rFonts w:ascii="Aptos" w:hAnsi="Aptos" w:cstheme="minorHAnsi"/>
          <w:sz w:val="22"/>
          <w:szCs w:val="22"/>
        </w:rPr>
        <w:t xml:space="preserve">Round 1 </w:t>
      </w:r>
      <w:proofErr w:type="gramStart"/>
      <w:r w:rsidRPr="00507EB3">
        <w:rPr>
          <w:rStyle w:val="cf01"/>
          <w:rFonts w:ascii="Aptos" w:hAnsi="Aptos" w:cstheme="minorHAnsi"/>
          <w:sz w:val="22"/>
          <w:szCs w:val="22"/>
        </w:rPr>
        <w:t>responses</w:t>
      </w:r>
      <w:proofErr w:type="gramEnd"/>
      <w:r w:rsidRPr="00507EB3">
        <w:rPr>
          <w:rStyle w:val="cf01"/>
          <w:rFonts w:ascii="Aptos" w:hAnsi="Aptos" w:cstheme="minorHAnsi"/>
          <w:sz w:val="22"/>
          <w:szCs w:val="22"/>
        </w:rPr>
        <w:t xml:space="preserve"> (question </w:t>
      </w:r>
      <w:r w:rsidR="00200D68" w:rsidRPr="00507EB3">
        <w:rPr>
          <w:rStyle w:val="cf01"/>
          <w:rFonts w:ascii="Aptos" w:hAnsi="Aptos" w:cstheme="minorHAnsi"/>
          <w:sz w:val="22"/>
          <w:szCs w:val="22"/>
        </w:rPr>
        <w:t xml:space="preserve">6) indicates that the </w:t>
      </w:r>
      <w:r w:rsidR="0035196E" w:rsidRPr="00507EB3">
        <w:rPr>
          <w:rStyle w:val="cf01"/>
          <w:rFonts w:ascii="Aptos" w:hAnsi="Aptos" w:cstheme="minorHAnsi"/>
          <w:sz w:val="22"/>
          <w:szCs w:val="22"/>
        </w:rPr>
        <w:t xml:space="preserve">projected capacity of the new ASC was determined by the size and </w:t>
      </w:r>
      <w:proofErr w:type="gramStart"/>
      <w:r w:rsidR="0035196E" w:rsidRPr="00507EB3">
        <w:rPr>
          <w:rStyle w:val="cf01"/>
          <w:rFonts w:ascii="Aptos" w:hAnsi="Aptos" w:cstheme="minorHAnsi"/>
          <w:sz w:val="22"/>
          <w:szCs w:val="22"/>
        </w:rPr>
        <w:t xml:space="preserve">particular </w:t>
      </w:r>
      <w:r w:rsidR="00CE1A74" w:rsidRPr="00507EB3">
        <w:rPr>
          <w:rStyle w:val="cf01"/>
          <w:rFonts w:ascii="Aptos" w:hAnsi="Aptos" w:cstheme="minorHAnsi"/>
          <w:sz w:val="22"/>
          <w:szCs w:val="22"/>
        </w:rPr>
        <w:t>features</w:t>
      </w:r>
      <w:proofErr w:type="gramEnd"/>
      <w:r w:rsidR="00CE1A74" w:rsidRPr="00507EB3">
        <w:rPr>
          <w:rStyle w:val="cf01"/>
          <w:rFonts w:ascii="Aptos" w:hAnsi="Aptos" w:cstheme="minorHAnsi"/>
          <w:sz w:val="22"/>
          <w:szCs w:val="22"/>
        </w:rPr>
        <w:t xml:space="preserve"> of the facility that was secured. Did the Applicant use any </w:t>
      </w:r>
      <w:r w:rsidR="00A26001" w:rsidRPr="00507EB3">
        <w:rPr>
          <w:rStyle w:val="cf01"/>
          <w:rFonts w:ascii="Aptos" w:hAnsi="Aptos" w:cstheme="minorHAnsi"/>
          <w:sz w:val="22"/>
          <w:szCs w:val="22"/>
        </w:rPr>
        <w:t xml:space="preserve">kind of </w:t>
      </w:r>
      <w:r w:rsidR="00CE1A74" w:rsidRPr="00507EB3">
        <w:rPr>
          <w:rStyle w:val="cf01"/>
          <w:rFonts w:ascii="Aptos" w:hAnsi="Aptos" w:cstheme="minorHAnsi"/>
          <w:sz w:val="22"/>
          <w:szCs w:val="22"/>
        </w:rPr>
        <w:t xml:space="preserve">methodology to determine </w:t>
      </w:r>
      <w:r w:rsidR="00C40AA5" w:rsidRPr="00507EB3">
        <w:rPr>
          <w:rStyle w:val="cf01"/>
          <w:rFonts w:ascii="Aptos" w:hAnsi="Aptos" w:cstheme="minorHAnsi"/>
          <w:sz w:val="22"/>
          <w:szCs w:val="22"/>
        </w:rPr>
        <w:t>the size of facility to seek for this project?</w:t>
      </w:r>
      <w:r w:rsidR="000167B3" w:rsidRPr="00507EB3">
        <w:rPr>
          <w:rStyle w:val="cf01"/>
          <w:rFonts w:ascii="Aptos" w:hAnsi="Aptos" w:cstheme="minorHAnsi"/>
          <w:sz w:val="22"/>
          <w:szCs w:val="22"/>
        </w:rPr>
        <w:t xml:space="preserve"> </w:t>
      </w:r>
    </w:p>
    <w:p w14:paraId="01E4DE8F" w14:textId="0C303131" w:rsidR="00AE745C" w:rsidRPr="00507EB3" w:rsidRDefault="00AE745C" w:rsidP="00507EB3">
      <w:pPr>
        <w:pStyle w:val="pf0"/>
        <w:spacing w:before="0" w:beforeAutospacing="0" w:after="120" w:afterAutospacing="0"/>
        <w:ind w:left="720"/>
        <w:jc w:val="both"/>
        <w:rPr>
          <w:rFonts w:ascii="Aptos" w:eastAsiaTheme="minorHAnsi" w:hAnsi="Aptos" w:cstheme="minorBidi"/>
          <w:sz w:val="22"/>
          <w:szCs w:val="22"/>
        </w:rPr>
      </w:pPr>
      <w:r w:rsidRPr="00507EB3">
        <w:rPr>
          <w:rFonts w:ascii="Aptos" w:eastAsiaTheme="minorHAnsi" w:hAnsi="Aptos" w:cstheme="minorBidi"/>
          <w:sz w:val="22"/>
          <w:szCs w:val="22"/>
        </w:rPr>
        <w:t xml:space="preserve">To address the need for endoscopy by the Patient Panel, the Applicant looked for a suitable space within the Proposed Service Area that was 1) available for sale or lease, 2) easily </w:t>
      </w:r>
      <w:r w:rsidR="00310A00" w:rsidRPr="00507EB3">
        <w:rPr>
          <w:rFonts w:ascii="Aptos" w:eastAsiaTheme="minorHAnsi" w:hAnsi="Aptos" w:cstheme="minorBidi"/>
          <w:sz w:val="22"/>
          <w:szCs w:val="22"/>
        </w:rPr>
        <w:t>renovated</w:t>
      </w:r>
      <w:r w:rsidRPr="00507EB3">
        <w:rPr>
          <w:rFonts w:ascii="Aptos" w:eastAsiaTheme="minorHAnsi" w:hAnsi="Aptos" w:cstheme="minorBidi"/>
          <w:sz w:val="22"/>
          <w:szCs w:val="22"/>
        </w:rPr>
        <w:t xml:space="preserve"> into an endoscopy center, 3) offered adequate space (e.g., one-room centers were not considered), and 4) convenient for the Patient Panel. While the Applicant would have been interested in larger spaces, </w:t>
      </w:r>
      <w:r w:rsidR="00310A00" w:rsidRPr="00507EB3">
        <w:rPr>
          <w:rFonts w:ascii="Aptos" w:eastAsiaTheme="minorHAnsi" w:hAnsi="Aptos" w:cstheme="minorBidi"/>
          <w:sz w:val="22"/>
          <w:szCs w:val="22"/>
        </w:rPr>
        <w:t xml:space="preserve">Boston’s current real estate landscape did not allow for a new build and afforded very limited options. Rather than waiting for the perfect space, the Applicant chose a space that would significantly improve access within the most reasonable amount of time. </w:t>
      </w:r>
    </w:p>
    <w:p w14:paraId="07244C58" w14:textId="08824902" w:rsidR="00FE25A9" w:rsidRPr="00507EB3" w:rsidRDefault="0061763B" w:rsidP="0048562E">
      <w:pPr>
        <w:pStyle w:val="Heading1"/>
      </w:pPr>
      <w:r w:rsidRPr="00507EB3">
        <w:t xml:space="preserve">In round 1 responses (question </w:t>
      </w:r>
      <w:r w:rsidR="00B965DF" w:rsidRPr="00507EB3">
        <w:t xml:space="preserve">7), the Applicant stated they would hire </w:t>
      </w:r>
      <w:r w:rsidR="0020068F" w:rsidRPr="00507EB3">
        <w:t>14 FTE clinical staff and 9 FTE non-clinical staff. The Applicant later clarified that i</w:t>
      </w:r>
      <w:r w:rsidRPr="00507EB3">
        <w:t xml:space="preserve">n addition to </w:t>
      </w:r>
      <w:r w:rsidR="0020068F" w:rsidRPr="00507EB3">
        <w:t>these FTE’s</w:t>
      </w:r>
      <w:r w:rsidR="00C11483" w:rsidRPr="00507EB3">
        <w:t>,</w:t>
      </w:r>
      <w:r w:rsidR="0020068F" w:rsidRPr="00507EB3">
        <w:t xml:space="preserve"> </w:t>
      </w:r>
      <w:r w:rsidRPr="00507EB3">
        <w:t>the ASC will also utilize three full-time equivalent GI physicians, one full-time equivalent anesthesiologist, and three full-time equivalent Certified Registered Nurse Anesthetists</w:t>
      </w:r>
      <w:r w:rsidR="00C563AA" w:rsidRPr="00507EB3">
        <w:t>.</w:t>
      </w:r>
      <w:r w:rsidR="005D5CB9" w:rsidRPr="00507EB3">
        <w:t xml:space="preserve"> </w:t>
      </w:r>
      <w:r w:rsidR="00C563AA" w:rsidRPr="00507EB3">
        <w:t xml:space="preserve">Please </w:t>
      </w:r>
      <w:r w:rsidR="00C11483" w:rsidRPr="00507EB3">
        <w:t xml:space="preserve">provide details on </w:t>
      </w:r>
      <w:r w:rsidR="000A2EAF" w:rsidRPr="00507EB3">
        <w:t>the credentials</w:t>
      </w:r>
      <w:r w:rsidR="00C11483" w:rsidRPr="00507EB3">
        <w:t xml:space="preserve"> or job titles</w:t>
      </w:r>
      <w:r w:rsidR="000A2EAF" w:rsidRPr="00507EB3">
        <w:t xml:space="preserve"> of the 14 </w:t>
      </w:r>
      <w:r w:rsidR="005D5CB9" w:rsidRPr="00507EB3">
        <w:t xml:space="preserve">FTE of </w:t>
      </w:r>
      <w:r w:rsidR="000A2EAF" w:rsidRPr="00507EB3">
        <w:t>clinical staff proposed</w:t>
      </w:r>
      <w:r w:rsidR="00CA5B40" w:rsidRPr="00507EB3">
        <w:t>.</w:t>
      </w:r>
    </w:p>
    <w:p w14:paraId="69488DC3" w14:textId="76782ECC" w:rsidR="00FE25A9" w:rsidRPr="00507EB3" w:rsidRDefault="00FE25A9" w:rsidP="00507EB3">
      <w:pPr>
        <w:pStyle w:val="ListParagraph"/>
        <w:spacing w:after="120" w:line="240" w:lineRule="auto"/>
        <w:contextualSpacing w:val="0"/>
        <w:rPr>
          <w:rFonts w:ascii="Aptos" w:hAnsi="Aptos" w:cstheme="minorHAnsi"/>
        </w:rPr>
      </w:pPr>
      <w:r w:rsidRPr="00507EB3">
        <w:rPr>
          <w:rFonts w:ascii="Aptos" w:hAnsi="Aptos" w:cstheme="minorHAnsi"/>
        </w:rPr>
        <w:t xml:space="preserve">All 14 of the proposed clinical staff positions will be Registered Nurses. </w:t>
      </w:r>
    </w:p>
    <w:p w14:paraId="0827546E" w14:textId="4B8B6BA0" w:rsidR="00FE25A9" w:rsidRPr="00507EB3" w:rsidRDefault="00491F61" w:rsidP="0048562E">
      <w:pPr>
        <w:pStyle w:val="Heading1"/>
      </w:pPr>
      <w:r w:rsidRPr="00507EB3">
        <w:lastRenderedPageBreak/>
        <w:t xml:space="preserve">Please provide a list of the </w:t>
      </w:r>
      <w:r w:rsidR="00C11483" w:rsidRPr="00507EB3">
        <w:t xml:space="preserve">endoscopy </w:t>
      </w:r>
      <w:r w:rsidRPr="00507EB3">
        <w:t>procedures that the Proposed ASC plans to provide.</w:t>
      </w:r>
    </w:p>
    <w:p w14:paraId="672679CA" w14:textId="77777777" w:rsidR="00B5787D" w:rsidRPr="00507EB3" w:rsidRDefault="00FE25A9" w:rsidP="00507EB3">
      <w:pPr>
        <w:pStyle w:val="ListParagraph"/>
        <w:spacing w:after="120" w:line="240" w:lineRule="auto"/>
        <w:contextualSpacing w:val="0"/>
        <w:rPr>
          <w:rFonts w:ascii="Aptos" w:hAnsi="Aptos" w:cstheme="minorHAnsi"/>
        </w:rPr>
      </w:pPr>
      <w:bookmarkStart w:id="1" w:name="_Hlk204262714"/>
      <w:r w:rsidRPr="00507EB3">
        <w:rPr>
          <w:rFonts w:ascii="Aptos" w:hAnsi="Aptos" w:cstheme="minorHAnsi"/>
        </w:rPr>
        <w:t xml:space="preserve">Please note this list is provided in the Narrative as FN 8: </w:t>
      </w:r>
    </w:p>
    <w:p w14:paraId="2411141F" w14:textId="77777777" w:rsidR="00B5787D" w:rsidRPr="00507EB3" w:rsidRDefault="00FE25A9" w:rsidP="00AF1E5C">
      <w:pPr>
        <w:pStyle w:val="ListParagraph"/>
        <w:numPr>
          <w:ilvl w:val="0"/>
          <w:numId w:val="1"/>
        </w:numPr>
        <w:spacing w:after="60" w:line="240" w:lineRule="auto"/>
        <w:ind w:firstLine="274"/>
        <w:contextualSpacing w:val="0"/>
        <w:rPr>
          <w:rFonts w:ascii="Aptos" w:hAnsi="Aptos" w:cstheme="minorHAnsi"/>
        </w:rPr>
      </w:pPr>
      <w:r w:rsidRPr="00507EB3">
        <w:rPr>
          <w:rFonts w:ascii="Aptos" w:hAnsi="Aptos" w:cstheme="minorHAnsi"/>
        </w:rPr>
        <w:t>Colonoscopy - Diagnostic/</w:t>
      </w:r>
      <w:proofErr w:type="gramStart"/>
      <w:r w:rsidRPr="00507EB3">
        <w:rPr>
          <w:rFonts w:ascii="Aptos" w:hAnsi="Aptos" w:cstheme="minorHAnsi"/>
        </w:rPr>
        <w:t>Screening;</w:t>
      </w:r>
      <w:proofErr w:type="gramEnd"/>
      <w:r w:rsidRPr="00507EB3">
        <w:rPr>
          <w:rFonts w:ascii="Aptos" w:hAnsi="Aptos" w:cstheme="minorHAnsi"/>
        </w:rPr>
        <w:t xml:space="preserve"> </w:t>
      </w:r>
    </w:p>
    <w:p w14:paraId="5DFD6175" w14:textId="77777777" w:rsidR="00B5787D" w:rsidRPr="00507EB3" w:rsidRDefault="00FE25A9" w:rsidP="00AF1E5C">
      <w:pPr>
        <w:pStyle w:val="ListParagraph"/>
        <w:numPr>
          <w:ilvl w:val="0"/>
          <w:numId w:val="1"/>
        </w:numPr>
        <w:spacing w:after="60" w:line="240" w:lineRule="auto"/>
        <w:ind w:firstLine="274"/>
        <w:contextualSpacing w:val="0"/>
        <w:rPr>
          <w:rFonts w:ascii="Aptos" w:hAnsi="Aptos" w:cstheme="minorHAnsi"/>
        </w:rPr>
      </w:pPr>
      <w:r w:rsidRPr="00507EB3">
        <w:rPr>
          <w:rFonts w:ascii="Aptos" w:hAnsi="Aptos" w:cstheme="minorHAnsi"/>
        </w:rPr>
        <w:t xml:space="preserve">Colonoscopy – Procedural; EGD – </w:t>
      </w:r>
      <w:proofErr w:type="gramStart"/>
      <w:r w:rsidRPr="00507EB3">
        <w:rPr>
          <w:rFonts w:ascii="Aptos" w:hAnsi="Aptos" w:cstheme="minorHAnsi"/>
        </w:rPr>
        <w:t>Diagnostic;</w:t>
      </w:r>
      <w:proofErr w:type="gramEnd"/>
      <w:r w:rsidRPr="00507EB3">
        <w:rPr>
          <w:rFonts w:ascii="Aptos" w:hAnsi="Aptos" w:cstheme="minorHAnsi"/>
        </w:rPr>
        <w:t xml:space="preserve"> </w:t>
      </w:r>
    </w:p>
    <w:p w14:paraId="36E3FA9C" w14:textId="77777777" w:rsidR="00B5787D" w:rsidRPr="00507EB3" w:rsidRDefault="00FE25A9" w:rsidP="00AF1E5C">
      <w:pPr>
        <w:pStyle w:val="ListParagraph"/>
        <w:numPr>
          <w:ilvl w:val="0"/>
          <w:numId w:val="1"/>
        </w:numPr>
        <w:spacing w:after="60" w:line="240" w:lineRule="auto"/>
        <w:ind w:firstLine="274"/>
        <w:contextualSpacing w:val="0"/>
        <w:rPr>
          <w:rFonts w:ascii="Aptos" w:hAnsi="Aptos" w:cstheme="minorHAnsi"/>
        </w:rPr>
      </w:pPr>
      <w:r w:rsidRPr="00507EB3">
        <w:rPr>
          <w:rFonts w:ascii="Aptos" w:hAnsi="Aptos" w:cstheme="minorHAnsi"/>
        </w:rPr>
        <w:t xml:space="preserve">EGD – Procedural; Anoscopy – </w:t>
      </w:r>
      <w:proofErr w:type="gramStart"/>
      <w:r w:rsidRPr="00507EB3">
        <w:rPr>
          <w:rFonts w:ascii="Aptos" w:hAnsi="Aptos" w:cstheme="minorHAnsi"/>
        </w:rPr>
        <w:t>Procedural;</w:t>
      </w:r>
      <w:proofErr w:type="gramEnd"/>
      <w:r w:rsidRPr="00507EB3">
        <w:rPr>
          <w:rFonts w:ascii="Aptos" w:hAnsi="Aptos" w:cstheme="minorHAnsi"/>
        </w:rPr>
        <w:t xml:space="preserve"> </w:t>
      </w:r>
    </w:p>
    <w:p w14:paraId="53E70A11" w14:textId="77777777" w:rsidR="00B5787D" w:rsidRPr="00507EB3" w:rsidRDefault="00FE25A9" w:rsidP="00AF1E5C">
      <w:pPr>
        <w:pStyle w:val="ListParagraph"/>
        <w:numPr>
          <w:ilvl w:val="0"/>
          <w:numId w:val="1"/>
        </w:numPr>
        <w:spacing w:after="60" w:line="240" w:lineRule="auto"/>
        <w:ind w:firstLine="274"/>
        <w:contextualSpacing w:val="0"/>
        <w:rPr>
          <w:rFonts w:ascii="Aptos" w:hAnsi="Aptos" w:cstheme="minorHAnsi"/>
        </w:rPr>
      </w:pPr>
      <w:r w:rsidRPr="00507EB3">
        <w:rPr>
          <w:rFonts w:ascii="Aptos" w:hAnsi="Aptos" w:cstheme="minorHAnsi"/>
        </w:rPr>
        <w:t xml:space="preserve">Enteroscopy – </w:t>
      </w:r>
      <w:proofErr w:type="gramStart"/>
      <w:r w:rsidRPr="00507EB3">
        <w:rPr>
          <w:rFonts w:ascii="Aptos" w:hAnsi="Aptos" w:cstheme="minorHAnsi"/>
        </w:rPr>
        <w:t>Diagnostic;</w:t>
      </w:r>
      <w:proofErr w:type="gramEnd"/>
      <w:r w:rsidRPr="00507EB3">
        <w:rPr>
          <w:rFonts w:ascii="Aptos" w:hAnsi="Aptos" w:cstheme="minorHAnsi"/>
        </w:rPr>
        <w:t xml:space="preserve"> </w:t>
      </w:r>
    </w:p>
    <w:p w14:paraId="46E6EA38" w14:textId="23B43878" w:rsidR="00B5787D" w:rsidRPr="00507EB3" w:rsidRDefault="00FE25A9" w:rsidP="00AF1E5C">
      <w:pPr>
        <w:pStyle w:val="ListParagraph"/>
        <w:numPr>
          <w:ilvl w:val="0"/>
          <w:numId w:val="1"/>
        </w:numPr>
        <w:spacing w:after="60" w:line="240" w:lineRule="auto"/>
        <w:ind w:firstLine="274"/>
        <w:contextualSpacing w:val="0"/>
        <w:rPr>
          <w:rFonts w:ascii="Aptos" w:hAnsi="Aptos" w:cstheme="minorHAnsi"/>
        </w:rPr>
      </w:pPr>
      <w:r w:rsidRPr="00507EB3">
        <w:rPr>
          <w:rFonts w:ascii="Aptos" w:hAnsi="Aptos" w:cstheme="minorHAnsi"/>
        </w:rPr>
        <w:t xml:space="preserve">Enteroscopy – </w:t>
      </w:r>
      <w:proofErr w:type="gramStart"/>
      <w:r w:rsidRPr="00507EB3">
        <w:rPr>
          <w:rFonts w:ascii="Aptos" w:hAnsi="Aptos" w:cstheme="minorHAnsi"/>
        </w:rPr>
        <w:t>Procedural;</w:t>
      </w:r>
      <w:proofErr w:type="gramEnd"/>
      <w:r w:rsidRPr="00507EB3">
        <w:rPr>
          <w:rFonts w:ascii="Aptos" w:hAnsi="Aptos" w:cstheme="minorHAnsi"/>
        </w:rPr>
        <w:t xml:space="preserve"> </w:t>
      </w:r>
    </w:p>
    <w:p w14:paraId="21DFEFA3" w14:textId="77777777" w:rsidR="00B5787D" w:rsidRPr="00507EB3" w:rsidRDefault="00FE25A9" w:rsidP="00AF1E5C">
      <w:pPr>
        <w:pStyle w:val="ListParagraph"/>
        <w:numPr>
          <w:ilvl w:val="0"/>
          <w:numId w:val="1"/>
        </w:numPr>
        <w:spacing w:after="60" w:line="240" w:lineRule="auto"/>
        <w:ind w:firstLine="274"/>
        <w:contextualSpacing w:val="0"/>
        <w:rPr>
          <w:rFonts w:ascii="Aptos" w:hAnsi="Aptos" w:cstheme="minorHAnsi"/>
        </w:rPr>
      </w:pPr>
      <w:r w:rsidRPr="00507EB3">
        <w:rPr>
          <w:rFonts w:ascii="Aptos" w:hAnsi="Aptos" w:cstheme="minorHAnsi"/>
        </w:rPr>
        <w:t xml:space="preserve">Esophagoscopy – </w:t>
      </w:r>
      <w:proofErr w:type="gramStart"/>
      <w:r w:rsidRPr="00507EB3">
        <w:rPr>
          <w:rFonts w:ascii="Aptos" w:hAnsi="Aptos" w:cstheme="minorHAnsi"/>
        </w:rPr>
        <w:t>Diagnostic;</w:t>
      </w:r>
      <w:proofErr w:type="gramEnd"/>
      <w:r w:rsidRPr="00507EB3">
        <w:rPr>
          <w:rFonts w:ascii="Aptos" w:hAnsi="Aptos" w:cstheme="minorHAnsi"/>
        </w:rPr>
        <w:t xml:space="preserve"> </w:t>
      </w:r>
    </w:p>
    <w:p w14:paraId="382AF927" w14:textId="77777777" w:rsidR="00B5787D" w:rsidRPr="00507EB3" w:rsidRDefault="00FE25A9" w:rsidP="00AF1E5C">
      <w:pPr>
        <w:pStyle w:val="ListParagraph"/>
        <w:numPr>
          <w:ilvl w:val="0"/>
          <w:numId w:val="1"/>
        </w:numPr>
        <w:spacing w:after="60" w:line="240" w:lineRule="auto"/>
        <w:ind w:firstLine="274"/>
        <w:contextualSpacing w:val="0"/>
        <w:rPr>
          <w:rFonts w:ascii="Aptos" w:hAnsi="Aptos" w:cstheme="minorHAnsi"/>
        </w:rPr>
      </w:pPr>
      <w:r w:rsidRPr="00507EB3">
        <w:rPr>
          <w:rFonts w:ascii="Aptos" w:hAnsi="Aptos" w:cstheme="minorHAnsi"/>
        </w:rPr>
        <w:t xml:space="preserve">Esophagoscopy – </w:t>
      </w:r>
      <w:proofErr w:type="gramStart"/>
      <w:r w:rsidRPr="00507EB3">
        <w:rPr>
          <w:rFonts w:ascii="Aptos" w:hAnsi="Aptos" w:cstheme="minorHAnsi"/>
        </w:rPr>
        <w:t>Procedural;</w:t>
      </w:r>
      <w:proofErr w:type="gramEnd"/>
      <w:r w:rsidRPr="00507EB3">
        <w:rPr>
          <w:rFonts w:ascii="Aptos" w:hAnsi="Aptos" w:cstheme="minorHAnsi"/>
        </w:rPr>
        <w:t xml:space="preserve"> </w:t>
      </w:r>
    </w:p>
    <w:p w14:paraId="52B95F2E" w14:textId="77777777" w:rsidR="00B5787D" w:rsidRPr="00507EB3" w:rsidRDefault="00FE25A9" w:rsidP="00AF1E5C">
      <w:pPr>
        <w:pStyle w:val="ListParagraph"/>
        <w:numPr>
          <w:ilvl w:val="0"/>
          <w:numId w:val="1"/>
        </w:numPr>
        <w:spacing w:after="60" w:line="240" w:lineRule="auto"/>
        <w:ind w:firstLine="274"/>
        <w:contextualSpacing w:val="0"/>
        <w:rPr>
          <w:rFonts w:ascii="Aptos" w:hAnsi="Aptos" w:cstheme="minorHAnsi"/>
        </w:rPr>
      </w:pPr>
      <w:r w:rsidRPr="00507EB3">
        <w:rPr>
          <w:rFonts w:ascii="Aptos" w:hAnsi="Aptos" w:cstheme="minorHAnsi"/>
        </w:rPr>
        <w:t xml:space="preserve">Other GI Procedures - Dilation – </w:t>
      </w:r>
      <w:proofErr w:type="gramStart"/>
      <w:r w:rsidRPr="00507EB3">
        <w:rPr>
          <w:rFonts w:ascii="Aptos" w:hAnsi="Aptos" w:cstheme="minorHAnsi"/>
        </w:rPr>
        <w:t>Esophagus;</w:t>
      </w:r>
      <w:proofErr w:type="gramEnd"/>
      <w:r w:rsidRPr="00507EB3">
        <w:rPr>
          <w:rFonts w:ascii="Aptos" w:hAnsi="Aptos" w:cstheme="minorHAnsi"/>
        </w:rPr>
        <w:t xml:space="preserve"> </w:t>
      </w:r>
    </w:p>
    <w:p w14:paraId="12134EA9" w14:textId="77777777" w:rsidR="00B5787D" w:rsidRPr="00507EB3" w:rsidRDefault="00FE25A9" w:rsidP="00AF1E5C">
      <w:pPr>
        <w:pStyle w:val="ListParagraph"/>
        <w:numPr>
          <w:ilvl w:val="0"/>
          <w:numId w:val="1"/>
        </w:numPr>
        <w:spacing w:after="60" w:line="240" w:lineRule="auto"/>
        <w:ind w:firstLine="274"/>
        <w:contextualSpacing w:val="0"/>
        <w:rPr>
          <w:rFonts w:ascii="Aptos" w:hAnsi="Aptos" w:cstheme="minorHAnsi"/>
        </w:rPr>
      </w:pPr>
      <w:r w:rsidRPr="00507EB3">
        <w:rPr>
          <w:rFonts w:ascii="Aptos" w:hAnsi="Aptos" w:cstheme="minorHAnsi"/>
        </w:rPr>
        <w:t xml:space="preserve">Other GI Procedures - GI Tube Insertion/Replacement/Service – </w:t>
      </w:r>
      <w:proofErr w:type="gramStart"/>
      <w:r w:rsidRPr="00507EB3">
        <w:rPr>
          <w:rFonts w:ascii="Aptos" w:hAnsi="Aptos" w:cstheme="minorHAnsi"/>
        </w:rPr>
        <w:t>Percutaneous;</w:t>
      </w:r>
      <w:proofErr w:type="gramEnd"/>
      <w:r w:rsidRPr="00507EB3">
        <w:rPr>
          <w:rFonts w:ascii="Aptos" w:hAnsi="Aptos" w:cstheme="minorHAnsi"/>
        </w:rPr>
        <w:t xml:space="preserve"> </w:t>
      </w:r>
    </w:p>
    <w:p w14:paraId="42D12F77" w14:textId="77777777" w:rsidR="00B5787D" w:rsidRPr="00507EB3" w:rsidRDefault="00FE25A9" w:rsidP="00AF1E5C">
      <w:pPr>
        <w:pStyle w:val="ListParagraph"/>
        <w:numPr>
          <w:ilvl w:val="0"/>
          <w:numId w:val="1"/>
        </w:numPr>
        <w:spacing w:after="60" w:line="240" w:lineRule="auto"/>
        <w:ind w:firstLine="274"/>
        <w:contextualSpacing w:val="0"/>
        <w:rPr>
          <w:rFonts w:ascii="Aptos" w:hAnsi="Aptos" w:cstheme="minorHAnsi"/>
        </w:rPr>
      </w:pPr>
      <w:r w:rsidRPr="00507EB3">
        <w:rPr>
          <w:rFonts w:ascii="Aptos" w:hAnsi="Aptos" w:cstheme="minorHAnsi"/>
        </w:rPr>
        <w:t xml:space="preserve">Other GI Procedures - Other Tube </w:t>
      </w:r>
      <w:proofErr w:type="gramStart"/>
      <w:r w:rsidRPr="00507EB3">
        <w:rPr>
          <w:rFonts w:ascii="Aptos" w:hAnsi="Aptos" w:cstheme="minorHAnsi"/>
        </w:rPr>
        <w:t>Placement;</w:t>
      </w:r>
      <w:proofErr w:type="gramEnd"/>
      <w:r w:rsidRPr="00507EB3">
        <w:rPr>
          <w:rFonts w:ascii="Aptos" w:hAnsi="Aptos" w:cstheme="minorHAnsi"/>
        </w:rPr>
        <w:t xml:space="preserve"> </w:t>
      </w:r>
    </w:p>
    <w:p w14:paraId="7A5C5B7E" w14:textId="77777777" w:rsidR="00B5787D" w:rsidRPr="00507EB3" w:rsidRDefault="00FE25A9" w:rsidP="00AF1E5C">
      <w:pPr>
        <w:pStyle w:val="ListParagraph"/>
        <w:numPr>
          <w:ilvl w:val="0"/>
          <w:numId w:val="1"/>
        </w:numPr>
        <w:spacing w:after="60" w:line="240" w:lineRule="auto"/>
        <w:ind w:firstLine="274"/>
        <w:contextualSpacing w:val="0"/>
        <w:rPr>
          <w:rFonts w:ascii="Aptos" w:hAnsi="Aptos" w:cstheme="minorHAnsi"/>
        </w:rPr>
      </w:pPr>
      <w:r w:rsidRPr="00507EB3">
        <w:rPr>
          <w:rFonts w:ascii="Aptos" w:hAnsi="Aptos" w:cstheme="minorHAnsi"/>
        </w:rPr>
        <w:t xml:space="preserve">Proctosigmoidoscopy – </w:t>
      </w:r>
      <w:proofErr w:type="gramStart"/>
      <w:r w:rsidRPr="00507EB3">
        <w:rPr>
          <w:rFonts w:ascii="Aptos" w:hAnsi="Aptos" w:cstheme="minorHAnsi"/>
        </w:rPr>
        <w:t>Diagnostic;</w:t>
      </w:r>
      <w:proofErr w:type="gramEnd"/>
      <w:r w:rsidRPr="00507EB3">
        <w:rPr>
          <w:rFonts w:ascii="Aptos" w:hAnsi="Aptos" w:cstheme="minorHAnsi"/>
        </w:rPr>
        <w:t xml:space="preserve"> </w:t>
      </w:r>
    </w:p>
    <w:p w14:paraId="56588A28" w14:textId="77777777" w:rsidR="00B5787D" w:rsidRPr="00507EB3" w:rsidRDefault="00FE25A9" w:rsidP="00AF1E5C">
      <w:pPr>
        <w:pStyle w:val="ListParagraph"/>
        <w:numPr>
          <w:ilvl w:val="0"/>
          <w:numId w:val="1"/>
        </w:numPr>
        <w:spacing w:after="60" w:line="240" w:lineRule="auto"/>
        <w:ind w:firstLine="274"/>
        <w:contextualSpacing w:val="0"/>
        <w:rPr>
          <w:rFonts w:ascii="Aptos" w:hAnsi="Aptos" w:cstheme="minorHAnsi"/>
        </w:rPr>
      </w:pPr>
      <w:r w:rsidRPr="00507EB3">
        <w:rPr>
          <w:rFonts w:ascii="Aptos" w:hAnsi="Aptos" w:cstheme="minorHAnsi"/>
        </w:rPr>
        <w:t>Proctosigmoidoscopy – Procedural; Sigmoidoscopy - Diagnostic/</w:t>
      </w:r>
      <w:proofErr w:type="gramStart"/>
      <w:r w:rsidRPr="00507EB3">
        <w:rPr>
          <w:rFonts w:ascii="Aptos" w:hAnsi="Aptos" w:cstheme="minorHAnsi"/>
        </w:rPr>
        <w:t>Screening;</w:t>
      </w:r>
      <w:proofErr w:type="gramEnd"/>
      <w:r w:rsidRPr="00507EB3">
        <w:rPr>
          <w:rFonts w:ascii="Aptos" w:hAnsi="Aptos" w:cstheme="minorHAnsi"/>
        </w:rPr>
        <w:t xml:space="preserve"> </w:t>
      </w:r>
    </w:p>
    <w:p w14:paraId="58B79927" w14:textId="442EE6C9" w:rsidR="00FE25A9" w:rsidRDefault="00FE25A9" w:rsidP="00AF1E5C">
      <w:pPr>
        <w:pStyle w:val="ListParagraph"/>
        <w:numPr>
          <w:ilvl w:val="0"/>
          <w:numId w:val="1"/>
        </w:numPr>
        <w:spacing w:after="60" w:line="240" w:lineRule="auto"/>
        <w:ind w:firstLine="274"/>
        <w:contextualSpacing w:val="0"/>
        <w:rPr>
          <w:rFonts w:ascii="Aptos" w:hAnsi="Aptos" w:cstheme="minorHAnsi"/>
        </w:rPr>
      </w:pPr>
      <w:r w:rsidRPr="00507EB3">
        <w:rPr>
          <w:rFonts w:ascii="Aptos" w:hAnsi="Aptos" w:cstheme="minorHAnsi"/>
        </w:rPr>
        <w:t>Sigmoidoscopy – Procedural</w:t>
      </w:r>
      <w:bookmarkEnd w:id="1"/>
      <w:r w:rsidRPr="00507EB3">
        <w:rPr>
          <w:rFonts w:ascii="Aptos" w:hAnsi="Aptos" w:cstheme="minorHAnsi"/>
        </w:rPr>
        <w:t xml:space="preserve">. </w:t>
      </w:r>
    </w:p>
    <w:p w14:paraId="63490441" w14:textId="77777777" w:rsidR="00D03EF7" w:rsidRPr="00D03EF7" w:rsidRDefault="00D03EF7" w:rsidP="00D03EF7">
      <w:pPr>
        <w:spacing w:after="120" w:line="240" w:lineRule="auto"/>
        <w:rPr>
          <w:rFonts w:ascii="Aptos" w:hAnsi="Aptos" w:cstheme="minorHAnsi"/>
        </w:rPr>
      </w:pPr>
    </w:p>
    <w:p w14:paraId="7B3C4E1C" w14:textId="3113613A" w:rsidR="001A122C" w:rsidRPr="00507EB3" w:rsidRDefault="001A122C" w:rsidP="0048562E">
      <w:pPr>
        <w:pStyle w:val="Heading1"/>
        <w:rPr>
          <w:rFonts w:cstheme="minorHAnsi"/>
        </w:rPr>
      </w:pPr>
      <w:r w:rsidRPr="00507EB3">
        <w:rPr>
          <w:rFonts w:cstheme="minorHAnsi"/>
        </w:rPr>
        <w:t xml:space="preserve">In the Narrative page </w:t>
      </w:r>
      <w:r w:rsidR="00E306F3" w:rsidRPr="00507EB3">
        <w:rPr>
          <w:rFonts w:cstheme="minorHAnsi"/>
        </w:rPr>
        <w:t xml:space="preserve">12, the Applicant cites a </w:t>
      </w:r>
      <w:r w:rsidR="000C56F1" w:rsidRPr="00507EB3">
        <w:rPr>
          <w:rFonts w:cstheme="minorHAnsi"/>
        </w:rPr>
        <w:t>data</w:t>
      </w:r>
      <w:r w:rsidR="00E306F3" w:rsidRPr="00507EB3">
        <w:rPr>
          <w:rFonts w:cstheme="minorHAnsi"/>
        </w:rPr>
        <w:t xml:space="preserve"> </w:t>
      </w:r>
      <w:r w:rsidR="00480B73" w:rsidRPr="00507EB3">
        <w:rPr>
          <w:rFonts w:cstheme="minorHAnsi"/>
        </w:rPr>
        <w:t>saying that, “</w:t>
      </w:r>
      <w:r w:rsidR="00480B73" w:rsidRPr="00507EB3">
        <w:t>In Massachusetts alone, 2,770 new colorectal cancer cases and 820 related deaths are expected this year.” Can the Applicant cite any data about colorectal cancer rates and deaths specific to the proposed service area?</w:t>
      </w:r>
    </w:p>
    <w:p w14:paraId="122576C3" w14:textId="170854E3" w:rsidR="00F57F6E" w:rsidRPr="00D03EF7" w:rsidRDefault="00B5787D" w:rsidP="00D03EF7">
      <w:pPr>
        <w:pStyle w:val="ListParagraph"/>
        <w:spacing w:after="120" w:line="240" w:lineRule="auto"/>
        <w:contextualSpacing w:val="0"/>
        <w:rPr>
          <w:rFonts w:ascii="Aptos" w:hAnsi="Aptos" w:cstheme="minorHAnsi"/>
        </w:rPr>
      </w:pPr>
      <w:r w:rsidRPr="00507EB3">
        <w:rPr>
          <w:rFonts w:ascii="Aptos" w:hAnsi="Aptos" w:cstheme="minorHAnsi"/>
        </w:rPr>
        <w:t xml:space="preserve">Based on the most recently available “Health of Boston” report, colorectal cancer was the fourth leading type of cancer mortality with 54 deaths recorded. </w:t>
      </w:r>
      <w:hyperlink r:id="rId8" w:history="1">
        <w:r w:rsidRPr="00507EB3">
          <w:rPr>
            <w:rStyle w:val="Hyperlink"/>
            <w:rFonts w:ascii="Aptos" w:hAnsi="Aptos" w:cstheme="minorHAnsi"/>
            <w:color w:val="auto"/>
          </w:rPr>
          <w:t>https://www.boston.gov/sites/default/files/file/2023/05/HOB_Cancer_2023_FINAL_May11.pdf</w:t>
        </w:r>
      </w:hyperlink>
      <w:r w:rsidRPr="00507EB3">
        <w:rPr>
          <w:rFonts w:ascii="Aptos" w:hAnsi="Aptos" w:cstheme="minorHAnsi"/>
        </w:rPr>
        <w:t xml:space="preserve"> </w:t>
      </w:r>
    </w:p>
    <w:p w14:paraId="454D3E10" w14:textId="368FB76D" w:rsidR="00B5787D" w:rsidRPr="00507EB3" w:rsidRDefault="00B5787D" w:rsidP="0048562E">
      <w:pPr>
        <w:pStyle w:val="Heading1"/>
      </w:pPr>
      <w:r w:rsidRPr="00507EB3">
        <w:rPr>
          <w:rStyle w:val="cf01"/>
          <w:rFonts w:asciiTheme="minorHAnsi" w:hAnsiTheme="minorHAnsi" w:cstheme="minorHAnsi"/>
          <w:sz w:val="24"/>
          <w:szCs w:val="24"/>
        </w:rPr>
        <w:t>Page 9 of the Narrative states that expanded access to endoscopy will, “</w:t>
      </w:r>
      <w:r w:rsidRPr="00507EB3">
        <w:t>facilitate earlier detection of colorectal cancer.” Will the ASC provide earlier detection of colorectal cancer specifically, or will the endoscopy service provide timely detection in general?</w:t>
      </w:r>
      <w:r w:rsidR="000167B3" w:rsidRPr="00507EB3">
        <w:t xml:space="preserve"> </w:t>
      </w:r>
    </w:p>
    <w:p w14:paraId="3F52D802" w14:textId="16A0DE43" w:rsidR="00B5787D" w:rsidRDefault="00C50524" w:rsidP="00D03EF7">
      <w:pPr>
        <w:pStyle w:val="ListParagraph"/>
        <w:spacing w:after="120" w:line="240" w:lineRule="auto"/>
        <w:contextualSpacing w:val="0"/>
        <w:rPr>
          <w:rFonts w:ascii="Aptos" w:hAnsi="Aptos" w:cstheme="minorHAnsi"/>
        </w:rPr>
      </w:pPr>
      <w:r w:rsidRPr="00507EB3">
        <w:rPr>
          <w:rFonts w:ascii="Aptos" w:hAnsi="Aptos" w:cstheme="minorHAnsi"/>
        </w:rPr>
        <w:t>The ASC facility will allow expanded access to timely screenings which will lead to earlier detection of colorectal cancer.</w:t>
      </w:r>
    </w:p>
    <w:p w14:paraId="791D06B1" w14:textId="77777777" w:rsidR="00970783" w:rsidRPr="00D03EF7" w:rsidRDefault="00970783" w:rsidP="00D03EF7">
      <w:pPr>
        <w:pStyle w:val="ListParagraph"/>
        <w:spacing w:after="120" w:line="240" w:lineRule="auto"/>
        <w:contextualSpacing w:val="0"/>
        <w:rPr>
          <w:rFonts w:ascii="Aptos" w:hAnsi="Aptos" w:cstheme="minorHAnsi"/>
        </w:rPr>
      </w:pPr>
    </w:p>
    <w:p w14:paraId="6835A9A7" w14:textId="77777777" w:rsidR="00B5787D" w:rsidRPr="00507EB3" w:rsidRDefault="00B5787D" w:rsidP="0048562E">
      <w:pPr>
        <w:pStyle w:val="Heading1"/>
      </w:pPr>
      <w:r w:rsidRPr="00507EB3">
        <w:t xml:space="preserve">On page 10 of the Narrative, the Applicant cites that, “ASCs are projected to generate approximately $73.4 billion in Medicare savings between 2019 and 2028.” Given that we are 7 years into this </w:t>
      </w:r>
      <w:proofErr w:type="gramStart"/>
      <w:r w:rsidRPr="00507EB3">
        <w:t>10 year</w:t>
      </w:r>
      <w:proofErr w:type="gramEnd"/>
      <w:r w:rsidRPr="00507EB3">
        <w:t xml:space="preserve"> projection, are there actual reportable savings or a more recent projection?</w:t>
      </w:r>
    </w:p>
    <w:p w14:paraId="1621069C" w14:textId="347B71C1" w:rsidR="00D34328" w:rsidRDefault="00B5787D" w:rsidP="00D03EF7">
      <w:pPr>
        <w:spacing w:after="120" w:line="240" w:lineRule="auto"/>
        <w:ind w:left="720"/>
        <w:rPr>
          <w:rFonts w:ascii="Aptos" w:hAnsi="Aptos" w:cstheme="minorHAnsi"/>
        </w:rPr>
      </w:pPr>
      <w:r w:rsidRPr="00507EB3">
        <w:rPr>
          <w:rFonts w:ascii="Aptos" w:hAnsi="Aptos" w:cstheme="minorHAnsi"/>
        </w:rPr>
        <w:t xml:space="preserve">As of 2024, annual savings to Medicare from ACSs </w:t>
      </w:r>
      <w:proofErr w:type="gramStart"/>
      <w:r w:rsidRPr="00507EB3">
        <w:rPr>
          <w:rFonts w:ascii="Aptos" w:hAnsi="Aptos" w:cstheme="minorHAnsi"/>
        </w:rPr>
        <w:t>was</w:t>
      </w:r>
      <w:proofErr w:type="gramEnd"/>
      <w:r w:rsidRPr="00507EB3">
        <w:rPr>
          <w:rFonts w:ascii="Aptos" w:hAnsi="Aptos" w:cstheme="minorHAnsi"/>
        </w:rPr>
        <w:t xml:space="preserve"> $2.3 billion. </w:t>
      </w:r>
      <w:hyperlink r:id="rId9" w:history="1">
        <w:r w:rsidRPr="00507EB3">
          <w:rPr>
            <w:rStyle w:val="Hyperlink"/>
            <w:rFonts w:ascii="Aptos" w:hAnsi="Aptos" w:cstheme="minorHAnsi"/>
            <w:color w:val="auto"/>
          </w:rPr>
          <w:t>https://ascdata.com/wp-content/uploads/2025/02/ASC-Data-Industry-Overview-February-2025.pdf</w:t>
        </w:r>
      </w:hyperlink>
      <w:r w:rsidRPr="00507EB3">
        <w:rPr>
          <w:rFonts w:ascii="Aptos" w:hAnsi="Aptos" w:cstheme="minorHAnsi"/>
        </w:rPr>
        <w:t xml:space="preserve"> </w:t>
      </w:r>
    </w:p>
    <w:p w14:paraId="1F9978B9" w14:textId="77777777" w:rsidR="00AF1E5C" w:rsidRDefault="00AF1E5C" w:rsidP="00D03EF7">
      <w:pPr>
        <w:spacing w:after="120" w:line="240" w:lineRule="auto"/>
        <w:ind w:left="720"/>
        <w:rPr>
          <w:rFonts w:ascii="Aptos" w:hAnsi="Aptos" w:cstheme="minorHAnsi"/>
        </w:rPr>
      </w:pPr>
    </w:p>
    <w:p w14:paraId="1D742511" w14:textId="77777777" w:rsidR="00AF1E5C" w:rsidRPr="00F57F6E" w:rsidRDefault="00AF1E5C" w:rsidP="00D03EF7">
      <w:pPr>
        <w:spacing w:after="120" w:line="240" w:lineRule="auto"/>
        <w:ind w:left="720"/>
        <w:rPr>
          <w:rFonts w:ascii="Aptos" w:hAnsi="Aptos" w:cstheme="minorHAnsi"/>
        </w:rPr>
      </w:pPr>
    </w:p>
    <w:p w14:paraId="5BE30448" w14:textId="33731429" w:rsidR="004D12EB" w:rsidRPr="00507EB3" w:rsidRDefault="00F11FE3" w:rsidP="0048562E">
      <w:pPr>
        <w:pStyle w:val="Heading1"/>
      </w:pPr>
      <w:r w:rsidRPr="00507EB3">
        <w:lastRenderedPageBreak/>
        <w:t>Round 1 responses (question</w:t>
      </w:r>
      <w:r w:rsidR="003733E5" w:rsidRPr="00507EB3">
        <w:t xml:space="preserve">s 11 and 13) indicated that the ASC will not conduct SDoH screenings but does </w:t>
      </w:r>
      <w:r w:rsidR="007A130C" w:rsidRPr="00507EB3">
        <w:t xml:space="preserve">plan to be involved in connecting patients to community resources. </w:t>
      </w:r>
      <w:r w:rsidR="004D12EB" w:rsidRPr="00507EB3">
        <w:t>What process or criteria will be used to determine which patients are connected to community resources?</w:t>
      </w:r>
      <w:r w:rsidR="000167B3" w:rsidRPr="00507EB3">
        <w:t xml:space="preserve"> </w:t>
      </w:r>
    </w:p>
    <w:p w14:paraId="2477F658" w14:textId="1757178B" w:rsidR="00C50524" w:rsidRPr="00507EB3" w:rsidRDefault="00C50524" w:rsidP="00507EB3">
      <w:pPr>
        <w:pStyle w:val="ListParagraph"/>
        <w:spacing w:after="120" w:line="240" w:lineRule="auto"/>
        <w:contextualSpacing w:val="0"/>
        <w:jc w:val="both"/>
        <w:rPr>
          <w:rFonts w:ascii="Aptos" w:hAnsi="Aptos" w:cstheme="minorHAnsi"/>
        </w:rPr>
      </w:pPr>
      <w:r w:rsidRPr="00507EB3">
        <w:rPr>
          <w:rFonts w:ascii="Aptos" w:hAnsi="Aptos" w:cstheme="minorHAnsi"/>
        </w:rPr>
        <w:t>The ASC will not conduct formal SDoH screenings, but it will incorporate structured clinical and situational assessments during the Pre-Admission Testing (PAT) process to identify barriers that may impact perioperative safety and post-operative recovery. This includes evaluating transportation reliability, caregiver availability, communication or health literacy needs, functional status, and the patient’s ability to comply with discharge instructions, several of which align with common SDoH domains.</w:t>
      </w:r>
    </w:p>
    <w:p w14:paraId="293243C5" w14:textId="02B7894C" w:rsidR="00C50524" w:rsidRPr="00507EB3" w:rsidRDefault="00C50524" w:rsidP="00507EB3">
      <w:pPr>
        <w:pStyle w:val="ListParagraph"/>
        <w:spacing w:after="120" w:line="240" w:lineRule="auto"/>
        <w:contextualSpacing w:val="0"/>
        <w:jc w:val="both"/>
        <w:rPr>
          <w:rFonts w:ascii="Aptos" w:hAnsi="Aptos" w:cstheme="minorHAnsi"/>
        </w:rPr>
      </w:pPr>
      <w:r w:rsidRPr="00507EB3">
        <w:rPr>
          <w:rFonts w:ascii="Aptos" w:hAnsi="Aptos" w:cstheme="minorHAnsi"/>
        </w:rPr>
        <w:t xml:space="preserve">When these assessments identify a risk that could compromise a safe surgical experience, ASC staff </w:t>
      </w:r>
      <w:proofErr w:type="gramStart"/>
      <w:r w:rsidRPr="00507EB3">
        <w:rPr>
          <w:rFonts w:ascii="Aptos" w:hAnsi="Aptos" w:cstheme="minorHAnsi"/>
        </w:rPr>
        <w:t>follows</w:t>
      </w:r>
      <w:proofErr w:type="gramEnd"/>
      <w:r w:rsidRPr="00507EB3">
        <w:rPr>
          <w:rFonts w:ascii="Aptos" w:hAnsi="Aptos" w:cstheme="minorHAnsi"/>
        </w:rPr>
        <w:t xml:space="preserve"> a defined, nurse-led process to connect patients with appropriate community resources. Patients may be referred when they lack transportation or caregiver support, have difficulty understanding instructions, face challenges in their home environment, or experience barriers obtaining medications or supplies. </w:t>
      </w:r>
      <w:r w:rsidR="008054A6" w:rsidRPr="00507EB3">
        <w:rPr>
          <w:rFonts w:ascii="Aptos" w:hAnsi="Aptos" w:cstheme="minorHAnsi"/>
        </w:rPr>
        <w:t>ASCs are not positioned to</w:t>
      </w:r>
      <w:r w:rsidRPr="00507EB3">
        <w:rPr>
          <w:rFonts w:ascii="Aptos" w:hAnsi="Aptos" w:cstheme="minorHAnsi"/>
        </w:rPr>
        <w:t xml:space="preserve"> manage SDoH longitudinally, </w:t>
      </w:r>
      <w:r w:rsidR="008054A6" w:rsidRPr="00507EB3">
        <w:rPr>
          <w:rFonts w:ascii="Aptos" w:hAnsi="Aptos" w:cstheme="minorHAnsi"/>
        </w:rPr>
        <w:t xml:space="preserve">so ASC staff will </w:t>
      </w:r>
      <w:r w:rsidRPr="00507EB3">
        <w:rPr>
          <w:rFonts w:ascii="Aptos" w:hAnsi="Aptos" w:cstheme="minorHAnsi"/>
        </w:rPr>
        <w:t>ensure timely referral to community organizations, health system partners, or local support services to promote safe discharge, reduce complications, and support a successful recovery.</w:t>
      </w:r>
    </w:p>
    <w:p w14:paraId="69B93DD4" w14:textId="7FE5F100" w:rsidR="00D03EF7" w:rsidRPr="00970783" w:rsidRDefault="00C50524" w:rsidP="00970783">
      <w:pPr>
        <w:pStyle w:val="ListParagraph"/>
        <w:spacing w:after="120" w:line="240" w:lineRule="auto"/>
        <w:contextualSpacing w:val="0"/>
        <w:jc w:val="both"/>
        <w:rPr>
          <w:rFonts w:ascii="Aptos" w:hAnsi="Aptos" w:cstheme="minorHAnsi"/>
        </w:rPr>
      </w:pPr>
      <w:r w:rsidRPr="00507EB3">
        <w:rPr>
          <w:rFonts w:ascii="Aptos" w:hAnsi="Aptos" w:cstheme="minorHAnsi"/>
        </w:rPr>
        <w:t xml:space="preserve">Patients will also be connected to community resources through their MGB care teams, including primary care physician offices and gastroenterologists, and by making available information on services to support MGB patients. </w:t>
      </w:r>
    </w:p>
    <w:p w14:paraId="29963557" w14:textId="19138C81" w:rsidR="00B5787D" w:rsidRPr="00507EB3" w:rsidRDefault="00B5787D" w:rsidP="0048562E">
      <w:pPr>
        <w:pStyle w:val="Heading1"/>
      </w:pPr>
      <w:r w:rsidRPr="00507EB3">
        <w:t>Factor 5 analyzed the quality, efficiency, capital expense, and operating costs of alternative solutions to the Proposed Project. Please provide an analysis of these topics based on the use of other facilities in the MGB network such as Waltham or MGB community hospitals.</w:t>
      </w:r>
    </w:p>
    <w:p w14:paraId="5A088931" w14:textId="4A1D931C" w:rsidR="00B5787D" w:rsidRPr="00D03EF7" w:rsidRDefault="00B5787D" w:rsidP="00D03EF7">
      <w:pPr>
        <w:pStyle w:val="ListParagraph"/>
        <w:spacing w:after="120" w:line="240" w:lineRule="auto"/>
        <w:contextualSpacing w:val="0"/>
        <w:jc w:val="both"/>
        <w:rPr>
          <w:rFonts w:ascii="Aptos" w:hAnsi="Aptos"/>
        </w:rPr>
      </w:pPr>
      <w:r w:rsidRPr="00507EB3">
        <w:rPr>
          <w:rFonts w:ascii="Aptos" w:hAnsi="Aptos"/>
        </w:rPr>
        <w:t xml:space="preserve">MGB is experiencing a system-wide backlog of endoscopy cases because there is more demand for endoscopy than OR capacity. As a result, MG Waltham and the only MGB community hospital </w:t>
      </w:r>
      <w:proofErr w:type="gramStart"/>
      <w:r w:rsidRPr="00507EB3">
        <w:rPr>
          <w:rFonts w:ascii="Aptos" w:hAnsi="Aptos"/>
        </w:rPr>
        <w:t>easily</w:t>
      </w:r>
      <w:proofErr w:type="gramEnd"/>
      <w:r w:rsidRPr="00507EB3">
        <w:rPr>
          <w:rFonts w:ascii="Aptos" w:hAnsi="Aptos"/>
        </w:rPr>
        <w:t xml:space="preserve"> accessible to the Applicant’s patient panel, Newton Wellesley Hospital</w:t>
      </w:r>
      <w:proofErr w:type="gramStart"/>
      <w:r w:rsidRPr="00507EB3">
        <w:rPr>
          <w:rFonts w:ascii="Aptos" w:hAnsi="Aptos"/>
        </w:rPr>
        <w:t>, cannot</w:t>
      </w:r>
      <w:proofErr w:type="gramEnd"/>
      <w:r w:rsidRPr="00507EB3">
        <w:rPr>
          <w:rFonts w:ascii="Aptos" w:hAnsi="Aptos"/>
        </w:rPr>
        <w:t xml:space="preserve"> accept enough volume to meaningfully address the need for endoscopy by the MGB AMC’s patients. </w:t>
      </w:r>
    </w:p>
    <w:p w14:paraId="52F19816" w14:textId="155E3449" w:rsidR="00286574" w:rsidRPr="00507EB3" w:rsidRDefault="00286574" w:rsidP="0048562E">
      <w:pPr>
        <w:pStyle w:val="Heading1"/>
        <w:rPr>
          <w:rFonts w:cstheme="minorHAnsi"/>
        </w:rPr>
      </w:pPr>
      <w:r w:rsidRPr="00507EB3">
        <w:t xml:space="preserve">Given that the Proposed Project is expected to reduce wait times for outpatient endoscopy procedures, please propose an Outcome Measure that </w:t>
      </w:r>
      <w:r w:rsidR="00BE0D9C" w:rsidRPr="00507EB3">
        <w:t xml:space="preserve">defines “wait time” and </w:t>
      </w:r>
      <w:r w:rsidR="002304AD" w:rsidRPr="00507EB3">
        <w:t>tracks the</w:t>
      </w:r>
      <w:r w:rsidR="00BE0D9C" w:rsidRPr="00507EB3">
        <w:t>se</w:t>
      </w:r>
      <w:r w:rsidR="002304AD" w:rsidRPr="00507EB3">
        <w:t xml:space="preserve"> wait times</w:t>
      </w:r>
      <w:r w:rsidR="00BE0D9C" w:rsidRPr="00507EB3">
        <w:t>.</w:t>
      </w:r>
    </w:p>
    <w:p w14:paraId="3438B33C" w14:textId="053A8316" w:rsidR="006E12D4" w:rsidRPr="00507EB3" w:rsidRDefault="006E12D4" w:rsidP="00507EB3">
      <w:pPr>
        <w:spacing w:after="120" w:line="240" w:lineRule="auto"/>
        <w:ind w:left="720"/>
        <w:jc w:val="both"/>
        <w:rPr>
          <w:rFonts w:ascii="Aptos" w:hAnsi="Aptos" w:cstheme="minorHAnsi"/>
        </w:rPr>
      </w:pPr>
      <w:r w:rsidRPr="00507EB3">
        <w:rPr>
          <w:rFonts w:ascii="Aptos" w:hAnsi="Aptos" w:cstheme="minorHAnsi"/>
          <w:u w:val="single"/>
        </w:rPr>
        <w:t>Wait Time from Scheduling to Procedure</w:t>
      </w:r>
      <w:r w:rsidRPr="00507EB3">
        <w:rPr>
          <w:rFonts w:ascii="Aptos" w:hAnsi="Aptos" w:cstheme="minorHAnsi"/>
        </w:rPr>
        <w:t xml:space="preserve">: The Center will monitor and report the average time patients wait from the date the procedure is scheduled to the date the procedure is performed. </w:t>
      </w:r>
    </w:p>
    <w:p w14:paraId="7E40DC76" w14:textId="53B6116A" w:rsidR="006E12D4" w:rsidRPr="00507EB3" w:rsidRDefault="006E12D4" w:rsidP="00507EB3">
      <w:pPr>
        <w:autoSpaceDE w:val="0"/>
        <w:autoSpaceDN w:val="0"/>
        <w:spacing w:after="120" w:line="240" w:lineRule="auto"/>
        <w:ind w:left="720"/>
        <w:jc w:val="both"/>
        <w:rPr>
          <w:rFonts w:ascii="Aptos" w:hAnsi="Aptos" w:cstheme="minorHAnsi"/>
        </w:rPr>
      </w:pPr>
      <w:bookmarkStart w:id="2" w:name="_Hlk48813784"/>
      <w:r w:rsidRPr="00507EB3">
        <w:rPr>
          <w:rFonts w:ascii="Aptos" w:hAnsi="Aptos" w:cstheme="minorHAnsi"/>
          <w:u w:val="single"/>
        </w:rPr>
        <w:t>Measure</w:t>
      </w:r>
      <w:r w:rsidRPr="00507EB3">
        <w:rPr>
          <w:rFonts w:ascii="Aptos" w:hAnsi="Aptos" w:cstheme="minorHAnsi"/>
        </w:rPr>
        <w:t>: Average number of days between the date a procedure is scheduled and the date the procedure is performed.</w:t>
      </w:r>
    </w:p>
    <w:p w14:paraId="195688A4" w14:textId="63284A99" w:rsidR="006E12D4" w:rsidRPr="00507EB3" w:rsidRDefault="006E12D4" w:rsidP="00507EB3">
      <w:pPr>
        <w:autoSpaceDE w:val="0"/>
        <w:autoSpaceDN w:val="0"/>
        <w:spacing w:after="120" w:line="240" w:lineRule="auto"/>
        <w:ind w:left="1440"/>
        <w:jc w:val="both"/>
        <w:rPr>
          <w:rFonts w:ascii="Aptos" w:hAnsi="Aptos" w:cstheme="minorHAnsi"/>
        </w:rPr>
      </w:pPr>
      <w:r w:rsidRPr="00507EB3">
        <w:rPr>
          <w:rFonts w:ascii="Aptos" w:hAnsi="Aptos" w:cstheme="minorHAnsi"/>
        </w:rPr>
        <w:t xml:space="preserve">Numerator: Total number of days waited by all patients from scheduling to procedure date. </w:t>
      </w:r>
      <w:r w:rsidRPr="00507EB3">
        <w:rPr>
          <w:rFonts w:ascii="Aptos" w:hAnsi="Aptos" w:cstheme="minorHAnsi"/>
        </w:rPr>
        <w:tab/>
      </w:r>
    </w:p>
    <w:p w14:paraId="1F865DED" w14:textId="055CF73C" w:rsidR="006E12D4" w:rsidRPr="00507EB3" w:rsidRDefault="006E12D4" w:rsidP="00507EB3">
      <w:pPr>
        <w:autoSpaceDE w:val="0"/>
        <w:autoSpaceDN w:val="0"/>
        <w:spacing w:after="120" w:line="240" w:lineRule="auto"/>
        <w:ind w:left="720" w:firstLine="720"/>
        <w:jc w:val="both"/>
        <w:rPr>
          <w:rFonts w:ascii="Aptos" w:hAnsi="Aptos" w:cstheme="minorHAnsi"/>
        </w:rPr>
      </w:pPr>
      <w:r w:rsidRPr="00507EB3">
        <w:rPr>
          <w:rFonts w:ascii="Aptos" w:hAnsi="Aptos" w:cstheme="minorHAnsi"/>
        </w:rPr>
        <w:t>Denominator: Total number of scheduled procedures.</w:t>
      </w:r>
      <w:bookmarkEnd w:id="2"/>
    </w:p>
    <w:p w14:paraId="6E684FBA" w14:textId="36F5E6CF" w:rsidR="007F2825" w:rsidRPr="00507EB3" w:rsidRDefault="007F2825" w:rsidP="0048562E">
      <w:pPr>
        <w:pStyle w:val="Heading1"/>
        <w:rPr>
          <w:rFonts w:cstheme="minorHAnsi"/>
        </w:rPr>
      </w:pPr>
      <w:r w:rsidRPr="00507EB3">
        <w:t>For the proposed outcome measure for</w:t>
      </w:r>
      <w:r w:rsidR="00237E80" w:rsidRPr="00507EB3">
        <w:t xml:space="preserve"> </w:t>
      </w:r>
      <w:r w:rsidR="00237E80" w:rsidRPr="00507EB3">
        <w:rPr>
          <w:kern w:val="2"/>
        </w:rPr>
        <w:t>Adenoma Detection Rate</w:t>
      </w:r>
      <w:proofErr w:type="gramStart"/>
      <w:r w:rsidR="00237E80" w:rsidRPr="00507EB3">
        <w:rPr>
          <w:kern w:val="2"/>
        </w:rPr>
        <w:t xml:space="preserve">: </w:t>
      </w:r>
      <w:r w:rsidRPr="00507EB3">
        <w:t xml:space="preserve"> Is</w:t>
      </w:r>
      <w:proofErr w:type="gramEnd"/>
      <w:r w:rsidRPr="00507EB3">
        <w:t xml:space="preserve"> there a baseline</w:t>
      </w:r>
      <w:r w:rsidR="00237E80" w:rsidRPr="00507EB3">
        <w:t xml:space="preserve"> o</w:t>
      </w:r>
      <w:r w:rsidRPr="00507EB3">
        <w:t>r how is the target established?</w:t>
      </w:r>
    </w:p>
    <w:p w14:paraId="406EC4F5" w14:textId="1DCED270" w:rsidR="006E12D4" w:rsidRPr="00507EB3" w:rsidRDefault="006E12D4" w:rsidP="00507EB3">
      <w:pPr>
        <w:pStyle w:val="ListParagraph"/>
        <w:spacing w:after="120" w:line="240" w:lineRule="auto"/>
        <w:contextualSpacing w:val="0"/>
        <w:rPr>
          <w:rFonts w:ascii="Aptos" w:hAnsi="Aptos" w:cstheme="minorHAnsi"/>
        </w:rPr>
      </w:pPr>
      <w:r w:rsidRPr="00507EB3">
        <w:rPr>
          <w:rFonts w:ascii="Aptos" w:hAnsi="Aptos"/>
        </w:rPr>
        <w:t xml:space="preserve">As a new facility, a baseline will be provided after the Center has been operational for one year. </w:t>
      </w:r>
    </w:p>
    <w:sectPr w:rsidR="006E12D4" w:rsidRPr="00507EB3" w:rsidSect="00C938D8">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FF047" w14:textId="77777777" w:rsidR="00F43A87" w:rsidRDefault="00F43A87" w:rsidP="00231103">
      <w:pPr>
        <w:spacing w:after="0" w:line="240" w:lineRule="auto"/>
      </w:pPr>
      <w:r>
        <w:separator/>
      </w:r>
    </w:p>
  </w:endnote>
  <w:endnote w:type="continuationSeparator" w:id="0">
    <w:p w14:paraId="616045A0" w14:textId="77777777" w:rsidR="00F43A87" w:rsidRDefault="00F43A87" w:rsidP="00231103">
      <w:pPr>
        <w:spacing w:after="0" w:line="240" w:lineRule="auto"/>
      </w:pPr>
      <w:r>
        <w:continuationSeparator/>
      </w:r>
    </w:p>
  </w:endnote>
  <w:endnote w:type="continuationNotice" w:id="1">
    <w:p w14:paraId="75231E98" w14:textId="77777777" w:rsidR="00F43A87" w:rsidRDefault="00F43A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878915"/>
      <w:docPartObj>
        <w:docPartGallery w:val="Page Numbers (Bottom of Page)"/>
        <w:docPartUnique/>
      </w:docPartObj>
    </w:sdtPr>
    <w:sdtEndPr>
      <w:rPr>
        <w:noProof/>
      </w:rPr>
    </w:sdtEndPr>
    <w:sdtContent>
      <w:p w14:paraId="0D149475" w14:textId="53E0776A" w:rsidR="00632AEC" w:rsidRDefault="00632A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BA7089" w14:textId="77777777" w:rsidR="00632AEC" w:rsidRDefault="00632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7AC7B" w14:textId="77777777" w:rsidR="00F43A87" w:rsidRDefault="00F43A87" w:rsidP="00231103">
      <w:pPr>
        <w:spacing w:after="0" w:line="240" w:lineRule="auto"/>
      </w:pPr>
      <w:r>
        <w:separator/>
      </w:r>
    </w:p>
  </w:footnote>
  <w:footnote w:type="continuationSeparator" w:id="0">
    <w:p w14:paraId="75740FD6" w14:textId="77777777" w:rsidR="00F43A87" w:rsidRDefault="00F43A87" w:rsidP="00231103">
      <w:pPr>
        <w:spacing w:after="0" w:line="240" w:lineRule="auto"/>
      </w:pPr>
      <w:r>
        <w:continuationSeparator/>
      </w:r>
    </w:p>
  </w:footnote>
  <w:footnote w:type="continuationNotice" w:id="1">
    <w:p w14:paraId="3F38787A" w14:textId="77777777" w:rsidR="00F43A87" w:rsidRDefault="00F43A87">
      <w:pPr>
        <w:spacing w:after="0" w:line="240" w:lineRule="auto"/>
      </w:pPr>
    </w:p>
  </w:footnote>
  <w:footnote w:id="2">
    <w:p w14:paraId="2B6E36D4" w14:textId="37635E16" w:rsidR="0060169F" w:rsidRPr="00F57F6E" w:rsidRDefault="0060169F">
      <w:pPr>
        <w:pStyle w:val="FootnoteText"/>
        <w:rPr>
          <w:sz w:val="18"/>
          <w:szCs w:val="18"/>
        </w:rPr>
      </w:pPr>
      <w:r w:rsidRPr="00F57F6E">
        <w:rPr>
          <w:rStyle w:val="FootnoteReference"/>
          <w:sz w:val="18"/>
          <w:szCs w:val="18"/>
        </w:rPr>
        <w:footnoteRef/>
      </w:r>
      <w:r w:rsidRPr="00F57F6E">
        <w:rPr>
          <w:sz w:val="18"/>
          <w:szCs w:val="18"/>
        </w:rPr>
        <w:t xml:space="preserve"> Upper Endoscopy Ultrasound saw a 1.8% </w:t>
      </w:r>
      <w:r w:rsidR="00F57F6E" w:rsidRPr="00F57F6E">
        <w:rPr>
          <w:sz w:val="18"/>
          <w:szCs w:val="18"/>
        </w:rPr>
        <w:t xml:space="preserve">decrease at MGH from FY22 to FY25. </w:t>
      </w:r>
    </w:p>
  </w:footnote>
  <w:footnote w:id="3">
    <w:p w14:paraId="092F77FD" w14:textId="77777777" w:rsidR="00FE25A9" w:rsidRPr="00763E26" w:rsidRDefault="00FE25A9" w:rsidP="00FE25A9">
      <w:pPr>
        <w:pStyle w:val="FootnoteText"/>
        <w:rPr>
          <w:rFonts w:ascii="Aptos" w:hAnsi="Aptos"/>
          <w:sz w:val="16"/>
          <w:szCs w:val="16"/>
        </w:rPr>
      </w:pPr>
      <w:r w:rsidRPr="00F57F6E">
        <w:rPr>
          <w:rStyle w:val="FootnoteReference"/>
          <w:rFonts w:ascii="Aptos" w:hAnsi="Aptos"/>
          <w:sz w:val="18"/>
          <w:szCs w:val="18"/>
        </w:rPr>
        <w:footnoteRef/>
      </w:r>
      <w:r w:rsidRPr="00F57F6E">
        <w:rPr>
          <w:rFonts w:ascii="Aptos" w:hAnsi="Aptos"/>
          <w:sz w:val="18"/>
          <w:szCs w:val="18"/>
        </w:rPr>
        <w:t xml:space="preserve"> Includes follow-up for positive FIT/Cologuard and surveillance for history of polyps.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B0BA0" w14:textId="68233F6C" w:rsidR="00D37E5D" w:rsidRDefault="00314CC4" w:rsidP="008F67D8">
    <w:pPr>
      <w:pStyle w:val="Header"/>
      <w:pBdr>
        <w:bottom w:val="single" w:sz="4" w:space="1" w:color="auto"/>
      </w:pBdr>
      <w:jc w:val="center"/>
      <w:rPr>
        <w:rFonts w:ascii="Arial-BoldMT" w:hAnsi="Arial-BoldMT" w:cs="Arial-BoldMT"/>
        <w:b/>
        <w:bCs/>
        <w:sz w:val="28"/>
        <w:szCs w:val="28"/>
      </w:rPr>
    </w:pPr>
    <w:r>
      <w:rPr>
        <w:rFonts w:ascii="Arial-BoldMT" w:hAnsi="Arial-BoldMT" w:cs="Arial-BoldMT"/>
        <w:b/>
        <w:bCs/>
        <w:sz w:val="28"/>
        <w:szCs w:val="28"/>
      </w:rPr>
      <w:t xml:space="preserve">MGB Ambulatory Surgery - </w:t>
    </w:r>
    <w:r w:rsidRPr="00314CC4">
      <w:rPr>
        <w:rFonts w:ascii="Arial-BoldMT" w:hAnsi="Arial-BoldMT" w:cs="Arial-BoldMT"/>
        <w:b/>
        <w:bCs/>
        <w:sz w:val="28"/>
        <w:szCs w:val="28"/>
      </w:rPr>
      <w:t xml:space="preserve">Cambridge, LLC </w:t>
    </w:r>
  </w:p>
  <w:p w14:paraId="0E7098F3" w14:textId="77777777" w:rsidR="00314CC4" w:rsidRDefault="008F67D8" w:rsidP="00314CC4">
    <w:pPr>
      <w:pStyle w:val="Header"/>
      <w:pBdr>
        <w:bottom w:val="single" w:sz="4" w:space="1" w:color="auto"/>
      </w:pBdr>
      <w:jc w:val="center"/>
      <w:rPr>
        <w:rFonts w:ascii="Arial-BoldMT" w:hAnsi="Arial-BoldMT" w:cs="Arial-BoldMT"/>
        <w:b/>
        <w:bCs/>
        <w:sz w:val="28"/>
        <w:szCs w:val="28"/>
      </w:rPr>
    </w:pPr>
    <w:r w:rsidRPr="008F67D8">
      <w:rPr>
        <w:rFonts w:ascii="Arial-BoldMT" w:hAnsi="Arial-BoldMT" w:cs="Arial-BoldMT"/>
        <w:b/>
        <w:bCs/>
        <w:sz w:val="24"/>
        <w:szCs w:val="24"/>
      </w:rPr>
      <w:t xml:space="preserve">DON # </w:t>
    </w:r>
    <w:r w:rsidR="00314CC4" w:rsidRPr="00314CC4">
      <w:rPr>
        <w:rFonts w:ascii="Arial-BoldMT" w:hAnsi="Arial-BoldMT" w:cs="Arial-BoldMT"/>
        <w:b/>
        <w:bCs/>
        <w:sz w:val="24"/>
        <w:szCs w:val="24"/>
      </w:rPr>
      <w:t>MGB-C-25070908-AS</w:t>
    </w:r>
  </w:p>
  <w:p w14:paraId="78DC6D8E" w14:textId="10A84832" w:rsidR="00D223EB" w:rsidRPr="001C1A06" w:rsidRDefault="00D223EB" w:rsidP="008F67D8">
    <w:pPr>
      <w:pStyle w:val="Header"/>
      <w:pBdr>
        <w:bottom w:val="single" w:sz="4" w:space="1" w:color="auto"/>
      </w:pBdr>
      <w:jc w:val="center"/>
      <w:rPr>
        <w:rFonts w:ascii="Arial-BoldMT" w:hAnsi="Arial-BoldMT" w:cs="Arial-BoldMT"/>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627"/>
    <w:multiLevelType w:val="hybridMultilevel"/>
    <w:tmpl w:val="A7481D80"/>
    <w:lvl w:ilvl="0" w:tplc="87380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F8087C"/>
    <w:multiLevelType w:val="hybridMultilevel"/>
    <w:tmpl w:val="5BF06C0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54A079D"/>
    <w:multiLevelType w:val="hybridMultilevel"/>
    <w:tmpl w:val="15F4ACE0"/>
    <w:lvl w:ilvl="0" w:tplc="3A6A5842">
      <w:start w:val="1"/>
      <w:numFmt w:val="decimal"/>
      <w:lvlText w:val="%1."/>
      <w:lvlJc w:val="left"/>
      <w:pPr>
        <w:ind w:left="380" w:hanging="360"/>
      </w:pPr>
      <w:rPr>
        <w:rFonts w:hint="default"/>
      </w:rPr>
    </w:lvl>
    <w:lvl w:ilvl="1" w:tplc="04090019">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4" w15:restartNumberingAfterBreak="0">
    <w:nsid w:val="405956C5"/>
    <w:multiLevelType w:val="hybridMultilevel"/>
    <w:tmpl w:val="FFEA5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F651E2"/>
    <w:multiLevelType w:val="hybridMultilevel"/>
    <w:tmpl w:val="0AFC9F04"/>
    <w:lvl w:ilvl="0" w:tplc="873803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931C63"/>
    <w:multiLevelType w:val="hybridMultilevel"/>
    <w:tmpl w:val="04DE14BE"/>
    <w:lvl w:ilvl="0" w:tplc="1BC6C8AC">
      <w:start w:val="1"/>
      <w:numFmt w:val="decimal"/>
      <w:pStyle w:val="Heading1"/>
      <w:lvlText w:val="%1."/>
      <w:lvlJc w:val="left"/>
      <w:pPr>
        <w:ind w:left="720" w:hanging="360"/>
      </w:pPr>
      <w:rPr>
        <w:rFonts w:ascii="Aptos" w:hAnsi="Aptos" w:hint="default"/>
        <w:sz w:val="22"/>
        <w:szCs w:val="22"/>
      </w:rPr>
    </w:lvl>
    <w:lvl w:ilvl="1" w:tplc="8B3C279A">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551702">
    <w:abstractNumId w:val="1"/>
  </w:num>
  <w:num w:numId="2" w16cid:durableId="148061709">
    <w:abstractNumId w:val="5"/>
  </w:num>
  <w:num w:numId="3" w16cid:durableId="1010327431">
    <w:abstractNumId w:val="0"/>
  </w:num>
  <w:num w:numId="4" w16cid:durableId="32190849">
    <w:abstractNumId w:val="6"/>
  </w:num>
  <w:num w:numId="5" w16cid:durableId="300620005">
    <w:abstractNumId w:val="3"/>
  </w:num>
  <w:num w:numId="6" w16cid:durableId="108070988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105722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2E0B"/>
    <w:rsid w:val="000037BD"/>
    <w:rsid w:val="000038CE"/>
    <w:rsid w:val="0000498C"/>
    <w:rsid w:val="00005930"/>
    <w:rsid w:val="00006A64"/>
    <w:rsid w:val="000110A8"/>
    <w:rsid w:val="00011385"/>
    <w:rsid w:val="00012264"/>
    <w:rsid w:val="00012279"/>
    <w:rsid w:val="000147B2"/>
    <w:rsid w:val="000158E4"/>
    <w:rsid w:val="00015EFC"/>
    <w:rsid w:val="000167B3"/>
    <w:rsid w:val="000168C2"/>
    <w:rsid w:val="00016E99"/>
    <w:rsid w:val="00021767"/>
    <w:rsid w:val="00021A01"/>
    <w:rsid w:val="0002235E"/>
    <w:rsid w:val="00024C6C"/>
    <w:rsid w:val="00025521"/>
    <w:rsid w:val="00026B6F"/>
    <w:rsid w:val="00027FBC"/>
    <w:rsid w:val="0003012E"/>
    <w:rsid w:val="0003035A"/>
    <w:rsid w:val="00030F72"/>
    <w:rsid w:val="00032FF5"/>
    <w:rsid w:val="000340D0"/>
    <w:rsid w:val="00040965"/>
    <w:rsid w:val="000413D6"/>
    <w:rsid w:val="0004380F"/>
    <w:rsid w:val="0004645C"/>
    <w:rsid w:val="000500A4"/>
    <w:rsid w:val="000503D8"/>
    <w:rsid w:val="00052396"/>
    <w:rsid w:val="00052729"/>
    <w:rsid w:val="00054D4A"/>
    <w:rsid w:val="00054FF4"/>
    <w:rsid w:val="0005525D"/>
    <w:rsid w:val="00055942"/>
    <w:rsid w:val="00055F9E"/>
    <w:rsid w:val="00056D5B"/>
    <w:rsid w:val="00057A92"/>
    <w:rsid w:val="000601A4"/>
    <w:rsid w:val="00060624"/>
    <w:rsid w:val="000618A4"/>
    <w:rsid w:val="00062288"/>
    <w:rsid w:val="00063414"/>
    <w:rsid w:val="00064206"/>
    <w:rsid w:val="0006445F"/>
    <w:rsid w:val="00071162"/>
    <w:rsid w:val="000716FF"/>
    <w:rsid w:val="00072EE3"/>
    <w:rsid w:val="00073DC9"/>
    <w:rsid w:val="00074092"/>
    <w:rsid w:val="00076535"/>
    <w:rsid w:val="000766DC"/>
    <w:rsid w:val="00076A84"/>
    <w:rsid w:val="00076CB2"/>
    <w:rsid w:val="000775B1"/>
    <w:rsid w:val="00080AC6"/>
    <w:rsid w:val="000826CB"/>
    <w:rsid w:val="00083193"/>
    <w:rsid w:val="0008493D"/>
    <w:rsid w:val="000862E1"/>
    <w:rsid w:val="0008655F"/>
    <w:rsid w:val="0009039F"/>
    <w:rsid w:val="000906E1"/>
    <w:rsid w:val="000907F9"/>
    <w:rsid w:val="0009083B"/>
    <w:rsid w:val="00091A27"/>
    <w:rsid w:val="00091C4C"/>
    <w:rsid w:val="00092910"/>
    <w:rsid w:val="000952FD"/>
    <w:rsid w:val="00095621"/>
    <w:rsid w:val="00095FAB"/>
    <w:rsid w:val="00096ACB"/>
    <w:rsid w:val="00097B2C"/>
    <w:rsid w:val="000A2EAF"/>
    <w:rsid w:val="000A56D4"/>
    <w:rsid w:val="000A5A22"/>
    <w:rsid w:val="000A691D"/>
    <w:rsid w:val="000A7A45"/>
    <w:rsid w:val="000B0A7F"/>
    <w:rsid w:val="000B1438"/>
    <w:rsid w:val="000B1D01"/>
    <w:rsid w:val="000B69AA"/>
    <w:rsid w:val="000C0705"/>
    <w:rsid w:val="000C12F8"/>
    <w:rsid w:val="000C2766"/>
    <w:rsid w:val="000C4405"/>
    <w:rsid w:val="000C56F1"/>
    <w:rsid w:val="000C6277"/>
    <w:rsid w:val="000C7F71"/>
    <w:rsid w:val="000D0D41"/>
    <w:rsid w:val="000D35DD"/>
    <w:rsid w:val="000D42DB"/>
    <w:rsid w:val="000E0B48"/>
    <w:rsid w:val="000E19E6"/>
    <w:rsid w:val="000E2F30"/>
    <w:rsid w:val="000E3622"/>
    <w:rsid w:val="000E5EC9"/>
    <w:rsid w:val="000E7E1B"/>
    <w:rsid w:val="000F0EDD"/>
    <w:rsid w:val="000F1286"/>
    <w:rsid w:val="000F1644"/>
    <w:rsid w:val="000F4FA3"/>
    <w:rsid w:val="000F5BAD"/>
    <w:rsid w:val="000F5CC4"/>
    <w:rsid w:val="000F6503"/>
    <w:rsid w:val="00101646"/>
    <w:rsid w:val="001017F6"/>
    <w:rsid w:val="001018CF"/>
    <w:rsid w:val="00104288"/>
    <w:rsid w:val="001050F4"/>
    <w:rsid w:val="00105768"/>
    <w:rsid w:val="00106D23"/>
    <w:rsid w:val="00106F2E"/>
    <w:rsid w:val="00111272"/>
    <w:rsid w:val="00112BDF"/>
    <w:rsid w:val="00112E92"/>
    <w:rsid w:val="00113110"/>
    <w:rsid w:val="00115F5D"/>
    <w:rsid w:val="001204FE"/>
    <w:rsid w:val="00120FB5"/>
    <w:rsid w:val="00122099"/>
    <w:rsid w:val="0012232D"/>
    <w:rsid w:val="00123EE2"/>
    <w:rsid w:val="00124116"/>
    <w:rsid w:val="00125F6B"/>
    <w:rsid w:val="00126E85"/>
    <w:rsid w:val="00127491"/>
    <w:rsid w:val="0013171F"/>
    <w:rsid w:val="0013223B"/>
    <w:rsid w:val="0013225C"/>
    <w:rsid w:val="001332C7"/>
    <w:rsid w:val="00133CF7"/>
    <w:rsid w:val="00137A46"/>
    <w:rsid w:val="00137C36"/>
    <w:rsid w:val="001412E2"/>
    <w:rsid w:val="00143A21"/>
    <w:rsid w:val="0014505C"/>
    <w:rsid w:val="001459CB"/>
    <w:rsid w:val="00146FB4"/>
    <w:rsid w:val="0014727D"/>
    <w:rsid w:val="00147ED6"/>
    <w:rsid w:val="00150337"/>
    <w:rsid w:val="001519AD"/>
    <w:rsid w:val="00152CFB"/>
    <w:rsid w:val="001538B2"/>
    <w:rsid w:val="00153D99"/>
    <w:rsid w:val="00154A10"/>
    <w:rsid w:val="00162A72"/>
    <w:rsid w:val="00164EAE"/>
    <w:rsid w:val="00165738"/>
    <w:rsid w:val="00166158"/>
    <w:rsid w:val="001679DC"/>
    <w:rsid w:val="00167F71"/>
    <w:rsid w:val="001701AE"/>
    <w:rsid w:val="00170D7F"/>
    <w:rsid w:val="00174CFB"/>
    <w:rsid w:val="00175F20"/>
    <w:rsid w:val="00176547"/>
    <w:rsid w:val="00176C56"/>
    <w:rsid w:val="00180580"/>
    <w:rsid w:val="00181496"/>
    <w:rsid w:val="00182533"/>
    <w:rsid w:val="00183D7F"/>
    <w:rsid w:val="001843D8"/>
    <w:rsid w:val="00185A10"/>
    <w:rsid w:val="00190646"/>
    <w:rsid w:val="0019184A"/>
    <w:rsid w:val="00191B78"/>
    <w:rsid w:val="00191DAC"/>
    <w:rsid w:val="001926A6"/>
    <w:rsid w:val="00192CFC"/>
    <w:rsid w:val="0019348F"/>
    <w:rsid w:val="00193CD7"/>
    <w:rsid w:val="001A0425"/>
    <w:rsid w:val="001A0FB0"/>
    <w:rsid w:val="001A11D0"/>
    <w:rsid w:val="001A122C"/>
    <w:rsid w:val="001A170B"/>
    <w:rsid w:val="001A35DC"/>
    <w:rsid w:val="001A511B"/>
    <w:rsid w:val="001A66A9"/>
    <w:rsid w:val="001A767E"/>
    <w:rsid w:val="001B03EC"/>
    <w:rsid w:val="001B32E1"/>
    <w:rsid w:val="001B3A91"/>
    <w:rsid w:val="001B517F"/>
    <w:rsid w:val="001B569F"/>
    <w:rsid w:val="001B5845"/>
    <w:rsid w:val="001B5C12"/>
    <w:rsid w:val="001B5F1C"/>
    <w:rsid w:val="001B7F98"/>
    <w:rsid w:val="001C1986"/>
    <w:rsid w:val="001C1A06"/>
    <w:rsid w:val="001C2783"/>
    <w:rsid w:val="001C2A01"/>
    <w:rsid w:val="001C2FE0"/>
    <w:rsid w:val="001C44D2"/>
    <w:rsid w:val="001C4F45"/>
    <w:rsid w:val="001C5BF3"/>
    <w:rsid w:val="001C6AE9"/>
    <w:rsid w:val="001C6B00"/>
    <w:rsid w:val="001C6D93"/>
    <w:rsid w:val="001D0111"/>
    <w:rsid w:val="001D01BF"/>
    <w:rsid w:val="001D079B"/>
    <w:rsid w:val="001D1521"/>
    <w:rsid w:val="001D1813"/>
    <w:rsid w:val="001D7C2C"/>
    <w:rsid w:val="001E0B77"/>
    <w:rsid w:val="001E0B94"/>
    <w:rsid w:val="001E19D7"/>
    <w:rsid w:val="001E21D7"/>
    <w:rsid w:val="001E2EA3"/>
    <w:rsid w:val="001E4503"/>
    <w:rsid w:val="001E5650"/>
    <w:rsid w:val="001E5807"/>
    <w:rsid w:val="001F02F3"/>
    <w:rsid w:val="001F27B7"/>
    <w:rsid w:val="001F30FB"/>
    <w:rsid w:val="001F5FDD"/>
    <w:rsid w:val="001F61B1"/>
    <w:rsid w:val="001F667D"/>
    <w:rsid w:val="001F687E"/>
    <w:rsid w:val="00200334"/>
    <w:rsid w:val="0020068F"/>
    <w:rsid w:val="00200D68"/>
    <w:rsid w:val="00201F6E"/>
    <w:rsid w:val="00202AD7"/>
    <w:rsid w:val="00202D16"/>
    <w:rsid w:val="002037DF"/>
    <w:rsid w:val="00203E5A"/>
    <w:rsid w:val="002050B9"/>
    <w:rsid w:val="00205D7B"/>
    <w:rsid w:val="00205E02"/>
    <w:rsid w:val="002069DD"/>
    <w:rsid w:val="002102EF"/>
    <w:rsid w:val="00212619"/>
    <w:rsid w:val="002131E4"/>
    <w:rsid w:val="00214040"/>
    <w:rsid w:val="00214621"/>
    <w:rsid w:val="00214FAA"/>
    <w:rsid w:val="002155ED"/>
    <w:rsid w:val="0021563E"/>
    <w:rsid w:val="00216777"/>
    <w:rsid w:val="002179D1"/>
    <w:rsid w:val="00220641"/>
    <w:rsid w:val="002244CF"/>
    <w:rsid w:val="00224770"/>
    <w:rsid w:val="00225057"/>
    <w:rsid w:val="00225B1E"/>
    <w:rsid w:val="00225C8A"/>
    <w:rsid w:val="00226A63"/>
    <w:rsid w:val="00227005"/>
    <w:rsid w:val="00227BD5"/>
    <w:rsid w:val="002304AD"/>
    <w:rsid w:val="00230C3B"/>
    <w:rsid w:val="00230EF5"/>
    <w:rsid w:val="00231103"/>
    <w:rsid w:val="002314FF"/>
    <w:rsid w:val="00231E3B"/>
    <w:rsid w:val="00233AFE"/>
    <w:rsid w:val="00233C6B"/>
    <w:rsid w:val="00234272"/>
    <w:rsid w:val="002364A1"/>
    <w:rsid w:val="00236B31"/>
    <w:rsid w:val="00236D23"/>
    <w:rsid w:val="0023798E"/>
    <w:rsid w:val="00237E80"/>
    <w:rsid w:val="00241F52"/>
    <w:rsid w:val="0024261D"/>
    <w:rsid w:val="002458BA"/>
    <w:rsid w:val="0024615C"/>
    <w:rsid w:val="00246BD6"/>
    <w:rsid w:val="00246FBB"/>
    <w:rsid w:val="00251BEF"/>
    <w:rsid w:val="002533DB"/>
    <w:rsid w:val="0025349C"/>
    <w:rsid w:val="00253AF3"/>
    <w:rsid w:val="00253B0A"/>
    <w:rsid w:val="00254265"/>
    <w:rsid w:val="002542A0"/>
    <w:rsid w:val="00257224"/>
    <w:rsid w:val="0025780A"/>
    <w:rsid w:val="0025792F"/>
    <w:rsid w:val="00262131"/>
    <w:rsid w:val="00262359"/>
    <w:rsid w:val="0026280C"/>
    <w:rsid w:val="00262E53"/>
    <w:rsid w:val="002643AF"/>
    <w:rsid w:val="00264588"/>
    <w:rsid w:val="0026558B"/>
    <w:rsid w:val="00267859"/>
    <w:rsid w:val="00267F8C"/>
    <w:rsid w:val="00270B47"/>
    <w:rsid w:val="00271BF5"/>
    <w:rsid w:val="00271D85"/>
    <w:rsid w:val="0027221A"/>
    <w:rsid w:val="0027284F"/>
    <w:rsid w:val="002730BA"/>
    <w:rsid w:val="00273AA5"/>
    <w:rsid w:val="002750A6"/>
    <w:rsid w:val="002750C0"/>
    <w:rsid w:val="00276196"/>
    <w:rsid w:val="00276366"/>
    <w:rsid w:val="0027783A"/>
    <w:rsid w:val="0028466D"/>
    <w:rsid w:val="00286574"/>
    <w:rsid w:val="002865E8"/>
    <w:rsid w:val="00286AD2"/>
    <w:rsid w:val="00290451"/>
    <w:rsid w:val="002906CE"/>
    <w:rsid w:val="002912FB"/>
    <w:rsid w:val="00291912"/>
    <w:rsid w:val="00292B13"/>
    <w:rsid w:val="00293147"/>
    <w:rsid w:val="00294D49"/>
    <w:rsid w:val="00296F21"/>
    <w:rsid w:val="0029738B"/>
    <w:rsid w:val="002A0E3C"/>
    <w:rsid w:val="002A36DF"/>
    <w:rsid w:val="002A4110"/>
    <w:rsid w:val="002A47FE"/>
    <w:rsid w:val="002A518F"/>
    <w:rsid w:val="002A540F"/>
    <w:rsid w:val="002A5E73"/>
    <w:rsid w:val="002A6759"/>
    <w:rsid w:val="002B2A47"/>
    <w:rsid w:val="002B3476"/>
    <w:rsid w:val="002B4234"/>
    <w:rsid w:val="002B5ADB"/>
    <w:rsid w:val="002B662D"/>
    <w:rsid w:val="002B6A55"/>
    <w:rsid w:val="002B6F2C"/>
    <w:rsid w:val="002B78AC"/>
    <w:rsid w:val="002C0C55"/>
    <w:rsid w:val="002C0C71"/>
    <w:rsid w:val="002C3C86"/>
    <w:rsid w:val="002C568C"/>
    <w:rsid w:val="002C5E88"/>
    <w:rsid w:val="002D012B"/>
    <w:rsid w:val="002D06F7"/>
    <w:rsid w:val="002D18BF"/>
    <w:rsid w:val="002D1CC3"/>
    <w:rsid w:val="002D39AC"/>
    <w:rsid w:val="002D48C1"/>
    <w:rsid w:val="002D5E75"/>
    <w:rsid w:val="002D5F7A"/>
    <w:rsid w:val="002D7A93"/>
    <w:rsid w:val="002E225F"/>
    <w:rsid w:val="002E3CEF"/>
    <w:rsid w:val="002E46AB"/>
    <w:rsid w:val="002E5CA9"/>
    <w:rsid w:val="002F0337"/>
    <w:rsid w:val="002F3CDD"/>
    <w:rsid w:val="002F5878"/>
    <w:rsid w:val="002F5B1B"/>
    <w:rsid w:val="002F7B99"/>
    <w:rsid w:val="00301D82"/>
    <w:rsid w:val="00302D3F"/>
    <w:rsid w:val="003030AA"/>
    <w:rsid w:val="00303DD8"/>
    <w:rsid w:val="00303EE3"/>
    <w:rsid w:val="003049DE"/>
    <w:rsid w:val="00306307"/>
    <w:rsid w:val="0030785A"/>
    <w:rsid w:val="003078B4"/>
    <w:rsid w:val="003079EC"/>
    <w:rsid w:val="00307F98"/>
    <w:rsid w:val="003103B0"/>
    <w:rsid w:val="00310487"/>
    <w:rsid w:val="00310A00"/>
    <w:rsid w:val="00310CF1"/>
    <w:rsid w:val="00312739"/>
    <w:rsid w:val="00312A19"/>
    <w:rsid w:val="00314CC4"/>
    <w:rsid w:val="003154DF"/>
    <w:rsid w:val="00317580"/>
    <w:rsid w:val="00317B21"/>
    <w:rsid w:val="00320371"/>
    <w:rsid w:val="003245F0"/>
    <w:rsid w:val="00324696"/>
    <w:rsid w:val="0032484D"/>
    <w:rsid w:val="00325B8C"/>
    <w:rsid w:val="00325C01"/>
    <w:rsid w:val="00327903"/>
    <w:rsid w:val="00327EAC"/>
    <w:rsid w:val="00331E8E"/>
    <w:rsid w:val="00332A40"/>
    <w:rsid w:val="00332C4B"/>
    <w:rsid w:val="003339EF"/>
    <w:rsid w:val="00333E04"/>
    <w:rsid w:val="0033473A"/>
    <w:rsid w:val="003350D7"/>
    <w:rsid w:val="003354AB"/>
    <w:rsid w:val="00335F54"/>
    <w:rsid w:val="00336346"/>
    <w:rsid w:val="00340166"/>
    <w:rsid w:val="00342240"/>
    <w:rsid w:val="00343A83"/>
    <w:rsid w:val="00344402"/>
    <w:rsid w:val="00344528"/>
    <w:rsid w:val="00344DAC"/>
    <w:rsid w:val="00345F1B"/>
    <w:rsid w:val="00346884"/>
    <w:rsid w:val="00346FEF"/>
    <w:rsid w:val="003506AE"/>
    <w:rsid w:val="0035196E"/>
    <w:rsid w:val="003522D7"/>
    <w:rsid w:val="003533CA"/>
    <w:rsid w:val="00353C6F"/>
    <w:rsid w:val="00354D26"/>
    <w:rsid w:val="00356283"/>
    <w:rsid w:val="0035653B"/>
    <w:rsid w:val="00357756"/>
    <w:rsid w:val="00357BA6"/>
    <w:rsid w:val="003602C2"/>
    <w:rsid w:val="003620FB"/>
    <w:rsid w:val="00364225"/>
    <w:rsid w:val="00365D58"/>
    <w:rsid w:val="00365E3F"/>
    <w:rsid w:val="00366505"/>
    <w:rsid w:val="0036671D"/>
    <w:rsid w:val="00366918"/>
    <w:rsid w:val="00366DCC"/>
    <w:rsid w:val="003675D5"/>
    <w:rsid w:val="00370834"/>
    <w:rsid w:val="003733E5"/>
    <w:rsid w:val="003741E5"/>
    <w:rsid w:val="00375F14"/>
    <w:rsid w:val="003764DE"/>
    <w:rsid w:val="003765A6"/>
    <w:rsid w:val="003769AF"/>
    <w:rsid w:val="00380361"/>
    <w:rsid w:val="00380B28"/>
    <w:rsid w:val="00380BB5"/>
    <w:rsid w:val="00380E08"/>
    <w:rsid w:val="003813A0"/>
    <w:rsid w:val="00381CBF"/>
    <w:rsid w:val="00382217"/>
    <w:rsid w:val="00382F9A"/>
    <w:rsid w:val="00384767"/>
    <w:rsid w:val="0038699A"/>
    <w:rsid w:val="00387527"/>
    <w:rsid w:val="00391911"/>
    <w:rsid w:val="00392D76"/>
    <w:rsid w:val="00393F8C"/>
    <w:rsid w:val="00394105"/>
    <w:rsid w:val="00395F3D"/>
    <w:rsid w:val="0039698B"/>
    <w:rsid w:val="00397CC6"/>
    <w:rsid w:val="003A1793"/>
    <w:rsid w:val="003A2B5B"/>
    <w:rsid w:val="003A36B2"/>
    <w:rsid w:val="003A4882"/>
    <w:rsid w:val="003A4DC6"/>
    <w:rsid w:val="003A5F8B"/>
    <w:rsid w:val="003A7217"/>
    <w:rsid w:val="003A7AB8"/>
    <w:rsid w:val="003B0073"/>
    <w:rsid w:val="003B0A98"/>
    <w:rsid w:val="003B0D30"/>
    <w:rsid w:val="003B1445"/>
    <w:rsid w:val="003B4D42"/>
    <w:rsid w:val="003B575F"/>
    <w:rsid w:val="003B5953"/>
    <w:rsid w:val="003C1787"/>
    <w:rsid w:val="003C2495"/>
    <w:rsid w:val="003C28D0"/>
    <w:rsid w:val="003C3117"/>
    <w:rsid w:val="003C37FC"/>
    <w:rsid w:val="003C38F5"/>
    <w:rsid w:val="003C3B18"/>
    <w:rsid w:val="003C3FFC"/>
    <w:rsid w:val="003C6F58"/>
    <w:rsid w:val="003C7A7B"/>
    <w:rsid w:val="003C7C67"/>
    <w:rsid w:val="003C7D2A"/>
    <w:rsid w:val="003C7E6C"/>
    <w:rsid w:val="003D0F39"/>
    <w:rsid w:val="003D14BA"/>
    <w:rsid w:val="003D2A24"/>
    <w:rsid w:val="003D31FD"/>
    <w:rsid w:val="003D3D7D"/>
    <w:rsid w:val="003D4A6F"/>
    <w:rsid w:val="003D50D2"/>
    <w:rsid w:val="003D5D6C"/>
    <w:rsid w:val="003D7315"/>
    <w:rsid w:val="003D7942"/>
    <w:rsid w:val="003E0045"/>
    <w:rsid w:val="003E0B57"/>
    <w:rsid w:val="003E4BD2"/>
    <w:rsid w:val="003E4F87"/>
    <w:rsid w:val="003E5576"/>
    <w:rsid w:val="003E5688"/>
    <w:rsid w:val="003F1211"/>
    <w:rsid w:val="003F159E"/>
    <w:rsid w:val="003F334D"/>
    <w:rsid w:val="003F5EF2"/>
    <w:rsid w:val="003F616B"/>
    <w:rsid w:val="003F665D"/>
    <w:rsid w:val="003F7754"/>
    <w:rsid w:val="00401947"/>
    <w:rsid w:val="00402AC2"/>
    <w:rsid w:val="00403118"/>
    <w:rsid w:val="004035C4"/>
    <w:rsid w:val="00403F89"/>
    <w:rsid w:val="00404913"/>
    <w:rsid w:val="00407E19"/>
    <w:rsid w:val="004102C5"/>
    <w:rsid w:val="00411D30"/>
    <w:rsid w:val="004141A0"/>
    <w:rsid w:val="00415EFC"/>
    <w:rsid w:val="00416E6F"/>
    <w:rsid w:val="0041770C"/>
    <w:rsid w:val="004178DE"/>
    <w:rsid w:val="0042031C"/>
    <w:rsid w:val="00421844"/>
    <w:rsid w:val="00421B81"/>
    <w:rsid w:val="00421C21"/>
    <w:rsid w:val="00422255"/>
    <w:rsid w:val="004253AA"/>
    <w:rsid w:val="00426884"/>
    <w:rsid w:val="00431EC4"/>
    <w:rsid w:val="00432D19"/>
    <w:rsid w:val="00433BD8"/>
    <w:rsid w:val="0043468F"/>
    <w:rsid w:val="0043588D"/>
    <w:rsid w:val="00435E97"/>
    <w:rsid w:val="004365EF"/>
    <w:rsid w:val="00436DA5"/>
    <w:rsid w:val="00437DC5"/>
    <w:rsid w:val="00441ECA"/>
    <w:rsid w:val="00441F3E"/>
    <w:rsid w:val="004449E1"/>
    <w:rsid w:val="00444A21"/>
    <w:rsid w:val="00445B4E"/>
    <w:rsid w:val="00447333"/>
    <w:rsid w:val="0045317B"/>
    <w:rsid w:val="004537FA"/>
    <w:rsid w:val="00455504"/>
    <w:rsid w:val="00456B10"/>
    <w:rsid w:val="00456FCF"/>
    <w:rsid w:val="004571B9"/>
    <w:rsid w:val="00463824"/>
    <w:rsid w:val="00464ACB"/>
    <w:rsid w:val="00465F4D"/>
    <w:rsid w:val="00470202"/>
    <w:rsid w:val="00470E1E"/>
    <w:rsid w:val="004739A3"/>
    <w:rsid w:val="004753FE"/>
    <w:rsid w:val="0047711A"/>
    <w:rsid w:val="00480049"/>
    <w:rsid w:val="00480B73"/>
    <w:rsid w:val="00481828"/>
    <w:rsid w:val="00481ADC"/>
    <w:rsid w:val="004821A3"/>
    <w:rsid w:val="0048249B"/>
    <w:rsid w:val="00484231"/>
    <w:rsid w:val="00484A85"/>
    <w:rsid w:val="0048562E"/>
    <w:rsid w:val="0048661D"/>
    <w:rsid w:val="004873F3"/>
    <w:rsid w:val="00487B97"/>
    <w:rsid w:val="004901A5"/>
    <w:rsid w:val="00490846"/>
    <w:rsid w:val="00491AA3"/>
    <w:rsid w:val="00491F61"/>
    <w:rsid w:val="004921DF"/>
    <w:rsid w:val="004931F9"/>
    <w:rsid w:val="0049526B"/>
    <w:rsid w:val="00497513"/>
    <w:rsid w:val="0049782E"/>
    <w:rsid w:val="004A09D4"/>
    <w:rsid w:val="004A0DDC"/>
    <w:rsid w:val="004A1907"/>
    <w:rsid w:val="004A1B2F"/>
    <w:rsid w:val="004A1BB1"/>
    <w:rsid w:val="004A1D25"/>
    <w:rsid w:val="004A3C27"/>
    <w:rsid w:val="004A5502"/>
    <w:rsid w:val="004A6568"/>
    <w:rsid w:val="004A7A25"/>
    <w:rsid w:val="004B1CE6"/>
    <w:rsid w:val="004B3151"/>
    <w:rsid w:val="004B39F2"/>
    <w:rsid w:val="004B46F4"/>
    <w:rsid w:val="004B53D6"/>
    <w:rsid w:val="004B5430"/>
    <w:rsid w:val="004B582E"/>
    <w:rsid w:val="004B5EF9"/>
    <w:rsid w:val="004B678F"/>
    <w:rsid w:val="004B6C8F"/>
    <w:rsid w:val="004C0998"/>
    <w:rsid w:val="004C2AE3"/>
    <w:rsid w:val="004C2EFC"/>
    <w:rsid w:val="004C3AB7"/>
    <w:rsid w:val="004C475B"/>
    <w:rsid w:val="004C7C09"/>
    <w:rsid w:val="004D036D"/>
    <w:rsid w:val="004D0BF9"/>
    <w:rsid w:val="004D12EB"/>
    <w:rsid w:val="004D293C"/>
    <w:rsid w:val="004D6C67"/>
    <w:rsid w:val="004D7C5C"/>
    <w:rsid w:val="004E166A"/>
    <w:rsid w:val="004E6482"/>
    <w:rsid w:val="004E7C9D"/>
    <w:rsid w:val="004F432A"/>
    <w:rsid w:val="004F590F"/>
    <w:rsid w:val="004F6BB4"/>
    <w:rsid w:val="005002DE"/>
    <w:rsid w:val="005006E2"/>
    <w:rsid w:val="00500B09"/>
    <w:rsid w:val="00502404"/>
    <w:rsid w:val="00506B4E"/>
    <w:rsid w:val="00507039"/>
    <w:rsid w:val="00507EB3"/>
    <w:rsid w:val="00510EC8"/>
    <w:rsid w:val="00512D8D"/>
    <w:rsid w:val="00512FDF"/>
    <w:rsid w:val="005145C3"/>
    <w:rsid w:val="00514968"/>
    <w:rsid w:val="00514ECB"/>
    <w:rsid w:val="0051617E"/>
    <w:rsid w:val="00517104"/>
    <w:rsid w:val="00517D5A"/>
    <w:rsid w:val="00520833"/>
    <w:rsid w:val="00520941"/>
    <w:rsid w:val="00520CE7"/>
    <w:rsid w:val="005218C7"/>
    <w:rsid w:val="00522D14"/>
    <w:rsid w:val="00522F5F"/>
    <w:rsid w:val="00524144"/>
    <w:rsid w:val="005248A7"/>
    <w:rsid w:val="00525292"/>
    <w:rsid w:val="005256A9"/>
    <w:rsid w:val="005257D0"/>
    <w:rsid w:val="00525D26"/>
    <w:rsid w:val="00526724"/>
    <w:rsid w:val="00527788"/>
    <w:rsid w:val="005301FC"/>
    <w:rsid w:val="00530477"/>
    <w:rsid w:val="005325F4"/>
    <w:rsid w:val="00532D6E"/>
    <w:rsid w:val="005338A0"/>
    <w:rsid w:val="00534C78"/>
    <w:rsid w:val="005356C2"/>
    <w:rsid w:val="00535A15"/>
    <w:rsid w:val="00536A69"/>
    <w:rsid w:val="00536B22"/>
    <w:rsid w:val="005379D8"/>
    <w:rsid w:val="00540589"/>
    <w:rsid w:val="00541395"/>
    <w:rsid w:val="00541E48"/>
    <w:rsid w:val="005430C8"/>
    <w:rsid w:val="0054339D"/>
    <w:rsid w:val="005438B1"/>
    <w:rsid w:val="00546917"/>
    <w:rsid w:val="00547324"/>
    <w:rsid w:val="005475AF"/>
    <w:rsid w:val="005506E6"/>
    <w:rsid w:val="00551569"/>
    <w:rsid w:val="00553833"/>
    <w:rsid w:val="00554017"/>
    <w:rsid w:val="00554544"/>
    <w:rsid w:val="00554CF4"/>
    <w:rsid w:val="005559F1"/>
    <w:rsid w:val="00555A05"/>
    <w:rsid w:val="005560CC"/>
    <w:rsid w:val="00560536"/>
    <w:rsid w:val="00561790"/>
    <w:rsid w:val="00561BCC"/>
    <w:rsid w:val="0056282F"/>
    <w:rsid w:val="00564C1B"/>
    <w:rsid w:val="00564F33"/>
    <w:rsid w:val="0056515A"/>
    <w:rsid w:val="00565D40"/>
    <w:rsid w:val="00566687"/>
    <w:rsid w:val="00567A48"/>
    <w:rsid w:val="00570873"/>
    <w:rsid w:val="00572884"/>
    <w:rsid w:val="00573656"/>
    <w:rsid w:val="005738D2"/>
    <w:rsid w:val="005759B7"/>
    <w:rsid w:val="005768C9"/>
    <w:rsid w:val="00577AA7"/>
    <w:rsid w:val="00577B19"/>
    <w:rsid w:val="00580CB5"/>
    <w:rsid w:val="00580E2B"/>
    <w:rsid w:val="0058155B"/>
    <w:rsid w:val="0058186C"/>
    <w:rsid w:val="00581E7E"/>
    <w:rsid w:val="00587600"/>
    <w:rsid w:val="0059124F"/>
    <w:rsid w:val="005921B2"/>
    <w:rsid w:val="00592CEF"/>
    <w:rsid w:val="005941A3"/>
    <w:rsid w:val="005946AB"/>
    <w:rsid w:val="00595372"/>
    <w:rsid w:val="00595A74"/>
    <w:rsid w:val="00596226"/>
    <w:rsid w:val="00596309"/>
    <w:rsid w:val="00596F2D"/>
    <w:rsid w:val="00597369"/>
    <w:rsid w:val="005977E8"/>
    <w:rsid w:val="005A081D"/>
    <w:rsid w:val="005A1037"/>
    <w:rsid w:val="005A11D8"/>
    <w:rsid w:val="005A2505"/>
    <w:rsid w:val="005A2AF1"/>
    <w:rsid w:val="005A2F6B"/>
    <w:rsid w:val="005A390D"/>
    <w:rsid w:val="005A3A68"/>
    <w:rsid w:val="005A5F29"/>
    <w:rsid w:val="005A71F5"/>
    <w:rsid w:val="005B24C1"/>
    <w:rsid w:val="005C0240"/>
    <w:rsid w:val="005C1745"/>
    <w:rsid w:val="005C1922"/>
    <w:rsid w:val="005C1E0B"/>
    <w:rsid w:val="005C3394"/>
    <w:rsid w:val="005C4433"/>
    <w:rsid w:val="005C4EB9"/>
    <w:rsid w:val="005C5476"/>
    <w:rsid w:val="005C7D0C"/>
    <w:rsid w:val="005D4244"/>
    <w:rsid w:val="005D543B"/>
    <w:rsid w:val="005D5CB9"/>
    <w:rsid w:val="005E07A8"/>
    <w:rsid w:val="005E1AEF"/>
    <w:rsid w:val="005E3669"/>
    <w:rsid w:val="005E6826"/>
    <w:rsid w:val="005E72B7"/>
    <w:rsid w:val="005F130B"/>
    <w:rsid w:val="005F2E76"/>
    <w:rsid w:val="005F5F80"/>
    <w:rsid w:val="005F62ED"/>
    <w:rsid w:val="005F6760"/>
    <w:rsid w:val="005F7339"/>
    <w:rsid w:val="0060169F"/>
    <w:rsid w:val="00605067"/>
    <w:rsid w:val="006054A8"/>
    <w:rsid w:val="0060594E"/>
    <w:rsid w:val="00605AB6"/>
    <w:rsid w:val="00607E0F"/>
    <w:rsid w:val="00610F50"/>
    <w:rsid w:val="006113E0"/>
    <w:rsid w:val="00611813"/>
    <w:rsid w:val="0061268C"/>
    <w:rsid w:val="00612D41"/>
    <w:rsid w:val="006149B7"/>
    <w:rsid w:val="00615C75"/>
    <w:rsid w:val="0061763B"/>
    <w:rsid w:val="00621087"/>
    <w:rsid w:val="00623AD7"/>
    <w:rsid w:val="006248E4"/>
    <w:rsid w:val="00624F1A"/>
    <w:rsid w:val="006269A1"/>
    <w:rsid w:val="00626EB3"/>
    <w:rsid w:val="00627A68"/>
    <w:rsid w:val="006303FF"/>
    <w:rsid w:val="00631829"/>
    <w:rsid w:val="006325B1"/>
    <w:rsid w:val="00632AEC"/>
    <w:rsid w:val="00636A3D"/>
    <w:rsid w:val="006403D2"/>
    <w:rsid w:val="00643123"/>
    <w:rsid w:val="00643226"/>
    <w:rsid w:val="00643D57"/>
    <w:rsid w:val="0064499E"/>
    <w:rsid w:val="00645592"/>
    <w:rsid w:val="00647FA9"/>
    <w:rsid w:val="006513CC"/>
    <w:rsid w:val="0065176F"/>
    <w:rsid w:val="006520E7"/>
    <w:rsid w:val="006533A2"/>
    <w:rsid w:val="0065372D"/>
    <w:rsid w:val="00654942"/>
    <w:rsid w:val="00654E2F"/>
    <w:rsid w:val="006555AB"/>
    <w:rsid w:val="006560F8"/>
    <w:rsid w:val="00656E81"/>
    <w:rsid w:val="00660793"/>
    <w:rsid w:val="006650CD"/>
    <w:rsid w:val="00665BF5"/>
    <w:rsid w:val="0066694A"/>
    <w:rsid w:val="006705F7"/>
    <w:rsid w:val="006706B2"/>
    <w:rsid w:val="006708F8"/>
    <w:rsid w:val="006713BD"/>
    <w:rsid w:val="006733D5"/>
    <w:rsid w:val="00674E0A"/>
    <w:rsid w:val="00677D6C"/>
    <w:rsid w:val="00680AD8"/>
    <w:rsid w:val="006814E7"/>
    <w:rsid w:val="00682042"/>
    <w:rsid w:val="00682275"/>
    <w:rsid w:val="006826AF"/>
    <w:rsid w:val="00684458"/>
    <w:rsid w:val="006846EF"/>
    <w:rsid w:val="00687E3F"/>
    <w:rsid w:val="006906F3"/>
    <w:rsid w:val="006922B0"/>
    <w:rsid w:val="00692BAB"/>
    <w:rsid w:val="00693E98"/>
    <w:rsid w:val="00695974"/>
    <w:rsid w:val="006969C6"/>
    <w:rsid w:val="006A08E8"/>
    <w:rsid w:val="006A11AA"/>
    <w:rsid w:val="006A1400"/>
    <w:rsid w:val="006A21E4"/>
    <w:rsid w:val="006A25D2"/>
    <w:rsid w:val="006A2BD7"/>
    <w:rsid w:val="006A3466"/>
    <w:rsid w:val="006A4D5B"/>
    <w:rsid w:val="006A5179"/>
    <w:rsid w:val="006A5497"/>
    <w:rsid w:val="006A7E86"/>
    <w:rsid w:val="006A7EAE"/>
    <w:rsid w:val="006B0549"/>
    <w:rsid w:val="006B0698"/>
    <w:rsid w:val="006B0C48"/>
    <w:rsid w:val="006B0F22"/>
    <w:rsid w:val="006B4E04"/>
    <w:rsid w:val="006B5BEF"/>
    <w:rsid w:val="006B68C4"/>
    <w:rsid w:val="006B7171"/>
    <w:rsid w:val="006B7423"/>
    <w:rsid w:val="006C1B8D"/>
    <w:rsid w:val="006C3ED5"/>
    <w:rsid w:val="006C4ED1"/>
    <w:rsid w:val="006C552B"/>
    <w:rsid w:val="006D01D3"/>
    <w:rsid w:val="006D4303"/>
    <w:rsid w:val="006D501C"/>
    <w:rsid w:val="006D57FC"/>
    <w:rsid w:val="006D6315"/>
    <w:rsid w:val="006D650D"/>
    <w:rsid w:val="006D6994"/>
    <w:rsid w:val="006D7054"/>
    <w:rsid w:val="006E112C"/>
    <w:rsid w:val="006E12D4"/>
    <w:rsid w:val="006E1D4C"/>
    <w:rsid w:val="006E279C"/>
    <w:rsid w:val="006E29DE"/>
    <w:rsid w:val="006E45D4"/>
    <w:rsid w:val="006E4E00"/>
    <w:rsid w:val="006E5156"/>
    <w:rsid w:val="006E5304"/>
    <w:rsid w:val="006E5486"/>
    <w:rsid w:val="006E567F"/>
    <w:rsid w:val="006E5CDF"/>
    <w:rsid w:val="006E6DA9"/>
    <w:rsid w:val="006F0472"/>
    <w:rsid w:val="006F4EF5"/>
    <w:rsid w:val="006F5D61"/>
    <w:rsid w:val="006F7519"/>
    <w:rsid w:val="007013CB"/>
    <w:rsid w:val="00703ED5"/>
    <w:rsid w:val="0070409F"/>
    <w:rsid w:val="0070755F"/>
    <w:rsid w:val="007113DC"/>
    <w:rsid w:val="00711700"/>
    <w:rsid w:val="00712FA6"/>
    <w:rsid w:val="0071352B"/>
    <w:rsid w:val="0071402E"/>
    <w:rsid w:val="0071563E"/>
    <w:rsid w:val="00715918"/>
    <w:rsid w:val="007172F6"/>
    <w:rsid w:val="007200B2"/>
    <w:rsid w:val="00722F8A"/>
    <w:rsid w:val="007230BC"/>
    <w:rsid w:val="00723188"/>
    <w:rsid w:val="00723E74"/>
    <w:rsid w:val="007242B4"/>
    <w:rsid w:val="0072480D"/>
    <w:rsid w:val="00724BED"/>
    <w:rsid w:val="00726F4F"/>
    <w:rsid w:val="0073005B"/>
    <w:rsid w:val="00730E81"/>
    <w:rsid w:val="00733BDE"/>
    <w:rsid w:val="00733E21"/>
    <w:rsid w:val="0073404F"/>
    <w:rsid w:val="00734A0C"/>
    <w:rsid w:val="00736D9B"/>
    <w:rsid w:val="00740B16"/>
    <w:rsid w:val="00742E67"/>
    <w:rsid w:val="0074357F"/>
    <w:rsid w:val="00743F50"/>
    <w:rsid w:val="00747EF6"/>
    <w:rsid w:val="007508EF"/>
    <w:rsid w:val="00750B62"/>
    <w:rsid w:val="0075159B"/>
    <w:rsid w:val="007525CA"/>
    <w:rsid w:val="007531D5"/>
    <w:rsid w:val="0075373D"/>
    <w:rsid w:val="00753F14"/>
    <w:rsid w:val="00757106"/>
    <w:rsid w:val="00760F5C"/>
    <w:rsid w:val="00761997"/>
    <w:rsid w:val="0076213B"/>
    <w:rsid w:val="00762CA1"/>
    <w:rsid w:val="00766B76"/>
    <w:rsid w:val="00771621"/>
    <w:rsid w:val="00773850"/>
    <w:rsid w:val="00774FA6"/>
    <w:rsid w:val="00775A18"/>
    <w:rsid w:val="00777580"/>
    <w:rsid w:val="007871AD"/>
    <w:rsid w:val="00787CB4"/>
    <w:rsid w:val="00791B92"/>
    <w:rsid w:val="00792DB0"/>
    <w:rsid w:val="007931E8"/>
    <w:rsid w:val="007934D2"/>
    <w:rsid w:val="00795B9D"/>
    <w:rsid w:val="00795E61"/>
    <w:rsid w:val="00795E6A"/>
    <w:rsid w:val="007966DB"/>
    <w:rsid w:val="007A0879"/>
    <w:rsid w:val="007A0F2C"/>
    <w:rsid w:val="007A130C"/>
    <w:rsid w:val="007A5D56"/>
    <w:rsid w:val="007B3A5E"/>
    <w:rsid w:val="007B504D"/>
    <w:rsid w:val="007B529A"/>
    <w:rsid w:val="007B57B1"/>
    <w:rsid w:val="007B5C83"/>
    <w:rsid w:val="007B6286"/>
    <w:rsid w:val="007B689C"/>
    <w:rsid w:val="007C02F9"/>
    <w:rsid w:val="007C108B"/>
    <w:rsid w:val="007C2DF7"/>
    <w:rsid w:val="007C302D"/>
    <w:rsid w:val="007C3FFF"/>
    <w:rsid w:val="007C6B4E"/>
    <w:rsid w:val="007D023F"/>
    <w:rsid w:val="007D127A"/>
    <w:rsid w:val="007D1376"/>
    <w:rsid w:val="007D16C5"/>
    <w:rsid w:val="007D25EE"/>
    <w:rsid w:val="007D3BF6"/>
    <w:rsid w:val="007D3C65"/>
    <w:rsid w:val="007D42A0"/>
    <w:rsid w:val="007E0AC9"/>
    <w:rsid w:val="007E0DEF"/>
    <w:rsid w:val="007E1AC6"/>
    <w:rsid w:val="007E26DE"/>
    <w:rsid w:val="007E5FE7"/>
    <w:rsid w:val="007E6854"/>
    <w:rsid w:val="007F1021"/>
    <w:rsid w:val="007F2825"/>
    <w:rsid w:val="007F3C05"/>
    <w:rsid w:val="007F43D4"/>
    <w:rsid w:val="007F5301"/>
    <w:rsid w:val="007F561D"/>
    <w:rsid w:val="007F5C97"/>
    <w:rsid w:val="007F5DD1"/>
    <w:rsid w:val="007F6742"/>
    <w:rsid w:val="008006D1"/>
    <w:rsid w:val="0080170E"/>
    <w:rsid w:val="008031C1"/>
    <w:rsid w:val="00803785"/>
    <w:rsid w:val="00803DCE"/>
    <w:rsid w:val="008050B8"/>
    <w:rsid w:val="008054A6"/>
    <w:rsid w:val="00805A8E"/>
    <w:rsid w:val="008061A3"/>
    <w:rsid w:val="00807D3F"/>
    <w:rsid w:val="00810C49"/>
    <w:rsid w:val="008124F5"/>
    <w:rsid w:val="0081259D"/>
    <w:rsid w:val="0081262E"/>
    <w:rsid w:val="00813262"/>
    <w:rsid w:val="00813ECA"/>
    <w:rsid w:val="00815464"/>
    <w:rsid w:val="0081551A"/>
    <w:rsid w:val="0081609A"/>
    <w:rsid w:val="00820074"/>
    <w:rsid w:val="00820C2B"/>
    <w:rsid w:val="008217B2"/>
    <w:rsid w:val="008218EF"/>
    <w:rsid w:val="00821F58"/>
    <w:rsid w:val="008222C5"/>
    <w:rsid w:val="00823A79"/>
    <w:rsid w:val="008244F6"/>
    <w:rsid w:val="008262EA"/>
    <w:rsid w:val="008263DF"/>
    <w:rsid w:val="00826574"/>
    <w:rsid w:val="00830723"/>
    <w:rsid w:val="0083116D"/>
    <w:rsid w:val="008320BF"/>
    <w:rsid w:val="00833925"/>
    <w:rsid w:val="0083393C"/>
    <w:rsid w:val="00834607"/>
    <w:rsid w:val="00835493"/>
    <w:rsid w:val="00842E61"/>
    <w:rsid w:val="00843356"/>
    <w:rsid w:val="008434C8"/>
    <w:rsid w:val="008440E4"/>
    <w:rsid w:val="008443E7"/>
    <w:rsid w:val="00844841"/>
    <w:rsid w:val="008449E3"/>
    <w:rsid w:val="0084640D"/>
    <w:rsid w:val="008464B2"/>
    <w:rsid w:val="00847411"/>
    <w:rsid w:val="00847665"/>
    <w:rsid w:val="00847BE1"/>
    <w:rsid w:val="00851136"/>
    <w:rsid w:val="008519A8"/>
    <w:rsid w:val="00851EBF"/>
    <w:rsid w:val="00852964"/>
    <w:rsid w:val="00854496"/>
    <w:rsid w:val="00854E7A"/>
    <w:rsid w:val="008552B3"/>
    <w:rsid w:val="00856939"/>
    <w:rsid w:val="0085695E"/>
    <w:rsid w:val="0086021D"/>
    <w:rsid w:val="008604D5"/>
    <w:rsid w:val="00860B05"/>
    <w:rsid w:val="00862AF4"/>
    <w:rsid w:val="008634B7"/>
    <w:rsid w:val="00863F89"/>
    <w:rsid w:val="00863FC5"/>
    <w:rsid w:val="008643F3"/>
    <w:rsid w:val="00874C86"/>
    <w:rsid w:val="0087518D"/>
    <w:rsid w:val="00875EDB"/>
    <w:rsid w:val="00876CE8"/>
    <w:rsid w:val="0088093B"/>
    <w:rsid w:val="00881DF6"/>
    <w:rsid w:val="00882805"/>
    <w:rsid w:val="00883C3A"/>
    <w:rsid w:val="00885BDE"/>
    <w:rsid w:val="008868E6"/>
    <w:rsid w:val="00886E11"/>
    <w:rsid w:val="00890231"/>
    <w:rsid w:val="0089063F"/>
    <w:rsid w:val="008906F3"/>
    <w:rsid w:val="008922CA"/>
    <w:rsid w:val="00894B37"/>
    <w:rsid w:val="00894D5C"/>
    <w:rsid w:val="008955B8"/>
    <w:rsid w:val="00895B40"/>
    <w:rsid w:val="00897A92"/>
    <w:rsid w:val="008A0455"/>
    <w:rsid w:val="008A0B8C"/>
    <w:rsid w:val="008A1722"/>
    <w:rsid w:val="008A1BCF"/>
    <w:rsid w:val="008A4AEA"/>
    <w:rsid w:val="008A4C64"/>
    <w:rsid w:val="008A5923"/>
    <w:rsid w:val="008A6BAF"/>
    <w:rsid w:val="008A6D0C"/>
    <w:rsid w:val="008A7920"/>
    <w:rsid w:val="008A7D64"/>
    <w:rsid w:val="008B18BD"/>
    <w:rsid w:val="008B75B8"/>
    <w:rsid w:val="008B7668"/>
    <w:rsid w:val="008C07AB"/>
    <w:rsid w:val="008C121E"/>
    <w:rsid w:val="008C1253"/>
    <w:rsid w:val="008C205C"/>
    <w:rsid w:val="008C5B77"/>
    <w:rsid w:val="008C5D7E"/>
    <w:rsid w:val="008C698B"/>
    <w:rsid w:val="008D0B54"/>
    <w:rsid w:val="008D1EC5"/>
    <w:rsid w:val="008D2B88"/>
    <w:rsid w:val="008D2D7E"/>
    <w:rsid w:val="008D5182"/>
    <w:rsid w:val="008D5359"/>
    <w:rsid w:val="008D6D5E"/>
    <w:rsid w:val="008D7435"/>
    <w:rsid w:val="008E0484"/>
    <w:rsid w:val="008E0608"/>
    <w:rsid w:val="008E187B"/>
    <w:rsid w:val="008E234D"/>
    <w:rsid w:val="008E39DC"/>
    <w:rsid w:val="008E39EB"/>
    <w:rsid w:val="008E3C7A"/>
    <w:rsid w:val="008E455C"/>
    <w:rsid w:val="008E4FB8"/>
    <w:rsid w:val="008E6DF2"/>
    <w:rsid w:val="008E7355"/>
    <w:rsid w:val="008E73FF"/>
    <w:rsid w:val="008E7E5A"/>
    <w:rsid w:val="008F1860"/>
    <w:rsid w:val="008F2137"/>
    <w:rsid w:val="008F4E1B"/>
    <w:rsid w:val="008F5981"/>
    <w:rsid w:val="008F5DB6"/>
    <w:rsid w:val="008F67D8"/>
    <w:rsid w:val="00900ED6"/>
    <w:rsid w:val="00901BE4"/>
    <w:rsid w:val="0090264F"/>
    <w:rsid w:val="009032E4"/>
    <w:rsid w:val="00906CCD"/>
    <w:rsid w:val="0090727A"/>
    <w:rsid w:val="0091156F"/>
    <w:rsid w:val="009115D8"/>
    <w:rsid w:val="00911747"/>
    <w:rsid w:val="00913164"/>
    <w:rsid w:val="009135B7"/>
    <w:rsid w:val="009143F1"/>
    <w:rsid w:val="00914855"/>
    <w:rsid w:val="00915C11"/>
    <w:rsid w:val="00915F05"/>
    <w:rsid w:val="00916634"/>
    <w:rsid w:val="009171CE"/>
    <w:rsid w:val="009178DF"/>
    <w:rsid w:val="00924A83"/>
    <w:rsid w:val="009250A0"/>
    <w:rsid w:val="00925E85"/>
    <w:rsid w:val="009260CC"/>
    <w:rsid w:val="00931374"/>
    <w:rsid w:val="009317D3"/>
    <w:rsid w:val="00931AA1"/>
    <w:rsid w:val="00933B5D"/>
    <w:rsid w:val="00934706"/>
    <w:rsid w:val="00935FF4"/>
    <w:rsid w:val="0093616A"/>
    <w:rsid w:val="0093644B"/>
    <w:rsid w:val="009366A5"/>
    <w:rsid w:val="00936CCC"/>
    <w:rsid w:val="009376A5"/>
    <w:rsid w:val="00937C51"/>
    <w:rsid w:val="00937DF4"/>
    <w:rsid w:val="00940929"/>
    <w:rsid w:val="00943AD5"/>
    <w:rsid w:val="00943EBF"/>
    <w:rsid w:val="0094400A"/>
    <w:rsid w:val="00944815"/>
    <w:rsid w:val="009448F4"/>
    <w:rsid w:val="0094528E"/>
    <w:rsid w:val="00945A29"/>
    <w:rsid w:val="00950BA9"/>
    <w:rsid w:val="0095109F"/>
    <w:rsid w:val="00951254"/>
    <w:rsid w:val="00951485"/>
    <w:rsid w:val="009528C0"/>
    <w:rsid w:val="00955B27"/>
    <w:rsid w:val="00955D10"/>
    <w:rsid w:val="00956F13"/>
    <w:rsid w:val="00960DBC"/>
    <w:rsid w:val="00963347"/>
    <w:rsid w:val="009637E5"/>
    <w:rsid w:val="00963826"/>
    <w:rsid w:val="00963B87"/>
    <w:rsid w:val="009644E7"/>
    <w:rsid w:val="00965693"/>
    <w:rsid w:val="009656E3"/>
    <w:rsid w:val="00965AEA"/>
    <w:rsid w:val="009672C2"/>
    <w:rsid w:val="00967BD5"/>
    <w:rsid w:val="00967D55"/>
    <w:rsid w:val="00970783"/>
    <w:rsid w:val="00970D87"/>
    <w:rsid w:val="009723AD"/>
    <w:rsid w:val="00974468"/>
    <w:rsid w:val="009760F0"/>
    <w:rsid w:val="0097656A"/>
    <w:rsid w:val="0097742B"/>
    <w:rsid w:val="00980124"/>
    <w:rsid w:val="00982647"/>
    <w:rsid w:val="00982829"/>
    <w:rsid w:val="00982834"/>
    <w:rsid w:val="00982B4D"/>
    <w:rsid w:val="009859C9"/>
    <w:rsid w:val="00985A22"/>
    <w:rsid w:val="009865DB"/>
    <w:rsid w:val="00986A89"/>
    <w:rsid w:val="00987B47"/>
    <w:rsid w:val="009910CE"/>
    <w:rsid w:val="00994000"/>
    <w:rsid w:val="009A4BB1"/>
    <w:rsid w:val="009A5373"/>
    <w:rsid w:val="009A57F1"/>
    <w:rsid w:val="009A5D5E"/>
    <w:rsid w:val="009A5FCA"/>
    <w:rsid w:val="009B0139"/>
    <w:rsid w:val="009B046C"/>
    <w:rsid w:val="009B122A"/>
    <w:rsid w:val="009B1C56"/>
    <w:rsid w:val="009B23D4"/>
    <w:rsid w:val="009B287F"/>
    <w:rsid w:val="009B320B"/>
    <w:rsid w:val="009B36CA"/>
    <w:rsid w:val="009B372B"/>
    <w:rsid w:val="009B62C3"/>
    <w:rsid w:val="009B74DA"/>
    <w:rsid w:val="009B7881"/>
    <w:rsid w:val="009B7A81"/>
    <w:rsid w:val="009C0E83"/>
    <w:rsid w:val="009C11D6"/>
    <w:rsid w:val="009C1D85"/>
    <w:rsid w:val="009C2396"/>
    <w:rsid w:val="009C26A4"/>
    <w:rsid w:val="009C271D"/>
    <w:rsid w:val="009C39D0"/>
    <w:rsid w:val="009D00CB"/>
    <w:rsid w:val="009D0E59"/>
    <w:rsid w:val="009D2DC7"/>
    <w:rsid w:val="009D301F"/>
    <w:rsid w:val="009D46AB"/>
    <w:rsid w:val="009D65D9"/>
    <w:rsid w:val="009D71EE"/>
    <w:rsid w:val="009D7BC6"/>
    <w:rsid w:val="009E1C94"/>
    <w:rsid w:val="009E2663"/>
    <w:rsid w:val="009E2706"/>
    <w:rsid w:val="009E2754"/>
    <w:rsid w:val="009E3746"/>
    <w:rsid w:val="009F10DE"/>
    <w:rsid w:val="009F2325"/>
    <w:rsid w:val="009F3886"/>
    <w:rsid w:val="009F4BCF"/>
    <w:rsid w:val="009F5F55"/>
    <w:rsid w:val="009F7263"/>
    <w:rsid w:val="00A04393"/>
    <w:rsid w:val="00A05AE5"/>
    <w:rsid w:val="00A07020"/>
    <w:rsid w:val="00A0707E"/>
    <w:rsid w:val="00A07187"/>
    <w:rsid w:val="00A071D8"/>
    <w:rsid w:val="00A0730F"/>
    <w:rsid w:val="00A07682"/>
    <w:rsid w:val="00A1097B"/>
    <w:rsid w:val="00A109EC"/>
    <w:rsid w:val="00A144A7"/>
    <w:rsid w:val="00A14B99"/>
    <w:rsid w:val="00A15C5C"/>
    <w:rsid w:val="00A15FC6"/>
    <w:rsid w:val="00A16CE8"/>
    <w:rsid w:val="00A1708E"/>
    <w:rsid w:val="00A17248"/>
    <w:rsid w:val="00A17E54"/>
    <w:rsid w:val="00A20179"/>
    <w:rsid w:val="00A21B40"/>
    <w:rsid w:val="00A23564"/>
    <w:rsid w:val="00A256D6"/>
    <w:rsid w:val="00A26001"/>
    <w:rsid w:val="00A266C5"/>
    <w:rsid w:val="00A26FE6"/>
    <w:rsid w:val="00A27237"/>
    <w:rsid w:val="00A27C1B"/>
    <w:rsid w:val="00A32048"/>
    <w:rsid w:val="00A32499"/>
    <w:rsid w:val="00A33B33"/>
    <w:rsid w:val="00A350ED"/>
    <w:rsid w:val="00A35384"/>
    <w:rsid w:val="00A36EB2"/>
    <w:rsid w:val="00A40A01"/>
    <w:rsid w:val="00A40ACC"/>
    <w:rsid w:val="00A41584"/>
    <w:rsid w:val="00A41BBA"/>
    <w:rsid w:val="00A42F5D"/>
    <w:rsid w:val="00A43080"/>
    <w:rsid w:val="00A43B47"/>
    <w:rsid w:val="00A44911"/>
    <w:rsid w:val="00A45EBA"/>
    <w:rsid w:val="00A4674F"/>
    <w:rsid w:val="00A50902"/>
    <w:rsid w:val="00A50B75"/>
    <w:rsid w:val="00A52BF6"/>
    <w:rsid w:val="00A52D05"/>
    <w:rsid w:val="00A530E9"/>
    <w:rsid w:val="00A550CF"/>
    <w:rsid w:val="00A57E50"/>
    <w:rsid w:val="00A628AF"/>
    <w:rsid w:val="00A63B2C"/>
    <w:rsid w:val="00A63B34"/>
    <w:rsid w:val="00A65D21"/>
    <w:rsid w:val="00A66253"/>
    <w:rsid w:val="00A71F8B"/>
    <w:rsid w:val="00A72A1B"/>
    <w:rsid w:val="00A7342F"/>
    <w:rsid w:val="00A73660"/>
    <w:rsid w:val="00A74634"/>
    <w:rsid w:val="00A7645F"/>
    <w:rsid w:val="00A80684"/>
    <w:rsid w:val="00A81BCA"/>
    <w:rsid w:val="00A82823"/>
    <w:rsid w:val="00A83C91"/>
    <w:rsid w:val="00A8439B"/>
    <w:rsid w:val="00A84E87"/>
    <w:rsid w:val="00A8624C"/>
    <w:rsid w:val="00A864E1"/>
    <w:rsid w:val="00A9164D"/>
    <w:rsid w:val="00A91AB7"/>
    <w:rsid w:val="00A92183"/>
    <w:rsid w:val="00A941F2"/>
    <w:rsid w:val="00A94BDA"/>
    <w:rsid w:val="00A94C41"/>
    <w:rsid w:val="00A94DFA"/>
    <w:rsid w:val="00A9711D"/>
    <w:rsid w:val="00A97218"/>
    <w:rsid w:val="00A979E2"/>
    <w:rsid w:val="00AA0462"/>
    <w:rsid w:val="00AA04A0"/>
    <w:rsid w:val="00AA12C8"/>
    <w:rsid w:val="00AA35A1"/>
    <w:rsid w:val="00AA5AD2"/>
    <w:rsid w:val="00AB004E"/>
    <w:rsid w:val="00AB0B0A"/>
    <w:rsid w:val="00AB0CDE"/>
    <w:rsid w:val="00AB1643"/>
    <w:rsid w:val="00AB24CC"/>
    <w:rsid w:val="00AB525B"/>
    <w:rsid w:val="00AB5699"/>
    <w:rsid w:val="00AB56AA"/>
    <w:rsid w:val="00AB76B3"/>
    <w:rsid w:val="00AC08F8"/>
    <w:rsid w:val="00AC2CEE"/>
    <w:rsid w:val="00AC34FD"/>
    <w:rsid w:val="00AC3823"/>
    <w:rsid w:val="00AC7702"/>
    <w:rsid w:val="00AD2C45"/>
    <w:rsid w:val="00AD3FD8"/>
    <w:rsid w:val="00AD4AF3"/>
    <w:rsid w:val="00AD4D0A"/>
    <w:rsid w:val="00AD4F6B"/>
    <w:rsid w:val="00AD7A33"/>
    <w:rsid w:val="00AE0014"/>
    <w:rsid w:val="00AE0C95"/>
    <w:rsid w:val="00AE1619"/>
    <w:rsid w:val="00AE1E9E"/>
    <w:rsid w:val="00AE1F14"/>
    <w:rsid w:val="00AE2E70"/>
    <w:rsid w:val="00AE3E40"/>
    <w:rsid w:val="00AE6CA3"/>
    <w:rsid w:val="00AE72CC"/>
    <w:rsid w:val="00AE745C"/>
    <w:rsid w:val="00AE7CBF"/>
    <w:rsid w:val="00AF01F5"/>
    <w:rsid w:val="00AF1414"/>
    <w:rsid w:val="00AF1E5C"/>
    <w:rsid w:val="00AF2AD0"/>
    <w:rsid w:val="00AF2C4C"/>
    <w:rsid w:val="00AF3336"/>
    <w:rsid w:val="00AF34AC"/>
    <w:rsid w:val="00AF4579"/>
    <w:rsid w:val="00AF760E"/>
    <w:rsid w:val="00AF78D6"/>
    <w:rsid w:val="00B00949"/>
    <w:rsid w:val="00B00ADD"/>
    <w:rsid w:val="00B011F9"/>
    <w:rsid w:val="00B0197E"/>
    <w:rsid w:val="00B01E81"/>
    <w:rsid w:val="00B0435F"/>
    <w:rsid w:val="00B04766"/>
    <w:rsid w:val="00B0601D"/>
    <w:rsid w:val="00B06DF0"/>
    <w:rsid w:val="00B079A7"/>
    <w:rsid w:val="00B10DB9"/>
    <w:rsid w:val="00B11C9E"/>
    <w:rsid w:val="00B11DF8"/>
    <w:rsid w:val="00B15D82"/>
    <w:rsid w:val="00B17A76"/>
    <w:rsid w:val="00B2056A"/>
    <w:rsid w:val="00B20D4C"/>
    <w:rsid w:val="00B2238E"/>
    <w:rsid w:val="00B231D9"/>
    <w:rsid w:val="00B23473"/>
    <w:rsid w:val="00B23AE4"/>
    <w:rsid w:val="00B24C4E"/>
    <w:rsid w:val="00B252A7"/>
    <w:rsid w:val="00B271C5"/>
    <w:rsid w:val="00B303DD"/>
    <w:rsid w:val="00B32ED5"/>
    <w:rsid w:val="00B3432C"/>
    <w:rsid w:val="00B34854"/>
    <w:rsid w:val="00B34BE7"/>
    <w:rsid w:val="00B3678C"/>
    <w:rsid w:val="00B37E4B"/>
    <w:rsid w:val="00B40D0D"/>
    <w:rsid w:val="00B40EAB"/>
    <w:rsid w:val="00B4119B"/>
    <w:rsid w:val="00B41B3F"/>
    <w:rsid w:val="00B42417"/>
    <w:rsid w:val="00B42880"/>
    <w:rsid w:val="00B440D9"/>
    <w:rsid w:val="00B45060"/>
    <w:rsid w:val="00B45447"/>
    <w:rsid w:val="00B473EC"/>
    <w:rsid w:val="00B47940"/>
    <w:rsid w:val="00B47B6B"/>
    <w:rsid w:val="00B47C7E"/>
    <w:rsid w:val="00B50946"/>
    <w:rsid w:val="00B50C3E"/>
    <w:rsid w:val="00B511B6"/>
    <w:rsid w:val="00B512E6"/>
    <w:rsid w:val="00B52DAC"/>
    <w:rsid w:val="00B5326E"/>
    <w:rsid w:val="00B53AB1"/>
    <w:rsid w:val="00B5787D"/>
    <w:rsid w:val="00B605C6"/>
    <w:rsid w:val="00B608E6"/>
    <w:rsid w:val="00B63DE0"/>
    <w:rsid w:val="00B650E2"/>
    <w:rsid w:val="00B65FB4"/>
    <w:rsid w:val="00B70B72"/>
    <w:rsid w:val="00B715B4"/>
    <w:rsid w:val="00B73CA9"/>
    <w:rsid w:val="00B7599B"/>
    <w:rsid w:val="00B75AFF"/>
    <w:rsid w:val="00B765CA"/>
    <w:rsid w:val="00B772BD"/>
    <w:rsid w:val="00B77DF7"/>
    <w:rsid w:val="00B77E4C"/>
    <w:rsid w:val="00B851A8"/>
    <w:rsid w:val="00B856DA"/>
    <w:rsid w:val="00B8618F"/>
    <w:rsid w:val="00B8765D"/>
    <w:rsid w:val="00B93245"/>
    <w:rsid w:val="00B96371"/>
    <w:rsid w:val="00B965DF"/>
    <w:rsid w:val="00B97B4C"/>
    <w:rsid w:val="00BA1261"/>
    <w:rsid w:val="00BA1F76"/>
    <w:rsid w:val="00BA2559"/>
    <w:rsid w:val="00BA49FE"/>
    <w:rsid w:val="00BA5DC1"/>
    <w:rsid w:val="00BA6C3B"/>
    <w:rsid w:val="00BB0119"/>
    <w:rsid w:val="00BB0F4E"/>
    <w:rsid w:val="00BB2D8B"/>
    <w:rsid w:val="00BB372A"/>
    <w:rsid w:val="00BB42EF"/>
    <w:rsid w:val="00BB6AA9"/>
    <w:rsid w:val="00BB758B"/>
    <w:rsid w:val="00BC09B3"/>
    <w:rsid w:val="00BC1DD2"/>
    <w:rsid w:val="00BC5571"/>
    <w:rsid w:val="00BC5676"/>
    <w:rsid w:val="00BC689E"/>
    <w:rsid w:val="00BD1BBA"/>
    <w:rsid w:val="00BD1E7E"/>
    <w:rsid w:val="00BD2346"/>
    <w:rsid w:val="00BD2FF4"/>
    <w:rsid w:val="00BD3B34"/>
    <w:rsid w:val="00BD5D70"/>
    <w:rsid w:val="00BD66E6"/>
    <w:rsid w:val="00BD782E"/>
    <w:rsid w:val="00BE0D9C"/>
    <w:rsid w:val="00BE1885"/>
    <w:rsid w:val="00BE30DE"/>
    <w:rsid w:val="00BE395B"/>
    <w:rsid w:val="00BE47F4"/>
    <w:rsid w:val="00BE5B4B"/>
    <w:rsid w:val="00BE5D9B"/>
    <w:rsid w:val="00BE67C3"/>
    <w:rsid w:val="00BE68D6"/>
    <w:rsid w:val="00BE7434"/>
    <w:rsid w:val="00BF0682"/>
    <w:rsid w:val="00BF1147"/>
    <w:rsid w:val="00BF23D2"/>
    <w:rsid w:val="00BF349C"/>
    <w:rsid w:val="00BF3831"/>
    <w:rsid w:val="00BF4BB3"/>
    <w:rsid w:val="00BF57F0"/>
    <w:rsid w:val="00BF6A10"/>
    <w:rsid w:val="00C010A7"/>
    <w:rsid w:val="00C015DC"/>
    <w:rsid w:val="00C045E9"/>
    <w:rsid w:val="00C048DB"/>
    <w:rsid w:val="00C11483"/>
    <w:rsid w:val="00C143F4"/>
    <w:rsid w:val="00C14DDD"/>
    <w:rsid w:val="00C16717"/>
    <w:rsid w:val="00C16FD9"/>
    <w:rsid w:val="00C173CA"/>
    <w:rsid w:val="00C173F7"/>
    <w:rsid w:val="00C176D2"/>
    <w:rsid w:val="00C17CC6"/>
    <w:rsid w:val="00C20009"/>
    <w:rsid w:val="00C20168"/>
    <w:rsid w:val="00C239AF"/>
    <w:rsid w:val="00C25E62"/>
    <w:rsid w:val="00C27682"/>
    <w:rsid w:val="00C30E54"/>
    <w:rsid w:val="00C31CF6"/>
    <w:rsid w:val="00C354EB"/>
    <w:rsid w:val="00C40A1F"/>
    <w:rsid w:val="00C40AA5"/>
    <w:rsid w:val="00C41902"/>
    <w:rsid w:val="00C41ABA"/>
    <w:rsid w:val="00C42388"/>
    <w:rsid w:val="00C42715"/>
    <w:rsid w:val="00C4285D"/>
    <w:rsid w:val="00C44809"/>
    <w:rsid w:val="00C44C22"/>
    <w:rsid w:val="00C45CB9"/>
    <w:rsid w:val="00C465B1"/>
    <w:rsid w:val="00C46878"/>
    <w:rsid w:val="00C46BCC"/>
    <w:rsid w:val="00C50524"/>
    <w:rsid w:val="00C510C2"/>
    <w:rsid w:val="00C5224B"/>
    <w:rsid w:val="00C52979"/>
    <w:rsid w:val="00C52F6D"/>
    <w:rsid w:val="00C539F0"/>
    <w:rsid w:val="00C55653"/>
    <w:rsid w:val="00C55E58"/>
    <w:rsid w:val="00C55E62"/>
    <w:rsid w:val="00C562BF"/>
    <w:rsid w:val="00C563AA"/>
    <w:rsid w:val="00C56FD7"/>
    <w:rsid w:val="00C60878"/>
    <w:rsid w:val="00C625DD"/>
    <w:rsid w:val="00C65414"/>
    <w:rsid w:val="00C6753A"/>
    <w:rsid w:val="00C70920"/>
    <w:rsid w:val="00C70D92"/>
    <w:rsid w:val="00C7150E"/>
    <w:rsid w:val="00C72E70"/>
    <w:rsid w:val="00C73799"/>
    <w:rsid w:val="00C75012"/>
    <w:rsid w:val="00C763C6"/>
    <w:rsid w:val="00C76EE3"/>
    <w:rsid w:val="00C77B17"/>
    <w:rsid w:val="00C80AF1"/>
    <w:rsid w:val="00C814D9"/>
    <w:rsid w:val="00C821F5"/>
    <w:rsid w:val="00C8280E"/>
    <w:rsid w:val="00C83FA6"/>
    <w:rsid w:val="00C843B2"/>
    <w:rsid w:val="00C850B6"/>
    <w:rsid w:val="00C85712"/>
    <w:rsid w:val="00C86045"/>
    <w:rsid w:val="00C8665D"/>
    <w:rsid w:val="00C86A46"/>
    <w:rsid w:val="00C8763F"/>
    <w:rsid w:val="00C90FB6"/>
    <w:rsid w:val="00C921DF"/>
    <w:rsid w:val="00C938D8"/>
    <w:rsid w:val="00C93E8E"/>
    <w:rsid w:val="00C95555"/>
    <w:rsid w:val="00C95F6B"/>
    <w:rsid w:val="00C96658"/>
    <w:rsid w:val="00CA0FB3"/>
    <w:rsid w:val="00CA280B"/>
    <w:rsid w:val="00CA3412"/>
    <w:rsid w:val="00CA49B1"/>
    <w:rsid w:val="00CA4F7B"/>
    <w:rsid w:val="00CA58C2"/>
    <w:rsid w:val="00CA5B40"/>
    <w:rsid w:val="00CA691E"/>
    <w:rsid w:val="00CA6EEC"/>
    <w:rsid w:val="00CA7229"/>
    <w:rsid w:val="00CA7E20"/>
    <w:rsid w:val="00CB07CD"/>
    <w:rsid w:val="00CB139E"/>
    <w:rsid w:val="00CB3899"/>
    <w:rsid w:val="00CB3DC0"/>
    <w:rsid w:val="00CB4136"/>
    <w:rsid w:val="00CB4C5C"/>
    <w:rsid w:val="00CB573E"/>
    <w:rsid w:val="00CB7D84"/>
    <w:rsid w:val="00CC11B8"/>
    <w:rsid w:val="00CC184A"/>
    <w:rsid w:val="00CC2555"/>
    <w:rsid w:val="00CC38FF"/>
    <w:rsid w:val="00CC4C68"/>
    <w:rsid w:val="00CC576D"/>
    <w:rsid w:val="00CC61A0"/>
    <w:rsid w:val="00CC6C74"/>
    <w:rsid w:val="00CC71D1"/>
    <w:rsid w:val="00CD1315"/>
    <w:rsid w:val="00CD2F8C"/>
    <w:rsid w:val="00CD48D5"/>
    <w:rsid w:val="00CD5EE9"/>
    <w:rsid w:val="00CD72FB"/>
    <w:rsid w:val="00CE1A74"/>
    <w:rsid w:val="00CE2263"/>
    <w:rsid w:val="00CE304C"/>
    <w:rsid w:val="00CE6956"/>
    <w:rsid w:val="00CE722D"/>
    <w:rsid w:val="00CE782C"/>
    <w:rsid w:val="00CE7C72"/>
    <w:rsid w:val="00CF0F40"/>
    <w:rsid w:val="00CF1A54"/>
    <w:rsid w:val="00CF20FD"/>
    <w:rsid w:val="00CF2AD9"/>
    <w:rsid w:val="00CF3097"/>
    <w:rsid w:val="00CF3442"/>
    <w:rsid w:val="00CF3BA4"/>
    <w:rsid w:val="00CF3E33"/>
    <w:rsid w:val="00CF3F4C"/>
    <w:rsid w:val="00CF5DDA"/>
    <w:rsid w:val="00CF63EB"/>
    <w:rsid w:val="00CF69FA"/>
    <w:rsid w:val="00D008ED"/>
    <w:rsid w:val="00D00CC7"/>
    <w:rsid w:val="00D01766"/>
    <w:rsid w:val="00D02802"/>
    <w:rsid w:val="00D03465"/>
    <w:rsid w:val="00D03EF7"/>
    <w:rsid w:val="00D048B7"/>
    <w:rsid w:val="00D054A2"/>
    <w:rsid w:val="00D05578"/>
    <w:rsid w:val="00D11825"/>
    <w:rsid w:val="00D11BF8"/>
    <w:rsid w:val="00D124F9"/>
    <w:rsid w:val="00D12AEB"/>
    <w:rsid w:val="00D13800"/>
    <w:rsid w:val="00D142B2"/>
    <w:rsid w:val="00D1440E"/>
    <w:rsid w:val="00D148CE"/>
    <w:rsid w:val="00D15494"/>
    <w:rsid w:val="00D15AA5"/>
    <w:rsid w:val="00D1799E"/>
    <w:rsid w:val="00D17C2F"/>
    <w:rsid w:val="00D223EB"/>
    <w:rsid w:val="00D225AC"/>
    <w:rsid w:val="00D234A6"/>
    <w:rsid w:val="00D2376D"/>
    <w:rsid w:val="00D23CB3"/>
    <w:rsid w:val="00D23E55"/>
    <w:rsid w:val="00D24403"/>
    <w:rsid w:val="00D248EF"/>
    <w:rsid w:val="00D24AF2"/>
    <w:rsid w:val="00D25722"/>
    <w:rsid w:val="00D259C9"/>
    <w:rsid w:val="00D27182"/>
    <w:rsid w:val="00D279F2"/>
    <w:rsid w:val="00D3234B"/>
    <w:rsid w:val="00D32B11"/>
    <w:rsid w:val="00D33210"/>
    <w:rsid w:val="00D33B9C"/>
    <w:rsid w:val="00D34328"/>
    <w:rsid w:val="00D35DF3"/>
    <w:rsid w:val="00D37D26"/>
    <w:rsid w:val="00D37E5D"/>
    <w:rsid w:val="00D37E81"/>
    <w:rsid w:val="00D37EAE"/>
    <w:rsid w:val="00D4103C"/>
    <w:rsid w:val="00D41E4A"/>
    <w:rsid w:val="00D41FAA"/>
    <w:rsid w:val="00D422E3"/>
    <w:rsid w:val="00D436C9"/>
    <w:rsid w:val="00D45185"/>
    <w:rsid w:val="00D506CF"/>
    <w:rsid w:val="00D51950"/>
    <w:rsid w:val="00D54676"/>
    <w:rsid w:val="00D54AD2"/>
    <w:rsid w:val="00D54B26"/>
    <w:rsid w:val="00D568F8"/>
    <w:rsid w:val="00D56AEF"/>
    <w:rsid w:val="00D60585"/>
    <w:rsid w:val="00D6142C"/>
    <w:rsid w:val="00D6254B"/>
    <w:rsid w:val="00D63B4A"/>
    <w:rsid w:val="00D64C10"/>
    <w:rsid w:val="00D653C6"/>
    <w:rsid w:val="00D67AD8"/>
    <w:rsid w:val="00D713EA"/>
    <w:rsid w:val="00D7310E"/>
    <w:rsid w:val="00D753F8"/>
    <w:rsid w:val="00D75C50"/>
    <w:rsid w:val="00D76F45"/>
    <w:rsid w:val="00D76F97"/>
    <w:rsid w:val="00D849A9"/>
    <w:rsid w:val="00D851C5"/>
    <w:rsid w:val="00D85B70"/>
    <w:rsid w:val="00D86248"/>
    <w:rsid w:val="00D866CA"/>
    <w:rsid w:val="00D93BBE"/>
    <w:rsid w:val="00D94501"/>
    <w:rsid w:val="00D95A4C"/>
    <w:rsid w:val="00DA30C7"/>
    <w:rsid w:val="00DA349F"/>
    <w:rsid w:val="00DA6574"/>
    <w:rsid w:val="00DA6F3F"/>
    <w:rsid w:val="00DB181C"/>
    <w:rsid w:val="00DB2A50"/>
    <w:rsid w:val="00DB2E40"/>
    <w:rsid w:val="00DB3F4F"/>
    <w:rsid w:val="00DB499A"/>
    <w:rsid w:val="00DB53EB"/>
    <w:rsid w:val="00DB6498"/>
    <w:rsid w:val="00DB685D"/>
    <w:rsid w:val="00DB6A78"/>
    <w:rsid w:val="00DB76A2"/>
    <w:rsid w:val="00DB78F7"/>
    <w:rsid w:val="00DC3F91"/>
    <w:rsid w:val="00DC48F2"/>
    <w:rsid w:val="00DC58E1"/>
    <w:rsid w:val="00DD0C1E"/>
    <w:rsid w:val="00DD1419"/>
    <w:rsid w:val="00DD15B6"/>
    <w:rsid w:val="00DD1B5C"/>
    <w:rsid w:val="00DD707B"/>
    <w:rsid w:val="00DD7384"/>
    <w:rsid w:val="00DD74BE"/>
    <w:rsid w:val="00DE083F"/>
    <w:rsid w:val="00DE1DC5"/>
    <w:rsid w:val="00DE53D8"/>
    <w:rsid w:val="00DE6121"/>
    <w:rsid w:val="00DE7675"/>
    <w:rsid w:val="00DF07AB"/>
    <w:rsid w:val="00DF2150"/>
    <w:rsid w:val="00DF2366"/>
    <w:rsid w:val="00DF2716"/>
    <w:rsid w:val="00DF302A"/>
    <w:rsid w:val="00DF3BCD"/>
    <w:rsid w:val="00DF40C8"/>
    <w:rsid w:val="00DF54A7"/>
    <w:rsid w:val="00DF61D9"/>
    <w:rsid w:val="00DF733C"/>
    <w:rsid w:val="00DF7544"/>
    <w:rsid w:val="00DF7DD6"/>
    <w:rsid w:val="00DF7F14"/>
    <w:rsid w:val="00E0011C"/>
    <w:rsid w:val="00E001B4"/>
    <w:rsid w:val="00E0057B"/>
    <w:rsid w:val="00E016A6"/>
    <w:rsid w:val="00E0173C"/>
    <w:rsid w:val="00E0201D"/>
    <w:rsid w:val="00E0307B"/>
    <w:rsid w:val="00E053D2"/>
    <w:rsid w:val="00E0607C"/>
    <w:rsid w:val="00E06845"/>
    <w:rsid w:val="00E0696A"/>
    <w:rsid w:val="00E069DE"/>
    <w:rsid w:val="00E06C94"/>
    <w:rsid w:val="00E07CD1"/>
    <w:rsid w:val="00E07F6A"/>
    <w:rsid w:val="00E07F7B"/>
    <w:rsid w:val="00E10890"/>
    <w:rsid w:val="00E11513"/>
    <w:rsid w:val="00E11565"/>
    <w:rsid w:val="00E14CF2"/>
    <w:rsid w:val="00E15BF1"/>
    <w:rsid w:val="00E15C5B"/>
    <w:rsid w:val="00E20E96"/>
    <w:rsid w:val="00E218B6"/>
    <w:rsid w:val="00E218D8"/>
    <w:rsid w:val="00E25B24"/>
    <w:rsid w:val="00E2616F"/>
    <w:rsid w:val="00E27352"/>
    <w:rsid w:val="00E306F3"/>
    <w:rsid w:val="00E33041"/>
    <w:rsid w:val="00E34127"/>
    <w:rsid w:val="00E34361"/>
    <w:rsid w:val="00E34D75"/>
    <w:rsid w:val="00E35DF4"/>
    <w:rsid w:val="00E36A96"/>
    <w:rsid w:val="00E36FE4"/>
    <w:rsid w:val="00E375B1"/>
    <w:rsid w:val="00E44060"/>
    <w:rsid w:val="00E45650"/>
    <w:rsid w:val="00E4579E"/>
    <w:rsid w:val="00E46C03"/>
    <w:rsid w:val="00E51913"/>
    <w:rsid w:val="00E54D9E"/>
    <w:rsid w:val="00E54E73"/>
    <w:rsid w:val="00E5594A"/>
    <w:rsid w:val="00E55FD8"/>
    <w:rsid w:val="00E56B19"/>
    <w:rsid w:val="00E6000D"/>
    <w:rsid w:val="00E6165E"/>
    <w:rsid w:val="00E61DF7"/>
    <w:rsid w:val="00E66076"/>
    <w:rsid w:val="00E701D0"/>
    <w:rsid w:val="00E716F0"/>
    <w:rsid w:val="00E71ED3"/>
    <w:rsid w:val="00E71F1D"/>
    <w:rsid w:val="00E72C72"/>
    <w:rsid w:val="00E73075"/>
    <w:rsid w:val="00E73907"/>
    <w:rsid w:val="00E765D3"/>
    <w:rsid w:val="00E765E9"/>
    <w:rsid w:val="00E77E02"/>
    <w:rsid w:val="00E806BC"/>
    <w:rsid w:val="00E80919"/>
    <w:rsid w:val="00E83BFE"/>
    <w:rsid w:val="00E84BDB"/>
    <w:rsid w:val="00E85FDE"/>
    <w:rsid w:val="00E86334"/>
    <w:rsid w:val="00E86ACC"/>
    <w:rsid w:val="00E8740C"/>
    <w:rsid w:val="00E9046F"/>
    <w:rsid w:val="00E9257E"/>
    <w:rsid w:val="00E92D51"/>
    <w:rsid w:val="00E932CC"/>
    <w:rsid w:val="00E94723"/>
    <w:rsid w:val="00E95167"/>
    <w:rsid w:val="00E951C0"/>
    <w:rsid w:val="00E973AC"/>
    <w:rsid w:val="00E97DEA"/>
    <w:rsid w:val="00E97E89"/>
    <w:rsid w:val="00EA0562"/>
    <w:rsid w:val="00EA177F"/>
    <w:rsid w:val="00EA5364"/>
    <w:rsid w:val="00EA589C"/>
    <w:rsid w:val="00EA63D9"/>
    <w:rsid w:val="00EA7C07"/>
    <w:rsid w:val="00EB2071"/>
    <w:rsid w:val="00EB3372"/>
    <w:rsid w:val="00EB3A91"/>
    <w:rsid w:val="00EB60B1"/>
    <w:rsid w:val="00EB63FE"/>
    <w:rsid w:val="00EB7E7C"/>
    <w:rsid w:val="00EC0FF2"/>
    <w:rsid w:val="00EC102F"/>
    <w:rsid w:val="00EC1382"/>
    <w:rsid w:val="00EC1C49"/>
    <w:rsid w:val="00EC2145"/>
    <w:rsid w:val="00EC39D3"/>
    <w:rsid w:val="00EC5F2B"/>
    <w:rsid w:val="00EC7F18"/>
    <w:rsid w:val="00ED11A7"/>
    <w:rsid w:val="00ED4A6A"/>
    <w:rsid w:val="00ED55BC"/>
    <w:rsid w:val="00EE0262"/>
    <w:rsid w:val="00EE062E"/>
    <w:rsid w:val="00EE0E26"/>
    <w:rsid w:val="00EE15A4"/>
    <w:rsid w:val="00EE5976"/>
    <w:rsid w:val="00EF104D"/>
    <w:rsid w:val="00EF1AF6"/>
    <w:rsid w:val="00EF2595"/>
    <w:rsid w:val="00EF43C6"/>
    <w:rsid w:val="00EF7B23"/>
    <w:rsid w:val="00F017A9"/>
    <w:rsid w:val="00F038A9"/>
    <w:rsid w:val="00F05531"/>
    <w:rsid w:val="00F055F8"/>
    <w:rsid w:val="00F05F24"/>
    <w:rsid w:val="00F065A1"/>
    <w:rsid w:val="00F06B13"/>
    <w:rsid w:val="00F0780E"/>
    <w:rsid w:val="00F079ED"/>
    <w:rsid w:val="00F101A5"/>
    <w:rsid w:val="00F11FE3"/>
    <w:rsid w:val="00F12B4F"/>
    <w:rsid w:val="00F13D4E"/>
    <w:rsid w:val="00F15C16"/>
    <w:rsid w:val="00F160CC"/>
    <w:rsid w:val="00F2008B"/>
    <w:rsid w:val="00F21CEC"/>
    <w:rsid w:val="00F22098"/>
    <w:rsid w:val="00F23FE9"/>
    <w:rsid w:val="00F2425E"/>
    <w:rsid w:val="00F25B68"/>
    <w:rsid w:val="00F2668C"/>
    <w:rsid w:val="00F273E5"/>
    <w:rsid w:val="00F32231"/>
    <w:rsid w:val="00F327BD"/>
    <w:rsid w:val="00F33195"/>
    <w:rsid w:val="00F358C6"/>
    <w:rsid w:val="00F35DC5"/>
    <w:rsid w:val="00F36601"/>
    <w:rsid w:val="00F36E10"/>
    <w:rsid w:val="00F37114"/>
    <w:rsid w:val="00F375D5"/>
    <w:rsid w:val="00F377FC"/>
    <w:rsid w:val="00F4376B"/>
    <w:rsid w:val="00F43A87"/>
    <w:rsid w:val="00F442EE"/>
    <w:rsid w:val="00F44AC8"/>
    <w:rsid w:val="00F4550A"/>
    <w:rsid w:val="00F456CE"/>
    <w:rsid w:val="00F456FF"/>
    <w:rsid w:val="00F45A79"/>
    <w:rsid w:val="00F50CED"/>
    <w:rsid w:val="00F51EAF"/>
    <w:rsid w:val="00F5250D"/>
    <w:rsid w:val="00F52B8A"/>
    <w:rsid w:val="00F54301"/>
    <w:rsid w:val="00F54F74"/>
    <w:rsid w:val="00F5589B"/>
    <w:rsid w:val="00F5646B"/>
    <w:rsid w:val="00F564AF"/>
    <w:rsid w:val="00F57F6E"/>
    <w:rsid w:val="00F60A0D"/>
    <w:rsid w:val="00F648BC"/>
    <w:rsid w:val="00F6553B"/>
    <w:rsid w:val="00F65C63"/>
    <w:rsid w:val="00F66881"/>
    <w:rsid w:val="00F66F48"/>
    <w:rsid w:val="00F67645"/>
    <w:rsid w:val="00F729F3"/>
    <w:rsid w:val="00F7311B"/>
    <w:rsid w:val="00F747E9"/>
    <w:rsid w:val="00F75B25"/>
    <w:rsid w:val="00F76C99"/>
    <w:rsid w:val="00F804A0"/>
    <w:rsid w:val="00F805AF"/>
    <w:rsid w:val="00F8212F"/>
    <w:rsid w:val="00F840AD"/>
    <w:rsid w:val="00F84D44"/>
    <w:rsid w:val="00F84FEC"/>
    <w:rsid w:val="00F85E32"/>
    <w:rsid w:val="00F86335"/>
    <w:rsid w:val="00F90453"/>
    <w:rsid w:val="00F9073C"/>
    <w:rsid w:val="00F90C54"/>
    <w:rsid w:val="00F92D3B"/>
    <w:rsid w:val="00F94EEA"/>
    <w:rsid w:val="00F95028"/>
    <w:rsid w:val="00F956B0"/>
    <w:rsid w:val="00F965BD"/>
    <w:rsid w:val="00F970D1"/>
    <w:rsid w:val="00FA0005"/>
    <w:rsid w:val="00FA0244"/>
    <w:rsid w:val="00FA207E"/>
    <w:rsid w:val="00FA2294"/>
    <w:rsid w:val="00FA24C1"/>
    <w:rsid w:val="00FA2790"/>
    <w:rsid w:val="00FA2CD1"/>
    <w:rsid w:val="00FA59CA"/>
    <w:rsid w:val="00FA5F90"/>
    <w:rsid w:val="00FA7C14"/>
    <w:rsid w:val="00FB1E9F"/>
    <w:rsid w:val="00FB3938"/>
    <w:rsid w:val="00FB5624"/>
    <w:rsid w:val="00FB6B1B"/>
    <w:rsid w:val="00FB7714"/>
    <w:rsid w:val="00FB7800"/>
    <w:rsid w:val="00FB7A04"/>
    <w:rsid w:val="00FC3E50"/>
    <w:rsid w:val="00FC40E5"/>
    <w:rsid w:val="00FC4760"/>
    <w:rsid w:val="00FC498E"/>
    <w:rsid w:val="00FC549D"/>
    <w:rsid w:val="00FC5554"/>
    <w:rsid w:val="00FC5A2B"/>
    <w:rsid w:val="00FC6EEA"/>
    <w:rsid w:val="00FD0471"/>
    <w:rsid w:val="00FD0541"/>
    <w:rsid w:val="00FD1088"/>
    <w:rsid w:val="00FD18B4"/>
    <w:rsid w:val="00FD1CC4"/>
    <w:rsid w:val="00FD2549"/>
    <w:rsid w:val="00FD4BAD"/>
    <w:rsid w:val="00FE0B49"/>
    <w:rsid w:val="00FE25A9"/>
    <w:rsid w:val="00FE2D21"/>
    <w:rsid w:val="00FE3604"/>
    <w:rsid w:val="00FE4527"/>
    <w:rsid w:val="00FE4B35"/>
    <w:rsid w:val="00FE67BC"/>
    <w:rsid w:val="00FE6E1B"/>
    <w:rsid w:val="00FF03A3"/>
    <w:rsid w:val="00FF1221"/>
    <w:rsid w:val="00FF2FAD"/>
    <w:rsid w:val="00FF328B"/>
    <w:rsid w:val="00FF375A"/>
    <w:rsid w:val="00FF4BA9"/>
    <w:rsid w:val="00FF71FF"/>
    <w:rsid w:val="01CEC757"/>
    <w:rsid w:val="07DB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8793CDA1-3721-4B1E-9790-07A97A38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paragraph" w:styleId="Heading1">
    <w:name w:val="heading 1"/>
    <w:basedOn w:val="ListParagraph"/>
    <w:next w:val="Normal"/>
    <w:link w:val="Heading1Char"/>
    <w:uiPriority w:val="9"/>
    <w:qFormat/>
    <w:rsid w:val="009F5F55"/>
    <w:pPr>
      <w:numPr>
        <w:numId w:val="4"/>
      </w:numPr>
      <w:spacing w:after="120" w:line="240" w:lineRule="auto"/>
      <w:contextualSpacing w:val="0"/>
      <w:outlineLvl w:val="0"/>
    </w:pPr>
    <w:rPr>
      <w:rFonts w:ascii="Aptos" w:hAnsi="Apto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paragraph" w:customStyle="1" w:styleId="DocID">
    <w:name w:val="DocID"/>
    <w:basedOn w:val="Normal"/>
    <w:qFormat/>
    <w:rsid w:val="005A1037"/>
    <w:pPr>
      <w:suppressAutoHyphens/>
      <w:spacing w:after="0" w:line="240" w:lineRule="auto"/>
    </w:pPr>
    <w:rPr>
      <w:rFonts w:ascii="Times New Roman" w:eastAsia="Times New Roman" w:hAnsi="Times New Roman" w:cs="Times New Roman"/>
      <w:sz w:val="16"/>
      <w:szCs w:val="16"/>
    </w:rPr>
  </w:style>
  <w:style w:type="character" w:customStyle="1" w:styleId="Heading1Char">
    <w:name w:val="Heading 1 Char"/>
    <w:basedOn w:val="DefaultParagraphFont"/>
    <w:link w:val="Heading1"/>
    <w:uiPriority w:val="9"/>
    <w:rsid w:val="009F5F55"/>
    <w:rPr>
      <w:rFonts w:ascii="Aptos" w:hAnsi="Apto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086528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636254132">
      <w:bodyDiv w:val="1"/>
      <w:marLeft w:val="0"/>
      <w:marRight w:val="0"/>
      <w:marTop w:val="0"/>
      <w:marBottom w:val="0"/>
      <w:divBdr>
        <w:top w:val="none" w:sz="0" w:space="0" w:color="auto"/>
        <w:left w:val="none" w:sz="0" w:space="0" w:color="auto"/>
        <w:bottom w:val="none" w:sz="0" w:space="0" w:color="auto"/>
        <w:right w:val="none" w:sz="0" w:space="0" w:color="auto"/>
      </w:divBdr>
    </w:div>
    <w:div w:id="782457477">
      <w:bodyDiv w:val="1"/>
      <w:marLeft w:val="0"/>
      <w:marRight w:val="0"/>
      <w:marTop w:val="0"/>
      <w:marBottom w:val="0"/>
      <w:divBdr>
        <w:top w:val="none" w:sz="0" w:space="0" w:color="auto"/>
        <w:left w:val="none" w:sz="0" w:space="0" w:color="auto"/>
        <w:bottom w:val="none" w:sz="0" w:space="0" w:color="auto"/>
        <w:right w:val="none" w:sz="0" w:space="0" w:color="auto"/>
      </w:divBdr>
    </w:div>
    <w:div w:id="841745989">
      <w:bodyDiv w:val="1"/>
      <w:marLeft w:val="0"/>
      <w:marRight w:val="0"/>
      <w:marTop w:val="0"/>
      <w:marBottom w:val="0"/>
      <w:divBdr>
        <w:top w:val="none" w:sz="0" w:space="0" w:color="auto"/>
        <w:left w:val="none" w:sz="0" w:space="0" w:color="auto"/>
        <w:bottom w:val="none" w:sz="0" w:space="0" w:color="auto"/>
        <w:right w:val="none" w:sz="0" w:space="0" w:color="auto"/>
      </w:divBdr>
    </w:div>
    <w:div w:id="871189433">
      <w:bodyDiv w:val="1"/>
      <w:marLeft w:val="0"/>
      <w:marRight w:val="0"/>
      <w:marTop w:val="0"/>
      <w:marBottom w:val="0"/>
      <w:divBdr>
        <w:top w:val="none" w:sz="0" w:space="0" w:color="auto"/>
        <w:left w:val="none" w:sz="0" w:space="0" w:color="auto"/>
        <w:bottom w:val="none" w:sz="0" w:space="0" w:color="auto"/>
        <w:right w:val="none" w:sz="0" w:space="0" w:color="auto"/>
      </w:divBdr>
    </w:div>
    <w:div w:id="1052728483">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227304709">
      <w:bodyDiv w:val="1"/>
      <w:marLeft w:val="0"/>
      <w:marRight w:val="0"/>
      <w:marTop w:val="0"/>
      <w:marBottom w:val="0"/>
      <w:divBdr>
        <w:top w:val="none" w:sz="0" w:space="0" w:color="auto"/>
        <w:left w:val="none" w:sz="0" w:space="0" w:color="auto"/>
        <w:bottom w:val="none" w:sz="0" w:space="0" w:color="auto"/>
        <w:right w:val="none" w:sz="0" w:space="0" w:color="auto"/>
      </w:divBdr>
    </w:div>
    <w:div w:id="1417360638">
      <w:bodyDiv w:val="1"/>
      <w:marLeft w:val="0"/>
      <w:marRight w:val="0"/>
      <w:marTop w:val="0"/>
      <w:marBottom w:val="0"/>
      <w:divBdr>
        <w:top w:val="none" w:sz="0" w:space="0" w:color="auto"/>
        <w:left w:val="none" w:sz="0" w:space="0" w:color="auto"/>
        <w:bottom w:val="none" w:sz="0" w:space="0" w:color="auto"/>
        <w:right w:val="none" w:sz="0" w:space="0" w:color="auto"/>
      </w:divBdr>
    </w:div>
    <w:div w:id="1433889771">
      <w:bodyDiv w:val="1"/>
      <w:marLeft w:val="0"/>
      <w:marRight w:val="0"/>
      <w:marTop w:val="0"/>
      <w:marBottom w:val="0"/>
      <w:divBdr>
        <w:top w:val="none" w:sz="0" w:space="0" w:color="auto"/>
        <w:left w:val="none" w:sz="0" w:space="0" w:color="auto"/>
        <w:bottom w:val="none" w:sz="0" w:space="0" w:color="auto"/>
        <w:right w:val="none" w:sz="0" w:space="0" w:color="auto"/>
      </w:divBdr>
    </w:div>
    <w:div w:id="1445618264">
      <w:bodyDiv w:val="1"/>
      <w:marLeft w:val="0"/>
      <w:marRight w:val="0"/>
      <w:marTop w:val="0"/>
      <w:marBottom w:val="0"/>
      <w:divBdr>
        <w:top w:val="none" w:sz="0" w:space="0" w:color="auto"/>
        <w:left w:val="none" w:sz="0" w:space="0" w:color="auto"/>
        <w:bottom w:val="none" w:sz="0" w:space="0" w:color="auto"/>
        <w:right w:val="none" w:sz="0" w:space="0" w:color="auto"/>
      </w:divBdr>
    </w:div>
    <w:div w:id="1472214227">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07089232">
      <w:bodyDiv w:val="1"/>
      <w:marLeft w:val="0"/>
      <w:marRight w:val="0"/>
      <w:marTop w:val="0"/>
      <w:marBottom w:val="0"/>
      <w:divBdr>
        <w:top w:val="none" w:sz="0" w:space="0" w:color="auto"/>
        <w:left w:val="none" w:sz="0" w:space="0" w:color="auto"/>
        <w:bottom w:val="none" w:sz="0" w:space="0" w:color="auto"/>
        <w:right w:val="none" w:sz="0" w:space="0" w:color="auto"/>
      </w:divBdr>
    </w:div>
    <w:div w:id="1529836053">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616717330">
      <w:bodyDiv w:val="1"/>
      <w:marLeft w:val="0"/>
      <w:marRight w:val="0"/>
      <w:marTop w:val="0"/>
      <w:marBottom w:val="0"/>
      <w:divBdr>
        <w:top w:val="none" w:sz="0" w:space="0" w:color="auto"/>
        <w:left w:val="none" w:sz="0" w:space="0" w:color="auto"/>
        <w:bottom w:val="none" w:sz="0" w:space="0" w:color="auto"/>
        <w:right w:val="none" w:sz="0" w:space="0" w:color="auto"/>
      </w:divBdr>
    </w:div>
    <w:div w:id="1734041949">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1946690431">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ton.gov/sites/default/files/file/2023/05/HOB_Cancer_2023_FINAL_May1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H.DON@mas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scdata.com/wp-content/uploads/2025/02/ASC-Data-Industry-Overview-February-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985</TotalTime>
  <Pages>5</Pages>
  <Words>1960</Words>
  <Characters>11173</Characters>
  <Application>Microsoft Office Word</Application>
  <DocSecurity>0</DocSecurity>
  <Lines>93</Lines>
  <Paragraphs>26</Paragraphs>
  <ScaleCrop>false</ScaleCrop>
  <Company>Commonwealth of Massachusetts</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3</cp:revision>
  <cp:lastPrinted>1900-01-01T06:00:00Z</cp:lastPrinted>
  <dcterms:created xsi:type="dcterms:W3CDTF">1900-01-01T06:00:00Z</dcterms:created>
  <dcterms:modified xsi:type="dcterms:W3CDTF">2025-12-17T12:55:00Z</dcterms:modified>
</cp:coreProperties>
</file>