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DEB1A" w14:textId="77777777" w:rsidR="0060745D" w:rsidRPr="00665920" w:rsidRDefault="0060745D" w:rsidP="00D45CF3">
      <w:pPr>
        <w:jc w:val="center"/>
        <w:rPr>
          <w:rFonts w:cstheme="minorHAnsi"/>
          <w:b/>
          <w:bCs/>
        </w:rPr>
      </w:pPr>
    </w:p>
    <w:p w14:paraId="26D9C4F2" w14:textId="65A730BD" w:rsidR="00D45CF3" w:rsidRPr="00665920" w:rsidRDefault="006878B8" w:rsidP="00D45CF3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AMENDMENT</w:t>
      </w:r>
      <w:r w:rsidR="00D45CF3" w:rsidRPr="00665920">
        <w:rPr>
          <w:rFonts w:cstheme="minorHAnsi"/>
          <w:b/>
          <w:bCs/>
        </w:rPr>
        <w:t xml:space="preserve"> QUESTIONS</w:t>
      </w:r>
      <w:r w:rsidR="00006750" w:rsidRPr="00665920">
        <w:rPr>
          <w:rFonts w:cstheme="minorHAnsi"/>
          <w:b/>
          <w:bCs/>
        </w:rPr>
        <w:t xml:space="preserve"> #</w:t>
      </w:r>
      <w:r w:rsidR="00AC3B94">
        <w:rPr>
          <w:rFonts w:cstheme="minorHAnsi"/>
          <w:b/>
          <w:bCs/>
        </w:rPr>
        <w:t>2</w:t>
      </w:r>
    </w:p>
    <w:p w14:paraId="0B653DC0" w14:textId="77777777" w:rsidR="00D45CF3" w:rsidRPr="00665920" w:rsidRDefault="00D45CF3" w:rsidP="00D45CF3">
      <w:pPr>
        <w:jc w:val="center"/>
        <w:rPr>
          <w:rFonts w:cstheme="minorHAnsi"/>
        </w:rPr>
      </w:pPr>
      <w:r w:rsidRPr="00665920">
        <w:rPr>
          <w:rFonts w:cstheme="minorHAnsi"/>
          <w:i/>
          <w:iCs/>
        </w:rPr>
        <w:t xml:space="preserve">Responses should be sent to DoN staff at </w:t>
      </w:r>
      <w:hyperlink r:id="rId8" w:history="1">
        <w:r w:rsidRPr="00665920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665920" w14:paraId="0DA3F6A5" w14:textId="77777777" w:rsidTr="005C13BE">
        <w:trPr>
          <w:jc w:val="center"/>
        </w:trPr>
        <w:tc>
          <w:tcPr>
            <w:tcW w:w="9350" w:type="dxa"/>
          </w:tcPr>
          <w:p w14:paraId="45FEAD51" w14:textId="77777777" w:rsidR="00D45CF3" w:rsidRPr="00665920" w:rsidRDefault="00D45CF3" w:rsidP="005C13BE">
            <w:p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564BC99A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3481F63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8D014BD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665920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61B898A9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Cs/>
              </w:rPr>
              <w:t>Submit responses in WORD or EXCEL; only use PDF’s if absolutely necessary. If “cutting and pasting” charts, provide them in a PDF so they can be clearly seen</w:t>
            </w:r>
          </w:p>
          <w:p w14:paraId="70F1F40B" w14:textId="77777777" w:rsidR="00D45CF3" w:rsidRPr="00665920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Whenever possible, include a table with the response</w:t>
            </w:r>
          </w:p>
          <w:p w14:paraId="01C56AEF" w14:textId="30C3F16C" w:rsidR="001A32EA" w:rsidRPr="00665920" w:rsidRDefault="001A32EA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65920">
              <w:rPr>
                <w:rFonts w:cstheme="minorHAnsi"/>
                <w:b/>
              </w:rPr>
              <w:t>For HIPAA compliance Do not include numbers &lt;11.</w:t>
            </w:r>
          </w:p>
        </w:tc>
      </w:tr>
    </w:tbl>
    <w:p w14:paraId="0A81B0B9" w14:textId="2966E733" w:rsidR="0066604A" w:rsidRPr="00665920" w:rsidRDefault="0066604A">
      <w:pPr>
        <w:rPr>
          <w:rFonts w:cstheme="minorHAnsi"/>
        </w:rPr>
      </w:pPr>
    </w:p>
    <w:p w14:paraId="78275B26" w14:textId="2A73641D" w:rsidR="00AC3B94" w:rsidRPr="00AC3B94" w:rsidRDefault="00AC3B94" w:rsidP="00AC3B94">
      <w:pPr>
        <w:pStyle w:val="ListParagraph"/>
        <w:numPr>
          <w:ilvl w:val="0"/>
          <w:numId w:val="27"/>
        </w:numPr>
        <w:rPr>
          <w:rFonts w:cstheme="minorHAnsi"/>
          <w:lang w:bidi="en-US"/>
        </w:rPr>
      </w:pPr>
      <w:r>
        <w:rPr>
          <w:rFonts w:cstheme="minorHAnsi"/>
        </w:rPr>
        <w:t>Responses to DoN Questions #1</w:t>
      </w:r>
      <w:r w:rsidR="00E43D85">
        <w:rPr>
          <w:rFonts w:cstheme="minorHAnsi"/>
        </w:rPr>
        <w:t xml:space="preserve"> (pg.</w:t>
      </w:r>
      <w:r w:rsidR="00134607">
        <w:rPr>
          <w:rFonts w:cstheme="minorHAnsi"/>
        </w:rPr>
        <w:t>2)</w:t>
      </w:r>
      <w:r>
        <w:rPr>
          <w:rFonts w:cstheme="minorHAnsi"/>
        </w:rPr>
        <w:t xml:space="preserve"> state that </w:t>
      </w:r>
      <w:r>
        <w:rPr>
          <w:rFonts w:cstheme="minorHAnsi"/>
          <w:lang w:bidi="en-US"/>
        </w:rPr>
        <w:t>t</w:t>
      </w:r>
      <w:r w:rsidRPr="00AC3B94">
        <w:rPr>
          <w:rFonts w:cstheme="minorHAnsi"/>
          <w:lang w:bidi="en-US"/>
        </w:rPr>
        <w:t>he Holder evaluated the following items when determining need for 5 additional days of service:</w:t>
      </w:r>
    </w:p>
    <w:p w14:paraId="18E0C56E" w14:textId="77777777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t xml:space="preserve">Centers for Disease Control and Prevention (CDC) reported tumor registry data, </w:t>
      </w:r>
    </w:p>
    <w:p w14:paraId="09E4D4BA" w14:textId="575E3EAF" w:rsidR="008408C0" w:rsidRDefault="002968A7" w:rsidP="008408C0">
      <w:pPr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 xml:space="preserve">CDC tumor reporting is available for 2023 currently. </w:t>
      </w:r>
      <w:r w:rsidR="002E657E" w:rsidRPr="002E657E">
        <w:rPr>
          <w:rFonts w:cstheme="minorHAnsi"/>
          <w:color w:val="0070C0"/>
          <w:lang w:bidi="en-US"/>
        </w:rPr>
        <w:t>For reporting year 2023</w:t>
      </w:r>
      <w:r w:rsidR="0059575B">
        <w:rPr>
          <w:rFonts w:cstheme="minorHAnsi"/>
          <w:color w:val="0070C0"/>
          <w:lang w:bidi="en-US"/>
        </w:rPr>
        <w:t>,</w:t>
      </w:r>
      <w:r w:rsidR="002E657E" w:rsidRPr="002E657E">
        <w:rPr>
          <w:rFonts w:cstheme="minorHAnsi"/>
          <w:color w:val="0070C0"/>
          <w:lang w:bidi="en-US"/>
        </w:rPr>
        <w:t xml:space="preserve"> </w:t>
      </w:r>
      <w:r>
        <w:rPr>
          <w:rFonts w:cstheme="minorHAnsi"/>
          <w:color w:val="0070C0"/>
          <w:lang w:bidi="en-US"/>
        </w:rPr>
        <w:t>an estimating tool</w:t>
      </w:r>
      <w:r w:rsidR="0043720D">
        <w:rPr>
          <w:rFonts w:cstheme="minorHAnsi"/>
          <w:color w:val="0070C0"/>
          <w:lang w:bidi="en-US"/>
        </w:rPr>
        <w:t>, combined with proprietary data,</w:t>
      </w:r>
      <w:r>
        <w:rPr>
          <w:rFonts w:cstheme="minorHAnsi"/>
          <w:color w:val="0070C0"/>
          <w:lang w:bidi="en-US"/>
        </w:rPr>
        <w:t xml:space="preserve"> suggested that</w:t>
      </w:r>
      <w:r w:rsidR="002E657E" w:rsidRPr="002E657E">
        <w:rPr>
          <w:rFonts w:cstheme="minorHAnsi"/>
          <w:color w:val="0070C0"/>
          <w:lang w:bidi="en-US"/>
        </w:rPr>
        <w:t xml:space="preserve"> 200 patients </w:t>
      </w:r>
      <w:r>
        <w:rPr>
          <w:rFonts w:cstheme="minorHAnsi"/>
          <w:color w:val="0070C0"/>
          <w:lang w:bidi="en-US"/>
        </w:rPr>
        <w:t xml:space="preserve">likely sought care at other locations based on appointment availability </w:t>
      </w:r>
      <w:r w:rsidR="0059575B">
        <w:rPr>
          <w:rFonts w:cstheme="minorHAnsi"/>
          <w:color w:val="0070C0"/>
          <w:lang w:bidi="en-US"/>
        </w:rPr>
        <w:t>(p</w:t>
      </w:r>
      <w:r w:rsidR="002E657E" w:rsidRPr="002E657E">
        <w:rPr>
          <w:rFonts w:cstheme="minorHAnsi"/>
          <w:color w:val="0070C0"/>
          <w:lang w:bidi="en-US"/>
        </w:rPr>
        <w:t>otential 2329 to actual 2135)</w:t>
      </w:r>
      <w:r w:rsidR="008408C0">
        <w:rPr>
          <w:rFonts w:cstheme="minorHAnsi"/>
          <w:color w:val="0070C0"/>
          <w:lang w:bidi="en-US"/>
        </w:rPr>
        <w:t>.</w:t>
      </w:r>
    </w:p>
    <w:p w14:paraId="5A6165FC" w14:textId="55979511" w:rsidR="0043720D" w:rsidRPr="0043720D" w:rsidRDefault="0043720D" w:rsidP="0043720D">
      <w:pPr>
        <w:spacing w:after="0" w:line="240" w:lineRule="auto"/>
        <w:ind w:left="1440"/>
        <w:rPr>
          <w:rFonts w:ascii="Aptos" w:eastAsia="Calibri" w:hAnsi="Aptos" w:cs="Times New Roman"/>
          <w:color w:val="0070C0"/>
          <w:sz w:val="24"/>
          <w:szCs w:val="24"/>
        </w:rPr>
      </w:pPr>
      <w:hyperlink r:id="rId9" w:history="1">
        <w:r w:rsidRPr="0043720D">
          <w:rPr>
            <w:rFonts w:ascii="Aptos" w:eastAsia="Calibri" w:hAnsi="Aptos" w:cs="Times New Roman"/>
            <w:color w:val="0070C0"/>
            <w:sz w:val="24"/>
            <w:szCs w:val="24"/>
            <w:u w:val="single"/>
          </w:rPr>
          <w:t>https://www.cancer-rates.com/</w:t>
        </w:r>
      </w:hyperlink>
    </w:p>
    <w:p w14:paraId="65926277" w14:textId="77777777" w:rsidR="0043720D" w:rsidRPr="0043720D" w:rsidRDefault="0043720D" w:rsidP="0043720D">
      <w:pPr>
        <w:spacing w:after="0" w:line="240" w:lineRule="auto"/>
        <w:ind w:left="1440"/>
        <w:rPr>
          <w:rFonts w:ascii="Aptos" w:eastAsia="Calibri" w:hAnsi="Aptos" w:cs="Times New Roman"/>
          <w:color w:val="0070C0"/>
          <w:sz w:val="24"/>
          <w:szCs w:val="24"/>
        </w:rPr>
      </w:pPr>
      <w:hyperlink r:id="rId10" w:anchor="MA" w:history="1">
        <w:r w:rsidRPr="0043720D">
          <w:rPr>
            <w:rFonts w:ascii="Aptos" w:eastAsia="Calibri" w:hAnsi="Aptos" w:cs="Times New Roman"/>
            <w:color w:val="0070C0"/>
            <w:sz w:val="24"/>
            <w:szCs w:val="24"/>
            <w:u w:val="single"/>
          </w:rPr>
          <w:t>https://www.cdc.gov/national-program-cancer-registries/contact/index.html#MA</w:t>
        </w:r>
      </w:hyperlink>
      <w:r w:rsidRPr="0043720D">
        <w:rPr>
          <w:rFonts w:ascii="Aptos" w:eastAsia="Calibri" w:hAnsi="Aptos" w:cs="Times New Roman"/>
          <w:color w:val="0070C0"/>
          <w:sz w:val="24"/>
          <w:szCs w:val="24"/>
        </w:rPr>
        <w:t xml:space="preserve"> </w:t>
      </w:r>
    </w:p>
    <w:p w14:paraId="07484427" w14:textId="77777777" w:rsidR="008408C0" w:rsidRPr="002E657E" w:rsidRDefault="008408C0" w:rsidP="002E657E">
      <w:pPr>
        <w:ind w:left="1440"/>
        <w:rPr>
          <w:rFonts w:cstheme="minorHAnsi"/>
          <w:color w:val="0070C0"/>
          <w:lang w:bidi="en-US"/>
        </w:rPr>
      </w:pPr>
    </w:p>
    <w:p w14:paraId="0202D3EC" w14:textId="77777777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t>Advisory Board national and regional PET/CT trending through Medicare data trends,</w:t>
      </w:r>
    </w:p>
    <w:p w14:paraId="00B1B551" w14:textId="30852EAA" w:rsidR="001F423D" w:rsidRPr="00450854" w:rsidRDefault="00450854" w:rsidP="00450854">
      <w:pPr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 xml:space="preserve">Advisory Board data from 2024 projects PET/CT utilization </w:t>
      </w:r>
      <w:r w:rsidR="008C5AAE">
        <w:rPr>
          <w:rFonts w:cstheme="minorHAnsi"/>
          <w:color w:val="0070C0"/>
          <w:lang w:bidi="en-US"/>
        </w:rPr>
        <w:t>will</w:t>
      </w:r>
      <w:r w:rsidR="00110240" w:rsidRPr="00450854">
        <w:rPr>
          <w:rFonts w:cstheme="minorHAnsi"/>
          <w:color w:val="0070C0"/>
          <w:lang w:bidi="en-US"/>
        </w:rPr>
        <w:t xml:space="preserve"> grow by 9% per yea</w:t>
      </w:r>
      <w:r>
        <w:rPr>
          <w:rFonts w:cstheme="minorHAnsi"/>
          <w:color w:val="0070C0"/>
          <w:lang w:bidi="en-US"/>
        </w:rPr>
        <w:t>r</w:t>
      </w:r>
      <w:r w:rsidR="00BA56D7">
        <w:rPr>
          <w:rFonts w:cstheme="minorHAnsi"/>
          <w:color w:val="0070C0"/>
          <w:lang w:bidi="en-US"/>
        </w:rPr>
        <w:t xml:space="preserve"> for</w:t>
      </w:r>
      <w:r>
        <w:rPr>
          <w:rFonts w:cstheme="minorHAnsi"/>
          <w:color w:val="0070C0"/>
          <w:lang w:bidi="en-US"/>
        </w:rPr>
        <w:t xml:space="preserve"> the next 5 years.</w:t>
      </w:r>
    </w:p>
    <w:p w14:paraId="4188B8BC" w14:textId="77777777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t>Incidence per population for specialty exams,</w:t>
      </w:r>
    </w:p>
    <w:p w14:paraId="58666EEA" w14:textId="4596424F" w:rsidR="002968A7" w:rsidRPr="0059575B" w:rsidRDefault="0043720D" w:rsidP="0059575B">
      <w:pPr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 xml:space="preserve">CDC tumor reporting, combined with proprietary data, illustrates the incidence per population for specialty exams. </w:t>
      </w:r>
      <w:r w:rsidR="002968A7" w:rsidRPr="0059575B">
        <w:rPr>
          <w:rFonts w:cstheme="minorHAnsi"/>
          <w:color w:val="0070C0"/>
          <w:lang w:bidi="en-US"/>
        </w:rPr>
        <w:t>Specialty exams refer to non-FDG cases. For PETCT, the following diseases are considered specialty exams.</w:t>
      </w:r>
      <w:r>
        <w:rPr>
          <w:rFonts w:cstheme="minorHAnsi"/>
          <w:color w:val="0070C0"/>
          <w:lang w:bidi="en-US"/>
        </w:rPr>
        <w:t xml:space="preserve">  </w:t>
      </w:r>
    </w:p>
    <w:p w14:paraId="325D0F40" w14:textId="2914E3BD" w:rsidR="004A0917" w:rsidRDefault="0059575B" w:rsidP="004A0917">
      <w:pPr>
        <w:ind w:left="1080" w:firstLine="360"/>
        <w:contextualSpacing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u w:val="single"/>
          <w:lang w:bidi="en-US"/>
        </w:rPr>
        <w:t>Neuroendocrine</w:t>
      </w:r>
      <w:r w:rsidR="004F01B4" w:rsidRPr="004A0917">
        <w:rPr>
          <w:rFonts w:cstheme="minorHAnsi"/>
          <w:color w:val="0070C0"/>
          <w:lang w:bidi="en-US"/>
        </w:rPr>
        <w:t xml:space="preserve">: </w:t>
      </w:r>
    </w:p>
    <w:p w14:paraId="0EEDE62A" w14:textId="3CFBB2FE" w:rsidR="00223DBD" w:rsidRPr="004A0917" w:rsidRDefault="004A0917" w:rsidP="004A0917">
      <w:pPr>
        <w:ind w:left="1080" w:firstLine="360"/>
        <w:contextualSpacing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>35 per</w:t>
      </w:r>
      <w:r w:rsidR="004F01B4" w:rsidRPr="004A0917">
        <w:rPr>
          <w:rFonts w:cstheme="minorHAnsi"/>
          <w:color w:val="0070C0"/>
          <w:lang w:bidi="en-US"/>
        </w:rPr>
        <w:t xml:space="preserve"> 100,000</w:t>
      </w:r>
    </w:p>
    <w:p w14:paraId="37B42178" w14:textId="69858396" w:rsidR="00223DBD" w:rsidRPr="004A0917" w:rsidRDefault="00223DBD" w:rsidP="00450854">
      <w:pPr>
        <w:pStyle w:val="ListParagraph"/>
        <w:ind w:left="1440"/>
        <w:rPr>
          <w:rFonts w:cstheme="minorHAnsi"/>
          <w:color w:val="0070C0"/>
          <w:u w:val="single"/>
          <w:lang w:bidi="en-US"/>
        </w:rPr>
      </w:pPr>
      <w:r w:rsidRPr="004A0917">
        <w:rPr>
          <w:rFonts w:cstheme="minorHAnsi"/>
          <w:color w:val="0070C0"/>
          <w:u w:val="single"/>
          <w:lang w:bidi="en-US"/>
        </w:rPr>
        <w:t>Cardiac Sarcoidosis:</w:t>
      </w:r>
    </w:p>
    <w:p w14:paraId="630DD2B5" w14:textId="79E6CE76" w:rsidR="00223DBD" w:rsidRPr="00450854" w:rsidRDefault="00223DBD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 w:rsidRPr="00450854">
        <w:rPr>
          <w:rFonts w:cstheme="minorHAnsi"/>
          <w:color w:val="0070C0"/>
          <w:lang w:bidi="en-US"/>
        </w:rPr>
        <w:t>10.9 per 100,00 in white American</w:t>
      </w:r>
    </w:p>
    <w:p w14:paraId="4AD25515" w14:textId="3C6F577E" w:rsidR="00223DBD" w:rsidRPr="00450854" w:rsidRDefault="00223DBD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 w:rsidRPr="00450854">
        <w:rPr>
          <w:rFonts w:cstheme="minorHAnsi"/>
          <w:color w:val="0070C0"/>
          <w:lang w:bidi="en-US"/>
        </w:rPr>
        <w:t>35.5 per 100,000 in African American</w:t>
      </w:r>
    </w:p>
    <w:p w14:paraId="504C22FE" w14:textId="77777777" w:rsidR="00223DBD" w:rsidRPr="00450854" w:rsidRDefault="00223DBD" w:rsidP="00450854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3C863637" w14:textId="3058207F" w:rsidR="00223DBD" w:rsidRPr="00450854" w:rsidRDefault="004F01B4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 w:rsidRPr="004A0917">
        <w:rPr>
          <w:rFonts w:cstheme="minorHAnsi"/>
          <w:color w:val="0070C0"/>
          <w:u w:val="single"/>
          <w:lang w:bidi="en-US"/>
        </w:rPr>
        <w:t>Prostate cancer</w:t>
      </w:r>
      <w:r w:rsidRPr="00450854">
        <w:rPr>
          <w:rFonts w:cstheme="minorHAnsi"/>
          <w:color w:val="0070C0"/>
          <w:lang w:bidi="en-US"/>
        </w:rPr>
        <w:t>:</w:t>
      </w:r>
      <w:r w:rsidR="00223DBD" w:rsidRPr="00450854">
        <w:rPr>
          <w:rFonts w:cstheme="minorHAnsi"/>
          <w:color w:val="0070C0"/>
          <w:lang w:bidi="en-US"/>
        </w:rPr>
        <w:t xml:space="preserve"> </w:t>
      </w:r>
    </w:p>
    <w:p w14:paraId="20A7A93C" w14:textId="496D59F3" w:rsidR="004F01B4" w:rsidRPr="00450854" w:rsidRDefault="004A0917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>1 in 54 (</w:t>
      </w:r>
      <w:r w:rsidR="00223DBD" w:rsidRPr="00450854">
        <w:rPr>
          <w:rFonts w:cstheme="minorHAnsi"/>
          <w:color w:val="0070C0"/>
          <w:lang w:bidi="en-US"/>
        </w:rPr>
        <w:t>men 50-59</w:t>
      </w:r>
      <w:r>
        <w:rPr>
          <w:rFonts w:cstheme="minorHAnsi"/>
          <w:color w:val="0070C0"/>
          <w:lang w:bidi="en-US"/>
        </w:rPr>
        <w:t>)</w:t>
      </w:r>
    </w:p>
    <w:p w14:paraId="7A5B357D" w14:textId="010A083E" w:rsidR="00223DBD" w:rsidRPr="00450854" w:rsidRDefault="004A0917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>1 in 19 (</w:t>
      </w:r>
      <w:r w:rsidR="00223DBD" w:rsidRPr="00450854">
        <w:rPr>
          <w:rFonts w:cstheme="minorHAnsi"/>
          <w:color w:val="0070C0"/>
          <w:lang w:bidi="en-US"/>
        </w:rPr>
        <w:t>men 60-69</w:t>
      </w:r>
      <w:r>
        <w:rPr>
          <w:rFonts w:cstheme="minorHAnsi"/>
          <w:color w:val="0070C0"/>
          <w:lang w:bidi="en-US"/>
        </w:rPr>
        <w:t>)</w:t>
      </w:r>
    </w:p>
    <w:p w14:paraId="16F6EE61" w14:textId="6AB9580B" w:rsidR="00223DBD" w:rsidRDefault="004A0917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>1 in 11 (men</w:t>
      </w:r>
      <w:r w:rsidR="00223DBD" w:rsidRPr="00450854">
        <w:rPr>
          <w:rFonts w:cstheme="minorHAnsi"/>
          <w:color w:val="0070C0"/>
          <w:lang w:bidi="en-US"/>
        </w:rPr>
        <w:t xml:space="preserve"> 70+</w:t>
      </w:r>
      <w:r>
        <w:rPr>
          <w:rFonts w:cstheme="minorHAnsi"/>
          <w:color w:val="0070C0"/>
          <w:lang w:bidi="en-US"/>
        </w:rPr>
        <w:t>)</w:t>
      </w:r>
    </w:p>
    <w:p w14:paraId="7EA14C62" w14:textId="77777777" w:rsidR="00DC57D3" w:rsidRPr="0043720D" w:rsidRDefault="00DC57D3" w:rsidP="00DC57D3">
      <w:pPr>
        <w:spacing w:after="0" w:line="240" w:lineRule="auto"/>
        <w:ind w:left="1440"/>
        <w:rPr>
          <w:rFonts w:ascii="Aptos" w:eastAsia="Calibri" w:hAnsi="Aptos" w:cs="Times New Roman"/>
          <w:color w:val="0070C0"/>
          <w:sz w:val="24"/>
          <w:szCs w:val="24"/>
        </w:rPr>
      </w:pPr>
      <w:hyperlink r:id="rId11" w:history="1">
        <w:r w:rsidRPr="0043720D">
          <w:rPr>
            <w:rFonts w:ascii="Aptos" w:eastAsia="Calibri" w:hAnsi="Aptos" w:cs="Times New Roman"/>
            <w:color w:val="0070C0"/>
            <w:sz w:val="24"/>
            <w:szCs w:val="24"/>
            <w:u w:val="single"/>
          </w:rPr>
          <w:t>https://www.cancer-rates.com/</w:t>
        </w:r>
      </w:hyperlink>
    </w:p>
    <w:p w14:paraId="0CFC425E" w14:textId="77777777" w:rsidR="00DC57D3" w:rsidRPr="0043720D" w:rsidRDefault="00DC57D3" w:rsidP="00DC57D3">
      <w:pPr>
        <w:spacing w:after="0" w:line="240" w:lineRule="auto"/>
        <w:ind w:left="1440"/>
        <w:rPr>
          <w:rFonts w:ascii="Aptos" w:eastAsia="Calibri" w:hAnsi="Aptos" w:cs="Times New Roman"/>
          <w:color w:val="0070C0"/>
          <w:sz w:val="24"/>
          <w:szCs w:val="24"/>
        </w:rPr>
      </w:pPr>
      <w:hyperlink r:id="rId12" w:anchor="MA" w:history="1">
        <w:r w:rsidRPr="0043720D">
          <w:rPr>
            <w:rFonts w:ascii="Aptos" w:eastAsia="Calibri" w:hAnsi="Aptos" w:cs="Times New Roman"/>
            <w:color w:val="0070C0"/>
            <w:sz w:val="24"/>
            <w:szCs w:val="24"/>
            <w:u w:val="single"/>
          </w:rPr>
          <w:t>https://www.cdc.gov/national-program-cancer-registries/contact/index.html#MA</w:t>
        </w:r>
      </w:hyperlink>
      <w:r w:rsidRPr="0043720D">
        <w:rPr>
          <w:rFonts w:ascii="Aptos" w:eastAsia="Calibri" w:hAnsi="Aptos" w:cs="Times New Roman"/>
          <w:color w:val="0070C0"/>
          <w:sz w:val="24"/>
          <w:szCs w:val="24"/>
        </w:rPr>
        <w:t xml:space="preserve"> </w:t>
      </w:r>
    </w:p>
    <w:p w14:paraId="63739834" w14:textId="18793342" w:rsidR="0059575B" w:rsidRDefault="0059575B" w:rsidP="00450854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7CB01C47" w14:textId="5168B183" w:rsidR="0059575B" w:rsidRDefault="0059575B" w:rsidP="00450854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386EC91B" w14:textId="77777777" w:rsidR="0059575B" w:rsidRPr="00450854" w:rsidRDefault="0059575B" w:rsidP="00450854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3523E063" w14:textId="77777777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lastRenderedPageBreak/>
        <w:t>Alzheimer’s Association data for patients seeking anti-amyloid therapy,</w:t>
      </w:r>
    </w:p>
    <w:p w14:paraId="3B6DC2B0" w14:textId="0DDD838E" w:rsidR="002E657E" w:rsidRPr="002E657E" w:rsidRDefault="0059575B" w:rsidP="0059575B">
      <w:pPr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 xml:space="preserve">There are </w:t>
      </w:r>
      <w:r w:rsidR="002E657E" w:rsidRPr="002E657E">
        <w:rPr>
          <w:rFonts w:cstheme="minorHAnsi"/>
          <w:color w:val="0070C0"/>
          <w:lang w:bidi="en-US"/>
        </w:rPr>
        <w:t>6.</w:t>
      </w:r>
      <w:r w:rsidR="00E460D5">
        <w:rPr>
          <w:rFonts w:cstheme="minorHAnsi"/>
          <w:color w:val="0070C0"/>
          <w:lang w:bidi="en-US"/>
        </w:rPr>
        <w:t>9</w:t>
      </w:r>
      <w:r>
        <w:rPr>
          <w:rFonts w:cstheme="minorHAnsi"/>
          <w:color w:val="0070C0"/>
          <w:lang w:bidi="en-US"/>
        </w:rPr>
        <w:t xml:space="preserve"> m</w:t>
      </w:r>
      <w:r w:rsidR="002E657E" w:rsidRPr="002E657E">
        <w:rPr>
          <w:rFonts w:cstheme="minorHAnsi"/>
          <w:color w:val="0070C0"/>
          <w:lang w:bidi="en-US"/>
        </w:rPr>
        <w:t>illion</w:t>
      </w:r>
      <w:r>
        <w:rPr>
          <w:rFonts w:cstheme="minorHAnsi"/>
          <w:color w:val="0070C0"/>
          <w:lang w:bidi="en-US"/>
        </w:rPr>
        <w:t xml:space="preserve"> people</w:t>
      </w:r>
      <w:r w:rsidR="002E657E" w:rsidRPr="002E657E">
        <w:rPr>
          <w:rFonts w:cstheme="minorHAnsi"/>
          <w:color w:val="0070C0"/>
          <w:lang w:bidi="en-US"/>
        </w:rPr>
        <w:t xml:space="preserve"> in the US with early ons</w:t>
      </w:r>
      <w:bookmarkStart w:id="0" w:name="_GoBack"/>
      <w:bookmarkEnd w:id="0"/>
      <w:r w:rsidR="002E657E" w:rsidRPr="002E657E">
        <w:rPr>
          <w:rFonts w:cstheme="minorHAnsi"/>
          <w:color w:val="0070C0"/>
          <w:lang w:bidi="en-US"/>
        </w:rPr>
        <w:t>et cognitive decline</w:t>
      </w:r>
      <w:r>
        <w:rPr>
          <w:rFonts w:cstheme="minorHAnsi"/>
          <w:color w:val="0070C0"/>
          <w:lang w:bidi="en-US"/>
        </w:rPr>
        <w:t xml:space="preserve">. </w:t>
      </w:r>
    </w:p>
    <w:p w14:paraId="400D5057" w14:textId="28D7F92C" w:rsidR="000D26FD" w:rsidRDefault="0059575B" w:rsidP="002E657E">
      <w:pPr>
        <w:ind w:left="1440"/>
        <w:rPr>
          <w:rFonts w:cstheme="minorHAnsi"/>
          <w:color w:val="0070C0"/>
          <w:lang w:bidi="en-US"/>
        </w:rPr>
      </w:pPr>
      <w:r>
        <w:rPr>
          <w:rFonts w:cstheme="minorHAnsi"/>
          <w:color w:val="0070C0"/>
          <w:lang w:bidi="en-US"/>
        </w:rPr>
        <w:t>This translates to a</w:t>
      </w:r>
      <w:r w:rsidR="002E657E" w:rsidRPr="002E657E">
        <w:rPr>
          <w:rFonts w:cstheme="minorHAnsi"/>
          <w:color w:val="0070C0"/>
          <w:lang w:bidi="en-US"/>
        </w:rPr>
        <w:t>pprox</w:t>
      </w:r>
      <w:r>
        <w:rPr>
          <w:rFonts w:cstheme="minorHAnsi"/>
          <w:color w:val="0070C0"/>
          <w:lang w:bidi="en-US"/>
        </w:rPr>
        <w:t>imately</w:t>
      </w:r>
      <w:r w:rsidR="002E657E" w:rsidRPr="002E657E">
        <w:rPr>
          <w:rFonts w:cstheme="minorHAnsi"/>
          <w:color w:val="0070C0"/>
          <w:lang w:bidi="en-US"/>
        </w:rPr>
        <w:t xml:space="preserve"> 134,000 </w:t>
      </w:r>
      <w:r>
        <w:rPr>
          <w:rFonts w:cstheme="minorHAnsi"/>
          <w:color w:val="0070C0"/>
          <w:lang w:bidi="en-US"/>
        </w:rPr>
        <w:t>people in Massachusetts (</w:t>
      </w:r>
      <w:r w:rsidR="002E657E" w:rsidRPr="002E657E">
        <w:rPr>
          <w:rFonts w:cstheme="minorHAnsi"/>
          <w:color w:val="0070C0"/>
          <w:lang w:bidi="en-US"/>
        </w:rPr>
        <w:t>2.06% of US population</w:t>
      </w:r>
      <w:r>
        <w:rPr>
          <w:rFonts w:cstheme="minorHAnsi"/>
          <w:color w:val="0070C0"/>
          <w:lang w:bidi="en-US"/>
        </w:rPr>
        <w:t>)</w:t>
      </w:r>
      <w:r w:rsidR="002E657E" w:rsidRPr="002E657E">
        <w:rPr>
          <w:rFonts w:cstheme="minorHAnsi"/>
          <w:color w:val="0070C0"/>
          <w:lang w:bidi="en-US"/>
        </w:rPr>
        <w:t xml:space="preserve">. </w:t>
      </w:r>
      <w:r w:rsidRPr="0059575B">
        <w:rPr>
          <w:rFonts w:cstheme="minorHAnsi"/>
          <w:color w:val="0070C0"/>
          <w:lang w:bidi="en-US"/>
        </w:rPr>
        <w:t>This population would be the primary population seeking anti-amyloid treatment</w:t>
      </w:r>
      <w:r>
        <w:rPr>
          <w:rFonts w:cstheme="minorHAnsi"/>
          <w:color w:val="0070C0"/>
          <w:lang w:bidi="en-US"/>
        </w:rPr>
        <w:t>. I</w:t>
      </w:r>
      <w:r w:rsidR="002E657E" w:rsidRPr="002E657E">
        <w:rPr>
          <w:rFonts w:cstheme="minorHAnsi"/>
          <w:color w:val="0070C0"/>
          <w:lang w:bidi="en-US"/>
        </w:rPr>
        <w:t>f choosing to pursue anti-amyloid therapy</w:t>
      </w:r>
      <w:r>
        <w:rPr>
          <w:rFonts w:cstheme="minorHAnsi"/>
          <w:color w:val="0070C0"/>
          <w:lang w:bidi="en-US"/>
        </w:rPr>
        <w:t>,</w:t>
      </w:r>
      <w:r w:rsidR="002E657E" w:rsidRPr="002E657E">
        <w:rPr>
          <w:rFonts w:cstheme="minorHAnsi"/>
          <w:color w:val="0070C0"/>
          <w:lang w:bidi="en-US"/>
        </w:rPr>
        <w:t xml:space="preserve"> </w:t>
      </w:r>
      <w:r>
        <w:rPr>
          <w:rFonts w:cstheme="minorHAnsi"/>
          <w:color w:val="0070C0"/>
          <w:lang w:bidi="en-US"/>
        </w:rPr>
        <w:t xml:space="preserve">patients would need </w:t>
      </w:r>
      <w:r w:rsidR="002E657E" w:rsidRPr="002E657E">
        <w:rPr>
          <w:rFonts w:cstheme="minorHAnsi"/>
          <w:color w:val="0070C0"/>
          <w:lang w:bidi="en-US"/>
        </w:rPr>
        <w:t>a lumbar puncture or the preferred PETCT scan</w:t>
      </w:r>
    </w:p>
    <w:p w14:paraId="39CAF58B" w14:textId="09C114D1" w:rsidR="00C5743E" w:rsidRDefault="00C5743E" w:rsidP="00C5743E">
      <w:pPr>
        <w:ind w:left="1440"/>
        <w:rPr>
          <w:rFonts w:cstheme="minorHAnsi"/>
          <w:color w:val="0070C0"/>
          <w:lang w:bidi="en-US"/>
        </w:rPr>
      </w:pPr>
      <w:hyperlink r:id="rId13" w:history="1">
        <w:r w:rsidRPr="00A22BBA">
          <w:rPr>
            <w:rStyle w:val="Hyperlink"/>
            <w:rFonts w:cstheme="minorHAnsi"/>
            <w:lang w:bidi="en-US"/>
          </w:rPr>
          <w:t>https://www.alz.org/alzheimers-dementia/facts-figures</w:t>
        </w:r>
      </w:hyperlink>
    </w:p>
    <w:p w14:paraId="3C640983" w14:textId="77777777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t xml:space="preserve">Hospital Data and incidence per population for cardiac procedures, and </w:t>
      </w:r>
    </w:p>
    <w:p w14:paraId="35A3E3E5" w14:textId="026D6C9F" w:rsidR="002E657E" w:rsidRDefault="002F4188" w:rsidP="00450854">
      <w:pPr>
        <w:ind w:left="1440"/>
        <w:rPr>
          <w:rFonts w:cstheme="minorHAnsi"/>
          <w:color w:val="0070C0"/>
          <w:lang w:bidi="en-US"/>
        </w:rPr>
      </w:pPr>
      <w:r w:rsidRPr="00450854">
        <w:rPr>
          <w:rFonts w:cstheme="minorHAnsi"/>
          <w:color w:val="0070C0"/>
          <w:lang w:bidi="en-US"/>
        </w:rPr>
        <w:t>10-15% of nuclear medicine stress tests result in equivocal results</w:t>
      </w:r>
      <w:r w:rsidR="002F1F00">
        <w:rPr>
          <w:rFonts w:cstheme="minorHAnsi"/>
          <w:color w:val="0070C0"/>
          <w:lang w:bidi="en-US"/>
        </w:rPr>
        <w:t xml:space="preserve"> with respect to coronary artery disease,</w:t>
      </w:r>
      <w:r w:rsidRPr="00450854">
        <w:rPr>
          <w:rFonts w:cstheme="minorHAnsi"/>
          <w:color w:val="0070C0"/>
          <w:lang w:bidi="en-US"/>
        </w:rPr>
        <w:t xml:space="preserve"> due to body habitus, diabetes, and being of female gender. </w:t>
      </w:r>
    </w:p>
    <w:p w14:paraId="3BD5DEA7" w14:textId="1949A391" w:rsidR="00970038" w:rsidRPr="00450854" w:rsidRDefault="002F4188" w:rsidP="00450854">
      <w:pPr>
        <w:ind w:left="1440"/>
        <w:rPr>
          <w:rFonts w:cstheme="minorHAnsi"/>
          <w:color w:val="0070C0"/>
          <w:lang w:bidi="en-US"/>
        </w:rPr>
      </w:pPr>
      <w:r w:rsidRPr="00450854">
        <w:rPr>
          <w:rFonts w:cstheme="minorHAnsi"/>
          <w:color w:val="0070C0"/>
          <w:lang w:bidi="en-US"/>
        </w:rPr>
        <w:t>PET/CT is the preferred imaging tool for this population. Sou</w:t>
      </w:r>
      <w:r w:rsidR="002E657E">
        <w:rPr>
          <w:rFonts w:cstheme="minorHAnsi"/>
          <w:color w:val="0070C0"/>
          <w:lang w:bidi="en-US"/>
        </w:rPr>
        <w:t xml:space="preserve">th Shore Hospital provides </w:t>
      </w:r>
      <w:r w:rsidRPr="00450854">
        <w:rPr>
          <w:rFonts w:cstheme="minorHAnsi"/>
          <w:color w:val="0070C0"/>
          <w:lang w:bidi="en-US"/>
        </w:rPr>
        <w:t xml:space="preserve">nuclear medicine stress </w:t>
      </w:r>
      <w:r w:rsidR="002E657E">
        <w:rPr>
          <w:rFonts w:cstheme="minorHAnsi"/>
          <w:color w:val="0070C0"/>
          <w:lang w:bidi="en-US"/>
        </w:rPr>
        <w:t xml:space="preserve">tests </w:t>
      </w:r>
      <w:r w:rsidRPr="00450854">
        <w:rPr>
          <w:rFonts w:cstheme="minorHAnsi"/>
          <w:color w:val="0070C0"/>
          <w:lang w:bidi="en-US"/>
        </w:rPr>
        <w:t xml:space="preserve">to approximately 2500 patients per year. </w:t>
      </w:r>
      <w:r w:rsidR="002E657E">
        <w:rPr>
          <w:rFonts w:cstheme="minorHAnsi"/>
          <w:color w:val="0070C0"/>
          <w:lang w:bidi="en-US"/>
        </w:rPr>
        <w:t>Of those patients, approximately 250 - 375 would be better served by</w:t>
      </w:r>
      <w:r w:rsidRPr="00450854">
        <w:rPr>
          <w:rFonts w:cstheme="minorHAnsi"/>
          <w:color w:val="0070C0"/>
          <w:lang w:bidi="en-US"/>
        </w:rPr>
        <w:t xml:space="preserve"> PET/CT due to higher sensitivity</w:t>
      </w:r>
      <w:r w:rsidR="002F1F00">
        <w:rPr>
          <w:rFonts w:cstheme="minorHAnsi"/>
          <w:color w:val="0070C0"/>
          <w:lang w:bidi="en-US"/>
        </w:rPr>
        <w:t>, than the nuclear medicine stress test.</w:t>
      </w:r>
    </w:p>
    <w:p w14:paraId="64CDAE5F" w14:textId="28910098" w:rsidR="00AC3B94" w:rsidRDefault="00AC3B94" w:rsidP="00AC3B94">
      <w:pPr>
        <w:pStyle w:val="ListParagraph"/>
        <w:numPr>
          <w:ilvl w:val="1"/>
          <w:numId w:val="27"/>
        </w:numPr>
        <w:rPr>
          <w:rFonts w:cstheme="minorHAnsi"/>
          <w:lang w:bidi="en-US"/>
        </w:rPr>
      </w:pPr>
      <w:r w:rsidRPr="00AC3B94">
        <w:rPr>
          <w:rFonts w:cstheme="minorHAnsi"/>
          <w:lang w:bidi="en-US"/>
        </w:rPr>
        <w:t>Industry trends in new protocol and tracer development.</w:t>
      </w:r>
    </w:p>
    <w:p w14:paraId="6473DDD9" w14:textId="77777777" w:rsidR="00BA56D7" w:rsidRPr="00BA56D7" w:rsidRDefault="00BA56D7" w:rsidP="002E657E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18D8AAEC" w14:textId="3ABA6C92" w:rsidR="00773381" w:rsidRDefault="00BA56D7" w:rsidP="002E657E">
      <w:pPr>
        <w:pStyle w:val="ListParagraph"/>
        <w:ind w:left="1440"/>
        <w:rPr>
          <w:rStyle w:val="Hyperlink"/>
          <w:sz w:val="24"/>
          <w:szCs w:val="24"/>
        </w:rPr>
      </w:pPr>
      <w:r w:rsidRPr="00BA56D7">
        <w:rPr>
          <w:color w:val="0070C0"/>
        </w:rPr>
        <w:t xml:space="preserve">FDA has approved Novartis radioligand therapy Pluvicto® for earlier use before chemotherapy in PSMA-positive metastatic castration-resistant prostate cancer </w:t>
      </w:r>
      <w:hyperlink r:id="rId14" w:history="1">
        <w:r w:rsidR="00773381" w:rsidRPr="002E657E">
          <w:rPr>
            <w:rStyle w:val="Hyperlink"/>
          </w:rPr>
          <w:t>https://www.novartis.com/news/media-releases/fda-approves-novartis-radioligand-therapy-pluvicto-earlier-use-chemotherapy-psma-positive-metastatic-castration-resistant-prostate-cancer</w:t>
        </w:r>
      </w:hyperlink>
    </w:p>
    <w:p w14:paraId="7EAB2970" w14:textId="77777777" w:rsidR="002E657E" w:rsidRPr="002E657E" w:rsidRDefault="002E657E" w:rsidP="002E657E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2B2E64B0" w14:textId="39AD9FB9" w:rsidR="00773381" w:rsidRPr="00BA56D7" w:rsidRDefault="00773381" w:rsidP="00BA56D7">
      <w:pPr>
        <w:pStyle w:val="ListParagraph"/>
        <w:ind w:left="1440"/>
        <w:rPr>
          <w:rFonts w:cstheme="minorHAnsi"/>
          <w:color w:val="0070C0"/>
          <w:lang w:bidi="en-US"/>
        </w:rPr>
      </w:pPr>
      <w:r w:rsidRPr="00450854">
        <w:rPr>
          <w:rFonts w:cstheme="minorHAnsi"/>
          <w:color w:val="0070C0"/>
          <w:lang w:bidi="en-US"/>
        </w:rPr>
        <w:t>Recent FDA approval of donanemab (Kisulna) for amyloid plaque removal will use serial PET/CT to evaluate treatment termination. (Leqembi treatment requires one PET</w:t>
      </w:r>
      <w:r w:rsidR="002F1F00">
        <w:rPr>
          <w:rFonts w:cstheme="minorHAnsi"/>
          <w:color w:val="0070C0"/>
          <w:lang w:bidi="en-US"/>
        </w:rPr>
        <w:t xml:space="preserve">/CT </w:t>
      </w:r>
      <w:r w:rsidRPr="00450854">
        <w:rPr>
          <w:rFonts w:cstheme="minorHAnsi"/>
          <w:color w:val="0070C0"/>
          <w:lang w:bidi="en-US"/>
        </w:rPr>
        <w:t>scan)</w:t>
      </w:r>
      <w:r w:rsidR="00BA56D7">
        <w:rPr>
          <w:rFonts w:cstheme="minorHAnsi"/>
          <w:color w:val="0070C0"/>
          <w:lang w:bidi="en-US"/>
        </w:rPr>
        <w:t xml:space="preserve"> </w:t>
      </w:r>
      <w:hyperlink r:id="rId15" w:history="1">
        <w:r w:rsidRPr="00BA56D7">
          <w:rPr>
            <w:rStyle w:val="Hyperlink"/>
            <w:rFonts w:cstheme="minorHAnsi"/>
            <w:color w:val="0070C0"/>
            <w:lang w:bidi="en-US"/>
          </w:rPr>
          <w:t>https://radiologybusiness.com/topics/healthcare-management/healthcare-economics/implications-radiology-following-fdas-approval-new-alzheimers-treatment-eli-lilly</w:t>
        </w:r>
      </w:hyperlink>
      <w:r w:rsidRPr="00BA56D7">
        <w:rPr>
          <w:rFonts w:cstheme="minorHAnsi"/>
          <w:color w:val="0070C0"/>
          <w:lang w:bidi="en-US"/>
        </w:rPr>
        <w:t xml:space="preserve"> </w:t>
      </w:r>
    </w:p>
    <w:p w14:paraId="065EFFC7" w14:textId="77777777" w:rsidR="00773381" w:rsidRPr="00450854" w:rsidRDefault="00773381" w:rsidP="00450854">
      <w:pPr>
        <w:pStyle w:val="ListParagraph"/>
        <w:ind w:left="1440"/>
        <w:rPr>
          <w:rFonts w:cstheme="minorHAnsi"/>
          <w:color w:val="0070C0"/>
          <w:lang w:bidi="en-US"/>
        </w:rPr>
      </w:pPr>
    </w:p>
    <w:p w14:paraId="2B17778E" w14:textId="051A344B" w:rsidR="00773381" w:rsidRPr="00450854" w:rsidRDefault="00773381" w:rsidP="00450854">
      <w:pPr>
        <w:pStyle w:val="ListParagraph"/>
        <w:ind w:left="1440"/>
        <w:rPr>
          <w:rFonts w:ascii="Arial" w:hAnsi="Arial" w:cs="Arial"/>
          <w:color w:val="0070C0"/>
          <w:sz w:val="19"/>
          <w:szCs w:val="19"/>
          <w:shd w:val="clear" w:color="auto" w:fill="E7EBF5"/>
        </w:rPr>
      </w:pPr>
      <w:r w:rsidRPr="00450854">
        <w:rPr>
          <w:rFonts w:cstheme="minorHAnsi"/>
          <w:color w:val="0070C0"/>
          <w:lang w:bidi="en-US"/>
        </w:rPr>
        <w:t>New imaging biomarker for renal cancer expected to have FDA approval in 2025 for PET/CT</w:t>
      </w:r>
      <w:r w:rsidR="00392B7D" w:rsidRPr="00450854">
        <w:rPr>
          <w:rFonts w:cstheme="minorHAnsi"/>
          <w:color w:val="0070C0"/>
          <w:lang w:bidi="en-US"/>
        </w:rPr>
        <w:t>. Renal carcinoma is a new population for PET/CT. (</w:t>
      </w:r>
      <w:r w:rsidR="00392B7D" w:rsidRPr="00450854">
        <w:rPr>
          <w:rFonts w:ascii="Arial" w:hAnsi="Arial" w:cs="Arial"/>
          <w:color w:val="0070C0"/>
          <w:sz w:val="19"/>
          <w:szCs w:val="19"/>
          <w:shd w:val="clear" w:color="auto" w:fill="E7EBF5"/>
        </w:rPr>
        <w:t>TLX250-CDx, Zircaix®</w:t>
      </w:r>
      <w:r w:rsidR="00392B7D" w:rsidRPr="00450854">
        <w:rPr>
          <w:rFonts w:ascii="Arial" w:hAnsi="Arial" w:cs="Arial"/>
          <w:color w:val="0070C0"/>
          <w:sz w:val="14"/>
          <w:szCs w:val="14"/>
          <w:shd w:val="clear" w:color="auto" w:fill="E7EBF5"/>
          <w:vertAlign w:val="superscript"/>
        </w:rPr>
        <w:t>3</w:t>
      </w:r>
      <w:r w:rsidR="00392B7D" w:rsidRPr="00450854">
        <w:rPr>
          <w:rFonts w:ascii="Arial" w:hAnsi="Arial" w:cs="Arial"/>
          <w:color w:val="0070C0"/>
          <w:sz w:val="19"/>
          <w:szCs w:val="19"/>
          <w:shd w:val="clear" w:color="auto" w:fill="E7EBF5"/>
        </w:rPr>
        <w:t> (</w:t>
      </w:r>
      <w:r w:rsidR="00392B7D" w:rsidRPr="00450854">
        <w:rPr>
          <w:rFonts w:ascii="Arial" w:hAnsi="Arial" w:cs="Arial"/>
          <w:color w:val="0070C0"/>
          <w:sz w:val="14"/>
          <w:szCs w:val="14"/>
          <w:shd w:val="clear" w:color="auto" w:fill="E7EBF5"/>
          <w:vertAlign w:val="superscript"/>
        </w:rPr>
        <w:t>89</w:t>
      </w:r>
      <w:r w:rsidR="00392B7D" w:rsidRPr="00450854">
        <w:rPr>
          <w:rFonts w:ascii="Arial" w:hAnsi="Arial" w:cs="Arial"/>
          <w:color w:val="0070C0"/>
          <w:sz w:val="19"/>
          <w:szCs w:val="19"/>
          <w:shd w:val="clear" w:color="auto" w:fill="E7EBF5"/>
        </w:rPr>
        <w:t>Zr-girentuximab)</w:t>
      </w:r>
    </w:p>
    <w:p w14:paraId="2C828665" w14:textId="16E2AB62" w:rsidR="00392B7D" w:rsidRPr="00450854" w:rsidRDefault="00DC57D3" w:rsidP="00450854">
      <w:pPr>
        <w:pStyle w:val="ListParagraph"/>
        <w:ind w:left="1440"/>
        <w:rPr>
          <w:rFonts w:cstheme="minorHAnsi"/>
          <w:color w:val="0070C0"/>
          <w:lang w:bidi="en-US"/>
        </w:rPr>
      </w:pPr>
      <w:hyperlink r:id="rId16" w:history="1">
        <w:r w:rsidR="00392B7D" w:rsidRPr="00450854">
          <w:rPr>
            <w:rStyle w:val="Hyperlink"/>
            <w:rFonts w:cstheme="minorHAnsi"/>
            <w:color w:val="0070C0"/>
            <w:lang w:bidi="en-US"/>
          </w:rPr>
          <w:t>https://telixpharma.com/our-portfolio/pipeline/</w:t>
        </w:r>
      </w:hyperlink>
      <w:r w:rsidR="00392B7D" w:rsidRPr="00450854">
        <w:rPr>
          <w:rFonts w:cstheme="minorHAnsi"/>
          <w:color w:val="0070C0"/>
          <w:lang w:bidi="en-US"/>
        </w:rPr>
        <w:t xml:space="preserve"> </w:t>
      </w:r>
    </w:p>
    <w:p w14:paraId="56EB1D4E" w14:textId="77777777" w:rsidR="00970038" w:rsidRPr="00970038" w:rsidRDefault="00970038" w:rsidP="00970038">
      <w:pPr>
        <w:ind w:left="1080"/>
        <w:rPr>
          <w:rFonts w:cstheme="minorHAnsi"/>
          <w:lang w:bidi="en-US"/>
        </w:rPr>
      </w:pPr>
    </w:p>
    <w:p w14:paraId="46DBB574" w14:textId="41A74CCD" w:rsidR="00C37224" w:rsidRPr="00C37224" w:rsidRDefault="00C37224" w:rsidP="00AC3B94">
      <w:pPr>
        <w:pStyle w:val="ListParagraph"/>
        <w:rPr>
          <w:rFonts w:cstheme="minorHAnsi"/>
          <w:lang w:bidi="en-US"/>
        </w:rPr>
      </w:pPr>
    </w:p>
    <w:p w14:paraId="6DCF5ACF" w14:textId="090D1BFF" w:rsidR="00C37224" w:rsidRDefault="00943320" w:rsidP="00C37224">
      <w:pPr>
        <w:pStyle w:val="ListParagraph"/>
        <w:rPr>
          <w:rFonts w:cstheme="minorHAnsi"/>
          <w:lang w:bidi="en-US"/>
        </w:rPr>
      </w:pPr>
      <w:r>
        <w:rPr>
          <w:rFonts w:cstheme="minorHAnsi"/>
          <w:lang w:bidi="en-US"/>
        </w:rPr>
        <w:t>Please</w:t>
      </w:r>
      <w:r w:rsidR="000232C8">
        <w:rPr>
          <w:rFonts w:cstheme="minorHAnsi"/>
          <w:lang w:bidi="en-US"/>
        </w:rPr>
        <w:t xml:space="preserve"> p</w:t>
      </w:r>
      <w:r w:rsidR="004519C2">
        <w:rPr>
          <w:rFonts w:cstheme="minorHAnsi"/>
          <w:lang w:bidi="en-US"/>
        </w:rPr>
        <w:t xml:space="preserve">rovide a brief description of the findings that came out of the </w:t>
      </w:r>
      <w:r w:rsidR="008F5D9F">
        <w:rPr>
          <w:rFonts w:cstheme="minorHAnsi"/>
          <w:lang w:bidi="en-US"/>
        </w:rPr>
        <w:t xml:space="preserve">Holder’s </w:t>
      </w:r>
      <w:r w:rsidR="004519C2">
        <w:rPr>
          <w:rFonts w:cstheme="minorHAnsi"/>
          <w:lang w:bidi="en-US"/>
        </w:rPr>
        <w:t>evaluation of each of the items listed</w:t>
      </w:r>
      <w:r w:rsidR="008F5D9F">
        <w:rPr>
          <w:rFonts w:cstheme="minorHAnsi"/>
          <w:lang w:bidi="en-US"/>
        </w:rPr>
        <w:t xml:space="preserve"> above</w:t>
      </w:r>
      <w:r w:rsidR="000232C8">
        <w:rPr>
          <w:rFonts w:cstheme="minorHAnsi"/>
          <w:lang w:bidi="en-US"/>
        </w:rPr>
        <w:t xml:space="preserve"> and how the</w:t>
      </w:r>
      <w:r w:rsidR="00134607">
        <w:rPr>
          <w:rFonts w:cstheme="minorHAnsi"/>
          <w:lang w:bidi="en-US"/>
        </w:rPr>
        <w:t xml:space="preserve"> findings</w:t>
      </w:r>
      <w:r w:rsidR="000232C8">
        <w:rPr>
          <w:rFonts w:cstheme="minorHAnsi"/>
          <w:lang w:bidi="en-US"/>
        </w:rPr>
        <w:t xml:space="preserve"> impacted the determination of need for additional </w:t>
      </w:r>
      <w:r w:rsidR="00134607">
        <w:rPr>
          <w:rFonts w:cstheme="minorHAnsi"/>
          <w:lang w:bidi="en-US"/>
        </w:rPr>
        <w:t xml:space="preserve">days of </w:t>
      </w:r>
      <w:r w:rsidR="000232C8">
        <w:rPr>
          <w:rFonts w:cstheme="minorHAnsi"/>
          <w:lang w:bidi="en-US"/>
        </w:rPr>
        <w:t xml:space="preserve">PET-CT services. </w:t>
      </w:r>
    </w:p>
    <w:p w14:paraId="6813671A" w14:textId="77777777" w:rsidR="00360E9D" w:rsidRPr="00360E9D" w:rsidRDefault="00360E9D" w:rsidP="00360E9D">
      <w:pPr>
        <w:pStyle w:val="ListParagraph"/>
        <w:rPr>
          <w:rFonts w:cstheme="minorHAnsi"/>
          <w:lang w:bidi="en-US"/>
        </w:rPr>
      </w:pPr>
    </w:p>
    <w:p w14:paraId="09F74741" w14:textId="77777777" w:rsidR="004F7F34" w:rsidRPr="00754A13" w:rsidRDefault="004F7F34" w:rsidP="00754A13">
      <w:pPr>
        <w:ind w:left="360"/>
        <w:rPr>
          <w:rFonts w:cstheme="minorHAnsi"/>
          <w:lang w:bidi="en-US"/>
        </w:rPr>
      </w:pPr>
    </w:p>
    <w:sectPr w:rsidR="004F7F34" w:rsidRPr="00754A13" w:rsidSect="00C04577">
      <w:headerReference w:type="even" r:id="rId17"/>
      <w:headerReference w:type="default" r:id="rId18"/>
      <w:footerReference w:type="default" r:id="rId1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39A4ED" w16cid:durableId="3E39A4ED"/>
  <w16cid:commentId w16cid:paraId="13BB1087" w16cid:durableId="13BB1087"/>
  <w16cid:commentId w16cid:paraId="036B658D" w16cid:durableId="036B658D"/>
  <w16cid:commentId w16cid:paraId="319D9BDC" w16cid:durableId="319D9BDC"/>
  <w16cid:commentId w16cid:paraId="42887536" w16cid:durableId="428875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E0F5" w14:textId="77777777" w:rsidR="00A53D20" w:rsidRDefault="00A53D20" w:rsidP="00E45D1C">
      <w:pPr>
        <w:spacing w:after="0" w:line="240" w:lineRule="auto"/>
      </w:pPr>
      <w:r>
        <w:separator/>
      </w:r>
    </w:p>
  </w:endnote>
  <w:endnote w:type="continuationSeparator" w:id="0">
    <w:p w14:paraId="65A54F6A" w14:textId="77777777" w:rsidR="00A53D20" w:rsidRDefault="00A53D20" w:rsidP="00E45D1C">
      <w:pPr>
        <w:spacing w:after="0" w:line="240" w:lineRule="auto"/>
      </w:pPr>
      <w:r>
        <w:continuationSeparator/>
      </w:r>
    </w:p>
  </w:endnote>
  <w:endnote w:type="continuationNotice" w:id="1">
    <w:p w14:paraId="0861A387" w14:textId="77777777" w:rsidR="00A53D20" w:rsidRDefault="00A53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034DF2A8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7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584798" w14:textId="77777777" w:rsidR="005E5080" w:rsidRDefault="005E5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0CCC7" w14:textId="77777777" w:rsidR="00A53D20" w:rsidRDefault="00A53D20" w:rsidP="00E45D1C">
      <w:pPr>
        <w:spacing w:after="0" w:line="240" w:lineRule="auto"/>
      </w:pPr>
      <w:r>
        <w:separator/>
      </w:r>
    </w:p>
  </w:footnote>
  <w:footnote w:type="continuationSeparator" w:id="0">
    <w:p w14:paraId="0B8D1AC4" w14:textId="77777777" w:rsidR="00A53D20" w:rsidRDefault="00A53D20" w:rsidP="00E45D1C">
      <w:pPr>
        <w:spacing w:after="0" w:line="240" w:lineRule="auto"/>
      </w:pPr>
      <w:r>
        <w:continuationSeparator/>
      </w:r>
    </w:p>
  </w:footnote>
  <w:footnote w:type="continuationNotice" w:id="1">
    <w:p w14:paraId="5B170464" w14:textId="77777777" w:rsidR="00A53D20" w:rsidRDefault="00A53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F4985" w14:textId="0C4CEAE6" w:rsidR="00101DAD" w:rsidRDefault="00DC57D3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CA975" w14:textId="65C4012E" w:rsidR="00ED1D5D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Shields </w:t>
    </w:r>
    <w:r w:rsidR="009F057B">
      <w:rPr>
        <w:b/>
        <w:bCs/>
        <w:sz w:val="28"/>
        <w:szCs w:val="28"/>
      </w:rPr>
      <w:t>Imaging of Eastern Massachusetts, LLC</w:t>
    </w:r>
    <w:r w:rsidR="006C427A">
      <w:rPr>
        <w:b/>
        <w:bCs/>
        <w:sz w:val="28"/>
        <w:szCs w:val="28"/>
      </w:rPr>
      <w:t xml:space="preserve"> (SIEM)</w:t>
    </w:r>
  </w:p>
  <w:p w14:paraId="49E1965E" w14:textId="7A41AC94" w:rsidR="00856033" w:rsidRPr="00092585" w:rsidRDefault="00856033" w:rsidP="00B371F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DoN # </w:t>
    </w:r>
    <w:r w:rsidR="009F057B">
      <w:rPr>
        <w:b/>
        <w:bCs/>
        <w:sz w:val="28"/>
        <w:szCs w:val="28"/>
      </w:rPr>
      <w:t>25020312-AM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6C8"/>
    <w:multiLevelType w:val="hybridMultilevel"/>
    <w:tmpl w:val="C8FC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28E2"/>
    <w:multiLevelType w:val="hybridMultilevel"/>
    <w:tmpl w:val="AC9E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7954"/>
    <w:multiLevelType w:val="hybridMultilevel"/>
    <w:tmpl w:val="42F07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C56"/>
    <w:multiLevelType w:val="hybridMultilevel"/>
    <w:tmpl w:val="AC9E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60CC8"/>
    <w:multiLevelType w:val="hybridMultilevel"/>
    <w:tmpl w:val="42F07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E1607"/>
    <w:multiLevelType w:val="hybridMultilevel"/>
    <w:tmpl w:val="E8EC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E305D"/>
    <w:multiLevelType w:val="hybridMultilevel"/>
    <w:tmpl w:val="5F0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6FC6"/>
    <w:multiLevelType w:val="hybridMultilevel"/>
    <w:tmpl w:val="A406F108"/>
    <w:lvl w:ilvl="0" w:tplc="952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54924"/>
    <w:multiLevelType w:val="hybridMultilevel"/>
    <w:tmpl w:val="5BDC8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26"/>
  </w:num>
  <w:num w:numId="5">
    <w:abstractNumId w:val="22"/>
  </w:num>
  <w:num w:numId="6">
    <w:abstractNumId w:val="2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1"/>
  </w:num>
  <w:num w:numId="11">
    <w:abstractNumId w:val="1"/>
  </w:num>
  <w:num w:numId="12">
    <w:abstractNumId w:val="19"/>
  </w:num>
  <w:num w:numId="13">
    <w:abstractNumId w:val="13"/>
  </w:num>
  <w:num w:numId="14">
    <w:abstractNumId w:val="16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23"/>
  </w:num>
  <w:num w:numId="20">
    <w:abstractNumId w:val="12"/>
  </w:num>
  <w:num w:numId="21">
    <w:abstractNumId w:val="5"/>
  </w:num>
  <w:num w:numId="22">
    <w:abstractNumId w:val="8"/>
  </w:num>
  <w:num w:numId="23">
    <w:abstractNumId w:val="5"/>
  </w:num>
  <w:num w:numId="24">
    <w:abstractNumId w:val="10"/>
  </w:num>
  <w:num w:numId="25">
    <w:abstractNumId w:val="4"/>
  </w:num>
  <w:num w:numId="26">
    <w:abstractNumId w:val="7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7D"/>
    <w:rsid w:val="00005616"/>
    <w:rsid w:val="00006750"/>
    <w:rsid w:val="000115B7"/>
    <w:rsid w:val="00011E91"/>
    <w:rsid w:val="00015AB6"/>
    <w:rsid w:val="0001602B"/>
    <w:rsid w:val="0001718E"/>
    <w:rsid w:val="000201A4"/>
    <w:rsid w:val="000204BD"/>
    <w:rsid w:val="00020571"/>
    <w:rsid w:val="0002247D"/>
    <w:rsid w:val="00023287"/>
    <w:rsid w:val="000232C8"/>
    <w:rsid w:val="000246A5"/>
    <w:rsid w:val="00025270"/>
    <w:rsid w:val="00026890"/>
    <w:rsid w:val="000305E0"/>
    <w:rsid w:val="00030EF5"/>
    <w:rsid w:val="00033CB3"/>
    <w:rsid w:val="00037DBC"/>
    <w:rsid w:val="00042007"/>
    <w:rsid w:val="0004417D"/>
    <w:rsid w:val="000441F8"/>
    <w:rsid w:val="00047E6B"/>
    <w:rsid w:val="0005118D"/>
    <w:rsid w:val="00055D9B"/>
    <w:rsid w:val="00057914"/>
    <w:rsid w:val="00057BAA"/>
    <w:rsid w:val="00062F8C"/>
    <w:rsid w:val="00062FC0"/>
    <w:rsid w:val="000631D6"/>
    <w:rsid w:val="00064CD2"/>
    <w:rsid w:val="00065A3D"/>
    <w:rsid w:val="00071FC9"/>
    <w:rsid w:val="00074284"/>
    <w:rsid w:val="000747D7"/>
    <w:rsid w:val="000750FC"/>
    <w:rsid w:val="00075B8D"/>
    <w:rsid w:val="00077704"/>
    <w:rsid w:val="00080B4C"/>
    <w:rsid w:val="00080C65"/>
    <w:rsid w:val="000814DA"/>
    <w:rsid w:val="000819BE"/>
    <w:rsid w:val="00083BD7"/>
    <w:rsid w:val="00084492"/>
    <w:rsid w:val="0008545A"/>
    <w:rsid w:val="00086FF9"/>
    <w:rsid w:val="00090684"/>
    <w:rsid w:val="00092585"/>
    <w:rsid w:val="00092E82"/>
    <w:rsid w:val="00093B92"/>
    <w:rsid w:val="00094963"/>
    <w:rsid w:val="00095A0E"/>
    <w:rsid w:val="00096556"/>
    <w:rsid w:val="000968DB"/>
    <w:rsid w:val="000A33BD"/>
    <w:rsid w:val="000A3493"/>
    <w:rsid w:val="000A3A21"/>
    <w:rsid w:val="000A4C12"/>
    <w:rsid w:val="000A6E13"/>
    <w:rsid w:val="000A7C7B"/>
    <w:rsid w:val="000B205E"/>
    <w:rsid w:val="000B33AC"/>
    <w:rsid w:val="000B4C1D"/>
    <w:rsid w:val="000C0238"/>
    <w:rsid w:val="000C0FF4"/>
    <w:rsid w:val="000C4F63"/>
    <w:rsid w:val="000D26FD"/>
    <w:rsid w:val="000D568B"/>
    <w:rsid w:val="000E1A2B"/>
    <w:rsid w:val="000E3F88"/>
    <w:rsid w:val="000E7B9E"/>
    <w:rsid w:val="000E7BB1"/>
    <w:rsid w:val="000F1308"/>
    <w:rsid w:val="000F4352"/>
    <w:rsid w:val="000F76B5"/>
    <w:rsid w:val="00101DAD"/>
    <w:rsid w:val="001036A2"/>
    <w:rsid w:val="00104021"/>
    <w:rsid w:val="00106F8B"/>
    <w:rsid w:val="00107578"/>
    <w:rsid w:val="00110240"/>
    <w:rsid w:val="0011132B"/>
    <w:rsid w:val="001119A9"/>
    <w:rsid w:val="00114641"/>
    <w:rsid w:val="001147F0"/>
    <w:rsid w:val="00117D7A"/>
    <w:rsid w:val="00120B70"/>
    <w:rsid w:val="0012138E"/>
    <w:rsid w:val="001215CE"/>
    <w:rsid w:val="00121E3F"/>
    <w:rsid w:val="00122AC1"/>
    <w:rsid w:val="00124E01"/>
    <w:rsid w:val="00130034"/>
    <w:rsid w:val="00131E01"/>
    <w:rsid w:val="001321E8"/>
    <w:rsid w:val="00134607"/>
    <w:rsid w:val="00137228"/>
    <w:rsid w:val="001418CE"/>
    <w:rsid w:val="001439D9"/>
    <w:rsid w:val="00144AAB"/>
    <w:rsid w:val="0014570F"/>
    <w:rsid w:val="001470B4"/>
    <w:rsid w:val="00150334"/>
    <w:rsid w:val="001514FF"/>
    <w:rsid w:val="001526EC"/>
    <w:rsid w:val="001542DA"/>
    <w:rsid w:val="00154DFC"/>
    <w:rsid w:val="001561A4"/>
    <w:rsid w:val="00157D38"/>
    <w:rsid w:val="00161633"/>
    <w:rsid w:val="00163C19"/>
    <w:rsid w:val="001649EA"/>
    <w:rsid w:val="00164C8A"/>
    <w:rsid w:val="0016653F"/>
    <w:rsid w:val="001665EA"/>
    <w:rsid w:val="00170092"/>
    <w:rsid w:val="00170BF0"/>
    <w:rsid w:val="001745F4"/>
    <w:rsid w:val="00175714"/>
    <w:rsid w:val="00183328"/>
    <w:rsid w:val="001840D3"/>
    <w:rsid w:val="0018422C"/>
    <w:rsid w:val="00185E42"/>
    <w:rsid w:val="00187159"/>
    <w:rsid w:val="001873ED"/>
    <w:rsid w:val="001912C7"/>
    <w:rsid w:val="00193038"/>
    <w:rsid w:val="00193B1B"/>
    <w:rsid w:val="0019409A"/>
    <w:rsid w:val="0019518B"/>
    <w:rsid w:val="0019751B"/>
    <w:rsid w:val="0019763E"/>
    <w:rsid w:val="001A0238"/>
    <w:rsid w:val="001A32EA"/>
    <w:rsid w:val="001A338F"/>
    <w:rsid w:val="001A6277"/>
    <w:rsid w:val="001B32BD"/>
    <w:rsid w:val="001B4571"/>
    <w:rsid w:val="001B4F20"/>
    <w:rsid w:val="001B524B"/>
    <w:rsid w:val="001C05B6"/>
    <w:rsid w:val="001C4126"/>
    <w:rsid w:val="001C4B4A"/>
    <w:rsid w:val="001C58CB"/>
    <w:rsid w:val="001C5A2D"/>
    <w:rsid w:val="001C6825"/>
    <w:rsid w:val="001D14BE"/>
    <w:rsid w:val="001D22EE"/>
    <w:rsid w:val="001D3878"/>
    <w:rsid w:val="001D42BE"/>
    <w:rsid w:val="001D4B13"/>
    <w:rsid w:val="001D775B"/>
    <w:rsid w:val="001D7789"/>
    <w:rsid w:val="001E39D5"/>
    <w:rsid w:val="001E4287"/>
    <w:rsid w:val="001E739B"/>
    <w:rsid w:val="001E7FB4"/>
    <w:rsid w:val="001F1181"/>
    <w:rsid w:val="001F1A68"/>
    <w:rsid w:val="001F1E8A"/>
    <w:rsid w:val="001F1F84"/>
    <w:rsid w:val="001F423D"/>
    <w:rsid w:val="001F798F"/>
    <w:rsid w:val="0020210C"/>
    <w:rsid w:val="00203870"/>
    <w:rsid w:val="002059BD"/>
    <w:rsid w:val="002059E0"/>
    <w:rsid w:val="00207205"/>
    <w:rsid w:val="00210EBE"/>
    <w:rsid w:val="0021156F"/>
    <w:rsid w:val="00215F63"/>
    <w:rsid w:val="00216515"/>
    <w:rsid w:val="002177DD"/>
    <w:rsid w:val="002179EC"/>
    <w:rsid w:val="00220612"/>
    <w:rsid w:val="00220874"/>
    <w:rsid w:val="002215BB"/>
    <w:rsid w:val="00221DD3"/>
    <w:rsid w:val="00223DBD"/>
    <w:rsid w:val="0022759C"/>
    <w:rsid w:val="0023173B"/>
    <w:rsid w:val="002318C5"/>
    <w:rsid w:val="00234610"/>
    <w:rsid w:val="0023702D"/>
    <w:rsid w:val="00237494"/>
    <w:rsid w:val="00237D71"/>
    <w:rsid w:val="00245ECA"/>
    <w:rsid w:val="002468A2"/>
    <w:rsid w:val="00247513"/>
    <w:rsid w:val="00250A27"/>
    <w:rsid w:val="00251C67"/>
    <w:rsid w:val="00253A90"/>
    <w:rsid w:val="002549E8"/>
    <w:rsid w:val="0025668D"/>
    <w:rsid w:val="002600A8"/>
    <w:rsid w:val="0026193A"/>
    <w:rsid w:val="00264904"/>
    <w:rsid w:val="002652EE"/>
    <w:rsid w:val="00267062"/>
    <w:rsid w:val="002711C8"/>
    <w:rsid w:val="00272D23"/>
    <w:rsid w:val="0028035A"/>
    <w:rsid w:val="0028203A"/>
    <w:rsid w:val="00282E35"/>
    <w:rsid w:val="002842EA"/>
    <w:rsid w:val="00290185"/>
    <w:rsid w:val="00291B41"/>
    <w:rsid w:val="0029201E"/>
    <w:rsid w:val="0029547F"/>
    <w:rsid w:val="002957A3"/>
    <w:rsid w:val="0029685E"/>
    <w:rsid w:val="002968A7"/>
    <w:rsid w:val="00296A97"/>
    <w:rsid w:val="002A1CEE"/>
    <w:rsid w:val="002A3B81"/>
    <w:rsid w:val="002A49B1"/>
    <w:rsid w:val="002A7141"/>
    <w:rsid w:val="002B0B0C"/>
    <w:rsid w:val="002B20FF"/>
    <w:rsid w:val="002B4626"/>
    <w:rsid w:val="002B79D0"/>
    <w:rsid w:val="002C0853"/>
    <w:rsid w:val="002C0F9E"/>
    <w:rsid w:val="002C2587"/>
    <w:rsid w:val="002C4CDD"/>
    <w:rsid w:val="002C6757"/>
    <w:rsid w:val="002D3A78"/>
    <w:rsid w:val="002E1DF0"/>
    <w:rsid w:val="002E2029"/>
    <w:rsid w:val="002E657E"/>
    <w:rsid w:val="002F04D1"/>
    <w:rsid w:val="002F1A9F"/>
    <w:rsid w:val="002F1F00"/>
    <w:rsid w:val="002F40F6"/>
    <w:rsid w:val="002F4188"/>
    <w:rsid w:val="002F4542"/>
    <w:rsid w:val="002F4573"/>
    <w:rsid w:val="002F4F3C"/>
    <w:rsid w:val="002F5E31"/>
    <w:rsid w:val="003054CD"/>
    <w:rsid w:val="00305770"/>
    <w:rsid w:val="003065B2"/>
    <w:rsid w:val="00306967"/>
    <w:rsid w:val="00311F78"/>
    <w:rsid w:val="00312975"/>
    <w:rsid w:val="0031310D"/>
    <w:rsid w:val="00313D95"/>
    <w:rsid w:val="00313E62"/>
    <w:rsid w:val="0031511B"/>
    <w:rsid w:val="00316EC3"/>
    <w:rsid w:val="00317099"/>
    <w:rsid w:val="003237E9"/>
    <w:rsid w:val="003250DC"/>
    <w:rsid w:val="0033289B"/>
    <w:rsid w:val="0033773E"/>
    <w:rsid w:val="00342413"/>
    <w:rsid w:val="003435C8"/>
    <w:rsid w:val="003538AF"/>
    <w:rsid w:val="00360E9D"/>
    <w:rsid w:val="0036169E"/>
    <w:rsid w:val="003662A0"/>
    <w:rsid w:val="00372069"/>
    <w:rsid w:val="003724CF"/>
    <w:rsid w:val="00372914"/>
    <w:rsid w:val="0037508A"/>
    <w:rsid w:val="0037562D"/>
    <w:rsid w:val="003802D2"/>
    <w:rsid w:val="00381C32"/>
    <w:rsid w:val="003872A8"/>
    <w:rsid w:val="003878E1"/>
    <w:rsid w:val="00387BB6"/>
    <w:rsid w:val="00392B7D"/>
    <w:rsid w:val="003949CE"/>
    <w:rsid w:val="003A0FFD"/>
    <w:rsid w:val="003A1DF2"/>
    <w:rsid w:val="003A1F93"/>
    <w:rsid w:val="003A2DC1"/>
    <w:rsid w:val="003A42C0"/>
    <w:rsid w:val="003A5DE9"/>
    <w:rsid w:val="003A5F00"/>
    <w:rsid w:val="003A62B4"/>
    <w:rsid w:val="003A6733"/>
    <w:rsid w:val="003B0E66"/>
    <w:rsid w:val="003B22DA"/>
    <w:rsid w:val="003B472F"/>
    <w:rsid w:val="003B4A51"/>
    <w:rsid w:val="003C6232"/>
    <w:rsid w:val="003C64F4"/>
    <w:rsid w:val="003D0850"/>
    <w:rsid w:val="003D2987"/>
    <w:rsid w:val="003D56C4"/>
    <w:rsid w:val="003D6D46"/>
    <w:rsid w:val="003D78E0"/>
    <w:rsid w:val="003E1923"/>
    <w:rsid w:val="003E29F6"/>
    <w:rsid w:val="003E561D"/>
    <w:rsid w:val="003E5DAD"/>
    <w:rsid w:val="003E77B9"/>
    <w:rsid w:val="003F052A"/>
    <w:rsid w:val="003F2940"/>
    <w:rsid w:val="003F3FD9"/>
    <w:rsid w:val="003F722F"/>
    <w:rsid w:val="00400B33"/>
    <w:rsid w:val="00404016"/>
    <w:rsid w:val="00405764"/>
    <w:rsid w:val="0040735A"/>
    <w:rsid w:val="00407A93"/>
    <w:rsid w:val="004111B0"/>
    <w:rsid w:val="00411981"/>
    <w:rsid w:val="004123DB"/>
    <w:rsid w:val="00414903"/>
    <w:rsid w:val="00416671"/>
    <w:rsid w:val="00416A5C"/>
    <w:rsid w:val="004171A9"/>
    <w:rsid w:val="00420EE4"/>
    <w:rsid w:val="004216D3"/>
    <w:rsid w:val="00422B3E"/>
    <w:rsid w:val="0042381E"/>
    <w:rsid w:val="004309CD"/>
    <w:rsid w:val="00430D4A"/>
    <w:rsid w:val="00431FF9"/>
    <w:rsid w:val="00432AEC"/>
    <w:rsid w:val="004340C2"/>
    <w:rsid w:val="0043720D"/>
    <w:rsid w:val="004372D5"/>
    <w:rsid w:val="00437907"/>
    <w:rsid w:val="00441B9C"/>
    <w:rsid w:val="00442E58"/>
    <w:rsid w:val="00444549"/>
    <w:rsid w:val="004464D7"/>
    <w:rsid w:val="00450854"/>
    <w:rsid w:val="004519C2"/>
    <w:rsid w:val="00452A64"/>
    <w:rsid w:val="00453A6F"/>
    <w:rsid w:val="00454856"/>
    <w:rsid w:val="0045541D"/>
    <w:rsid w:val="00457ABD"/>
    <w:rsid w:val="004605D8"/>
    <w:rsid w:val="00460A29"/>
    <w:rsid w:val="00467022"/>
    <w:rsid w:val="0047061C"/>
    <w:rsid w:val="00471E4D"/>
    <w:rsid w:val="004722DA"/>
    <w:rsid w:val="00472621"/>
    <w:rsid w:val="0047404C"/>
    <w:rsid w:val="00482A3A"/>
    <w:rsid w:val="004859DC"/>
    <w:rsid w:val="00487F71"/>
    <w:rsid w:val="00491C09"/>
    <w:rsid w:val="00492CE8"/>
    <w:rsid w:val="004938AD"/>
    <w:rsid w:val="0049644D"/>
    <w:rsid w:val="004A0917"/>
    <w:rsid w:val="004A206E"/>
    <w:rsid w:val="004A3DDB"/>
    <w:rsid w:val="004A6DDB"/>
    <w:rsid w:val="004A743E"/>
    <w:rsid w:val="004A76F7"/>
    <w:rsid w:val="004A7AC3"/>
    <w:rsid w:val="004B35D9"/>
    <w:rsid w:val="004B4C63"/>
    <w:rsid w:val="004B53ED"/>
    <w:rsid w:val="004B5D2E"/>
    <w:rsid w:val="004B616C"/>
    <w:rsid w:val="004C19E2"/>
    <w:rsid w:val="004C3E58"/>
    <w:rsid w:val="004C40EF"/>
    <w:rsid w:val="004C5FF3"/>
    <w:rsid w:val="004C6954"/>
    <w:rsid w:val="004D4F2A"/>
    <w:rsid w:val="004D5803"/>
    <w:rsid w:val="004E0B9F"/>
    <w:rsid w:val="004E0F87"/>
    <w:rsid w:val="004E2285"/>
    <w:rsid w:val="004E3CEE"/>
    <w:rsid w:val="004E4515"/>
    <w:rsid w:val="004E4580"/>
    <w:rsid w:val="004E6F4B"/>
    <w:rsid w:val="004F01B4"/>
    <w:rsid w:val="004F133B"/>
    <w:rsid w:val="004F1F61"/>
    <w:rsid w:val="004F2E15"/>
    <w:rsid w:val="004F3770"/>
    <w:rsid w:val="004F3E54"/>
    <w:rsid w:val="004F5731"/>
    <w:rsid w:val="004F5AEF"/>
    <w:rsid w:val="004F64B3"/>
    <w:rsid w:val="004F7F34"/>
    <w:rsid w:val="004F7FCC"/>
    <w:rsid w:val="00500425"/>
    <w:rsid w:val="005012A9"/>
    <w:rsid w:val="00502780"/>
    <w:rsid w:val="00504EE4"/>
    <w:rsid w:val="0050594A"/>
    <w:rsid w:val="005125ED"/>
    <w:rsid w:val="005162D4"/>
    <w:rsid w:val="00516E5B"/>
    <w:rsid w:val="00522EFA"/>
    <w:rsid w:val="00530092"/>
    <w:rsid w:val="005320CC"/>
    <w:rsid w:val="005335A2"/>
    <w:rsid w:val="00533F7E"/>
    <w:rsid w:val="005365BC"/>
    <w:rsid w:val="00545E14"/>
    <w:rsid w:val="005462CF"/>
    <w:rsid w:val="00547298"/>
    <w:rsid w:val="00547789"/>
    <w:rsid w:val="00550CD0"/>
    <w:rsid w:val="00556043"/>
    <w:rsid w:val="005565A0"/>
    <w:rsid w:val="00565661"/>
    <w:rsid w:val="005660A2"/>
    <w:rsid w:val="00566392"/>
    <w:rsid w:val="005672AD"/>
    <w:rsid w:val="00567E03"/>
    <w:rsid w:val="00567EAE"/>
    <w:rsid w:val="00571DB5"/>
    <w:rsid w:val="005723FC"/>
    <w:rsid w:val="005756F8"/>
    <w:rsid w:val="0057795A"/>
    <w:rsid w:val="00580403"/>
    <w:rsid w:val="0058133A"/>
    <w:rsid w:val="00592633"/>
    <w:rsid w:val="00593BD5"/>
    <w:rsid w:val="00593D09"/>
    <w:rsid w:val="0059575B"/>
    <w:rsid w:val="00597C1C"/>
    <w:rsid w:val="005A09EA"/>
    <w:rsid w:val="005A2195"/>
    <w:rsid w:val="005A5B88"/>
    <w:rsid w:val="005A67B9"/>
    <w:rsid w:val="005B2002"/>
    <w:rsid w:val="005B3EED"/>
    <w:rsid w:val="005B41AC"/>
    <w:rsid w:val="005B5F2F"/>
    <w:rsid w:val="005C0AF5"/>
    <w:rsid w:val="005C13BE"/>
    <w:rsid w:val="005C361E"/>
    <w:rsid w:val="005C415C"/>
    <w:rsid w:val="005C50BA"/>
    <w:rsid w:val="005C6635"/>
    <w:rsid w:val="005C772F"/>
    <w:rsid w:val="005D0ED5"/>
    <w:rsid w:val="005D1437"/>
    <w:rsid w:val="005D3014"/>
    <w:rsid w:val="005D6560"/>
    <w:rsid w:val="005D6895"/>
    <w:rsid w:val="005E1E6E"/>
    <w:rsid w:val="005E2B35"/>
    <w:rsid w:val="005E2DD7"/>
    <w:rsid w:val="005E3294"/>
    <w:rsid w:val="005E5080"/>
    <w:rsid w:val="005E5577"/>
    <w:rsid w:val="005E784A"/>
    <w:rsid w:val="005F2CC0"/>
    <w:rsid w:val="005F3A24"/>
    <w:rsid w:val="005F48D7"/>
    <w:rsid w:val="0060093A"/>
    <w:rsid w:val="00604B74"/>
    <w:rsid w:val="00606EE8"/>
    <w:rsid w:val="0060745D"/>
    <w:rsid w:val="00610861"/>
    <w:rsid w:val="006124F9"/>
    <w:rsid w:val="00613CDD"/>
    <w:rsid w:val="006155C9"/>
    <w:rsid w:val="006174A7"/>
    <w:rsid w:val="00620026"/>
    <w:rsid w:val="006231EE"/>
    <w:rsid w:val="00626439"/>
    <w:rsid w:val="00627715"/>
    <w:rsid w:val="00631B65"/>
    <w:rsid w:val="006345D0"/>
    <w:rsid w:val="00637B05"/>
    <w:rsid w:val="006414D7"/>
    <w:rsid w:val="006414FA"/>
    <w:rsid w:val="0064412C"/>
    <w:rsid w:val="00645A9F"/>
    <w:rsid w:val="0064691A"/>
    <w:rsid w:val="0064794B"/>
    <w:rsid w:val="006515CF"/>
    <w:rsid w:val="00651B37"/>
    <w:rsid w:val="00651E60"/>
    <w:rsid w:val="00656842"/>
    <w:rsid w:val="00661754"/>
    <w:rsid w:val="00665920"/>
    <w:rsid w:val="0066604A"/>
    <w:rsid w:val="0066746F"/>
    <w:rsid w:val="00671A4C"/>
    <w:rsid w:val="00676C6C"/>
    <w:rsid w:val="006813D8"/>
    <w:rsid w:val="00682421"/>
    <w:rsid w:val="006832D4"/>
    <w:rsid w:val="006878B8"/>
    <w:rsid w:val="0068795C"/>
    <w:rsid w:val="006900CC"/>
    <w:rsid w:val="006911C3"/>
    <w:rsid w:val="006979BE"/>
    <w:rsid w:val="006A0B44"/>
    <w:rsid w:val="006A0E12"/>
    <w:rsid w:val="006A15F2"/>
    <w:rsid w:val="006A2082"/>
    <w:rsid w:val="006A2C18"/>
    <w:rsid w:val="006A4298"/>
    <w:rsid w:val="006A6499"/>
    <w:rsid w:val="006A680C"/>
    <w:rsid w:val="006B063E"/>
    <w:rsid w:val="006B28E2"/>
    <w:rsid w:val="006B7D5A"/>
    <w:rsid w:val="006C18E2"/>
    <w:rsid w:val="006C1C43"/>
    <w:rsid w:val="006C427A"/>
    <w:rsid w:val="006C44F3"/>
    <w:rsid w:val="006C5DC0"/>
    <w:rsid w:val="006C6604"/>
    <w:rsid w:val="006C6F27"/>
    <w:rsid w:val="006D06AC"/>
    <w:rsid w:val="006D2806"/>
    <w:rsid w:val="006D5FA5"/>
    <w:rsid w:val="006D61EB"/>
    <w:rsid w:val="006D67BA"/>
    <w:rsid w:val="006D67C1"/>
    <w:rsid w:val="006D6EFC"/>
    <w:rsid w:val="006D7B04"/>
    <w:rsid w:val="006E49A5"/>
    <w:rsid w:val="006F0FDE"/>
    <w:rsid w:val="006F272F"/>
    <w:rsid w:val="006F508A"/>
    <w:rsid w:val="00700759"/>
    <w:rsid w:val="00702AC9"/>
    <w:rsid w:val="00702D67"/>
    <w:rsid w:val="0070429A"/>
    <w:rsid w:val="00705F72"/>
    <w:rsid w:val="007073E9"/>
    <w:rsid w:val="007077C0"/>
    <w:rsid w:val="00710539"/>
    <w:rsid w:val="007111FF"/>
    <w:rsid w:val="007117A4"/>
    <w:rsid w:val="00714363"/>
    <w:rsid w:val="0071442D"/>
    <w:rsid w:val="007204F8"/>
    <w:rsid w:val="007214CD"/>
    <w:rsid w:val="0072258B"/>
    <w:rsid w:val="007227E7"/>
    <w:rsid w:val="007231BB"/>
    <w:rsid w:val="007245D3"/>
    <w:rsid w:val="007312C2"/>
    <w:rsid w:val="007370BC"/>
    <w:rsid w:val="00743517"/>
    <w:rsid w:val="007469D8"/>
    <w:rsid w:val="007503CE"/>
    <w:rsid w:val="00752C1B"/>
    <w:rsid w:val="00754A13"/>
    <w:rsid w:val="007629DA"/>
    <w:rsid w:val="00762C24"/>
    <w:rsid w:val="007641EC"/>
    <w:rsid w:val="00766B15"/>
    <w:rsid w:val="00766E97"/>
    <w:rsid w:val="00767DB8"/>
    <w:rsid w:val="00770D89"/>
    <w:rsid w:val="00773381"/>
    <w:rsid w:val="00777966"/>
    <w:rsid w:val="007808E9"/>
    <w:rsid w:val="00781702"/>
    <w:rsid w:val="0078781C"/>
    <w:rsid w:val="00790371"/>
    <w:rsid w:val="00791931"/>
    <w:rsid w:val="007933C8"/>
    <w:rsid w:val="00793566"/>
    <w:rsid w:val="00796150"/>
    <w:rsid w:val="007A1963"/>
    <w:rsid w:val="007A19B2"/>
    <w:rsid w:val="007A6756"/>
    <w:rsid w:val="007B1AF4"/>
    <w:rsid w:val="007B48AC"/>
    <w:rsid w:val="007B7107"/>
    <w:rsid w:val="007C1208"/>
    <w:rsid w:val="007C1CAE"/>
    <w:rsid w:val="007C2A52"/>
    <w:rsid w:val="007C31A5"/>
    <w:rsid w:val="007C392B"/>
    <w:rsid w:val="007C4499"/>
    <w:rsid w:val="007D0C4C"/>
    <w:rsid w:val="007D0F53"/>
    <w:rsid w:val="007D14E2"/>
    <w:rsid w:val="007D309E"/>
    <w:rsid w:val="007D399B"/>
    <w:rsid w:val="007D4FB8"/>
    <w:rsid w:val="007D6F84"/>
    <w:rsid w:val="007D716F"/>
    <w:rsid w:val="007E515A"/>
    <w:rsid w:val="007F18F5"/>
    <w:rsid w:val="007F539B"/>
    <w:rsid w:val="007F5758"/>
    <w:rsid w:val="007F7113"/>
    <w:rsid w:val="00800525"/>
    <w:rsid w:val="00805000"/>
    <w:rsid w:val="00806316"/>
    <w:rsid w:val="00814BA2"/>
    <w:rsid w:val="00816BF8"/>
    <w:rsid w:val="0081758A"/>
    <w:rsid w:val="00820E1A"/>
    <w:rsid w:val="008233CC"/>
    <w:rsid w:val="008249B3"/>
    <w:rsid w:val="00826C1D"/>
    <w:rsid w:val="00832477"/>
    <w:rsid w:val="00832690"/>
    <w:rsid w:val="008343FE"/>
    <w:rsid w:val="0084044F"/>
    <w:rsid w:val="008408C0"/>
    <w:rsid w:val="008411DB"/>
    <w:rsid w:val="00842A12"/>
    <w:rsid w:val="008441D2"/>
    <w:rsid w:val="00844887"/>
    <w:rsid w:val="00853808"/>
    <w:rsid w:val="008547AC"/>
    <w:rsid w:val="008558AA"/>
    <w:rsid w:val="00856033"/>
    <w:rsid w:val="00856C65"/>
    <w:rsid w:val="008628D0"/>
    <w:rsid w:val="00863DED"/>
    <w:rsid w:val="00865A56"/>
    <w:rsid w:val="00870B9C"/>
    <w:rsid w:val="00872E44"/>
    <w:rsid w:val="0087532E"/>
    <w:rsid w:val="00876B13"/>
    <w:rsid w:val="00877F1E"/>
    <w:rsid w:val="00880B05"/>
    <w:rsid w:val="008816DE"/>
    <w:rsid w:val="00884889"/>
    <w:rsid w:val="0088529C"/>
    <w:rsid w:val="008858B5"/>
    <w:rsid w:val="0088594F"/>
    <w:rsid w:val="00890411"/>
    <w:rsid w:val="008A4D39"/>
    <w:rsid w:val="008A5D59"/>
    <w:rsid w:val="008A6940"/>
    <w:rsid w:val="008B0020"/>
    <w:rsid w:val="008B02DF"/>
    <w:rsid w:val="008B4A42"/>
    <w:rsid w:val="008B762F"/>
    <w:rsid w:val="008C13D3"/>
    <w:rsid w:val="008C1BC1"/>
    <w:rsid w:val="008C1D6D"/>
    <w:rsid w:val="008C4A85"/>
    <w:rsid w:val="008C5AAE"/>
    <w:rsid w:val="008D4DCA"/>
    <w:rsid w:val="008D648C"/>
    <w:rsid w:val="008E63C4"/>
    <w:rsid w:val="008E6545"/>
    <w:rsid w:val="008F1E32"/>
    <w:rsid w:val="008F1EB6"/>
    <w:rsid w:val="008F4EC3"/>
    <w:rsid w:val="008F5195"/>
    <w:rsid w:val="008F5A1B"/>
    <w:rsid w:val="008F5D9F"/>
    <w:rsid w:val="008F6DF2"/>
    <w:rsid w:val="0090315D"/>
    <w:rsid w:val="00903338"/>
    <w:rsid w:val="0090431E"/>
    <w:rsid w:val="009050B0"/>
    <w:rsid w:val="009070E4"/>
    <w:rsid w:val="00910CA6"/>
    <w:rsid w:val="00917ED9"/>
    <w:rsid w:val="009235C2"/>
    <w:rsid w:val="00924725"/>
    <w:rsid w:val="00925EA0"/>
    <w:rsid w:val="009317C0"/>
    <w:rsid w:val="00931F5D"/>
    <w:rsid w:val="0093360D"/>
    <w:rsid w:val="00935A39"/>
    <w:rsid w:val="00935F5B"/>
    <w:rsid w:val="00942A8A"/>
    <w:rsid w:val="00943320"/>
    <w:rsid w:val="00950571"/>
    <w:rsid w:val="00950B02"/>
    <w:rsid w:val="009565C2"/>
    <w:rsid w:val="00956827"/>
    <w:rsid w:val="00956A3F"/>
    <w:rsid w:val="00957375"/>
    <w:rsid w:val="0096109A"/>
    <w:rsid w:val="009648F0"/>
    <w:rsid w:val="00964F5E"/>
    <w:rsid w:val="00964F91"/>
    <w:rsid w:val="00965110"/>
    <w:rsid w:val="00967B5B"/>
    <w:rsid w:val="00970038"/>
    <w:rsid w:val="00971489"/>
    <w:rsid w:val="009717FD"/>
    <w:rsid w:val="00972FFF"/>
    <w:rsid w:val="009748E0"/>
    <w:rsid w:val="0097558A"/>
    <w:rsid w:val="009764DF"/>
    <w:rsid w:val="00985C39"/>
    <w:rsid w:val="00991C78"/>
    <w:rsid w:val="009925F8"/>
    <w:rsid w:val="009961E1"/>
    <w:rsid w:val="009964C9"/>
    <w:rsid w:val="00996619"/>
    <w:rsid w:val="00997CD2"/>
    <w:rsid w:val="009A107B"/>
    <w:rsid w:val="009A305D"/>
    <w:rsid w:val="009A306A"/>
    <w:rsid w:val="009A36D7"/>
    <w:rsid w:val="009A3EB1"/>
    <w:rsid w:val="009A49D5"/>
    <w:rsid w:val="009A4DCE"/>
    <w:rsid w:val="009B0CBF"/>
    <w:rsid w:val="009B2A94"/>
    <w:rsid w:val="009B3AD9"/>
    <w:rsid w:val="009B3D14"/>
    <w:rsid w:val="009B3FB7"/>
    <w:rsid w:val="009B766D"/>
    <w:rsid w:val="009B7DDC"/>
    <w:rsid w:val="009B7F1F"/>
    <w:rsid w:val="009C1049"/>
    <w:rsid w:val="009C157F"/>
    <w:rsid w:val="009C49C8"/>
    <w:rsid w:val="009C6AC2"/>
    <w:rsid w:val="009C774C"/>
    <w:rsid w:val="009D23CF"/>
    <w:rsid w:val="009D2693"/>
    <w:rsid w:val="009D4D27"/>
    <w:rsid w:val="009D5819"/>
    <w:rsid w:val="009D7430"/>
    <w:rsid w:val="009D7FE4"/>
    <w:rsid w:val="009E0036"/>
    <w:rsid w:val="009E092D"/>
    <w:rsid w:val="009E351A"/>
    <w:rsid w:val="009E4464"/>
    <w:rsid w:val="009E4FC0"/>
    <w:rsid w:val="009E70CA"/>
    <w:rsid w:val="009E7B07"/>
    <w:rsid w:val="009F057B"/>
    <w:rsid w:val="009F14A8"/>
    <w:rsid w:val="009F4FDA"/>
    <w:rsid w:val="009F6AC5"/>
    <w:rsid w:val="009F7F1E"/>
    <w:rsid w:val="00A003CF"/>
    <w:rsid w:val="00A005EA"/>
    <w:rsid w:val="00A032FE"/>
    <w:rsid w:val="00A03630"/>
    <w:rsid w:val="00A0414A"/>
    <w:rsid w:val="00A059C1"/>
    <w:rsid w:val="00A10811"/>
    <w:rsid w:val="00A12D89"/>
    <w:rsid w:val="00A13A35"/>
    <w:rsid w:val="00A159F2"/>
    <w:rsid w:val="00A15D95"/>
    <w:rsid w:val="00A169F5"/>
    <w:rsid w:val="00A171D2"/>
    <w:rsid w:val="00A20622"/>
    <w:rsid w:val="00A2150D"/>
    <w:rsid w:val="00A2358F"/>
    <w:rsid w:val="00A27739"/>
    <w:rsid w:val="00A30B85"/>
    <w:rsid w:val="00A321CE"/>
    <w:rsid w:val="00A3290D"/>
    <w:rsid w:val="00A34468"/>
    <w:rsid w:val="00A40530"/>
    <w:rsid w:val="00A41C5A"/>
    <w:rsid w:val="00A44EA2"/>
    <w:rsid w:val="00A4648C"/>
    <w:rsid w:val="00A47E94"/>
    <w:rsid w:val="00A5271A"/>
    <w:rsid w:val="00A53C46"/>
    <w:rsid w:val="00A53D20"/>
    <w:rsid w:val="00A56887"/>
    <w:rsid w:val="00A644A6"/>
    <w:rsid w:val="00A648BD"/>
    <w:rsid w:val="00A67BBD"/>
    <w:rsid w:val="00A700BA"/>
    <w:rsid w:val="00A70E69"/>
    <w:rsid w:val="00A725EF"/>
    <w:rsid w:val="00A75E59"/>
    <w:rsid w:val="00A760C1"/>
    <w:rsid w:val="00A766C3"/>
    <w:rsid w:val="00A81D30"/>
    <w:rsid w:val="00A82237"/>
    <w:rsid w:val="00A83D76"/>
    <w:rsid w:val="00A92066"/>
    <w:rsid w:val="00A97891"/>
    <w:rsid w:val="00AA0B69"/>
    <w:rsid w:val="00AB117F"/>
    <w:rsid w:val="00AB235E"/>
    <w:rsid w:val="00AB5C56"/>
    <w:rsid w:val="00AB6659"/>
    <w:rsid w:val="00AC08DF"/>
    <w:rsid w:val="00AC3B94"/>
    <w:rsid w:val="00AC66B9"/>
    <w:rsid w:val="00AC6DC0"/>
    <w:rsid w:val="00AD0749"/>
    <w:rsid w:val="00AD0C34"/>
    <w:rsid w:val="00AD13BC"/>
    <w:rsid w:val="00AD18E4"/>
    <w:rsid w:val="00AD47D4"/>
    <w:rsid w:val="00AD4C61"/>
    <w:rsid w:val="00AE07E6"/>
    <w:rsid w:val="00AF2121"/>
    <w:rsid w:val="00AF2D10"/>
    <w:rsid w:val="00AF4A4A"/>
    <w:rsid w:val="00AF5D07"/>
    <w:rsid w:val="00B00290"/>
    <w:rsid w:val="00B03B4E"/>
    <w:rsid w:val="00B06C7D"/>
    <w:rsid w:val="00B15223"/>
    <w:rsid w:val="00B17E81"/>
    <w:rsid w:val="00B25870"/>
    <w:rsid w:val="00B35BDB"/>
    <w:rsid w:val="00B371F2"/>
    <w:rsid w:val="00B41866"/>
    <w:rsid w:val="00B4368C"/>
    <w:rsid w:val="00B44DFC"/>
    <w:rsid w:val="00B46497"/>
    <w:rsid w:val="00B54D93"/>
    <w:rsid w:val="00B55440"/>
    <w:rsid w:val="00B60C82"/>
    <w:rsid w:val="00B60F75"/>
    <w:rsid w:val="00B61620"/>
    <w:rsid w:val="00B62348"/>
    <w:rsid w:val="00B6535D"/>
    <w:rsid w:val="00B6792D"/>
    <w:rsid w:val="00B70864"/>
    <w:rsid w:val="00B71821"/>
    <w:rsid w:val="00B74C9C"/>
    <w:rsid w:val="00B74C9D"/>
    <w:rsid w:val="00B74F20"/>
    <w:rsid w:val="00B76741"/>
    <w:rsid w:val="00B82AD4"/>
    <w:rsid w:val="00B845CB"/>
    <w:rsid w:val="00B845E2"/>
    <w:rsid w:val="00B861CC"/>
    <w:rsid w:val="00B90FBA"/>
    <w:rsid w:val="00B917E5"/>
    <w:rsid w:val="00B9779C"/>
    <w:rsid w:val="00B97E48"/>
    <w:rsid w:val="00BA1744"/>
    <w:rsid w:val="00BA56D7"/>
    <w:rsid w:val="00BA5E8C"/>
    <w:rsid w:val="00BA69C8"/>
    <w:rsid w:val="00BA6BEA"/>
    <w:rsid w:val="00BB1EDC"/>
    <w:rsid w:val="00BB2A76"/>
    <w:rsid w:val="00BB52C7"/>
    <w:rsid w:val="00BB76E3"/>
    <w:rsid w:val="00BC1907"/>
    <w:rsid w:val="00BC40AF"/>
    <w:rsid w:val="00BC491E"/>
    <w:rsid w:val="00BC6BB6"/>
    <w:rsid w:val="00BD0495"/>
    <w:rsid w:val="00BD0DF8"/>
    <w:rsid w:val="00BD5574"/>
    <w:rsid w:val="00BD57B0"/>
    <w:rsid w:val="00BD62A5"/>
    <w:rsid w:val="00BD6601"/>
    <w:rsid w:val="00BE2412"/>
    <w:rsid w:val="00BE2759"/>
    <w:rsid w:val="00BE44A0"/>
    <w:rsid w:val="00BE533B"/>
    <w:rsid w:val="00BE723C"/>
    <w:rsid w:val="00BE7404"/>
    <w:rsid w:val="00BE7935"/>
    <w:rsid w:val="00BF0140"/>
    <w:rsid w:val="00BF1098"/>
    <w:rsid w:val="00BF1270"/>
    <w:rsid w:val="00BF4723"/>
    <w:rsid w:val="00BF6977"/>
    <w:rsid w:val="00BF6C9E"/>
    <w:rsid w:val="00BF7597"/>
    <w:rsid w:val="00C02728"/>
    <w:rsid w:val="00C03143"/>
    <w:rsid w:val="00C04577"/>
    <w:rsid w:val="00C04986"/>
    <w:rsid w:val="00C067EA"/>
    <w:rsid w:val="00C10FE9"/>
    <w:rsid w:val="00C1401B"/>
    <w:rsid w:val="00C1425D"/>
    <w:rsid w:val="00C16875"/>
    <w:rsid w:val="00C17ADD"/>
    <w:rsid w:val="00C20650"/>
    <w:rsid w:val="00C22980"/>
    <w:rsid w:val="00C34108"/>
    <w:rsid w:val="00C36BC2"/>
    <w:rsid w:val="00C37224"/>
    <w:rsid w:val="00C37B96"/>
    <w:rsid w:val="00C4294C"/>
    <w:rsid w:val="00C4348D"/>
    <w:rsid w:val="00C44CC2"/>
    <w:rsid w:val="00C452E9"/>
    <w:rsid w:val="00C5137E"/>
    <w:rsid w:val="00C5743E"/>
    <w:rsid w:val="00C620A0"/>
    <w:rsid w:val="00C62870"/>
    <w:rsid w:val="00C62DA2"/>
    <w:rsid w:val="00C63FF9"/>
    <w:rsid w:val="00C6610D"/>
    <w:rsid w:val="00C66F5E"/>
    <w:rsid w:val="00C67427"/>
    <w:rsid w:val="00C675A0"/>
    <w:rsid w:val="00C7092D"/>
    <w:rsid w:val="00C7161C"/>
    <w:rsid w:val="00C74D28"/>
    <w:rsid w:val="00C77F12"/>
    <w:rsid w:val="00C80667"/>
    <w:rsid w:val="00C81D4B"/>
    <w:rsid w:val="00C828C4"/>
    <w:rsid w:val="00C829BD"/>
    <w:rsid w:val="00C8546B"/>
    <w:rsid w:val="00C86D34"/>
    <w:rsid w:val="00C925C4"/>
    <w:rsid w:val="00C933BA"/>
    <w:rsid w:val="00C97C94"/>
    <w:rsid w:val="00CA1C1B"/>
    <w:rsid w:val="00CA36EF"/>
    <w:rsid w:val="00CA4ABB"/>
    <w:rsid w:val="00CA68C1"/>
    <w:rsid w:val="00CB3CD6"/>
    <w:rsid w:val="00CB5FD7"/>
    <w:rsid w:val="00CB64A6"/>
    <w:rsid w:val="00CB77EB"/>
    <w:rsid w:val="00CC1784"/>
    <w:rsid w:val="00CC1E0F"/>
    <w:rsid w:val="00CC47F4"/>
    <w:rsid w:val="00CC4F1C"/>
    <w:rsid w:val="00CC50AB"/>
    <w:rsid w:val="00CD7788"/>
    <w:rsid w:val="00CD7BAE"/>
    <w:rsid w:val="00CE0F2A"/>
    <w:rsid w:val="00CE32B2"/>
    <w:rsid w:val="00CE38D9"/>
    <w:rsid w:val="00CE5DCB"/>
    <w:rsid w:val="00CF0D93"/>
    <w:rsid w:val="00CF1E16"/>
    <w:rsid w:val="00CF310E"/>
    <w:rsid w:val="00CF4088"/>
    <w:rsid w:val="00CF6CE6"/>
    <w:rsid w:val="00CF7C97"/>
    <w:rsid w:val="00D05D9F"/>
    <w:rsid w:val="00D06A2B"/>
    <w:rsid w:val="00D07FD7"/>
    <w:rsid w:val="00D105C6"/>
    <w:rsid w:val="00D1364E"/>
    <w:rsid w:val="00D20720"/>
    <w:rsid w:val="00D2129E"/>
    <w:rsid w:val="00D22872"/>
    <w:rsid w:val="00D26B57"/>
    <w:rsid w:val="00D27A7C"/>
    <w:rsid w:val="00D308A3"/>
    <w:rsid w:val="00D33CA5"/>
    <w:rsid w:val="00D34822"/>
    <w:rsid w:val="00D35A68"/>
    <w:rsid w:val="00D365D5"/>
    <w:rsid w:val="00D41C77"/>
    <w:rsid w:val="00D42185"/>
    <w:rsid w:val="00D42BB5"/>
    <w:rsid w:val="00D42CC4"/>
    <w:rsid w:val="00D43E9B"/>
    <w:rsid w:val="00D45CF3"/>
    <w:rsid w:val="00D461CC"/>
    <w:rsid w:val="00D47F6A"/>
    <w:rsid w:val="00D50B19"/>
    <w:rsid w:val="00D5322E"/>
    <w:rsid w:val="00D5329D"/>
    <w:rsid w:val="00D5504B"/>
    <w:rsid w:val="00D551E8"/>
    <w:rsid w:val="00D55E02"/>
    <w:rsid w:val="00D57DA9"/>
    <w:rsid w:val="00D609DF"/>
    <w:rsid w:val="00D63837"/>
    <w:rsid w:val="00D66B98"/>
    <w:rsid w:val="00D67E1C"/>
    <w:rsid w:val="00D81F53"/>
    <w:rsid w:val="00D82539"/>
    <w:rsid w:val="00D92955"/>
    <w:rsid w:val="00D93B6A"/>
    <w:rsid w:val="00D949B3"/>
    <w:rsid w:val="00D94F5E"/>
    <w:rsid w:val="00D95865"/>
    <w:rsid w:val="00DA0180"/>
    <w:rsid w:val="00DA0274"/>
    <w:rsid w:val="00DA1F3A"/>
    <w:rsid w:val="00DA2F76"/>
    <w:rsid w:val="00DA3673"/>
    <w:rsid w:val="00DA763B"/>
    <w:rsid w:val="00DB023D"/>
    <w:rsid w:val="00DB1027"/>
    <w:rsid w:val="00DB1D96"/>
    <w:rsid w:val="00DB2779"/>
    <w:rsid w:val="00DB33F9"/>
    <w:rsid w:val="00DB5C66"/>
    <w:rsid w:val="00DC02B9"/>
    <w:rsid w:val="00DC099C"/>
    <w:rsid w:val="00DC33EB"/>
    <w:rsid w:val="00DC356D"/>
    <w:rsid w:val="00DC3594"/>
    <w:rsid w:val="00DC3FF1"/>
    <w:rsid w:val="00DC57D3"/>
    <w:rsid w:val="00DC591D"/>
    <w:rsid w:val="00DD129B"/>
    <w:rsid w:val="00DD69D7"/>
    <w:rsid w:val="00DD75C7"/>
    <w:rsid w:val="00DD7C1A"/>
    <w:rsid w:val="00DD7EC0"/>
    <w:rsid w:val="00DE273B"/>
    <w:rsid w:val="00DE4555"/>
    <w:rsid w:val="00DE5271"/>
    <w:rsid w:val="00DE6EF5"/>
    <w:rsid w:val="00DE7F77"/>
    <w:rsid w:val="00DF1384"/>
    <w:rsid w:val="00DF14BD"/>
    <w:rsid w:val="00DF23A5"/>
    <w:rsid w:val="00DF46ED"/>
    <w:rsid w:val="00DF69BB"/>
    <w:rsid w:val="00E05118"/>
    <w:rsid w:val="00E06F11"/>
    <w:rsid w:val="00E07092"/>
    <w:rsid w:val="00E076EE"/>
    <w:rsid w:val="00E13803"/>
    <w:rsid w:val="00E14513"/>
    <w:rsid w:val="00E161B2"/>
    <w:rsid w:val="00E16714"/>
    <w:rsid w:val="00E20641"/>
    <w:rsid w:val="00E226C4"/>
    <w:rsid w:val="00E23559"/>
    <w:rsid w:val="00E30B76"/>
    <w:rsid w:val="00E30F62"/>
    <w:rsid w:val="00E316DB"/>
    <w:rsid w:val="00E320DD"/>
    <w:rsid w:val="00E322E2"/>
    <w:rsid w:val="00E3248B"/>
    <w:rsid w:val="00E35518"/>
    <w:rsid w:val="00E37A64"/>
    <w:rsid w:val="00E42F6C"/>
    <w:rsid w:val="00E43D85"/>
    <w:rsid w:val="00E45906"/>
    <w:rsid w:val="00E45D1C"/>
    <w:rsid w:val="00E460D5"/>
    <w:rsid w:val="00E46C32"/>
    <w:rsid w:val="00E507AA"/>
    <w:rsid w:val="00E52965"/>
    <w:rsid w:val="00E64CA8"/>
    <w:rsid w:val="00E66473"/>
    <w:rsid w:val="00E70E72"/>
    <w:rsid w:val="00E71C35"/>
    <w:rsid w:val="00E74AA6"/>
    <w:rsid w:val="00E75E62"/>
    <w:rsid w:val="00E767D9"/>
    <w:rsid w:val="00E83374"/>
    <w:rsid w:val="00E87852"/>
    <w:rsid w:val="00E901E8"/>
    <w:rsid w:val="00E92687"/>
    <w:rsid w:val="00E92FF3"/>
    <w:rsid w:val="00E94536"/>
    <w:rsid w:val="00E951A6"/>
    <w:rsid w:val="00E957E5"/>
    <w:rsid w:val="00E96526"/>
    <w:rsid w:val="00E970FF"/>
    <w:rsid w:val="00EA46D1"/>
    <w:rsid w:val="00EA739F"/>
    <w:rsid w:val="00EB1208"/>
    <w:rsid w:val="00EB426A"/>
    <w:rsid w:val="00EC36BE"/>
    <w:rsid w:val="00EC3700"/>
    <w:rsid w:val="00EC7968"/>
    <w:rsid w:val="00ED063D"/>
    <w:rsid w:val="00ED0C5D"/>
    <w:rsid w:val="00ED1D5D"/>
    <w:rsid w:val="00ED3214"/>
    <w:rsid w:val="00ED5169"/>
    <w:rsid w:val="00ED5446"/>
    <w:rsid w:val="00ED671D"/>
    <w:rsid w:val="00ED7726"/>
    <w:rsid w:val="00EE2200"/>
    <w:rsid w:val="00EE2326"/>
    <w:rsid w:val="00EE3C2D"/>
    <w:rsid w:val="00EE550C"/>
    <w:rsid w:val="00EE6DD8"/>
    <w:rsid w:val="00EE744F"/>
    <w:rsid w:val="00EF24AB"/>
    <w:rsid w:val="00EF4A86"/>
    <w:rsid w:val="00EF5B9C"/>
    <w:rsid w:val="00EF6C77"/>
    <w:rsid w:val="00F10AA4"/>
    <w:rsid w:val="00F1179E"/>
    <w:rsid w:val="00F12400"/>
    <w:rsid w:val="00F132D2"/>
    <w:rsid w:val="00F1358D"/>
    <w:rsid w:val="00F14B36"/>
    <w:rsid w:val="00F1598A"/>
    <w:rsid w:val="00F22E61"/>
    <w:rsid w:val="00F2571A"/>
    <w:rsid w:val="00F30C35"/>
    <w:rsid w:val="00F31732"/>
    <w:rsid w:val="00F32F98"/>
    <w:rsid w:val="00F359E2"/>
    <w:rsid w:val="00F370B8"/>
    <w:rsid w:val="00F40703"/>
    <w:rsid w:val="00F45C80"/>
    <w:rsid w:val="00F4688B"/>
    <w:rsid w:val="00F46FA8"/>
    <w:rsid w:val="00F4700E"/>
    <w:rsid w:val="00F47956"/>
    <w:rsid w:val="00F57E75"/>
    <w:rsid w:val="00F6091C"/>
    <w:rsid w:val="00F62A12"/>
    <w:rsid w:val="00F70CC0"/>
    <w:rsid w:val="00F7158B"/>
    <w:rsid w:val="00F71A35"/>
    <w:rsid w:val="00F77D62"/>
    <w:rsid w:val="00F801D9"/>
    <w:rsid w:val="00F81BF6"/>
    <w:rsid w:val="00F84F51"/>
    <w:rsid w:val="00F9419E"/>
    <w:rsid w:val="00F94FAE"/>
    <w:rsid w:val="00F9581E"/>
    <w:rsid w:val="00F95D48"/>
    <w:rsid w:val="00FA0E87"/>
    <w:rsid w:val="00FA1EDA"/>
    <w:rsid w:val="00FA40A9"/>
    <w:rsid w:val="00FA7461"/>
    <w:rsid w:val="00FB0A84"/>
    <w:rsid w:val="00FC3EBF"/>
    <w:rsid w:val="00FC610F"/>
    <w:rsid w:val="00FC67D7"/>
    <w:rsid w:val="00FC7B85"/>
    <w:rsid w:val="00FD110B"/>
    <w:rsid w:val="00FD2660"/>
    <w:rsid w:val="00FE02CA"/>
    <w:rsid w:val="00FE0CCE"/>
    <w:rsid w:val="00FE1D24"/>
    <w:rsid w:val="00FE245E"/>
    <w:rsid w:val="00FE5678"/>
    <w:rsid w:val="00FE61CF"/>
    <w:rsid w:val="00FE6398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E43FFC"/>
  <w15:chartTrackingRefBased/>
  <w15:docId w15:val="{F3227492-BBE8-4875-BA75-33204573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hyperlink" Target="https://www.alz.org/alzheimers-dementia/facts-figur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dc.gov/national-program-cancer-registries/contact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elixpharma.com/our-portfolio/pipelin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er-rate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iologybusiness.com/topics/healthcare-management/healthcare-economics/implications-radiology-following-fdas-approval-new-alzheimers-treatment-eli-lilly" TargetMode="External"/><Relationship Id="rId10" Type="http://schemas.openxmlformats.org/officeDocument/2006/relationships/hyperlink" Target="https://www.cdc.gov/national-program-cancer-registries/contact/index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ancer-rates.com/" TargetMode="External"/><Relationship Id="rId14" Type="http://schemas.openxmlformats.org/officeDocument/2006/relationships/hyperlink" Target="https://www.novartis.com/news/media-releases/fda-approves-novartis-radioligand-therapy-pluvicto-earlier-use-chemotherapy-psma-positive-metastatic-castration-resistant-prostate-cancer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69CC-919B-4957-A0FB-3A5EF755C8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Links>
    <vt:vector size="6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mailto:DPH.DON@State.MA.US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Kerry Whelan</cp:lastModifiedBy>
  <cp:revision>4</cp:revision>
  <cp:lastPrinted>2023-01-27T18:51:00Z</cp:lastPrinted>
  <dcterms:created xsi:type="dcterms:W3CDTF">2025-04-16T14:55:00Z</dcterms:created>
  <dcterms:modified xsi:type="dcterms:W3CDTF">2025-04-16T17:29:00Z</dcterms:modified>
</cp:coreProperties>
</file>