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665920" w:rsidRDefault="0060745D" w:rsidP="00D45CF3">
      <w:pPr>
        <w:jc w:val="center"/>
        <w:rPr>
          <w:rFonts w:cstheme="minorHAnsi"/>
          <w:b/>
          <w:bCs/>
        </w:rPr>
      </w:pPr>
    </w:p>
    <w:p w14:paraId="26D9C4F2" w14:textId="189CB287" w:rsidR="00D45CF3" w:rsidRPr="00665920" w:rsidRDefault="001348C0" w:rsidP="00D45CF3">
      <w:pPr>
        <w:jc w:val="center"/>
        <w:rPr>
          <w:rFonts w:cstheme="minorHAnsi"/>
          <w:b/>
          <w:bCs/>
        </w:rPr>
      </w:pPr>
      <w:r>
        <w:rPr>
          <w:rFonts w:cstheme="minorHAnsi"/>
          <w:b/>
          <w:bCs/>
        </w:rPr>
        <w:t xml:space="preserve"> DoN </w:t>
      </w:r>
      <w:r w:rsidR="00D45CF3" w:rsidRPr="00665920">
        <w:rPr>
          <w:rFonts w:cstheme="minorHAnsi"/>
          <w:b/>
          <w:bCs/>
        </w:rPr>
        <w:t>QUESTIONS</w:t>
      </w:r>
      <w:r w:rsidR="00006750" w:rsidRPr="00665920">
        <w:rPr>
          <w:rFonts w:cstheme="minorHAnsi"/>
          <w:b/>
          <w:bCs/>
        </w:rPr>
        <w:t xml:space="preserve"> #</w:t>
      </w:r>
      <w:r w:rsidR="008124E0">
        <w:rPr>
          <w:rFonts w:cstheme="minorHAnsi"/>
          <w:b/>
          <w:bCs/>
        </w:rPr>
        <w:t>2</w:t>
      </w:r>
    </w:p>
    <w:p w14:paraId="0B653DC0" w14:textId="43035149" w:rsidR="00D45CF3" w:rsidRPr="00665920" w:rsidRDefault="00D45CF3" w:rsidP="00D45CF3">
      <w:pPr>
        <w:jc w:val="center"/>
        <w:rPr>
          <w:rFonts w:cstheme="minorHAnsi"/>
        </w:rPr>
      </w:pPr>
      <w:r w:rsidRPr="00FD6FD7">
        <w:rPr>
          <w:rFonts w:cstheme="minorHAnsi"/>
          <w:b/>
          <w:bCs/>
          <w:i/>
          <w:iCs/>
        </w:rPr>
        <w:t xml:space="preserve">Responses should be sent to DoN staff at </w:t>
      </w:r>
      <w:hyperlink r:id="rId7" w:history="1">
        <w:r w:rsidRPr="00FD6FD7">
          <w:rPr>
            <w:rStyle w:val="Hyperlink"/>
            <w:rFonts w:cstheme="minorHAnsi"/>
            <w:b/>
            <w:bCs/>
          </w:rPr>
          <w:t>DPH.DON@State.MA.US</w:t>
        </w:r>
      </w:hyperlink>
      <w:r w:rsidR="008124E0">
        <w:t xml:space="preserve"> </w:t>
      </w:r>
      <w:r w:rsidR="008124E0" w:rsidRPr="00FD6FD7">
        <w:rPr>
          <w:b/>
          <w:bCs/>
        </w:rPr>
        <w:t>by 11.</w:t>
      </w:r>
      <w:r w:rsidR="00445E00" w:rsidRPr="00FD6FD7">
        <w:rPr>
          <w:b/>
          <w:bCs/>
        </w:rPr>
        <w:t>2</w:t>
      </w:r>
      <w:r w:rsidR="00996D18" w:rsidRPr="00FD6FD7">
        <w:rPr>
          <w:b/>
          <w:bCs/>
        </w:rPr>
        <w:t>4.25</w:t>
      </w:r>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5C13BE">
            <w:pPr>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564BC99A"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D45CF3">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70F1F40B" w14:textId="77777777" w:rsidR="00D45CF3" w:rsidRPr="00665920" w:rsidRDefault="00D45CF3" w:rsidP="00D45CF3">
            <w:pPr>
              <w:pStyle w:val="ListParagraph"/>
              <w:numPr>
                <w:ilvl w:val="0"/>
                <w:numId w:val="2"/>
              </w:numPr>
              <w:rPr>
                <w:rFonts w:cstheme="minorHAnsi"/>
                <w:b/>
              </w:rPr>
            </w:pPr>
            <w:r w:rsidRPr="00665920">
              <w:rPr>
                <w:rFonts w:cstheme="minorHAnsi"/>
                <w:b/>
              </w:rPr>
              <w:t>Whenever possible, include a table with the response</w:t>
            </w:r>
          </w:p>
          <w:p w14:paraId="01C56AEF" w14:textId="30C3F16C" w:rsidR="001A32EA" w:rsidRPr="00665920" w:rsidRDefault="001A32EA" w:rsidP="00D45CF3">
            <w:pPr>
              <w:pStyle w:val="ListParagraph"/>
              <w:numPr>
                <w:ilvl w:val="0"/>
                <w:numId w:val="2"/>
              </w:numPr>
              <w:rPr>
                <w:rFonts w:cstheme="minorHAnsi"/>
                <w:b/>
              </w:rPr>
            </w:pPr>
            <w:r w:rsidRPr="00665920">
              <w:rPr>
                <w:rFonts w:cstheme="minorHAnsi"/>
                <w:b/>
              </w:rPr>
              <w:t>For HIPAA compliance Do not include numbers &lt;11.</w:t>
            </w:r>
          </w:p>
        </w:tc>
      </w:tr>
    </w:tbl>
    <w:p w14:paraId="0A81B0B9" w14:textId="2966E733" w:rsidR="0066604A" w:rsidRDefault="0066604A">
      <w:pPr>
        <w:rPr>
          <w:rFonts w:cstheme="minorHAnsi"/>
        </w:rPr>
      </w:pPr>
    </w:p>
    <w:p w14:paraId="53FBD4B6" w14:textId="71D26D78" w:rsidR="00D4373A" w:rsidRPr="00D4373A" w:rsidRDefault="00D4373A" w:rsidP="00890C58">
      <w:pPr>
        <w:pStyle w:val="ListParagraph"/>
        <w:numPr>
          <w:ilvl w:val="0"/>
          <w:numId w:val="33"/>
        </w:numPr>
        <w:spacing w:before="52"/>
        <w:ind w:right="-10"/>
      </w:pPr>
      <w:r>
        <w:t xml:space="preserve">What level trauma center is the Medical Center? Is it the only trauma center in Central </w:t>
      </w:r>
      <w:r w:rsidRPr="00D4373A">
        <w:t xml:space="preserve">Massachusetts? </w:t>
      </w:r>
    </w:p>
    <w:p w14:paraId="26783734" w14:textId="762A2C50" w:rsidR="00D4373A" w:rsidRPr="00D4373A" w:rsidRDefault="00D4373A" w:rsidP="00D4373A">
      <w:pPr>
        <w:pStyle w:val="ListParagraph"/>
        <w:spacing w:before="52"/>
        <w:ind w:right="-10"/>
        <w:rPr>
          <w:b/>
          <w:bCs/>
        </w:rPr>
      </w:pPr>
      <w:r w:rsidRPr="00D4373A">
        <w:rPr>
          <w:b/>
          <w:bCs/>
        </w:rPr>
        <w:t>The Medical Center is a Level I trauma center and is the only hospital designated as a trauma center in Central Massachusetts.</w:t>
      </w:r>
    </w:p>
    <w:p w14:paraId="78E9CEEE" w14:textId="77777777" w:rsidR="00D4373A" w:rsidRPr="00D4373A" w:rsidRDefault="00D4373A" w:rsidP="00D4373A">
      <w:pPr>
        <w:pStyle w:val="ListParagraph"/>
        <w:spacing w:before="52"/>
        <w:ind w:right="-10"/>
        <w:rPr>
          <w:b/>
          <w:bCs/>
        </w:rPr>
      </w:pPr>
    </w:p>
    <w:p w14:paraId="5C348411" w14:textId="77777777" w:rsidR="00D4373A" w:rsidRPr="00D4373A" w:rsidRDefault="00D4373A" w:rsidP="00D4373A">
      <w:pPr>
        <w:pStyle w:val="ListParagraph"/>
        <w:numPr>
          <w:ilvl w:val="0"/>
          <w:numId w:val="33"/>
        </w:numPr>
      </w:pPr>
      <w:r w:rsidRPr="00D4373A">
        <w:t xml:space="preserve">You state The University Campus’s CMI for FY25 YTD (October 2024-June 2025) is 2.193 and the North Pavilion campus’s CMI for the same </w:t>
      </w:r>
      <w:proofErr w:type="gramStart"/>
      <w:r w:rsidRPr="00D4373A">
        <w:t>time period</w:t>
      </w:r>
      <w:proofErr w:type="gramEnd"/>
      <w:r w:rsidRPr="00D4373A">
        <w:t xml:space="preserve"> is 1.419.</w:t>
      </w:r>
    </w:p>
    <w:p w14:paraId="714BE770" w14:textId="5FEC17F3" w:rsidR="00D4373A" w:rsidRPr="00D4373A" w:rsidRDefault="00D4373A" w:rsidP="00D4373A">
      <w:pPr>
        <w:pStyle w:val="ListParagraph"/>
        <w:numPr>
          <w:ilvl w:val="1"/>
          <w:numId w:val="33"/>
        </w:numPr>
      </w:pPr>
      <w:r w:rsidRPr="00D4373A">
        <w:t>What is the CMI over the same timeframe for the Memorial campus?</w:t>
      </w:r>
    </w:p>
    <w:p w14:paraId="71496FC1" w14:textId="1CC61541" w:rsidR="00D4373A" w:rsidRPr="00D4373A" w:rsidRDefault="00D4373A" w:rsidP="00D4373A">
      <w:pPr>
        <w:pStyle w:val="ListParagraph"/>
        <w:ind w:left="1440"/>
        <w:rPr>
          <w:b/>
          <w:bCs/>
        </w:rPr>
      </w:pPr>
      <w:r w:rsidRPr="00D4373A">
        <w:rPr>
          <w:b/>
          <w:bCs/>
        </w:rPr>
        <w:t xml:space="preserve">Memorial Campus’s CMI for the same </w:t>
      </w:r>
      <w:proofErr w:type="gramStart"/>
      <w:r w:rsidRPr="00D4373A">
        <w:rPr>
          <w:b/>
          <w:bCs/>
        </w:rPr>
        <w:t>time period</w:t>
      </w:r>
      <w:proofErr w:type="gramEnd"/>
      <w:r w:rsidRPr="00D4373A">
        <w:rPr>
          <w:b/>
          <w:bCs/>
        </w:rPr>
        <w:t xml:space="preserve"> was 1.389.</w:t>
      </w:r>
    </w:p>
    <w:p w14:paraId="6CB33F10" w14:textId="77777777" w:rsidR="00D4373A" w:rsidRPr="00D4373A" w:rsidRDefault="00D4373A" w:rsidP="00D4373A">
      <w:pPr>
        <w:pStyle w:val="ListParagraph"/>
        <w:ind w:left="1440"/>
        <w:rPr>
          <w:b/>
          <w:bCs/>
        </w:rPr>
      </w:pPr>
    </w:p>
    <w:p w14:paraId="79B4BD6F" w14:textId="77777777" w:rsidR="00D4373A" w:rsidRPr="00D4373A" w:rsidRDefault="00D4373A" w:rsidP="00D4373A">
      <w:pPr>
        <w:pStyle w:val="ListParagraph"/>
        <w:numPr>
          <w:ilvl w:val="0"/>
          <w:numId w:val="33"/>
        </w:numPr>
      </w:pPr>
      <w:r w:rsidRPr="00D4373A">
        <w:t>Please clarify this footnote: The Medical Center’s EDs represent one-third of EDs in Worcester County, which is home to almost 900,000 individuals.</w:t>
      </w:r>
      <w:r w:rsidRPr="00D4373A">
        <w:rPr>
          <w:vertAlign w:val="superscript"/>
        </w:rPr>
        <w:footnoteReference w:customMarkFollows="1" w:id="2"/>
        <w:t>[1]</w:t>
      </w:r>
      <w:r w:rsidRPr="00D4373A">
        <w:t xml:space="preserve"> </w:t>
      </w:r>
    </w:p>
    <w:p w14:paraId="0C3AC7A1" w14:textId="48B38D39" w:rsidR="00D4373A" w:rsidRPr="00D4373A" w:rsidRDefault="00D4373A" w:rsidP="00D4373A">
      <w:pPr>
        <w:pStyle w:val="ListParagraph"/>
        <w:rPr>
          <w:b/>
          <w:bCs/>
        </w:rPr>
      </w:pPr>
      <w:r w:rsidRPr="00D4373A">
        <w:rPr>
          <w:b/>
          <w:bCs/>
        </w:rPr>
        <w:t>There are seven emergency departments</w:t>
      </w:r>
      <w:r w:rsidR="00307565">
        <w:rPr>
          <w:b/>
          <w:bCs/>
        </w:rPr>
        <w:t xml:space="preserve"> (ED)</w:t>
      </w:r>
      <w:r w:rsidRPr="00D4373A">
        <w:rPr>
          <w:b/>
          <w:bCs/>
        </w:rPr>
        <w:t xml:space="preserve"> in Worcester County, noted below. Two of the seven are operated by the Medical Center at University Campus and Memorial Campus, which is slightly less than one-third of all EDs in the county (29%). </w:t>
      </w:r>
      <w:r>
        <w:rPr>
          <w:b/>
          <w:bCs/>
        </w:rPr>
        <w:t xml:space="preserve">UMass Health operates five of the seven </w:t>
      </w:r>
      <w:proofErr w:type="spellStart"/>
      <w:r>
        <w:rPr>
          <w:b/>
          <w:bCs/>
        </w:rPr>
        <w:t>EDs.</w:t>
      </w:r>
      <w:proofErr w:type="spellEnd"/>
      <w:r>
        <w:rPr>
          <w:b/>
          <w:bCs/>
        </w:rPr>
        <w:t xml:space="preserve"> </w:t>
      </w:r>
    </w:p>
    <w:p w14:paraId="5C79AB52" w14:textId="5B68564E" w:rsidR="00D4373A" w:rsidRPr="00D4373A" w:rsidRDefault="00D4373A" w:rsidP="00D4373A">
      <w:pPr>
        <w:pStyle w:val="ListParagraph"/>
        <w:numPr>
          <w:ilvl w:val="0"/>
          <w:numId w:val="36"/>
        </w:numPr>
        <w:rPr>
          <w:b/>
          <w:bCs/>
        </w:rPr>
      </w:pPr>
      <w:r>
        <w:rPr>
          <w:b/>
          <w:bCs/>
        </w:rPr>
        <w:t xml:space="preserve">UMass Memorial Medical Center - </w:t>
      </w:r>
      <w:r w:rsidRPr="00D4373A">
        <w:rPr>
          <w:b/>
          <w:bCs/>
        </w:rPr>
        <w:t>Memorial</w:t>
      </w:r>
    </w:p>
    <w:p w14:paraId="42AE531D" w14:textId="6682DED1" w:rsidR="00D4373A" w:rsidRPr="00D4373A" w:rsidRDefault="00D4373A" w:rsidP="00D4373A">
      <w:pPr>
        <w:pStyle w:val="ListParagraph"/>
        <w:numPr>
          <w:ilvl w:val="0"/>
          <w:numId w:val="36"/>
        </w:numPr>
        <w:rPr>
          <w:b/>
          <w:bCs/>
        </w:rPr>
      </w:pPr>
      <w:r>
        <w:rPr>
          <w:b/>
          <w:bCs/>
        </w:rPr>
        <w:t xml:space="preserve">UMass Memorial Medical Center - </w:t>
      </w:r>
      <w:r w:rsidRPr="00D4373A">
        <w:rPr>
          <w:b/>
          <w:bCs/>
        </w:rPr>
        <w:t>University</w:t>
      </w:r>
    </w:p>
    <w:p w14:paraId="34B74FB6" w14:textId="45B2B530" w:rsidR="00D4373A" w:rsidRPr="00D4373A" w:rsidRDefault="00D4373A" w:rsidP="00D4373A">
      <w:pPr>
        <w:pStyle w:val="ListParagraph"/>
        <w:numPr>
          <w:ilvl w:val="0"/>
          <w:numId w:val="36"/>
        </w:numPr>
        <w:rPr>
          <w:b/>
          <w:bCs/>
        </w:rPr>
      </w:pPr>
      <w:r w:rsidRPr="00D4373A">
        <w:rPr>
          <w:b/>
          <w:bCs/>
        </w:rPr>
        <w:t>S</w:t>
      </w:r>
      <w:r>
        <w:rPr>
          <w:b/>
          <w:bCs/>
        </w:rPr>
        <w:t xml:space="preserve">aint Vincent Hospital </w:t>
      </w:r>
    </w:p>
    <w:p w14:paraId="7779BA3A" w14:textId="3409A176" w:rsidR="00D4373A" w:rsidRPr="00D4373A" w:rsidRDefault="00D4373A" w:rsidP="00D4373A">
      <w:pPr>
        <w:pStyle w:val="ListParagraph"/>
        <w:numPr>
          <w:ilvl w:val="0"/>
          <w:numId w:val="36"/>
        </w:numPr>
        <w:rPr>
          <w:b/>
          <w:bCs/>
        </w:rPr>
      </w:pPr>
      <w:r>
        <w:rPr>
          <w:b/>
          <w:bCs/>
        </w:rPr>
        <w:t xml:space="preserve">UMass </w:t>
      </w:r>
      <w:r w:rsidRPr="00D4373A">
        <w:rPr>
          <w:b/>
          <w:bCs/>
        </w:rPr>
        <w:t>Harrington</w:t>
      </w:r>
      <w:r>
        <w:rPr>
          <w:b/>
          <w:bCs/>
        </w:rPr>
        <w:t xml:space="preserve"> Hospital</w:t>
      </w:r>
    </w:p>
    <w:p w14:paraId="13EA3D5B" w14:textId="13F1CA4D" w:rsidR="00D4373A" w:rsidRPr="00D4373A" w:rsidRDefault="00D4373A" w:rsidP="00D4373A">
      <w:pPr>
        <w:pStyle w:val="ListParagraph"/>
        <w:numPr>
          <w:ilvl w:val="0"/>
          <w:numId w:val="36"/>
        </w:numPr>
        <w:rPr>
          <w:b/>
          <w:bCs/>
        </w:rPr>
      </w:pPr>
      <w:r>
        <w:rPr>
          <w:b/>
          <w:bCs/>
        </w:rPr>
        <w:t xml:space="preserve">UMass </w:t>
      </w:r>
      <w:r w:rsidRPr="00D4373A">
        <w:rPr>
          <w:b/>
          <w:bCs/>
        </w:rPr>
        <w:t>HealthAlliance Leominster</w:t>
      </w:r>
    </w:p>
    <w:p w14:paraId="1C409052" w14:textId="76CE0155" w:rsidR="00D4373A" w:rsidRPr="00D4373A" w:rsidRDefault="00D4373A" w:rsidP="00D4373A">
      <w:pPr>
        <w:pStyle w:val="ListParagraph"/>
        <w:numPr>
          <w:ilvl w:val="0"/>
          <w:numId w:val="36"/>
        </w:numPr>
        <w:rPr>
          <w:b/>
          <w:bCs/>
        </w:rPr>
      </w:pPr>
      <w:r>
        <w:rPr>
          <w:b/>
          <w:bCs/>
        </w:rPr>
        <w:t xml:space="preserve">UMass </w:t>
      </w:r>
      <w:r w:rsidRPr="00D4373A">
        <w:rPr>
          <w:b/>
          <w:bCs/>
        </w:rPr>
        <w:t>HealthAlliance Clinton</w:t>
      </w:r>
    </w:p>
    <w:p w14:paraId="7F57E21A" w14:textId="5F05F6F0" w:rsidR="00D4373A" w:rsidRPr="00D4373A" w:rsidRDefault="00D4373A" w:rsidP="00D4373A">
      <w:pPr>
        <w:pStyle w:val="ListParagraph"/>
        <w:numPr>
          <w:ilvl w:val="0"/>
          <w:numId w:val="36"/>
        </w:numPr>
        <w:rPr>
          <w:b/>
          <w:bCs/>
        </w:rPr>
      </w:pPr>
      <w:r w:rsidRPr="00D4373A">
        <w:rPr>
          <w:b/>
          <w:bCs/>
        </w:rPr>
        <w:t xml:space="preserve">Heywood </w:t>
      </w:r>
      <w:r>
        <w:rPr>
          <w:b/>
          <w:bCs/>
        </w:rPr>
        <w:t xml:space="preserve">Hospital </w:t>
      </w:r>
    </w:p>
    <w:p w14:paraId="663EDB8E" w14:textId="77777777" w:rsidR="00D4373A" w:rsidRDefault="00D4373A" w:rsidP="00D4373A">
      <w:pPr>
        <w:pStyle w:val="ListParagraph"/>
        <w:ind w:left="1440"/>
        <w:rPr>
          <w:b/>
          <w:bCs/>
        </w:rPr>
      </w:pPr>
    </w:p>
    <w:p w14:paraId="74F26A0E" w14:textId="77777777" w:rsidR="00384EA4" w:rsidRDefault="00384EA4" w:rsidP="00D4373A">
      <w:pPr>
        <w:pStyle w:val="ListParagraph"/>
        <w:ind w:left="1440"/>
        <w:rPr>
          <w:b/>
          <w:bCs/>
        </w:rPr>
      </w:pPr>
    </w:p>
    <w:p w14:paraId="0B9C91C2" w14:textId="77777777" w:rsidR="00384EA4" w:rsidRPr="00D4373A" w:rsidRDefault="00384EA4" w:rsidP="00D4373A">
      <w:pPr>
        <w:pStyle w:val="ListParagraph"/>
        <w:ind w:left="1440"/>
        <w:rPr>
          <w:b/>
          <w:bCs/>
        </w:rPr>
      </w:pPr>
    </w:p>
    <w:p w14:paraId="7702B52D" w14:textId="4723695F" w:rsidR="00890C58" w:rsidRPr="0008101A" w:rsidRDefault="00D4373A" w:rsidP="00D4373A">
      <w:pPr>
        <w:pStyle w:val="ListParagraph"/>
        <w:numPr>
          <w:ilvl w:val="0"/>
          <w:numId w:val="33"/>
        </w:numPr>
        <w:spacing w:before="52"/>
        <w:ind w:right="-10"/>
      </w:pPr>
      <w:r w:rsidRPr="00D4373A">
        <w:lastRenderedPageBreak/>
        <w:t>Y</w:t>
      </w:r>
      <w:r w:rsidR="00890C58" w:rsidRPr="00D4373A">
        <w:t xml:space="preserve">ou state that  the approved 19 M/S beds at the Memorial Campus have not yet been constructed or licensed, and </w:t>
      </w:r>
      <w:r w:rsidR="00890C58" w:rsidRPr="0008101A">
        <w:t xml:space="preserve">therefore, $7,335,836 of the Original </w:t>
      </w:r>
      <w:proofErr w:type="spellStart"/>
      <w:r w:rsidR="00890C58" w:rsidRPr="0008101A">
        <w:t>DoN’s</w:t>
      </w:r>
      <w:proofErr w:type="spellEnd"/>
      <w:r w:rsidR="00890C58" w:rsidRPr="0008101A">
        <w:t xml:space="preserve"> MCE was not expended and, with approval, the Holder will</w:t>
      </w:r>
      <w:r w:rsidR="00890C58">
        <w:t xml:space="preserve"> re-</w:t>
      </w:r>
      <w:r w:rsidR="00890C58" w:rsidRPr="0008101A">
        <w:t xml:space="preserve"> allocate this </w:t>
      </w:r>
      <w:r w:rsidR="00890C58">
        <w:t xml:space="preserve">approved </w:t>
      </w:r>
      <w:r w:rsidR="00890C58" w:rsidRPr="0008101A">
        <w:t>sum to the</w:t>
      </w:r>
      <w:r w:rsidR="00890C58">
        <w:t xml:space="preserve"> total cost of the proposed Amendment </w:t>
      </w:r>
      <w:r w:rsidR="00890C58" w:rsidRPr="0008101A">
        <w:t xml:space="preserve"> </w:t>
      </w:r>
      <w:r w:rsidR="00890C58">
        <w:t>(</w:t>
      </w:r>
      <w:r w:rsidR="00890C58" w:rsidRPr="0008101A">
        <w:t>$16,247,426</w:t>
      </w:r>
      <w:r w:rsidR="00890C58">
        <w:t>)</w:t>
      </w:r>
      <w:r w:rsidR="00890C58" w:rsidRPr="0008101A">
        <w:t xml:space="preserve">, resulting in an  $8,911,590 increase above the originally approved MCE. </w:t>
      </w:r>
    </w:p>
    <w:p w14:paraId="3DED6A32" w14:textId="77777777" w:rsidR="00890C58" w:rsidRDefault="00890C58" w:rsidP="00890C58">
      <w:pPr>
        <w:pStyle w:val="ListParagraph"/>
      </w:pPr>
    </w:p>
    <w:p w14:paraId="4A36F1F5" w14:textId="019ECDAD" w:rsidR="003C771E" w:rsidRDefault="00890C58" w:rsidP="003C771E">
      <w:pPr>
        <w:pStyle w:val="ListParagraph"/>
        <w:numPr>
          <w:ilvl w:val="0"/>
          <w:numId w:val="34"/>
        </w:numPr>
      </w:pPr>
      <w:r>
        <w:t xml:space="preserve">Other than the construction of the new unit for the 19 beds at the Memorial campus, have </w:t>
      </w:r>
      <w:proofErr w:type="gramStart"/>
      <w:r>
        <w:t>all of</w:t>
      </w:r>
      <w:proofErr w:type="gramEnd"/>
      <w:r>
        <w:t xml:space="preserve"> the other approved components the </w:t>
      </w:r>
      <w:proofErr w:type="gramStart"/>
      <w:r>
        <w:t>Original DoN</w:t>
      </w:r>
      <w:proofErr w:type="gramEnd"/>
      <w:r>
        <w:t xml:space="preserve"> been completed at both campuses? </w:t>
      </w:r>
    </w:p>
    <w:p w14:paraId="5735FFF1" w14:textId="303E5F0B" w:rsidR="003C771E" w:rsidRPr="00D4373A" w:rsidRDefault="00D4373A" w:rsidP="003C771E">
      <w:pPr>
        <w:pStyle w:val="ListParagraph"/>
        <w:ind w:left="1080"/>
        <w:rPr>
          <w:b/>
          <w:bCs/>
        </w:rPr>
      </w:pPr>
      <w:r>
        <w:rPr>
          <w:b/>
          <w:bCs/>
        </w:rPr>
        <w:t>There is one project still in progress – the Radiology department at Memorial Campus, expected to be completed January 2026.</w:t>
      </w:r>
    </w:p>
    <w:p w14:paraId="01D7BAFF" w14:textId="77777777" w:rsidR="00D4373A" w:rsidRPr="003C771E" w:rsidRDefault="00D4373A" w:rsidP="003C771E">
      <w:pPr>
        <w:pStyle w:val="ListParagraph"/>
        <w:ind w:left="1080"/>
        <w:rPr>
          <w:b/>
          <w:bCs/>
        </w:rPr>
      </w:pPr>
    </w:p>
    <w:p w14:paraId="734DA87B" w14:textId="77777777" w:rsidR="00890C58" w:rsidRDefault="00890C58" w:rsidP="00890C58">
      <w:pPr>
        <w:pStyle w:val="ListParagraph"/>
        <w:numPr>
          <w:ilvl w:val="0"/>
          <w:numId w:val="34"/>
        </w:numPr>
      </w:pPr>
      <w:r>
        <w:t xml:space="preserve">Based on the narrative you state it is more cost effective to build out the North Pavillion than for new construction at the Memorial Campus. Would the cost of completing the project at the original site </w:t>
      </w:r>
      <w:r w:rsidRPr="007668FE">
        <w:t>have been</w:t>
      </w:r>
      <w:r>
        <w:t xml:space="preserve"> greater than the remaining </w:t>
      </w:r>
      <w:r w:rsidRPr="00F42C9E">
        <w:t>$7,335,836 of the Original DoN</w:t>
      </w:r>
      <w:r>
        <w:t xml:space="preserve">, if </w:t>
      </w:r>
      <w:proofErr w:type="gramStart"/>
      <w:r>
        <w:t>so</w:t>
      </w:r>
      <w:proofErr w:type="gramEnd"/>
      <w:r>
        <w:t xml:space="preserve"> what would that cost have been, and to what do you attribute the increased </w:t>
      </w:r>
      <w:proofErr w:type="gramStart"/>
      <w:r>
        <w:t>expenditures</w:t>
      </w:r>
      <w:proofErr w:type="gramEnd"/>
      <w:r>
        <w:t xml:space="preserve"> over the original approval at either site? </w:t>
      </w:r>
    </w:p>
    <w:p w14:paraId="58CD3946" w14:textId="032141B8" w:rsidR="003C771E" w:rsidRPr="00C76F7E" w:rsidRDefault="00384EA4" w:rsidP="003C771E">
      <w:pPr>
        <w:pStyle w:val="ListParagraph"/>
        <w:ind w:left="1080"/>
        <w:rPr>
          <w:b/>
          <w:bCs/>
        </w:rPr>
      </w:pPr>
      <w:r>
        <w:rPr>
          <w:b/>
          <w:bCs/>
        </w:rPr>
        <w:t xml:space="preserve">The Applicant is requesting additional time to respond to this question. </w:t>
      </w:r>
    </w:p>
    <w:p w14:paraId="08B36565" w14:textId="77777777" w:rsidR="00C76F7E" w:rsidRPr="003C771E" w:rsidRDefault="00C76F7E" w:rsidP="003C771E">
      <w:pPr>
        <w:pStyle w:val="ListParagraph"/>
        <w:ind w:left="1080"/>
        <w:rPr>
          <w:b/>
          <w:bCs/>
        </w:rPr>
      </w:pPr>
    </w:p>
    <w:p w14:paraId="05456B5A" w14:textId="2654E40C" w:rsidR="00890C58" w:rsidRDefault="005A1574" w:rsidP="00890C58">
      <w:pPr>
        <w:pStyle w:val="ListParagraph"/>
        <w:numPr>
          <w:ilvl w:val="0"/>
          <w:numId w:val="34"/>
        </w:numPr>
      </w:pPr>
      <w:bookmarkStart w:id="0" w:name="_Hlk214873356"/>
      <w:r>
        <w:t xml:space="preserve">You State that operating costs to implement the project at the North Pavillion will be less than at the Memorial Campus. </w:t>
      </w:r>
      <w:r w:rsidR="00890C58">
        <w:t>What is the difference in the operating costs of implementing the project at the North Pavillion vs at the Memorial Campus</w:t>
      </w:r>
      <w:r>
        <w:t>?</w:t>
      </w:r>
    </w:p>
    <w:bookmarkEnd w:id="0"/>
    <w:p w14:paraId="07B75508" w14:textId="394D9F60" w:rsidR="007700F7" w:rsidRPr="007700F7" w:rsidRDefault="007700F7" w:rsidP="007700F7">
      <w:pPr>
        <w:pStyle w:val="ListParagraph"/>
        <w:spacing w:before="120" w:after="0" w:line="240" w:lineRule="auto"/>
        <w:ind w:left="1080"/>
        <w:contextualSpacing w:val="0"/>
        <w:jc w:val="both"/>
        <w:rPr>
          <w:b/>
          <w:bCs/>
        </w:rPr>
      </w:pPr>
      <w:r w:rsidRPr="007700F7">
        <w:rPr>
          <w:b/>
          <w:bCs/>
        </w:rPr>
        <w:t xml:space="preserve">Operating costs per bed will be less at the North Pavillion campus for the Proposed Amendment than they would be for the 19 beds at Memorial Campus.  An additional 3.1 FTEs per bed would be needed for the Memorial Beds, compared to an additional 2.3 FTEs per bed for the Proposed Change. This results in higher operating costs per bed for the Memorial Beds. The Proposed Change includes five more beds than proposed for the Memorial Campus. As a result, the total operating costs at the North Pavilion campus are higher because there will be more beds and there are additional </w:t>
      </w:r>
      <w:r>
        <w:rPr>
          <w:b/>
          <w:bCs/>
        </w:rPr>
        <w:t xml:space="preserve">professional </w:t>
      </w:r>
      <w:r w:rsidRPr="007700F7">
        <w:rPr>
          <w:b/>
          <w:bCs/>
        </w:rPr>
        <w:t>positions required to staff the North Pavilion beds, including Registered Nurses (3.4 FTE more), Case Managers (1.1 FTE more), and Nurse Educators (0.9 FTE) more. These positions increase total operating costs but still reflect a lower per bed operating cost for the Proposed Change of $307,000 per North Pavilion bed compared to $370,000 per Memorial Bed. Accordingly, while the total operating costs for North Pavilion are higher, the total cost per bed at North Pavilion is lower than at the Memorial Campus.</w:t>
      </w:r>
    </w:p>
    <w:p w14:paraId="2F02AA19" w14:textId="77777777" w:rsidR="003C771E" w:rsidRPr="003C771E" w:rsidRDefault="003C771E" w:rsidP="003C771E">
      <w:pPr>
        <w:pStyle w:val="ListParagraph"/>
        <w:ind w:left="1080"/>
        <w:rPr>
          <w:b/>
          <w:bCs/>
        </w:rPr>
      </w:pPr>
    </w:p>
    <w:p w14:paraId="468BEAE8" w14:textId="2DF4464D" w:rsidR="00B672A1" w:rsidRDefault="00890C58" w:rsidP="00D4373A">
      <w:pPr>
        <w:pStyle w:val="ListParagraph"/>
        <w:numPr>
          <w:ilvl w:val="0"/>
          <w:numId w:val="34"/>
        </w:numPr>
      </w:pPr>
      <w:r>
        <w:t xml:space="preserve">Assuming approval, will </w:t>
      </w:r>
      <w:proofErr w:type="gramStart"/>
      <w:r>
        <w:t>all of</w:t>
      </w:r>
      <w:proofErr w:type="gramEnd"/>
      <w:r>
        <w:t xml:space="preserve"> the approved shell space be built out</w:t>
      </w:r>
      <w:r w:rsidR="00CC6E0B">
        <w:t xml:space="preserve"> following the completion of this Amendment</w:t>
      </w:r>
      <w:r>
        <w:t>?</w:t>
      </w:r>
    </w:p>
    <w:p w14:paraId="366B4EBC" w14:textId="69241DF7" w:rsidR="00D4373A" w:rsidRDefault="00D4373A" w:rsidP="00D4373A">
      <w:pPr>
        <w:pStyle w:val="ListParagraph"/>
        <w:ind w:left="1080"/>
        <w:rPr>
          <w:b/>
          <w:bCs/>
        </w:rPr>
      </w:pPr>
      <w:r>
        <w:rPr>
          <w:b/>
          <w:bCs/>
        </w:rPr>
        <w:t xml:space="preserve">Yes, the 24 M/S </w:t>
      </w:r>
      <w:r w:rsidR="00C233C3">
        <w:rPr>
          <w:b/>
          <w:bCs/>
        </w:rPr>
        <w:t xml:space="preserve">beds </w:t>
      </w:r>
      <w:r>
        <w:rPr>
          <w:b/>
          <w:bCs/>
        </w:rPr>
        <w:t>comprise all remaining approved shell space.</w:t>
      </w:r>
    </w:p>
    <w:p w14:paraId="44E690F3" w14:textId="77777777" w:rsidR="00D4373A" w:rsidRDefault="00D4373A" w:rsidP="00D4373A">
      <w:pPr>
        <w:pStyle w:val="ListParagraph"/>
        <w:ind w:left="1080"/>
        <w:rPr>
          <w:b/>
          <w:bCs/>
        </w:rPr>
      </w:pPr>
    </w:p>
    <w:p w14:paraId="0FD634FB" w14:textId="77777777" w:rsidR="00384EA4" w:rsidRDefault="00384EA4" w:rsidP="00D4373A">
      <w:pPr>
        <w:pStyle w:val="ListParagraph"/>
        <w:ind w:left="1080"/>
        <w:rPr>
          <w:b/>
          <w:bCs/>
        </w:rPr>
      </w:pPr>
    </w:p>
    <w:p w14:paraId="54F11CC8" w14:textId="77777777" w:rsidR="00384EA4" w:rsidRDefault="00384EA4" w:rsidP="00D4373A">
      <w:pPr>
        <w:pStyle w:val="ListParagraph"/>
        <w:ind w:left="1080"/>
        <w:rPr>
          <w:b/>
          <w:bCs/>
        </w:rPr>
      </w:pPr>
    </w:p>
    <w:p w14:paraId="6A960E29" w14:textId="77777777" w:rsidR="00384EA4" w:rsidRDefault="00384EA4" w:rsidP="00D4373A">
      <w:pPr>
        <w:pStyle w:val="ListParagraph"/>
        <w:ind w:left="1080"/>
        <w:rPr>
          <w:b/>
          <w:bCs/>
        </w:rPr>
      </w:pPr>
    </w:p>
    <w:p w14:paraId="3228A593" w14:textId="77777777" w:rsidR="00384EA4" w:rsidRDefault="00384EA4" w:rsidP="00D4373A">
      <w:pPr>
        <w:pStyle w:val="ListParagraph"/>
        <w:ind w:left="1080"/>
        <w:rPr>
          <w:b/>
          <w:bCs/>
        </w:rPr>
      </w:pPr>
    </w:p>
    <w:p w14:paraId="21DCD1F7" w14:textId="77777777" w:rsidR="00384EA4" w:rsidRDefault="00384EA4" w:rsidP="00D4373A">
      <w:pPr>
        <w:pStyle w:val="ListParagraph"/>
        <w:ind w:left="1080"/>
        <w:rPr>
          <w:b/>
          <w:bCs/>
        </w:rPr>
      </w:pPr>
    </w:p>
    <w:p w14:paraId="6D5F445B" w14:textId="77777777" w:rsidR="00384EA4" w:rsidRDefault="00384EA4" w:rsidP="00D4373A">
      <w:pPr>
        <w:pStyle w:val="ListParagraph"/>
        <w:ind w:left="1080"/>
        <w:rPr>
          <w:b/>
          <w:bCs/>
        </w:rPr>
      </w:pPr>
    </w:p>
    <w:p w14:paraId="58E257EA" w14:textId="77777777" w:rsidR="00384EA4" w:rsidRDefault="00384EA4" w:rsidP="00D4373A">
      <w:pPr>
        <w:pStyle w:val="ListParagraph"/>
        <w:ind w:left="1080"/>
        <w:rPr>
          <w:b/>
          <w:bCs/>
        </w:rPr>
      </w:pPr>
    </w:p>
    <w:p w14:paraId="6986F65C" w14:textId="77777777" w:rsidR="00384EA4" w:rsidRDefault="00384EA4" w:rsidP="00D4373A">
      <w:pPr>
        <w:pStyle w:val="ListParagraph"/>
        <w:ind w:left="1080"/>
        <w:rPr>
          <w:b/>
          <w:bCs/>
        </w:rPr>
      </w:pPr>
    </w:p>
    <w:p w14:paraId="0804A04C" w14:textId="0390AA51" w:rsidR="00D4373A" w:rsidRDefault="00D4373A" w:rsidP="00D4373A">
      <w:pPr>
        <w:pStyle w:val="ListParagraph"/>
        <w:numPr>
          <w:ilvl w:val="0"/>
          <w:numId w:val="34"/>
        </w:numPr>
        <w:rPr>
          <w:b/>
          <w:bCs/>
        </w:rPr>
      </w:pPr>
      <w:r>
        <w:t xml:space="preserve">Please complete the chart below. </w:t>
      </w:r>
    </w:p>
    <w:p w14:paraId="72CA5332" w14:textId="77777777" w:rsidR="00D4373A" w:rsidRDefault="00D4373A" w:rsidP="00D4373A">
      <w:pPr>
        <w:pStyle w:val="ListParagraph"/>
        <w:ind w:left="1080"/>
        <w:rPr>
          <w:b/>
          <w:bCs/>
        </w:rPr>
      </w:pPr>
    </w:p>
    <w:tbl>
      <w:tblPr>
        <w:tblW w:w="11610" w:type="dxa"/>
        <w:tblInd w:w="-1180" w:type="dxa"/>
        <w:tblLayout w:type="fixed"/>
        <w:tblCellMar>
          <w:left w:w="0" w:type="dxa"/>
          <w:right w:w="0" w:type="dxa"/>
        </w:tblCellMar>
        <w:tblLook w:val="04A0" w:firstRow="1" w:lastRow="0" w:firstColumn="1" w:lastColumn="0" w:noHBand="0" w:noVBand="1"/>
      </w:tblPr>
      <w:tblGrid>
        <w:gridCol w:w="2160"/>
        <w:gridCol w:w="1350"/>
        <w:gridCol w:w="1350"/>
        <w:gridCol w:w="1350"/>
        <w:gridCol w:w="1350"/>
        <w:gridCol w:w="1350"/>
        <w:gridCol w:w="1350"/>
        <w:gridCol w:w="1350"/>
      </w:tblGrid>
      <w:tr w:rsidR="00D4373A" w:rsidRPr="00D4373A" w14:paraId="2E8166BE" w14:textId="77777777" w:rsidTr="000653EF">
        <w:trPr>
          <w:cantSplit/>
          <w:tblHeader/>
        </w:trPr>
        <w:tc>
          <w:tcPr>
            <w:tcW w:w="2160" w:type="dxa"/>
            <w:tcBorders>
              <w:top w:val="single" w:sz="8" w:space="0" w:color="auto"/>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1459E585" w14:textId="20229A85" w:rsidR="00D4373A" w:rsidRPr="00D4373A" w:rsidRDefault="00D4373A" w:rsidP="00D4373A">
            <w:pPr>
              <w:pStyle w:val="ListParagraph"/>
              <w:ind w:left="249" w:hanging="270"/>
              <w:rPr>
                <w:rFonts w:ascii="Aptos Narrow" w:hAnsi="Aptos Narrow"/>
                <w:b/>
                <w:bCs/>
                <w:sz w:val="20"/>
                <w:szCs w:val="20"/>
              </w:rPr>
            </w:pPr>
            <w:r w:rsidRPr="00D4373A">
              <w:rPr>
                <w:rFonts w:ascii="Aptos Narrow" w:hAnsi="Aptos Narrow"/>
                <w:b/>
                <w:bCs/>
                <w:sz w:val="20"/>
                <w:szCs w:val="20"/>
              </w:rPr>
              <w:t xml:space="preserve">UMMMC Campuses </w:t>
            </w:r>
          </w:p>
        </w:tc>
        <w:tc>
          <w:tcPr>
            <w:tcW w:w="1350" w:type="dxa"/>
            <w:tcBorders>
              <w:top w:val="single" w:sz="8" w:space="0" w:color="auto"/>
              <w:left w:val="nil"/>
              <w:bottom w:val="single" w:sz="8" w:space="0" w:color="auto"/>
              <w:right w:val="single" w:sz="8" w:space="0" w:color="auto"/>
            </w:tcBorders>
            <w:shd w:val="clear" w:color="auto" w:fill="DAE9F7"/>
            <w:hideMark/>
          </w:tcPr>
          <w:p w14:paraId="57C6E047" w14:textId="77777777" w:rsidR="00D4373A" w:rsidRPr="00D4373A" w:rsidRDefault="00D4373A" w:rsidP="00D4373A">
            <w:pPr>
              <w:pStyle w:val="ListParagraph"/>
              <w:ind w:left="16" w:hanging="15"/>
              <w:rPr>
                <w:rFonts w:ascii="Aptos Narrow" w:hAnsi="Aptos Narrow"/>
                <w:b/>
                <w:bCs/>
                <w:sz w:val="20"/>
                <w:szCs w:val="20"/>
              </w:rPr>
            </w:pPr>
            <w:r w:rsidRPr="00D4373A">
              <w:rPr>
                <w:rFonts w:ascii="Aptos Narrow" w:hAnsi="Aptos Narrow"/>
                <w:b/>
                <w:bCs/>
                <w:sz w:val="20"/>
                <w:szCs w:val="20"/>
              </w:rPr>
              <w:t xml:space="preserve">Pre DoN M/S Beds </w:t>
            </w:r>
          </w:p>
        </w:tc>
        <w:tc>
          <w:tcPr>
            <w:tcW w:w="1350" w:type="dxa"/>
            <w:tcBorders>
              <w:top w:val="single" w:sz="8" w:space="0" w:color="auto"/>
              <w:left w:val="nil"/>
              <w:bottom w:val="single" w:sz="8" w:space="0" w:color="auto"/>
              <w:right w:val="single" w:sz="8" w:space="0" w:color="auto"/>
            </w:tcBorders>
            <w:shd w:val="clear" w:color="auto" w:fill="DAE9F7"/>
            <w:tcMar>
              <w:top w:w="0" w:type="dxa"/>
              <w:left w:w="108" w:type="dxa"/>
              <w:bottom w:w="0" w:type="dxa"/>
              <w:right w:w="108" w:type="dxa"/>
            </w:tcMar>
            <w:hideMark/>
          </w:tcPr>
          <w:p w14:paraId="0396F025" w14:textId="77777777" w:rsidR="00D4373A" w:rsidRPr="00D4373A" w:rsidRDefault="00D4373A" w:rsidP="00D4373A">
            <w:pPr>
              <w:pStyle w:val="ListParagraph"/>
              <w:ind w:left="-14"/>
              <w:rPr>
                <w:rFonts w:ascii="Aptos Narrow" w:hAnsi="Aptos Narrow"/>
                <w:b/>
                <w:bCs/>
                <w:sz w:val="20"/>
                <w:szCs w:val="20"/>
              </w:rPr>
            </w:pPr>
            <w:r w:rsidRPr="00D4373A">
              <w:rPr>
                <w:rFonts w:ascii="Aptos Narrow" w:hAnsi="Aptos Narrow"/>
                <w:b/>
                <w:bCs/>
                <w:sz w:val="20"/>
                <w:szCs w:val="20"/>
              </w:rPr>
              <w:t>DoN Requested M/S Beds</w:t>
            </w:r>
          </w:p>
        </w:tc>
        <w:tc>
          <w:tcPr>
            <w:tcW w:w="1350" w:type="dxa"/>
            <w:tcBorders>
              <w:top w:val="single" w:sz="8" w:space="0" w:color="auto"/>
              <w:left w:val="nil"/>
              <w:bottom w:val="single" w:sz="8" w:space="0" w:color="auto"/>
              <w:right w:val="single" w:sz="8" w:space="0" w:color="auto"/>
            </w:tcBorders>
            <w:shd w:val="clear" w:color="auto" w:fill="DAE9F7"/>
            <w:hideMark/>
          </w:tcPr>
          <w:p w14:paraId="50876194" w14:textId="77777777" w:rsidR="00D4373A" w:rsidRPr="00D4373A" w:rsidRDefault="00D4373A" w:rsidP="00D4373A">
            <w:pPr>
              <w:pStyle w:val="ListParagraph"/>
              <w:ind w:left="63"/>
              <w:rPr>
                <w:rFonts w:ascii="Aptos Narrow" w:hAnsi="Aptos Narrow"/>
                <w:b/>
                <w:bCs/>
                <w:sz w:val="20"/>
                <w:szCs w:val="20"/>
              </w:rPr>
            </w:pPr>
            <w:r w:rsidRPr="00D4373A">
              <w:rPr>
                <w:rFonts w:ascii="Aptos Narrow" w:hAnsi="Aptos Narrow"/>
                <w:b/>
                <w:bCs/>
                <w:sz w:val="20"/>
                <w:szCs w:val="20"/>
              </w:rPr>
              <w:t>DoN Approved M/S beds</w:t>
            </w:r>
          </w:p>
        </w:tc>
        <w:tc>
          <w:tcPr>
            <w:tcW w:w="1350" w:type="dxa"/>
            <w:tcBorders>
              <w:top w:val="single" w:sz="8" w:space="0" w:color="auto"/>
              <w:left w:val="nil"/>
              <w:bottom w:val="single" w:sz="8" w:space="0" w:color="auto"/>
              <w:right w:val="nil"/>
            </w:tcBorders>
            <w:shd w:val="clear" w:color="auto" w:fill="DAE9F7"/>
            <w:hideMark/>
          </w:tcPr>
          <w:p w14:paraId="74B7560F" w14:textId="77777777" w:rsidR="00D4373A" w:rsidRPr="00D4373A" w:rsidRDefault="00D4373A" w:rsidP="00D4373A">
            <w:pPr>
              <w:pStyle w:val="ListParagraph"/>
              <w:ind w:left="70"/>
              <w:rPr>
                <w:rFonts w:ascii="Aptos Narrow" w:hAnsi="Aptos Narrow"/>
                <w:b/>
                <w:bCs/>
                <w:sz w:val="20"/>
                <w:szCs w:val="20"/>
              </w:rPr>
            </w:pPr>
            <w:r w:rsidRPr="00D4373A">
              <w:rPr>
                <w:rFonts w:ascii="Aptos Narrow" w:hAnsi="Aptos Narrow"/>
                <w:b/>
                <w:bCs/>
                <w:sz w:val="20"/>
                <w:szCs w:val="20"/>
              </w:rPr>
              <w:t>Current Licensed M/S Beds</w:t>
            </w:r>
          </w:p>
        </w:tc>
        <w:tc>
          <w:tcPr>
            <w:tcW w:w="1350" w:type="dxa"/>
            <w:tcBorders>
              <w:top w:val="single" w:sz="8" w:space="0" w:color="auto"/>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386D81D9" w14:textId="77777777" w:rsidR="00D4373A" w:rsidRPr="00D4373A" w:rsidRDefault="00D4373A" w:rsidP="00D4373A">
            <w:pPr>
              <w:pStyle w:val="ListParagraph"/>
              <w:ind w:left="0"/>
              <w:rPr>
                <w:rFonts w:ascii="Aptos Narrow" w:hAnsi="Aptos Narrow"/>
                <w:b/>
                <w:bCs/>
                <w:sz w:val="20"/>
                <w:szCs w:val="20"/>
              </w:rPr>
            </w:pPr>
            <w:r w:rsidRPr="00D4373A">
              <w:rPr>
                <w:rFonts w:ascii="Aptos Narrow" w:hAnsi="Aptos Narrow"/>
                <w:b/>
                <w:bCs/>
                <w:sz w:val="20"/>
                <w:szCs w:val="20"/>
              </w:rPr>
              <w:t>Significant Change</w:t>
            </w:r>
          </w:p>
          <w:p w14:paraId="5C1B3A2C" w14:textId="77777777" w:rsidR="00D4373A" w:rsidRPr="00D4373A" w:rsidRDefault="00D4373A" w:rsidP="00D4373A">
            <w:pPr>
              <w:pStyle w:val="ListParagraph"/>
              <w:ind w:left="0"/>
              <w:rPr>
                <w:rFonts w:ascii="Aptos Narrow" w:hAnsi="Aptos Narrow"/>
                <w:b/>
                <w:bCs/>
                <w:sz w:val="20"/>
                <w:szCs w:val="20"/>
              </w:rPr>
            </w:pPr>
            <w:r w:rsidRPr="00D4373A">
              <w:rPr>
                <w:rFonts w:ascii="Aptos Narrow" w:hAnsi="Aptos Narrow"/>
                <w:b/>
                <w:bCs/>
                <w:sz w:val="20"/>
                <w:szCs w:val="20"/>
              </w:rPr>
              <w:t xml:space="preserve">to Approved </w:t>
            </w:r>
          </w:p>
          <w:p w14:paraId="1B9389BF" w14:textId="77777777" w:rsidR="00D4373A" w:rsidRPr="00D4373A" w:rsidRDefault="00D4373A" w:rsidP="00D4373A">
            <w:pPr>
              <w:pStyle w:val="ListParagraph"/>
              <w:ind w:left="0"/>
              <w:rPr>
                <w:rFonts w:ascii="Aptos Narrow" w:hAnsi="Aptos Narrow"/>
                <w:b/>
                <w:bCs/>
                <w:sz w:val="20"/>
                <w:szCs w:val="20"/>
              </w:rPr>
            </w:pPr>
            <w:r w:rsidRPr="00D4373A">
              <w:rPr>
                <w:rFonts w:ascii="Aptos Narrow" w:hAnsi="Aptos Narrow"/>
                <w:b/>
                <w:bCs/>
                <w:sz w:val="20"/>
                <w:szCs w:val="20"/>
              </w:rPr>
              <w:t>M/S Beds</w:t>
            </w:r>
          </w:p>
        </w:tc>
        <w:tc>
          <w:tcPr>
            <w:tcW w:w="1350" w:type="dxa"/>
            <w:tcBorders>
              <w:top w:val="single" w:sz="8" w:space="0" w:color="auto"/>
              <w:left w:val="nil"/>
              <w:bottom w:val="single" w:sz="8" w:space="0" w:color="auto"/>
              <w:right w:val="single" w:sz="8" w:space="0" w:color="auto"/>
            </w:tcBorders>
            <w:shd w:val="clear" w:color="auto" w:fill="DAE9F7"/>
            <w:tcMar>
              <w:top w:w="0" w:type="dxa"/>
              <w:left w:w="108" w:type="dxa"/>
              <w:bottom w:w="0" w:type="dxa"/>
              <w:right w:w="108" w:type="dxa"/>
            </w:tcMar>
            <w:hideMark/>
          </w:tcPr>
          <w:p w14:paraId="06181D1C" w14:textId="77777777" w:rsidR="00D4373A" w:rsidRPr="00D4373A" w:rsidRDefault="00D4373A" w:rsidP="00D4373A">
            <w:pPr>
              <w:pStyle w:val="ListParagraph"/>
              <w:ind w:left="0" w:right="167" w:hanging="34"/>
              <w:rPr>
                <w:rFonts w:ascii="Aptos Narrow" w:hAnsi="Aptos Narrow"/>
                <w:b/>
                <w:bCs/>
                <w:sz w:val="20"/>
                <w:szCs w:val="20"/>
              </w:rPr>
            </w:pPr>
            <w:r w:rsidRPr="00D4373A">
              <w:rPr>
                <w:rFonts w:ascii="Aptos Narrow" w:hAnsi="Aptos Narrow"/>
                <w:b/>
                <w:bCs/>
                <w:sz w:val="20"/>
                <w:szCs w:val="20"/>
              </w:rPr>
              <w:t xml:space="preserve">Total M/S Beds after Significant Change </w:t>
            </w:r>
          </w:p>
        </w:tc>
        <w:tc>
          <w:tcPr>
            <w:tcW w:w="1350" w:type="dxa"/>
            <w:tcBorders>
              <w:top w:val="single" w:sz="8" w:space="0" w:color="auto"/>
              <w:left w:val="nil"/>
              <w:bottom w:val="single" w:sz="8" w:space="0" w:color="auto"/>
              <w:right w:val="single" w:sz="8" w:space="0" w:color="auto"/>
            </w:tcBorders>
            <w:shd w:val="clear" w:color="auto" w:fill="DAE9F7"/>
            <w:hideMark/>
          </w:tcPr>
          <w:p w14:paraId="662181E7" w14:textId="77777777" w:rsidR="00D4373A" w:rsidRPr="00D4373A" w:rsidRDefault="00D4373A" w:rsidP="00D4373A">
            <w:pPr>
              <w:pStyle w:val="ListParagraph"/>
              <w:ind w:left="122"/>
              <w:rPr>
                <w:rFonts w:ascii="Aptos Narrow" w:hAnsi="Aptos Narrow"/>
                <w:b/>
                <w:bCs/>
                <w:sz w:val="20"/>
                <w:szCs w:val="20"/>
              </w:rPr>
            </w:pPr>
            <w:r w:rsidRPr="00D4373A">
              <w:rPr>
                <w:rFonts w:ascii="Aptos Narrow" w:hAnsi="Aptos Narrow"/>
                <w:b/>
                <w:bCs/>
                <w:sz w:val="20"/>
                <w:szCs w:val="20"/>
              </w:rPr>
              <w:t>Net New Beds after Significant Change</w:t>
            </w:r>
          </w:p>
        </w:tc>
      </w:tr>
      <w:tr w:rsidR="00D4373A" w:rsidRPr="00D4373A" w14:paraId="52B4A7C8" w14:textId="77777777" w:rsidTr="000653EF">
        <w:trPr>
          <w:cantSplit/>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F491C" w14:textId="77777777" w:rsidR="00D4373A" w:rsidRPr="00D4373A" w:rsidRDefault="00D4373A" w:rsidP="00D4373A">
            <w:pPr>
              <w:pStyle w:val="ListParagraph"/>
              <w:ind w:left="249" w:hanging="270"/>
              <w:rPr>
                <w:rFonts w:ascii="Aptos Narrow" w:hAnsi="Aptos Narrow"/>
                <w:b/>
                <w:bCs/>
                <w:sz w:val="20"/>
                <w:szCs w:val="20"/>
              </w:rPr>
            </w:pPr>
            <w:r w:rsidRPr="00D4373A">
              <w:rPr>
                <w:rFonts w:ascii="Aptos Narrow" w:hAnsi="Aptos Narrow"/>
                <w:b/>
                <w:bCs/>
                <w:sz w:val="20"/>
                <w:szCs w:val="20"/>
              </w:rPr>
              <w:t>University Campus</w:t>
            </w:r>
          </w:p>
        </w:tc>
        <w:tc>
          <w:tcPr>
            <w:tcW w:w="1350" w:type="dxa"/>
            <w:tcBorders>
              <w:top w:val="nil"/>
              <w:left w:val="nil"/>
              <w:bottom w:val="single" w:sz="8" w:space="0" w:color="auto"/>
              <w:right w:val="single" w:sz="8" w:space="0" w:color="auto"/>
            </w:tcBorders>
            <w:hideMark/>
          </w:tcPr>
          <w:p w14:paraId="3DB498F4"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275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5CA40D"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0</w:t>
            </w:r>
          </w:p>
        </w:tc>
        <w:tc>
          <w:tcPr>
            <w:tcW w:w="1350" w:type="dxa"/>
            <w:tcBorders>
              <w:top w:val="nil"/>
              <w:left w:val="nil"/>
              <w:bottom w:val="single" w:sz="8" w:space="0" w:color="auto"/>
              <w:right w:val="single" w:sz="8" w:space="0" w:color="auto"/>
            </w:tcBorders>
            <w:hideMark/>
          </w:tcPr>
          <w:p w14:paraId="010E77A5"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275</w:t>
            </w:r>
          </w:p>
        </w:tc>
        <w:tc>
          <w:tcPr>
            <w:tcW w:w="1350" w:type="dxa"/>
            <w:tcBorders>
              <w:top w:val="nil"/>
              <w:left w:val="nil"/>
              <w:bottom w:val="single" w:sz="8" w:space="0" w:color="auto"/>
              <w:right w:val="nil"/>
            </w:tcBorders>
            <w:hideMark/>
          </w:tcPr>
          <w:p w14:paraId="23109E27"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275</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01443"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66285D" w14:textId="499C18D0" w:rsidR="00D4373A" w:rsidRPr="00D4373A" w:rsidRDefault="00D4373A" w:rsidP="00D4373A">
            <w:pPr>
              <w:ind w:right="167"/>
              <w:jc w:val="center"/>
              <w:rPr>
                <w:rFonts w:ascii="Aptos Narrow" w:hAnsi="Aptos Narrow"/>
                <w:b/>
                <w:bCs/>
                <w:sz w:val="20"/>
                <w:szCs w:val="20"/>
              </w:rPr>
            </w:pPr>
            <w:r w:rsidRPr="00D4373A">
              <w:rPr>
                <w:rFonts w:ascii="Aptos Narrow" w:hAnsi="Aptos Narrow"/>
                <w:b/>
                <w:bCs/>
                <w:sz w:val="20"/>
                <w:szCs w:val="20"/>
              </w:rPr>
              <w:t>275</w:t>
            </w:r>
          </w:p>
        </w:tc>
        <w:tc>
          <w:tcPr>
            <w:tcW w:w="1350" w:type="dxa"/>
            <w:tcBorders>
              <w:top w:val="nil"/>
              <w:left w:val="nil"/>
              <w:bottom w:val="single" w:sz="8" w:space="0" w:color="auto"/>
              <w:right w:val="single" w:sz="8" w:space="0" w:color="auto"/>
            </w:tcBorders>
            <w:hideMark/>
          </w:tcPr>
          <w:p w14:paraId="1B276E06" w14:textId="77777777" w:rsidR="00D4373A" w:rsidRPr="00D4373A" w:rsidRDefault="00D4373A" w:rsidP="00D4373A">
            <w:pPr>
              <w:pStyle w:val="ListParagraph"/>
              <w:ind w:left="122" w:firstLine="90"/>
              <w:jc w:val="center"/>
              <w:rPr>
                <w:rFonts w:ascii="Aptos Narrow" w:hAnsi="Aptos Narrow"/>
                <w:b/>
                <w:bCs/>
                <w:sz w:val="20"/>
                <w:szCs w:val="20"/>
              </w:rPr>
            </w:pPr>
            <w:r w:rsidRPr="00D4373A">
              <w:rPr>
                <w:rFonts w:ascii="Aptos Narrow" w:hAnsi="Aptos Narrow"/>
                <w:b/>
                <w:bCs/>
                <w:sz w:val="20"/>
                <w:szCs w:val="20"/>
              </w:rPr>
              <w:t>0</w:t>
            </w:r>
          </w:p>
        </w:tc>
      </w:tr>
      <w:tr w:rsidR="00D4373A" w:rsidRPr="00D4373A" w14:paraId="3A99D9AF" w14:textId="77777777" w:rsidTr="000653EF">
        <w:trPr>
          <w:cantSplit/>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5880F" w14:textId="77777777" w:rsidR="00D4373A" w:rsidRPr="00D4373A" w:rsidRDefault="00D4373A" w:rsidP="00D4373A">
            <w:pPr>
              <w:pStyle w:val="ListParagraph"/>
              <w:ind w:left="249" w:hanging="270"/>
              <w:rPr>
                <w:rFonts w:ascii="Aptos Narrow" w:hAnsi="Aptos Narrow"/>
                <w:b/>
                <w:bCs/>
                <w:sz w:val="20"/>
                <w:szCs w:val="20"/>
              </w:rPr>
            </w:pPr>
            <w:r w:rsidRPr="00D4373A">
              <w:rPr>
                <w:rFonts w:ascii="Aptos Narrow" w:hAnsi="Aptos Narrow"/>
                <w:b/>
                <w:bCs/>
                <w:sz w:val="20"/>
                <w:szCs w:val="20"/>
              </w:rPr>
              <w:t>Memorial Campus</w:t>
            </w:r>
          </w:p>
        </w:tc>
        <w:tc>
          <w:tcPr>
            <w:tcW w:w="1350" w:type="dxa"/>
            <w:tcBorders>
              <w:top w:val="nil"/>
              <w:left w:val="nil"/>
              <w:bottom w:val="single" w:sz="8" w:space="0" w:color="auto"/>
              <w:right w:val="single" w:sz="8" w:space="0" w:color="auto"/>
            </w:tcBorders>
            <w:hideMark/>
          </w:tcPr>
          <w:p w14:paraId="3E919093"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192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1642B3F"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+19</w:t>
            </w:r>
          </w:p>
        </w:tc>
        <w:tc>
          <w:tcPr>
            <w:tcW w:w="1350" w:type="dxa"/>
            <w:tcBorders>
              <w:top w:val="nil"/>
              <w:left w:val="nil"/>
              <w:bottom w:val="single" w:sz="8" w:space="0" w:color="auto"/>
              <w:right w:val="single" w:sz="8" w:space="0" w:color="auto"/>
            </w:tcBorders>
            <w:hideMark/>
          </w:tcPr>
          <w:p w14:paraId="2ADBF38B"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211</w:t>
            </w:r>
          </w:p>
        </w:tc>
        <w:tc>
          <w:tcPr>
            <w:tcW w:w="1350" w:type="dxa"/>
            <w:tcBorders>
              <w:top w:val="nil"/>
              <w:left w:val="nil"/>
              <w:bottom w:val="single" w:sz="8" w:space="0" w:color="auto"/>
              <w:right w:val="nil"/>
            </w:tcBorders>
            <w:hideMark/>
          </w:tcPr>
          <w:p w14:paraId="531AE573"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192</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15155"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(19)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F9FA93" w14:textId="77777777" w:rsidR="00D4373A" w:rsidRPr="00D4373A" w:rsidRDefault="00D4373A" w:rsidP="00D4373A">
            <w:pPr>
              <w:ind w:right="167"/>
              <w:jc w:val="center"/>
              <w:rPr>
                <w:rFonts w:ascii="Aptos Narrow" w:hAnsi="Aptos Narrow"/>
                <w:b/>
                <w:bCs/>
                <w:sz w:val="20"/>
                <w:szCs w:val="20"/>
              </w:rPr>
            </w:pPr>
            <w:r w:rsidRPr="00D4373A">
              <w:rPr>
                <w:rFonts w:ascii="Aptos Narrow" w:hAnsi="Aptos Narrow"/>
                <w:b/>
                <w:bCs/>
                <w:sz w:val="20"/>
                <w:szCs w:val="20"/>
              </w:rPr>
              <w:t>192</w:t>
            </w:r>
          </w:p>
        </w:tc>
        <w:tc>
          <w:tcPr>
            <w:tcW w:w="1350" w:type="dxa"/>
            <w:tcBorders>
              <w:top w:val="nil"/>
              <w:left w:val="nil"/>
              <w:bottom w:val="single" w:sz="8" w:space="0" w:color="auto"/>
              <w:right w:val="single" w:sz="8" w:space="0" w:color="auto"/>
            </w:tcBorders>
            <w:hideMark/>
          </w:tcPr>
          <w:p w14:paraId="080ECB4C" w14:textId="77777777" w:rsidR="00D4373A" w:rsidRPr="00D4373A" w:rsidRDefault="00D4373A" w:rsidP="00D4373A">
            <w:pPr>
              <w:pStyle w:val="ListParagraph"/>
              <w:ind w:left="122" w:firstLine="90"/>
              <w:jc w:val="center"/>
              <w:rPr>
                <w:rFonts w:ascii="Aptos Narrow" w:hAnsi="Aptos Narrow"/>
                <w:b/>
                <w:bCs/>
                <w:sz w:val="20"/>
                <w:szCs w:val="20"/>
              </w:rPr>
            </w:pPr>
            <w:r w:rsidRPr="00D4373A">
              <w:rPr>
                <w:rFonts w:ascii="Aptos Narrow" w:hAnsi="Aptos Narrow"/>
                <w:b/>
                <w:bCs/>
                <w:sz w:val="20"/>
                <w:szCs w:val="20"/>
              </w:rPr>
              <w:t>0</w:t>
            </w:r>
          </w:p>
        </w:tc>
      </w:tr>
      <w:tr w:rsidR="00D4373A" w:rsidRPr="00D4373A" w14:paraId="0B99E4A6" w14:textId="77777777" w:rsidTr="000653EF">
        <w:trPr>
          <w:cantSplit/>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0D575" w14:textId="77777777" w:rsidR="00D4373A" w:rsidRPr="00D4373A" w:rsidRDefault="00D4373A" w:rsidP="00D4373A">
            <w:pPr>
              <w:pStyle w:val="ListParagraph"/>
              <w:ind w:left="249" w:hanging="270"/>
              <w:rPr>
                <w:rFonts w:ascii="Aptos Narrow" w:hAnsi="Aptos Narrow"/>
                <w:b/>
                <w:bCs/>
                <w:sz w:val="20"/>
                <w:szCs w:val="20"/>
              </w:rPr>
            </w:pPr>
            <w:r w:rsidRPr="00D4373A">
              <w:rPr>
                <w:rFonts w:ascii="Aptos Narrow" w:hAnsi="Aptos Narrow"/>
                <w:b/>
                <w:bCs/>
                <w:sz w:val="20"/>
                <w:szCs w:val="20"/>
              </w:rPr>
              <w:t>North Pavilion Campus</w:t>
            </w:r>
          </w:p>
        </w:tc>
        <w:tc>
          <w:tcPr>
            <w:tcW w:w="1350" w:type="dxa"/>
            <w:tcBorders>
              <w:top w:val="nil"/>
              <w:left w:val="nil"/>
              <w:bottom w:val="single" w:sz="8" w:space="0" w:color="auto"/>
              <w:right w:val="single" w:sz="8" w:space="0" w:color="auto"/>
            </w:tcBorders>
            <w:hideMark/>
          </w:tcPr>
          <w:p w14:paraId="4149BCE6"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4E0A3C3"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+72</w:t>
            </w:r>
          </w:p>
        </w:tc>
        <w:tc>
          <w:tcPr>
            <w:tcW w:w="1350" w:type="dxa"/>
            <w:tcBorders>
              <w:top w:val="nil"/>
              <w:left w:val="nil"/>
              <w:bottom w:val="single" w:sz="8" w:space="0" w:color="auto"/>
              <w:right w:val="single" w:sz="8" w:space="0" w:color="auto"/>
            </w:tcBorders>
            <w:hideMark/>
          </w:tcPr>
          <w:p w14:paraId="78F7525E"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72</w:t>
            </w:r>
          </w:p>
        </w:tc>
        <w:tc>
          <w:tcPr>
            <w:tcW w:w="1350" w:type="dxa"/>
            <w:tcBorders>
              <w:top w:val="nil"/>
              <w:left w:val="nil"/>
              <w:bottom w:val="single" w:sz="8" w:space="0" w:color="auto"/>
              <w:right w:val="nil"/>
            </w:tcBorders>
            <w:hideMark/>
          </w:tcPr>
          <w:p w14:paraId="431FDAE2"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72</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CD7F5"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+24</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595B343" w14:textId="77777777" w:rsidR="00D4373A" w:rsidRPr="00D4373A" w:rsidRDefault="00D4373A" w:rsidP="00D4373A">
            <w:pPr>
              <w:ind w:right="167"/>
              <w:jc w:val="center"/>
              <w:rPr>
                <w:rFonts w:ascii="Aptos Narrow" w:hAnsi="Aptos Narrow"/>
                <w:b/>
                <w:bCs/>
                <w:sz w:val="20"/>
                <w:szCs w:val="20"/>
              </w:rPr>
            </w:pPr>
            <w:r w:rsidRPr="00D4373A">
              <w:rPr>
                <w:rFonts w:ascii="Aptos Narrow" w:hAnsi="Aptos Narrow"/>
                <w:b/>
                <w:bCs/>
                <w:sz w:val="20"/>
                <w:szCs w:val="20"/>
              </w:rPr>
              <w:t>96</w:t>
            </w:r>
          </w:p>
        </w:tc>
        <w:tc>
          <w:tcPr>
            <w:tcW w:w="1350" w:type="dxa"/>
            <w:tcBorders>
              <w:top w:val="nil"/>
              <w:left w:val="nil"/>
              <w:bottom w:val="single" w:sz="8" w:space="0" w:color="auto"/>
              <w:right w:val="single" w:sz="8" w:space="0" w:color="auto"/>
            </w:tcBorders>
            <w:hideMark/>
          </w:tcPr>
          <w:p w14:paraId="1B0AE257" w14:textId="77777777" w:rsidR="00D4373A" w:rsidRPr="00D4373A" w:rsidRDefault="00D4373A" w:rsidP="00D4373A">
            <w:pPr>
              <w:pStyle w:val="ListParagraph"/>
              <w:ind w:left="122" w:firstLine="90"/>
              <w:jc w:val="center"/>
              <w:rPr>
                <w:rFonts w:ascii="Aptos Narrow" w:hAnsi="Aptos Narrow"/>
                <w:b/>
                <w:bCs/>
                <w:sz w:val="20"/>
                <w:szCs w:val="20"/>
              </w:rPr>
            </w:pPr>
            <w:r w:rsidRPr="00D4373A">
              <w:rPr>
                <w:rFonts w:ascii="Aptos Narrow" w:hAnsi="Aptos Narrow"/>
                <w:b/>
                <w:bCs/>
                <w:sz w:val="20"/>
                <w:szCs w:val="20"/>
              </w:rPr>
              <w:t>5</w:t>
            </w:r>
          </w:p>
        </w:tc>
      </w:tr>
      <w:tr w:rsidR="00D4373A" w:rsidRPr="00D4373A" w14:paraId="44FF63FB" w14:textId="77777777" w:rsidTr="000653EF">
        <w:trPr>
          <w:cantSplit/>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55AE5" w14:textId="77777777" w:rsidR="00D4373A" w:rsidRPr="00D4373A" w:rsidRDefault="00D4373A" w:rsidP="00D4373A">
            <w:pPr>
              <w:pStyle w:val="ListParagraph"/>
              <w:ind w:left="249" w:hanging="270"/>
              <w:rPr>
                <w:rFonts w:ascii="Aptos Narrow" w:hAnsi="Aptos Narrow"/>
                <w:b/>
                <w:bCs/>
                <w:sz w:val="20"/>
                <w:szCs w:val="20"/>
              </w:rPr>
            </w:pPr>
            <w:r w:rsidRPr="00D4373A">
              <w:rPr>
                <w:rFonts w:ascii="Aptos Narrow" w:hAnsi="Aptos Narrow"/>
                <w:b/>
                <w:bCs/>
                <w:sz w:val="20"/>
                <w:szCs w:val="20"/>
              </w:rPr>
              <w:t>Marlborough Campus</w:t>
            </w:r>
            <w:r w:rsidRPr="00D4373A">
              <w:rPr>
                <w:rFonts w:ascii="Aptos Narrow" w:hAnsi="Aptos Narrow"/>
                <w:b/>
                <w:bCs/>
                <w:sz w:val="20"/>
                <w:szCs w:val="20"/>
                <w:vertAlign w:val="superscript"/>
              </w:rPr>
              <w:footnoteReference w:customMarkFollows="1" w:id="3"/>
              <w:t>[1]</w:t>
            </w:r>
          </w:p>
        </w:tc>
        <w:tc>
          <w:tcPr>
            <w:tcW w:w="1350" w:type="dxa"/>
            <w:tcBorders>
              <w:top w:val="nil"/>
              <w:left w:val="nil"/>
              <w:bottom w:val="single" w:sz="8" w:space="0" w:color="auto"/>
              <w:right w:val="single" w:sz="8" w:space="0" w:color="auto"/>
            </w:tcBorders>
            <w:hideMark/>
          </w:tcPr>
          <w:p w14:paraId="5EDCCB92"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77A8BB6"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w:t>
            </w:r>
          </w:p>
        </w:tc>
        <w:tc>
          <w:tcPr>
            <w:tcW w:w="1350" w:type="dxa"/>
            <w:tcBorders>
              <w:top w:val="nil"/>
              <w:left w:val="nil"/>
              <w:bottom w:val="single" w:sz="8" w:space="0" w:color="auto"/>
              <w:right w:val="single" w:sz="8" w:space="0" w:color="auto"/>
            </w:tcBorders>
            <w:hideMark/>
          </w:tcPr>
          <w:p w14:paraId="134E9FA2"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w:t>
            </w:r>
          </w:p>
        </w:tc>
        <w:tc>
          <w:tcPr>
            <w:tcW w:w="1350" w:type="dxa"/>
            <w:tcBorders>
              <w:top w:val="nil"/>
              <w:left w:val="nil"/>
              <w:bottom w:val="single" w:sz="8" w:space="0" w:color="auto"/>
              <w:right w:val="nil"/>
            </w:tcBorders>
            <w:hideMark/>
          </w:tcPr>
          <w:p w14:paraId="4A4ECD83"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EF541"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839036" w14:textId="77777777" w:rsidR="00D4373A" w:rsidRPr="00D4373A" w:rsidRDefault="00D4373A" w:rsidP="00D4373A">
            <w:pPr>
              <w:ind w:right="167"/>
              <w:jc w:val="center"/>
              <w:rPr>
                <w:rFonts w:ascii="Aptos Narrow" w:hAnsi="Aptos Narrow"/>
                <w:b/>
                <w:bCs/>
                <w:sz w:val="20"/>
                <w:szCs w:val="20"/>
              </w:rPr>
            </w:pPr>
            <w:r w:rsidRPr="00D4373A">
              <w:rPr>
                <w:rFonts w:ascii="Aptos Narrow" w:hAnsi="Aptos Narrow"/>
                <w:b/>
                <w:bCs/>
                <w:sz w:val="20"/>
                <w:szCs w:val="20"/>
              </w:rPr>
              <w:t>-</w:t>
            </w:r>
          </w:p>
        </w:tc>
        <w:tc>
          <w:tcPr>
            <w:tcW w:w="1350" w:type="dxa"/>
            <w:tcBorders>
              <w:top w:val="nil"/>
              <w:left w:val="nil"/>
              <w:bottom w:val="single" w:sz="8" w:space="0" w:color="auto"/>
              <w:right w:val="single" w:sz="8" w:space="0" w:color="auto"/>
            </w:tcBorders>
            <w:hideMark/>
          </w:tcPr>
          <w:p w14:paraId="12403A0B" w14:textId="77777777" w:rsidR="00D4373A" w:rsidRPr="00D4373A" w:rsidRDefault="00D4373A" w:rsidP="00D4373A">
            <w:pPr>
              <w:pStyle w:val="ListParagraph"/>
              <w:ind w:left="122" w:firstLine="90"/>
              <w:jc w:val="center"/>
              <w:rPr>
                <w:rFonts w:ascii="Aptos Narrow" w:hAnsi="Aptos Narrow"/>
                <w:b/>
                <w:bCs/>
                <w:sz w:val="20"/>
                <w:szCs w:val="20"/>
              </w:rPr>
            </w:pPr>
            <w:r w:rsidRPr="00D4373A">
              <w:rPr>
                <w:rFonts w:ascii="Aptos Narrow" w:hAnsi="Aptos Narrow"/>
                <w:b/>
                <w:bCs/>
                <w:sz w:val="20"/>
                <w:szCs w:val="20"/>
              </w:rPr>
              <w:t>-</w:t>
            </w:r>
          </w:p>
        </w:tc>
      </w:tr>
      <w:tr w:rsidR="00D4373A" w:rsidRPr="00D4373A" w14:paraId="2EBCC738" w14:textId="77777777" w:rsidTr="000653EF">
        <w:trPr>
          <w:cantSplit/>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B5F90" w14:textId="77777777" w:rsidR="00D4373A" w:rsidRPr="00D4373A" w:rsidRDefault="00D4373A" w:rsidP="00D4373A">
            <w:pPr>
              <w:pStyle w:val="ListParagraph"/>
              <w:ind w:left="249" w:hanging="270"/>
              <w:rPr>
                <w:rFonts w:ascii="Aptos Narrow" w:hAnsi="Aptos Narrow"/>
                <w:b/>
                <w:bCs/>
                <w:sz w:val="20"/>
                <w:szCs w:val="20"/>
              </w:rPr>
            </w:pPr>
            <w:r w:rsidRPr="00D4373A">
              <w:rPr>
                <w:rFonts w:ascii="Aptos Narrow" w:hAnsi="Aptos Narrow"/>
                <w:b/>
                <w:bCs/>
                <w:sz w:val="20"/>
                <w:szCs w:val="20"/>
              </w:rPr>
              <w:t xml:space="preserve">Total/Net Beds </w:t>
            </w:r>
          </w:p>
        </w:tc>
        <w:tc>
          <w:tcPr>
            <w:tcW w:w="1350" w:type="dxa"/>
            <w:tcBorders>
              <w:top w:val="nil"/>
              <w:left w:val="nil"/>
              <w:bottom w:val="single" w:sz="8" w:space="0" w:color="auto"/>
              <w:right w:val="single" w:sz="8" w:space="0" w:color="auto"/>
            </w:tcBorders>
            <w:hideMark/>
          </w:tcPr>
          <w:p w14:paraId="0D7DE6D1" w14:textId="5EE4E6E4" w:rsidR="00D4373A" w:rsidRPr="00D4373A" w:rsidRDefault="00D4373A" w:rsidP="00D4373A">
            <w:pPr>
              <w:pStyle w:val="ListParagraph"/>
              <w:ind w:left="249" w:hanging="270"/>
              <w:jc w:val="center"/>
              <w:rPr>
                <w:rFonts w:ascii="Aptos Narrow" w:hAnsi="Aptos Narrow"/>
                <w:b/>
                <w:bCs/>
                <w:sz w:val="20"/>
                <w:szCs w:val="20"/>
              </w:rPr>
            </w:pPr>
            <w:r>
              <w:rPr>
                <w:rFonts w:ascii="Aptos Narrow" w:hAnsi="Aptos Narrow"/>
                <w:b/>
                <w:bCs/>
                <w:sz w:val="20"/>
                <w:szCs w:val="20"/>
              </w:rPr>
              <w:t>467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0C88B0"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91</w:t>
            </w:r>
          </w:p>
        </w:tc>
        <w:tc>
          <w:tcPr>
            <w:tcW w:w="1350" w:type="dxa"/>
            <w:tcBorders>
              <w:top w:val="nil"/>
              <w:left w:val="nil"/>
              <w:bottom w:val="single" w:sz="8" w:space="0" w:color="auto"/>
              <w:right w:val="single" w:sz="8" w:space="0" w:color="auto"/>
            </w:tcBorders>
            <w:hideMark/>
          </w:tcPr>
          <w:p w14:paraId="25E49A96" w14:textId="67A97D8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55</w:t>
            </w:r>
            <w:r w:rsidR="00307565">
              <w:rPr>
                <w:rFonts w:ascii="Aptos Narrow" w:hAnsi="Aptos Narrow"/>
                <w:b/>
                <w:bCs/>
                <w:sz w:val="20"/>
                <w:szCs w:val="20"/>
              </w:rPr>
              <w:t>8</w:t>
            </w:r>
          </w:p>
        </w:tc>
        <w:tc>
          <w:tcPr>
            <w:tcW w:w="1350" w:type="dxa"/>
            <w:tcBorders>
              <w:top w:val="nil"/>
              <w:left w:val="nil"/>
              <w:bottom w:val="single" w:sz="8" w:space="0" w:color="auto"/>
              <w:right w:val="nil"/>
            </w:tcBorders>
            <w:hideMark/>
          </w:tcPr>
          <w:p w14:paraId="4E0B2D61"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539</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8C79E" w14:textId="77777777" w:rsidR="00D4373A" w:rsidRPr="00D4373A" w:rsidRDefault="00D4373A" w:rsidP="00D4373A">
            <w:pPr>
              <w:pStyle w:val="ListParagraph"/>
              <w:ind w:left="249" w:hanging="270"/>
              <w:jc w:val="center"/>
              <w:rPr>
                <w:rFonts w:ascii="Aptos Narrow" w:hAnsi="Aptos Narrow"/>
                <w:b/>
                <w:bCs/>
                <w:sz w:val="20"/>
                <w:szCs w:val="20"/>
              </w:rPr>
            </w:pPr>
            <w:r w:rsidRPr="00D4373A">
              <w:rPr>
                <w:rFonts w:ascii="Aptos Narrow" w:hAnsi="Aptos Narrow"/>
                <w:b/>
                <w:bCs/>
                <w:sz w:val="20"/>
                <w:szCs w:val="20"/>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06EC906" w14:textId="6202C95D" w:rsidR="00D4373A" w:rsidRPr="00D4373A" w:rsidRDefault="00307565" w:rsidP="00D4373A">
            <w:pPr>
              <w:ind w:right="167"/>
              <w:jc w:val="center"/>
              <w:rPr>
                <w:rFonts w:ascii="Aptos Narrow" w:hAnsi="Aptos Narrow"/>
                <w:b/>
                <w:bCs/>
                <w:sz w:val="20"/>
                <w:szCs w:val="20"/>
              </w:rPr>
            </w:pPr>
            <w:r>
              <w:rPr>
                <w:rFonts w:ascii="Aptos Narrow" w:hAnsi="Aptos Narrow"/>
                <w:b/>
                <w:bCs/>
                <w:sz w:val="20"/>
                <w:szCs w:val="20"/>
              </w:rPr>
              <w:t>563</w:t>
            </w:r>
          </w:p>
        </w:tc>
        <w:tc>
          <w:tcPr>
            <w:tcW w:w="1350" w:type="dxa"/>
            <w:tcBorders>
              <w:top w:val="nil"/>
              <w:left w:val="nil"/>
              <w:bottom w:val="single" w:sz="8" w:space="0" w:color="auto"/>
              <w:right w:val="single" w:sz="8" w:space="0" w:color="auto"/>
            </w:tcBorders>
            <w:hideMark/>
          </w:tcPr>
          <w:p w14:paraId="5522AFBD" w14:textId="77777777" w:rsidR="00D4373A" w:rsidRPr="00D4373A" w:rsidRDefault="00D4373A" w:rsidP="00D4373A">
            <w:pPr>
              <w:pStyle w:val="ListParagraph"/>
              <w:ind w:left="122" w:firstLine="90"/>
              <w:jc w:val="center"/>
              <w:rPr>
                <w:rFonts w:ascii="Aptos Narrow" w:hAnsi="Aptos Narrow"/>
                <w:b/>
                <w:bCs/>
                <w:sz w:val="20"/>
                <w:szCs w:val="20"/>
              </w:rPr>
            </w:pPr>
            <w:r w:rsidRPr="00D4373A">
              <w:rPr>
                <w:rFonts w:ascii="Aptos Narrow" w:hAnsi="Aptos Narrow"/>
                <w:b/>
                <w:bCs/>
                <w:sz w:val="20"/>
                <w:szCs w:val="20"/>
              </w:rPr>
              <w:t>5</w:t>
            </w:r>
          </w:p>
        </w:tc>
      </w:tr>
    </w:tbl>
    <w:p w14:paraId="67187347" w14:textId="77777777" w:rsidR="00D4373A" w:rsidRPr="00D4373A" w:rsidRDefault="00D4373A" w:rsidP="00D4373A">
      <w:pPr>
        <w:pStyle w:val="ListParagraph"/>
        <w:ind w:left="1080"/>
        <w:rPr>
          <w:b/>
          <w:bCs/>
        </w:rPr>
      </w:pPr>
    </w:p>
    <w:sectPr w:rsidR="00D4373A" w:rsidRPr="00D4373A" w:rsidSect="00C0457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3BE0" w14:textId="77777777" w:rsidR="00D1582A" w:rsidRDefault="00D1582A" w:rsidP="00E45D1C">
      <w:pPr>
        <w:spacing w:after="0" w:line="240" w:lineRule="auto"/>
      </w:pPr>
      <w:r>
        <w:separator/>
      </w:r>
    </w:p>
  </w:endnote>
  <w:endnote w:type="continuationSeparator" w:id="0">
    <w:p w14:paraId="082E24B0" w14:textId="77777777" w:rsidR="00D1582A" w:rsidRDefault="00D1582A" w:rsidP="00E45D1C">
      <w:pPr>
        <w:spacing w:after="0" w:line="240" w:lineRule="auto"/>
      </w:pPr>
      <w:r>
        <w:continuationSeparator/>
      </w:r>
    </w:p>
  </w:endnote>
  <w:endnote w:type="continuationNotice" w:id="1">
    <w:p w14:paraId="1D81A419" w14:textId="77777777" w:rsidR="00D1582A" w:rsidRDefault="00D15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1777" w14:textId="77777777" w:rsidR="007E6620" w:rsidRDefault="007E6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2342" w14:textId="77777777" w:rsidR="007E6620" w:rsidRDefault="007E6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D957" w14:textId="77777777" w:rsidR="00D1582A" w:rsidRDefault="00D1582A" w:rsidP="00E45D1C">
      <w:pPr>
        <w:spacing w:after="0" w:line="240" w:lineRule="auto"/>
      </w:pPr>
      <w:r>
        <w:separator/>
      </w:r>
    </w:p>
  </w:footnote>
  <w:footnote w:type="continuationSeparator" w:id="0">
    <w:p w14:paraId="28663831" w14:textId="77777777" w:rsidR="00D1582A" w:rsidRDefault="00D1582A" w:rsidP="00E45D1C">
      <w:pPr>
        <w:spacing w:after="0" w:line="240" w:lineRule="auto"/>
      </w:pPr>
      <w:r>
        <w:continuationSeparator/>
      </w:r>
    </w:p>
  </w:footnote>
  <w:footnote w:type="continuationNotice" w:id="1">
    <w:p w14:paraId="685E0A1E" w14:textId="77777777" w:rsidR="00D1582A" w:rsidRDefault="00D1582A">
      <w:pPr>
        <w:spacing w:after="0" w:line="240" w:lineRule="auto"/>
      </w:pPr>
    </w:p>
  </w:footnote>
  <w:footnote w:id="2">
    <w:p w14:paraId="5B4E5834" w14:textId="77777777" w:rsidR="00D4373A" w:rsidRDefault="00D4373A" w:rsidP="00D4373A">
      <w:pPr>
        <w:pStyle w:val="FootnoteText"/>
      </w:pPr>
      <w:r>
        <w:rPr>
          <w:rStyle w:val="FootnoteReference"/>
          <w:rFonts w:ascii="Aptos" w:hAnsi="Aptos"/>
        </w:rPr>
        <w:t>[1]</w:t>
      </w:r>
      <w:r>
        <w:rPr>
          <w:rFonts w:ascii="Aptos" w:hAnsi="Aptos"/>
        </w:rPr>
        <w:t xml:space="preserve"> By comparison, Boston has 200,000 fewer residents but seven (7) EDs: MGH, BWH, BWFH, BIDMC, Tufts, BMC, </w:t>
      </w:r>
      <w:proofErr w:type="spellStart"/>
      <w:r>
        <w:rPr>
          <w:rFonts w:ascii="Aptos" w:hAnsi="Aptos"/>
        </w:rPr>
        <w:t>NeighborHealth</w:t>
      </w:r>
      <w:proofErr w:type="spellEnd"/>
      <w:r>
        <w:rPr>
          <w:rFonts w:ascii="Aptos" w:hAnsi="Aptos"/>
        </w:rPr>
        <w:t xml:space="preserve">. </w:t>
      </w:r>
    </w:p>
  </w:footnote>
  <w:footnote w:id="3">
    <w:p w14:paraId="1B3375DB" w14:textId="77777777" w:rsidR="00D4373A" w:rsidRDefault="00D4373A" w:rsidP="00D4373A">
      <w:pPr>
        <w:pStyle w:val="FootnoteText"/>
        <w:rPr>
          <w:rFonts w:ascii="Aptos" w:hAnsi="Aptos" w:cs="Aptos"/>
        </w:rPr>
      </w:pPr>
      <w:r>
        <w:rPr>
          <w:rStyle w:val="FootnoteReference"/>
        </w:rPr>
        <w:t>[1]</w:t>
      </w:r>
      <w:r>
        <w:t xml:space="preserve"> Not a licensed campus of UMMMC as of 11/24/2025.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704FCF9F"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7AA94967" w:rsidR="00856033" w:rsidRDefault="00B919FD" w:rsidP="00B371F2">
    <w:pPr>
      <w:pStyle w:val="Header"/>
      <w:jc w:val="center"/>
      <w:rPr>
        <w:b/>
        <w:bCs/>
        <w:sz w:val="28"/>
        <w:szCs w:val="28"/>
      </w:rPr>
    </w:pPr>
    <w:r>
      <w:rPr>
        <w:b/>
        <w:bCs/>
        <w:sz w:val="28"/>
        <w:szCs w:val="28"/>
      </w:rPr>
      <w:t>UMass Memorial Health Care, Inc.</w:t>
    </w:r>
  </w:p>
  <w:p w14:paraId="6B97828A" w14:textId="04E785D0" w:rsidR="00B919FD" w:rsidRPr="00092585" w:rsidRDefault="00B919FD" w:rsidP="00B371F2">
    <w:pPr>
      <w:pStyle w:val="Header"/>
      <w:jc w:val="center"/>
      <w:rPr>
        <w:b/>
        <w:bCs/>
        <w:sz w:val="28"/>
        <w:szCs w:val="28"/>
      </w:rPr>
    </w:pPr>
    <w:proofErr w:type="spellStart"/>
    <w:r>
      <w:rPr>
        <w:b/>
        <w:bCs/>
        <w:sz w:val="28"/>
        <w:szCs w:val="28"/>
      </w:rPr>
      <w:t>DoN</w:t>
    </w:r>
    <w:proofErr w:type="spellEnd"/>
    <w:r>
      <w:rPr>
        <w:b/>
        <w:bCs/>
        <w:sz w:val="28"/>
        <w:szCs w:val="28"/>
      </w:rPr>
      <w:t xml:space="preserve"> #</w:t>
    </w:r>
    <w:r w:rsidR="00785D8F">
      <w:rPr>
        <w:b/>
        <w:bCs/>
        <w:sz w:val="28"/>
        <w:szCs w:val="28"/>
      </w:rPr>
      <w:t>UMMH-25041715-AM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0E6A" w14:textId="77777777" w:rsidR="007E6620" w:rsidRDefault="007E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F11"/>
    <w:multiLevelType w:val="hybridMultilevel"/>
    <w:tmpl w:val="EF68F8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C64BC"/>
    <w:multiLevelType w:val="hybridMultilevel"/>
    <w:tmpl w:val="B18E43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54EC2"/>
    <w:multiLevelType w:val="hybridMultilevel"/>
    <w:tmpl w:val="63BEE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21566"/>
    <w:multiLevelType w:val="hybridMultilevel"/>
    <w:tmpl w:val="B18E4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2601F"/>
    <w:multiLevelType w:val="hybridMultilevel"/>
    <w:tmpl w:val="7722DF64"/>
    <w:lvl w:ilvl="0" w:tplc="B60C9EBC">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B816632"/>
    <w:multiLevelType w:val="hybridMultilevel"/>
    <w:tmpl w:val="AE2A2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6"/>
  </w:num>
  <w:num w:numId="2" w16cid:durableId="449669609">
    <w:abstractNumId w:val="7"/>
  </w:num>
  <w:num w:numId="3" w16cid:durableId="1632975170">
    <w:abstractNumId w:val="25"/>
  </w:num>
  <w:num w:numId="4" w16cid:durableId="1183977095">
    <w:abstractNumId w:val="34"/>
  </w:num>
  <w:num w:numId="5" w16cid:durableId="1230916997">
    <w:abstractNumId w:val="27"/>
  </w:num>
  <w:num w:numId="6" w16cid:durableId="464589505">
    <w:abstractNumId w:val="30"/>
  </w:num>
  <w:num w:numId="7" w16cid:durableId="9821510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3"/>
  </w:num>
  <w:num w:numId="9" w16cid:durableId="1477533355">
    <w:abstractNumId w:val="3"/>
  </w:num>
  <w:num w:numId="10" w16cid:durableId="1828202636">
    <w:abstractNumId w:val="13"/>
  </w:num>
  <w:num w:numId="11" w16cid:durableId="1769345806">
    <w:abstractNumId w:val="2"/>
  </w:num>
  <w:num w:numId="12" w16cid:durableId="1426415847">
    <w:abstractNumId w:val="24"/>
  </w:num>
  <w:num w:numId="13" w16cid:durableId="1549880134">
    <w:abstractNumId w:val="16"/>
  </w:num>
  <w:num w:numId="14" w16cid:durableId="2131704504">
    <w:abstractNumId w:val="20"/>
  </w:num>
  <w:num w:numId="15" w16cid:durableId="1853495620">
    <w:abstractNumId w:val="4"/>
  </w:num>
  <w:num w:numId="16" w16cid:durableId="941954089">
    <w:abstractNumId w:val="17"/>
  </w:num>
  <w:num w:numId="17" w16cid:durableId="1650279753">
    <w:abstractNumId w:val="11"/>
  </w:num>
  <w:num w:numId="18" w16cid:durableId="1988584985">
    <w:abstractNumId w:val="21"/>
  </w:num>
  <w:num w:numId="19" w16cid:durableId="535700289">
    <w:abstractNumId w:val="29"/>
  </w:num>
  <w:num w:numId="20" w16cid:durableId="461190725">
    <w:abstractNumId w:val="14"/>
  </w:num>
  <w:num w:numId="21" w16cid:durableId="1317417397">
    <w:abstractNumId w:val="6"/>
  </w:num>
  <w:num w:numId="22" w16cid:durableId="2038381733">
    <w:abstractNumId w:val="9"/>
  </w:num>
  <w:num w:numId="23" w16cid:durableId="1769961476">
    <w:abstractNumId w:val="6"/>
  </w:num>
  <w:num w:numId="24" w16cid:durableId="975526697">
    <w:abstractNumId w:val="12"/>
  </w:num>
  <w:num w:numId="25" w16cid:durableId="1724527157">
    <w:abstractNumId w:val="5"/>
  </w:num>
  <w:num w:numId="26" w16cid:durableId="1825075340">
    <w:abstractNumId w:val="8"/>
  </w:num>
  <w:num w:numId="27" w16cid:durableId="1062371025">
    <w:abstractNumId w:val="1"/>
  </w:num>
  <w:num w:numId="28" w16cid:durableId="319892756">
    <w:abstractNumId w:val="10"/>
  </w:num>
  <w:num w:numId="29" w16cid:durableId="1980500724">
    <w:abstractNumId w:val="28"/>
  </w:num>
  <w:num w:numId="30" w16cid:durableId="1571192574">
    <w:abstractNumId w:val="22"/>
  </w:num>
  <w:num w:numId="31" w16cid:durableId="1532645896">
    <w:abstractNumId w:val="18"/>
  </w:num>
  <w:num w:numId="32" w16cid:durableId="749039946">
    <w:abstractNumId w:val="32"/>
  </w:num>
  <w:num w:numId="33" w16cid:durableId="93868139">
    <w:abstractNumId w:val="19"/>
  </w:num>
  <w:num w:numId="34" w16cid:durableId="1494293154">
    <w:abstractNumId w:val="31"/>
  </w:num>
  <w:num w:numId="35" w16cid:durableId="1529295797">
    <w:abstractNumId w:val="15"/>
  </w:num>
  <w:num w:numId="36" w16cid:durableId="487865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8733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5616"/>
    <w:rsid w:val="00005F0C"/>
    <w:rsid w:val="00006750"/>
    <w:rsid w:val="000115B7"/>
    <w:rsid w:val="00011E91"/>
    <w:rsid w:val="000131C6"/>
    <w:rsid w:val="000137A8"/>
    <w:rsid w:val="00015AB6"/>
    <w:rsid w:val="0001602B"/>
    <w:rsid w:val="0001718E"/>
    <w:rsid w:val="000201A4"/>
    <w:rsid w:val="000204BD"/>
    <w:rsid w:val="00020571"/>
    <w:rsid w:val="00021E16"/>
    <w:rsid w:val="0002247D"/>
    <w:rsid w:val="00023287"/>
    <w:rsid w:val="0002367C"/>
    <w:rsid w:val="000246A5"/>
    <w:rsid w:val="00025270"/>
    <w:rsid w:val="00025D1B"/>
    <w:rsid w:val="00026890"/>
    <w:rsid w:val="000305E0"/>
    <w:rsid w:val="00030EF5"/>
    <w:rsid w:val="00033CB3"/>
    <w:rsid w:val="000346AD"/>
    <w:rsid w:val="00034D04"/>
    <w:rsid w:val="00037DBC"/>
    <w:rsid w:val="00042007"/>
    <w:rsid w:val="0004417D"/>
    <w:rsid w:val="000441F8"/>
    <w:rsid w:val="00045AA2"/>
    <w:rsid w:val="000471D4"/>
    <w:rsid w:val="00047E6B"/>
    <w:rsid w:val="0005118D"/>
    <w:rsid w:val="00052ED4"/>
    <w:rsid w:val="00055D9B"/>
    <w:rsid w:val="00057914"/>
    <w:rsid w:val="00057BAA"/>
    <w:rsid w:val="00060F24"/>
    <w:rsid w:val="00062F8C"/>
    <w:rsid w:val="00062FC0"/>
    <w:rsid w:val="000631D6"/>
    <w:rsid w:val="00064CD2"/>
    <w:rsid w:val="000653EF"/>
    <w:rsid w:val="00065A3D"/>
    <w:rsid w:val="000703C3"/>
    <w:rsid w:val="00071A62"/>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33BD"/>
    <w:rsid w:val="000A3493"/>
    <w:rsid w:val="000A4B26"/>
    <w:rsid w:val="000A4C12"/>
    <w:rsid w:val="000A6E13"/>
    <w:rsid w:val="000A7C7B"/>
    <w:rsid w:val="000B205E"/>
    <w:rsid w:val="000B29A3"/>
    <w:rsid w:val="000B33AC"/>
    <w:rsid w:val="000B4C1D"/>
    <w:rsid w:val="000B753F"/>
    <w:rsid w:val="000C0238"/>
    <w:rsid w:val="000C0FF4"/>
    <w:rsid w:val="000C3B64"/>
    <w:rsid w:val="000C4F63"/>
    <w:rsid w:val="000C7403"/>
    <w:rsid w:val="000D568B"/>
    <w:rsid w:val="000E1A2B"/>
    <w:rsid w:val="000E3F88"/>
    <w:rsid w:val="000E7B9E"/>
    <w:rsid w:val="000E7BB1"/>
    <w:rsid w:val="000F0F66"/>
    <w:rsid w:val="000F1308"/>
    <w:rsid w:val="000F4352"/>
    <w:rsid w:val="000F76B5"/>
    <w:rsid w:val="00101DAD"/>
    <w:rsid w:val="001036A2"/>
    <w:rsid w:val="00104021"/>
    <w:rsid w:val="00106F8B"/>
    <w:rsid w:val="00107578"/>
    <w:rsid w:val="001112C0"/>
    <w:rsid w:val="0011132B"/>
    <w:rsid w:val="001119A9"/>
    <w:rsid w:val="00114641"/>
    <w:rsid w:val="001147F0"/>
    <w:rsid w:val="00117D7A"/>
    <w:rsid w:val="00120B70"/>
    <w:rsid w:val="0012138E"/>
    <w:rsid w:val="001215CE"/>
    <w:rsid w:val="00121E3F"/>
    <w:rsid w:val="00122AC1"/>
    <w:rsid w:val="00124E01"/>
    <w:rsid w:val="00125E2B"/>
    <w:rsid w:val="00130034"/>
    <w:rsid w:val="00131E01"/>
    <w:rsid w:val="001321E8"/>
    <w:rsid w:val="001348C0"/>
    <w:rsid w:val="00137228"/>
    <w:rsid w:val="001418CE"/>
    <w:rsid w:val="0014285D"/>
    <w:rsid w:val="001439D9"/>
    <w:rsid w:val="00144AAB"/>
    <w:rsid w:val="0014570F"/>
    <w:rsid w:val="001470B4"/>
    <w:rsid w:val="00150334"/>
    <w:rsid w:val="001514FF"/>
    <w:rsid w:val="001526EC"/>
    <w:rsid w:val="00152B76"/>
    <w:rsid w:val="001542DA"/>
    <w:rsid w:val="00154DFC"/>
    <w:rsid w:val="001561A4"/>
    <w:rsid w:val="00157D38"/>
    <w:rsid w:val="00161633"/>
    <w:rsid w:val="00163C19"/>
    <w:rsid w:val="001649EA"/>
    <w:rsid w:val="00164C8A"/>
    <w:rsid w:val="0016653F"/>
    <w:rsid w:val="001665EA"/>
    <w:rsid w:val="00170092"/>
    <w:rsid w:val="00170BF0"/>
    <w:rsid w:val="00172258"/>
    <w:rsid w:val="001745F4"/>
    <w:rsid w:val="00175714"/>
    <w:rsid w:val="00183328"/>
    <w:rsid w:val="001840D3"/>
    <w:rsid w:val="0018422C"/>
    <w:rsid w:val="00185E42"/>
    <w:rsid w:val="00187159"/>
    <w:rsid w:val="001873ED"/>
    <w:rsid w:val="001912C7"/>
    <w:rsid w:val="00193038"/>
    <w:rsid w:val="001930B8"/>
    <w:rsid w:val="00193B1B"/>
    <w:rsid w:val="0019409A"/>
    <w:rsid w:val="0019518B"/>
    <w:rsid w:val="0019751B"/>
    <w:rsid w:val="0019763E"/>
    <w:rsid w:val="001A0238"/>
    <w:rsid w:val="001A027B"/>
    <w:rsid w:val="001A32EA"/>
    <w:rsid w:val="001A338F"/>
    <w:rsid w:val="001A7EAF"/>
    <w:rsid w:val="001B28D2"/>
    <w:rsid w:val="001B4571"/>
    <w:rsid w:val="001B4A5C"/>
    <w:rsid w:val="001B4F20"/>
    <w:rsid w:val="001B524B"/>
    <w:rsid w:val="001C05B6"/>
    <w:rsid w:val="001C1E73"/>
    <w:rsid w:val="001C4126"/>
    <w:rsid w:val="001C4B4A"/>
    <w:rsid w:val="001C58CB"/>
    <w:rsid w:val="001C5A2D"/>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3843"/>
    <w:rsid w:val="001F798F"/>
    <w:rsid w:val="00200E76"/>
    <w:rsid w:val="0020210C"/>
    <w:rsid w:val="002027F9"/>
    <w:rsid w:val="00203870"/>
    <w:rsid w:val="002059BD"/>
    <w:rsid w:val="002059E0"/>
    <w:rsid w:val="00207205"/>
    <w:rsid w:val="002076B6"/>
    <w:rsid w:val="00210EBE"/>
    <w:rsid w:val="0021156F"/>
    <w:rsid w:val="00215F63"/>
    <w:rsid w:val="0021638A"/>
    <w:rsid w:val="00216515"/>
    <w:rsid w:val="002179EC"/>
    <w:rsid w:val="00220612"/>
    <w:rsid w:val="00220874"/>
    <w:rsid w:val="002215BB"/>
    <w:rsid w:val="00221DD3"/>
    <w:rsid w:val="00223DF3"/>
    <w:rsid w:val="0022759C"/>
    <w:rsid w:val="0023173B"/>
    <w:rsid w:val="002318C5"/>
    <w:rsid w:val="00234610"/>
    <w:rsid w:val="0023702D"/>
    <w:rsid w:val="00237494"/>
    <w:rsid w:val="00237D71"/>
    <w:rsid w:val="00245ECA"/>
    <w:rsid w:val="002468A2"/>
    <w:rsid w:val="00247513"/>
    <w:rsid w:val="00250A27"/>
    <w:rsid w:val="00251C67"/>
    <w:rsid w:val="002538FB"/>
    <w:rsid w:val="00253A90"/>
    <w:rsid w:val="002549E8"/>
    <w:rsid w:val="0025668D"/>
    <w:rsid w:val="00257E6B"/>
    <w:rsid w:val="002600A8"/>
    <w:rsid w:val="0026167E"/>
    <w:rsid w:val="0026193A"/>
    <w:rsid w:val="00264904"/>
    <w:rsid w:val="002652EE"/>
    <w:rsid w:val="00267062"/>
    <w:rsid w:val="002711C8"/>
    <w:rsid w:val="00272D23"/>
    <w:rsid w:val="00275FF8"/>
    <w:rsid w:val="0028035A"/>
    <w:rsid w:val="0028203A"/>
    <w:rsid w:val="00282E35"/>
    <w:rsid w:val="002842EA"/>
    <w:rsid w:val="00290185"/>
    <w:rsid w:val="00291B41"/>
    <w:rsid w:val="0029201E"/>
    <w:rsid w:val="0029547F"/>
    <w:rsid w:val="002957A3"/>
    <w:rsid w:val="0029685E"/>
    <w:rsid w:val="00296A97"/>
    <w:rsid w:val="002A1CEE"/>
    <w:rsid w:val="002A37E2"/>
    <w:rsid w:val="002A3B81"/>
    <w:rsid w:val="002A48E5"/>
    <w:rsid w:val="002A49B1"/>
    <w:rsid w:val="002A554F"/>
    <w:rsid w:val="002A7141"/>
    <w:rsid w:val="002B0B0C"/>
    <w:rsid w:val="002B20FF"/>
    <w:rsid w:val="002B4626"/>
    <w:rsid w:val="002B79D0"/>
    <w:rsid w:val="002C0853"/>
    <w:rsid w:val="002C0F9E"/>
    <w:rsid w:val="002C2587"/>
    <w:rsid w:val="002C4CDD"/>
    <w:rsid w:val="002C6757"/>
    <w:rsid w:val="002D05D8"/>
    <w:rsid w:val="002D3A78"/>
    <w:rsid w:val="002D3C8E"/>
    <w:rsid w:val="002D40AC"/>
    <w:rsid w:val="002D7BFC"/>
    <w:rsid w:val="002E1DF0"/>
    <w:rsid w:val="002E2029"/>
    <w:rsid w:val="002E3601"/>
    <w:rsid w:val="002F04D1"/>
    <w:rsid w:val="002F1A9F"/>
    <w:rsid w:val="002F40F6"/>
    <w:rsid w:val="002F4542"/>
    <w:rsid w:val="002F4573"/>
    <w:rsid w:val="002F4F3C"/>
    <w:rsid w:val="002F5E31"/>
    <w:rsid w:val="002F6465"/>
    <w:rsid w:val="003054CD"/>
    <w:rsid w:val="00305770"/>
    <w:rsid w:val="003065B2"/>
    <w:rsid w:val="00306967"/>
    <w:rsid w:val="00307565"/>
    <w:rsid w:val="00311F78"/>
    <w:rsid w:val="00312975"/>
    <w:rsid w:val="0031310D"/>
    <w:rsid w:val="00313D95"/>
    <w:rsid w:val="00313E62"/>
    <w:rsid w:val="0031511B"/>
    <w:rsid w:val="00316EC3"/>
    <w:rsid w:val="00317099"/>
    <w:rsid w:val="003237E9"/>
    <w:rsid w:val="003250DC"/>
    <w:rsid w:val="00330446"/>
    <w:rsid w:val="00332060"/>
    <w:rsid w:val="0033289B"/>
    <w:rsid w:val="00334ACA"/>
    <w:rsid w:val="0033773E"/>
    <w:rsid w:val="0034188E"/>
    <w:rsid w:val="00342413"/>
    <w:rsid w:val="003435C8"/>
    <w:rsid w:val="003538AF"/>
    <w:rsid w:val="00360E9D"/>
    <w:rsid w:val="0036169E"/>
    <w:rsid w:val="003662A0"/>
    <w:rsid w:val="003671CE"/>
    <w:rsid w:val="00372069"/>
    <w:rsid w:val="003724CF"/>
    <w:rsid w:val="00372914"/>
    <w:rsid w:val="0037508A"/>
    <w:rsid w:val="0037562D"/>
    <w:rsid w:val="003802D2"/>
    <w:rsid w:val="00381C32"/>
    <w:rsid w:val="003842C5"/>
    <w:rsid w:val="00384EA4"/>
    <w:rsid w:val="00386473"/>
    <w:rsid w:val="003872A8"/>
    <w:rsid w:val="003878E1"/>
    <w:rsid w:val="00387BB6"/>
    <w:rsid w:val="003949CE"/>
    <w:rsid w:val="003A0FFD"/>
    <w:rsid w:val="003A1DF2"/>
    <w:rsid w:val="003A1F93"/>
    <w:rsid w:val="003A2DC1"/>
    <w:rsid w:val="003A39A4"/>
    <w:rsid w:val="003A42C0"/>
    <w:rsid w:val="003A5DE9"/>
    <w:rsid w:val="003A5F00"/>
    <w:rsid w:val="003A62B4"/>
    <w:rsid w:val="003A6733"/>
    <w:rsid w:val="003B0E66"/>
    <w:rsid w:val="003B18EA"/>
    <w:rsid w:val="003B22DA"/>
    <w:rsid w:val="003B472F"/>
    <w:rsid w:val="003B4A51"/>
    <w:rsid w:val="003C64F4"/>
    <w:rsid w:val="003C771E"/>
    <w:rsid w:val="003D057A"/>
    <w:rsid w:val="003D0850"/>
    <w:rsid w:val="003D2987"/>
    <w:rsid w:val="003D49A8"/>
    <w:rsid w:val="003D56C4"/>
    <w:rsid w:val="003D6D46"/>
    <w:rsid w:val="003D78E0"/>
    <w:rsid w:val="003E1923"/>
    <w:rsid w:val="003E29F6"/>
    <w:rsid w:val="003E561D"/>
    <w:rsid w:val="003E5DAD"/>
    <w:rsid w:val="003E77B9"/>
    <w:rsid w:val="003F052A"/>
    <w:rsid w:val="003F1469"/>
    <w:rsid w:val="003F2940"/>
    <w:rsid w:val="003F3FD9"/>
    <w:rsid w:val="003F4CB2"/>
    <w:rsid w:val="003F5831"/>
    <w:rsid w:val="003F722F"/>
    <w:rsid w:val="00400B33"/>
    <w:rsid w:val="00404016"/>
    <w:rsid w:val="00405764"/>
    <w:rsid w:val="0040735A"/>
    <w:rsid w:val="00407A93"/>
    <w:rsid w:val="004111B0"/>
    <w:rsid w:val="00411981"/>
    <w:rsid w:val="004123DB"/>
    <w:rsid w:val="00412848"/>
    <w:rsid w:val="00412E37"/>
    <w:rsid w:val="00414582"/>
    <w:rsid w:val="00414903"/>
    <w:rsid w:val="00416671"/>
    <w:rsid w:val="00416A5C"/>
    <w:rsid w:val="004171A9"/>
    <w:rsid w:val="00420EE4"/>
    <w:rsid w:val="004216D3"/>
    <w:rsid w:val="00422B3E"/>
    <w:rsid w:val="0042381E"/>
    <w:rsid w:val="00424237"/>
    <w:rsid w:val="004309CD"/>
    <w:rsid w:val="00430D4A"/>
    <w:rsid w:val="00431FF9"/>
    <w:rsid w:val="00432AEC"/>
    <w:rsid w:val="004340C2"/>
    <w:rsid w:val="00434DC2"/>
    <w:rsid w:val="00435442"/>
    <w:rsid w:val="00435C52"/>
    <w:rsid w:val="004367E9"/>
    <w:rsid w:val="004372D5"/>
    <w:rsid w:val="00437907"/>
    <w:rsid w:val="004400A0"/>
    <w:rsid w:val="00441B9C"/>
    <w:rsid w:val="00442E58"/>
    <w:rsid w:val="00444549"/>
    <w:rsid w:val="00445E00"/>
    <w:rsid w:val="00446451"/>
    <w:rsid w:val="004464D7"/>
    <w:rsid w:val="004465AF"/>
    <w:rsid w:val="00452A64"/>
    <w:rsid w:val="00453A6F"/>
    <w:rsid w:val="00454856"/>
    <w:rsid w:val="0045541D"/>
    <w:rsid w:val="00457ABD"/>
    <w:rsid w:val="00460508"/>
    <w:rsid w:val="004605D8"/>
    <w:rsid w:val="00460A29"/>
    <w:rsid w:val="00467022"/>
    <w:rsid w:val="0047061C"/>
    <w:rsid w:val="00471E4D"/>
    <w:rsid w:val="004722DA"/>
    <w:rsid w:val="0047239E"/>
    <w:rsid w:val="00472621"/>
    <w:rsid w:val="00472998"/>
    <w:rsid w:val="0047404C"/>
    <w:rsid w:val="00482A3A"/>
    <w:rsid w:val="004859DC"/>
    <w:rsid w:val="00487F71"/>
    <w:rsid w:val="00491C09"/>
    <w:rsid w:val="00492CE8"/>
    <w:rsid w:val="004938AD"/>
    <w:rsid w:val="0049644D"/>
    <w:rsid w:val="004A206E"/>
    <w:rsid w:val="004A3DDB"/>
    <w:rsid w:val="004A6DA9"/>
    <w:rsid w:val="004A6DDB"/>
    <w:rsid w:val="004A743E"/>
    <w:rsid w:val="004A76F7"/>
    <w:rsid w:val="004A7AC3"/>
    <w:rsid w:val="004A7CF2"/>
    <w:rsid w:val="004B35D9"/>
    <w:rsid w:val="004B4C63"/>
    <w:rsid w:val="004B53ED"/>
    <w:rsid w:val="004B5D2E"/>
    <w:rsid w:val="004B616C"/>
    <w:rsid w:val="004C19E2"/>
    <w:rsid w:val="004C1C99"/>
    <w:rsid w:val="004C3E58"/>
    <w:rsid w:val="004C40EF"/>
    <w:rsid w:val="004C4F68"/>
    <w:rsid w:val="004C5FF3"/>
    <w:rsid w:val="004C6954"/>
    <w:rsid w:val="004D4F2A"/>
    <w:rsid w:val="004D5803"/>
    <w:rsid w:val="004D597E"/>
    <w:rsid w:val="004E0B9F"/>
    <w:rsid w:val="004E0F87"/>
    <w:rsid w:val="004E2285"/>
    <w:rsid w:val="004E3CEE"/>
    <w:rsid w:val="004E4515"/>
    <w:rsid w:val="004E4580"/>
    <w:rsid w:val="004E5C9E"/>
    <w:rsid w:val="004E6F4B"/>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4EE4"/>
    <w:rsid w:val="0050594A"/>
    <w:rsid w:val="005125ED"/>
    <w:rsid w:val="005142B5"/>
    <w:rsid w:val="005162D4"/>
    <w:rsid w:val="00516E5B"/>
    <w:rsid w:val="00521A21"/>
    <w:rsid w:val="00522EFA"/>
    <w:rsid w:val="005239F1"/>
    <w:rsid w:val="00530092"/>
    <w:rsid w:val="005312D6"/>
    <w:rsid w:val="005320CC"/>
    <w:rsid w:val="00533467"/>
    <w:rsid w:val="005335A2"/>
    <w:rsid w:val="00533F7E"/>
    <w:rsid w:val="005365BC"/>
    <w:rsid w:val="00540B34"/>
    <w:rsid w:val="00545E14"/>
    <w:rsid w:val="005462CF"/>
    <w:rsid w:val="00547298"/>
    <w:rsid w:val="00547C33"/>
    <w:rsid w:val="00550CD0"/>
    <w:rsid w:val="00551EFD"/>
    <w:rsid w:val="0055317A"/>
    <w:rsid w:val="00556043"/>
    <w:rsid w:val="005565A0"/>
    <w:rsid w:val="00562B15"/>
    <w:rsid w:val="00563A52"/>
    <w:rsid w:val="00565661"/>
    <w:rsid w:val="005660A2"/>
    <w:rsid w:val="00566392"/>
    <w:rsid w:val="005672AD"/>
    <w:rsid w:val="00567E03"/>
    <w:rsid w:val="00567EAE"/>
    <w:rsid w:val="00571DB5"/>
    <w:rsid w:val="005723FC"/>
    <w:rsid w:val="005756F8"/>
    <w:rsid w:val="0057795A"/>
    <w:rsid w:val="00580403"/>
    <w:rsid w:val="0058133A"/>
    <w:rsid w:val="00592633"/>
    <w:rsid w:val="00593BD5"/>
    <w:rsid w:val="00593D09"/>
    <w:rsid w:val="00595DC3"/>
    <w:rsid w:val="00596B62"/>
    <w:rsid w:val="00597C1C"/>
    <w:rsid w:val="005A09EA"/>
    <w:rsid w:val="005A1574"/>
    <w:rsid w:val="005A2195"/>
    <w:rsid w:val="005A5B88"/>
    <w:rsid w:val="005A67B9"/>
    <w:rsid w:val="005B2002"/>
    <w:rsid w:val="005B3EED"/>
    <w:rsid w:val="005B41AC"/>
    <w:rsid w:val="005B5F2F"/>
    <w:rsid w:val="005C0AF5"/>
    <w:rsid w:val="005C13BE"/>
    <w:rsid w:val="005C2092"/>
    <w:rsid w:val="005C2AE2"/>
    <w:rsid w:val="005C361E"/>
    <w:rsid w:val="005C415C"/>
    <w:rsid w:val="005C4EA9"/>
    <w:rsid w:val="005C50BA"/>
    <w:rsid w:val="005C558E"/>
    <w:rsid w:val="005C577D"/>
    <w:rsid w:val="005C6635"/>
    <w:rsid w:val="005C712B"/>
    <w:rsid w:val="005C772F"/>
    <w:rsid w:val="005D0ED5"/>
    <w:rsid w:val="005D1437"/>
    <w:rsid w:val="005D3014"/>
    <w:rsid w:val="005D36FE"/>
    <w:rsid w:val="005D6560"/>
    <w:rsid w:val="005D6895"/>
    <w:rsid w:val="005D7AC8"/>
    <w:rsid w:val="005E09F9"/>
    <w:rsid w:val="005E1E6E"/>
    <w:rsid w:val="005E2B35"/>
    <w:rsid w:val="005E2DD7"/>
    <w:rsid w:val="005E3294"/>
    <w:rsid w:val="005E5080"/>
    <w:rsid w:val="005E5577"/>
    <w:rsid w:val="005E784A"/>
    <w:rsid w:val="005F1E17"/>
    <w:rsid w:val="005F2CC0"/>
    <w:rsid w:val="005F3A24"/>
    <w:rsid w:val="005F3ECC"/>
    <w:rsid w:val="005F48D7"/>
    <w:rsid w:val="0060093A"/>
    <w:rsid w:val="00601540"/>
    <w:rsid w:val="00604B74"/>
    <w:rsid w:val="00606EE8"/>
    <w:rsid w:val="0060745D"/>
    <w:rsid w:val="00610861"/>
    <w:rsid w:val="00611A51"/>
    <w:rsid w:val="006124F9"/>
    <w:rsid w:val="00613CDD"/>
    <w:rsid w:val="0061472D"/>
    <w:rsid w:val="006155C9"/>
    <w:rsid w:val="006174A7"/>
    <w:rsid w:val="00620026"/>
    <w:rsid w:val="006203C9"/>
    <w:rsid w:val="00620EB6"/>
    <w:rsid w:val="00622380"/>
    <w:rsid w:val="006231EE"/>
    <w:rsid w:val="00626439"/>
    <w:rsid w:val="00627715"/>
    <w:rsid w:val="00631B65"/>
    <w:rsid w:val="006345D0"/>
    <w:rsid w:val="00637B05"/>
    <w:rsid w:val="00640A45"/>
    <w:rsid w:val="006414D7"/>
    <w:rsid w:val="006414FA"/>
    <w:rsid w:val="0064412C"/>
    <w:rsid w:val="006459D2"/>
    <w:rsid w:val="00645A9F"/>
    <w:rsid w:val="0064691A"/>
    <w:rsid w:val="0064794B"/>
    <w:rsid w:val="006515CF"/>
    <w:rsid w:val="00651B37"/>
    <w:rsid w:val="00651E60"/>
    <w:rsid w:val="00656842"/>
    <w:rsid w:val="006570E4"/>
    <w:rsid w:val="00665920"/>
    <w:rsid w:val="0066604A"/>
    <w:rsid w:val="0066746F"/>
    <w:rsid w:val="00671633"/>
    <w:rsid w:val="00671A4C"/>
    <w:rsid w:val="00676C6C"/>
    <w:rsid w:val="006778EA"/>
    <w:rsid w:val="006813D8"/>
    <w:rsid w:val="00682421"/>
    <w:rsid w:val="006832D4"/>
    <w:rsid w:val="00685792"/>
    <w:rsid w:val="006878B8"/>
    <w:rsid w:val="0068795C"/>
    <w:rsid w:val="00687DF5"/>
    <w:rsid w:val="006900CC"/>
    <w:rsid w:val="006911C3"/>
    <w:rsid w:val="0069769C"/>
    <w:rsid w:val="006979BE"/>
    <w:rsid w:val="006A0B44"/>
    <w:rsid w:val="006A0E12"/>
    <w:rsid w:val="006A15F2"/>
    <w:rsid w:val="006A2082"/>
    <w:rsid w:val="006A2C18"/>
    <w:rsid w:val="006A4298"/>
    <w:rsid w:val="006A6169"/>
    <w:rsid w:val="006A6499"/>
    <w:rsid w:val="006A680C"/>
    <w:rsid w:val="006B063E"/>
    <w:rsid w:val="006B28E2"/>
    <w:rsid w:val="006B7D5A"/>
    <w:rsid w:val="006C18E2"/>
    <w:rsid w:val="006C1C43"/>
    <w:rsid w:val="006C427A"/>
    <w:rsid w:val="006C44F3"/>
    <w:rsid w:val="006C5DC0"/>
    <w:rsid w:val="006C6604"/>
    <w:rsid w:val="006C6F27"/>
    <w:rsid w:val="006D06AC"/>
    <w:rsid w:val="006D2806"/>
    <w:rsid w:val="006D5FA5"/>
    <w:rsid w:val="006D61EB"/>
    <w:rsid w:val="006D67BA"/>
    <w:rsid w:val="006D67C1"/>
    <w:rsid w:val="006D6EFC"/>
    <w:rsid w:val="006D7B04"/>
    <w:rsid w:val="006E307F"/>
    <w:rsid w:val="006E49A5"/>
    <w:rsid w:val="006F0FDE"/>
    <w:rsid w:val="006F272F"/>
    <w:rsid w:val="006F508A"/>
    <w:rsid w:val="00700759"/>
    <w:rsid w:val="00702AC9"/>
    <w:rsid w:val="00702D67"/>
    <w:rsid w:val="0070429A"/>
    <w:rsid w:val="00704AF2"/>
    <w:rsid w:val="00705F72"/>
    <w:rsid w:val="007073E9"/>
    <w:rsid w:val="007077C0"/>
    <w:rsid w:val="00710539"/>
    <w:rsid w:val="007111FF"/>
    <w:rsid w:val="007117A4"/>
    <w:rsid w:val="0071227F"/>
    <w:rsid w:val="00714363"/>
    <w:rsid w:val="0071442D"/>
    <w:rsid w:val="00714CFF"/>
    <w:rsid w:val="007163BC"/>
    <w:rsid w:val="007204F8"/>
    <w:rsid w:val="007214CD"/>
    <w:rsid w:val="0072181F"/>
    <w:rsid w:val="00722009"/>
    <w:rsid w:val="0072258B"/>
    <w:rsid w:val="007227E7"/>
    <w:rsid w:val="007231BB"/>
    <w:rsid w:val="00723C74"/>
    <w:rsid w:val="007245D3"/>
    <w:rsid w:val="007312C2"/>
    <w:rsid w:val="0073551C"/>
    <w:rsid w:val="007370BC"/>
    <w:rsid w:val="0073766B"/>
    <w:rsid w:val="00742C46"/>
    <w:rsid w:val="00743517"/>
    <w:rsid w:val="007469D8"/>
    <w:rsid w:val="007503CE"/>
    <w:rsid w:val="00752C1B"/>
    <w:rsid w:val="007531A0"/>
    <w:rsid w:val="00754A13"/>
    <w:rsid w:val="007629DA"/>
    <w:rsid w:val="00762C24"/>
    <w:rsid w:val="007641EC"/>
    <w:rsid w:val="0076651E"/>
    <w:rsid w:val="00766B15"/>
    <w:rsid w:val="00767DB8"/>
    <w:rsid w:val="007700F7"/>
    <w:rsid w:val="00770D89"/>
    <w:rsid w:val="00770ECE"/>
    <w:rsid w:val="007741F5"/>
    <w:rsid w:val="00774549"/>
    <w:rsid w:val="00777966"/>
    <w:rsid w:val="00777B86"/>
    <w:rsid w:val="007808E9"/>
    <w:rsid w:val="00781702"/>
    <w:rsid w:val="00782D74"/>
    <w:rsid w:val="00785D8F"/>
    <w:rsid w:val="00786222"/>
    <w:rsid w:val="0078781C"/>
    <w:rsid w:val="00790371"/>
    <w:rsid w:val="00791931"/>
    <w:rsid w:val="00791D0F"/>
    <w:rsid w:val="00792DFA"/>
    <w:rsid w:val="007933C8"/>
    <w:rsid w:val="00793566"/>
    <w:rsid w:val="00796150"/>
    <w:rsid w:val="007A1963"/>
    <w:rsid w:val="007A19B2"/>
    <w:rsid w:val="007A5843"/>
    <w:rsid w:val="007A6756"/>
    <w:rsid w:val="007B1AF4"/>
    <w:rsid w:val="007B48AC"/>
    <w:rsid w:val="007B7107"/>
    <w:rsid w:val="007C1208"/>
    <w:rsid w:val="007C1CAE"/>
    <w:rsid w:val="007C2A52"/>
    <w:rsid w:val="007C3082"/>
    <w:rsid w:val="007C31A5"/>
    <w:rsid w:val="007C392B"/>
    <w:rsid w:val="007C4499"/>
    <w:rsid w:val="007C7AEE"/>
    <w:rsid w:val="007D0C4C"/>
    <w:rsid w:val="007D0F53"/>
    <w:rsid w:val="007D14E2"/>
    <w:rsid w:val="007D1DE6"/>
    <w:rsid w:val="007D309E"/>
    <w:rsid w:val="007D399B"/>
    <w:rsid w:val="007D4FB8"/>
    <w:rsid w:val="007D6F84"/>
    <w:rsid w:val="007D716F"/>
    <w:rsid w:val="007E03DC"/>
    <w:rsid w:val="007E515A"/>
    <w:rsid w:val="007E6620"/>
    <w:rsid w:val="007F18F5"/>
    <w:rsid w:val="007F25A0"/>
    <w:rsid w:val="007F539B"/>
    <w:rsid w:val="007F5758"/>
    <w:rsid w:val="007F7113"/>
    <w:rsid w:val="00800525"/>
    <w:rsid w:val="00805000"/>
    <w:rsid w:val="00806316"/>
    <w:rsid w:val="00806DF2"/>
    <w:rsid w:val="008124E0"/>
    <w:rsid w:val="00814BA2"/>
    <w:rsid w:val="00816BF8"/>
    <w:rsid w:val="0081758A"/>
    <w:rsid w:val="00817A7B"/>
    <w:rsid w:val="00820E1A"/>
    <w:rsid w:val="008233CC"/>
    <w:rsid w:val="008249B3"/>
    <w:rsid w:val="00826C1D"/>
    <w:rsid w:val="00831E02"/>
    <w:rsid w:val="00832477"/>
    <w:rsid w:val="008325CF"/>
    <w:rsid w:val="00832690"/>
    <w:rsid w:val="008343FE"/>
    <w:rsid w:val="0084044F"/>
    <w:rsid w:val="00840505"/>
    <w:rsid w:val="008411DB"/>
    <w:rsid w:val="00842A12"/>
    <w:rsid w:val="008432A0"/>
    <w:rsid w:val="008441D2"/>
    <w:rsid w:val="00844887"/>
    <w:rsid w:val="00853808"/>
    <w:rsid w:val="008547AC"/>
    <w:rsid w:val="008558AA"/>
    <w:rsid w:val="00856033"/>
    <w:rsid w:val="00856C65"/>
    <w:rsid w:val="008628D0"/>
    <w:rsid w:val="008636E7"/>
    <w:rsid w:val="00863DED"/>
    <w:rsid w:val="00865A56"/>
    <w:rsid w:val="0087054F"/>
    <w:rsid w:val="00870B9C"/>
    <w:rsid w:val="00872985"/>
    <w:rsid w:val="00872E44"/>
    <w:rsid w:val="0087532E"/>
    <w:rsid w:val="008764FF"/>
    <w:rsid w:val="00876B13"/>
    <w:rsid w:val="00880B05"/>
    <w:rsid w:val="008816DE"/>
    <w:rsid w:val="00883FB0"/>
    <w:rsid w:val="00884889"/>
    <w:rsid w:val="0088529C"/>
    <w:rsid w:val="008858B5"/>
    <w:rsid w:val="0088594F"/>
    <w:rsid w:val="00890411"/>
    <w:rsid w:val="00890C58"/>
    <w:rsid w:val="008A4AAE"/>
    <w:rsid w:val="008A4D39"/>
    <w:rsid w:val="008A5D59"/>
    <w:rsid w:val="008A6940"/>
    <w:rsid w:val="008B0020"/>
    <w:rsid w:val="008B02DF"/>
    <w:rsid w:val="008B19DE"/>
    <w:rsid w:val="008B4A42"/>
    <w:rsid w:val="008B762F"/>
    <w:rsid w:val="008C13D3"/>
    <w:rsid w:val="008C1BC1"/>
    <w:rsid w:val="008C1D6D"/>
    <w:rsid w:val="008C48B4"/>
    <w:rsid w:val="008C4A85"/>
    <w:rsid w:val="008C6549"/>
    <w:rsid w:val="008C6C83"/>
    <w:rsid w:val="008C7624"/>
    <w:rsid w:val="008D4DCA"/>
    <w:rsid w:val="008D648C"/>
    <w:rsid w:val="008E63C4"/>
    <w:rsid w:val="008E6545"/>
    <w:rsid w:val="008F1E32"/>
    <w:rsid w:val="008F1EB6"/>
    <w:rsid w:val="008F4EC3"/>
    <w:rsid w:val="008F5195"/>
    <w:rsid w:val="008F5A1B"/>
    <w:rsid w:val="008F6DF2"/>
    <w:rsid w:val="0090315D"/>
    <w:rsid w:val="00903338"/>
    <w:rsid w:val="0090431E"/>
    <w:rsid w:val="0090483D"/>
    <w:rsid w:val="009050B0"/>
    <w:rsid w:val="009070E4"/>
    <w:rsid w:val="00910CA6"/>
    <w:rsid w:val="00914623"/>
    <w:rsid w:val="00917ED9"/>
    <w:rsid w:val="009235C2"/>
    <w:rsid w:val="00924725"/>
    <w:rsid w:val="00925EA0"/>
    <w:rsid w:val="00926EC5"/>
    <w:rsid w:val="009317C0"/>
    <w:rsid w:val="00931F5D"/>
    <w:rsid w:val="00932435"/>
    <w:rsid w:val="0093360D"/>
    <w:rsid w:val="00935A39"/>
    <w:rsid w:val="00935F5B"/>
    <w:rsid w:val="00942A8A"/>
    <w:rsid w:val="00945170"/>
    <w:rsid w:val="00950571"/>
    <w:rsid w:val="00950B02"/>
    <w:rsid w:val="0095274A"/>
    <w:rsid w:val="00953121"/>
    <w:rsid w:val="009565C2"/>
    <w:rsid w:val="00956827"/>
    <w:rsid w:val="00956A3F"/>
    <w:rsid w:val="00957375"/>
    <w:rsid w:val="0096109A"/>
    <w:rsid w:val="0096311F"/>
    <w:rsid w:val="009648F0"/>
    <w:rsid w:val="00964F5E"/>
    <w:rsid w:val="00964F91"/>
    <w:rsid w:val="00965110"/>
    <w:rsid w:val="0096675D"/>
    <w:rsid w:val="00967B5B"/>
    <w:rsid w:val="00971489"/>
    <w:rsid w:val="009717FD"/>
    <w:rsid w:val="00972FFF"/>
    <w:rsid w:val="009748E0"/>
    <w:rsid w:val="00975185"/>
    <w:rsid w:val="0097558A"/>
    <w:rsid w:val="009764DF"/>
    <w:rsid w:val="00985C39"/>
    <w:rsid w:val="00986721"/>
    <w:rsid w:val="00987943"/>
    <w:rsid w:val="00991C78"/>
    <w:rsid w:val="009925F8"/>
    <w:rsid w:val="00992C15"/>
    <w:rsid w:val="009961E1"/>
    <w:rsid w:val="009964C9"/>
    <w:rsid w:val="00996619"/>
    <w:rsid w:val="00996D18"/>
    <w:rsid w:val="00997CD2"/>
    <w:rsid w:val="009A107B"/>
    <w:rsid w:val="009A305D"/>
    <w:rsid w:val="009A306A"/>
    <w:rsid w:val="009A36D7"/>
    <w:rsid w:val="009A3EB1"/>
    <w:rsid w:val="009A49D5"/>
    <w:rsid w:val="009A4DCE"/>
    <w:rsid w:val="009B0CBF"/>
    <w:rsid w:val="009B3AD9"/>
    <w:rsid w:val="009B3D14"/>
    <w:rsid w:val="009B3FB7"/>
    <w:rsid w:val="009B766D"/>
    <w:rsid w:val="009B7DDC"/>
    <w:rsid w:val="009B7F1F"/>
    <w:rsid w:val="009C1049"/>
    <w:rsid w:val="009C157F"/>
    <w:rsid w:val="009C49C8"/>
    <w:rsid w:val="009C5BE2"/>
    <w:rsid w:val="009C6AC2"/>
    <w:rsid w:val="009C774C"/>
    <w:rsid w:val="009D23CF"/>
    <w:rsid w:val="009D2693"/>
    <w:rsid w:val="009D4D27"/>
    <w:rsid w:val="009D5819"/>
    <w:rsid w:val="009D7430"/>
    <w:rsid w:val="009D7FE4"/>
    <w:rsid w:val="009E092D"/>
    <w:rsid w:val="009E1518"/>
    <w:rsid w:val="009E351A"/>
    <w:rsid w:val="009E4464"/>
    <w:rsid w:val="009E70CA"/>
    <w:rsid w:val="009E7B07"/>
    <w:rsid w:val="009F057B"/>
    <w:rsid w:val="009F14A8"/>
    <w:rsid w:val="009F1D51"/>
    <w:rsid w:val="009F4FDA"/>
    <w:rsid w:val="009F6AC5"/>
    <w:rsid w:val="009F6F9E"/>
    <w:rsid w:val="009F7F1E"/>
    <w:rsid w:val="009F7FA5"/>
    <w:rsid w:val="00A003CF"/>
    <w:rsid w:val="00A005EA"/>
    <w:rsid w:val="00A032FE"/>
    <w:rsid w:val="00A03630"/>
    <w:rsid w:val="00A0414A"/>
    <w:rsid w:val="00A059C1"/>
    <w:rsid w:val="00A10811"/>
    <w:rsid w:val="00A12D89"/>
    <w:rsid w:val="00A13A35"/>
    <w:rsid w:val="00A159F2"/>
    <w:rsid w:val="00A15D95"/>
    <w:rsid w:val="00A169F5"/>
    <w:rsid w:val="00A171D2"/>
    <w:rsid w:val="00A20622"/>
    <w:rsid w:val="00A2150D"/>
    <w:rsid w:val="00A2358F"/>
    <w:rsid w:val="00A2414B"/>
    <w:rsid w:val="00A27739"/>
    <w:rsid w:val="00A27C53"/>
    <w:rsid w:val="00A30B85"/>
    <w:rsid w:val="00A321CE"/>
    <w:rsid w:val="00A3256A"/>
    <w:rsid w:val="00A3290D"/>
    <w:rsid w:val="00A34468"/>
    <w:rsid w:val="00A40530"/>
    <w:rsid w:val="00A41C5A"/>
    <w:rsid w:val="00A44EA2"/>
    <w:rsid w:val="00A4648C"/>
    <w:rsid w:val="00A47E94"/>
    <w:rsid w:val="00A5271A"/>
    <w:rsid w:val="00A55F6E"/>
    <w:rsid w:val="00A56887"/>
    <w:rsid w:val="00A648BD"/>
    <w:rsid w:val="00A64B08"/>
    <w:rsid w:val="00A67BBD"/>
    <w:rsid w:val="00A67CCF"/>
    <w:rsid w:val="00A700BA"/>
    <w:rsid w:val="00A70E69"/>
    <w:rsid w:val="00A725EF"/>
    <w:rsid w:val="00A75E59"/>
    <w:rsid w:val="00A760C1"/>
    <w:rsid w:val="00A766C3"/>
    <w:rsid w:val="00A81D30"/>
    <w:rsid w:val="00A82237"/>
    <w:rsid w:val="00A83D76"/>
    <w:rsid w:val="00A92066"/>
    <w:rsid w:val="00A97891"/>
    <w:rsid w:val="00AA0B69"/>
    <w:rsid w:val="00AB117F"/>
    <w:rsid w:val="00AB235E"/>
    <w:rsid w:val="00AB5C56"/>
    <w:rsid w:val="00AB6659"/>
    <w:rsid w:val="00AC08DF"/>
    <w:rsid w:val="00AC1764"/>
    <w:rsid w:val="00AC66B9"/>
    <w:rsid w:val="00AC6CEC"/>
    <w:rsid w:val="00AC6DC0"/>
    <w:rsid w:val="00AD0749"/>
    <w:rsid w:val="00AD0C34"/>
    <w:rsid w:val="00AD13BC"/>
    <w:rsid w:val="00AD18E4"/>
    <w:rsid w:val="00AD47D4"/>
    <w:rsid w:val="00AD4C61"/>
    <w:rsid w:val="00AE07E6"/>
    <w:rsid w:val="00AF2121"/>
    <w:rsid w:val="00AF2D10"/>
    <w:rsid w:val="00AF4A4A"/>
    <w:rsid w:val="00AF5D07"/>
    <w:rsid w:val="00B00290"/>
    <w:rsid w:val="00B03B4E"/>
    <w:rsid w:val="00B06C7D"/>
    <w:rsid w:val="00B14989"/>
    <w:rsid w:val="00B149DC"/>
    <w:rsid w:val="00B15223"/>
    <w:rsid w:val="00B17E81"/>
    <w:rsid w:val="00B25870"/>
    <w:rsid w:val="00B35BDB"/>
    <w:rsid w:val="00B36903"/>
    <w:rsid w:val="00B371F2"/>
    <w:rsid w:val="00B41866"/>
    <w:rsid w:val="00B4368C"/>
    <w:rsid w:val="00B44DFC"/>
    <w:rsid w:val="00B46497"/>
    <w:rsid w:val="00B513A7"/>
    <w:rsid w:val="00B54D93"/>
    <w:rsid w:val="00B55440"/>
    <w:rsid w:val="00B60C82"/>
    <w:rsid w:val="00B60F75"/>
    <w:rsid w:val="00B61620"/>
    <w:rsid w:val="00B62348"/>
    <w:rsid w:val="00B62B8B"/>
    <w:rsid w:val="00B6535D"/>
    <w:rsid w:val="00B672A1"/>
    <w:rsid w:val="00B6792D"/>
    <w:rsid w:val="00B70864"/>
    <w:rsid w:val="00B71821"/>
    <w:rsid w:val="00B74C9C"/>
    <w:rsid w:val="00B74C9D"/>
    <w:rsid w:val="00B74F20"/>
    <w:rsid w:val="00B76741"/>
    <w:rsid w:val="00B767F4"/>
    <w:rsid w:val="00B82AD4"/>
    <w:rsid w:val="00B845CB"/>
    <w:rsid w:val="00B845E2"/>
    <w:rsid w:val="00B861CC"/>
    <w:rsid w:val="00B90FBA"/>
    <w:rsid w:val="00B917E5"/>
    <w:rsid w:val="00B919FD"/>
    <w:rsid w:val="00B94B0C"/>
    <w:rsid w:val="00B9779C"/>
    <w:rsid w:val="00B97E48"/>
    <w:rsid w:val="00BA08DC"/>
    <w:rsid w:val="00BA1744"/>
    <w:rsid w:val="00BA556E"/>
    <w:rsid w:val="00BA5E8C"/>
    <w:rsid w:val="00BA69C8"/>
    <w:rsid w:val="00BA6BEA"/>
    <w:rsid w:val="00BB1EDC"/>
    <w:rsid w:val="00BB251B"/>
    <w:rsid w:val="00BB2A76"/>
    <w:rsid w:val="00BB52C7"/>
    <w:rsid w:val="00BB76E3"/>
    <w:rsid w:val="00BC0A97"/>
    <w:rsid w:val="00BC1907"/>
    <w:rsid w:val="00BC40AF"/>
    <w:rsid w:val="00BC491E"/>
    <w:rsid w:val="00BC6042"/>
    <w:rsid w:val="00BC605A"/>
    <w:rsid w:val="00BC6BB6"/>
    <w:rsid w:val="00BD0495"/>
    <w:rsid w:val="00BD0DF8"/>
    <w:rsid w:val="00BD5574"/>
    <w:rsid w:val="00BD57B0"/>
    <w:rsid w:val="00BD62A5"/>
    <w:rsid w:val="00BD6601"/>
    <w:rsid w:val="00BE2412"/>
    <w:rsid w:val="00BE2759"/>
    <w:rsid w:val="00BE44A0"/>
    <w:rsid w:val="00BE533B"/>
    <w:rsid w:val="00BE723C"/>
    <w:rsid w:val="00BE7404"/>
    <w:rsid w:val="00BE7935"/>
    <w:rsid w:val="00BF0140"/>
    <w:rsid w:val="00BF0902"/>
    <w:rsid w:val="00BF1098"/>
    <w:rsid w:val="00BF1270"/>
    <w:rsid w:val="00BF4723"/>
    <w:rsid w:val="00BF6977"/>
    <w:rsid w:val="00BF6C9E"/>
    <w:rsid w:val="00BF7597"/>
    <w:rsid w:val="00C00195"/>
    <w:rsid w:val="00C01F2B"/>
    <w:rsid w:val="00C02728"/>
    <w:rsid w:val="00C03143"/>
    <w:rsid w:val="00C04577"/>
    <w:rsid w:val="00C04986"/>
    <w:rsid w:val="00C067EA"/>
    <w:rsid w:val="00C077DA"/>
    <w:rsid w:val="00C10FE9"/>
    <w:rsid w:val="00C1401B"/>
    <w:rsid w:val="00C1425D"/>
    <w:rsid w:val="00C16875"/>
    <w:rsid w:val="00C17ADD"/>
    <w:rsid w:val="00C20650"/>
    <w:rsid w:val="00C22980"/>
    <w:rsid w:val="00C233C3"/>
    <w:rsid w:val="00C34108"/>
    <w:rsid w:val="00C36BC2"/>
    <w:rsid w:val="00C37224"/>
    <w:rsid w:val="00C37B96"/>
    <w:rsid w:val="00C4294C"/>
    <w:rsid w:val="00C4348D"/>
    <w:rsid w:val="00C44CC2"/>
    <w:rsid w:val="00C452E9"/>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015"/>
    <w:rsid w:val="00C74D28"/>
    <w:rsid w:val="00C76F7E"/>
    <w:rsid w:val="00C77F12"/>
    <w:rsid w:val="00C80667"/>
    <w:rsid w:val="00C81D4B"/>
    <w:rsid w:val="00C828C4"/>
    <w:rsid w:val="00C829BD"/>
    <w:rsid w:val="00C8546B"/>
    <w:rsid w:val="00C86D34"/>
    <w:rsid w:val="00C925C4"/>
    <w:rsid w:val="00C933BA"/>
    <w:rsid w:val="00C9695F"/>
    <w:rsid w:val="00C97C94"/>
    <w:rsid w:val="00CA1C1B"/>
    <w:rsid w:val="00CA36EF"/>
    <w:rsid w:val="00CA3E60"/>
    <w:rsid w:val="00CA4ABB"/>
    <w:rsid w:val="00CA68C1"/>
    <w:rsid w:val="00CB3CD6"/>
    <w:rsid w:val="00CB5FD7"/>
    <w:rsid w:val="00CB64A6"/>
    <w:rsid w:val="00CB77EB"/>
    <w:rsid w:val="00CC1784"/>
    <w:rsid w:val="00CC1E0F"/>
    <w:rsid w:val="00CC47F4"/>
    <w:rsid w:val="00CC4822"/>
    <w:rsid w:val="00CC4F1C"/>
    <w:rsid w:val="00CC50AB"/>
    <w:rsid w:val="00CC6E0B"/>
    <w:rsid w:val="00CD7788"/>
    <w:rsid w:val="00CD7BAE"/>
    <w:rsid w:val="00CE0E16"/>
    <w:rsid w:val="00CE0F2A"/>
    <w:rsid w:val="00CE32B2"/>
    <w:rsid w:val="00CE38D9"/>
    <w:rsid w:val="00CE58FA"/>
    <w:rsid w:val="00CE5DCB"/>
    <w:rsid w:val="00CF0D93"/>
    <w:rsid w:val="00CF1E16"/>
    <w:rsid w:val="00CF310E"/>
    <w:rsid w:val="00CF4088"/>
    <w:rsid w:val="00CF63B3"/>
    <w:rsid w:val="00CF6CE6"/>
    <w:rsid w:val="00CF7C97"/>
    <w:rsid w:val="00D02182"/>
    <w:rsid w:val="00D05D9F"/>
    <w:rsid w:val="00D06A2B"/>
    <w:rsid w:val="00D07FD7"/>
    <w:rsid w:val="00D105C6"/>
    <w:rsid w:val="00D12E94"/>
    <w:rsid w:val="00D1364E"/>
    <w:rsid w:val="00D1436A"/>
    <w:rsid w:val="00D1582A"/>
    <w:rsid w:val="00D20720"/>
    <w:rsid w:val="00D2129E"/>
    <w:rsid w:val="00D22872"/>
    <w:rsid w:val="00D22CB7"/>
    <w:rsid w:val="00D23CB3"/>
    <w:rsid w:val="00D26B57"/>
    <w:rsid w:val="00D27A7C"/>
    <w:rsid w:val="00D3063B"/>
    <w:rsid w:val="00D308A3"/>
    <w:rsid w:val="00D31558"/>
    <w:rsid w:val="00D33CA5"/>
    <w:rsid w:val="00D34822"/>
    <w:rsid w:val="00D35A68"/>
    <w:rsid w:val="00D35BFE"/>
    <w:rsid w:val="00D365D5"/>
    <w:rsid w:val="00D41C77"/>
    <w:rsid w:val="00D41CCC"/>
    <w:rsid w:val="00D42185"/>
    <w:rsid w:val="00D42BB5"/>
    <w:rsid w:val="00D42CC4"/>
    <w:rsid w:val="00D4373A"/>
    <w:rsid w:val="00D43E9B"/>
    <w:rsid w:val="00D45CF3"/>
    <w:rsid w:val="00D461CC"/>
    <w:rsid w:val="00D47F6A"/>
    <w:rsid w:val="00D50B19"/>
    <w:rsid w:val="00D5322E"/>
    <w:rsid w:val="00D5329D"/>
    <w:rsid w:val="00D5504B"/>
    <w:rsid w:val="00D551E8"/>
    <w:rsid w:val="00D55E02"/>
    <w:rsid w:val="00D57DA9"/>
    <w:rsid w:val="00D609DF"/>
    <w:rsid w:val="00D63837"/>
    <w:rsid w:val="00D63CB7"/>
    <w:rsid w:val="00D66B98"/>
    <w:rsid w:val="00D67E1C"/>
    <w:rsid w:val="00D722DC"/>
    <w:rsid w:val="00D81F53"/>
    <w:rsid w:val="00D82539"/>
    <w:rsid w:val="00D848CD"/>
    <w:rsid w:val="00D92955"/>
    <w:rsid w:val="00D93B6A"/>
    <w:rsid w:val="00D949B3"/>
    <w:rsid w:val="00D94F5E"/>
    <w:rsid w:val="00D95865"/>
    <w:rsid w:val="00DA0180"/>
    <w:rsid w:val="00DA0274"/>
    <w:rsid w:val="00DA1F3A"/>
    <w:rsid w:val="00DA2F76"/>
    <w:rsid w:val="00DA3673"/>
    <w:rsid w:val="00DA763B"/>
    <w:rsid w:val="00DB023D"/>
    <w:rsid w:val="00DB1027"/>
    <w:rsid w:val="00DB1D96"/>
    <w:rsid w:val="00DB2779"/>
    <w:rsid w:val="00DB33F9"/>
    <w:rsid w:val="00DB5C66"/>
    <w:rsid w:val="00DC02B9"/>
    <w:rsid w:val="00DC099C"/>
    <w:rsid w:val="00DC33EB"/>
    <w:rsid w:val="00DC356D"/>
    <w:rsid w:val="00DC3594"/>
    <w:rsid w:val="00DC3FF1"/>
    <w:rsid w:val="00DC591D"/>
    <w:rsid w:val="00DD0E66"/>
    <w:rsid w:val="00DD129B"/>
    <w:rsid w:val="00DD1E79"/>
    <w:rsid w:val="00DD69D7"/>
    <w:rsid w:val="00DD7C1A"/>
    <w:rsid w:val="00DD7EC0"/>
    <w:rsid w:val="00DE273B"/>
    <w:rsid w:val="00DE4555"/>
    <w:rsid w:val="00DE4ADF"/>
    <w:rsid w:val="00DE5271"/>
    <w:rsid w:val="00DE5B3F"/>
    <w:rsid w:val="00DE6EF5"/>
    <w:rsid w:val="00DE7F77"/>
    <w:rsid w:val="00DF1384"/>
    <w:rsid w:val="00DF23A5"/>
    <w:rsid w:val="00DF382D"/>
    <w:rsid w:val="00DF46ED"/>
    <w:rsid w:val="00DF69BB"/>
    <w:rsid w:val="00E05118"/>
    <w:rsid w:val="00E06F11"/>
    <w:rsid w:val="00E07092"/>
    <w:rsid w:val="00E076EE"/>
    <w:rsid w:val="00E13803"/>
    <w:rsid w:val="00E14513"/>
    <w:rsid w:val="00E161B2"/>
    <w:rsid w:val="00E16714"/>
    <w:rsid w:val="00E1751D"/>
    <w:rsid w:val="00E20641"/>
    <w:rsid w:val="00E21686"/>
    <w:rsid w:val="00E226C4"/>
    <w:rsid w:val="00E23559"/>
    <w:rsid w:val="00E30B76"/>
    <w:rsid w:val="00E30F62"/>
    <w:rsid w:val="00E316DB"/>
    <w:rsid w:val="00E320DD"/>
    <w:rsid w:val="00E322E2"/>
    <w:rsid w:val="00E3248B"/>
    <w:rsid w:val="00E35518"/>
    <w:rsid w:val="00E37A64"/>
    <w:rsid w:val="00E405DF"/>
    <w:rsid w:val="00E42F6C"/>
    <w:rsid w:val="00E45906"/>
    <w:rsid w:val="00E45D1C"/>
    <w:rsid w:val="00E46C32"/>
    <w:rsid w:val="00E47912"/>
    <w:rsid w:val="00E507AA"/>
    <w:rsid w:val="00E50F82"/>
    <w:rsid w:val="00E52965"/>
    <w:rsid w:val="00E573DB"/>
    <w:rsid w:val="00E60464"/>
    <w:rsid w:val="00E64CA8"/>
    <w:rsid w:val="00E66473"/>
    <w:rsid w:val="00E67788"/>
    <w:rsid w:val="00E679FC"/>
    <w:rsid w:val="00E70E72"/>
    <w:rsid w:val="00E71C35"/>
    <w:rsid w:val="00E74AA6"/>
    <w:rsid w:val="00E75E62"/>
    <w:rsid w:val="00E767D9"/>
    <w:rsid w:val="00E80B56"/>
    <w:rsid w:val="00E83374"/>
    <w:rsid w:val="00E83F58"/>
    <w:rsid w:val="00E87852"/>
    <w:rsid w:val="00E87B6A"/>
    <w:rsid w:val="00E901E8"/>
    <w:rsid w:val="00E90F12"/>
    <w:rsid w:val="00E92687"/>
    <w:rsid w:val="00E92FF3"/>
    <w:rsid w:val="00E94536"/>
    <w:rsid w:val="00E951A6"/>
    <w:rsid w:val="00E957E5"/>
    <w:rsid w:val="00E96526"/>
    <w:rsid w:val="00E970FF"/>
    <w:rsid w:val="00EA1347"/>
    <w:rsid w:val="00EA46D1"/>
    <w:rsid w:val="00EA739F"/>
    <w:rsid w:val="00EB1208"/>
    <w:rsid w:val="00EB426A"/>
    <w:rsid w:val="00EB48B9"/>
    <w:rsid w:val="00EB4B66"/>
    <w:rsid w:val="00EC36BE"/>
    <w:rsid w:val="00EC3700"/>
    <w:rsid w:val="00EC64CD"/>
    <w:rsid w:val="00EC7968"/>
    <w:rsid w:val="00ED063D"/>
    <w:rsid w:val="00ED0C5D"/>
    <w:rsid w:val="00ED1D5D"/>
    <w:rsid w:val="00ED3214"/>
    <w:rsid w:val="00ED5169"/>
    <w:rsid w:val="00ED5446"/>
    <w:rsid w:val="00ED612B"/>
    <w:rsid w:val="00ED671D"/>
    <w:rsid w:val="00ED7726"/>
    <w:rsid w:val="00ED7790"/>
    <w:rsid w:val="00EE2200"/>
    <w:rsid w:val="00EE2326"/>
    <w:rsid w:val="00EE3C2D"/>
    <w:rsid w:val="00EE550C"/>
    <w:rsid w:val="00EE6DD8"/>
    <w:rsid w:val="00EE744F"/>
    <w:rsid w:val="00EF24AB"/>
    <w:rsid w:val="00EF4A86"/>
    <w:rsid w:val="00EF4B35"/>
    <w:rsid w:val="00EF5B9C"/>
    <w:rsid w:val="00EF6C77"/>
    <w:rsid w:val="00F009BC"/>
    <w:rsid w:val="00F10AA4"/>
    <w:rsid w:val="00F11338"/>
    <w:rsid w:val="00F1179E"/>
    <w:rsid w:val="00F12400"/>
    <w:rsid w:val="00F132D2"/>
    <w:rsid w:val="00F1358D"/>
    <w:rsid w:val="00F14B36"/>
    <w:rsid w:val="00F1598A"/>
    <w:rsid w:val="00F237DE"/>
    <w:rsid w:val="00F2571A"/>
    <w:rsid w:val="00F30C35"/>
    <w:rsid w:val="00F31732"/>
    <w:rsid w:val="00F31C3A"/>
    <w:rsid w:val="00F32F98"/>
    <w:rsid w:val="00F33BC0"/>
    <w:rsid w:val="00F359E2"/>
    <w:rsid w:val="00F370B8"/>
    <w:rsid w:val="00F37496"/>
    <w:rsid w:val="00F40703"/>
    <w:rsid w:val="00F41A08"/>
    <w:rsid w:val="00F45C80"/>
    <w:rsid w:val="00F4688B"/>
    <w:rsid w:val="00F46FA8"/>
    <w:rsid w:val="00F4700E"/>
    <w:rsid w:val="00F47956"/>
    <w:rsid w:val="00F57E75"/>
    <w:rsid w:val="00F6091C"/>
    <w:rsid w:val="00F62A12"/>
    <w:rsid w:val="00F70CC0"/>
    <w:rsid w:val="00F7158B"/>
    <w:rsid w:val="00F71A35"/>
    <w:rsid w:val="00F77D62"/>
    <w:rsid w:val="00F801D9"/>
    <w:rsid w:val="00F81BF6"/>
    <w:rsid w:val="00F8350F"/>
    <w:rsid w:val="00F840B7"/>
    <w:rsid w:val="00F84F51"/>
    <w:rsid w:val="00F9419E"/>
    <w:rsid w:val="00F94FAE"/>
    <w:rsid w:val="00F9581E"/>
    <w:rsid w:val="00F95D48"/>
    <w:rsid w:val="00FA0E87"/>
    <w:rsid w:val="00FA1EDA"/>
    <w:rsid w:val="00FA2882"/>
    <w:rsid w:val="00FA40A9"/>
    <w:rsid w:val="00FA53AF"/>
    <w:rsid w:val="00FA7461"/>
    <w:rsid w:val="00FA7A7A"/>
    <w:rsid w:val="00FB0A84"/>
    <w:rsid w:val="00FC3EBF"/>
    <w:rsid w:val="00FC45B9"/>
    <w:rsid w:val="00FC5554"/>
    <w:rsid w:val="00FC610F"/>
    <w:rsid w:val="00FC67D7"/>
    <w:rsid w:val="00FC7B85"/>
    <w:rsid w:val="00FC7F89"/>
    <w:rsid w:val="00FD110B"/>
    <w:rsid w:val="00FD25A9"/>
    <w:rsid w:val="00FD2660"/>
    <w:rsid w:val="00FD6FD7"/>
    <w:rsid w:val="00FE02CA"/>
    <w:rsid w:val="00FE0CCE"/>
    <w:rsid w:val="00FE1525"/>
    <w:rsid w:val="00FE1D24"/>
    <w:rsid w:val="00FE245E"/>
    <w:rsid w:val="00FE431E"/>
    <w:rsid w:val="00FE5678"/>
    <w:rsid w:val="00FE6398"/>
    <w:rsid w:val="00FF5621"/>
    <w:rsid w:val="00FF7F68"/>
    <w:rsid w:val="1BF812E8"/>
    <w:rsid w:val="3C0E4B18"/>
    <w:rsid w:val="6A3915EA"/>
    <w:rsid w:val="6EFD2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1705A718-AB80-4A5D-B34F-BF236C75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styleId="Revision">
    <w:name w:val="Revision"/>
    <w:hidden/>
    <w:uiPriority w:val="99"/>
    <w:semiHidden/>
    <w:rsid w:val="00472998"/>
    <w:pPr>
      <w:spacing w:after="0" w:line="240" w:lineRule="auto"/>
    </w:pPr>
  </w:style>
  <w:style w:type="paragraph" w:customStyle="1" w:styleId="DocID">
    <w:name w:val="DocID"/>
    <w:basedOn w:val="Normal"/>
    <w:qFormat/>
    <w:rsid w:val="007E6620"/>
    <w:pPr>
      <w:suppressAutoHyphens/>
      <w:spacing w:after="0" w:line="240" w:lineRule="auto"/>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4240</Characters>
  <Application>Microsoft Office Word</Application>
  <DocSecurity>0</DocSecurity>
  <Lines>157</Lines>
  <Paragraphs>99</Paragraphs>
  <ScaleCrop>false</ScaleCrop>
  <Company>Commonwealth of Massachusetts</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cp:lastPrinted>1900-01-01T06:00:00Z</cp:lastPrinted>
  <dcterms:created xsi:type="dcterms:W3CDTF">1900-01-01T06:00:00Z</dcterms:created>
  <dcterms:modified xsi:type="dcterms:W3CDTF">2025-12-15T13:11:00Z</dcterms:modified>
</cp:coreProperties>
</file>