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DEB1A" w14:textId="77777777" w:rsidR="0060745D" w:rsidRDefault="0060745D" w:rsidP="00D45CF3">
      <w:pPr>
        <w:jc w:val="center"/>
        <w:rPr>
          <w:rFonts w:cstheme="minorHAnsi"/>
          <w:b/>
          <w:bCs/>
        </w:rPr>
      </w:pPr>
    </w:p>
    <w:p w14:paraId="26D9C4F2" w14:textId="1B1E6ECB" w:rsidR="00D45CF3" w:rsidRPr="00054FF4" w:rsidRDefault="00D45CF3" w:rsidP="00D45CF3">
      <w:pPr>
        <w:jc w:val="center"/>
        <w:rPr>
          <w:rFonts w:cstheme="minorHAnsi"/>
          <w:b/>
          <w:bCs/>
        </w:rPr>
      </w:pPr>
      <w:r w:rsidRPr="00054FF4">
        <w:rPr>
          <w:rFonts w:cstheme="minorHAnsi"/>
          <w:b/>
          <w:bCs/>
        </w:rPr>
        <w:t>APPLICANT QUESTIONS</w:t>
      </w:r>
      <w:r w:rsidR="00006750">
        <w:rPr>
          <w:rFonts w:cstheme="minorHAnsi"/>
          <w:b/>
          <w:bCs/>
        </w:rPr>
        <w:t xml:space="preserve"> #</w:t>
      </w:r>
      <w:r w:rsidR="00BF7E47">
        <w:rPr>
          <w:rFonts w:cstheme="minorHAnsi"/>
          <w:b/>
          <w:bCs/>
        </w:rPr>
        <w:t>2</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DoN staff at </w:t>
      </w:r>
      <w:hyperlink r:id="rId9"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rsidTr="007B31AA">
        <w:trPr>
          <w:jc w:val="center"/>
        </w:trPr>
        <w:tc>
          <w:tcPr>
            <w:tcW w:w="9350" w:type="dxa"/>
          </w:tcPr>
          <w:p w14:paraId="45FEAD51" w14:textId="77777777" w:rsidR="00D45CF3" w:rsidRPr="00054FF4" w:rsidRDefault="00D45CF3" w:rsidP="007B31AA">
            <w:pPr>
              <w:rPr>
                <w:rFonts w:cstheme="minorHAnsi"/>
                <w:bCs/>
              </w:rPr>
            </w:pPr>
            <w:r w:rsidRPr="00054FF4">
              <w:rPr>
                <w:rFonts w:cstheme="minorHAnsi"/>
                <w:bCs/>
              </w:rPr>
              <w:t xml:space="preserve">While you may submit each answer as available, please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provide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78D014BD"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Submit responses in WORD or EXCEL; only use PDF’s if absolutely necessary. If “cutting and pasting” charts, provide them in a PDF so they can be clearly seen</w:t>
            </w:r>
          </w:p>
          <w:p w14:paraId="70F1F40B" w14:textId="77777777" w:rsidR="00D45CF3" w:rsidRDefault="00D45CF3" w:rsidP="00D45CF3">
            <w:pPr>
              <w:pStyle w:val="ListParagraph"/>
              <w:numPr>
                <w:ilvl w:val="0"/>
                <w:numId w:val="2"/>
              </w:numPr>
              <w:rPr>
                <w:rFonts w:cstheme="minorHAnsi"/>
                <w:b/>
              </w:rPr>
            </w:pPr>
            <w:r w:rsidRPr="00054FF4">
              <w:rPr>
                <w:rFonts w:cstheme="minorHAnsi"/>
                <w:b/>
              </w:rPr>
              <w:t>Whenever possible, include a table with the response</w:t>
            </w:r>
          </w:p>
          <w:p w14:paraId="01C56AEF" w14:textId="30C3F16C" w:rsidR="001A32EA" w:rsidRPr="00054FF4" w:rsidRDefault="001A32EA" w:rsidP="00D45CF3">
            <w:pPr>
              <w:pStyle w:val="ListParagraph"/>
              <w:numPr>
                <w:ilvl w:val="0"/>
                <w:numId w:val="2"/>
              </w:numPr>
              <w:rPr>
                <w:rFonts w:cstheme="minorHAnsi"/>
                <w:b/>
              </w:rPr>
            </w:pPr>
            <w:r w:rsidRPr="001A32EA">
              <w:rPr>
                <w:rFonts w:cstheme="minorHAnsi"/>
                <w:b/>
              </w:rPr>
              <w:t>For HIPAA compliance Do not include numbers &lt;11.</w:t>
            </w:r>
          </w:p>
        </w:tc>
      </w:tr>
    </w:tbl>
    <w:p w14:paraId="0A81B0B9" w14:textId="2966E733" w:rsidR="0066604A" w:rsidRDefault="0066604A"/>
    <w:p w14:paraId="2BF896A0" w14:textId="45766B03" w:rsidR="008E6545" w:rsidRPr="0060745D" w:rsidRDefault="001D7789" w:rsidP="0060745D">
      <w:pPr>
        <w:rPr>
          <w:rFonts w:cstheme="minorHAnsi"/>
          <w:b/>
          <w:bCs/>
        </w:rPr>
      </w:pPr>
      <w:r w:rsidRPr="006345D0">
        <w:rPr>
          <w:rFonts w:cstheme="minorHAnsi"/>
          <w:b/>
          <w:bCs/>
        </w:rPr>
        <w:t>Factor 1a: Patient Panel Need</w:t>
      </w:r>
    </w:p>
    <w:p w14:paraId="1C902C9C" w14:textId="6B36976E" w:rsidR="00C80325" w:rsidRDefault="0035224E" w:rsidP="0035224E">
      <w:pPr>
        <w:pStyle w:val="ListParagraph"/>
        <w:numPr>
          <w:ilvl w:val="0"/>
          <w:numId w:val="24"/>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Responses to DoN Questions #1 states that </w:t>
      </w:r>
      <w:r w:rsidR="00CD7085">
        <w:rPr>
          <w:rFonts w:eastAsia="Times New Roman" w:cstheme="minorHAnsi"/>
          <w:color w:val="000000"/>
          <w:bdr w:val="none" w:sz="0" w:space="0" w:color="auto" w:frame="1"/>
        </w:rPr>
        <w:t>t</w:t>
      </w:r>
      <w:r w:rsidR="00CD7085" w:rsidRPr="00CD7085">
        <w:rPr>
          <w:rFonts w:eastAsia="Times New Roman" w:cstheme="minorHAnsi"/>
          <w:color w:val="000000"/>
          <w:bdr w:val="none" w:sz="0" w:space="0" w:color="auto" w:frame="1"/>
        </w:rPr>
        <w:t>he Applicant expects to achieve 100% utilization within the first year of the project.  Thereafter, the Applicant expects to maintain utilization at 100%</w:t>
      </w:r>
      <w:r w:rsidR="00CD7085">
        <w:rPr>
          <w:rFonts w:eastAsia="Times New Roman" w:cstheme="minorHAnsi"/>
          <w:color w:val="000000"/>
          <w:bdr w:val="none" w:sz="0" w:space="0" w:color="auto" w:frame="1"/>
        </w:rPr>
        <w:t xml:space="preserve"> (pg.3)</w:t>
      </w:r>
      <w:r w:rsidR="00CD7085" w:rsidRPr="00CD7085">
        <w:rPr>
          <w:rFonts w:eastAsia="Times New Roman" w:cstheme="minorHAnsi"/>
          <w:color w:val="000000"/>
          <w:bdr w:val="none" w:sz="0" w:space="0" w:color="auto" w:frame="1"/>
        </w:rPr>
        <w:t>.</w:t>
      </w:r>
    </w:p>
    <w:p w14:paraId="3221AAEB" w14:textId="285C3646" w:rsidR="00CD7085" w:rsidRDefault="00CD7085" w:rsidP="00CD7085">
      <w:pPr>
        <w:pStyle w:val="ListParagraph"/>
        <w:numPr>
          <w:ilvl w:val="1"/>
          <w:numId w:val="24"/>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How will the Applicant </w:t>
      </w:r>
      <w:r w:rsidR="000308CE">
        <w:rPr>
          <w:rFonts w:eastAsia="Times New Roman" w:cstheme="minorHAnsi"/>
          <w:color w:val="000000"/>
          <w:bdr w:val="none" w:sz="0" w:space="0" w:color="auto" w:frame="1"/>
        </w:rPr>
        <w:t>have the capacity</w:t>
      </w:r>
      <w:r>
        <w:rPr>
          <w:rFonts w:eastAsia="Times New Roman" w:cstheme="minorHAnsi"/>
          <w:color w:val="000000"/>
          <w:bdr w:val="none" w:sz="0" w:space="0" w:color="auto" w:frame="1"/>
        </w:rPr>
        <w:t xml:space="preserve"> to increase procedure volume in year</w:t>
      </w:r>
      <w:r w:rsidR="000308CE">
        <w:rPr>
          <w:rFonts w:eastAsia="Times New Roman" w:cstheme="minorHAnsi"/>
          <w:color w:val="000000"/>
          <w:bdr w:val="none" w:sz="0" w:space="0" w:color="auto" w:frame="1"/>
        </w:rPr>
        <w:t>s</w:t>
      </w:r>
      <w:r>
        <w:rPr>
          <w:rFonts w:eastAsia="Times New Roman" w:cstheme="minorHAnsi"/>
          <w:color w:val="000000"/>
          <w:bdr w:val="none" w:sz="0" w:space="0" w:color="auto" w:frame="1"/>
        </w:rPr>
        <w:t xml:space="preserve"> two through five</w:t>
      </w:r>
      <w:r w:rsidR="000308CE">
        <w:rPr>
          <w:rFonts w:eastAsia="Times New Roman" w:cstheme="minorHAnsi"/>
          <w:color w:val="000000"/>
          <w:bdr w:val="none" w:sz="0" w:space="0" w:color="auto" w:frame="1"/>
        </w:rPr>
        <w:t xml:space="preserve"> of project implementation</w:t>
      </w:r>
      <w:r>
        <w:rPr>
          <w:rFonts w:eastAsia="Times New Roman" w:cstheme="minorHAnsi"/>
          <w:color w:val="000000"/>
          <w:bdr w:val="none" w:sz="0" w:space="0" w:color="auto" w:frame="1"/>
        </w:rPr>
        <w:t xml:space="preserve">, when the ASC will </w:t>
      </w:r>
      <w:r w:rsidR="00275725">
        <w:rPr>
          <w:rFonts w:eastAsia="Times New Roman" w:cstheme="minorHAnsi"/>
          <w:color w:val="000000"/>
          <w:bdr w:val="none" w:sz="0" w:space="0" w:color="auto" w:frame="1"/>
        </w:rPr>
        <w:t>r</w:t>
      </w:r>
      <w:r>
        <w:rPr>
          <w:rFonts w:eastAsia="Times New Roman" w:cstheme="minorHAnsi"/>
          <w:color w:val="000000"/>
          <w:bdr w:val="none" w:sz="0" w:space="0" w:color="auto" w:frame="1"/>
        </w:rPr>
        <w:t>each 100% utilization within the first year of the project?</w:t>
      </w:r>
    </w:p>
    <w:p w14:paraId="1A2B7E0D" w14:textId="77777777" w:rsidR="00276446" w:rsidRDefault="00276446" w:rsidP="00276446">
      <w:pPr>
        <w:pStyle w:val="ListParagraph"/>
        <w:ind w:left="1440"/>
        <w:rPr>
          <w:rFonts w:eastAsia="Times New Roman" w:cstheme="minorHAnsi"/>
          <w:color w:val="000000"/>
          <w:bdr w:val="none" w:sz="0" w:space="0" w:color="auto" w:frame="1"/>
        </w:rPr>
      </w:pPr>
    </w:p>
    <w:p w14:paraId="1C5C0ECF" w14:textId="7F822836" w:rsidR="00170389" w:rsidRDefault="00E73A23" w:rsidP="00276446">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T</w:t>
      </w:r>
      <w:r w:rsidR="00FE3E41">
        <w:rPr>
          <w:rFonts w:eastAsia="Times New Roman" w:cstheme="minorHAnsi"/>
          <w:color w:val="000000"/>
          <w:bdr w:val="none" w:sz="0" w:space="0" w:color="auto" w:frame="1"/>
        </w:rPr>
        <w:t>he Applicant has</w:t>
      </w:r>
      <w:r w:rsidR="006A61D6">
        <w:rPr>
          <w:rFonts w:eastAsia="Times New Roman" w:cstheme="minorHAnsi"/>
          <w:color w:val="000000"/>
          <w:bdr w:val="none" w:sz="0" w:space="0" w:color="auto" w:frame="1"/>
        </w:rPr>
        <w:t xml:space="preserve"> a </w:t>
      </w:r>
      <w:r w:rsidR="00FE3E41">
        <w:rPr>
          <w:rFonts w:eastAsia="Times New Roman" w:cstheme="minorHAnsi"/>
          <w:color w:val="000000"/>
          <w:bdr w:val="none" w:sz="0" w:space="0" w:color="auto" w:frame="1"/>
        </w:rPr>
        <w:t>significant</w:t>
      </w:r>
      <w:r w:rsidR="00276446">
        <w:rPr>
          <w:rFonts w:eastAsia="Times New Roman" w:cstheme="minorHAnsi"/>
          <w:color w:val="000000"/>
          <w:bdr w:val="none" w:sz="0" w:space="0" w:color="auto" w:frame="1"/>
        </w:rPr>
        <w:t xml:space="preserve"> backlog of patients</w:t>
      </w:r>
      <w:r w:rsidR="000A3131">
        <w:rPr>
          <w:rFonts w:eastAsia="Times New Roman" w:cstheme="minorHAnsi"/>
          <w:color w:val="000000"/>
          <w:bdr w:val="none" w:sz="0" w:space="0" w:color="auto" w:frame="1"/>
        </w:rPr>
        <w:t xml:space="preserve"> </w:t>
      </w:r>
      <w:r w:rsidR="00276446">
        <w:rPr>
          <w:rFonts w:eastAsia="Times New Roman" w:cstheme="minorHAnsi"/>
          <w:color w:val="000000"/>
          <w:bdr w:val="none" w:sz="0" w:space="0" w:color="auto" w:frame="1"/>
        </w:rPr>
        <w:t xml:space="preserve">waiting </w:t>
      </w:r>
      <w:r w:rsidR="002F40AF">
        <w:rPr>
          <w:rFonts w:eastAsia="Times New Roman" w:cstheme="minorHAnsi"/>
          <w:color w:val="000000"/>
          <w:bdr w:val="none" w:sz="0" w:space="0" w:color="auto" w:frame="1"/>
        </w:rPr>
        <w:t xml:space="preserve">for </w:t>
      </w:r>
      <w:r w:rsidR="00276446">
        <w:rPr>
          <w:rFonts w:eastAsia="Times New Roman" w:cstheme="minorHAnsi"/>
          <w:color w:val="000000"/>
          <w:bdr w:val="none" w:sz="0" w:space="0" w:color="auto" w:frame="1"/>
        </w:rPr>
        <w:t>Procedures</w:t>
      </w:r>
      <w:r w:rsidR="004D0AFC">
        <w:rPr>
          <w:rFonts w:eastAsia="Times New Roman" w:cstheme="minorHAnsi"/>
          <w:color w:val="000000"/>
          <w:bdr w:val="none" w:sz="0" w:space="0" w:color="auto" w:frame="1"/>
        </w:rPr>
        <w:t xml:space="preserve"> (</w:t>
      </w:r>
      <w:r w:rsidR="00DB27D0">
        <w:rPr>
          <w:rFonts w:eastAsia="Times New Roman" w:cstheme="minorHAnsi"/>
          <w:color w:val="000000"/>
          <w:bdr w:val="none" w:sz="0" w:space="0" w:color="auto" w:frame="1"/>
        </w:rPr>
        <w:t xml:space="preserve">this includes </w:t>
      </w:r>
      <w:r w:rsidR="004D0AFC">
        <w:rPr>
          <w:rFonts w:eastAsia="Times New Roman" w:cstheme="minorHAnsi"/>
          <w:color w:val="000000"/>
          <w:bdr w:val="none" w:sz="0" w:space="0" w:color="auto" w:frame="1"/>
        </w:rPr>
        <w:t xml:space="preserve">patients </w:t>
      </w:r>
      <w:r w:rsidR="00DB27D0">
        <w:rPr>
          <w:rFonts w:eastAsia="Times New Roman" w:cstheme="minorHAnsi"/>
          <w:color w:val="000000"/>
          <w:bdr w:val="none" w:sz="0" w:space="0" w:color="auto" w:frame="1"/>
        </w:rPr>
        <w:t>scheduled</w:t>
      </w:r>
      <w:r w:rsidR="004D0AFC">
        <w:rPr>
          <w:rFonts w:eastAsia="Times New Roman" w:cstheme="minorHAnsi"/>
          <w:color w:val="000000"/>
          <w:bdr w:val="none" w:sz="0" w:space="0" w:color="auto" w:frame="1"/>
        </w:rPr>
        <w:t xml:space="preserve"> seven</w:t>
      </w:r>
      <w:r w:rsidR="00DB27D0">
        <w:rPr>
          <w:rFonts w:eastAsia="Times New Roman" w:cstheme="minorHAnsi"/>
          <w:color w:val="000000"/>
          <w:bdr w:val="none" w:sz="0" w:space="0" w:color="auto" w:frame="1"/>
        </w:rPr>
        <w:t>-eight</w:t>
      </w:r>
      <w:r w:rsidR="004D0AFC">
        <w:rPr>
          <w:rFonts w:eastAsia="Times New Roman" w:cstheme="minorHAnsi"/>
          <w:color w:val="000000"/>
          <w:bdr w:val="none" w:sz="0" w:space="0" w:color="auto" w:frame="1"/>
        </w:rPr>
        <w:t xml:space="preserve"> months </w:t>
      </w:r>
      <w:r w:rsidR="00DB27D0">
        <w:rPr>
          <w:rFonts w:eastAsia="Times New Roman" w:cstheme="minorHAnsi"/>
          <w:color w:val="000000"/>
          <w:bdr w:val="none" w:sz="0" w:space="0" w:color="auto" w:frame="1"/>
        </w:rPr>
        <w:t xml:space="preserve">out, patients needing urgent </w:t>
      </w:r>
      <w:r w:rsidR="007F3AD3">
        <w:rPr>
          <w:rFonts w:eastAsia="Times New Roman" w:cstheme="minorHAnsi"/>
          <w:color w:val="000000"/>
          <w:bdr w:val="none" w:sz="0" w:space="0" w:color="auto" w:frame="1"/>
        </w:rPr>
        <w:t>P</w:t>
      </w:r>
      <w:r w:rsidR="00DB27D0">
        <w:rPr>
          <w:rFonts w:eastAsia="Times New Roman" w:cstheme="minorHAnsi"/>
          <w:color w:val="000000"/>
          <w:bdr w:val="none" w:sz="0" w:space="0" w:color="auto" w:frame="1"/>
        </w:rPr>
        <w:t>rocedures, as well as a</w:t>
      </w:r>
      <w:r w:rsidR="004D0AFC">
        <w:rPr>
          <w:rFonts w:eastAsia="Times New Roman" w:cstheme="minorHAnsi"/>
          <w:color w:val="000000"/>
          <w:bdr w:val="none" w:sz="0" w:space="0" w:color="auto" w:frame="1"/>
        </w:rPr>
        <w:t>dditional patients waiting to be scheduled that the Applicant is tracking</w:t>
      </w:r>
      <w:r w:rsidR="00DB27D0">
        <w:rPr>
          <w:rFonts w:eastAsia="Times New Roman" w:cstheme="minorHAnsi"/>
          <w:color w:val="000000"/>
          <w:bdr w:val="none" w:sz="0" w:space="0" w:color="auto" w:frame="1"/>
        </w:rPr>
        <w:t xml:space="preserve"> outside of its electronic system</w:t>
      </w:r>
      <w:r w:rsidR="004D0AFC">
        <w:rPr>
          <w:rFonts w:eastAsia="Times New Roman" w:cstheme="minorHAnsi"/>
          <w:color w:val="000000"/>
          <w:bdr w:val="none" w:sz="0" w:space="0" w:color="auto" w:frame="1"/>
        </w:rPr>
        <w:t xml:space="preserve"> in a folder)</w:t>
      </w:r>
      <w:r w:rsidR="000A3131">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which is why the Applicant anticipates reaching 100% utilization within the first year of the project</w:t>
      </w:r>
      <w:r w:rsidR="006A61D6">
        <w:rPr>
          <w:rFonts w:eastAsia="Times New Roman" w:cstheme="minorHAnsi"/>
          <w:color w:val="000000"/>
          <w:bdr w:val="none" w:sz="0" w:space="0" w:color="auto" w:frame="1"/>
        </w:rPr>
        <w:t>.</w:t>
      </w:r>
      <w:r w:rsidR="00316B74">
        <w:rPr>
          <w:rFonts w:eastAsia="Times New Roman" w:cstheme="minorHAnsi"/>
          <w:color w:val="000000"/>
          <w:bdr w:val="none" w:sz="0" w:space="0" w:color="auto" w:frame="1"/>
        </w:rPr>
        <w:t xml:space="preserve"> </w:t>
      </w:r>
      <w:r w:rsidR="009A5770">
        <w:rPr>
          <w:rFonts w:eastAsia="Times New Roman" w:cstheme="minorHAnsi"/>
          <w:color w:val="000000"/>
          <w:bdr w:val="none" w:sz="0" w:space="0" w:color="auto" w:frame="1"/>
        </w:rPr>
        <w:t xml:space="preserve">With the Proposed Project doubling the Applicant’s capacity, </w:t>
      </w:r>
      <w:r w:rsidR="005B777B">
        <w:rPr>
          <w:rFonts w:eastAsia="Times New Roman" w:cstheme="minorHAnsi"/>
          <w:color w:val="000000"/>
          <w:bdr w:val="none" w:sz="0" w:space="0" w:color="auto" w:frame="1"/>
        </w:rPr>
        <w:t xml:space="preserve">the Applicant expects </w:t>
      </w:r>
      <w:r w:rsidR="009A5770">
        <w:rPr>
          <w:rFonts w:eastAsia="Times New Roman" w:cstheme="minorHAnsi"/>
          <w:color w:val="000000"/>
          <w:bdr w:val="none" w:sz="0" w:space="0" w:color="auto" w:frame="1"/>
        </w:rPr>
        <w:t>the backlog</w:t>
      </w:r>
      <w:r w:rsidR="005B777B">
        <w:rPr>
          <w:rFonts w:eastAsia="Times New Roman" w:cstheme="minorHAnsi"/>
          <w:color w:val="000000"/>
          <w:bdr w:val="none" w:sz="0" w:space="0" w:color="auto" w:frame="1"/>
        </w:rPr>
        <w:t xml:space="preserve"> to</w:t>
      </w:r>
      <w:r w:rsidR="009A5770">
        <w:rPr>
          <w:rFonts w:eastAsia="Times New Roman" w:cstheme="minorHAnsi"/>
          <w:color w:val="000000"/>
          <w:bdr w:val="none" w:sz="0" w:space="0" w:color="auto" w:frame="1"/>
        </w:rPr>
        <w:t xml:space="preserve"> be </w:t>
      </w:r>
      <w:r w:rsidR="00DB27D0">
        <w:rPr>
          <w:rFonts w:eastAsia="Times New Roman" w:cstheme="minorHAnsi"/>
          <w:color w:val="000000"/>
          <w:bdr w:val="none" w:sz="0" w:space="0" w:color="auto" w:frame="1"/>
        </w:rPr>
        <w:t xml:space="preserve">within an acceptable range by the end of </w:t>
      </w:r>
      <w:r w:rsidR="000E7867">
        <w:rPr>
          <w:rFonts w:eastAsia="Times New Roman" w:cstheme="minorHAnsi"/>
          <w:color w:val="000000"/>
          <w:bdr w:val="none" w:sz="0" w:space="0" w:color="auto" w:frame="1"/>
        </w:rPr>
        <w:t>the second</w:t>
      </w:r>
      <w:r w:rsidR="00DB27D0">
        <w:rPr>
          <w:rFonts w:eastAsia="Times New Roman" w:cstheme="minorHAnsi"/>
          <w:color w:val="000000"/>
          <w:bdr w:val="none" w:sz="0" w:space="0" w:color="auto" w:frame="1"/>
        </w:rPr>
        <w:t xml:space="preserve"> year of the project and </w:t>
      </w:r>
      <w:r w:rsidR="000E7867">
        <w:rPr>
          <w:rFonts w:eastAsia="Times New Roman" w:cstheme="minorHAnsi"/>
          <w:color w:val="000000"/>
          <w:bdr w:val="none" w:sz="0" w:space="0" w:color="auto" w:frame="1"/>
        </w:rPr>
        <w:t>further managed in subsequent years</w:t>
      </w:r>
      <w:r w:rsidR="009A5770">
        <w:rPr>
          <w:rFonts w:eastAsia="Times New Roman" w:cstheme="minorHAnsi"/>
          <w:color w:val="000000"/>
          <w:bdr w:val="none" w:sz="0" w:space="0" w:color="auto" w:frame="1"/>
        </w:rPr>
        <w:t xml:space="preserve">. </w:t>
      </w:r>
      <w:r w:rsidR="00170389">
        <w:rPr>
          <w:rFonts w:eastAsia="Times New Roman" w:cstheme="minorHAnsi"/>
          <w:color w:val="000000"/>
          <w:bdr w:val="none" w:sz="0" w:space="0" w:color="auto" w:frame="1"/>
        </w:rPr>
        <w:t>As to further increases in volume, a</w:t>
      </w:r>
      <w:r w:rsidR="00087BA0">
        <w:rPr>
          <w:rFonts w:eastAsia="Times New Roman" w:cstheme="minorHAnsi"/>
          <w:color w:val="000000"/>
          <w:bdr w:val="none" w:sz="0" w:space="0" w:color="auto" w:frame="1"/>
        </w:rPr>
        <w:t xml:space="preserve">s discussed in Question #4(b) below, it is unclear to what extent the reopening of Brockton Hospital’s endoscopy center </w:t>
      </w:r>
      <w:r w:rsidR="002E5A69">
        <w:rPr>
          <w:rFonts w:eastAsia="Times New Roman" w:cstheme="minorHAnsi"/>
          <w:color w:val="000000"/>
          <w:bdr w:val="none" w:sz="0" w:space="0" w:color="auto" w:frame="1"/>
        </w:rPr>
        <w:t xml:space="preserve">coupled with the recent closing of Carney Hospital </w:t>
      </w:r>
      <w:r w:rsidR="009A5770">
        <w:rPr>
          <w:rFonts w:eastAsia="Times New Roman" w:cstheme="minorHAnsi"/>
          <w:color w:val="000000"/>
          <w:bdr w:val="none" w:sz="0" w:space="0" w:color="auto" w:frame="1"/>
        </w:rPr>
        <w:t xml:space="preserve">may </w:t>
      </w:r>
      <w:r w:rsidR="00087BA0">
        <w:rPr>
          <w:rFonts w:eastAsia="Times New Roman" w:cstheme="minorHAnsi"/>
          <w:color w:val="000000"/>
          <w:bdr w:val="none" w:sz="0" w:space="0" w:color="auto" w:frame="1"/>
        </w:rPr>
        <w:t xml:space="preserve">impact WE’s </w:t>
      </w:r>
      <w:r w:rsidR="000E7867">
        <w:rPr>
          <w:rFonts w:eastAsia="Times New Roman" w:cstheme="minorHAnsi"/>
          <w:color w:val="000000"/>
          <w:bdr w:val="none" w:sz="0" w:space="0" w:color="auto" w:frame="1"/>
        </w:rPr>
        <w:t>volume,</w:t>
      </w:r>
      <w:r w:rsidR="002E5A69">
        <w:rPr>
          <w:rFonts w:eastAsia="Times New Roman" w:cstheme="minorHAnsi"/>
          <w:color w:val="000000"/>
          <w:bdr w:val="none" w:sz="0" w:space="0" w:color="auto" w:frame="1"/>
        </w:rPr>
        <w:t xml:space="preserve"> but the potential of increased volume exists</w:t>
      </w:r>
      <w:r w:rsidR="00087BA0">
        <w:rPr>
          <w:rFonts w:eastAsia="Times New Roman" w:cstheme="minorHAnsi"/>
          <w:color w:val="000000"/>
          <w:bdr w:val="none" w:sz="0" w:space="0" w:color="auto" w:frame="1"/>
        </w:rPr>
        <w:t xml:space="preserve">. </w:t>
      </w:r>
    </w:p>
    <w:p w14:paraId="27BE48F0" w14:textId="77777777" w:rsidR="00170389" w:rsidRDefault="00170389" w:rsidP="00276446">
      <w:pPr>
        <w:pStyle w:val="ListParagraph"/>
        <w:ind w:left="1440"/>
        <w:rPr>
          <w:rFonts w:eastAsia="Times New Roman" w:cstheme="minorHAnsi"/>
          <w:color w:val="000000"/>
          <w:bdr w:val="none" w:sz="0" w:space="0" w:color="auto" w:frame="1"/>
        </w:rPr>
      </w:pPr>
    </w:p>
    <w:p w14:paraId="58D67F18" w14:textId="2CD4FA82" w:rsidR="00276446" w:rsidRDefault="00170389" w:rsidP="00276446">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As to mitigating factors which are expected to potentially reduce expected volume, the </w:t>
      </w:r>
      <w:r>
        <w:rPr>
          <w:i/>
          <w:iCs/>
        </w:rPr>
        <w:t>US Multi-Society Task Force on Colorectal Cancer</w:t>
      </w:r>
      <w:r>
        <w:rPr>
          <w:rFonts w:eastAsia="Times New Roman" w:cstheme="minorHAnsi"/>
          <w:color w:val="000000"/>
          <w:bdr w:val="none" w:sz="0" w:space="0" w:color="auto" w:frame="1"/>
        </w:rPr>
        <w:t xml:space="preserve"> has </w:t>
      </w:r>
      <w:r w:rsidR="007F3AD3">
        <w:rPr>
          <w:rFonts w:eastAsia="Times New Roman" w:cstheme="minorHAnsi"/>
          <w:color w:val="000000"/>
          <w:bdr w:val="none" w:sz="0" w:space="0" w:color="auto" w:frame="1"/>
        </w:rPr>
        <w:t>proposed</w:t>
      </w:r>
      <w:r>
        <w:rPr>
          <w:rFonts w:eastAsia="Times New Roman" w:cstheme="minorHAnsi"/>
          <w:color w:val="000000"/>
          <w:bdr w:val="none" w:sz="0" w:space="0" w:color="auto" w:frame="1"/>
        </w:rPr>
        <w:t xml:space="preserve"> </w:t>
      </w:r>
      <w:r w:rsidR="00087BA0">
        <w:rPr>
          <w:rFonts w:eastAsia="Times New Roman" w:cstheme="minorHAnsi"/>
          <w:color w:val="000000"/>
          <w:bdr w:val="none" w:sz="0" w:space="0" w:color="auto" w:frame="1"/>
        </w:rPr>
        <w:t xml:space="preserve">changes in guidelines </w:t>
      </w:r>
      <w:r w:rsidR="00095308">
        <w:rPr>
          <w:rFonts w:eastAsia="Times New Roman" w:cstheme="minorHAnsi"/>
          <w:color w:val="000000"/>
          <w:bdr w:val="none" w:sz="0" w:space="0" w:color="auto" w:frame="1"/>
        </w:rPr>
        <w:t>concerning the</w:t>
      </w:r>
      <w:r w:rsidR="00087BA0">
        <w:rPr>
          <w:rFonts w:eastAsia="Times New Roman" w:cstheme="minorHAnsi"/>
          <w:color w:val="000000"/>
          <w:bdr w:val="none" w:sz="0" w:space="0" w:color="auto" w:frame="1"/>
        </w:rPr>
        <w:t xml:space="preserve"> extension of recall times for certain types of pathologies which may reduce some of the </w:t>
      </w:r>
      <w:r w:rsidR="00BE6A7A">
        <w:rPr>
          <w:rFonts w:eastAsia="Times New Roman" w:cstheme="minorHAnsi"/>
          <w:color w:val="000000"/>
          <w:bdr w:val="none" w:sz="0" w:space="0" w:color="auto" w:frame="1"/>
        </w:rPr>
        <w:t xml:space="preserve">Applicant’s </w:t>
      </w:r>
      <w:r w:rsidR="00087BA0">
        <w:rPr>
          <w:rFonts w:eastAsia="Times New Roman" w:cstheme="minorHAnsi"/>
          <w:color w:val="000000"/>
          <w:bdr w:val="none" w:sz="0" w:space="0" w:color="auto" w:frame="1"/>
        </w:rPr>
        <w:t>recall volumes.</w:t>
      </w:r>
      <w:r w:rsidR="00BE6A7A">
        <w:rPr>
          <w:rStyle w:val="FootnoteReference"/>
          <w:rFonts w:eastAsia="Times New Roman" w:cstheme="minorHAnsi"/>
          <w:color w:val="000000"/>
          <w:bdr w:val="none" w:sz="0" w:space="0" w:color="auto" w:frame="1"/>
        </w:rPr>
        <w:footnoteReference w:id="1"/>
      </w:r>
      <w:r w:rsidR="00087BA0">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 </w:t>
      </w:r>
      <w:r w:rsidR="00316B74">
        <w:rPr>
          <w:rFonts w:eastAsia="Times New Roman" w:cstheme="minorHAnsi"/>
          <w:color w:val="000000"/>
          <w:bdr w:val="none" w:sz="0" w:space="0" w:color="auto" w:frame="1"/>
        </w:rPr>
        <w:t xml:space="preserve">Once the backlog is </w:t>
      </w:r>
      <w:r w:rsidR="00087BA0">
        <w:rPr>
          <w:rFonts w:eastAsia="Times New Roman" w:cstheme="minorHAnsi"/>
          <w:color w:val="000000"/>
          <w:bdr w:val="none" w:sz="0" w:space="0" w:color="auto" w:frame="1"/>
        </w:rPr>
        <w:t>managed</w:t>
      </w:r>
      <w:r w:rsidR="009A5770">
        <w:rPr>
          <w:rFonts w:eastAsia="Times New Roman" w:cstheme="minorHAnsi"/>
          <w:color w:val="000000"/>
          <w:bdr w:val="none" w:sz="0" w:space="0" w:color="auto" w:frame="1"/>
        </w:rPr>
        <w:t xml:space="preserve"> and</w:t>
      </w:r>
      <w:r w:rsidR="00BA1923">
        <w:rPr>
          <w:rFonts w:eastAsia="Times New Roman" w:cstheme="minorHAnsi"/>
          <w:color w:val="000000"/>
          <w:bdr w:val="none" w:sz="0" w:space="0" w:color="auto" w:frame="1"/>
        </w:rPr>
        <w:t xml:space="preserve"> </w:t>
      </w:r>
      <w:r w:rsidR="00BE6A7A">
        <w:rPr>
          <w:rFonts w:eastAsia="Times New Roman" w:cstheme="minorHAnsi"/>
          <w:color w:val="000000"/>
          <w:bdr w:val="none" w:sz="0" w:space="0" w:color="auto" w:frame="1"/>
        </w:rPr>
        <w:t xml:space="preserve">to </w:t>
      </w:r>
      <w:r w:rsidR="00BE6A7A">
        <w:rPr>
          <w:rFonts w:eastAsia="Times New Roman" w:cstheme="minorHAnsi"/>
          <w:color w:val="000000"/>
          <w:bdr w:val="none" w:sz="0" w:space="0" w:color="auto" w:frame="1"/>
        </w:rPr>
        <w:lastRenderedPageBreak/>
        <w:t xml:space="preserve">the extent the above factors decrease the Applicant’s volume, the Applicant </w:t>
      </w:r>
      <w:r w:rsidR="00BA1923">
        <w:rPr>
          <w:rFonts w:eastAsia="Times New Roman" w:cstheme="minorHAnsi"/>
          <w:color w:val="000000"/>
          <w:bdr w:val="none" w:sz="0" w:space="0" w:color="auto" w:frame="1"/>
        </w:rPr>
        <w:t xml:space="preserve">anticipates that the utilization rate will </w:t>
      </w:r>
      <w:r w:rsidR="00EA29B3">
        <w:rPr>
          <w:rFonts w:eastAsia="Times New Roman" w:cstheme="minorHAnsi"/>
          <w:color w:val="000000"/>
          <w:bdr w:val="none" w:sz="0" w:space="0" w:color="auto" w:frame="1"/>
        </w:rPr>
        <w:t xml:space="preserve">maintain </w:t>
      </w:r>
      <w:r w:rsidR="00BE6A7A">
        <w:rPr>
          <w:rFonts w:eastAsia="Times New Roman" w:cstheme="minorHAnsi"/>
          <w:color w:val="000000"/>
          <w:bdr w:val="none" w:sz="0" w:space="0" w:color="auto" w:frame="1"/>
        </w:rPr>
        <w:t xml:space="preserve">at 100% </w:t>
      </w:r>
      <w:r w:rsidR="00BA1923">
        <w:rPr>
          <w:rFonts w:eastAsia="Times New Roman" w:cstheme="minorHAnsi"/>
          <w:color w:val="000000"/>
          <w:bdr w:val="none" w:sz="0" w:space="0" w:color="auto" w:frame="1"/>
        </w:rPr>
        <w:t xml:space="preserve">because of </w:t>
      </w:r>
      <w:r w:rsidR="00BE6A7A">
        <w:rPr>
          <w:rFonts w:eastAsia="Times New Roman" w:cstheme="minorHAnsi"/>
          <w:color w:val="000000"/>
          <w:bdr w:val="none" w:sz="0" w:space="0" w:color="auto" w:frame="1"/>
        </w:rPr>
        <w:t>its capacity to increase procedure volume.</w:t>
      </w:r>
      <w:r w:rsidR="00316B74">
        <w:rPr>
          <w:rFonts w:eastAsia="Times New Roman" w:cstheme="minorHAnsi"/>
          <w:color w:val="000000"/>
          <w:bdr w:val="none" w:sz="0" w:space="0" w:color="auto" w:frame="1"/>
        </w:rPr>
        <w:t xml:space="preserve"> </w:t>
      </w:r>
    </w:p>
    <w:p w14:paraId="46816ED6" w14:textId="37D695B5" w:rsidR="00276446" w:rsidRDefault="00276446" w:rsidP="00276446">
      <w:pPr>
        <w:pStyle w:val="ListParagraph"/>
        <w:ind w:left="1440"/>
        <w:rPr>
          <w:rFonts w:eastAsia="Times New Roman" w:cstheme="minorHAnsi"/>
          <w:color w:val="000000"/>
          <w:bdr w:val="none" w:sz="0" w:space="0" w:color="auto" w:frame="1"/>
        </w:rPr>
      </w:pPr>
    </w:p>
    <w:p w14:paraId="53949865" w14:textId="45DF92EF" w:rsidR="00216723" w:rsidRDefault="00D83A94" w:rsidP="000F6554">
      <w:pPr>
        <w:pStyle w:val="ListParagraph"/>
        <w:numPr>
          <w:ilvl w:val="0"/>
          <w:numId w:val="24"/>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application states that currently scheduling delays are seven to eight months. </w:t>
      </w:r>
    </w:p>
    <w:p w14:paraId="24291D17" w14:textId="50FABD4D" w:rsidR="00B3129D" w:rsidRDefault="00B3129D" w:rsidP="00216723">
      <w:pPr>
        <w:pStyle w:val="ListParagraph"/>
        <w:numPr>
          <w:ilvl w:val="1"/>
          <w:numId w:val="24"/>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Is there a difference in </w:t>
      </w:r>
      <w:r w:rsidR="00BC7CFD">
        <w:rPr>
          <w:rFonts w:eastAsia="Times New Roman" w:cstheme="minorHAnsi"/>
          <w:color w:val="000000"/>
          <w:bdr w:val="none" w:sz="0" w:space="0" w:color="auto" w:frame="1"/>
        </w:rPr>
        <w:t>wait time</w:t>
      </w:r>
      <w:r>
        <w:rPr>
          <w:rFonts w:eastAsia="Times New Roman" w:cstheme="minorHAnsi"/>
          <w:color w:val="000000"/>
          <w:bdr w:val="none" w:sz="0" w:space="0" w:color="auto" w:frame="1"/>
        </w:rPr>
        <w:t xml:space="preserve"> for upper and lower endoscopy?</w:t>
      </w:r>
    </w:p>
    <w:p w14:paraId="263FBA2E" w14:textId="77777777" w:rsidR="00016E77" w:rsidRDefault="00016E77" w:rsidP="00016E77">
      <w:pPr>
        <w:pStyle w:val="ListParagraph"/>
        <w:ind w:left="1440"/>
        <w:rPr>
          <w:rFonts w:eastAsia="Times New Roman" w:cstheme="minorHAnsi"/>
          <w:color w:val="000000"/>
          <w:bdr w:val="none" w:sz="0" w:space="0" w:color="auto" w:frame="1"/>
        </w:rPr>
      </w:pPr>
    </w:p>
    <w:p w14:paraId="35C073D9" w14:textId="77276B33" w:rsidR="006D1D8B" w:rsidRDefault="00016E77" w:rsidP="00016E77">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wait time, which we are referring to as scheduling delay, is the same for both upper and lower nonurgent Procedures, which is about </w:t>
      </w:r>
      <w:r w:rsidR="007F3AD3">
        <w:rPr>
          <w:rFonts w:eastAsia="Times New Roman" w:cstheme="minorHAnsi"/>
          <w:color w:val="000000"/>
          <w:bdr w:val="none" w:sz="0" w:space="0" w:color="auto" w:frame="1"/>
        </w:rPr>
        <w:t>seven to eight</w:t>
      </w:r>
      <w:r>
        <w:rPr>
          <w:rFonts w:eastAsia="Times New Roman" w:cstheme="minorHAnsi"/>
          <w:color w:val="000000"/>
          <w:bdr w:val="none" w:sz="0" w:space="0" w:color="auto" w:frame="1"/>
        </w:rPr>
        <w:t xml:space="preserve"> months.</w:t>
      </w:r>
      <w:r w:rsidR="00C42005">
        <w:rPr>
          <w:rFonts w:eastAsia="Times New Roman" w:cstheme="minorHAnsi"/>
          <w:color w:val="000000"/>
          <w:bdr w:val="none" w:sz="0" w:space="0" w:color="auto" w:frame="1"/>
        </w:rPr>
        <w:t xml:space="preserve"> </w:t>
      </w:r>
    </w:p>
    <w:p w14:paraId="4C5AABDF" w14:textId="77777777" w:rsidR="006D1D8B" w:rsidRDefault="006D1D8B" w:rsidP="00016E77">
      <w:pPr>
        <w:pStyle w:val="ListParagraph"/>
        <w:ind w:left="1440"/>
        <w:rPr>
          <w:rFonts w:eastAsia="Times New Roman" w:cstheme="minorHAnsi"/>
          <w:color w:val="000000"/>
          <w:bdr w:val="none" w:sz="0" w:space="0" w:color="auto" w:frame="1"/>
        </w:rPr>
      </w:pPr>
    </w:p>
    <w:p w14:paraId="596BA763" w14:textId="2BE98FE8" w:rsidR="000D2917" w:rsidRDefault="006D1D8B" w:rsidP="00016E77">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With respect to urgent Procedures, w</w:t>
      </w:r>
      <w:r w:rsidR="00F9781F">
        <w:rPr>
          <w:rFonts w:eastAsia="Times New Roman" w:cstheme="minorHAnsi"/>
          <w:color w:val="000000"/>
          <w:bdr w:val="none" w:sz="0" w:space="0" w:color="auto" w:frame="1"/>
        </w:rPr>
        <w:t xml:space="preserve">hile </w:t>
      </w:r>
      <w:r w:rsidR="00C42005">
        <w:rPr>
          <w:rFonts w:eastAsia="Times New Roman" w:cstheme="minorHAnsi"/>
          <w:color w:val="000000"/>
          <w:bdr w:val="none" w:sz="0" w:space="0" w:color="auto" w:frame="1"/>
        </w:rPr>
        <w:t xml:space="preserve">the wait times for each </w:t>
      </w:r>
      <w:r w:rsidR="00170389">
        <w:rPr>
          <w:rFonts w:eastAsia="Times New Roman" w:cstheme="minorHAnsi"/>
          <w:color w:val="000000"/>
          <w:bdr w:val="none" w:sz="0" w:space="0" w:color="auto" w:frame="1"/>
        </w:rPr>
        <w:t xml:space="preserve">type of </w:t>
      </w:r>
      <w:r w:rsidR="00C42005">
        <w:rPr>
          <w:rFonts w:eastAsia="Times New Roman" w:cstheme="minorHAnsi"/>
          <w:color w:val="000000"/>
          <w:bdr w:val="none" w:sz="0" w:space="0" w:color="auto" w:frame="1"/>
        </w:rPr>
        <w:t>Procedures are not tracked separately</w:t>
      </w:r>
      <w:r w:rsidR="00F9781F">
        <w:rPr>
          <w:rFonts w:eastAsia="Times New Roman" w:cstheme="minorHAnsi"/>
          <w:color w:val="000000"/>
          <w:bdr w:val="none" w:sz="0" w:space="0" w:color="auto" w:frame="1"/>
        </w:rPr>
        <w:t xml:space="preserve">, </w:t>
      </w:r>
      <w:r w:rsidR="00C42005">
        <w:rPr>
          <w:rFonts w:eastAsia="Times New Roman" w:cstheme="minorHAnsi"/>
          <w:color w:val="000000"/>
          <w:bdr w:val="none" w:sz="0" w:space="0" w:color="auto" w:frame="1"/>
        </w:rPr>
        <w:t>a</w:t>
      </w:r>
      <w:r w:rsidR="002707B0">
        <w:rPr>
          <w:rFonts w:eastAsia="Times New Roman" w:cstheme="minorHAnsi"/>
          <w:color w:val="000000"/>
          <w:bdr w:val="none" w:sz="0" w:space="0" w:color="auto" w:frame="1"/>
        </w:rPr>
        <w:t>s compared between urgent upper endoscopy and</w:t>
      </w:r>
      <w:r w:rsidR="00C42005">
        <w:rPr>
          <w:rFonts w:eastAsia="Times New Roman" w:cstheme="minorHAnsi"/>
          <w:color w:val="000000"/>
          <w:bdr w:val="none" w:sz="0" w:space="0" w:color="auto" w:frame="1"/>
        </w:rPr>
        <w:t xml:space="preserve"> urgent</w:t>
      </w:r>
      <w:r w:rsidR="002707B0">
        <w:rPr>
          <w:rFonts w:eastAsia="Times New Roman" w:cstheme="minorHAnsi"/>
          <w:color w:val="000000"/>
          <w:bdr w:val="none" w:sz="0" w:space="0" w:color="auto" w:frame="1"/>
        </w:rPr>
        <w:t xml:space="preserve"> lower endoscopy, the wait time for upper endoscopy is</w:t>
      </w:r>
      <w:r w:rsidR="00C42005">
        <w:rPr>
          <w:rFonts w:eastAsia="Times New Roman" w:cstheme="minorHAnsi"/>
          <w:color w:val="000000"/>
          <w:bdr w:val="none" w:sz="0" w:space="0" w:color="auto" w:frame="1"/>
        </w:rPr>
        <w:t xml:space="preserve"> generally</w:t>
      </w:r>
      <w:r w:rsidR="002707B0">
        <w:rPr>
          <w:rFonts w:eastAsia="Times New Roman" w:cstheme="minorHAnsi"/>
          <w:color w:val="000000"/>
          <w:bdr w:val="none" w:sz="0" w:space="0" w:color="auto" w:frame="1"/>
        </w:rPr>
        <w:t xml:space="preserve"> shorter</w:t>
      </w:r>
      <w:r w:rsidR="000C3778">
        <w:rPr>
          <w:rFonts w:eastAsia="Times New Roman" w:cstheme="minorHAnsi"/>
          <w:color w:val="000000"/>
          <w:bdr w:val="none" w:sz="0" w:space="0" w:color="auto" w:frame="1"/>
        </w:rPr>
        <w:t xml:space="preserve">. </w:t>
      </w:r>
      <w:r w:rsidR="00095308" w:rsidRPr="00095308">
        <w:rPr>
          <w:rFonts w:eastAsia="Times New Roman" w:cstheme="minorHAnsi"/>
          <w:color w:val="000000"/>
          <w:bdr w:val="none" w:sz="0" w:space="0" w:color="auto" w:frame="1"/>
        </w:rPr>
        <w:t>This is because upper endoscopies</w:t>
      </w:r>
      <w:r w:rsidR="00170389">
        <w:rPr>
          <w:rFonts w:eastAsia="Times New Roman" w:cstheme="minorHAnsi"/>
          <w:color w:val="000000"/>
          <w:bdr w:val="none" w:sz="0" w:space="0" w:color="auto" w:frame="1"/>
        </w:rPr>
        <w:t xml:space="preserve"> can be scheduled on shorter notice </w:t>
      </w:r>
      <w:r w:rsidR="00095308" w:rsidRPr="00095308">
        <w:rPr>
          <w:rFonts w:eastAsia="Times New Roman" w:cstheme="minorHAnsi"/>
          <w:color w:val="000000"/>
          <w:bdr w:val="none" w:sz="0" w:space="0" w:color="auto" w:frame="1"/>
        </w:rPr>
        <w:t xml:space="preserve">when there is a cancellation due to </w:t>
      </w:r>
      <w:r w:rsidR="00170389">
        <w:rPr>
          <w:rFonts w:eastAsia="Times New Roman" w:cstheme="minorHAnsi"/>
          <w:color w:val="000000"/>
          <w:bdr w:val="none" w:sz="0" w:space="0" w:color="auto" w:frame="1"/>
        </w:rPr>
        <w:t>a simpler</w:t>
      </w:r>
      <w:r>
        <w:rPr>
          <w:rFonts w:eastAsia="Times New Roman" w:cstheme="minorHAnsi"/>
          <w:color w:val="000000"/>
          <w:bdr w:val="none" w:sz="0" w:space="0" w:color="auto" w:frame="1"/>
        </w:rPr>
        <w:t xml:space="preserve"> procedure </w:t>
      </w:r>
      <w:r w:rsidR="00095308" w:rsidRPr="00095308">
        <w:rPr>
          <w:rFonts w:eastAsia="Times New Roman" w:cstheme="minorHAnsi"/>
          <w:color w:val="000000"/>
          <w:bdr w:val="none" w:sz="0" w:space="0" w:color="auto" w:frame="1"/>
        </w:rPr>
        <w:t>preparation process</w:t>
      </w:r>
      <w:r>
        <w:rPr>
          <w:rFonts w:eastAsia="Times New Roman" w:cstheme="minorHAnsi"/>
          <w:color w:val="000000"/>
          <w:bdr w:val="none" w:sz="0" w:space="0" w:color="auto" w:frame="1"/>
        </w:rPr>
        <w:t xml:space="preserve"> for patients</w:t>
      </w:r>
      <w:r w:rsidR="00095308" w:rsidRPr="00095308">
        <w:rPr>
          <w:rFonts w:eastAsia="Times New Roman" w:cstheme="minorHAnsi"/>
          <w:color w:val="000000"/>
          <w:bdr w:val="none" w:sz="0" w:space="0" w:color="auto" w:frame="1"/>
        </w:rPr>
        <w:t>.</w:t>
      </w:r>
    </w:p>
    <w:p w14:paraId="7869AE22" w14:textId="77777777" w:rsidR="000D2917" w:rsidRDefault="000D2917" w:rsidP="00016E77">
      <w:pPr>
        <w:pStyle w:val="ListParagraph"/>
        <w:ind w:left="1440"/>
        <w:rPr>
          <w:rFonts w:eastAsia="Times New Roman" w:cstheme="minorHAnsi"/>
          <w:color w:val="000000"/>
          <w:bdr w:val="none" w:sz="0" w:space="0" w:color="auto" w:frame="1"/>
        </w:rPr>
      </w:pPr>
    </w:p>
    <w:p w14:paraId="390E0C35" w14:textId="203B5042" w:rsidR="00016E77" w:rsidRDefault="000D2917" w:rsidP="00016E77">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Moreover, w</w:t>
      </w:r>
      <w:r w:rsidR="00DB41EC">
        <w:rPr>
          <w:rFonts w:eastAsia="Times New Roman" w:cstheme="minorHAnsi"/>
          <w:color w:val="000000"/>
          <w:bdr w:val="none" w:sz="0" w:space="0" w:color="auto" w:frame="1"/>
        </w:rPr>
        <w:t xml:space="preserve">hen there is a cancellation, patients needing upper endoscopy are prioritized according to their needs so the wait times </w:t>
      </w:r>
      <w:r w:rsidR="000C3778">
        <w:rPr>
          <w:rFonts w:eastAsia="Times New Roman" w:cstheme="minorHAnsi"/>
          <w:color w:val="000000"/>
          <w:bdr w:val="none" w:sz="0" w:space="0" w:color="auto" w:frame="1"/>
        </w:rPr>
        <w:t xml:space="preserve">for different types of upper endoscopy </w:t>
      </w:r>
      <w:r>
        <w:rPr>
          <w:rFonts w:eastAsia="Times New Roman" w:cstheme="minorHAnsi"/>
          <w:color w:val="000000"/>
          <w:bdr w:val="none" w:sz="0" w:space="0" w:color="auto" w:frame="1"/>
        </w:rPr>
        <w:t>may vary</w:t>
      </w:r>
      <w:r w:rsidR="008E5573">
        <w:rPr>
          <w:rFonts w:eastAsia="Times New Roman" w:cstheme="minorHAnsi"/>
          <w:color w:val="000000"/>
          <w:bdr w:val="none" w:sz="0" w:space="0" w:color="auto" w:frame="1"/>
        </w:rPr>
        <w:t xml:space="preserve"> depending on </w:t>
      </w:r>
      <w:r>
        <w:rPr>
          <w:rFonts w:eastAsia="Times New Roman" w:cstheme="minorHAnsi"/>
          <w:color w:val="000000"/>
          <w:bdr w:val="none" w:sz="0" w:space="0" w:color="auto" w:frame="1"/>
        </w:rPr>
        <w:t xml:space="preserve">the </w:t>
      </w:r>
      <w:r w:rsidR="008E5573">
        <w:rPr>
          <w:rFonts w:eastAsia="Times New Roman" w:cstheme="minorHAnsi"/>
          <w:color w:val="000000"/>
          <w:bdr w:val="none" w:sz="0" w:space="0" w:color="auto" w:frame="1"/>
        </w:rPr>
        <w:t>urgency level.</w:t>
      </w:r>
      <w:r w:rsidR="00C61E01">
        <w:rPr>
          <w:rFonts w:eastAsia="Times New Roman" w:cstheme="minorHAnsi"/>
          <w:color w:val="000000"/>
          <w:bdr w:val="none" w:sz="0" w:space="0" w:color="auto" w:frame="1"/>
        </w:rPr>
        <w:t xml:space="preserve"> For example,</w:t>
      </w:r>
      <w:r w:rsidR="00095308">
        <w:rPr>
          <w:rFonts w:eastAsia="Times New Roman" w:cstheme="minorHAnsi"/>
          <w:color w:val="000000"/>
          <w:bdr w:val="none" w:sz="0" w:space="0" w:color="auto" w:frame="1"/>
        </w:rPr>
        <w:t xml:space="preserve"> the</w:t>
      </w:r>
      <w:r w:rsidR="00C61E01">
        <w:rPr>
          <w:rFonts w:eastAsia="Times New Roman" w:cstheme="minorHAnsi"/>
          <w:color w:val="000000"/>
          <w:bdr w:val="none" w:sz="0" w:space="0" w:color="auto" w:frame="1"/>
        </w:rPr>
        <w:t xml:space="preserve"> scheduling of </w:t>
      </w:r>
      <w:r w:rsidR="006D1D8B">
        <w:rPr>
          <w:rFonts w:eastAsia="Times New Roman" w:cstheme="minorHAnsi"/>
          <w:color w:val="000000"/>
          <w:bdr w:val="none" w:sz="0" w:space="0" w:color="auto" w:frame="1"/>
        </w:rPr>
        <w:t xml:space="preserve">upper endoscopies for </w:t>
      </w:r>
      <w:r w:rsidR="00C61E01">
        <w:rPr>
          <w:rFonts w:eastAsia="Times New Roman" w:cstheme="minorHAnsi"/>
          <w:color w:val="000000"/>
          <w:bdr w:val="none" w:sz="0" w:space="0" w:color="auto" w:frame="1"/>
        </w:rPr>
        <w:t xml:space="preserve">dysphagia or </w:t>
      </w:r>
      <w:r w:rsidR="006D1D8B">
        <w:rPr>
          <w:rFonts w:eastAsia="Times New Roman" w:cstheme="minorHAnsi"/>
          <w:color w:val="000000"/>
          <w:bdr w:val="none" w:sz="0" w:space="0" w:color="auto" w:frame="1"/>
        </w:rPr>
        <w:t xml:space="preserve">other </w:t>
      </w:r>
      <w:r w:rsidR="00C61E01">
        <w:rPr>
          <w:rFonts w:eastAsia="Times New Roman" w:cstheme="minorHAnsi"/>
          <w:color w:val="000000"/>
          <w:bdr w:val="none" w:sz="0" w:space="0" w:color="auto" w:frame="1"/>
        </w:rPr>
        <w:t>a</w:t>
      </w:r>
      <w:r w:rsidR="006D1D8B">
        <w:rPr>
          <w:rFonts w:eastAsia="Times New Roman" w:cstheme="minorHAnsi"/>
          <w:color w:val="000000"/>
          <w:bdr w:val="none" w:sz="0" w:space="0" w:color="auto" w:frame="1"/>
        </w:rPr>
        <w:t>cute issues</w:t>
      </w:r>
      <w:r w:rsidR="00C61E01">
        <w:rPr>
          <w:rFonts w:eastAsia="Times New Roman" w:cstheme="minorHAnsi"/>
          <w:color w:val="000000"/>
          <w:bdr w:val="none" w:sz="0" w:space="0" w:color="auto" w:frame="1"/>
        </w:rPr>
        <w:t xml:space="preserve"> </w:t>
      </w:r>
      <w:r w:rsidR="006D1D8B">
        <w:rPr>
          <w:rFonts w:eastAsia="Times New Roman" w:cstheme="minorHAnsi"/>
          <w:color w:val="000000"/>
          <w:bdr w:val="none" w:sz="0" w:space="0" w:color="auto" w:frame="1"/>
        </w:rPr>
        <w:t>receives higher priority</w:t>
      </w:r>
      <w:r w:rsidR="00552E5E">
        <w:rPr>
          <w:rFonts w:eastAsia="Times New Roman" w:cstheme="minorHAnsi"/>
          <w:color w:val="000000"/>
          <w:bdr w:val="none" w:sz="0" w:space="0" w:color="auto" w:frame="1"/>
        </w:rPr>
        <w:t xml:space="preserve"> than </w:t>
      </w:r>
      <w:r w:rsidR="00095308">
        <w:rPr>
          <w:rFonts w:eastAsia="Times New Roman" w:cstheme="minorHAnsi"/>
          <w:color w:val="000000"/>
          <w:bdr w:val="none" w:sz="0" w:space="0" w:color="auto" w:frame="1"/>
        </w:rPr>
        <w:t xml:space="preserve">the </w:t>
      </w:r>
      <w:r w:rsidR="00552E5E">
        <w:rPr>
          <w:rFonts w:eastAsia="Times New Roman" w:cstheme="minorHAnsi"/>
          <w:color w:val="000000"/>
          <w:bdr w:val="none" w:sz="0" w:space="0" w:color="auto" w:frame="1"/>
        </w:rPr>
        <w:t>evaluation of</w:t>
      </w:r>
      <w:r w:rsidR="000A3131">
        <w:rPr>
          <w:rFonts w:eastAsia="Times New Roman" w:cstheme="minorHAnsi"/>
          <w:color w:val="000000"/>
          <w:bdr w:val="none" w:sz="0" w:space="0" w:color="auto" w:frame="1"/>
        </w:rPr>
        <w:t xml:space="preserve"> </w:t>
      </w:r>
      <w:r w:rsidR="000A3131" w:rsidRPr="000A3131">
        <w:rPr>
          <w:rFonts w:eastAsia="Times New Roman" w:cstheme="minorHAnsi"/>
          <w:color w:val="000000"/>
          <w:bdr w:val="none" w:sz="0" w:space="0" w:color="auto" w:frame="1"/>
        </w:rPr>
        <w:t xml:space="preserve">Gastroesophageal </w:t>
      </w:r>
      <w:r w:rsidR="000A3131">
        <w:rPr>
          <w:rFonts w:eastAsia="Times New Roman" w:cstheme="minorHAnsi"/>
          <w:color w:val="000000"/>
          <w:bdr w:val="none" w:sz="0" w:space="0" w:color="auto" w:frame="1"/>
        </w:rPr>
        <w:t>R</w:t>
      </w:r>
      <w:r w:rsidR="000A3131" w:rsidRPr="000A3131">
        <w:rPr>
          <w:rFonts w:eastAsia="Times New Roman" w:cstheme="minorHAnsi"/>
          <w:color w:val="000000"/>
          <w:bdr w:val="none" w:sz="0" w:space="0" w:color="auto" w:frame="1"/>
        </w:rPr>
        <w:t xml:space="preserve">eflux </w:t>
      </w:r>
      <w:r w:rsidR="000A3131">
        <w:rPr>
          <w:rFonts w:eastAsia="Times New Roman" w:cstheme="minorHAnsi"/>
          <w:color w:val="000000"/>
          <w:bdr w:val="none" w:sz="0" w:space="0" w:color="auto" w:frame="1"/>
        </w:rPr>
        <w:t>D</w:t>
      </w:r>
      <w:r w:rsidR="000A3131" w:rsidRPr="000A3131">
        <w:rPr>
          <w:rFonts w:eastAsia="Times New Roman" w:cstheme="minorHAnsi"/>
          <w:color w:val="000000"/>
          <w:bdr w:val="none" w:sz="0" w:space="0" w:color="auto" w:frame="1"/>
        </w:rPr>
        <w:t xml:space="preserve">isease </w:t>
      </w:r>
      <w:r w:rsidR="000A3131">
        <w:rPr>
          <w:rFonts w:eastAsia="Times New Roman" w:cstheme="minorHAnsi"/>
          <w:color w:val="000000"/>
          <w:bdr w:val="none" w:sz="0" w:space="0" w:color="auto" w:frame="1"/>
        </w:rPr>
        <w:t>(“</w:t>
      </w:r>
      <w:r w:rsidR="00552E5E">
        <w:rPr>
          <w:rFonts w:eastAsia="Times New Roman" w:cstheme="minorHAnsi"/>
          <w:color w:val="000000"/>
          <w:bdr w:val="none" w:sz="0" w:space="0" w:color="auto" w:frame="1"/>
        </w:rPr>
        <w:t>G</w:t>
      </w:r>
      <w:r w:rsidR="006D1D8B">
        <w:rPr>
          <w:rFonts w:eastAsia="Times New Roman" w:cstheme="minorHAnsi"/>
          <w:color w:val="000000"/>
          <w:bdr w:val="none" w:sz="0" w:space="0" w:color="auto" w:frame="1"/>
        </w:rPr>
        <w:t>ERD</w:t>
      </w:r>
      <w:r w:rsidR="00552E5E">
        <w:rPr>
          <w:rFonts w:eastAsia="Times New Roman" w:cstheme="minorHAnsi"/>
          <w:color w:val="000000"/>
          <w:bdr w:val="none" w:sz="0" w:space="0" w:color="auto" w:frame="1"/>
        </w:rPr>
        <w:t xml:space="preserve"> </w:t>
      </w:r>
      <w:r w:rsidR="000A3131">
        <w:rPr>
          <w:rFonts w:eastAsia="Times New Roman" w:cstheme="minorHAnsi"/>
          <w:color w:val="000000"/>
          <w:bdr w:val="none" w:sz="0" w:space="0" w:color="auto" w:frame="1"/>
        </w:rPr>
        <w:t xml:space="preserve">“) </w:t>
      </w:r>
      <w:r w:rsidR="00552E5E">
        <w:rPr>
          <w:rFonts w:eastAsia="Times New Roman" w:cstheme="minorHAnsi"/>
          <w:color w:val="000000"/>
          <w:bdr w:val="none" w:sz="0" w:space="0" w:color="auto" w:frame="1"/>
        </w:rPr>
        <w:t xml:space="preserve">or </w:t>
      </w:r>
      <w:r w:rsidR="006D1D8B">
        <w:rPr>
          <w:rFonts w:eastAsia="Times New Roman" w:cstheme="minorHAnsi"/>
          <w:color w:val="000000"/>
          <w:bdr w:val="none" w:sz="0" w:space="0" w:color="auto" w:frame="1"/>
        </w:rPr>
        <w:t xml:space="preserve">the </w:t>
      </w:r>
      <w:r w:rsidR="00552E5E">
        <w:rPr>
          <w:rFonts w:eastAsia="Times New Roman" w:cstheme="minorHAnsi"/>
          <w:color w:val="000000"/>
          <w:bdr w:val="none" w:sz="0" w:space="0" w:color="auto" w:frame="1"/>
        </w:rPr>
        <w:t>surveillance of Barrette</w:t>
      </w:r>
      <w:r w:rsidR="006D1D8B">
        <w:rPr>
          <w:rFonts w:eastAsia="Times New Roman" w:cstheme="minorHAnsi"/>
          <w:color w:val="000000"/>
          <w:bdr w:val="none" w:sz="0" w:space="0" w:color="auto" w:frame="1"/>
        </w:rPr>
        <w:t>’</w:t>
      </w:r>
      <w:r w:rsidR="00552E5E">
        <w:rPr>
          <w:rFonts w:eastAsia="Times New Roman" w:cstheme="minorHAnsi"/>
          <w:color w:val="000000"/>
          <w:bdr w:val="none" w:sz="0" w:space="0" w:color="auto" w:frame="1"/>
        </w:rPr>
        <w:t xml:space="preserve">s </w:t>
      </w:r>
      <w:r w:rsidR="006D1D8B">
        <w:rPr>
          <w:rFonts w:eastAsia="Times New Roman" w:cstheme="minorHAnsi"/>
          <w:color w:val="000000"/>
          <w:bdr w:val="none" w:sz="0" w:space="0" w:color="auto" w:frame="1"/>
        </w:rPr>
        <w:t>S</w:t>
      </w:r>
      <w:r w:rsidR="00552E5E">
        <w:rPr>
          <w:rFonts w:eastAsia="Times New Roman" w:cstheme="minorHAnsi"/>
          <w:color w:val="000000"/>
          <w:bdr w:val="none" w:sz="0" w:space="0" w:color="auto" w:frame="1"/>
        </w:rPr>
        <w:t xml:space="preserve">yndrome. </w:t>
      </w:r>
      <w:r w:rsidR="006D1D8B">
        <w:rPr>
          <w:rFonts w:eastAsia="Times New Roman" w:cstheme="minorHAnsi"/>
          <w:color w:val="000000"/>
          <w:bdr w:val="none" w:sz="0" w:space="0" w:color="auto" w:frame="1"/>
        </w:rPr>
        <w:t xml:space="preserve"> </w:t>
      </w:r>
      <w:r w:rsidR="00552E5E">
        <w:rPr>
          <w:rFonts w:eastAsia="Times New Roman" w:cstheme="minorHAnsi"/>
          <w:color w:val="000000"/>
          <w:bdr w:val="none" w:sz="0" w:space="0" w:color="auto" w:frame="1"/>
        </w:rPr>
        <w:t>When ne</w:t>
      </w:r>
      <w:r w:rsidR="00A15E14">
        <w:rPr>
          <w:rFonts w:eastAsia="Times New Roman" w:cstheme="minorHAnsi"/>
          <w:color w:val="000000"/>
          <w:bdr w:val="none" w:sz="0" w:space="0" w:color="auto" w:frame="1"/>
        </w:rPr>
        <w:t>eded</w:t>
      </w:r>
      <w:r w:rsidR="00552E5E">
        <w:rPr>
          <w:rFonts w:eastAsia="Times New Roman" w:cstheme="minorHAnsi"/>
          <w:color w:val="000000"/>
          <w:bdr w:val="none" w:sz="0" w:space="0" w:color="auto" w:frame="1"/>
        </w:rPr>
        <w:t>, the</w:t>
      </w:r>
      <w:r w:rsidR="00C61E01">
        <w:rPr>
          <w:rFonts w:eastAsia="Times New Roman" w:cstheme="minorHAnsi"/>
          <w:color w:val="000000"/>
          <w:bdr w:val="none" w:sz="0" w:space="0" w:color="auto" w:frame="1"/>
        </w:rPr>
        <w:t xml:space="preserve"> Applicant </w:t>
      </w:r>
      <w:r w:rsidR="00A15E14">
        <w:rPr>
          <w:rFonts w:eastAsia="Times New Roman" w:cstheme="minorHAnsi"/>
          <w:color w:val="000000"/>
          <w:bdr w:val="none" w:sz="0" w:space="0" w:color="auto" w:frame="1"/>
        </w:rPr>
        <w:t xml:space="preserve">may also </w:t>
      </w:r>
      <w:r w:rsidR="00C61E01">
        <w:rPr>
          <w:rFonts w:eastAsia="Times New Roman" w:cstheme="minorHAnsi"/>
          <w:color w:val="000000"/>
          <w:bdr w:val="none" w:sz="0" w:space="0" w:color="auto" w:frame="1"/>
        </w:rPr>
        <w:t>add a</w:t>
      </w:r>
      <w:r w:rsidR="00CE4738">
        <w:rPr>
          <w:rFonts w:eastAsia="Times New Roman" w:cstheme="minorHAnsi"/>
          <w:color w:val="000000"/>
          <w:bdr w:val="none" w:sz="0" w:space="0" w:color="auto" w:frame="1"/>
        </w:rPr>
        <w:t xml:space="preserve">cute </w:t>
      </w:r>
      <w:r w:rsidR="00C61E01">
        <w:rPr>
          <w:rFonts w:eastAsia="Times New Roman" w:cstheme="minorHAnsi"/>
          <w:color w:val="000000"/>
          <w:bdr w:val="none" w:sz="0" w:space="0" w:color="auto" w:frame="1"/>
        </w:rPr>
        <w:t xml:space="preserve">endoscopy </w:t>
      </w:r>
      <w:r w:rsidR="006D1D8B">
        <w:rPr>
          <w:rFonts w:eastAsia="Times New Roman" w:cstheme="minorHAnsi"/>
          <w:color w:val="000000"/>
          <w:bdr w:val="none" w:sz="0" w:space="0" w:color="auto" w:frame="1"/>
        </w:rPr>
        <w:t>patients</w:t>
      </w:r>
      <w:r w:rsidR="00CE4738">
        <w:rPr>
          <w:rFonts w:eastAsia="Times New Roman" w:cstheme="minorHAnsi"/>
          <w:color w:val="000000"/>
          <w:bdr w:val="none" w:sz="0" w:space="0" w:color="auto" w:frame="1"/>
        </w:rPr>
        <w:t xml:space="preserve"> </w:t>
      </w:r>
      <w:r w:rsidR="00C61E01">
        <w:rPr>
          <w:rFonts w:eastAsia="Times New Roman" w:cstheme="minorHAnsi"/>
          <w:color w:val="000000"/>
          <w:bdr w:val="none" w:sz="0" w:space="0" w:color="auto" w:frame="1"/>
        </w:rPr>
        <w:t>to an already</w:t>
      </w:r>
      <w:r w:rsidR="00CE4738">
        <w:rPr>
          <w:rFonts w:eastAsia="Times New Roman" w:cstheme="minorHAnsi"/>
          <w:color w:val="000000"/>
          <w:bdr w:val="none" w:sz="0" w:space="0" w:color="auto" w:frame="1"/>
        </w:rPr>
        <w:t xml:space="preserve"> full schedule </w:t>
      </w:r>
      <w:r w:rsidR="006D1D8B">
        <w:rPr>
          <w:rFonts w:eastAsia="Times New Roman" w:cstheme="minorHAnsi"/>
          <w:color w:val="000000"/>
          <w:bdr w:val="none" w:sz="0" w:space="0" w:color="auto" w:frame="1"/>
        </w:rPr>
        <w:t>resulting in</w:t>
      </w:r>
      <w:r w:rsidR="00095308">
        <w:rPr>
          <w:rFonts w:eastAsia="Times New Roman" w:cstheme="minorHAnsi"/>
          <w:color w:val="000000"/>
          <w:bdr w:val="none" w:sz="0" w:space="0" w:color="auto" w:frame="1"/>
        </w:rPr>
        <w:t xml:space="preserve"> </w:t>
      </w:r>
      <w:r w:rsidR="00A15E14">
        <w:rPr>
          <w:rFonts w:eastAsia="Times New Roman" w:cstheme="minorHAnsi"/>
          <w:color w:val="000000"/>
          <w:bdr w:val="none" w:sz="0" w:space="0" w:color="auto" w:frame="1"/>
        </w:rPr>
        <w:t>physicians provid</w:t>
      </w:r>
      <w:r w:rsidR="006D1D8B">
        <w:rPr>
          <w:rFonts w:eastAsia="Times New Roman" w:cstheme="minorHAnsi"/>
          <w:color w:val="000000"/>
          <w:bdr w:val="none" w:sz="0" w:space="0" w:color="auto" w:frame="1"/>
        </w:rPr>
        <w:t>ing</w:t>
      </w:r>
      <w:r w:rsidR="00A15E14">
        <w:rPr>
          <w:rFonts w:eastAsia="Times New Roman" w:cstheme="minorHAnsi"/>
          <w:color w:val="000000"/>
          <w:bdr w:val="none" w:sz="0" w:space="0" w:color="auto" w:frame="1"/>
        </w:rPr>
        <w:t xml:space="preserve"> overtime care.</w:t>
      </w:r>
    </w:p>
    <w:p w14:paraId="41173FDC" w14:textId="77777777" w:rsidR="00CD490C" w:rsidRPr="00CD490C" w:rsidRDefault="00CD490C" w:rsidP="00CD490C">
      <w:pPr>
        <w:pStyle w:val="ListParagraph"/>
        <w:ind w:left="1440"/>
        <w:rPr>
          <w:rFonts w:eastAsia="Times New Roman" w:cstheme="minorHAnsi"/>
          <w:color w:val="C00000"/>
          <w:bdr w:val="none" w:sz="0" w:space="0" w:color="auto" w:frame="1"/>
        </w:rPr>
      </w:pPr>
    </w:p>
    <w:p w14:paraId="069D9F14" w14:textId="4F8476A1" w:rsidR="005F38B8" w:rsidRDefault="00C11FF6" w:rsidP="00216723">
      <w:pPr>
        <w:pStyle w:val="ListParagraph"/>
        <w:numPr>
          <w:ilvl w:val="1"/>
          <w:numId w:val="24"/>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Is there a difference in </w:t>
      </w:r>
      <w:r w:rsidR="00BC7CFD">
        <w:rPr>
          <w:rFonts w:eastAsia="Times New Roman" w:cstheme="minorHAnsi"/>
          <w:color w:val="000000"/>
          <w:bdr w:val="none" w:sz="0" w:space="0" w:color="auto" w:frame="1"/>
        </w:rPr>
        <w:t>wait time</w:t>
      </w:r>
      <w:r w:rsidR="00965643">
        <w:rPr>
          <w:rFonts w:eastAsia="Times New Roman" w:cstheme="minorHAnsi"/>
          <w:color w:val="000000"/>
          <w:bdr w:val="none" w:sz="0" w:space="0" w:color="auto" w:frame="1"/>
        </w:rPr>
        <w:t xml:space="preserve"> </w:t>
      </w:r>
      <w:r w:rsidR="005F38B8" w:rsidRPr="000C7E05">
        <w:rPr>
          <w:rFonts w:eastAsia="Times New Roman" w:cstheme="minorHAnsi"/>
          <w:color w:val="000000"/>
          <w:bdr w:val="none" w:sz="0" w:space="0" w:color="auto" w:frame="1"/>
        </w:rPr>
        <w:t xml:space="preserve">for </w:t>
      </w:r>
      <w:r w:rsidR="000C7E05" w:rsidRPr="000C7E05">
        <w:rPr>
          <w:rFonts w:eastAsia="Times New Roman" w:cstheme="minorHAnsi"/>
          <w:color w:val="000000"/>
          <w:bdr w:val="none" w:sz="0" w:space="0" w:color="auto" w:frame="1"/>
        </w:rPr>
        <w:t>screening endoscopy and diagnostic endoscopy</w:t>
      </w:r>
      <w:r>
        <w:rPr>
          <w:rFonts w:eastAsia="Times New Roman" w:cstheme="minorHAnsi"/>
          <w:color w:val="000000"/>
          <w:bdr w:val="none" w:sz="0" w:space="0" w:color="auto" w:frame="1"/>
        </w:rPr>
        <w:t>?</w:t>
      </w:r>
      <w:r w:rsidR="000C7E05" w:rsidRPr="000C7E05">
        <w:rPr>
          <w:rFonts w:eastAsia="Times New Roman" w:cstheme="minorHAnsi"/>
          <w:color w:val="000000"/>
          <w:bdr w:val="none" w:sz="0" w:space="0" w:color="auto" w:frame="1"/>
        </w:rPr>
        <w:t xml:space="preserve"> </w:t>
      </w:r>
    </w:p>
    <w:p w14:paraId="2C3188A1" w14:textId="77777777" w:rsidR="00CE4738" w:rsidRDefault="00CE4738" w:rsidP="00CE4738">
      <w:pPr>
        <w:pStyle w:val="ListParagraph"/>
        <w:rPr>
          <w:rFonts w:eastAsia="Times New Roman" w:cstheme="minorHAnsi"/>
          <w:color w:val="000000"/>
          <w:bdr w:val="none" w:sz="0" w:space="0" w:color="auto" w:frame="1"/>
        </w:rPr>
      </w:pPr>
    </w:p>
    <w:p w14:paraId="41256ED2" w14:textId="2827DBBF" w:rsidR="00387569" w:rsidRPr="007521AB" w:rsidRDefault="001B0616" w:rsidP="007F3AD3">
      <w:pPr>
        <w:pStyle w:val="ListParagraph"/>
        <w:ind w:left="1440"/>
        <w:rPr>
          <w:rFonts w:eastAsia="Times New Roman" w:cstheme="minorHAnsi"/>
          <w:bdr w:val="none" w:sz="0" w:space="0" w:color="auto" w:frame="1"/>
        </w:rPr>
      </w:pPr>
      <w:r w:rsidRPr="007521AB">
        <w:rPr>
          <w:rFonts w:eastAsia="Times New Roman" w:cstheme="minorHAnsi"/>
          <w:bdr w:val="none" w:sz="0" w:space="0" w:color="auto" w:frame="1"/>
        </w:rPr>
        <w:t>The wait time for screening endoscopy and diagnostic endoscopy is the same</w:t>
      </w:r>
      <w:r w:rsidR="00AB2D9A" w:rsidRPr="007521AB">
        <w:rPr>
          <w:rFonts w:eastAsia="Times New Roman" w:cstheme="minorHAnsi"/>
          <w:bdr w:val="none" w:sz="0" w:space="0" w:color="auto" w:frame="1"/>
        </w:rPr>
        <w:t xml:space="preserve"> but the Applicant prioritizes scheduling of diagnostic endoscopy over screening endoscopy when there is a cancellation</w:t>
      </w:r>
      <w:r w:rsidRPr="007521AB">
        <w:rPr>
          <w:rFonts w:eastAsia="Times New Roman" w:cstheme="minorHAnsi"/>
          <w:bdr w:val="none" w:sz="0" w:space="0" w:color="auto" w:frame="1"/>
        </w:rPr>
        <w:t>. All</w:t>
      </w:r>
      <w:r w:rsidR="00F43192" w:rsidRPr="007521AB">
        <w:rPr>
          <w:rFonts w:eastAsia="Times New Roman" w:cstheme="minorHAnsi"/>
          <w:bdr w:val="none" w:sz="0" w:space="0" w:color="auto" w:frame="1"/>
        </w:rPr>
        <w:t xml:space="preserve"> screening endoscopies are scheduled in the order that they are received. </w:t>
      </w:r>
      <w:r w:rsidR="00387569">
        <w:rPr>
          <w:rFonts w:eastAsia="Times New Roman" w:cstheme="minorHAnsi"/>
          <w:bdr w:val="none" w:sz="0" w:space="0" w:color="auto" w:frame="1"/>
        </w:rPr>
        <w:t>The Applicant t</w:t>
      </w:r>
      <w:r w:rsidR="00095308">
        <w:rPr>
          <w:rFonts w:eastAsia="Times New Roman" w:cstheme="minorHAnsi"/>
          <w:bdr w:val="none" w:sz="0" w:space="0" w:color="auto" w:frame="1"/>
        </w:rPr>
        <w:t>r</w:t>
      </w:r>
      <w:r w:rsidR="00387569">
        <w:rPr>
          <w:rFonts w:eastAsia="Times New Roman" w:cstheme="minorHAnsi"/>
          <w:bdr w:val="none" w:sz="0" w:space="0" w:color="auto" w:frame="1"/>
        </w:rPr>
        <w:t xml:space="preserve">ies to schedule diagnostic endoscopy according to the level of acuity. The Applicant tries to save some spots for urgent </w:t>
      </w:r>
      <w:r w:rsidR="007F3AD3">
        <w:rPr>
          <w:rFonts w:eastAsia="Times New Roman" w:cstheme="minorHAnsi"/>
          <w:bdr w:val="none" w:sz="0" w:space="0" w:color="auto" w:frame="1"/>
        </w:rPr>
        <w:t>patients,</w:t>
      </w:r>
      <w:r w:rsidR="00387569">
        <w:rPr>
          <w:rFonts w:eastAsia="Times New Roman" w:cstheme="minorHAnsi"/>
          <w:bdr w:val="none" w:sz="0" w:space="0" w:color="auto" w:frame="1"/>
        </w:rPr>
        <w:t xml:space="preserve"> but th</w:t>
      </w:r>
      <w:r w:rsidR="006D1D8B">
        <w:rPr>
          <w:rFonts w:eastAsia="Times New Roman" w:cstheme="minorHAnsi"/>
          <w:bdr w:val="none" w:sz="0" w:space="0" w:color="auto" w:frame="1"/>
        </w:rPr>
        <w:t xml:space="preserve">ey are </w:t>
      </w:r>
      <w:r w:rsidR="00387569">
        <w:rPr>
          <w:rFonts w:eastAsia="Times New Roman" w:cstheme="minorHAnsi"/>
          <w:bdr w:val="none" w:sz="0" w:space="0" w:color="auto" w:frame="1"/>
        </w:rPr>
        <w:t xml:space="preserve">filled </w:t>
      </w:r>
      <w:r w:rsidR="006D1D8B">
        <w:rPr>
          <w:rFonts w:eastAsia="Times New Roman" w:cstheme="minorHAnsi"/>
          <w:bdr w:val="none" w:sz="0" w:space="0" w:color="auto" w:frame="1"/>
        </w:rPr>
        <w:t>quickly</w:t>
      </w:r>
      <w:r w:rsidR="00387569">
        <w:rPr>
          <w:rFonts w:eastAsia="Times New Roman" w:cstheme="minorHAnsi"/>
          <w:bdr w:val="none" w:sz="0" w:space="0" w:color="auto" w:frame="1"/>
        </w:rPr>
        <w:t xml:space="preserve"> due to the rising volume of urgent and diagnostic cases. </w:t>
      </w:r>
      <w:r w:rsidR="006D1D8B">
        <w:rPr>
          <w:rFonts w:eastAsia="Times New Roman" w:cstheme="minorHAnsi"/>
          <w:bdr w:val="none" w:sz="0" w:space="0" w:color="auto" w:frame="1"/>
        </w:rPr>
        <w:t>As noted in question 1 above, u</w:t>
      </w:r>
      <w:r w:rsidR="00E73A23">
        <w:rPr>
          <w:rFonts w:eastAsia="Times New Roman" w:cstheme="minorHAnsi"/>
          <w:bdr w:val="none" w:sz="0" w:space="0" w:color="auto" w:frame="1"/>
        </w:rPr>
        <w:t>rgent</w:t>
      </w:r>
      <w:r w:rsidR="00387569">
        <w:rPr>
          <w:rFonts w:eastAsia="Times New Roman" w:cstheme="minorHAnsi"/>
          <w:bdr w:val="none" w:sz="0" w:space="0" w:color="auto" w:frame="1"/>
        </w:rPr>
        <w:t xml:space="preserve"> diagnostic endoscop</w:t>
      </w:r>
      <w:r w:rsidR="00765F18">
        <w:rPr>
          <w:rFonts w:eastAsia="Times New Roman" w:cstheme="minorHAnsi"/>
          <w:bdr w:val="none" w:sz="0" w:space="0" w:color="auto" w:frame="1"/>
        </w:rPr>
        <w:t>ies</w:t>
      </w:r>
      <w:r w:rsidR="00387569">
        <w:rPr>
          <w:rFonts w:eastAsia="Times New Roman" w:cstheme="minorHAnsi"/>
          <w:bdr w:val="none" w:sz="0" w:space="0" w:color="auto" w:frame="1"/>
        </w:rPr>
        <w:t xml:space="preserve"> are scheduled in a canceled spot or by physicians providing care overtime if necessary. </w:t>
      </w:r>
    </w:p>
    <w:p w14:paraId="154C174A" w14:textId="77777777" w:rsidR="0068605C" w:rsidRDefault="0068605C" w:rsidP="0068605C">
      <w:pPr>
        <w:pStyle w:val="ListParagraph"/>
        <w:rPr>
          <w:rFonts w:eastAsia="Times New Roman" w:cstheme="minorHAnsi"/>
          <w:color w:val="000000"/>
          <w:bdr w:val="none" w:sz="0" w:space="0" w:color="auto" w:frame="1"/>
        </w:rPr>
      </w:pPr>
    </w:p>
    <w:p w14:paraId="2E3967CE" w14:textId="4D68F043" w:rsidR="007044F4" w:rsidRDefault="0068605C" w:rsidP="007044F4">
      <w:pPr>
        <w:pStyle w:val="ListParagraph"/>
        <w:numPr>
          <w:ilvl w:val="0"/>
          <w:numId w:val="24"/>
        </w:numPr>
        <w:rPr>
          <w:rFonts w:eastAsia="Times New Roman" w:cstheme="minorHAnsi"/>
          <w:color w:val="000000"/>
          <w:bdr w:val="none" w:sz="0" w:space="0" w:color="auto" w:frame="1"/>
        </w:rPr>
      </w:pPr>
      <w:bookmarkStart w:id="1" w:name="_Hlk176248486"/>
      <w:r>
        <w:rPr>
          <w:rFonts w:eastAsia="Times New Roman" w:cstheme="minorHAnsi"/>
          <w:color w:val="000000"/>
          <w:bdr w:val="none" w:sz="0" w:space="0" w:color="auto" w:frame="1"/>
        </w:rPr>
        <w:t xml:space="preserve">Given no current guidelines </w:t>
      </w:r>
      <w:r w:rsidR="000B73CC">
        <w:rPr>
          <w:rFonts w:eastAsia="Times New Roman" w:cstheme="minorHAnsi"/>
          <w:color w:val="000000"/>
          <w:bdr w:val="none" w:sz="0" w:space="0" w:color="auto" w:frame="1"/>
        </w:rPr>
        <w:t xml:space="preserve">exist </w:t>
      </w:r>
      <w:r>
        <w:rPr>
          <w:rFonts w:eastAsia="Times New Roman" w:cstheme="minorHAnsi"/>
          <w:color w:val="000000"/>
          <w:bdr w:val="none" w:sz="0" w:space="0" w:color="auto" w:frame="1"/>
        </w:rPr>
        <w:t xml:space="preserve">on optimal wait times for </w:t>
      </w:r>
      <w:r w:rsidR="000B73CC">
        <w:rPr>
          <w:rFonts w:eastAsia="Times New Roman" w:cstheme="minorHAnsi"/>
          <w:color w:val="000000"/>
          <w:bdr w:val="none" w:sz="0" w:space="0" w:color="auto" w:frame="1"/>
        </w:rPr>
        <w:t xml:space="preserve">endoscopy </w:t>
      </w:r>
      <w:r>
        <w:rPr>
          <w:rFonts w:eastAsia="Times New Roman" w:cstheme="minorHAnsi"/>
          <w:color w:val="000000"/>
          <w:bdr w:val="none" w:sz="0" w:space="0" w:color="auto" w:frame="1"/>
        </w:rPr>
        <w:t>procedures</w:t>
      </w:r>
      <w:r w:rsidR="000B73CC">
        <w:rPr>
          <w:rFonts w:eastAsia="Times New Roman" w:cstheme="minorHAnsi"/>
          <w:color w:val="000000"/>
          <w:bdr w:val="none" w:sz="0" w:space="0" w:color="auto" w:frame="1"/>
        </w:rPr>
        <w:t xml:space="preserve"> in the US</w:t>
      </w:r>
      <w:r>
        <w:rPr>
          <w:rFonts w:eastAsia="Times New Roman" w:cstheme="minorHAnsi"/>
          <w:color w:val="000000"/>
          <w:bdr w:val="none" w:sz="0" w:space="0" w:color="auto" w:frame="1"/>
        </w:rPr>
        <w:t xml:space="preserve">, how did the Applicant determine that two months is the appropriate wait time </w:t>
      </w:r>
      <w:r w:rsidR="00860D38">
        <w:rPr>
          <w:rFonts w:eastAsia="Times New Roman" w:cstheme="minorHAnsi"/>
          <w:color w:val="000000"/>
          <w:bdr w:val="none" w:sz="0" w:space="0" w:color="auto" w:frame="1"/>
        </w:rPr>
        <w:t>for</w:t>
      </w:r>
      <w:r>
        <w:rPr>
          <w:rFonts w:eastAsia="Times New Roman" w:cstheme="minorHAnsi"/>
          <w:color w:val="000000"/>
          <w:bdr w:val="none" w:sz="0" w:space="0" w:color="auto" w:frame="1"/>
        </w:rPr>
        <w:t xml:space="preserve"> access</w:t>
      </w:r>
      <w:r w:rsidR="00860D38">
        <w:rPr>
          <w:rFonts w:eastAsia="Times New Roman" w:cstheme="minorHAnsi"/>
          <w:color w:val="000000"/>
          <w:bdr w:val="none" w:sz="0" w:space="0" w:color="auto" w:frame="1"/>
        </w:rPr>
        <w:t>ing</w:t>
      </w:r>
      <w:r>
        <w:rPr>
          <w:rFonts w:eastAsia="Times New Roman" w:cstheme="minorHAnsi"/>
          <w:color w:val="000000"/>
          <w:bdr w:val="none" w:sz="0" w:space="0" w:color="auto" w:frame="1"/>
        </w:rPr>
        <w:t xml:space="preserve"> endoscopy procedures</w:t>
      </w:r>
      <w:r w:rsidR="00DB72CE">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w:t>
      </w:r>
    </w:p>
    <w:p w14:paraId="1ED0FA49" w14:textId="77777777" w:rsidR="007F3AD3" w:rsidRDefault="007F3AD3" w:rsidP="007F3AD3">
      <w:pPr>
        <w:pStyle w:val="ListParagraph"/>
        <w:rPr>
          <w:rFonts w:eastAsia="Times New Roman" w:cstheme="minorHAnsi"/>
          <w:color w:val="000000"/>
          <w:bdr w:val="none" w:sz="0" w:space="0" w:color="auto" w:frame="1"/>
        </w:rPr>
      </w:pPr>
    </w:p>
    <w:bookmarkEnd w:id="1"/>
    <w:p w14:paraId="0CC2B38C" w14:textId="77777777" w:rsidR="00232155" w:rsidRDefault="00232155" w:rsidP="007F3AD3">
      <w:pPr>
        <w:pStyle w:val="ListParagrap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While national recommendations are lacking in this regard, Applicant is familiar with guidelines set in other Western countries which suggest that two (2) months is the appropriate wait time for accessing endoscopy procedures. For example, according to the </w:t>
      </w:r>
      <w:r>
        <w:t xml:space="preserve">National Health Service England, patients should wait no more than six (6) weeks for endoscopy tests that can diagnose </w:t>
      </w:r>
      <w:r>
        <w:lastRenderedPageBreak/>
        <w:t>bowel cancer.</w:t>
      </w:r>
      <w:r w:rsidRPr="00DC4491">
        <w:rPr>
          <w:rStyle w:val="FootnoteReference"/>
          <w:rFonts w:eastAsia="Times New Roman" w:cstheme="minorHAnsi"/>
          <w:color w:val="000000"/>
          <w:bdr w:val="none" w:sz="0" w:space="0" w:color="auto" w:frame="1"/>
        </w:rPr>
        <w:t xml:space="preserve"> </w:t>
      </w:r>
      <w:r>
        <w:rPr>
          <w:rStyle w:val="FootnoteReference"/>
          <w:rFonts w:eastAsia="Times New Roman" w:cstheme="minorHAnsi"/>
          <w:color w:val="000000"/>
          <w:bdr w:val="none" w:sz="0" w:space="0" w:color="auto" w:frame="1"/>
        </w:rPr>
        <w:footnoteReference w:id="2"/>
      </w:r>
      <w:r>
        <w:rPr>
          <w:rFonts w:eastAsia="Times New Roman" w:cstheme="minorHAnsi"/>
          <w:color w:val="000000"/>
          <w:bdr w:val="none" w:sz="0" w:space="0" w:color="auto" w:frame="1"/>
        </w:rPr>
        <w:t xml:space="preserve"> Similarly, as Applicant noted in its response to DON Questions #1(Q #11(b)), the Canadian Association of Gastroenterology’s maximal wait times for selected referral indications can be summarized as follows:  </w:t>
      </w:r>
      <w:r w:rsidRPr="000168F5">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two (</w:t>
      </w:r>
      <w:r w:rsidRPr="000168F5">
        <w:rPr>
          <w:rFonts w:eastAsia="Times New Roman" w:cstheme="minorHAnsi"/>
          <w:color w:val="000000"/>
          <w:bdr w:val="none" w:sz="0" w:space="0" w:color="auto" w:frame="1"/>
        </w:rPr>
        <w:t>2</w:t>
      </w:r>
      <w:r>
        <w:rPr>
          <w:rFonts w:eastAsia="Times New Roman" w:cstheme="minorHAnsi"/>
          <w:color w:val="000000"/>
          <w:bdr w:val="none" w:sz="0" w:space="0" w:color="auto" w:frame="1"/>
        </w:rPr>
        <w:t>)</w:t>
      </w:r>
      <w:r w:rsidRPr="000168F5">
        <w:rPr>
          <w:rFonts w:eastAsia="Times New Roman" w:cstheme="minorHAnsi"/>
          <w:color w:val="000000"/>
          <w:bdr w:val="none" w:sz="0" w:space="0" w:color="auto" w:frame="1"/>
        </w:rPr>
        <w:t xml:space="preserve"> months for diagnostic colonoscopy</w:t>
      </w:r>
      <w:r>
        <w:rPr>
          <w:rFonts w:eastAsia="Times New Roman" w:cstheme="minorHAnsi"/>
          <w:color w:val="000000"/>
          <w:bdr w:val="none" w:sz="0" w:space="0" w:color="auto" w:frame="1"/>
        </w:rPr>
        <w:t xml:space="preserve">; </w:t>
      </w:r>
      <w:r w:rsidRPr="000168F5">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six (</w:t>
      </w:r>
      <w:r w:rsidRPr="000168F5">
        <w:rPr>
          <w:rFonts w:eastAsia="Times New Roman" w:cstheme="minorHAnsi"/>
          <w:color w:val="000000"/>
          <w:bdr w:val="none" w:sz="0" w:space="0" w:color="auto" w:frame="1"/>
        </w:rPr>
        <w:t>6</w:t>
      </w:r>
      <w:r>
        <w:rPr>
          <w:rFonts w:eastAsia="Times New Roman" w:cstheme="minorHAnsi"/>
          <w:color w:val="000000"/>
          <w:bdr w:val="none" w:sz="0" w:space="0" w:color="auto" w:frame="1"/>
        </w:rPr>
        <w:t>)</w:t>
      </w:r>
      <w:r w:rsidRPr="000168F5">
        <w:rPr>
          <w:rFonts w:eastAsia="Times New Roman" w:cstheme="minorHAnsi"/>
          <w:color w:val="000000"/>
          <w:bdr w:val="none" w:sz="0" w:space="0" w:color="auto" w:frame="1"/>
        </w:rPr>
        <w:t xml:space="preserve"> months for screening colonoscopy</w:t>
      </w:r>
      <w:r>
        <w:rPr>
          <w:rFonts w:eastAsia="Times New Roman" w:cstheme="minorHAnsi"/>
          <w:color w:val="000000"/>
          <w:bdr w:val="none" w:sz="0" w:space="0" w:color="auto" w:frame="1"/>
        </w:rPr>
        <w:t>.</w:t>
      </w:r>
      <w:r>
        <w:rPr>
          <w:rStyle w:val="FootnoteReference"/>
          <w:rFonts w:eastAsia="Times New Roman" w:cstheme="minorHAnsi"/>
          <w:color w:val="000000"/>
          <w:bdr w:val="none" w:sz="0" w:space="0" w:color="auto" w:frame="1"/>
        </w:rPr>
        <w:footnoteReference w:id="3"/>
      </w:r>
    </w:p>
    <w:p w14:paraId="246EB124" w14:textId="77777777" w:rsidR="00232155" w:rsidRDefault="00232155" w:rsidP="00232155">
      <w:pPr>
        <w:pStyle w:val="ListParagraph"/>
        <w:rPr>
          <w:rFonts w:eastAsia="Times New Roman" w:cstheme="minorHAnsi"/>
          <w:color w:val="000000"/>
          <w:bdr w:val="none" w:sz="0" w:space="0" w:color="auto" w:frame="1"/>
        </w:rPr>
      </w:pPr>
    </w:p>
    <w:p w14:paraId="3566C0C4" w14:textId="170F2E4E" w:rsidR="000C4808" w:rsidRDefault="00232155" w:rsidP="00232155">
      <w:pPr>
        <w:pStyle w:val="ListParagraph"/>
        <w:rPr>
          <w:rFonts w:eastAsia="Times New Roman" w:cstheme="minorHAnsi"/>
          <w:bdr w:val="none" w:sz="0" w:space="0" w:color="auto" w:frame="1"/>
        </w:rPr>
      </w:pPr>
      <w:r>
        <w:rPr>
          <w:rFonts w:eastAsia="Times New Roman" w:cstheme="minorHAnsi"/>
          <w:color w:val="000000"/>
          <w:bdr w:val="none" w:sz="0" w:space="0" w:color="auto" w:frame="1"/>
        </w:rPr>
        <w:t>In the context of United States, a study published in the Journal of General Internal Medicine in 2020 regarding trends in wait times for outpatient colonoscopy in the veteran’s health administration (“VA”) from 2008-2015 found the mean wait times in days for outpatient coloscopy following positive f</w:t>
      </w:r>
      <w:r w:rsidRPr="00876774">
        <w:rPr>
          <w:rFonts w:eastAsia="Times New Roman" w:cstheme="minorHAnsi"/>
          <w:color w:val="000000"/>
          <w:bdr w:val="none" w:sz="0" w:space="0" w:color="auto" w:frame="1"/>
        </w:rPr>
        <w:t>ecal occult blood test (FOBT)</w:t>
      </w:r>
      <w:r>
        <w:rPr>
          <w:rFonts w:eastAsia="Times New Roman" w:cstheme="minorHAnsi"/>
          <w:color w:val="000000"/>
          <w:bdr w:val="none" w:sz="0" w:space="0" w:color="auto" w:frame="1"/>
        </w:rPr>
        <w:t xml:space="preserve"> ranged from 47 to 55 days.</w:t>
      </w:r>
      <w:r>
        <w:rPr>
          <w:rStyle w:val="FootnoteReference"/>
          <w:rFonts w:eastAsia="Times New Roman" w:cstheme="minorHAnsi"/>
          <w:color w:val="000000"/>
          <w:bdr w:val="none" w:sz="0" w:space="0" w:color="auto" w:frame="1"/>
        </w:rPr>
        <w:footnoteReference w:id="4"/>
      </w:r>
      <w:r>
        <w:rPr>
          <w:rFonts w:eastAsia="Times New Roman" w:cstheme="minorHAnsi"/>
          <w:color w:val="000000"/>
          <w:bdr w:val="none" w:sz="0" w:space="0" w:color="auto" w:frame="1"/>
        </w:rPr>
        <w:t xml:space="preserve"> The study found this to be a clinically acceptable range because evidence suggest that delays of more than </w:t>
      </w:r>
      <w:r w:rsidR="007F3AD3">
        <w:rPr>
          <w:rFonts w:eastAsia="Times New Roman" w:cstheme="minorHAnsi"/>
          <w:color w:val="000000"/>
          <w:bdr w:val="none" w:sz="0" w:space="0" w:color="auto" w:frame="1"/>
        </w:rPr>
        <w:t>six (</w:t>
      </w:r>
      <w:r>
        <w:rPr>
          <w:rFonts w:eastAsia="Times New Roman" w:cstheme="minorHAnsi"/>
          <w:color w:val="000000"/>
          <w:bdr w:val="none" w:sz="0" w:space="0" w:color="auto" w:frame="1"/>
        </w:rPr>
        <w:t>6</w:t>
      </w:r>
      <w:r w:rsidR="007F3AD3">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months after a positive FOBT are associated with worse clinical outcomes.</w:t>
      </w:r>
      <w:r>
        <w:rPr>
          <w:rStyle w:val="FootnoteReference"/>
          <w:rFonts w:eastAsia="Times New Roman" w:cstheme="minorHAnsi"/>
          <w:color w:val="000000"/>
          <w:bdr w:val="none" w:sz="0" w:space="0" w:color="auto" w:frame="1"/>
        </w:rPr>
        <w:footnoteReference w:id="5"/>
      </w:r>
      <w:r>
        <w:rPr>
          <w:rFonts w:eastAsia="Times New Roman" w:cstheme="minorHAnsi"/>
          <w:color w:val="000000"/>
          <w:bdr w:val="none" w:sz="0" w:space="0" w:color="auto" w:frame="1"/>
        </w:rPr>
        <w:t xml:space="preserve">  However, the study also noted that while </w:t>
      </w:r>
      <w:r w:rsidRPr="007E60DA">
        <w:rPr>
          <w:rFonts w:eastAsia="Times New Roman" w:cstheme="minorHAnsi"/>
          <w:color w:val="000000"/>
          <w:bdr w:val="none" w:sz="0" w:space="0" w:color="auto" w:frame="1"/>
        </w:rPr>
        <w:t>VA colonoscopy wait times</w:t>
      </w:r>
      <w:r>
        <w:rPr>
          <w:rFonts w:eastAsia="Times New Roman" w:cstheme="minorHAnsi"/>
          <w:color w:val="000000"/>
          <w:bdr w:val="none" w:sz="0" w:space="0" w:color="auto" w:frame="1"/>
        </w:rPr>
        <w:t xml:space="preserve"> were</w:t>
      </w:r>
      <w:r w:rsidRPr="007E60DA">
        <w:rPr>
          <w:rFonts w:eastAsia="Times New Roman" w:cstheme="minorHAnsi"/>
          <w:color w:val="000000"/>
          <w:bdr w:val="none" w:sz="0" w:space="0" w:color="auto" w:frame="1"/>
        </w:rPr>
        <w:t xml:space="preserve"> well within a clinically acceptable range based on available evidence</w:t>
      </w:r>
      <w:r>
        <w:rPr>
          <w:rFonts w:eastAsia="Times New Roman" w:cstheme="minorHAnsi"/>
          <w:color w:val="000000"/>
          <w:bdr w:val="none" w:sz="0" w:space="0" w:color="auto" w:frame="1"/>
        </w:rPr>
        <w:t xml:space="preserve">, there was </w:t>
      </w:r>
      <w:r w:rsidRPr="007E60DA">
        <w:rPr>
          <w:rFonts w:eastAsia="Times New Roman" w:cstheme="minorHAnsi"/>
          <w:color w:val="000000"/>
          <w:bdr w:val="none" w:sz="0" w:space="0" w:color="auto" w:frame="1"/>
        </w:rPr>
        <w:t xml:space="preserve">often a disconnect between delays in care that may be justifiable based on medical evidence and what </w:t>
      </w:r>
      <w:r>
        <w:rPr>
          <w:rFonts w:eastAsia="Times New Roman" w:cstheme="minorHAnsi"/>
          <w:color w:val="000000"/>
          <w:bdr w:val="none" w:sz="0" w:space="0" w:color="auto" w:frame="1"/>
        </w:rPr>
        <w:t xml:space="preserve">patient or health system perceives as </w:t>
      </w:r>
      <w:r w:rsidRPr="007E60DA">
        <w:rPr>
          <w:rFonts w:eastAsia="Times New Roman" w:cstheme="minorHAnsi"/>
          <w:color w:val="000000"/>
          <w:bdr w:val="none" w:sz="0" w:space="0" w:color="auto" w:frame="1"/>
        </w:rPr>
        <w:t>appropriate</w:t>
      </w:r>
      <w:r>
        <w:rPr>
          <w:rFonts w:eastAsia="Times New Roman" w:cstheme="minorHAnsi"/>
          <w:color w:val="000000"/>
          <w:bdr w:val="none" w:sz="0" w:space="0" w:color="auto" w:frame="1"/>
        </w:rPr>
        <w:t>.</w:t>
      </w:r>
      <w:r>
        <w:rPr>
          <w:rStyle w:val="FootnoteReference"/>
          <w:rFonts w:eastAsia="Times New Roman" w:cstheme="minorHAnsi"/>
          <w:color w:val="000000"/>
          <w:bdr w:val="none" w:sz="0" w:space="0" w:color="auto" w:frame="1"/>
        </w:rPr>
        <w:footnoteReference w:id="6"/>
      </w:r>
      <w:r>
        <w:rPr>
          <w:rFonts w:eastAsia="Times New Roman" w:cstheme="minorHAnsi"/>
          <w:color w:val="000000"/>
          <w:bdr w:val="none" w:sz="0" w:space="0" w:color="auto" w:frame="1"/>
        </w:rPr>
        <w:t xml:space="preserve">  According to the study, there is </w:t>
      </w:r>
      <w:r w:rsidRPr="007E60DA">
        <w:rPr>
          <w:rFonts w:eastAsia="Times New Roman" w:cstheme="minorHAnsi"/>
          <w:color w:val="000000"/>
          <w:bdr w:val="none" w:sz="0" w:space="0" w:color="auto" w:frame="1"/>
        </w:rPr>
        <w:t xml:space="preserve">typically </w:t>
      </w:r>
      <w:r>
        <w:rPr>
          <w:rFonts w:eastAsia="Times New Roman" w:cstheme="minorHAnsi"/>
          <w:color w:val="000000"/>
          <w:bdr w:val="none" w:sz="0" w:space="0" w:color="auto" w:frame="1"/>
        </w:rPr>
        <w:t>“</w:t>
      </w:r>
      <w:r w:rsidRPr="007E60DA">
        <w:rPr>
          <w:rFonts w:eastAsia="Times New Roman" w:cstheme="minorHAnsi"/>
          <w:color w:val="000000"/>
          <w:bdr w:val="none" w:sz="0" w:space="0" w:color="auto" w:frame="1"/>
        </w:rPr>
        <w:t>a great deal of patient anxiety upon receipt of a positive cancer screening test, emotions that are often best addressed with prompt scheduling and completion of follow-up testing</w:t>
      </w:r>
      <w:r>
        <w:rPr>
          <w:rFonts w:eastAsia="Times New Roman" w:cstheme="minorHAnsi"/>
          <w:color w:val="000000"/>
          <w:bdr w:val="none" w:sz="0" w:space="0" w:color="auto" w:frame="1"/>
        </w:rPr>
        <w:t>.”</w:t>
      </w:r>
      <w:r>
        <w:rPr>
          <w:rStyle w:val="FootnoteReference"/>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  In addition, </w:t>
      </w:r>
      <w:r w:rsidRPr="00817C2B">
        <w:rPr>
          <w:rFonts w:eastAsia="Times New Roman" w:cstheme="minorHAnsi"/>
          <w:bdr w:val="none" w:sz="0" w:space="0" w:color="auto" w:frame="1"/>
        </w:rPr>
        <w:t>evidence show</w:t>
      </w:r>
      <w:r>
        <w:rPr>
          <w:rFonts w:eastAsia="Times New Roman" w:cstheme="minorHAnsi"/>
          <w:bdr w:val="none" w:sz="0" w:space="0" w:color="auto" w:frame="1"/>
        </w:rPr>
        <w:t>s</w:t>
      </w:r>
      <w:r w:rsidRPr="00817C2B">
        <w:rPr>
          <w:rFonts w:eastAsia="Times New Roman" w:cstheme="minorHAnsi"/>
          <w:bdr w:val="none" w:sz="0" w:space="0" w:color="auto" w:frame="1"/>
        </w:rPr>
        <w:t xml:space="preserve"> that longer wait times are associated with lower overall patient satisfaction with care, and also affect patient perceptions of their providers and quality of care.</w:t>
      </w:r>
      <w:r w:rsidRPr="00817C2B">
        <w:rPr>
          <w:rStyle w:val="FootnoteReference"/>
          <w:rFonts w:eastAsia="Times New Roman" w:cstheme="minorHAnsi"/>
          <w:bdr w:val="none" w:sz="0" w:space="0" w:color="auto" w:frame="1"/>
        </w:rPr>
        <w:footnoteReference w:id="7"/>
      </w:r>
    </w:p>
    <w:p w14:paraId="458E7D28" w14:textId="5FCC22FA" w:rsidR="00232155" w:rsidRDefault="00232155" w:rsidP="00232155">
      <w:pPr>
        <w:pStyle w:val="ListParagraph"/>
        <w:rPr>
          <w:rFonts w:eastAsia="Times New Roman" w:cstheme="minorHAnsi"/>
          <w:bdr w:val="none" w:sz="0" w:space="0" w:color="auto" w:frame="1"/>
        </w:rPr>
      </w:pPr>
      <w:r w:rsidRPr="00817C2B">
        <w:rPr>
          <w:rFonts w:eastAsia="Times New Roman" w:cstheme="minorHAnsi"/>
          <w:bdr w:val="none" w:sz="0" w:space="0" w:color="auto" w:frame="1"/>
        </w:rPr>
        <w:lastRenderedPageBreak/>
        <w:t xml:space="preserve"> </w:t>
      </w:r>
    </w:p>
    <w:p w14:paraId="4F326AED" w14:textId="6D628764" w:rsidR="00232155" w:rsidRPr="000C4808" w:rsidRDefault="00232155" w:rsidP="000C4808">
      <w:pPr>
        <w:pStyle w:val="ListParagraph"/>
        <w:rPr>
          <w:rFonts w:eastAsia="Times New Roman" w:cstheme="minorHAnsi"/>
          <w:bdr w:val="none" w:sz="0" w:space="0" w:color="auto" w:frame="1"/>
        </w:rPr>
      </w:pPr>
      <w:r w:rsidRPr="00817C2B">
        <w:rPr>
          <w:rFonts w:eastAsia="Times New Roman" w:cstheme="minorHAnsi"/>
          <w:bdr w:val="none" w:sz="0" w:space="0" w:color="auto" w:frame="1"/>
        </w:rPr>
        <w:t>Th</w:t>
      </w:r>
      <w:r>
        <w:rPr>
          <w:rFonts w:eastAsia="Times New Roman" w:cstheme="minorHAnsi"/>
          <w:bdr w:val="none" w:sz="0" w:space="0" w:color="auto" w:frame="1"/>
        </w:rPr>
        <w:t>ese study findings</w:t>
      </w:r>
      <w:r w:rsidRPr="00817C2B">
        <w:rPr>
          <w:rFonts w:eastAsia="Times New Roman" w:cstheme="minorHAnsi"/>
          <w:bdr w:val="none" w:sz="0" w:space="0" w:color="auto" w:frame="1"/>
        </w:rPr>
        <w:t xml:space="preserve"> reflect the Applicant</w:t>
      </w:r>
      <w:r>
        <w:rPr>
          <w:rFonts w:eastAsia="Times New Roman" w:cstheme="minorHAnsi"/>
          <w:bdr w:val="none" w:sz="0" w:space="0" w:color="auto" w:frame="1"/>
        </w:rPr>
        <w:t xml:space="preserve">’s </w:t>
      </w:r>
      <w:r w:rsidRPr="00817C2B">
        <w:rPr>
          <w:rFonts w:eastAsia="Times New Roman" w:cstheme="minorHAnsi"/>
          <w:bdr w:val="none" w:sz="0" w:space="0" w:color="auto" w:frame="1"/>
        </w:rPr>
        <w:t xml:space="preserve">experience in its own Patient Panel – patients tend to get very upset if they have to wait extended times once they decide to undergo the Procedures, especially when they have a positive </w:t>
      </w:r>
      <w:hyperlink r:id="rId10" w:tgtFrame="_blank" w:history="1">
        <w:r w:rsidRPr="00817C2B">
          <w:t>Fecal Immunochemical Test (FIT)</w:t>
        </w:r>
      </w:hyperlink>
      <w:r w:rsidRPr="00817C2B">
        <w:rPr>
          <w:rFonts w:eastAsia="Times New Roman" w:cstheme="minorHAnsi"/>
          <w:bdr w:val="none" w:sz="0" w:space="0" w:color="auto" w:frame="1"/>
        </w:rPr>
        <w:t xml:space="preserve"> or positive Cologuard test</w:t>
      </w:r>
      <w:r w:rsidR="000C4808">
        <w:rPr>
          <w:rFonts w:eastAsia="Times New Roman" w:cstheme="minorHAnsi"/>
          <w:bdr w:val="none" w:sz="0" w:space="0" w:color="auto" w:frame="1"/>
        </w:rPr>
        <w:t xml:space="preserve">, and as noted in Question #2(b) above, WE </w:t>
      </w:r>
      <w:r w:rsidRPr="000C4808">
        <w:rPr>
          <w:rFonts w:eastAsia="Times New Roman" w:cstheme="minorHAnsi"/>
          <w:bdr w:val="none" w:sz="0" w:space="0" w:color="auto" w:frame="1"/>
        </w:rPr>
        <w:t>prioritizes scheduling for diagnostic colonoscopies over screening for these reasons.</w:t>
      </w:r>
    </w:p>
    <w:p w14:paraId="24F75966" w14:textId="77777777" w:rsidR="00E73A23" w:rsidRPr="00033D11" w:rsidRDefault="00E73A23" w:rsidP="00D67AFB">
      <w:pPr>
        <w:pStyle w:val="ListParagraph"/>
        <w:rPr>
          <w:rFonts w:eastAsia="Times New Roman" w:cstheme="minorHAnsi"/>
          <w:color w:val="C00000"/>
          <w:bdr w:val="none" w:sz="0" w:space="0" w:color="auto" w:frame="1"/>
        </w:rPr>
      </w:pPr>
    </w:p>
    <w:p w14:paraId="17763C68" w14:textId="7F157462" w:rsidR="007044F4" w:rsidRPr="00033D11" w:rsidRDefault="007044F4" w:rsidP="007044F4">
      <w:pPr>
        <w:pStyle w:val="ListParagraph"/>
        <w:numPr>
          <w:ilvl w:val="0"/>
          <w:numId w:val="24"/>
        </w:numPr>
        <w:rPr>
          <w:rFonts w:eastAsia="Times New Roman" w:cstheme="minorHAnsi"/>
          <w:bdr w:val="none" w:sz="0" w:space="0" w:color="auto" w:frame="1"/>
        </w:rPr>
      </w:pPr>
      <w:r w:rsidRPr="00033D11">
        <w:rPr>
          <w:rFonts w:eastAsia="Times New Roman" w:cstheme="minorHAnsi"/>
          <w:bdr w:val="none" w:sz="0" w:space="0" w:color="auto" w:frame="1"/>
        </w:rPr>
        <w:t>The application and responses to DoN Questions</w:t>
      </w:r>
      <w:r w:rsidR="00CC21CF" w:rsidRPr="00033D11">
        <w:rPr>
          <w:rFonts w:eastAsia="Times New Roman" w:cstheme="minorHAnsi"/>
          <w:bdr w:val="none" w:sz="0" w:space="0" w:color="auto" w:frame="1"/>
        </w:rPr>
        <w:t xml:space="preserve"> #1</w:t>
      </w:r>
      <w:r w:rsidRPr="00033D11">
        <w:rPr>
          <w:rFonts w:eastAsia="Times New Roman" w:cstheme="minorHAnsi"/>
          <w:bdr w:val="none" w:sz="0" w:space="0" w:color="auto" w:frame="1"/>
        </w:rPr>
        <w:t xml:space="preserve"> state that </w:t>
      </w:r>
      <w:r w:rsidR="00482B3F" w:rsidRPr="00033D11">
        <w:rPr>
          <w:rFonts w:eastAsia="Times New Roman" w:cstheme="minorHAnsi"/>
          <w:bdr w:val="none" w:sz="0" w:space="0" w:color="auto" w:frame="1"/>
        </w:rPr>
        <w:t>recent expected and unexpected temporary and permanent closures of hospitals in the South Shore area have caused a decrease in access to spaces in the region for performing endoscopy procedures and an increase in Applicant’s volume</w:t>
      </w:r>
      <w:r w:rsidR="00583A09" w:rsidRPr="00033D11">
        <w:rPr>
          <w:rFonts w:eastAsia="Times New Roman" w:cstheme="minorHAnsi"/>
          <w:bdr w:val="none" w:sz="0" w:space="0" w:color="auto" w:frame="1"/>
        </w:rPr>
        <w:t>. The responses named the closure</w:t>
      </w:r>
      <w:r w:rsidR="00684950" w:rsidRPr="00033D11">
        <w:rPr>
          <w:rFonts w:eastAsia="Times New Roman" w:cstheme="minorHAnsi"/>
          <w:bdr w:val="none" w:sz="0" w:space="0" w:color="auto" w:frame="1"/>
        </w:rPr>
        <w:t>s</w:t>
      </w:r>
      <w:r w:rsidR="00583A09" w:rsidRPr="00033D11">
        <w:rPr>
          <w:rFonts w:eastAsia="Times New Roman" w:cstheme="minorHAnsi"/>
          <w:bdr w:val="none" w:sz="0" w:space="0" w:color="auto" w:frame="1"/>
        </w:rPr>
        <w:t xml:space="preserve"> of Brockton Hospital and Good Samaritan Medical Center. </w:t>
      </w:r>
    </w:p>
    <w:p w14:paraId="39103C7B" w14:textId="37B853DB" w:rsidR="00A627F2" w:rsidRDefault="00A627F2" w:rsidP="00583A09">
      <w:pPr>
        <w:pStyle w:val="ListParagraph"/>
        <w:numPr>
          <w:ilvl w:val="1"/>
          <w:numId w:val="24"/>
        </w:numPr>
        <w:rPr>
          <w:rFonts w:eastAsia="Times New Roman" w:cstheme="minorHAnsi"/>
          <w:bdr w:val="none" w:sz="0" w:space="0" w:color="auto" w:frame="1"/>
        </w:rPr>
      </w:pPr>
      <w:r w:rsidRPr="00033D11">
        <w:rPr>
          <w:rFonts w:eastAsia="Times New Roman" w:cstheme="minorHAnsi"/>
          <w:bdr w:val="none" w:sz="0" w:space="0" w:color="auto" w:frame="1"/>
        </w:rPr>
        <w:t xml:space="preserve">Which </w:t>
      </w:r>
      <w:r w:rsidR="00316DE3" w:rsidRPr="00033D11">
        <w:rPr>
          <w:rFonts w:eastAsia="Times New Roman" w:cstheme="minorHAnsi"/>
          <w:bdr w:val="none" w:sz="0" w:space="0" w:color="auto" w:frame="1"/>
        </w:rPr>
        <w:t xml:space="preserve">service </w:t>
      </w:r>
      <w:r w:rsidRPr="00033D11">
        <w:rPr>
          <w:rFonts w:eastAsia="Times New Roman" w:cstheme="minorHAnsi"/>
          <w:bdr w:val="none" w:sz="0" w:space="0" w:color="auto" w:frame="1"/>
        </w:rPr>
        <w:t>closures at Good Samaritan Medical Center have impacted WE’s volume</w:t>
      </w:r>
      <w:r w:rsidR="006360A4" w:rsidRPr="00033D11">
        <w:rPr>
          <w:rFonts w:eastAsia="Times New Roman" w:cstheme="minorHAnsi"/>
          <w:bdr w:val="none" w:sz="0" w:space="0" w:color="auto" w:frame="1"/>
        </w:rPr>
        <w:t>?</w:t>
      </w:r>
    </w:p>
    <w:p w14:paraId="1CEF884E" w14:textId="77777777" w:rsidR="00636F29" w:rsidRDefault="00636F29" w:rsidP="00881F6A">
      <w:pPr>
        <w:pStyle w:val="ListParagraph"/>
        <w:ind w:left="1440"/>
        <w:rPr>
          <w:rFonts w:eastAsia="Times New Roman" w:cstheme="minorHAnsi"/>
          <w:bdr w:val="none" w:sz="0" w:space="0" w:color="auto" w:frame="1"/>
        </w:rPr>
      </w:pPr>
    </w:p>
    <w:p w14:paraId="32425157" w14:textId="41A61E91" w:rsidR="00881F6A" w:rsidRDefault="00881F6A" w:rsidP="00881F6A">
      <w:pPr>
        <w:pStyle w:val="ListParagraph"/>
        <w:ind w:left="1440"/>
        <w:rPr>
          <w:rFonts w:eastAsia="Times New Roman" w:cstheme="minorHAnsi"/>
          <w:bdr w:val="none" w:sz="0" w:space="0" w:color="auto" w:frame="1"/>
        </w:rPr>
      </w:pPr>
      <w:r w:rsidRPr="00881F6A">
        <w:rPr>
          <w:rFonts w:eastAsia="Times New Roman" w:cstheme="minorHAnsi"/>
          <w:bdr w:val="none" w:sz="0" w:space="0" w:color="auto" w:frame="1"/>
        </w:rPr>
        <w:t xml:space="preserve">The closure of </w:t>
      </w:r>
      <w:r w:rsidR="00765F18" w:rsidRPr="00881F6A">
        <w:rPr>
          <w:rFonts w:eastAsia="Times New Roman" w:cstheme="minorHAnsi"/>
          <w:bdr w:val="none" w:sz="0" w:space="0" w:color="auto" w:frame="1"/>
        </w:rPr>
        <w:t>the endoscopic</w:t>
      </w:r>
      <w:r w:rsidRPr="00881F6A">
        <w:rPr>
          <w:rFonts w:eastAsia="Times New Roman" w:cstheme="minorHAnsi"/>
          <w:bdr w:val="none" w:sz="0" w:space="0" w:color="auto" w:frame="1"/>
        </w:rPr>
        <w:t xml:space="preserve"> center at the </w:t>
      </w:r>
      <w:r>
        <w:rPr>
          <w:rFonts w:eastAsia="Times New Roman" w:cstheme="minorHAnsi"/>
          <w:bdr w:val="none" w:sz="0" w:space="0" w:color="auto" w:frame="1"/>
        </w:rPr>
        <w:t>G</w:t>
      </w:r>
      <w:r w:rsidRPr="00881F6A">
        <w:rPr>
          <w:rFonts w:eastAsia="Times New Roman" w:cstheme="minorHAnsi"/>
          <w:bdr w:val="none" w:sz="0" w:space="0" w:color="auto" w:frame="1"/>
        </w:rPr>
        <w:t>ood Samaritan Medical Center has impacted WE’s volume</w:t>
      </w:r>
      <w:r>
        <w:rPr>
          <w:rFonts w:eastAsia="Times New Roman" w:cstheme="minorHAnsi"/>
          <w:bdr w:val="none" w:sz="0" w:space="0" w:color="auto" w:frame="1"/>
        </w:rPr>
        <w:t>.</w:t>
      </w:r>
    </w:p>
    <w:p w14:paraId="620B5077" w14:textId="77777777" w:rsidR="00033D11" w:rsidRDefault="00033D11" w:rsidP="00033D11">
      <w:pPr>
        <w:pStyle w:val="ListParagraph"/>
        <w:ind w:left="1440"/>
        <w:rPr>
          <w:rFonts w:eastAsia="Times New Roman" w:cstheme="minorHAnsi"/>
          <w:color w:val="000000"/>
          <w:bdr w:val="none" w:sz="0" w:space="0" w:color="auto" w:frame="1"/>
        </w:rPr>
      </w:pPr>
    </w:p>
    <w:p w14:paraId="208E2240" w14:textId="50C46A22" w:rsidR="00583A09" w:rsidRDefault="00A627F2" w:rsidP="00583A09">
      <w:pPr>
        <w:pStyle w:val="ListParagraph"/>
        <w:numPr>
          <w:ilvl w:val="1"/>
          <w:numId w:val="24"/>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Will the </w:t>
      </w:r>
      <w:r w:rsidR="00114557">
        <w:rPr>
          <w:rFonts w:eastAsia="Times New Roman" w:cstheme="minorHAnsi"/>
          <w:color w:val="000000"/>
          <w:bdr w:val="none" w:sz="0" w:space="0" w:color="auto" w:frame="1"/>
        </w:rPr>
        <w:t xml:space="preserve">previous </w:t>
      </w:r>
      <w:r>
        <w:rPr>
          <w:rFonts w:eastAsia="Times New Roman" w:cstheme="minorHAnsi"/>
          <w:color w:val="000000"/>
          <w:bdr w:val="none" w:sz="0" w:space="0" w:color="auto" w:frame="1"/>
        </w:rPr>
        <w:t>closure of Brockton Hospital continue to impact WE’s volume, now that the hospital has reopened?</w:t>
      </w:r>
    </w:p>
    <w:p w14:paraId="1A674E66" w14:textId="77777777" w:rsidR="00636F29" w:rsidRDefault="00636F29" w:rsidP="00FA7DCD">
      <w:pPr>
        <w:pStyle w:val="ListParagraph"/>
        <w:ind w:left="1440"/>
        <w:rPr>
          <w:rFonts w:eastAsia="Times New Roman" w:cstheme="minorHAnsi"/>
          <w:color w:val="000000"/>
          <w:bdr w:val="none" w:sz="0" w:space="0" w:color="auto" w:frame="1"/>
        </w:rPr>
      </w:pPr>
    </w:p>
    <w:p w14:paraId="52EA1438" w14:textId="2C4CD3D5" w:rsidR="006D1D8B" w:rsidRDefault="00BB6A51" w:rsidP="00FA7DCD">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endoscopy center at Brockton Hospital has not </w:t>
      </w:r>
      <w:r w:rsidR="006D1D8B">
        <w:rPr>
          <w:rFonts w:eastAsia="Times New Roman" w:cstheme="minorHAnsi"/>
          <w:color w:val="000000"/>
          <w:bdr w:val="none" w:sz="0" w:space="0" w:color="auto" w:frame="1"/>
        </w:rPr>
        <w:t>re</w:t>
      </w:r>
      <w:r>
        <w:rPr>
          <w:rFonts w:eastAsia="Times New Roman" w:cstheme="minorHAnsi"/>
          <w:color w:val="000000"/>
          <w:bdr w:val="none" w:sz="0" w:space="0" w:color="auto" w:frame="1"/>
        </w:rPr>
        <w:t xml:space="preserve">opened yet. It is hard to </w:t>
      </w:r>
      <w:r w:rsidR="00921556">
        <w:rPr>
          <w:rFonts w:eastAsia="Times New Roman" w:cstheme="minorHAnsi"/>
          <w:color w:val="000000"/>
          <w:bdr w:val="none" w:sz="0" w:space="0" w:color="auto" w:frame="1"/>
        </w:rPr>
        <w:t>predict</w:t>
      </w:r>
      <w:r>
        <w:rPr>
          <w:rFonts w:eastAsia="Times New Roman" w:cstheme="minorHAnsi"/>
          <w:color w:val="000000"/>
          <w:bdr w:val="none" w:sz="0" w:space="0" w:color="auto" w:frame="1"/>
        </w:rPr>
        <w:t xml:space="preserve"> how the reopening of the center will impact WE’s volume. </w:t>
      </w:r>
      <w:r w:rsidR="006D1D8B">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Some patients may prefer </w:t>
      </w:r>
      <w:r w:rsidR="00765F18">
        <w:rPr>
          <w:rFonts w:eastAsia="Times New Roman" w:cstheme="minorHAnsi"/>
          <w:color w:val="000000"/>
          <w:bdr w:val="none" w:sz="0" w:space="0" w:color="auto" w:frame="1"/>
        </w:rPr>
        <w:t xml:space="preserve">to return </w:t>
      </w:r>
      <w:r>
        <w:rPr>
          <w:rFonts w:eastAsia="Times New Roman" w:cstheme="minorHAnsi"/>
          <w:color w:val="000000"/>
          <w:bdr w:val="none" w:sz="0" w:space="0" w:color="auto" w:frame="1"/>
        </w:rPr>
        <w:t xml:space="preserve">to Brockton Hospital, </w:t>
      </w:r>
      <w:r w:rsidR="008C08CF">
        <w:rPr>
          <w:rFonts w:eastAsia="Times New Roman" w:cstheme="minorHAnsi"/>
          <w:color w:val="000000"/>
          <w:bdr w:val="none" w:sz="0" w:space="0" w:color="auto" w:frame="1"/>
        </w:rPr>
        <w:t xml:space="preserve">while </w:t>
      </w:r>
      <w:r w:rsidR="00765F18">
        <w:rPr>
          <w:rFonts w:eastAsia="Times New Roman" w:cstheme="minorHAnsi"/>
          <w:color w:val="000000"/>
          <w:bdr w:val="none" w:sz="0" w:space="0" w:color="auto" w:frame="1"/>
        </w:rPr>
        <w:t>others</w:t>
      </w:r>
      <w:r>
        <w:rPr>
          <w:rFonts w:eastAsia="Times New Roman" w:cstheme="minorHAnsi"/>
          <w:color w:val="000000"/>
          <w:bdr w:val="none" w:sz="0" w:space="0" w:color="auto" w:frame="1"/>
        </w:rPr>
        <w:t xml:space="preserve"> may prefer to continue receiving care at WE.</w:t>
      </w:r>
      <w:r w:rsidR="0097172B">
        <w:rPr>
          <w:rFonts w:eastAsia="Times New Roman" w:cstheme="minorHAnsi"/>
          <w:color w:val="000000"/>
          <w:bdr w:val="none" w:sz="0" w:space="0" w:color="auto" w:frame="1"/>
        </w:rPr>
        <w:t xml:space="preserve"> </w:t>
      </w:r>
      <w:r w:rsidR="00881F6A">
        <w:rPr>
          <w:rFonts w:eastAsia="Times New Roman" w:cstheme="minorHAnsi"/>
          <w:color w:val="000000"/>
          <w:bdr w:val="none" w:sz="0" w:space="0" w:color="auto" w:frame="1"/>
        </w:rPr>
        <w:t xml:space="preserve"> </w:t>
      </w:r>
    </w:p>
    <w:p w14:paraId="716D2125" w14:textId="77777777" w:rsidR="006D1D8B" w:rsidRDefault="006D1D8B" w:rsidP="00FA7DCD">
      <w:pPr>
        <w:pStyle w:val="ListParagraph"/>
        <w:ind w:left="1440"/>
        <w:rPr>
          <w:rFonts w:eastAsia="Times New Roman" w:cstheme="minorHAnsi"/>
          <w:color w:val="000000"/>
          <w:bdr w:val="none" w:sz="0" w:space="0" w:color="auto" w:frame="1"/>
        </w:rPr>
      </w:pPr>
    </w:p>
    <w:p w14:paraId="15755C21" w14:textId="6FCE16B3" w:rsidR="007124FF" w:rsidRDefault="006D1D8B" w:rsidP="00FA7DCD">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There is also a new development since the date of our application</w:t>
      </w:r>
      <w:r w:rsidR="002E5A69">
        <w:rPr>
          <w:rFonts w:eastAsia="Times New Roman" w:cstheme="minorHAnsi"/>
          <w:color w:val="000000"/>
          <w:bdr w:val="none" w:sz="0" w:space="0" w:color="auto" w:frame="1"/>
        </w:rPr>
        <w:t xml:space="preserve"> that may impact volume.  T</w:t>
      </w:r>
      <w:r w:rsidR="00881F6A">
        <w:rPr>
          <w:rFonts w:eastAsia="Times New Roman" w:cstheme="minorHAnsi"/>
          <w:color w:val="000000"/>
          <w:bdr w:val="none" w:sz="0" w:space="0" w:color="auto" w:frame="1"/>
        </w:rPr>
        <w:t xml:space="preserve">wo WE physicians practiced at Carney </w:t>
      </w:r>
      <w:r w:rsidR="00765F18">
        <w:rPr>
          <w:rFonts w:eastAsia="Times New Roman" w:cstheme="minorHAnsi"/>
          <w:color w:val="000000"/>
          <w:bdr w:val="none" w:sz="0" w:space="0" w:color="auto" w:frame="1"/>
        </w:rPr>
        <w:t>H</w:t>
      </w:r>
      <w:r w:rsidR="00881F6A">
        <w:rPr>
          <w:rFonts w:eastAsia="Times New Roman" w:cstheme="minorHAnsi"/>
          <w:color w:val="000000"/>
          <w:bdr w:val="none" w:sz="0" w:space="0" w:color="auto" w:frame="1"/>
        </w:rPr>
        <w:t xml:space="preserve">ospital for years prior to joining WE, and with </w:t>
      </w:r>
      <w:r w:rsidR="00C61E01">
        <w:rPr>
          <w:rFonts w:eastAsia="Times New Roman" w:cstheme="minorHAnsi"/>
          <w:color w:val="000000"/>
          <w:bdr w:val="none" w:sz="0" w:space="0" w:color="auto" w:frame="1"/>
        </w:rPr>
        <w:t xml:space="preserve">the </w:t>
      </w:r>
      <w:r w:rsidR="00257EBD">
        <w:rPr>
          <w:rFonts w:eastAsia="Times New Roman" w:cstheme="minorHAnsi"/>
          <w:color w:val="000000"/>
          <w:bdr w:val="none" w:sz="0" w:space="0" w:color="auto" w:frame="1"/>
        </w:rPr>
        <w:t xml:space="preserve">Carney </w:t>
      </w:r>
      <w:r w:rsidR="00765F18">
        <w:rPr>
          <w:rFonts w:eastAsia="Times New Roman" w:cstheme="minorHAnsi"/>
          <w:color w:val="000000"/>
          <w:bdr w:val="none" w:sz="0" w:space="0" w:color="auto" w:frame="1"/>
        </w:rPr>
        <w:t>H</w:t>
      </w:r>
      <w:r w:rsidR="00257EBD">
        <w:rPr>
          <w:rFonts w:eastAsia="Times New Roman" w:cstheme="minorHAnsi"/>
          <w:color w:val="000000"/>
          <w:bdr w:val="none" w:sz="0" w:space="0" w:color="auto" w:frame="1"/>
        </w:rPr>
        <w:t>ospital</w:t>
      </w:r>
      <w:r w:rsidR="00881F6A">
        <w:rPr>
          <w:rFonts w:eastAsia="Times New Roman" w:cstheme="minorHAnsi"/>
          <w:color w:val="000000"/>
          <w:bdr w:val="none" w:sz="0" w:space="0" w:color="auto" w:frame="1"/>
        </w:rPr>
        <w:t xml:space="preserve">’s permanent closure </w:t>
      </w:r>
      <w:r w:rsidR="00257EBD">
        <w:rPr>
          <w:rFonts w:eastAsia="Times New Roman" w:cstheme="minorHAnsi"/>
          <w:color w:val="000000"/>
          <w:bdr w:val="none" w:sz="0" w:space="0" w:color="auto" w:frame="1"/>
        </w:rPr>
        <w:t>on August 31</w:t>
      </w:r>
      <w:r w:rsidR="00257EBD" w:rsidRPr="00257EBD">
        <w:rPr>
          <w:rFonts w:eastAsia="Times New Roman" w:cstheme="minorHAnsi"/>
          <w:color w:val="000000"/>
          <w:bdr w:val="none" w:sz="0" w:space="0" w:color="auto" w:frame="1"/>
          <w:vertAlign w:val="superscript"/>
        </w:rPr>
        <w:t>st</w:t>
      </w:r>
      <w:r w:rsidR="00257EBD">
        <w:rPr>
          <w:rFonts w:eastAsia="Times New Roman" w:cstheme="minorHAnsi"/>
          <w:color w:val="000000"/>
          <w:bdr w:val="none" w:sz="0" w:space="0" w:color="auto" w:frame="1"/>
        </w:rPr>
        <w:t xml:space="preserve">, </w:t>
      </w:r>
      <w:r w:rsidR="00921556">
        <w:rPr>
          <w:rFonts w:eastAsia="Times New Roman" w:cstheme="minorHAnsi"/>
          <w:color w:val="000000"/>
          <w:bdr w:val="none" w:sz="0" w:space="0" w:color="auto" w:frame="1"/>
        </w:rPr>
        <w:t xml:space="preserve">the Applicant </w:t>
      </w:r>
      <w:r w:rsidR="00C61E01">
        <w:rPr>
          <w:rFonts w:eastAsia="Times New Roman" w:cstheme="minorHAnsi"/>
          <w:color w:val="000000"/>
          <w:bdr w:val="none" w:sz="0" w:space="0" w:color="auto" w:frame="1"/>
        </w:rPr>
        <w:t>has</w:t>
      </w:r>
      <w:r w:rsidR="00921556">
        <w:rPr>
          <w:rFonts w:eastAsia="Times New Roman" w:cstheme="minorHAnsi"/>
          <w:color w:val="000000"/>
          <w:bdr w:val="none" w:sz="0" w:space="0" w:color="auto" w:frame="1"/>
        </w:rPr>
        <w:t xml:space="preserve"> already </w:t>
      </w:r>
      <w:r w:rsidR="00C61E01">
        <w:rPr>
          <w:rFonts w:eastAsia="Times New Roman" w:cstheme="minorHAnsi"/>
          <w:color w:val="000000"/>
          <w:bdr w:val="none" w:sz="0" w:space="0" w:color="auto" w:frame="1"/>
        </w:rPr>
        <w:t>received</w:t>
      </w:r>
      <w:r w:rsidR="00881F6A">
        <w:rPr>
          <w:rFonts w:eastAsia="Times New Roman" w:cstheme="minorHAnsi"/>
          <w:color w:val="000000"/>
          <w:bdr w:val="none" w:sz="0" w:space="0" w:color="auto" w:frame="1"/>
        </w:rPr>
        <w:t xml:space="preserve"> </w:t>
      </w:r>
      <w:r w:rsidR="00C61E01">
        <w:rPr>
          <w:rFonts w:eastAsia="Times New Roman" w:cstheme="minorHAnsi"/>
          <w:color w:val="000000"/>
          <w:bdr w:val="none" w:sz="0" w:space="0" w:color="auto" w:frame="1"/>
        </w:rPr>
        <w:t>many calls from former patients looking to re</w:t>
      </w:r>
      <w:r w:rsidR="00765F18">
        <w:rPr>
          <w:rFonts w:eastAsia="Times New Roman" w:cstheme="minorHAnsi"/>
          <w:color w:val="000000"/>
          <w:bdr w:val="none" w:sz="0" w:space="0" w:color="auto" w:frame="1"/>
        </w:rPr>
        <w:t>-</w:t>
      </w:r>
      <w:r w:rsidR="00C61E01">
        <w:rPr>
          <w:rFonts w:eastAsia="Times New Roman" w:cstheme="minorHAnsi"/>
          <w:color w:val="000000"/>
          <w:bdr w:val="none" w:sz="0" w:space="0" w:color="auto" w:frame="1"/>
        </w:rPr>
        <w:t xml:space="preserve">establish </w:t>
      </w:r>
      <w:r w:rsidR="002E5A69">
        <w:rPr>
          <w:rFonts w:eastAsia="Times New Roman" w:cstheme="minorHAnsi"/>
          <w:color w:val="000000"/>
          <w:bdr w:val="none" w:sz="0" w:space="0" w:color="auto" w:frame="1"/>
        </w:rPr>
        <w:t>care at WE</w:t>
      </w:r>
      <w:r w:rsidR="00FA7DCD">
        <w:rPr>
          <w:rFonts w:eastAsia="Times New Roman" w:cstheme="minorHAnsi"/>
          <w:color w:val="000000"/>
          <w:bdr w:val="none" w:sz="0" w:space="0" w:color="auto" w:frame="1"/>
        </w:rPr>
        <w:t xml:space="preserve">. </w:t>
      </w:r>
      <w:r w:rsidR="002E5A69">
        <w:rPr>
          <w:rFonts w:eastAsia="Times New Roman" w:cstheme="minorHAnsi"/>
          <w:color w:val="000000"/>
          <w:bdr w:val="none" w:sz="0" w:space="0" w:color="auto" w:frame="1"/>
        </w:rPr>
        <w:t xml:space="preserve">Thus, </w:t>
      </w:r>
      <w:r w:rsidR="00C61E01">
        <w:rPr>
          <w:rFonts w:eastAsia="Times New Roman" w:cstheme="minorHAnsi"/>
          <w:color w:val="000000"/>
          <w:bdr w:val="none" w:sz="0" w:space="0" w:color="auto" w:frame="1"/>
        </w:rPr>
        <w:t xml:space="preserve">Applicant anticipates that </w:t>
      </w:r>
      <w:r w:rsidR="002E5A69">
        <w:rPr>
          <w:rFonts w:eastAsia="Times New Roman" w:cstheme="minorHAnsi"/>
          <w:color w:val="000000"/>
          <w:bdr w:val="none" w:sz="0" w:space="0" w:color="auto" w:frame="1"/>
        </w:rPr>
        <w:t xml:space="preserve">at least some </w:t>
      </w:r>
      <w:r w:rsidR="00C61E01">
        <w:rPr>
          <w:rFonts w:eastAsia="Times New Roman" w:cstheme="minorHAnsi"/>
          <w:color w:val="000000"/>
          <w:bdr w:val="none" w:sz="0" w:space="0" w:color="auto" w:frame="1"/>
        </w:rPr>
        <w:t xml:space="preserve">volume it loses </w:t>
      </w:r>
      <w:r w:rsidR="00765F18">
        <w:rPr>
          <w:rFonts w:eastAsia="Times New Roman" w:cstheme="minorHAnsi"/>
          <w:color w:val="000000"/>
          <w:bdr w:val="none" w:sz="0" w:space="0" w:color="auto" w:frame="1"/>
        </w:rPr>
        <w:t>may</w:t>
      </w:r>
      <w:r w:rsidR="008C08CF">
        <w:rPr>
          <w:rFonts w:eastAsia="Times New Roman" w:cstheme="minorHAnsi"/>
          <w:color w:val="000000"/>
          <w:bdr w:val="none" w:sz="0" w:space="0" w:color="auto" w:frame="1"/>
        </w:rPr>
        <w:t xml:space="preserve"> be replaced by patients coming in from Carney </w:t>
      </w:r>
      <w:r w:rsidR="00765F18">
        <w:rPr>
          <w:rFonts w:eastAsia="Times New Roman" w:cstheme="minorHAnsi"/>
          <w:color w:val="000000"/>
          <w:bdr w:val="none" w:sz="0" w:space="0" w:color="auto" w:frame="1"/>
        </w:rPr>
        <w:t>H</w:t>
      </w:r>
      <w:r w:rsidR="008C08CF">
        <w:rPr>
          <w:rFonts w:eastAsia="Times New Roman" w:cstheme="minorHAnsi"/>
          <w:color w:val="000000"/>
          <w:bdr w:val="none" w:sz="0" w:space="0" w:color="auto" w:frame="1"/>
        </w:rPr>
        <w:t>ospital</w:t>
      </w:r>
      <w:r w:rsidR="002E5A69">
        <w:rPr>
          <w:rFonts w:eastAsia="Times New Roman" w:cstheme="minorHAnsi"/>
          <w:color w:val="000000"/>
          <w:bdr w:val="none" w:sz="0" w:space="0" w:color="auto" w:frame="1"/>
        </w:rPr>
        <w:t xml:space="preserve">.  Still, </w:t>
      </w:r>
      <w:r w:rsidR="00FA7DCD">
        <w:rPr>
          <w:rFonts w:eastAsia="Times New Roman" w:cstheme="minorHAnsi"/>
          <w:color w:val="000000"/>
          <w:bdr w:val="none" w:sz="0" w:space="0" w:color="auto" w:frame="1"/>
        </w:rPr>
        <w:t>it is unclear at this point what the combined effect of</w:t>
      </w:r>
      <w:r w:rsidR="002E5A69">
        <w:rPr>
          <w:rFonts w:eastAsia="Times New Roman" w:cstheme="minorHAnsi"/>
          <w:color w:val="000000"/>
          <w:bdr w:val="none" w:sz="0" w:space="0" w:color="auto" w:frame="1"/>
        </w:rPr>
        <w:t xml:space="preserve"> a</w:t>
      </w:r>
      <w:r w:rsidR="00FA7DCD">
        <w:rPr>
          <w:rFonts w:eastAsia="Times New Roman" w:cstheme="minorHAnsi"/>
          <w:color w:val="000000"/>
          <w:bdr w:val="none" w:sz="0" w:space="0" w:color="auto" w:frame="1"/>
        </w:rPr>
        <w:t xml:space="preserve"> Brockton Hospital’s endoscopy center reopening </w:t>
      </w:r>
      <w:r w:rsidR="002E5A69">
        <w:rPr>
          <w:rFonts w:eastAsia="Times New Roman" w:cstheme="minorHAnsi"/>
          <w:color w:val="000000"/>
          <w:bdr w:val="none" w:sz="0" w:space="0" w:color="auto" w:frame="1"/>
        </w:rPr>
        <w:t>coupled with the</w:t>
      </w:r>
      <w:r w:rsidR="00FA7DCD">
        <w:rPr>
          <w:rFonts w:eastAsia="Times New Roman" w:cstheme="minorHAnsi"/>
          <w:color w:val="000000"/>
          <w:bdr w:val="none" w:sz="0" w:space="0" w:color="auto" w:frame="1"/>
        </w:rPr>
        <w:t xml:space="preserve"> Carney Hospital’s closure will be on WE’s volume</w:t>
      </w:r>
      <w:r w:rsidR="002E5A69">
        <w:rPr>
          <w:rFonts w:eastAsia="Times New Roman" w:cstheme="minorHAnsi"/>
          <w:color w:val="000000"/>
          <w:bdr w:val="none" w:sz="0" w:space="0" w:color="auto" w:frame="1"/>
        </w:rPr>
        <w:t xml:space="preserve"> but there is some potential for a net increase, subject to mitigating factors discussed in the response to question 1, above</w:t>
      </w:r>
      <w:r w:rsidR="00FA7DCD">
        <w:rPr>
          <w:rFonts w:eastAsia="Times New Roman" w:cstheme="minorHAnsi"/>
          <w:color w:val="000000"/>
          <w:bdr w:val="none" w:sz="0" w:space="0" w:color="auto" w:frame="1"/>
        </w:rPr>
        <w:t>.</w:t>
      </w:r>
    </w:p>
    <w:p w14:paraId="3FD6F869" w14:textId="7738DBEB" w:rsidR="00DF46ED" w:rsidRDefault="00DF46ED" w:rsidP="0060745D">
      <w:pPr>
        <w:shd w:val="clear" w:color="auto" w:fill="FFFFFF"/>
        <w:spacing w:before="100" w:beforeAutospacing="1" w:after="100" w:afterAutospacing="1" w:line="240" w:lineRule="auto"/>
        <w:rPr>
          <w:rFonts w:eastAsia="Times New Roman" w:cstheme="minorHAnsi"/>
          <w:b/>
          <w:bCs/>
          <w:color w:val="000000"/>
          <w:bdr w:val="none" w:sz="0" w:space="0" w:color="auto" w:frame="1"/>
        </w:rPr>
      </w:pPr>
      <w:bookmarkStart w:id="2" w:name="_Hlk176248503"/>
      <w:r w:rsidRPr="006345D0">
        <w:rPr>
          <w:rFonts w:eastAsia="Times New Roman" w:cstheme="minorHAnsi"/>
          <w:b/>
          <w:bCs/>
          <w:color w:val="000000"/>
          <w:bdr w:val="none" w:sz="0" w:space="0" w:color="auto" w:frame="1"/>
        </w:rPr>
        <w:t>Factor 1: b) Public Health Value, Improved Health Outcomes And Quality Of Life; Assurances Of Health Equity       </w:t>
      </w:r>
    </w:p>
    <w:p w14:paraId="16222192" w14:textId="14617798" w:rsidR="001741FF" w:rsidRDefault="00CD7085" w:rsidP="006B1D7F">
      <w:pPr>
        <w:pStyle w:val="ListParagraph"/>
        <w:numPr>
          <w:ilvl w:val="0"/>
          <w:numId w:val="24"/>
        </w:numPr>
      </w:pPr>
      <w:r>
        <w:t xml:space="preserve">The </w:t>
      </w:r>
      <w:r w:rsidR="00327E8A">
        <w:t xml:space="preserve">application attributes need for the Proposed Project to </w:t>
      </w:r>
      <w:r w:rsidR="003C7780">
        <w:t>wait times for accessing endoscopy services</w:t>
      </w:r>
      <w:r w:rsidR="00327E8A">
        <w:t xml:space="preserve">. Please provide any data or </w:t>
      </w:r>
      <w:r w:rsidR="00A351CE">
        <w:t>sources</w:t>
      </w:r>
      <w:r w:rsidR="001D631F">
        <w:t xml:space="preserve"> </w:t>
      </w:r>
      <w:r w:rsidR="007940DF">
        <w:t>demonstrating</w:t>
      </w:r>
      <w:r w:rsidR="001F791B">
        <w:t xml:space="preserve"> the</w:t>
      </w:r>
      <w:r w:rsidR="007753FD">
        <w:t xml:space="preserve"> negative</w:t>
      </w:r>
      <w:r w:rsidR="00327E8A">
        <w:t xml:space="preserve"> impact of delay</w:t>
      </w:r>
      <w:r w:rsidR="001F791B">
        <w:t xml:space="preserve">ing </w:t>
      </w:r>
      <w:r w:rsidR="00327E8A">
        <w:t xml:space="preserve">endoscopy </w:t>
      </w:r>
      <w:r w:rsidR="007753FD">
        <w:t>procedures</w:t>
      </w:r>
      <w:r w:rsidR="00327E8A">
        <w:t xml:space="preserve">. </w:t>
      </w:r>
    </w:p>
    <w:p w14:paraId="214DB1B8" w14:textId="77777777" w:rsidR="00D1419B" w:rsidRDefault="00D1419B" w:rsidP="00D1419B">
      <w:pPr>
        <w:pStyle w:val="ListParagraph"/>
      </w:pPr>
    </w:p>
    <w:bookmarkEnd w:id="2"/>
    <w:p w14:paraId="1EA7834E" w14:textId="5ECA2966" w:rsidR="00D1419B" w:rsidRPr="00817C2B" w:rsidRDefault="00D1419B" w:rsidP="00D1419B">
      <w:pPr>
        <w:pStyle w:val="ListParagraph"/>
        <w:rPr>
          <w:rFonts w:cs="Times New Roman"/>
          <w:shd w:val="clear" w:color="auto" w:fill="FFFFFF"/>
        </w:rPr>
      </w:pPr>
      <w:r w:rsidRPr="00817C2B">
        <w:t>The benefit of early detection of colon</w:t>
      </w:r>
      <w:r>
        <w:t xml:space="preserve"> </w:t>
      </w:r>
      <w:r w:rsidRPr="00817C2B">
        <w:t>cancer is well-established. As discussed in the application, colorectal cancer (“CRC”) is the</w:t>
      </w:r>
      <w:r w:rsidR="007F3AD3">
        <w:t xml:space="preserve"> second</w:t>
      </w:r>
      <w:r w:rsidRPr="00817C2B">
        <w:t xml:space="preserve"> most common cause of death due to cancer </w:t>
      </w:r>
      <w:r w:rsidRPr="00817C2B">
        <w:lastRenderedPageBreak/>
        <w:t>in the United States</w:t>
      </w:r>
      <w:r>
        <w:t>.</w:t>
      </w:r>
      <w:r w:rsidRPr="00817C2B">
        <w:rPr>
          <w:rStyle w:val="FootnoteReference"/>
        </w:rPr>
        <w:footnoteReference w:id="8"/>
      </w:r>
      <w:r w:rsidRPr="00817C2B">
        <w:t xml:space="preserve"> </w:t>
      </w:r>
      <w:r>
        <w:t>I</w:t>
      </w:r>
      <w:r w:rsidRPr="00817C2B">
        <w:t>t is also highly curable if it is found and treated early.</w:t>
      </w:r>
      <w:r w:rsidRPr="00817C2B">
        <w:rPr>
          <w:rStyle w:val="FootnoteReference"/>
        </w:rPr>
        <w:footnoteReference w:id="9"/>
      </w:r>
      <w:r w:rsidRPr="00817C2B">
        <w:t xml:space="preserve"> According to the American Cancer Society, colorectal cancer is 90% survivable when found early or in the local stage before it has spread.</w:t>
      </w:r>
      <w:r w:rsidRPr="00817C2B">
        <w:rPr>
          <w:rStyle w:val="FootnoteReference"/>
        </w:rPr>
        <w:footnoteReference w:id="10"/>
      </w:r>
      <w:r w:rsidRPr="00817C2B">
        <w:t xml:space="preserve"> </w:t>
      </w:r>
      <w:r w:rsidRPr="00817C2B">
        <w:rPr>
          <w:rFonts w:cs="Times New Roman"/>
          <w:shd w:val="clear" w:color="auto" w:fill="FFFFFF"/>
        </w:rPr>
        <w:t>Esophageal carcinoma also benefits from early detection.</w:t>
      </w:r>
      <w:r w:rsidRPr="00817C2B">
        <w:rPr>
          <w:rStyle w:val="FootnoteReference"/>
          <w:rFonts w:cs="Times New Roman"/>
          <w:shd w:val="clear" w:color="auto" w:fill="FFFFFF"/>
        </w:rPr>
        <w:footnoteReference w:id="11"/>
      </w:r>
    </w:p>
    <w:p w14:paraId="1B650BD3" w14:textId="77777777" w:rsidR="00D1419B" w:rsidRDefault="00D1419B" w:rsidP="00D1419B">
      <w:pPr>
        <w:pStyle w:val="ListParagraph"/>
      </w:pPr>
    </w:p>
    <w:p w14:paraId="0E8351E1" w14:textId="733C8F20" w:rsidR="00D1419B" w:rsidRPr="00853A59" w:rsidRDefault="00D1419B" w:rsidP="00D1419B">
      <w:pPr>
        <w:pStyle w:val="ListParagraph"/>
      </w:pPr>
      <w:r w:rsidRPr="00853A59">
        <w:t>From a practical standpoint, long w</w:t>
      </w:r>
      <w:r w:rsidRPr="00817C2B">
        <w:t>ait</w:t>
      </w:r>
      <w:r w:rsidRPr="00853A59">
        <w:t xml:space="preserve"> times</w:t>
      </w:r>
      <w:r w:rsidRPr="00817C2B">
        <w:t xml:space="preserve"> also</w:t>
      </w:r>
      <w:r w:rsidRPr="00853A59">
        <w:t xml:space="preserve"> </w:t>
      </w:r>
      <w:r w:rsidRPr="00817C2B">
        <w:t xml:space="preserve">lead </w:t>
      </w:r>
      <w:r>
        <w:t>to various</w:t>
      </w:r>
      <w:r w:rsidRPr="00853A59">
        <w:t xml:space="preserve"> difficulties for patients, primary care providers, and </w:t>
      </w:r>
      <w:r w:rsidRPr="00817C2B">
        <w:t xml:space="preserve">the Applicant’s </w:t>
      </w:r>
      <w:r w:rsidRPr="00853A59">
        <w:t xml:space="preserve">practice.  When </w:t>
      </w:r>
      <w:r w:rsidRPr="00817C2B">
        <w:t>P</w:t>
      </w:r>
      <w:r w:rsidRPr="00853A59">
        <w:t xml:space="preserve">rocedures are booked out seven </w:t>
      </w:r>
      <w:r w:rsidR="007F3AD3">
        <w:t xml:space="preserve">(7) </w:t>
      </w:r>
      <w:r w:rsidRPr="00853A59">
        <w:t xml:space="preserve">months in advance, it becomes quite challenging to find a way to appropriately schedule more urgent procedures.  </w:t>
      </w:r>
      <w:r>
        <w:t>Extended wait time for P</w:t>
      </w:r>
      <w:r w:rsidRPr="00853A59">
        <w:t>rocedure</w:t>
      </w:r>
      <w:r>
        <w:t>s</w:t>
      </w:r>
      <w:r w:rsidRPr="00853A59">
        <w:t xml:space="preserve"> </w:t>
      </w:r>
      <w:r>
        <w:t>also often</w:t>
      </w:r>
      <w:r w:rsidRPr="00853A59">
        <w:t xml:space="preserve"> leads to significant stress for </w:t>
      </w:r>
      <w:r>
        <w:t>patients concerned that delay will contribute</w:t>
      </w:r>
      <w:r w:rsidRPr="00853A59">
        <w:t xml:space="preserve"> to an adverse outcome.</w:t>
      </w:r>
    </w:p>
    <w:p w14:paraId="5EE8EF5E" w14:textId="77777777" w:rsidR="00D1419B" w:rsidRDefault="00D1419B" w:rsidP="00D1419B">
      <w:pPr>
        <w:pStyle w:val="ListParagraph"/>
      </w:pPr>
    </w:p>
    <w:p w14:paraId="23D99F71" w14:textId="53FA7F83" w:rsidR="001A0DAF" w:rsidRDefault="001A0DAF" w:rsidP="006B1D7F">
      <w:pPr>
        <w:pStyle w:val="ListParagraph"/>
        <w:numPr>
          <w:ilvl w:val="0"/>
          <w:numId w:val="24"/>
        </w:numPr>
      </w:pPr>
      <w:r>
        <w:t xml:space="preserve">Describe any </w:t>
      </w:r>
      <w:r w:rsidR="0019311F">
        <w:t>strategies/</w:t>
      </w:r>
      <w:r>
        <w:t>processes in place at WE to better understand and address disparities in access to and utilization of WE’s service within the Applicant’s Patient Panel</w:t>
      </w:r>
      <w:r w:rsidR="00287A18">
        <w:t xml:space="preserve"> and service area</w:t>
      </w:r>
      <w:r>
        <w:t xml:space="preserve">. </w:t>
      </w:r>
    </w:p>
    <w:p w14:paraId="6CE0EEFB" w14:textId="77777777" w:rsidR="008C08CF" w:rsidRDefault="008C08CF" w:rsidP="008C08CF">
      <w:pPr>
        <w:pStyle w:val="ListParagraph"/>
      </w:pPr>
    </w:p>
    <w:p w14:paraId="1B9F91A4" w14:textId="1C5B5E1E" w:rsidR="00905136" w:rsidRPr="008C08CF" w:rsidRDefault="00905136" w:rsidP="00905136">
      <w:pPr>
        <w:pStyle w:val="ListParagraph"/>
      </w:pPr>
      <w:r w:rsidRPr="008C08CF">
        <w:t>To address any disparities in access to and utilization of WE’s service within the Patient Panel and service area, the Applicant plans on working with Manet Community Health Center (“Manet”) to provide education</w:t>
      </w:r>
      <w:r w:rsidR="00765F18">
        <w:t>al</w:t>
      </w:r>
      <w:r w:rsidRPr="008C08CF">
        <w:t xml:space="preserve"> materials on the importance of colorectal screening</w:t>
      </w:r>
      <w:r w:rsidR="000A3131">
        <w:t xml:space="preserve">, </w:t>
      </w:r>
      <w:r w:rsidR="00232155">
        <w:t>and</w:t>
      </w:r>
      <w:r w:rsidR="00D27CCF">
        <w:t xml:space="preserve"> </w:t>
      </w:r>
      <w:r w:rsidR="002E7C97">
        <w:t xml:space="preserve">the importance of </w:t>
      </w:r>
      <w:r w:rsidR="00121E8F">
        <w:t xml:space="preserve">upper endoscopy </w:t>
      </w:r>
      <w:r w:rsidR="002E7C97">
        <w:t>for people experiencing certain risk factors, such as GERD, stomach ulcers, swallowing disorders, heartburn etc.</w:t>
      </w:r>
      <w:r w:rsidR="00121E8F">
        <w:t xml:space="preserve"> </w:t>
      </w:r>
      <w:r w:rsidRPr="008C08CF">
        <w:t>to underserved population</w:t>
      </w:r>
      <w:r w:rsidR="00765F18">
        <w:t>s</w:t>
      </w:r>
      <w:r w:rsidRPr="008C08CF">
        <w:t xml:space="preserve"> in its service area. The Applicant has already been working with Manet to identify any barriers to obtaining care in the past and has developed relationships to expedite medical care for Manet’s patients.  The Applicant plans on expanding those relationships and exploring ways to streamline colonoscopy referrals.</w:t>
      </w:r>
    </w:p>
    <w:p w14:paraId="5F6AF6FE" w14:textId="77777777" w:rsidR="00FB147F" w:rsidRPr="000113C0" w:rsidRDefault="00FB147F" w:rsidP="000113C0">
      <w:pPr>
        <w:pStyle w:val="ListParagraph"/>
        <w:rPr>
          <w:color w:val="C00000"/>
        </w:rPr>
      </w:pPr>
    </w:p>
    <w:p w14:paraId="7F89D5FB" w14:textId="77777777" w:rsidR="003673EC" w:rsidRPr="003673EC" w:rsidRDefault="003673EC" w:rsidP="003673EC">
      <w:pPr>
        <w:pStyle w:val="ListParagraph"/>
        <w:rPr>
          <w:color w:val="C00000"/>
        </w:rPr>
      </w:pPr>
    </w:p>
    <w:sectPr w:rsidR="003673EC" w:rsidRPr="003673EC" w:rsidSect="000C4E84">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6D77F" w14:textId="77777777" w:rsidR="00A71465" w:rsidRDefault="00A71465" w:rsidP="00E45D1C">
      <w:pPr>
        <w:spacing w:after="0" w:line="240" w:lineRule="auto"/>
      </w:pPr>
      <w:r>
        <w:separator/>
      </w:r>
    </w:p>
  </w:endnote>
  <w:endnote w:type="continuationSeparator" w:id="0">
    <w:p w14:paraId="2AB79BAA" w14:textId="77777777" w:rsidR="00A71465" w:rsidRDefault="00A71465" w:rsidP="00E4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1A4B3" w14:textId="77777777" w:rsidR="00532A93" w:rsidRDefault="00532A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464395"/>
      <w:docPartObj>
        <w:docPartGallery w:val="Page Numbers (Bottom of Page)"/>
        <w:docPartUnique/>
      </w:docPartObj>
    </w:sdtPr>
    <w:sdtEndPr>
      <w:rPr>
        <w:noProof/>
      </w:rPr>
    </w:sdtEndPr>
    <w:sdtContent>
      <w:p w14:paraId="41E3300E" w14:textId="77777777" w:rsidR="00532A93" w:rsidRDefault="00532A93" w:rsidP="00DD117F">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7A17A" w14:textId="77777777" w:rsidR="00532A93" w:rsidRDefault="00532A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4C600" w14:textId="77777777" w:rsidR="00A71465" w:rsidRDefault="00A71465" w:rsidP="00E45D1C">
      <w:pPr>
        <w:spacing w:after="0" w:line="240" w:lineRule="auto"/>
      </w:pPr>
      <w:r>
        <w:separator/>
      </w:r>
    </w:p>
  </w:footnote>
  <w:footnote w:type="continuationSeparator" w:id="0">
    <w:p w14:paraId="5434157F" w14:textId="77777777" w:rsidR="00A71465" w:rsidRDefault="00A71465" w:rsidP="00E45D1C">
      <w:pPr>
        <w:spacing w:after="0" w:line="240" w:lineRule="auto"/>
      </w:pPr>
      <w:r>
        <w:continuationSeparator/>
      </w:r>
    </w:p>
  </w:footnote>
  <w:footnote w:id="1">
    <w:p w14:paraId="57F75684" w14:textId="481DDDAB" w:rsidR="00BE6A7A" w:rsidRPr="00636F29" w:rsidRDefault="00BE6A7A">
      <w:pPr>
        <w:pStyle w:val="FootnoteText"/>
        <w:rPr>
          <w:rFonts w:cstheme="minorHAnsi"/>
        </w:rPr>
      </w:pPr>
      <w:r w:rsidRPr="00636F29">
        <w:rPr>
          <w:rStyle w:val="FootnoteReference"/>
          <w:rFonts w:cstheme="minorHAnsi"/>
        </w:rPr>
        <w:footnoteRef/>
      </w:r>
      <w:r w:rsidRPr="00636F29">
        <w:rPr>
          <w:rFonts w:cstheme="minorHAnsi"/>
        </w:rPr>
        <w:t xml:space="preserve"> See, Sameer Gupta et. al, </w:t>
      </w:r>
      <w:r w:rsidRPr="00636F29">
        <w:rPr>
          <w:rFonts w:cstheme="minorHAnsi"/>
          <w:i/>
          <w:iCs/>
        </w:rPr>
        <w:t xml:space="preserve">Recommendations for Follow-up After Colonoscopy and Polypectomy: A Consensus Update by the </w:t>
      </w:r>
      <w:bookmarkStart w:id="0" w:name="_Hlk176254189"/>
      <w:r w:rsidRPr="00636F29">
        <w:rPr>
          <w:rFonts w:cstheme="minorHAnsi"/>
          <w:i/>
          <w:iCs/>
        </w:rPr>
        <w:t>US Multi-Society Task Force on Colorectal Cancer</w:t>
      </w:r>
      <w:bookmarkEnd w:id="0"/>
      <w:r w:rsidRPr="00636F29">
        <w:rPr>
          <w:rFonts w:cstheme="minorHAnsi"/>
          <w:i/>
          <w:iCs/>
        </w:rPr>
        <w:t xml:space="preserve">, </w:t>
      </w:r>
      <w:r w:rsidRPr="00636F29">
        <w:rPr>
          <w:rFonts w:cstheme="minorHAnsi"/>
          <w:smallCaps/>
        </w:rPr>
        <w:t xml:space="preserve">Gastrointestinal Endoscopy </w:t>
      </w:r>
      <w:r w:rsidRPr="00636F29">
        <w:rPr>
          <w:rFonts w:cstheme="minorHAnsi"/>
        </w:rPr>
        <w:t xml:space="preserve">91(3), (Mar. 2020), available at </w:t>
      </w:r>
      <w:hyperlink r:id="rId1" w:history="1">
        <w:r w:rsidRPr="00636F29">
          <w:rPr>
            <w:rStyle w:val="Hyperlink"/>
            <w:rFonts w:cstheme="minorHAnsi"/>
          </w:rPr>
          <w:t>https://www.giejournal.org/article/S0016-5107(20)30036-5/fulltext</w:t>
        </w:r>
      </w:hyperlink>
    </w:p>
    <w:p w14:paraId="3C03F713" w14:textId="77777777" w:rsidR="00BE6A7A" w:rsidRPr="00BE6A7A" w:rsidRDefault="00BE6A7A">
      <w:pPr>
        <w:pStyle w:val="FootnoteText"/>
      </w:pPr>
    </w:p>
  </w:footnote>
  <w:footnote w:id="2">
    <w:p w14:paraId="208585B8" w14:textId="77777777" w:rsidR="00232155" w:rsidRPr="00636F29" w:rsidRDefault="00232155" w:rsidP="00232155">
      <w:pPr>
        <w:pStyle w:val="FootnoteText"/>
        <w:rPr>
          <w:rFonts w:cstheme="minorHAnsi"/>
        </w:rPr>
      </w:pPr>
      <w:r w:rsidRPr="00636F29">
        <w:rPr>
          <w:rStyle w:val="FootnoteReference"/>
          <w:rFonts w:cstheme="minorHAnsi"/>
        </w:rPr>
        <w:footnoteRef/>
      </w:r>
      <w:r w:rsidRPr="00636F29">
        <w:rPr>
          <w:rFonts w:cstheme="minorHAnsi"/>
        </w:rPr>
        <w:t xml:space="preserve"> </w:t>
      </w:r>
      <w:r w:rsidRPr="00636F29">
        <w:rPr>
          <w:rFonts w:cstheme="minorHAnsi"/>
          <w:smallCaps/>
        </w:rPr>
        <w:t xml:space="preserve">BowerCancerUk, </w:t>
      </w:r>
      <w:r w:rsidRPr="00636F29">
        <w:rPr>
          <w:rFonts w:cstheme="minorHAnsi"/>
          <w:i/>
          <w:iCs/>
        </w:rPr>
        <w:t xml:space="preserve">Bowel Cancer Testing Waiting Times Remain High, With Targets Missed for Thousands of People </w:t>
      </w:r>
      <w:r w:rsidRPr="00636F29">
        <w:rPr>
          <w:rFonts w:cstheme="minorHAnsi"/>
        </w:rPr>
        <w:t xml:space="preserve">(Nov. 12, 2020), available at </w:t>
      </w:r>
      <w:hyperlink r:id="rId2" w:anchor=":~:text=NHS%20England%20says" w:history="1">
        <w:r w:rsidRPr="00636F29">
          <w:rPr>
            <w:rStyle w:val="Hyperlink"/>
            <w:rFonts w:cstheme="minorHAnsi"/>
          </w:rPr>
          <w:t>Bowel cancer testing waiting times remain high, with targets missed for thousands of people | Bowel Cancer UK</w:t>
        </w:r>
      </w:hyperlink>
    </w:p>
  </w:footnote>
  <w:footnote w:id="3">
    <w:p w14:paraId="33981DA6" w14:textId="5D4A35BF" w:rsidR="000E7867" w:rsidRPr="00636F29" w:rsidRDefault="00232155" w:rsidP="00232155">
      <w:pPr>
        <w:pStyle w:val="FootnoteText"/>
        <w:rPr>
          <w:rFonts w:cstheme="minorHAnsi"/>
        </w:rPr>
      </w:pPr>
      <w:r w:rsidRPr="00636F29">
        <w:rPr>
          <w:rStyle w:val="FootnoteReference"/>
          <w:rFonts w:cstheme="minorHAnsi"/>
        </w:rPr>
        <w:footnoteRef/>
      </w:r>
      <w:r w:rsidRPr="00636F29">
        <w:rPr>
          <w:rFonts w:cstheme="minorHAnsi"/>
        </w:rPr>
        <w:t xml:space="preserve"> </w:t>
      </w:r>
      <w:r w:rsidR="000C4808" w:rsidRPr="00636F29">
        <w:rPr>
          <w:rFonts w:cstheme="minorHAnsi"/>
        </w:rPr>
        <w:t>William G. Paterson et. al; </w:t>
      </w:r>
      <w:r w:rsidR="000C4808" w:rsidRPr="00636F29">
        <w:rPr>
          <w:rFonts w:cstheme="minorHAnsi"/>
          <w:i/>
          <w:iCs/>
        </w:rPr>
        <w:t>Canadian consensus on medically acceptable wait times for digestive health care</w:t>
      </w:r>
      <w:r w:rsidR="000C4808" w:rsidRPr="00636F29">
        <w:rPr>
          <w:rFonts w:cstheme="minorHAnsi"/>
        </w:rPr>
        <w:t xml:space="preserve">, </w:t>
      </w:r>
      <w:r w:rsidR="000C4808" w:rsidRPr="00636F29">
        <w:rPr>
          <w:rFonts w:cstheme="minorHAnsi"/>
          <w:smallCaps/>
        </w:rPr>
        <w:t>Can J Gastroenterol</w:t>
      </w:r>
      <w:r w:rsidR="000E7867" w:rsidRPr="00636F29">
        <w:rPr>
          <w:rFonts w:cstheme="minorHAnsi"/>
        </w:rPr>
        <w:t xml:space="preserve"> 20(6): </w:t>
      </w:r>
      <w:r w:rsidR="000C4808" w:rsidRPr="00636F29">
        <w:rPr>
          <w:rFonts w:cstheme="minorHAnsi"/>
        </w:rPr>
        <w:t>411–23. </w:t>
      </w:r>
      <w:r w:rsidR="000E7867" w:rsidRPr="00636F29">
        <w:rPr>
          <w:rFonts w:cstheme="minorHAnsi"/>
        </w:rPr>
        <w:t xml:space="preserve">(June 2006), available at </w:t>
      </w:r>
      <w:hyperlink r:id="rId3" w:history="1">
        <w:r w:rsidR="000E7867" w:rsidRPr="00636F29">
          <w:rPr>
            <w:rStyle w:val="Hyperlink"/>
            <w:rFonts w:cstheme="minorHAnsi"/>
          </w:rPr>
          <w:t>https://www.ncbi.nlm.nih.gov/pmc/articles/PMC2659924/</w:t>
        </w:r>
      </w:hyperlink>
      <w:r w:rsidR="000E7867" w:rsidRPr="00636F29">
        <w:rPr>
          <w:rFonts w:cstheme="minorHAnsi"/>
        </w:rPr>
        <w:t>,</w:t>
      </w:r>
    </w:p>
    <w:p w14:paraId="316B7A08" w14:textId="7BEF956D" w:rsidR="000E7867" w:rsidRPr="00636F29" w:rsidRDefault="002E7C97" w:rsidP="00232155">
      <w:pPr>
        <w:pStyle w:val="FootnoteText"/>
        <w:rPr>
          <w:rFonts w:cstheme="minorHAnsi"/>
        </w:rPr>
      </w:pPr>
      <w:r w:rsidRPr="00636F29">
        <w:rPr>
          <w:rFonts w:cstheme="minorHAnsi"/>
        </w:rPr>
        <w:t>Here is the o</w:t>
      </w:r>
      <w:r w:rsidR="000E7867" w:rsidRPr="00636F29">
        <w:rPr>
          <w:rFonts w:cstheme="minorHAnsi"/>
        </w:rPr>
        <w:t>verview of recommended maximal wait times by acuity category:</w:t>
      </w:r>
    </w:p>
    <w:tbl>
      <w:tblPr>
        <w:tblW w:w="0" w:type="auto"/>
        <w:tblBorders>
          <w:top w:val="single" w:sz="6" w:space="0" w:color="000000"/>
          <w:bottom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2E7C97" w:rsidRPr="00636F29" w14:paraId="2960FFB7" w14:textId="77777777" w:rsidTr="00056BF9">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04A5E996" w14:textId="5B9D6C35" w:rsidR="002E7C97" w:rsidRPr="00636F29" w:rsidRDefault="002E7C97" w:rsidP="002E7C97">
            <w:pPr>
              <w:pStyle w:val="FootnoteText"/>
              <w:numPr>
                <w:ilvl w:val="0"/>
                <w:numId w:val="34"/>
              </w:numPr>
              <w:rPr>
                <w:rFonts w:cstheme="minorHAnsi"/>
              </w:rPr>
            </w:pPr>
            <w:r w:rsidRPr="00636F29">
              <w:rPr>
                <w:rFonts w:cstheme="minorHAnsi"/>
              </w:rPr>
              <w:t>Within 24 hours: acute gastrointestinal bleeding, esophageal food bolus or foreign body obstruction, clinical features of ascending cholangitis, severe acute pancreatitis (endoscopic retrograde cholangiopancreatography within 72 h</w:t>
            </w:r>
            <w:r w:rsidR="007F3AD3" w:rsidRPr="00636F29">
              <w:rPr>
                <w:rFonts w:cstheme="minorHAnsi"/>
              </w:rPr>
              <w:t>ours</w:t>
            </w:r>
            <w:r w:rsidRPr="00636F29">
              <w:rPr>
                <w:rFonts w:cstheme="minorHAnsi"/>
              </w:rPr>
              <w:t>, if indicated), severe decompensated liver disease, acute severe hepatitis</w:t>
            </w:r>
          </w:p>
          <w:p w14:paraId="2236BF98" w14:textId="1C18F619" w:rsidR="002E7C97" w:rsidRPr="00636F29" w:rsidRDefault="002E7C97" w:rsidP="002E7C97">
            <w:pPr>
              <w:pStyle w:val="FootnoteText"/>
              <w:numPr>
                <w:ilvl w:val="0"/>
                <w:numId w:val="34"/>
              </w:numPr>
              <w:rPr>
                <w:rFonts w:cstheme="minorHAnsi"/>
              </w:rPr>
            </w:pPr>
            <w:r w:rsidRPr="00636F29">
              <w:rPr>
                <w:rFonts w:cstheme="minorHAnsi"/>
              </w:rPr>
              <w:t>Within two weeks: High likelihood of cancer based on exam or imaging, painless obstructive acute jaundice, severe and/or rapidly progressive dysphagia or odynophagia, clinical features suggestive of active inflammatory bowel disease</w:t>
            </w:r>
          </w:p>
        </w:tc>
      </w:tr>
      <w:tr w:rsidR="002E7C97" w:rsidRPr="00636F29" w14:paraId="493CD1FE" w14:textId="77777777" w:rsidTr="00056BF9">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093ECCA0" w14:textId="77777777" w:rsidR="002E7C97" w:rsidRPr="00636F29" w:rsidRDefault="002E7C97" w:rsidP="002E7C97">
            <w:pPr>
              <w:pStyle w:val="FootnoteText"/>
              <w:numPr>
                <w:ilvl w:val="0"/>
                <w:numId w:val="30"/>
              </w:numPr>
              <w:rPr>
                <w:rFonts w:cstheme="minorHAnsi"/>
              </w:rPr>
            </w:pPr>
            <w:r w:rsidRPr="00636F29">
              <w:rPr>
                <w:rFonts w:cstheme="minorHAnsi"/>
              </w:rPr>
              <w:t>Within two months: bright red rectal bleeding, documented iron deficiency anemia, one or more positive fecal occult blood tests, chronic viral hepatitis, stable dysphagia (not severe), poorly controlled reflux/dyspepsia, chronic constipation or chronic diarrhea, new onset change in bowel habit, chronic unexplained abdominal pain, confirmation of a diagnosis of celiac disease (antibody test)</w:t>
            </w:r>
          </w:p>
        </w:tc>
      </w:tr>
      <w:tr w:rsidR="002E7C97" w:rsidRPr="00636F29" w14:paraId="6219DC8A" w14:textId="77777777" w:rsidTr="00056BF9">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3D50DC22" w14:textId="77777777" w:rsidR="002E7C97" w:rsidRPr="00636F29" w:rsidRDefault="002E7C97" w:rsidP="002E7C97">
            <w:pPr>
              <w:pStyle w:val="FootnoteText"/>
              <w:numPr>
                <w:ilvl w:val="0"/>
                <w:numId w:val="32"/>
              </w:numPr>
              <w:rPr>
                <w:rFonts w:cstheme="minorHAnsi"/>
              </w:rPr>
            </w:pPr>
            <w:r w:rsidRPr="00636F29">
              <w:rPr>
                <w:rFonts w:cstheme="minorHAnsi"/>
              </w:rPr>
              <w:t>Within six months: Chronic gastroesophageal reflux disease for screening endoscopy, screening colonoscopy, persistent (more than six months) unexplained abnormal liver enzyme tests</w:t>
            </w:r>
          </w:p>
        </w:tc>
      </w:tr>
    </w:tbl>
    <w:p w14:paraId="5F31208A" w14:textId="77777777" w:rsidR="000E7867" w:rsidRPr="00636F29" w:rsidRDefault="000E7867" w:rsidP="00232155">
      <w:pPr>
        <w:pStyle w:val="FootnoteText"/>
        <w:rPr>
          <w:rFonts w:cstheme="minorHAnsi"/>
        </w:rPr>
      </w:pPr>
    </w:p>
  </w:footnote>
  <w:footnote w:id="4">
    <w:p w14:paraId="4B61283C" w14:textId="77777777" w:rsidR="00232155" w:rsidRPr="00636F29" w:rsidRDefault="00232155" w:rsidP="00232155">
      <w:pPr>
        <w:pStyle w:val="FootnoteText"/>
        <w:rPr>
          <w:rFonts w:cstheme="minorHAnsi"/>
        </w:rPr>
      </w:pPr>
      <w:r w:rsidRPr="00636F29">
        <w:rPr>
          <w:rStyle w:val="FootnoteReference"/>
          <w:rFonts w:cstheme="minorHAnsi"/>
        </w:rPr>
        <w:footnoteRef/>
      </w:r>
      <w:r w:rsidRPr="00636F29">
        <w:rPr>
          <w:rFonts w:cstheme="minorHAnsi"/>
        </w:rPr>
        <w:t xml:space="preserve"> Megan A. Adams et. al,</w:t>
      </w:r>
      <w:r w:rsidRPr="00636F29">
        <w:rPr>
          <w:rFonts w:cstheme="minorHAnsi"/>
          <w:i/>
          <w:iCs/>
        </w:rPr>
        <w:t xml:space="preserve"> Trends in Wait Time for Outpatient Colonoscopy in the Veterans Health Administration, 2008-2015, </w:t>
      </w:r>
      <w:r w:rsidRPr="00636F29">
        <w:rPr>
          <w:rFonts w:cstheme="minorHAnsi"/>
        </w:rPr>
        <w:t xml:space="preserve">J Gen Intern Med 35(6):1776-82 (Published Online March 24, 2020), available at </w:t>
      </w:r>
      <w:hyperlink r:id="rId4" w:anchor=":~:text=At%20the%20facility%20with%20the,26%20days%2C%20respectively" w:history="1">
        <w:r w:rsidRPr="00636F29">
          <w:rPr>
            <w:rStyle w:val="Hyperlink"/>
            <w:rFonts w:cstheme="minorHAnsi"/>
          </w:rPr>
          <w:t>https://www.ncbi.nlm.nih.gov/pmc/articles/PMC7280466/#:~:text=At%20the%20facility%20with%20the,26%20days%2C%20respectively</w:t>
        </w:r>
      </w:hyperlink>
      <w:r w:rsidRPr="00636F29">
        <w:rPr>
          <w:rFonts w:cstheme="minorHAnsi"/>
        </w:rPr>
        <w:t>).</w:t>
      </w:r>
    </w:p>
  </w:footnote>
  <w:footnote w:id="5">
    <w:p w14:paraId="6951663A" w14:textId="77777777" w:rsidR="00232155" w:rsidRPr="00636F29" w:rsidRDefault="00232155" w:rsidP="00232155">
      <w:pPr>
        <w:pStyle w:val="FootnoteText"/>
        <w:rPr>
          <w:rFonts w:cstheme="minorHAnsi"/>
          <w:i/>
          <w:iCs/>
        </w:rPr>
      </w:pPr>
      <w:r w:rsidRPr="00636F29">
        <w:rPr>
          <w:rStyle w:val="FootnoteReference"/>
          <w:rFonts w:cstheme="minorHAnsi"/>
        </w:rPr>
        <w:footnoteRef/>
      </w:r>
      <w:r w:rsidRPr="00636F29">
        <w:rPr>
          <w:rFonts w:cstheme="minorHAnsi"/>
        </w:rPr>
        <w:t xml:space="preserve"> </w:t>
      </w:r>
      <w:r w:rsidRPr="00636F29">
        <w:rPr>
          <w:rFonts w:cstheme="minorHAnsi"/>
          <w:i/>
          <w:iCs/>
        </w:rPr>
        <w:t>Id.</w:t>
      </w:r>
    </w:p>
  </w:footnote>
  <w:footnote w:id="6">
    <w:p w14:paraId="72CBB681" w14:textId="77777777" w:rsidR="00232155" w:rsidRPr="007E60DA" w:rsidRDefault="00232155" w:rsidP="00232155">
      <w:pPr>
        <w:pStyle w:val="FootnoteText"/>
        <w:rPr>
          <w:i/>
          <w:iCs/>
        </w:rPr>
      </w:pPr>
      <w:r w:rsidRPr="00636F29">
        <w:rPr>
          <w:rStyle w:val="FootnoteReference"/>
          <w:rFonts w:cstheme="minorHAnsi"/>
        </w:rPr>
        <w:footnoteRef/>
      </w:r>
      <w:r w:rsidRPr="00636F29">
        <w:rPr>
          <w:rFonts w:cstheme="minorHAnsi"/>
        </w:rPr>
        <w:t xml:space="preserve"> </w:t>
      </w:r>
      <w:r w:rsidRPr="00636F29">
        <w:rPr>
          <w:rFonts w:cstheme="minorHAnsi"/>
          <w:i/>
          <w:iCs/>
        </w:rPr>
        <w:t>Id.</w:t>
      </w:r>
      <w:r>
        <w:rPr>
          <w:i/>
          <w:iCs/>
        </w:rPr>
        <w:t xml:space="preserve"> </w:t>
      </w:r>
    </w:p>
  </w:footnote>
  <w:footnote w:id="7">
    <w:p w14:paraId="0C25613C" w14:textId="77777777" w:rsidR="00232155" w:rsidRPr="007E60DA" w:rsidRDefault="00232155" w:rsidP="00232155">
      <w:pPr>
        <w:pStyle w:val="FootnoteText"/>
        <w:rPr>
          <w:i/>
          <w:iCs/>
        </w:rPr>
      </w:pPr>
      <w:r>
        <w:rPr>
          <w:rStyle w:val="FootnoteReference"/>
        </w:rPr>
        <w:footnoteRef/>
      </w:r>
      <w:r>
        <w:t xml:space="preserve"> </w:t>
      </w:r>
      <w:r>
        <w:rPr>
          <w:i/>
          <w:iCs/>
        </w:rPr>
        <w:t>Id.</w:t>
      </w:r>
    </w:p>
  </w:footnote>
  <w:footnote w:id="8">
    <w:p w14:paraId="2933BFB1" w14:textId="77777777" w:rsidR="00D1419B" w:rsidRPr="00636F29" w:rsidRDefault="00D1419B" w:rsidP="00D1419B">
      <w:pPr>
        <w:pStyle w:val="FootnoteText"/>
        <w:rPr>
          <w:rFonts w:cstheme="minorHAnsi"/>
        </w:rPr>
      </w:pPr>
      <w:r w:rsidRPr="00636F29">
        <w:rPr>
          <w:rStyle w:val="FootnoteReference"/>
          <w:rFonts w:cstheme="minorHAnsi"/>
        </w:rPr>
        <w:footnoteRef/>
      </w:r>
      <w:r w:rsidRPr="00636F29">
        <w:rPr>
          <w:rFonts w:cstheme="minorHAnsi"/>
        </w:rPr>
        <w:t xml:space="preserve"> </w:t>
      </w:r>
      <w:hyperlink r:id="rId5" w:anchor=":~:text=The%20American%20Cancer%20Society's%20estimates,men%20and%2018%2C890%20in%20women" w:history="1">
        <w:r w:rsidRPr="00636F29">
          <w:rPr>
            <w:rStyle w:val="Hyperlink"/>
            <w:rFonts w:cstheme="minorHAnsi"/>
          </w:rPr>
          <w:t>Key Statistics for Colorectal Cancer</w:t>
        </w:r>
      </w:hyperlink>
      <w:r w:rsidRPr="00636F29">
        <w:rPr>
          <w:rFonts w:cstheme="minorHAnsi"/>
        </w:rPr>
        <w:t xml:space="preserve">, </w:t>
      </w:r>
      <w:r w:rsidRPr="00636F29">
        <w:rPr>
          <w:rFonts w:cstheme="minorHAnsi"/>
          <w:smallCaps/>
        </w:rPr>
        <w:t>Am. Cancer Soc.</w:t>
      </w:r>
      <w:r w:rsidRPr="00636F29">
        <w:rPr>
          <w:rFonts w:cstheme="minorHAnsi"/>
        </w:rPr>
        <w:t xml:space="preserve"> </w:t>
      </w:r>
      <w:r w:rsidRPr="00636F29">
        <w:rPr>
          <w:rFonts w:cstheme="minorHAnsi"/>
          <w:smallCaps/>
        </w:rPr>
        <w:t>(“ACS”)</w:t>
      </w:r>
      <w:r w:rsidRPr="00636F29">
        <w:rPr>
          <w:rFonts w:cstheme="minorHAnsi"/>
        </w:rPr>
        <w:t xml:space="preserve"> (last revised Jan. 29, 2024) (</w:t>
      </w:r>
      <w:hyperlink r:id="rId6" w:anchor=":~:text=The%20American%20Cancer%20Society's%20estimates,men%20and%2018%2C890%20in%20women" w:history="1">
        <w:r w:rsidRPr="00636F29">
          <w:rPr>
            <w:rStyle w:val="Hyperlink"/>
            <w:rFonts w:cstheme="minorHAnsi"/>
          </w:rPr>
          <w:t>https://www.cancer.org/cancer/types/colon-rectal-cancer/about/key-statistics.html#:~:text=The%20American%20Cancer%20Society's%20estimates,men%20and%2018%2C890%20in%20women</w:t>
        </w:r>
      </w:hyperlink>
      <w:r w:rsidRPr="00636F29">
        <w:rPr>
          <w:rStyle w:val="Hyperlink"/>
          <w:rFonts w:cstheme="minorHAnsi"/>
        </w:rPr>
        <w:t>).</w:t>
      </w:r>
    </w:p>
  </w:footnote>
  <w:footnote w:id="9">
    <w:p w14:paraId="414DBB46" w14:textId="303F3B23" w:rsidR="00D1419B" w:rsidRPr="00636F29" w:rsidRDefault="00D1419B" w:rsidP="00D1419B">
      <w:pPr>
        <w:pStyle w:val="FootnoteText"/>
        <w:rPr>
          <w:rFonts w:cstheme="minorHAnsi"/>
        </w:rPr>
      </w:pPr>
      <w:r w:rsidRPr="00636F29">
        <w:rPr>
          <w:rStyle w:val="FootnoteReference"/>
          <w:rFonts w:cstheme="minorHAnsi"/>
        </w:rPr>
        <w:footnoteRef/>
      </w:r>
      <w:r w:rsidRPr="00636F29">
        <w:rPr>
          <w:rFonts w:cstheme="minorHAnsi"/>
        </w:rPr>
        <w:t xml:space="preserve"> </w:t>
      </w:r>
      <w:hyperlink r:id="rId7" w:history="1">
        <w:r w:rsidRPr="00636F29">
          <w:rPr>
            <w:rStyle w:val="Hyperlink"/>
            <w:rFonts w:cstheme="minorHAnsi"/>
            <w:i/>
          </w:rPr>
          <w:t>Data Report November 2020 on Colorectal Cancer in Massachusetts</w:t>
        </w:r>
      </w:hyperlink>
      <w:r w:rsidRPr="00636F29">
        <w:rPr>
          <w:rFonts w:cstheme="minorHAnsi"/>
        </w:rPr>
        <w:t xml:space="preserve">, </w:t>
      </w:r>
      <w:r w:rsidRPr="00636F29">
        <w:rPr>
          <w:rFonts w:cstheme="minorHAnsi"/>
          <w:smallCaps/>
        </w:rPr>
        <w:t>Mass. Dept. of Public Health</w:t>
      </w:r>
      <w:r w:rsidRPr="00636F29">
        <w:rPr>
          <w:rFonts w:cstheme="minorHAnsi"/>
        </w:rPr>
        <w:t xml:space="preserve"> (Nov. 2020) (available at: </w:t>
      </w:r>
      <w:hyperlink r:id="rId8" w:history="1">
        <w:r w:rsidRPr="00636F29">
          <w:rPr>
            <w:rStyle w:val="Hyperlink"/>
            <w:rFonts w:cstheme="minorHAnsi"/>
          </w:rPr>
          <w:t>https://www.mass.gov/doc/data-report-on-colorectal-cancer-in-massachusetts-november-2020/download</w:t>
        </w:r>
      </w:hyperlink>
      <w:r w:rsidRPr="00636F29">
        <w:rPr>
          <w:rFonts w:cstheme="minorHAnsi"/>
        </w:rPr>
        <w:t>)</w:t>
      </w:r>
      <w:r w:rsidR="00636F29" w:rsidRPr="00636F29">
        <w:rPr>
          <w:rFonts w:cstheme="minorHAnsi"/>
        </w:rPr>
        <w:t xml:space="preserve">; </w:t>
      </w:r>
    </w:p>
    <w:p w14:paraId="5E163B54" w14:textId="7BD5411B" w:rsidR="00D1419B" w:rsidRPr="00636F29" w:rsidRDefault="00D1419B" w:rsidP="00D1419B">
      <w:pPr>
        <w:pStyle w:val="FootnoteText"/>
        <w:rPr>
          <w:rFonts w:cstheme="minorHAnsi"/>
        </w:rPr>
      </w:pPr>
      <w:r w:rsidRPr="00636F29">
        <w:rPr>
          <w:rFonts w:cstheme="minorHAnsi"/>
        </w:rPr>
        <w:t xml:space="preserve"> David Opong-Wadee, </w:t>
      </w:r>
      <w:hyperlink r:id="rId9" w:history="1">
        <w:r w:rsidRPr="00636F29">
          <w:rPr>
            <w:rStyle w:val="Hyperlink"/>
            <w:rFonts w:cstheme="minorHAnsi"/>
            <w:i/>
            <w:color w:val="auto"/>
            <w:u w:val="none"/>
          </w:rPr>
          <w:t>ASCA Continues to Advocate for Full Coverage of Colonoscopies</w:t>
        </w:r>
      </w:hyperlink>
      <w:r w:rsidRPr="00636F29">
        <w:rPr>
          <w:rFonts w:cstheme="minorHAnsi"/>
        </w:rPr>
        <w:t xml:space="preserve">, </w:t>
      </w:r>
      <w:r w:rsidRPr="00636F29">
        <w:rPr>
          <w:rFonts w:cstheme="minorHAnsi"/>
          <w:smallCaps/>
        </w:rPr>
        <w:t>The ASCA Journal</w:t>
      </w:r>
      <w:r w:rsidRPr="00636F29">
        <w:rPr>
          <w:rFonts w:cstheme="minorHAnsi"/>
        </w:rPr>
        <w:t xml:space="preserve">, (Mar. 29, 2024) (available at: </w:t>
      </w:r>
      <w:hyperlink r:id="rId10" w:history="1">
        <w:r w:rsidR="00636F29" w:rsidRPr="00636F29">
          <w:rPr>
            <w:rStyle w:val="Hyperlink"/>
            <w:rFonts w:cstheme="minorHAnsi"/>
          </w:rPr>
          <w:t>https://www.ascfocus.org/ascfocus/content/articles-content/articles/2024/digital-debut/asca-continues-to-advocate-for-full-coverage-of-colonoscopies</w:t>
        </w:r>
        <w:r w:rsidRPr="00636F29">
          <w:rPr>
            <w:rStyle w:val="Hyperlink"/>
            <w:rFonts w:cstheme="minorHAnsi"/>
          </w:rPr>
          <w:t>)</w:t>
        </w:r>
      </w:hyperlink>
      <w:r w:rsidRPr="00636F29">
        <w:rPr>
          <w:rStyle w:val="Hyperlink"/>
          <w:rFonts w:cstheme="minorHAnsi"/>
        </w:rPr>
        <w:t xml:space="preserve">.; </w:t>
      </w:r>
      <w:r w:rsidRPr="00636F29">
        <w:rPr>
          <w:rFonts w:cstheme="minorHAnsi"/>
          <w:i/>
          <w:iCs/>
        </w:rPr>
        <w:t xml:space="preserve">See, </w:t>
      </w:r>
      <w:r w:rsidRPr="00636F29">
        <w:rPr>
          <w:rFonts w:cstheme="minorHAnsi"/>
        </w:rPr>
        <w:t xml:space="preserve">Djenaba A. Joseph, et al, </w:t>
      </w:r>
      <w:hyperlink r:id="rId11" w:history="1">
        <w:r w:rsidRPr="00636F29">
          <w:rPr>
            <w:rStyle w:val="Hyperlink"/>
            <w:rFonts w:cstheme="minorHAnsi"/>
            <w:i/>
          </w:rPr>
          <w:t>Vital Signs: Colorectal Cancer Screening Test Use – United States,</w:t>
        </w:r>
      </w:hyperlink>
      <w:r w:rsidRPr="00636F29">
        <w:rPr>
          <w:rFonts w:cstheme="minorHAnsi"/>
          <w:i/>
        </w:rPr>
        <w:t xml:space="preserve"> 2018</w:t>
      </w:r>
      <w:r w:rsidRPr="00636F29">
        <w:rPr>
          <w:rFonts w:cstheme="minorHAnsi"/>
          <w:iCs/>
        </w:rPr>
        <w:t xml:space="preserve">, </w:t>
      </w:r>
      <w:r w:rsidRPr="00636F29">
        <w:rPr>
          <w:rFonts w:cstheme="minorHAnsi"/>
          <w:smallCaps/>
        </w:rPr>
        <w:t xml:space="preserve">Nat’l Lib. of Med. </w:t>
      </w:r>
      <w:r w:rsidRPr="00636F29">
        <w:rPr>
          <w:rFonts w:cstheme="minorHAnsi"/>
          <w:iCs/>
        </w:rPr>
        <w:t>(Mar. 13, 2020) (</w:t>
      </w:r>
      <w:hyperlink r:id="rId12" w:history="1">
        <w:r w:rsidRPr="00636F29">
          <w:rPr>
            <w:rStyle w:val="Hyperlink"/>
            <w:rFonts w:cstheme="minorHAnsi"/>
            <w:iCs/>
          </w:rPr>
          <w:t>https://www.ncbi.nlm.nih.gov/pmc/articles/PMC7075255/</w:t>
        </w:r>
      </w:hyperlink>
      <w:r w:rsidRPr="00636F29">
        <w:rPr>
          <w:rFonts w:cstheme="minorHAnsi"/>
          <w:iCs/>
        </w:rPr>
        <w:t xml:space="preserve">). </w:t>
      </w:r>
    </w:p>
  </w:footnote>
  <w:footnote w:id="10">
    <w:p w14:paraId="15EEE99F" w14:textId="77777777" w:rsidR="00D1419B" w:rsidRPr="00636F29" w:rsidRDefault="00D1419B" w:rsidP="00D1419B">
      <w:pPr>
        <w:pStyle w:val="FootnoteText"/>
        <w:rPr>
          <w:rFonts w:cstheme="minorHAnsi"/>
          <w:i/>
          <w:iCs/>
        </w:rPr>
      </w:pPr>
      <w:r w:rsidRPr="00636F29">
        <w:rPr>
          <w:rStyle w:val="FootnoteReference"/>
          <w:rFonts w:cstheme="minorHAnsi"/>
        </w:rPr>
        <w:footnoteRef/>
      </w:r>
      <w:r w:rsidRPr="00636F29">
        <w:rPr>
          <w:rFonts w:cstheme="minorHAnsi"/>
        </w:rPr>
        <w:t xml:space="preserve"> </w:t>
      </w:r>
      <w:r w:rsidRPr="00636F29">
        <w:rPr>
          <w:rFonts w:cstheme="minorHAnsi"/>
          <w:i/>
          <w:iCs/>
        </w:rPr>
        <w:t>Supra, note 9</w:t>
      </w:r>
    </w:p>
  </w:footnote>
  <w:footnote w:id="11">
    <w:p w14:paraId="09854604" w14:textId="77777777" w:rsidR="00D1419B" w:rsidRPr="008F569B" w:rsidRDefault="00D1419B" w:rsidP="00D1419B">
      <w:pPr>
        <w:pStyle w:val="FootnoteText"/>
        <w:rPr>
          <w:rFonts w:ascii="Times New Roman" w:hAnsi="Times New Roman" w:cs="Times New Roman"/>
        </w:rPr>
      </w:pPr>
      <w:r w:rsidRPr="00636F29">
        <w:rPr>
          <w:rStyle w:val="FootnoteReference"/>
          <w:rFonts w:cstheme="minorHAnsi"/>
        </w:rPr>
        <w:footnoteRef/>
      </w:r>
      <w:r w:rsidRPr="00636F29">
        <w:rPr>
          <w:rFonts w:cstheme="minorHAnsi"/>
        </w:rPr>
        <w:t xml:space="preserve"> </w:t>
      </w:r>
      <w:r w:rsidRPr="00636F29">
        <w:rPr>
          <w:rFonts w:cstheme="minorHAnsi"/>
          <w:i/>
          <w:iCs/>
        </w:rPr>
        <w:t>See</w:t>
      </w:r>
      <w:r w:rsidRPr="00636F29">
        <w:rPr>
          <w:rFonts w:cstheme="minorHAnsi"/>
          <w:iCs/>
        </w:rPr>
        <w:t>,</w:t>
      </w:r>
      <w:r w:rsidRPr="00636F29">
        <w:rPr>
          <w:rFonts w:cstheme="minorHAnsi"/>
        </w:rPr>
        <w:t xml:space="preserve"> Tae H. Ro, et al., </w:t>
      </w:r>
      <w:hyperlink r:id="rId13" w:history="1">
        <w:r w:rsidRPr="00636F29">
          <w:rPr>
            <w:rStyle w:val="Hyperlink"/>
            <w:rFonts w:cstheme="minorHAnsi"/>
            <w:i/>
            <w:color w:val="auto"/>
            <w:u w:val="none"/>
          </w:rPr>
          <w:t>Value of screening endoscopy in evaluation of esophageal, gastric and colon cancers</w:t>
        </w:r>
      </w:hyperlink>
      <w:r w:rsidRPr="00636F29">
        <w:rPr>
          <w:rFonts w:cstheme="minorHAnsi"/>
        </w:rPr>
        <w:t xml:space="preserve">, 21(33) World J. Gastroenterol. 9693 (Sep. 07, 2015) (Available at: </w:t>
      </w:r>
      <w:hyperlink r:id="rId14" w:history="1">
        <w:r w:rsidRPr="00636F29">
          <w:rPr>
            <w:rStyle w:val="Hyperlink"/>
            <w:rFonts w:cstheme="minorHAnsi"/>
          </w:rPr>
          <w:t>https://www.ncbi.nlm.nih.gov/pmc/articles/PMC4562953/</w:t>
        </w:r>
      </w:hyperlink>
      <w:r w:rsidRPr="00636F29">
        <w:rPr>
          <w:rFonts w:cstheme="minorHAnsi"/>
        </w:rPr>
        <w:t>).</w:t>
      </w:r>
      <w:r w:rsidRPr="008F569B">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71E92AEF" w:rsidR="00101DAD" w:rsidRDefault="00532A93">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CA975" w14:textId="19211068" w:rsidR="00ED1D5D" w:rsidRPr="0056713A" w:rsidRDefault="0056713A" w:rsidP="0056713A">
    <w:pPr>
      <w:pStyle w:val="Header"/>
      <w:jc w:val="center"/>
      <w:rPr>
        <w:b/>
        <w:bCs/>
        <w:sz w:val="28"/>
        <w:szCs w:val="28"/>
      </w:rPr>
    </w:pPr>
    <w:r w:rsidRPr="0056713A">
      <w:rPr>
        <w:b/>
        <w:bCs/>
        <w:sz w:val="28"/>
        <w:szCs w:val="28"/>
      </w:rPr>
      <w:t>Weymouth Endoscopy, LLC</w:t>
    </w:r>
  </w:p>
  <w:p w14:paraId="6C20BA19" w14:textId="500A914C" w:rsidR="0056713A" w:rsidRDefault="00AE41FA" w:rsidP="0056713A">
    <w:pPr>
      <w:pStyle w:val="Header"/>
      <w:jc w:val="center"/>
      <w:rPr>
        <w:b/>
        <w:bCs/>
        <w:sz w:val="28"/>
        <w:szCs w:val="28"/>
      </w:rPr>
    </w:pPr>
    <w:r w:rsidRPr="00704092">
      <w:rPr>
        <w:b/>
        <w:bCs/>
        <w:sz w:val="28"/>
        <w:szCs w:val="28"/>
      </w:rPr>
      <w:t>WE-24062414-AS</w:t>
    </w:r>
  </w:p>
  <w:p w14:paraId="036CC677" w14:textId="17085A28" w:rsidR="00765F18" w:rsidRPr="00704092" w:rsidRDefault="00765F18" w:rsidP="0056713A">
    <w:pPr>
      <w:pStyle w:val="Header"/>
      <w:jc w:val="center"/>
      <w:rPr>
        <w:b/>
        <w:bCs/>
        <w:sz w:val="28"/>
        <w:szCs w:val="28"/>
      </w:rPr>
    </w:pPr>
    <w:r>
      <w:rPr>
        <w:b/>
        <w:bCs/>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8868" w14:textId="77777777" w:rsidR="007F3AD3" w:rsidRDefault="007F3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B6CC5"/>
    <w:multiLevelType w:val="hybridMultilevel"/>
    <w:tmpl w:val="11F68000"/>
    <w:lvl w:ilvl="0" w:tplc="23CA73CC">
      <w:start w:val="1"/>
      <w:numFmt w:val="decimal"/>
      <w:lvlText w:val="%1)"/>
      <w:lvlJc w:val="left"/>
      <w:pPr>
        <w:ind w:left="1020" w:hanging="360"/>
      </w:pPr>
    </w:lvl>
    <w:lvl w:ilvl="1" w:tplc="F280B2F8">
      <w:start w:val="1"/>
      <w:numFmt w:val="decimal"/>
      <w:lvlText w:val="%2)"/>
      <w:lvlJc w:val="left"/>
      <w:pPr>
        <w:ind w:left="1020" w:hanging="360"/>
      </w:pPr>
    </w:lvl>
    <w:lvl w:ilvl="2" w:tplc="818679A0">
      <w:start w:val="1"/>
      <w:numFmt w:val="decimal"/>
      <w:lvlText w:val="%3)"/>
      <w:lvlJc w:val="left"/>
      <w:pPr>
        <w:ind w:left="1020" w:hanging="360"/>
      </w:pPr>
    </w:lvl>
    <w:lvl w:ilvl="3" w:tplc="921A5FFA">
      <w:start w:val="1"/>
      <w:numFmt w:val="decimal"/>
      <w:lvlText w:val="%4)"/>
      <w:lvlJc w:val="left"/>
      <w:pPr>
        <w:ind w:left="1020" w:hanging="360"/>
      </w:pPr>
    </w:lvl>
    <w:lvl w:ilvl="4" w:tplc="82987D10">
      <w:start w:val="1"/>
      <w:numFmt w:val="decimal"/>
      <w:lvlText w:val="%5)"/>
      <w:lvlJc w:val="left"/>
      <w:pPr>
        <w:ind w:left="1020" w:hanging="360"/>
      </w:pPr>
    </w:lvl>
    <w:lvl w:ilvl="5" w:tplc="2FFE710C">
      <w:start w:val="1"/>
      <w:numFmt w:val="decimal"/>
      <w:lvlText w:val="%6)"/>
      <w:lvlJc w:val="left"/>
      <w:pPr>
        <w:ind w:left="1020" w:hanging="360"/>
      </w:pPr>
    </w:lvl>
    <w:lvl w:ilvl="6" w:tplc="448E8084">
      <w:start w:val="1"/>
      <w:numFmt w:val="decimal"/>
      <w:lvlText w:val="%7)"/>
      <w:lvlJc w:val="left"/>
      <w:pPr>
        <w:ind w:left="1020" w:hanging="360"/>
      </w:pPr>
    </w:lvl>
    <w:lvl w:ilvl="7" w:tplc="EF3A4BDE">
      <w:start w:val="1"/>
      <w:numFmt w:val="decimal"/>
      <w:lvlText w:val="%8)"/>
      <w:lvlJc w:val="left"/>
      <w:pPr>
        <w:ind w:left="1020" w:hanging="360"/>
      </w:pPr>
    </w:lvl>
    <w:lvl w:ilvl="8" w:tplc="F87062D0">
      <w:start w:val="1"/>
      <w:numFmt w:val="decimal"/>
      <w:lvlText w:val="%9)"/>
      <w:lvlJc w:val="left"/>
      <w:pPr>
        <w:ind w:left="1020" w:hanging="360"/>
      </w:p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04C21"/>
    <w:multiLevelType w:val="hybridMultilevel"/>
    <w:tmpl w:val="9F5C3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D3DBC"/>
    <w:multiLevelType w:val="hybridMultilevel"/>
    <w:tmpl w:val="4C56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92BA5"/>
    <w:multiLevelType w:val="hybridMultilevel"/>
    <w:tmpl w:val="71646230"/>
    <w:lvl w:ilvl="0" w:tplc="8AA43F72">
      <w:start w:val="1"/>
      <w:numFmt w:val="decimal"/>
      <w:lvlText w:val="%1."/>
      <w:lvlJc w:val="left"/>
      <w:pPr>
        <w:ind w:left="720" w:hanging="360"/>
      </w:pPr>
      <w:rPr>
        <w:rFonts w:hint="default"/>
        <w:b w:val="0"/>
        <w:bCs w:val="0"/>
      </w:rPr>
    </w:lvl>
    <w:lvl w:ilvl="1" w:tplc="46FCB23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8197D"/>
    <w:multiLevelType w:val="hybridMultilevel"/>
    <w:tmpl w:val="03E6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372A9"/>
    <w:multiLevelType w:val="hybridMultilevel"/>
    <w:tmpl w:val="104A5FE6"/>
    <w:lvl w:ilvl="0" w:tplc="5568DDB0">
      <w:start w:val="1"/>
      <w:numFmt w:val="decimal"/>
      <w:lvlText w:val="%1)"/>
      <w:lvlJc w:val="left"/>
      <w:pPr>
        <w:ind w:left="1020" w:hanging="360"/>
      </w:pPr>
    </w:lvl>
    <w:lvl w:ilvl="1" w:tplc="303483BA">
      <w:start w:val="1"/>
      <w:numFmt w:val="decimal"/>
      <w:lvlText w:val="%2)"/>
      <w:lvlJc w:val="left"/>
      <w:pPr>
        <w:ind w:left="1020" w:hanging="360"/>
      </w:pPr>
    </w:lvl>
    <w:lvl w:ilvl="2" w:tplc="08D05196">
      <w:start w:val="1"/>
      <w:numFmt w:val="decimal"/>
      <w:lvlText w:val="%3)"/>
      <w:lvlJc w:val="left"/>
      <w:pPr>
        <w:ind w:left="1020" w:hanging="360"/>
      </w:pPr>
    </w:lvl>
    <w:lvl w:ilvl="3" w:tplc="776A8802">
      <w:start w:val="1"/>
      <w:numFmt w:val="decimal"/>
      <w:lvlText w:val="%4)"/>
      <w:lvlJc w:val="left"/>
      <w:pPr>
        <w:ind w:left="1020" w:hanging="360"/>
      </w:pPr>
    </w:lvl>
    <w:lvl w:ilvl="4" w:tplc="14543180">
      <w:start w:val="1"/>
      <w:numFmt w:val="decimal"/>
      <w:lvlText w:val="%5)"/>
      <w:lvlJc w:val="left"/>
      <w:pPr>
        <w:ind w:left="1020" w:hanging="360"/>
      </w:pPr>
    </w:lvl>
    <w:lvl w:ilvl="5" w:tplc="7F289CF8">
      <w:start w:val="1"/>
      <w:numFmt w:val="decimal"/>
      <w:lvlText w:val="%6)"/>
      <w:lvlJc w:val="left"/>
      <w:pPr>
        <w:ind w:left="1020" w:hanging="360"/>
      </w:pPr>
    </w:lvl>
    <w:lvl w:ilvl="6" w:tplc="7D280638">
      <w:start w:val="1"/>
      <w:numFmt w:val="decimal"/>
      <w:lvlText w:val="%7)"/>
      <w:lvlJc w:val="left"/>
      <w:pPr>
        <w:ind w:left="1020" w:hanging="360"/>
      </w:pPr>
    </w:lvl>
    <w:lvl w:ilvl="7" w:tplc="D93A35D8">
      <w:start w:val="1"/>
      <w:numFmt w:val="decimal"/>
      <w:lvlText w:val="%8)"/>
      <w:lvlJc w:val="left"/>
      <w:pPr>
        <w:ind w:left="1020" w:hanging="360"/>
      </w:pPr>
    </w:lvl>
    <w:lvl w:ilvl="8" w:tplc="ED905766">
      <w:start w:val="1"/>
      <w:numFmt w:val="decimal"/>
      <w:lvlText w:val="%9)"/>
      <w:lvlJc w:val="left"/>
      <w:pPr>
        <w:ind w:left="1020" w:hanging="360"/>
      </w:pPr>
    </w:lvl>
  </w:abstractNum>
  <w:abstractNum w:abstractNumId="12" w15:restartNumberingAfterBreak="0">
    <w:nsid w:val="3D5B177A"/>
    <w:multiLevelType w:val="multilevel"/>
    <w:tmpl w:val="D510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831AF"/>
    <w:multiLevelType w:val="multilevel"/>
    <w:tmpl w:val="8BF2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A025EB"/>
    <w:multiLevelType w:val="hybridMultilevel"/>
    <w:tmpl w:val="7986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B2B2F"/>
    <w:multiLevelType w:val="multilevel"/>
    <w:tmpl w:val="D01C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9331A2"/>
    <w:multiLevelType w:val="hybridMultilevel"/>
    <w:tmpl w:val="89D2BB14"/>
    <w:lvl w:ilvl="0" w:tplc="183C3F72">
      <w:start w:val="1"/>
      <w:numFmt w:val="decimal"/>
      <w:lvlText w:val="%1."/>
      <w:lvlJc w:val="left"/>
      <w:pPr>
        <w:ind w:left="720" w:hanging="360"/>
      </w:pPr>
      <w:rPr>
        <w:rFonts w:hint="default"/>
        <w:b w:val="0"/>
        <w:bCs w:val="0"/>
      </w:rPr>
    </w:lvl>
    <w:lvl w:ilvl="1" w:tplc="FCA856C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F8347D"/>
    <w:multiLevelType w:val="hybridMultilevel"/>
    <w:tmpl w:val="DA5A6040"/>
    <w:lvl w:ilvl="0" w:tplc="62BACEE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12D3A"/>
    <w:multiLevelType w:val="hybridMultilevel"/>
    <w:tmpl w:val="C1B01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152BD"/>
    <w:multiLevelType w:val="hybridMultilevel"/>
    <w:tmpl w:val="231077E6"/>
    <w:lvl w:ilvl="0" w:tplc="D6C281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FF5F75"/>
    <w:multiLevelType w:val="multilevel"/>
    <w:tmpl w:val="B6F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6"/>
  </w:num>
  <w:num w:numId="2" w16cid:durableId="449669609">
    <w:abstractNumId w:val="6"/>
  </w:num>
  <w:num w:numId="3" w16cid:durableId="1632975170">
    <w:abstractNumId w:val="25"/>
  </w:num>
  <w:num w:numId="4" w16cid:durableId="1183977095">
    <w:abstractNumId w:val="33"/>
  </w:num>
  <w:num w:numId="5" w16cid:durableId="1230916997">
    <w:abstractNumId w:val="27"/>
  </w:num>
  <w:num w:numId="6" w16cid:durableId="464589505">
    <w:abstractNumId w:val="30"/>
  </w:num>
  <w:num w:numId="7" w16cid:durableId="9821510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3"/>
  </w:num>
  <w:num w:numId="9" w16cid:durableId="1477533355">
    <w:abstractNumId w:val="2"/>
  </w:num>
  <w:num w:numId="10" w16cid:durableId="1828202636">
    <w:abstractNumId w:val="10"/>
  </w:num>
  <w:num w:numId="11" w16cid:durableId="1769345806">
    <w:abstractNumId w:val="0"/>
  </w:num>
  <w:num w:numId="12" w16cid:durableId="1426415847">
    <w:abstractNumId w:val="24"/>
  </w:num>
  <w:num w:numId="13" w16cid:durableId="1549880134">
    <w:abstractNumId w:val="13"/>
  </w:num>
  <w:num w:numId="14" w16cid:durableId="2131704504">
    <w:abstractNumId w:val="18"/>
  </w:num>
  <w:num w:numId="15" w16cid:durableId="1853495620">
    <w:abstractNumId w:val="3"/>
  </w:num>
  <w:num w:numId="16" w16cid:durableId="941954089">
    <w:abstractNumId w:val="14"/>
  </w:num>
  <w:num w:numId="17" w16cid:durableId="1650279753">
    <w:abstractNumId w:val="8"/>
  </w:num>
  <w:num w:numId="18" w16cid:durableId="1988584985">
    <w:abstractNumId w:val="20"/>
  </w:num>
  <w:num w:numId="19" w16cid:durableId="535700289">
    <w:abstractNumId w:val="29"/>
  </w:num>
  <w:num w:numId="20" w16cid:durableId="1574973036">
    <w:abstractNumId w:val="21"/>
  </w:num>
  <w:num w:numId="21" w16cid:durableId="136380859">
    <w:abstractNumId w:val="7"/>
  </w:num>
  <w:num w:numId="22" w16cid:durableId="832570757">
    <w:abstractNumId w:val="19"/>
  </w:num>
  <w:num w:numId="23" w16cid:durableId="1181507636">
    <w:abstractNumId w:val="28"/>
  </w:num>
  <w:num w:numId="24" w16cid:durableId="1814978398">
    <w:abstractNumId w:val="22"/>
  </w:num>
  <w:num w:numId="25" w16cid:durableId="932543241">
    <w:abstractNumId w:val="4"/>
  </w:num>
  <w:num w:numId="26" w16cid:durableId="684095938">
    <w:abstractNumId w:val="11"/>
  </w:num>
  <w:num w:numId="27" w16cid:durableId="295840066">
    <w:abstractNumId w:val="1"/>
  </w:num>
  <w:num w:numId="28" w16cid:durableId="1055659953">
    <w:abstractNumId w:val="12"/>
  </w:num>
  <w:num w:numId="29" w16cid:durableId="1687755785">
    <w:abstractNumId w:val="31"/>
  </w:num>
  <w:num w:numId="30" w16cid:durableId="476731047">
    <w:abstractNumId w:val="15"/>
  </w:num>
  <w:num w:numId="31" w16cid:durableId="1737629054">
    <w:abstractNumId w:val="17"/>
  </w:num>
  <w:num w:numId="32" w16cid:durableId="727339130">
    <w:abstractNumId w:val="5"/>
  </w:num>
  <w:num w:numId="33" w16cid:durableId="1615550697">
    <w:abstractNumId w:val="9"/>
  </w:num>
  <w:num w:numId="34" w16cid:durableId="5000437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5616"/>
    <w:rsid w:val="00006750"/>
    <w:rsid w:val="000113C0"/>
    <w:rsid w:val="00011536"/>
    <w:rsid w:val="0001362D"/>
    <w:rsid w:val="0001602B"/>
    <w:rsid w:val="00016E77"/>
    <w:rsid w:val="0001718E"/>
    <w:rsid w:val="00017315"/>
    <w:rsid w:val="000201A4"/>
    <w:rsid w:val="000204BD"/>
    <w:rsid w:val="00020571"/>
    <w:rsid w:val="00021BC6"/>
    <w:rsid w:val="00023287"/>
    <w:rsid w:val="00025270"/>
    <w:rsid w:val="000308CE"/>
    <w:rsid w:val="00033D11"/>
    <w:rsid w:val="00037DBC"/>
    <w:rsid w:val="0004417D"/>
    <w:rsid w:val="000441F8"/>
    <w:rsid w:val="00046895"/>
    <w:rsid w:val="0005118D"/>
    <w:rsid w:val="00055D9B"/>
    <w:rsid w:val="00057914"/>
    <w:rsid w:val="00057BAA"/>
    <w:rsid w:val="00061A97"/>
    <w:rsid w:val="00062F8C"/>
    <w:rsid w:val="00062FC0"/>
    <w:rsid w:val="000631D6"/>
    <w:rsid w:val="00067F8F"/>
    <w:rsid w:val="000727AD"/>
    <w:rsid w:val="00074284"/>
    <w:rsid w:val="000750FC"/>
    <w:rsid w:val="00075B8D"/>
    <w:rsid w:val="00077704"/>
    <w:rsid w:val="00080C65"/>
    <w:rsid w:val="000819BE"/>
    <w:rsid w:val="00084492"/>
    <w:rsid w:val="0008545A"/>
    <w:rsid w:val="00087BA0"/>
    <w:rsid w:val="00087F16"/>
    <w:rsid w:val="00090684"/>
    <w:rsid w:val="00093B92"/>
    <w:rsid w:val="00095308"/>
    <w:rsid w:val="00095A0E"/>
    <w:rsid w:val="00096556"/>
    <w:rsid w:val="000968DB"/>
    <w:rsid w:val="000A3131"/>
    <w:rsid w:val="000A33BD"/>
    <w:rsid w:val="000A3493"/>
    <w:rsid w:val="000A6E13"/>
    <w:rsid w:val="000B205E"/>
    <w:rsid w:val="000B3825"/>
    <w:rsid w:val="000B4C1D"/>
    <w:rsid w:val="000B73CC"/>
    <w:rsid w:val="000C0238"/>
    <w:rsid w:val="000C071D"/>
    <w:rsid w:val="000C0FF4"/>
    <w:rsid w:val="000C1A94"/>
    <w:rsid w:val="000C3778"/>
    <w:rsid w:val="000C4808"/>
    <w:rsid w:val="000C4E84"/>
    <w:rsid w:val="000C4F63"/>
    <w:rsid w:val="000C6CC2"/>
    <w:rsid w:val="000C7E05"/>
    <w:rsid w:val="000D1B5C"/>
    <w:rsid w:val="000D2917"/>
    <w:rsid w:val="000D46E2"/>
    <w:rsid w:val="000D568B"/>
    <w:rsid w:val="000E1A2B"/>
    <w:rsid w:val="000E3F88"/>
    <w:rsid w:val="000E7867"/>
    <w:rsid w:val="000E7B9E"/>
    <w:rsid w:val="000F069E"/>
    <w:rsid w:val="000F1308"/>
    <w:rsid w:val="000F4352"/>
    <w:rsid w:val="000F5BB0"/>
    <w:rsid w:val="000F76B5"/>
    <w:rsid w:val="00100618"/>
    <w:rsid w:val="00101DAD"/>
    <w:rsid w:val="001036A2"/>
    <w:rsid w:val="001055B6"/>
    <w:rsid w:val="00106F8B"/>
    <w:rsid w:val="00107578"/>
    <w:rsid w:val="001119A9"/>
    <w:rsid w:val="00111ED4"/>
    <w:rsid w:val="00114557"/>
    <w:rsid w:val="00114641"/>
    <w:rsid w:val="001147F0"/>
    <w:rsid w:val="00115081"/>
    <w:rsid w:val="001158A2"/>
    <w:rsid w:val="0011592C"/>
    <w:rsid w:val="00117D7A"/>
    <w:rsid w:val="0012138E"/>
    <w:rsid w:val="001215CE"/>
    <w:rsid w:val="00121E3F"/>
    <w:rsid w:val="00121E8F"/>
    <w:rsid w:val="00122AC1"/>
    <w:rsid w:val="001246A4"/>
    <w:rsid w:val="00130034"/>
    <w:rsid w:val="00137228"/>
    <w:rsid w:val="001418CE"/>
    <w:rsid w:val="00141DF8"/>
    <w:rsid w:val="00144AAB"/>
    <w:rsid w:val="0014570F"/>
    <w:rsid w:val="00150334"/>
    <w:rsid w:val="001542DA"/>
    <w:rsid w:val="00154DFC"/>
    <w:rsid w:val="00157D38"/>
    <w:rsid w:val="00163C19"/>
    <w:rsid w:val="001649EA"/>
    <w:rsid w:val="0016653F"/>
    <w:rsid w:val="001665EA"/>
    <w:rsid w:val="00170092"/>
    <w:rsid w:val="00170389"/>
    <w:rsid w:val="0017106F"/>
    <w:rsid w:val="001741FF"/>
    <w:rsid w:val="00174EEE"/>
    <w:rsid w:val="00175714"/>
    <w:rsid w:val="00183328"/>
    <w:rsid w:val="001840D3"/>
    <w:rsid w:val="00187159"/>
    <w:rsid w:val="001873ED"/>
    <w:rsid w:val="001912C7"/>
    <w:rsid w:val="00191ABE"/>
    <w:rsid w:val="00193038"/>
    <w:rsid w:val="0019311F"/>
    <w:rsid w:val="0019409A"/>
    <w:rsid w:val="0019751B"/>
    <w:rsid w:val="0019763E"/>
    <w:rsid w:val="001A0DAF"/>
    <w:rsid w:val="001A32EA"/>
    <w:rsid w:val="001A338F"/>
    <w:rsid w:val="001B0616"/>
    <w:rsid w:val="001B4571"/>
    <w:rsid w:val="001B4F20"/>
    <w:rsid w:val="001B524B"/>
    <w:rsid w:val="001C05B6"/>
    <w:rsid w:val="001C4126"/>
    <w:rsid w:val="001C4B4A"/>
    <w:rsid w:val="001C58CB"/>
    <w:rsid w:val="001C6825"/>
    <w:rsid w:val="001D14BE"/>
    <w:rsid w:val="001D3878"/>
    <w:rsid w:val="001D42BE"/>
    <w:rsid w:val="001D631F"/>
    <w:rsid w:val="001D7789"/>
    <w:rsid w:val="001E32A0"/>
    <w:rsid w:val="001E4287"/>
    <w:rsid w:val="001E739B"/>
    <w:rsid w:val="001F1181"/>
    <w:rsid w:val="001F1E8A"/>
    <w:rsid w:val="001F791B"/>
    <w:rsid w:val="0020210C"/>
    <w:rsid w:val="00203870"/>
    <w:rsid w:val="002059BD"/>
    <w:rsid w:val="002059E0"/>
    <w:rsid w:val="00210EBE"/>
    <w:rsid w:val="0021156F"/>
    <w:rsid w:val="00215F63"/>
    <w:rsid w:val="00216515"/>
    <w:rsid w:val="00216723"/>
    <w:rsid w:val="00220874"/>
    <w:rsid w:val="00230D3E"/>
    <w:rsid w:val="0023173B"/>
    <w:rsid w:val="002318C5"/>
    <w:rsid w:val="00232155"/>
    <w:rsid w:val="00232E0E"/>
    <w:rsid w:val="002343C5"/>
    <w:rsid w:val="00234610"/>
    <w:rsid w:val="0023702D"/>
    <w:rsid w:val="00237494"/>
    <w:rsid w:val="00244A44"/>
    <w:rsid w:val="002459D0"/>
    <w:rsid w:val="00245ECA"/>
    <w:rsid w:val="002468A2"/>
    <w:rsid w:val="00247513"/>
    <w:rsid w:val="00251C67"/>
    <w:rsid w:val="00251CFA"/>
    <w:rsid w:val="00252B55"/>
    <w:rsid w:val="00253A90"/>
    <w:rsid w:val="002549E8"/>
    <w:rsid w:val="00256CF2"/>
    <w:rsid w:val="00257EBD"/>
    <w:rsid w:val="00261921"/>
    <w:rsid w:val="00264904"/>
    <w:rsid w:val="002652EE"/>
    <w:rsid w:val="002707B0"/>
    <w:rsid w:val="00272D23"/>
    <w:rsid w:val="00275725"/>
    <w:rsid w:val="00276446"/>
    <w:rsid w:val="0028035A"/>
    <w:rsid w:val="0028203A"/>
    <w:rsid w:val="00282E35"/>
    <w:rsid w:val="00286994"/>
    <w:rsid w:val="00287A18"/>
    <w:rsid w:val="00290185"/>
    <w:rsid w:val="00291B41"/>
    <w:rsid w:val="0029547F"/>
    <w:rsid w:val="002957A3"/>
    <w:rsid w:val="0029685E"/>
    <w:rsid w:val="00296A97"/>
    <w:rsid w:val="002A1CEE"/>
    <w:rsid w:val="002A3B81"/>
    <w:rsid w:val="002A3FE6"/>
    <w:rsid w:val="002A4B20"/>
    <w:rsid w:val="002A7141"/>
    <w:rsid w:val="002B0B0C"/>
    <w:rsid w:val="002B0C21"/>
    <w:rsid w:val="002B3DA8"/>
    <w:rsid w:val="002B79D0"/>
    <w:rsid w:val="002C06BD"/>
    <w:rsid w:val="002C0853"/>
    <w:rsid w:val="002C0F9E"/>
    <w:rsid w:val="002C6757"/>
    <w:rsid w:val="002D2BAD"/>
    <w:rsid w:val="002D3A78"/>
    <w:rsid w:val="002D6683"/>
    <w:rsid w:val="002E2029"/>
    <w:rsid w:val="002E5A69"/>
    <w:rsid w:val="002E7C97"/>
    <w:rsid w:val="002F1281"/>
    <w:rsid w:val="002F40AF"/>
    <w:rsid w:val="002F40F6"/>
    <w:rsid w:val="002F4542"/>
    <w:rsid w:val="002F46DB"/>
    <w:rsid w:val="002F5E31"/>
    <w:rsid w:val="003054CD"/>
    <w:rsid w:val="00305C04"/>
    <w:rsid w:val="003065B2"/>
    <w:rsid w:val="00306967"/>
    <w:rsid w:val="003103E3"/>
    <w:rsid w:val="00311F78"/>
    <w:rsid w:val="0031310D"/>
    <w:rsid w:val="00313D95"/>
    <w:rsid w:val="00313E62"/>
    <w:rsid w:val="0031511B"/>
    <w:rsid w:val="00316B74"/>
    <w:rsid w:val="00316DE3"/>
    <w:rsid w:val="00316EC3"/>
    <w:rsid w:val="00317099"/>
    <w:rsid w:val="003237E9"/>
    <w:rsid w:val="00324FE4"/>
    <w:rsid w:val="003250DC"/>
    <w:rsid w:val="00327E8A"/>
    <w:rsid w:val="00330BAB"/>
    <w:rsid w:val="0033289B"/>
    <w:rsid w:val="00334538"/>
    <w:rsid w:val="003346DA"/>
    <w:rsid w:val="0033773E"/>
    <w:rsid w:val="00342413"/>
    <w:rsid w:val="0035224E"/>
    <w:rsid w:val="00355E62"/>
    <w:rsid w:val="0036169E"/>
    <w:rsid w:val="003662A0"/>
    <w:rsid w:val="0036630C"/>
    <w:rsid w:val="003673EC"/>
    <w:rsid w:val="0037508A"/>
    <w:rsid w:val="0037562D"/>
    <w:rsid w:val="003802D2"/>
    <w:rsid w:val="00381068"/>
    <w:rsid w:val="00381C32"/>
    <w:rsid w:val="003862BF"/>
    <w:rsid w:val="00387569"/>
    <w:rsid w:val="003878E1"/>
    <w:rsid w:val="003949CE"/>
    <w:rsid w:val="003A1DF2"/>
    <w:rsid w:val="003A2DC1"/>
    <w:rsid w:val="003A42C0"/>
    <w:rsid w:val="003A5DE9"/>
    <w:rsid w:val="003A5F00"/>
    <w:rsid w:val="003B0E66"/>
    <w:rsid w:val="003B1ABE"/>
    <w:rsid w:val="003B3146"/>
    <w:rsid w:val="003B472F"/>
    <w:rsid w:val="003B4A51"/>
    <w:rsid w:val="003C4510"/>
    <w:rsid w:val="003C7201"/>
    <w:rsid w:val="003C7780"/>
    <w:rsid w:val="003C798E"/>
    <w:rsid w:val="003D0850"/>
    <w:rsid w:val="003D78E0"/>
    <w:rsid w:val="003E1923"/>
    <w:rsid w:val="003E561D"/>
    <w:rsid w:val="003E5DAD"/>
    <w:rsid w:val="003E6DB6"/>
    <w:rsid w:val="003F052A"/>
    <w:rsid w:val="003F3FD9"/>
    <w:rsid w:val="003F5DEF"/>
    <w:rsid w:val="003F722F"/>
    <w:rsid w:val="00400B33"/>
    <w:rsid w:val="00404016"/>
    <w:rsid w:val="00405764"/>
    <w:rsid w:val="00410A4D"/>
    <w:rsid w:val="00416671"/>
    <w:rsid w:val="00416A5C"/>
    <w:rsid w:val="00422B3E"/>
    <w:rsid w:val="0042381E"/>
    <w:rsid w:val="00425C52"/>
    <w:rsid w:val="00426648"/>
    <w:rsid w:val="004309CD"/>
    <w:rsid w:val="00430D4A"/>
    <w:rsid w:val="00431FF9"/>
    <w:rsid w:val="00432AEC"/>
    <w:rsid w:val="004340C2"/>
    <w:rsid w:val="00441B9C"/>
    <w:rsid w:val="00442E58"/>
    <w:rsid w:val="00442FD5"/>
    <w:rsid w:val="00443C0F"/>
    <w:rsid w:val="00444549"/>
    <w:rsid w:val="004464D7"/>
    <w:rsid w:val="004517EE"/>
    <w:rsid w:val="00452A64"/>
    <w:rsid w:val="00453A6F"/>
    <w:rsid w:val="00454856"/>
    <w:rsid w:val="0045541D"/>
    <w:rsid w:val="00460A29"/>
    <w:rsid w:val="00465612"/>
    <w:rsid w:val="00467022"/>
    <w:rsid w:val="0047061C"/>
    <w:rsid w:val="00470B9F"/>
    <w:rsid w:val="004722DA"/>
    <w:rsid w:val="00472621"/>
    <w:rsid w:val="00482B3F"/>
    <w:rsid w:val="00484FC4"/>
    <w:rsid w:val="00487F71"/>
    <w:rsid w:val="00491C09"/>
    <w:rsid w:val="00492CE8"/>
    <w:rsid w:val="004937F5"/>
    <w:rsid w:val="0049405A"/>
    <w:rsid w:val="004A2571"/>
    <w:rsid w:val="004A3DDB"/>
    <w:rsid w:val="004A7AC3"/>
    <w:rsid w:val="004B35D9"/>
    <w:rsid w:val="004B4C63"/>
    <w:rsid w:val="004B53ED"/>
    <w:rsid w:val="004B616C"/>
    <w:rsid w:val="004B6AC0"/>
    <w:rsid w:val="004C3E58"/>
    <w:rsid w:val="004C40EF"/>
    <w:rsid w:val="004C57A7"/>
    <w:rsid w:val="004C5DEB"/>
    <w:rsid w:val="004C5FF3"/>
    <w:rsid w:val="004C6954"/>
    <w:rsid w:val="004D0AFC"/>
    <w:rsid w:val="004D4F2A"/>
    <w:rsid w:val="004D5803"/>
    <w:rsid w:val="004E3CEE"/>
    <w:rsid w:val="004E4515"/>
    <w:rsid w:val="004E4580"/>
    <w:rsid w:val="004E6F4B"/>
    <w:rsid w:val="004F1F61"/>
    <w:rsid w:val="004F2E15"/>
    <w:rsid w:val="004F3E54"/>
    <w:rsid w:val="004F5382"/>
    <w:rsid w:val="004F5731"/>
    <w:rsid w:val="004F64B3"/>
    <w:rsid w:val="004F7FCC"/>
    <w:rsid w:val="00500425"/>
    <w:rsid w:val="005012A9"/>
    <w:rsid w:val="00502780"/>
    <w:rsid w:val="00502FA5"/>
    <w:rsid w:val="00504EE4"/>
    <w:rsid w:val="0050594A"/>
    <w:rsid w:val="00506714"/>
    <w:rsid w:val="005162D4"/>
    <w:rsid w:val="00530092"/>
    <w:rsid w:val="00530ED2"/>
    <w:rsid w:val="005320CC"/>
    <w:rsid w:val="00532A93"/>
    <w:rsid w:val="005335A2"/>
    <w:rsid w:val="00533F7E"/>
    <w:rsid w:val="00545E14"/>
    <w:rsid w:val="005462CF"/>
    <w:rsid w:val="00547298"/>
    <w:rsid w:val="00550CD0"/>
    <w:rsid w:val="00552E5E"/>
    <w:rsid w:val="005565A0"/>
    <w:rsid w:val="005652C4"/>
    <w:rsid w:val="005660A2"/>
    <w:rsid w:val="0056713A"/>
    <w:rsid w:val="005672AD"/>
    <w:rsid w:val="00571DB5"/>
    <w:rsid w:val="005723FC"/>
    <w:rsid w:val="005756F8"/>
    <w:rsid w:val="00576D45"/>
    <w:rsid w:val="00580403"/>
    <w:rsid w:val="00583A09"/>
    <w:rsid w:val="00593BD5"/>
    <w:rsid w:val="00597C1C"/>
    <w:rsid w:val="005A1529"/>
    <w:rsid w:val="005A2195"/>
    <w:rsid w:val="005A5B88"/>
    <w:rsid w:val="005B07C8"/>
    <w:rsid w:val="005B2002"/>
    <w:rsid w:val="005B3EED"/>
    <w:rsid w:val="005B41AC"/>
    <w:rsid w:val="005B5F2F"/>
    <w:rsid w:val="005B777B"/>
    <w:rsid w:val="005C1847"/>
    <w:rsid w:val="005C201C"/>
    <w:rsid w:val="005C2AFE"/>
    <w:rsid w:val="005C4BDA"/>
    <w:rsid w:val="005C55B1"/>
    <w:rsid w:val="005C6635"/>
    <w:rsid w:val="005C772F"/>
    <w:rsid w:val="005D0ED5"/>
    <w:rsid w:val="005D1437"/>
    <w:rsid w:val="005D6895"/>
    <w:rsid w:val="005E1E6E"/>
    <w:rsid w:val="005E2B35"/>
    <w:rsid w:val="005E2DD7"/>
    <w:rsid w:val="005E3294"/>
    <w:rsid w:val="005E5080"/>
    <w:rsid w:val="005E5577"/>
    <w:rsid w:val="005E784A"/>
    <w:rsid w:val="005F38B8"/>
    <w:rsid w:val="005F3A24"/>
    <w:rsid w:val="00604B74"/>
    <w:rsid w:val="00604CA7"/>
    <w:rsid w:val="00606EE8"/>
    <w:rsid w:val="0060745D"/>
    <w:rsid w:val="00610861"/>
    <w:rsid w:val="00611347"/>
    <w:rsid w:val="0061197B"/>
    <w:rsid w:val="00612A35"/>
    <w:rsid w:val="00615CD8"/>
    <w:rsid w:val="006223C5"/>
    <w:rsid w:val="00625045"/>
    <w:rsid w:val="00626439"/>
    <w:rsid w:val="00627715"/>
    <w:rsid w:val="00631B65"/>
    <w:rsid w:val="006345D0"/>
    <w:rsid w:val="006360A4"/>
    <w:rsid w:val="00636F29"/>
    <w:rsid w:val="00637B05"/>
    <w:rsid w:val="00641089"/>
    <w:rsid w:val="006414D7"/>
    <w:rsid w:val="00651B37"/>
    <w:rsid w:val="00661553"/>
    <w:rsid w:val="0066315B"/>
    <w:rsid w:val="0066604A"/>
    <w:rsid w:val="00666C86"/>
    <w:rsid w:val="0066746F"/>
    <w:rsid w:val="00671900"/>
    <w:rsid w:val="00671A4C"/>
    <w:rsid w:val="00672015"/>
    <w:rsid w:val="00676C6C"/>
    <w:rsid w:val="00682421"/>
    <w:rsid w:val="006832D4"/>
    <w:rsid w:val="00684950"/>
    <w:rsid w:val="00684CAC"/>
    <w:rsid w:val="0068605C"/>
    <w:rsid w:val="0068795C"/>
    <w:rsid w:val="006900CC"/>
    <w:rsid w:val="006911C3"/>
    <w:rsid w:val="006978CA"/>
    <w:rsid w:val="006A0E12"/>
    <w:rsid w:val="006A15F2"/>
    <w:rsid w:val="006A2082"/>
    <w:rsid w:val="006A5ABF"/>
    <w:rsid w:val="006A61D6"/>
    <w:rsid w:val="006A680C"/>
    <w:rsid w:val="006A7FC4"/>
    <w:rsid w:val="006B1D7F"/>
    <w:rsid w:val="006B72C7"/>
    <w:rsid w:val="006C183D"/>
    <w:rsid w:val="006C18E2"/>
    <w:rsid w:val="006C44F3"/>
    <w:rsid w:val="006C5C74"/>
    <w:rsid w:val="006C6F27"/>
    <w:rsid w:val="006D1D8B"/>
    <w:rsid w:val="006D5FA5"/>
    <w:rsid w:val="006D61EB"/>
    <w:rsid w:val="006D6EFC"/>
    <w:rsid w:val="006D7B04"/>
    <w:rsid w:val="006E43E4"/>
    <w:rsid w:val="006E49A5"/>
    <w:rsid w:val="006F0FDE"/>
    <w:rsid w:val="00702AC9"/>
    <w:rsid w:val="00702D67"/>
    <w:rsid w:val="00703396"/>
    <w:rsid w:val="00704092"/>
    <w:rsid w:val="0070429A"/>
    <w:rsid w:val="007044F4"/>
    <w:rsid w:val="00705F72"/>
    <w:rsid w:val="00706A36"/>
    <w:rsid w:val="007077C0"/>
    <w:rsid w:val="00710539"/>
    <w:rsid w:val="007107D0"/>
    <w:rsid w:val="007111FF"/>
    <w:rsid w:val="007124FF"/>
    <w:rsid w:val="00714363"/>
    <w:rsid w:val="0071442D"/>
    <w:rsid w:val="007204F8"/>
    <w:rsid w:val="0072258B"/>
    <w:rsid w:val="007227E7"/>
    <w:rsid w:val="007231BB"/>
    <w:rsid w:val="007245D3"/>
    <w:rsid w:val="00724691"/>
    <w:rsid w:val="007312C2"/>
    <w:rsid w:val="007469D8"/>
    <w:rsid w:val="007503CE"/>
    <w:rsid w:val="007521AB"/>
    <w:rsid w:val="00752C1B"/>
    <w:rsid w:val="007641EC"/>
    <w:rsid w:val="00765F18"/>
    <w:rsid w:val="00766B15"/>
    <w:rsid w:val="0077101A"/>
    <w:rsid w:val="00771236"/>
    <w:rsid w:val="007753FD"/>
    <w:rsid w:val="007808E9"/>
    <w:rsid w:val="00781702"/>
    <w:rsid w:val="00791931"/>
    <w:rsid w:val="00791B79"/>
    <w:rsid w:val="00793566"/>
    <w:rsid w:val="007940DF"/>
    <w:rsid w:val="00795152"/>
    <w:rsid w:val="007A0332"/>
    <w:rsid w:val="007A0DDB"/>
    <w:rsid w:val="007A1963"/>
    <w:rsid w:val="007A1C72"/>
    <w:rsid w:val="007A6756"/>
    <w:rsid w:val="007B1AF4"/>
    <w:rsid w:val="007B35FE"/>
    <w:rsid w:val="007B48AC"/>
    <w:rsid w:val="007C1208"/>
    <w:rsid w:val="007C1CAE"/>
    <w:rsid w:val="007C2A52"/>
    <w:rsid w:val="007C4499"/>
    <w:rsid w:val="007D0C4C"/>
    <w:rsid w:val="007D0F4E"/>
    <w:rsid w:val="007D0F53"/>
    <w:rsid w:val="007D27C6"/>
    <w:rsid w:val="007D4FB8"/>
    <w:rsid w:val="007E267F"/>
    <w:rsid w:val="007E515A"/>
    <w:rsid w:val="007F18F5"/>
    <w:rsid w:val="007F3AD3"/>
    <w:rsid w:val="007F539B"/>
    <w:rsid w:val="007F5758"/>
    <w:rsid w:val="00800525"/>
    <w:rsid w:val="0080361E"/>
    <w:rsid w:val="00805000"/>
    <w:rsid w:val="00806DF3"/>
    <w:rsid w:val="00816BF8"/>
    <w:rsid w:val="00820E1A"/>
    <w:rsid w:val="008210BD"/>
    <w:rsid w:val="008233CC"/>
    <w:rsid w:val="008249B3"/>
    <w:rsid w:val="008267DD"/>
    <w:rsid w:val="00826C1D"/>
    <w:rsid w:val="00832690"/>
    <w:rsid w:val="00835AAC"/>
    <w:rsid w:val="0084044F"/>
    <w:rsid w:val="00841326"/>
    <w:rsid w:val="00844887"/>
    <w:rsid w:val="008558AA"/>
    <w:rsid w:val="00856C65"/>
    <w:rsid w:val="00860D38"/>
    <w:rsid w:val="00861415"/>
    <w:rsid w:val="008628D0"/>
    <w:rsid w:val="00863DED"/>
    <w:rsid w:val="00865A56"/>
    <w:rsid w:val="0086725B"/>
    <w:rsid w:val="00870086"/>
    <w:rsid w:val="008709E6"/>
    <w:rsid w:val="00870B9C"/>
    <w:rsid w:val="00872E44"/>
    <w:rsid w:val="00874623"/>
    <w:rsid w:val="0087532E"/>
    <w:rsid w:val="00876B13"/>
    <w:rsid w:val="00876B2D"/>
    <w:rsid w:val="008816DE"/>
    <w:rsid w:val="00881F6A"/>
    <w:rsid w:val="008858B5"/>
    <w:rsid w:val="0088594F"/>
    <w:rsid w:val="008A5D59"/>
    <w:rsid w:val="008A6FF1"/>
    <w:rsid w:val="008B0020"/>
    <w:rsid w:val="008B02DF"/>
    <w:rsid w:val="008B4A42"/>
    <w:rsid w:val="008B7159"/>
    <w:rsid w:val="008C08CF"/>
    <w:rsid w:val="008C12A6"/>
    <w:rsid w:val="008C13D3"/>
    <w:rsid w:val="008C1BC1"/>
    <w:rsid w:val="008C1D6D"/>
    <w:rsid w:val="008C3AA3"/>
    <w:rsid w:val="008C4A85"/>
    <w:rsid w:val="008D4DCA"/>
    <w:rsid w:val="008D648C"/>
    <w:rsid w:val="008E2887"/>
    <w:rsid w:val="008E5573"/>
    <w:rsid w:val="008E63C4"/>
    <w:rsid w:val="008E6545"/>
    <w:rsid w:val="008F1E32"/>
    <w:rsid w:val="008F44C5"/>
    <w:rsid w:val="008F4EC3"/>
    <w:rsid w:val="008F5195"/>
    <w:rsid w:val="008F6DF2"/>
    <w:rsid w:val="0090315D"/>
    <w:rsid w:val="00903338"/>
    <w:rsid w:val="0090431E"/>
    <w:rsid w:val="009050B0"/>
    <w:rsid w:val="00905136"/>
    <w:rsid w:val="00910CA6"/>
    <w:rsid w:val="00917ED9"/>
    <w:rsid w:val="00921556"/>
    <w:rsid w:val="009235C2"/>
    <w:rsid w:val="00924DB5"/>
    <w:rsid w:val="00924E75"/>
    <w:rsid w:val="009317C0"/>
    <w:rsid w:val="0093200F"/>
    <w:rsid w:val="009332E3"/>
    <w:rsid w:val="0093360D"/>
    <w:rsid w:val="00935F5B"/>
    <w:rsid w:val="00943F34"/>
    <w:rsid w:val="009458CC"/>
    <w:rsid w:val="009565C2"/>
    <w:rsid w:val="00956827"/>
    <w:rsid w:val="00957375"/>
    <w:rsid w:val="0096109A"/>
    <w:rsid w:val="009648F0"/>
    <w:rsid w:val="00965110"/>
    <w:rsid w:val="00965643"/>
    <w:rsid w:val="009665AB"/>
    <w:rsid w:val="00967B5B"/>
    <w:rsid w:val="0097172B"/>
    <w:rsid w:val="009717FD"/>
    <w:rsid w:val="00972FFF"/>
    <w:rsid w:val="009746EA"/>
    <w:rsid w:val="00976367"/>
    <w:rsid w:val="009764DF"/>
    <w:rsid w:val="0098707D"/>
    <w:rsid w:val="00987D2B"/>
    <w:rsid w:val="009901CB"/>
    <w:rsid w:val="009925F8"/>
    <w:rsid w:val="0099473D"/>
    <w:rsid w:val="009961E1"/>
    <w:rsid w:val="009964C9"/>
    <w:rsid w:val="009A107B"/>
    <w:rsid w:val="009A305D"/>
    <w:rsid w:val="009A306A"/>
    <w:rsid w:val="009A36D7"/>
    <w:rsid w:val="009A3EB1"/>
    <w:rsid w:val="009A4693"/>
    <w:rsid w:val="009A49D5"/>
    <w:rsid w:val="009A551A"/>
    <w:rsid w:val="009A5770"/>
    <w:rsid w:val="009B35C5"/>
    <w:rsid w:val="009B3AD9"/>
    <w:rsid w:val="009B3D14"/>
    <w:rsid w:val="009B3FB7"/>
    <w:rsid w:val="009B766D"/>
    <w:rsid w:val="009C157F"/>
    <w:rsid w:val="009C49C8"/>
    <w:rsid w:val="009C648E"/>
    <w:rsid w:val="009C6AC2"/>
    <w:rsid w:val="009C774C"/>
    <w:rsid w:val="009C7BBF"/>
    <w:rsid w:val="009D2693"/>
    <w:rsid w:val="009D4D27"/>
    <w:rsid w:val="009D5819"/>
    <w:rsid w:val="009D5CF7"/>
    <w:rsid w:val="009D7FE4"/>
    <w:rsid w:val="009E4464"/>
    <w:rsid w:val="009E615A"/>
    <w:rsid w:val="009E7B07"/>
    <w:rsid w:val="009F14A8"/>
    <w:rsid w:val="009F6AC5"/>
    <w:rsid w:val="00A005EA"/>
    <w:rsid w:val="00A032FE"/>
    <w:rsid w:val="00A03630"/>
    <w:rsid w:val="00A10811"/>
    <w:rsid w:val="00A12D89"/>
    <w:rsid w:val="00A13A35"/>
    <w:rsid w:val="00A15D95"/>
    <w:rsid w:val="00A15E14"/>
    <w:rsid w:val="00A169F5"/>
    <w:rsid w:val="00A2150D"/>
    <w:rsid w:val="00A21C14"/>
    <w:rsid w:val="00A2358F"/>
    <w:rsid w:val="00A30B85"/>
    <w:rsid w:val="00A321CE"/>
    <w:rsid w:val="00A3290D"/>
    <w:rsid w:val="00A34333"/>
    <w:rsid w:val="00A351CE"/>
    <w:rsid w:val="00A41C5A"/>
    <w:rsid w:val="00A4648C"/>
    <w:rsid w:val="00A524FB"/>
    <w:rsid w:val="00A5303A"/>
    <w:rsid w:val="00A56887"/>
    <w:rsid w:val="00A627F2"/>
    <w:rsid w:val="00A669D1"/>
    <w:rsid w:val="00A67BBD"/>
    <w:rsid w:val="00A700BA"/>
    <w:rsid w:val="00A70E69"/>
    <w:rsid w:val="00A71465"/>
    <w:rsid w:val="00A722E3"/>
    <w:rsid w:val="00A725EF"/>
    <w:rsid w:val="00A728DA"/>
    <w:rsid w:val="00A760C1"/>
    <w:rsid w:val="00A766C3"/>
    <w:rsid w:val="00A82237"/>
    <w:rsid w:val="00A83D76"/>
    <w:rsid w:val="00A90557"/>
    <w:rsid w:val="00A95BFD"/>
    <w:rsid w:val="00A97891"/>
    <w:rsid w:val="00AA3110"/>
    <w:rsid w:val="00AB235E"/>
    <w:rsid w:val="00AB2D9A"/>
    <w:rsid w:val="00AC08DF"/>
    <w:rsid w:val="00AC5DDF"/>
    <w:rsid w:val="00AD0749"/>
    <w:rsid w:val="00AD4C61"/>
    <w:rsid w:val="00AE07E6"/>
    <w:rsid w:val="00AE41FA"/>
    <w:rsid w:val="00AE47F5"/>
    <w:rsid w:val="00AF2121"/>
    <w:rsid w:val="00AF4A4A"/>
    <w:rsid w:val="00AF5D07"/>
    <w:rsid w:val="00AF6061"/>
    <w:rsid w:val="00B00FDD"/>
    <w:rsid w:val="00B06C7D"/>
    <w:rsid w:val="00B105EA"/>
    <w:rsid w:val="00B14BB1"/>
    <w:rsid w:val="00B155CC"/>
    <w:rsid w:val="00B17E81"/>
    <w:rsid w:val="00B25870"/>
    <w:rsid w:val="00B27BA8"/>
    <w:rsid w:val="00B3129D"/>
    <w:rsid w:val="00B35BDB"/>
    <w:rsid w:val="00B54D93"/>
    <w:rsid w:val="00B60C82"/>
    <w:rsid w:val="00B61620"/>
    <w:rsid w:val="00B62916"/>
    <w:rsid w:val="00B654D3"/>
    <w:rsid w:val="00B7083B"/>
    <w:rsid w:val="00B71821"/>
    <w:rsid w:val="00B7347A"/>
    <w:rsid w:val="00B74C9C"/>
    <w:rsid w:val="00B76741"/>
    <w:rsid w:val="00B82AD4"/>
    <w:rsid w:val="00B845CB"/>
    <w:rsid w:val="00B845E2"/>
    <w:rsid w:val="00B85343"/>
    <w:rsid w:val="00B861CC"/>
    <w:rsid w:val="00B8761C"/>
    <w:rsid w:val="00B90FBA"/>
    <w:rsid w:val="00B917E5"/>
    <w:rsid w:val="00B9779C"/>
    <w:rsid w:val="00B97E48"/>
    <w:rsid w:val="00BA1744"/>
    <w:rsid w:val="00BA1923"/>
    <w:rsid w:val="00BA5E8C"/>
    <w:rsid w:val="00BA6B80"/>
    <w:rsid w:val="00BA6BEA"/>
    <w:rsid w:val="00BB52C7"/>
    <w:rsid w:val="00BB6A51"/>
    <w:rsid w:val="00BB76E3"/>
    <w:rsid w:val="00BC491E"/>
    <w:rsid w:val="00BC6BB6"/>
    <w:rsid w:val="00BC7C50"/>
    <w:rsid w:val="00BC7CFD"/>
    <w:rsid w:val="00BD0495"/>
    <w:rsid w:val="00BD0DF8"/>
    <w:rsid w:val="00BD5574"/>
    <w:rsid w:val="00BD57B0"/>
    <w:rsid w:val="00BD6601"/>
    <w:rsid w:val="00BE2759"/>
    <w:rsid w:val="00BE44A0"/>
    <w:rsid w:val="00BE4F90"/>
    <w:rsid w:val="00BE6A7A"/>
    <w:rsid w:val="00BE7404"/>
    <w:rsid w:val="00BE7935"/>
    <w:rsid w:val="00BF0140"/>
    <w:rsid w:val="00BF1098"/>
    <w:rsid w:val="00BF1270"/>
    <w:rsid w:val="00BF6977"/>
    <w:rsid w:val="00BF7698"/>
    <w:rsid w:val="00BF7E47"/>
    <w:rsid w:val="00C015F3"/>
    <w:rsid w:val="00C02728"/>
    <w:rsid w:val="00C03143"/>
    <w:rsid w:val="00C067EA"/>
    <w:rsid w:val="00C10FE9"/>
    <w:rsid w:val="00C11FF6"/>
    <w:rsid w:val="00C1425D"/>
    <w:rsid w:val="00C1481D"/>
    <w:rsid w:val="00C1502A"/>
    <w:rsid w:val="00C159B0"/>
    <w:rsid w:val="00C17ADD"/>
    <w:rsid w:val="00C20650"/>
    <w:rsid w:val="00C22980"/>
    <w:rsid w:val="00C23263"/>
    <w:rsid w:val="00C3699E"/>
    <w:rsid w:val="00C37589"/>
    <w:rsid w:val="00C37B96"/>
    <w:rsid w:val="00C42005"/>
    <w:rsid w:val="00C4348D"/>
    <w:rsid w:val="00C44CC2"/>
    <w:rsid w:val="00C5137E"/>
    <w:rsid w:val="00C57B91"/>
    <w:rsid w:val="00C61E01"/>
    <w:rsid w:val="00C620A0"/>
    <w:rsid w:val="00C62870"/>
    <w:rsid w:val="00C63FF9"/>
    <w:rsid w:val="00C67427"/>
    <w:rsid w:val="00C675A0"/>
    <w:rsid w:val="00C74D28"/>
    <w:rsid w:val="00C752D2"/>
    <w:rsid w:val="00C77F12"/>
    <w:rsid w:val="00C80325"/>
    <w:rsid w:val="00C80667"/>
    <w:rsid w:val="00C81275"/>
    <w:rsid w:val="00C81D4B"/>
    <w:rsid w:val="00C828C4"/>
    <w:rsid w:val="00C829BD"/>
    <w:rsid w:val="00C8546B"/>
    <w:rsid w:val="00C86B72"/>
    <w:rsid w:val="00C933BA"/>
    <w:rsid w:val="00C9373B"/>
    <w:rsid w:val="00CA68C1"/>
    <w:rsid w:val="00CB5FD7"/>
    <w:rsid w:val="00CB64A6"/>
    <w:rsid w:val="00CC1E0F"/>
    <w:rsid w:val="00CC21CF"/>
    <w:rsid w:val="00CC50AB"/>
    <w:rsid w:val="00CC6231"/>
    <w:rsid w:val="00CD2FB8"/>
    <w:rsid w:val="00CD490C"/>
    <w:rsid w:val="00CD7085"/>
    <w:rsid w:val="00CD771F"/>
    <w:rsid w:val="00CE0F2A"/>
    <w:rsid w:val="00CE372D"/>
    <w:rsid w:val="00CE38D9"/>
    <w:rsid w:val="00CE4738"/>
    <w:rsid w:val="00CF310E"/>
    <w:rsid w:val="00CF4088"/>
    <w:rsid w:val="00CF46C7"/>
    <w:rsid w:val="00CF6CE6"/>
    <w:rsid w:val="00D06A2B"/>
    <w:rsid w:val="00D07FD7"/>
    <w:rsid w:val="00D1364E"/>
    <w:rsid w:val="00D139F5"/>
    <w:rsid w:val="00D1419B"/>
    <w:rsid w:val="00D20720"/>
    <w:rsid w:val="00D2129E"/>
    <w:rsid w:val="00D218D0"/>
    <w:rsid w:val="00D22872"/>
    <w:rsid w:val="00D27CCF"/>
    <w:rsid w:val="00D308A3"/>
    <w:rsid w:val="00D34822"/>
    <w:rsid w:val="00D35A68"/>
    <w:rsid w:val="00D42185"/>
    <w:rsid w:val="00D42BB5"/>
    <w:rsid w:val="00D42CC4"/>
    <w:rsid w:val="00D43E9B"/>
    <w:rsid w:val="00D45CF3"/>
    <w:rsid w:val="00D47F6A"/>
    <w:rsid w:val="00D50B19"/>
    <w:rsid w:val="00D5329D"/>
    <w:rsid w:val="00D551E8"/>
    <w:rsid w:val="00D55E02"/>
    <w:rsid w:val="00D57DA9"/>
    <w:rsid w:val="00D60189"/>
    <w:rsid w:val="00D609DF"/>
    <w:rsid w:val="00D63837"/>
    <w:rsid w:val="00D6447C"/>
    <w:rsid w:val="00D67AFB"/>
    <w:rsid w:val="00D67E1C"/>
    <w:rsid w:val="00D82539"/>
    <w:rsid w:val="00D83A94"/>
    <w:rsid w:val="00D866F0"/>
    <w:rsid w:val="00D92955"/>
    <w:rsid w:val="00D93B6A"/>
    <w:rsid w:val="00D949B3"/>
    <w:rsid w:val="00D94F5E"/>
    <w:rsid w:val="00DA0274"/>
    <w:rsid w:val="00DA1F3A"/>
    <w:rsid w:val="00DA763B"/>
    <w:rsid w:val="00DB023D"/>
    <w:rsid w:val="00DB1027"/>
    <w:rsid w:val="00DB1D96"/>
    <w:rsid w:val="00DB2779"/>
    <w:rsid w:val="00DB27D0"/>
    <w:rsid w:val="00DB33F9"/>
    <w:rsid w:val="00DB41EC"/>
    <w:rsid w:val="00DB5C66"/>
    <w:rsid w:val="00DB72CE"/>
    <w:rsid w:val="00DC02B9"/>
    <w:rsid w:val="00DC099C"/>
    <w:rsid w:val="00DC3594"/>
    <w:rsid w:val="00DC3FF1"/>
    <w:rsid w:val="00DC591D"/>
    <w:rsid w:val="00DD129B"/>
    <w:rsid w:val="00DD42D2"/>
    <w:rsid w:val="00DD757D"/>
    <w:rsid w:val="00DD7608"/>
    <w:rsid w:val="00DD7C1A"/>
    <w:rsid w:val="00DE5271"/>
    <w:rsid w:val="00DE56F5"/>
    <w:rsid w:val="00DE6EF5"/>
    <w:rsid w:val="00DE7F77"/>
    <w:rsid w:val="00DF1384"/>
    <w:rsid w:val="00DF23A5"/>
    <w:rsid w:val="00DF46ED"/>
    <w:rsid w:val="00DF69BB"/>
    <w:rsid w:val="00E02DE7"/>
    <w:rsid w:val="00E076EE"/>
    <w:rsid w:val="00E12051"/>
    <w:rsid w:val="00E14513"/>
    <w:rsid w:val="00E161B2"/>
    <w:rsid w:val="00E20641"/>
    <w:rsid w:val="00E226C4"/>
    <w:rsid w:val="00E23559"/>
    <w:rsid w:val="00E23F42"/>
    <w:rsid w:val="00E30B76"/>
    <w:rsid w:val="00E30F62"/>
    <w:rsid w:val="00E316DB"/>
    <w:rsid w:val="00E320DD"/>
    <w:rsid w:val="00E42F6C"/>
    <w:rsid w:val="00E43608"/>
    <w:rsid w:val="00E45D1C"/>
    <w:rsid w:val="00E46C32"/>
    <w:rsid w:val="00E507AA"/>
    <w:rsid w:val="00E52965"/>
    <w:rsid w:val="00E63F9D"/>
    <w:rsid w:val="00E64CA8"/>
    <w:rsid w:val="00E67F5F"/>
    <w:rsid w:val="00E70E72"/>
    <w:rsid w:val="00E7192E"/>
    <w:rsid w:val="00E73A23"/>
    <w:rsid w:val="00E74AA6"/>
    <w:rsid w:val="00E75296"/>
    <w:rsid w:val="00E75E62"/>
    <w:rsid w:val="00E87852"/>
    <w:rsid w:val="00E93FBB"/>
    <w:rsid w:val="00E94536"/>
    <w:rsid w:val="00E951A6"/>
    <w:rsid w:val="00E957E5"/>
    <w:rsid w:val="00EA1307"/>
    <w:rsid w:val="00EA29B3"/>
    <w:rsid w:val="00EA6628"/>
    <w:rsid w:val="00EA739F"/>
    <w:rsid w:val="00EA7BB5"/>
    <w:rsid w:val="00EB1208"/>
    <w:rsid w:val="00EC36BE"/>
    <w:rsid w:val="00EC3700"/>
    <w:rsid w:val="00EC6ADF"/>
    <w:rsid w:val="00EC7968"/>
    <w:rsid w:val="00ED1D5D"/>
    <w:rsid w:val="00ED5446"/>
    <w:rsid w:val="00ED671D"/>
    <w:rsid w:val="00ED74EC"/>
    <w:rsid w:val="00ED7726"/>
    <w:rsid w:val="00ED78A8"/>
    <w:rsid w:val="00EE2200"/>
    <w:rsid w:val="00EE2326"/>
    <w:rsid w:val="00EE29BB"/>
    <w:rsid w:val="00EE2CF2"/>
    <w:rsid w:val="00EE744F"/>
    <w:rsid w:val="00EF4A86"/>
    <w:rsid w:val="00EF5B9C"/>
    <w:rsid w:val="00EF6C77"/>
    <w:rsid w:val="00F10AA4"/>
    <w:rsid w:val="00F132D2"/>
    <w:rsid w:val="00F1358D"/>
    <w:rsid w:val="00F13D7E"/>
    <w:rsid w:val="00F1598A"/>
    <w:rsid w:val="00F17348"/>
    <w:rsid w:val="00F21A02"/>
    <w:rsid w:val="00F2571A"/>
    <w:rsid w:val="00F30C35"/>
    <w:rsid w:val="00F31732"/>
    <w:rsid w:val="00F359E2"/>
    <w:rsid w:val="00F43192"/>
    <w:rsid w:val="00F4700E"/>
    <w:rsid w:val="00F47956"/>
    <w:rsid w:val="00F57DB2"/>
    <w:rsid w:val="00F57E75"/>
    <w:rsid w:val="00F6091C"/>
    <w:rsid w:val="00F7158B"/>
    <w:rsid w:val="00F71A35"/>
    <w:rsid w:val="00F73685"/>
    <w:rsid w:val="00F76627"/>
    <w:rsid w:val="00F801D9"/>
    <w:rsid w:val="00F84F51"/>
    <w:rsid w:val="00F85804"/>
    <w:rsid w:val="00F91ADB"/>
    <w:rsid w:val="00F94FAE"/>
    <w:rsid w:val="00F9581E"/>
    <w:rsid w:val="00F95D48"/>
    <w:rsid w:val="00F9781F"/>
    <w:rsid w:val="00FA1EDA"/>
    <w:rsid w:val="00FA40A9"/>
    <w:rsid w:val="00FA7DCD"/>
    <w:rsid w:val="00FB0A84"/>
    <w:rsid w:val="00FB147F"/>
    <w:rsid w:val="00FB510E"/>
    <w:rsid w:val="00FC1047"/>
    <w:rsid w:val="00FC3EBF"/>
    <w:rsid w:val="00FC610F"/>
    <w:rsid w:val="00FC67D7"/>
    <w:rsid w:val="00FC716E"/>
    <w:rsid w:val="00FC7B85"/>
    <w:rsid w:val="00FD25D2"/>
    <w:rsid w:val="00FD6E97"/>
    <w:rsid w:val="00FE0CCE"/>
    <w:rsid w:val="00FE1D24"/>
    <w:rsid w:val="00FE245E"/>
    <w:rsid w:val="00FE3E41"/>
    <w:rsid w:val="00FE5678"/>
    <w:rsid w:val="00FE6398"/>
    <w:rsid w:val="00FF7811"/>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5F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669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4Char">
    <w:name w:val="Heading 4 Char"/>
    <w:basedOn w:val="DefaultParagraphFont"/>
    <w:link w:val="Heading4"/>
    <w:uiPriority w:val="9"/>
    <w:semiHidden/>
    <w:rsid w:val="00A669D1"/>
    <w:rPr>
      <w:rFonts w:asciiTheme="majorHAnsi" w:eastAsiaTheme="majorEastAsia" w:hAnsiTheme="majorHAnsi" w:cstheme="majorBidi"/>
      <w:i/>
      <w:iCs/>
      <w:color w:val="2F5496" w:themeColor="accent1" w:themeShade="BF"/>
    </w:rPr>
  </w:style>
  <w:style w:type="paragraph" w:customStyle="1" w:styleId="DocID">
    <w:name w:val="DocID"/>
    <w:basedOn w:val="Footer"/>
    <w:next w:val="Footer"/>
    <w:link w:val="DocIDChar"/>
    <w:rsid w:val="00706A36"/>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706A36"/>
    <w:rPr>
      <w:rFonts w:ascii="Times New Roman" w:eastAsia="Times New Roman" w:hAnsi="Times New Roman" w:cs="Times New Roman"/>
      <w:sz w:val="18"/>
      <w:szCs w:val="20"/>
      <w:lang w:val="en-US" w:eastAsia="en-US"/>
    </w:rPr>
  </w:style>
  <w:style w:type="character" w:customStyle="1" w:styleId="Heading2Char">
    <w:name w:val="Heading 2 Char"/>
    <w:basedOn w:val="DefaultParagraphFont"/>
    <w:link w:val="Heading2"/>
    <w:uiPriority w:val="9"/>
    <w:semiHidden/>
    <w:rsid w:val="00765F18"/>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1"/>
    <w:rsid w:val="00232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296909545">
      <w:bodyDiv w:val="1"/>
      <w:marLeft w:val="0"/>
      <w:marRight w:val="0"/>
      <w:marTop w:val="0"/>
      <w:marBottom w:val="0"/>
      <w:divBdr>
        <w:top w:val="none" w:sz="0" w:space="0" w:color="auto"/>
        <w:left w:val="none" w:sz="0" w:space="0" w:color="auto"/>
        <w:bottom w:val="none" w:sz="0" w:space="0" w:color="auto"/>
        <w:right w:val="none" w:sz="0" w:space="0" w:color="auto"/>
      </w:divBdr>
    </w:div>
    <w:div w:id="378476936">
      <w:bodyDiv w:val="1"/>
      <w:marLeft w:val="0"/>
      <w:marRight w:val="0"/>
      <w:marTop w:val="0"/>
      <w:marBottom w:val="0"/>
      <w:divBdr>
        <w:top w:val="none" w:sz="0" w:space="0" w:color="auto"/>
        <w:left w:val="none" w:sz="0" w:space="0" w:color="auto"/>
        <w:bottom w:val="none" w:sz="0" w:space="0" w:color="auto"/>
        <w:right w:val="none" w:sz="0" w:space="0" w:color="auto"/>
      </w:divBdr>
      <w:divsChild>
        <w:div w:id="108858507">
          <w:marLeft w:val="0"/>
          <w:marRight w:val="0"/>
          <w:marTop w:val="0"/>
          <w:marBottom w:val="0"/>
          <w:divBdr>
            <w:top w:val="none" w:sz="0" w:space="0" w:color="auto"/>
            <w:left w:val="none" w:sz="0" w:space="0" w:color="auto"/>
            <w:bottom w:val="none" w:sz="0" w:space="0" w:color="auto"/>
            <w:right w:val="none" w:sz="0" w:space="0" w:color="auto"/>
          </w:divBdr>
        </w:div>
        <w:div w:id="1213619424">
          <w:marLeft w:val="0"/>
          <w:marRight w:val="0"/>
          <w:marTop w:val="0"/>
          <w:marBottom w:val="0"/>
          <w:divBdr>
            <w:top w:val="none" w:sz="0" w:space="0" w:color="auto"/>
            <w:left w:val="none" w:sz="0" w:space="0" w:color="auto"/>
            <w:bottom w:val="none" w:sz="0" w:space="0" w:color="auto"/>
            <w:right w:val="none" w:sz="0" w:space="0" w:color="auto"/>
          </w:divBdr>
        </w:div>
        <w:div w:id="603004933">
          <w:marLeft w:val="0"/>
          <w:marRight w:val="0"/>
          <w:marTop w:val="0"/>
          <w:marBottom w:val="0"/>
          <w:divBdr>
            <w:top w:val="none" w:sz="0" w:space="0" w:color="auto"/>
            <w:left w:val="none" w:sz="0" w:space="0" w:color="auto"/>
            <w:bottom w:val="none" w:sz="0" w:space="0" w:color="auto"/>
            <w:right w:val="none" w:sz="0" w:space="0" w:color="auto"/>
          </w:divBdr>
        </w:div>
        <w:div w:id="1627156749">
          <w:marLeft w:val="0"/>
          <w:marRight w:val="0"/>
          <w:marTop w:val="0"/>
          <w:marBottom w:val="0"/>
          <w:divBdr>
            <w:top w:val="none" w:sz="0" w:space="0" w:color="auto"/>
            <w:left w:val="none" w:sz="0" w:space="0" w:color="auto"/>
            <w:bottom w:val="none" w:sz="0" w:space="0" w:color="auto"/>
            <w:right w:val="none" w:sz="0" w:space="0" w:color="auto"/>
          </w:divBdr>
        </w:div>
        <w:div w:id="875771718">
          <w:marLeft w:val="0"/>
          <w:marRight w:val="0"/>
          <w:marTop w:val="0"/>
          <w:marBottom w:val="0"/>
          <w:divBdr>
            <w:top w:val="none" w:sz="0" w:space="0" w:color="auto"/>
            <w:left w:val="none" w:sz="0" w:space="0" w:color="auto"/>
            <w:bottom w:val="none" w:sz="0" w:space="0" w:color="auto"/>
            <w:right w:val="none" w:sz="0" w:space="0" w:color="auto"/>
          </w:divBdr>
        </w:div>
        <w:div w:id="229509631">
          <w:marLeft w:val="0"/>
          <w:marRight w:val="0"/>
          <w:marTop w:val="0"/>
          <w:marBottom w:val="0"/>
          <w:divBdr>
            <w:top w:val="none" w:sz="0" w:space="0" w:color="auto"/>
            <w:left w:val="none" w:sz="0" w:space="0" w:color="auto"/>
            <w:bottom w:val="none" w:sz="0" w:space="0" w:color="auto"/>
            <w:right w:val="none" w:sz="0" w:space="0" w:color="auto"/>
          </w:divBdr>
        </w:div>
        <w:div w:id="919602448">
          <w:marLeft w:val="0"/>
          <w:marRight w:val="0"/>
          <w:marTop w:val="0"/>
          <w:marBottom w:val="0"/>
          <w:divBdr>
            <w:top w:val="none" w:sz="0" w:space="0" w:color="auto"/>
            <w:left w:val="none" w:sz="0" w:space="0" w:color="auto"/>
            <w:bottom w:val="none" w:sz="0" w:space="0" w:color="auto"/>
            <w:right w:val="none" w:sz="0" w:space="0" w:color="auto"/>
          </w:divBdr>
        </w:div>
        <w:div w:id="1291008244">
          <w:marLeft w:val="0"/>
          <w:marRight w:val="0"/>
          <w:marTop w:val="0"/>
          <w:marBottom w:val="0"/>
          <w:divBdr>
            <w:top w:val="none" w:sz="0" w:space="0" w:color="auto"/>
            <w:left w:val="none" w:sz="0" w:space="0" w:color="auto"/>
            <w:bottom w:val="none" w:sz="0" w:space="0" w:color="auto"/>
            <w:right w:val="none" w:sz="0" w:space="0" w:color="auto"/>
          </w:divBdr>
        </w:div>
        <w:div w:id="1953248626">
          <w:marLeft w:val="0"/>
          <w:marRight w:val="0"/>
          <w:marTop w:val="0"/>
          <w:marBottom w:val="0"/>
          <w:divBdr>
            <w:top w:val="none" w:sz="0" w:space="0" w:color="auto"/>
            <w:left w:val="none" w:sz="0" w:space="0" w:color="auto"/>
            <w:bottom w:val="none" w:sz="0" w:space="0" w:color="auto"/>
            <w:right w:val="none" w:sz="0" w:space="0" w:color="auto"/>
          </w:divBdr>
        </w:div>
        <w:div w:id="1792243796">
          <w:marLeft w:val="0"/>
          <w:marRight w:val="0"/>
          <w:marTop w:val="0"/>
          <w:marBottom w:val="0"/>
          <w:divBdr>
            <w:top w:val="none" w:sz="0" w:space="0" w:color="auto"/>
            <w:left w:val="none" w:sz="0" w:space="0" w:color="auto"/>
            <w:bottom w:val="none" w:sz="0" w:space="0" w:color="auto"/>
            <w:right w:val="none" w:sz="0" w:space="0" w:color="auto"/>
          </w:divBdr>
        </w:div>
        <w:div w:id="93672475">
          <w:marLeft w:val="0"/>
          <w:marRight w:val="0"/>
          <w:marTop w:val="0"/>
          <w:marBottom w:val="0"/>
          <w:divBdr>
            <w:top w:val="none" w:sz="0" w:space="0" w:color="auto"/>
            <w:left w:val="none" w:sz="0" w:space="0" w:color="auto"/>
            <w:bottom w:val="none" w:sz="0" w:space="0" w:color="auto"/>
            <w:right w:val="none" w:sz="0" w:space="0" w:color="auto"/>
          </w:divBdr>
        </w:div>
        <w:div w:id="570238664">
          <w:marLeft w:val="0"/>
          <w:marRight w:val="0"/>
          <w:marTop w:val="0"/>
          <w:marBottom w:val="0"/>
          <w:divBdr>
            <w:top w:val="none" w:sz="0" w:space="0" w:color="auto"/>
            <w:left w:val="none" w:sz="0" w:space="0" w:color="auto"/>
            <w:bottom w:val="none" w:sz="0" w:space="0" w:color="auto"/>
            <w:right w:val="none" w:sz="0" w:space="0" w:color="auto"/>
          </w:divBdr>
        </w:div>
        <w:div w:id="1360353532">
          <w:marLeft w:val="0"/>
          <w:marRight w:val="0"/>
          <w:marTop w:val="0"/>
          <w:marBottom w:val="0"/>
          <w:divBdr>
            <w:top w:val="none" w:sz="0" w:space="0" w:color="auto"/>
            <w:left w:val="none" w:sz="0" w:space="0" w:color="auto"/>
            <w:bottom w:val="none" w:sz="0" w:space="0" w:color="auto"/>
            <w:right w:val="none" w:sz="0" w:space="0" w:color="auto"/>
          </w:divBdr>
        </w:div>
        <w:div w:id="1533684171">
          <w:marLeft w:val="0"/>
          <w:marRight w:val="0"/>
          <w:marTop w:val="0"/>
          <w:marBottom w:val="0"/>
          <w:divBdr>
            <w:top w:val="none" w:sz="0" w:space="0" w:color="auto"/>
            <w:left w:val="none" w:sz="0" w:space="0" w:color="auto"/>
            <w:bottom w:val="none" w:sz="0" w:space="0" w:color="auto"/>
            <w:right w:val="none" w:sz="0" w:space="0" w:color="auto"/>
          </w:divBdr>
        </w:div>
        <w:div w:id="1499811789">
          <w:marLeft w:val="0"/>
          <w:marRight w:val="0"/>
          <w:marTop w:val="0"/>
          <w:marBottom w:val="0"/>
          <w:divBdr>
            <w:top w:val="none" w:sz="0" w:space="0" w:color="auto"/>
            <w:left w:val="none" w:sz="0" w:space="0" w:color="auto"/>
            <w:bottom w:val="none" w:sz="0" w:space="0" w:color="auto"/>
            <w:right w:val="none" w:sz="0" w:space="0" w:color="auto"/>
          </w:divBdr>
        </w:div>
        <w:div w:id="208999720">
          <w:marLeft w:val="0"/>
          <w:marRight w:val="0"/>
          <w:marTop w:val="0"/>
          <w:marBottom w:val="0"/>
          <w:divBdr>
            <w:top w:val="none" w:sz="0" w:space="0" w:color="auto"/>
            <w:left w:val="none" w:sz="0" w:space="0" w:color="auto"/>
            <w:bottom w:val="none" w:sz="0" w:space="0" w:color="auto"/>
            <w:right w:val="none" w:sz="0" w:space="0" w:color="auto"/>
          </w:divBdr>
        </w:div>
        <w:div w:id="808480605">
          <w:marLeft w:val="0"/>
          <w:marRight w:val="0"/>
          <w:marTop w:val="0"/>
          <w:marBottom w:val="0"/>
          <w:divBdr>
            <w:top w:val="none" w:sz="0" w:space="0" w:color="auto"/>
            <w:left w:val="none" w:sz="0" w:space="0" w:color="auto"/>
            <w:bottom w:val="none" w:sz="0" w:space="0" w:color="auto"/>
            <w:right w:val="none" w:sz="0" w:space="0" w:color="auto"/>
          </w:divBdr>
        </w:div>
        <w:div w:id="2103527916">
          <w:marLeft w:val="0"/>
          <w:marRight w:val="0"/>
          <w:marTop w:val="0"/>
          <w:marBottom w:val="0"/>
          <w:divBdr>
            <w:top w:val="none" w:sz="0" w:space="0" w:color="auto"/>
            <w:left w:val="none" w:sz="0" w:space="0" w:color="auto"/>
            <w:bottom w:val="none" w:sz="0" w:space="0" w:color="auto"/>
            <w:right w:val="none" w:sz="0" w:space="0" w:color="auto"/>
          </w:divBdr>
        </w:div>
        <w:div w:id="2012294207">
          <w:marLeft w:val="0"/>
          <w:marRight w:val="0"/>
          <w:marTop w:val="0"/>
          <w:marBottom w:val="0"/>
          <w:divBdr>
            <w:top w:val="none" w:sz="0" w:space="0" w:color="auto"/>
            <w:left w:val="none" w:sz="0" w:space="0" w:color="auto"/>
            <w:bottom w:val="none" w:sz="0" w:space="0" w:color="auto"/>
            <w:right w:val="none" w:sz="0" w:space="0" w:color="auto"/>
          </w:divBdr>
        </w:div>
        <w:div w:id="231889011">
          <w:marLeft w:val="0"/>
          <w:marRight w:val="0"/>
          <w:marTop w:val="0"/>
          <w:marBottom w:val="0"/>
          <w:divBdr>
            <w:top w:val="none" w:sz="0" w:space="0" w:color="auto"/>
            <w:left w:val="none" w:sz="0" w:space="0" w:color="auto"/>
            <w:bottom w:val="none" w:sz="0" w:space="0" w:color="auto"/>
            <w:right w:val="none" w:sz="0" w:space="0" w:color="auto"/>
          </w:divBdr>
        </w:div>
        <w:div w:id="315957837">
          <w:marLeft w:val="0"/>
          <w:marRight w:val="0"/>
          <w:marTop w:val="0"/>
          <w:marBottom w:val="0"/>
          <w:divBdr>
            <w:top w:val="none" w:sz="0" w:space="0" w:color="auto"/>
            <w:left w:val="none" w:sz="0" w:space="0" w:color="auto"/>
            <w:bottom w:val="none" w:sz="0" w:space="0" w:color="auto"/>
            <w:right w:val="none" w:sz="0" w:space="0" w:color="auto"/>
          </w:divBdr>
        </w:div>
        <w:div w:id="1966546222">
          <w:marLeft w:val="0"/>
          <w:marRight w:val="0"/>
          <w:marTop w:val="0"/>
          <w:marBottom w:val="0"/>
          <w:divBdr>
            <w:top w:val="none" w:sz="0" w:space="0" w:color="auto"/>
            <w:left w:val="none" w:sz="0" w:space="0" w:color="auto"/>
            <w:bottom w:val="none" w:sz="0" w:space="0" w:color="auto"/>
            <w:right w:val="none" w:sz="0" w:space="0" w:color="auto"/>
          </w:divBdr>
        </w:div>
        <w:div w:id="28579258">
          <w:marLeft w:val="0"/>
          <w:marRight w:val="0"/>
          <w:marTop w:val="0"/>
          <w:marBottom w:val="0"/>
          <w:divBdr>
            <w:top w:val="none" w:sz="0" w:space="0" w:color="auto"/>
            <w:left w:val="none" w:sz="0" w:space="0" w:color="auto"/>
            <w:bottom w:val="none" w:sz="0" w:space="0" w:color="auto"/>
            <w:right w:val="none" w:sz="0" w:space="0" w:color="auto"/>
          </w:divBdr>
        </w:div>
      </w:divsChild>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1072235831">
      <w:bodyDiv w:val="1"/>
      <w:marLeft w:val="0"/>
      <w:marRight w:val="0"/>
      <w:marTop w:val="0"/>
      <w:marBottom w:val="0"/>
      <w:divBdr>
        <w:top w:val="none" w:sz="0" w:space="0" w:color="auto"/>
        <w:left w:val="none" w:sz="0" w:space="0" w:color="auto"/>
        <w:bottom w:val="none" w:sz="0" w:space="0" w:color="auto"/>
        <w:right w:val="none" w:sz="0" w:space="0" w:color="auto"/>
      </w:divBdr>
    </w:div>
    <w:div w:id="1141263029">
      <w:bodyDiv w:val="1"/>
      <w:marLeft w:val="0"/>
      <w:marRight w:val="0"/>
      <w:marTop w:val="0"/>
      <w:marBottom w:val="0"/>
      <w:divBdr>
        <w:top w:val="none" w:sz="0" w:space="0" w:color="auto"/>
        <w:left w:val="none" w:sz="0" w:space="0" w:color="auto"/>
        <w:bottom w:val="none" w:sz="0" w:space="0" w:color="auto"/>
        <w:right w:val="none" w:sz="0" w:space="0" w:color="auto"/>
      </w:divBdr>
      <w:divsChild>
        <w:div w:id="1369140590">
          <w:marLeft w:val="0"/>
          <w:marRight w:val="0"/>
          <w:marTop w:val="0"/>
          <w:marBottom w:val="0"/>
          <w:divBdr>
            <w:top w:val="none" w:sz="0" w:space="0" w:color="auto"/>
            <w:left w:val="none" w:sz="0" w:space="0" w:color="auto"/>
            <w:bottom w:val="none" w:sz="0" w:space="0" w:color="auto"/>
            <w:right w:val="none" w:sz="0" w:space="0" w:color="auto"/>
          </w:divBdr>
        </w:div>
        <w:div w:id="1134760035">
          <w:marLeft w:val="0"/>
          <w:marRight w:val="0"/>
          <w:marTop w:val="0"/>
          <w:marBottom w:val="0"/>
          <w:divBdr>
            <w:top w:val="none" w:sz="0" w:space="0" w:color="auto"/>
            <w:left w:val="none" w:sz="0" w:space="0" w:color="auto"/>
            <w:bottom w:val="none" w:sz="0" w:space="0" w:color="auto"/>
            <w:right w:val="none" w:sz="0" w:space="0" w:color="auto"/>
          </w:divBdr>
        </w:div>
        <w:div w:id="770708651">
          <w:marLeft w:val="0"/>
          <w:marRight w:val="0"/>
          <w:marTop w:val="0"/>
          <w:marBottom w:val="0"/>
          <w:divBdr>
            <w:top w:val="none" w:sz="0" w:space="0" w:color="auto"/>
            <w:left w:val="none" w:sz="0" w:space="0" w:color="auto"/>
            <w:bottom w:val="none" w:sz="0" w:space="0" w:color="auto"/>
            <w:right w:val="none" w:sz="0" w:space="0" w:color="auto"/>
          </w:divBdr>
        </w:div>
        <w:div w:id="73012306">
          <w:marLeft w:val="0"/>
          <w:marRight w:val="0"/>
          <w:marTop w:val="0"/>
          <w:marBottom w:val="0"/>
          <w:divBdr>
            <w:top w:val="none" w:sz="0" w:space="0" w:color="auto"/>
            <w:left w:val="none" w:sz="0" w:space="0" w:color="auto"/>
            <w:bottom w:val="none" w:sz="0" w:space="0" w:color="auto"/>
            <w:right w:val="none" w:sz="0" w:space="0" w:color="auto"/>
          </w:divBdr>
        </w:div>
        <w:div w:id="641617222">
          <w:marLeft w:val="0"/>
          <w:marRight w:val="0"/>
          <w:marTop w:val="0"/>
          <w:marBottom w:val="0"/>
          <w:divBdr>
            <w:top w:val="none" w:sz="0" w:space="0" w:color="auto"/>
            <w:left w:val="none" w:sz="0" w:space="0" w:color="auto"/>
            <w:bottom w:val="none" w:sz="0" w:space="0" w:color="auto"/>
            <w:right w:val="none" w:sz="0" w:space="0" w:color="auto"/>
          </w:divBdr>
        </w:div>
        <w:div w:id="530384834">
          <w:marLeft w:val="0"/>
          <w:marRight w:val="0"/>
          <w:marTop w:val="0"/>
          <w:marBottom w:val="0"/>
          <w:divBdr>
            <w:top w:val="none" w:sz="0" w:space="0" w:color="auto"/>
            <w:left w:val="none" w:sz="0" w:space="0" w:color="auto"/>
            <w:bottom w:val="none" w:sz="0" w:space="0" w:color="auto"/>
            <w:right w:val="none" w:sz="0" w:space="0" w:color="auto"/>
          </w:divBdr>
        </w:div>
        <w:div w:id="1911232419">
          <w:marLeft w:val="0"/>
          <w:marRight w:val="0"/>
          <w:marTop w:val="0"/>
          <w:marBottom w:val="0"/>
          <w:divBdr>
            <w:top w:val="none" w:sz="0" w:space="0" w:color="auto"/>
            <w:left w:val="none" w:sz="0" w:space="0" w:color="auto"/>
            <w:bottom w:val="none" w:sz="0" w:space="0" w:color="auto"/>
            <w:right w:val="none" w:sz="0" w:space="0" w:color="auto"/>
          </w:divBdr>
        </w:div>
        <w:div w:id="1155029736">
          <w:marLeft w:val="0"/>
          <w:marRight w:val="0"/>
          <w:marTop w:val="0"/>
          <w:marBottom w:val="0"/>
          <w:divBdr>
            <w:top w:val="none" w:sz="0" w:space="0" w:color="auto"/>
            <w:left w:val="none" w:sz="0" w:space="0" w:color="auto"/>
            <w:bottom w:val="none" w:sz="0" w:space="0" w:color="auto"/>
            <w:right w:val="none" w:sz="0" w:space="0" w:color="auto"/>
          </w:divBdr>
        </w:div>
        <w:div w:id="369568965">
          <w:marLeft w:val="0"/>
          <w:marRight w:val="0"/>
          <w:marTop w:val="0"/>
          <w:marBottom w:val="0"/>
          <w:divBdr>
            <w:top w:val="none" w:sz="0" w:space="0" w:color="auto"/>
            <w:left w:val="none" w:sz="0" w:space="0" w:color="auto"/>
            <w:bottom w:val="none" w:sz="0" w:space="0" w:color="auto"/>
            <w:right w:val="none" w:sz="0" w:space="0" w:color="auto"/>
          </w:divBdr>
        </w:div>
        <w:div w:id="411632096">
          <w:marLeft w:val="0"/>
          <w:marRight w:val="0"/>
          <w:marTop w:val="0"/>
          <w:marBottom w:val="0"/>
          <w:divBdr>
            <w:top w:val="none" w:sz="0" w:space="0" w:color="auto"/>
            <w:left w:val="none" w:sz="0" w:space="0" w:color="auto"/>
            <w:bottom w:val="none" w:sz="0" w:space="0" w:color="auto"/>
            <w:right w:val="none" w:sz="0" w:space="0" w:color="auto"/>
          </w:divBdr>
        </w:div>
        <w:div w:id="1166555985">
          <w:marLeft w:val="0"/>
          <w:marRight w:val="0"/>
          <w:marTop w:val="0"/>
          <w:marBottom w:val="0"/>
          <w:divBdr>
            <w:top w:val="none" w:sz="0" w:space="0" w:color="auto"/>
            <w:left w:val="none" w:sz="0" w:space="0" w:color="auto"/>
            <w:bottom w:val="none" w:sz="0" w:space="0" w:color="auto"/>
            <w:right w:val="none" w:sz="0" w:space="0" w:color="auto"/>
          </w:divBdr>
        </w:div>
        <w:div w:id="594441358">
          <w:marLeft w:val="0"/>
          <w:marRight w:val="0"/>
          <w:marTop w:val="0"/>
          <w:marBottom w:val="0"/>
          <w:divBdr>
            <w:top w:val="none" w:sz="0" w:space="0" w:color="auto"/>
            <w:left w:val="none" w:sz="0" w:space="0" w:color="auto"/>
            <w:bottom w:val="none" w:sz="0" w:space="0" w:color="auto"/>
            <w:right w:val="none" w:sz="0" w:space="0" w:color="auto"/>
          </w:divBdr>
        </w:div>
        <w:div w:id="361514770">
          <w:marLeft w:val="0"/>
          <w:marRight w:val="0"/>
          <w:marTop w:val="0"/>
          <w:marBottom w:val="0"/>
          <w:divBdr>
            <w:top w:val="none" w:sz="0" w:space="0" w:color="auto"/>
            <w:left w:val="none" w:sz="0" w:space="0" w:color="auto"/>
            <w:bottom w:val="none" w:sz="0" w:space="0" w:color="auto"/>
            <w:right w:val="none" w:sz="0" w:space="0" w:color="auto"/>
          </w:divBdr>
        </w:div>
        <w:div w:id="259342342">
          <w:marLeft w:val="0"/>
          <w:marRight w:val="0"/>
          <w:marTop w:val="0"/>
          <w:marBottom w:val="0"/>
          <w:divBdr>
            <w:top w:val="none" w:sz="0" w:space="0" w:color="auto"/>
            <w:left w:val="none" w:sz="0" w:space="0" w:color="auto"/>
            <w:bottom w:val="none" w:sz="0" w:space="0" w:color="auto"/>
            <w:right w:val="none" w:sz="0" w:space="0" w:color="auto"/>
          </w:divBdr>
        </w:div>
        <w:div w:id="1254706344">
          <w:marLeft w:val="0"/>
          <w:marRight w:val="0"/>
          <w:marTop w:val="0"/>
          <w:marBottom w:val="0"/>
          <w:divBdr>
            <w:top w:val="none" w:sz="0" w:space="0" w:color="auto"/>
            <w:left w:val="none" w:sz="0" w:space="0" w:color="auto"/>
            <w:bottom w:val="none" w:sz="0" w:space="0" w:color="auto"/>
            <w:right w:val="none" w:sz="0" w:space="0" w:color="auto"/>
          </w:divBdr>
        </w:div>
        <w:div w:id="2011986038">
          <w:marLeft w:val="0"/>
          <w:marRight w:val="0"/>
          <w:marTop w:val="0"/>
          <w:marBottom w:val="0"/>
          <w:divBdr>
            <w:top w:val="none" w:sz="0" w:space="0" w:color="auto"/>
            <w:left w:val="none" w:sz="0" w:space="0" w:color="auto"/>
            <w:bottom w:val="none" w:sz="0" w:space="0" w:color="auto"/>
            <w:right w:val="none" w:sz="0" w:space="0" w:color="auto"/>
          </w:divBdr>
        </w:div>
        <w:div w:id="21632943">
          <w:marLeft w:val="0"/>
          <w:marRight w:val="0"/>
          <w:marTop w:val="0"/>
          <w:marBottom w:val="0"/>
          <w:divBdr>
            <w:top w:val="none" w:sz="0" w:space="0" w:color="auto"/>
            <w:left w:val="none" w:sz="0" w:space="0" w:color="auto"/>
            <w:bottom w:val="none" w:sz="0" w:space="0" w:color="auto"/>
            <w:right w:val="none" w:sz="0" w:space="0" w:color="auto"/>
          </w:divBdr>
        </w:div>
        <w:div w:id="799691575">
          <w:marLeft w:val="0"/>
          <w:marRight w:val="0"/>
          <w:marTop w:val="0"/>
          <w:marBottom w:val="0"/>
          <w:divBdr>
            <w:top w:val="none" w:sz="0" w:space="0" w:color="auto"/>
            <w:left w:val="none" w:sz="0" w:space="0" w:color="auto"/>
            <w:bottom w:val="none" w:sz="0" w:space="0" w:color="auto"/>
            <w:right w:val="none" w:sz="0" w:space="0" w:color="auto"/>
          </w:divBdr>
        </w:div>
        <w:div w:id="2032102896">
          <w:marLeft w:val="0"/>
          <w:marRight w:val="0"/>
          <w:marTop w:val="0"/>
          <w:marBottom w:val="0"/>
          <w:divBdr>
            <w:top w:val="none" w:sz="0" w:space="0" w:color="auto"/>
            <w:left w:val="none" w:sz="0" w:space="0" w:color="auto"/>
            <w:bottom w:val="none" w:sz="0" w:space="0" w:color="auto"/>
            <w:right w:val="none" w:sz="0" w:space="0" w:color="auto"/>
          </w:divBdr>
        </w:div>
        <w:div w:id="1071779151">
          <w:marLeft w:val="0"/>
          <w:marRight w:val="0"/>
          <w:marTop w:val="0"/>
          <w:marBottom w:val="0"/>
          <w:divBdr>
            <w:top w:val="none" w:sz="0" w:space="0" w:color="auto"/>
            <w:left w:val="none" w:sz="0" w:space="0" w:color="auto"/>
            <w:bottom w:val="none" w:sz="0" w:space="0" w:color="auto"/>
            <w:right w:val="none" w:sz="0" w:space="0" w:color="auto"/>
          </w:divBdr>
        </w:div>
        <w:div w:id="1502431789">
          <w:marLeft w:val="0"/>
          <w:marRight w:val="0"/>
          <w:marTop w:val="0"/>
          <w:marBottom w:val="0"/>
          <w:divBdr>
            <w:top w:val="none" w:sz="0" w:space="0" w:color="auto"/>
            <w:left w:val="none" w:sz="0" w:space="0" w:color="auto"/>
            <w:bottom w:val="none" w:sz="0" w:space="0" w:color="auto"/>
            <w:right w:val="none" w:sz="0" w:space="0" w:color="auto"/>
          </w:divBdr>
        </w:div>
        <w:div w:id="1074934318">
          <w:marLeft w:val="0"/>
          <w:marRight w:val="0"/>
          <w:marTop w:val="0"/>
          <w:marBottom w:val="0"/>
          <w:divBdr>
            <w:top w:val="none" w:sz="0" w:space="0" w:color="auto"/>
            <w:left w:val="none" w:sz="0" w:space="0" w:color="auto"/>
            <w:bottom w:val="none" w:sz="0" w:space="0" w:color="auto"/>
            <w:right w:val="none" w:sz="0" w:space="0" w:color="auto"/>
          </w:divBdr>
        </w:div>
        <w:div w:id="653148723">
          <w:marLeft w:val="0"/>
          <w:marRight w:val="0"/>
          <w:marTop w:val="0"/>
          <w:marBottom w:val="0"/>
          <w:divBdr>
            <w:top w:val="none" w:sz="0" w:space="0" w:color="auto"/>
            <w:left w:val="none" w:sz="0" w:space="0" w:color="auto"/>
            <w:bottom w:val="none" w:sz="0" w:space="0" w:color="auto"/>
            <w:right w:val="none" w:sz="0" w:space="0" w:color="auto"/>
          </w:divBdr>
        </w:div>
      </w:divsChild>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 w:id="2016422922">
      <w:bodyDiv w:val="1"/>
      <w:marLeft w:val="0"/>
      <w:marRight w:val="0"/>
      <w:marTop w:val="0"/>
      <w:marBottom w:val="0"/>
      <w:divBdr>
        <w:top w:val="none" w:sz="0" w:space="0" w:color="auto"/>
        <w:left w:val="none" w:sz="0" w:space="0" w:color="auto"/>
        <w:bottom w:val="none" w:sz="0" w:space="0" w:color="auto"/>
        <w:right w:val="none" w:sz="0" w:space="0" w:color="auto"/>
      </w:divBdr>
    </w:div>
    <w:div w:id="20605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bing.com/ck/a?!&amp;&amp;p=fa23fb4f1d44b779JmltdHM9MTcyNTIzNTIwMCZpZ3VpZD0zYWM0ZmQ2NS0wZGFkLTY0NmMtMmM1ZC1lOTVkMGNlZTY1NDYmaW5zaWQ9NTIwOA&amp;ptn=3&amp;ver=2&amp;hsh=3&amp;fclid=3ac4fd65-0dad-646c-2c5d-e95d0cee6546&amp;psq=fit+colon+cancer+screening&amp;u=a1aHR0cHM6Ly9jb2xvcmVjdGFsY2FuY2VyLm9yZy9zY3JlZW5pbmctcHJldmVudGlvbi9zY3JlZW5pbmctbWV0aG9kcy9ob21lLXNjcmVlbmluZy9mZWNhbC1pbW11bm9jaGVtaWNhbC10ZXN0LWZpdA&amp;ntb=1" TargetMode="External"/><Relationship Id="rId4" Type="http://schemas.openxmlformats.org/officeDocument/2006/relationships/styles" Target="styles.xml"/><Relationship Id="rId9" Type="http://schemas.openxmlformats.org/officeDocument/2006/relationships/hyperlink" Target="mailto:DPH.DON@State.MA.U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data-report-on-colorectal-cancer-in-massachusetts-november-2020/download" TargetMode="External"/><Relationship Id="rId13" Type="http://schemas.openxmlformats.org/officeDocument/2006/relationships/hyperlink" Target="https://www.ncbi.nlm.nih.gov/pmc/articles/PMC4562953/" TargetMode="External"/><Relationship Id="rId3" Type="http://schemas.openxmlformats.org/officeDocument/2006/relationships/hyperlink" Target="https://www.ncbi.nlm.nih.gov/pmc/articles/PMC2659924/" TargetMode="External"/><Relationship Id="rId7" Type="http://schemas.openxmlformats.org/officeDocument/2006/relationships/hyperlink" Target="https://www.mass.gov/doc/data-report-on-colorectal-cancer-in-massachusetts-november-2020/download" TargetMode="External"/><Relationship Id="rId12" Type="http://schemas.openxmlformats.org/officeDocument/2006/relationships/hyperlink" Target="https://www.ncbi.nlm.nih.gov/pmc/articles/PMC7075255/" TargetMode="External"/><Relationship Id="rId2" Type="http://schemas.openxmlformats.org/officeDocument/2006/relationships/hyperlink" Target="https://www.bowelcanceruk.org.uk/news-and-blogs/news/bowel-cancer-testing-waiting-times-remain-high-with-targets-missed-for-thousands-of-people/" TargetMode="External"/><Relationship Id="rId1" Type="http://schemas.openxmlformats.org/officeDocument/2006/relationships/hyperlink" Target="https://www.giejournal.org/article/S0016-5107(20)30036-5/fulltext" TargetMode="External"/><Relationship Id="rId6" Type="http://schemas.openxmlformats.org/officeDocument/2006/relationships/hyperlink" Target="https://www.cancer.org/cancer/types/colon-rectal-cancer/about/key-statistics.html" TargetMode="External"/><Relationship Id="rId11" Type="http://schemas.openxmlformats.org/officeDocument/2006/relationships/hyperlink" Target="https://www.ncbi.nlm.nih.gov/pmc/articles/PMC7075255/" TargetMode="External"/><Relationship Id="rId5" Type="http://schemas.openxmlformats.org/officeDocument/2006/relationships/hyperlink" Target="https://www.cancer.org/cancer/types/colon-rectal-cancer/about/key-statistics.html" TargetMode="External"/><Relationship Id="rId10" Type="http://schemas.openxmlformats.org/officeDocument/2006/relationships/hyperlink" Target="https://www.ascfocus.org/ascfocus/content/articles-content/articles/2024/digital-debut/asca-continues-to-advocate-for-full-coverage-of-colonoscopies)" TargetMode="External"/><Relationship Id="rId4" Type="http://schemas.openxmlformats.org/officeDocument/2006/relationships/hyperlink" Target="https://www.ncbi.nlm.nih.gov/pmc/articles/PMC7280466/" TargetMode="External"/><Relationship Id="rId9" Type="http://schemas.openxmlformats.org/officeDocument/2006/relationships/hyperlink" Target="https://www.ascfocus.org/ascfocus/content/articles-content/articles/2024/digital-debut/asca-continues-to-advocate-for-full-coverage-of-colonoscopies" TargetMode="External"/><Relationship Id="rId14" Type="http://schemas.openxmlformats.org/officeDocument/2006/relationships/hyperlink" Target="https://www.ncbi.nlm.nih.gov/pmc/articles/PMC4562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KBIMANAGE!2127496.1</documentid>
  <senderid>ET</senderid>
  <senderemail>ETHAPA@KB-LAW.COM</senderemail>
  <lastmodified>2024-09-04T11:33:00.0000000-04:00</lastmodified>
  <database>KBIMANAGE</database>
</properties>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customXml/itemProps2.xml><?xml version="1.0" encoding="utf-8"?>
<ds:datastoreItem xmlns:ds="http://schemas.openxmlformats.org/officeDocument/2006/customXml" ds:itemID="{B9D49C5A-1F7E-4526-8276-A048EA96BC79}">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1726</Words>
  <Characters>9358</Characters>
  <Application>Microsoft Office Word</Application>
  <DocSecurity>0</DocSecurity>
  <Lines>164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Elisha Thapa</cp:lastModifiedBy>
  <cp:revision>10</cp:revision>
  <cp:lastPrinted>2023-01-27T15:51:00Z</cp:lastPrinted>
  <dcterms:created xsi:type="dcterms:W3CDTF">2024-09-03T20:08:00Z</dcterms:created>
  <dcterms:modified xsi:type="dcterms:W3CDTF">2024-09-04T15:40:00Z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
  </property>
  <property fmtid="{D5CDD505-2E9C-101B-9397-08002B2CF9AE}" pid="3" name="CUS_DocIDChunk0">
    <vt:lpwstr>KBIMANAGE\4000\0001\2127496.v1-9/4/24</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