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DEB1A" w14:textId="77777777" w:rsidR="0060745D" w:rsidRDefault="0060745D" w:rsidP="00D45CF3">
      <w:pPr>
        <w:jc w:val="center"/>
        <w:rPr>
          <w:rFonts w:cstheme="minorHAnsi"/>
          <w:b/>
          <w:bCs/>
        </w:rPr>
      </w:pPr>
    </w:p>
    <w:p w14:paraId="26D9C4F2" w14:textId="4A894BB0" w:rsidR="00D45CF3" w:rsidRPr="00054FF4" w:rsidRDefault="00D45CF3" w:rsidP="00D45CF3">
      <w:pPr>
        <w:jc w:val="center"/>
        <w:rPr>
          <w:rFonts w:cstheme="minorHAnsi"/>
          <w:b/>
          <w:bCs/>
        </w:rPr>
      </w:pPr>
      <w:r w:rsidRPr="00054FF4">
        <w:rPr>
          <w:rFonts w:cstheme="minorHAnsi"/>
          <w:b/>
          <w:bCs/>
        </w:rPr>
        <w:t>APPLICANT QUESTIONS</w:t>
      </w:r>
      <w:r w:rsidR="00006750">
        <w:rPr>
          <w:rFonts w:cstheme="minorHAnsi"/>
          <w:b/>
          <w:bCs/>
        </w:rPr>
        <w:t xml:space="preserve"> #</w:t>
      </w:r>
      <w:r w:rsidR="00625B81">
        <w:rPr>
          <w:rFonts w:cstheme="minorHAnsi"/>
          <w:b/>
          <w:bCs/>
        </w:rPr>
        <w:t>2</w:t>
      </w:r>
    </w:p>
    <w:p w14:paraId="0B653DC0" w14:textId="77777777" w:rsidR="00D45CF3" w:rsidRPr="00054FF4" w:rsidRDefault="00D45CF3" w:rsidP="00D45CF3">
      <w:pPr>
        <w:jc w:val="center"/>
        <w:rPr>
          <w:rFonts w:cstheme="minorHAnsi"/>
        </w:rPr>
      </w:pPr>
      <w:r w:rsidRPr="00054FF4">
        <w:rPr>
          <w:rFonts w:cstheme="minorHAnsi"/>
          <w:i/>
          <w:iCs/>
        </w:rPr>
        <w:t xml:space="preserve">Responses should be sent to DoN staff at </w:t>
      </w:r>
      <w:hyperlink r:id="rId8"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054FF4" w14:paraId="0DA3F6A5" w14:textId="77777777" w:rsidTr="007B31AA">
        <w:trPr>
          <w:jc w:val="center"/>
        </w:trPr>
        <w:tc>
          <w:tcPr>
            <w:tcW w:w="9350" w:type="dxa"/>
          </w:tcPr>
          <w:p w14:paraId="45FEAD51" w14:textId="77777777" w:rsidR="00D45CF3" w:rsidRPr="00054FF4" w:rsidRDefault="00D45CF3" w:rsidP="007B31AA">
            <w:pPr>
              <w:rPr>
                <w:rFonts w:cstheme="minorHAnsi"/>
                <w:bCs/>
              </w:rPr>
            </w:pPr>
            <w:r w:rsidRPr="00054FF4">
              <w:rPr>
                <w:rFonts w:cstheme="minorHAnsi"/>
                <w:bCs/>
              </w:rPr>
              <w:t xml:space="preserve">While you may submit each answer as available, please </w:t>
            </w:r>
          </w:p>
          <w:p w14:paraId="564BC99A"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List question number and question for each answer you provide </w:t>
            </w:r>
          </w:p>
          <w:p w14:paraId="3481F63B"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78D014BD"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When providing the answer to the final question, submit all questions and answers in one final document </w:t>
            </w:r>
          </w:p>
          <w:p w14:paraId="61B898A9" w14:textId="77777777" w:rsidR="00D45CF3" w:rsidRPr="00054FF4" w:rsidRDefault="00D45CF3" w:rsidP="00D45CF3">
            <w:pPr>
              <w:pStyle w:val="ListParagraph"/>
              <w:numPr>
                <w:ilvl w:val="0"/>
                <w:numId w:val="2"/>
              </w:numPr>
              <w:rPr>
                <w:rFonts w:cstheme="minorHAnsi"/>
                <w:b/>
              </w:rPr>
            </w:pPr>
            <w:r w:rsidRPr="00054FF4">
              <w:rPr>
                <w:rFonts w:cstheme="minorHAnsi"/>
                <w:bCs/>
              </w:rPr>
              <w:t>Submit responses in WORD or EXCEL; only use PDF’s if absolutely necessary. If “cutting and pasting” charts, provide them in a PDF so they can be clearly seen</w:t>
            </w:r>
          </w:p>
          <w:p w14:paraId="70F1F40B" w14:textId="77777777" w:rsidR="00D45CF3" w:rsidRDefault="00D45CF3" w:rsidP="00D45CF3">
            <w:pPr>
              <w:pStyle w:val="ListParagraph"/>
              <w:numPr>
                <w:ilvl w:val="0"/>
                <w:numId w:val="2"/>
              </w:numPr>
              <w:rPr>
                <w:rFonts w:cstheme="minorHAnsi"/>
                <w:b/>
              </w:rPr>
            </w:pPr>
            <w:r w:rsidRPr="00054FF4">
              <w:rPr>
                <w:rFonts w:cstheme="minorHAnsi"/>
                <w:b/>
              </w:rPr>
              <w:t>Whenever possible, include a table with the response</w:t>
            </w:r>
          </w:p>
          <w:p w14:paraId="01C56AEF" w14:textId="30C3F16C" w:rsidR="001A32EA" w:rsidRPr="00054FF4" w:rsidRDefault="001A32EA" w:rsidP="00D45CF3">
            <w:pPr>
              <w:pStyle w:val="ListParagraph"/>
              <w:numPr>
                <w:ilvl w:val="0"/>
                <w:numId w:val="2"/>
              </w:numPr>
              <w:rPr>
                <w:rFonts w:cstheme="minorHAnsi"/>
                <w:b/>
              </w:rPr>
            </w:pPr>
            <w:r w:rsidRPr="001A32EA">
              <w:rPr>
                <w:rFonts w:cstheme="minorHAnsi"/>
                <w:b/>
              </w:rPr>
              <w:t>For HIPAA compliance Do not include numbers &lt;11.</w:t>
            </w:r>
          </w:p>
        </w:tc>
      </w:tr>
    </w:tbl>
    <w:p w14:paraId="0A81B0B9" w14:textId="2966E733" w:rsidR="0066604A" w:rsidRDefault="0066604A"/>
    <w:p w14:paraId="2BF896A0" w14:textId="45766B03" w:rsidR="008E6545" w:rsidRPr="0060745D" w:rsidRDefault="001D7789" w:rsidP="0060745D">
      <w:pPr>
        <w:rPr>
          <w:rFonts w:cstheme="minorHAnsi"/>
          <w:b/>
          <w:bCs/>
        </w:rPr>
      </w:pPr>
      <w:r w:rsidRPr="006345D0">
        <w:rPr>
          <w:rFonts w:cstheme="minorHAnsi"/>
          <w:b/>
          <w:bCs/>
        </w:rPr>
        <w:t>Factor 1a: Patient Panel Need</w:t>
      </w:r>
    </w:p>
    <w:p w14:paraId="1D0CA818" w14:textId="77777777" w:rsidR="00C05FF6" w:rsidRDefault="004B4AF5" w:rsidP="00FE183E">
      <w:pPr>
        <w:pStyle w:val="ListParagraph"/>
        <w:numPr>
          <w:ilvl w:val="0"/>
          <w:numId w:val="20"/>
        </w:numPr>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Factor 1a of the DON regulations requires an Applicant </w:t>
      </w:r>
      <w:r w:rsidRPr="004B4AF5">
        <w:rPr>
          <w:rFonts w:eastAsia="Times New Roman" w:cstheme="minorHAnsi"/>
          <w:color w:val="000000"/>
          <w:bdr w:val="none" w:sz="0" w:space="0" w:color="auto" w:frame="1"/>
        </w:rPr>
        <w:t xml:space="preserve">demonstrate sufficient need for </w:t>
      </w:r>
      <w:r w:rsidR="00184950">
        <w:rPr>
          <w:rFonts w:eastAsia="Times New Roman" w:cstheme="minorHAnsi"/>
          <w:color w:val="000000"/>
          <w:bdr w:val="none" w:sz="0" w:space="0" w:color="auto" w:frame="1"/>
        </w:rPr>
        <w:t>the</w:t>
      </w:r>
      <w:r w:rsidRPr="004B4AF5">
        <w:rPr>
          <w:rFonts w:eastAsia="Times New Roman" w:cstheme="minorHAnsi"/>
          <w:color w:val="000000"/>
          <w:bdr w:val="none" w:sz="0" w:space="0" w:color="auto" w:frame="1"/>
        </w:rPr>
        <w:t xml:space="preserve"> Proposed Project by the Applicant's Patient Panel</w:t>
      </w:r>
      <w:r w:rsidR="00E62A9E">
        <w:rPr>
          <w:rFonts w:eastAsia="Times New Roman" w:cstheme="minorHAnsi"/>
          <w:color w:val="000000"/>
          <w:bdr w:val="none" w:sz="0" w:space="0" w:color="auto" w:frame="1"/>
        </w:rPr>
        <w:t xml:space="preserve">, which </w:t>
      </w:r>
      <w:r w:rsidR="00663FC0">
        <w:rPr>
          <w:rFonts w:eastAsia="Times New Roman" w:cstheme="minorHAnsi"/>
          <w:color w:val="000000"/>
          <w:bdr w:val="none" w:sz="0" w:space="0" w:color="auto" w:frame="1"/>
        </w:rPr>
        <w:t xml:space="preserve">is </w:t>
      </w:r>
      <w:r w:rsidR="00E62A9E">
        <w:rPr>
          <w:rFonts w:eastAsia="Times New Roman" w:cstheme="minorHAnsi"/>
          <w:color w:val="000000"/>
          <w:bdr w:val="none" w:sz="0" w:space="0" w:color="auto" w:frame="1"/>
        </w:rPr>
        <w:t xml:space="preserve">defined </w:t>
      </w:r>
      <w:r w:rsidR="00663FC0">
        <w:rPr>
          <w:rFonts w:eastAsia="Times New Roman" w:cstheme="minorHAnsi"/>
          <w:color w:val="000000"/>
          <w:bdr w:val="none" w:sz="0" w:space="0" w:color="auto" w:frame="1"/>
        </w:rPr>
        <w:t>as</w:t>
      </w:r>
      <w:r w:rsidR="00E62A9E">
        <w:rPr>
          <w:rFonts w:eastAsia="Times New Roman" w:cstheme="minorHAnsi"/>
          <w:color w:val="000000"/>
          <w:bdr w:val="none" w:sz="0" w:space="0" w:color="auto" w:frame="1"/>
        </w:rPr>
        <w:t xml:space="preserve"> patients </w:t>
      </w:r>
      <w:r w:rsidR="00195F1E">
        <w:rPr>
          <w:rFonts w:eastAsia="Times New Roman" w:cstheme="minorHAnsi"/>
          <w:color w:val="000000"/>
          <w:bdr w:val="none" w:sz="0" w:space="0" w:color="auto" w:frame="1"/>
        </w:rPr>
        <w:t xml:space="preserve">seen by </w:t>
      </w:r>
      <w:r w:rsidR="00E62A9E">
        <w:rPr>
          <w:rFonts w:eastAsia="Times New Roman" w:cstheme="minorHAnsi"/>
          <w:color w:val="000000"/>
          <w:bdr w:val="none" w:sz="0" w:space="0" w:color="auto" w:frame="1"/>
        </w:rPr>
        <w:t>BOSS ASC</w:t>
      </w:r>
      <w:r w:rsidR="00195F1E">
        <w:rPr>
          <w:rFonts w:eastAsia="Times New Roman" w:cstheme="minorHAnsi"/>
          <w:color w:val="000000"/>
          <w:bdr w:val="none" w:sz="0" w:space="0" w:color="auto" w:frame="1"/>
        </w:rPr>
        <w:t xml:space="preserve"> over the most recent 36-month period</w:t>
      </w:r>
      <w:r w:rsidR="00E62A9E">
        <w:rPr>
          <w:rFonts w:eastAsia="Times New Roman" w:cstheme="minorHAnsi"/>
          <w:color w:val="000000"/>
          <w:bdr w:val="none" w:sz="0" w:space="0" w:color="auto" w:frame="1"/>
        </w:rPr>
        <w:t>.</w:t>
      </w:r>
      <w:r>
        <w:rPr>
          <w:rFonts w:eastAsia="Times New Roman" w:cstheme="minorHAnsi"/>
          <w:color w:val="000000"/>
          <w:bdr w:val="none" w:sz="0" w:space="0" w:color="auto" w:frame="1"/>
        </w:rPr>
        <w:t xml:space="preserve"> </w:t>
      </w:r>
      <w:r w:rsidR="00C05FF6">
        <w:rPr>
          <w:rFonts w:eastAsia="Times New Roman" w:cstheme="minorHAnsi"/>
          <w:color w:val="000000"/>
          <w:bdr w:val="none" w:sz="0" w:space="0" w:color="auto" w:frame="1"/>
        </w:rPr>
        <w:t>The Applicant has outlined the following about the Proposed Project:</w:t>
      </w:r>
    </w:p>
    <w:p w14:paraId="056995CA" w14:textId="0691F275" w:rsidR="00C05FF6" w:rsidRDefault="00C05FF6" w:rsidP="00C05FF6">
      <w:pPr>
        <w:pStyle w:val="ListParagraph"/>
        <w:numPr>
          <w:ilvl w:val="0"/>
          <w:numId w:val="21"/>
        </w:numPr>
        <w:rPr>
          <w:rFonts w:eastAsia="Times New Roman" w:cstheme="minorHAnsi"/>
          <w:color w:val="000000"/>
          <w:bdr w:val="none" w:sz="0" w:space="0" w:color="auto" w:frame="1"/>
        </w:rPr>
      </w:pPr>
      <w:r>
        <w:rPr>
          <w:rFonts w:eastAsia="Times New Roman" w:cstheme="minorHAnsi"/>
          <w:color w:val="000000"/>
          <w:bdr w:val="none" w:sz="0" w:space="0" w:color="auto" w:frame="1"/>
        </w:rPr>
        <w:t>T</w:t>
      </w:r>
      <w:r w:rsidR="00FE183E">
        <w:rPr>
          <w:rFonts w:eastAsia="Times New Roman" w:cstheme="minorHAnsi"/>
          <w:color w:val="000000"/>
          <w:bdr w:val="none" w:sz="0" w:space="0" w:color="auto" w:frame="1"/>
        </w:rPr>
        <w:t xml:space="preserve">he number of ORs </w:t>
      </w:r>
      <w:r>
        <w:rPr>
          <w:rFonts w:eastAsia="Times New Roman" w:cstheme="minorHAnsi"/>
          <w:color w:val="000000"/>
          <w:bdr w:val="none" w:sz="0" w:space="0" w:color="auto" w:frame="1"/>
        </w:rPr>
        <w:t xml:space="preserve">will increase </w:t>
      </w:r>
      <w:r w:rsidR="00FE183E">
        <w:rPr>
          <w:rFonts w:eastAsia="Times New Roman" w:cstheme="minorHAnsi"/>
          <w:color w:val="000000"/>
          <w:bdr w:val="none" w:sz="0" w:space="0" w:color="auto" w:frame="1"/>
        </w:rPr>
        <w:t>from three to eight</w:t>
      </w:r>
      <w:r w:rsidR="00195F1E">
        <w:rPr>
          <w:rFonts w:eastAsia="Times New Roman" w:cstheme="minorHAnsi"/>
          <w:color w:val="000000"/>
          <w:bdr w:val="none" w:sz="0" w:space="0" w:color="auto" w:frame="1"/>
        </w:rPr>
        <w:t xml:space="preserve"> to address Patient Panel need for </w:t>
      </w:r>
      <w:r w:rsidR="009C6605">
        <w:rPr>
          <w:rFonts w:eastAsia="Times New Roman" w:cstheme="minorHAnsi"/>
          <w:color w:val="000000"/>
          <w:bdr w:val="none" w:sz="0" w:space="0" w:color="auto" w:frame="1"/>
        </w:rPr>
        <w:t>BOSS’</w:t>
      </w:r>
      <w:r w:rsidR="00195F1E">
        <w:rPr>
          <w:rFonts w:eastAsia="Times New Roman" w:cstheme="minorHAnsi"/>
          <w:color w:val="000000"/>
          <w:bdr w:val="none" w:sz="0" w:space="0" w:color="auto" w:frame="1"/>
        </w:rPr>
        <w:t xml:space="preserve"> services</w:t>
      </w:r>
      <w:r w:rsidR="00FE183E">
        <w:rPr>
          <w:rFonts w:eastAsia="Times New Roman" w:cstheme="minorHAnsi"/>
          <w:color w:val="000000"/>
          <w:bdr w:val="none" w:sz="0" w:space="0" w:color="auto" w:frame="1"/>
        </w:rPr>
        <w:t xml:space="preserve">. </w:t>
      </w:r>
    </w:p>
    <w:p w14:paraId="767BEB8D" w14:textId="58EA0CD4" w:rsidR="00C05FF6" w:rsidRDefault="00C05FF6" w:rsidP="00C05FF6">
      <w:pPr>
        <w:pStyle w:val="ListParagraph"/>
        <w:numPr>
          <w:ilvl w:val="0"/>
          <w:numId w:val="21"/>
        </w:numPr>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In Year I of the </w:t>
      </w:r>
      <w:r w:rsidR="009C6605">
        <w:rPr>
          <w:rFonts w:eastAsia="Times New Roman" w:cstheme="minorHAnsi"/>
          <w:color w:val="000000"/>
          <w:bdr w:val="none" w:sz="0" w:space="0" w:color="auto" w:frame="1"/>
        </w:rPr>
        <w:t xml:space="preserve">proposed </w:t>
      </w:r>
      <w:r>
        <w:rPr>
          <w:rFonts w:eastAsia="Times New Roman" w:cstheme="minorHAnsi"/>
          <w:color w:val="000000"/>
          <w:bdr w:val="none" w:sz="0" w:space="0" w:color="auto" w:frame="1"/>
        </w:rPr>
        <w:t>ASC’s operations, t</w:t>
      </w:r>
      <w:r w:rsidR="00195F1E">
        <w:rPr>
          <w:rFonts w:eastAsia="Times New Roman" w:cstheme="minorHAnsi"/>
          <w:color w:val="000000"/>
          <w:bdr w:val="none" w:sz="0" w:space="0" w:color="auto" w:frame="1"/>
        </w:rPr>
        <w:t>he</w:t>
      </w:r>
      <w:r w:rsidR="00641970">
        <w:rPr>
          <w:rFonts w:eastAsia="Times New Roman" w:cstheme="minorHAnsi"/>
          <w:color w:val="000000"/>
          <w:bdr w:val="none" w:sz="0" w:space="0" w:color="auto" w:frame="1"/>
        </w:rPr>
        <w:t xml:space="preserve"> </w:t>
      </w:r>
      <w:r w:rsidR="00D04D75">
        <w:rPr>
          <w:rFonts w:eastAsia="Times New Roman" w:cstheme="minorHAnsi"/>
          <w:color w:val="000000"/>
          <w:bdr w:val="none" w:sz="0" w:space="0" w:color="auto" w:frame="1"/>
        </w:rPr>
        <w:t>A</w:t>
      </w:r>
      <w:r w:rsidR="00641970">
        <w:rPr>
          <w:rFonts w:eastAsia="Times New Roman" w:cstheme="minorHAnsi"/>
          <w:color w:val="000000"/>
          <w:bdr w:val="none" w:sz="0" w:space="0" w:color="auto" w:frame="1"/>
        </w:rPr>
        <w:t xml:space="preserve">pplicant is </w:t>
      </w:r>
      <w:r w:rsidR="00D16FDD">
        <w:rPr>
          <w:rFonts w:eastAsia="Times New Roman" w:cstheme="minorHAnsi"/>
          <w:color w:val="000000"/>
          <w:bdr w:val="none" w:sz="0" w:space="0" w:color="auto" w:frame="1"/>
        </w:rPr>
        <w:t>forecasting</w:t>
      </w:r>
      <w:r w:rsidR="00641970">
        <w:rPr>
          <w:rFonts w:eastAsia="Times New Roman" w:cstheme="minorHAnsi"/>
          <w:color w:val="000000"/>
          <w:bdr w:val="none" w:sz="0" w:space="0" w:color="auto" w:frame="1"/>
        </w:rPr>
        <w:t xml:space="preserve"> a 12</w:t>
      </w:r>
      <w:r w:rsidR="00967A86">
        <w:rPr>
          <w:rFonts w:eastAsia="Times New Roman" w:cstheme="minorHAnsi"/>
          <w:color w:val="000000"/>
          <w:bdr w:val="none" w:sz="0" w:space="0" w:color="auto" w:frame="1"/>
        </w:rPr>
        <w:t>3</w:t>
      </w:r>
      <w:r w:rsidR="00641970">
        <w:rPr>
          <w:rFonts w:eastAsia="Times New Roman" w:cstheme="minorHAnsi"/>
          <w:color w:val="000000"/>
          <w:bdr w:val="none" w:sz="0" w:space="0" w:color="auto" w:frame="1"/>
        </w:rPr>
        <w:t>% increase in case volume</w:t>
      </w:r>
      <w:r w:rsidR="00D12FA5">
        <w:rPr>
          <w:rFonts w:eastAsia="Times New Roman" w:cstheme="minorHAnsi"/>
          <w:color w:val="000000"/>
          <w:bdr w:val="none" w:sz="0" w:space="0" w:color="auto" w:frame="1"/>
        </w:rPr>
        <w:t xml:space="preserve"> over CY2023</w:t>
      </w:r>
      <w:r>
        <w:rPr>
          <w:rFonts w:eastAsia="Times New Roman" w:cstheme="minorHAnsi"/>
          <w:color w:val="000000"/>
          <w:bdr w:val="none" w:sz="0" w:space="0" w:color="auto" w:frame="1"/>
        </w:rPr>
        <w:t xml:space="preserve">. </w:t>
      </w:r>
      <w:r w:rsidR="0064613E">
        <w:rPr>
          <w:rFonts w:eastAsia="Times New Roman" w:cstheme="minorHAnsi"/>
          <w:color w:val="000000"/>
          <w:bdr w:val="none" w:sz="0" w:space="0" w:color="auto" w:frame="1"/>
        </w:rPr>
        <w:t xml:space="preserve">Approximately 45% </w:t>
      </w:r>
      <w:r>
        <w:rPr>
          <w:rFonts w:eastAsia="Times New Roman" w:cstheme="minorHAnsi"/>
          <w:color w:val="000000"/>
          <w:bdr w:val="none" w:sz="0" w:space="0" w:color="auto" w:frame="1"/>
        </w:rPr>
        <w:t xml:space="preserve">of the case volume is made up of existing cases. </w:t>
      </w:r>
    </w:p>
    <w:p w14:paraId="166A3B4C" w14:textId="6E91404E" w:rsidR="00431EE7" w:rsidRDefault="00C05FF6" w:rsidP="00C05FF6">
      <w:pPr>
        <w:pStyle w:val="ListParagraph"/>
        <w:numPr>
          <w:ilvl w:val="0"/>
          <w:numId w:val="21"/>
        </w:numPr>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The Applicant </w:t>
      </w:r>
      <w:r w:rsidR="00D04D75">
        <w:rPr>
          <w:rFonts w:eastAsia="Times New Roman" w:cstheme="minorHAnsi"/>
          <w:color w:val="000000"/>
          <w:bdr w:val="none" w:sz="0" w:space="0" w:color="auto" w:frame="1"/>
        </w:rPr>
        <w:t xml:space="preserve">estimates that </w:t>
      </w:r>
      <w:r w:rsidR="00D04D75" w:rsidRPr="00D04D75">
        <w:rPr>
          <w:rFonts w:eastAsia="Times New Roman" w:cstheme="minorHAnsi"/>
          <w:color w:val="000000"/>
          <w:bdr w:val="none" w:sz="0" w:space="0" w:color="auto" w:frame="1"/>
        </w:rPr>
        <w:t xml:space="preserve">45% </w:t>
      </w:r>
      <w:r w:rsidR="00C77D7A">
        <w:rPr>
          <w:rFonts w:eastAsia="Times New Roman" w:cstheme="minorHAnsi"/>
          <w:color w:val="000000"/>
          <w:bdr w:val="none" w:sz="0" w:space="0" w:color="auto" w:frame="1"/>
        </w:rPr>
        <w:t xml:space="preserve">of new case volume </w:t>
      </w:r>
      <w:r w:rsidR="00D04D75" w:rsidRPr="00D04D75">
        <w:rPr>
          <w:rFonts w:eastAsia="Times New Roman" w:cstheme="minorHAnsi"/>
          <w:color w:val="000000"/>
          <w:bdr w:val="none" w:sz="0" w:space="0" w:color="auto" w:frame="1"/>
        </w:rPr>
        <w:t>will come from new surgeons</w:t>
      </w:r>
      <w:r w:rsidR="009D7C0C">
        <w:rPr>
          <w:rFonts w:eastAsia="Times New Roman" w:cstheme="minorHAnsi"/>
          <w:color w:val="000000"/>
          <w:bdr w:val="none" w:sz="0" w:space="0" w:color="auto" w:frame="1"/>
        </w:rPr>
        <w:t xml:space="preserve"> with block time</w:t>
      </w:r>
      <w:r w:rsidR="00D04D75" w:rsidRPr="00D04D75">
        <w:rPr>
          <w:rFonts w:eastAsia="Times New Roman" w:cstheme="minorHAnsi"/>
          <w:color w:val="000000"/>
          <w:bdr w:val="none" w:sz="0" w:space="0" w:color="auto" w:frame="1"/>
        </w:rPr>
        <w:t>.</w:t>
      </w:r>
      <w:r w:rsidR="00AE27EC">
        <w:rPr>
          <w:rFonts w:eastAsia="Times New Roman" w:cstheme="minorHAnsi"/>
          <w:color w:val="000000"/>
          <w:bdr w:val="none" w:sz="0" w:space="0" w:color="auto" w:frame="1"/>
        </w:rPr>
        <w:t xml:space="preserve"> </w:t>
      </w:r>
    </w:p>
    <w:p w14:paraId="35A6527C" w14:textId="3C142BF5" w:rsidR="00676D61" w:rsidRDefault="00BF0250" w:rsidP="00644C31">
      <w:pPr>
        <w:pStyle w:val="ListParagraph"/>
        <w:numPr>
          <w:ilvl w:val="1"/>
          <w:numId w:val="20"/>
        </w:numPr>
        <w:spacing w:after="0"/>
        <w:ind w:left="1080"/>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Explain </w:t>
      </w:r>
      <w:r w:rsidR="00E510B6">
        <w:rPr>
          <w:rFonts w:eastAsia="Times New Roman" w:cstheme="minorHAnsi"/>
          <w:color w:val="000000"/>
          <w:bdr w:val="none" w:sz="0" w:space="0" w:color="auto" w:frame="1"/>
        </w:rPr>
        <w:t xml:space="preserve">why increasing OR capacity from three to eight addresses Patient Panel need for BOSS services, when part of the </w:t>
      </w:r>
      <w:r>
        <w:rPr>
          <w:rFonts w:eastAsia="Times New Roman" w:cstheme="minorHAnsi"/>
          <w:color w:val="000000"/>
          <w:bdr w:val="none" w:sz="0" w:space="0" w:color="auto" w:frame="1"/>
        </w:rPr>
        <w:t xml:space="preserve">demand </w:t>
      </w:r>
      <w:r w:rsidR="00E510B6">
        <w:rPr>
          <w:rFonts w:eastAsia="Times New Roman" w:cstheme="minorHAnsi"/>
          <w:color w:val="000000"/>
          <w:bdr w:val="none" w:sz="0" w:space="0" w:color="auto" w:frame="1"/>
        </w:rPr>
        <w:t xml:space="preserve">for the ORs originates </w:t>
      </w:r>
      <w:r>
        <w:rPr>
          <w:rFonts w:eastAsia="Times New Roman" w:cstheme="minorHAnsi"/>
          <w:color w:val="000000"/>
          <w:bdr w:val="none" w:sz="0" w:space="0" w:color="auto" w:frame="1"/>
        </w:rPr>
        <w:t xml:space="preserve">from new surgeons </w:t>
      </w:r>
      <w:r w:rsidR="00BA4D70">
        <w:rPr>
          <w:rFonts w:eastAsia="Times New Roman" w:cstheme="minorHAnsi"/>
          <w:color w:val="000000"/>
          <w:bdr w:val="none" w:sz="0" w:space="0" w:color="auto" w:frame="1"/>
        </w:rPr>
        <w:t xml:space="preserve">and the proposed ORs will be used </w:t>
      </w:r>
      <w:r w:rsidR="00D16FDD">
        <w:rPr>
          <w:rFonts w:eastAsia="Times New Roman" w:cstheme="minorHAnsi"/>
          <w:color w:val="000000"/>
          <w:bdr w:val="none" w:sz="0" w:space="0" w:color="auto" w:frame="1"/>
        </w:rPr>
        <w:t xml:space="preserve">to accommodate </w:t>
      </w:r>
      <w:r w:rsidR="00BA4D70">
        <w:rPr>
          <w:rFonts w:eastAsia="Times New Roman" w:cstheme="minorHAnsi"/>
          <w:color w:val="000000"/>
          <w:bdr w:val="none" w:sz="0" w:space="0" w:color="auto" w:frame="1"/>
        </w:rPr>
        <w:t xml:space="preserve">a substantial number of </w:t>
      </w:r>
      <w:r w:rsidR="00226456">
        <w:rPr>
          <w:rFonts w:eastAsia="Times New Roman" w:cstheme="minorHAnsi"/>
          <w:color w:val="000000"/>
          <w:bdr w:val="none" w:sz="0" w:space="0" w:color="auto" w:frame="1"/>
        </w:rPr>
        <w:t>new cases</w:t>
      </w:r>
      <w:r>
        <w:rPr>
          <w:rFonts w:eastAsia="Times New Roman" w:cstheme="minorHAnsi"/>
          <w:color w:val="000000"/>
          <w:bdr w:val="none" w:sz="0" w:space="0" w:color="auto" w:frame="1"/>
        </w:rPr>
        <w:t>?</w:t>
      </w:r>
      <w:r w:rsidR="006E0523">
        <w:rPr>
          <w:rFonts w:eastAsia="Times New Roman" w:cstheme="minorHAnsi"/>
          <w:color w:val="000000"/>
          <w:bdr w:val="none" w:sz="0" w:space="0" w:color="auto" w:frame="1"/>
        </w:rPr>
        <w:t xml:space="preserve">  </w:t>
      </w:r>
    </w:p>
    <w:p w14:paraId="7CEC7A16" w14:textId="77777777" w:rsidR="00676D61" w:rsidRPr="00676D61" w:rsidRDefault="00676D61" w:rsidP="00676D61">
      <w:pPr>
        <w:spacing w:after="0"/>
        <w:ind w:left="720"/>
        <w:rPr>
          <w:rFonts w:eastAsia="Times New Roman" w:cstheme="minorHAnsi"/>
          <w:color w:val="000000"/>
          <w:bdr w:val="none" w:sz="0" w:space="0" w:color="auto" w:frame="1"/>
        </w:rPr>
      </w:pPr>
    </w:p>
    <w:p w14:paraId="30CB4E22" w14:textId="72284AFA" w:rsidR="00676D61" w:rsidRPr="007860CC" w:rsidRDefault="00676D61" w:rsidP="00676D61">
      <w:pPr>
        <w:pStyle w:val="ListParagraph"/>
        <w:numPr>
          <w:ilvl w:val="1"/>
          <w:numId w:val="22"/>
        </w:numPr>
        <w:shd w:val="clear" w:color="auto" w:fill="FFFFFF"/>
        <w:spacing w:after="0" w:line="240" w:lineRule="auto"/>
        <w:rPr>
          <w:rFonts w:eastAsia="Times New Roman" w:cstheme="minorHAnsi"/>
          <w:b/>
          <w:bCs/>
          <w:color w:val="000000"/>
          <w:bdr w:val="none" w:sz="0" w:space="0" w:color="auto" w:frame="1"/>
        </w:rPr>
      </w:pPr>
      <w:r>
        <w:rPr>
          <w:rFonts w:eastAsia="Times New Roman" w:cstheme="minorHAnsi"/>
          <w:b/>
          <w:bCs/>
          <w:color w:val="000000"/>
          <w:bdr w:val="none" w:sz="0" w:space="0" w:color="auto" w:frame="1"/>
        </w:rPr>
        <w:t xml:space="preserve">Applicant Response:  </w:t>
      </w:r>
      <w:r>
        <w:rPr>
          <w:rFonts w:eastAsia="Times New Roman" w:cstheme="minorHAnsi"/>
          <w:color w:val="000000"/>
          <w:bdr w:val="none" w:sz="0" w:space="0" w:color="auto" w:frame="1"/>
        </w:rPr>
        <w:t xml:space="preserve">The Applicant has been running an ASC with 3 operating rooms at its current site since 2004. </w:t>
      </w:r>
      <w:r w:rsidR="004B6D54">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Currently, 17 of the </w:t>
      </w:r>
      <w:r w:rsidR="004B6D54">
        <w:rPr>
          <w:rFonts w:eastAsia="Times New Roman" w:cstheme="minorHAnsi"/>
          <w:color w:val="000000"/>
          <w:bdr w:val="none" w:sz="0" w:space="0" w:color="auto" w:frame="1"/>
        </w:rPr>
        <w:t xml:space="preserve">33 </w:t>
      </w:r>
      <w:r>
        <w:rPr>
          <w:rFonts w:eastAsia="Times New Roman" w:cstheme="minorHAnsi"/>
          <w:color w:val="000000"/>
          <w:bdr w:val="none" w:sz="0" w:space="0" w:color="auto" w:frame="1"/>
        </w:rPr>
        <w:t>surgeons on the Applicant's medical staff have medical office space in the same building as the Applicant and these surgeons will also be moving their medical offices to the new site that the Applicant is moving to</w:t>
      </w:r>
      <w:r w:rsidR="004B6D54">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These surgeons would like to perform more of their ambulatory surgery cases at the Applicant's ASC</w:t>
      </w:r>
      <w:r w:rsidR="00AA4F4F">
        <w:rPr>
          <w:rFonts w:eastAsia="Times New Roman" w:cstheme="minorHAnsi"/>
          <w:color w:val="000000"/>
          <w:bdr w:val="none" w:sz="0" w:space="0" w:color="auto" w:frame="1"/>
        </w:rPr>
        <w:t xml:space="preserve"> given the convenience for their patients and for themselves</w:t>
      </w:r>
      <w:r w:rsidR="00776F04">
        <w:rPr>
          <w:rFonts w:eastAsia="Times New Roman" w:cstheme="minorHAnsi"/>
          <w:color w:val="000000"/>
          <w:bdr w:val="none" w:sz="0" w:space="0" w:color="auto" w:frame="1"/>
        </w:rPr>
        <w:t>,</w:t>
      </w:r>
      <w:r w:rsidR="00776F04" w:rsidRPr="00776F04">
        <w:rPr>
          <w:rFonts w:eastAsia="Times New Roman" w:cstheme="minorHAnsi"/>
          <w:color w:val="000000"/>
          <w:bdr w:val="none" w:sz="0" w:space="0" w:color="auto" w:frame="1"/>
        </w:rPr>
        <w:t xml:space="preserve"> </w:t>
      </w:r>
      <w:r w:rsidR="00776F04">
        <w:rPr>
          <w:rFonts w:eastAsia="Times New Roman" w:cstheme="minorHAnsi"/>
          <w:color w:val="000000"/>
          <w:bdr w:val="none" w:sz="0" w:space="0" w:color="auto" w:frame="1"/>
        </w:rPr>
        <w:t xml:space="preserve">however the Applicant is not able to grant them additional OR block time within the current constraints of three operating rooms.  </w:t>
      </w:r>
      <w:r w:rsidR="00B657F1">
        <w:rPr>
          <w:rFonts w:eastAsia="Times New Roman" w:cstheme="minorHAnsi"/>
          <w:color w:val="000000"/>
          <w:bdr w:val="none" w:sz="0" w:space="0" w:color="auto" w:frame="1"/>
        </w:rPr>
        <w:t xml:space="preserve">These surgeons are also very concerned about the </w:t>
      </w:r>
      <w:r w:rsidR="00AA4F4F">
        <w:rPr>
          <w:rFonts w:eastAsia="Times New Roman" w:cstheme="minorHAnsi"/>
          <w:color w:val="000000"/>
          <w:bdr w:val="none" w:sz="0" w:space="0" w:color="auto" w:frame="1"/>
        </w:rPr>
        <w:t xml:space="preserve">potential </w:t>
      </w:r>
      <w:r w:rsidR="00B657F1">
        <w:rPr>
          <w:rFonts w:eastAsia="Times New Roman" w:cstheme="minorHAnsi"/>
          <w:color w:val="000000"/>
          <w:bdr w:val="none" w:sz="0" w:space="0" w:color="auto" w:frame="1"/>
        </w:rPr>
        <w:t xml:space="preserve">loss of </w:t>
      </w:r>
      <w:r w:rsidR="00AA4F4F">
        <w:rPr>
          <w:rFonts w:eastAsia="Times New Roman" w:cstheme="minorHAnsi"/>
          <w:color w:val="000000"/>
          <w:bdr w:val="none" w:sz="0" w:space="0" w:color="auto" w:frame="1"/>
        </w:rPr>
        <w:t xml:space="preserve">the Applicant's </w:t>
      </w:r>
      <w:r w:rsidR="00B657F1">
        <w:rPr>
          <w:rFonts w:eastAsia="Times New Roman" w:cstheme="minorHAnsi"/>
          <w:color w:val="000000"/>
          <w:bdr w:val="none" w:sz="0" w:space="0" w:color="auto" w:frame="1"/>
        </w:rPr>
        <w:t>ASC operating rooms when the Applicant's existing lease extension terminates February 28, 2025</w:t>
      </w:r>
      <w:r w:rsidR="00776F04">
        <w:rPr>
          <w:rFonts w:eastAsia="Times New Roman" w:cstheme="minorHAnsi"/>
          <w:color w:val="000000"/>
          <w:bdr w:val="none" w:sz="0" w:space="0" w:color="auto" w:frame="1"/>
        </w:rPr>
        <w:t xml:space="preserve"> given surgical capacity constraints at other facilities</w:t>
      </w:r>
      <w:r w:rsidR="00B657F1">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Within </w:t>
      </w:r>
      <w:r w:rsidR="00776F04">
        <w:rPr>
          <w:rFonts w:eastAsia="Times New Roman" w:cstheme="minorHAnsi"/>
          <w:color w:val="000000"/>
          <w:bdr w:val="none" w:sz="0" w:space="0" w:color="auto" w:frame="1"/>
        </w:rPr>
        <w:t xml:space="preserve">the </w:t>
      </w:r>
      <w:r>
        <w:rPr>
          <w:rFonts w:eastAsia="Times New Roman" w:cstheme="minorHAnsi"/>
          <w:color w:val="000000"/>
          <w:bdr w:val="none" w:sz="0" w:space="0" w:color="auto" w:frame="1"/>
        </w:rPr>
        <w:t>practices</w:t>
      </w:r>
      <w:r w:rsidR="00E70FA5">
        <w:rPr>
          <w:rFonts w:eastAsia="Times New Roman" w:cstheme="minorHAnsi"/>
          <w:color w:val="000000"/>
          <w:bdr w:val="none" w:sz="0" w:space="0" w:color="auto" w:frame="1"/>
        </w:rPr>
        <w:t xml:space="preserve"> that currently employ physicians on the Applicant's medical staff</w:t>
      </w:r>
      <w:r w:rsidR="004B6D54">
        <w:rPr>
          <w:rFonts w:eastAsia="Times New Roman" w:cstheme="minorHAnsi"/>
          <w:color w:val="000000"/>
          <w:bdr w:val="none" w:sz="0" w:space="0" w:color="auto" w:frame="1"/>
        </w:rPr>
        <w:t>,</w:t>
      </w:r>
      <w:r>
        <w:rPr>
          <w:rFonts w:eastAsia="Times New Roman" w:cstheme="minorHAnsi"/>
          <w:color w:val="000000"/>
          <w:bdr w:val="none" w:sz="0" w:space="0" w:color="auto" w:frame="1"/>
        </w:rPr>
        <w:t xml:space="preserve"> there are other surgeons (new surgeons) who </w:t>
      </w:r>
      <w:r w:rsidR="00B657F1">
        <w:rPr>
          <w:rFonts w:eastAsia="Times New Roman" w:cstheme="minorHAnsi"/>
          <w:color w:val="000000"/>
          <w:bdr w:val="none" w:sz="0" w:space="0" w:color="auto" w:frame="1"/>
        </w:rPr>
        <w:t xml:space="preserve">have </w:t>
      </w:r>
      <w:r w:rsidR="00776F04">
        <w:rPr>
          <w:rFonts w:eastAsia="Times New Roman" w:cstheme="minorHAnsi"/>
          <w:color w:val="000000"/>
          <w:bdr w:val="none" w:sz="0" w:space="0" w:color="auto" w:frame="1"/>
        </w:rPr>
        <w:t xml:space="preserve">also </w:t>
      </w:r>
      <w:r w:rsidR="00B657F1">
        <w:rPr>
          <w:rFonts w:eastAsia="Times New Roman" w:cstheme="minorHAnsi"/>
          <w:color w:val="000000"/>
          <w:bdr w:val="none" w:sz="0" w:space="0" w:color="auto" w:frame="1"/>
        </w:rPr>
        <w:t xml:space="preserve">expressed strong interest in performing </w:t>
      </w:r>
      <w:r>
        <w:rPr>
          <w:rFonts w:eastAsia="Times New Roman" w:cstheme="minorHAnsi"/>
          <w:color w:val="000000"/>
          <w:bdr w:val="none" w:sz="0" w:space="0" w:color="auto" w:frame="1"/>
        </w:rPr>
        <w:t>ambulatory surgeries at the Applicant's ASC</w:t>
      </w:r>
      <w:r w:rsidR="00B657F1">
        <w:rPr>
          <w:rFonts w:eastAsia="Times New Roman" w:cstheme="minorHAnsi"/>
          <w:color w:val="000000"/>
          <w:bdr w:val="none" w:sz="0" w:space="0" w:color="auto" w:frame="1"/>
        </w:rPr>
        <w:t>,</w:t>
      </w:r>
      <w:r w:rsidR="00776F04">
        <w:rPr>
          <w:rFonts w:eastAsia="Times New Roman" w:cstheme="minorHAnsi"/>
          <w:color w:val="000000"/>
          <w:bdr w:val="none" w:sz="0" w:space="0" w:color="auto" w:frame="1"/>
        </w:rPr>
        <w:t xml:space="preserve"> when additional </w:t>
      </w:r>
      <w:r w:rsidR="00776F04">
        <w:rPr>
          <w:rFonts w:eastAsia="Times New Roman" w:cstheme="minorHAnsi"/>
          <w:color w:val="000000"/>
          <w:bdr w:val="none" w:sz="0" w:space="0" w:color="auto" w:frame="1"/>
        </w:rPr>
        <w:lastRenderedPageBreak/>
        <w:t>block time becomes available at the new site</w:t>
      </w:r>
      <w:r w:rsidR="00B657F1">
        <w:rPr>
          <w:rFonts w:eastAsia="Times New Roman" w:cstheme="minorHAnsi"/>
          <w:color w:val="000000"/>
          <w:bdr w:val="none" w:sz="0" w:space="0" w:color="auto" w:frame="1"/>
        </w:rPr>
        <w:t xml:space="preserve">.  These “new” cases are currently being performed at HOPDs and in some cases, the surgeons are performing surgeries on their Massachusetts patients in ASCs located in New Hampshire. The Applicant has calculated patient need and the number of operating rooms to meet that need, based on input from existing surgeons and "new" surgeons </w:t>
      </w:r>
      <w:r w:rsidR="00C06026">
        <w:rPr>
          <w:rFonts w:eastAsia="Times New Roman" w:cstheme="minorHAnsi"/>
          <w:color w:val="000000"/>
          <w:bdr w:val="none" w:sz="0" w:space="0" w:color="auto" w:frame="1"/>
        </w:rPr>
        <w:t>relating to</w:t>
      </w:r>
      <w:r w:rsidR="00B657F1">
        <w:rPr>
          <w:rFonts w:eastAsia="Times New Roman" w:cstheme="minorHAnsi"/>
          <w:color w:val="000000"/>
          <w:bdr w:val="none" w:sz="0" w:space="0" w:color="auto" w:frame="1"/>
        </w:rPr>
        <w:t xml:space="preserve"> </w:t>
      </w:r>
      <w:r w:rsidR="00800255">
        <w:rPr>
          <w:rFonts w:eastAsia="Times New Roman" w:cstheme="minorHAnsi"/>
          <w:color w:val="000000"/>
          <w:bdr w:val="none" w:sz="0" w:space="0" w:color="auto" w:frame="1"/>
        </w:rPr>
        <w:t>estimate</w:t>
      </w:r>
      <w:r w:rsidR="00C06026">
        <w:rPr>
          <w:rFonts w:eastAsia="Times New Roman" w:cstheme="minorHAnsi"/>
          <w:color w:val="000000"/>
          <w:bdr w:val="none" w:sz="0" w:space="0" w:color="auto" w:frame="1"/>
        </w:rPr>
        <w:t>d</w:t>
      </w:r>
      <w:r w:rsidR="00800255">
        <w:rPr>
          <w:rFonts w:eastAsia="Times New Roman" w:cstheme="minorHAnsi"/>
          <w:color w:val="000000"/>
          <w:bdr w:val="none" w:sz="0" w:space="0" w:color="auto" w:frame="1"/>
        </w:rPr>
        <w:t xml:space="preserve"> </w:t>
      </w:r>
      <w:r w:rsidR="00B657F1">
        <w:rPr>
          <w:rFonts w:eastAsia="Times New Roman" w:cstheme="minorHAnsi"/>
          <w:color w:val="000000"/>
          <w:bdr w:val="none" w:sz="0" w:space="0" w:color="auto" w:frame="1"/>
        </w:rPr>
        <w:t xml:space="preserve">case count and types of surgeries, recognizing that </w:t>
      </w:r>
      <w:r w:rsidR="004622C9">
        <w:rPr>
          <w:rFonts w:eastAsia="Times New Roman" w:cstheme="minorHAnsi"/>
          <w:color w:val="000000"/>
          <w:bdr w:val="none" w:sz="0" w:space="0" w:color="auto" w:frame="1"/>
        </w:rPr>
        <w:t xml:space="preserve">anticipated increases in </w:t>
      </w:r>
      <w:r w:rsidR="00B657F1">
        <w:rPr>
          <w:rFonts w:eastAsia="Times New Roman" w:cstheme="minorHAnsi"/>
          <w:color w:val="000000"/>
          <w:bdr w:val="none" w:sz="0" w:space="0" w:color="auto" w:frame="1"/>
        </w:rPr>
        <w:t xml:space="preserve">higher acuity cases </w:t>
      </w:r>
      <w:r w:rsidR="00800255">
        <w:rPr>
          <w:rFonts w:eastAsia="Times New Roman" w:cstheme="minorHAnsi"/>
          <w:color w:val="000000"/>
          <w:bdr w:val="none" w:sz="0" w:space="0" w:color="auto" w:frame="1"/>
        </w:rPr>
        <w:t xml:space="preserve">such as Arthroplasty and spine </w:t>
      </w:r>
      <w:r w:rsidR="004622C9">
        <w:rPr>
          <w:rFonts w:eastAsia="Times New Roman" w:cstheme="minorHAnsi"/>
          <w:color w:val="000000"/>
          <w:bdr w:val="none" w:sz="0" w:space="0" w:color="auto" w:frame="1"/>
        </w:rPr>
        <w:t>in</w:t>
      </w:r>
      <w:r w:rsidR="00B657F1">
        <w:rPr>
          <w:rFonts w:eastAsia="Times New Roman" w:cstheme="minorHAnsi"/>
          <w:color w:val="000000"/>
          <w:bdr w:val="none" w:sz="0" w:space="0" w:color="auto" w:frame="1"/>
        </w:rPr>
        <w:t xml:space="preserve"> </w:t>
      </w:r>
      <w:r w:rsidR="004622C9">
        <w:rPr>
          <w:rFonts w:eastAsia="Times New Roman" w:cstheme="minorHAnsi"/>
          <w:color w:val="000000"/>
          <w:bdr w:val="none" w:sz="0" w:space="0" w:color="auto" w:frame="1"/>
        </w:rPr>
        <w:t xml:space="preserve">the </w:t>
      </w:r>
      <w:r w:rsidR="00B657F1">
        <w:rPr>
          <w:rFonts w:eastAsia="Times New Roman" w:cstheme="minorHAnsi"/>
          <w:color w:val="000000"/>
          <w:bdr w:val="none" w:sz="0" w:space="0" w:color="auto" w:frame="1"/>
        </w:rPr>
        <w:t>ASC setting</w:t>
      </w:r>
      <w:r w:rsidR="004622C9">
        <w:rPr>
          <w:rFonts w:eastAsia="Times New Roman" w:cstheme="minorHAnsi"/>
          <w:color w:val="000000"/>
          <w:bdr w:val="none" w:sz="0" w:space="0" w:color="auto" w:frame="1"/>
        </w:rPr>
        <w:t xml:space="preserve"> will</w:t>
      </w:r>
      <w:r w:rsidR="00B657F1">
        <w:rPr>
          <w:rFonts w:eastAsia="Times New Roman" w:cstheme="minorHAnsi"/>
          <w:color w:val="000000"/>
          <w:bdr w:val="none" w:sz="0" w:space="0" w:color="auto" w:frame="1"/>
        </w:rPr>
        <w:t xml:space="preserve"> require</w:t>
      </w:r>
      <w:r w:rsidR="00800255">
        <w:rPr>
          <w:rFonts w:eastAsia="Times New Roman" w:cstheme="minorHAnsi"/>
          <w:color w:val="000000"/>
          <w:bdr w:val="none" w:sz="0" w:space="0" w:color="auto" w:frame="1"/>
        </w:rPr>
        <w:t xml:space="preserve"> </w:t>
      </w:r>
      <w:r w:rsidR="00B657F1">
        <w:rPr>
          <w:rFonts w:eastAsia="Times New Roman" w:cstheme="minorHAnsi"/>
          <w:color w:val="000000"/>
          <w:bdr w:val="none" w:sz="0" w:space="0" w:color="auto" w:frame="1"/>
        </w:rPr>
        <w:t>more OR time</w:t>
      </w:r>
      <w:r w:rsidR="004622C9">
        <w:rPr>
          <w:rFonts w:eastAsia="Times New Roman" w:cstheme="minorHAnsi"/>
          <w:color w:val="000000"/>
          <w:bdr w:val="none" w:sz="0" w:space="0" w:color="auto" w:frame="1"/>
        </w:rPr>
        <w:t xml:space="preserve"> for such cases</w:t>
      </w:r>
      <w:r w:rsidR="00800255">
        <w:rPr>
          <w:rFonts w:eastAsia="Times New Roman" w:cstheme="minorHAnsi"/>
          <w:color w:val="000000"/>
          <w:bdr w:val="none" w:sz="0" w:space="0" w:color="auto" w:frame="1"/>
        </w:rPr>
        <w:t>.</w:t>
      </w:r>
      <w:r w:rsidR="004622C9">
        <w:rPr>
          <w:rFonts w:eastAsia="Times New Roman" w:cstheme="minorHAnsi"/>
          <w:color w:val="000000"/>
          <w:bdr w:val="none" w:sz="0" w:space="0" w:color="auto" w:frame="1"/>
        </w:rPr>
        <w:t xml:space="preserve">  It is noted that, if this project is approved, the Applicant intends to serve the needs of both the current and future surgeons who will provide services at the ASC</w:t>
      </w:r>
      <w:r w:rsidR="009B0EA3">
        <w:rPr>
          <w:rFonts w:eastAsia="Times New Roman" w:cstheme="minorHAnsi"/>
          <w:color w:val="000000"/>
          <w:bdr w:val="none" w:sz="0" w:space="0" w:color="auto" w:frame="1"/>
        </w:rPr>
        <w:t xml:space="preserve">, including by offering the array of procedures that are </w:t>
      </w:r>
      <w:r w:rsidR="004622C9">
        <w:rPr>
          <w:rFonts w:eastAsia="Times New Roman" w:cstheme="minorHAnsi"/>
          <w:color w:val="000000"/>
          <w:bdr w:val="none" w:sz="0" w:space="0" w:color="auto" w:frame="1"/>
        </w:rPr>
        <w:t>currently</w:t>
      </w:r>
      <w:r w:rsidR="009B0EA3">
        <w:rPr>
          <w:rFonts w:eastAsia="Times New Roman" w:cstheme="minorHAnsi"/>
          <w:color w:val="000000"/>
          <w:bdr w:val="none" w:sz="0" w:space="0" w:color="auto" w:frame="1"/>
        </w:rPr>
        <w:t xml:space="preserve"> performed at the ASC and the higher acuity procedures referenced above.</w:t>
      </w:r>
      <w:r w:rsidR="004622C9">
        <w:rPr>
          <w:rFonts w:eastAsia="Times New Roman" w:cstheme="minorHAnsi"/>
          <w:color w:val="000000"/>
          <w:bdr w:val="none" w:sz="0" w:space="0" w:color="auto" w:frame="1"/>
        </w:rPr>
        <w:t xml:space="preserve"> </w:t>
      </w:r>
    </w:p>
    <w:p w14:paraId="52E3B55F" w14:textId="77777777" w:rsidR="00800255" w:rsidRPr="00800255" w:rsidRDefault="00800255" w:rsidP="00800255">
      <w:pPr>
        <w:spacing w:after="0"/>
        <w:ind w:left="360"/>
        <w:rPr>
          <w:rFonts w:eastAsia="Times New Roman" w:cstheme="minorHAnsi"/>
          <w:color w:val="000000"/>
          <w:bdr w:val="none" w:sz="0" w:space="0" w:color="auto" w:frame="1"/>
        </w:rPr>
      </w:pPr>
    </w:p>
    <w:p w14:paraId="0713270C" w14:textId="77777777" w:rsidR="00800255" w:rsidRDefault="005C3ED5" w:rsidP="00644C31">
      <w:pPr>
        <w:pStyle w:val="ListParagraph"/>
        <w:numPr>
          <w:ilvl w:val="1"/>
          <w:numId w:val="20"/>
        </w:numPr>
        <w:spacing w:after="0"/>
        <w:ind w:left="1080"/>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What </w:t>
      </w:r>
      <w:r w:rsidR="009D7C0C">
        <w:rPr>
          <w:rFonts w:eastAsia="Times New Roman" w:cstheme="minorHAnsi"/>
          <w:color w:val="000000"/>
          <w:bdr w:val="none" w:sz="0" w:space="0" w:color="auto" w:frame="1"/>
        </w:rPr>
        <w:t>assurances</w:t>
      </w:r>
      <w:r>
        <w:rPr>
          <w:rFonts w:eastAsia="Times New Roman" w:cstheme="minorHAnsi"/>
          <w:color w:val="000000"/>
          <w:bdr w:val="none" w:sz="0" w:space="0" w:color="auto" w:frame="1"/>
        </w:rPr>
        <w:t xml:space="preserve"> does the Applicant have that it will be able to achieve the </w:t>
      </w:r>
      <w:r w:rsidR="001A70A9">
        <w:rPr>
          <w:rFonts w:eastAsia="Times New Roman" w:cstheme="minorHAnsi"/>
          <w:color w:val="000000"/>
          <w:bdr w:val="none" w:sz="0" w:space="0" w:color="auto" w:frame="1"/>
        </w:rPr>
        <w:t xml:space="preserve">forecasted </w:t>
      </w:r>
      <w:r>
        <w:rPr>
          <w:rFonts w:eastAsia="Times New Roman" w:cstheme="minorHAnsi"/>
          <w:color w:val="000000"/>
          <w:bdr w:val="none" w:sz="0" w:space="0" w:color="auto" w:frame="1"/>
        </w:rPr>
        <w:t>case volume and occupancy at the proposed facility?</w:t>
      </w:r>
      <w:r w:rsidR="006E0523">
        <w:rPr>
          <w:rFonts w:eastAsia="Times New Roman" w:cstheme="minorHAnsi"/>
          <w:color w:val="000000"/>
          <w:bdr w:val="none" w:sz="0" w:space="0" w:color="auto" w:frame="1"/>
        </w:rPr>
        <w:t xml:space="preserve">  </w:t>
      </w:r>
    </w:p>
    <w:p w14:paraId="633C0D19" w14:textId="77777777" w:rsidR="00800255" w:rsidRDefault="00800255" w:rsidP="00644C31">
      <w:pPr>
        <w:pStyle w:val="ListParagraph"/>
        <w:rPr>
          <w:rFonts w:eastAsia="Times New Roman" w:cstheme="minorHAnsi"/>
          <w:color w:val="000000"/>
          <w:bdr w:val="none" w:sz="0" w:space="0" w:color="auto" w:frame="1"/>
        </w:rPr>
      </w:pPr>
    </w:p>
    <w:p w14:paraId="6B21B454" w14:textId="7A344CDD" w:rsidR="00800255" w:rsidRDefault="00800255" w:rsidP="00ED26B2">
      <w:pPr>
        <w:pStyle w:val="ListParagraph"/>
        <w:numPr>
          <w:ilvl w:val="1"/>
          <w:numId w:val="23"/>
        </w:numPr>
        <w:spacing w:after="0"/>
        <w:rPr>
          <w:rFonts w:eastAsia="Times New Roman" w:cstheme="minorHAnsi"/>
          <w:color w:val="000000"/>
          <w:bdr w:val="none" w:sz="0" w:space="0" w:color="auto" w:frame="1"/>
        </w:rPr>
      </w:pPr>
      <w:r>
        <w:rPr>
          <w:rFonts w:eastAsia="Times New Roman" w:cstheme="minorHAnsi"/>
          <w:b/>
          <w:bCs/>
          <w:color w:val="000000"/>
          <w:bdr w:val="none" w:sz="0" w:space="0" w:color="auto" w:frame="1"/>
        </w:rPr>
        <w:t xml:space="preserve">Applicant Response:  </w:t>
      </w:r>
      <w:r>
        <w:rPr>
          <w:rFonts w:eastAsia="Times New Roman" w:cstheme="minorHAnsi"/>
          <w:color w:val="000000"/>
          <w:bdr w:val="none" w:sz="0" w:space="0" w:color="auto" w:frame="1"/>
        </w:rPr>
        <w:t xml:space="preserve">The Applicant </w:t>
      </w:r>
      <w:r w:rsidR="00F12009">
        <w:rPr>
          <w:rFonts w:eastAsia="Times New Roman" w:cstheme="minorHAnsi"/>
          <w:color w:val="000000"/>
          <w:bdr w:val="none" w:sz="0" w:space="0" w:color="auto" w:frame="1"/>
        </w:rPr>
        <w:t xml:space="preserve">is confident it will be able to achieve the forecasted case volume and occupancy at the proposed facility.  The Applicant </w:t>
      </w:r>
      <w:r>
        <w:rPr>
          <w:rFonts w:eastAsia="Times New Roman" w:cstheme="minorHAnsi"/>
          <w:color w:val="000000"/>
          <w:bdr w:val="none" w:sz="0" w:space="0" w:color="auto" w:frame="1"/>
        </w:rPr>
        <w:t>has provided its outlook on the forecast for outpatient surgery given the data available to it</w:t>
      </w:r>
      <w:r w:rsidR="007B0631">
        <w:rPr>
          <w:rFonts w:eastAsia="Times New Roman" w:cstheme="minorHAnsi"/>
          <w:color w:val="000000"/>
          <w:bdr w:val="none" w:sz="0" w:space="0" w:color="auto" w:frame="1"/>
        </w:rPr>
        <w:t>,</w:t>
      </w:r>
      <w:r w:rsidR="00F12009">
        <w:rPr>
          <w:rFonts w:eastAsia="Times New Roman" w:cstheme="minorHAnsi"/>
          <w:color w:val="000000"/>
          <w:bdr w:val="none" w:sz="0" w:space="0" w:color="auto" w:frame="1"/>
        </w:rPr>
        <w:t xml:space="preserve"> as well as input from surgeons on its medical staff and surgeons who have expressed strong interest in joining the Applicant's medical staff</w:t>
      </w:r>
      <w:r>
        <w:rPr>
          <w:rFonts w:eastAsia="Times New Roman" w:cstheme="minorHAnsi"/>
          <w:color w:val="000000"/>
          <w:bdr w:val="none" w:sz="0" w:space="0" w:color="auto" w:frame="1"/>
        </w:rPr>
        <w:t xml:space="preserve">.  This includes data on a shift of services from the inpatient to the outpatient setting, shift from HOPD to ASC, advances in outpatient arthroplasty and spine, as well as data on the aging population and future orthopedic needs. </w:t>
      </w:r>
      <w:r w:rsidR="007B0631">
        <w:rPr>
          <w:rFonts w:eastAsia="Times New Roman" w:cstheme="minorHAnsi"/>
          <w:color w:val="000000"/>
          <w:bdr w:val="none" w:sz="0" w:space="0" w:color="auto" w:frame="1"/>
        </w:rPr>
        <w:t>The</w:t>
      </w:r>
      <w:r>
        <w:rPr>
          <w:rFonts w:eastAsia="Times New Roman" w:cstheme="minorHAnsi"/>
          <w:color w:val="000000"/>
          <w:bdr w:val="none" w:sz="0" w:space="0" w:color="auto" w:frame="1"/>
        </w:rPr>
        <w:t xml:space="preserve"> Applicant has also referenced </w:t>
      </w:r>
      <w:r w:rsidR="00E70FA5">
        <w:rPr>
          <w:rFonts w:eastAsia="Times New Roman" w:cstheme="minorHAnsi"/>
          <w:color w:val="000000"/>
          <w:bdr w:val="none" w:sz="0" w:space="0" w:color="auto" w:frame="1"/>
        </w:rPr>
        <w:t xml:space="preserve">payers' recognition of the appropriateness of (and determination to pay in the ASC setting for) higher acuity services in ambulatory surgery settings, as well as </w:t>
      </w:r>
      <w:r>
        <w:rPr>
          <w:rFonts w:eastAsia="Times New Roman" w:cstheme="minorHAnsi"/>
          <w:color w:val="000000"/>
          <w:bdr w:val="none" w:sz="0" w:space="0" w:color="auto" w:frame="1"/>
        </w:rPr>
        <w:t xml:space="preserve">Health Policy Commission (HPC) </w:t>
      </w:r>
      <w:r w:rsidR="00F12009">
        <w:rPr>
          <w:rFonts w:eastAsia="Times New Roman" w:cstheme="minorHAnsi"/>
          <w:color w:val="000000"/>
          <w:bdr w:val="none" w:sz="0" w:space="0" w:color="auto" w:frame="1"/>
        </w:rPr>
        <w:t>reports that demonstrate t</w:t>
      </w:r>
      <w:r>
        <w:rPr>
          <w:rFonts w:eastAsia="Times New Roman" w:cstheme="minorHAnsi"/>
          <w:color w:val="000000"/>
          <w:bdr w:val="none" w:sz="0" w:space="0" w:color="auto" w:frame="1"/>
        </w:rPr>
        <w:t>he Commonwealth</w:t>
      </w:r>
      <w:r w:rsidR="00F12009">
        <w:rPr>
          <w:rFonts w:eastAsia="Times New Roman" w:cstheme="minorHAnsi"/>
          <w:color w:val="000000"/>
          <w:bdr w:val="none" w:sz="0" w:space="0" w:color="auto" w:frame="1"/>
        </w:rPr>
        <w:t>'s</w:t>
      </w:r>
      <w:r>
        <w:rPr>
          <w:rFonts w:eastAsia="Times New Roman" w:cstheme="minorHAnsi"/>
          <w:color w:val="000000"/>
          <w:bdr w:val="none" w:sz="0" w:space="0" w:color="auto" w:frame="1"/>
        </w:rPr>
        <w:t xml:space="preserve"> need </w:t>
      </w:r>
      <w:r w:rsidR="00F12009">
        <w:rPr>
          <w:rFonts w:eastAsia="Times New Roman" w:cstheme="minorHAnsi"/>
          <w:color w:val="000000"/>
          <w:bdr w:val="none" w:sz="0" w:space="0" w:color="auto" w:frame="1"/>
        </w:rPr>
        <w:t>for</w:t>
      </w:r>
      <w:r>
        <w:rPr>
          <w:rFonts w:eastAsia="Times New Roman" w:cstheme="minorHAnsi"/>
          <w:color w:val="000000"/>
          <w:bdr w:val="none" w:sz="0" w:space="0" w:color="auto" w:frame="1"/>
        </w:rPr>
        <w:t xml:space="preserve"> more outpatient ASC capacity</w:t>
      </w:r>
      <w:r w:rsidR="00F12009">
        <w:rPr>
          <w:rFonts w:eastAsia="Times New Roman" w:cstheme="minorHAnsi"/>
          <w:color w:val="000000"/>
          <w:bdr w:val="none" w:sz="0" w:space="0" w:color="auto" w:frame="1"/>
        </w:rPr>
        <w:t>. (</w:t>
      </w:r>
      <w:r>
        <w:rPr>
          <w:rFonts w:eastAsia="Times New Roman" w:cstheme="minorHAnsi"/>
          <w:color w:val="000000"/>
          <w:bdr w:val="none" w:sz="0" w:space="0" w:color="auto" w:frame="1"/>
        </w:rPr>
        <w:t>HPC Data Points, Issue 26, Trends in Ambulatory Surgical Centers in Massachusetts (February 15, 2024) and 2023 Health Care Cost Trends Report (June 7, 2023)</w:t>
      </w:r>
      <w:r w:rsidR="00F12009">
        <w:rPr>
          <w:rFonts w:eastAsia="Times New Roman" w:cstheme="minorHAnsi"/>
          <w:color w:val="000000"/>
          <w:bdr w:val="none" w:sz="0" w:space="0" w:color="auto" w:frame="1"/>
        </w:rPr>
        <w:t>)</w:t>
      </w:r>
      <w:r>
        <w:rPr>
          <w:rFonts w:eastAsia="Times New Roman" w:cstheme="minorHAnsi"/>
          <w:color w:val="000000"/>
          <w:bdr w:val="none" w:sz="0" w:space="0" w:color="auto" w:frame="1"/>
        </w:rPr>
        <w:t xml:space="preserve">.  </w:t>
      </w:r>
    </w:p>
    <w:p w14:paraId="5E15A7E6" w14:textId="77777777" w:rsidR="00800255" w:rsidRPr="00A81B3C" w:rsidRDefault="00800255" w:rsidP="00A81B3C">
      <w:pPr>
        <w:pStyle w:val="ListParagraph"/>
        <w:rPr>
          <w:rFonts w:eastAsia="Times New Roman" w:cstheme="minorHAnsi"/>
          <w:color w:val="000000"/>
          <w:bdr w:val="none" w:sz="0" w:space="0" w:color="auto" w:frame="1"/>
        </w:rPr>
      </w:pPr>
    </w:p>
    <w:p w14:paraId="35663C30" w14:textId="77777777" w:rsidR="000F2B62" w:rsidRDefault="008D5F2B" w:rsidP="008D5F2B">
      <w:pPr>
        <w:pStyle w:val="ListParagraph"/>
        <w:numPr>
          <w:ilvl w:val="0"/>
          <w:numId w:val="20"/>
        </w:numPr>
        <w:rPr>
          <w:rFonts w:eastAsia="Times New Roman" w:cstheme="minorHAnsi"/>
          <w:color w:val="000000"/>
          <w:bdr w:val="none" w:sz="0" w:space="0" w:color="auto" w:frame="1"/>
        </w:rPr>
      </w:pPr>
      <w:r>
        <w:rPr>
          <w:rFonts w:eastAsia="Times New Roman" w:cstheme="minorHAnsi"/>
          <w:color w:val="000000"/>
          <w:bdr w:val="none" w:sz="0" w:space="0" w:color="auto" w:frame="1"/>
        </w:rPr>
        <w:t>Between 2022 and 2023, the Applicant experience</w:t>
      </w:r>
      <w:r w:rsidR="00D40D65">
        <w:rPr>
          <w:rFonts w:eastAsia="Times New Roman" w:cstheme="minorHAnsi"/>
          <w:color w:val="000000"/>
          <w:bdr w:val="none" w:sz="0" w:space="0" w:color="auto" w:frame="1"/>
        </w:rPr>
        <w:t>d</w:t>
      </w:r>
      <w:r>
        <w:rPr>
          <w:rFonts w:eastAsia="Times New Roman" w:cstheme="minorHAnsi"/>
          <w:color w:val="000000"/>
          <w:bdr w:val="none" w:sz="0" w:space="0" w:color="auto" w:frame="1"/>
        </w:rPr>
        <w:t xml:space="preserve"> a 2% decrease in Orthopedic cases and a 4.5% decrease in </w:t>
      </w:r>
      <w:r w:rsidR="00383F12">
        <w:rPr>
          <w:rFonts w:eastAsia="Times New Roman" w:cstheme="minorHAnsi"/>
          <w:color w:val="000000"/>
          <w:bdr w:val="none" w:sz="0" w:space="0" w:color="auto" w:frame="1"/>
        </w:rPr>
        <w:t xml:space="preserve">Podiatry cases. To what does the Applicant attribute the decrease in cases, and how does </w:t>
      </w:r>
      <w:r w:rsidR="00B709DA">
        <w:rPr>
          <w:rFonts w:eastAsia="Times New Roman" w:cstheme="minorHAnsi"/>
          <w:color w:val="000000"/>
          <w:bdr w:val="none" w:sz="0" w:space="0" w:color="auto" w:frame="1"/>
        </w:rPr>
        <w:t>decreasing case volume</w:t>
      </w:r>
      <w:r w:rsidR="00383F12">
        <w:rPr>
          <w:rFonts w:eastAsia="Times New Roman" w:cstheme="minorHAnsi"/>
          <w:color w:val="000000"/>
          <w:bdr w:val="none" w:sz="0" w:space="0" w:color="auto" w:frame="1"/>
        </w:rPr>
        <w:t xml:space="preserve"> </w:t>
      </w:r>
      <w:r w:rsidR="0025284D">
        <w:rPr>
          <w:rFonts w:eastAsia="Times New Roman" w:cstheme="minorHAnsi"/>
          <w:color w:val="000000"/>
          <w:bdr w:val="none" w:sz="0" w:space="0" w:color="auto" w:frame="1"/>
        </w:rPr>
        <w:t xml:space="preserve">in these two specialties </w:t>
      </w:r>
      <w:r w:rsidR="00383F12">
        <w:rPr>
          <w:rFonts w:eastAsia="Times New Roman" w:cstheme="minorHAnsi"/>
          <w:color w:val="000000"/>
          <w:bdr w:val="none" w:sz="0" w:space="0" w:color="auto" w:frame="1"/>
        </w:rPr>
        <w:t>support increasing need for operating room capacity?</w:t>
      </w:r>
      <w:r w:rsidR="006E0523">
        <w:rPr>
          <w:rFonts w:eastAsia="Times New Roman" w:cstheme="minorHAnsi"/>
          <w:color w:val="000000"/>
          <w:bdr w:val="none" w:sz="0" w:space="0" w:color="auto" w:frame="1"/>
        </w:rPr>
        <w:t xml:space="preserve">  </w:t>
      </w:r>
    </w:p>
    <w:p w14:paraId="13AA11F7" w14:textId="77777777" w:rsidR="000F2B62" w:rsidRDefault="000F2B62" w:rsidP="00ED26B2">
      <w:pPr>
        <w:pStyle w:val="ListParagraph"/>
        <w:rPr>
          <w:rFonts w:eastAsia="Times New Roman" w:cstheme="minorHAnsi"/>
          <w:color w:val="000000"/>
          <w:bdr w:val="none" w:sz="0" w:space="0" w:color="auto" w:frame="1"/>
        </w:rPr>
      </w:pPr>
    </w:p>
    <w:p w14:paraId="607172B2" w14:textId="7DDEC112" w:rsidR="000F2B62" w:rsidRDefault="000F2B62" w:rsidP="000F2B62">
      <w:pPr>
        <w:pStyle w:val="ListParagraph"/>
        <w:numPr>
          <w:ilvl w:val="1"/>
          <w:numId w:val="23"/>
        </w:numPr>
        <w:rPr>
          <w:rFonts w:eastAsia="Times New Roman" w:cstheme="minorHAnsi"/>
          <w:color w:val="000000"/>
          <w:bdr w:val="none" w:sz="0" w:space="0" w:color="auto" w:frame="1"/>
        </w:rPr>
      </w:pPr>
      <w:r>
        <w:rPr>
          <w:rFonts w:eastAsia="Times New Roman" w:cstheme="minorHAnsi"/>
          <w:b/>
          <w:bCs/>
          <w:color w:val="000000"/>
          <w:bdr w:val="none" w:sz="0" w:space="0" w:color="auto" w:frame="1"/>
        </w:rPr>
        <w:t xml:space="preserve">Applicant Response:  </w:t>
      </w:r>
      <w:r w:rsidR="003E472A">
        <w:rPr>
          <w:rFonts w:eastAsia="Times New Roman" w:cstheme="minorHAnsi"/>
          <w:color w:val="000000"/>
          <w:bdr w:val="none" w:sz="0" w:space="0" w:color="auto" w:frame="1"/>
        </w:rPr>
        <w:t xml:space="preserve">Although the number of cases has decreased, the Applicant's OR capacity has remained consistently full between 2022 and 2023.  </w:t>
      </w:r>
      <w:r w:rsidR="00C766D5">
        <w:rPr>
          <w:rFonts w:eastAsia="Times New Roman" w:cstheme="minorHAnsi"/>
          <w:color w:val="000000"/>
          <w:bdr w:val="none" w:sz="0" w:space="0" w:color="auto" w:frame="1"/>
        </w:rPr>
        <w:t>With elective surgery, surgeons see patients in their medical office, then book their surgery into their available block time at the ASC.</w:t>
      </w:r>
      <w:r w:rsidR="00162EF7">
        <w:rPr>
          <w:rFonts w:eastAsia="Times New Roman" w:cstheme="minorHAnsi"/>
          <w:color w:val="000000"/>
          <w:bdr w:val="none" w:sz="0" w:space="0" w:color="auto" w:frame="1"/>
        </w:rPr>
        <w:t xml:space="preserve"> </w:t>
      </w:r>
      <w:r w:rsidR="00C766D5">
        <w:rPr>
          <w:rFonts w:eastAsia="Times New Roman" w:cstheme="minorHAnsi"/>
          <w:color w:val="000000"/>
          <w:bdr w:val="none" w:sz="0" w:space="0" w:color="auto" w:frame="1"/>
        </w:rPr>
        <w:t xml:space="preserve">  </w:t>
      </w:r>
      <w:r w:rsidR="003E472A">
        <w:rPr>
          <w:rFonts w:eastAsia="Times New Roman" w:cstheme="minorHAnsi"/>
          <w:color w:val="000000"/>
          <w:bdr w:val="none" w:sz="0" w:space="0" w:color="auto" w:frame="1"/>
        </w:rPr>
        <w:t>As surgical cases have become longer and more complex, the number of surgeries that can be performed in a</w:t>
      </w:r>
      <w:r w:rsidR="006D0DD6">
        <w:rPr>
          <w:rFonts w:eastAsia="Times New Roman" w:cstheme="minorHAnsi"/>
          <w:color w:val="000000"/>
          <w:bdr w:val="none" w:sz="0" w:space="0" w:color="auto" w:frame="1"/>
        </w:rPr>
        <w:t xml:space="preserve"> facility with a limited number of ORs (and OR time) necessarily </w:t>
      </w:r>
      <w:r w:rsidR="003E472A">
        <w:rPr>
          <w:rFonts w:eastAsia="Times New Roman" w:cstheme="minorHAnsi"/>
          <w:color w:val="000000"/>
          <w:bdr w:val="none" w:sz="0" w:space="0" w:color="auto" w:frame="1"/>
        </w:rPr>
        <w:t>decrease</w:t>
      </w:r>
      <w:r w:rsidR="006D0DD6">
        <w:rPr>
          <w:rFonts w:eastAsia="Times New Roman" w:cstheme="minorHAnsi"/>
          <w:color w:val="000000"/>
          <w:bdr w:val="none" w:sz="0" w:space="0" w:color="auto" w:frame="1"/>
        </w:rPr>
        <w:t>s</w:t>
      </w:r>
      <w:r w:rsidR="003E472A">
        <w:rPr>
          <w:rFonts w:eastAsia="Times New Roman" w:cstheme="minorHAnsi"/>
          <w:color w:val="000000"/>
          <w:bdr w:val="none" w:sz="0" w:space="0" w:color="auto" w:frame="1"/>
        </w:rPr>
        <w:t xml:space="preserve">. </w:t>
      </w:r>
      <w:r w:rsidR="00C766D5">
        <w:rPr>
          <w:rFonts w:eastAsia="Times New Roman" w:cstheme="minorHAnsi"/>
          <w:color w:val="000000"/>
          <w:bdr w:val="none" w:sz="0" w:space="0" w:color="auto" w:frame="1"/>
        </w:rPr>
        <w:t xml:space="preserve"> For example a surgeon can perform eight 1-hour surgeries in an 8-hour OR block, or four 2-hour surgeries</w:t>
      </w:r>
      <w:r w:rsidR="0078438D">
        <w:rPr>
          <w:rFonts w:eastAsia="Times New Roman" w:cstheme="minorHAnsi"/>
          <w:color w:val="000000"/>
          <w:bdr w:val="none" w:sz="0" w:space="0" w:color="auto" w:frame="1"/>
        </w:rPr>
        <w:t xml:space="preserve">. </w:t>
      </w:r>
      <w:r w:rsidR="0078438D" w:rsidRPr="0078438D">
        <w:rPr>
          <w:rFonts w:eastAsia="Times New Roman" w:cstheme="minorHAnsi"/>
          <w:color w:val="000000"/>
          <w:bdr w:val="none" w:sz="0" w:space="0" w:color="auto" w:frame="1"/>
        </w:rPr>
        <w:t>There continues to be increased demand for OR block time at the facility.  Any available block time is routinely filled by our existing surgeons</w:t>
      </w:r>
      <w:r w:rsidR="00C766D5">
        <w:rPr>
          <w:rFonts w:eastAsia="Times New Roman" w:cstheme="minorHAnsi"/>
          <w:color w:val="000000"/>
          <w:bdr w:val="none" w:sz="0" w:space="0" w:color="auto" w:frame="1"/>
        </w:rPr>
        <w:t>.</w:t>
      </w:r>
      <w:r w:rsidR="0078438D">
        <w:rPr>
          <w:rFonts w:eastAsia="Times New Roman" w:cstheme="minorHAnsi"/>
          <w:color w:val="000000"/>
          <w:bdr w:val="none" w:sz="0" w:space="0" w:color="auto" w:frame="1"/>
        </w:rPr>
        <w:t xml:space="preserve"> </w:t>
      </w:r>
    </w:p>
    <w:p w14:paraId="62CE4AE8" w14:textId="77777777" w:rsidR="00160BAA" w:rsidRDefault="00160BAA" w:rsidP="00160BAA">
      <w:pPr>
        <w:pStyle w:val="ListParagraph"/>
        <w:rPr>
          <w:rFonts w:eastAsia="Times New Roman" w:cstheme="minorHAnsi"/>
          <w:color w:val="000000"/>
          <w:bdr w:val="none" w:sz="0" w:space="0" w:color="auto" w:frame="1"/>
        </w:rPr>
      </w:pPr>
    </w:p>
    <w:p w14:paraId="04200B0D" w14:textId="77777777" w:rsidR="001442BD" w:rsidRDefault="007A63AD" w:rsidP="00160BAA">
      <w:pPr>
        <w:pStyle w:val="ListParagraph"/>
        <w:numPr>
          <w:ilvl w:val="0"/>
          <w:numId w:val="20"/>
        </w:numPr>
        <w:rPr>
          <w:rFonts w:eastAsia="Times New Roman" w:cstheme="minorHAnsi"/>
          <w:color w:val="000000"/>
          <w:bdr w:val="none" w:sz="0" w:space="0" w:color="auto" w:frame="1"/>
        </w:rPr>
      </w:pPr>
      <w:r w:rsidRPr="007A63AD">
        <w:rPr>
          <w:rFonts w:eastAsia="Times New Roman" w:cstheme="minorHAnsi"/>
          <w:color w:val="000000"/>
          <w:bdr w:val="none" w:sz="0" w:space="0" w:color="auto" w:frame="1"/>
        </w:rPr>
        <w:lastRenderedPageBreak/>
        <w:t xml:space="preserve">In 2023, </w:t>
      </w:r>
      <w:r w:rsidR="006C1F08">
        <w:rPr>
          <w:rFonts w:eastAsia="Times New Roman" w:cstheme="minorHAnsi"/>
          <w:color w:val="000000"/>
          <w:bdr w:val="none" w:sz="0" w:space="0" w:color="auto" w:frame="1"/>
        </w:rPr>
        <w:t>the number of patients seen at BOSS is</w:t>
      </w:r>
      <w:r w:rsidRPr="007A63AD">
        <w:rPr>
          <w:rFonts w:eastAsia="Times New Roman" w:cstheme="minorHAnsi"/>
          <w:color w:val="000000"/>
          <w:bdr w:val="none" w:sz="0" w:space="0" w:color="auto" w:frame="1"/>
        </w:rPr>
        <w:t xml:space="preserve"> 9% smaller than </w:t>
      </w:r>
      <w:r w:rsidR="006C1F08">
        <w:rPr>
          <w:rFonts w:eastAsia="Times New Roman" w:cstheme="minorHAnsi"/>
          <w:color w:val="000000"/>
          <w:bdr w:val="none" w:sz="0" w:space="0" w:color="auto" w:frame="1"/>
        </w:rPr>
        <w:t>the number that</w:t>
      </w:r>
      <w:r w:rsidRPr="007A63AD">
        <w:rPr>
          <w:rFonts w:eastAsia="Times New Roman" w:cstheme="minorHAnsi"/>
          <w:color w:val="000000"/>
          <w:bdr w:val="none" w:sz="0" w:space="0" w:color="auto" w:frame="1"/>
        </w:rPr>
        <w:t xml:space="preserve"> </w:t>
      </w:r>
      <w:r w:rsidR="00F97657">
        <w:rPr>
          <w:rFonts w:eastAsia="Times New Roman" w:cstheme="minorHAnsi"/>
          <w:color w:val="000000"/>
          <w:bdr w:val="none" w:sz="0" w:space="0" w:color="auto" w:frame="1"/>
        </w:rPr>
        <w:t xml:space="preserve">was </w:t>
      </w:r>
      <w:r w:rsidR="006C1F08">
        <w:rPr>
          <w:rFonts w:eastAsia="Times New Roman" w:cstheme="minorHAnsi"/>
          <w:color w:val="000000"/>
          <w:bdr w:val="none" w:sz="0" w:space="0" w:color="auto" w:frame="1"/>
        </w:rPr>
        <w:t xml:space="preserve">seen </w:t>
      </w:r>
      <w:r w:rsidR="00F97657">
        <w:rPr>
          <w:rFonts w:eastAsia="Times New Roman" w:cstheme="minorHAnsi"/>
          <w:color w:val="000000"/>
          <w:bdr w:val="none" w:sz="0" w:space="0" w:color="auto" w:frame="1"/>
        </w:rPr>
        <w:t>in</w:t>
      </w:r>
      <w:r w:rsidRPr="007A63AD">
        <w:rPr>
          <w:rFonts w:eastAsia="Times New Roman" w:cstheme="minorHAnsi"/>
          <w:color w:val="000000"/>
          <w:bdr w:val="none" w:sz="0" w:space="0" w:color="auto" w:frame="1"/>
        </w:rPr>
        <w:t xml:space="preserve"> 2019. Are there any other reasons Patient Panel volume has not returned to pre-pandemic levels, besides the</w:t>
      </w:r>
      <w:r w:rsidR="00AD388E">
        <w:rPr>
          <w:rFonts w:eastAsia="Times New Roman" w:cstheme="minorHAnsi"/>
          <w:color w:val="000000"/>
          <w:bdr w:val="none" w:sz="0" w:space="0" w:color="auto" w:frame="1"/>
        </w:rPr>
        <w:t xml:space="preserve"> impact of the</w:t>
      </w:r>
      <w:r w:rsidRPr="007A63AD">
        <w:rPr>
          <w:rFonts w:eastAsia="Times New Roman" w:cstheme="minorHAnsi"/>
          <w:color w:val="000000"/>
          <w:bdr w:val="none" w:sz="0" w:space="0" w:color="auto" w:frame="1"/>
        </w:rPr>
        <w:t xml:space="preserve"> COVID-19 pandemic, and the loss of a pain management specialist?</w:t>
      </w:r>
      <w:r w:rsidR="006E0523">
        <w:rPr>
          <w:rFonts w:eastAsia="Times New Roman" w:cstheme="minorHAnsi"/>
          <w:color w:val="000000"/>
          <w:bdr w:val="none" w:sz="0" w:space="0" w:color="auto" w:frame="1"/>
        </w:rPr>
        <w:t xml:space="preserve">  </w:t>
      </w:r>
    </w:p>
    <w:p w14:paraId="51ED4D98" w14:textId="77777777" w:rsidR="001442BD" w:rsidRDefault="001442BD" w:rsidP="001442BD">
      <w:pPr>
        <w:pStyle w:val="ListParagraph"/>
        <w:rPr>
          <w:rFonts w:eastAsia="Times New Roman" w:cstheme="minorHAnsi"/>
          <w:color w:val="000000"/>
          <w:bdr w:val="none" w:sz="0" w:space="0" w:color="auto" w:frame="1"/>
        </w:rPr>
      </w:pPr>
    </w:p>
    <w:p w14:paraId="0032F8BC" w14:textId="1538663C" w:rsidR="00CB518C" w:rsidRDefault="001442BD" w:rsidP="00BC1733">
      <w:pPr>
        <w:pStyle w:val="ListParagraph"/>
        <w:numPr>
          <w:ilvl w:val="1"/>
          <w:numId w:val="23"/>
        </w:numPr>
        <w:rPr>
          <w:rFonts w:eastAsia="Times New Roman" w:cstheme="minorHAnsi"/>
          <w:color w:val="000000"/>
          <w:bdr w:val="none" w:sz="0" w:space="0" w:color="auto" w:frame="1"/>
        </w:rPr>
      </w:pPr>
      <w:r w:rsidRPr="001442BD">
        <w:rPr>
          <w:rFonts w:eastAsia="Times New Roman" w:cstheme="minorHAnsi"/>
          <w:b/>
          <w:bCs/>
          <w:color w:val="000000"/>
          <w:bdr w:val="none" w:sz="0" w:space="0" w:color="auto" w:frame="1"/>
        </w:rPr>
        <w:t xml:space="preserve">Applicant Response:  </w:t>
      </w:r>
      <w:r>
        <w:rPr>
          <w:rFonts w:eastAsia="Times New Roman" w:cstheme="minorHAnsi"/>
          <w:color w:val="000000"/>
          <w:bdr w:val="none" w:sz="0" w:space="0" w:color="auto" w:frame="1"/>
        </w:rPr>
        <w:t xml:space="preserve">The </w:t>
      </w:r>
      <w:r w:rsidR="00A030AD">
        <w:rPr>
          <w:rFonts w:eastAsia="Times New Roman" w:cstheme="minorHAnsi"/>
          <w:color w:val="000000"/>
          <w:bdr w:val="none" w:sz="0" w:space="0" w:color="auto" w:frame="1"/>
        </w:rPr>
        <w:t xml:space="preserve">Applicant's </w:t>
      </w:r>
      <w:r>
        <w:rPr>
          <w:rFonts w:eastAsia="Times New Roman" w:cstheme="minorHAnsi"/>
          <w:color w:val="000000"/>
          <w:bdr w:val="none" w:sz="0" w:space="0" w:color="auto" w:frame="1"/>
        </w:rPr>
        <w:t>patient</w:t>
      </w:r>
      <w:r w:rsidR="00A5509A">
        <w:rPr>
          <w:rFonts w:eastAsia="Times New Roman" w:cstheme="minorHAnsi"/>
          <w:color w:val="000000"/>
          <w:bdr w:val="none" w:sz="0" w:space="0" w:color="auto" w:frame="1"/>
        </w:rPr>
        <w:t xml:space="preserve"> panel</w:t>
      </w:r>
      <w:r>
        <w:rPr>
          <w:rFonts w:eastAsia="Times New Roman" w:cstheme="minorHAnsi"/>
          <w:color w:val="000000"/>
          <w:bdr w:val="none" w:sz="0" w:space="0" w:color="auto" w:frame="1"/>
        </w:rPr>
        <w:t xml:space="preserve"> decreased </w:t>
      </w:r>
      <w:r w:rsidR="00A030AD">
        <w:rPr>
          <w:rFonts w:eastAsia="Times New Roman" w:cstheme="minorHAnsi"/>
          <w:color w:val="000000"/>
          <w:bdr w:val="none" w:sz="0" w:space="0" w:color="auto" w:frame="1"/>
        </w:rPr>
        <w:t xml:space="preserve">from 2019 to 2023 </w:t>
      </w:r>
      <w:r>
        <w:rPr>
          <w:rFonts w:eastAsia="Times New Roman" w:cstheme="minorHAnsi"/>
          <w:color w:val="000000"/>
          <w:bdr w:val="none" w:sz="0" w:space="0" w:color="auto" w:frame="1"/>
        </w:rPr>
        <w:t>for the same reaso</w:t>
      </w:r>
      <w:r w:rsidR="00A030AD">
        <w:rPr>
          <w:rFonts w:eastAsia="Times New Roman" w:cstheme="minorHAnsi"/>
          <w:color w:val="000000"/>
          <w:bdr w:val="none" w:sz="0" w:space="0" w:color="auto" w:frame="1"/>
        </w:rPr>
        <w:t>ns</w:t>
      </w:r>
      <w:r>
        <w:rPr>
          <w:rFonts w:eastAsia="Times New Roman" w:cstheme="minorHAnsi"/>
          <w:color w:val="000000"/>
          <w:bdr w:val="none" w:sz="0" w:space="0" w:color="auto" w:frame="1"/>
        </w:rPr>
        <w:t xml:space="preserve"> noted above </w:t>
      </w:r>
      <w:r w:rsidR="00A030AD">
        <w:rPr>
          <w:rFonts w:eastAsia="Times New Roman" w:cstheme="minorHAnsi"/>
          <w:color w:val="000000"/>
          <w:bdr w:val="none" w:sz="0" w:space="0" w:color="auto" w:frame="1"/>
        </w:rPr>
        <w:t xml:space="preserve">in response to question #2 </w:t>
      </w:r>
      <w:r>
        <w:rPr>
          <w:rFonts w:eastAsia="Times New Roman" w:cstheme="minorHAnsi"/>
          <w:color w:val="000000"/>
          <w:bdr w:val="none" w:sz="0" w:space="0" w:color="auto" w:frame="1"/>
        </w:rPr>
        <w:t>for the decrease in number of cases</w:t>
      </w:r>
      <w:r w:rsidR="00CE0BD5">
        <w:rPr>
          <w:rFonts w:eastAsia="Times New Roman" w:cstheme="minorHAnsi"/>
          <w:color w:val="000000"/>
          <w:bdr w:val="none" w:sz="0" w:space="0" w:color="auto" w:frame="1"/>
        </w:rPr>
        <w:t xml:space="preserve"> - </w:t>
      </w:r>
      <w:r w:rsidR="00AD60DE">
        <w:rPr>
          <w:rFonts w:eastAsia="Times New Roman" w:cstheme="minorHAnsi"/>
          <w:color w:val="000000"/>
          <w:bdr w:val="none" w:sz="0" w:space="0" w:color="auto" w:frame="1"/>
        </w:rPr>
        <w:t xml:space="preserve">limited number of ORs (3), high OR utilization, and </w:t>
      </w:r>
      <w:r w:rsidR="00CE0BD5">
        <w:rPr>
          <w:rFonts w:eastAsia="Times New Roman" w:cstheme="minorHAnsi"/>
          <w:color w:val="000000"/>
          <w:bdr w:val="none" w:sz="0" w:space="0" w:color="auto" w:frame="1"/>
        </w:rPr>
        <w:t>higher acuity cases requir</w:t>
      </w:r>
      <w:r w:rsidR="007367BC">
        <w:rPr>
          <w:rFonts w:eastAsia="Times New Roman" w:cstheme="minorHAnsi"/>
          <w:color w:val="000000"/>
          <w:bdr w:val="none" w:sz="0" w:space="0" w:color="auto" w:frame="1"/>
        </w:rPr>
        <w:t>ing</w:t>
      </w:r>
      <w:r w:rsidR="00CE0BD5">
        <w:rPr>
          <w:rFonts w:eastAsia="Times New Roman" w:cstheme="minorHAnsi"/>
          <w:color w:val="000000"/>
          <w:bdr w:val="none" w:sz="0" w:space="0" w:color="auto" w:frame="1"/>
        </w:rPr>
        <w:t xml:space="preserve"> longer OR time</w:t>
      </w:r>
      <w:r w:rsidR="003E4F71">
        <w:rPr>
          <w:rFonts w:eastAsia="Times New Roman" w:cstheme="minorHAnsi"/>
          <w:color w:val="000000"/>
          <w:bdr w:val="none" w:sz="0" w:space="0" w:color="auto" w:frame="1"/>
        </w:rPr>
        <w:t xml:space="preserve">. </w:t>
      </w:r>
    </w:p>
    <w:p w14:paraId="292597DC" w14:textId="6A3A8964" w:rsidR="001442BD" w:rsidRPr="00CB518C" w:rsidRDefault="0034747E" w:rsidP="00CB518C">
      <w:pPr>
        <w:ind w:left="1440"/>
        <w:rPr>
          <w:rFonts w:eastAsia="Times New Roman" w:cstheme="minorHAnsi"/>
          <w:color w:val="000000"/>
          <w:bdr w:val="none" w:sz="0" w:space="0" w:color="auto" w:frame="1"/>
        </w:rPr>
      </w:pPr>
      <w:r w:rsidRPr="00CB518C">
        <w:rPr>
          <w:rFonts w:eastAsia="Times New Roman" w:cstheme="minorHAnsi"/>
          <w:color w:val="000000"/>
          <w:bdr w:val="none" w:sz="0" w:space="0" w:color="auto" w:frame="1"/>
        </w:rPr>
        <w:t xml:space="preserve">With regards to the pandemic, </w:t>
      </w:r>
      <w:r w:rsidR="00A02FEF" w:rsidRPr="00CB518C">
        <w:rPr>
          <w:rFonts w:eastAsia="Times New Roman" w:cstheme="minorHAnsi"/>
          <w:color w:val="000000"/>
          <w:bdr w:val="none" w:sz="0" w:space="0" w:color="auto" w:frame="1"/>
        </w:rPr>
        <w:t>the Applicant continues to experience</w:t>
      </w:r>
      <w:r w:rsidRPr="00CB518C">
        <w:rPr>
          <w:rFonts w:eastAsia="Times New Roman" w:cstheme="minorHAnsi"/>
          <w:color w:val="000000"/>
          <w:bdr w:val="none" w:sz="0" w:space="0" w:color="auto" w:frame="1"/>
        </w:rPr>
        <w:t xml:space="preserve"> higher last-minute cancellation rate</w:t>
      </w:r>
      <w:r w:rsidR="00A02FEF" w:rsidRPr="00CB518C">
        <w:rPr>
          <w:rFonts w:eastAsia="Times New Roman" w:cstheme="minorHAnsi"/>
          <w:color w:val="000000"/>
          <w:bdr w:val="none" w:sz="0" w:space="0" w:color="auto" w:frame="1"/>
        </w:rPr>
        <w:t xml:space="preserve">s </w:t>
      </w:r>
      <w:r w:rsidRPr="00CB518C">
        <w:rPr>
          <w:rFonts w:eastAsia="Times New Roman" w:cstheme="minorHAnsi"/>
          <w:color w:val="000000"/>
          <w:bdr w:val="none" w:sz="0" w:space="0" w:color="auto" w:frame="1"/>
        </w:rPr>
        <w:t xml:space="preserve">due to COVID infection or other illness, </w:t>
      </w:r>
      <w:r w:rsidR="00A02FEF" w:rsidRPr="00CB518C">
        <w:rPr>
          <w:rFonts w:eastAsia="Times New Roman" w:cstheme="minorHAnsi"/>
          <w:color w:val="000000"/>
          <w:bdr w:val="none" w:sz="0" w:space="0" w:color="auto" w:frame="1"/>
        </w:rPr>
        <w:t xml:space="preserve">than prior to the pandemic.  </w:t>
      </w:r>
      <w:r w:rsidR="00103F24" w:rsidRPr="00CB518C">
        <w:rPr>
          <w:rFonts w:eastAsia="Times New Roman" w:cstheme="minorHAnsi"/>
          <w:color w:val="000000"/>
          <w:bdr w:val="none" w:sz="0" w:space="0" w:color="auto" w:frame="1"/>
        </w:rPr>
        <w:t xml:space="preserve">Last-minute cancellations negatively impact the Applicant's surgical case </w:t>
      </w:r>
      <w:r w:rsidR="005D0DB9" w:rsidRPr="00CB518C">
        <w:rPr>
          <w:rFonts w:eastAsia="Times New Roman" w:cstheme="minorHAnsi"/>
          <w:color w:val="000000"/>
          <w:bdr w:val="none" w:sz="0" w:space="0" w:color="auto" w:frame="1"/>
        </w:rPr>
        <w:t>volume because</w:t>
      </w:r>
      <w:r w:rsidR="00103F24" w:rsidRPr="00CB518C">
        <w:rPr>
          <w:rFonts w:eastAsia="Times New Roman" w:cstheme="minorHAnsi"/>
          <w:color w:val="000000"/>
          <w:bdr w:val="none" w:sz="0" w:space="0" w:color="auto" w:frame="1"/>
        </w:rPr>
        <w:t xml:space="preserve"> the </w:t>
      </w:r>
      <w:r w:rsidR="00A02FEF" w:rsidRPr="00CB518C">
        <w:rPr>
          <w:rFonts w:eastAsia="Times New Roman" w:cstheme="minorHAnsi"/>
          <w:color w:val="000000"/>
          <w:bdr w:val="none" w:sz="0" w:space="0" w:color="auto" w:frame="1"/>
        </w:rPr>
        <w:t xml:space="preserve">Applicant is unable to schedule </w:t>
      </w:r>
      <w:r w:rsidR="00103F24" w:rsidRPr="00CB518C">
        <w:rPr>
          <w:rFonts w:eastAsia="Times New Roman" w:cstheme="minorHAnsi"/>
          <w:color w:val="000000"/>
          <w:bdr w:val="none" w:sz="0" w:space="0" w:color="auto" w:frame="1"/>
        </w:rPr>
        <w:t xml:space="preserve">last-minute </w:t>
      </w:r>
      <w:r w:rsidR="00A02FEF" w:rsidRPr="00CB518C">
        <w:rPr>
          <w:rFonts w:eastAsia="Times New Roman" w:cstheme="minorHAnsi"/>
          <w:color w:val="000000"/>
          <w:bdr w:val="none" w:sz="0" w:space="0" w:color="auto" w:frame="1"/>
        </w:rPr>
        <w:t xml:space="preserve">OR cases </w:t>
      </w:r>
      <w:r w:rsidR="00103F24" w:rsidRPr="00CB518C">
        <w:rPr>
          <w:rFonts w:eastAsia="Times New Roman" w:cstheme="minorHAnsi"/>
          <w:color w:val="000000"/>
          <w:bdr w:val="none" w:sz="0" w:space="0" w:color="auto" w:frame="1"/>
        </w:rPr>
        <w:t xml:space="preserve">to replace the </w:t>
      </w:r>
      <w:r w:rsidR="00A02FEF" w:rsidRPr="00CB518C">
        <w:rPr>
          <w:rFonts w:eastAsia="Times New Roman" w:cstheme="minorHAnsi"/>
          <w:color w:val="000000"/>
          <w:bdr w:val="none" w:sz="0" w:space="0" w:color="auto" w:frame="1"/>
        </w:rPr>
        <w:t>last-minute cancellations</w:t>
      </w:r>
      <w:r w:rsidR="00103F24" w:rsidRPr="00CB518C">
        <w:rPr>
          <w:rFonts w:eastAsia="Times New Roman" w:cstheme="minorHAnsi"/>
          <w:color w:val="000000"/>
          <w:bdr w:val="none" w:sz="0" w:space="0" w:color="auto" w:frame="1"/>
        </w:rPr>
        <w:t xml:space="preserve">; however, these cancellations have less impact on lower case volume than the other reasons provided above </w:t>
      </w:r>
      <w:r w:rsidR="001F1681">
        <w:rPr>
          <w:rFonts w:eastAsia="Times New Roman" w:cstheme="minorHAnsi"/>
          <w:color w:val="000000"/>
          <w:bdr w:val="none" w:sz="0" w:space="0" w:color="auto" w:frame="1"/>
        </w:rPr>
        <w:t xml:space="preserve">and in </w:t>
      </w:r>
      <w:r w:rsidR="00103F24" w:rsidRPr="00CB518C">
        <w:rPr>
          <w:rFonts w:eastAsia="Times New Roman" w:cstheme="minorHAnsi"/>
          <w:color w:val="000000"/>
          <w:bdr w:val="none" w:sz="0" w:space="0" w:color="auto" w:frame="1"/>
        </w:rPr>
        <w:t>in #2.</w:t>
      </w:r>
    </w:p>
    <w:p w14:paraId="6230CFE9" w14:textId="77777777" w:rsidR="009E0B47" w:rsidRPr="009E0B47" w:rsidRDefault="009E0B47" w:rsidP="009E0B47">
      <w:pPr>
        <w:pStyle w:val="ListParagraph"/>
        <w:rPr>
          <w:rFonts w:eastAsia="Times New Roman" w:cstheme="minorHAnsi"/>
          <w:color w:val="000000"/>
          <w:bdr w:val="none" w:sz="0" w:space="0" w:color="auto" w:frame="1"/>
        </w:rPr>
      </w:pPr>
    </w:p>
    <w:p w14:paraId="2ECA73A1" w14:textId="77777777" w:rsidR="005D0DB9" w:rsidRDefault="00972032" w:rsidP="00AE5260">
      <w:pPr>
        <w:pStyle w:val="ListParagraph"/>
        <w:numPr>
          <w:ilvl w:val="0"/>
          <w:numId w:val="20"/>
        </w:numPr>
        <w:rPr>
          <w:rFonts w:eastAsia="Times New Roman" w:cstheme="minorHAnsi"/>
          <w:color w:val="000000"/>
          <w:bdr w:val="none" w:sz="0" w:space="0" w:color="auto" w:frame="1"/>
        </w:rPr>
      </w:pPr>
      <w:r>
        <w:rPr>
          <w:rFonts w:eastAsia="Times New Roman" w:cstheme="minorHAnsi"/>
          <w:color w:val="000000"/>
          <w:bdr w:val="none" w:sz="0" w:space="0" w:color="auto" w:frame="1"/>
        </w:rPr>
        <w:t>To better understand Patient Panel need for BOSS’ services, p</w:t>
      </w:r>
      <w:r w:rsidR="009E0B47">
        <w:rPr>
          <w:rFonts w:eastAsia="Times New Roman" w:cstheme="minorHAnsi"/>
          <w:color w:val="000000"/>
          <w:bdr w:val="none" w:sz="0" w:space="0" w:color="auto" w:frame="1"/>
        </w:rPr>
        <w:t xml:space="preserve">lease provide procedures by specialty for </w:t>
      </w:r>
      <w:r w:rsidR="00D81EC1">
        <w:rPr>
          <w:rFonts w:eastAsia="Times New Roman" w:cstheme="minorHAnsi"/>
          <w:color w:val="000000"/>
          <w:bdr w:val="none" w:sz="0" w:space="0" w:color="auto" w:frame="1"/>
        </w:rPr>
        <w:t xml:space="preserve">CY2019, CY2020, </w:t>
      </w:r>
      <w:r w:rsidR="00AE5260">
        <w:rPr>
          <w:rFonts w:eastAsia="Times New Roman" w:cstheme="minorHAnsi"/>
          <w:color w:val="000000"/>
          <w:bdr w:val="none" w:sz="0" w:space="0" w:color="auto" w:frame="1"/>
        </w:rPr>
        <w:t xml:space="preserve">CY2021 and CY2022. </w:t>
      </w:r>
      <w:r w:rsidR="006E0523">
        <w:rPr>
          <w:rFonts w:eastAsia="Times New Roman" w:cstheme="minorHAnsi"/>
          <w:color w:val="000000"/>
          <w:bdr w:val="none" w:sz="0" w:space="0" w:color="auto" w:frame="1"/>
        </w:rPr>
        <w:t xml:space="preserve">  </w:t>
      </w:r>
    </w:p>
    <w:p w14:paraId="71F8EDCB" w14:textId="77777777" w:rsidR="005D0DB9" w:rsidRDefault="005D0DB9" w:rsidP="005D0DB9">
      <w:pPr>
        <w:pStyle w:val="ListParagraph"/>
        <w:rPr>
          <w:rFonts w:eastAsia="Times New Roman" w:cstheme="minorHAnsi"/>
          <w:color w:val="000000"/>
          <w:bdr w:val="none" w:sz="0" w:space="0" w:color="auto" w:frame="1"/>
        </w:rPr>
      </w:pPr>
    </w:p>
    <w:p w14:paraId="2A42BD9F" w14:textId="38A56A07" w:rsidR="005D0DB9" w:rsidRPr="005D0DB9" w:rsidRDefault="005D0DB9" w:rsidP="005D0DB9">
      <w:pPr>
        <w:pStyle w:val="ListParagraph"/>
        <w:numPr>
          <w:ilvl w:val="1"/>
          <w:numId w:val="23"/>
        </w:numPr>
        <w:rPr>
          <w:rFonts w:eastAsia="Times New Roman" w:cstheme="minorHAnsi"/>
          <w:b/>
          <w:bCs/>
          <w:color w:val="000000"/>
          <w:bdr w:val="none" w:sz="0" w:space="0" w:color="auto" w:frame="1"/>
        </w:rPr>
      </w:pPr>
      <w:r w:rsidRPr="001442BD">
        <w:rPr>
          <w:rFonts w:eastAsia="Times New Roman" w:cstheme="minorHAnsi"/>
          <w:b/>
          <w:bCs/>
          <w:color w:val="000000"/>
          <w:bdr w:val="none" w:sz="0" w:space="0" w:color="auto" w:frame="1"/>
        </w:rPr>
        <w:t xml:space="preserve">Applicant Response:  </w:t>
      </w:r>
      <w:r>
        <w:rPr>
          <w:rFonts w:eastAsia="Times New Roman" w:cstheme="minorHAnsi"/>
          <w:color w:val="000000"/>
          <w:bdr w:val="none" w:sz="0" w:space="0" w:color="auto" w:frame="1"/>
        </w:rPr>
        <w:t>Please see table below for procedures by specialty for CY2019-CY2022</w:t>
      </w:r>
      <w:r w:rsidR="00174999">
        <w:rPr>
          <w:rFonts w:eastAsia="Times New Roman" w:cstheme="minorHAnsi"/>
          <w:color w:val="000000"/>
          <w:bdr w:val="none" w:sz="0" w:space="0" w:color="auto" w:frame="1"/>
        </w:rPr>
        <w:t xml:space="preserve"> as requested</w:t>
      </w:r>
      <w:r>
        <w:rPr>
          <w:rFonts w:eastAsia="Times New Roman" w:cstheme="minorHAnsi"/>
          <w:color w:val="000000"/>
          <w:bdr w:val="none" w:sz="0" w:space="0" w:color="auto" w:frame="1"/>
        </w:rPr>
        <w:t>.</w:t>
      </w:r>
    </w:p>
    <w:p w14:paraId="0FA77D96" w14:textId="77777777" w:rsidR="0023113D" w:rsidRPr="00AB76A9" w:rsidRDefault="0023113D" w:rsidP="0023113D">
      <w:pPr>
        <w:pStyle w:val="ListParagraph"/>
        <w:rPr>
          <w:rFonts w:eastAsia="Times New Roman" w:cstheme="minorHAnsi"/>
          <w:color w:val="000000"/>
          <w:sz w:val="21"/>
          <w:szCs w:val="21"/>
          <w:bdr w:val="none" w:sz="0" w:space="0" w:color="auto" w:frame="1"/>
        </w:rPr>
      </w:pPr>
    </w:p>
    <w:tbl>
      <w:tblPr>
        <w:tblStyle w:val="TableGrid1"/>
        <w:tblW w:w="9646" w:type="dxa"/>
        <w:tblLook w:val="04A0" w:firstRow="1" w:lastRow="0" w:firstColumn="1" w:lastColumn="0" w:noHBand="0" w:noVBand="1"/>
      </w:tblPr>
      <w:tblGrid>
        <w:gridCol w:w="1101"/>
        <w:gridCol w:w="1045"/>
        <w:gridCol w:w="664"/>
        <w:gridCol w:w="1045"/>
        <w:gridCol w:w="664"/>
        <w:gridCol w:w="1045"/>
        <w:gridCol w:w="664"/>
        <w:gridCol w:w="1045"/>
        <w:gridCol w:w="664"/>
        <w:gridCol w:w="1045"/>
        <w:gridCol w:w="664"/>
      </w:tblGrid>
      <w:tr w:rsidR="00AB76A9" w:rsidRPr="00AB76A9" w14:paraId="104D7091" w14:textId="77777777" w:rsidTr="008A689B">
        <w:trPr>
          <w:cantSplit/>
          <w:tblHeader/>
        </w:trPr>
        <w:tc>
          <w:tcPr>
            <w:tcW w:w="1101" w:type="dxa"/>
            <w:shd w:val="clear" w:color="auto" w:fill="DBE5F1"/>
          </w:tcPr>
          <w:p w14:paraId="3921583D" w14:textId="77777777" w:rsidR="0023113D" w:rsidRPr="00AB76A9" w:rsidRDefault="0023113D" w:rsidP="00EC29C3">
            <w:pPr>
              <w:rPr>
                <w:rFonts w:eastAsia="Calibri"/>
                <w:sz w:val="18"/>
                <w:szCs w:val="18"/>
              </w:rPr>
            </w:pPr>
          </w:p>
        </w:tc>
        <w:tc>
          <w:tcPr>
            <w:tcW w:w="1709" w:type="dxa"/>
            <w:gridSpan w:val="2"/>
            <w:shd w:val="clear" w:color="auto" w:fill="DBE5F1"/>
          </w:tcPr>
          <w:p w14:paraId="4F42E8BC" w14:textId="77777777" w:rsidR="0023113D" w:rsidRPr="00AB76A9" w:rsidRDefault="0023113D" w:rsidP="00EC29C3">
            <w:pPr>
              <w:jc w:val="center"/>
              <w:rPr>
                <w:rFonts w:eastAsia="Calibri"/>
                <w:b/>
                <w:bCs/>
                <w:sz w:val="18"/>
                <w:szCs w:val="18"/>
              </w:rPr>
            </w:pPr>
            <w:r w:rsidRPr="00AB76A9">
              <w:rPr>
                <w:rFonts w:eastAsia="Calibri"/>
                <w:b/>
                <w:bCs/>
                <w:sz w:val="18"/>
                <w:szCs w:val="18"/>
              </w:rPr>
              <w:t>2019</w:t>
            </w:r>
          </w:p>
        </w:tc>
        <w:tc>
          <w:tcPr>
            <w:tcW w:w="0" w:type="auto"/>
            <w:gridSpan w:val="2"/>
            <w:shd w:val="clear" w:color="auto" w:fill="DBE5F1"/>
          </w:tcPr>
          <w:p w14:paraId="54E76690" w14:textId="77777777" w:rsidR="0023113D" w:rsidRPr="00AB76A9" w:rsidRDefault="0023113D" w:rsidP="00EC29C3">
            <w:pPr>
              <w:jc w:val="center"/>
              <w:rPr>
                <w:rFonts w:eastAsia="Calibri"/>
                <w:b/>
                <w:bCs/>
                <w:sz w:val="18"/>
                <w:szCs w:val="18"/>
              </w:rPr>
            </w:pPr>
            <w:r w:rsidRPr="00AB76A9">
              <w:rPr>
                <w:rFonts w:eastAsia="Calibri"/>
                <w:b/>
                <w:bCs/>
                <w:sz w:val="18"/>
                <w:szCs w:val="18"/>
              </w:rPr>
              <w:t>2020</w:t>
            </w:r>
          </w:p>
        </w:tc>
        <w:tc>
          <w:tcPr>
            <w:tcW w:w="0" w:type="auto"/>
            <w:gridSpan w:val="2"/>
            <w:shd w:val="clear" w:color="auto" w:fill="DBE5F1"/>
          </w:tcPr>
          <w:p w14:paraId="4C567C3A" w14:textId="77777777" w:rsidR="0023113D" w:rsidRPr="00AB76A9" w:rsidRDefault="0023113D" w:rsidP="00EC29C3">
            <w:pPr>
              <w:jc w:val="center"/>
              <w:rPr>
                <w:rFonts w:eastAsia="Calibri"/>
                <w:b/>
                <w:bCs/>
                <w:sz w:val="18"/>
                <w:szCs w:val="18"/>
              </w:rPr>
            </w:pPr>
            <w:r w:rsidRPr="00AB76A9">
              <w:rPr>
                <w:rFonts w:eastAsia="Calibri"/>
                <w:b/>
                <w:bCs/>
                <w:sz w:val="18"/>
                <w:szCs w:val="18"/>
              </w:rPr>
              <w:t>2021</w:t>
            </w:r>
          </w:p>
        </w:tc>
        <w:tc>
          <w:tcPr>
            <w:tcW w:w="0" w:type="auto"/>
            <w:gridSpan w:val="2"/>
            <w:shd w:val="clear" w:color="auto" w:fill="DBE5F1"/>
          </w:tcPr>
          <w:p w14:paraId="2CE895B6" w14:textId="77777777" w:rsidR="0023113D" w:rsidRPr="00AB76A9" w:rsidRDefault="0023113D" w:rsidP="00EC29C3">
            <w:pPr>
              <w:jc w:val="center"/>
              <w:rPr>
                <w:rFonts w:eastAsia="Calibri"/>
                <w:b/>
                <w:bCs/>
                <w:sz w:val="18"/>
                <w:szCs w:val="18"/>
              </w:rPr>
            </w:pPr>
            <w:r w:rsidRPr="00AB76A9">
              <w:rPr>
                <w:rFonts w:eastAsia="Calibri"/>
                <w:b/>
                <w:bCs/>
                <w:sz w:val="18"/>
                <w:szCs w:val="18"/>
              </w:rPr>
              <w:t>2022</w:t>
            </w:r>
          </w:p>
        </w:tc>
        <w:tc>
          <w:tcPr>
            <w:tcW w:w="0" w:type="auto"/>
            <w:gridSpan w:val="2"/>
            <w:shd w:val="clear" w:color="auto" w:fill="DBE5F1"/>
          </w:tcPr>
          <w:p w14:paraId="71C43C62" w14:textId="77777777" w:rsidR="0023113D" w:rsidRPr="00AB76A9" w:rsidRDefault="0023113D" w:rsidP="00EC29C3">
            <w:pPr>
              <w:jc w:val="center"/>
              <w:rPr>
                <w:rFonts w:eastAsia="Calibri"/>
                <w:b/>
                <w:bCs/>
                <w:sz w:val="18"/>
                <w:szCs w:val="18"/>
              </w:rPr>
            </w:pPr>
            <w:r w:rsidRPr="00AB76A9">
              <w:rPr>
                <w:rFonts w:eastAsia="Calibri"/>
                <w:b/>
                <w:bCs/>
                <w:sz w:val="18"/>
                <w:szCs w:val="18"/>
              </w:rPr>
              <w:t>2023</w:t>
            </w:r>
          </w:p>
        </w:tc>
      </w:tr>
      <w:tr w:rsidR="00AB76A9" w:rsidRPr="00AB76A9" w14:paraId="4C2EEC6F" w14:textId="77777777" w:rsidTr="008A689B">
        <w:trPr>
          <w:cantSplit/>
          <w:tblHeader/>
        </w:trPr>
        <w:tc>
          <w:tcPr>
            <w:tcW w:w="1101" w:type="dxa"/>
            <w:shd w:val="clear" w:color="auto" w:fill="DBE5F1"/>
          </w:tcPr>
          <w:p w14:paraId="05E432FC" w14:textId="77777777" w:rsidR="0023113D" w:rsidRPr="00AB76A9" w:rsidRDefault="0023113D" w:rsidP="00EC29C3">
            <w:pPr>
              <w:rPr>
                <w:rFonts w:eastAsia="Calibri"/>
                <w:b/>
                <w:bCs/>
                <w:sz w:val="18"/>
                <w:szCs w:val="18"/>
              </w:rPr>
            </w:pPr>
            <w:r w:rsidRPr="00AB76A9">
              <w:rPr>
                <w:rFonts w:eastAsia="Calibri"/>
                <w:b/>
                <w:bCs/>
                <w:sz w:val="18"/>
                <w:szCs w:val="18"/>
              </w:rPr>
              <w:t>Specialty</w:t>
            </w:r>
          </w:p>
        </w:tc>
        <w:tc>
          <w:tcPr>
            <w:tcW w:w="1045" w:type="dxa"/>
            <w:shd w:val="clear" w:color="auto" w:fill="DBE5F1"/>
          </w:tcPr>
          <w:p w14:paraId="1E84ABE4" w14:textId="5E926CC3" w:rsidR="0023113D" w:rsidRPr="00AB76A9" w:rsidRDefault="0023113D" w:rsidP="00EC29C3">
            <w:pPr>
              <w:jc w:val="center"/>
              <w:rPr>
                <w:rFonts w:eastAsia="Calibri"/>
                <w:sz w:val="18"/>
                <w:szCs w:val="18"/>
              </w:rPr>
            </w:pPr>
            <w:r w:rsidRPr="00AB76A9">
              <w:rPr>
                <w:rFonts w:eastAsia="Calibri"/>
                <w:sz w:val="18"/>
                <w:szCs w:val="18"/>
              </w:rPr>
              <w:t xml:space="preserve"># </w:t>
            </w:r>
            <w:r w:rsidR="00A013D7" w:rsidRPr="00AB76A9">
              <w:rPr>
                <w:sz w:val="18"/>
                <w:szCs w:val="18"/>
              </w:rPr>
              <w:t>Procedures</w:t>
            </w:r>
          </w:p>
        </w:tc>
        <w:tc>
          <w:tcPr>
            <w:tcW w:w="0" w:type="auto"/>
            <w:shd w:val="clear" w:color="auto" w:fill="DBE5F1"/>
          </w:tcPr>
          <w:p w14:paraId="62C30219" w14:textId="77777777" w:rsidR="0023113D" w:rsidRPr="00AB76A9" w:rsidRDefault="0023113D" w:rsidP="00EC29C3">
            <w:pPr>
              <w:jc w:val="center"/>
              <w:rPr>
                <w:rFonts w:eastAsia="Calibri"/>
                <w:sz w:val="18"/>
                <w:szCs w:val="18"/>
              </w:rPr>
            </w:pPr>
            <w:r w:rsidRPr="00AB76A9">
              <w:rPr>
                <w:rFonts w:eastAsia="Calibri"/>
                <w:sz w:val="18"/>
                <w:szCs w:val="18"/>
              </w:rPr>
              <w:t>%</w:t>
            </w:r>
          </w:p>
        </w:tc>
        <w:tc>
          <w:tcPr>
            <w:tcW w:w="0" w:type="auto"/>
            <w:shd w:val="clear" w:color="auto" w:fill="DBE5F1"/>
          </w:tcPr>
          <w:p w14:paraId="6E3462BA" w14:textId="0D3EAAB4" w:rsidR="0023113D" w:rsidRPr="00AB76A9" w:rsidRDefault="0023113D" w:rsidP="00EC29C3">
            <w:pPr>
              <w:jc w:val="center"/>
              <w:rPr>
                <w:rFonts w:eastAsia="Calibri"/>
                <w:sz w:val="18"/>
                <w:szCs w:val="18"/>
              </w:rPr>
            </w:pPr>
            <w:r w:rsidRPr="00AB76A9">
              <w:rPr>
                <w:rFonts w:eastAsia="Calibri"/>
                <w:sz w:val="18"/>
                <w:szCs w:val="18"/>
              </w:rPr>
              <w:t xml:space="preserve"># </w:t>
            </w:r>
            <w:r w:rsidR="00A013D7" w:rsidRPr="00AB76A9">
              <w:rPr>
                <w:sz w:val="18"/>
                <w:szCs w:val="18"/>
              </w:rPr>
              <w:t>Procedures</w:t>
            </w:r>
          </w:p>
        </w:tc>
        <w:tc>
          <w:tcPr>
            <w:tcW w:w="0" w:type="auto"/>
            <w:shd w:val="clear" w:color="auto" w:fill="DBE5F1"/>
          </w:tcPr>
          <w:p w14:paraId="6ABC7E1E" w14:textId="77777777" w:rsidR="0023113D" w:rsidRPr="00AB76A9" w:rsidRDefault="0023113D" w:rsidP="00EC29C3">
            <w:pPr>
              <w:jc w:val="center"/>
              <w:rPr>
                <w:rFonts w:eastAsia="Calibri"/>
                <w:sz w:val="18"/>
                <w:szCs w:val="18"/>
              </w:rPr>
            </w:pPr>
            <w:r w:rsidRPr="00AB76A9">
              <w:rPr>
                <w:rFonts w:eastAsia="Calibri"/>
                <w:sz w:val="18"/>
                <w:szCs w:val="18"/>
              </w:rPr>
              <w:t>%</w:t>
            </w:r>
          </w:p>
        </w:tc>
        <w:tc>
          <w:tcPr>
            <w:tcW w:w="0" w:type="auto"/>
            <w:shd w:val="clear" w:color="auto" w:fill="DBE5F1"/>
          </w:tcPr>
          <w:p w14:paraId="5C3F2B2D" w14:textId="143E1804" w:rsidR="0023113D" w:rsidRPr="00AB76A9" w:rsidRDefault="0023113D" w:rsidP="00EC29C3">
            <w:pPr>
              <w:jc w:val="center"/>
              <w:rPr>
                <w:rFonts w:eastAsia="Calibri"/>
                <w:sz w:val="18"/>
                <w:szCs w:val="18"/>
              </w:rPr>
            </w:pPr>
            <w:r w:rsidRPr="00AB76A9">
              <w:rPr>
                <w:rFonts w:eastAsia="Calibri"/>
                <w:sz w:val="18"/>
                <w:szCs w:val="18"/>
              </w:rPr>
              <w:t xml:space="preserve"># </w:t>
            </w:r>
            <w:r w:rsidR="00A013D7" w:rsidRPr="00AB76A9">
              <w:rPr>
                <w:sz w:val="18"/>
                <w:szCs w:val="18"/>
              </w:rPr>
              <w:t>Procedures</w:t>
            </w:r>
          </w:p>
        </w:tc>
        <w:tc>
          <w:tcPr>
            <w:tcW w:w="0" w:type="auto"/>
            <w:shd w:val="clear" w:color="auto" w:fill="DBE5F1"/>
          </w:tcPr>
          <w:p w14:paraId="7E6834DC" w14:textId="77777777" w:rsidR="0023113D" w:rsidRPr="00AB76A9" w:rsidRDefault="0023113D" w:rsidP="00EC29C3">
            <w:pPr>
              <w:jc w:val="center"/>
              <w:rPr>
                <w:rFonts w:eastAsia="Calibri"/>
                <w:sz w:val="18"/>
                <w:szCs w:val="18"/>
              </w:rPr>
            </w:pPr>
            <w:r w:rsidRPr="00AB76A9">
              <w:rPr>
                <w:rFonts w:eastAsia="Calibri"/>
                <w:sz w:val="18"/>
                <w:szCs w:val="18"/>
              </w:rPr>
              <w:t>%</w:t>
            </w:r>
          </w:p>
        </w:tc>
        <w:tc>
          <w:tcPr>
            <w:tcW w:w="0" w:type="auto"/>
            <w:shd w:val="clear" w:color="auto" w:fill="DBE5F1"/>
          </w:tcPr>
          <w:p w14:paraId="7EC0E21D" w14:textId="6750E387" w:rsidR="0023113D" w:rsidRPr="00AB76A9" w:rsidRDefault="0023113D" w:rsidP="00EC29C3">
            <w:pPr>
              <w:jc w:val="center"/>
              <w:rPr>
                <w:rFonts w:eastAsia="Calibri"/>
                <w:sz w:val="18"/>
                <w:szCs w:val="18"/>
              </w:rPr>
            </w:pPr>
            <w:r w:rsidRPr="00AB76A9">
              <w:rPr>
                <w:rFonts w:eastAsia="Calibri"/>
                <w:sz w:val="18"/>
                <w:szCs w:val="18"/>
              </w:rPr>
              <w:t xml:space="preserve"># </w:t>
            </w:r>
            <w:r w:rsidR="00A013D7" w:rsidRPr="00AB76A9">
              <w:rPr>
                <w:sz w:val="18"/>
                <w:szCs w:val="18"/>
              </w:rPr>
              <w:t>Procedures</w:t>
            </w:r>
          </w:p>
        </w:tc>
        <w:tc>
          <w:tcPr>
            <w:tcW w:w="0" w:type="auto"/>
            <w:shd w:val="clear" w:color="auto" w:fill="DBE5F1"/>
          </w:tcPr>
          <w:p w14:paraId="48AF7F07" w14:textId="77777777" w:rsidR="0023113D" w:rsidRPr="00AB76A9" w:rsidRDefault="0023113D" w:rsidP="00EC29C3">
            <w:pPr>
              <w:jc w:val="center"/>
              <w:rPr>
                <w:rFonts w:eastAsia="Calibri"/>
                <w:sz w:val="18"/>
                <w:szCs w:val="18"/>
              </w:rPr>
            </w:pPr>
            <w:r w:rsidRPr="00AB76A9">
              <w:rPr>
                <w:rFonts w:eastAsia="Calibri"/>
                <w:sz w:val="18"/>
                <w:szCs w:val="18"/>
              </w:rPr>
              <w:t>%</w:t>
            </w:r>
          </w:p>
        </w:tc>
        <w:tc>
          <w:tcPr>
            <w:tcW w:w="0" w:type="auto"/>
            <w:shd w:val="clear" w:color="auto" w:fill="DBE5F1"/>
          </w:tcPr>
          <w:p w14:paraId="0FA8F933" w14:textId="2EA6A756" w:rsidR="0023113D" w:rsidRPr="00AB76A9" w:rsidRDefault="0023113D" w:rsidP="00EC29C3">
            <w:pPr>
              <w:jc w:val="center"/>
              <w:rPr>
                <w:rFonts w:eastAsia="Calibri"/>
                <w:sz w:val="18"/>
                <w:szCs w:val="18"/>
              </w:rPr>
            </w:pPr>
            <w:r w:rsidRPr="00AB76A9">
              <w:rPr>
                <w:sz w:val="18"/>
                <w:szCs w:val="18"/>
              </w:rPr>
              <w:t xml:space="preserve"># </w:t>
            </w:r>
            <w:r w:rsidR="00A013D7" w:rsidRPr="00AB76A9">
              <w:rPr>
                <w:sz w:val="18"/>
                <w:szCs w:val="18"/>
              </w:rPr>
              <w:t>Procedures</w:t>
            </w:r>
          </w:p>
        </w:tc>
        <w:tc>
          <w:tcPr>
            <w:tcW w:w="0" w:type="auto"/>
            <w:shd w:val="clear" w:color="auto" w:fill="DBE5F1"/>
          </w:tcPr>
          <w:p w14:paraId="606CE235" w14:textId="77777777" w:rsidR="0023113D" w:rsidRPr="00AB76A9" w:rsidRDefault="0023113D" w:rsidP="00EC29C3">
            <w:pPr>
              <w:jc w:val="center"/>
              <w:rPr>
                <w:rFonts w:eastAsia="Calibri"/>
                <w:sz w:val="18"/>
                <w:szCs w:val="18"/>
              </w:rPr>
            </w:pPr>
            <w:r w:rsidRPr="00AB76A9">
              <w:rPr>
                <w:sz w:val="18"/>
                <w:szCs w:val="18"/>
              </w:rPr>
              <w:t>%</w:t>
            </w:r>
          </w:p>
        </w:tc>
      </w:tr>
      <w:tr w:rsidR="00AB76A9" w:rsidRPr="00AB76A9" w14:paraId="3C3CDA87" w14:textId="77777777" w:rsidTr="008A689B">
        <w:trPr>
          <w:cantSplit/>
        </w:trPr>
        <w:tc>
          <w:tcPr>
            <w:tcW w:w="1101" w:type="dxa"/>
          </w:tcPr>
          <w:p w14:paraId="3F314EB8" w14:textId="77777777" w:rsidR="0023113D" w:rsidRPr="00AB76A9" w:rsidRDefault="0023113D" w:rsidP="00F77271">
            <w:pPr>
              <w:ind w:left="-24"/>
              <w:rPr>
                <w:rFonts w:eastAsia="Calibri"/>
                <w:sz w:val="18"/>
                <w:szCs w:val="18"/>
              </w:rPr>
            </w:pPr>
            <w:r w:rsidRPr="00AB76A9">
              <w:rPr>
                <w:rFonts w:eastAsia="Calibri"/>
                <w:sz w:val="18"/>
                <w:szCs w:val="18"/>
              </w:rPr>
              <w:t>Orthopedic Surgery</w:t>
            </w:r>
          </w:p>
        </w:tc>
        <w:tc>
          <w:tcPr>
            <w:tcW w:w="1045" w:type="dxa"/>
          </w:tcPr>
          <w:p w14:paraId="61A5AE00" w14:textId="7509DC4F" w:rsidR="0023113D" w:rsidRPr="00AB76A9" w:rsidRDefault="00A013D7" w:rsidP="00EC29C3">
            <w:pPr>
              <w:jc w:val="center"/>
              <w:rPr>
                <w:rFonts w:eastAsia="Calibri"/>
                <w:sz w:val="18"/>
                <w:szCs w:val="18"/>
              </w:rPr>
            </w:pPr>
            <w:r w:rsidRPr="00AB76A9">
              <w:rPr>
                <w:rFonts w:eastAsia="Calibri"/>
                <w:sz w:val="18"/>
                <w:szCs w:val="18"/>
              </w:rPr>
              <w:t>8,959</w:t>
            </w:r>
          </w:p>
        </w:tc>
        <w:tc>
          <w:tcPr>
            <w:tcW w:w="0" w:type="auto"/>
          </w:tcPr>
          <w:p w14:paraId="2C1128F1" w14:textId="203799DF" w:rsidR="0023113D" w:rsidRPr="00AB76A9" w:rsidRDefault="00A013D7" w:rsidP="00EC29C3">
            <w:pPr>
              <w:jc w:val="center"/>
              <w:rPr>
                <w:rFonts w:eastAsia="Calibri"/>
                <w:sz w:val="18"/>
                <w:szCs w:val="18"/>
              </w:rPr>
            </w:pPr>
            <w:r w:rsidRPr="00AB76A9">
              <w:rPr>
                <w:rFonts w:eastAsia="Calibri"/>
                <w:sz w:val="18"/>
                <w:szCs w:val="18"/>
              </w:rPr>
              <w:t>80.0%</w:t>
            </w:r>
          </w:p>
        </w:tc>
        <w:tc>
          <w:tcPr>
            <w:tcW w:w="0" w:type="auto"/>
          </w:tcPr>
          <w:p w14:paraId="295C7174" w14:textId="08C9CFC9" w:rsidR="0023113D" w:rsidRPr="00AB76A9" w:rsidRDefault="00C83C38" w:rsidP="00EC29C3">
            <w:pPr>
              <w:jc w:val="center"/>
              <w:rPr>
                <w:rFonts w:eastAsia="Calibri"/>
                <w:sz w:val="18"/>
                <w:szCs w:val="18"/>
              </w:rPr>
            </w:pPr>
            <w:r w:rsidRPr="00AB76A9">
              <w:rPr>
                <w:rFonts w:eastAsia="Calibri"/>
                <w:sz w:val="18"/>
                <w:szCs w:val="18"/>
              </w:rPr>
              <w:t>7,512</w:t>
            </w:r>
          </w:p>
        </w:tc>
        <w:tc>
          <w:tcPr>
            <w:tcW w:w="0" w:type="auto"/>
          </w:tcPr>
          <w:p w14:paraId="5A79490E" w14:textId="48B217B4" w:rsidR="0023113D" w:rsidRPr="00AB76A9" w:rsidRDefault="00C83C38" w:rsidP="00EC29C3">
            <w:pPr>
              <w:jc w:val="center"/>
              <w:rPr>
                <w:rFonts w:eastAsia="Calibri"/>
                <w:sz w:val="18"/>
                <w:szCs w:val="18"/>
              </w:rPr>
            </w:pPr>
            <w:r w:rsidRPr="00AB76A9">
              <w:rPr>
                <w:rFonts w:eastAsia="Calibri"/>
                <w:sz w:val="18"/>
                <w:szCs w:val="18"/>
              </w:rPr>
              <w:t>84.2%</w:t>
            </w:r>
          </w:p>
        </w:tc>
        <w:tc>
          <w:tcPr>
            <w:tcW w:w="0" w:type="auto"/>
          </w:tcPr>
          <w:p w14:paraId="79F476B9" w14:textId="29FBDBFE" w:rsidR="0023113D" w:rsidRPr="00AB76A9" w:rsidRDefault="00C83C38" w:rsidP="00EC29C3">
            <w:pPr>
              <w:jc w:val="center"/>
              <w:rPr>
                <w:rFonts w:eastAsia="Calibri"/>
                <w:sz w:val="18"/>
                <w:szCs w:val="18"/>
              </w:rPr>
            </w:pPr>
            <w:r w:rsidRPr="00AB76A9">
              <w:rPr>
                <w:rFonts w:eastAsia="Calibri"/>
                <w:sz w:val="18"/>
                <w:szCs w:val="18"/>
              </w:rPr>
              <w:t>7,909</w:t>
            </w:r>
          </w:p>
        </w:tc>
        <w:tc>
          <w:tcPr>
            <w:tcW w:w="0" w:type="auto"/>
          </w:tcPr>
          <w:p w14:paraId="327B92D7" w14:textId="411FEFC9" w:rsidR="0023113D" w:rsidRPr="00AB76A9" w:rsidRDefault="00590B9B" w:rsidP="00EC29C3">
            <w:pPr>
              <w:jc w:val="center"/>
              <w:rPr>
                <w:rFonts w:eastAsia="Calibri"/>
                <w:sz w:val="18"/>
                <w:szCs w:val="18"/>
              </w:rPr>
            </w:pPr>
            <w:r w:rsidRPr="00AB76A9">
              <w:rPr>
                <w:rFonts w:eastAsia="Calibri"/>
                <w:sz w:val="18"/>
                <w:szCs w:val="18"/>
              </w:rPr>
              <w:t>96.1%</w:t>
            </w:r>
          </w:p>
        </w:tc>
        <w:tc>
          <w:tcPr>
            <w:tcW w:w="0" w:type="auto"/>
          </w:tcPr>
          <w:p w14:paraId="49BD10DB" w14:textId="10BF8142" w:rsidR="0023113D" w:rsidRPr="00AB76A9" w:rsidRDefault="00C83C38" w:rsidP="00EC29C3">
            <w:pPr>
              <w:jc w:val="center"/>
              <w:rPr>
                <w:rFonts w:eastAsia="Calibri"/>
                <w:sz w:val="18"/>
                <w:szCs w:val="18"/>
              </w:rPr>
            </w:pPr>
            <w:r w:rsidRPr="00AB76A9">
              <w:rPr>
                <w:rFonts w:eastAsia="Calibri"/>
                <w:sz w:val="18"/>
                <w:szCs w:val="18"/>
              </w:rPr>
              <w:t>7,809</w:t>
            </w:r>
          </w:p>
        </w:tc>
        <w:tc>
          <w:tcPr>
            <w:tcW w:w="0" w:type="auto"/>
          </w:tcPr>
          <w:p w14:paraId="753C77B9" w14:textId="25C697E0" w:rsidR="0023113D" w:rsidRPr="00AB76A9" w:rsidRDefault="004B3017" w:rsidP="00EC29C3">
            <w:pPr>
              <w:jc w:val="center"/>
              <w:rPr>
                <w:rFonts w:eastAsia="Calibri"/>
                <w:sz w:val="18"/>
                <w:szCs w:val="18"/>
              </w:rPr>
            </w:pPr>
            <w:r w:rsidRPr="00AB76A9">
              <w:rPr>
                <w:rFonts w:eastAsia="Calibri"/>
                <w:sz w:val="18"/>
                <w:szCs w:val="18"/>
              </w:rPr>
              <w:t>97.6%</w:t>
            </w:r>
          </w:p>
        </w:tc>
        <w:tc>
          <w:tcPr>
            <w:tcW w:w="0" w:type="auto"/>
            <w:shd w:val="clear" w:color="auto" w:fill="auto"/>
          </w:tcPr>
          <w:p w14:paraId="2BC9F011" w14:textId="77777777" w:rsidR="0023113D" w:rsidRPr="00AB76A9" w:rsidRDefault="0023113D" w:rsidP="00EC29C3">
            <w:pPr>
              <w:jc w:val="center"/>
              <w:rPr>
                <w:rFonts w:eastAsia="Calibri"/>
                <w:sz w:val="18"/>
                <w:szCs w:val="18"/>
              </w:rPr>
            </w:pPr>
            <w:r w:rsidRPr="00AB76A9">
              <w:rPr>
                <w:sz w:val="18"/>
                <w:szCs w:val="18"/>
              </w:rPr>
              <w:t>7,466</w:t>
            </w:r>
          </w:p>
        </w:tc>
        <w:tc>
          <w:tcPr>
            <w:tcW w:w="0" w:type="auto"/>
            <w:shd w:val="clear" w:color="auto" w:fill="auto"/>
          </w:tcPr>
          <w:p w14:paraId="7D0B7964" w14:textId="77777777" w:rsidR="0023113D" w:rsidRPr="00AB76A9" w:rsidRDefault="0023113D" w:rsidP="00EC29C3">
            <w:pPr>
              <w:jc w:val="center"/>
              <w:rPr>
                <w:rFonts w:eastAsia="Calibri"/>
                <w:sz w:val="18"/>
                <w:szCs w:val="18"/>
              </w:rPr>
            </w:pPr>
            <w:r w:rsidRPr="00AB76A9">
              <w:rPr>
                <w:sz w:val="18"/>
                <w:szCs w:val="18"/>
              </w:rPr>
              <w:t>94.6%</w:t>
            </w:r>
          </w:p>
        </w:tc>
      </w:tr>
      <w:tr w:rsidR="00AB76A9" w:rsidRPr="00AB76A9" w14:paraId="351EF1B7" w14:textId="77777777" w:rsidTr="008A689B">
        <w:trPr>
          <w:cantSplit/>
        </w:trPr>
        <w:tc>
          <w:tcPr>
            <w:tcW w:w="1101" w:type="dxa"/>
          </w:tcPr>
          <w:p w14:paraId="059847C9" w14:textId="77777777" w:rsidR="0023113D" w:rsidRPr="00AB76A9" w:rsidRDefault="0023113D" w:rsidP="00F77271">
            <w:pPr>
              <w:ind w:left="-24"/>
              <w:rPr>
                <w:rFonts w:eastAsia="Calibri"/>
                <w:sz w:val="18"/>
                <w:szCs w:val="18"/>
              </w:rPr>
            </w:pPr>
            <w:r w:rsidRPr="00AB76A9">
              <w:rPr>
                <w:rFonts w:eastAsia="Calibri"/>
                <w:sz w:val="18"/>
                <w:szCs w:val="18"/>
              </w:rPr>
              <w:t>Podiatry</w:t>
            </w:r>
          </w:p>
        </w:tc>
        <w:tc>
          <w:tcPr>
            <w:tcW w:w="1045" w:type="dxa"/>
          </w:tcPr>
          <w:p w14:paraId="3E069C39" w14:textId="369546AB" w:rsidR="0023113D" w:rsidRPr="00AB76A9" w:rsidRDefault="00A013D7" w:rsidP="00EC29C3">
            <w:pPr>
              <w:jc w:val="center"/>
              <w:rPr>
                <w:rFonts w:eastAsia="Calibri"/>
                <w:sz w:val="18"/>
                <w:szCs w:val="18"/>
              </w:rPr>
            </w:pPr>
            <w:r w:rsidRPr="00AB76A9">
              <w:rPr>
                <w:rFonts w:eastAsia="Calibri"/>
                <w:sz w:val="18"/>
                <w:szCs w:val="18"/>
              </w:rPr>
              <w:t>156</w:t>
            </w:r>
          </w:p>
        </w:tc>
        <w:tc>
          <w:tcPr>
            <w:tcW w:w="0" w:type="auto"/>
          </w:tcPr>
          <w:p w14:paraId="1EA40502" w14:textId="0654F961" w:rsidR="0023113D" w:rsidRPr="00AB76A9" w:rsidRDefault="00A013D7" w:rsidP="00EC29C3">
            <w:pPr>
              <w:jc w:val="center"/>
              <w:rPr>
                <w:rFonts w:eastAsia="Calibri"/>
                <w:sz w:val="18"/>
                <w:szCs w:val="18"/>
              </w:rPr>
            </w:pPr>
            <w:r w:rsidRPr="00AB76A9">
              <w:rPr>
                <w:rFonts w:eastAsia="Calibri"/>
                <w:sz w:val="18"/>
                <w:szCs w:val="18"/>
              </w:rPr>
              <w:t>1.4%</w:t>
            </w:r>
          </w:p>
        </w:tc>
        <w:tc>
          <w:tcPr>
            <w:tcW w:w="0" w:type="auto"/>
          </w:tcPr>
          <w:p w14:paraId="1560F073" w14:textId="108DDC4E" w:rsidR="0023113D" w:rsidRPr="00AB76A9" w:rsidRDefault="00C83C38" w:rsidP="00EC29C3">
            <w:pPr>
              <w:jc w:val="center"/>
              <w:rPr>
                <w:rFonts w:eastAsia="Calibri"/>
                <w:sz w:val="18"/>
                <w:szCs w:val="18"/>
              </w:rPr>
            </w:pPr>
            <w:r w:rsidRPr="00AB76A9">
              <w:rPr>
                <w:rFonts w:eastAsia="Calibri"/>
                <w:sz w:val="18"/>
                <w:szCs w:val="18"/>
              </w:rPr>
              <w:t>116</w:t>
            </w:r>
          </w:p>
        </w:tc>
        <w:tc>
          <w:tcPr>
            <w:tcW w:w="0" w:type="auto"/>
          </w:tcPr>
          <w:p w14:paraId="42F533A2" w14:textId="60C19C59" w:rsidR="0023113D" w:rsidRPr="00AB76A9" w:rsidRDefault="001E680E" w:rsidP="00EC29C3">
            <w:pPr>
              <w:jc w:val="center"/>
              <w:rPr>
                <w:rFonts w:eastAsia="Calibri"/>
                <w:sz w:val="18"/>
                <w:szCs w:val="18"/>
              </w:rPr>
            </w:pPr>
            <w:r w:rsidRPr="00AB76A9">
              <w:rPr>
                <w:rFonts w:eastAsia="Calibri"/>
                <w:sz w:val="18"/>
                <w:szCs w:val="18"/>
              </w:rPr>
              <w:t>1.3%</w:t>
            </w:r>
          </w:p>
        </w:tc>
        <w:tc>
          <w:tcPr>
            <w:tcW w:w="0" w:type="auto"/>
          </w:tcPr>
          <w:p w14:paraId="53CAAF1C" w14:textId="72989870" w:rsidR="0023113D" w:rsidRPr="00AB76A9" w:rsidRDefault="00C83C38" w:rsidP="00EC29C3">
            <w:pPr>
              <w:jc w:val="center"/>
              <w:rPr>
                <w:rFonts w:eastAsia="Calibri"/>
                <w:sz w:val="18"/>
                <w:szCs w:val="18"/>
              </w:rPr>
            </w:pPr>
            <w:r w:rsidRPr="00AB76A9">
              <w:rPr>
                <w:rFonts w:eastAsia="Calibri"/>
                <w:sz w:val="18"/>
                <w:szCs w:val="18"/>
              </w:rPr>
              <w:t>78</w:t>
            </w:r>
          </w:p>
        </w:tc>
        <w:tc>
          <w:tcPr>
            <w:tcW w:w="0" w:type="auto"/>
          </w:tcPr>
          <w:p w14:paraId="21AC962C" w14:textId="3BF7200F" w:rsidR="0023113D" w:rsidRPr="00AB76A9" w:rsidRDefault="00590B9B" w:rsidP="00EC29C3">
            <w:pPr>
              <w:jc w:val="center"/>
              <w:rPr>
                <w:rFonts w:eastAsia="Calibri"/>
                <w:sz w:val="18"/>
                <w:szCs w:val="18"/>
              </w:rPr>
            </w:pPr>
            <w:r w:rsidRPr="00AB76A9">
              <w:rPr>
                <w:rFonts w:eastAsia="Calibri"/>
                <w:sz w:val="18"/>
                <w:szCs w:val="18"/>
              </w:rPr>
              <w:t>1.0%</w:t>
            </w:r>
          </w:p>
        </w:tc>
        <w:tc>
          <w:tcPr>
            <w:tcW w:w="0" w:type="auto"/>
          </w:tcPr>
          <w:p w14:paraId="7509D705" w14:textId="663FF00B" w:rsidR="0023113D" w:rsidRPr="00AB76A9" w:rsidRDefault="00C83C38" w:rsidP="00EC29C3">
            <w:pPr>
              <w:jc w:val="center"/>
              <w:rPr>
                <w:rFonts w:eastAsia="Calibri"/>
                <w:sz w:val="18"/>
                <w:szCs w:val="18"/>
              </w:rPr>
            </w:pPr>
            <w:r w:rsidRPr="00AB76A9">
              <w:rPr>
                <w:rFonts w:eastAsia="Calibri"/>
                <w:sz w:val="18"/>
                <w:szCs w:val="18"/>
              </w:rPr>
              <w:t>58</w:t>
            </w:r>
          </w:p>
        </w:tc>
        <w:tc>
          <w:tcPr>
            <w:tcW w:w="0" w:type="auto"/>
          </w:tcPr>
          <w:p w14:paraId="158ACE22" w14:textId="78A2E26E" w:rsidR="0023113D" w:rsidRPr="00AB76A9" w:rsidRDefault="004B3017" w:rsidP="00EC29C3">
            <w:pPr>
              <w:jc w:val="center"/>
              <w:rPr>
                <w:rFonts w:eastAsia="Calibri"/>
                <w:sz w:val="18"/>
                <w:szCs w:val="18"/>
              </w:rPr>
            </w:pPr>
            <w:r w:rsidRPr="00AB76A9">
              <w:rPr>
                <w:rFonts w:eastAsia="Calibri"/>
                <w:sz w:val="18"/>
                <w:szCs w:val="18"/>
              </w:rPr>
              <w:t>.7%</w:t>
            </w:r>
          </w:p>
        </w:tc>
        <w:tc>
          <w:tcPr>
            <w:tcW w:w="0" w:type="auto"/>
            <w:shd w:val="clear" w:color="auto" w:fill="auto"/>
          </w:tcPr>
          <w:p w14:paraId="0912B6D0" w14:textId="77777777" w:rsidR="0023113D" w:rsidRPr="00AB76A9" w:rsidRDefault="0023113D" w:rsidP="00EC29C3">
            <w:pPr>
              <w:jc w:val="center"/>
              <w:rPr>
                <w:rFonts w:eastAsia="Calibri"/>
                <w:sz w:val="18"/>
                <w:szCs w:val="18"/>
              </w:rPr>
            </w:pPr>
            <w:r w:rsidRPr="00AB76A9">
              <w:rPr>
                <w:sz w:val="18"/>
                <w:szCs w:val="18"/>
              </w:rPr>
              <w:t>63</w:t>
            </w:r>
          </w:p>
        </w:tc>
        <w:tc>
          <w:tcPr>
            <w:tcW w:w="0" w:type="auto"/>
            <w:shd w:val="clear" w:color="auto" w:fill="auto"/>
          </w:tcPr>
          <w:p w14:paraId="2DFBEF7A" w14:textId="77777777" w:rsidR="0023113D" w:rsidRPr="00AB76A9" w:rsidRDefault="0023113D" w:rsidP="00EC29C3">
            <w:pPr>
              <w:jc w:val="center"/>
              <w:rPr>
                <w:rFonts w:eastAsia="Calibri"/>
                <w:sz w:val="18"/>
                <w:szCs w:val="18"/>
              </w:rPr>
            </w:pPr>
            <w:r w:rsidRPr="00AB76A9">
              <w:rPr>
                <w:sz w:val="18"/>
                <w:szCs w:val="18"/>
              </w:rPr>
              <w:t>0.8%</w:t>
            </w:r>
          </w:p>
        </w:tc>
      </w:tr>
      <w:tr w:rsidR="00AB76A9" w:rsidRPr="00AB76A9" w14:paraId="300E2292" w14:textId="77777777" w:rsidTr="008A689B">
        <w:trPr>
          <w:cantSplit/>
        </w:trPr>
        <w:tc>
          <w:tcPr>
            <w:tcW w:w="1101" w:type="dxa"/>
          </w:tcPr>
          <w:p w14:paraId="7F2BBD83" w14:textId="77777777" w:rsidR="0023113D" w:rsidRPr="00AB76A9" w:rsidRDefault="0023113D" w:rsidP="00F77271">
            <w:pPr>
              <w:ind w:left="-24"/>
              <w:rPr>
                <w:rFonts w:eastAsia="Calibri"/>
                <w:sz w:val="18"/>
                <w:szCs w:val="18"/>
              </w:rPr>
            </w:pPr>
            <w:r w:rsidRPr="00AB76A9">
              <w:rPr>
                <w:rFonts w:eastAsia="Calibri"/>
                <w:sz w:val="18"/>
                <w:szCs w:val="18"/>
              </w:rPr>
              <w:t>General Surgery</w:t>
            </w:r>
          </w:p>
        </w:tc>
        <w:tc>
          <w:tcPr>
            <w:tcW w:w="1045" w:type="dxa"/>
          </w:tcPr>
          <w:p w14:paraId="4C124818" w14:textId="4E176F0E" w:rsidR="0023113D" w:rsidRPr="00AB76A9" w:rsidRDefault="00A013D7" w:rsidP="00EC29C3">
            <w:pPr>
              <w:jc w:val="center"/>
              <w:rPr>
                <w:rFonts w:eastAsia="Calibri"/>
                <w:sz w:val="18"/>
                <w:szCs w:val="18"/>
              </w:rPr>
            </w:pPr>
            <w:r w:rsidRPr="00AB76A9">
              <w:rPr>
                <w:rFonts w:eastAsia="Calibri"/>
                <w:sz w:val="18"/>
                <w:szCs w:val="18"/>
              </w:rPr>
              <w:t>84</w:t>
            </w:r>
          </w:p>
        </w:tc>
        <w:tc>
          <w:tcPr>
            <w:tcW w:w="0" w:type="auto"/>
          </w:tcPr>
          <w:p w14:paraId="7464A425" w14:textId="7EB53612" w:rsidR="0023113D" w:rsidRPr="00AB76A9" w:rsidRDefault="00A013D7" w:rsidP="00EC29C3">
            <w:pPr>
              <w:jc w:val="center"/>
              <w:rPr>
                <w:rFonts w:eastAsia="Calibri"/>
                <w:sz w:val="18"/>
                <w:szCs w:val="18"/>
              </w:rPr>
            </w:pPr>
            <w:r w:rsidRPr="00AB76A9">
              <w:rPr>
                <w:rFonts w:eastAsia="Calibri"/>
                <w:sz w:val="18"/>
                <w:szCs w:val="18"/>
              </w:rPr>
              <w:t>.8%</w:t>
            </w:r>
          </w:p>
        </w:tc>
        <w:tc>
          <w:tcPr>
            <w:tcW w:w="0" w:type="auto"/>
          </w:tcPr>
          <w:p w14:paraId="53FA2111" w14:textId="59E48453" w:rsidR="0023113D" w:rsidRPr="00AB76A9" w:rsidRDefault="00C83C38" w:rsidP="00EC29C3">
            <w:pPr>
              <w:jc w:val="center"/>
              <w:rPr>
                <w:rFonts w:eastAsia="Calibri"/>
                <w:sz w:val="18"/>
                <w:szCs w:val="18"/>
              </w:rPr>
            </w:pPr>
            <w:r w:rsidRPr="00AB76A9">
              <w:rPr>
                <w:rFonts w:eastAsia="Calibri"/>
                <w:sz w:val="18"/>
                <w:szCs w:val="18"/>
              </w:rPr>
              <w:t>143</w:t>
            </w:r>
          </w:p>
        </w:tc>
        <w:tc>
          <w:tcPr>
            <w:tcW w:w="0" w:type="auto"/>
          </w:tcPr>
          <w:p w14:paraId="3DD36C4E" w14:textId="2B7AD2E5" w:rsidR="0023113D" w:rsidRPr="00AB76A9" w:rsidRDefault="001E680E" w:rsidP="00EC29C3">
            <w:pPr>
              <w:jc w:val="center"/>
              <w:rPr>
                <w:rFonts w:eastAsia="Calibri"/>
                <w:sz w:val="18"/>
                <w:szCs w:val="18"/>
              </w:rPr>
            </w:pPr>
            <w:r w:rsidRPr="00AB76A9">
              <w:rPr>
                <w:rFonts w:eastAsia="Calibri"/>
                <w:sz w:val="18"/>
                <w:szCs w:val="18"/>
              </w:rPr>
              <w:t>1.6%</w:t>
            </w:r>
          </w:p>
        </w:tc>
        <w:tc>
          <w:tcPr>
            <w:tcW w:w="0" w:type="auto"/>
          </w:tcPr>
          <w:p w14:paraId="72EED216" w14:textId="331E320C" w:rsidR="0023113D" w:rsidRPr="00AB76A9" w:rsidRDefault="00C83C38" w:rsidP="00EC29C3">
            <w:pPr>
              <w:jc w:val="center"/>
              <w:rPr>
                <w:rFonts w:eastAsia="Calibri"/>
                <w:sz w:val="18"/>
                <w:szCs w:val="18"/>
              </w:rPr>
            </w:pPr>
            <w:r w:rsidRPr="00AB76A9">
              <w:rPr>
                <w:rFonts w:eastAsia="Calibri"/>
                <w:sz w:val="18"/>
                <w:szCs w:val="18"/>
              </w:rPr>
              <w:t>123</w:t>
            </w:r>
          </w:p>
        </w:tc>
        <w:tc>
          <w:tcPr>
            <w:tcW w:w="0" w:type="auto"/>
          </w:tcPr>
          <w:p w14:paraId="4EFE8975" w14:textId="23F6BA88" w:rsidR="0023113D" w:rsidRPr="00AB76A9" w:rsidRDefault="00590B9B" w:rsidP="00EC29C3">
            <w:pPr>
              <w:jc w:val="center"/>
              <w:rPr>
                <w:rFonts w:eastAsia="Calibri"/>
                <w:sz w:val="18"/>
                <w:szCs w:val="18"/>
              </w:rPr>
            </w:pPr>
            <w:r w:rsidRPr="00AB76A9">
              <w:rPr>
                <w:rFonts w:eastAsia="Calibri"/>
                <w:sz w:val="18"/>
                <w:szCs w:val="18"/>
              </w:rPr>
              <w:t>1.5%</w:t>
            </w:r>
          </w:p>
        </w:tc>
        <w:tc>
          <w:tcPr>
            <w:tcW w:w="0" w:type="auto"/>
          </w:tcPr>
          <w:p w14:paraId="15EC23E6" w14:textId="0090D9A2" w:rsidR="0023113D" w:rsidRPr="00AB76A9" w:rsidRDefault="00C83C38" w:rsidP="00EC29C3">
            <w:pPr>
              <w:jc w:val="center"/>
              <w:rPr>
                <w:rFonts w:eastAsia="Calibri"/>
                <w:sz w:val="18"/>
                <w:szCs w:val="18"/>
              </w:rPr>
            </w:pPr>
            <w:r w:rsidRPr="00AB76A9">
              <w:rPr>
                <w:rFonts w:eastAsia="Calibri"/>
                <w:sz w:val="18"/>
                <w:szCs w:val="18"/>
              </w:rPr>
              <w:t>136</w:t>
            </w:r>
          </w:p>
        </w:tc>
        <w:tc>
          <w:tcPr>
            <w:tcW w:w="0" w:type="auto"/>
          </w:tcPr>
          <w:p w14:paraId="1F29F298" w14:textId="0342F7EF" w:rsidR="0023113D" w:rsidRPr="00AB76A9" w:rsidRDefault="004B3017" w:rsidP="00EC29C3">
            <w:pPr>
              <w:jc w:val="center"/>
              <w:rPr>
                <w:rFonts w:eastAsia="Calibri"/>
                <w:sz w:val="18"/>
                <w:szCs w:val="18"/>
              </w:rPr>
            </w:pPr>
            <w:r w:rsidRPr="00AB76A9">
              <w:rPr>
                <w:rFonts w:eastAsia="Calibri"/>
                <w:sz w:val="18"/>
                <w:szCs w:val="18"/>
              </w:rPr>
              <w:t>1.7%</w:t>
            </w:r>
          </w:p>
        </w:tc>
        <w:tc>
          <w:tcPr>
            <w:tcW w:w="0" w:type="auto"/>
            <w:shd w:val="clear" w:color="auto" w:fill="auto"/>
          </w:tcPr>
          <w:p w14:paraId="274C6200" w14:textId="77777777" w:rsidR="0023113D" w:rsidRPr="00AB76A9" w:rsidRDefault="0023113D" w:rsidP="00EC29C3">
            <w:pPr>
              <w:jc w:val="center"/>
              <w:rPr>
                <w:rFonts w:eastAsia="Calibri"/>
                <w:sz w:val="18"/>
                <w:szCs w:val="18"/>
              </w:rPr>
            </w:pPr>
            <w:r w:rsidRPr="00AB76A9">
              <w:rPr>
                <w:sz w:val="18"/>
                <w:szCs w:val="18"/>
              </w:rPr>
              <w:t>217</w:t>
            </w:r>
          </w:p>
        </w:tc>
        <w:tc>
          <w:tcPr>
            <w:tcW w:w="0" w:type="auto"/>
            <w:shd w:val="clear" w:color="auto" w:fill="auto"/>
          </w:tcPr>
          <w:p w14:paraId="385856FE" w14:textId="77777777" w:rsidR="0023113D" w:rsidRPr="00AB76A9" w:rsidRDefault="0023113D" w:rsidP="00EC29C3">
            <w:pPr>
              <w:jc w:val="center"/>
              <w:rPr>
                <w:rFonts w:eastAsia="Calibri"/>
                <w:sz w:val="18"/>
                <w:szCs w:val="18"/>
              </w:rPr>
            </w:pPr>
            <w:r w:rsidRPr="00AB76A9">
              <w:rPr>
                <w:sz w:val="18"/>
                <w:szCs w:val="18"/>
              </w:rPr>
              <w:t>2.7%</w:t>
            </w:r>
          </w:p>
        </w:tc>
      </w:tr>
      <w:tr w:rsidR="00AB76A9" w:rsidRPr="00AB76A9" w14:paraId="5BCB0CCA" w14:textId="77777777" w:rsidTr="008A689B">
        <w:trPr>
          <w:cantSplit/>
        </w:trPr>
        <w:tc>
          <w:tcPr>
            <w:tcW w:w="1101" w:type="dxa"/>
          </w:tcPr>
          <w:p w14:paraId="2950FBC7" w14:textId="77777777" w:rsidR="0023113D" w:rsidRPr="00AB76A9" w:rsidRDefault="0023113D" w:rsidP="00F77271">
            <w:pPr>
              <w:ind w:left="-24"/>
              <w:rPr>
                <w:rFonts w:eastAsia="Calibri"/>
                <w:sz w:val="18"/>
                <w:szCs w:val="18"/>
              </w:rPr>
            </w:pPr>
            <w:r w:rsidRPr="00AB76A9">
              <w:rPr>
                <w:rFonts w:eastAsia="Calibri"/>
                <w:sz w:val="18"/>
                <w:szCs w:val="18"/>
              </w:rPr>
              <w:t>Pain</w:t>
            </w:r>
          </w:p>
        </w:tc>
        <w:tc>
          <w:tcPr>
            <w:tcW w:w="1045" w:type="dxa"/>
          </w:tcPr>
          <w:p w14:paraId="22D7D8BD" w14:textId="5F75F148" w:rsidR="0023113D" w:rsidRPr="00AB76A9" w:rsidRDefault="00A013D7" w:rsidP="00EC29C3">
            <w:pPr>
              <w:jc w:val="center"/>
              <w:rPr>
                <w:rFonts w:eastAsia="Calibri"/>
                <w:sz w:val="18"/>
                <w:szCs w:val="18"/>
              </w:rPr>
            </w:pPr>
            <w:r w:rsidRPr="00AB76A9">
              <w:rPr>
                <w:rFonts w:eastAsia="Calibri"/>
                <w:sz w:val="18"/>
                <w:szCs w:val="18"/>
              </w:rPr>
              <w:t>1,989</w:t>
            </w:r>
          </w:p>
        </w:tc>
        <w:tc>
          <w:tcPr>
            <w:tcW w:w="0" w:type="auto"/>
          </w:tcPr>
          <w:p w14:paraId="4DA27D29" w14:textId="4F885FA6" w:rsidR="0023113D" w:rsidRPr="00AB76A9" w:rsidRDefault="00A013D7" w:rsidP="00EC29C3">
            <w:pPr>
              <w:jc w:val="center"/>
              <w:rPr>
                <w:rFonts w:eastAsia="Calibri"/>
                <w:sz w:val="18"/>
                <w:szCs w:val="18"/>
              </w:rPr>
            </w:pPr>
            <w:r w:rsidRPr="00AB76A9">
              <w:rPr>
                <w:rFonts w:eastAsia="Calibri"/>
                <w:sz w:val="18"/>
                <w:szCs w:val="18"/>
              </w:rPr>
              <w:t>17.8%</w:t>
            </w:r>
          </w:p>
        </w:tc>
        <w:tc>
          <w:tcPr>
            <w:tcW w:w="0" w:type="auto"/>
          </w:tcPr>
          <w:p w14:paraId="6DA87811" w14:textId="7EF8E3F1" w:rsidR="0023113D" w:rsidRPr="00AB76A9" w:rsidRDefault="00C83C38" w:rsidP="00EC29C3">
            <w:pPr>
              <w:jc w:val="center"/>
              <w:rPr>
                <w:rFonts w:eastAsia="Calibri"/>
                <w:sz w:val="18"/>
                <w:szCs w:val="18"/>
              </w:rPr>
            </w:pPr>
            <w:r w:rsidRPr="00AB76A9">
              <w:rPr>
                <w:rFonts w:eastAsia="Calibri"/>
                <w:sz w:val="18"/>
                <w:szCs w:val="18"/>
              </w:rPr>
              <w:t>1,146</w:t>
            </w:r>
          </w:p>
        </w:tc>
        <w:tc>
          <w:tcPr>
            <w:tcW w:w="0" w:type="auto"/>
          </w:tcPr>
          <w:p w14:paraId="73130CC6" w14:textId="7F3E93A2" w:rsidR="0023113D" w:rsidRPr="00AB76A9" w:rsidRDefault="001E680E" w:rsidP="00EC29C3">
            <w:pPr>
              <w:jc w:val="center"/>
              <w:rPr>
                <w:rFonts w:eastAsia="Calibri"/>
                <w:sz w:val="18"/>
                <w:szCs w:val="18"/>
              </w:rPr>
            </w:pPr>
            <w:r w:rsidRPr="00AB76A9">
              <w:rPr>
                <w:rFonts w:eastAsia="Calibri"/>
                <w:sz w:val="18"/>
                <w:szCs w:val="18"/>
              </w:rPr>
              <w:t>12.9%</w:t>
            </w:r>
          </w:p>
        </w:tc>
        <w:tc>
          <w:tcPr>
            <w:tcW w:w="0" w:type="auto"/>
          </w:tcPr>
          <w:p w14:paraId="3CDDF7A6" w14:textId="1D430476" w:rsidR="0023113D" w:rsidRPr="00AB76A9" w:rsidRDefault="00C83C38" w:rsidP="00EC29C3">
            <w:pPr>
              <w:jc w:val="center"/>
              <w:rPr>
                <w:rFonts w:eastAsia="Calibri"/>
                <w:sz w:val="18"/>
                <w:szCs w:val="18"/>
              </w:rPr>
            </w:pPr>
            <w:r w:rsidRPr="00AB76A9">
              <w:rPr>
                <w:rFonts w:eastAsia="Calibri"/>
                <w:sz w:val="18"/>
                <w:szCs w:val="18"/>
              </w:rPr>
              <w:t>117</w:t>
            </w:r>
          </w:p>
        </w:tc>
        <w:tc>
          <w:tcPr>
            <w:tcW w:w="0" w:type="auto"/>
          </w:tcPr>
          <w:p w14:paraId="2A726E8D" w14:textId="3E8E4AD3" w:rsidR="0023113D" w:rsidRPr="00AB76A9" w:rsidRDefault="00590B9B" w:rsidP="00EC29C3">
            <w:pPr>
              <w:jc w:val="center"/>
              <w:rPr>
                <w:rFonts w:eastAsia="Calibri"/>
                <w:sz w:val="18"/>
                <w:szCs w:val="18"/>
              </w:rPr>
            </w:pPr>
            <w:r w:rsidRPr="00AB76A9">
              <w:rPr>
                <w:rFonts w:eastAsia="Calibri"/>
                <w:sz w:val="18"/>
                <w:szCs w:val="18"/>
              </w:rPr>
              <w:t>1.4%</w:t>
            </w:r>
          </w:p>
        </w:tc>
        <w:tc>
          <w:tcPr>
            <w:tcW w:w="0" w:type="auto"/>
          </w:tcPr>
          <w:p w14:paraId="0307E97F" w14:textId="5A9839EA" w:rsidR="0023113D" w:rsidRPr="00AB76A9" w:rsidRDefault="00C83C38" w:rsidP="00EC29C3">
            <w:pPr>
              <w:jc w:val="center"/>
              <w:rPr>
                <w:rFonts w:eastAsia="Calibri"/>
                <w:sz w:val="18"/>
                <w:szCs w:val="18"/>
              </w:rPr>
            </w:pPr>
            <w:r w:rsidRPr="00AB76A9">
              <w:rPr>
                <w:rFonts w:eastAsia="Calibri"/>
                <w:sz w:val="18"/>
                <w:szCs w:val="18"/>
              </w:rPr>
              <w:t>0</w:t>
            </w:r>
          </w:p>
        </w:tc>
        <w:tc>
          <w:tcPr>
            <w:tcW w:w="0" w:type="auto"/>
          </w:tcPr>
          <w:p w14:paraId="6195718B" w14:textId="6BA99E1B" w:rsidR="0023113D" w:rsidRPr="00AB76A9" w:rsidRDefault="00C83C38" w:rsidP="00EC29C3">
            <w:pPr>
              <w:jc w:val="center"/>
              <w:rPr>
                <w:rFonts w:eastAsia="Calibri"/>
                <w:sz w:val="18"/>
                <w:szCs w:val="18"/>
              </w:rPr>
            </w:pPr>
            <w:r w:rsidRPr="00AB76A9">
              <w:rPr>
                <w:rFonts w:eastAsia="Calibri"/>
                <w:sz w:val="18"/>
                <w:szCs w:val="18"/>
              </w:rPr>
              <w:t>0%</w:t>
            </w:r>
          </w:p>
        </w:tc>
        <w:tc>
          <w:tcPr>
            <w:tcW w:w="0" w:type="auto"/>
            <w:shd w:val="clear" w:color="auto" w:fill="auto"/>
          </w:tcPr>
          <w:p w14:paraId="3D31DB7B" w14:textId="77777777" w:rsidR="0023113D" w:rsidRPr="00AB76A9" w:rsidRDefault="0023113D" w:rsidP="00EC29C3">
            <w:pPr>
              <w:jc w:val="center"/>
              <w:rPr>
                <w:rFonts w:eastAsia="Calibri"/>
                <w:sz w:val="18"/>
                <w:szCs w:val="18"/>
              </w:rPr>
            </w:pPr>
            <w:r w:rsidRPr="00AB76A9">
              <w:rPr>
                <w:sz w:val="18"/>
                <w:szCs w:val="18"/>
              </w:rPr>
              <w:t>148</w:t>
            </w:r>
          </w:p>
        </w:tc>
        <w:tc>
          <w:tcPr>
            <w:tcW w:w="0" w:type="auto"/>
            <w:shd w:val="clear" w:color="auto" w:fill="auto"/>
          </w:tcPr>
          <w:p w14:paraId="3CBDE370" w14:textId="77777777" w:rsidR="0023113D" w:rsidRPr="00AB76A9" w:rsidRDefault="0023113D" w:rsidP="00EC29C3">
            <w:pPr>
              <w:jc w:val="center"/>
              <w:rPr>
                <w:rFonts w:eastAsia="Calibri"/>
                <w:sz w:val="18"/>
                <w:szCs w:val="18"/>
              </w:rPr>
            </w:pPr>
            <w:r w:rsidRPr="00AB76A9">
              <w:rPr>
                <w:sz w:val="18"/>
                <w:szCs w:val="18"/>
              </w:rPr>
              <w:t>1.9%</w:t>
            </w:r>
          </w:p>
        </w:tc>
      </w:tr>
      <w:tr w:rsidR="00AB76A9" w:rsidRPr="00AB76A9" w14:paraId="30D7850E" w14:textId="77777777" w:rsidTr="008A689B">
        <w:trPr>
          <w:cantSplit/>
        </w:trPr>
        <w:tc>
          <w:tcPr>
            <w:tcW w:w="1101" w:type="dxa"/>
          </w:tcPr>
          <w:p w14:paraId="17B677B4" w14:textId="7B0DBCE2" w:rsidR="0023113D" w:rsidRPr="00AB76A9" w:rsidRDefault="0023113D" w:rsidP="00EC29C3">
            <w:pPr>
              <w:rPr>
                <w:rFonts w:eastAsia="Calibri"/>
                <w:sz w:val="18"/>
                <w:szCs w:val="18"/>
              </w:rPr>
            </w:pPr>
            <w:r w:rsidRPr="00AB76A9">
              <w:rPr>
                <w:rFonts w:eastAsia="Calibri"/>
                <w:b/>
                <w:bCs/>
                <w:sz w:val="18"/>
                <w:szCs w:val="18"/>
              </w:rPr>
              <w:t>Procedures</w:t>
            </w:r>
          </w:p>
        </w:tc>
        <w:tc>
          <w:tcPr>
            <w:tcW w:w="1045" w:type="dxa"/>
          </w:tcPr>
          <w:p w14:paraId="4E1AF175" w14:textId="1B01D19E" w:rsidR="0023113D" w:rsidRPr="00272C7A" w:rsidRDefault="00A013D7" w:rsidP="00EC29C3">
            <w:pPr>
              <w:jc w:val="center"/>
              <w:rPr>
                <w:rFonts w:eastAsia="Calibri"/>
                <w:b/>
                <w:bCs/>
                <w:sz w:val="18"/>
                <w:szCs w:val="18"/>
              </w:rPr>
            </w:pPr>
            <w:r w:rsidRPr="00272C7A">
              <w:rPr>
                <w:rFonts w:eastAsia="Calibri"/>
                <w:b/>
                <w:bCs/>
                <w:sz w:val="18"/>
                <w:szCs w:val="18"/>
              </w:rPr>
              <w:t>11,188</w:t>
            </w:r>
          </w:p>
        </w:tc>
        <w:tc>
          <w:tcPr>
            <w:tcW w:w="0" w:type="auto"/>
          </w:tcPr>
          <w:p w14:paraId="7AADF0C3" w14:textId="0446C1DD" w:rsidR="0023113D" w:rsidRPr="00272C7A" w:rsidRDefault="00AB76A9" w:rsidP="00EC29C3">
            <w:pPr>
              <w:jc w:val="center"/>
              <w:rPr>
                <w:rFonts w:eastAsia="Calibri"/>
                <w:b/>
                <w:bCs/>
                <w:sz w:val="18"/>
                <w:szCs w:val="18"/>
              </w:rPr>
            </w:pPr>
            <w:r w:rsidRPr="00272C7A">
              <w:rPr>
                <w:rFonts w:eastAsia="Calibri"/>
                <w:b/>
                <w:bCs/>
                <w:sz w:val="18"/>
                <w:szCs w:val="18"/>
              </w:rPr>
              <w:t>100%</w:t>
            </w:r>
          </w:p>
        </w:tc>
        <w:tc>
          <w:tcPr>
            <w:tcW w:w="0" w:type="auto"/>
          </w:tcPr>
          <w:p w14:paraId="7DFA722E" w14:textId="26A8DCA7" w:rsidR="0023113D" w:rsidRPr="00272C7A" w:rsidRDefault="00C83C38" w:rsidP="00EC29C3">
            <w:pPr>
              <w:jc w:val="center"/>
              <w:rPr>
                <w:rFonts w:eastAsia="Calibri"/>
                <w:b/>
                <w:bCs/>
                <w:sz w:val="18"/>
                <w:szCs w:val="18"/>
              </w:rPr>
            </w:pPr>
            <w:r w:rsidRPr="00272C7A">
              <w:rPr>
                <w:rFonts w:eastAsia="Calibri"/>
                <w:b/>
                <w:bCs/>
                <w:sz w:val="18"/>
                <w:szCs w:val="18"/>
              </w:rPr>
              <w:t>8,917</w:t>
            </w:r>
          </w:p>
        </w:tc>
        <w:tc>
          <w:tcPr>
            <w:tcW w:w="0" w:type="auto"/>
          </w:tcPr>
          <w:p w14:paraId="0BFB4CF8" w14:textId="2C41EF14" w:rsidR="0023113D" w:rsidRPr="00272C7A" w:rsidRDefault="001E680E" w:rsidP="00EC29C3">
            <w:pPr>
              <w:jc w:val="center"/>
              <w:rPr>
                <w:rFonts w:eastAsia="Calibri"/>
                <w:b/>
                <w:bCs/>
                <w:sz w:val="18"/>
                <w:szCs w:val="18"/>
              </w:rPr>
            </w:pPr>
            <w:r w:rsidRPr="00272C7A">
              <w:rPr>
                <w:rFonts w:eastAsia="Calibri"/>
                <w:b/>
                <w:bCs/>
                <w:sz w:val="18"/>
                <w:szCs w:val="18"/>
              </w:rPr>
              <w:t>100%</w:t>
            </w:r>
          </w:p>
        </w:tc>
        <w:tc>
          <w:tcPr>
            <w:tcW w:w="0" w:type="auto"/>
          </w:tcPr>
          <w:p w14:paraId="42C47C1E" w14:textId="7C25345E" w:rsidR="0023113D" w:rsidRPr="00272C7A" w:rsidRDefault="00C83C38" w:rsidP="00EC29C3">
            <w:pPr>
              <w:jc w:val="center"/>
              <w:rPr>
                <w:rFonts w:eastAsia="Calibri"/>
                <w:b/>
                <w:bCs/>
                <w:sz w:val="18"/>
                <w:szCs w:val="18"/>
              </w:rPr>
            </w:pPr>
            <w:r w:rsidRPr="00272C7A">
              <w:rPr>
                <w:rFonts w:eastAsia="Calibri"/>
                <w:b/>
                <w:bCs/>
                <w:sz w:val="18"/>
                <w:szCs w:val="18"/>
              </w:rPr>
              <w:t>8,227</w:t>
            </w:r>
          </w:p>
        </w:tc>
        <w:tc>
          <w:tcPr>
            <w:tcW w:w="0" w:type="auto"/>
          </w:tcPr>
          <w:p w14:paraId="06DA6351" w14:textId="5F413C1D" w:rsidR="0023113D" w:rsidRPr="00272C7A" w:rsidRDefault="00AB76A9" w:rsidP="00EC29C3">
            <w:pPr>
              <w:jc w:val="center"/>
              <w:rPr>
                <w:rFonts w:eastAsia="Calibri"/>
                <w:b/>
                <w:bCs/>
                <w:sz w:val="18"/>
                <w:szCs w:val="18"/>
              </w:rPr>
            </w:pPr>
            <w:r w:rsidRPr="00272C7A">
              <w:rPr>
                <w:rFonts w:eastAsia="Calibri"/>
                <w:b/>
                <w:bCs/>
                <w:sz w:val="18"/>
                <w:szCs w:val="18"/>
              </w:rPr>
              <w:t>100%</w:t>
            </w:r>
          </w:p>
        </w:tc>
        <w:tc>
          <w:tcPr>
            <w:tcW w:w="0" w:type="auto"/>
          </w:tcPr>
          <w:p w14:paraId="0320DACB" w14:textId="159A46BB" w:rsidR="0023113D" w:rsidRPr="00272C7A" w:rsidRDefault="00C83C38" w:rsidP="00EC29C3">
            <w:pPr>
              <w:jc w:val="center"/>
              <w:rPr>
                <w:rFonts w:eastAsia="Calibri"/>
                <w:b/>
                <w:bCs/>
                <w:sz w:val="18"/>
                <w:szCs w:val="18"/>
              </w:rPr>
            </w:pPr>
            <w:r w:rsidRPr="00272C7A">
              <w:rPr>
                <w:rFonts w:eastAsia="Calibri"/>
                <w:b/>
                <w:bCs/>
                <w:sz w:val="18"/>
                <w:szCs w:val="18"/>
              </w:rPr>
              <w:t>8,003</w:t>
            </w:r>
          </w:p>
        </w:tc>
        <w:tc>
          <w:tcPr>
            <w:tcW w:w="0" w:type="auto"/>
          </w:tcPr>
          <w:p w14:paraId="1E765259" w14:textId="3738E44E" w:rsidR="0023113D" w:rsidRPr="00272C7A" w:rsidRDefault="00AB76A9" w:rsidP="00EC29C3">
            <w:pPr>
              <w:jc w:val="center"/>
              <w:rPr>
                <w:rFonts w:eastAsia="Calibri"/>
                <w:b/>
                <w:bCs/>
                <w:sz w:val="18"/>
                <w:szCs w:val="18"/>
              </w:rPr>
            </w:pPr>
            <w:r w:rsidRPr="00272C7A">
              <w:rPr>
                <w:rFonts w:eastAsia="Calibri"/>
                <w:b/>
                <w:bCs/>
                <w:sz w:val="18"/>
                <w:szCs w:val="18"/>
              </w:rPr>
              <w:t>100%</w:t>
            </w:r>
          </w:p>
        </w:tc>
        <w:tc>
          <w:tcPr>
            <w:tcW w:w="0" w:type="auto"/>
            <w:shd w:val="clear" w:color="auto" w:fill="auto"/>
          </w:tcPr>
          <w:p w14:paraId="3C41E771" w14:textId="77777777" w:rsidR="0023113D" w:rsidRPr="00272C7A" w:rsidRDefault="0023113D" w:rsidP="00EC29C3">
            <w:pPr>
              <w:jc w:val="center"/>
              <w:rPr>
                <w:rFonts w:eastAsia="Calibri"/>
                <w:b/>
                <w:bCs/>
                <w:sz w:val="18"/>
                <w:szCs w:val="18"/>
              </w:rPr>
            </w:pPr>
            <w:r w:rsidRPr="00272C7A">
              <w:rPr>
                <w:b/>
                <w:bCs/>
                <w:sz w:val="18"/>
                <w:szCs w:val="18"/>
              </w:rPr>
              <w:t>7,894</w:t>
            </w:r>
          </w:p>
        </w:tc>
        <w:tc>
          <w:tcPr>
            <w:tcW w:w="0" w:type="auto"/>
            <w:shd w:val="clear" w:color="auto" w:fill="auto"/>
          </w:tcPr>
          <w:p w14:paraId="4758B2FE" w14:textId="0CAA165B" w:rsidR="0023113D" w:rsidRPr="00272C7A" w:rsidRDefault="00AB76A9" w:rsidP="00EC29C3">
            <w:pPr>
              <w:jc w:val="center"/>
              <w:rPr>
                <w:rFonts w:eastAsia="Calibri"/>
                <w:b/>
                <w:bCs/>
                <w:sz w:val="18"/>
                <w:szCs w:val="18"/>
              </w:rPr>
            </w:pPr>
            <w:r w:rsidRPr="00272C7A">
              <w:rPr>
                <w:rFonts w:eastAsia="Calibri"/>
                <w:b/>
                <w:bCs/>
                <w:sz w:val="18"/>
                <w:szCs w:val="18"/>
              </w:rPr>
              <w:t>100%</w:t>
            </w:r>
          </w:p>
        </w:tc>
      </w:tr>
    </w:tbl>
    <w:p w14:paraId="44050542" w14:textId="77777777" w:rsidR="0023113D" w:rsidRPr="00AE5260" w:rsidRDefault="0023113D" w:rsidP="0023113D">
      <w:pPr>
        <w:pStyle w:val="ListParagraph"/>
        <w:rPr>
          <w:rFonts w:eastAsia="Times New Roman" w:cstheme="minorHAnsi"/>
          <w:color w:val="000000"/>
          <w:bdr w:val="none" w:sz="0" w:space="0" w:color="auto" w:frame="1"/>
        </w:rPr>
      </w:pPr>
    </w:p>
    <w:p w14:paraId="2F3151C0" w14:textId="11CE2F03" w:rsidR="00720E58" w:rsidRDefault="00720E58" w:rsidP="00720E58">
      <w:pPr>
        <w:rPr>
          <w:rFonts w:eastAsia="Times New Roman" w:cstheme="minorHAnsi"/>
          <w:b/>
          <w:bCs/>
          <w:color w:val="000000"/>
          <w:bdr w:val="none" w:sz="0" w:space="0" w:color="auto" w:frame="1"/>
        </w:rPr>
      </w:pPr>
      <w:r w:rsidRPr="00720E58">
        <w:rPr>
          <w:rFonts w:eastAsia="Times New Roman" w:cstheme="minorHAnsi"/>
          <w:b/>
          <w:bCs/>
          <w:color w:val="000000"/>
          <w:bdr w:val="none" w:sz="0" w:space="0" w:color="auto" w:frame="1"/>
        </w:rPr>
        <w:t>Factor 4:</w:t>
      </w:r>
      <w:r w:rsidR="00972032">
        <w:rPr>
          <w:rFonts w:eastAsia="Times New Roman" w:cstheme="minorHAnsi"/>
          <w:b/>
          <w:bCs/>
          <w:color w:val="000000"/>
          <w:bdr w:val="none" w:sz="0" w:space="0" w:color="auto" w:frame="1"/>
        </w:rPr>
        <w:t xml:space="preserve"> Financial Feasibility </w:t>
      </w:r>
    </w:p>
    <w:p w14:paraId="093685EB" w14:textId="42E16084" w:rsidR="00720E58" w:rsidRDefault="00972032" w:rsidP="00972032">
      <w:pPr>
        <w:pStyle w:val="ListParagraph"/>
        <w:numPr>
          <w:ilvl w:val="0"/>
          <w:numId w:val="20"/>
        </w:numPr>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The </w:t>
      </w:r>
      <w:r w:rsidR="00720E58">
        <w:rPr>
          <w:rFonts w:eastAsia="Times New Roman" w:cstheme="minorHAnsi"/>
          <w:color w:val="000000"/>
          <w:bdr w:val="none" w:sz="0" w:space="0" w:color="auto" w:frame="1"/>
        </w:rPr>
        <w:t>CPA report states</w:t>
      </w:r>
      <w:r w:rsidR="00196EAB">
        <w:rPr>
          <w:rFonts w:eastAsia="Times New Roman" w:cstheme="minorHAnsi"/>
          <w:color w:val="000000"/>
          <w:bdr w:val="none" w:sz="0" w:space="0" w:color="auto" w:frame="1"/>
        </w:rPr>
        <w:t>, “</w:t>
      </w:r>
      <w:r w:rsidR="00196EAB" w:rsidRPr="00196EAB">
        <w:rPr>
          <w:rFonts w:eastAsia="Times New Roman" w:cstheme="minorHAnsi"/>
          <w:color w:val="000000"/>
          <w:bdr w:val="none" w:sz="0" w:space="0" w:color="auto" w:frame="1"/>
        </w:rPr>
        <w:t>Based upon the anticipated increase in total number of cases and the number of Arthroplasty cases, the total cost of Supplies and Drugs is forecasted to be approximately $15.3M in Year 1 and grow to approximately $20M in Year 5 driven by the increase in number of cases and an estimated 2% increase in cost per case per annum. This is higher than industry averages of 26-28%, as the cases performed at the new facility require more expensive implants than the typical ASC.</w:t>
      </w:r>
      <w:r w:rsidR="00196EAB">
        <w:rPr>
          <w:rFonts w:eastAsia="Times New Roman" w:cstheme="minorHAnsi"/>
          <w:color w:val="000000"/>
          <w:bdr w:val="none" w:sz="0" w:space="0" w:color="auto" w:frame="1"/>
        </w:rPr>
        <w:t>” (pg. 6)</w:t>
      </w:r>
    </w:p>
    <w:p w14:paraId="6A01EBBD" w14:textId="77777777" w:rsidR="00A335F2" w:rsidRDefault="00196EAB" w:rsidP="006913EA">
      <w:pPr>
        <w:pStyle w:val="ListParagraph"/>
        <w:numPr>
          <w:ilvl w:val="1"/>
          <w:numId w:val="16"/>
        </w:numPr>
        <w:ind w:left="1080"/>
        <w:rPr>
          <w:rFonts w:eastAsia="Times New Roman" w:cstheme="minorHAnsi"/>
          <w:color w:val="000000"/>
          <w:bdr w:val="none" w:sz="0" w:space="0" w:color="auto" w:frame="1"/>
        </w:rPr>
      </w:pPr>
      <w:r>
        <w:rPr>
          <w:rFonts w:eastAsia="Times New Roman" w:cstheme="minorHAnsi"/>
          <w:color w:val="000000"/>
          <w:bdr w:val="none" w:sz="0" w:space="0" w:color="auto" w:frame="1"/>
        </w:rPr>
        <w:t>Wh</w:t>
      </w:r>
      <w:r w:rsidR="00B709DA">
        <w:rPr>
          <w:rFonts w:eastAsia="Times New Roman" w:cstheme="minorHAnsi"/>
          <w:color w:val="000000"/>
          <w:bdr w:val="none" w:sz="0" w:space="0" w:color="auto" w:frame="1"/>
        </w:rPr>
        <w:t>y</w:t>
      </w:r>
      <w:r>
        <w:rPr>
          <w:rFonts w:eastAsia="Times New Roman" w:cstheme="minorHAnsi"/>
          <w:color w:val="000000"/>
          <w:bdr w:val="none" w:sz="0" w:space="0" w:color="auto" w:frame="1"/>
        </w:rPr>
        <w:t xml:space="preserve"> </w:t>
      </w:r>
      <w:r w:rsidR="00DE0792">
        <w:rPr>
          <w:rFonts w:eastAsia="Times New Roman" w:cstheme="minorHAnsi"/>
          <w:color w:val="000000"/>
          <w:bdr w:val="none" w:sz="0" w:space="0" w:color="auto" w:frame="1"/>
        </w:rPr>
        <w:t>does the proposed facility require</w:t>
      </w:r>
      <w:r>
        <w:rPr>
          <w:rFonts w:eastAsia="Times New Roman" w:cstheme="minorHAnsi"/>
          <w:color w:val="000000"/>
          <w:bdr w:val="none" w:sz="0" w:space="0" w:color="auto" w:frame="1"/>
        </w:rPr>
        <w:t xml:space="preserve"> </w:t>
      </w:r>
      <w:r w:rsidR="009E6693">
        <w:rPr>
          <w:rFonts w:eastAsia="Times New Roman" w:cstheme="minorHAnsi"/>
          <w:color w:val="000000"/>
          <w:bdr w:val="none" w:sz="0" w:space="0" w:color="auto" w:frame="1"/>
        </w:rPr>
        <w:t>implants</w:t>
      </w:r>
      <w:r>
        <w:rPr>
          <w:rFonts w:eastAsia="Times New Roman" w:cstheme="minorHAnsi"/>
          <w:color w:val="000000"/>
          <w:bdr w:val="none" w:sz="0" w:space="0" w:color="auto" w:frame="1"/>
        </w:rPr>
        <w:t xml:space="preserve"> </w:t>
      </w:r>
      <w:r w:rsidR="00DE0792">
        <w:rPr>
          <w:rFonts w:eastAsia="Times New Roman" w:cstheme="minorHAnsi"/>
          <w:color w:val="000000"/>
          <w:bdr w:val="none" w:sz="0" w:space="0" w:color="auto" w:frame="1"/>
        </w:rPr>
        <w:t>that are</w:t>
      </w:r>
      <w:r>
        <w:rPr>
          <w:rFonts w:eastAsia="Times New Roman" w:cstheme="minorHAnsi"/>
          <w:color w:val="000000"/>
          <w:bdr w:val="none" w:sz="0" w:space="0" w:color="auto" w:frame="1"/>
        </w:rPr>
        <w:t xml:space="preserve"> </w:t>
      </w:r>
      <w:r w:rsidR="00DE0792">
        <w:rPr>
          <w:rFonts w:eastAsia="Times New Roman" w:cstheme="minorHAnsi"/>
          <w:color w:val="000000"/>
          <w:bdr w:val="none" w:sz="0" w:space="0" w:color="auto" w:frame="1"/>
        </w:rPr>
        <w:t>more expensive</w:t>
      </w:r>
      <w:r>
        <w:rPr>
          <w:rFonts w:eastAsia="Times New Roman" w:cstheme="minorHAnsi"/>
          <w:color w:val="000000"/>
          <w:bdr w:val="none" w:sz="0" w:space="0" w:color="auto" w:frame="1"/>
        </w:rPr>
        <w:t xml:space="preserve"> than implants at the typical ASC?</w:t>
      </w:r>
      <w:r w:rsidR="009F2E7A">
        <w:rPr>
          <w:rFonts w:eastAsia="Times New Roman" w:cstheme="minorHAnsi"/>
          <w:color w:val="000000"/>
          <w:bdr w:val="none" w:sz="0" w:space="0" w:color="auto" w:frame="1"/>
        </w:rPr>
        <w:t xml:space="preserve">  </w:t>
      </w:r>
    </w:p>
    <w:p w14:paraId="1485D22B" w14:textId="77777777" w:rsidR="00A335F2" w:rsidRDefault="00A335F2" w:rsidP="00A335F2">
      <w:pPr>
        <w:pStyle w:val="ListParagraph"/>
        <w:rPr>
          <w:rFonts w:eastAsia="Times New Roman" w:cstheme="minorHAnsi"/>
          <w:color w:val="000000"/>
          <w:bdr w:val="none" w:sz="0" w:space="0" w:color="auto" w:frame="1"/>
        </w:rPr>
      </w:pPr>
    </w:p>
    <w:p w14:paraId="7F62DDA5" w14:textId="36CB25B3" w:rsidR="00A335F2" w:rsidRPr="005D0DB9" w:rsidRDefault="00A335F2" w:rsidP="00A335F2">
      <w:pPr>
        <w:pStyle w:val="ListParagraph"/>
        <w:numPr>
          <w:ilvl w:val="1"/>
          <w:numId w:val="25"/>
        </w:numPr>
        <w:rPr>
          <w:rFonts w:eastAsia="Times New Roman" w:cstheme="minorHAnsi"/>
          <w:b/>
          <w:bCs/>
          <w:color w:val="000000"/>
          <w:bdr w:val="none" w:sz="0" w:space="0" w:color="auto" w:frame="1"/>
        </w:rPr>
      </w:pPr>
      <w:r w:rsidRPr="001442BD">
        <w:rPr>
          <w:rFonts w:eastAsia="Times New Roman" w:cstheme="minorHAnsi"/>
          <w:b/>
          <w:bCs/>
          <w:color w:val="000000"/>
          <w:bdr w:val="none" w:sz="0" w:space="0" w:color="auto" w:frame="1"/>
        </w:rPr>
        <w:lastRenderedPageBreak/>
        <w:t xml:space="preserve">Applicant Response:  </w:t>
      </w:r>
      <w:r w:rsidR="00037C76">
        <w:rPr>
          <w:rFonts w:eastAsia="Times New Roman" w:cstheme="minorHAnsi"/>
          <w:color w:val="000000"/>
          <w:bdr w:val="none" w:sz="0" w:space="0" w:color="auto" w:frame="1"/>
        </w:rPr>
        <w:t xml:space="preserve">The market is shifting to higher acuity orthopedic cases being performed in ASC settings including arthroplasty and spine procedures that were traditionally performed in hospital </w:t>
      </w:r>
      <w:r w:rsidR="006F582C">
        <w:rPr>
          <w:rFonts w:eastAsia="Times New Roman" w:cstheme="minorHAnsi"/>
          <w:color w:val="000000"/>
          <w:bdr w:val="none" w:sz="0" w:space="0" w:color="auto" w:frame="1"/>
        </w:rPr>
        <w:t>operating rooms</w:t>
      </w:r>
      <w:r w:rsidR="00037C76">
        <w:rPr>
          <w:rFonts w:eastAsia="Times New Roman" w:cstheme="minorHAnsi"/>
          <w:color w:val="000000"/>
          <w:bdr w:val="none" w:sz="0" w:space="0" w:color="auto" w:frame="1"/>
        </w:rPr>
        <w:t>.  With this shift comes more expensive implants than were used in previous "traditional" ASC cases</w:t>
      </w:r>
      <w:r w:rsidR="000F0D6D">
        <w:rPr>
          <w:rFonts w:eastAsia="Times New Roman" w:cstheme="minorHAnsi"/>
          <w:color w:val="000000"/>
          <w:bdr w:val="none" w:sz="0" w:space="0" w:color="auto" w:frame="1"/>
        </w:rPr>
        <w:t>.</w:t>
      </w:r>
      <w:r w:rsidR="008229C4">
        <w:rPr>
          <w:rFonts w:eastAsia="Times New Roman" w:cstheme="minorHAnsi"/>
          <w:color w:val="000000"/>
          <w:bdr w:val="none" w:sz="0" w:space="0" w:color="auto" w:frame="1"/>
        </w:rPr>
        <w:t xml:space="preserve">  On average, these implants are 10 times the cost of implants that had been utilized in </w:t>
      </w:r>
      <w:r w:rsidR="00A61358">
        <w:rPr>
          <w:rFonts w:eastAsia="Times New Roman" w:cstheme="minorHAnsi"/>
          <w:color w:val="000000"/>
          <w:bdr w:val="none" w:sz="0" w:space="0" w:color="auto" w:frame="1"/>
        </w:rPr>
        <w:t>lower</w:t>
      </w:r>
      <w:r w:rsidR="008229C4">
        <w:rPr>
          <w:rFonts w:eastAsia="Times New Roman" w:cstheme="minorHAnsi"/>
          <w:color w:val="000000"/>
          <w:bdr w:val="none" w:sz="0" w:space="0" w:color="auto" w:frame="1"/>
        </w:rPr>
        <w:t xml:space="preserve"> </w:t>
      </w:r>
      <w:r w:rsidR="00A61358">
        <w:rPr>
          <w:rFonts w:eastAsia="Times New Roman" w:cstheme="minorHAnsi"/>
          <w:color w:val="000000"/>
          <w:bdr w:val="none" w:sz="0" w:space="0" w:color="auto" w:frame="1"/>
        </w:rPr>
        <w:t>acuity</w:t>
      </w:r>
      <w:r w:rsidR="008229C4">
        <w:rPr>
          <w:rFonts w:eastAsia="Times New Roman" w:cstheme="minorHAnsi"/>
          <w:color w:val="000000"/>
          <w:bdr w:val="none" w:sz="0" w:space="0" w:color="auto" w:frame="1"/>
        </w:rPr>
        <w:t xml:space="preserve"> ASC orthopedic cases.  For example, if a traditional orthopedic anchor utilized in a rotator cuff </w:t>
      </w:r>
      <w:r w:rsidR="005F1F52">
        <w:rPr>
          <w:rFonts w:eastAsia="Times New Roman" w:cstheme="minorHAnsi"/>
          <w:color w:val="000000"/>
          <w:bdr w:val="none" w:sz="0" w:space="0" w:color="auto" w:frame="1"/>
        </w:rPr>
        <w:t>costs about $350, an orthopedic implant for a total knee arthroplasty would cost about $3,500.</w:t>
      </w:r>
      <w:r w:rsidR="00063ABA">
        <w:rPr>
          <w:rFonts w:eastAsia="Times New Roman" w:cstheme="minorHAnsi"/>
          <w:color w:val="000000"/>
          <w:bdr w:val="none" w:sz="0" w:space="0" w:color="auto" w:frame="1"/>
        </w:rPr>
        <w:t xml:space="preserve">  This is a simple generalization to provide a reference point.  Implants used in the ASC are</w:t>
      </w:r>
      <w:r w:rsidR="000F0D6D">
        <w:rPr>
          <w:rFonts w:eastAsia="Times New Roman" w:cstheme="minorHAnsi"/>
          <w:color w:val="000000"/>
          <w:bdr w:val="none" w:sz="0" w:space="0" w:color="auto" w:frame="1"/>
        </w:rPr>
        <w:t xml:space="preserve"> typically</w:t>
      </w:r>
      <w:r w:rsidR="00063ABA">
        <w:rPr>
          <w:rFonts w:eastAsia="Times New Roman" w:cstheme="minorHAnsi"/>
          <w:color w:val="000000"/>
          <w:bdr w:val="none" w:sz="0" w:space="0" w:color="auto" w:frame="1"/>
        </w:rPr>
        <w:t xml:space="preserve"> not more expensive than implants used in a hospital setting</w:t>
      </w:r>
      <w:r w:rsidR="000F0D6D">
        <w:rPr>
          <w:rFonts w:eastAsia="Times New Roman" w:cstheme="minorHAnsi"/>
          <w:color w:val="000000"/>
          <w:bdr w:val="none" w:sz="0" w:space="0" w:color="auto" w:frame="1"/>
        </w:rPr>
        <w:t>.</w:t>
      </w:r>
      <w:r w:rsidR="00C930A9">
        <w:rPr>
          <w:rFonts w:eastAsia="Times New Roman" w:cstheme="minorHAnsi"/>
          <w:color w:val="000000"/>
          <w:bdr w:val="none" w:sz="0" w:space="0" w:color="auto" w:frame="1"/>
        </w:rPr>
        <w:t xml:space="preserve"> </w:t>
      </w:r>
      <w:r w:rsidR="004D3056">
        <w:rPr>
          <w:rFonts w:eastAsia="Times New Roman" w:cstheme="minorHAnsi"/>
          <w:color w:val="000000"/>
          <w:bdr w:val="none" w:sz="0" w:space="0" w:color="auto" w:frame="1"/>
        </w:rPr>
        <w:t xml:space="preserve">Cost control is an integral part of ASC operations.  </w:t>
      </w:r>
      <w:r w:rsidR="00820ADB">
        <w:rPr>
          <w:rFonts w:eastAsia="Times New Roman" w:cstheme="minorHAnsi"/>
          <w:color w:val="000000"/>
          <w:bdr w:val="none" w:sz="0" w:space="0" w:color="auto" w:frame="1"/>
        </w:rPr>
        <w:t xml:space="preserve">As an independent ASC, the Applicant typically receives </w:t>
      </w:r>
      <w:r w:rsidR="00057B35">
        <w:rPr>
          <w:rFonts w:eastAsia="Times New Roman" w:cstheme="minorHAnsi"/>
          <w:color w:val="000000"/>
          <w:bdr w:val="none" w:sz="0" w:space="0" w:color="auto" w:frame="1"/>
        </w:rPr>
        <w:t>50-60</w:t>
      </w:r>
      <w:r w:rsidR="00820ADB">
        <w:rPr>
          <w:rFonts w:eastAsia="Times New Roman" w:cstheme="minorHAnsi"/>
          <w:color w:val="000000"/>
          <w:bdr w:val="none" w:sz="0" w:space="0" w:color="auto" w:frame="1"/>
        </w:rPr>
        <w:t xml:space="preserve">% reimbursement when compared to HOPD reimbursement for the same procedure and surgeon, simply based on site of care.  ASCs </w:t>
      </w:r>
      <w:r w:rsidR="00C014D0">
        <w:rPr>
          <w:rFonts w:eastAsia="Times New Roman" w:cstheme="minorHAnsi"/>
          <w:color w:val="000000"/>
          <w:bdr w:val="none" w:sz="0" w:space="0" w:color="auto" w:frame="1"/>
        </w:rPr>
        <w:t xml:space="preserve">require diligent expense management </w:t>
      </w:r>
      <w:r w:rsidR="00820ADB">
        <w:rPr>
          <w:rFonts w:eastAsia="Times New Roman" w:cstheme="minorHAnsi"/>
          <w:color w:val="000000"/>
          <w:bdr w:val="none" w:sz="0" w:space="0" w:color="auto" w:frame="1"/>
        </w:rPr>
        <w:t>to maintain their margins and viability</w:t>
      </w:r>
      <w:r w:rsidR="00962082">
        <w:rPr>
          <w:rFonts w:eastAsia="Times New Roman" w:cstheme="minorHAnsi"/>
          <w:color w:val="000000"/>
          <w:bdr w:val="none" w:sz="0" w:space="0" w:color="auto" w:frame="1"/>
        </w:rPr>
        <w:t xml:space="preserve">; therefore the Applicant would not purposefully pay </w:t>
      </w:r>
      <w:r w:rsidR="00ED1DDF">
        <w:rPr>
          <w:rFonts w:eastAsia="Times New Roman" w:cstheme="minorHAnsi"/>
          <w:color w:val="000000"/>
          <w:bdr w:val="none" w:sz="0" w:space="0" w:color="auto" w:frame="1"/>
        </w:rPr>
        <w:t xml:space="preserve">more than </w:t>
      </w:r>
      <w:r w:rsidR="00D24E62">
        <w:rPr>
          <w:rFonts w:eastAsia="Times New Roman" w:cstheme="minorHAnsi"/>
          <w:color w:val="000000"/>
          <w:bdr w:val="none" w:sz="0" w:space="0" w:color="auto" w:frame="1"/>
        </w:rPr>
        <w:t xml:space="preserve">necessary </w:t>
      </w:r>
      <w:r w:rsidR="00962082">
        <w:rPr>
          <w:rFonts w:eastAsia="Times New Roman" w:cstheme="minorHAnsi"/>
          <w:color w:val="000000"/>
          <w:bdr w:val="none" w:sz="0" w:space="0" w:color="auto" w:frame="1"/>
        </w:rPr>
        <w:t>for implants</w:t>
      </w:r>
      <w:r w:rsidR="00D24E62">
        <w:rPr>
          <w:rFonts w:eastAsia="Times New Roman" w:cstheme="minorHAnsi"/>
          <w:color w:val="000000"/>
          <w:bdr w:val="none" w:sz="0" w:space="0" w:color="auto" w:frame="1"/>
        </w:rPr>
        <w:t>.</w:t>
      </w:r>
    </w:p>
    <w:p w14:paraId="7F31621C" w14:textId="77777777" w:rsidR="00534C0A" w:rsidRDefault="00534C0A" w:rsidP="00534C0A">
      <w:pPr>
        <w:pStyle w:val="ListParagraph"/>
        <w:rPr>
          <w:rFonts w:eastAsia="Times New Roman" w:cstheme="minorHAnsi"/>
          <w:color w:val="000000"/>
          <w:bdr w:val="none" w:sz="0" w:space="0" w:color="auto" w:frame="1"/>
        </w:rPr>
      </w:pPr>
    </w:p>
    <w:p w14:paraId="58CE4BF3" w14:textId="77777777" w:rsidR="00A501E5" w:rsidRDefault="00DE0792" w:rsidP="006913EA">
      <w:pPr>
        <w:pStyle w:val="ListParagraph"/>
        <w:numPr>
          <w:ilvl w:val="1"/>
          <w:numId w:val="16"/>
        </w:numPr>
        <w:ind w:left="1080"/>
        <w:rPr>
          <w:rFonts w:eastAsia="Times New Roman" w:cstheme="minorHAnsi"/>
          <w:color w:val="000000"/>
          <w:bdr w:val="none" w:sz="0" w:space="0" w:color="auto" w:frame="1"/>
        </w:rPr>
      </w:pPr>
      <w:r>
        <w:rPr>
          <w:rFonts w:eastAsia="Times New Roman" w:cstheme="minorHAnsi"/>
          <w:color w:val="000000"/>
          <w:bdr w:val="none" w:sz="0" w:space="0" w:color="auto" w:frame="1"/>
        </w:rPr>
        <w:t>Are these implants used at the current facility?</w:t>
      </w:r>
      <w:r w:rsidR="009F2E7A">
        <w:rPr>
          <w:rFonts w:eastAsia="Times New Roman" w:cstheme="minorHAnsi"/>
          <w:color w:val="000000"/>
          <w:bdr w:val="none" w:sz="0" w:space="0" w:color="auto" w:frame="1"/>
        </w:rPr>
        <w:t xml:space="preserve">  </w:t>
      </w:r>
    </w:p>
    <w:p w14:paraId="4A2193A7" w14:textId="77777777" w:rsidR="00A501E5" w:rsidRDefault="00A501E5" w:rsidP="00A501E5">
      <w:pPr>
        <w:pStyle w:val="ListParagraph"/>
        <w:rPr>
          <w:rFonts w:eastAsia="Times New Roman" w:cstheme="minorHAnsi"/>
          <w:color w:val="000000"/>
          <w:bdr w:val="none" w:sz="0" w:space="0" w:color="auto" w:frame="1"/>
        </w:rPr>
      </w:pPr>
    </w:p>
    <w:p w14:paraId="5A106916" w14:textId="11D9407A" w:rsidR="00AB396F" w:rsidRPr="00057B35" w:rsidRDefault="00A501E5" w:rsidP="00057B35">
      <w:pPr>
        <w:pStyle w:val="ListParagraph"/>
        <w:numPr>
          <w:ilvl w:val="1"/>
          <w:numId w:val="23"/>
        </w:numPr>
        <w:rPr>
          <w:rFonts w:eastAsia="Times New Roman" w:cstheme="minorHAnsi"/>
          <w:b/>
          <w:bCs/>
          <w:color w:val="000000"/>
          <w:bdr w:val="none" w:sz="0" w:space="0" w:color="auto" w:frame="1"/>
        </w:rPr>
      </w:pPr>
      <w:r w:rsidRPr="001442BD">
        <w:rPr>
          <w:rFonts w:eastAsia="Times New Roman" w:cstheme="minorHAnsi"/>
          <w:b/>
          <w:bCs/>
          <w:color w:val="000000"/>
          <w:bdr w:val="none" w:sz="0" w:space="0" w:color="auto" w:frame="1"/>
        </w:rPr>
        <w:t xml:space="preserve">Applicant Response:  </w:t>
      </w:r>
      <w:r w:rsidR="005A290F" w:rsidRPr="00057B35">
        <w:rPr>
          <w:rFonts w:eastAsia="Times New Roman" w:cstheme="minorHAnsi"/>
          <w:color w:val="000000"/>
          <w:bdr w:val="none" w:sz="0" w:space="0" w:color="auto" w:frame="1"/>
        </w:rPr>
        <w:t xml:space="preserve">Yes, </w:t>
      </w:r>
      <w:r w:rsidR="0069106C" w:rsidRPr="00161CF5">
        <w:rPr>
          <w:rFonts w:eastAsia="Times New Roman" w:cstheme="minorHAnsi"/>
          <w:color w:val="000000"/>
          <w:bdr w:val="none" w:sz="0" w:space="0" w:color="auto" w:frame="1"/>
        </w:rPr>
        <w:t xml:space="preserve">the Applicant performs joint arthroplasty and spine cases with associated higher implant costs at its current facility.  </w:t>
      </w:r>
      <w:r w:rsidR="007F66F1">
        <w:rPr>
          <w:rFonts w:eastAsia="Times New Roman" w:cstheme="minorHAnsi"/>
          <w:color w:val="000000"/>
          <w:bdr w:val="none" w:sz="0" w:space="0" w:color="auto" w:frame="1"/>
        </w:rPr>
        <w:t>Implant</w:t>
      </w:r>
      <w:r w:rsidR="0069106C" w:rsidRPr="00161CF5">
        <w:rPr>
          <w:rFonts w:eastAsia="Times New Roman" w:cstheme="minorHAnsi"/>
          <w:color w:val="000000"/>
          <w:bdr w:val="none" w:sz="0" w:space="0" w:color="auto" w:frame="1"/>
        </w:rPr>
        <w:t xml:space="preserve"> costs are not passed onto the patient</w:t>
      </w:r>
      <w:r w:rsidR="00057B35" w:rsidRPr="00057B35">
        <w:rPr>
          <w:rFonts w:eastAsia="Times New Roman" w:cstheme="minorHAnsi"/>
          <w:color w:val="000000"/>
          <w:bdr w:val="none" w:sz="0" w:space="0" w:color="auto" w:frame="1"/>
        </w:rPr>
        <w:t xml:space="preserve">. As an ASC, the Applicant is paid in accordance with a fee schedule, regardless of cost of implants, which </w:t>
      </w:r>
      <w:r w:rsidR="0069106C" w:rsidRPr="00161CF5">
        <w:rPr>
          <w:rFonts w:eastAsia="Times New Roman" w:cstheme="minorHAnsi"/>
          <w:color w:val="000000"/>
          <w:bdr w:val="none" w:sz="0" w:space="0" w:color="auto" w:frame="1"/>
        </w:rPr>
        <w:t xml:space="preserve">is typically </w:t>
      </w:r>
      <w:r w:rsidR="00057B35" w:rsidRPr="00057B35">
        <w:rPr>
          <w:rFonts w:eastAsia="Times New Roman" w:cstheme="minorHAnsi"/>
          <w:color w:val="000000"/>
          <w:bdr w:val="none" w:sz="0" w:space="0" w:color="auto" w:frame="1"/>
        </w:rPr>
        <w:t>50-60</w:t>
      </w:r>
      <w:r w:rsidR="0069106C" w:rsidRPr="00161CF5">
        <w:rPr>
          <w:rFonts w:eastAsia="Times New Roman" w:cstheme="minorHAnsi"/>
          <w:color w:val="000000"/>
          <w:bdr w:val="none" w:sz="0" w:space="0" w:color="auto" w:frame="1"/>
        </w:rPr>
        <w:t xml:space="preserve">% of the cost of the same surgery performed in a hospital </w:t>
      </w:r>
      <w:r w:rsidR="00957E0B" w:rsidRPr="00057B35">
        <w:rPr>
          <w:rFonts w:eastAsia="Times New Roman" w:cstheme="minorHAnsi"/>
          <w:color w:val="000000"/>
          <w:bdr w:val="none" w:sz="0" w:space="0" w:color="auto" w:frame="1"/>
        </w:rPr>
        <w:t>setting</w:t>
      </w:r>
      <w:r w:rsidR="00057B35" w:rsidRPr="00057B35">
        <w:rPr>
          <w:rFonts w:eastAsia="Times New Roman" w:cstheme="minorHAnsi"/>
          <w:color w:val="000000"/>
          <w:bdr w:val="none" w:sz="0" w:space="0" w:color="auto" w:frame="1"/>
        </w:rPr>
        <w:t>.</w:t>
      </w:r>
    </w:p>
    <w:sectPr w:rsidR="00AB396F" w:rsidRPr="00057B35" w:rsidSect="00B843AC">
      <w:headerReference w:type="even" r:id="rId9"/>
      <w:headerReference w:type="default" r:id="rId10"/>
      <w:footerReference w:type="default" r:id="rId11"/>
      <w:pgSz w:w="12240" w:h="15840"/>
      <w:pgMar w:top="166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94F33" w14:textId="77777777" w:rsidR="00B843AC" w:rsidRDefault="00B843AC" w:rsidP="00E45D1C">
      <w:pPr>
        <w:spacing w:after="0" w:line="240" w:lineRule="auto"/>
      </w:pPr>
      <w:r>
        <w:separator/>
      </w:r>
    </w:p>
  </w:endnote>
  <w:endnote w:type="continuationSeparator" w:id="0">
    <w:p w14:paraId="34D3C449" w14:textId="77777777" w:rsidR="00B843AC" w:rsidRDefault="00B843AC" w:rsidP="00E4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4798" w14:textId="77777777" w:rsidR="005E5080" w:rsidRDefault="005E5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6AA3" w14:textId="77777777" w:rsidR="00B843AC" w:rsidRDefault="00B843AC" w:rsidP="00E45D1C">
      <w:pPr>
        <w:spacing w:after="0" w:line="240" w:lineRule="auto"/>
      </w:pPr>
      <w:r>
        <w:separator/>
      </w:r>
    </w:p>
  </w:footnote>
  <w:footnote w:type="continuationSeparator" w:id="0">
    <w:p w14:paraId="0D213752" w14:textId="77777777" w:rsidR="00B843AC" w:rsidRDefault="00B843AC" w:rsidP="00E45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4985" w14:textId="306F43D5" w:rsidR="00101DAD" w:rsidRDefault="00000000">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8217" w14:textId="378A1793" w:rsidR="00ED1D5D" w:rsidRDefault="0045541D" w:rsidP="004B35D9">
    <w:pPr>
      <w:pStyle w:val="Header"/>
      <w:jc w:val="center"/>
      <w:rPr>
        <w:b/>
        <w:bCs/>
        <w:sz w:val="28"/>
        <w:szCs w:val="28"/>
      </w:rPr>
    </w:pPr>
    <w:r>
      <w:rPr>
        <w:b/>
        <w:bCs/>
        <w:sz w:val="28"/>
        <w:szCs w:val="28"/>
      </w:rPr>
      <w:t>Boston Outpatient Surgical Suites, LLC</w:t>
    </w:r>
    <w:r w:rsidR="00ED1D5D">
      <w:rPr>
        <w:b/>
        <w:bCs/>
        <w:sz w:val="28"/>
        <w:szCs w:val="28"/>
      </w:rPr>
      <w:t xml:space="preserve"> </w:t>
    </w:r>
  </w:p>
  <w:p w14:paraId="40DCA975" w14:textId="52C4AF42" w:rsidR="00ED1D5D" w:rsidRPr="00872E44" w:rsidRDefault="00ED1D5D" w:rsidP="004B35D9">
    <w:pPr>
      <w:pStyle w:val="Header"/>
      <w:jc w:val="center"/>
      <w:rPr>
        <w:b/>
        <w:bCs/>
        <w:sz w:val="28"/>
        <w:szCs w:val="28"/>
      </w:rPr>
    </w:pPr>
    <w:r>
      <w:rPr>
        <w:b/>
        <w:bCs/>
        <w:sz w:val="28"/>
        <w:szCs w:val="28"/>
      </w:rPr>
      <w:t xml:space="preserve">DoN # </w:t>
    </w:r>
    <w:r w:rsidR="0045541D">
      <w:rPr>
        <w:b/>
        <w:bCs/>
        <w:sz w:val="28"/>
        <w:szCs w:val="28"/>
      </w:rPr>
      <w:t>BOSS-22</w:t>
    </w:r>
    <w:r w:rsidR="00FE1D24">
      <w:rPr>
        <w:b/>
        <w:bCs/>
        <w:sz w:val="28"/>
        <w:szCs w:val="28"/>
      </w:rPr>
      <w:t>0</w:t>
    </w:r>
    <w:r w:rsidR="0045541D">
      <w:rPr>
        <w:b/>
        <w:bCs/>
        <w:sz w:val="28"/>
        <w:szCs w:val="28"/>
      </w:rPr>
      <w:t>51213-AS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AD1"/>
    <w:multiLevelType w:val="hybridMultilevel"/>
    <w:tmpl w:val="518E1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704E0"/>
    <w:multiLevelType w:val="hybridMultilevel"/>
    <w:tmpl w:val="F21EEC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F2E9C"/>
    <w:multiLevelType w:val="hybridMultilevel"/>
    <w:tmpl w:val="4FB40452"/>
    <w:lvl w:ilvl="0" w:tplc="FFFFFFFF">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cs="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81F08"/>
    <w:multiLevelType w:val="hybridMultilevel"/>
    <w:tmpl w:val="9F3E7E3C"/>
    <w:lvl w:ilvl="0" w:tplc="FFFFFFFF">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cs="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43554"/>
    <w:multiLevelType w:val="hybridMultilevel"/>
    <w:tmpl w:val="41C0C59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AB5DD0"/>
    <w:multiLevelType w:val="hybridMultilevel"/>
    <w:tmpl w:val="69C4EBD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63699F"/>
    <w:multiLevelType w:val="multilevel"/>
    <w:tmpl w:val="9F16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5843A2"/>
    <w:multiLevelType w:val="hybridMultilevel"/>
    <w:tmpl w:val="FE34AAC2"/>
    <w:lvl w:ilvl="0" w:tplc="04090001">
      <w:start w:val="1"/>
      <w:numFmt w:val="bullet"/>
      <w:lvlText w:val=""/>
      <w:lvlJc w:val="left"/>
      <w:pPr>
        <w:ind w:left="1080" w:hanging="360"/>
      </w:pPr>
      <w:rPr>
        <w:rFonts w:ascii="Symbol" w:hAnsi="Symbol" w:cs="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20"/>
  </w:num>
  <w:num w:numId="2" w16cid:durableId="449669609">
    <w:abstractNumId w:val="6"/>
  </w:num>
  <w:num w:numId="3" w16cid:durableId="1632975170">
    <w:abstractNumId w:val="19"/>
  </w:num>
  <w:num w:numId="4" w16cid:durableId="1183977095">
    <w:abstractNumId w:val="26"/>
  </w:num>
  <w:num w:numId="5" w16cid:durableId="1230916997">
    <w:abstractNumId w:val="21"/>
  </w:num>
  <w:num w:numId="6" w16cid:durableId="464589505">
    <w:abstractNumId w:val="24"/>
  </w:num>
  <w:num w:numId="7" w16cid:durableId="9821510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17"/>
  </w:num>
  <w:num w:numId="9" w16cid:durableId="1477533355">
    <w:abstractNumId w:val="4"/>
  </w:num>
  <w:num w:numId="10" w16cid:durableId="1828202636">
    <w:abstractNumId w:val="9"/>
  </w:num>
  <w:num w:numId="11" w16cid:durableId="1769345806">
    <w:abstractNumId w:val="1"/>
  </w:num>
  <w:num w:numId="12" w16cid:durableId="1426415847">
    <w:abstractNumId w:val="18"/>
  </w:num>
  <w:num w:numId="13" w16cid:durableId="1549880134">
    <w:abstractNumId w:val="10"/>
  </w:num>
  <w:num w:numId="14" w16cid:durableId="2131704504">
    <w:abstractNumId w:val="13"/>
  </w:num>
  <w:num w:numId="15" w16cid:durableId="1853495620">
    <w:abstractNumId w:val="5"/>
  </w:num>
  <w:num w:numId="16" w16cid:durableId="941954089">
    <w:abstractNumId w:val="11"/>
  </w:num>
  <w:num w:numId="17" w16cid:durableId="1650279753">
    <w:abstractNumId w:val="8"/>
  </w:num>
  <w:num w:numId="18" w16cid:durableId="1988584985">
    <w:abstractNumId w:val="16"/>
  </w:num>
  <w:num w:numId="19" w16cid:durableId="535700289">
    <w:abstractNumId w:val="23"/>
  </w:num>
  <w:num w:numId="20" w16cid:durableId="647054827">
    <w:abstractNumId w:val="2"/>
  </w:num>
  <w:num w:numId="21" w16cid:durableId="635574546">
    <w:abstractNumId w:val="0"/>
  </w:num>
  <w:num w:numId="22" w16cid:durableId="1317421531">
    <w:abstractNumId w:val="14"/>
  </w:num>
  <w:num w:numId="23" w16cid:durableId="178399545">
    <w:abstractNumId w:val="12"/>
  </w:num>
  <w:num w:numId="24" w16cid:durableId="1369179619">
    <w:abstractNumId w:val="22"/>
  </w:num>
  <w:num w:numId="25" w16cid:durableId="1233850706">
    <w:abstractNumId w:val="3"/>
  </w:num>
  <w:num w:numId="26" w16cid:durableId="1041707426">
    <w:abstractNumId w:val="7"/>
  </w:num>
  <w:num w:numId="27" w16cid:durableId="17553918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330B"/>
    <w:rsid w:val="00005616"/>
    <w:rsid w:val="00006750"/>
    <w:rsid w:val="00010B1C"/>
    <w:rsid w:val="0001602B"/>
    <w:rsid w:val="0001718E"/>
    <w:rsid w:val="000201A4"/>
    <w:rsid w:val="000204BD"/>
    <w:rsid w:val="00020571"/>
    <w:rsid w:val="00023287"/>
    <w:rsid w:val="00025270"/>
    <w:rsid w:val="00037C76"/>
    <w:rsid w:val="00037DBC"/>
    <w:rsid w:val="0004417D"/>
    <w:rsid w:val="000441F8"/>
    <w:rsid w:val="0005118D"/>
    <w:rsid w:val="00055D9B"/>
    <w:rsid w:val="00057914"/>
    <w:rsid w:val="00057B35"/>
    <w:rsid w:val="00057BAA"/>
    <w:rsid w:val="00062F8C"/>
    <w:rsid w:val="00062FC0"/>
    <w:rsid w:val="000631D6"/>
    <w:rsid w:val="00063ABA"/>
    <w:rsid w:val="00074284"/>
    <w:rsid w:val="000750FC"/>
    <w:rsid w:val="00075B8D"/>
    <w:rsid w:val="00077704"/>
    <w:rsid w:val="00080C65"/>
    <w:rsid w:val="000819BE"/>
    <w:rsid w:val="00084492"/>
    <w:rsid w:val="0008545A"/>
    <w:rsid w:val="00090684"/>
    <w:rsid w:val="00093B92"/>
    <w:rsid w:val="00095A0E"/>
    <w:rsid w:val="00096556"/>
    <w:rsid w:val="000968DB"/>
    <w:rsid w:val="000A33BD"/>
    <w:rsid w:val="000A3493"/>
    <w:rsid w:val="000A6E13"/>
    <w:rsid w:val="000B205E"/>
    <w:rsid w:val="000B4C1D"/>
    <w:rsid w:val="000C0238"/>
    <w:rsid w:val="000C0FF4"/>
    <w:rsid w:val="000C4F63"/>
    <w:rsid w:val="000D568B"/>
    <w:rsid w:val="000E1A2B"/>
    <w:rsid w:val="000E3F88"/>
    <w:rsid w:val="000E7B9E"/>
    <w:rsid w:val="000F0D6D"/>
    <w:rsid w:val="000F1308"/>
    <w:rsid w:val="000F2B62"/>
    <w:rsid w:val="000F4352"/>
    <w:rsid w:val="000F76B5"/>
    <w:rsid w:val="00101DAD"/>
    <w:rsid w:val="0010314C"/>
    <w:rsid w:val="001036A2"/>
    <w:rsid w:val="00103F24"/>
    <w:rsid w:val="00106F8B"/>
    <w:rsid w:val="00107578"/>
    <w:rsid w:val="001119A9"/>
    <w:rsid w:val="00114641"/>
    <w:rsid w:val="001147F0"/>
    <w:rsid w:val="00115E58"/>
    <w:rsid w:val="00117D7A"/>
    <w:rsid w:val="0012138E"/>
    <w:rsid w:val="001215CE"/>
    <w:rsid w:val="00121E3F"/>
    <w:rsid w:val="00122AC1"/>
    <w:rsid w:val="00130034"/>
    <w:rsid w:val="00137228"/>
    <w:rsid w:val="001418CE"/>
    <w:rsid w:val="001442BD"/>
    <w:rsid w:val="00144AAB"/>
    <w:rsid w:val="0014570F"/>
    <w:rsid w:val="00150334"/>
    <w:rsid w:val="001542DA"/>
    <w:rsid w:val="00154DFC"/>
    <w:rsid w:val="00157D38"/>
    <w:rsid w:val="00160BAA"/>
    <w:rsid w:val="00161CF5"/>
    <w:rsid w:val="00162EF7"/>
    <w:rsid w:val="00163C19"/>
    <w:rsid w:val="001649EA"/>
    <w:rsid w:val="0016653F"/>
    <w:rsid w:val="001665EA"/>
    <w:rsid w:val="00170092"/>
    <w:rsid w:val="00174999"/>
    <w:rsid w:val="00175714"/>
    <w:rsid w:val="00183328"/>
    <w:rsid w:val="001840D3"/>
    <w:rsid w:val="00184950"/>
    <w:rsid w:val="00187159"/>
    <w:rsid w:val="001873ED"/>
    <w:rsid w:val="001912C7"/>
    <w:rsid w:val="00193038"/>
    <w:rsid w:val="0019409A"/>
    <w:rsid w:val="00195F1E"/>
    <w:rsid w:val="00196EAB"/>
    <w:rsid w:val="0019751B"/>
    <w:rsid w:val="0019763E"/>
    <w:rsid w:val="00197F07"/>
    <w:rsid w:val="001A32EA"/>
    <w:rsid w:val="001A338F"/>
    <w:rsid w:val="001A70A9"/>
    <w:rsid w:val="001B4571"/>
    <w:rsid w:val="001B4F20"/>
    <w:rsid w:val="001B524B"/>
    <w:rsid w:val="001C05B6"/>
    <w:rsid w:val="001C4126"/>
    <w:rsid w:val="001C4B4A"/>
    <w:rsid w:val="001C58CB"/>
    <w:rsid w:val="001C6825"/>
    <w:rsid w:val="001D14BE"/>
    <w:rsid w:val="001D1941"/>
    <w:rsid w:val="001D3878"/>
    <w:rsid w:val="001D42BE"/>
    <w:rsid w:val="001D7789"/>
    <w:rsid w:val="001E4287"/>
    <w:rsid w:val="001E680E"/>
    <w:rsid w:val="001E739B"/>
    <w:rsid w:val="001F1181"/>
    <w:rsid w:val="001F1681"/>
    <w:rsid w:val="001F1E8A"/>
    <w:rsid w:val="001F70F3"/>
    <w:rsid w:val="0020210C"/>
    <w:rsid w:val="00203870"/>
    <w:rsid w:val="002059BD"/>
    <w:rsid w:val="002059E0"/>
    <w:rsid w:val="00210EBE"/>
    <w:rsid w:val="0021156F"/>
    <w:rsid w:val="00215F63"/>
    <w:rsid w:val="00216515"/>
    <w:rsid w:val="00220874"/>
    <w:rsid w:val="00226456"/>
    <w:rsid w:val="0023113D"/>
    <w:rsid w:val="0023173B"/>
    <w:rsid w:val="002318C5"/>
    <w:rsid w:val="00234610"/>
    <w:rsid w:val="0023702D"/>
    <w:rsid w:val="00237494"/>
    <w:rsid w:val="00241999"/>
    <w:rsid w:val="00242355"/>
    <w:rsid w:val="00245ECA"/>
    <w:rsid w:val="002468A2"/>
    <w:rsid w:val="00247513"/>
    <w:rsid w:val="00251C67"/>
    <w:rsid w:val="0025284D"/>
    <w:rsid w:val="00253A90"/>
    <w:rsid w:val="002549E8"/>
    <w:rsid w:val="00264904"/>
    <w:rsid w:val="002652EE"/>
    <w:rsid w:val="00272C7A"/>
    <w:rsid w:val="00272D23"/>
    <w:rsid w:val="0028035A"/>
    <w:rsid w:val="0028203A"/>
    <w:rsid w:val="00282E35"/>
    <w:rsid w:val="00290185"/>
    <w:rsid w:val="00291B41"/>
    <w:rsid w:val="0029547F"/>
    <w:rsid w:val="002957A3"/>
    <w:rsid w:val="00296140"/>
    <w:rsid w:val="0029685E"/>
    <w:rsid w:val="00296A97"/>
    <w:rsid w:val="00297097"/>
    <w:rsid w:val="002A1CEE"/>
    <w:rsid w:val="002A3B81"/>
    <w:rsid w:val="002A7141"/>
    <w:rsid w:val="002B0B0C"/>
    <w:rsid w:val="002B79D0"/>
    <w:rsid w:val="002C0853"/>
    <w:rsid w:val="002C0F9E"/>
    <w:rsid w:val="002C6757"/>
    <w:rsid w:val="002D3A78"/>
    <w:rsid w:val="002E2029"/>
    <w:rsid w:val="002F40F6"/>
    <w:rsid w:val="002F4542"/>
    <w:rsid w:val="002F5E31"/>
    <w:rsid w:val="00304AC1"/>
    <w:rsid w:val="003054CD"/>
    <w:rsid w:val="003065B2"/>
    <w:rsid w:val="00306967"/>
    <w:rsid w:val="00311F78"/>
    <w:rsid w:val="0031310D"/>
    <w:rsid w:val="00313D95"/>
    <w:rsid w:val="00313E62"/>
    <w:rsid w:val="0031511B"/>
    <w:rsid w:val="00316EC3"/>
    <w:rsid w:val="00317099"/>
    <w:rsid w:val="003237E9"/>
    <w:rsid w:val="003250DC"/>
    <w:rsid w:val="0033289B"/>
    <w:rsid w:val="0033773E"/>
    <w:rsid w:val="00342413"/>
    <w:rsid w:val="0034747E"/>
    <w:rsid w:val="00357C3B"/>
    <w:rsid w:val="0036169E"/>
    <w:rsid w:val="003662A0"/>
    <w:rsid w:val="0037508A"/>
    <w:rsid w:val="00375353"/>
    <w:rsid w:val="0037562D"/>
    <w:rsid w:val="003802D2"/>
    <w:rsid w:val="00381C32"/>
    <w:rsid w:val="00383F12"/>
    <w:rsid w:val="003878E1"/>
    <w:rsid w:val="003949CE"/>
    <w:rsid w:val="003A1DF2"/>
    <w:rsid w:val="003A2DC1"/>
    <w:rsid w:val="003A42C0"/>
    <w:rsid w:val="003A5DE9"/>
    <w:rsid w:val="003A5F00"/>
    <w:rsid w:val="003B0E66"/>
    <w:rsid w:val="003B472F"/>
    <w:rsid w:val="003B4A51"/>
    <w:rsid w:val="003B5964"/>
    <w:rsid w:val="003D0850"/>
    <w:rsid w:val="003D78E0"/>
    <w:rsid w:val="003E1923"/>
    <w:rsid w:val="003E472A"/>
    <w:rsid w:val="003E4F71"/>
    <w:rsid w:val="003E561D"/>
    <w:rsid w:val="003E5DAD"/>
    <w:rsid w:val="003F052A"/>
    <w:rsid w:val="003F3FD9"/>
    <w:rsid w:val="003F722F"/>
    <w:rsid w:val="00400B33"/>
    <w:rsid w:val="0040221B"/>
    <w:rsid w:val="00404016"/>
    <w:rsid w:val="00405764"/>
    <w:rsid w:val="00416671"/>
    <w:rsid w:val="00416A5C"/>
    <w:rsid w:val="00422B3E"/>
    <w:rsid w:val="0042381E"/>
    <w:rsid w:val="00427658"/>
    <w:rsid w:val="004309CD"/>
    <w:rsid w:val="00430D4A"/>
    <w:rsid w:val="00431EE7"/>
    <w:rsid w:val="00431FF9"/>
    <w:rsid w:val="00432AEC"/>
    <w:rsid w:val="004340C2"/>
    <w:rsid w:val="00441B9C"/>
    <w:rsid w:val="00442E58"/>
    <w:rsid w:val="00444549"/>
    <w:rsid w:val="004464D7"/>
    <w:rsid w:val="00452A64"/>
    <w:rsid w:val="00453A6F"/>
    <w:rsid w:val="00454856"/>
    <w:rsid w:val="0045541D"/>
    <w:rsid w:val="00460A29"/>
    <w:rsid w:val="004622C9"/>
    <w:rsid w:val="00467022"/>
    <w:rsid w:val="0047061C"/>
    <w:rsid w:val="004722DA"/>
    <w:rsid w:val="00472621"/>
    <w:rsid w:val="00476591"/>
    <w:rsid w:val="00484436"/>
    <w:rsid w:val="00487F71"/>
    <w:rsid w:val="00491C09"/>
    <w:rsid w:val="00492CE8"/>
    <w:rsid w:val="004A30C4"/>
    <w:rsid w:val="004A3DDB"/>
    <w:rsid w:val="004A7AC3"/>
    <w:rsid w:val="004B3017"/>
    <w:rsid w:val="004B35D9"/>
    <w:rsid w:val="004B4AF5"/>
    <w:rsid w:val="004B4C63"/>
    <w:rsid w:val="004B53ED"/>
    <w:rsid w:val="004B616C"/>
    <w:rsid w:val="004B6D54"/>
    <w:rsid w:val="004C3E58"/>
    <w:rsid w:val="004C40EF"/>
    <w:rsid w:val="004C5FF3"/>
    <w:rsid w:val="004C6954"/>
    <w:rsid w:val="004D3056"/>
    <w:rsid w:val="004D4F2A"/>
    <w:rsid w:val="004D5803"/>
    <w:rsid w:val="004E3CEE"/>
    <w:rsid w:val="004E4515"/>
    <w:rsid w:val="004E4580"/>
    <w:rsid w:val="004E4D86"/>
    <w:rsid w:val="004E6F4B"/>
    <w:rsid w:val="004F1F61"/>
    <w:rsid w:val="004F2E15"/>
    <w:rsid w:val="004F3E54"/>
    <w:rsid w:val="004F5731"/>
    <w:rsid w:val="004F64B3"/>
    <w:rsid w:val="004F7FCC"/>
    <w:rsid w:val="00500425"/>
    <w:rsid w:val="005012A9"/>
    <w:rsid w:val="00502780"/>
    <w:rsid w:val="00504EE4"/>
    <w:rsid w:val="0050594A"/>
    <w:rsid w:val="005162D4"/>
    <w:rsid w:val="00521886"/>
    <w:rsid w:val="00530092"/>
    <w:rsid w:val="005320CC"/>
    <w:rsid w:val="005335A2"/>
    <w:rsid w:val="005339F8"/>
    <w:rsid w:val="00533F7E"/>
    <w:rsid w:val="00534C0A"/>
    <w:rsid w:val="00545E14"/>
    <w:rsid w:val="005462CF"/>
    <w:rsid w:val="00547298"/>
    <w:rsid w:val="00550CD0"/>
    <w:rsid w:val="005565A0"/>
    <w:rsid w:val="00561368"/>
    <w:rsid w:val="005660A2"/>
    <w:rsid w:val="005672AD"/>
    <w:rsid w:val="00571DB5"/>
    <w:rsid w:val="005723FC"/>
    <w:rsid w:val="005756F8"/>
    <w:rsid w:val="00580403"/>
    <w:rsid w:val="00590B9B"/>
    <w:rsid w:val="00590CCE"/>
    <w:rsid w:val="00593BD5"/>
    <w:rsid w:val="0059791A"/>
    <w:rsid w:val="00597C1C"/>
    <w:rsid w:val="005A2195"/>
    <w:rsid w:val="005A290F"/>
    <w:rsid w:val="005A5B88"/>
    <w:rsid w:val="005B1D96"/>
    <w:rsid w:val="005B2002"/>
    <w:rsid w:val="005B3EED"/>
    <w:rsid w:val="005B41AC"/>
    <w:rsid w:val="005B5F2F"/>
    <w:rsid w:val="005C3ED5"/>
    <w:rsid w:val="005C6635"/>
    <w:rsid w:val="005C772F"/>
    <w:rsid w:val="005D0DB9"/>
    <w:rsid w:val="005D0ED5"/>
    <w:rsid w:val="005D1437"/>
    <w:rsid w:val="005D6895"/>
    <w:rsid w:val="005E1E6E"/>
    <w:rsid w:val="005E2B35"/>
    <w:rsid w:val="005E2DD7"/>
    <w:rsid w:val="005E3294"/>
    <w:rsid w:val="005E5080"/>
    <w:rsid w:val="005E5577"/>
    <w:rsid w:val="005E784A"/>
    <w:rsid w:val="005F1F52"/>
    <w:rsid w:val="005F3A24"/>
    <w:rsid w:val="005F4595"/>
    <w:rsid w:val="00604B74"/>
    <w:rsid w:val="00605191"/>
    <w:rsid w:val="00606EE8"/>
    <w:rsid w:val="0060745D"/>
    <w:rsid w:val="00610861"/>
    <w:rsid w:val="006110AC"/>
    <w:rsid w:val="00624CE7"/>
    <w:rsid w:val="00625B81"/>
    <w:rsid w:val="00626439"/>
    <w:rsid w:val="00627715"/>
    <w:rsid w:val="00631B65"/>
    <w:rsid w:val="006345D0"/>
    <w:rsid w:val="006356E9"/>
    <w:rsid w:val="00637B05"/>
    <w:rsid w:val="006414D7"/>
    <w:rsid w:val="00641970"/>
    <w:rsid w:val="00644749"/>
    <w:rsid w:val="00644C31"/>
    <w:rsid w:val="0064613E"/>
    <w:rsid w:val="00651B37"/>
    <w:rsid w:val="00656024"/>
    <w:rsid w:val="006564A0"/>
    <w:rsid w:val="00663FC0"/>
    <w:rsid w:val="0066604A"/>
    <w:rsid w:val="0066746F"/>
    <w:rsid w:val="00671A4C"/>
    <w:rsid w:val="00676C6C"/>
    <w:rsid w:val="00676D61"/>
    <w:rsid w:val="00682421"/>
    <w:rsid w:val="006832D4"/>
    <w:rsid w:val="00685064"/>
    <w:rsid w:val="0068795C"/>
    <w:rsid w:val="006900CC"/>
    <w:rsid w:val="0069106C"/>
    <w:rsid w:val="006911C3"/>
    <w:rsid w:val="006913EA"/>
    <w:rsid w:val="006A0E12"/>
    <w:rsid w:val="006A15F2"/>
    <w:rsid w:val="006A2082"/>
    <w:rsid w:val="006A680C"/>
    <w:rsid w:val="006B6F5A"/>
    <w:rsid w:val="006C18E2"/>
    <w:rsid w:val="006C1F08"/>
    <w:rsid w:val="006C44F3"/>
    <w:rsid w:val="006C6F27"/>
    <w:rsid w:val="006D0DD6"/>
    <w:rsid w:val="006D5FA5"/>
    <w:rsid w:val="006D61EB"/>
    <w:rsid w:val="006D6EFC"/>
    <w:rsid w:val="006D7B04"/>
    <w:rsid w:val="006E0523"/>
    <w:rsid w:val="006E49A5"/>
    <w:rsid w:val="006F0FDE"/>
    <w:rsid w:val="006F582C"/>
    <w:rsid w:val="00702AC9"/>
    <w:rsid w:val="00702D67"/>
    <w:rsid w:val="0070429A"/>
    <w:rsid w:val="00705F72"/>
    <w:rsid w:val="007077C0"/>
    <w:rsid w:val="00710539"/>
    <w:rsid w:val="007111FF"/>
    <w:rsid w:val="00714363"/>
    <w:rsid w:val="0071442D"/>
    <w:rsid w:val="007204F8"/>
    <w:rsid w:val="00720E58"/>
    <w:rsid w:val="00721456"/>
    <w:rsid w:val="0072258B"/>
    <w:rsid w:val="007227E7"/>
    <w:rsid w:val="007231BB"/>
    <w:rsid w:val="007245D3"/>
    <w:rsid w:val="007312C2"/>
    <w:rsid w:val="0073614F"/>
    <w:rsid w:val="007367BC"/>
    <w:rsid w:val="007469D8"/>
    <w:rsid w:val="007503CE"/>
    <w:rsid w:val="00752C1B"/>
    <w:rsid w:val="007641EC"/>
    <w:rsid w:val="00766B15"/>
    <w:rsid w:val="00776F04"/>
    <w:rsid w:val="007808E9"/>
    <w:rsid w:val="007816C9"/>
    <w:rsid w:val="00781702"/>
    <w:rsid w:val="0078438D"/>
    <w:rsid w:val="00787E50"/>
    <w:rsid w:val="00791931"/>
    <w:rsid w:val="007922B1"/>
    <w:rsid w:val="0079269C"/>
    <w:rsid w:val="00793566"/>
    <w:rsid w:val="007A1963"/>
    <w:rsid w:val="007A63AD"/>
    <w:rsid w:val="007A6756"/>
    <w:rsid w:val="007B0631"/>
    <w:rsid w:val="007B1AF4"/>
    <w:rsid w:val="007B48AC"/>
    <w:rsid w:val="007C1208"/>
    <w:rsid w:val="007C1CAE"/>
    <w:rsid w:val="007C2A52"/>
    <w:rsid w:val="007C4499"/>
    <w:rsid w:val="007D0C4C"/>
    <w:rsid w:val="007D0F53"/>
    <w:rsid w:val="007D4FB8"/>
    <w:rsid w:val="007E515A"/>
    <w:rsid w:val="007F18F5"/>
    <w:rsid w:val="007F539B"/>
    <w:rsid w:val="007F5758"/>
    <w:rsid w:val="007F66F1"/>
    <w:rsid w:val="00800255"/>
    <w:rsid w:val="00800525"/>
    <w:rsid w:val="008037B1"/>
    <w:rsid w:val="00805000"/>
    <w:rsid w:val="00816BF8"/>
    <w:rsid w:val="00820ADB"/>
    <w:rsid w:val="00820E1A"/>
    <w:rsid w:val="008229C4"/>
    <w:rsid w:val="008233CC"/>
    <w:rsid w:val="008249B3"/>
    <w:rsid w:val="00825CB2"/>
    <w:rsid w:val="00826C1D"/>
    <w:rsid w:val="00832690"/>
    <w:rsid w:val="0084044F"/>
    <w:rsid w:val="00844887"/>
    <w:rsid w:val="008558AA"/>
    <w:rsid w:val="00856C65"/>
    <w:rsid w:val="008628D0"/>
    <w:rsid w:val="00863DED"/>
    <w:rsid w:val="00865A56"/>
    <w:rsid w:val="00870B9C"/>
    <w:rsid w:val="00872E44"/>
    <w:rsid w:val="0087532E"/>
    <w:rsid w:val="00876B13"/>
    <w:rsid w:val="008816DE"/>
    <w:rsid w:val="008858B5"/>
    <w:rsid w:val="0088594F"/>
    <w:rsid w:val="00890D64"/>
    <w:rsid w:val="008A5D59"/>
    <w:rsid w:val="008A689B"/>
    <w:rsid w:val="008B0020"/>
    <w:rsid w:val="008B02DF"/>
    <w:rsid w:val="008B4A42"/>
    <w:rsid w:val="008C13D3"/>
    <w:rsid w:val="008C1BC1"/>
    <w:rsid w:val="008C1D6D"/>
    <w:rsid w:val="008C4A85"/>
    <w:rsid w:val="008D4DCA"/>
    <w:rsid w:val="008D5F2B"/>
    <w:rsid w:val="008D648C"/>
    <w:rsid w:val="008E63C4"/>
    <w:rsid w:val="008E6545"/>
    <w:rsid w:val="008F1E32"/>
    <w:rsid w:val="008F4EC3"/>
    <w:rsid w:val="008F5195"/>
    <w:rsid w:val="008F6DF2"/>
    <w:rsid w:val="0090315D"/>
    <w:rsid w:val="00903338"/>
    <w:rsid w:val="0090431E"/>
    <w:rsid w:val="00904C9C"/>
    <w:rsid w:val="009050B0"/>
    <w:rsid w:val="00910CA6"/>
    <w:rsid w:val="00917ED9"/>
    <w:rsid w:val="009235C2"/>
    <w:rsid w:val="009317C0"/>
    <w:rsid w:val="0093360D"/>
    <w:rsid w:val="00935F5B"/>
    <w:rsid w:val="00946B47"/>
    <w:rsid w:val="009565C2"/>
    <w:rsid w:val="00956827"/>
    <w:rsid w:val="00957375"/>
    <w:rsid w:val="00957E0B"/>
    <w:rsid w:val="0096109A"/>
    <w:rsid w:val="00962082"/>
    <w:rsid w:val="009648F0"/>
    <w:rsid w:val="00965110"/>
    <w:rsid w:val="0096601D"/>
    <w:rsid w:val="00967A86"/>
    <w:rsid w:val="00967B5B"/>
    <w:rsid w:val="009717FD"/>
    <w:rsid w:val="00972032"/>
    <w:rsid w:val="00972FFF"/>
    <w:rsid w:val="009764DF"/>
    <w:rsid w:val="009925F8"/>
    <w:rsid w:val="009961E1"/>
    <w:rsid w:val="009964C9"/>
    <w:rsid w:val="009A107B"/>
    <w:rsid w:val="009A305D"/>
    <w:rsid w:val="009A306A"/>
    <w:rsid w:val="009A36D7"/>
    <w:rsid w:val="009A3EB1"/>
    <w:rsid w:val="009A49D5"/>
    <w:rsid w:val="009B0EA3"/>
    <w:rsid w:val="009B3AD9"/>
    <w:rsid w:val="009B3D14"/>
    <w:rsid w:val="009B3FB7"/>
    <w:rsid w:val="009B766D"/>
    <w:rsid w:val="009C157F"/>
    <w:rsid w:val="009C49C8"/>
    <w:rsid w:val="009C6605"/>
    <w:rsid w:val="009C6AC2"/>
    <w:rsid w:val="009C774C"/>
    <w:rsid w:val="009D2693"/>
    <w:rsid w:val="009D4D27"/>
    <w:rsid w:val="009D5819"/>
    <w:rsid w:val="009D7C0C"/>
    <w:rsid w:val="009D7FE4"/>
    <w:rsid w:val="009E0B47"/>
    <w:rsid w:val="009E4464"/>
    <w:rsid w:val="009E6693"/>
    <w:rsid w:val="009E7B07"/>
    <w:rsid w:val="009F14A8"/>
    <w:rsid w:val="009F2E7A"/>
    <w:rsid w:val="009F6AC5"/>
    <w:rsid w:val="00A005EA"/>
    <w:rsid w:val="00A00632"/>
    <w:rsid w:val="00A0112B"/>
    <w:rsid w:val="00A013D7"/>
    <w:rsid w:val="00A02FEF"/>
    <w:rsid w:val="00A030AD"/>
    <w:rsid w:val="00A032FE"/>
    <w:rsid w:val="00A03630"/>
    <w:rsid w:val="00A10811"/>
    <w:rsid w:val="00A12D89"/>
    <w:rsid w:val="00A13A35"/>
    <w:rsid w:val="00A15D95"/>
    <w:rsid w:val="00A169F5"/>
    <w:rsid w:val="00A2150D"/>
    <w:rsid w:val="00A2358F"/>
    <w:rsid w:val="00A30B85"/>
    <w:rsid w:val="00A321CE"/>
    <w:rsid w:val="00A3290D"/>
    <w:rsid w:val="00A335F2"/>
    <w:rsid w:val="00A41C5A"/>
    <w:rsid w:val="00A4648C"/>
    <w:rsid w:val="00A501E5"/>
    <w:rsid w:val="00A5509A"/>
    <w:rsid w:val="00A563C4"/>
    <w:rsid w:val="00A56887"/>
    <w:rsid w:val="00A61358"/>
    <w:rsid w:val="00A67BBD"/>
    <w:rsid w:val="00A700BA"/>
    <w:rsid w:val="00A70E69"/>
    <w:rsid w:val="00A725EF"/>
    <w:rsid w:val="00A760C1"/>
    <w:rsid w:val="00A766C3"/>
    <w:rsid w:val="00A81B3C"/>
    <w:rsid w:val="00A82237"/>
    <w:rsid w:val="00A83D76"/>
    <w:rsid w:val="00A97891"/>
    <w:rsid w:val="00AA4F4F"/>
    <w:rsid w:val="00AB235E"/>
    <w:rsid w:val="00AB396F"/>
    <w:rsid w:val="00AB4204"/>
    <w:rsid w:val="00AB76A9"/>
    <w:rsid w:val="00AC08DF"/>
    <w:rsid w:val="00AD0749"/>
    <w:rsid w:val="00AD388E"/>
    <w:rsid w:val="00AD4C61"/>
    <w:rsid w:val="00AD60DE"/>
    <w:rsid w:val="00AE07E6"/>
    <w:rsid w:val="00AE27EC"/>
    <w:rsid w:val="00AE5260"/>
    <w:rsid w:val="00AF2121"/>
    <w:rsid w:val="00AF4A4A"/>
    <w:rsid w:val="00AF51ED"/>
    <w:rsid w:val="00AF5D07"/>
    <w:rsid w:val="00B06C7D"/>
    <w:rsid w:val="00B17E81"/>
    <w:rsid w:val="00B255E0"/>
    <w:rsid w:val="00B25870"/>
    <w:rsid w:val="00B35BDB"/>
    <w:rsid w:val="00B54D93"/>
    <w:rsid w:val="00B60C82"/>
    <w:rsid w:val="00B61620"/>
    <w:rsid w:val="00B61CF5"/>
    <w:rsid w:val="00B65322"/>
    <w:rsid w:val="00B657F1"/>
    <w:rsid w:val="00B6608D"/>
    <w:rsid w:val="00B709DA"/>
    <w:rsid w:val="00B71821"/>
    <w:rsid w:val="00B74C9C"/>
    <w:rsid w:val="00B76741"/>
    <w:rsid w:val="00B82AD4"/>
    <w:rsid w:val="00B843AC"/>
    <w:rsid w:val="00B845CB"/>
    <w:rsid w:val="00B845E2"/>
    <w:rsid w:val="00B861CC"/>
    <w:rsid w:val="00B90FBA"/>
    <w:rsid w:val="00B917E5"/>
    <w:rsid w:val="00B94067"/>
    <w:rsid w:val="00B9779C"/>
    <w:rsid w:val="00B97E48"/>
    <w:rsid w:val="00BA1744"/>
    <w:rsid w:val="00BA4D70"/>
    <w:rsid w:val="00BA5E8C"/>
    <w:rsid w:val="00BA6BEA"/>
    <w:rsid w:val="00BB52C7"/>
    <w:rsid w:val="00BB76E3"/>
    <w:rsid w:val="00BC4538"/>
    <w:rsid w:val="00BC491E"/>
    <w:rsid w:val="00BC6BB6"/>
    <w:rsid w:val="00BC722D"/>
    <w:rsid w:val="00BD0495"/>
    <w:rsid w:val="00BD0DF8"/>
    <w:rsid w:val="00BD1AEC"/>
    <w:rsid w:val="00BD5574"/>
    <w:rsid w:val="00BD57B0"/>
    <w:rsid w:val="00BD6601"/>
    <w:rsid w:val="00BE2759"/>
    <w:rsid w:val="00BE44A0"/>
    <w:rsid w:val="00BE68C1"/>
    <w:rsid w:val="00BE7404"/>
    <w:rsid w:val="00BE7935"/>
    <w:rsid w:val="00BF0140"/>
    <w:rsid w:val="00BF0250"/>
    <w:rsid w:val="00BF1098"/>
    <w:rsid w:val="00BF1270"/>
    <w:rsid w:val="00BF6977"/>
    <w:rsid w:val="00C014D0"/>
    <w:rsid w:val="00C02728"/>
    <w:rsid w:val="00C03143"/>
    <w:rsid w:val="00C05FF6"/>
    <w:rsid w:val="00C06026"/>
    <w:rsid w:val="00C067EA"/>
    <w:rsid w:val="00C10FE9"/>
    <w:rsid w:val="00C1425D"/>
    <w:rsid w:val="00C17ADD"/>
    <w:rsid w:val="00C20650"/>
    <w:rsid w:val="00C21870"/>
    <w:rsid w:val="00C22980"/>
    <w:rsid w:val="00C24CF2"/>
    <w:rsid w:val="00C33A5D"/>
    <w:rsid w:val="00C37B96"/>
    <w:rsid w:val="00C4348D"/>
    <w:rsid w:val="00C44CC2"/>
    <w:rsid w:val="00C5137E"/>
    <w:rsid w:val="00C547D7"/>
    <w:rsid w:val="00C620A0"/>
    <w:rsid w:val="00C62870"/>
    <w:rsid w:val="00C63FF9"/>
    <w:rsid w:val="00C67427"/>
    <w:rsid w:val="00C675A0"/>
    <w:rsid w:val="00C74D28"/>
    <w:rsid w:val="00C766D5"/>
    <w:rsid w:val="00C77D7A"/>
    <w:rsid w:val="00C77F12"/>
    <w:rsid w:val="00C80667"/>
    <w:rsid w:val="00C81D4B"/>
    <w:rsid w:val="00C828C4"/>
    <w:rsid w:val="00C829BD"/>
    <w:rsid w:val="00C83C38"/>
    <w:rsid w:val="00C8546B"/>
    <w:rsid w:val="00C930A9"/>
    <w:rsid w:val="00C933BA"/>
    <w:rsid w:val="00C9578F"/>
    <w:rsid w:val="00CA46CF"/>
    <w:rsid w:val="00CA68C1"/>
    <w:rsid w:val="00CB518C"/>
    <w:rsid w:val="00CB5FD7"/>
    <w:rsid w:val="00CB64A6"/>
    <w:rsid w:val="00CC1C20"/>
    <w:rsid w:val="00CC1E0F"/>
    <w:rsid w:val="00CC50AB"/>
    <w:rsid w:val="00CE0BD5"/>
    <w:rsid w:val="00CE0F2A"/>
    <w:rsid w:val="00CE38D9"/>
    <w:rsid w:val="00CE42C6"/>
    <w:rsid w:val="00CF310E"/>
    <w:rsid w:val="00CF4088"/>
    <w:rsid w:val="00CF6CE6"/>
    <w:rsid w:val="00D04D75"/>
    <w:rsid w:val="00D06A2B"/>
    <w:rsid w:val="00D07FD7"/>
    <w:rsid w:val="00D12FA5"/>
    <w:rsid w:val="00D1364E"/>
    <w:rsid w:val="00D15AFC"/>
    <w:rsid w:val="00D16FDD"/>
    <w:rsid w:val="00D20720"/>
    <w:rsid w:val="00D2129E"/>
    <w:rsid w:val="00D22872"/>
    <w:rsid w:val="00D24E62"/>
    <w:rsid w:val="00D308A3"/>
    <w:rsid w:val="00D32A8C"/>
    <w:rsid w:val="00D34822"/>
    <w:rsid w:val="00D350A7"/>
    <w:rsid w:val="00D35A68"/>
    <w:rsid w:val="00D40D65"/>
    <w:rsid w:val="00D42185"/>
    <w:rsid w:val="00D42BB5"/>
    <w:rsid w:val="00D42CC4"/>
    <w:rsid w:val="00D43E9B"/>
    <w:rsid w:val="00D4575C"/>
    <w:rsid w:val="00D45CF3"/>
    <w:rsid w:val="00D47F6A"/>
    <w:rsid w:val="00D50B19"/>
    <w:rsid w:val="00D521DE"/>
    <w:rsid w:val="00D5329D"/>
    <w:rsid w:val="00D551E8"/>
    <w:rsid w:val="00D55E02"/>
    <w:rsid w:val="00D57DA9"/>
    <w:rsid w:val="00D609DF"/>
    <w:rsid w:val="00D63837"/>
    <w:rsid w:val="00D67E1C"/>
    <w:rsid w:val="00D70A63"/>
    <w:rsid w:val="00D81EC1"/>
    <w:rsid w:val="00D82539"/>
    <w:rsid w:val="00D92955"/>
    <w:rsid w:val="00D93B6A"/>
    <w:rsid w:val="00D949B3"/>
    <w:rsid w:val="00D94F5E"/>
    <w:rsid w:val="00D97D69"/>
    <w:rsid w:val="00DA0274"/>
    <w:rsid w:val="00DA1F3A"/>
    <w:rsid w:val="00DA763B"/>
    <w:rsid w:val="00DB023D"/>
    <w:rsid w:val="00DB1027"/>
    <w:rsid w:val="00DB1D96"/>
    <w:rsid w:val="00DB2779"/>
    <w:rsid w:val="00DB33F9"/>
    <w:rsid w:val="00DB5C66"/>
    <w:rsid w:val="00DC02B9"/>
    <w:rsid w:val="00DC099C"/>
    <w:rsid w:val="00DC3594"/>
    <w:rsid w:val="00DC3FF1"/>
    <w:rsid w:val="00DC591D"/>
    <w:rsid w:val="00DD0DF0"/>
    <w:rsid w:val="00DD129B"/>
    <w:rsid w:val="00DD52E8"/>
    <w:rsid w:val="00DD7C1A"/>
    <w:rsid w:val="00DE0792"/>
    <w:rsid w:val="00DE5271"/>
    <w:rsid w:val="00DE6EF5"/>
    <w:rsid w:val="00DE7F77"/>
    <w:rsid w:val="00DF1384"/>
    <w:rsid w:val="00DF23A5"/>
    <w:rsid w:val="00DF46ED"/>
    <w:rsid w:val="00DF69BB"/>
    <w:rsid w:val="00E01668"/>
    <w:rsid w:val="00E040D5"/>
    <w:rsid w:val="00E076EE"/>
    <w:rsid w:val="00E14513"/>
    <w:rsid w:val="00E161B2"/>
    <w:rsid w:val="00E20641"/>
    <w:rsid w:val="00E226C4"/>
    <w:rsid w:val="00E23559"/>
    <w:rsid w:val="00E30B76"/>
    <w:rsid w:val="00E30F62"/>
    <w:rsid w:val="00E316DB"/>
    <w:rsid w:val="00E320DD"/>
    <w:rsid w:val="00E331C5"/>
    <w:rsid w:val="00E42F6C"/>
    <w:rsid w:val="00E45D1C"/>
    <w:rsid w:val="00E46C32"/>
    <w:rsid w:val="00E507AA"/>
    <w:rsid w:val="00E510B6"/>
    <w:rsid w:val="00E52965"/>
    <w:rsid w:val="00E549E4"/>
    <w:rsid w:val="00E62A9E"/>
    <w:rsid w:val="00E64CA8"/>
    <w:rsid w:val="00E70E72"/>
    <w:rsid w:val="00E70FA5"/>
    <w:rsid w:val="00E74AA6"/>
    <w:rsid w:val="00E75E62"/>
    <w:rsid w:val="00E87852"/>
    <w:rsid w:val="00E94536"/>
    <w:rsid w:val="00E951A6"/>
    <w:rsid w:val="00E957E5"/>
    <w:rsid w:val="00EA28C1"/>
    <w:rsid w:val="00EA739F"/>
    <w:rsid w:val="00EB1208"/>
    <w:rsid w:val="00EC36BE"/>
    <w:rsid w:val="00EC3700"/>
    <w:rsid w:val="00EC7968"/>
    <w:rsid w:val="00ED1D5D"/>
    <w:rsid w:val="00ED1DDF"/>
    <w:rsid w:val="00ED26B2"/>
    <w:rsid w:val="00ED5446"/>
    <w:rsid w:val="00ED671D"/>
    <w:rsid w:val="00ED7726"/>
    <w:rsid w:val="00EE2200"/>
    <w:rsid w:val="00EE2326"/>
    <w:rsid w:val="00EE744F"/>
    <w:rsid w:val="00EF0008"/>
    <w:rsid w:val="00EF4A86"/>
    <w:rsid w:val="00EF5B9C"/>
    <w:rsid w:val="00EF6C77"/>
    <w:rsid w:val="00F10AA4"/>
    <w:rsid w:val="00F12009"/>
    <w:rsid w:val="00F132D2"/>
    <w:rsid w:val="00F1358D"/>
    <w:rsid w:val="00F1598A"/>
    <w:rsid w:val="00F2571A"/>
    <w:rsid w:val="00F30C35"/>
    <w:rsid w:val="00F31732"/>
    <w:rsid w:val="00F338B5"/>
    <w:rsid w:val="00F354CA"/>
    <w:rsid w:val="00F359E2"/>
    <w:rsid w:val="00F4700E"/>
    <w:rsid w:val="00F47956"/>
    <w:rsid w:val="00F57E75"/>
    <w:rsid w:val="00F6091C"/>
    <w:rsid w:val="00F7158B"/>
    <w:rsid w:val="00F71A35"/>
    <w:rsid w:val="00F77271"/>
    <w:rsid w:val="00F801D9"/>
    <w:rsid w:val="00F84F51"/>
    <w:rsid w:val="00F87061"/>
    <w:rsid w:val="00F94FAE"/>
    <w:rsid w:val="00F9581E"/>
    <w:rsid w:val="00F95D48"/>
    <w:rsid w:val="00F97657"/>
    <w:rsid w:val="00FA1EDA"/>
    <w:rsid w:val="00FA40A9"/>
    <w:rsid w:val="00FB0A84"/>
    <w:rsid w:val="00FC3EBF"/>
    <w:rsid w:val="00FC610F"/>
    <w:rsid w:val="00FC67D7"/>
    <w:rsid w:val="00FC7B85"/>
    <w:rsid w:val="00FD6F72"/>
    <w:rsid w:val="00FE0CCE"/>
    <w:rsid w:val="00FE183E"/>
    <w:rsid w:val="00FE1D24"/>
    <w:rsid w:val="00FE245E"/>
    <w:rsid w:val="00FE5678"/>
    <w:rsid w:val="00FE6398"/>
    <w:rsid w:val="00FE736C"/>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E78C5BD8-E1E7-49FA-BD20-02C8EB72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3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table" w:customStyle="1" w:styleId="TableGrid1">
    <w:name w:val="Table Grid1"/>
    <w:basedOn w:val="TableNormal"/>
    <w:next w:val="TableGrid"/>
    <w:uiPriority w:val="59"/>
    <w:rsid w:val="0023113D"/>
    <w:pPr>
      <w:widowControl w:val="0"/>
      <w:autoSpaceDE w:val="0"/>
      <w:autoSpaceDN w:val="0"/>
      <w:spacing w:after="0" w:line="240" w:lineRule="auto"/>
    </w:pPr>
    <w:rPr>
      <w:rFonts w:ascii="Calibri" w:hAnsi="Calibri" w:cs="Calibr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44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693506720">
      <w:bodyDiv w:val="1"/>
      <w:marLeft w:val="0"/>
      <w:marRight w:val="0"/>
      <w:marTop w:val="0"/>
      <w:marBottom w:val="0"/>
      <w:divBdr>
        <w:top w:val="none" w:sz="0" w:space="0" w:color="auto"/>
        <w:left w:val="none" w:sz="0" w:space="0" w:color="auto"/>
        <w:bottom w:val="none" w:sz="0" w:space="0" w:color="auto"/>
        <w:right w:val="none" w:sz="0" w:space="0" w:color="auto"/>
      </w:divBdr>
    </w:div>
    <w:div w:id="1539506446">
      <w:bodyDiv w:val="1"/>
      <w:marLeft w:val="0"/>
      <w:marRight w:val="0"/>
      <w:marTop w:val="0"/>
      <w:marBottom w:val="0"/>
      <w:divBdr>
        <w:top w:val="none" w:sz="0" w:space="0" w:color="auto"/>
        <w:left w:val="none" w:sz="0" w:space="0" w:color="auto"/>
        <w:bottom w:val="none" w:sz="0" w:space="0" w:color="auto"/>
        <w:right w:val="none" w:sz="0" w:space="0" w:color="auto"/>
      </w:divBdr>
      <w:divsChild>
        <w:div w:id="199846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7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D8819-719C-4D55-963E-AE4FE60B0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Marks, Brett (DPH)</cp:lastModifiedBy>
  <cp:revision>12</cp:revision>
  <cp:lastPrinted>2024-03-07T20:00:00Z</cp:lastPrinted>
  <dcterms:created xsi:type="dcterms:W3CDTF">2024-03-13T01:14:00Z</dcterms:created>
  <dcterms:modified xsi:type="dcterms:W3CDTF">2024-03-18T12:16:00Z</dcterms:modified>
</cp:coreProperties>
</file>